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A07DA6" w:rsidRPr="00A07DA6" w:rsidTr="00F449BC">
        <w:tblPrEx>
          <w:tblCellMar>
            <w:top w:w="0" w:type="dxa"/>
            <w:bottom w:w="0" w:type="dxa"/>
          </w:tblCellMar>
        </w:tblPrEx>
        <w:trPr>
          <w:cantSplit/>
        </w:trPr>
        <w:tc>
          <w:tcPr>
            <w:tcW w:w="4857" w:type="dxa"/>
            <w:gridSpan w:val="2"/>
          </w:tcPr>
          <w:p w:rsidR="00A07DA6" w:rsidRPr="00A07DA6" w:rsidRDefault="00A07DA6" w:rsidP="00F449BC">
            <w:pPr>
              <w:spacing w:before="120"/>
              <w:rPr>
                <w:rFonts w:asciiTheme="majorBidi" w:hAnsiTheme="majorBidi" w:cstheme="majorBidi"/>
                <w:b/>
                <w:bCs/>
                <w:sz w:val="26"/>
              </w:rPr>
            </w:pPr>
            <w:r w:rsidRPr="00A07DA6">
              <w:rPr>
                <w:rFonts w:asciiTheme="majorBidi" w:hAnsiTheme="majorBidi" w:cstheme="majorBidi"/>
                <w:sz w:val="20"/>
              </w:rPr>
              <w:t>INTERNATIONAL TELECOMMUNICATION UNION</w:t>
            </w:r>
            <w:r w:rsidRPr="00A07DA6">
              <w:rPr>
                <w:rFonts w:asciiTheme="majorBidi" w:hAnsiTheme="majorBidi" w:cstheme="majorBidi"/>
                <w:sz w:val="20"/>
              </w:rPr>
              <w:br/>
            </w:r>
            <w:r w:rsidRPr="00A07DA6">
              <w:rPr>
                <w:rFonts w:asciiTheme="majorBidi" w:hAnsiTheme="majorBidi" w:cstheme="majorBidi"/>
                <w:b/>
                <w:bCs/>
                <w:sz w:val="26"/>
              </w:rPr>
              <w:t>TELECOMMUNICATION</w:t>
            </w:r>
            <w:r w:rsidRPr="00A07DA6">
              <w:rPr>
                <w:rFonts w:asciiTheme="majorBidi" w:hAnsiTheme="majorBidi" w:cstheme="majorBidi"/>
                <w:b/>
                <w:bCs/>
                <w:sz w:val="26"/>
              </w:rPr>
              <w:br/>
              <w:t>STANDARDIZATION SECTOR</w:t>
            </w:r>
          </w:p>
          <w:p w:rsidR="00A07DA6" w:rsidRPr="00A07DA6" w:rsidRDefault="00A07DA6" w:rsidP="00F449BC">
            <w:pPr>
              <w:spacing w:before="120"/>
              <w:rPr>
                <w:rFonts w:asciiTheme="majorBidi" w:hAnsiTheme="majorBidi" w:cstheme="majorBidi"/>
                <w:sz w:val="20"/>
              </w:rPr>
            </w:pPr>
            <w:r w:rsidRPr="00A07DA6">
              <w:rPr>
                <w:rFonts w:asciiTheme="majorBidi" w:hAnsiTheme="majorBidi" w:cstheme="majorBidi"/>
                <w:sz w:val="20"/>
              </w:rPr>
              <w:t>STUDY PERIOD 2009-2012</w:t>
            </w:r>
          </w:p>
        </w:tc>
        <w:tc>
          <w:tcPr>
            <w:tcW w:w="5066" w:type="dxa"/>
          </w:tcPr>
          <w:p w:rsidR="00A07DA6" w:rsidRPr="00A07DA6" w:rsidRDefault="00A07DA6" w:rsidP="00F449BC">
            <w:pPr>
              <w:spacing w:before="120"/>
              <w:jc w:val="right"/>
              <w:rPr>
                <w:rFonts w:asciiTheme="majorBidi" w:hAnsiTheme="majorBidi" w:cstheme="majorBidi"/>
                <w:b/>
                <w:bCs/>
                <w:smallCaps/>
                <w:sz w:val="32"/>
              </w:rPr>
            </w:pPr>
            <w:r w:rsidRPr="00A07DA6">
              <w:rPr>
                <w:rFonts w:asciiTheme="majorBidi" w:hAnsiTheme="majorBidi" w:cstheme="majorBidi"/>
                <w:b/>
                <w:bCs/>
                <w:smallCaps/>
                <w:sz w:val="32"/>
              </w:rPr>
              <w:t>Joint Coordination Activity on Accessibility and human Factors (JCA-AHF)</w:t>
            </w:r>
          </w:p>
        </w:tc>
      </w:tr>
      <w:tr w:rsidR="00A07DA6" w:rsidRPr="00A07DA6" w:rsidTr="00F449BC">
        <w:tblPrEx>
          <w:tblCellMar>
            <w:top w:w="0" w:type="dxa"/>
            <w:bottom w:w="0" w:type="dxa"/>
          </w:tblCellMar>
        </w:tblPrEx>
        <w:trPr>
          <w:cantSplit/>
          <w:trHeight w:val="461"/>
        </w:trPr>
        <w:tc>
          <w:tcPr>
            <w:tcW w:w="4857" w:type="dxa"/>
            <w:gridSpan w:val="2"/>
            <w:vMerge w:val="restart"/>
            <w:tcBorders>
              <w:bottom w:val="nil"/>
            </w:tcBorders>
          </w:tcPr>
          <w:p w:rsidR="00A07DA6" w:rsidRPr="00A07DA6" w:rsidRDefault="00A07DA6" w:rsidP="00F449BC">
            <w:pPr>
              <w:spacing w:before="120"/>
              <w:rPr>
                <w:rFonts w:asciiTheme="majorBidi" w:hAnsiTheme="majorBidi" w:cstheme="majorBidi"/>
                <w:smallCaps/>
                <w:sz w:val="20"/>
              </w:rPr>
            </w:pPr>
          </w:p>
        </w:tc>
        <w:tc>
          <w:tcPr>
            <w:tcW w:w="5066" w:type="dxa"/>
            <w:tcBorders>
              <w:bottom w:val="nil"/>
            </w:tcBorders>
          </w:tcPr>
          <w:p w:rsidR="00A07DA6" w:rsidRPr="00A07DA6" w:rsidRDefault="00A07DA6" w:rsidP="00A07DA6">
            <w:pPr>
              <w:spacing w:before="120"/>
              <w:jc w:val="right"/>
              <w:rPr>
                <w:rFonts w:asciiTheme="majorBidi" w:hAnsiTheme="majorBidi" w:cstheme="majorBidi"/>
                <w:b/>
                <w:bCs/>
                <w:sz w:val="40"/>
              </w:rPr>
            </w:pPr>
            <w:r w:rsidRPr="00A07DA6">
              <w:rPr>
                <w:rFonts w:asciiTheme="majorBidi" w:hAnsiTheme="majorBidi" w:cstheme="majorBidi"/>
                <w:b/>
                <w:bCs/>
                <w:sz w:val="40"/>
              </w:rPr>
              <w:t>Doc. 10</w:t>
            </w:r>
            <w:r w:rsidRPr="00A07DA6">
              <w:rPr>
                <w:rFonts w:asciiTheme="majorBidi" w:hAnsiTheme="majorBidi" w:cstheme="majorBidi"/>
                <w:b/>
                <w:bCs/>
                <w:sz w:val="40"/>
              </w:rPr>
              <w:t>6</w:t>
            </w:r>
          </w:p>
        </w:tc>
      </w:tr>
      <w:tr w:rsidR="00A07DA6" w:rsidRPr="00A07DA6" w:rsidTr="00F449BC">
        <w:tblPrEx>
          <w:tblCellMar>
            <w:top w:w="0" w:type="dxa"/>
            <w:bottom w:w="0" w:type="dxa"/>
          </w:tblCellMar>
        </w:tblPrEx>
        <w:trPr>
          <w:cantSplit/>
          <w:trHeight w:val="355"/>
        </w:trPr>
        <w:tc>
          <w:tcPr>
            <w:tcW w:w="4857" w:type="dxa"/>
            <w:gridSpan w:val="2"/>
            <w:vMerge/>
            <w:tcBorders>
              <w:bottom w:val="single" w:sz="12" w:space="0" w:color="auto"/>
            </w:tcBorders>
          </w:tcPr>
          <w:p w:rsidR="00A07DA6" w:rsidRPr="00A07DA6" w:rsidRDefault="00A07DA6" w:rsidP="00F449BC">
            <w:pPr>
              <w:spacing w:before="120"/>
              <w:rPr>
                <w:rFonts w:asciiTheme="majorBidi" w:hAnsiTheme="majorBidi" w:cstheme="majorBidi"/>
                <w:b/>
                <w:bCs/>
                <w:sz w:val="26"/>
              </w:rPr>
            </w:pPr>
          </w:p>
        </w:tc>
        <w:tc>
          <w:tcPr>
            <w:tcW w:w="5066" w:type="dxa"/>
            <w:tcBorders>
              <w:bottom w:val="single" w:sz="12" w:space="0" w:color="auto"/>
            </w:tcBorders>
          </w:tcPr>
          <w:p w:rsidR="00A07DA6" w:rsidRPr="00A07DA6" w:rsidRDefault="00A07DA6" w:rsidP="00A07DA6">
            <w:pPr>
              <w:spacing w:before="120"/>
              <w:jc w:val="right"/>
              <w:rPr>
                <w:rFonts w:asciiTheme="majorBidi" w:hAnsiTheme="majorBidi" w:cstheme="majorBidi"/>
                <w:b/>
                <w:bCs/>
                <w:sz w:val="28"/>
              </w:rPr>
            </w:pPr>
            <w:r w:rsidRPr="00A07DA6">
              <w:rPr>
                <w:rFonts w:asciiTheme="majorBidi" w:hAnsiTheme="majorBidi" w:cstheme="majorBidi"/>
                <w:b/>
                <w:bCs/>
                <w:sz w:val="28"/>
              </w:rPr>
              <w:t xml:space="preserve">English </w:t>
            </w:r>
            <w:r w:rsidRPr="00A07DA6">
              <w:rPr>
                <w:rFonts w:asciiTheme="majorBidi" w:hAnsiTheme="majorBidi" w:cstheme="majorBidi"/>
                <w:b/>
                <w:bCs/>
                <w:sz w:val="28"/>
              </w:rPr>
              <w:t>and French</w:t>
            </w:r>
          </w:p>
          <w:p w:rsidR="00A07DA6" w:rsidRPr="00A07DA6" w:rsidRDefault="00A07DA6" w:rsidP="00A07DA6">
            <w:pPr>
              <w:spacing w:before="120"/>
              <w:jc w:val="right"/>
              <w:rPr>
                <w:rFonts w:asciiTheme="majorBidi" w:hAnsiTheme="majorBidi" w:cstheme="majorBidi"/>
                <w:b/>
                <w:bCs/>
                <w:sz w:val="28"/>
              </w:rPr>
            </w:pPr>
            <w:r w:rsidRPr="00A07DA6">
              <w:rPr>
                <w:rFonts w:asciiTheme="majorBidi" w:hAnsiTheme="majorBidi" w:cstheme="majorBidi"/>
                <w:b/>
                <w:bCs/>
                <w:sz w:val="28"/>
              </w:rPr>
              <w:t xml:space="preserve">Original: </w:t>
            </w:r>
            <w:r w:rsidRPr="00A07DA6">
              <w:rPr>
                <w:rFonts w:asciiTheme="majorBidi" w:hAnsiTheme="majorBidi" w:cstheme="majorBidi"/>
                <w:b/>
                <w:bCs/>
                <w:sz w:val="28"/>
              </w:rPr>
              <w:t>French</w:t>
            </w:r>
          </w:p>
        </w:tc>
      </w:tr>
      <w:tr w:rsidR="00A07DA6" w:rsidRPr="00A07DA6" w:rsidTr="00F449BC">
        <w:tblPrEx>
          <w:tblCellMar>
            <w:top w:w="0" w:type="dxa"/>
            <w:bottom w:w="0" w:type="dxa"/>
          </w:tblCellMar>
        </w:tblPrEx>
        <w:trPr>
          <w:cantSplit/>
          <w:trHeight w:val="357"/>
        </w:trPr>
        <w:tc>
          <w:tcPr>
            <w:tcW w:w="1617" w:type="dxa"/>
          </w:tcPr>
          <w:p w:rsidR="00A07DA6" w:rsidRPr="00A07DA6" w:rsidRDefault="00A07DA6" w:rsidP="00F449BC">
            <w:pPr>
              <w:spacing w:before="60" w:after="60"/>
              <w:rPr>
                <w:rFonts w:asciiTheme="majorBidi" w:hAnsiTheme="majorBidi" w:cstheme="majorBidi"/>
                <w:b/>
                <w:bCs/>
                <w:sz w:val="24"/>
              </w:rPr>
            </w:pPr>
            <w:r w:rsidRPr="00A07DA6">
              <w:rPr>
                <w:rFonts w:asciiTheme="majorBidi" w:hAnsiTheme="majorBidi" w:cstheme="majorBidi"/>
                <w:b/>
                <w:bCs/>
                <w:sz w:val="24"/>
              </w:rPr>
              <w:t>Source:</w:t>
            </w:r>
          </w:p>
        </w:tc>
        <w:tc>
          <w:tcPr>
            <w:tcW w:w="8306" w:type="dxa"/>
            <w:gridSpan w:val="2"/>
          </w:tcPr>
          <w:p w:rsidR="00A07DA6" w:rsidRPr="00A07DA6" w:rsidRDefault="00A07DA6" w:rsidP="00F449BC">
            <w:pPr>
              <w:spacing w:before="60" w:after="60"/>
              <w:rPr>
                <w:rFonts w:asciiTheme="majorBidi" w:hAnsiTheme="majorBidi" w:cstheme="majorBidi"/>
                <w:sz w:val="24"/>
              </w:rPr>
            </w:pPr>
            <w:r w:rsidRPr="00A07DA6">
              <w:rPr>
                <w:rFonts w:asciiTheme="majorBidi" w:hAnsiTheme="majorBidi" w:cstheme="majorBidi"/>
                <w:sz w:val="24"/>
              </w:rPr>
              <w:t>TSB</w:t>
            </w:r>
          </w:p>
        </w:tc>
      </w:tr>
      <w:tr w:rsidR="00A07DA6" w:rsidRPr="00A07DA6" w:rsidTr="00F449BC">
        <w:tblPrEx>
          <w:tblCellMar>
            <w:top w:w="0" w:type="dxa"/>
            <w:bottom w:w="0" w:type="dxa"/>
          </w:tblCellMar>
        </w:tblPrEx>
        <w:trPr>
          <w:cantSplit/>
          <w:trHeight w:val="357"/>
        </w:trPr>
        <w:tc>
          <w:tcPr>
            <w:tcW w:w="1617" w:type="dxa"/>
            <w:tcBorders>
              <w:bottom w:val="single" w:sz="12" w:space="0" w:color="auto"/>
            </w:tcBorders>
          </w:tcPr>
          <w:p w:rsidR="00A07DA6" w:rsidRPr="00A07DA6" w:rsidRDefault="00A07DA6" w:rsidP="00F449BC">
            <w:pPr>
              <w:spacing w:before="60" w:after="60"/>
              <w:rPr>
                <w:rFonts w:asciiTheme="majorBidi" w:hAnsiTheme="majorBidi" w:cstheme="majorBidi"/>
                <w:sz w:val="24"/>
              </w:rPr>
            </w:pPr>
            <w:r w:rsidRPr="00A07DA6">
              <w:rPr>
                <w:rFonts w:asciiTheme="majorBidi" w:hAnsiTheme="majorBidi" w:cstheme="majorBidi"/>
                <w:b/>
                <w:bCs/>
                <w:sz w:val="24"/>
              </w:rPr>
              <w:t>Title:</w:t>
            </w:r>
          </w:p>
        </w:tc>
        <w:tc>
          <w:tcPr>
            <w:tcW w:w="8306" w:type="dxa"/>
            <w:gridSpan w:val="2"/>
            <w:tcBorders>
              <w:bottom w:val="single" w:sz="12" w:space="0" w:color="auto"/>
            </w:tcBorders>
          </w:tcPr>
          <w:p w:rsidR="00A07DA6" w:rsidRPr="00A07DA6" w:rsidRDefault="00A07DA6" w:rsidP="00F449BC">
            <w:pPr>
              <w:spacing w:before="60" w:after="60"/>
              <w:rPr>
                <w:rFonts w:asciiTheme="majorBidi" w:hAnsiTheme="majorBidi" w:cstheme="majorBidi"/>
                <w:sz w:val="24"/>
              </w:rPr>
            </w:pPr>
            <w:r w:rsidRPr="00A07DA6">
              <w:rPr>
                <w:rFonts w:asciiTheme="majorBidi" w:hAnsiTheme="majorBidi" w:cstheme="majorBidi"/>
                <w:sz w:val="24"/>
              </w:rPr>
              <w:t xml:space="preserve">Accessibility study </w:t>
            </w:r>
            <w:r w:rsidRPr="00A07DA6">
              <w:rPr>
                <w:rFonts w:asciiTheme="majorBidi" w:hAnsiTheme="majorBidi" w:cstheme="majorBidi"/>
                <w:sz w:val="24"/>
              </w:rPr>
              <w:sym w:font="Symbol" w:char="F02D"/>
            </w:r>
            <w:r w:rsidRPr="00A07DA6">
              <w:rPr>
                <w:rFonts w:asciiTheme="majorBidi" w:hAnsiTheme="majorBidi" w:cstheme="majorBidi"/>
                <w:sz w:val="24"/>
              </w:rPr>
              <w:t xml:space="preserve"> ITU headquarters Geneva premises (March 2011)</w:t>
            </w:r>
          </w:p>
        </w:tc>
      </w:tr>
    </w:tbl>
    <w:p w:rsidR="00A07DA6" w:rsidRPr="00A07DA6" w:rsidRDefault="00A07DA6" w:rsidP="00A07DA6">
      <w:pPr>
        <w:pStyle w:val="AnnexNotitle"/>
        <w:spacing w:before="120"/>
        <w:rPr>
          <w:rFonts w:asciiTheme="majorBidi" w:hAnsiTheme="majorBidi" w:cstheme="majorBidi"/>
          <w:sz w:val="24"/>
          <w:szCs w:val="24"/>
        </w:rPr>
      </w:pPr>
      <w:bookmarkStart w:id="0" w:name="_Toc293678795"/>
    </w:p>
    <w:p w:rsidR="00A07DA6" w:rsidRPr="00A07DA6" w:rsidRDefault="00A07DA6" w:rsidP="00A07DA6">
      <w:pPr>
        <w:pStyle w:val="AnnexNotitle"/>
        <w:spacing w:before="120"/>
        <w:jc w:val="left"/>
        <w:rPr>
          <w:rFonts w:asciiTheme="majorBidi" w:eastAsia="SimSun" w:hAnsiTheme="majorBidi" w:cstheme="majorBidi"/>
          <w:b w:val="0"/>
          <w:color w:val="000000"/>
          <w:sz w:val="24"/>
          <w:szCs w:val="24"/>
          <w:lang w:val="en-US" w:eastAsia="zh-CN"/>
        </w:rPr>
      </w:pPr>
      <w:r w:rsidRPr="00A07DA6">
        <w:rPr>
          <w:rFonts w:asciiTheme="majorBidi" w:eastAsia="SimSun" w:hAnsiTheme="majorBidi" w:cstheme="majorBidi"/>
          <w:b w:val="0"/>
          <w:color w:val="000000"/>
          <w:sz w:val="24"/>
          <w:szCs w:val="24"/>
          <w:lang w:val="en-US" w:eastAsia="zh-CN"/>
        </w:rPr>
        <w:t xml:space="preserve">This document was presented on 21 March 2011 during the JCA-AHF meeting by </w:t>
      </w:r>
      <w:r>
        <w:rPr>
          <w:rFonts w:asciiTheme="majorBidi" w:eastAsia="SimSun" w:hAnsiTheme="majorBidi" w:cstheme="majorBidi"/>
          <w:b w:val="0"/>
          <w:color w:val="000000"/>
          <w:sz w:val="24"/>
          <w:szCs w:val="24"/>
          <w:lang w:val="en-US" w:eastAsia="zh-CN"/>
        </w:rPr>
        <w:t xml:space="preserve">Mr </w:t>
      </w:r>
      <w:r w:rsidRPr="00A07DA6">
        <w:rPr>
          <w:rFonts w:asciiTheme="majorBidi" w:eastAsia="SimSun" w:hAnsiTheme="majorBidi" w:cstheme="majorBidi"/>
          <w:b w:val="0"/>
          <w:color w:val="000000"/>
          <w:sz w:val="24"/>
          <w:szCs w:val="24"/>
          <w:lang w:val="en-US" w:eastAsia="zh-CN"/>
        </w:rPr>
        <w:t>Al</w:t>
      </w:r>
      <w:r>
        <w:rPr>
          <w:rFonts w:asciiTheme="majorBidi" w:eastAsia="SimSun" w:hAnsiTheme="majorBidi" w:cstheme="majorBidi"/>
          <w:b w:val="0"/>
          <w:color w:val="000000"/>
          <w:sz w:val="24"/>
          <w:szCs w:val="24"/>
          <w:lang w:val="en-US" w:eastAsia="zh-CN"/>
        </w:rPr>
        <w:t>ain V</w:t>
      </w:r>
      <w:r w:rsidRPr="00A07DA6">
        <w:rPr>
          <w:rFonts w:asciiTheme="majorBidi" w:eastAsia="SimSun" w:hAnsiTheme="majorBidi" w:cstheme="majorBidi"/>
          <w:b w:val="0"/>
          <w:color w:val="000000"/>
          <w:sz w:val="24"/>
          <w:szCs w:val="24"/>
          <w:lang w:val="en-US" w:eastAsia="zh-CN"/>
        </w:rPr>
        <w:t>ictor Mutwe, architect</w:t>
      </w:r>
      <w:r>
        <w:rPr>
          <w:rFonts w:asciiTheme="majorBidi" w:eastAsia="SimSun" w:hAnsiTheme="majorBidi" w:cstheme="majorBidi"/>
          <w:b w:val="0"/>
          <w:color w:val="000000"/>
          <w:sz w:val="24"/>
          <w:szCs w:val="24"/>
          <w:lang w:val="en-US" w:eastAsia="zh-CN"/>
        </w:rPr>
        <w:t xml:space="preserve"> and ITU secretariat staff member </w:t>
      </w:r>
      <w:r w:rsidRPr="00A07DA6">
        <w:rPr>
          <w:rFonts w:asciiTheme="majorBidi" w:eastAsia="SimSun" w:hAnsiTheme="majorBidi" w:cstheme="majorBidi"/>
          <w:b w:val="0"/>
          <w:color w:val="000000"/>
          <w:sz w:val="24"/>
          <w:szCs w:val="24"/>
          <w:lang w:val="en-US" w:eastAsia="zh-CN"/>
        </w:rPr>
        <w:t>working at the ITU headquarters.</w:t>
      </w:r>
    </w:p>
    <w:bookmarkEnd w:id="0"/>
    <w:p w:rsidR="00A07DA6" w:rsidRPr="00A07DA6" w:rsidRDefault="00A07DA6" w:rsidP="00A07DA6">
      <w:pPr>
        <w:pStyle w:val="NormalWeb"/>
        <w:rPr>
          <w:rFonts w:asciiTheme="majorBidi" w:eastAsia="SimSun" w:hAnsiTheme="majorBidi" w:cstheme="majorBidi"/>
          <w:b/>
          <w:bCs/>
          <w:color w:val="000000"/>
        </w:rPr>
      </w:pPr>
      <w:r w:rsidRPr="00A07DA6">
        <w:rPr>
          <w:rFonts w:asciiTheme="majorBidi" w:eastAsia="SimSun" w:hAnsiTheme="majorBidi" w:cstheme="majorBidi"/>
          <w:b/>
          <w:bCs/>
          <w:color w:val="000000"/>
        </w:rPr>
        <w:t xml:space="preserve">Accessibility </w:t>
      </w:r>
    </w:p>
    <w:p w:rsidR="00A07DA6" w:rsidRPr="00A07DA6" w:rsidRDefault="00A07DA6" w:rsidP="00A07DA6">
      <w:pPr>
        <w:pStyle w:val="NormalWeb"/>
        <w:jc w:val="both"/>
        <w:rPr>
          <w:rFonts w:asciiTheme="majorBidi" w:eastAsia="SimSun" w:hAnsiTheme="majorBidi" w:cstheme="majorBidi"/>
          <w:color w:val="000000"/>
        </w:rPr>
      </w:pPr>
      <w:r w:rsidRPr="00A07DA6">
        <w:rPr>
          <w:rFonts w:asciiTheme="majorBidi" w:eastAsia="SimSun" w:hAnsiTheme="majorBidi" w:cstheme="majorBidi"/>
          <w:color w:val="000000"/>
        </w:rPr>
        <w:t>Accessibility enables persons with disabilities to be autonomous and to participate, by reducing, or indeed eliminating, the inconsistencies between abilities, needs and wishes on the one hand, and the various physical, organizational and cultural components of their environment on the other. Accessibility calls for implementation of the additional arrangements that have to be made in order for anyone with a permanent or temporary disability to move around and have free and safe access to their living environment as well as to all other locations, services, products and activities. By adopting such an approach to accessibility, society helps to enhance the quality of life of all its members.</w:t>
      </w:r>
    </w:p>
    <w:p w:rsidR="00A07DA6" w:rsidRPr="00A07DA6" w:rsidRDefault="00A07DA6" w:rsidP="00A07DA6">
      <w:pPr>
        <w:pStyle w:val="Default"/>
        <w:jc w:val="both"/>
        <w:rPr>
          <w:rFonts w:asciiTheme="majorBidi" w:hAnsiTheme="majorBidi" w:cstheme="majorBidi"/>
          <w:b/>
          <w:bCs/>
        </w:rPr>
      </w:pPr>
      <w:r w:rsidRPr="00A07DA6">
        <w:rPr>
          <w:rFonts w:asciiTheme="majorBidi" w:hAnsiTheme="majorBidi" w:cstheme="majorBidi"/>
          <w:b/>
          <w:bCs/>
        </w:rPr>
        <w:t>Task</w:t>
      </w:r>
    </w:p>
    <w:p w:rsidR="00A07DA6" w:rsidRPr="00A07DA6" w:rsidRDefault="00A07DA6" w:rsidP="00A07DA6">
      <w:pPr>
        <w:pStyle w:val="Default"/>
        <w:jc w:val="both"/>
        <w:rPr>
          <w:rFonts w:asciiTheme="majorBidi" w:hAnsiTheme="majorBidi" w:cstheme="majorBidi"/>
        </w:rPr>
      </w:pPr>
    </w:p>
    <w:p w:rsidR="00A07DA6" w:rsidRPr="00A07DA6" w:rsidRDefault="00A07DA6" w:rsidP="00A07DA6">
      <w:pPr>
        <w:pStyle w:val="Default"/>
        <w:jc w:val="both"/>
        <w:rPr>
          <w:rFonts w:asciiTheme="majorBidi" w:hAnsiTheme="majorBidi" w:cstheme="majorBidi"/>
        </w:rPr>
      </w:pPr>
      <w:r w:rsidRPr="00A07DA6">
        <w:rPr>
          <w:rFonts w:asciiTheme="majorBidi" w:hAnsiTheme="majorBidi" w:cstheme="majorBidi"/>
        </w:rPr>
        <w:t>The task at hand is to draw up a diagnosis of the accessibility conditions in the ITU buildings by applying the Swiss standard SN 521 500, which relates to “building without obstacles”.</w:t>
      </w:r>
    </w:p>
    <w:p w:rsidR="00A07DA6" w:rsidRPr="00A07DA6" w:rsidRDefault="00A07DA6" w:rsidP="00A07DA6">
      <w:pPr>
        <w:pStyle w:val="Default"/>
        <w:jc w:val="both"/>
        <w:rPr>
          <w:rFonts w:asciiTheme="majorBidi" w:hAnsiTheme="majorBidi" w:cstheme="majorBidi"/>
        </w:rPr>
      </w:pPr>
    </w:p>
    <w:p w:rsidR="00A07DA6" w:rsidRPr="00A07DA6" w:rsidRDefault="00A07DA6" w:rsidP="00A07DA6">
      <w:pPr>
        <w:pStyle w:val="Default"/>
        <w:jc w:val="both"/>
        <w:rPr>
          <w:rFonts w:asciiTheme="majorBidi" w:hAnsiTheme="majorBidi" w:cstheme="majorBidi"/>
        </w:rPr>
      </w:pPr>
      <w:r w:rsidRPr="00A07DA6">
        <w:rPr>
          <w:rFonts w:asciiTheme="majorBidi" w:hAnsiTheme="majorBidi" w:cstheme="majorBidi"/>
        </w:rPr>
        <w:t>This involves the following:</w:t>
      </w:r>
    </w:p>
    <w:p w:rsidR="00A07DA6" w:rsidRPr="00A07DA6" w:rsidRDefault="00A07DA6" w:rsidP="00A07DA6">
      <w:pPr>
        <w:pStyle w:val="Default"/>
        <w:jc w:val="both"/>
        <w:rPr>
          <w:rFonts w:asciiTheme="majorBidi" w:hAnsiTheme="majorBidi" w:cstheme="majorBidi"/>
        </w:rPr>
      </w:pPr>
      <w:r w:rsidRPr="00A07DA6">
        <w:rPr>
          <w:rFonts w:asciiTheme="majorBidi" w:hAnsiTheme="majorBidi" w:cstheme="majorBidi"/>
        </w:rPr>
        <w:t xml:space="preserve"> </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Analysis of plans for new building, alteration, renovation or modification works, long-term and provisional building assignments, as well as in-building facilities and external design elements, applying to buildings open to the public and to buildings accommodating work stations, in each case taking account of annexes to the extent that the standard makes reference thereto.</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The diagnosis can also, should the instructing party so choose, cover the accessibility conditions for workers.</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A description of the works necessary in order to comply with the provisions to be met.</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Establishment of an indicative evaluation of the cost of such work and, if so decided, a schedule of work.</w:t>
      </w:r>
    </w:p>
    <w:p w:rsidR="00A07DA6" w:rsidRPr="00A07DA6" w:rsidRDefault="00A07DA6" w:rsidP="00A07DA6">
      <w:pPr>
        <w:pStyle w:val="Default"/>
        <w:jc w:val="both"/>
        <w:rPr>
          <w:rFonts w:asciiTheme="majorBidi" w:hAnsiTheme="majorBidi" w:cstheme="majorBidi"/>
        </w:rPr>
      </w:pPr>
    </w:p>
    <w:p w:rsidR="00A07DA6" w:rsidRPr="00A07DA6" w:rsidRDefault="00A07DA6" w:rsidP="00A07DA6">
      <w:pPr>
        <w:pStyle w:val="Default"/>
        <w:jc w:val="both"/>
        <w:rPr>
          <w:rFonts w:asciiTheme="majorBidi" w:hAnsiTheme="majorBidi" w:cstheme="majorBidi"/>
        </w:rPr>
      </w:pPr>
      <w:r w:rsidRPr="00A07DA6">
        <w:rPr>
          <w:rFonts w:asciiTheme="majorBidi" w:hAnsiTheme="majorBidi" w:cstheme="majorBidi"/>
        </w:rPr>
        <w:t>The mission breaks down into two phases:</w:t>
      </w:r>
    </w:p>
    <w:p w:rsidR="00A07DA6" w:rsidRPr="00A07DA6" w:rsidRDefault="00A07DA6" w:rsidP="00A07DA6">
      <w:pPr>
        <w:pStyle w:val="Default"/>
        <w:spacing w:after="24"/>
        <w:jc w:val="both"/>
        <w:rPr>
          <w:rFonts w:asciiTheme="majorBidi" w:hAnsiTheme="majorBidi" w:cstheme="majorBidi"/>
          <w:i/>
          <w:iCs/>
        </w:rPr>
      </w:pPr>
    </w:p>
    <w:p w:rsidR="00A07DA6" w:rsidRPr="00A07DA6" w:rsidRDefault="00A07DA6" w:rsidP="00A07DA6">
      <w:pPr>
        <w:pStyle w:val="Default"/>
        <w:spacing w:after="24"/>
        <w:jc w:val="both"/>
        <w:rPr>
          <w:rFonts w:asciiTheme="majorBidi" w:hAnsiTheme="majorBidi" w:cstheme="majorBidi"/>
        </w:rPr>
      </w:pPr>
      <w:r w:rsidRPr="00A07DA6">
        <w:rPr>
          <w:rFonts w:asciiTheme="majorBidi" w:hAnsiTheme="majorBidi" w:cstheme="majorBidi"/>
          <w:i/>
          <w:iCs/>
        </w:rPr>
        <w:t>Phase 1:</w:t>
      </w:r>
      <w:r w:rsidRPr="00A07DA6">
        <w:rPr>
          <w:rFonts w:asciiTheme="majorBidi" w:hAnsiTheme="majorBidi" w:cstheme="majorBidi"/>
        </w:rPr>
        <w:t xml:space="preserve"> preparation, discussions, visit to and analysis of the site, and ongoing consultation with partners such as the </w:t>
      </w:r>
      <w:r w:rsidRPr="00A07DA6">
        <w:rPr>
          <w:rFonts w:asciiTheme="majorBidi" w:hAnsiTheme="majorBidi" w:cstheme="majorBidi"/>
          <w:i/>
          <w:iCs/>
        </w:rPr>
        <w:t xml:space="preserve">Association pour le </w:t>
      </w:r>
      <w:proofErr w:type="spellStart"/>
      <w:r w:rsidRPr="00A07DA6">
        <w:rPr>
          <w:rFonts w:asciiTheme="majorBidi" w:hAnsiTheme="majorBidi" w:cstheme="majorBidi"/>
          <w:i/>
          <w:iCs/>
        </w:rPr>
        <w:t>bien</w:t>
      </w:r>
      <w:proofErr w:type="spellEnd"/>
      <w:r w:rsidRPr="00A07DA6">
        <w:rPr>
          <w:rFonts w:asciiTheme="majorBidi" w:hAnsiTheme="majorBidi" w:cstheme="majorBidi"/>
          <w:i/>
          <w:iCs/>
        </w:rPr>
        <w:t xml:space="preserve"> des </w:t>
      </w:r>
      <w:proofErr w:type="spellStart"/>
      <w:r w:rsidRPr="00A07DA6">
        <w:rPr>
          <w:rFonts w:asciiTheme="majorBidi" w:hAnsiTheme="majorBidi" w:cstheme="majorBidi"/>
          <w:i/>
          <w:iCs/>
        </w:rPr>
        <w:t>aveugles</w:t>
      </w:r>
      <w:proofErr w:type="spellEnd"/>
      <w:r w:rsidRPr="00A07DA6">
        <w:rPr>
          <w:rFonts w:asciiTheme="majorBidi" w:hAnsiTheme="majorBidi" w:cstheme="majorBidi"/>
          <w:i/>
          <w:iCs/>
        </w:rPr>
        <w:t xml:space="preserve"> et </w:t>
      </w:r>
      <w:proofErr w:type="spellStart"/>
      <w:r w:rsidRPr="00A07DA6">
        <w:rPr>
          <w:rFonts w:asciiTheme="majorBidi" w:hAnsiTheme="majorBidi" w:cstheme="majorBidi"/>
          <w:i/>
          <w:iCs/>
        </w:rPr>
        <w:t>malvoyants</w:t>
      </w:r>
      <w:proofErr w:type="spellEnd"/>
      <w:r w:rsidRPr="00A07DA6">
        <w:rPr>
          <w:rFonts w:asciiTheme="majorBidi" w:hAnsiTheme="majorBidi" w:cstheme="majorBidi"/>
        </w:rPr>
        <w:t xml:space="preserve"> (Association for the blind and visually impaired) and </w:t>
      </w:r>
      <w:r w:rsidRPr="00A07DA6">
        <w:rPr>
          <w:rFonts w:asciiTheme="majorBidi" w:hAnsiTheme="majorBidi" w:cstheme="majorBidi"/>
          <w:i/>
          <w:iCs/>
        </w:rPr>
        <w:t xml:space="preserve">Association Handicap Architecture et </w:t>
      </w:r>
      <w:proofErr w:type="spellStart"/>
      <w:r w:rsidRPr="00A07DA6">
        <w:rPr>
          <w:rFonts w:asciiTheme="majorBidi" w:hAnsiTheme="majorBidi" w:cstheme="majorBidi"/>
          <w:i/>
          <w:iCs/>
        </w:rPr>
        <w:t>Urbanisme</w:t>
      </w:r>
      <w:proofErr w:type="spellEnd"/>
      <w:r w:rsidRPr="00A07DA6">
        <w:rPr>
          <w:rFonts w:asciiTheme="majorBidi" w:hAnsiTheme="majorBidi" w:cstheme="majorBidi"/>
        </w:rPr>
        <w:t xml:space="preserve"> (HAU) (Disability architecture and urban planning association).</w:t>
      </w:r>
    </w:p>
    <w:p w:rsidR="00A07DA6" w:rsidRPr="00A07DA6" w:rsidRDefault="00A07DA6" w:rsidP="00A07DA6">
      <w:pPr>
        <w:pStyle w:val="Default"/>
        <w:jc w:val="both"/>
        <w:rPr>
          <w:rFonts w:asciiTheme="majorBidi" w:hAnsiTheme="majorBidi" w:cstheme="majorBidi"/>
        </w:rPr>
      </w:pPr>
    </w:p>
    <w:p w:rsidR="00A07DA6" w:rsidRPr="00A07DA6" w:rsidRDefault="00A07DA6" w:rsidP="00A07DA6">
      <w:pPr>
        <w:pStyle w:val="Default"/>
        <w:jc w:val="both"/>
        <w:rPr>
          <w:rFonts w:asciiTheme="majorBidi" w:hAnsiTheme="majorBidi" w:cstheme="majorBidi"/>
        </w:rPr>
      </w:pPr>
      <w:r w:rsidRPr="00A07DA6">
        <w:rPr>
          <w:rFonts w:asciiTheme="majorBidi" w:hAnsiTheme="majorBidi" w:cstheme="majorBidi"/>
          <w:i/>
          <w:iCs/>
        </w:rPr>
        <w:t>Phase 2:</w:t>
      </w:r>
      <w:r w:rsidRPr="00A07DA6">
        <w:rPr>
          <w:rFonts w:asciiTheme="majorBidi" w:hAnsiTheme="majorBidi" w:cstheme="majorBidi"/>
        </w:rPr>
        <w:t xml:space="preserve"> description of the works and, if so decided, functional recommendations, indicative costing and scheduling of the works.</w:t>
      </w:r>
    </w:p>
    <w:p w:rsidR="00A07DA6" w:rsidRPr="00A07DA6" w:rsidRDefault="00A07DA6" w:rsidP="00A07DA6">
      <w:pPr>
        <w:jc w:val="both"/>
        <w:rPr>
          <w:rFonts w:asciiTheme="majorBidi" w:eastAsia="SimSun" w:hAnsiTheme="majorBidi" w:cstheme="majorBidi"/>
          <w:color w:val="000000"/>
          <w:sz w:val="24"/>
          <w:szCs w:val="24"/>
        </w:rPr>
      </w:pPr>
    </w:p>
    <w:p w:rsidR="00A07DA6" w:rsidRPr="00A07DA6" w:rsidRDefault="00A07DA6" w:rsidP="00A07DA6">
      <w:pPr>
        <w:jc w:val="both"/>
        <w:rPr>
          <w:rFonts w:asciiTheme="majorBidi" w:eastAsia="SimSun" w:hAnsiTheme="majorBidi" w:cstheme="majorBidi"/>
          <w:b/>
          <w:bCs/>
          <w:i/>
          <w:iCs/>
          <w:color w:val="000000"/>
          <w:sz w:val="24"/>
          <w:szCs w:val="24"/>
        </w:rPr>
      </w:pPr>
      <w:r w:rsidRPr="00A07DA6">
        <w:rPr>
          <w:rFonts w:asciiTheme="majorBidi" w:eastAsia="SimSun" w:hAnsiTheme="majorBidi" w:cstheme="majorBidi"/>
          <w:b/>
          <w:bCs/>
          <w:i/>
          <w:iCs/>
          <w:color w:val="000000"/>
          <w:sz w:val="24"/>
          <w:szCs w:val="24"/>
        </w:rPr>
        <w:t>Objectives:</w:t>
      </w:r>
    </w:p>
    <w:p w:rsidR="00A07DA6" w:rsidRPr="00A07DA6" w:rsidRDefault="00A07DA6" w:rsidP="00A07DA6">
      <w:pPr>
        <w:jc w:val="both"/>
        <w:rPr>
          <w:rFonts w:asciiTheme="majorBidi" w:eastAsia="SimSun" w:hAnsiTheme="majorBidi" w:cstheme="majorBidi"/>
          <w:color w:val="000000"/>
          <w:sz w:val="24"/>
          <w:szCs w:val="24"/>
        </w:rPr>
      </w:pPr>
      <w:r w:rsidRPr="00A07DA6">
        <w:rPr>
          <w:rFonts w:asciiTheme="majorBidi" w:eastAsia="SimSun" w:hAnsiTheme="majorBidi" w:cstheme="majorBidi"/>
          <w:color w:val="000000"/>
          <w:sz w:val="24"/>
          <w:szCs w:val="24"/>
        </w:rPr>
        <w:t>Enable persons with disabilities to:</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Symbol" w:char="F02D"/>
      </w:r>
      <w:r w:rsidRPr="00A07DA6">
        <w:rPr>
          <w:rFonts w:asciiTheme="majorBidi" w:hAnsiTheme="majorBidi" w:cstheme="majorBidi"/>
        </w:rPr>
        <w:tab/>
        <w:t>move from point to point</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Symbol" w:char="F02D"/>
      </w:r>
      <w:r w:rsidRPr="00A07DA6">
        <w:rPr>
          <w:rFonts w:asciiTheme="majorBidi" w:hAnsiTheme="majorBidi" w:cstheme="majorBidi"/>
        </w:rPr>
        <w:tab/>
        <w:t>find their bearings, orient themselves, become familiar with their surroundings</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Symbol" w:char="F02D"/>
      </w:r>
      <w:r w:rsidRPr="00A07DA6">
        <w:rPr>
          <w:rFonts w:asciiTheme="majorBidi" w:hAnsiTheme="majorBidi" w:cstheme="majorBidi"/>
        </w:rPr>
        <w:tab/>
        <w:t>access (enter and exit) the various buildings and rooms</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Symbol" w:char="F02D"/>
      </w:r>
      <w:r w:rsidRPr="00A07DA6">
        <w:rPr>
          <w:rFonts w:asciiTheme="majorBidi" w:hAnsiTheme="majorBidi" w:cstheme="majorBidi"/>
        </w:rPr>
        <w:tab/>
        <w:t>access and use the equipment, machinery or apparatus corresponding to the purpose of the prem</w:t>
      </w:r>
      <w:bookmarkStart w:id="1" w:name="_GoBack"/>
      <w:bookmarkEnd w:id="1"/>
      <w:r w:rsidRPr="00A07DA6">
        <w:rPr>
          <w:rFonts w:asciiTheme="majorBidi" w:hAnsiTheme="majorBidi" w:cstheme="majorBidi"/>
        </w:rPr>
        <w:t>ises in question</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Symbol" w:char="F02D"/>
      </w:r>
      <w:r w:rsidRPr="00A07DA6">
        <w:rPr>
          <w:rFonts w:asciiTheme="majorBidi" w:hAnsiTheme="majorBidi" w:cstheme="majorBidi"/>
        </w:rPr>
        <w:tab/>
        <w:t>communicate and participate</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Symbol" w:char="F02D"/>
      </w:r>
      <w:r w:rsidRPr="00A07DA6">
        <w:rPr>
          <w:rFonts w:asciiTheme="majorBidi" w:hAnsiTheme="majorBidi" w:cstheme="majorBidi"/>
        </w:rPr>
        <w:tab/>
        <w:t>take a rest</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Symbol" w:char="F02D"/>
      </w:r>
      <w:r w:rsidRPr="00A07DA6">
        <w:rPr>
          <w:rFonts w:asciiTheme="majorBidi" w:hAnsiTheme="majorBidi" w:cstheme="majorBidi"/>
        </w:rPr>
        <w:tab/>
        <w:t>attend to basic physiological needs (washroom facilities, etc.)</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Symbol" w:char="F02D"/>
      </w:r>
      <w:r w:rsidRPr="00A07DA6">
        <w:rPr>
          <w:rFonts w:asciiTheme="majorBidi" w:hAnsiTheme="majorBidi" w:cstheme="majorBidi"/>
        </w:rPr>
        <w:tab/>
        <w:t>be safe and feel safe</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Symbol" w:char="F02D"/>
      </w:r>
      <w:r w:rsidRPr="00A07DA6">
        <w:rPr>
          <w:rFonts w:asciiTheme="majorBidi" w:hAnsiTheme="majorBidi" w:cstheme="majorBidi"/>
        </w:rPr>
        <w:tab/>
        <w:t>easily and comfortably use the premises in the manner intended.</w:t>
      </w:r>
    </w:p>
    <w:p w:rsidR="00A07DA6" w:rsidRPr="00A07DA6" w:rsidRDefault="00A07DA6" w:rsidP="00A07DA6">
      <w:pPr>
        <w:pStyle w:val="Default"/>
        <w:tabs>
          <w:tab w:val="left" w:pos="426"/>
        </w:tabs>
        <w:ind w:left="426" w:hanging="426"/>
        <w:jc w:val="both"/>
        <w:rPr>
          <w:rFonts w:asciiTheme="majorBidi" w:hAnsiTheme="majorBidi" w:cstheme="majorBidi"/>
        </w:rPr>
      </w:pPr>
    </w:p>
    <w:p w:rsidR="00A07DA6" w:rsidRPr="00A07DA6" w:rsidRDefault="00A07DA6" w:rsidP="00A07DA6">
      <w:pPr>
        <w:jc w:val="both"/>
        <w:rPr>
          <w:rFonts w:asciiTheme="majorBidi" w:eastAsia="SimSun" w:hAnsiTheme="majorBidi" w:cstheme="majorBidi"/>
          <w:color w:val="000000"/>
          <w:sz w:val="24"/>
          <w:szCs w:val="24"/>
        </w:rPr>
      </w:pPr>
      <w:r w:rsidRPr="00A07DA6">
        <w:rPr>
          <w:rFonts w:asciiTheme="majorBidi" w:eastAsia="SimSun" w:hAnsiTheme="majorBidi" w:cstheme="majorBidi"/>
          <w:color w:val="000000"/>
          <w:sz w:val="24"/>
          <w:szCs w:val="24"/>
        </w:rPr>
        <w:t>For each of the above points, what needs to be implemented or avoided may differ according to the four main types of disability, i.e. mobility, visual, auditory and mental, the last of which covers cognitive and psychiatric disability.</w:t>
      </w:r>
    </w:p>
    <w:p w:rsidR="00A07DA6" w:rsidRPr="00A07DA6" w:rsidRDefault="00A07DA6" w:rsidP="00A07DA6">
      <w:pPr>
        <w:pStyle w:val="NormalWeb"/>
        <w:jc w:val="both"/>
        <w:rPr>
          <w:rFonts w:asciiTheme="majorBidi" w:eastAsia="SimSun" w:hAnsiTheme="majorBidi" w:cstheme="majorBidi"/>
          <w:color w:val="000000"/>
        </w:rPr>
      </w:pPr>
      <w:r w:rsidRPr="00A07DA6">
        <w:rPr>
          <w:rFonts w:asciiTheme="majorBidi" w:eastAsia="SimSun" w:hAnsiTheme="majorBidi" w:cstheme="majorBidi"/>
          <w:color w:val="000000"/>
        </w:rPr>
        <w:t>The degrees of accessibility may be denoted using expressions such as:</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Accessible</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Partially accessible</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Inaccessible (absence of accessibility facilities, but technical solutions possible)</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 xml:space="preserve">Inadaptable (absence of accessibility facilities with no technical means of </w:t>
      </w:r>
      <w:proofErr w:type="spellStart"/>
      <w:r w:rsidRPr="00A07DA6">
        <w:rPr>
          <w:rFonts w:asciiTheme="majorBidi" w:hAnsiTheme="majorBidi" w:cstheme="majorBidi"/>
        </w:rPr>
        <w:t>backfitting</w:t>
      </w:r>
      <w:proofErr w:type="spellEnd"/>
      <w:r w:rsidRPr="00A07DA6">
        <w:rPr>
          <w:rFonts w:asciiTheme="majorBidi" w:hAnsiTheme="majorBidi" w:cstheme="majorBidi"/>
        </w:rPr>
        <w:t>).</w:t>
      </w:r>
    </w:p>
    <w:p w:rsidR="00A07DA6" w:rsidRPr="00A07DA6" w:rsidRDefault="00A07DA6" w:rsidP="00A07DA6">
      <w:pPr>
        <w:jc w:val="both"/>
        <w:rPr>
          <w:rFonts w:asciiTheme="majorBidi" w:eastAsia="SimSun" w:hAnsiTheme="majorBidi" w:cstheme="majorBidi"/>
          <w:color w:val="000000"/>
          <w:sz w:val="24"/>
          <w:szCs w:val="24"/>
        </w:rPr>
      </w:pPr>
      <w:r w:rsidRPr="00A07DA6">
        <w:rPr>
          <w:rFonts w:asciiTheme="majorBidi" w:eastAsia="SimSun" w:hAnsiTheme="majorBidi" w:cstheme="majorBidi"/>
          <w:color w:val="000000"/>
          <w:sz w:val="24"/>
          <w:szCs w:val="24"/>
        </w:rPr>
        <w:t>Possible functional recommendations:</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modification and improvement of the premises and spaces (modification of commonly-used walkways and access points, adaptation of washroom facilities, etc.)</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changes in the organization and location of certain rooms, etc.</w:t>
      </w:r>
    </w:p>
    <w:p w:rsidR="00A07DA6" w:rsidRPr="00A07DA6" w:rsidRDefault="00A07DA6" w:rsidP="00A07DA6">
      <w:pPr>
        <w:jc w:val="both"/>
        <w:rPr>
          <w:rFonts w:asciiTheme="majorBidi" w:eastAsia="SimSun" w:hAnsiTheme="majorBidi" w:cstheme="majorBidi"/>
          <w:color w:val="000000"/>
          <w:sz w:val="24"/>
          <w:szCs w:val="24"/>
        </w:rPr>
      </w:pPr>
    </w:p>
    <w:p w:rsidR="00A07DA6" w:rsidRPr="00A07DA6" w:rsidRDefault="00A07DA6" w:rsidP="00A07DA6">
      <w:pPr>
        <w:rPr>
          <w:rFonts w:asciiTheme="majorBidi" w:eastAsia="SimSun" w:hAnsiTheme="majorBidi" w:cstheme="majorBidi"/>
          <w:b/>
          <w:bCs/>
          <w:color w:val="000000"/>
          <w:sz w:val="24"/>
          <w:szCs w:val="24"/>
        </w:rPr>
      </w:pPr>
      <w:r w:rsidRPr="00A07DA6">
        <w:rPr>
          <w:rFonts w:asciiTheme="majorBidi" w:eastAsia="SimSun" w:hAnsiTheme="majorBidi" w:cstheme="majorBidi"/>
          <w:b/>
          <w:bCs/>
          <w:color w:val="000000"/>
          <w:sz w:val="24"/>
          <w:szCs w:val="24"/>
        </w:rPr>
        <w:t>Accessibility rating</w:t>
      </w:r>
    </w:p>
    <w:p w:rsidR="00A07DA6" w:rsidRPr="00A07DA6" w:rsidRDefault="00A07DA6" w:rsidP="00A07DA6">
      <w:pPr>
        <w:jc w:val="both"/>
        <w:rPr>
          <w:rFonts w:asciiTheme="majorBidi" w:eastAsia="SimSun" w:hAnsiTheme="majorBidi" w:cstheme="majorBidi"/>
          <w:color w:val="000000"/>
          <w:sz w:val="24"/>
          <w:szCs w:val="24"/>
        </w:rPr>
      </w:pPr>
      <w:r w:rsidRPr="00A07DA6">
        <w:rPr>
          <w:rFonts w:asciiTheme="majorBidi" w:eastAsia="SimSun" w:hAnsiTheme="majorBidi" w:cstheme="majorBidi"/>
          <w:color w:val="000000"/>
          <w:sz w:val="24"/>
          <w:szCs w:val="24"/>
        </w:rPr>
        <w:t>A percentage value is used to rate the difficulty posed by any given obstacle, in order, for example, to assign priorities to the different works to be undertaken.</w:t>
      </w:r>
    </w:p>
    <w:p w:rsidR="00A07DA6" w:rsidRPr="00A07DA6" w:rsidRDefault="00A07DA6" w:rsidP="00A07DA6">
      <w:pPr>
        <w:jc w:val="both"/>
        <w:rPr>
          <w:rFonts w:asciiTheme="majorBidi" w:eastAsia="SimSun" w:hAnsiTheme="majorBidi" w:cstheme="majorBidi"/>
          <w:color w:val="000000"/>
          <w:sz w:val="24"/>
          <w:szCs w:val="24"/>
        </w:rPr>
      </w:pPr>
    </w:p>
    <w:p w:rsidR="00A07DA6" w:rsidRPr="00A07DA6" w:rsidRDefault="00A07DA6" w:rsidP="00A07DA6">
      <w:pPr>
        <w:jc w:val="both"/>
        <w:rPr>
          <w:rFonts w:asciiTheme="majorBidi" w:eastAsia="SimSun" w:hAnsiTheme="majorBidi" w:cstheme="majorBidi"/>
          <w:color w:val="000000"/>
          <w:sz w:val="24"/>
          <w:szCs w:val="24"/>
        </w:rPr>
      </w:pPr>
      <w:r w:rsidRPr="00A07DA6">
        <w:rPr>
          <w:rFonts w:asciiTheme="majorBidi" w:eastAsia="SimSun" w:hAnsiTheme="majorBidi" w:cstheme="majorBidi"/>
          <w:color w:val="000000"/>
          <w:sz w:val="24"/>
          <w:szCs w:val="24"/>
        </w:rPr>
        <w:lastRenderedPageBreak/>
        <w:t>A rating of 100% signifies an area that is fully in conformity, whereas a rating of 0% refers to a part of a building which it would be impossible to make accessible without major structural alterations.</w:t>
      </w:r>
    </w:p>
    <w:p w:rsidR="00A07DA6" w:rsidRPr="00A07DA6" w:rsidRDefault="00A07DA6" w:rsidP="00A07DA6">
      <w:pPr>
        <w:jc w:val="both"/>
        <w:rPr>
          <w:rFonts w:asciiTheme="majorBidi" w:eastAsia="SimSun" w:hAnsiTheme="majorBidi" w:cstheme="majorBidi"/>
          <w:color w:val="000000"/>
          <w:sz w:val="24"/>
          <w:szCs w:val="24"/>
        </w:rPr>
      </w:pPr>
      <w:r w:rsidRPr="00A07DA6">
        <w:rPr>
          <w:rFonts w:asciiTheme="majorBidi" w:eastAsia="SimSun" w:hAnsiTheme="majorBidi" w:cstheme="majorBidi"/>
          <w:color w:val="000000"/>
          <w:sz w:val="24"/>
          <w:szCs w:val="24"/>
        </w:rPr>
        <w:t>The following is an indicative scale:</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From 100 to 70%: non-conformities requiring works involving no modification of either the partitioning or the structure of the building.</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tab/>
      </w:r>
      <w:r w:rsidRPr="00A07DA6">
        <w:rPr>
          <w:rFonts w:asciiTheme="majorBidi" w:hAnsiTheme="majorBidi" w:cstheme="majorBidi"/>
          <w:i/>
          <w:iCs/>
        </w:rPr>
        <w:t>Examples</w:t>
      </w:r>
      <w:r w:rsidRPr="00A07DA6">
        <w:rPr>
          <w:rFonts w:asciiTheme="majorBidi" w:hAnsiTheme="majorBidi" w:cstheme="majorBidi"/>
        </w:rPr>
        <w:t>: signposting, floor coverings, equipment, electricity, etc.</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From 70 to 50%: non-conformities requiring modification of the partitioning, with possible light and uncomplicated modification of the building shell.</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tab/>
      </w:r>
      <w:r w:rsidRPr="00A07DA6">
        <w:rPr>
          <w:rFonts w:asciiTheme="majorBidi" w:hAnsiTheme="majorBidi" w:cstheme="majorBidi"/>
          <w:i/>
          <w:iCs/>
        </w:rPr>
        <w:t>Examples</w:t>
      </w:r>
      <w:r w:rsidRPr="00A07DA6">
        <w:rPr>
          <w:rFonts w:asciiTheme="majorBidi" w:hAnsiTheme="majorBidi" w:cstheme="majorBidi"/>
        </w:rPr>
        <w:t xml:space="preserve">: moving of fixed partitions, widening of doorways in partitions, </w:t>
      </w:r>
      <w:proofErr w:type="spellStart"/>
      <w:r w:rsidRPr="00A07DA6">
        <w:rPr>
          <w:rFonts w:asciiTheme="majorBidi" w:hAnsiTheme="majorBidi" w:cstheme="majorBidi"/>
        </w:rPr>
        <w:t>levelling</w:t>
      </w:r>
      <w:proofErr w:type="spellEnd"/>
      <w:r w:rsidRPr="00A07DA6">
        <w:rPr>
          <w:rFonts w:asciiTheme="majorBidi" w:hAnsiTheme="majorBidi" w:cstheme="majorBidi"/>
        </w:rPr>
        <w:t xml:space="preserve"> of a step, construction of a slope, etc.</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sym w:font="Wingdings 2" w:char="F096"/>
      </w:r>
      <w:r w:rsidRPr="00A07DA6">
        <w:rPr>
          <w:rFonts w:asciiTheme="majorBidi" w:hAnsiTheme="majorBidi" w:cstheme="majorBidi"/>
        </w:rPr>
        <w:tab/>
        <w:t>From 50 to 0%: non-conformities requiring major alterations to the building structure.</w:t>
      </w:r>
    </w:p>
    <w:p w:rsidR="00A07DA6" w:rsidRPr="00A07DA6" w:rsidRDefault="00A07DA6" w:rsidP="00A07DA6">
      <w:pPr>
        <w:pStyle w:val="Default"/>
        <w:tabs>
          <w:tab w:val="left" w:pos="426"/>
        </w:tabs>
        <w:ind w:left="426" w:hanging="426"/>
        <w:jc w:val="both"/>
        <w:rPr>
          <w:rFonts w:asciiTheme="majorBidi" w:hAnsiTheme="majorBidi" w:cstheme="majorBidi"/>
        </w:rPr>
      </w:pPr>
      <w:r w:rsidRPr="00A07DA6">
        <w:rPr>
          <w:rFonts w:asciiTheme="majorBidi" w:hAnsiTheme="majorBidi" w:cstheme="majorBidi"/>
        </w:rPr>
        <w:tab/>
      </w:r>
      <w:r w:rsidRPr="00A07DA6">
        <w:rPr>
          <w:rFonts w:asciiTheme="majorBidi" w:hAnsiTheme="majorBidi" w:cstheme="majorBidi"/>
          <w:i/>
          <w:iCs/>
        </w:rPr>
        <w:t>Examples</w:t>
      </w:r>
      <w:r w:rsidRPr="00A07DA6">
        <w:rPr>
          <w:rFonts w:asciiTheme="majorBidi" w:hAnsiTheme="majorBidi" w:cstheme="majorBidi"/>
        </w:rPr>
        <w:t>: installation of a lift, destruction of load-bearing elements, etc.</w:t>
      </w:r>
    </w:p>
    <w:p w:rsidR="00A07DA6" w:rsidRPr="00A07DA6" w:rsidRDefault="00A07DA6" w:rsidP="00A07DA6">
      <w:pPr>
        <w:jc w:val="both"/>
        <w:rPr>
          <w:rFonts w:asciiTheme="majorBidi" w:eastAsia="SimSun" w:hAnsiTheme="majorBidi" w:cstheme="majorBidi"/>
          <w:color w:val="000000"/>
          <w:sz w:val="24"/>
          <w:szCs w:val="24"/>
        </w:rPr>
      </w:pPr>
    </w:p>
    <w:p w:rsidR="00A07DA6" w:rsidRPr="00A07DA6" w:rsidRDefault="00A07DA6" w:rsidP="00A07DA6">
      <w:pPr>
        <w:jc w:val="both"/>
        <w:rPr>
          <w:rFonts w:asciiTheme="majorBidi" w:eastAsia="SimSun" w:hAnsiTheme="majorBidi" w:cstheme="majorBidi"/>
          <w:color w:val="000000"/>
          <w:sz w:val="24"/>
          <w:szCs w:val="24"/>
        </w:rPr>
      </w:pPr>
      <w:r w:rsidRPr="00A07DA6">
        <w:rPr>
          <w:rFonts w:asciiTheme="majorBidi" w:eastAsia="SimSun" w:hAnsiTheme="majorBidi" w:cstheme="majorBidi"/>
          <w:color w:val="000000"/>
          <w:sz w:val="24"/>
          <w:szCs w:val="24"/>
        </w:rPr>
        <w:t xml:space="preserve">Summary sheets have been drawn up in order to evaluate the difficulties encountered at ITU by persons with disabilities, according to the nature of their disability or impairment. The sheets contain information regarding the extent to which each type of disability is concerned. In addition, each disability or impairment is </w:t>
      </w:r>
      <w:proofErr w:type="spellStart"/>
      <w:r w:rsidRPr="00A07DA6">
        <w:rPr>
          <w:rFonts w:asciiTheme="majorBidi" w:eastAsia="SimSun" w:hAnsiTheme="majorBidi" w:cstheme="majorBidi"/>
          <w:color w:val="000000"/>
          <w:sz w:val="24"/>
          <w:szCs w:val="24"/>
        </w:rPr>
        <w:t>analysed</w:t>
      </w:r>
      <w:proofErr w:type="spellEnd"/>
      <w:r w:rsidRPr="00A07DA6">
        <w:rPr>
          <w:rFonts w:asciiTheme="majorBidi" w:eastAsia="SimSun" w:hAnsiTheme="majorBidi" w:cstheme="majorBidi"/>
          <w:color w:val="000000"/>
          <w:sz w:val="24"/>
          <w:szCs w:val="24"/>
        </w:rPr>
        <w:t xml:space="preserve"> in detail by area of the building, with the accessibility rating being used to grade the difficulties currently encountered. A pre-assessment is made of the situation following the works.</w:t>
      </w:r>
    </w:p>
    <w:p w:rsidR="00A07DA6" w:rsidRPr="00A07DA6" w:rsidRDefault="00A07DA6" w:rsidP="006A18AF">
      <w:pPr>
        <w:pStyle w:val="NormalWeb"/>
        <w:rPr>
          <w:rFonts w:asciiTheme="majorBidi" w:eastAsia="SimSun" w:hAnsiTheme="majorBidi" w:cstheme="majorBidi"/>
          <w:b/>
          <w:bCs/>
          <w:color w:val="000000"/>
        </w:rPr>
      </w:pPr>
      <w:r>
        <w:rPr>
          <w:rFonts w:asciiTheme="majorBidi" w:eastAsia="SimSun" w:hAnsiTheme="majorBidi" w:cstheme="majorBidi"/>
          <w:b/>
          <w:bCs/>
          <w:color w:val="000000"/>
        </w:rPr>
        <w:t>French Version:</w:t>
      </w:r>
    </w:p>
    <w:p w:rsidR="006A18AF" w:rsidRPr="00A07DA6" w:rsidRDefault="006A18AF" w:rsidP="006A18AF">
      <w:pPr>
        <w:pStyle w:val="NormalWeb"/>
        <w:rPr>
          <w:rFonts w:asciiTheme="majorBidi" w:eastAsia="SimSun" w:hAnsiTheme="majorBidi" w:cstheme="majorBidi"/>
          <w:b/>
          <w:bCs/>
          <w:color w:val="000000"/>
          <w:lang w:val="fr-CH"/>
        </w:rPr>
      </w:pPr>
      <w:r w:rsidRPr="00A07DA6">
        <w:rPr>
          <w:rFonts w:asciiTheme="majorBidi" w:eastAsia="SimSun" w:hAnsiTheme="majorBidi" w:cstheme="majorBidi"/>
          <w:b/>
          <w:bCs/>
          <w:color w:val="000000"/>
          <w:lang w:val="fr-CH"/>
        </w:rPr>
        <w:t>Etudes d’accessibilité « Bâtiments UIT GENEVE »</w:t>
      </w:r>
    </w:p>
    <w:p w:rsidR="006A18AF" w:rsidRPr="00A07DA6" w:rsidRDefault="006A18AF" w:rsidP="006A18AF">
      <w:pPr>
        <w:pStyle w:val="NormalWeb"/>
        <w:rPr>
          <w:rFonts w:asciiTheme="majorBidi" w:eastAsia="SimSun" w:hAnsiTheme="majorBidi" w:cstheme="majorBidi"/>
          <w:b/>
          <w:bCs/>
          <w:color w:val="000000"/>
          <w:lang w:val="fr-CH"/>
        </w:rPr>
      </w:pPr>
      <w:r w:rsidRPr="00A07DA6">
        <w:rPr>
          <w:rFonts w:asciiTheme="majorBidi" w:eastAsia="SimSun" w:hAnsiTheme="majorBidi" w:cstheme="majorBidi"/>
          <w:b/>
          <w:bCs/>
          <w:color w:val="000000"/>
          <w:lang w:val="fr-CH"/>
        </w:rPr>
        <w:t xml:space="preserve">L’accessibilité </w:t>
      </w:r>
    </w:p>
    <w:p w:rsidR="006A18AF" w:rsidRPr="00A07DA6" w:rsidRDefault="006A18AF" w:rsidP="006A18AF">
      <w:pPr>
        <w:pStyle w:val="NormalWeb"/>
        <w:jc w:val="both"/>
        <w:rPr>
          <w:rFonts w:asciiTheme="majorBidi" w:eastAsia="SimSun" w:hAnsiTheme="majorBidi" w:cstheme="majorBidi"/>
          <w:color w:val="000000"/>
          <w:lang w:val="fr-CH"/>
        </w:rPr>
      </w:pPr>
      <w:r w:rsidRPr="00A07DA6">
        <w:rPr>
          <w:rFonts w:asciiTheme="majorBidi" w:eastAsia="SimSun" w:hAnsiTheme="majorBidi" w:cstheme="majorBidi"/>
          <w:color w:val="000000"/>
          <w:lang w:val="fr-CH"/>
        </w:rPr>
        <w:t>L’accessibilité permet l’autonomie et la participation des personnes ayant un handicap, en réduisant, voire supprimant, les discordances entre les capacités, les besoins et les souhaits d’une part, et les différentes composantes physiques, organisationnelles et culturelles de leur environnement d’autre part. L’accessibilité requiert la mise en œuvre des éléments complémentaires, nécessaires à toute personne en incapacité permanente ou temporaire pour se déplacer et accéder librement et en sécurité au cadre de vie ainsi qu’à tous les lieux, services, produits et activités.  La société, en s’inscrivant dans cette démarche d’accessibilité, fait progresser également la qualité de vie de tous ses membres.</w:t>
      </w:r>
    </w:p>
    <w:p w:rsidR="006A18AF" w:rsidRPr="00A07DA6" w:rsidRDefault="006A18AF" w:rsidP="006A18AF">
      <w:pPr>
        <w:pStyle w:val="Default"/>
        <w:jc w:val="both"/>
        <w:rPr>
          <w:rFonts w:asciiTheme="majorBidi" w:hAnsiTheme="majorBidi" w:cstheme="majorBidi"/>
          <w:b/>
          <w:bCs/>
          <w:lang w:val="fr-CH"/>
        </w:rPr>
      </w:pPr>
      <w:r w:rsidRPr="00A07DA6">
        <w:rPr>
          <w:rFonts w:asciiTheme="majorBidi" w:hAnsiTheme="majorBidi" w:cstheme="majorBidi"/>
          <w:b/>
          <w:bCs/>
          <w:lang w:val="fr-CH"/>
        </w:rPr>
        <w:t xml:space="preserve">La mission </w:t>
      </w:r>
    </w:p>
    <w:p w:rsidR="006A18AF" w:rsidRPr="00A07DA6" w:rsidRDefault="006A18AF" w:rsidP="006A18AF">
      <w:pPr>
        <w:pStyle w:val="Default"/>
        <w:jc w:val="both"/>
        <w:rPr>
          <w:rFonts w:asciiTheme="majorBidi" w:hAnsiTheme="majorBidi" w:cstheme="majorBidi"/>
          <w:lang w:val="fr-CH"/>
        </w:rPr>
      </w:pPr>
    </w:p>
    <w:p w:rsidR="006A18AF" w:rsidRPr="00A07DA6" w:rsidRDefault="006A18AF" w:rsidP="006A18AF">
      <w:pPr>
        <w:pStyle w:val="Default"/>
        <w:jc w:val="both"/>
        <w:rPr>
          <w:rFonts w:asciiTheme="majorBidi" w:hAnsiTheme="majorBidi" w:cstheme="majorBidi"/>
          <w:lang w:val="fr-CH"/>
        </w:rPr>
      </w:pPr>
      <w:r w:rsidRPr="00A07DA6">
        <w:rPr>
          <w:rFonts w:asciiTheme="majorBidi" w:hAnsiTheme="majorBidi" w:cstheme="majorBidi"/>
          <w:lang w:val="fr-CH"/>
        </w:rPr>
        <w:t>La mission a pour objet d’établir un diagnostic des conditions d’accessibilité des bâtiments de l’UIT, en appliquant les principes de la normative de « construction sans obstacle » SN 521 500 (Suisse Norme)</w:t>
      </w:r>
    </w:p>
    <w:p w:rsidR="006A18AF" w:rsidRPr="00A07DA6" w:rsidRDefault="006A18AF" w:rsidP="006A18AF">
      <w:pPr>
        <w:pStyle w:val="Default"/>
        <w:jc w:val="both"/>
        <w:rPr>
          <w:rFonts w:asciiTheme="majorBidi" w:hAnsiTheme="majorBidi" w:cstheme="majorBidi"/>
          <w:lang w:val="fr-CH"/>
        </w:rPr>
      </w:pPr>
      <w:r w:rsidRPr="00A07DA6">
        <w:rPr>
          <w:rFonts w:asciiTheme="majorBidi" w:hAnsiTheme="majorBidi" w:cstheme="majorBidi"/>
          <w:lang w:val="fr-CH"/>
        </w:rPr>
        <w:t xml:space="preserve">Elle comporte : </w:t>
      </w:r>
    </w:p>
    <w:p w:rsidR="006A18AF" w:rsidRPr="00A07DA6" w:rsidRDefault="006A18AF" w:rsidP="006A18AF">
      <w:pPr>
        <w:pStyle w:val="Default"/>
        <w:jc w:val="both"/>
        <w:rPr>
          <w:rFonts w:asciiTheme="majorBidi" w:hAnsiTheme="majorBidi" w:cstheme="majorBidi"/>
          <w:lang w:val="fr-CH"/>
        </w:rPr>
      </w:pPr>
      <w:r w:rsidRPr="00A07DA6">
        <w:rPr>
          <w:rFonts w:asciiTheme="majorBidi" w:hAnsiTheme="majorBidi" w:cstheme="majorBidi"/>
          <w:lang w:val="fr-CH"/>
        </w:rPr>
        <w:t xml:space="preserve">- Une analyse du projet de constructions neuves et de transformations, de rénovations ou de changements, d’affectation des constructions durables et provisoires, ainsi que l’équipement des bâtiments et les aménagements extérieurs,  s’appliquant aux constructions ouvertes au </w:t>
      </w:r>
      <w:r w:rsidRPr="00A07DA6">
        <w:rPr>
          <w:rFonts w:asciiTheme="majorBidi" w:hAnsiTheme="majorBidi" w:cstheme="majorBidi"/>
          <w:lang w:val="fr-CH"/>
        </w:rPr>
        <w:lastRenderedPageBreak/>
        <w:t xml:space="preserve">public, aux constructions comprenant des places de travail, en tenant compte chaque fois des annexes dans la mesure où la norme s’y réfère . </w:t>
      </w:r>
    </w:p>
    <w:p w:rsidR="006A18AF" w:rsidRPr="00A07DA6" w:rsidRDefault="006A18AF" w:rsidP="006A18AF">
      <w:pPr>
        <w:pStyle w:val="Default"/>
        <w:jc w:val="both"/>
        <w:rPr>
          <w:rFonts w:asciiTheme="majorBidi" w:hAnsiTheme="majorBidi" w:cstheme="majorBidi"/>
          <w:lang w:val="fr-CH"/>
        </w:rPr>
      </w:pPr>
      <w:r w:rsidRPr="00A07DA6">
        <w:rPr>
          <w:rFonts w:asciiTheme="majorBidi" w:hAnsiTheme="majorBidi" w:cstheme="majorBidi"/>
          <w:lang w:val="fr-CH"/>
        </w:rPr>
        <w:t xml:space="preserve">- Le diagnostic peut porter également selon le choix du donneur d’ordre sur les conditions d’accessibilité des travailleurs. </w:t>
      </w:r>
    </w:p>
    <w:p w:rsidR="006A18AF" w:rsidRPr="00A07DA6" w:rsidRDefault="006A18AF" w:rsidP="006A18AF">
      <w:pPr>
        <w:pStyle w:val="Default"/>
        <w:jc w:val="both"/>
        <w:rPr>
          <w:rFonts w:asciiTheme="majorBidi" w:hAnsiTheme="majorBidi" w:cstheme="majorBidi"/>
          <w:lang w:val="fr-CH"/>
        </w:rPr>
      </w:pPr>
      <w:r w:rsidRPr="00A07DA6">
        <w:rPr>
          <w:rFonts w:asciiTheme="majorBidi" w:hAnsiTheme="majorBidi" w:cstheme="majorBidi"/>
          <w:lang w:val="fr-CH"/>
        </w:rPr>
        <w:t xml:space="preserve">- Une description des travaux nécessaires pour respecter les dispositions qui doivent être satisfaites </w:t>
      </w:r>
    </w:p>
    <w:p w:rsidR="006A18AF" w:rsidRPr="00A07DA6" w:rsidRDefault="006A18AF" w:rsidP="006A18AF">
      <w:pPr>
        <w:pStyle w:val="Default"/>
        <w:jc w:val="both"/>
        <w:rPr>
          <w:rFonts w:asciiTheme="majorBidi" w:hAnsiTheme="majorBidi" w:cstheme="majorBidi"/>
          <w:lang w:val="fr-CH"/>
        </w:rPr>
      </w:pPr>
      <w:r w:rsidRPr="00A07DA6">
        <w:rPr>
          <w:rFonts w:asciiTheme="majorBidi" w:hAnsiTheme="majorBidi" w:cstheme="majorBidi"/>
          <w:lang w:val="fr-CH"/>
        </w:rPr>
        <w:t xml:space="preserve">- L’établissement d’une évaluation indicative du coût de ces travaux et un phasage, le cas échéant. </w:t>
      </w:r>
    </w:p>
    <w:p w:rsidR="006A18AF" w:rsidRPr="00A07DA6" w:rsidRDefault="006A18AF" w:rsidP="006A18AF">
      <w:pPr>
        <w:pStyle w:val="Default"/>
        <w:jc w:val="both"/>
        <w:rPr>
          <w:rFonts w:asciiTheme="majorBidi" w:hAnsiTheme="majorBidi" w:cstheme="majorBidi"/>
          <w:lang w:val="fr-CH"/>
        </w:rPr>
      </w:pPr>
    </w:p>
    <w:p w:rsidR="006A18AF" w:rsidRPr="00A07DA6" w:rsidRDefault="006A18AF" w:rsidP="006A18AF">
      <w:pPr>
        <w:pStyle w:val="Default"/>
        <w:jc w:val="both"/>
        <w:rPr>
          <w:rFonts w:asciiTheme="majorBidi" w:hAnsiTheme="majorBidi" w:cstheme="majorBidi"/>
          <w:lang w:val="fr-CH"/>
        </w:rPr>
      </w:pPr>
      <w:r w:rsidRPr="00A07DA6">
        <w:rPr>
          <w:rFonts w:asciiTheme="majorBidi" w:hAnsiTheme="majorBidi" w:cstheme="majorBidi"/>
          <w:lang w:val="fr-CH"/>
        </w:rPr>
        <w:t xml:space="preserve">La mission se décompose en deux phases : </w:t>
      </w:r>
    </w:p>
    <w:p w:rsidR="006A18AF" w:rsidRPr="00A07DA6" w:rsidRDefault="006A18AF" w:rsidP="006A18AF">
      <w:pPr>
        <w:pStyle w:val="Default"/>
        <w:spacing w:after="24"/>
        <w:jc w:val="both"/>
        <w:rPr>
          <w:rFonts w:asciiTheme="majorBidi" w:hAnsiTheme="majorBidi" w:cstheme="majorBidi"/>
          <w:i/>
          <w:iCs/>
          <w:lang w:val="fr-CH"/>
        </w:rPr>
      </w:pPr>
    </w:p>
    <w:p w:rsidR="006A18AF" w:rsidRPr="00A07DA6" w:rsidRDefault="006A18AF" w:rsidP="006A18AF">
      <w:pPr>
        <w:pStyle w:val="Default"/>
        <w:spacing w:after="24"/>
        <w:jc w:val="both"/>
        <w:rPr>
          <w:rFonts w:asciiTheme="majorBidi" w:hAnsiTheme="majorBidi" w:cstheme="majorBidi"/>
          <w:lang w:val="fr-CH"/>
        </w:rPr>
      </w:pPr>
      <w:r w:rsidRPr="00A07DA6">
        <w:rPr>
          <w:rFonts w:asciiTheme="majorBidi" w:hAnsiTheme="majorBidi" w:cstheme="majorBidi"/>
          <w:i/>
          <w:iCs/>
          <w:lang w:val="fr-CH"/>
        </w:rPr>
        <w:t>Phase 1:</w:t>
      </w:r>
      <w:r w:rsidRPr="00A07DA6">
        <w:rPr>
          <w:rFonts w:asciiTheme="majorBidi" w:hAnsiTheme="majorBidi" w:cstheme="majorBidi"/>
          <w:lang w:val="fr-CH"/>
        </w:rPr>
        <w:t xml:space="preserve"> préparation, entretien, visite et analyse du site et la consultation permanente du partenariat : comme « l’association pour les bien des aveugles et malvoyants » et « l'Association HAU » (Handicap Architecture et urbanisme) </w:t>
      </w:r>
    </w:p>
    <w:p w:rsidR="006A18AF" w:rsidRPr="00A07DA6" w:rsidRDefault="006A18AF" w:rsidP="006A18AF">
      <w:pPr>
        <w:pStyle w:val="Default"/>
        <w:jc w:val="both"/>
        <w:rPr>
          <w:rFonts w:asciiTheme="majorBidi" w:hAnsiTheme="majorBidi" w:cstheme="majorBidi"/>
          <w:lang w:val="fr-CH"/>
        </w:rPr>
      </w:pPr>
    </w:p>
    <w:p w:rsidR="006A18AF" w:rsidRPr="00A07DA6" w:rsidRDefault="006A18AF" w:rsidP="006A18AF">
      <w:pPr>
        <w:pStyle w:val="Default"/>
        <w:jc w:val="both"/>
        <w:rPr>
          <w:rFonts w:asciiTheme="majorBidi" w:hAnsiTheme="majorBidi" w:cstheme="majorBidi"/>
          <w:lang w:val="fr-CH"/>
        </w:rPr>
      </w:pPr>
      <w:r w:rsidRPr="00A07DA6">
        <w:rPr>
          <w:rFonts w:asciiTheme="majorBidi" w:hAnsiTheme="majorBidi" w:cstheme="majorBidi"/>
          <w:i/>
          <w:iCs/>
          <w:lang w:val="fr-CH"/>
        </w:rPr>
        <w:t>Phase 2:</w:t>
      </w:r>
      <w:r w:rsidRPr="00A07DA6">
        <w:rPr>
          <w:rFonts w:asciiTheme="majorBidi" w:hAnsiTheme="majorBidi" w:cstheme="majorBidi"/>
          <w:lang w:val="fr-CH"/>
        </w:rPr>
        <w:t xml:space="preserve"> description des travaux, le cas échéant préconisations fonctionnelles, chiffrage indicatif et phasage des travaux.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b/>
          <w:bCs/>
          <w:i/>
          <w:iCs/>
          <w:color w:val="000000"/>
          <w:sz w:val="24"/>
          <w:szCs w:val="24"/>
          <w:lang w:val="fr-CH"/>
        </w:rPr>
      </w:pPr>
      <w:r w:rsidRPr="00A07DA6">
        <w:rPr>
          <w:rFonts w:asciiTheme="majorBidi" w:eastAsia="SimSun" w:hAnsiTheme="majorBidi" w:cstheme="majorBidi"/>
          <w:b/>
          <w:bCs/>
          <w:i/>
          <w:iCs/>
          <w:color w:val="000000"/>
          <w:sz w:val="24"/>
          <w:szCs w:val="24"/>
          <w:lang w:val="fr-CH"/>
        </w:rPr>
        <w:t>Objectifs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b/>
          <w:bCs/>
          <w:i/>
          <w:iCs/>
          <w:color w:val="000000"/>
          <w:sz w:val="24"/>
          <w:szCs w:val="24"/>
          <w:lang w:val="fr-CH"/>
        </w:rPr>
      </w:pP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Permettre aux personnes en situation d’handicap de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 se déplacer d’un point à un autre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se repérer, s’orienter, comprendre l’espace</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accéder aux bâtiments et</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locaux (entrer et sortir)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 accéder et utiliser les équipements, dispositifs et « appareils » correspondant à la finalité des locaux  du bâtiment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 communiquer et participer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 se reposer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 satisfaire des besoins physiologiques élémentaires (sanitaires…)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 être et se sentir en sécurité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utiliser et jouir des locaux dans des conditions de commodité et de confort adaptées à leur finalité.</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Pour chacun de ces points, ce qu’il convient de faire ou ce qu’il faut éviter, peut différer en fonction des besoins des quatre grandes familles de déficience: motrice, visuelle, auditive et mentale, cette dernière regroupant la déficience cognitive et psychique. </w:t>
      </w:r>
    </w:p>
    <w:p w:rsidR="006A18AF" w:rsidRPr="00A07DA6" w:rsidRDefault="006A18AF" w:rsidP="006A18AF">
      <w:pPr>
        <w:pStyle w:val="NormalWeb"/>
        <w:jc w:val="both"/>
        <w:rPr>
          <w:rFonts w:asciiTheme="majorBidi" w:eastAsia="SimSun" w:hAnsiTheme="majorBidi" w:cstheme="majorBidi"/>
          <w:color w:val="000000"/>
          <w:lang w:val="fr-CH"/>
        </w:rPr>
      </w:pPr>
      <w:r w:rsidRPr="00A07DA6">
        <w:rPr>
          <w:rFonts w:asciiTheme="majorBidi" w:eastAsia="SimSun" w:hAnsiTheme="majorBidi" w:cstheme="majorBidi"/>
          <w:color w:val="000000"/>
          <w:lang w:val="fr-CH"/>
        </w:rPr>
        <w:t>Les niveaux d’accessibilité ainsi déduits peuvent être caractérisés par des appréciations telles que, par exemple:</w:t>
      </w:r>
    </w:p>
    <w:p w:rsidR="006A18AF" w:rsidRPr="00A07DA6" w:rsidRDefault="006A18AF" w:rsidP="006A18AF">
      <w:pPr>
        <w:pStyle w:val="NormalWeb"/>
        <w:numPr>
          <w:ilvl w:val="0"/>
          <w:numId w:val="46"/>
        </w:numPr>
        <w:jc w:val="both"/>
        <w:rPr>
          <w:rFonts w:asciiTheme="majorBidi" w:eastAsia="SimSun" w:hAnsiTheme="majorBidi" w:cstheme="majorBidi"/>
          <w:color w:val="000000"/>
          <w:lang w:val="fr-CH"/>
        </w:rPr>
      </w:pPr>
      <w:r w:rsidRPr="00A07DA6">
        <w:rPr>
          <w:rFonts w:asciiTheme="majorBidi" w:eastAsia="SimSun" w:hAnsiTheme="majorBidi" w:cstheme="majorBidi"/>
          <w:color w:val="000000"/>
          <w:lang w:val="fr-CH"/>
        </w:rPr>
        <w:t>Accessible</w:t>
      </w:r>
    </w:p>
    <w:p w:rsidR="006A18AF" w:rsidRPr="00A07DA6" w:rsidRDefault="006A18AF" w:rsidP="006A18AF">
      <w:pPr>
        <w:pStyle w:val="ListParagraph"/>
        <w:numPr>
          <w:ilvl w:val="0"/>
          <w:numId w:val="46"/>
        </w:num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Partiellement accessible</w:t>
      </w:r>
    </w:p>
    <w:p w:rsidR="006A18AF" w:rsidRPr="00A07DA6" w:rsidRDefault="006A18AF" w:rsidP="006A18AF">
      <w:pPr>
        <w:pStyle w:val="ListParagraph"/>
        <w:numPr>
          <w:ilvl w:val="0"/>
          <w:numId w:val="46"/>
        </w:num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Non accessible (absence de dispositifs d’accessibilité, mais solutions techniques envisageables) ;</w:t>
      </w:r>
    </w:p>
    <w:p w:rsidR="006A18AF" w:rsidRPr="00A07DA6" w:rsidRDefault="006A18AF" w:rsidP="006A18AF">
      <w:pPr>
        <w:pStyle w:val="ListParagraph"/>
        <w:numPr>
          <w:ilvl w:val="0"/>
          <w:numId w:val="43"/>
        </w:num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Non adaptable (absence de dispositifs d’accessibilité et impossibilité technique de mise en conformité).</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Les préconisations fonctionnelles pourront être les suivantes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p>
    <w:p w:rsidR="006A18AF" w:rsidRPr="00A07DA6" w:rsidRDefault="006A18AF" w:rsidP="006A18AF">
      <w:pPr>
        <w:pStyle w:val="ListParagraph"/>
        <w:numPr>
          <w:ilvl w:val="0"/>
          <w:numId w:val="40"/>
        </w:num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lastRenderedPageBreak/>
        <w:t>la modification et l’amélioration de l’utilisation des locaux et des espaces;(modification des cheminements habituellement utilisés, des accès utilisés, adaptation des locaux sanitaires, etc.)</w:t>
      </w:r>
    </w:p>
    <w:p w:rsidR="006A18AF" w:rsidRPr="00A07DA6" w:rsidRDefault="006A18AF" w:rsidP="006A18AF">
      <w:pPr>
        <w:pStyle w:val="ListParagraph"/>
        <w:numPr>
          <w:ilvl w:val="0"/>
          <w:numId w:val="40"/>
        </w:num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la modification de l’organisation et de l’implantation de certains locaux, </w:t>
      </w:r>
      <w:proofErr w:type="spellStart"/>
      <w:r w:rsidRPr="00A07DA6">
        <w:rPr>
          <w:rFonts w:asciiTheme="majorBidi" w:eastAsia="SimSun" w:hAnsiTheme="majorBidi" w:cstheme="majorBidi"/>
          <w:color w:val="000000"/>
          <w:sz w:val="24"/>
          <w:szCs w:val="24"/>
          <w:lang w:val="fr-CH"/>
        </w:rPr>
        <w:t>etc</w:t>
      </w:r>
      <w:proofErr w:type="spellEnd"/>
      <w:r w:rsidRPr="00A07DA6">
        <w:rPr>
          <w:rFonts w:asciiTheme="majorBidi" w:eastAsia="SimSun" w:hAnsiTheme="majorBidi" w:cstheme="majorBidi"/>
          <w:color w:val="000000"/>
          <w:sz w:val="24"/>
          <w:szCs w:val="24"/>
          <w:lang w:val="fr-CH"/>
        </w:rPr>
        <w:t>…</w:t>
      </w:r>
    </w:p>
    <w:p w:rsidR="006A18AF" w:rsidRPr="00A07DA6" w:rsidRDefault="006A18AF" w:rsidP="006A18AF">
      <w:pPr>
        <w:autoSpaceDE w:val="0"/>
        <w:autoSpaceDN w:val="0"/>
        <w:adjustRightInd w:val="0"/>
        <w:spacing w:after="0" w:line="240" w:lineRule="auto"/>
        <w:rPr>
          <w:rFonts w:asciiTheme="majorBidi" w:hAnsiTheme="majorBidi" w:cstheme="majorBidi"/>
          <w:b/>
          <w:bCs/>
          <w:sz w:val="28"/>
          <w:szCs w:val="28"/>
          <w:lang w:val="fr-CH"/>
        </w:rPr>
      </w:pPr>
    </w:p>
    <w:p w:rsidR="006A18AF" w:rsidRPr="00A07DA6" w:rsidRDefault="006A18AF" w:rsidP="006A18AF">
      <w:pPr>
        <w:autoSpaceDE w:val="0"/>
        <w:autoSpaceDN w:val="0"/>
        <w:adjustRightInd w:val="0"/>
        <w:spacing w:after="0" w:line="240" w:lineRule="auto"/>
        <w:rPr>
          <w:rFonts w:asciiTheme="majorBidi" w:eastAsia="SimSun" w:hAnsiTheme="majorBidi" w:cstheme="majorBidi"/>
          <w:b/>
          <w:bCs/>
          <w:color w:val="000000"/>
          <w:sz w:val="24"/>
          <w:szCs w:val="24"/>
          <w:lang w:val="fr-CH"/>
        </w:rPr>
      </w:pPr>
      <w:r w:rsidRPr="00A07DA6">
        <w:rPr>
          <w:rFonts w:asciiTheme="majorBidi" w:eastAsia="SimSun" w:hAnsiTheme="majorBidi" w:cstheme="majorBidi"/>
          <w:b/>
          <w:bCs/>
          <w:color w:val="000000"/>
          <w:sz w:val="24"/>
          <w:szCs w:val="24"/>
          <w:lang w:val="fr-CH"/>
        </w:rPr>
        <w:t>Taux d’accessibilité.</w:t>
      </w:r>
    </w:p>
    <w:p w:rsidR="006A18AF" w:rsidRPr="00A07DA6" w:rsidRDefault="006A18AF" w:rsidP="006A18AF">
      <w:pPr>
        <w:autoSpaceDE w:val="0"/>
        <w:autoSpaceDN w:val="0"/>
        <w:adjustRightInd w:val="0"/>
        <w:spacing w:after="0" w:line="240" w:lineRule="auto"/>
        <w:rPr>
          <w:rFonts w:asciiTheme="majorBidi" w:eastAsia="SimSun" w:hAnsiTheme="majorBidi" w:cstheme="majorBidi"/>
          <w:color w:val="000000"/>
          <w:sz w:val="24"/>
          <w:szCs w:val="24"/>
          <w:lang w:val="fr-CH"/>
        </w:rPr>
      </w:pP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Il s'agit d'une valeur en % qui permet de se faire une idée de la difficulté que pose chaque obstacle, afin de pouvoir, par exemple, classer les travaux par priorités.</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Une valeur de 100% correspond à une zone totalement conforme, alors qu'une valeur de 0 % correspond à une partie d'ouvrage où la mise en accessibilité est impossible à réaliser sans modifications majeures de la structure.</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Échelle indicative :</w:t>
      </w:r>
    </w:p>
    <w:p w:rsidR="006A18AF" w:rsidRPr="00A07DA6" w:rsidRDefault="006A18AF" w:rsidP="006A18AF">
      <w:pPr>
        <w:pStyle w:val="ListParagraph"/>
        <w:numPr>
          <w:ilvl w:val="0"/>
          <w:numId w:val="41"/>
        </w:num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Entre 100 % et 70 % : non conformités entraînant des travaux ne modifiant ni le cloisonnement, ni la structure de l'ouvrage.</w:t>
      </w:r>
    </w:p>
    <w:p w:rsidR="006A18AF" w:rsidRPr="00A07DA6" w:rsidRDefault="006A18AF" w:rsidP="006A18AF">
      <w:pPr>
        <w:pStyle w:val="ListParagraph"/>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Exemples: travaux de signalétique, revêtements de sols, équipements, électricité, etc.</w:t>
      </w:r>
    </w:p>
    <w:p w:rsidR="006A18AF" w:rsidRPr="00A07DA6" w:rsidRDefault="006A18AF" w:rsidP="006A18AF">
      <w:pPr>
        <w:pStyle w:val="ListParagraph"/>
        <w:numPr>
          <w:ilvl w:val="0"/>
          <w:numId w:val="41"/>
        </w:num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Entre 70 % et 50% : non conformités nécessitant une modification du cloisonnement, voir des interventions légères sur le gros œuvre et sans complications. </w:t>
      </w:r>
    </w:p>
    <w:p w:rsidR="006A18AF" w:rsidRPr="00A07DA6" w:rsidRDefault="006A18AF" w:rsidP="006A18AF">
      <w:pPr>
        <w:pStyle w:val="ListParagraph"/>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Exemples : déplacement de cloisons fixes, élargissement de portes en cloison, nivellement d'un ressaut, mise en place d'une pente, etc.</w:t>
      </w:r>
    </w:p>
    <w:p w:rsidR="006A18AF" w:rsidRPr="00A07DA6" w:rsidRDefault="006A18AF" w:rsidP="006A18AF">
      <w:pPr>
        <w:pStyle w:val="ListParagraph"/>
        <w:numPr>
          <w:ilvl w:val="0"/>
          <w:numId w:val="41"/>
        </w:num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Entre 50 % et 0 % : non conformités entraînant des travaux significatifs sur la structure du bâtiment. </w:t>
      </w:r>
    </w:p>
    <w:p w:rsidR="006A18AF" w:rsidRPr="00A07DA6" w:rsidRDefault="006A18AF" w:rsidP="006A18AF">
      <w:pPr>
        <w:pStyle w:val="ListParagraph"/>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Exemple : pose d'un ascenseur, destruction d'éléments porteurs, etc.</w:t>
      </w:r>
    </w:p>
    <w:p w:rsidR="006A18AF" w:rsidRPr="00A07DA6" w:rsidRDefault="006A18AF" w:rsidP="006A18AF">
      <w:pPr>
        <w:autoSpaceDE w:val="0"/>
        <w:autoSpaceDN w:val="0"/>
        <w:adjustRightInd w:val="0"/>
        <w:spacing w:after="0" w:line="240" w:lineRule="auto"/>
        <w:rPr>
          <w:rFonts w:asciiTheme="majorBidi" w:eastAsia="SimSun" w:hAnsiTheme="majorBidi" w:cstheme="majorBidi"/>
          <w:color w:val="000000"/>
          <w:sz w:val="24"/>
          <w:szCs w:val="24"/>
          <w:lang w:val="fr-CH"/>
        </w:rPr>
      </w:pP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 xml:space="preserve">Le taux d'accessibilité global de l'établissement représente la moyenne des taux d'accessibilité des non conformités relevées, ce qui après une étude approfondie nous porte à conclure que le taux d'accessibilité  des bâtiments de l’UIT fait quasi 65% de moyenne. </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Des fiches de synthèse ont été rédigés afin d’évaluer les difficultés rencontrées par les personnes handicapées à l’UIT selon la nature de leur handicap ou déficience.</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r w:rsidRPr="00A07DA6">
        <w:rPr>
          <w:rFonts w:asciiTheme="majorBidi" w:eastAsia="SimSun" w:hAnsiTheme="majorBidi" w:cstheme="majorBidi"/>
          <w:color w:val="000000"/>
          <w:sz w:val="24"/>
          <w:szCs w:val="24"/>
          <w:lang w:val="fr-CH"/>
        </w:rPr>
        <w:t>On y trouve des informations sur la proportion dans laquelle chaque handicap est concerné. De plus, chaque handicap ou déficience fait l'objet d'une analyse détaillée par partie d'ouvrage et le  taux d'accessibilité permet d'évaluer la difficulté d'utilisation actuelle et l'avis prévisionnel évalue la situation après travaux.</w:t>
      </w:r>
    </w:p>
    <w:p w:rsidR="006A18AF" w:rsidRPr="00A07DA6" w:rsidRDefault="006A18AF" w:rsidP="006A18AF">
      <w:pPr>
        <w:autoSpaceDE w:val="0"/>
        <w:autoSpaceDN w:val="0"/>
        <w:adjustRightInd w:val="0"/>
        <w:spacing w:after="0" w:line="240" w:lineRule="auto"/>
        <w:jc w:val="both"/>
        <w:rPr>
          <w:rFonts w:asciiTheme="majorBidi" w:eastAsia="SimSun" w:hAnsiTheme="majorBidi" w:cstheme="majorBidi"/>
          <w:color w:val="000000"/>
          <w:sz w:val="24"/>
          <w:szCs w:val="24"/>
          <w:lang w:val="fr-CH"/>
        </w:rPr>
      </w:pPr>
    </w:p>
    <w:sectPr w:rsidR="006A18AF" w:rsidRPr="00A07DA6" w:rsidSect="006A18AF">
      <w:pgSz w:w="11907" w:h="16839" w:code="9"/>
      <w:pgMar w:top="1440" w:right="1440" w:bottom="1440" w:left="144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55" w:rsidRDefault="00475155" w:rsidP="009F3EFB">
      <w:pPr>
        <w:spacing w:after="0" w:line="240" w:lineRule="auto"/>
      </w:pPr>
      <w:r>
        <w:separator/>
      </w:r>
    </w:p>
  </w:endnote>
  <w:endnote w:type="continuationSeparator" w:id="0">
    <w:p w:rsidR="00475155" w:rsidRDefault="00475155" w:rsidP="009F3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55" w:rsidRDefault="00475155" w:rsidP="009F3EFB">
      <w:pPr>
        <w:spacing w:after="0" w:line="240" w:lineRule="auto"/>
      </w:pPr>
      <w:r>
        <w:separator/>
      </w:r>
    </w:p>
  </w:footnote>
  <w:footnote w:type="continuationSeparator" w:id="0">
    <w:p w:rsidR="00475155" w:rsidRDefault="00475155" w:rsidP="009F3E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164"/>
    <w:multiLevelType w:val="hybridMultilevel"/>
    <w:tmpl w:val="9520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21B84"/>
    <w:multiLevelType w:val="hybridMultilevel"/>
    <w:tmpl w:val="7A42C806"/>
    <w:lvl w:ilvl="0" w:tplc="04090001">
      <w:start w:val="1"/>
      <w:numFmt w:val="bullet"/>
      <w:lvlText w:val=""/>
      <w:lvlJc w:val="left"/>
      <w:pPr>
        <w:ind w:left="4320" w:hanging="360"/>
      </w:pPr>
      <w:rPr>
        <w:rFonts w:ascii="Symbol" w:hAnsi="Symbol" w:hint="default"/>
        <w:i/>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079349BA"/>
    <w:multiLevelType w:val="multilevel"/>
    <w:tmpl w:val="3FE6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933AD"/>
    <w:multiLevelType w:val="hybridMultilevel"/>
    <w:tmpl w:val="D194B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2F3B67"/>
    <w:multiLevelType w:val="hybridMultilevel"/>
    <w:tmpl w:val="1CDC7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CA7B51"/>
    <w:multiLevelType w:val="multilevel"/>
    <w:tmpl w:val="50A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B5868"/>
    <w:multiLevelType w:val="multilevel"/>
    <w:tmpl w:val="CBE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14B84"/>
    <w:multiLevelType w:val="multilevel"/>
    <w:tmpl w:val="9D38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61D6E"/>
    <w:multiLevelType w:val="multilevel"/>
    <w:tmpl w:val="DF1C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35D52"/>
    <w:multiLevelType w:val="multilevel"/>
    <w:tmpl w:val="A14A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02E37"/>
    <w:multiLevelType w:val="hybridMultilevel"/>
    <w:tmpl w:val="6456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412B6"/>
    <w:multiLevelType w:val="multilevel"/>
    <w:tmpl w:val="F5E6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052DA"/>
    <w:multiLevelType w:val="multilevel"/>
    <w:tmpl w:val="8A8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E715E"/>
    <w:multiLevelType w:val="multilevel"/>
    <w:tmpl w:val="F71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87526"/>
    <w:multiLevelType w:val="multilevel"/>
    <w:tmpl w:val="E51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C6427A"/>
    <w:multiLevelType w:val="multilevel"/>
    <w:tmpl w:val="FCC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D802F0"/>
    <w:multiLevelType w:val="multilevel"/>
    <w:tmpl w:val="A5DE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D1447C"/>
    <w:multiLevelType w:val="multilevel"/>
    <w:tmpl w:val="F584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2D19BC"/>
    <w:multiLevelType w:val="multilevel"/>
    <w:tmpl w:val="F162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230805"/>
    <w:multiLevelType w:val="multilevel"/>
    <w:tmpl w:val="BED8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9D5515"/>
    <w:multiLevelType w:val="hybridMultilevel"/>
    <w:tmpl w:val="82824BD2"/>
    <w:lvl w:ilvl="0" w:tplc="5AC0D9C2">
      <w:numFmt w:val="bullet"/>
      <w:lvlText w:val="-"/>
      <w:lvlJc w:val="left"/>
      <w:pPr>
        <w:ind w:left="1080" w:hanging="360"/>
      </w:pPr>
      <w:rPr>
        <w:rFonts w:ascii="SimSun" w:eastAsia="SimSun" w:hAnsi="SimSun" w:cs="Times New Roman" w:hint="eastAsia"/>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FA23561"/>
    <w:multiLevelType w:val="multilevel"/>
    <w:tmpl w:val="3136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B35971"/>
    <w:multiLevelType w:val="multilevel"/>
    <w:tmpl w:val="2570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AE23C1"/>
    <w:multiLevelType w:val="multilevel"/>
    <w:tmpl w:val="9930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AA14B5"/>
    <w:multiLevelType w:val="hybridMultilevel"/>
    <w:tmpl w:val="B874AA38"/>
    <w:lvl w:ilvl="0" w:tplc="0E74FDD0">
      <w:numFmt w:val="bullet"/>
      <w:lvlText w:val="-"/>
      <w:lvlJc w:val="left"/>
      <w:pPr>
        <w:ind w:left="720" w:hanging="360"/>
      </w:pPr>
      <w:rPr>
        <w:rFonts w:ascii="SimSun" w:eastAsia="SimSun" w:hAnsi="SimSu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6637A4"/>
    <w:multiLevelType w:val="hybridMultilevel"/>
    <w:tmpl w:val="AD24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144C68"/>
    <w:multiLevelType w:val="multilevel"/>
    <w:tmpl w:val="F28A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84611D"/>
    <w:multiLevelType w:val="multilevel"/>
    <w:tmpl w:val="A5C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04C18"/>
    <w:multiLevelType w:val="hybridMultilevel"/>
    <w:tmpl w:val="F5E2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6F0672"/>
    <w:multiLevelType w:val="multilevel"/>
    <w:tmpl w:val="DAD4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7741D"/>
    <w:multiLevelType w:val="multilevel"/>
    <w:tmpl w:val="7B6A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614739"/>
    <w:multiLevelType w:val="hybridMultilevel"/>
    <w:tmpl w:val="48DA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8D170E"/>
    <w:multiLevelType w:val="multilevel"/>
    <w:tmpl w:val="6DAA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E2247"/>
    <w:multiLevelType w:val="multilevel"/>
    <w:tmpl w:val="4F58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A94472"/>
    <w:multiLevelType w:val="multilevel"/>
    <w:tmpl w:val="2274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616FF3"/>
    <w:multiLevelType w:val="multilevel"/>
    <w:tmpl w:val="1BE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B91073"/>
    <w:multiLevelType w:val="multilevel"/>
    <w:tmpl w:val="8F7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F05E3D"/>
    <w:multiLevelType w:val="hybridMultilevel"/>
    <w:tmpl w:val="601680A0"/>
    <w:lvl w:ilvl="0" w:tplc="5AC0D9C2">
      <w:numFmt w:val="bullet"/>
      <w:lvlText w:val="-"/>
      <w:lvlJc w:val="left"/>
      <w:pPr>
        <w:ind w:left="720" w:hanging="360"/>
      </w:pPr>
      <w:rPr>
        <w:rFonts w:ascii="SimSun" w:eastAsia="SimSun" w:hAnsi="SimSun" w:cs="Times New Roman" w:hint="eastAsia"/>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566B3"/>
    <w:multiLevelType w:val="hybridMultilevel"/>
    <w:tmpl w:val="BEC89358"/>
    <w:lvl w:ilvl="0" w:tplc="CDF49D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E8031E"/>
    <w:multiLevelType w:val="hybridMultilevel"/>
    <w:tmpl w:val="A616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6712EB"/>
    <w:multiLevelType w:val="multilevel"/>
    <w:tmpl w:val="FDE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6D3187"/>
    <w:multiLevelType w:val="multilevel"/>
    <w:tmpl w:val="914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221996"/>
    <w:multiLevelType w:val="multilevel"/>
    <w:tmpl w:val="AC3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D1E6E"/>
    <w:multiLevelType w:val="hybridMultilevel"/>
    <w:tmpl w:val="4114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016567"/>
    <w:multiLevelType w:val="multilevel"/>
    <w:tmpl w:val="FA00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C22370"/>
    <w:multiLevelType w:val="multilevel"/>
    <w:tmpl w:val="8EBE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5"/>
  </w:num>
  <w:num w:numId="3">
    <w:abstractNumId w:val="13"/>
  </w:num>
  <w:num w:numId="4">
    <w:abstractNumId w:val="34"/>
  </w:num>
  <w:num w:numId="5">
    <w:abstractNumId w:val="17"/>
  </w:num>
  <w:num w:numId="6">
    <w:abstractNumId w:val="27"/>
  </w:num>
  <w:num w:numId="7">
    <w:abstractNumId w:val="23"/>
  </w:num>
  <w:num w:numId="8">
    <w:abstractNumId w:val="5"/>
  </w:num>
  <w:num w:numId="9">
    <w:abstractNumId w:val="45"/>
  </w:num>
  <w:num w:numId="10">
    <w:abstractNumId w:val="9"/>
  </w:num>
  <w:num w:numId="11">
    <w:abstractNumId w:val="7"/>
  </w:num>
  <w:num w:numId="12">
    <w:abstractNumId w:val="6"/>
  </w:num>
  <w:num w:numId="13">
    <w:abstractNumId w:val="16"/>
  </w:num>
  <w:num w:numId="14">
    <w:abstractNumId w:val="18"/>
  </w:num>
  <w:num w:numId="15">
    <w:abstractNumId w:val="29"/>
  </w:num>
  <w:num w:numId="16">
    <w:abstractNumId w:val="15"/>
  </w:num>
  <w:num w:numId="17">
    <w:abstractNumId w:val="33"/>
  </w:num>
  <w:num w:numId="18">
    <w:abstractNumId w:val="19"/>
  </w:num>
  <w:num w:numId="19">
    <w:abstractNumId w:val="36"/>
  </w:num>
  <w:num w:numId="20">
    <w:abstractNumId w:val="21"/>
  </w:num>
  <w:num w:numId="21">
    <w:abstractNumId w:val="26"/>
  </w:num>
  <w:num w:numId="22">
    <w:abstractNumId w:val="42"/>
  </w:num>
  <w:num w:numId="23">
    <w:abstractNumId w:val="12"/>
  </w:num>
  <w:num w:numId="24">
    <w:abstractNumId w:val="22"/>
  </w:num>
  <w:num w:numId="25">
    <w:abstractNumId w:val="40"/>
  </w:num>
  <w:num w:numId="26">
    <w:abstractNumId w:val="30"/>
  </w:num>
  <w:num w:numId="27">
    <w:abstractNumId w:val="2"/>
  </w:num>
  <w:num w:numId="28">
    <w:abstractNumId w:val="14"/>
  </w:num>
  <w:num w:numId="29">
    <w:abstractNumId w:val="44"/>
  </w:num>
  <w:num w:numId="30">
    <w:abstractNumId w:val="41"/>
  </w:num>
  <w:num w:numId="31">
    <w:abstractNumId w:val="32"/>
  </w:num>
  <w:num w:numId="32">
    <w:abstractNumId w:val="11"/>
  </w:num>
  <w:num w:numId="33">
    <w:abstractNumId w:val="39"/>
  </w:num>
  <w:num w:numId="34">
    <w:abstractNumId w:val="28"/>
  </w:num>
  <w:num w:numId="35">
    <w:abstractNumId w:val="37"/>
  </w:num>
  <w:num w:numId="36">
    <w:abstractNumId w:val="20"/>
  </w:num>
  <w:num w:numId="37">
    <w:abstractNumId w:val="1"/>
  </w:num>
  <w:num w:numId="38">
    <w:abstractNumId w:val="25"/>
  </w:num>
  <w:num w:numId="39">
    <w:abstractNumId w:val="24"/>
  </w:num>
  <w:num w:numId="40">
    <w:abstractNumId w:val="0"/>
  </w:num>
  <w:num w:numId="41">
    <w:abstractNumId w:val="31"/>
  </w:num>
  <w:num w:numId="42">
    <w:abstractNumId w:val="38"/>
  </w:num>
  <w:num w:numId="43">
    <w:abstractNumId w:val="10"/>
  </w:num>
  <w:num w:numId="44">
    <w:abstractNumId w:val="3"/>
  </w:num>
  <w:num w:numId="45">
    <w:abstractNumId w:val="4"/>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CA1B4B"/>
    <w:rsid w:val="000376EA"/>
    <w:rsid w:val="000A459E"/>
    <w:rsid w:val="00145C4B"/>
    <w:rsid w:val="00222D0C"/>
    <w:rsid w:val="00272BF4"/>
    <w:rsid w:val="00284A8F"/>
    <w:rsid w:val="00297DFD"/>
    <w:rsid w:val="002F55A1"/>
    <w:rsid w:val="003665F7"/>
    <w:rsid w:val="00372E7D"/>
    <w:rsid w:val="003A7FA8"/>
    <w:rsid w:val="0045773E"/>
    <w:rsid w:val="004737A6"/>
    <w:rsid w:val="00475155"/>
    <w:rsid w:val="00521E75"/>
    <w:rsid w:val="00540BA6"/>
    <w:rsid w:val="00544D2F"/>
    <w:rsid w:val="00583A13"/>
    <w:rsid w:val="00607B3D"/>
    <w:rsid w:val="00666EFF"/>
    <w:rsid w:val="0068682B"/>
    <w:rsid w:val="006A18AF"/>
    <w:rsid w:val="006D3546"/>
    <w:rsid w:val="006E0E9E"/>
    <w:rsid w:val="0070762E"/>
    <w:rsid w:val="00754C63"/>
    <w:rsid w:val="008D2E67"/>
    <w:rsid w:val="008F291B"/>
    <w:rsid w:val="00903555"/>
    <w:rsid w:val="00906A06"/>
    <w:rsid w:val="00966316"/>
    <w:rsid w:val="0097114E"/>
    <w:rsid w:val="009F3EFB"/>
    <w:rsid w:val="00A07DA6"/>
    <w:rsid w:val="00A27E90"/>
    <w:rsid w:val="00A46A6F"/>
    <w:rsid w:val="00B36584"/>
    <w:rsid w:val="00BB0AC7"/>
    <w:rsid w:val="00C01D09"/>
    <w:rsid w:val="00C161BD"/>
    <w:rsid w:val="00C70D40"/>
    <w:rsid w:val="00CA1B4B"/>
    <w:rsid w:val="00CB1006"/>
    <w:rsid w:val="00CB6B41"/>
    <w:rsid w:val="00CC661F"/>
    <w:rsid w:val="00CE18D2"/>
    <w:rsid w:val="00DE7CC8"/>
    <w:rsid w:val="00E029DE"/>
    <w:rsid w:val="00E5215E"/>
    <w:rsid w:val="00EA40A3"/>
    <w:rsid w:val="00F50A43"/>
    <w:rsid w:val="00F909D7"/>
    <w:rsid w:val="00FE25A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AF"/>
  </w:style>
  <w:style w:type="paragraph" w:styleId="Heading2">
    <w:name w:val="heading 2"/>
    <w:basedOn w:val="Normal"/>
    <w:link w:val="Heading2Char"/>
    <w:uiPriority w:val="9"/>
    <w:qFormat/>
    <w:rsid w:val="00CB1006"/>
    <w:pPr>
      <w:spacing w:before="100" w:beforeAutospacing="1" w:after="100" w:afterAutospacing="1" w:line="240" w:lineRule="auto"/>
      <w:outlineLvl w:val="1"/>
    </w:pPr>
    <w:rPr>
      <w:rFonts w:ascii="Arial" w:eastAsia="Times New Roman" w:hAnsi="Arial" w:cs="Arial"/>
      <w:caps/>
      <w:color w:val="497EA2"/>
    </w:rPr>
  </w:style>
  <w:style w:type="paragraph" w:styleId="Heading3">
    <w:name w:val="heading 3"/>
    <w:basedOn w:val="Normal"/>
    <w:link w:val="Heading3Char"/>
    <w:uiPriority w:val="9"/>
    <w:qFormat/>
    <w:rsid w:val="00CB1006"/>
    <w:pPr>
      <w:spacing w:before="100" w:beforeAutospacing="1" w:after="100" w:afterAutospacing="1" w:line="240" w:lineRule="auto"/>
      <w:outlineLvl w:val="2"/>
    </w:pPr>
    <w:rPr>
      <w:rFonts w:ascii="Arial" w:eastAsia="Times New Roman" w:hAnsi="Arial" w:cs="Arial"/>
      <w:color w:val="842E55"/>
      <w:sz w:val="24"/>
      <w:szCs w:val="24"/>
    </w:rPr>
  </w:style>
  <w:style w:type="paragraph" w:styleId="Heading4">
    <w:name w:val="heading 4"/>
    <w:basedOn w:val="Normal"/>
    <w:next w:val="Normal"/>
    <w:link w:val="Heading4Char"/>
    <w:uiPriority w:val="9"/>
    <w:semiHidden/>
    <w:unhideWhenUsed/>
    <w:qFormat/>
    <w:rsid w:val="00CB10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10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B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B4B"/>
    <w:rPr>
      <w:b/>
      <w:bCs/>
    </w:rPr>
  </w:style>
  <w:style w:type="character" w:customStyle="1" w:styleId="Heading2Char">
    <w:name w:val="Heading 2 Char"/>
    <w:basedOn w:val="DefaultParagraphFont"/>
    <w:link w:val="Heading2"/>
    <w:uiPriority w:val="9"/>
    <w:rsid w:val="00CB1006"/>
    <w:rPr>
      <w:rFonts w:ascii="Arial" w:eastAsia="Times New Roman" w:hAnsi="Arial" w:cs="Arial"/>
      <w:caps/>
      <w:color w:val="497EA2"/>
    </w:rPr>
  </w:style>
  <w:style w:type="character" w:customStyle="1" w:styleId="Heading3Char">
    <w:name w:val="Heading 3 Char"/>
    <w:basedOn w:val="DefaultParagraphFont"/>
    <w:link w:val="Heading3"/>
    <w:uiPriority w:val="9"/>
    <w:rsid w:val="00CB1006"/>
    <w:rPr>
      <w:rFonts w:ascii="Arial" w:eastAsia="Times New Roman" w:hAnsi="Arial" w:cs="Arial"/>
      <w:color w:val="842E55"/>
      <w:sz w:val="24"/>
      <w:szCs w:val="24"/>
    </w:rPr>
  </w:style>
  <w:style w:type="character" w:styleId="Hyperlink">
    <w:name w:val="Hyperlink"/>
    <w:basedOn w:val="DefaultParagraphFont"/>
    <w:uiPriority w:val="99"/>
    <w:unhideWhenUsed/>
    <w:rsid w:val="00CB1006"/>
    <w:rPr>
      <w:rFonts w:ascii="Arial" w:hAnsi="Arial" w:cs="Arial" w:hint="default"/>
      <w:color w:val="6B9CBD"/>
      <w:spacing w:val="12"/>
      <w:u w:val="single"/>
    </w:rPr>
  </w:style>
  <w:style w:type="character" w:customStyle="1" w:styleId="lastitem">
    <w:name w:val="lastitem"/>
    <w:basedOn w:val="DefaultParagraphFont"/>
    <w:rsid w:val="00CB1006"/>
  </w:style>
  <w:style w:type="paragraph" w:styleId="BalloonText">
    <w:name w:val="Balloon Text"/>
    <w:basedOn w:val="Normal"/>
    <w:link w:val="BalloonTextChar"/>
    <w:uiPriority w:val="99"/>
    <w:semiHidden/>
    <w:unhideWhenUsed/>
    <w:rsid w:val="00CB1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06"/>
    <w:rPr>
      <w:rFonts w:ascii="Tahoma" w:hAnsi="Tahoma" w:cs="Tahoma"/>
      <w:sz w:val="16"/>
      <w:szCs w:val="16"/>
    </w:rPr>
  </w:style>
  <w:style w:type="character" w:customStyle="1" w:styleId="Heading4Char">
    <w:name w:val="Heading 4 Char"/>
    <w:basedOn w:val="DefaultParagraphFont"/>
    <w:link w:val="Heading4"/>
    <w:uiPriority w:val="9"/>
    <w:semiHidden/>
    <w:rsid w:val="00CB10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1006"/>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583A13"/>
    <w:rPr>
      <w:i/>
      <w:iCs/>
    </w:rPr>
  </w:style>
  <w:style w:type="paragraph" w:styleId="ListParagraph">
    <w:name w:val="List Paragraph"/>
    <w:basedOn w:val="Normal"/>
    <w:uiPriority w:val="34"/>
    <w:qFormat/>
    <w:rsid w:val="003665F7"/>
    <w:pPr>
      <w:ind w:left="720"/>
      <w:contextualSpacing/>
    </w:pPr>
  </w:style>
  <w:style w:type="paragraph" w:styleId="Header">
    <w:name w:val="header"/>
    <w:basedOn w:val="Normal"/>
    <w:link w:val="HeaderChar"/>
    <w:uiPriority w:val="99"/>
    <w:unhideWhenUsed/>
    <w:rsid w:val="009F3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EFB"/>
  </w:style>
  <w:style w:type="paragraph" w:styleId="Footer">
    <w:name w:val="footer"/>
    <w:basedOn w:val="Normal"/>
    <w:link w:val="FooterChar"/>
    <w:uiPriority w:val="99"/>
    <w:unhideWhenUsed/>
    <w:rsid w:val="009F3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EFB"/>
  </w:style>
  <w:style w:type="paragraph" w:customStyle="1" w:styleId="Default">
    <w:name w:val="Default"/>
    <w:rsid w:val="00906A06"/>
    <w:pPr>
      <w:autoSpaceDE w:val="0"/>
      <w:autoSpaceDN w:val="0"/>
      <w:adjustRightInd w:val="0"/>
      <w:spacing w:after="0" w:line="240" w:lineRule="auto"/>
    </w:pPr>
    <w:rPr>
      <w:rFonts w:ascii="SimSun" w:eastAsia="SimSun" w:cs="SimSun"/>
      <w:color w:val="000000"/>
      <w:sz w:val="24"/>
      <w:szCs w:val="24"/>
    </w:rPr>
  </w:style>
  <w:style w:type="paragraph" w:customStyle="1" w:styleId="AnnexNotitle">
    <w:name w:val="Annex_No &amp; title"/>
    <w:basedOn w:val="Normal"/>
    <w:next w:val="Normal"/>
    <w:rsid w:val="00A07DA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s>
</file>

<file path=word/webSettings.xml><?xml version="1.0" encoding="utf-8"?>
<w:webSettings xmlns:r="http://schemas.openxmlformats.org/officeDocument/2006/relationships" xmlns:w="http://schemas.openxmlformats.org/wordprocessingml/2006/main">
  <w:divs>
    <w:div w:id="837769985">
      <w:bodyDiv w:val="1"/>
      <w:marLeft w:val="0"/>
      <w:marRight w:val="0"/>
      <w:marTop w:val="0"/>
      <w:marBottom w:val="0"/>
      <w:divBdr>
        <w:top w:val="none" w:sz="0" w:space="0" w:color="auto"/>
        <w:left w:val="none" w:sz="0" w:space="0" w:color="auto"/>
        <w:bottom w:val="none" w:sz="0" w:space="0" w:color="auto"/>
        <w:right w:val="none" w:sz="0" w:space="0" w:color="auto"/>
      </w:divBdr>
      <w:divsChild>
        <w:div w:id="528226487">
          <w:marLeft w:val="0"/>
          <w:marRight w:val="0"/>
          <w:marTop w:val="0"/>
          <w:marBottom w:val="0"/>
          <w:divBdr>
            <w:top w:val="none" w:sz="0" w:space="0" w:color="auto"/>
            <w:left w:val="none" w:sz="0" w:space="0" w:color="auto"/>
            <w:bottom w:val="none" w:sz="0" w:space="0" w:color="auto"/>
            <w:right w:val="none" w:sz="0" w:space="0" w:color="auto"/>
          </w:divBdr>
          <w:divsChild>
            <w:div w:id="1436631786">
              <w:marLeft w:val="0"/>
              <w:marRight w:val="0"/>
              <w:marTop w:val="600"/>
              <w:marBottom w:val="0"/>
              <w:divBdr>
                <w:top w:val="none" w:sz="0" w:space="0" w:color="auto"/>
                <w:left w:val="none" w:sz="0" w:space="0" w:color="auto"/>
                <w:bottom w:val="none" w:sz="0" w:space="0" w:color="auto"/>
                <w:right w:val="none" w:sz="0" w:space="0" w:color="auto"/>
              </w:divBdr>
              <w:divsChild>
                <w:div w:id="1748114793">
                  <w:marLeft w:val="0"/>
                  <w:marRight w:val="0"/>
                  <w:marTop w:val="0"/>
                  <w:marBottom w:val="0"/>
                  <w:divBdr>
                    <w:top w:val="none" w:sz="0" w:space="0" w:color="auto"/>
                    <w:left w:val="none" w:sz="0" w:space="0" w:color="auto"/>
                    <w:bottom w:val="none" w:sz="0" w:space="0" w:color="auto"/>
                    <w:right w:val="none" w:sz="0" w:space="0" w:color="auto"/>
                  </w:divBdr>
                  <w:divsChild>
                    <w:div w:id="769471844">
                      <w:marLeft w:val="0"/>
                      <w:marRight w:val="0"/>
                      <w:marTop w:val="0"/>
                      <w:marBottom w:val="0"/>
                      <w:divBdr>
                        <w:top w:val="none" w:sz="0" w:space="0" w:color="auto"/>
                        <w:left w:val="none" w:sz="0" w:space="0" w:color="auto"/>
                        <w:bottom w:val="none" w:sz="0" w:space="0" w:color="auto"/>
                        <w:right w:val="none" w:sz="0" w:space="0" w:color="auto"/>
                      </w:divBdr>
                      <w:divsChild>
                        <w:div w:id="361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589224">
      <w:bodyDiv w:val="1"/>
      <w:marLeft w:val="0"/>
      <w:marRight w:val="0"/>
      <w:marTop w:val="0"/>
      <w:marBottom w:val="0"/>
      <w:divBdr>
        <w:top w:val="none" w:sz="0" w:space="0" w:color="auto"/>
        <w:left w:val="none" w:sz="0" w:space="0" w:color="auto"/>
        <w:bottom w:val="none" w:sz="0" w:space="0" w:color="auto"/>
        <w:right w:val="none" w:sz="0" w:space="0" w:color="auto"/>
      </w:divBdr>
    </w:div>
    <w:div w:id="1359506827">
      <w:bodyDiv w:val="1"/>
      <w:marLeft w:val="0"/>
      <w:marRight w:val="0"/>
      <w:marTop w:val="0"/>
      <w:marBottom w:val="0"/>
      <w:divBdr>
        <w:top w:val="none" w:sz="0" w:space="0" w:color="auto"/>
        <w:left w:val="none" w:sz="0" w:space="0" w:color="auto"/>
        <w:bottom w:val="none" w:sz="0" w:space="0" w:color="auto"/>
        <w:right w:val="none" w:sz="0" w:space="0" w:color="auto"/>
      </w:divBdr>
      <w:divsChild>
        <w:div w:id="1469006177">
          <w:marLeft w:val="0"/>
          <w:marRight w:val="0"/>
          <w:marTop w:val="0"/>
          <w:marBottom w:val="0"/>
          <w:divBdr>
            <w:top w:val="none" w:sz="0" w:space="0" w:color="auto"/>
            <w:left w:val="none" w:sz="0" w:space="0" w:color="auto"/>
            <w:bottom w:val="none" w:sz="0" w:space="0" w:color="auto"/>
            <w:right w:val="none" w:sz="0" w:space="0" w:color="auto"/>
          </w:divBdr>
          <w:divsChild>
            <w:div w:id="682516312">
              <w:marLeft w:val="0"/>
              <w:marRight w:val="0"/>
              <w:marTop w:val="0"/>
              <w:marBottom w:val="0"/>
              <w:divBdr>
                <w:top w:val="none" w:sz="0" w:space="0" w:color="auto"/>
                <w:left w:val="none" w:sz="0" w:space="0" w:color="auto"/>
                <w:bottom w:val="none" w:sz="0" w:space="0" w:color="auto"/>
                <w:right w:val="none" w:sz="0" w:space="0" w:color="auto"/>
              </w:divBdr>
              <w:divsChild>
                <w:div w:id="1169176848">
                  <w:marLeft w:val="0"/>
                  <w:marRight w:val="0"/>
                  <w:marTop w:val="0"/>
                  <w:marBottom w:val="0"/>
                  <w:divBdr>
                    <w:top w:val="none" w:sz="0" w:space="0" w:color="auto"/>
                    <w:left w:val="none" w:sz="0" w:space="0" w:color="auto"/>
                    <w:bottom w:val="none" w:sz="0" w:space="0" w:color="auto"/>
                    <w:right w:val="none" w:sz="0" w:space="0" w:color="auto"/>
                  </w:divBdr>
                  <w:divsChild>
                    <w:div w:id="1024013694">
                      <w:marLeft w:val="0"/>
                      <w:marRight w:val="0"/>
                      <w:marTop w:val="0"/>
                      <w:marBottom w:val="0"/>
                      <w:divBdr>
                        <w:top w:val="none" w:sz="0" w:space="0" w:color="auto"/>
                        <w:left w:val="none" w:sz="0" w:space="0" w:color="auto"/>
                        <w:bottom w:val="none" w:sz="0" w:space="0" w:color="auto"/>
                        <w:right w:val="none" w:sz="0" w:space="0" w:color="auto"/>
                      </w:divBdr>
                      <w:divsChild>
                        <w:div w:id="8663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82715">
      <w:bodyDiv w:val="1"/>
      <w:marLeft w:val="0"/>
      <w:marRight w:val="0"/>
      <w:marTop w:val="0"/>
      <w:marBottom w:val="0"/>
      <w:divBdr>
        <w:top w:val="none" w:sz="0" w:space="0" w:color="auto"/>
        <w:left w:val="none" w:sz="0" w:space="0" w:color="auto"/>
        <w:bottom w:val="none" w:sz="0" w:space="0" w:color="auto"/>
        <w:right w:val="none" w:sz="0" w:space="0" w:color="auto"/>
      </w:divBdr>
      <w:divsChild>
        <w:div w:id="704988527">
          <w:marLeft w:val="0"/>
          <w:marRight w:val="0"/>
          <w:marTop w:val="0"/>
          <w:marBottom w:val="0"/>
          <w:divBdr>
            <w:top w:val="none" w:sz="0" w:space="0" w:color="auto"/>
            <w:left w:val="none" w:sz="0" w:space="0" w:color="auto"/>
            <w:bottom w:val="none" w:sz="0" w:space="0" w:color="auto"/>
            <w:right w:val="none" w:sz="0" w:space="0" w:color="auto"/>
          </w:divBdr>
          <w:divsChild>
            <w:div w:id="1643003239">
              <w:marLeft w:val="0"/>
              <w:marRight w:val="0"/>
              <w:marTop w:val="600"/>
              <w:marBottom w:val="0"/>
              <w:divBdr>
                <w:top w:val="none" w:sz="0" w:space="0" w:color="auto"/>
                <w:left w:val="none" w:sz="0" w:space="0" w:color="auto"/>
                <w:bottom w:val="none" w:sz="0" w:space="0" w:color="auto"/>
                <w:right w:val="none" w:sz="0" w:space="0" w:color="auto"/>
              </w:divBdr>
              <w:divsChild>
                <w:div w:id="2062092017">
                  <w:marLeft w:val="0"/>
                  <w:marRight w:val="0"/>
                  <w:marTop w:val="0"/>
                  <w:marBottom w:val="0"/>
                  <w:divBdr>
                    <w:top w:val="none" w:sz="0" w:space="0" w:color="auto"/>
                    <w:left w:val="none" w:sz="0" w:space="0" w:color="auto"/>
                    <w:bottom w:val="none" w:sz="0" w:space="0" w:color="auto"/>
                    <w:right w:val="none" w:sz="0" w:space="0" w:color="auto"/>
                  </w:divBdr>
                  <w:divsChild>
                    <w:div w:id="2005546895">
                      <w:marLeft w:val="0"/>
                      <w:marRight w:val="0"/>
                      <w:marTop w:val="0"/>
                      <w:marBottom w:val="0"/>
                      <w:divBdr>
                        <w:top w:val="none" w:sz="0" w:space="0" w:color="auto"/>
                        <w:left w:val="none" w:sz="0" w:space="0" w:color="auto"/>
                        <w:bottom w:val="none" w:sz="0" w:space="0" w:color="auto"/>
                        <w:right w:val="none" w:sz="0" w:space="0" w:color="auto"/>
                      </w:divBdr>
                      <w:divsChild>
                        <w:div w:id="14279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1662</Words>
  <Characters>9477</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mutwe</dc:creator>
  <cp:keywords/>
  <dc:description/>
  <cp:lastModifiedBy>gaspari</cp:lastModifiedBy>
  <cp:revision>4</cp:revision>
  <cp:lastPrinted>2010-12-14T16:07:00Z</cp:lastPrinted>
  <dcterms:created xsi:type="dcterms:W3CDTF">2011-03-30T09:13:00Z</dcterms:created>
  <dcterms:modified xsi:type="dcterms:W3CDTF">2011-05-30T13:02:00Z</dcterms:modified>
</cp:coreProperties>
</file>