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7A5E9E" w:rsidRPr="00DC4232" w:rsidTr="00EC2A93">
        <w:tblPrEx>
          <w:tblCellMar>
            <w:top w:w="0" w:type="dxa"/>
            <w:bottom w:w="0" w:type="dxa"/>
          </w:tblCellMar>
        </w:tblPrEx>
        <w:trPr>
          <w:cantSplit/>
        </w:trPr>
        <w:tc>
          <w:tcPr>
            <w:tcW w:w="4857" w:type="dxa"/>
            <w:gridSpan w:val="2"/>
          </w:tcPr>
          <w:p w:rsidR="007A5E9E" w:rsidRPr="00DC4232" w:rsidRDefault="007A5E9E" w:rsidP="00EC2A93">
            <w:pPr>
              <w:rPr>
                <w:b/>
                <w:bCs/>
                <w:sz w:val="26"/>
              </w:rPr>
            </w:pPr>
            <w:bookmarkStart w:id="0" w:name="InsertLogo"/>
            <w:bookmarkStart w:id="1" w:name="dnum" w:colFirst="2" w:colLast="2"/>
            <w:bookmarkStart w:id="2" w:name="dtableau"/>
            <w:bookmarkEnd w:id="0"/>
            <w:r w:rsidRPr="00DC4232">
              <w:rPr>
                <w:sz w:val="20"/>
              </w:rPr>
              <w:t>INTERNATIONAL TELECOMMUNICATION UNION</w:t>
            </w:r>
            <w:r w:rsidRPr="00DC4232">
              <w:rPr>
                <w:sz w:val="20"/>
              </w:rPr>
              <w:br/>
            </w:r>
            <w:r w:rsidRPr="00DC4232">
              <w:rPr>
                <w:b/>
                <w:bCs/>
                <w:sz w:val="26"/>
              </w:rPr>
              <w:t>TELECOMMUNICATION</w:t>
            </w:r>
            <w:r w:rsidRPr="00DC4232">
              <w:rPr>
                <w:b/>
                <w:bCs/>
                <w:sz w:val="26"/>
              </w:rPr>
              <w:br/>
              <w:t>STANDARDIZATION SECTOR</w:t>
            </w:r>
          </w:p>
          <w:p w:rsidR="007A5E9E" w:rsidRPr="00DC4232" w:rsidRDefault="007A5E9E" w:rsidP="00EC2A93">
            <w:pPr>
              <w:rPr>
                <w:sz w:val="20"/>
              </w:rPr>
            </w:pPr>
            <w:r w:rsidRPr="00DC4232">
              <w:rPr>
                <w:sz w:val="20"/>
              </w:rPr>
              <w:t>STUDY PERIOD 2009-2012</w:t>
            </w:r>
          </w:p>
        </w:tc>
        <w:tc>
          <w:tcPr>
            <w:tcW w:w="5066" w:type="dxa"/>
          </w:tcPr>
          <w:p w:rsidR="007A5E9E" w:rsidRPr="00DC4232" w:rsidRDefault="007A5E9E" w:rsidP="00EC2A93">
            <w:pPr>
              <w:jc w:val="right"/>
              <w:rPr>
                <w:b/>
                <w:bCs/>
                <w:smallCaps/>
                <w:sz w:val="32"/>
              </w:rPr>
            </w:pPr>
            <w:r w:rsidRPr="00DC4232">
              <w:rPr>
                <w:b/>
                <w:bCs/>
                <w:smallCaps/>
                <w:sz w:val="32"/>
              </w:rPr>
              <w:t xml:space="preserve">Joint Coordination Activity on Accessibility </w:t>
            </w:r>
            <w:smartTag w:uri="urn:schemas-microsoft-com:office:smarttags" w:element="stockticker">
              <w:r w:rsidRPr="00DC4232">
                <w:rPr>
                  <w:b/>
                  <w:bCs/>
                  <w:smallCaps/>
                  <w:sz w:val="32"/>
                </w:rPr>
                <w:t>and</w:t>
              </w:r>
            </w:smartTag>
            <w:r w:rsidRPr="00DC4232">
              <w:rPr>
                <w:b/>
                <w:bCs/>
                <w:smallCaps/>
                <w:sz w:val="32"/>
              </w:rPr>
              <w:t xml:space="preserve"> human Factors (JCA-AHF)</w:t>
            </w:r>
          </w:p>
        </w:tc>
      </w:tr>
      <w:tr w:rsidR="007A5E9E" w:rsidRPr="00DC4232" w:rsidTr="00EC2A93">
        <w:tblPrEx>
          <w:tblCellMar>
            <w:top w:w="0" w:type="dxa"/>
            <w:bottom w:w="0" w:type="dxa"/>
          </w:tblCellMar>
        </w:tblPrEx>
        <w:trPr>
          <w:cantSplit/>
          <w:trHeight w:val="461"/>
        </w:trPr>
        <w:tc>
          <w:tcPr>
            <w:tcW w:w="4857" w:type="dxa"/>
            <w:gridSpan w:val="2"/>
            <w:vMerge w:val="restart"/>
            <w:tcBorders>
              <w:bottom w:val="nil"/>
            </w:tcBorders>
          </w:tcPr>
          <w:p w:rsidR="007A5E9E" w:rsidRPr="00DC4232" w:rsidRDefault="007A5E9E" w:rsidP="00EC2A93">
            <w:pPr>
              <w:rPr>
                <w:smallCaps/>
                <w:sz w:val="20"/>
              </w:rPr>
            </w:pPr>
          </w:p>
        </w:tc>
        <w:tc>
          <w:tcPr>
            <w:tcW w:w="5066" w:type="dxa"/>
            <w:tcBorders>
              <w:bottom w:val="nil"/>
            </w:tcBorders>
          </w:tcPr>
          <w:p w:rsidR="007A5E9E" w:rsidRPr="00DC4232" w:rsidRDefault="007A5E9E" w:rsidP="007A5E9E">
            <w:pPr>
              <w:jc w:val="right"/>
              <w:rPr>
                <w:b/>
                <w:bCs/>
                <w:sz w:val="40"/>
              </w:rPr>
            </w:pPr>
            <w:r w:rsidRPr="00DC4232">
              <w:rPr>
                <w:b/>
                <w:bCs/>
                <w:sz w:val="40"/>
              </w:rPr>
              <w:t xml:space="preserve">Doc. </w:t>
            </w:r>
            <w:r>
              <w:rPr>
                <w:b/>
                <w:bCs/>
                <w:sz w:val="40"/>
              </w:rPr>
              <w:t>93</w:t>
            </w:r>
          </w:p>
        </w:tc>
      </w:tr>
      <w:tr w:rsidR="007A5E9E" w:rsidRPr="00DC4232" w:rsidTr="00EC2A93">
        <w:tblPrEx>
          <w:tblCellMar>
            <w:top w:w="0" w:type="dxa"/>
            <w:bottom w:w="0" w:type="dxa"/>
          </w:tblCellMar>
        </w:tblPrEx>
        <w:trPr>
          <w:cantSplit/>
          <w:trHeight w:val="355"/>
        </w:trPr>
        <w:tc>
          <w:tcPr>
            <w:tcW w:w="4857" w:type="dxa"/>
            <w:gridSpan w:val="2"/>
            <w:vMerge/>
            <w:tcBorders>
              <w:bottom w:val="single" w:sz="12" w:space="0" w:color="auto"/>
            </w:tcBorders>
          </w:tcPr>
          <w:p w:rsidR="007A5E9E" w:rsidRPr="00DC4232" w:rsidRDefault="007A5E9E" w:rsidP="00EC2A93">
            <w:pPr>
              <w:rPr>
                <w:b/>
                <w:bCs/>
                <w:sz w:val="26"/>
              </w:rPr>
            </w:pPr>
          </w:p>
        </w:tc>
        <w:tc>
          <w:tcPr>
            <w:tcW w:w="5066" w:type="dxa"/>
            <w:tcBorders>
              <w:bottom w:val="single" w:sz="12" w:space="0" w:color="auto"/>
            </w:tcBorders>
          </w:tcPr>
          <w:p w:rsidR="007A5E9E" w:rsidRPr="00DC4232" w:rsidRDefault="007A5E9E" w:rsidP="00EC2A93">
            <w:pPr>
              <w:jc w:val="right"/>
              <w:rPr>
                <w:b/>
                <w:bCs/>
                <w:sz w:val="28"/>
              </w:rPr>
            </w:pPr>
            <w:r w:rsidRPr="00DC4232">
              <w:rPr>
                <w:b/>
                <w:bCs/>
                <w:sz w:val="28"/>
              </w:rPr>
              <w:t>English only</w:t>
            </w:r>
          </w:p>
          <w:p w:rsidR="007A5E9E" w:rsidRPr="00DC4232" w:rsidRDefault="007A5E9E" w:rsidP="00EC2A93">
            <w:pPr>
              <w:jc w:val="right"/>
              <w:rPr>
                <w:b/>
                <w:bCs/>
                <w:sz w:val="28"/>
              </w:rPr>
            </w:pPr>
            <w:r w:rsidRPr="00DC4232">
              <w:rPr>
                <w:b/>
                <w:bCs/>
                <w:sz w:val="28"/>
              </w:rPr>
              <w:t>Original: English</w:t>
            </w:r>
          </w:p>
        </w:tc>
      </w:tr>
      <w:tr w:rsidR="007A5E9E" w:rsidRPr="00DC4232" w:rsidTr="00EC2A93">
        <w:tblPrEx>
          <w:tblCellMar>
            <w:top w:w="0" w:type="dxa"/>
            <w:bottom w:w="0" w:type="dxa"/>
          </w:tblCellMar>
        </w:tblPrEx>
        <w:trPr>
          <w:cantSplit/>
          <w:trHeight w:val="357"/>
        </w:trPr>
        <w:tc>
          <w:tcPr>
            <w:tcW w:w="1617" w:type="dxa"/>
          </w:tcPr>
          <w:p w:rsidR="007A5E9E" w:rsidRPr="00415470" w:rsidRDefault="007A5E9E" w:rsidP="00EC2A93">
            <w:pPr>
              <w:rPr>
                <w:b/>
                <w:bCs/>
              </w:rPr>
            </w:pPr>
            <w:r w:rsidRPr="00415470">
              <w:rPr>
                <w:b/>
                <w:bCs/>
              </w:rPr>
              <w:t>Source:</w:t>
            </w:r>
          </w:p>
        </w:tc>
        <w:tc>
          <w:tcPr>
            <w:tcW w:w="8306" w:type="dxa"/>
            <w:gridSpan w:val="2"/>
          </w:tcPr>
          <w:p w:rsidR="007A5E9E" w:rsidRPr="00DC4232" w:rsidRDefault="007A5E9E" w:rsidP="00EC2A93">
            <w:r>
              <w:t>JCA-AHF Convener</w:t>
            </w:r>
          </w:p>
        </w:tc>
      </w:tr>
      <w:tr w:rsidR="007A5E9E" w:rsidRPr="00DC4232" w:rsidTr="00EC2A93">
        <w:tblPrEx>
          <w:tblCellMar>
            <w:top w:w="0" w:type="dxa"/>
            <w:bottom w:w="0" w:type="dxa"/>
          </w:tblCellMar>
        </w:tblPrEx>
        <w:trPr>
          <w:cantSplit/>
          <w:trHeight w:val="357"/>
        </w:trPr>
        <w:tc>
          <w:tcPr>
            <w:tcW w:w="1617" w:type="dxa"/>
            <w:tcBorders>
              <w:bottom w:val="single" w:sz="12" w:space="0" w:color="auto"/>
            </w:tcBorders>
          </w:tcPr>
          <w:p w:rsidR="007A5E9E" w:rsidRPr="00936552" w:rsidRDefault="007A5E9E" w:rsidP="00EC2A93">
            <w:pPr>
              <w:spacing w:after="120"/>
              <w:rPr>
                <w:b/>
                <w:bCs/>
              </w:rPr>
            </w:pPr>
            <w:r>
              <w:br/>
            </w:r>
            <w:r w:rsidRPr="00936552">
              <w:rPr>
                <w:b/>
                <w:bCs/>
              </w:rPr>
              <w:t>Title:</w:t>
            </w:r>
          </w:p>
        </w:tc>
        <w:tc>
          <w:tcPr>
            <w:tcW w:w="8306" w:type="dxa"/>
            <w:gridSpan w:val="2"/>
            <w:tcBorders>
              <w:bottom w:val="single" w:sz="12" w:space="0" w:color="auto"/>
            </w:tcBorders>
          </w:tcPr>
          <w:p w:rsidR="007A5E9E" w:rsidRPr="007A5E9E" w:rsidRDefault="007A5E9E" w:rsidP="007A5E9E">
            <w:pPr>
              <w:tabs>
                <w:tab w:val="clear" w:pos="794"/>
                <w:tab w:val="clear" w:pos="1191"/>
                <w:tab w:val="clear" w:pos="1588"/>
                <w:tab w:val="clear" w:pos="1985"/>
              </w:tabs>
              <w:overflowPunct/>
              <w:autoSpaceDE/>
              <w:autoSpaceDN/>
              <w:adjustRightInd/>
              <w:spacing w:before="0" w:after="200" w:line="276" w:lineRule="auto"/>
              <w:textAlignment w:val="auto"/>
              <w:rPr>
                <w:b/>
                <w:bCs/>
                <w:sz w:val="22"/>
                <w:szCs w:val="22"/>
              </w:rPr>
            </w:pPr>
            <w:r>
              <w:br/>
            </w:r>
            <w:r w:rsidRPr="007A5E9E">
              <w:t>ITU PP-10 Resolution 175 “Telecommunication/information and communication technology accessibility for persons with disabilities, including age-related disabilities”</w:t>
            </w:r>
          </w:p>
        </w:tc>
      </w:tr>
    </w:tbl>
    <w:p w:rsidR="007A5E9E" w:rsidRPr="00DC4232" w:rsidRDefault="007A5E9E" w:rsidP="007A5E9E"/>
    <w:bookmarkEnd w:id="1"/>
    <w:bookmarkEnd w:id="2"/>
    <w:p w:rsidR="001B55D4" w:rsidRPr="00DC4232" w:rsidRDefault="001B55D4" w:rsidP="001B55D4">
      <w:pPr>
        <w:jc w:val="both"/>
        <w:rPr>
          <w:sz w:val="22"/>
          <w:szCs w:val="22"/>
        </w:rPr>
      </w:pPr>
      <w:r w:rsidRPr="00DC4232">
        <w:rPr>
          <w:sz w:val="22"/>
          <w:szCs w:val="22"/>
        </w:rPr>
        <w:t>The Plenipotentiary Conference of the International Telecommunication Union</w:t>
      </w:r>
    </w:p>
    <w:p w:rsidR="001B55D4" w:rsidRPr="00DC4232" w:rsidRDefault="001B55D4" w:rsidP="001B55D4">
      <w:pPr>
        <w:jc w:val="both"/>
        <w:rPr>
          <w:sz w:val="22"/>
          <w:szCs w:val="22"/>
        </w:rPr>
      </w:pPr>
      <w:r w:rsidRPr="00DC4232">
        <w:rPr>
          <w:sz w:val="22"/>
          <w:szCs w:val="22"/>
        </w:rPr>
        <w:t>(Guadalajara, 2010),</w:t>
      </w:r>
    </w:p>
    <w:p w:rsidR="001B55D4" w:rsidRPr="00DC4232" w:rsidRDefault="001B55D4" w:rsidP="001B55D4">
      <w:pPr>
        <w:jc w:val="both"/>
        <w:rPr>
          <w:i/>
          <w:iCs/>
          <w:sz w:val="22"/>
          <w:szCs w:val="22"/>
        </w:rPr>
      </w:pPr>
      <w:r w:rsidRPr="00DC4232">
        <w:rPr>
          <w:i/>
          <w:iCs/>
          <w:sz w:val="22"/>
          <w:szCs w:val="22"/>
        </w:rPr>
        <w:t>recognizing</w:t>
      </w:r>
    </w:p>
    <w:p w:rsidR="001B55D4" w:rsidRPr="00DC4232" w:rsidRDefault="001B55D4" w:rsidP="001B55D4">
      <w:pPr>
        <w:jc w:val="both"/>
        <w:rPr>
          <w:sz w:val="22"/>
          <w:szCs w:val="22"/>
        </w:rPr>
      </w:pPr>
      <w:r w:rsidRPr="00DC4232">
        <w:rPr>
          <w:i/>
          <w:iCs/>
          <w:sz w:val="22"/>
          <w:szCs w:val="22"/>
        </w:rPr>
        <w:t xml:space="preserve">a) </w:t>
      </w:r>
      <w:r w:rsidRPr="00DC4232">
        <w:rPr>
          <w:sz w:val="22"/>
          <w:szCs w:val="22"/>
        </w:rPr>
        <w:t>Resolution 70 (Johannesburg, 2008) of the World Telecommunication Standardization</w:t>
      </w:r>
    </w:p>
    <w:p w:rsidR="001B55D4" w:rsidRPr="00DC4232" w:rsidRDefault="001B55D4" w:rsidP="001B55D4">
      <w:pPr>
        <w:jc w:val="both"/>
        <w:rPr>
          <w:sz w:val="22"/>
          <w:szCs w:val="22"/>
        </w:rPr>
      </w:pPr>
      <w:r w:rsidRPr="00DC4232">
        <w:rPr>
          <w:sz w:val="22"/>
          <w:szCs w:val="22"/>
        </w:rPr>
        <w:t>Assembly, on telecommunication/information and communication technology (ICT) accessibility</w:t>
      </w:r>
    </w:p>
    <w:p w:rsidR="001B55D4" w:rsidRPr="00DC4232" w:rsidRDefault="001B55D4" w:rsidP="001B55D4">
      <w:pPr>
        <w:jc w:val="both"/>
        <w:rPr>
          <w:sz w:val="22"/>
          <w:szCs w:val="22"/>
        </w:rPr>
      </w:pPr>
      <w:r w:rsidRPr="00DC4232">
        <w:rPr>
          <w:sz w:val="22"/>
          <w:szCs w:val="22"/>
        </w:rPr>
        <w:t>for persons with disabilities, and the current studies, initiatives and events on this issue</w:t>
      </w:r>
    </w:p>
    <w:p w:rsidR="001B55D4" w:rsidRPr="00DC4232" w:rsidRDefault="001B55D4" w:rsidP="001B55D4">
      <w:pPr>
        <w:jc w:val="both"/>
        <w:rPr>
          <w:sz w:val="22"/>
          <w:szCs w:val="22"/>
        </w:rPr>
      </w:pPr>
      <w:r w:rsidRPr="00DC4232">
        <w:rPr>
          <w:sz w:val="22"/>
          <w:szCs w:val="22"/>
        </w:rPr>
        <w:t>undertaken by the ITU Telecommunication Standardization Sector (ITU-T) and its study groups, in</w:t>
      </w:r>
    </w:p>
    <w:p w:rsidR="001B55D4" w:rsidRPr="00DC4232" w:rsidRDefault="001B55D4" w:rsidP="001B55D4">
      <w:pPr>
        <w:jc w:val="both"/>
        <w:rPr>
          <w:sz w:val="22"/>
          <w:szCs w:val="22"/>
        </w:rPr>
      </w:pPr>
      <w:r w:rsidRPr="00DC4232">
        <w:rPr>
          <w:sz w:val="22"/>
          <w:szCs w:val="22"/>
        </w:rPr>
        <w:t>particular Study Group 2 and Study Group 16, in collaboration with the Joint Coordination Activity</w:t>
      </w:r>
    </w:p>
    <w:p w:rsidR="001B55D4" w:rsidRPr="00DC4232" w:rsidRDefault="001B55D4" w:rsidP="001B55D4">
      <w:pPr>
        <w:jc w:val="both"/>
        <w:rPr>
          <w:sz w:val="22"/>
          <w:szCs w:val="22"/>
        </w:rPr>
      </w:pPr>
      <w:r w:rsidRPr="00DC4232">
        <w:rPr>
          <w:sz w:val="22"/>
          <w:szCs w:val="22"/>
        </w:rPr>
        <w:t>on Accessibility and Human Factors (JCA-AHF);</w:t>
      </w:r>
    </w:p>
    <w:p w:rsidR="001B55D4" w:rsidRPr="00DC4232" w:rsidRDefault="001B55D4" w:rsidP="001B55D4">
      <w:pPr>
        <w:jc w:val="both"/>
        <w:rPr>
          <w:sz w:val="22"/>
          <w:szCs w:val="22"/>
        </w:rPr>
      </w:pPr>
      <w:r w:rsidRPr="00DC4232">
        <w:rPr>
          <w:i/>
          <w:iCs/>
          <w:sz w:val="22"/>
          <w:szCs w:val="22"/>
        </w:rPr>
        <w:t xml:space="preserve">b) </w:t>
      </w:r>
      <w:r w:rsidRPr="00DC4232">
        <w:rPr>
          <w:sz w:val="22"/>
          <w:szCs w:val="22"/>
        </w:rPr>
        <w:t>Resolution 58 (Hyderabad, 2010) of the World Telecommunication Development</w:t>
      </w:r>
    </w:p>
    <w:p w:rsidR="001B55D4" w:rsidRPr="00DC4232" w:rsidRDefault="001B55D4" w:rsidP="001B55D4">
      <w:pPr>
        <w:jc w:val="both"/>
        <w:rPr>
          <w:sz w:val="22"/>
          <w:szCs w:val="22"/>
        </w:rPr>
      </w:pPr>
      <w:r w:rsidRPr="00DC4232">
        <w:rPr>
          <w:sz w:val="22"/>
          <w:szCs w:val="22"/>
        </w:rPr>
        <w:t>Conference, on access to ICT for persons with disabilities, including age-related disabilities, based</w:t>
      </w:r>
    </w:p>
    <w:p w:rsidR="001B55D4" w:rsidRPr="00DC4232" w:rsidRDefault="001B55D4" w:rsidP="001B55D4">
      <w:pPr>
        <w:jc w:val="both"/>
        <w:rPr>
          <w:sz w:val="22"/>
          <w:szCs w:val="22"/>
        </w:rPr>
      </w:pPr>
      <w:r w:rsidRPr="00DC4232">
        <w:rPr>
          <w:sz w:val="22"/>
          <w:szCs w:val="22"/>
        </w:rPr>
        <w:t>on the ITU Telecommunication Development Sector (ITU-D) special initiative work carried out</w:t>
      </w:r>
    </w:p>
    <w:p w:rsidR="001B55D4" w:rsidRPr="00DC4232" w:rsidRDefault="001B55D4" w:rsidP="001B55D4">
      <w:pPr>
        <w:jc w:val="both"/>
        <w:rPr>
          <w:sz w:val="22"/>
          <w:szCs w:val="22"/>
        </w:rPr>
      </w:pPr>
      <w:r w:rsidRPr="00DC4232">
        <w:rPr>
          <w:sz w:val="22"/>
          <w:szCs w:val="22"/>
        </w:rPr>
        <w:t>through studies conducted within the framework of Question 20/1 of ITU-D Study Group 1,</w:t>
      </w:r>
    </w:p>
    <w:p w:rsidR="001B55D4" w:rsidRPr="00DC4232" w:rsidRDefault="001B55D4" w:rsidP="001B55D4">
      <w:pPr>
        <w:jc w:val="both"/>
        <w:rPr>
          <w:sz w:val="22"/>
          <w:szCs w:val="22"/>
        </w:rPr>
      </w:pPr>
      <w:r w:rsidRPr="00DC4232">
        <w:rPr>
          <w:sz w:val="22"/>
          <w:szCs w:val="22"/>
        </w:rPr>
        <w:t>commencing in September 2006 and proposing the wording of that resolution and, likewise, the</w:t>
      </w:r>
    </w:p>
    <w:p w:rsidR="001B55D4" w:rsidRPr="00DC4232" w:rsidRDefault="001B55D4" w:rsidP="001B55D4">
      <w:pPr>
        <w:jc w:val="both"/>
        <w:rPr>
          <w:sz w:val="22"/>
          <w:szCs w:val="22"/>
        </w:rPr>
      </w:pPr>
      <w:r w:rsidRPr="00DC4232">
        <w:rPr>
          <w:sz w:val="22"/>
          <w:szCs w:val="22"/>
        </w:rPr>
        <w:t>ITU-D initiative on development of an e-accessibility toolkit for persons with disabilities, in</w:t>
      </w:r>
    </w:p>
    <w:p w:rsidR="001B55D4" w:rsidRPr="00DC4232" w:rsidRDefault="001B55D4" w:rsidP="001B55D4">
      <w:pPr>
        <w:jc w:val="both"/>
        <w:rPr>
          <w:sz w:val="22"/>
          <w:szCs w:val="22"/>
        </w:rPr>
      </w:pPr>
      <w:r w:rsidRPr="00DC4232">
        <w:rPr>
          <w:sz w:val="22"/>
          <w:szCs w:val="22"/>
        </w:rPr>
        <w:t>collaboration and partnership with the Global Initiative for Inclusive ICTs (G3ict);</w:t>
      </w:r>
    </w:p>
    <w:p w:rsidR="001B55D4" w:rsidRPr="00DC4232" w:rsidRDefault="001B55D4" w:rsidP="001B55D4">
      <w:pPr>
        <w:jc w:val="both"/>
        <w:rPr>
          <w:sz w:val="22"/>
          <w:szCs w:val="22"/>
        </w:rPr>
      </w:pPr>
      <w:r w:rsidRPr="00DC4232">
        <w:rPr>
          <w:i/>
          <w:iCs/>
          <w:sz w:val="22"/>
          <w:szCs w:val="22"/>
        </w:rPr>
        <w:t xml:space="preserve">c) </w:t>
      </w:r>
      <w:r w:rsidRPr="00DC4232">
        <w:rPr>
          <w:sz w:val="22"/>
          <w:szCs w:val="22"/>
        </w:rPr>
        <w:t xml:space="preserve">ongoing work in ITU-T, the ITU </w:t>
      </w:r>
      <w:proofErr w:type="spellStart"/>
      <w:r w:rsidRPr="00DC4232">
        <w:rPr>
          <w:sz w:val="22"/>
          <w:szCs w:val="22"/>
        </w:rPr>
        <w:t>Radiocommunication</w:t>
      </w:r>
      <w:proofErr w:type="spellEnd"/>
      <w:r w:rsidRPr="00DC4232">
        <w:rPr>
          <w:sz w:val="22"/>
          <w:szCs w:val="22"/>
        </w:rPr>
        <w:t xml:space="preserve"> Sector (ITU-R) and ITU-D to bridge the</w:t>
      </w:r>
    </w:p>
    <w:p w:rsidR="001B55D4" w:rsidRPr="00DC4232" w:rsidRDefault="001B55D4" w:rsidP="001B55D4">
      <w:pPr>
        <w:jc w:val="both"/>
        <w:rPr>
          <w:sz w:val="22"/>
          <w:szCs w:val="22"/>
        </w:rPr>
      </w:pPr>
      <w:r w:rsidRPr="00DC4232">
        <w:rPr>
          <w:sz w:val="22"/>
          <w:szCs w:val="22"/>
        </w:rPr>
        <w:t>digital disability divide;</w:t>
      </w:r>
    </w:p>
    <w:p w:rsidR="001B55D4" w:rsidRPr="00DC4232" w:rsidRDefault="001B55D4" w:rsidP="001B55D4">
      <w:pPr>
        <w:jc w:val="both"/>
        <w:rPr>
          <w:sz w:val="22"/>
          <w:szCs w:val="22"/>
        </w:rPr>
      </w:pPr>
      <w:r w:rsidRPr="00DC4232">
        <w:rPr>
          <w:i/>
          <w:iCs/>
          <w:sz w:val="22"/>
          <w:szCs w:val="22"/>
        </w:rPr>
        <w:t xml:space="preserve">d) </w:t>
      </w:r>
      <w:r w:rsidRPr="00DC4232">
        <w:rPr>
          <w:sz w:val="22"/>
          <w:szCs w:val="22"/>
        </w:rPr>
        <w:t>the outcomes of the World Summit on the Information Society (WSIS), calling for special</w:t>
      </w:r>
    </w:p>
    <w:p w:rsidR="001B55D4" w:rsidRPr="00DC4232" w:rsidRDefault="001B55D4" w:rsidP="001B55D4">
      <w:pPr>
        <w:jc w:val="both"/>
        <w:rPr>
          <w:sz w:val="22"/>
          <w:szCs w:val="22"/>
        </w:rPr>
      </w:pPr>
      <w:r w:rsidRPr="00DC4232">
        <w:rPr>
          <w:sz w:val="22"/>
          <w:szCs w:val="22"/>
        </w:rPr>
        <w:t>attention to be given to persons with disabilities, including age-related disabilities;</w:t>
      </w:r>
    </w:p>
    <w:p w:rsidR="001B55D4" w:rsidRPr="00DC4232" w:rsidRDefault="001B55D4" w:rsidP="001B55D4">
      <w:pPr>
        <w:jc w:val="both"/>
        <w:rPr>
          <w:sz w:val="22"/>
          <w:szCs w:val="22"/>
        </w:rPr>
      </w:pPr>
      <w:r w:rsidRPr="00DC4232">
        <w:rPr>
          <w:i/>
          <w:iCs/>
          <w:sz w:val="22"/>
          <w:szCs w:val="22"/>
        </w:rPr>
        <w:t xml:space="preserve">e) </w:t>
      </w:r>
      <w:r w:rsidRPr="00DC4232">
        <w:rPr>
          <w:sz w:val="22"/>
          <w:szCs w:val="22"/>
        </w:rPr>
        <w:t>the United Nations Convention on the Rights of Persons with Disabilities, which entered into</w:t>
      </w:r>
    </w:p>
    <w:p w:rsidR="001B55D4" w:rsidRPr="00DC4232" w:rsidRDefault="001B55D4" w:rsidP="001B55D4">
      <w:pPr>
        <w:jc w:val="both"/>
        <w:rPr>
          <w:sz w:val="22"/>
          <w:szCs w:val="22"/>
        </w:rPr>
      </w:pPr>
      <w:r w:rsidRPr="00DC4232">
        <w:rPr>
          <w:sz w:val="22"/>
          <w:szCs w:val="22"/>
        </w:rPr>
        <w:t>force on 3 May 2008 and which requires for States Parties to take appropriate measures for access</w:t>
      </w:r>
    </w:p>
    <w:p w:rsidR="001B55D4" w:rsidRPr="00DC4232" w:rsidRDefault="001B55D4" w:rsidP="001B55D4">
      <w:pPr>
        <w:jc w:val="both"/>
        <w:rPr>
          <w:sz w:val="22"/>
          <w:szCs w:val="22"/>
        </w:rPr>
      </w:pPr>
      <w:r w:rsidRPr="00DC4232">
        <w:rPr>
          <w:sz w:val="22"/>
          <w:szCs w:val="22"/>
        </w:rPr>
        <w:lastRenderedPageBreak/>
        <w:t>for persons with disabilities on an equal basis with others to ICT, emergency services and Internet</w:t>
      </w:r>
    </w:p>
    <w:p w:rsidR="001B55D4" w:rsidRPr="00DC4232" w:rsidRDefault="001B55D4" w:rsidP="001B55D4">
      <w:pPr>
        <w:jc w:val="both"/>
        <w:rPr>
          <w:sz w:val="22"/>
          <w:szCs w:val="22"/>
        </w:rPr>
      </w:pPr>
      <w:r w:rsidRPr="00DC4232">
        <w:rPr>
          <w:sz w:val="22"/>
          <w:szCs w:val="22"/>
        </w:rPr>
        <w:t>services,</w:t>
      </w:r>
    </w:p>
    <w:p w:rsidR="001B55D4" w:rsidRPr="00DC4232" w:rsidRDefault="001B55D4" w:rsidP="001B55D4">
      <w:pPr>
        <w:jc w:val="both"/>
        <w:rPr>
          <w:i/>
          <w:iCs/>
          <w:sz w:val="22"/>
          <w:szCs w:val="22"/>
        </w:rPr>
      </w:pPr>
      <w:r w:rsidRPr="00DC4232">
        <w:rPr>
          <w:i/>
          <w:iCs/>
          <w:sz w:val="22"/>
          <w:szCs w:val="22"/>
        </w:rPr>
        <w:t>considering</w:t>
      </w:r>
    </w:p>
    <w:p w:rsidR="001B55D4" w:rsidRPr="00DC4232" w:rsidRDefault="001B55D4" w:rsidP="001B55D4">
      <w:pPr>
        <w:jc w:val="both"/>
        <w:rPr>
          <w:sz w:val="22"/>
          <w:szCs w:val="22"/>
        </w:rPr>
      </w:pPr>
      <w:r w:rsidRPr="00DC4232">
        <w:rPr>
          <w:i/>
          <w:iCs/>
          <w:sz w:val="22"/>
          <w:szCs w:val="22"/>
        </w:rPr>
        <w:t xml:space="preserve">a) </w:t>
      </w:r>
      <w:r w:rsidRPr="00DC4232">
        <w:rPr>
          <w:sz w:val="22"/>
          <w:szCs w:val="22"/>
        </w:rPr>
        <w:t>that the World Health Organization estimates that ten per cent of the world's population</w:t>
      </w:r>
    </w:p>
    <w:p w:rsidR="001B55D4" w:rsidRPr="00DC4232" w:rsidRDefault="001B55D4" w:rsidP="001B55D4">
      <w:pPr>
        <w:jc w:val="both"/>
        <w:rPr>
          <w:sz w:val="22"/>
          <w:szCs w:val="22"/>
        </w:rPr>
      </w:pPr>
      <w:r w:rsidRPr="00DC4232">
        <w:rPr>
          <w:sz w:val="22"/>
          <w:szCs w:val="22"/>
        </w:rPr>
        <w:t>(more than 650 million people) are persons with disabilities, and that this percentage may</w:t>
      </w:r>
    </w:p>
    <w:p w:rsidR="001B55D4" w:rsidRPr="00DC4232" w:rsidRDefault="001B55D4" w:rsidP="001B55D4">
      <w:pPr>
        <w:jc w:val="both"/>
        <w:rPr>
          <w:sz w:val="22"/>
          <w:szCs w:val="22"/>
        </w:rPr>
      </w:pPr>
      <w:r w:rsidRPr="00DC4232">
        <w:rPr>
          <w:sz w:val="22"/>
          <w:szCs w:val="22"/>
        </w:rPr>
        <w:t>increase due to factors such as the greater availability of medical treatment and longer life</w:t>
      </w:r>
    </w:p>
    <w:p w:rsidR="001B55D4" w:rsidRPr="00DC4232" w:rsidRDefault="001B55D4" w:rsidP="001B55D4">
      <w:pPr>
        <w:jc w:val="both"/>
        <w:rPr>
          <w:sz w:val="22"/>
          <w:szCs w:val="22"/>
        </w:rPr>
      </w:pPr>
      <w:r w:rsidRPr="00DC4232">
        <w:rPr>
          <w:sz w:val="22"/>
          <w:szCs w:val="22"/>
        </w:rPr>
        <w:t>expectancy, and also because people may acquire disability through aging, accidents, wars and</w:t>
      </w:r>
    </w:p>
    <w:p w:rsidR="001B55D4" w:rsidRPr="00DC4232" w:rsidRDefault="001B55D4" w:rsidP="001B55D4">
      <w:pPr>
        <w:jc w:val="both"/>
        <w:rPr>
          <w:sz w:val="22"/>
          <w:szCs w:val="22"/>
        </w:rPr>
      </w:pPr>
      <w:r w:rsidRPr="00DC4232">
        <w:rPr>
          <w:sz w:val="22"/>
          <w:szCs w:val="22"/>
        </w:rPr>
        <w:t>circumstances of poverty;</w:t>
      </w:r>
    </w:p>
    <w:p w:rsidR="001B55D4" w:rsidRPr="00DC4232" w:rsidRDefault="001B55D4" w:rsidP="001B55D4">
      <w:pPr>
        <w:jc w:val="both"/>
        <w:rPr>
          <w:sz w:val="22"/>
          <w:szCs w:val="22"/>
        </w:rPr>
      </w:pPr>
      <w:r w:rsidRPr="00DC4232">
        <w:rPr>
          <w:i/>
          <w:iCs/>
          <w:sz w:val="22"/>
          <w:szCs w:val="22"/>
        </w:rPr>
        <w:t xml:space="preserve">b) </w:t>
      </w:r>
      <w:r w:rsidRPr="00DC4232">
        <w:rPr>
          <w:sz w:val="22"/>
          <w:szCs w:val="22"/>
        </w:rPr>
        <w:t>that over the past 60 years, the approach to disability adopted by United Nations agencies,</w:t>
      </w:r>
    </w:p>
    <w:p w:rsidR="001B55D4" w:rsidRPr="00DC4232" w:rsidRDefault="001B55D4" w:rsidP="001B55D4">
      <w:pPr>
        <w:jc w:val="both"/>
        <w:rPr>
          <w:sz w:val="22"/>
          <w:szCs w:val="22"/>
        </w:rPr>
      </w:pPr>
      <w:r w:rsidRPr="00DC4232">
        <w:rPr>
          <w:sz w:val="22"/>
          <w:szCs w:val="22"/>
        </w:rPr>
        <w:t>and by many Member States (through a changed emphasis in their laws, regulations, policies and</w:t>
      </w:r>
    </w:p>
    <w:p w:rsidR="001B55D4" w:rsidRPr="00DC4232" w:rsidRDefault="001B55D4" w:rsidP="001B55D4">
      <w:pPr>
        <w:jc w:val="both"/>
        <w:rPr>
          <w:sz w:val="22"/>
          <w:szCs w:val="22"/>
        </w:rPr>
      </w:pPr>
      <w:r w:rsidRPr="00DC4232">
        <w:rPr>
          <w:sz w:val="22"/>
          <w:szCs w:val="22"/>
        </w:rPr>
        <w:t>programmes), has moved from a health and welfare perspective to a human-rights based</w:t>
      </w:r>
    </w:p>
    <w:p w:rsidR="001B55D4" w:rsidRPr="00DC4232" w:rsidRDefault="001B55D4" w:rsidP="001B55D4">
      <w:pPr>
        <w:jc w:val="both"/>
        <w:rPr>
          <w:sz w:val="22"/>
          <w:szCs w:val="22"/>
        </w:rPr>
      </w:pPr>
      <w:r w:rsidRPr="00DC4232">
        <w:rPr>
          <w:sz w:val="22"/>
          <w:szCs w:val="22"/>
        </w:rPr>
        <w:t>approach, which recognizes that persons with disabilities are people first, and that societal actions</w:t>
      </w:r>
    </w:p>
    <w:p w:rsidR="001B55D4" w:rsidRPr="00DC4232" w:rsidRDefault="001B55D4" w:rsidP="001B55D4">
      <w:pPr>
        <w:jc w:val="both"/>
        <w:rPr>
          <w:sz w:val="22"/>
          <w:szCs w:val="22"/>
        </w:rPr>
      </w:pPr>
      <w:r w:rsidRPr="00DC4232">
        <w:rPr>
          <w:sz w:val="22"/>
          <w:szCs w:val="22"/>
        </w:rPr>
        <w:t>have, in certain instances, placed barriers upon them as opposed to their disabilities, and which</w:t>
      </w:r>
    </w:p>
    <w:p w:rsidR="001B55D4" w:rsidRPr="00DC4232" w:rsidRDefault="001B55D4" w:rsidP="001B55D4">
      <w:pPr>
        <w:jc w:val="both"/>
        <w:rPr>
          <w:sz w:val="22"/>
          <w:szCs w:val="22"/>
        </w:rPr>
      </w:pPr>
      <w:r w:rsidRPr="00DC4232">
        <w:rPr>
          <w:sz w:val="22"/>
          <w:szCs w:val="22"/>
        </w:rPr>
        <w:t>includes the goal of full participation in society by persons with disabilities;</w:t>
      </w:r>
    </w:p>
    <w:p w:rsidR="001B55D4" w:rsidRPr="00DC4232" w:rsidRDefault="001B55D4" w:rsidP="001B55D4">
      <w:pPr>
        <w:jc w:val="both"/>
        <w:rPr>
          <w:sz w:val="22"/>
          <w:szCs w:val="22"/>
        </w:rPr>
      </w:pPr>
      <w:r w:rsidRPr="00DC4232">
        <w:rPr>
          <w:i/>
          <w:iCs/>
          <w:sz w:val="22"/>
          <w:szCs w:val="22"/>
        </w:rPr>
        <w:t xml:space="preserve">c) </w:t>
      </w:r>
      <w:r w:rsidRPr="00DC4232">
        <w:rPr>
          <w:sz w:val="22"/>
          <w:szCs w:val="22"/>
        </w:rPr>
        <w:t>that the United Nations Convention on the Rights of Persons with Disabilities, which entered</w:t>
      </w:r>
    </w:p>
    <w:p w:rsidR="001B55D4" w:rsidRPr="00DC4232" w:rsidRDefault="001B55D4" w:rsidP="001B55D4">
      <w:pPr>
        <w:jc w:val="both"/>
        <w:rPr>
          <w:sz w:val="22"/>
          <w:szCs w:val="22"/>
        </w:rPr>
      </w:pPr>
      <w:r w:rsidRPr="00DC4232">
        <w:rPr>
          <w:sz w:val="22"/>
          <w:szCs w:val="22"/>
        </w:rPr>
        <w:t>into force on 3 May 2008, requires States Parties, under Article 9 on Accessibility, to take</w:t>
      </w:r>
    </w:p>
    <w:p w:rsidR="001B55D4" w:rsidRPr="00DC4232" w:rsidRDefault="001B55D4" w:rsidP="001B55D4">
      <w:pPr>
        <w:jc w:val="both"/>
        <w:rPr>
          <w:sz w:val="22"/>
          <w:szCs w:val="22"/>
        </w:rPr>
      </w:pPr>
      <w:r w:rsidRPr="00DC4232">
        <w:rPr>
          <w:sz w:val="22"/>
          <w:szCs w:val="22"/>
        </w:rPr>
        <w:t>appropriate measures including:</w:t>
      </w:r>
    </w:p>
    <w:p w:rsidR="001B55D4" w:rsidRPr="00DC4232" w:rsidRDefault="001B55D4" w:rsidP="001B55D4">
      <w:pPr>
        <w:jc w:val="both"/>
        <w:rPr>
          <w:sz w:val="22"/>
          <w:szCs w:val="22"/>
        </w:rPr>
      </w:pPr>
      <w:proofErr w:type="spellStart"/>
      <w:r w:rsidRPr="00DC4232">
        <w:rPr>
          <w:sz w:val="22"/>
          <w:szCs w:val="22"/>
        </w:rPr>
        <w:t>i</w:t>
      </w:r>
      <w:proofErr w:type="spellEnd"/>
      <w:r w:rsidRPr="00DC4232">
        <w:rPr>
          <w:sz w:val="22"/>
          <w:szCs w:val="22"/>
        </w:rPr>
        <w:t>) 9(2)(g) "to promote access for persons with disabilities to new information and</w:t>
      </w:r>
    </w:p>
    <w:p w:rsidR="001B55D4" w:rsidRPr="00DC4232" w:rsidRDefault="001B55D4" w:rsidP="001B55D4">
      <w:pPr>
        <w:jc w:val="both"/>
        <w:rPr>
          <w:sz w:val="22"/>
          <w:szCs w:val="22"/>
        </w:rPr>
      </w:pPr>
      <w:r w:rsidRPr="00DC4232">
        <w:rPr>
          <w:sz w:val="22"/>
          <w:szCs w:val="22"/>
        </w:rPr>
        <w:t>communications technologies and systems, including the Internet";</w:t>
      </w:r>
    </w:p>
    <w:p w:rsidR="001B55D4" w:rsidRPr="00DC4232" w:rsidRDefault="001B55D4" w:rsidP="001B55D4">
      <w:pPr>
        <w:jc w:val="both"/>
        <w:rPr>
          <w:sz w:val="22"/>
          <w:szCs w:val="22"/>
        </w:rPr>
      </w:pPr>
      <w:r w:rsidRPr="00DC4232">
        <w:rPr>
          <w:sz w:val="22"/>
          <w:szCs w:val="22"/>
        </w:rPr>
        <w:t>ii) 9(2)(h) "to promote the design, development, production and distribution of accessible</w:t>
      </w:r>
    </w:p>
    <w:p w:rsidR="001B55D4" w:rsidRPr="00DC4232" w:rsidRDefault="001B55D4" w:rsidP="001B55D4">
      <w:pPr>
        <w:jc w:val="both"/>
        <w:rPr>
          <w:sz w:val="22"/>
          <w:szCs w:val="22"/>
        </w:rPr>
      </w:pPr>
      <w:r w:rsidRPr="00DC4232">
        <w:rPr>
          <w:sz w:val="22"/>
          <w:szCs w:val="22"/>
        </w:rPr>
        <w:t>information and communications technologies and systems at an early stage, so that these</w:t>
      </w:r>
    </w:p>
    <w:p w:rsidR="001B55D4" w:rsidRPr="00DC4232" w:rsidRDefault="001B55D4" w:rsidP="001B55D4">
      <w:pPr>
        <w:jc w:val="both"/>
        <w:rPr>
          <w:sz w:val="22"/>
          <w:szCs w:val="22"/>
        </w:rPr>
      </w:pPr>
      <w:r w:rsidRPr="00DC4232">
        <w:rPr>
          <w:sz w:val="22"/>
          <w:szCs w:val="22"/>
        </w:rPr>
        <w:t>technologies and systems become accessible at minimum cost";</w:t>
      </w:r>
    </w:p>
    <w:p w:rsidR="001B55D4" w:rsidRPr="00DC4232" w:rsidRDefault="001B55D4" w:rsidP="001B55D4">
      <w:pPr>
        <w:jc w:val="both"/>
        <w:rPr>
          <w:sz w:val="22"/>
          <w:szCs w:val="22"/>
        </w:rPr>
      </w:pPr>
      <w:r w:rsidRPr="00DC4232">
        <w:rPr>
          <w:i/>
          <w:iCs/>
          <w:sz w:val="22"/>
          <w:szCs w:val="22"/>
        </w:rPr>
        <w:t xml:space="preserve">d) </w:t>
      </w:r>
      <w:r w:rsidRPr="00DC4232">
        <w:rPr>
          <w:sz w:val="22"/>
          <w:szCs w:val="22"/>
        </w:rPr>
        <w:t>the importance of cooperation between governments, the private sector and relevant</w:t>
      </w:r>
    </w:p>
    <w:p w:rsidR="001B55D4" w:rsidRPr="00DC4232" w:rsidRDefault="001B55D4" w:rsidP="001B55D4">
      <w:pPr>
        <w:jc w:val="both"/>
        <w:rPr>
          <w:sz w:val="22"/>
          <w:szCs w:val="22"/>
        </w:rPr>
      </w:pPr>
      <w:r w:rsidRPr="00DC4232">
        <w:rPr>
          <w:sz w:val="22"/>
          <w:szCs w:val="22"/>
        </w:rPr>
        <w:t>organizations to provide possibilities for low-cost access,</w:t>
      </w:r>
    </w:p>
    <w:p w:rsidR="001B55D4" w:rsidRPr="00DC4232" w:rsidRDefault="001B55D4" w:rsidP="001B55D4">
      <w:pPr>
        <w:jc w:val="both"/>
        <w:rPr>
          <w:i/>
          <w:iCs/>
          <w:sz w:val="22"/>
          <w:szCs w:val="22"/>
        </w:rPr>
      </w:pPr>
      <w:r w:rsidRPr="00DC4232">
        <w:rPr>
          <w:i/>
          <w:iCs/>
          <w:sz w:val="22"/>
          <w:szCs w:val="22"/>
        </w:rPr>
        <w:t>recalling</w:t>
      </w:r>
    </w:p>
    <w:p w:rsidR="001B55D4" w:rsidRPr="00DC4232" w:rsidRDefault="001B55D4" w:rsidP="001B55D4">
      <w:pPr>
        <w:jc w:val="both"/>
        <w:rPr>
          <w:sz w:val="22"/>
          <w:szCs w:val="22"/>
        </w:rPr>
      </w:pPr>
      <w:r w:rsidRPr="00DC4232">
        <w:rPr>
          <w:i/>
          <w:iCs/>
          <w:sz w:val="22"/>
          <w:szCs w:val="22"/>
        </w:rPr>
        <w:t xml:space="preserve">a) </w:t>
      </w:r>
      <w:r w:rsidRPr="00DC4232">
        <w:rPr>
          <w:sz w:val="22"/>
          <w:szCs w:val="22"/>
        </w:rPr>
        <w:t>§ 18 of the Tunis Commitment, made at the second phase of the World Summit on the</w:t>
      </w:r>
    </w:p>
    <w:p w:rsidR="001B55D4" w:rsidRPr="00DC4232" w:rsidRDefault="001B55D4" w:rsidP="001B55D4">
      <w:pPr>
        <w:jc w:val="both"/>
        <w:rPr>
          <w:sz w:val="22"/>
          <w:szCs w:val="22"/>
        </w:rPr>
      </w:pPr>
      <w:r w:rsidRPr="00DC4232">
        <w:rPr>
          <w:sz w:val="22"/>
          <w:szCs w:val="22"/>
        </w:rPr>
        <w:t>Information Society (Tunis, 2005): "We shall strive unremittingly, therefore, to promote universal,</w:t>
      </w:r>
    </w:p>
    <w:p w:rsidR="001B55D4" w:rsidRPr="00DC4232" w:rsidRDefault="001B55D4" w:rsidP="001B55D4">
      <w:pPr>
        <w:jc w:val="both"/>
        <w:rPr>
          <w:sz w:val="22"/>
          <w:szCs w:val="22"/>
        </w:rPr>
      </w:pPr>
      <w:r w:rsidRPr="00DC4232">
        <w:rPr>
          <w:sz w:val="22"/>
          <w:szCs w:val="22"/>
        </w:rPr>
        <w:t>ubiquitous, equitable and affordable access to ICTs, including universal design and assistive</w:t>
      </w:r>
    </w:p>
    <w:p w:rsidR="001B55D4" w:rsidRPr="00DC4232" w:rsidRDefault="001B55D4" w:rsidP="001B55D4">
      <w:pPr>
        <w:jc w:val="both"/>
        <w:rPr>
          <w:sz w:val="22"/>
          <w:szCs w:val="22"/>
        </w:rPr>
      </w:pPr>
      <w:r w:rsidRPr="00DC4232">
        <w:rPr>
          <w:sz w:val="22"/>
          <w:szCs w:val="22"/>
        </w:rPr>
        <w:t>technologies, for all people, especially those with disabilities, everywhere, to ensure that the</w:t>
      </w:r>
    </w:p>
    <w:p w:rsidR="001B55D4" w:rsidRPr="00DC4232" w:rsidRDefault="001B55D4" w:rsidP="001B55D4">
      <w:pPr>
        <w:jc w:val="both"/>
        <w:rPr>
          <w:sz w:val="22"/>
          <w:szCs w:val="22"/>
        </w:rPr>
      </w:pPr>
      <w:r w:rsidRPr="00DC4232">
        <w:rPr>
          <w:sz w:val="22"/>
          <w:szCs w:val="22"/>
        </w:rPr>
        <w:t>benefits are more evenly distributed between and within societies, and to bridge the digital divide</w:t>
      </w:r>
    </w:p>
    <w:p w:rsidR="001B55D4" w:rsidRPr="00DC4232" w:rsidRDefault="001B55D4" w:rsidP="001B55D4">
      <w:pPr>
        <w:jc w:val="both"/>
        <w:rPr>
          <w:sz w:val="22"/>
          <w:szCs w:val="22"/>
        </w:rPr>
      </w:pPr>
      <w:r w:rsidRPr="00DC4232">
        <w:rPr>
          <w:sz w:val="22"/>
          <w:szCs w:val="22"/>
        </w:rPr>
        <w:t>in order to create digital opportunities for all and benefit from the potential offered by ICTs for</w:t>
      </w:r>
    </w:p>
    <w:p w:rsidR="001B55D4" w:rsidRPr="00DC4232" w:rsidRDefault="001B55D4" w:rsidP="001B55D4">
      <w:pPr>
        <w:jc w:val="both"/>
        <w:rPr>
          <w:sz w:val="22"/>
          <w:szCs w:val="22"/>
        </w:rPr>
      </w:pPr>
      <w:r w:rsidRPr="00DC4232">
        <w:rPr>
          <w:sz w:val="22"/>
          <w:szCs w:val="22"/>
        </w:rPr>
        <w:t>development";</w:t>
      </w:r>
    </w:p>
    <w:p w:rsidR="001B55D4" w:rsidRPr="00DC4232" w:rsidRDefault="001B55D4" w:rsidP="001B55D4">
      <w:pPr>
        <w:jc w:val="both"/>
        <w:rPr>
          <w:sz w:val="22"/>
          <w:szCs w:val="22"/>
        </w:rPr>
      </w:pPr>
      <w:r w:rsidRPr="00DC4232">
        <w:rPr>
          <w:i/>
          <w:iCs/>
          <w:sz w:val="22"/>
          <w:szCs w:val="22"/>
        </w:rPr>
        <w:t xml:space="preserve">b) </w:t>
      </w:r>
      <w:r w:rsidRPr="00DC4232">
        <w:rPr>
          <w:sz w:val="22"/>
          <w:szCs w:val="22"/>
        </w:rPr>
        <w:t xml:space="preserve">the </w:t>
      </w:r>
      <w:proofErr w:type="spellStart"/>
      <w:r w:rsidRPr="00DC4232">
        <w:rPr>
          <w:sz w:val="22"/>
          <w:szCs w:val="22"/>
        </w:rPr>
        <w:t>Phuket</w:t>
      </w:r>
      <w:proofErr w:type="spellEnd"/>
      <w:r w:rsidRPr="00DC4232">
        <w:rPr>
          <w:sz w:val="22"/>
          <w:szCs w:val="22"/>
        </w:rPr>
        <w:t xml:space="preserve"> Declaration on Tsunami Preparedness for Persons with Disabilities</w:t>
      </w:r>
    </w:p>
    <w:p w:rsidR="001B55D4" w:rsidRPr="00DC4232" w:rsidRDefault="001B55D4" w:rsidP="001B55D4">
      <w:pPr>
        <w:jc w:val="both"/>
        <w:rPr>
          <w:sz w:val="22"/>
          <w:szCs w:val="22"/>
        </w:rPr>
      </w:pPr>
      <w:r w:rsidRPr="00DC4232">
        <w:rPr>
          <w:sz w:val="22"/>
          <w:szCs w:val="22"/>
        </w:rPr>
        <w:t>(</w:t>
      </w:r>
      <w:proofErr w:type="spellStart"/>
      <w:r w:rsidRPr="00DC4232">
        <w:rPr>
          <w:sz w:val="22"/>
          <w:szCs w:val="22"/>
        </w:rPr>
        <w:t>Phuket</w:t>
      </w:r>
      <w:proofErr w:type="spellEnd"/>
      <w:r w:rsidRPr="00DC4232">
        <w:rPr>
          <w:sz w:val="22"/>
          <w:szCs w:val="22"/>
        </w:rPr>
        <w:t>, 2007), which emphasizes the need for inclusive emergency warning and disaster</w:t>
      </w:r>
    </w:p>
    <w:p w:rsidR="001B55D4" w:rsidRPr="00DC4232" w:rsidRDefault="001B55D4" w:rsidP="001B55D4">
      <w:pPr>
        <w:jc w:val="both"/>
        <w:rPr>
          <w:sz w:val="22"/>
          <w:szCs w:val="22"/>
        </w:rPr>
      </w:pPr>
      <w:r w:rsidRPr="00DC4232">
        <w:rPr>
          <w:sz w:val="22"/>
          <w:szCs w:val="22"/>
        </w:rPr>
        <w:t>management systems using telecommunication/ICT facilities based on open, non-proprietary,</w:t>
      </w:r>
    </w:p>
    <w:p w:rsidR="001B55D4" w:rsidRPr="00DC4232" w:rsidRDefault="001B55D4" w:rsidP="001B55D4">
      <w:pPr>
        <w:jc w:val="both"/>
        <w:rPr>
          <w:sz w:val="22"/>
          <w:szCs w:val="22"/>
        </w:rPr>
      </w:pPr>
      <w:r w:rsidRPr="00DC4232">
        <w:rPr>
          <w:sz w:val="22"/>
          <w:szCs w:val="22"/>
        </w:rPr>
        <w:t>global standards;</w:t>
      </w:r>
    </w:p>
    <w:p w:rsidR="001B55D4" w:rsidRPr="00DC4232" w:rsidRDefault="001B55D4" w:rsidP="001B55D4">
      <w:pPr>
        <w:jc w:val="both"/>
        <w:rPr>
          <w:sz w:val="22"/>
          <w:szCs w:val="22"/>
        </w:rPr>
      </w:pPr>
      <w:r w:rsidRPr="00DC4232">
        <w:rPr>
          <w:i/>
          <w:iCs/>
          <w:sz w:val="22"/>
          <w:szCs w:val="22"/>
        </w:rPr>
        <w:t xml:space="preserve">c) </w:t>
      </w:r>
      <w:r w:rsidRPr="00DC4232">
        <w:rPr>
          <w:sz w:val="22"/>
          <w:szCs w:val="22"/>
        </w:rPr>
        <w:t>Resolution GSC-14/27 agreed at the 14th Global Standards Collaboration meeting</w:t>
      </w:r>
    </w:p>
    <w:p w:rsidR="001B55D4" w:rsidRPr="00DC4232" w:rsidRDefault="001B55D4" w:rsidP="001B55D4">
      <w:pPr>
        <w:jc w:val="both"/>
        <w:rPr>
          <w:sz w:val="22"/>
          <w:szCs w:val="22"/>
        </w:rPr>
      </w:pPr>
      <w:r w:rsidRPr="00DC4232">
        <w:rPr>
          <w:sz w:val="22"/>
          <w:szCs w:val="22"/>
        </w:rPr>
        <w:lastRenderedPageBreak/>
        <w:t>(Geneva 2009), which encouraged greater collaboration among global regional and national</w:t>
      </w:r>
    </w:p>
    <w:p w:rsidR="001B55D4" w:rsidRPr="00DC4232" w:rsidRDefault="001B55D4" w:rsidP="001B55D4">
      <w:pPr>
        <w:jc w:val="both"/>
        <w:rPr>
          <w:sz w:val="22"/>
          <w:szCs w:val="22"/>
        </w:rPr>
      </w:pPr>
      <w:r w:rsidRPr="00DC4232">
        <w:rPr>
          <w:sz w:val="22"/>
          <w:szCs w:val="22"/>
        </w:rPr>
        <w:t>standardization bodies as a basis for establishing and/or strengthening activities and initiatives</w:t>
      </w:r>
    </w:p>
    <w:p w:rsidR="001B55D4" w:rsidRPr="00DC4232" w:rsidRDefault="001B55D4" w:rsidP="001B55D4">
      <w:pPr>
        <w:jc w:val="both"/>
        <w:rPr>
          <w:sz w:val="22"/>
          <w:szCs w:val="22"/>
        </w:rPr>
      </w:pPr>
      <w:r w:rsidRPr="00DC4232">
        <w:rPr>
          <w:sz w:val="22"/>
          <w:szCs w:val="22"/>
        </w:rPr>
        <w:t>concerning the use of telecommunication/ICT accessibility for persons with disabilities,</w:t>
      </w:r>
    </w:p>
    <w:p w:rsidR="001B55D4" w:rsidRPr="00DC4232" w:rsidRDefault="001B55D4" w:rsidP="001B55D4">
      <w:pPr>
        <w:jc w:val="both"/>
        <w:rPr>
          <w:i/>
          <w:iCs/>
          <w:sz w:val="22"/>
          <w:szCs w:val="22"/>
        </w:rPr>
      </w:pPr>
      <w:r w:rsidRPr="00DC4232">
        <w:rPr>
          <w:i/>
          <w:iCs/>
          <w:sz w:val="22"/>
          <w:szCs w:val="22"/>
        </w:rPr>
        <w:t>resolves</w:t>
      </w:r>
    </w:p>
    <w:p w:rsidR="001B55D4" w:rsidRPr="00DC4232" w:rsidRDefault="001B55D4" w:rsidP="001B55D4">
      <w:pPr>
        <w:jc w:val="both"/>
        <w:rPr>
          <w:sz w:val="22"/>
          <w:szCs w:val="22"/>
        </w:rPr>
      </w:pPr>
      <w:r w:rsidRPr="00DC4232">
        <w:rPr>
          <w:sz w:val="22"/>
          <w:szCs w:val="22"/>
        </w:rPr>
        <w:t>to take account of persons with disabilities in the work of ITU, and to collaborate in adopting a</w:t>
      </w:r>
    </w:p>
    <w:p w:rsidR="001B55D4" w:rsidRPr="00DC4232" w:rsidRDefault="001B55D4" w:rsidP="001B55D4">
      <w:pPr>
        <w:jc w:val="both"/>
        <w:rPr>
          <w:sz w:val="22"/>
          <w:szCs w:val="22"/>
        </w:rPr>
      </w:pPr>
      <w:r w:rsidRPr="00DC4232">
        <w:rPr>
          <w:sz w:val="22"/>
          <w:szCs w:val="22"/>
        </w:rPr>
        <w:t>comprehensive action plan in order to extend access to telecommunications/ICTs to persons with</w:t>
      </w:r>
    </w:p>
    <w:p w:rsidR="001B55D4" w:rsidRPr="00DC4232" w:rsidRDefault="001B55D4" w:rsidP="001B55D4">
      <w:pPr>
        <w:jc w:val="both"/>
        <w:rPr>
          <w:sz w:val="22"/>
          <w:szCs w:val="22"/>
        </w:rPr>
      </w:pPr>
      <w:r w:rsidRPr="00DC4232">
        <w:rPr>
          <w:sz w:val="22"/>
          <w:szCs w:val="22"/>
        </w:rPr>
        <w:t>disabilities, in collaboration with external entities and bodies concerned with this subject,</w:t>
      </w:r>
    </w:p>
    <w:p w:rsidR="001B55D4" w:rsidRPr="00DC4232" w:rsidRDefault="001B55D4" w:rsidP="001B55D4">
      <w:pPr>
        <w:jc w:val="both"/>
        <w:rPr>
          <w:i/>
          <w:iCs/>
          <w:sz w:val="22"/>
          <w:szCs w:val="22"/>
        </w:rPr>
      </w:pPr>
      <w:r w:rsidRPr="00DC4232">
        <w:rPr>
          <w:i/>
          <w:iCs/>
          <w:sz w:val="22"/>
          <w:szCs w:val="22"/>
        </w:rPr>
        <w:t>instructs the Secretary-General, in consultation with the Directors of the Bureaux</w:t>
      </w:r>
    </w:p>
    <w:p w:rsidR="001B55D4" w:rsidRPr="00DC4232" w:rsidRDefault="001B55D4" w:rsidP="001B55D4">
      <w:pPr>
        <w:jc w:val="both"/>
        <w:rPr>
          <w:sz w:val="22"/>
          <w:szCs w:val="22"/>
        </w:rPr>
      </w:pPr>
      <w:r w:rsidRPr="00DC4232">
        <w:rPr>
          <w:sz w:val="22"/>
          <w:szCs w:val="22"/>
        </w:rPr>
        <w:t>1 to coordinate accessibility-related activities between ITU-T, ITU-R and ITU-D, in collaboration</w:t>
      </w:r>
    </w:p>
    <w:p w:rsidR="001B55D4" w:rsidRPr="00DC4232" w:rsidRDefault="001B55D4" w:rsidP="001B55D4">
      <w:pPr>
        <w:jc w:val="both"/>
        <w:rPr>
          <w:sz w:val="22"/>
          <w:szCs w:val="22"/>
        </w:rPr>
      </w:pPr>
      <w:r w:rsidRPr="00DC4232">
        <w:rPr>
          <w:sz w:val="22"/>
          <w:szCs w:val="22"/>
        </w:rPr>
        <w:t>with other relevant organizations and entities where appropriate, in order to avoid duplication</w:t>
      </w:r>
    </w:p>
    <w:p w:rsidR="001B55D4" w:rsidRPr="00DC4232" w:rsidRDefault="001B55D4" w:rsidP="001B55D4">
      <w:pPr>
        <w:jc w:val="both"/>
        <w:rPr>
          <w:sz w:val="22"/>
          <w:szCs w:val="22"/>
        </w:rPr>
      </w:pPr>
      <w:r w:rsidRPr="00DC4232">
        <w:rPr>
          <w:sz w:val="22"/>
          <w:szCs w:val="22"/>
        </w:rPr>
        <w:t>and to ensure that the needs of persons with disabilities are taken into account;</w:t>
      </w:r>
    </w:p>
    <w:p w:rsidR="001B55D4" w:rsidRPr="00DC4232" w:rsidRDefault="001B55D4" w:rsidP="001B55D4">
      <w:pPr>
        <w:jc w:val="both"/>
        <w:rPr>
          <w:sz w:val="22"/>
          <w:szCs w:val="22"/>
        </w:rPr>
      </w:pPr>
      <w:r w:rsidRPr="00DC4232">
        <w:rPr>
          <w:sz w:val="22"/>
          <w:szCs w:val="22"/>
        </w:rPr>
        <w:t>2 to consider the financial implications for ITU of providing accessible information through</w:t>
      </w:r>
    </w:p>
    <w:p w:rsidR="001B55D4" w:rsidRPr="00DC4232" w:rsidRDefault="001B55D4" w:rsidP="001B55D4">
      <w:pPr>
        <w:jc w:val="both"/>
        <w:rPr>
          <w:sz w:val="22"/>
          <w:szCs w:val="22"/>
        </w:rPr>
      </w:pPr>
      <w:r w:rsidRPr="00DC4232">
        <w:rPr>
          <w:sz w:val="22"/>
          <w:szCs w:val="22"/>
        </w:rPr>
        <w:t>ICTs and to ITU facilities, services and programmes for participants with visual, hearing or physical</w:t>
      </w:r>
    </w:p>
    <w:p w:rsidR="001B55D4" w:rsidRPr="00DC4232" w:rsidRDefault="001B55D4" w:rsidP="001B55D4">
      <w:pPr>
        <w:jc w:val="both"/>
        <w:rPr>
          <w:sz w:val="22"/>
          <w:szCs w:val="22"/>
        </w:rPr>
      </w:pPr>
      <w:r w:rsidRPr="00DC4232">
        <w:rPr>
          <w:sz w:val="22"/>
          <w:szCs w:val="22"/>
        </w:rPr>
        <w:t>disabilities, including captioning at meetings, access to print information and the ITU website,</w:t>
      </w:r>
    </w:p>
    <w:p w:rsidR="001B55D4" w:rsidRPr="00DC4232" w:rsidRDefault="001B55D4" w:rsidP="001B55D4">
      <w:pPr>
        <w:jc w:val="both"/>
        <w:rPr>
          <w:sz w:val="22"/>
          <w:szCs w:val="22"/>
        </w:rPr>
      </w:pPr>
      <w:r w:rsidRPr="00DC4232">
        <w:rPr>
          <w:sz w:val="22"/>
          <w:szCs w:val="22"/>
        </w:rPr>
        <w:t>access to ITU buildings and meeting facilities, and the adoption of accessible ITU recruitment</w:t>
      </w:r>
    </w:p>
    <w:p w:rsidR="001B55D4" w:rsidRPr="00DC4232" w:rsidRDefault="001B55D4" w:rsidP="001B55D4">
      <w:pPr>
        <w:jc w:val="both"/>
        <w:rPr>
          <w:sz w:val="22"/>
          <w:szCs w:val="22"/>
        </w:rPr>
      </w:pPr>
      <w:r w:rsidRPr="00DC4232">
        <w:rPr>
          <w:sz w:val="22"/>
          <w:szCs w:val="22"/>
        </w:rPr>
        <w:t>practices and employment;</w:t>
      </w:r>
    </w:p>
    <w:p w:rsidR="001B55D4" w:rsidRPr="00DC4232" w:rsidRDefault="001B55D4" w:rsidP="001B55D4">
      <w:pPr>
        <w:jc w:val="both"/>
        <w:rPr>
          <w:sz w:val="22"/>
          <w:szCs w:val="22"/>
        </w:rPr>
      </w:pPr>
      <w:r w:rsidRPr="00DC4232">
        <w:rPr>
          <w:sz w:val="22"/>
          <w:szCs w:val="22"/>
        </w:rPr>
        <w:t>3 to encourage and promote representation by persons with disabilities so as to ensure that</w:t>
      </w:r>
    </w:p>
    <w:p w:rsidR="001B55D4" w:rsidRPr="00DC4232" w:rsidRDefault="001B55D4" w:rsidP="001B55D4">
      <w:pPr>
        <w:jc w:val="both"/>
        <w:rPr>
          <w:sz w:val="22"/>
          <w:szCs w:val="22"/>
        </w:rPr>
      </w:pPr>
      <w:r w:rsidRPr="00DC4232">
        <w:rPr>
          <w:sz w:val="22"/>
          <w:szCs w:val="22"/>
        </w:rPr>
        <w:t>their experiences, views and opinions are taken into account when developing and progressing ITU</w:t>
      </w:r>
    </w:p>
    <w:p w:rsidR="001B55D4" w:rsidRPr="00DC4232" w:rsidRDefault="001B55D4" w:rsidP="001B55D4">
      <w:pPr>
        <w:jc w:val="both"/>
        <w:rPr>
          <w:sz w:val="22"/>
          <w:szCs w:val="22"/>
        </w:rPr>
      </w:pPr>
      <w:r w:rsidRPr="00DC4232">
        <w:rPr>
          <w:sz w:val="22"/>
          <w:szCs w:val="22"/>
        </w:rPr>
        <w:t>work;</w:t>
      </w:r>
    </w:p>
    <w:p w:rsidR="001B55D4" w:rsidRPr="00DC4232" w:rsidRDefault="001B55D4" w:rsidP="001B55D4">
      <w:pPr>
        <w:jc w:val="both"/>
        <w:rPr>
          <w:sz w:val="22"/>
          <w:szCs w:val="22"/>
        </w:rPr>
      </w:pPr>
      <w:r w:rsidRPr="00DC4232">
        <w:rPr>
          <w:sz w:val="22"/>
          <w:szCs w:val="22"/>
        </w:rPr>
        <w:t>4 to consider expanding the fellowship programme in order to enable delegates with</w:t>
      </w:r>
    </w:p>
    <w:p w:rsidR="001B55D4" w:rsidRPr="00DC4232" w:rsidRDefault="001B55D4" w:rsidP="001B55D4">
      <w:pPr>
        <w:jc w:val="both"/>
        <w:rPr>
          <w:sz w:val="22"/>
          <w:szCs w:val="22"/>
        </w:rPr>
      </w:pPr>
      <w:r w:rsidRPr="00DC4232">
        <w:rPr>
          <w:sz w:val="22"/>
          <w:szCs w:val="22"/>
        </w:rPr>
        <w:t>disabilities, within existing budgetary constraints, to participate in the work of ITU;</w:t>
      </w:r>
    </w:p>
    <w:p w:rsidR="001B55D4" w:rsidRPr="00DC4232" w:rsidRDefault="001B55D4" w:rsidP="001B55D4">
      <w:pPr>
        <w:jc w:val="both"/>
        <w:rPr>
          <w:sz w:val="22"/>
          <w:szCs w:val="22"/>
        </w:rPr>
      </w:pPr>
      <w:r w:rsidRPr="00DC4232">
        <w:rPr>
          <w:sz w:val="22"/>
          <w:szCs w:val="22"/>
        </w:rPr>
        <w:t>5 to identify, document and disseminate examples of best practices for accessibility in the field</w:t>
      </w:r>
    </w:p>
    <w:p w:rsidR="001B55D4" w:rsidRPr="00DC4232" w:rsidRDefault="001B55D4" w:rsidP="001B55D4">
      <w:pPr>
        <w:jc w:val="both"/>
        <w:rPr>
          <w:sz w:val="22"/>
          <w:szCs w:val="22"/>
        </w:rPr>
      </w:pPr>
      <w:r w:rsidRPr="00DC4232">
        <w:rPr>
          <w:sz w:val="22"/>
          <w:szCs w:val="22"/>
        </w:rPr>
        <w:t>of telecommunications/ICTs among ITU Member States and Sector Members;</w:t>
      </w:r>
    </w:p>
    <w:p w:rsidR="001B55D4" w:rsidRPr="00DC4232" w:rsidRDefault="001B55D4" w:rsidP="001B55D4">
      <w:pPr>
        <w:jc w:val="both"/>
        <w:rPr>
          <w:sz w:val="22"/>
          <w:szCs w:val="22"/>
        </w:rPr>
      </w:pPr>
      <w:r w:rsidRPr="00DC4232">
        <w:rPr>
          <w:sz w:val="22"/>
          <w:szCs w:val="22"/>
        </w:rPr>
        <w:t>6 to work collaboratively on accessibility-related activities with ITU-T, ITU-R and ITU-D, in</w:t>
      </w:r>
    </w:p>
    <w:p w:rsidR="001B55D4" w:rsidRPr="00DC4232" w:rsidRDefault="001B55D4" w:rsidP="001B55D4">
      <w:pPr>
        <w:jc w:val="both"/>
        <w:rPr>
          <w:sz w:val="22"/>
          <w:szCs w:val="22"/>
        </w:rPr>
      </w:pPr>
      <w:r w:rsidRPr="00DC4232">
        <w:rPr>
          <w:sz w:val="22"/>
          <w:szCs w:val="22"/>
        </w:rPr>
        <w:t>particular concerning awareness and mainstreaming of telecommunication/ICT accessibility</w:t>
      </w:r>
    </w:p>
    <w:p w:rsidR="001B55D4" w:rsidRPr="00DC4232" w:rsidRDefault="001B55D4" w:rsidP="001B55D4">
      <w:pPr>
        <w:jc w:val="both"/>
        <w:rPr>
          <w:sz w:val="22"/>
          <w:szCs w:val="22"/>
        </w:rPr>
      </w:pPr>
      <w:r w:rsidRPr="00DC4232">
        <w:rPr>
          <w:sz w:val="22"/>
          <w:szCs w:val="22"/>
        </w:rPr>
        <w:t>standards and in developing programmes that enable developing countries to introduce services</w:t>
      </w:r>
    </w:p>
    <w:p w:rsidR="001B55D4" w:rsidRPr="00DC4232" w:rsidRDefault="001B55D4" w:rsidP="001B55D4">
      <w:pPr>
        <w:jc w:val="both"/>
        <w:rPr>
          <w:sz w:val="22"/>
          <w:szCs w:val="22"/>
        </w:rPr>
      </w:pPr>
      <w:r w:rsidRPr="00DC4232">
        <w:rPr>
          <w:sz w:val="22"/>
          <w:szCs w:val="22"/>
        </w:rPr>
        <w:t>that allow persons with disabilities to utilize telecommunication/ICT services effectively;</w:t>
      </w:r>
    </w:p>
    <w:p w:rsidR="001B55D4" w:rsidRPr="00DC4232" w:rsidRDefault="001B55D4" w:rsidP="001B55D4">
      <w:pPr>
        <w:jc w:val="both"/>
        <w:rPr>
          <w:sz w:val="22"/>
          <w:szCs w:val="22"/>
        </w:rPr>
      </w:pPr>
      <w:r w:rsidRPr="00DC4232">
        <w:rPr>
          <w:sz w:val="22"/>
          <w:szCs w:val="22"/>
        </w:rPr>
        <w:t>7 to work collaboratively and cooperatively with other relevant organizations and entities, in</w:t>
      </w:r>
    </w:p>
    <w:p w:rsidR="001B55D4" w:rsidRPr="00DC4232" w:rsidRDefault="001B55D4" w:rsidP="001B55D4">
      <w:pPr>
        <w:jc w:val="both"/>
        <w:rPr>
          <w:sz w:val="22"/>
          <w:szCs w:val="22"/>
        </w:rPr>
      </w:pPr>
      <w:r w:rsidRPr="00DC4232">
        <w:rPr>
          <w:sz w:val="22"/>
          <w:szCs w:val="22"/>
        </w:rPr>
        <w:t>particular in the interest of ensuring that ongoing work in the field of accessibility is taken into</w:t>
      </w:r>
    </w:p>
    <w:p w:rsidR="001B55D4" w:rsidRPr="00DC4232" w:rsidRDefault="001B55D4" w:rsidP="001B55D4">
      <w:pPr>
        <w:jc w:val="both"/>
        <w:rPr>
          <w:sz w:val="22"/>
          <w:szCs w:val="22"/>
        </w:rPr>
      </w:pPr>
      <w:r w:rsidRPr="00DC4232">
        <w:rPr>
          <w:sz w:val="22"/>
          <w:szCs w:val="22"/>
        </w:rPr>
        <w:t>account;</w:t>
      </w:r>
    </w:p>
    <w:p w:rsidR="001B55D4" w:rsidRPr="00DC4232" w:rsidRDefault="001B55D4" w:rsidP="001B55D4">
      <w:pPr>
        <w:jc w:val="both"/>
        <w:rPr>
          <w:sz w:val="22"/>
          <w:szCs w:val="22"/>
        </w:rPr>
      </w:pPr>
      <w:r w:rsidRPr="00DC4232">
        <w:rPr>
          <w:sz w:val="22"/>
          <w:szCs w:val="22"/>
        </w:rPr>
        <w:t>8 to work collaboratively and cooperatively with disability organizations in all regions to</w:t>
      </w:r>
    </w:p>
    <w:p w:rsidR="001B55D4" w:rsidRPr="00DC4232" w:rsidRDefault="001B55D4" w:rsidP="001B55D4">
      <w:pPr>
        <w:jc w:val="both"/>
        <w:rPr>
          <w:sz w:val="22"/>
          <w:szCs w:val="22"/>
        </w:rPr>
      </w:pPr>
      <w:r w:rsidRPr="00DC4232">
        <w:rPr>
          <w:sz w:val="22"/>
          <w:szCs w:val="22"/>
        </w:rPr>
        <w:t>ensure that the needs of persons with disabilities are taken into account;</w:t>
      </w:r>
    </w:p>
    <w:p w:rsidR="001B55D4" w:rsidRPr="00DC4232" w:rsidRDefault="001B55D4" w:rsidP="001B55D4">
      <w:pPr>
        <w:jc w:val="both"/>
        <w:rPr>
          <w:sz w:val="22"/>
          <w:szCs w:val="22"/>
        </w:rPr>
      </w:pPr>
      <w:r w:rsidRPr="00DC4232">
        <w:rPr>
          <w:sz w:val="22"/>
          <w:szCs w:val="22"/>
        </w:rPr>
        <w:t>9 to review the current ITU services and facilities, including meetings and events, in order to</w:t>
      </w:r>
    </w:p>
    <w:p w:rsidR="001B55D4" w:rsidRPr="00DC4232" w:rsidRDefault="001B55D4" w:rsidP="001B55D4">
      <w:pPr>
        <w:jc w:val="both"/>
        <w:rPr>
          <w:sz w:val="22"/>
          <w:szCs w:val="22"/>
        </w:rPr>
      </w:pPr>
      <w:r w:rsidRPr="00DC4232">
        <w:rPr>
          <w:sz w:val="22"/>
          <w:szCs w:val="22"/>
        </w:rPr>
        <w:t>make them available to persons with disabilities, and to endeavour to make the necessary changes</w:t>
      </w:r>
    </w:p>
    <w:p w:rsidR="001B55D4" w:rsidRPr="00DC4232" w:rsidRDefault="001B55D4" w:rsidP="001B55D4">
      <w:pPr>
        <w:jc w:val="both"/>
        <w:rPr>
          <w:sz w:val="22"/>
          <w:szCs w:val="22"/>
        </w:rPr>
      </w:pPr>
      <w:r w:rsidRPr="00DC4232">
        <w:rPr>
          <w:sz w:val="22"/>
          <w:szCs w:val="22"/>
        </w:rPr>
        <w:t>to improve accessibility, where appropriate and economically feasible, pursuant to United Nations</w:t>
      </w:r>
    </w:p>
    <w:p w:rsidR="001B55D4" w:rsidRPr="00DC4232" w:rsidRDefault="001B55D4" w:rsidP="001B55D4">
      <w:pPr>
        <w:jc w:val="both"/>
        <w:rPr>
          <w:sz w:val="22"/>
          <w:szCs w:val="22"/>
        </w:rPr>
      </w:pPr>
      <w:r w:rsidRPr="00DC4232">
        <w:rPr>
          <w:sz w:val="22"/>
          <w:szCs w:val="22"/>
        </w:rPr>
        <w:t>General Assembly Resolution 61/106;</w:t>
      </w:r>
    </w:p>
    <w:p w:rsidR="001B55D4" w:rsidRPr="00DC4232" w:rsidRDefault="001B55D4" w:rsidP="001B55D4">
      <w:pPr>
        <w:jc w:val="both"/>
        <w:rPr>
          <w:sz w:val="22"/>
          <w:szCs w:val="22"/>
        </w:rPr>
      </w:pPr>
      <w:r w:rsidRPr="00DC4232">
        <w:rPr>
          <w:sz w:val="22"/>
          <w:szCs w:val="22"/>
        </w:rPr>
        <w:t>10 to consider accessibility standards and guidelines whenever undertaking renovations or</w:t>
      </w:r>
    </w:p>
    <w:p w:rsidR="001B55D4" w:rsidRPr="00DC4232" w:rsidRDefault="001B55D4" w:rsidP="001B55D4">
      <w:pPr>
        <w:jc w:val="both"/>
        <w:rPr>
          <w:sz w:val="22"/>
          <w:szCs w:val="22"/>
        </w:rPr>
      </w:pPr>
      <w:r w:rsidRPr="00DC4232">
        <w:rPr>
          <w:sz w:val="22"/>
          <w:szCs w:val="22"/>
        </w:rPr>
        <w:lastRenderedPageBreak/>
        <w:t>changing the use of space at a facility, so that accessibility features are maintained and additional</w:t>
      </w:r>
    </w:p>
    <w:p w:rsidR="001B55D4" w:rsidRPr="00DC4232" w:rsidRDefault="001B55D4" w:rsidP="001B55D4">
      <w:pPr>
        <w:jc w:val="both"/>
        <w:rPr>
          <w:sz w:val="22"/>
          <w:szCs w:val="22"/>
        </w:rPr>
      </w:pPr>
      <w:r w:rsidRPr="00DC4232">
        <w:rPr>
          <w:sz w:val="22"/>
          <w:szCs w:val="22"/>
        </w:rPr>
        <w:t>barriers are not inadvertently implemented;</w:t>
      </w:r>
    </w:p>
    <w:p w:rsidR="001B55D4" w:rsidRPr="00DC4232" w:rsidRDefault="001B55D4" w:rsidP="001B55D4">
      <w:pPr>
        <w:jc w:val="both"/>
        <w:rPr>
          <w:sz w:val="22"/>
          <w:szCs w:val="22"/>
        </w:rPr>
      </w:pPr>
      <w:r w:rsidRPr="00DC4232">
        <w:rPr>
          <w:sz w:val="22"/>
          <w:szCs w:val="22"/>
        </w:rPr>
        <w:t>11 to prepare a report for submission to each annual session of the Council on implementation</w:t>
      </w:r>
    </w:p>
    <w:p w:rsidR="001B55D4" w:rsidRPr="00DC4232" w:rsidRDefault="001B55D4" w:rsidP="001B55D4">
      <w:pPr>
        <w:jc w:val="both"/>
        <w:rPr>
          <w:sz w:val="22"/>
          <w:szCs w:val="22"/>
        </w:rPr>
      </w:pPr>
      <w:r w:rsidRPr="00DC4232">
        <w:rPr>
          <w:sz w:val="22"/>
          <w:szCs w:val="22"/>
        </w:rPr>
        <w:t>of this resolution having regard to the budget allocated for this purpose;</w:t>
      </w:r>
    </w:p>
    <w:p w:rsidR="001B55D4" w:rsidRPr="00DC4232" w:rsidRDefault="001B55D4" w:rsidP="001B55D4">
      <w:pPr>
        <w:jc w:val="both"/>
        <w:rPr>
          <w:sz w:val="22"/>
          <w:szCs w:val="22"/>
        </w:rPr>
      </w:pPr>
      <w:r w:rsidRPr="00DC4232">
        <w:rPr>
          <w:sz w:val="22"/>
          <w:szCs w:val="22"/>
        </w:rPr>
        <w:t>12 to submit a report to the next plenipotentiary conference on measures taken to implement</w:t>
      </w:r>
    </w:p>
    <w:p w:rsidR="001B55D4" w:rsidRPr="00DC4232" w:rsidRDefault="001B55D4" w:rsidP="001B55D4">
      <w:pPr>
        <w:jc w:val="both"/>
        <w:rPr>
          <w:sz w:val="22"/>
          <w:szCs w:val="22"/>
        </w:rPr>
      </w:pPr>
      <w:r w:rsidRPr="00DC4232">
        <w:rPr>
          <w:sz w:val="22"/>
          <w:szCs w:val="22"/>
        </w:rPr>
        <w:t>this resolution,</w:t>
      </w:r>
    </w:p>
    <w:p w:rsidR="001B55D4" w:rsidRPr="00DC4232" w:rsidRDefault="001B55D4" w:rsidP="001B55D4">
      <w:pPr>
        <w:jc w:val="both"/>
        <w:rPr>
          <w:i/>
          <w:iCs/>
          <w:sz w:val="22"/>
          <w:szCs w:val="22"/>
        </w:rPr>
      </w:pPr>
      <w:r w:rsidRPr="00DC4232">
        <w:rPr>
          <w:i/>
          <w:iCs/>
          <w:sz w:val="22"/>
          <w:szCs w:val="22"/>
        </w:rPr>
        <w:t>invites Member States and Sector Members</w:t>
      </w:r>
    </w:p>
    <w:p w:rsidR="001B55D4" w:rsidRPr="00DC4232" w:rsidRDefault="001B55D4" w:rsidP="001B55D4">
      <w:pPr>
        <w:jc w:val="both"/>
        <w:rPr>
          <w:sz w:val="22"/>
          <w:szCs w:val="22"/>
        </w:rPr>
      </w:pPr>
      <w:r w:rsidRPr="00DC4232">
        <w:rPr>
          <w:sz w:val="22"/>
          <w:szCs w:val="22"/>
        </w:rPr>
        <w:t>1 to consider developing, within their national legal frameworks, guidelines or other</w:t>
      </w:r>
    </w:p>
    <w:p w:rsidR="001B55D4" w:rsidRPr="00DC4232" w:rsidRDefault="001B55D4" w:rsidP="001B55D4">
      <w:pPr>
        <w:jc w:val="both"/>
        <w:rPr>
          <w:sz w:val="22"/>
          <w:szCs w:val="22"/>
        </w:rPr>
      </w:pPr>
      <w:r w:rsidRPr="00DC4232">
        <w:rPr>
          <w:sz w:val="22"/>
          <w:szCs w:val="22"/>
        </w:rPr>
        <w:t>mechanisms to enhance the accessibility, compatibility and usability of telecommunication/ICT</w:t>
      </w:r>
    </w:p>
    <w:p w:rsidR="001B55D4" w:rsidRPr="00DC4232" w:rsidRDefault="001B55D4" w:rsidP="001B55D4">
      <w:pPr>
        <w:jc w:val="both"/>
        <w:rPr>
          <w:sz w:val="22"/>
          <w:szCs w:val="22"/>
        </w:rPr>
      </w:pPr>
      <w:r w:rsidRPr="00DC4232">
        <w:rPr>
          <w:sz w:val="22"/>
          <w:szCs w:val="22"/>
        </w:rPr>
        <w:t>services, products and terminals, and to offer support to regional initiatives related to this issue;</w:t>
      </w:r>
    </w:p>
    <w:p w:rsidR="001B55D4" w:rsidRPr="00DC4232" w:rsidRDefault="001B55D4" w:rsidP="001B55D4">
      <w:pPr>
        <w:jc w:val="both"/>
        <w:rPr>
          <w:sz w:val="22"/>
          <w:szCs w:val="22"/>
        </w:rPr>
      </w:pPr>
      <w:r w:rsidRPr="00DC4232">
        <w:rPr>
          <w:sz w:val="22"/>
          <w:szCs w:val="22"/>
        </w:rPr>
        <w:t>2 to consider introducing appropriate telecommunication/ICT services in order to enable</w:t>
      </w:r>
    </w:p>
    <w:p w:rsidR="001B55D4" w:rsidRPr="00DC4232" w:rsidRDefault="001B55D4" w:rsidP="001B55D4">
      <w:pPr>
        <w:jc w:val="both"/>
        <w:rPr>
          <w:sz w:val="22"/>
          <w:szCs w:val="22"/>
        </w:rPr>
      </w:pPr>
      <w:r w:rsidRPr="00DC4232">
        <w:rPr>
          <w:sz w:val="22"/>
          <w:szCs w:val="22"/>
        </w:rPr>
        <w:t>persons with disabilities to utilize these services on an equal basis with others, and to promote</w:t>
      </w:r>
    </w:p>
    <w:p w:rsidR="001B55D4" w:rsidRPr="00DC4232" w:rsidRDefault="001B55D4" w:rsidP="001B55D4">
      <w:pPr>
        <w:jc w:val="both"/>
        <w:rPr>
          <w:sz w:val="22"/>
          <w:szCs w:val="22"/>
        </w:rPr>
      </w:pPr>
      <w:r w:rsidRPr="00DC4232">
        <w:rPr>
          <w:sz w:val="22"/>
          <w:szCs w:val="22"/>
        </w:rPr>
        <w:t>international cooperation in this regard;</w:t>
      </w:r>
    </w:p>
    <w:p w:rsidR="001B55D4" w:rsidRPr="00DC4232" w:rsidRDefault="001B55D4" w:rsidP="001B55D4">
      <w:pPr>
        <w:jc w:val="both"/>
        <w:rPr>
          <w:sz w:val="22"/>
          <w:szCs w:val="22"/>
        </w:rPr>
      </w:pPr>
      <w:r w:rsidRPr="00DC4232">
        <w:rPr>
          <w:sz w:val="22"/>
          <w:szCs w:val="22"/>
        </w:rPr>
        <w:t>3 to participate actively in accessibility-related activities/studies in ITU-T, ITU-R and ITU-D,</w:t>
      </w:r>
    </w:p>
    <w:p w:rsidR="001B55D4" w:rsidRPr="00DC4232" w:rsidRDefault="001B55D4" w:rsidP="001B55D4">
      <w:pPr>
        <w:jc w:val="both"/>
        <w:rPr>
          <w:sz w:val="22"/>
          <w:szCs w:val="22"/>
        </w:rPr>
      </w:pPr>
      <w:r w:rsidRPr="00DC4232">
        <w:rPr>
          <w:sz w:val="22"/>
          <w:szCs w:val="22"/>
        </w:rPr>
        <w:t>including participating actively in the work of the study groups concerned, and to encourage and</w:t>
      </w:r>
    </w:p>
    <w:p w:rsidR="001B55D4" w:rsidRPr="00DC4232" w:rsidRDefault="001B55D4" w:rsidP="001B55D4">
      <w:pPr>
        <w:jc w:val="both"/>
        <w:rPr>
          <w:sz w:val="22"/>
          <w:szCs w:val="22"/>
        </w:rPr>
      </w:pPr>
      <w:r w:rsidRPr="00DC4232">
        <w:rPr>
          <w:sz w:val="22"/>
          <w:szCs w:val="22"/>
        </w:rPr>
        <w:t>promote representation by persons with disabilities so as to ensure that their experiences, views</w:t>
      </w:r>
    </w:p>
    <w:p w:rsidR="001B55D4" w:rsidRPr="00DC4232" w:rsidRDefault="001B55D4" w:rsidP="001B55D4">
      <w:pPr>
        <w:jc w:val="both"/>
        <w:rPr>
          <w:sz w:val="22"/>
          <w:szCs w:val="22"/>
        </w:rPr>
      </w:pPr>
      <w:r w:rsidRPr="00DC4232">
        <w:rPr>
          <w:sz w:val="22"/>
          <w:szCs w:val="22"/>
        </w:rPr>
        <w:t>and opinions are taken into account;</w:t>
      </w:r>
    </w:p>
    <w:p w:rsidR="001B55D4" w:rsidRPr="00DC4232" w:rsidRDefault="001B55D4" w:rsidP="001B55D4">
      <w:pPr>
        <w:jc w:val="both"/>
        <w:rPr>
          <w:sz w:val="22"/>
          <w:szCs w:val="22"/>
        </w:rPr>
      </w:pPr>
      <w:r w:rsidRPr="00DC4232">
        <w:rPr>
          <w:sz w:val="22"/>
          <w:szCs w:val="22"/>
        </w:rPr>
        <w:t xml:space="preserve">4 to take into account </w:t>
      </w:r>
    </w:p>
    <w:p w:rsidR="001B55D4" w:rsidRPr="00DC4232" w:rsidRDefault="001B55D4" w:rsidP="001B55D4">
      <w:pPr>
        <w:jc w:val="both"/>
        <w:rPr>
          <w:sz w:val="22"/>
          <w:szCs w:val="22"/>
        </w:rPr>
      </w:pPr>
      <w:r w:rsidRPr="00DC4232">
        <w:rPr>
          <w:i/>
          <w:iCs/>
          <w:sz w:val="22"/>
          <w:szCs w:val="22"/>
        </w:rPr>
        <w:t xml:space="preserve">considering c) </w:t>
      </w:r>
      <w:r w:rsidRPr="00DC4232">
        <w:rPr>
          <w:sz w:val="22"/>
          <w:szCs w:val="22"/>
        </w:rPr>
        <w:t xml:space="preserve">ii) and </w:t>
      </w:r>
      <w:r w:rsidRPr="00DC4232">
        <w:rPr>
          <w:i/>
          <w:iCs/>
          <w:sz w:val="22"/>
          <w:szCs w:val="22"/>
        </w:rPr>
        <w:t xml:space="preserve">d) </w:t>
      </w:r>
      <w:r w:rsidRPr="00DC4232">
        <w:rPr>
          <w:sz w:val="22"/>
          <w:szCs w:val="22"/>
        </w:rPr>
        <w:t>above, and the benefits of cost affordability for</w:t>
      </w:r>
    </w:p>
    <w:p w:rsidR="001B55D4" w:rsidRPr="00DC4232" w:rsidRDefault="001B55D4" w:rsidP="001B55D4">
      <w:pPr>
        <w:jc w:val="both"/>
        <w:rPr>
          <w:sz w:val="22"/>
          <w:szCs w:val="22"/>
        </w:rPr>
      </w:pPr>
      <w:r w:rsidRPr="00DC4232">
        <w:rPr>
          <w:sz w:val="22"/>
          <w:szCs w:val="22"/>
        </w:rPr>
        <w:t>equipment and services for persons with disabilities, including universal design;</w:t>
      </w:r>
    </w:p>
    <w:p w:rsidR="001B55D4" w:rsidRPr="00DC4232" w:rsidRDefault="001B55D4" w:rsidP="001B55D4">
      <w:pPr>
        <w:jc w:val="both"/>
        <w:rPr>
          <w:sz w:val="22"/>
          <w:szCs w:val="22"/>
        </w:rPr>
      </w:pPr>
      <w:r w:rsidRPr="00DC4232">
        <w:rPr>
          <w:sz w:val="22"/>
          <w:szCs w:val="22"/>
        </w:rPr>
        <w:t>5 to encourage the international community to make voluntary contributions to the special</w:t>
      </w:r>
    </w:p>
    <w:p w:rsidR="001B55D4" w:rsidRPr="00DC4232" w:rsidRDefault="001B55D4" w:rsidP="001B55D4">
      <w:pPr>
        <w:jc w:val="both"/>
        <w:rPr>
          <w:sz w:val="22"/>
          <w:szCs w:val="22"/>
        </w:rPr>
      </w:pPr>
      <w:r w:rsidRPr="00DC4232">
        <w:rPr>
          <w:sz w:val="22"/>
          <w:szCs w:val="22"/>
        </w:rPr>
        <w:t>trust fund set up by ITU to support activities relating to the implementation of this resolution.</w:t>
      </w:r>
    </w:p>
    <w:p w:rsidR="001B55D4" w:rsidRPr="00DC4232" w:rsidRDefault="001B55D4" w:rsidP="001B55D4">
      <w:pPr>
        <w:tabs>
          <w:tab w:val="clear" w:pos="794"/>
          <w:tab w:val="clear" w:pos="1191"/>
          <w:tab w:val="clear" w:pos="1588"/>
          <w:tab w:val="clear" w:pos="1985"/>
        </w:tabs>
        <w:overflowPunct/>
        <w:autoSpaceDE/>
        <w:autoSpaceDN/>
        <w:adjustRightInd/>
        <w:spacing w:before="0" w:after="200"/>
        <w:jc w:val="center"/>
        <w:textAlignment w:val="auto"/>
        <w:rPr>
          <w:color w:val="000000"/>
          <w:sz w:val="18"/>
          <w:szCs w:val="18"/>
        </w:rPr>
      </w:pPr>
      <w:r w:rsidRPr="00DC4232">
        <w:rPr>
          <w:color w:val="000000"/>
          <w:sz w:val="18"/>
          <w:szCs w:val="18"/>
        </w:rPr>
        <w:t>__________</w:t>
      </w:r>
    </w:p>
    <w:p w:rsidR="007725F4" w:rsidRDefault="007725F4"/>
    <w:sectPr w:rsidR="007725F4" w:rsidSect="00FA4528">
      <w:headerReference w:type="even" r:id="rId6"/>
      <w:headerReference w:type="default" r:id="rId7"/>
      <w:footerReference w:type="even" r:id="rId8"/>
      <w:footerReference w:type="default" r:id="rId9"/>
      <w:headerReference w:type="firs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A5" w:rsidRDefault="00AE69A5" w:rsidP="009570D0">
      <w:pPr>
        <w:spacing w:before="0"/>
      </w:pPr>
      <w:r>
        <w:separator/>
      </w:r>
    </w:p>
  </w:endnote>
  <w:endnote w:type="continuationSeparator" w:id="0">
    <w:p w:rsidR="00AE69A5" w:rsidRDefault="00AE69A5" w:rsidP="009570D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D0" w:rsidRDefault="009570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D0" w:rsidRDefault="009570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1" w:type="dxa"/>
      <w:jc w:val="center"/>
      <w:tblLayout w:type="fixed"/>
      <w:tblCellMar>
        <w:left w:w="57" w:type="dxa"/>
        <w:right w:w="57" w:type="dxa"/>
      </w:tblCellMar>
      <w:tblLook w:val="0000"/>
    </w:tblPr>
    <w:tblGrid>
      <w:gridCol w:w="1252"/>
      <w:gridCol w:w="4282"/>
      <w:gridCol w:w="4018"/>
      <w:gridCol w:w="29"/>
    </w:tblGrid>
    <w:tr w:rsidR="009570D0" w:rsidRPr="008733C8" w:rsidTr="00EC2A93">
      <w:tblPrEx>
        <w:tblCellMar>
          <w:top w:w="0" w:type="dxa"/>
          <w:bottom w:w="0" w:type="dxa"/>
        </w:tblCellMar>
      </w:tblPrEx>
      <w:trPr>
        <w:gridAfter w:val="1"/>
        <w:wAfter w:w="29" w:type="dxa"/>
        <w:cantSplit/>
        <w:trHeight w:val="204"/>
        <w:jc w:val="center"/>
      </w:trPr>
      <w:tc>
        <w:tcPr>
          <w:tcW w:w="1252" w:type="dxa"/>
          <w:tcBorders>
            <w:top w:val="single" w:sz="12" w:space="0" w:color="auto"/>
          </w:tcBorders>
        </w:tcPr>
        <w:p w:rsidR="009570D0" w:rsidRPr="008733C8" w:rsidRDefault="009570D0" w:rsidP="00EC2A93">
          <w:pPr>
            <w:rPr>
              <w:b/>
              <w:bCs/>
              <w:szCs w:val="24"/>
            </w:rPr>
          </w:pPr>
          <w:r w:rsidRPr="008733C8">
            <w:rPr>
              <w:b/>
              <w:bCs/>
              <w:szCs w:val="24"/>
            </w:rPr>
            <w:t>Contact:</w:t>
          </w:r>
        </w:p>
      </w:tc>
      <w:tc>
        <w:tcPr>
          <w:tcW w:w="4282" w:type="dxa"/>
          <w:tcBorders>
            <w:top w:val="single" w:sz="12" w:space="0" w:color="auto"/>
          </w:tcBorders>
        </w:tcPr>
        <w:p w:rsidR="009570D0" w:rsidRDefault="009570D0" w:rsidP="00EC2A93">
          <w:pPr>
            <w:spacing w:before="0"/>
            <w:rPr>
              <w:lang w:eastAsia="ja-JP"/>
            </w:rPr>
          </w:pPr>
          <w:r>
            <w:rPr>
              <w:lang w:eastAsia="ja-JP"/>
            </w:rPr>
            <w:t>Andrea J. Saks</w:t>
          </w:r>
        </w:p>
        <w:p w:rsidR="009570D0" w:rsidRPr="008733C8" w:rsidRDefault="009570D0" w:rsidP="00EC2A93">
          <w:pPr>
            <w:spacing w:before="0"/>
            <w:rPr>
              <w:szCs w:val="24"/>
              <w:lang w:val="pt-PT" w:eastAsia="ko-KR"/>
            </w:rPr>
          </w:pPr>
          <w:r>
            <w:rPr>
              <w:lang w:eastAsia="ja-JP"/>
            </w:rPr>
            <w:t>JCA-AHF Convener</w:t>
          </w:r>
        </w:p>
      </w:tc>
      <w:tc>
        <w:tcPr>
          <w:tcW w:w="4018" w:type="dxa"/>
          <w:tcBorders>
            <w:top w:val="single" w:sz="12" w:space="0" w:color="auto"/>
          </w:tcBorders>
        </w:tcPr>
        <w:p w:rsidR="009570D0" w:rsidRPr="008733C8" w:rsidRDefault="009570D0" w:rsidP="00EC2A93">
          <w:pPr>
            <w:spacing w:before="0"/>
            <w:rPr>
              <w:szCs w:val="24"/>
              <w:lang w:val="fr-FR" w:eastAsia="ko-KR"/>
            </w:rPr>
          </w:pPr>
          <w:r w:rsidRPr="004834BD">
            <w:rPr>
              <w:szCs w:val="24"/>
              <w:lang w:val="fr-FR" w:eastAsia="ja-JP"/>
            </w:rPr>
            <w:t xml:space="preserve">Email: </w:t>
          </w:r>
          <w:hyperlink r:id="rId1" w:history="1">
            <w:r w:rsidRPr="00423456">
              <w:rPr>
                <w:rStyle w:val="Hyperlink"/>
                <w:szCs w:val="24"/>
                <w:lang w:val="fr-FR" w:eastAsia="ja-JP"/>
              </w:rPr>
              <w:t>asaks@waitrose.com</w:t>
            </w:r>
          </w:hyperlink>
        </w:p>
      </w:tc>
    </w:tr>
    <w:tr w:rsidR="009570D0" w:rsidRPr="00954CFC" w:rsidTr="00EC2A93">
      <w:tblPrEx>
        <w:tblCellMar>
          <w:top w:w="0" w:type="dxa"/>
          <w:left w:w="108" w:type="dxa"/>
          <w:bottom w:w="0"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570D0" w:rsidRPr="00954CFC" w:rsidRDefault="009570D0" w:rsidP="00EC2A93">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570D0" w:rsidRPr="00EA62BA" w:rsidRDefault="009570D0" w:rsidP="00957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A5" w:rsidRDefault="00AE69A5" w:rsidP="009570D0">
      <w:pPr>
        <w:spacing w:before="0"/>
      </w:pPr>
      <w:r>
        <w:separator/>
      </w:r>
    </w:p>
  </w:footnote>
  <w:footnote w:type="continuationSeparator" w:id="0">
    <w:p w:rsidR="00AE69A5" w:rsidRDefault="00AE69A5" w:rsidP="009570D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D0" w:rsidRDefault="009570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E" w:rsidRPr="00FA4528" w:rsidRDefault="00AE69A5" w:rsidP="00241D91">
    <w:pPr>
      <w:pStyle w:val="Header"/>
    </w:pPr>
    <w:r w:rsidRPr="00FA4528">
      <w:t xml:space="preserve">- </w:t>
    </w:r>
    <w:r w:rsidRPr="00FA4528">
      <w:fldChar w:fldCharType="begin"/>
    </w:r>
    <w:r w:rsidRPr="00FA4528">
      <w:instrText xml:space="preserve"> PAGE  \* MERGEFORMAT </w:instrText>
    </w:r>
    <w:r w:rsidRPr="00FA4528">
      <w:fldChar w:fldCharType="separate"/>
    </w:r>
    <w:r w:rsidR="009570D0">
      <w:rPr>
        <w:noProof/>
      </w:rPr>
      <w:t>2</w:t>
    </w:r>
    <w:r w:rsidRPr="00FA4528">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D0" w:rsidRDefault="009570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footnotePr>
    <w:footnote w:id="-1"/>
    <w:footnote w:id="0"/>
  </w:footnotePr>
  <w:endnotePr>
    <w:endnote w:id="-1"/>
    <w:endnote w:id="0"/>
  </w:endnotePr>
  <w:compat>
    <w:useFELayout/>
  </w:compat>
  <w:rsids>
    <w:rsidRoot w:val="001B55D4"/>
    <w:rsid w:val="00143E4F"/>
    <w:rsid w:val="001B55D4"/>
    <w:rsid w:val="00315F40"/>
    <w:rsid w:val="007725F4"/>
    <w:rsid w:val="007A5E9E"/>
    <w:rsid w:val="009570D0"/>
    <w:rsid w:val="00AE69A5"/>
    <w:rsid w:val="00ED460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D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5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1B55D4"/>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B55D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B55D4"/>
    <w:rPr>
      <w:rFonts w:ascii="Times New Roman" w:eastAsia="Times New Roman" w:hAnsi="Times New Roman" w:cs="Times New Roman"/>
      <w:sz w:val="18"/>
      <w:szCs w:val="20"/>
      <w:lang w:val="en-GB" w:eastAsia="en-US"/>
    </w:rPr>
  </w:style>
  <w:style w:type="character" w:styleId="Hyperlink">
    <w:name w:val="Hyperlink"/>
    <w:basedOn w:val="DefaultParagraphFont"/>
    <w:uiPriority w:val="99"/>
    <w:rsid w:val="009570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1444</Words>
  <Characters>8237</Characters>
  <Application>Microsoft Office Word</Application>
  <DocSecurity>0</DocSecurity>
  <Lines>68</Lines>
  <Paragraphs>19</Paragraphs>
  <ScaleCrop>false</ScaleCrop>
  <Company>ITU</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gaspari</dc:creator>
  <cp:keywords/>
  <dc:description/>
  <cp:lastModifiedBy>gaspari</cp:lastModifiedBy>
  <cp:revision>4</cp:revision>
  <dcterms:created xsi:type="dcterms:W3CDTF">2011-03-21T10:33:00Z</dcterms:created>
  <dcterms:modified xsi:type="dcterms:W3CDTF">2011-03-21T10:44:00Z</dcterms:modified>
</cp:coreProperties>
</file>