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617"/>
        <w:gridCol w:w="3240"/>
        <w:gridCol w:w="5066"/>
      </w:tblGrid>
      <w:tr w:rsidR="00D069CF" w:rsidRPr="007A5CEA" w:rsidTr="00377CA7">
        <w:trPr>
          <w:cantSplit/>
        </w:trPr>
        <w:tc>
          <w:tcPr>
            <w:tcW w:w="4857" w:type="dxa"/>
            <w:gridSpan w:val="2"/>
          </w:tcPr>
          <w:p w:rsidR="00D069CF" w:rsidRPr="007A5CEA" w:rsidRDefault="00D069CF" w:rsidP="00377CA7">
            <w:pPr>
              <w:rPr>
                <w:b/>
                <w:bCs/>
                <w:sz w:val="26"/>
              </w:rPr>
            </w:pPr>
            <w:bookmarkStart w:id="0" w:name="InsertLogo"/>
            <w:bookmarkStart w:id="1" w:name="dnum" w:colFirst="2" w:colLast="2"/>
            <w:bookmarkStart w:id="2" w:name="dtableau"/>
            <w:bookmarkEnd w:id="0"/>
            <w:r w:rsidRPr="007A5CEA">
              <w:rPr>
                <w:sz w:val="20"/>
              </w:rPr>
              <w:t>INTERNATIONAL TELECOMMUNICATION UNION</w:t>
            </w:r>
            <w:r w:rsidRPr="007A5CEA">
              <w:rPr>
                <w:sz w:val="20"/>
              </w:rPr>
              <w:br/>
            </w:r>
            <w:r w:rsidRPr="007A5CEA">
              <w:rPr>
                <w:b/>
                <w:bCs/>
                <w:sz w:val="26"/>
              </w:rPr>
              <w:t>TELECOMMUNICATION</w:t>
            </w:r>
            <w:r w:rsidRPr="007A5CEA">
              <w:rPr>
                <w:b/>
                <w:bCs/>
                <w:sz w:val="26"/>
              </w:rPr>
              <w:br/>
              <w:t>STANDARDIZATION SECTOR</w:t>
            </w:r>
          </w:p>
          <w:p w:rsidR="00D069CF" w:rsidRPr="007A5CEA" w:rsidRDefault="00D069CF" w:rsidP="00377CA7">
            <w:pPr>
              <w:rPr>
                <w:sz w:val="20"/>
              </w:rPr>
            </w:pPr>
            <w:r w:rsidRPr="007A5CEA">
              <w:rPr>
                <w:sz w:val="20"/>
              </w:rPr>
              <w:t>STUDY PERIOD 2009-2012</w:t>
            </w:r>
          </w:p>
        </w:tc>
        <w:tc>
          <w:tcPr>
            <w:tcW w:w="5066" w:type="dxa"/>
          </w:tcPr>
          <w:p w:rsidR="00D069CF" w:rsidRPr="007A5CEA" w:rsidRDefault="00D069CF" w:rsidP="00377CA7">
            <w:pPr>
              <w:jc w:val="right"/>
              <w:rPr>
                <w:b/>
                <w:bCs/>
                <w:smallCaps/>
                <w:sz w:val="32"/>
              </w:rPr>
            </w:pPr>
            <w:r w:rsidRPr="007A5CEA">
              <w:rPr>
                <w:b/>
                <w:bCs/>
                <w:smallCaps/>
                <w:sz w:val="32"/>
              </w:rPr>
              <w:t xml:space="preserve">Joint Coordination Activity on Accessibility </w:t>
            </w:r>
            <w:smartTag w:uri="urn:schemas-microsoft-com:office:smarttags" w:element="stockticker">
              <w:r w:rsidRPr="007A5CEA">
                <w:rPr>
                  <w:b/>
                  <w:bCs/>
                  <w:smallCaps/>
                  <w:sz w:val="32"/>
                </w:rPr>
                <w:t>and</w:t>
              </w:r>
            </w:smartTag>
            <w:r w:rsidRPr="007A5CEA">
              <w:rPr>
                <w:b/>
                <w:bCs/>
                <w:smallCaps/>
                <w:sz w:val="32"/>
              </w:rPr>
              <w:t xml:space="preserve"> human Factors (JCA-AHF)</w:t>
            </w:r>
          </w:p>
        </w:tc>
      </w:tr>
      <w:tr w:rsidR="00D069CF" w:rsidRPr="007A5CEA" w:rsidTr="00377CA7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:rsidR="00D069CF" w:rsidRPr="007A5CEA" w:rsidRDefault="00D069CF" w:rsidP="00377CA7">
            <w:pPr>
              <w:rPr>
                <w:smallCaps/>
                <w:sz w:val="20"/>
              </w:rPr>
            </w:pPr>
          </w:p>
        </w:tc>
        <w:tc>
          <w:tcPr>
            <w:tcW w:w="5066" w:type="dxa"/>
            <w:tcBorders>
              <w:bottom w:val="nil"/>
            </w:tcBorders>
          </w:tcPr>
          <w:p w:rsidR="00D069CF" w:rsidRPr="007A5CEA" w:rsidRDefault="00D069CF" w:rsidP="00784B19">
            <w:pPr>
              <w:jc w:val="right"/>
              <w:rPr>
                <w:b/>
                <w:bCs/>
                <w:sz w:val="40"/>
              </w:rPr>
            </w:pPr>
            <w:r w:rsidRPr="007A5CEA">
              <w:rPr>
                <w:b/>
                <w:bCs/>
                <w:sz w:val="40"/>
              </w:rPr>
              <w:t xml:space="preserve">Doc. </w:t>
            </w:r>
            <w:r w:rsidR="00784B19">
              <w:rPr>
                <w:b/>
                <w:bCs/>
                <w:sz w:val="40"/>
              </w:rPr>
              <w:t>88</w:t>
            </w:r>
          </w:p>
        </w:tc>
      </w:tr>
      <w:tr w:rsidR="00D069CF" w:rsidRPr="007A5CEA" w:rsidTr="00377CA7">
        <w:trPr>
          <w:cantSplit/>
          <w:trHeight w:val="355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:rsidR="00D069CF" w:rsidRPr="007A5CEA" w:rsidRDefault="00D069CF" w:rsidP="00377CA7">
            <w:pPr>
              <w:rPr>
                <w:b/>
                <w:bCs/>
                <w:sz w:val="26"/>
              </w:rPr>
            </w:pPr>
          </w:p>
        </w:tc>
        <w:tc>
          <w:tcPr>
            <w:tcW w:w="5066" w:type="dxa"/>
            <w:tcBorders>
              <w:bottom w:val="single" w:sz="12" w:space="0" w:color="auto"/>
            </w:tcBorders>
          </w:tcPr>
          <w:p w:rsidR="00D069CF" w:rsidRPr="007A5CEA" w:rsidRDefault="00D069CF" w:rsidP="00377CA7">
            <w:pPr>
              <w:jc w:val="right"/>
              <w:rPr>
                <w:b/>
                <w:bCs/>
                <w:sz w:val="28"/>
              </w:rPr>
            </w:pPr>
            <w:r w:rsidRPr="007A5CEA">
              <w:rPr>
                <w:b/>
                <w:bCs/>
                <w:sz w:val="28"/>
              </w:rPr>
              <w:t>English only</w:t>
            </w:r>
          </w:p>
          <w:p w:rsidR="00D069CF" w:rsidRPr="007A5CEA" w:rsidRDefault="00D069CF" w:rsidP="00377CA7">
            <w:pPr>
              <w:jc w:val="right"/>
              <w:rPr>
                <w:b/>
                <w:bCs/>
                <w:sz w:val="28"/>
              </w:rPr>
            </w:pPr>
            <w:r w:rsidRPr="007A5CEA">
              <w:rPr>
                <w:b/>
                <w:bCs/>
                <w:sz w:val="28"/>
              </w:rPr>
              <w:t>Original: English</w:t>
            </w:r>
          </w:p>
        </w:tc>
      </w:tr>
      <w:tr w:rsidR="00D069CF" w:rsidRPr="001531FF" w:rsidTr="00377CA7">
        <w:trPr>
          <w:cantSplit/>
          <w:trHeight w:val="357"/>
        </w:trPr>
        <w:tc>
          <w:tcPr>
            <w:tcW w:w="1617" w:type="dxa"/>
          </w:tcPr>
          <w:p w:rsidR="00D069CF" w:rsidRPr="007A5CEA" w:rsidRDefault="00D069CF" w:rsidP="00377CA7">
            <w:pPr>
              <w:rPr>
                <w:b/>
                <w:bCs/>
              </w:rPr>
            </w:pPr>
            <w:r w:rsidRPr="007A5CEA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:rsidR="00D069CF" w:rsidRPr="00517EB0" w:rsidRDefault="00D069CF" w:rsidP="00377CA7">
            <w:r>
              <w:t xml:space="preserve">ITU-T Study Group 2 (Geneva, 9-18 November 2010) </w:t>
            </w:r>
            <w:r>
              <w:br/>
            </w:r>
          </w:p>
        </w:tc>
      </w:tr>
      <w:tr w:rsidR="00D069CF" w:rsidRPr="001531FF" w:rsidTr="00377CA7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D069CF" w:rsidRPr="006C4F5B" w:rsidRDefault="00D069CF" w:rsidP="00377CA7">
            <w:pPr>
              <w:spacing w:after="120"/>
              <w:rPr>
                <w:b/>
                <w:bCs/>
              </w:rPr>
            </w:pPr>
            <w:r w:rsidRPr="007A5CEA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  <w:tcBorders>
              <w:bottom w:val="single" w:sz="12" w:space="0" w:color="auto"/>
            </w:tcBorders>
          </w:tcPr>
          <w:p w:rsidR="00D069CF" w:rsidRPr="008E6527" w:rsidRDefault="00D069CF" w:rsidP="00377CA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/>
              <w:textAlignment w:val="auto"/>
            </w:pPr>
            <w:r w:rsidRPr="00BE1599">
              <w:t>Proposed enhancement to Amendment of E.123 on Emergency Contact Number Notation</w:t>
            </w:r>
          </w:p>
        </w:tc>
      </w:tr>
    </w:tbl>
    <w:p w:rsidR="00D069CF" w:rsidRDefault="00D069CF" w:rsidP="00D069CF"/>
    <w:p w:rsidR="00D069CF" w:rsidRDefault="00D069CF"/>
    <w:p w:rsidR="00D069CF" w:rsidRDefault="00D069CF">
      <w:r>
        <w:br w:type="page"/>
      </w: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417"/>
        <w:gridCol w:w="200"/>
        <w:gridCol w:w="567"/>
        <w:gridCol w:w="2793"/>
        <w:gridCol w:w="480"/>
        <w:gridCol w:w="554"/>
        <w:gridCol w:w="567"/>
        <w:gridCol w:w="3345"/>
      </w:tblGrid>
      <w:tr w:rsidR="00BE1599" w:rsidRPr="00BE1599">
        <w:trPr>
          <w:cantSplit/>
        </w:trPr>
        <w:tc>
          <w:tcPr>
            <w:tcW w:w="1417" w:type="dxa"/>
            <w:vMerge w:val="restart"/>
          </w:tcPr>
          <w:p w:rsidR="00BE1599" w:rsidRPr="00BE1599" w:rsidRDefault="00BE1599" w:rsidP="00BE1599">
            <w:r w:rsidRPr="00BE1599">
              <w:rPr>
                <w:b/>
                <w:noProof/>
                <w:sz w:val="36"/>
                <w:lang w:val="en-US" w:eastAsia="zh-CN"/>
              </w:rPr>
              <w:lastRenderedPageBreak/>
              <w:drawing>
                <wp:inline distT="0" distB="0" distL="0" distR="0">
                  <wp:extent cx="771525" cy="838200"/>
                  <wp:effectExtent l="19050" t="0" r="9525" b="0"/>
                  <wp:docPr id="1" name="Picture 1" descr="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1" w:type="dxa"/>
            <w:gridSpan w:val="6"/>
          </w:tcPr>
          <w:p w:rsidR="00BE1599" w:rsidRPr="00BE1599" w:rsidRDefault="00BE1599" w:rsidP="00BE1599">
            <w:pPr>
              <w:rPr>
                <w:sz w:val="20"/>
              </w:rPr>
            </w:pPr>
            <w:r w:rsidRPr="00BE1599">
              <w:rPr>
                <w:sz w:val="20"/>
              </w:rPr>
              <w:t>INTERNATIONAL TELECOMMUNICATION UNION</w:t>
            </w:r>
          </w:p>
        </w:tc>
        <w:tc>
          <w:tcPr>
            <w:tcW w:w="3345" w:type="dxa"/>
          </w:tcPr>
          <w:p w:rsidR="00BE1599" w:rsidRPr="00BE1599" w:rsidRDefault="00BE1599" w:rsidP="003E0A0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COM 2 – LS </w:t>
            </w:r>
            <w:r w:rsidR="003E0A00">
              <w:rPr>
                <w:b/>
                <w:sz w:val="28"/>
              </w:rPr>
              <w:t xml:space="preserve">70 </w:t>
            </w:r>
            <w:r>
              <w:rPr>
                <w:b/>
                <w:sz w:val="28"/>
              </w:rPr>
              <w:t>– E</w:t>
            </w:r>
          </w:p>
        </w:tc>
      </w:tr>
      <w:tr w:rsidR="00BE1599" w:rsidRPr="00BE1599">
        <w:trPr>
          <w:cantSplit/>
          <w:trHeight w:val="355"/>
        </w:trPr>
        <w:tc>
          <w:tcPr>
            <w:tcW w:w="1417" w:type="dxa"/>
            <w:vMerge/>
          </w:tcPr>
          <w:p w:rsidR="00BE1599" w:rsidRPr="00BE1599" w:rsidRDefault="00BE1599" w:rsidP="00BE1599">
            <w:bookmarkStart w:id="3" w:name="ddate" w:colFirst="2" w:colLast="2"/>
            <w:bookmarkEnd w:id="1"/>
          </w:p>
        </w:tc>
        <w:tc>
          <w:tcPr>
            <w:tcW w:w="4040" w:type="dxa"/>
            <w:gridSpan w:val="4"/>
            <w:vMerge w:val="restart"/>
          </w:tcPr>
          <w:p w:rsidR="00BE1599" w:rsidRPr="00BE1599" w:rsidRDefault="00BE1599" w:rsidP="00BE1599">
            <w:pPr>
              <w:rPr>
                <w:b/>
                <w:bCs/>
                <w:sz w:val="26"/>
              </w:rPr>
            </w:pPr>
            <w:r w:rsidRPr="00BE1599">
              <w:rPr>
                <w:b/>
                <w:bCs/>
                <w:sz w:val="26"/>
              </w:rPr>
              <w:t>TELECOMMUNICATION</w:t>
            </w:r>
            <w:r w:rsidRPr="00BE1599">
              <w:rPr>
                <w:b/>
                <w:bCs/>
                <w:sz w:val="26"/>
              </w:rPr>
              <w:br/>
              <w:t>STANDARDIZATION SECTOR</w:t>
            </w:r>
          </w:p>
          <w:p w:rsidR="00BE1599" w:rsidRPr="00BE1599" w:rsidRDefault="00BE1599" w:rsidP="00BE1599">
            <w:pPr>
              <w:rPr>
                <w:smallCaps/>
                <w:sz w:val="20"/>
              </w:rPr>
            </w:pPr>
            <w:r w:rsidRPr="00BE1599">
              <w:rPr>
                <w:sz w:val="20"/>
              </w:rPr>
              <w:t xml:space="preserve">STUDY PERIOD </w:t>
            </w:r>
            <w:r>
              <w:rPr>
                <w:sz w:val="20"/>
              </w:rPr>
              <w:t>2009-2012</w:t>
            </w:r>
          </w:p>
        </w:tc>
        <w:tc>
          <w:tcPr>
            <w:tcW w:w="4466" w:type="dxa"/>
            <w:gridSpan w:val="3"/>
          </w:tcPr>
          <w:p w:rsidR="00BE1599" w:rsidRPr="00BE1599" w:rsidRDefault="00BE1599" w:rsidP="00BE1599">
            <w:pPr>
              <w:jc w:val="right"/>
              <w:rPr>
                <w:b/>
                <w:bCs/>
              </w:rPr>
            </w:pPr>
          </w:p>
        </w:tc>
      </w:tr>
      <w:tr w:rsidR="00BE1599" w:rsidRPr="00BE1599">
        <w:trPr>
          <w:cantSplit/>
          <w:trHeight w:val="780"/>
        </w:trPr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BE1599" w:rsidRPr="00BE1599" w:rsidRDefault="00BE1599" w:rsidP="00BE1599">
            <w:bookmarkStart w:id="4" w:name="dorlang" w:colFirst="2" w:colLast="2"/>
            <w:bookmarkEnd w:id="3"/>
          </w:p>
        </w:tc>
        <w:tc>
          <w:tcPr>
            <w:tcW w:w="4040" w:type="dxa"/>
            <w:gridSpan w:val="4"/>
            <w:vMerge/>
            <w:tcBorders>
              <w:bottom w:val="single" w:sz="12" w:space="0" w:color="auto"/>
            </w:tcBorders>
          </w:tcPr>
          <w:p w:rsidR="00BE1599" w:rsidRPr="00BE1599" w:rsidRDefault="00BE1599" w:rsidP="00BE1599">
            <w:pPr>
              <w:rPr>
                <w:b/>
                <w:bCs/>
                <w:sz w:val="26"/>
              </w:rPr>
            </w:pPr>
          </w:p>
        </w:tc>
        <w:tc>
          <w:tcPr>
            <w:tcW w:w="4466" w:type="dxa"/>
            <w:gridSpan w:val="3"/>
            <w:tcBorders>
              <w:bottom w:val="single" w:sz="12" w:space="0" w:color="auto"/>
            </w:tcBorders>
            <w:vAlign w:val="center"/>
          </w:tcPr>
          <w:p w:rsidR="00BE1599" w:rsidRDefault="00BE1599" w:rsidP="00BE1599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BE1599" w:rsidRPr="00BE1599" w:rsidRDefault="00BE1599" w:rsidP="00BE1599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BE1599" w:rsidRPr="00BE1599">
        <w:trPr>
          <w:cantSplit/>
          <w:trHeight w:val="357"/>
        </w:trPr>
        <w:tc>
          <w:tcPr>
            <w:tcW w:w="1617" w:type="dxa"/>
            <w:gridSpan w:val="2"/>
          </w:tcPr>
          <w:p w:rsidR="00BE1599" w:rsidRPr="00BE1599" w:rsidRDefault="00BE1599" w:rsidP="00BE1599">
            <w:pPr>
              <w:rPr>
                <w:b/>
                <w:bCs/>
              </w:rPr>
            </w:pPr>
            <w:bookmarkStart w:id="5" w:name="dmeeting" w:colFirst="2" w:colLast="2"/>
            <w:bookmarkStart w:id="6" w:name="dbluepink" w:colFirst="1" w:colLast="1"/>
            <w:bookmarkEnd w:id="4"/>
            <w:r w:rsidRPr="00BE1599">
              <w:rPr>
                <w:b/>
                <w:bCs/>
              </w:rPr>
              <w:t>Question(s):</w:t>
            </w:r>
          </w:p>
        </w:tc>
        <w:tc>
          <w:tcPr>
            <w:tcW w:w="3360" w:type="dxa"/>
            <w:gridSpan w:val="2"/>
          </w:tcPr>
          <w:p w:rsidR="00BE1599" w:rsidRPr="00BE1599" w:rsidRDefault="00BE1599" w:rsidP="00BE1599">
            <w:r w:rsidRPr="00BE1599">
              <w:t>4/2</w:t>
            </w:r>
          </w:p>
        </w:tc>
        <w:tc>
          <w:tcPr>
            <w:tcW w:w="4946" w:type="dxa"/>
            <w:gridSpan w:val="4"/>
          </w:tcPr>
          <w:p w:rsidR="00BE1599" w:rsidRPr="00BE1599" w:rsidRDefault="00BE1599" w:rsidP="00BE1599">
            <w:pPr>
              <w:jc w:val="right"/>
            </w:pPr>
            <w:r w:rsidRPr="00BE1599">
              <w:t>Geneva, 9-18 November 2010</w:t>
            </w:r>
          </w:p>
        </w:tc>
      </w:tr>
      <w:tr w:rsidR="00BE1599" w:rsidRPr="00742925">
        <w:trPr>
          <w:cantSplit/>
          <w:trHeight w:val="357"/>
        </w:trPr>
        <w:tc>
          <w:tcPr>
            <w:tcW w:w="9923" w:type="dxa"/>
            <w:gridSpan w:val="8"/>
          </w:tcPr>
          <w:p w:rsidR="00BE1599" w:rsidRPr="00BE1599" w:rsidRDefault="00BE1599" w:rsidP="00BE1599">
            <w:pPr>
              <w:jc w:val="center"/>
              <w:rPr>
                <w:b/>
                <w:bCs/>
                <w:lang w:val="es-ES_tradnl"/>
              </w:rPr>
            </w:pPr>
            <w:bookmarkStart w:id="7" w:name="dtitle" w:colFirst="0" w:colLast="0"/>
            <w:bookmarkEnd w:id="5"/>
            <w:bookmarkEnd w:id="6"/>
            <w:r w:rsidRPr="00BE1599">
              <w:rPr>
                <w:b/>
                <w:bCs/>
                <w:lang w:val="es-ES_tradnl"/>
              </w:rPr>
              <w:t>Ref.: TD 220 Rev.1 (PLEN/2)-E</w:t>
            </w:r>
          </w:p>
        </w:tc>
      </w:tr>
      <w:tr w:rsidR="00BE1599" w:rsidRPr="00BE1599">
        <w:trPr>
          <w:cantSplit/>
          <w:trHeight w:val="357"/>
        </w:trPr>
        <w:tc>
          <w:tcPr>
            <w:tcW w:w="1617" w:type="dxa"/>
            <w:gridSpan w:val="2"/>
          </w:tcPr>
          <w:p w:rsidR="00BE1599" w:rsidRPr="00BE1599" w:rsidRDefault="00BE1599" w:rsidP="00BE1599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BE1599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6"/>
          </w:tcPr>
          <w:p w:rsidR="00BE1599" w:rsidRPr="00BE1599" w:rsidRDefault="00A623FD" w:rsidP="00BE1599">
            <w:r>
              <w:t>ITU-T Study Group 2 (Geneva, 9-18 November 2010)</w:t>
            </w:r>
          </w:p>
        </w:tc>
      </w:tr>
      <w:tr w:rsidR="00BE1599" w:rsidRPr="00BE1599">
        <w:trPr>
          <w:cantSplit/>
          <w:trHeight w:val="357"/>
        </w:trPr>
        <w:tc>
          <w:tcPr>
            <w:tcW w:w="1617" w:type="dxa"/>
            <w:gridSpan w:val="2"/>
            <w:tcBorders>
              <w:bottom w:val="single" w:sz="12" w:space="0" w:color="auto"/>
            </w:tcBorders>
          </w:tcPr>
          <w:p w:rsidR="00BE1599" w:rsidRPr="00BE1599" w:rsidRDefault="00BE1599" w:rsidP="00BE1599">
            <w:pPr>
              <w:spacing w:after="120"/>
            </w:pPr>
            <w:bookmarkStart w:id="9" w:name="dtitle1" w:colFirst="1" w:colLast="1"/>
            <w:bookmarkEnd w:id="8"/>
            <w:r w:rsidRPr="00BE1599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6"/>
            <w:tcBorders>
              <w:bottom w:val="single" w:sz="12" w:space="0" w:color="auto"/>
            </w:tcBorders>
          </w:tcPr>
          <w:p w:rsidR="00BE1599" w:rsidRPr="00BE1599" w:rsidRDefault="00BE1599" w:rsidP="00BE1599">
            <w:pPr>
              <w:spacing w:after="120"/>
            </w:pPr>
            <w:r w:rsidRPr="00BE1599">
              <w:t>Proposed enhancement to Amendment of E.123 on Emergency Contact Number Notation</w:t>
            </w:r>
          </w:p>
        </w:tc>
      </w:tr>
      <w:bookmarkEnd w:id="2"/>
      <w:bookmarkEnd w:id="9"/>
      <w:tr w:rsidR="009F5CAB" w:rsidTr="003869CD">
        <w:trPr>
          <w:cantSplit/>
          <w:trHeight w:val="357"/>
        </w:trPr>
        <w:tc>
          <w:tcPr>
            <w:tcW w:w="9923" w:type="dxa"/>
            <w:gridSpan w:val="8"/>
            <w:tcBorders>
              <w:top w:val="single" w:sz="12" w:space="0" w:color="auto"/>
            </w:tcBorders>
          </w:tcPr>
          <w:p w:rsidR="009F5CAB" w:rsidRDefault="009F5CA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3869CD" w:rsidTr="003869CD">
        <w:trPr>
          <w:cantSplit/>
          <w:trHeight w:val="357"/>
        </w:trPr>
        <w:tc>
          <w:tcPr>
            <w:tcW w:w="2184" w:type="dxa"/>
            <w:gridSpan w:val="3"/>
          </w:tcPr>
          <w:p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39" w:type="dxa"/>
            <w:gridSpan w:val="5"/>
          </w:tcPr>
          <w:p w:rsidR="003869CD" w:rsidRDefault="00B92E88" w:rsidP="00B92E88">
            <w:pPr>
              <w:pStyle w:val="LSForAction"/>
            </w:pPr>
            <w:r>
              <w:t>GSM Association, 3GPP, 3GPP2</w:t>
            </w:r>
          </w:p>
        </w:tc>
      </w:tr>
      <w:tr w:rsidR="003869CD" w:rsidTr="003869CD">
        <w:trPr>
          <w:cantSplit/>
          <w:trHeight w:val="357"/>
        </w:trPr>
        <w:tc>
          <w:tcPr>
            <w:tcW w:w="2184" w:type="dxa"/>
            <w:gridSpan w:val="3"/>
          </w:tcPr>
          <w:p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39" w:type="dxa"/>
            <w:gridSpan w:val="5"/>
          </w:tcPr>
          <w:p w:rsidR="003869CD" w:rsidRDefault="00B92E88" w:rsidP="003869CD">
            <w:pPr>
              <w:pStyle w:val="LSForComment"/>
            </w:pPr>
            <w:r>
              <w:t>JCA-</w:t>
            </w:r>
            <w:r w:rsidR="00F54697">
              <w:t>A</w:t>
            </w:r>
            <w:r>
              <w:t>HF</w:t>
            </w:r>
          </w:p>
        </w:tc>
      </w:tr>
      <w:tr w:rsidR="003869CD" w:rsidTr="003869CD">
        <w:trPr>
          <w:cantSplit/>
          <w:trHeight w:val="357"/>
        </w:trPr>
        <w:tc>
          <w:tcPr>
            <w:tcW w:w="2184" w:type="dxa"/>
            <w:gridSpan w:val="3"/>
          </w:tcPr>
          <w:p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39" w:type="dxa"/>
            <w:gridSpan w:val="5"/>
          </w:tcPr>
          <w:p w:rsidR="003869CD" w:rsidRDefault="003869CD" w:rsidP="003869CD">
            <w:pPr>
              <w:pStyle w:val="LSForInfo"/>
            </w:pPr>
          </w:p>
        </w:tc>
      </w:tr>
      <w:tr w:rsidR="003869CD" w:rsidTr="003869CD">
        <w:trPr>
          <w:cantSplit/>
          <w:trHeight w:val="357"/>
        </w:trPr>
        <w:tc>
          <w:tcPr>
            <w:tcW w:w="2184" w:type="dxa"/>
            <w:gridSpan w:val="3"/>
          </w:tcPr>
          <w:p w:rsidR="003869CD" w:rsidRDefault="003869CD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39" w:type="dxa"/>
            <w:gridSpan w:val="5"/>
          </w:tcPr>
          <w:p w:rsidR="003869CD" w:rsidRPr="003869CD" w:rsidRDefault="003D768D">
            <w:pPr>
              <w:rPr>
                <w:b/>
                <w:bCs/>
              </w:rPr>
            </w:pPr>
            <w:r>
              <w:rPr>
                <w:b/>
                <w:bCs/>
              </w:rPr>
              <w:t>ITU-T SG2 plenary, 18 November 2010</w:t>
            </w:r>
          </w:p>
        </w:tc>
      </w:tr>
      <w:tr w:rsidR="003869CD" w:rsidTr="003869CD">
        <w:trPr>
          <w:cantSplit/>
          <w:trHeight w:val="357"/>
        </w:trPr>
        <w:tc>
          <w:tcPr>
            <w:tcW w:w="2184" w:type="dxa"/>
            <w:gridSpan w:val="3"/>
            <w:tcBorders>
              <w:bottom w:val="single" w:sz="12" w:space="0" w:color="auto"/>
            </w:tcBorders>
          </w:tcPr>
          <w:p w:rsidR="003869CD" w:rsidRDefault="003869CD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39" w:type="dxa"/>
            <w:gridSpan w:val="5"/>
            <w:tcBorders>
              <w:bottom w:val="single" w:sz="12" w:space="0" w:color="auto"/>
            </w:tcBorders>
          </w:tcPr>
          <w:p w:rsidR="003869CD" w:rsidRDefault="00C57195" w:rsidP="003869CD">
            <w:pPr>
              <w:pStyle w:val="LSDeadline"/>
            </w:pPr>
            <w:r>
              <w:t>30 April 2011</w:t>
            </w:r>
          </w:p>
        </w:tc>
      </w:tr>
      <w:tr w:rsidR="003869CD" w:rsidRPr="00412F95" w:rsidTr="003869CD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</w:tcBorders>
          </w:tcPr>
          <w:p w:rsidR="003869CD" w:rsidRDefault="003869CD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</w:tcBorders>
          </w:tcPr>
          <w:p w:rsidR="003869CD" w:rsidRDefault="007B418E">
            <w:r>
              <w:t>Sherif Guinena</w:t>
            </w:r>
          </w:p>
          <w:p w:rsidR="003869CD" w:rsidRDefault="007B418E">
            <w:pPr>
              <w:spacing w:before="0"/>
            </w:pPr>
            <w:r>
              <w:t>NTRA</w:t>
            </w:r>
          </w:p>
          <w:p w:rsidR="003869CD" w:rsidRDefault="007B418E">
            <w:pPr>
              <w:spacing w:before="0"/>
            </w:pPr>
            <w:r>
              <w:t>Egypt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3869CD" w:rsidRPr="00412F95" w:rsidRDefault="003869CD">
            <w:pPr>
              <w:rPr>
                <w:lang w:val="en-US"/>
              </w:rPr>
            </w:pPr>
            <w:r>
              <w:t>Tel:</w:t>
            </w:r>
            <w:r w:rsidR="007B418E">
              <w:t xml:space="preserve"> </w:t>
            </w:r>
            <w:r w:rsidR="00412F95">
              <w:tab/>
            </w:r>
            <w:r w:rsidR="007B418E">
              <w:t>+202 353 44 240</w:t>
            </w:r>
          </w:p>
          <w:p w:rsidR="003869CD" w:rsidRPr="00412F95" w:rsidRDefault="003869CD">
            <w:pPr>
              <w:spacing w:before="0"/>
              <w:rPr>
                <w:lang w:val="en-US"/>
              </w:rPr>
            </w:pPr>
            <w:r w:rsidRPr="00412F95">
              <w:rPr>
                <w:lang w:val="en-US"/>
              </w:rPr>
              <w:t>Fax:</w:t>
            </w:r>
            <w:r w:rsidR="007B418E" w:rsidRPr="00412F95">
              <w:rPr>
                <w:lang w:val="en-US"/>
              </w:rPr>
              <w:t xml:space="preserve"> </w:t>
            </w:r>
            <w:r w:rsidR="00412F95" w:rsidRPr="00412F95">
              <w:rPr>
                <w:lang w:val="en-US"/>
              </w:rPr>
              <w:tab/>
            </w:r>
            <w:r w:rsidR="007B418E" w:rsidRPr="00412F95">
              <w:rPr>
                <w:lang w:val="en-US"/>
              </w:rPr>
              <w:t>+202 353 44 155</w:t>
            </w:r>
          </w:p>
          <w:p w:rsidR="003869CD" w:rsidRPr="00412F95" w:rsidRDefault="003869CD">
            <w:pPr>
              <w:spacing w:before="0"/>
              <w:rPr>
                <w:lang w:val="en-US"/>
              </w:rPr>
            </w:pPr>
            <w:r w:rsidRPr="00412F95">
              <w:rPr>
                <w:lang w:val="en-US"/>
              </w:rPr>
              <w:t xml:space="preserve">Email: </w:t>
            </w:r>
            <w:r w:rsidR="00412F95">
              <w:rPr>
                <w:lang w:val="en-US"/>
              </w:rPr>
              <w:tab/>
            </w:r>
            <w:hyperlink r:id="rId8" w:history="1">
              <w:r w:rsidR="00412F95" w:rsidRPr="00ED4FEE">
                <w:rPr>
                  <w:rStyle w:val="Hyperlink"/>
                  <w:lang w:val="en-US"/>
                </w:rPr>
                <w:t>Dr.Guinena@ntra.gov.eg</w:t>
              </w:r>
            </w:hyperlink>
            <w:r w:rsidR="00412F95">
              <w:rPr>
                <w:lang w:val="en-US"/>
              </w:rPr>
              <w:t xml:space="preserve"> </w:t>
            </w:r>
          </w:p>
        </w:tc>
      </w:tr>
      <w:tr w:rsidR="003869CD" w:rsidTr="003869CD">
        <w:trPr>
          <w:cantSplit/>
          <w:trHeight w:val="204"/>
        </w:trPr>
        <w:tc>
          <w:tcPr>
            <w:tcW w:w="9923" w:type="dxa"/>
            <w:gridSpan w:val="8"/>
            <w:tcBorders>
              <w:top w:val="single" w:sz="12" w:space="0" w:color="auto"/>
            </w:tcBorders>
          </w:tcPr>
          <w:p w:rsidR="003869CD" w:rsidRDefault="003869CD">
            <w:pPr>
              <w:spacing w:before="0"/>
              <w:rPr>
                <w:sz w:val="18"/>
              </w:rPr>
            </w:pPr>
          </w:p>
        </w:tc>
      </w:tr>
    </w:tbl>
    <w:p w:rsidR="00FD6B3D" w:rsidRDefault="00FD6B3D" w:rsidP="00D8248F">
      <w:pPr>
        <w:jc w:val="both"/>
      </w:pPr>
      <w:r w:rsidRPr="00B714E3">
        <w:t xml:space="preserve">ITU-T SG2 </w:t>
      </w:r>
      <w:r>
        <w:t xml:space="preserve">has approved ITU-T Amendment to Recommendation E.123 on </w:t>
      </w:r>
      <w:r w:rsidRPr="00B714E3">
        <w:t>Emergency Contact Number Notation (E.123)</w:t>
      </w:r>
      <w:r>
        <w:t>, and invited ETSI and 3GPP as well as future meetings of ITU-T SG2 to consider future enhancement of the recommendations within their work.</w:t>
      </w:r>
    </w:p>
    <w:p w:rsidR="00FD6B3D" w:rsidRDefault="00FD6B3D" w:rsidP="00D8248F">
      <w:pPr>
        <w:jc w:val="both"/>
      </w:pPr>
      <w:r>
        <w:t xml:space="preserve">Practical implementation of this recommendation </w:t>
      </w:r>
      <w:r w:rsidR="00D90612">
        <w:t>has revealed</w:t>
      </w:r>
      <w:r>
        <w:t xml:space="preserve"> a flaw and </w:t>
      </w:r>
      <w:r w:rsidR="00D90612">
        <w:t xml:space="preserve">it is proposed to investigate an </w:t>
      </w:r>
      <w:r>
        <w:t xml:space="preserve">enhancement </w:t>
      </w:r>
      <w:r w:rsidR="00D90612">
        <w:t>to E.123</w:t>
      </w:r>
      <w:r w:rsidR="00D8248F">
        <w:t xml:space="preserve"> </w:t>
      </w:r>
      <w:r>
        <w:t xml:space="preserve">and </w:t>
      </w:r>
      <w:r w:rsidR="00D90612">
        <w:t xml:space="preserve">the results </w:t>
      </w:r>
      <w:r>
        <w:t xml:space="preserve">considered by the ITU-T and other involved organizations. To that end, ITU-T SG2 is seeking your comment and possible actions on this issue </w:t>
      </w:r>
      <w:r w:rsidR="00D90612">
        <w:t xml:space="preserve">as </w:t>
      </w:r>
      <w:r>
        <w:t>explained below.</w:t>
      </w:r>
    </w:p>
    <w:p w:rsidR="00FD6B3D" w:rsidRDefault="00D90612" w:rsidP="00D8248F">
      <w:pPr>
        <w:jc w:val="both"/>
      </w:pPr>
      <w:r>
        <w:t xml:space="preserve">The </w:t>
      </w:r>
      <w:r w:rsidR="00FD6B3D">
        <w:t xml:space="preserve">Amendment to E.123 </w:t>
      </w:r>
      <w:r>
        <w:t xml:space="preserve">on Emergency Contact Number Notation </w:t>
      </w:r>
      <w:r w:rsidR="00FD6B3D">
        <w:t>recommended that the f</w:t>
      </w:r>
      <w:r w:rsidR="00FD6B3D" w:rsidRPr="00B714E3">
        <w:t>ormat of the name</w:t>
      </w:r>
      <w:r w:rsidR="00FD6B3D">
        <w:t xml:space="preserve"> of helping persons be as</w:t>
      </w:r>
      <w:r w:rsidR="00FD6B3D" w:rsidRPr="00B714E3">
        <w:t>: 0nX, where n is a digit from 1 through 9 and X is any meaningful descriptive character string (for example</w:t>
      </w:r>
      <w:r w:rsidR="00FD6B3D">
        <w:t xml:space="preserve">, “spouse”, or “home number”), e.g. </w:t>
      </w:r>
    </w:p>
    <w:p w:rsidR="00FD6B3D" w:rsidRDefault="00FD6B3D" w:rsidP="00D8248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3285"/>
      </w:tblGrid>
      <w:tr w:rsidR="00FD6B3D" w:rsidTr="00BA4580">
        <w:trPr>
          <w:jc w:val="center"/>
        </w:trPr>
        <w:tc>
          <w:tcPr>
            <w:tcW w:w="3285" w:type="dxa"/>
          </w:tcPr>
          <w:p w:rsidR="00FD6B3D" w:rsidRDefault="00FD6B3D" w:rsidP="00D8248F">
            <w:pPr>
              <w:jc w:val="both"/>
            </w:pPr>
            <w:r>
              <w:t>01home</w:t>
            </w:r>
          </w:p>
        </w:tc>
        <w:tc>
          <w:tcPr>
            <w:tcW w:w="3285" w:type="dxa"/>
          </w:tcPr>
          <w:p w:rsidR="00FD6B3D" w:rsidRDefault="00FD6B3D" w:rsidP="00D8248F">
            <w:pPr>
              <w:jc w:val="both"/>
            </w:pPr>
            <w:r>
              <w:t>+41 22 123 4567</w:t>
            </w:r>
          </w:p>
        </w:tc>
      </w:tr>
      <w:tr w:rsidR="00FD6B3D" w:rsidTr="00BA4580">
        <w:trPr>
          <w:jc w:val="center"/>
        </w:trPr>
        <w:tc>
          <w:tcPr>
            <w:tcW w:w="3285" w:type="dxa"/>
          </w:tcPr>
          <w:p w:rsidR="00FD6B3D" w:rsidRDefault="00FD6B3D" w:rsidP="00D8248F">
            <w:pPr>
              <w:jc w:val="both"/>
            </w:pPr>
            <w:r>
              <w:t>02husband</w:t>
            </w:r>
          </w:p>
        </w:tc>
        <w:tc>
          <w:tcPr>
            <w:tcW w:w="3285" w:type="dxa"/>
          </w:tcPr>
          <w:p w:rsidR="00FD6B3D" w:rsidRDefault="00FD6B3D" w:rsidP="00D8248F">
            <w:pPr>
              <w:jc w:val="both"/>
            </w:pPr>
            <w:r>
              <w:t>+41 79 123 4567</w:t>
            </w:r>
          </w:p>
        </w:tc>
      </w:tr>
    </w:tbl>
    <w:p w:rsidR="00FD6B3D" w:rsidRDefault="00FD6B3D" w:rsidP="00D8248F">
      <w:pPr>
        <w:jc w:val="both"/>
      </w:pPr>
      <w:r>
        <w:t xml:space="preserve"> </w:t>
      </w:r>
      <w:r>
        <w:tab/>
      </w:r>
    </w:p>
    <w:p w:rsidR="00FD6B3D" w:rsidRDefault="00D90612" w:rsidP="00D8248F">
      <w:pPr>
        <w:jc w:val="both"/>
      </w:pPr>
      <w:r>
        <w:t xml:space="preserve">The </w:t>
      </w:r>
      <w:r w:rsidR="00FD6B3D">
        <w:t xml:space="preserve">practical implementation </w:t>
      </w:r>
      <w:r>
        <w:t xml:space="preserve">of this amendment </w:t>
      </w:r>
      <w:r w:rsidR="00FD6B3D">
        <w:t xml:space="preserve">on </w:t>
      </w:r>
      <w:r w:rsidR="006645C3">
        <w:t>several</w:t>
      </w:r>
      <w:r w:rsidR="00FD6B3D">
        <w:t xml:space="preserve"> mobile handsets reveals that if the same number is additionally stored in the set’s directory under a different name (e.g. “My Home” : +41 22 123 4567), then an incoming call from this number to the mobile handset will not display the name of the calling party, but just the calling </w:t>
      </w:r>
      <w:r w:rsidR="006645C3">
        <w:t xml:space="preserve">party </w:t>
      </w:r>
      <w:r w:rsidR="00FD6B3D">
        <w:t>number (i.e. neither “</w:t>
      </w:r>
      <w:r w:rsidR="006645C3">
        <w:t>01</w:t>
      </w:r>
      <w:r w:rsidR="00FD6B3D">
        <w:t xml:space="preserve">home” nor ‘My Home” will be displayed, but just : +41 22 123 4567). </w:t>
      </w:r>
    </w:p>
    <w:p w:rsidR="00FD6B3D" w:rsidRDefault="00FD6B3D" w:rsidP="00D8248F">
      <w:pPr>
        <w:jc w:val="both"/>
      </w:pPr>
      <w:r>
        <w:lastRenderedPageBreak/>
        <w:t>And since a user will mostly select the emergency helping persons from within his existing contact list</w:t>
      </w:r>
      <w:r w:rsidR="006645C3">
        <w:t>,</w:t>
      </w:r>
      <w:r>
        <w:t xml:space="preserve"> such as family members, spouse, friends, doctors...etc; then the proposed methodology will always inhibit the display of the calling party </w:t>
      </w:r>
      <w:r w:rsidRPr="006645C3">
        <w:rPr>
          <w:b/>
          <w:bCs/>
        </w:rPr>
        <w:t>name</w:t>
      </w:r>
      <w:r>
        <w:t xml:space="preserve"> for calls incoming form any of those parties, which is considered as a deficiency in users’ handset capabilities, and may cause uncertainty and frustration to the user</w:t>
      </w:r>
      <w:r w:rsidR="006645C3">
        <w:t>, particularly if he cannot memorize most or all of these numbers with their associated names.</w:t>
      </w:r>
    </w:p>
    <w:p w:rsidR="00FD6B3D" w:rsidRDefault="006645C3" w:rsidP="00D8248F">
      <w:pPr>
        <w:jc w:val="both"/>
      </w:pPr>
      <w:r>
        <w:t xml:space="preserve">But since any solution to this problem is </w:t>
      </w:r>
      <w:r w:rsidR="00D90612">
        <w:t xml:space="preserve">likely </w:t>
      </w:r>
      <w:r>
        <w:t>to involve modification to</w:t>
      </w:r>
      <w:r w:rsidR="00D90612">
        <w:t xml:space="preserve"> existing</w:t>
      </w:r>
      <w:r>
        <w:t xml:space="preserve"> software or firmware of the </w:t>
      </w:r>
      <w:r w:rsidR="00D8248F">
        <w:t>users’</w:t>
      </w:r>
      <w:r>
        <w:t xml:space="preserve"> mobile handset, ITU-T SG2 is seeking your views on the possible solutions in order to preserve the mobile handset functionality as expected by the user. From </w:t>
      </w:r>
      <w:r w:rsidR="00D90612">
        <w:t>ITU</w:t>
      </w:r>
      <w:r w:rsidR="00D8248F">
        <w:t>-</w:t>
      </w:r>
      <w:r w:rsidR="00D90612">
        <w:t>T SG2</w:t>
      </w:r>
      <w:r>
        <w:t xml:space="preserve"> point of view, a proposed functionality should be as follows: </w:t>
      </w:r>
      <w:r w:rsidR="00FD6B3D">
        <w:t>a mobile set should be capable of resolving and displaying names for duplicate numbers if duplication is between any number within the first 9 contact list in the mobile set and the same number within the rest of the contact list even if associated with a different name. The name outside the first 9 contact names would be the name that shall be displayed for incoming calls from this duplicate number, as these are the usual or every day expected calls.</w:t>
      </w:r>
    </w:p>
    <w:p w:rsidR="006645C3" w:rsidRDefault="006645C3" w:rsidP="00D8248F">
      <w:pPr>
        <w:jc w:val="both"/>
      </w:pPr>
      <w:r>
        <w:t xml:space="preserve">ITU-T </w:t>
      </w:r>
      <w:r w:rsidR="00C70419">
        <w:t xml:space="preserve">SG2 </w:t>
      </w:r>
      <w:r>
        <w:t xml:space="preserve">would be happy to receive your comments on this issue </w:t>
      </w:r>
      <w:r w:rsidR="00C70419">
        <w:t xml:space="preserve">including a perspective on the </w:t>
      </w:r>
      <w:r>
        <w:t>possible solutions</w:t>
      </w:r>
      <w:r w:rsidR="00C70419">
        <w:t>,</w:t>
      </w:r>
      <w:r>
        <w:t xml:space="preserve"> so that ITU-T can amend the </w:t>
      </w:r>
      <w:r w:rsidR="00C70419">
        <w:t>E.123 Recommendations as appropriate.</w:t>
      </w:r>
    </w:p>
    <w:p w:rsidR="00C70419" w:rsidRDefault="00C70419" w:rsidP="006645C3"/>
    <w:p w:rsidR="006645C3" w:rsidRDefault="006645C3" w:rsidP="00FD6B3D">
      <w:pPr>
        <w:jc w:val="center"/>
      </w:pPr>
    </w:p>
    <w:p w:rsidR="009F5CAB" w:rsidRDefault="00FD6B3D" w:rsidP="00412F95">
      <w:pPr>
        <w:jc w:val="center"/>
      </w:pPr>
      <w:r>
        <w:t>______________</w:t>
      </w:r>
    </w:p>
    <w:sectPr w:rsidR="009F5CAB" w:rsidSect="00BE15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092" w:rsidRDefault="004B5092" w:rsidP="009F5CAB">
      <w:r>
        <w:separator/>
      </w:r>
    </w:p>
  </w:endnote>
  <w:endnote w:type="continuationSeparator" w:id="0">
    <w:p w:rsidR="004B5092" w:rsidRDefault="004B5092" w:rsidP="009F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CF" w:rsidRDefault="00D069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60" w:rsidRPr="00784B19" w:rsidRDefault="007E5E60" w:rsidP="00784B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jc w:val="center"/>
      <w:tblLayout w:type="fixed"/>
      <w:tblLook w:val="0000"/>
    </w:tblPr>
    <w:tblGrid>
      <w:gridCol w:w="9923"/>
    </w:tblGrid>
    <w:tr w:rsidR="00BE1599" w:rsidRPr="00BE1599">
      <w:trPr>
        <w:cantSplit/>
        <w:jc w:val="center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BE1599" w:rsidRPr="00BE1599" w:rsidRDefault="00BE1599" w:rsidP="00BE1599">
          <w:pPr>
            <w:spacing w:before="0"/>
            <w:rPr>
              <w:sz w:val="18"/>
            </w:rPr>
          </w:pPr>
          <w:r w:rsidRPr="00BE1599">
            <w:rPr>
              <w:b/>
              <w:bCs/>
              <w:sz w:val="18"/>
            </w:rPr>
            <w:t>Attention:</w:t>
          </w:r>
          <w:r w:rsidRPr="00BE1599">
            <w:rPr>
              <w:sz w:val="18"/>
            </w:rPr>
            <w:t xml:space="preserve"> Some or all of the material attached to this liaison statement may be subject to ITU copyright. In such a case this will be indicated in the individual document. </w:t>
          </w:r>
        </w:p>
        <w:p w:rsidR="00BE1599" w:rsidRPr="00BE1599" w:rsidRDefault="00BE1599" w:rsidP="00BE1599">
          <w:pPr>
            <w:spacing w:before="0"/>
            <w:rPr>
              <w:sz w:val="18"/>
            </w:rPr>
          </w:pPr>
          <w:r w:rsidRPr="00BE1599">
            <w:rPr>
              <w:sz w:val="18"/>
            </w:rPr>
            <w:t>Such a copyright does not prevent the use of the material for its intended purpose, but it prevents the reproduction of all or part of it in a publication without the authorization of ITU.</w:t>
          </w:r>
        </w:p>
      </w:tc>
    </w:tr>
  </w:tbl>
  <w:p w:rsidR="00BE1599" w:rsidRPr="00BE1599" w:rsidRDefault="00BE1599" w:rsidP="00BE1599">
    <w:pPr>
      <w:spacing w:before="0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092" w:rsidRDefault="004B5092" w:rsidP="009F5CAB">
      <w:r>
        <w:separator/>
      </w:r>
    </w:p>
  </w:footnote>
  <w:footnote w:type="continuationSeparator" w:id="0">
    <w:p w:rsidR="004B5092" w:rsidRDefault="004B5092" w:rsidP="009F5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CF" w:rsidRDefault="00D069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99" w:rsidRPr="00BE1599" w:rsidRDefault="00BE1599" w:rsidP="00BE1599">
    <w:pPr>
      <w:pStyle w:val="Header"/>
    </w:pPr>
    <w:r w:rsidRPr="00BE1599">
      <w:t xml:space="preserve">- </w:t>
    </w:r>
    <w:r w:rsidR="001D6DF4">
      <w:fldChar w:fldCharType="begin"/>
    </w:r>
    <w:r w:rsidR="00670294">
      <w:instrText xml:space="preserve"> PAGE  \* MERGEFORMAT </w:instrText>
    </w:r>
    <w:r w:rsidR="001D6DF4">
      <w:fldChar w:fldCharType="separate"/>
    </w:r>
    <w:r w:rsidR="00742925">
      <w:rPr>
        <w:noProof/>
      </w:rPr>
      <w:t>3</w:t>
    </w:r>
    <w:r w:rsidR="001D6DF4">
      <w:fldChar w:fldCharType="end"/>
    </w:r>
    <w:r w:rsidRPr="00BE1599"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CF" w:rsidRDefault="00D069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intFractionalCharacterWidth/>
  <w:activeWritingStyle w:appName="MSWord" w:lang="de-DE" w:vendorID="9" w:dllVersion="512" w:checkStyle="0"/>
  <w:proofState w:spelling="clean"/>
  <w:attachedTemplate r:id="rId1"/>
  <w:stylePaneFormatFilter w:val="3F01"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9F5CAB"/>
    <w:rsid w:val="000D4CC6"/>
    <w:rsid w:val="001D1888"/>
    <w:rsid w:val="001D6DF4"/>
    <w:rsid w:val="00221023"/>
    <w:rsid w:val="00226033"/>
    <w:rsid w:val="002C18A4"/>
    <w:rsid w:val="00320AE7"/>
    <w:rsid w:val="003869CD"/>
    <w:rsid w:val="003949C1"/>
    <w:rsid w:val="003D768D"/>
    <w:rsid w:val="003E0A00"/>
    <w:rsid w:val="00412F95"/>
    <w:rsid w:val="004B5092"/>
    <w:rsid w:val="004E1FAF"/>
    <w:rsid w:val="005B18A7"/>
    <w:rsid w:val="006645C3"/>
    <w:rsid w:val="00670294"/>
    <w:rsid w:val="00742925"/>
    <w:rsid w:val="00784B19"/>
    <w:rsid w:val="007B418E"/>
    <w:rsid w:val="007E5E60"/>
    <w:rsid w:val="00827BAB"/>
    <w:rsid w:val="00833B09"/>
    <w:rsid w:val="009E3411"/>
    <w:rsid w:val="009F5CAB"/>
    <w:rsid w:val="00A623FD"/>
    <w:rsid w:val="00AD229C"/>
    <w:rsid w:val="00B92E88"/>
    <w:rsid w:val="00BE1599"/>
    <w:rsid w:val="00C54ED7"/>
    <w:rsid w:val="00C57195"/>
    <w:rsid w:val="00C70419"/>
    <w:rsid w:val="00C955F2"/>
    <w:rsid w:val="00CC5757"/>
    <w:rsid w:val="00D069CF"/>
    <w:rsid w:val="00D25680"/>
    <w:rsid w:val="00D27563"/>
    <w:rsid w:val="00D8248F"/>
    <w:rsid w:val="00D90612"/>
    <w:rsid w:val="00DA3D11"/>
    <w:rsid w:val="00DC308B"/>
    <w:rsid w:val="00DF0D1D"/>
    <w:rsid w:val="00DF72BB"/>
    <w:rsid w:val="00E64BE9"/>
    <w:rsid w:val="00E80DDD"/>
    <w:rsid w:val="00E910CA"/>
    <w:rsid w:val="00EB3CC6"/>
    <w:rsid w:val="00F41AFB"/>
    <w:rsid w:val="00F54697"/>
    <w:rsid w:val="00F91629"/>
    <w:rsid w:val="00FC0A82"/>
    <w:rsid w:val="00FD6B3D"/>
    <w:rsid w:val="00FE22B0"/>
    <w:rsid w:val="00FF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308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DC308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C308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DC308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DC308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C308B"/>
    <w:pPr>
      <w:outlineLvl w:val="4"/>
    </w:pPr>
  </w:style>
  <w:style w:type="paragraph" w:styleId="Heading6">
    <w:name w:val="heading 6"/>
    <w:basedOn w:val="Heading4"/>
    <w:next w:val="Normal"/>
    <w:qFormat/>
    <w:rsid w:val="00DC308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C308B"/>
    <w:pPr>
      <w:outlineLvl w:val="6"/>
    </w:pPr>
  </w:style>
  <w:style w:type="paragraph" w:styleId="Heading8">
    <w:name w:val="heading 8"/>
    <w:basedOn w:val="Heading6"/>
    <w:next w:val="Normal"/>
    <w:qFormat/>
    <w:rsid w:val="00DC308B"/>
    <w:pPr>
      <w:outlineLvl w:val="7"/>
    </w:pPr>
  </w:style>
  <w:style w:type="paragraph" w:styleId="Heading9">
    <w:name w:val="heading 9"/>
    <w:basedOn w:val="Heading6"/>
    <w:next w:val="Normal"/>
    <w:qFormat/>
    <w:rsid w:val="00DC308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DC308B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C308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C308B"/>
  </w:style>
  <w:style w:type="paragraph" w:customStyle="1" w:styleId="AppendixNotitle">
    <w:name w:val="Appendix_No &amp; title"/>
    <w:basedOn w:val="AnnexNotitle"/>
    <w:next w:val="Normal"/>
    <w:rsid w:val="00DC308B"/>
  </w:style>
  <w:style w:type="character" w:customStyle="1" w:styleId="Artdef">
    <w:name w:val="Art_def"/>
    <w:basedOn w:val="DefaultParagraphFont"/>
    <w:rsid w:val="00DC308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C308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C308B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C308B"/>
  </w:style>
  <w:style w:type="paragraph" w:customStyle="1" w:styleId="Arttitle">
    <w:name w:val="Art_title"/>
    <w:basedOn w:val="Normal"/>
    <w:next w:val="Normal"/>
    <w:rsid w:val="00DC308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C308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C308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C308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C308B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C308B"/>
    <w:rPr>
      <w:vertAlign w:val="superscript"/>
    </w:rPr>
  </w:style>
  <w:style w:type="paragraph" w:customStyle="1" w:styleId="enumlev1">
    <w:name w:val="enumlev1"/>
    <w:basedOn w:val="Normal"/>
    <w:rsid w:val="00DC308B"/>
    <w:pPr>
      <w:spacing w:before="80"/>
      <w:ind w:left="794" w:hanging="794"/>
    </w:pPr>
  </w:style>
  <w:style w:type="paragraph" w:customStyle="1" w:styleId="enumlev2">
    <w:name w:val="enumlev2"/>
    <w:basedOn w:val="enumlev1"/>
    <w:rsid w:val="00DC308B"/>
    <w:pPr>
      <w:ind w:left="1191" w:hanging="397"/>
    </w:pPr>
  </w:style>
  <w:style w:type="paragraph" w:customStyle="1" w:styleId="enumlev3">
    <w:name w:val="enumlev3"/>
    <w:basedOn w:val="enumlev2"/>
    <w:rsid w:val="00DC308B"/>
    <w:pPr>
      <w:ind w:left="1588"/>
    </w:pPr>
  </w:style>
  <w:style w:type="paragraph" w:customStyle="1" w:styleId="Equation">
    <w:name w:val="Equation"/>
    <w:basedOn w:val="Normal"/>
    <w:rsid w:val="00DC308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C308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C308B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C308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DC308B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C308B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C308B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C308B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C308B"/>
    <w:pPr>
      <w:keepLines/>
      <w:spacing w:before="240" w:after="120"/>
      <w:jc w:val="center"/>
    </w:pPr>
  </w:style>
  <w:style w:type="paragraph" w:styleId="Footer">
    <w:name w:val="footer"/>
    <w:basedOn w:val="Normal"/>
    <w:rsid w:val="00DC308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C308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DC308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DC308B"/>
    <w:rPr>
      <w:position w:val="6"/>
      <w:sz w:val="18"/>
    </w:rPr>
  </w:style>
  <w:style w:type="paragraph" w:customStyle="1" w:styleId="Note">
    <w:name w:val="Note"/>
    <w:basedOn w:val="Normal"/>
    <w:rsid w:val="00DC308B"/>
    <w:pPr>
      <w:spacing w:before="80"/>
    </w:pPr>
  </w:style>
  <w:style w:type="paragraph" w:styleId="FootnoteText">
    <w:name w:val="footnote text"/>
    <w:basedOn w:val="Note"/>
    <w:semiHidden/>
    <w:rsid w:val="00DC308B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DC308B"/>
    <w:rPr>
      <w:b w:val="0"/>
    </w:rPr>
  </w:style>
  <w:style w:type="paragraph" w:styleId="Header">
    <w:name w:val="header"/>
    <w:basedOn w:val="Normal"/>
    <w:rsid w:val="00DC308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DC308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C308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C308B"/>
  </w:style>
  <w:style w:type="paragraph" w:styleId="Index2">
    <w:name w:val="index 2"/>
    <w:basedOn w:val="Normal"/>
    <w:next w:val="Normal"/>
    <w:semiHidden/>
    <w:rsid w:val="00DC308B"/>
    <w:pPr>
      <w:ind w:left="283"/>
    </w:pPr>
  </w:style>
  <w:style w:type="paragraph" w:styleId="Index3">
    <w:name w:val="index 3"/>
    <w:basedOn w:val="Normal"/>
    <w:next w:val="Normal"/>
    <w:semiHidden/>
    <w:rsid w:val="00DC308B"/>
    <w:pPr>
      <w:ind w:left="566"/>
    </w:pPr>
  </w:style>
  <w:style w:type="paragraph" w:customStyle="1" w:styleId="Normalaftertitle">
    <w:name w:val="Normal_after_title"/>
    <w:basedOn w:val="Normal"/>
    <w:next w:val="Normal"/>
    <w:rsid w:val="00DC308B"/>
    <w:pPr>
      <w:spacing w:before="360"/>
    </w:pPr>
  </w:style>
  <w:style w:type="character" w:styleId="PageNumber">
    <w:name w:val="page number"/>
    <w:basedOn w:val="DefaultParagraphFont"/>
    <w:rsid w:val="00DC308B"/>
  </w:style>
  <w:style w:type="paragraph" w:customStyle="1" w:styleId="PartNo">
    <w:name w:val="Part_No"/>
    <w:basedOn w:val="Normal"/>
    <w:next w:val="Normal"/>
    <w:rsid w:val="00DC30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C308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C308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C30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C308B"/>
  </w:style>
  <w:style w:type="paragraph" w:customStyle="1" w:styleId="RecNo">
    <w:name w:val="Rec_No"/>
    <w:basedOn w:val="Normal"/>
    <w:next w:val="Normal"/>
    <w:rsid w:val="00DC308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DC308B"/>
  </w:style>
  <w:style w:type="paragraph" w:customStyle="1" w:styleId="RecNoBR">
    <w:name w:val="Rec_No_BR"/>
    <w:basedOn w:val="Normal"/>
    <w:next w:val="Normal"/>
    <w:rsid w:val="00DC308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C308B"/>
  </w:style>
  <w:style w:type="paragraph" w:customStyle="1" w:styleId="Recref">
    <w:name w:val="Rec_ref"/>
    <w:basedOn w:val="Normal"/>
    <w:next w:val="Recdate"/>
    <w:rsid w:val="00DC30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C308B"/>
  </w:style>
  <w:style w:type="paragraph" w:customStyle="1" w:styleId="Rectitle">
    <w:name w:val="Rec_title"/>
    <w:basedOn w:val="Normal"/>
    <w:next w:val="Normalaftertitle"/>
    <w:rsid w:val="00DC308B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C308B"/>
  </w:style>
  <w:style w:type="character" w:customStyle="1" w:styleId="Recdef">
    <w:name w:val="Rec_def"/>
    <w:basedOn w:val="DefaultParagraphFont"/>
    <w:rsid w:val="00DC308B"/>
    <w:rPr>
      <w:b/>
    </w:rPr>
  </w:style>
  <w:style w:type="paragraph" w:customStyle="1" w:styleId="Reftext">
    <w:name w:val="Ref_text"/>
    <w:basedOn w:val="Normal"/>
    <w:rsid w:val="00DC308B"/>
    <w:pPr>
      <w:ind w:left="794" w:hanging="794"/>
    </w:pPr>
  </w:style>
  <w:style w:type="paragraph" w:customStyle="1" w:styleId="Reftitle">
    <w:name w:val="Ref_title"/>
    <w:basedOn w:val="Normal"/>
    <w:next w:val="Reftext"/>
    <w:rsid w:val="00DC308B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C308B"/>
  </w:style>
  <w:style w:type="paragraph" w:customStyle="1" w:styleId="RepNo">
    <w:name w:val="Rep_No"/>
    <w:basedOn w:val="RecNo"/>
    <w:next w:val="Normal"/>
    <w:rsid w:val="00DC308B"/>
  </w:style>
  <w:style w:type="paragraph" w:customStyle="1" w:styleId="RepNoBR">
    <w:name w:val="Rep_No_BR"/>
    <w:basedOn w:val="RecNoBR"/>
    <w:next w:val="Normal"/>
    <w:rsid w:val="00DC308B"/>
  </w:style>
  <w:style w:type="paragraph" w:customStyle="1" w:styleId="Repref">
    <w:name w:val="Rep_ref"/>
    <w:basedOn w:val="Recref"/>
    <w:next w:val="Repdate"/>
    <w:rsid w:val="00DC308B"/>
  </w:style>
  <w:style w:type="paragraph" w:customStyle="1" w:styleId="Reptitle">
    <w:name w:val="Rep_title"/>
    <w:basedOn w:val="Rectitle"/>
    <w:next w:val="Repref"/>
    <w:rsid w:val="00DC308B"/>
  </w:style>
  <w:style w:type="paragraph" w:customStyle="1" w:styleId="Resdate">
    <w:name w:val="Res_date"/>
    <w:basedOn w:val="Recdate"/>
    <w:next w:val="Normalaftertitle"/>
    <w:rsid w:val="00DC308B"/>
  </w:style>
  <w:style w:type="character" w:customStyle="1" w:styleId="Resdef">
    <w:name w:val="Res_def"/>
    <w:basedOn w:val="DefaultParagraphFont"/>
    <w:rsid w:val="00DC308B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C308B"/>
  </w:style>
  <w:style w:type="paragraph" w:customStyle="1" w:styleId="ResNoBR">
    <w:name w:val="Res_No_BR"/>
    <w:basedOn w:val="RecNoBR"/>
    <w:next w:val="Normal"/>
    <w:rsid w:val="00DC308B"/>
  </w:style>
  <w:style w:type="paragraph" w:customStyle="1" w:styleId="Resref">
    <w:name w:val="Res_ref"/>
    <w:basedOn w:val="Recref"/>
    <w:next w:val="Resdate"/>
    <w:rsid w:val="00DC308B"/>
  </w:style>
  <w:style w:type="paragraph" w:customStyle="1" w:styleId="Restitle">
    <w:name w:val="Res_title"/>
    <w:basedOn w:val="Rectitle"/>
    <w:next w:val="Resref"/>
    <w:rsid w:val="00DC308B"/>
  </w:style>
  <w:style w:type="paragraph" w:customStyle="1" w:styleId="Section1">
    <w:name w:val="Section_1"/>
    <w:basedOn w:val="Normal"/>
    <w:next w:val="Normal"/>
    <w:rsid w:val="00DC308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C308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C30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C308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C308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C308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C308B"/>
    <w:rPr>
      <w:b/>
      <w:color w:val="auto"/>
    </w:rPr>
  </w:style>
  <w:style w:type="paragraph" w:customStyle="1" w:styleId="Tablehead">
    <w:name w:val="Table_head"/>
    <w:basedOn w:val="Normal"/>
    <w:next w:val="Normal"/>
    <w:rsid w:val="00DC308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C30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DC308B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C308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C308B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DC30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DC308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C308B"/>
  </w:style>
  <w:style w:type="paragraph" w:customStyle="1" w:styleId="Title3">
    <w:name w:val="Title 3"/>
    <w:basedOn w:val="Title2"/>
    <w:next w:val="Normal"/>
    <w:rsid w:val="00DC308B"/>
    <w:rPr>
      <w:caps w:val="0"/>
    </w:rPr>
  </w:style>
  <w:style w:type="paragraph" w:customStyle="1" w:styleId="Title4">
    <w:name w:val="Title 4"/>
    <w:basedOn w:val="Title3"/>
    <w:next w:val="Heading1"/>
    <w:rsid w:val="00DC308B"/>
    <w:rPr>
      <w:b/>
    </w:rPr>
  </w:style>
  <w:style w:type="paragraph" w:customStyle="1" w:styleId="toc0">
    <w:name w:val="toc 0"/>
    <w:basedOn w:val="Normal"/>
    <w:next w:val="TOC1"/>
    <w:rsid w:val="00DC308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C308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C308B"/>
    <w:pPr>
      <w:spacing w:before="80"/>
      <w:ind w:left="1531" w:hanging="851"/>
    </w:pPr>
  </w:style>
  <w:style w:type="paragraph" w:styleId="TOC3">
    <w:name w:val="toc 3"/>
    <w:basedOn w:val="TOC2"/>
    <w:semiHidden/>
    <w:rsid w:val="00DC308B"/>
  </w:style>
  <w:style w:type="paragraph" w:styleId="TOC4">
    <w:name w:val="toc 4"/>
    <w:basedOn w:val="TOC3"/>
    <w:semiHidden/>
    <w:rsid w:val="00DC308B"/>
  </w:style>
  <w:style w:type="paragraph" w:styleId="TOC5">
    <w:name w:val="toc 5"/>
    <w:basedOn w:val="TOC4"/>
    <w:semiHidden/>
    <w:rsid w:val="00DC308B"/>
  </w:style>
  <w:style w:type="paragraph" w:styleId="TOC6">
    <w:name w:val="toc 6"/>
    <w:basedOn w:val="TOC4"/>
    <w:semiHidden/>
    <w:rsid w:val="00DC308B"/>
  </w:style>
  <w:style w:type="paragraph" w:styleId="TOC7">
    <w:name w:val="toc 7"/>
    <w:basedOn w:val="TOC4"/>
    <w:semiHidden/>
    <w:rsid w:val="00DC308B"/>
  </w:style>
  <w:style w:type="paragraph" w:styleId="TOC8">
    <w:name w:val="toc 8"/>
    <w:basedOn w:val="TOC4"/>
    <w:semiHidden/>
    <w:rsid w:val="00DC308B"/>
  </w:style>
  <w:style w:type="paragraph" w:customStyle="1" w:styleId="LSDeadline">
    <w:name w:val="LSDeadline"/>
    <w:basedOn w:val="Normal"/>
    <w:rsid w:val="003869CD"/>
    <w:rPr>
      <w:b/>
      <w:bCs/>
    </w:rPr>
  </w:style>
  <w:style w:type="paragraph" w:customStyle="1" w:styleId="LSForAction">
    <w:name w:val="LSForAction"/>
    <w:basedOn w:val="Normal"/>
    <w:rsid w:val="003869CD"/>
    <w:rPr>
      <w:b/>
      <w:bCs/>
    </w:rPr>
  </w:style>
  <w:style w:type="paragraph" w:customStyle="1" w:styleId="LSSource">
    <w:name w:val="LSSource"/>
    <w:basedOn w:val="Normal"/>
    <w:rsid w:val="003869CD"/>
    <w:rPr>
      <w:b/>
      <w:bCs/>
    </w:rPr>
  </w:style>
  <w:style w:type="paragraph" w:customStyle="1" w:styleId="LSTitle">
    <w:name w:val="LSTitle"/>
    <w:basedOn w:val="Normal"/>
    <w:rsid w:val="003869CD"/>
    <w:rPr>
      <w:b/>
      <w:bCs/>
    </w:rPr>
  </w:style>
  <w:style w:type="paragraph" w:customStyle="1" w:styleId="LSTo">
    <w:name w:val="LSTo"/>
    <w:basedOn w:val="Normal"/>
    <w:rsid w:val="003869CD"/>
    <w:rPr>
      <w:b/>
      <w:bCs/>
    </w:rPr>
  </w:style>
  <w:style w:type="paragraph" w:customStyle="1" w:styleId="LSForInfo">
    <w:name w:val="LSForInfo"/>
    <w:basedOn w:val="LSForAction"/>
    <w:rsid w:val="003869CD"/>
  </w:style>
  <w:style w:type="paragraph" w:customStyle="1" w:styleId="LSForComment">
    <w:name w:val="LSForComment"/>
    <w:basedOn w:val="LSForAction"/>
    <w:rsid w:val="003869CD"/>
  </w:style>
  <w:style w:type="paragraph" w:styleId="BalloonText">
    <w:name w:val="Balloon Text"/>
    <w:basedOn w:val="Normal"/>
    <w:link w:val="BalloonTextChar"/>
    <w:rsid w:val="00D906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0612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412F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Guinena@ntra.gov.e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\Application%20Data\Microsoft\Templates\ItutLiaison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ItutLiaison-Template</Template>
  <TotalTime>1138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enhancement to Amendment of E.123 on Emergency Contact Number Notation</dc:title>
  <dc:creator>Vice-Chairman, SG2</dc:creator>
  <cp:keywords>4/2</cp:keywords>
  <dc:description>COM 2 – LS 101 – E  For: Geneva, 9-18 November 2010_x000d_Document date: _x000d_Saved by MCB106896 at 14:29:08 on 19.11.2010</dc:description>
  <cp:lastModifiedBy>gaspari</cp:lastModifiedBy>
  <cp:revision>12</cp:revision>
  <cp:lastPrinted>2011-03-09T15:45:00Z</cp:lastPrinted>
  <dcterms:created xsi:type="dcterms:W3CDTF">2010-11-18T14:26:00Z</dcterms:created>
  <dcterms:modified xsi:type="dcterms:W3CDTF">2011-03-10T14:07:00Z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COM 2 – LS 101 – E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4/2</vt:lpwstr>
  </property>
  <property fmtid="{D5CDD505-2E9C-101B-9397-08002B2CF9AE}" pid="6" name="Docdest">
    <vt:lpwstr>Geneva, 9-18 November 2010</vt:lpwstr>
  </property>
  <property fmtid="{D5CDD505-2E9C-101B-9397-08002B2CF9AE}" pid="7" name="Docauthor">
    <vt:lpwstr>Vice-Chairman, SG2</vt:lpwstr>
  </property>
</Properties>
</file>