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0F" w:rsidRPr="002E6BAE" w:rsidRDefault="000E780F" w:rsidP="000E780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rPr>
          <w:rFonts w:asciiTheme="minorHAnsi" w:hAnsiTheme="minorHAnsi" w:cstheme="minorHAnsi"/>
          <w:b/>
          <w:smallCaps/>
          <w:color w:val="000000"/>
          <w:position w:val="6"/>
          <w:sz w:val="32"/>
          <w:szCs w:val="32"/>
        </w:rPr>
      </w:pPr>
      <w:r w:rsidRPr="002E6BAE">
        <w:rPr>
          <w:rFonts w:asciiTheme="minorHAnsi" w:hAnsiTheme="minorHAnsi" w:cstheme="minorHAnsi"/>
          <w:b/>
          <w:smallCaps/>
          <w:color w:val="000000"/>
          <w:position w:val="6"/>
          <w:sz w:val="32"/>
          <w:szCs w:val="32"/>
        </w:rPr>
        <w:tab/>
        <w:t xml:space="preserve">PATENT ROUNDTABLE </w:t>
      </w:r>
    </w:p>
    <w:p w:rsidR="00A06DA8" w:rsidRPr="002E6BAE" w:rsidRDefault="000E780F" w:rsidP="000E780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jc w:val="both"/>
        <w:rPr>
          <w:rFonts w:asciiTheme="minorHAnsi" w:hAnsiTheme="minorHAnsi" w:cstheme="minorHAnsi"/>
        </w:rPr>
      </w:pPr>
      <w:r w:rsidRPr="002E6BAE">
        <w:rPr>
          <w:rFonts w:asciiTheme="minorHAnsi" w:hAnsiTheme="minorHAnsi" w:cstheme="minorHAnsi"/>
        </w:rPr>
        <w:tab/>
        <w:t>ITU Headquarters, Geneva</w:t>
      </w:r>
      <w:r w:rsidRPr="002E6BAE">
        <w:rPr>
          <w:rFonts w:asciiTheme="minorHAnsi" w:hAnsiTheme="minorHAnsi" w:cstheme="minorHAnsi"/>
        </w:rPr>
        <w:br/>
      </w:r>
      <w:r w:rsidRPr="002E6BAE">
        <w:rPr>
          <w:rFonts w:asciiTheme="minorHAnsi" w:hAnsiTheme="minorHAnsi" w:cstheme="minorHAnsi"/>
        </w:rPr>
        <w:tab/>
        <w:t>10 October 2012</w:t>
      </w:r>
      <w:r w:rsidR="00A06DA8" w:rsidRPr="002E6BAE">
        <w:rPr>
          <w:rFonts w:asciiTheme="minorHAnsi" w:hAnsiTheme="minorHAnsi" w:cstheme="minorHAnsi"/>
        </w:rPr>
        <w:tab/>
      </w:r>
    </w:p>
    <w:p w:rsidR="000E780F" w:rsidRPr="002E6BAE" w:rsidRDefault="000E780F" w:rsidP="000E78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</w:p>
    <w:p w:rsidR="000E780F" w:rsidRPr="002E6BAE" w:rsidRDefault="000E780F" w:rsidP="000E780F">
      <w:pPr>
        <w:rPr>
          <w:rFonts w:asciiTheme="minorHAnsi" w:hAnsiTheme="minorHAnsi" w:cstheme="minorHAnsi"/>
        </w:rPr>
      </w:pPr>
    </w:p>
    <w:p w:rsidR="000E780F" w:rsidRPr="002E6BAE" w:rsidRDefault="000E780F" w:rsidP="00564076">
      <w:pPr>
        <w:tabs>
          <w:tab w:val="clear" w:pos="567"/>
        </w:tabs>
        <w:rPr>
          <w:rFonts w:asciiTheme="minorHAnsi" w:hAnsiTheme="minorHAnsi" w:cstheme="minorHAnsi"/>
          <w:b/>
          <w:bCs/>
        </w:rPr>
      </w:pPr>
      <w:r w:rsidRPr="002E6BAE">
        <w:rPr>
          <w:rFonts w:asciiTheme="minorHAnsi" w:hAnsiTheme="minorHAnsi" w:cstheme="minorHAnsi"/>
        </w:rPr>
        <w:t>Submitted by:</w:t>
      </w:r>
      <w:r w:rsidRPr="002E6BAE">
        <w:rPr>
          <w:rFonts w:asciiTheme="minorHAnsi" w:hAnsiTheme="minorHAnsi" w:cstheme="minorHAnsi"/>
        </w:rPr>
        <w:tab/>
      </w:r>
      <w:r w:rsidR="00564076" w:rsidRPr="00564076">
        <w:rPr>
          <w:rFonts w:asciiTheme="minorHAnsi" w:hAnsiTheme="minorHAnsi" w:cstheme="minorHAnsi"/>
          <w:b/>
          <w:bCs/>
          <w:lang w:val="en-GB"/>
        </w:rPr>
        <w:t>Innovation Insights</w:t>
      </w:r>
    </w:p>
    <w:p w:rsidR="0047029F" w:rsidRPr="002E6BAE" w:rsidRDefault="0047029F" w:rsidP="00AD4A16">
      <w:pPr>
        <w:rPr>
          <w:rFonts w:asciiTheme="minorHAnsi" w:hAnsiTheme="minorHAnsi" w:cstheme="minorHAnsi"/>
        </w:rPr>
      </w:pPr>
      <w:r w:rsidRPr="002E6BAE">
        <w:rPr>
          <w:rFonts w:asciiTheme="minorHAnsi" w:hAnsiTheme="minorHAnsi" w:cstheme="minorHAnsi"/>
        </w:rPr>
        <w:t>Contact point:</w:t>
      </w:r>
      <w:r w:rsidRPr="002E6BAE">
        <w:rPr>
          <w:rFonts w:asciiTheme="minorHAnsi" w:hAnsiTheme="minorHAnsi" w:cstheme="minorHAnsi"/>
          <w:b/>
          <w:bCs/>
        </w:rPr>
        <w:tab/>
      </w:r>
      <w:r w:rsidR="00564076" w:rsidRPr="00564076">
        <w:rPr>
          <w:rFonts w:asciiTheme="minorHAnsi" w:hAnsiTheme="minorHAnsi" w:cstheme="minorHAnsi"/>
          <w:b/>
          <w:bCs/>
        </w:rPr>
        <w:t>Jennifer Brant</w:t>
      </w:r>
    </w:p>
    <w:p w:rsidR="000E780F" w:rsidRPr="002E6BAE" w:rsidRDefault="000E780F" w:rsidP="000E780F">
      <w:pPr>
        <w:rPr>
          <w:rFonts w:asciiTheme="minorHAnsi" w:hAnsiTheme="minorHAnsi" w:cstheme="minorHAnsi"/>
        </w:rPr>
      </w:pPr>
    </w:p>
    <w:p w:rsidR="000E780F" w:rsidRPr="002E6BAE" w:rsidRDefault="000E780F" w:rsidP="000E780F">
      <w:pPr>
        <w:rPr>
          <w:rFonts w:asciiTheme="minorHAnsi" w:hAnsiTheme="minorHAnsi" w:cstheme="minorHAnsi"/>
        </w:rPr>
      </w:pPr>
    </w:p>
    <w:p w:rsidR="002E6BAE" w:rsidRDefault="00564076" w:rsidP="00564076">
      <w:pPr>
        <w:rPr>
          <w:rFonts w:asciiTheme="minorHAnsi" w:hAnsiTheme="minorHAnsi" w:cstheme="minorHAnsi"/>
        </w:rPr>
      </w:pPr>
      <w:r w:rsidRPr="00564076">
        <w:rPr>
          <w:rFonts w:asciiTheme="minorHAnsi" w:hAnsiTheme="minorHAnsi" w:cstheme="minorHAnsi"/>
        </w:rPr>
        <w:t>Innovation Insights thanks the ITU for the opportunity to submit the following</w:t>
      </w:r>
      <w:r>
        <w:rPr>
          <w:rFonts w:asciiTheme="minorHAnsi" w:hAnsiTheme="minorHAnsi" w:cstheme="minorHAnsi"/>
        </w:rPr>
        <w:t xml:space="preserve"> </w:t>
      </w:r>
      <w:r w:rsidRPr="00564076">
        <w:rPr>
          <w:rFonts w:asciiTheme="minorHAnsi" w:hAnsiTheme="minorHAnsi" w:cstheme="minorHAnsi"/>
        </w:rPr>
        <w:t>observations and to participate in the Patent Roundtable, to be held on October 10,</w:t>
      </w:r>
      <w:r>
        <w:rPr>
          <w:rFonts w:asciiTheme="minorHAnsi" w:hAnsiTheme="minorHAnsi" w:cstheme="minorHAnsi"/>
        </w:rPr>
        <w:t xml:space="preserve"> </w:t>
      </w:r>
      <w:r w:rsidRPr="00564076">
        <w:rPr>
          <w:rFonts w:asciiTheme="minorHAnsi" w:hAnsiTheme="minorHAnsi" w:cstheme="minorHAnsi"/>
        </w:rPr>
        <w:t>2012, in Geneva. Innovation Insights is a cross-</w:t>
      </w:r>
      <w:proofErr w:type="spellStart"/>
      <w:r w:rsidRPr="00564076">
        <w:rPr>
          <w:rFonts w:asciiTheme="minorHAnsi" w:hAnsiTheme="minorHAnsi" w:cstheme="minorHAnsi"/>
        </w:rPr>
        <w:t>sectoral</w:t>
      </w:r>
      <w:proofErr w:type="spellEnd"/>
      <w:r w:rsidRPr="00564076">
        <w:rPr>
          <w:rFonts w:asciiTheme="minorHAnsi" w:hAnsiTheme="minorHAnsi" w:cstheme="minorHAnsi"/>
        </w:rPr>
        <w:t xml:space="preserve"> initiative, with member</w:t>
      </w:r>
      <w:r>
        <w:rPr>
          <w:rFonts w:asciiTheme="minorHAnsi" w:hAnsiTheme="minorHAnsi" w:cstheme="minorHAnsi"/>
        </w:rPr>
        <w:t xml:space="preserve"> </w:t>
      </w:r>
      <w:r w:rsidRPr="00564076">
        <w:rPr>
          <w:rFonts w:asciiTheme="minorHAnsi" w:hAnsiTheme="minorHAnsi" w:cstheme="minorHAnsi"/>
        </w:rPr>
        <w:t>companies that operate at the cutting edge of information and communications</w:t>
      </w:r>
      <w:r>
        <w:rPr>
          <w:rFonts w:asciiTheme="minorHAnsi" w:hAnsiTheme="minorHAnsi" w:cstheme="minorHAnsi"/>
        </w:rPr>
        <w:t xml:space="preserve"> </w:t>
      </w:r>
      <w:r w:rsidRPr="00564076">
        <w:rPr>
          <w:rFonts w:asciiTheme="minorHAnsi" w:hAnsiTheme="minorHAnsi" w:cstheme="minorHAnsi"/>
        </w:rPr>
        <w:t>technologies (ICT), cle</w:t>
      </w:r>
      <w:bookmarkStart w:id="0" w:name="_GoBack"/>
      <w:bookmarkEnd w:id="0"/>
      <w:r w:rsidRPr="00564076">
        <w:rPr>
          <w:rFonts w:asciiTheme="minorHAnsi" w:hAnsiTheme="minorHAnsi" w:cstheme="minorHAnsi"/>
        </w:rPr>
        <w:t>an technologies, health technologies, consumer products, and</w:t>
      </w:r>
      <w:r>
        <w:rPr>
          <w:rFonts w:asciiTheme="minorHAnsi" w:hAnsiTheme="minorHAnsi" w:cstheme="minorHAnsi"/>
        </w:rPr>
        <w:t xml:space="preserve"> </w:t>
      </w:r>
      <w:r w:rsidRPr="00564076">
        <w:rPr>
          <w:rFonts w:asciiTheme="minorHAnsi" w:hAnsiTheme="minorHAnsi" w:cstheme="minorHAnsi"/>
        </w:rPr>
        <w:t>other sectors</w:t>
      </w:r>
      <w:r>
        <w:rPr>
          <w:rFonts w:asciiTheme="minorHAnsi" w:hAnsiTheme="minorHAnsi" w:cstheme="minorHAnsi"/>
        </w:rPr>
        <w:t>.</w:t>
      </w:r>
      <w:r>
        <w:rPr>
          <w:rStyle w:val="FootnoteReference"/>
          <w:rFonts w:cstheme="minorHAnsi"/>
        </w:rPr>
        <w:footnoteReference w:id="1"/>
      </w:r>
      <w:r>
        <w:rPr>
          <w:rFonts w:asciiTheme="minorHAnsi" w:hAnsiTheme="minorHAnsi" w:cstheme="minorHAnsi"/>
        </w:rPr>
        <w:t xml:space="preserve"> </w:t>
      </w:r>
    </w:p>
    <w:p w:rsidR="00C35BF9" w:rsidRPr="00C35BF9" w:rsidRDefault="00C35BF9" w:rsidP="00C35BF9">
      <w:pPr>
        <w:rPr>
          <w:rFonts w:asciiTheme="minorHAnsi" w:hAnsiTheme="minorHAnsi" w:cstheme="minorHAnsi"/>
        </w:rPr>
      </w:pPr>
      <w:r w:rsidRPr="00C35BF9">
        <w:rPr>
          <w:rFonts w:asciiTheme="minorHAnsi" w:hAnsiTheme="minorHAnsi" w:cstheme="minorHAnsi"/>
        </w:rPr>
        <w:t>Innovation Insights advocates for strong innovation frameworks, including effective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intellectual property (IP) systems, that are business model-neutral and that provide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incentives for investments in R&amp;D and the commercialization of new technology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solutions. One critical component of any successful innovation framework is an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effective system for the protection of intellectual property rights (IPRs). IPRs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underpin the partnerships, sales and licensing transactions, joint R&amp;D, and other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activities that lead to the development and global dissemination of new products.</w:t>
      </w:r>
    </w:p>
    <w:p w:rsidR="00C35BF9" w:rsidRPr="00C35BF9" w:rsidRDefault="00C35BF9" w:rsidP="00C35BF9">
      <w:pPr>
        <w:rPr>
          <w:rFonts w:asciiTheme="minorHAnsi" w:hAnsiTheme="minorHAnsi" w:cstheme="minorHAnsi"/>
        </w:rPr>
      </w:pPr>
      <w:r w:rsidRPr="00C35BF9">
        <w:rPr>
          <w:rFonts w:asciiTheme="minorHAnsi" w:hAnsiTheme="minorHAnsi" w:cstheme="minorHAnsi"/>
        </w:rPr>
        <w:t>We welcome efforts to broaden the implementation of standards, which are important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conduits for technological advancement and diffusion, and which encourage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coordination and interoperability among industry actors. At the same time, we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encourage ITU-T to ensure that such efforts do not undermine patent rights, by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imposing unwarranted limitations on the right to obtain injunctive relief, by impairing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the ability of IPR owners to negotiate commercially relevant licensing and technology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transfer terms with their customers, partners, and competitors, or by preventing IPR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owners from making full use of existing judicial systems. Such outcomes could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weaken Standard-Setting Organizations (SSOs), by lowering participation in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standard-setting by leading innovators.</w:t>
      </w:r>
    </w:p>
    <w:p w:rsidR="00C35BF9" w:rsidRPr="00C35BF9" w:rsidRDefault="00C35BF9" w:rsidP="00C35BF9">
      <w:pPr>
        <w:rPr>
          <w:rFonts w:asciiTheme="minorHAnsi" w:hAnsiTheme="minorHAnsi" w:cstheme="minorHAnsi"/>
        </w:rPr>
      </w:pPr>
      <w:r w:rsidRPr="00C35BF9">
        <w:rPr>
          <w:rFonts w:asciiTheme="minorHAnsi" w:hAnsiTheme="minorHAnsi" w:cstheme="minorHAnsi"/>
        </w:rPr>
        <w:t>We encourage the ITU-T to resist any pressure to modify its IPR policies, which are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working well. Arms-length bilateral negotiation of licensing terms, coupled with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recourse to relevant courts in the event of a dispute, is an appropriate approach to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managing standard-essential patents (SEPs). The courts have demonstrated a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willingness and ability to balance the interests of technology providers and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implementers, and they are best situated to resolve any disputes that arise. Also, we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 xml:space="preserve">note that it is not </w:t>
      </w:r>
      <w:r w:rsidRPr="00C35BF9">
        <w:rPr>
          <w:rFonts w:asciiTheme="minorHAnsi" w:hAnsiTheme="minorHAnsi" w:cstheme="minorHAnsi"/>
        </w:rPr>
        <w:lastRenderedPageBreak/>
        <w:t>unusual in emerging areas of technology for companies with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competing business models to litigate before adopting different approaches to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working together, such as cross-licensing.</w:t>
      </w:r>
    </w:p>
    <w:p w:rsidR="00C35BF9" w:rsidRPr="00C35BF9" w:rsidRDefault="00C35BF9" w:rsidP="00C35BF9">
      <w:pPr>
        <w:rPr>
          <w:rFonts w:asciiTheme="minorHAnsi" w:hAnsiTheme="minorHAnsi" w:cstheme="minorHAnsi"/>
        </w:rPr>
      </w:pPr>
      <w:r w:rsidRPr="00C35BF9">
        <w:rPr>
          <w:rFonts w:asciiTheme="minorHAnsi" w:hAnsiTheme="minorHAnsi" w:cstheme="minorHAnsi"/>
        </w:rPr>
        <w:t>Standards are a powerful channel for technology development and diffusion. The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more than 16,000 internationally agreed standards stimulate faster development of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quality technology solutions and their broad deployment, and they contribute to the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growth and success of the wireless and other ecosystems. Standard-setting is a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voluntary process that involves the identification of the best technology solutions for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incorporation in a standard and therefore wider use. That process brings together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technolog</w:t>
      </w:r>
      <w:r>
        <w:rPr>
          <w:rFonts w:asciiTheme="minorHAnsi" w:hAnsiTheme="minorHAnsi" w:cstheme="minorHAnsi"/>
        </w:rPr>
        <w:t>y</w:t>
      </w:r>
      <w:r w:rsidRPr="00C35BF9">
        <w:rPr>
          <w:rFonts w:asciiTheme="minorHAnsi" w:hAnsiTheme="minorHAnsi" w:cstheme="minorHAnsi"/>
        </w:rPr>
        <w:t xml:space="preserve"> innovators and implementers, which collaboratively make technological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choices that shape the evolution of the sector.</w:t>
      </w:r>
    </w:p>
    <w:p w:rsidR="00C35BF9" w:rsidRPr="00C35BF9" w:rsidRDefault="00C35BF9" w:rsidP="00C35BF9">
      <w:pPr>
        <w:rPr>
          <w:rFonts w:asciiTheme="minorHAnsi" w:hAnsiTheme="minorHAnsi" w:cstheme="minorHAnsi"/>
        </w:rPr>
      </w:pPr>
      <w:r w:rsidRPr="00C35BF9">
        <w:rPr>
          <w:rFonts w:asciiTheme="minorHAnsi" w:hAnsiTheme="minorHAnsi" w:cstheme="minorHAnsi"/>
        </w:rPr>
        <w:t>Standard-setting is a repeat game: the same companies engage in the development of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standards again and again, in different SSOs and in relation to different technologies,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as the sector evolves. This means there is little to be gained from taking advantage of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other participants, for instance by intentionally concealing relevant IPR or demanding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unrealistic licensing terms. The nature of the process, including the shared objective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of all participants to protect their reputations and to assure continued business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success, reduces the risk of so-called “patent ambush” or “hold-up”. It also explains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why this phenomenon has not been demonstrated to exist on a significant scale, or to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interfere with the standardization process as an important conduit for global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technology deployment and diffusion. In fact, experience indicates that standards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enable rapid, targeted follow-on and complementary innovation around a particular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technology platform.</w:t>
      </w:r>
    </w:p>
    <w:p w:rsidR="00C35BF9" w:rsidRPr="00C35BF9" w:rsidRDefault="00C35BF9" w:rsidP="00C35BF9">
      <w:pPr>
        <w:rPr>
          <w:rFonts w:asciiTheme="minorHAnsi" w:hAnsiTheme="minorHAnsi" w:cstheme="minorHAnsi"/>
        </w:rPr>
      </w:pPr>
      <w:r w:rsidRPr="00C35BF9">
        <w:rPr>
          <w:rFonts w:asciiTheme="minorHAnsi" w:hAnsiTheme="minorHAnsi" w:cstheme="minorHAnsi"/>
        </w:rPr>
        <w:t>Against this backdrop, it is essential that innovative companies, which invest vast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sums in risky and innovative ventures, be encouraged to participate in standard</w:t>
      </w:r>
      <w:r>
        <w:rPr>
          <w:rFonts w:asciiTheme="minorHAnsi" w:hAnsiTheme="minorHAnsi" w:cstheme="minorHAnsi"/>
        </w:rPr>
        <w:t>-</w:t>
      </w:r>
      <w:r w:rsidRPr="00C35BF9">
        <w:rPr>
          <w:rFonts w:asciiTheme="minorHAnsi" w:hAnsiTheme="minorHAnsi" w:cstheme="minorHAnsi"/>
        </w:rPr>
        <w:t>setting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to the greatest extent possible. Unfortunately, the opposite effect would occur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if policies are implemented that undermine or weaken the patent rights of technology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providers whose solutions are incorporated in industry standards. For example, an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absolute bar against injunctive relief or rules that preclude commercial negotiations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between parties may reduce incentives to innovate and to contribute innovative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technology solutions to standards, since they introduce uncertainty into the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marketplace.</w:t>
      </w:r>
    </w:p>
    <w:p w:rsidR="00C35BF9" w:rsidRPr="00C35BF9" w:rsidRDefault="00C35BF9" w:rsidP="00C35BF9">
      <w:pPr>
        <w:rPr>
          <w:rFonts w:asciiTheme="minorHAnsi" w:hAnsiTheme="minorHAnsi" w:cstheme="minorHAnsi"/>
        </w:rPr>
      </w:pPr>
      <w:r w:rsidRPr="00C35BF9">
        <w:rPr>
          <w:rFonts w:asciiTheme="minorHAnsi" w:hAnsiTheme="minorHAnsi" w:cstheme="minorHAnsi"/>
        </w:rPr>
        <w:t>Innovation Insights believes that innovation – including but not limited to IP – policymaking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must support the long-term growth and evolution of the economy. Our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member companies employ a range of business strategies, engaging in sales, licensing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and cross-licensing, partnerships, and other transactions in order to achieve their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commercial objectives. They use IPRs, including patents, trade secrets, trademarks,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and copyright, to manage their investments in innovation and the commercialization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of new technology solutions. They know from experience that, because innovation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comes in many forms, innovation frameworks must support a range of business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strategies. And they are keenly aware that IP rights are property rights that are only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valuable to the extent they can be asserted and enforced.</w:t>
      </w:r>
    </w:p>
    <w:p w:rsidR="000E780F" w:rsidRDefault="00C35BF9" w:rsidP="00C35BF9">
      <w:pPr>
        <w:rPr>
          <w:rFonts w:asciiTheme="minorHAnsi" w:hAnsiTheme="minorHAnsi" w:cstheme="minorHAnsi"/>
        </w:rPr>
      </w:pPr>
      <w:r w:rsidRPr="00C35BF9">
        <w:rPr>
          <w:rFonts w:asciiTheme="minorHAnsi" w:hAnsiTheme="minorHAnsi" w:cstheme="minorHAnsi"/>
        </w:rPr>
        <w:t>We are committed to IP and innovation policy-making that supports long-term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 xml:space="preserve">technological </w:t>
      </w:r>
      <w:r w:rsidRPr="00C35BF9">
        <w:rPr>
          <w:rFonts w:asciiTheme="minorHAnsi" w:hAnsiTheme="minorHAnsi" w:cstheme="minorHAnsi"/>
        </w:rPr>
        <w:t>advancement</w:t>
      </w:r>
      <w:r w:rsidRPr="00C35BF9">
        <w:rPr>
          <w:rFonts w:asciiTheme="minorHAnsi" w:hAnsiTheme="minorHAnsi" w:cstheme="minorHAnsi"/>
        </w:rPr>
        <w:t xml:space="preserve"> and that is firmly rooted in empirical evidence, including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evidence about the potential impact of a given policy. IP systems should not be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modified in response to short-term considerations or based on a static “snapshot” of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an economy or ecosystem at a given moment in time. Any temporary gains accruing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to actors lobbying for such changes will, in all likelihood, be outweighed by longer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term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damage to the economy or sector in question. Moreover, modification of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innovation frameworks can create uncertainty for businesses, interfering with long</w:t>
      </w:r>
      <w:r>
        <w:rPr>
          <w:rFonts w:asciiTheme="minorHAnsi" w:hAnsiTheme="minorHAnsi" w:cstheme="minorHAnsi"/>
        </w:rPr>
        <w:t>-</w:t>
      </w:r>
      <w:r w:rsidRPr="00C35BF9">
        <w:rPr>
          <w:rFonts w:asciiTheme="minorHAnsi" w:hAnsiTheme="minorHAnsi" w:cstheme="minorHAnsi"/>
        </w:rPr>
        <w:t>term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planning and investment</w:t>
      </w:r>
      <w:r>
        <w:rPr>
          <w:rFonts w:asciiTheme="minorHAnsi" w:hAnsiTheme="minorHAnsi" w:cstheme="minorHAnsi"/>
        </w:rPr>
        <w:t>.</w:t>
      </w:r>
    </w:p>
    <w:p w:rsidR="00C35BF9" w:rsidRPr="00C35BF9" w:rsidRDefault="00C35BF9" w:rsidP="00C35BF9">
      <w:pPr>
        <w:rPr>
          <w:rFonts w:asciiTheme="minorHAnsi" w:hAnsiTheme="minorHAnsi" w:cstheme="minorHAnsi"/>
        </w:rPr>
      </w:pPr>
      <w:r w:rsidRPr="00C35BF9">
        <w:rPr>
          <w:rFonts w:asciiTheme="minorHAnsi" w:hAnsiTheme="minorHAnsi" w:cstheme="minorHAnsi"/>
        </w:rPr>
        <w:lastRenderedPageBreak/>
        <w:t>Governments and actors that influence policies that affect innovation and technology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diffusion have a crucial responsibility to adopt a long-term perspective. In certain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emerging markets, domestic industries that are currently focused on imitation rather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than innovation may lobby their governments for weaker IPR protection, or for the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imposition of non-commercial licensing or technology transfer obligations for foreign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technology providers. Government action to honor such requests may benefit such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domestic industries in the short-term (at the expense of innovators, wherever they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may be located). However, as domestic industries move up the value chain and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become innovators in their own right, such policies may slow this transition and are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unlikely, ultimately, to be in these countries’ best interests.</w:t>
      </w:r>
    </w:p>
    <w:p w:rsidR="00C35BF9" w:rsidRPr="00C35BF9" w:rsidRDefault="00C35BF9" w:rsidP="004F1A46">
      <w:pPr>
        <w:rPr>
          <w:rFonts w:asciiTheme="minorHAnsi" w:hAnsiTheme="minorHAnsi" w:cstheme="minorHAnsi"/>
        </w:rPr>
      </w:pPr>
      <w:r w:rsidRPr="00C35BF9">
        <w:rPr>
          <w:rFonts w:asciiTheme="minorHAnsi" w:hAnsiTheme="minorHAnsi" w:cstheme="minorHAnsi"/>
        </w:rPr>
        <w:t>In relation to the wireless sector, a similar dynamic appears to be unfolding at the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ITU-T and elsewhere. Certain companies are advocating for changes to IPR policies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that would allow them to use patented technology on more advantageous terms and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improve their market share, their bottom line, or their position in litigation – but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which may set back technological advancement, the evolution of the wireless</w:t>
      </w:r>
      <w:r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ecosystem, and economic growth. We are concerned that policy proposals with the</w:t>
      </w:r>
      <w:r w:rsidR="004F1A46"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stated aim of addressing “hold-up” may not be supported by adequate empirical</w:t>
      </w:r>
      <w:r w:rsidR="004F1A46"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evidence; policy-making cannot be founded on proposals without sound foundation</w:t>
      </w:r>
      <w:r w:rsidR="004F1A46"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and which risk creating wide-ranging, unintended consequences. It is essential that</w:t>
      </w:r>
      <w:r w:rsidR="004F1A46"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the long-term welfare and evolution of the wireless sector be prioritized over the</w:t>
      </w:r>
      <w:r w:rsidR="004F1A46"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interests of specific business models, or short-term gains for a subset of companies.</w:t>
      </w:r>
    </w:p>
    <w:p w:rsidR="00C35BF9" w:rsidRDefault="00C35BF9" w:rsidP="004F1A46">
      <w:pPr>
        <w:rPr>
          <w:rFonts w:asciiTheme="minorHAnsi" w:hAnsiTheme="minorHAnsi" w:cstheme="minorHAnsi"/>
        </w:rPr>
      </w:pPr>
      <w:r w:rsidRPr="00C35BF9">
        <w:rPr>
          <w:rFonts w:asciiTheme="minorHAnsi" w:hAnsiTheme="minorHAnsi" w:cstheme="minorHAnsi"/>
        </w:rPr>
        <w:t>IPR management is highly context-specific, and even the terms of transactions</w:t>
      </w:r>
      <w:r w:rsidR="004F1A46"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involving the same technology solution can differ significantly depending on the</w:t>
      </w:r>
      <w:r w:rsidR="004F1A46"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positions of the parties and what each brings to the table. Attempting to predetermine</w:t>
      </w:r>
      <w:r w:rsidR="004F1A46"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what constitutes a “reasonable” royalty or categorically denying injunctive</w:t>
      </w:r>
      <w:r w:rsidR="004F1A46"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relief to certain technology providers flies in the face of this reality. Implementation</w:t>
      </w:r>
      <w:r w:rsidR="004F1A46"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of the commitment to license on RAND terms has intentionally been left flexible to</w:t>
      </w:r>
      <w:r w:rsidR="004F1A46"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allow parties in bilateral negotiations to come up with terms that make the most sense</w:t>
      </w:r>
      <w:r w:rsidR="004F1A46">
        <w:rPr>
          <w:rFonts w:asciiTheme="minorHAnsi" w:hAnsiTheme="minorHAnsi" w:cstheme="minorHAnsi"/>
        </w:rPr>
        <w:t xml:space="preserve"> </w:t>
      </w:r>
      <w:r w:rsidRPr="00C35BF9">
        <w:rPr>
          <w:rFonts w:asciiTheme="minorHAnsi" w:hAnsiTheme="minorHAnsi" w:cstheme="minorHAnsi"/>
        </w:rPr>
        <w:t>for them, in their circumstances.</w:t>
      </w:r>
    </w:p>
    <w:p w:rsidR="004F1A46" w:rsidRDefault="004F1A46" w:rsidP="004F1A46">
      <w:pPr>
        <w:rPr>
          <w:rFonts w:asciiTheme="minorHAnsi" w:hAnsiTheme="minorHAnsi" w:cstheme="minorHAnsi"/>
        </w:rPr>
      </w:pPr>
      <w:r w:rsidRPr="004F1A46">
        <w:rPr>
          <w:rFonts w:asciiTheme="minorHAnsi" w:hAnsiTheme="minorHAnsi" w:cstheme="minorHAnsi"/>
        </w:rPr>
        <w:t>Arms-length commercial negotiations remain the best way to ensure that context is</w:t>
      </w:r>
      <w:r>
        <w:rPr>
          <w:rFonts w:asciiTheme="minorHAnsi" w:hAnsiTheme="minorHAnsi" w:cstheme="minorHAnsi"/>
        </w:rPr>
        <w:t xml:space="preserve"> </w:t>
      </w:r>
      <w:r w:rsidRPr="004F1A46">
        <w:rPr>
          <w:rFonts w:asciiTheme="minorHAnsi" w:hAnsiTheme="minorHAnsi" w:cstheme="minorHAnsi"/>
        </w:rPr>
        <w:t>appropriately incorporated into technology transfer agreements. Any rule denying the</w:t>
      </w:r>
      <w:r>
        <w:rPr>
          <w:rFonts w:asciiTheme="minorHAnsi" w:hAnsiTheme="minorHAnsi" w:cstheme="minorHAnsi"/>
        </w:rPr>
        <w:t xml:space="preserve"> </w:t>
      </w:r>
      <w:r w:rsidRPr="004F1A46">
        <w:rPr>
          <w:rFonts w:asciiTheme="minorHAnsi" w:hAnsiTheme="minorHAnsi" w:cstheme="minorHAnsi"/>
        </w:rPr>
        <w:t>availability of injunctive relief would not only fundamentally alter the balance of</w:t>
      </w:r>
      <w:r>
        <w:rPr>
          <w:rFonts w:asciiTheme="minorHAnsi" w:hAnsiTheme="minorHAnsi" w:cstheme="minorHAnsi"/>
        </w:rPr>
        <w:t xml:space="preserve"> </w:t>
      </w:r>
      <w:r w:rsidRPr="004F1A46">
        <w:rPr>
          <w:rFonts w:asciiTheme="minorHAnsi" w:hAnsiTheme="minorHAnsi" w:cstheme="minorHAnsi"/>
        </w:rPr>
        <w:t>interest achieved by the patent laws, it would also significantly limit the prospects of</w:t>
      </w:r>
      <w:r>
        <w:rPr>
          <w:rFonts w:asciiTheme="minorHAnsi" w:hAnsiTheme="minorHAnsi" w:cstheme="minorHAnsi"/>
        </w:rPr>
        <w:t xml:space="preserve"> </w:t>
      </w:r>
      <w:r w:rsidRPr="004F1A46">
        <w:rPr>
          <w:rFonts w:asciiTheme="minorHAnsi" w:hAnsiTheme="minorHAnsi" w:cstheme="minorHAnsi"/>
        </w:rPr>
        <w:t>such negotiated agreements being concluded, by reducing the incentives for</w:t>
      </w:r>
      <w:r>
        <w:rPr>
          <w:rFonts w:asciiTheme="minorHAnsi" w:hAnsiTheme="minorHAnsi" w:cstheme="minorHAnsi"/>
        </w:rPr>
        <w:t xml:space="preserve"> </w:t>
      </w:r>
      <w:r w:rsidRPr="004F1A46">
        <w:rPr>
          <w:rFonts w:asciiTheme="minorHAnsi" w:hAnsiTheme="minorHAnsi" w:cstheme="minorHAnsi"/>
        </w:rPr>
        <w:t>implementers of standardized technology to engage in such negotiations. As a result,</w:t>
      </w:r>
      <w:r>
        <w:rPr>
          <w:rFonts w:asciiTheme="minorHAnsi" w:hAnsiTheme="minorHAnsi" w:cstheme="minorHAnsi"/>
        </w:rPr>
        <w:t xml:space="preserve"> </w:t>
      </w:r>
      <w:r w:rsidRPr="004F1A46">
        <w:rPr>
          <w:rFonts w:asciiTheme="minorHAnsi" w:hAnsiTheme="minorHAnsi" w:cstheme="minorHAnsi"/>
        </w:rPr>
        <w:t>it could lead to more, rather than less, litigation.</w:t>
      </w:r>
      <w:r>
        <w:rPr>
          <w:rFonts w:asciiTheme="minorHAnsi" w:hAnsiTheme="minorHAnsi" w:cstheme="minorHAnsi"/>
        </w:rPr>
        <w:t xml:space="preserve"> </w:t>
      </w:r>
    </w:p>
    <w:p w:rsidR="004F1A46" w:rsidRPr="002E6BAE" w:rsidRDefault="004F1A46" w:rsidP="004F1A46">
      <w:pPr>
        <w:rPr>
          <w:rFonts w:asciiTheme="minorHAnsi" w:hAnsiTheme="minorHAnsi" w:cstheme="minorHAnsi"/>
        </w:rPr>
      </w:pPr>
      <w:r w:rsidRPr="004F1A46">
        <w:rPr>
          <w:rFonts w:asciiTheme="minorHAnsi" w:hAnsiTheme="minorHAnsi" w:cstheme="minorHAnsi"/>
        </w:rPr>
        <w:t>The current RAND licensing approach, long a feature of all major SSOs, is effective</w:t>
      </w:r>
      <w:r>
        <w:rPr>
          <w:rFonts w:asciiTheme="minorHAnsi" w:hAnsiTheme="minorHAnsi" w:cstheme="minorHAnsi"/>
        </w:rPr>
        <w:t xml:space="preserve"> </w:t>
      </w:r>
      <w:r w:rsidRPr="004F1A46">
        <w:rPr>
          <w:rFonts w:asciiTheme="minorHAnsi" w:hAnsiTheme="minorHAnsi" w:cstheme="minorHAnsi"/>
        </w:rPr>
        <w:t>in supporting the adoption and broad deployment of standardized technologies.</w:t>
      </w:r>
      <w:r>
        <w:rPr>
          <w:rFonts w:asciiTheme="minorHAnsi" w:hAnsiTheme="minorHAnsi" w:cstheme="minorHAnsi"/>
        </w:rPr>
        <w:t xml:space="preserve"> </w:t>
      </w:r>
      <w:r w:rsidRPr="004F1A46">
        <w:rPr>
          <w:rFonts w:asciiTheme="minorHAnsi" w:hAnsiTheme="minorHAnsi" w:cstheme="minorHAnsi"/>
        </w:rPr>
        <w:t>Courts are best positioned to resolve disputes involving alleged infringement, as</w:t>
      </w:r>
      <w:r>
        <w:rPr>
          <w:rFonts w:asciiTheme="minorHAnsi" w:hAnsiTheme="minorHAnsi" w:cstheme="minorHAnsi"/>
        </w:rPr>
        <w:t xml:space="preserve"> </w:t>
      </w:r>
      <w:r w:rsidRPr="004F1A46">
        <w:rPr>
          <w:rFonts w:asciiTheme="minorHAnsi" w:hAnsiTheme="minorHAnsi" w:cstheme="minorHAnsi"/>
        </w:rPr>
        <w:t>reflected in the ITU-T’s long-standing IPR policy. The</w:t>
      </w:r>
      <w:r>
        <w:rPr>
          <w:rFonts w:asciiTheme="minorHAnsi" w:hAnsiTheme="minorHAnsi" w:cstheme="minorHAnsi"/>
        </w:rPr>
        <w:t xml:space="preserve"> existing</w:t>
      </w:r>
      <w:r w:rsidRPr="004F1A46">
        <w:rPr>
          <w:rFonts w:asciiTheme="minorHAnsi" w:hAnsiTheme="minorHAnsi" w:cstheme="minorHAnsi"/>
        </w:rPr>
        <w:t xml:space="preserve"> ITU-T approach has</w:t>
      </w:r>
      <w:r>
        <w:rPr>
          <w:rFonts w:asciiTheme="minorHAnsi" w:hAnsiTheme="minorHAnsi" w:cstheme="minorHAnsi"/>
        </w:rPr>
        <w:t xml:space="preserve"> </w:t>
      </w:r>
      <w:r w:rsidRPr="004F1A46">
        <w:rPr>
          <w:rFonts w:asciiTheme="minorHAnsi" w:hAnsiTheme="minorHAnsi" w:cstheme="minorHAnsi"/>
        </w:rPr>
        <w:t>provided a foundation for the exceptional innovation, competition, and growth in the</w:t>
      </w:r>
      <w:r>
        <w:rPr>
          <w:rFonts w:asciiTheme="minorHAnsi" w:hAnsiTheme="minorHAnsi" w:cstheme="minorHAnsi"/>
        </w:rPr>
        <w:t xml:space="preserve"> </w:t>
      </w:r>
      <w:r w:rsidRPr="004F1A46">
        <w:rPr>
          <w:rFonts w:asciiTheme="minorHAnsi" w:hAnsiTheme="minorHAnsi" w:cstheme="minorHAnsi"/>
        </w:rPr>
        <w:t>wireless sector in recent years, and it should be maintained.</w:t>
      </w:r>
    </w:p>
    <w:p w:rsidR="00A101EB" w:rsidRPr="002E6BAE" w:rsidRDefault="00A101EB" w:rsidP="000E78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</w:p>
    <w:p w:rsidR="00A101EB" w:rsidRPr="002E6BAE" w:rsidRDefault="00A101EB" w:rsidP="000E78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</w:p>
    <w:p w:rsidR="00A101EB" w:rsidRPr="002E6BAE" w:rsidRDefault="00A101EB" w:rsidP="00A101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</w:rPr>
      </w:pPr>
      <w:r w:rsidRPr="002E6BAE">
        <w:rPr>
          <w:rFonts w:asciiTheme="minorHAnsi" w:hAnsiTheme="minorHAnsi" w:cstheme="minorHAnsi"/>
        </w:rPr>
        <w:t>_______________</w:t>
      </w:r>
    </w:p>
    <w:sectPr w:rsidR="00A101EB" w:rsidRPr="002E6BAE" w:rsidSect="000E780F">
      <w:headerReference w:type="default" r:id="rId9"/>
      <w:footerReference w:type="first" r:id="rId10"/>
      <w:pgSz w:w="12240" w:h="15840" w:code="1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5D" w:rsidRDefault="003A305D">
      <w:r>
        <w:separator/>
      </w:r>
    </w:p>
  </w:endnote>
  <w:endnote w:type="continuationSeparator" w:id="0">
    <w:p w:rsidR="003A305D" w:rsidRDefault="003A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16" w:rsidRDefault="00CC2616" w:rsidP="00924747">
    <w:pPr>
      <w:tabs>
        <w:tab w:val="left" w:pos="3099"/>
        <w:tab w:val="center" w:pos="4819"/>
      </w:tabs>
      <w:spacing w:after="12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5D" w:rsidRDefault="003A305D">
      <w:r>
        <w:t>____________________</w:t>
      </w:r>
    </w:p>
  </w:footnote>
  <w:footnote w:type="continuationSeparator" w:id="0">
    <w:p w:rsidR="003A305D" w:rsidRDefault="003A305D">
      <w:r>
        <w:continuationSeparator/>
      </w:r>
    </w:p>
  </w:footnote>
  <w:footnote w:id="1">
    <w:p w:rsidR="00564076" w:rsidRPr="00564076" w:rsidRDefault="00564076" w:rsidP="00564076">
      <w:pPr>
        <w:pStyle w:val="FootnoteText"/>
        <w:tabs>
          <w:tab w:val="clear" w:pos="256"/>
          <w:tab w:val="clear" w:pos="567"/>
          <w:tab w:val="clear" w:pos="1134"/>
          <w:tab w:val="clear" w:pos="1701"/>
          <w:tab w:val="clear" w:pos="2268"/>
          <w:tab w:val="clear" w:pos="2835"/>
        </w:tabs>
        <w:ind w:left="0" w:firstLine="0"/>
        <w:rPr>
          <w:sz w:val="20"/>
        </w:rPr>
      </w:pPr>
      <w:r w:rsidRPr="00564076">
        <w:rPr>
          <w:rStyle w:val="FootnoteReference"/>
          <w:sz w:val="20"/>
        </w:rPr>
        <w:footnoteRef/>
      </w:r>
      <w:r w:rsidRPr="00564076">
        <w:rPr>
          <w:sz w:val="20"/>
        </w:rPr>
        <w:t xml:space="preserve"> </w:t>
      </w:r>
      <w:r w:rsidRPr="00564076">
        <w:rPr>
          <w:sz w:val="20"/>
        </w:rPr>
        <w:t>Innovation Insights is a cross-</w:t>
      </w:r>
      <w:proofErr w:type="spellStart"/>
      <w:r w:rsidRPr="00564076">
        <w:rPr>
          <w:sz w:val="20"/>
        </w:rPr>
        <w:t>sectoral</w:t>
      </w:r>
      <w:proofErr w:type="spellEnd"/>
      <w:r w:rsidRPr="00564076">
        <w:rPr>
          <w:sz w:val="20"/>
        </w:rPr>
        <w:t xml:space="preserve"> initiative that brings industry perspectives on innovation and</w:t>
      </w:r>
      <w:r w:rsidRPr="00564076">
        <w:rPr>
          <w:sz w:val="20"/>
        </w:rPr>
        <w:t xml:space="preserve"> </w:t>
      </w:r>
      <w:r w:rsidRPr="00564076">
        <w:rPr>
          <w:sz w:val="20"/>
        </w:rPr>
        <w:t>technology diffusion to the Geneva IP community. It was founded by GE, Qualcomm, and Microsoft</w:t>
      </w:r>
      <w:r w:rsidRPr="00564076">
        <w:rPr>
          <w:sz w:val="20"/>
        </w:rPr>
        <w:t xml:space="preserve"> </w:t>
      </w:r>
      <w:r w:rsidRPr="00564076">
        <w:rPr>
          <w:sz w:val="20"/>
        </w:rPr>
        <w:t xml:space="preserve">in early 2011 and currently includes GE, Qualcomm, P&amp;G, and </w:t>
      </w:r>
      <w:proofErr w:type="spellStart"/>
      <w:r w:rsidRPr="00564076">
        <w:rPr>
          <w:sz w:val="20"/>
        </w:rPr>
        <w:t>Inovent</w:t>
      </w:r>
      <w:proofErr w:type="spellEnd"/>
      <w:r w:rsidRPr="00564076">
        <w:rPr>
          <w:sz w:val="20"/>
        </w:rPr>
        <w:t>. www.innovationinsights.ch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16" w:rsidRPr="00A06DA8" w:rsidRDefault="00A06DA8" w:rsidP="000E780F">
    <w:pPr>
      <w:pStyle w:val="Header"/>
    </w:pPr>
    <w:r>
      <w:t xml:space="preserve">- </w:t>
    </w:r>
    <w:sdt>
      <w:sdtPr>
        <w:id w:val="103870854"/>
        <w:docPartObj>
          <w:docPartGallery w:val="Page Numbers (Top of Page)"/>
          <w:docPartUnique/>
        </w:docPartObj>
      </w:sdtPr>
      <w:sdtEndPr/>
      <w:sdtContent>
        <w:r w:rsidR="005B7D83">
          <w:fldChar w:fldCharType="begin"/>
        </w:r>
        <w:r w:rsidR="005B7D83">
          <w:instrText xml:space="preserve"> PAGE   \* MERGEFORMAT </w:instrText>
        </w:r>
        <w:r w:rsidR="005B7D83">
          <w:fldChar w:fldCharType="separate"/>
        </w:r>
        <w:r w:rsidR="00AD4A16">
          <w:rPr>
            <w:noProof/>
          </w:rPr>
          <w:t>2</w:t>
        </w:r>
        <w:r w:rsidR="005B7D83">
          <w:rPr>
            <w:noProof/>
          </w:rPr>
          <w:fldChar w:fldCharType="end"/>
        </w:r>
        <w:r>
          <w:t xml:space="preserve"> -</w:t>
        </w:r>
      </w:sdtContent>
    </w:sdt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F280E"/>
    <w:multiLevelType w:val="hybridMultilevel"/>
    <w:tmpl w:val="AFA02986"/>
    <w:lvl w:ilvl="0" w:tplc="AC9A1096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">
    <w:nsid w:val="0A14607A"/>
    <w:multiLevelType w:val="hybridMultilevel"/>
    <w:tmpl w:val="AFA02986"/>
    <w:lvl w:ilvl="0" w:tplc="AC9A1096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">
    <w:nsid w:val="0B543EB2"/>
    <w:multiLevelType w:val="hybridMultilevel"/>
    <w:tmpl w:val="0590B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2553E1"/>
    <w:multiLevelType w:val="hybridMultilevel"/>
    <w:tmpl w:val="AFA02986"/>
    <w:lvl w:ilvl="0" w:tplc="AC9A1096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5">
    <w:nsid w:val="16114FA8"/>
    <w:multiLevelType w:val="hybridMultilevel"/>
    <w:tmpl w:val="5B74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341E2"/>
    <w:multiLevelType w:val="hybridMultilevel"/>
    <w:tmpl w:val="BBDA244A"/>
    <w:lvl w:ilvl="0" w:tplc="9274116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B6AB8"/>
    <w:multiLevelType w:val="hybridMultilevel"/>
    <w:tmpl w:val="24F082B2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B31B9"/>
    <w:multiLevelType w:val="hybridMultilevel"/>
    <w:tmpl w:val="AFA02986"/>
    <w:lvl w:ilvl="0" w:tplc="AC9A1096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9">
    <w:nsid w:val="2F7D1D37"/>
    <w:multiLevelType w:val="hybridMultilevel"/>
    <w:tmpl w:val="352C55E6"/>
    <w:lvl w:ilvl="0" w:tplc="E24861F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57927"/>
    <w:multiLevelType w:val="hybridMultilevel"/>
    <w:tmpl w:val="AFA02986"/>
    <w:lvl w:ilvl="0" w:tplc="AC9A1096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1">
    <w:nsid w:val="4C883829"/>
    <w:multiLevelType w:val="hybridMultilevel"/>
    <w:tmpl w:val="AFA02986"/>
    <w:lvl w:ilvl="0" w:tplc="AC9A1096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2">
    <w:nsid w:val="593F1BDC"/>
    <w:multiLevelType w:val="hybridMultilevel"/>
    <w:tmpl w:val="1462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209EA"/>
    <w:multiLevelType w:val="multilevel"/>
    <w:tmpl w:val="91923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</w:rPr>
    </w:lvl>
  </w:abstractNum>
  <w:abstractNum w:abstractNumId="14">
    <w:nsid w:val="7D197E2C"/>
    <w:multiLevelType w:val="hybridMultilevel"/>
    <w:tmpl w:val="AFA02986"/>
    <w:lvl w:ilvl="0" w:tplc="AC9A1096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5">
    <w:nsid w:val="7E920182"/>
    <w:multiLevelType w:val="hybridMultilevel"/>
    <w:tmpl w:val="80387292"/>
    <w:lvl w:ilvl="0" w:tplc="78BC2F1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5"/>
  </w:num>
  <w:num w:numId="7">
    <w:abstractNumId w:val="15"/>
  </w:num>
  <w:num w:numId="8">
    <w:abstractNumId w:val="6"/>
  </w:num>
  <w:num w:numId="9">
    <w:abstractNumId w:val="1"/>
  </w:num>
  <w:num w:numId="10">
    <w:abstractNumId w:val="2"/>
  </w:num>
  <w:num w:numId="11">
    <w:abstractNumId w:val="11"/>
  </w:num>
  <w:num w:numId="12">
    <w:abstractNumId w:val="14"/>
  </w:num>
  <w:num w:numId="13">
    <w:abstractNumId w:val="10"/>
  </w:num>
  <w:num w:numId="14">
    <w:abstractNumId w:val="8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C24405C-4A92-4C44-832B-48D436CE463C}"/>
    <w:docVar w:name="dgnword-eventsink" w:val="160802472"/>
  </w:docVars>
  <w:rsids>
    <w:rsidRoot w:val="00AA5768"/>
    <w:rsid w:val="00000022"/>
    <w:rsid w:val="00035D47"/>
    <w:rsid w:val="00063016"/>
    <w:rsid w:val="00076AF6"/>
    <w:rsid w:val="000838B5"/>
    <w:rsid w:val="00085CF2"/>
    <w:rsid w:val="000B1705"/>
    <w:rsid w:val="000B2394"/>
    <w:rsid w:val="000B5F4E"/>
    <w:rsid w:val="000E780F"/>
    <w:rsid w:val="001121F5"/>
    <w:rsid w:val="00112A4B"/>
    <w:rsid w:val="00140CE1"/>
    <w:rsid w:val="00140CE5"/>
    <w:rsid w:val="00165586"/>
    <w:rsid w:val="001677DA"/>
    <w:rsid w:val="0017539C"/>
    <w:rsid w:val="00175AC2"/>
    <w:rsid w:val="0017609F"/>
    <w:rsid w:val="00176723"/>
    <w:rsid w:val="001A37C3"/>
    <w:rsid w:val="001B5BE0"/>
    <w:rsid w:val="001C628E"/>
    <w:rsid w:val="001D609D"/>
    <w:rsid w:val="001E0F7B"/>
    <w:rsid w:val="002119FD"/>
    <w:rsid w:val="002130E0"/>
    <w:rsid w:val="0023562A"/>
    <w:rsid w:val="00265875"/>
    <w:rsid w:val="0027303B"/>
    <w:rsid w:val="0028109B"/>
    <w:rsid w:val="002853B0"/>
    <w:rsid w:val="00285E76"/>
    <w:rsid w:val="002A6AC2"/>
    <w:rsid w:val="002B1F58"/>
    <w:rsid w:val="002C1C7A"/>
    <w:rsid w:val="002E6BAE"/>
    <w:rsid w:val="00322D0D"/>
    <w:rsid w:val="0034039C"/>
    <w:rsid w:val="00365C08"/>
    <w:rsid w:val="0037260D"/>
    <w:rsid w:val="003873AF"/>
    <w:rsid w:val="003942D4"/>
    <w:rsid w:val="003958A8"/>
    <w:rsid w:val="003A305D"/>
    <w:rsid w:val="003A512B"/>
    <w:rsid w:val="003B23A1"/>
    <w:rsid w:val="003B4DF3"/>
    <w:rsid w:val="003D739B"/>
    <w:rsid w:val="003E3726"/>
    <w:rsid w:val="004040B0"/>
    <w:rsid w:val="0040435A"/>
    <w:rsid w:val="004101D9"/>
    <w:rsid w:val="00431D9E"/>
    <w:rsid w:val="00433CE8"/>
    <w:rsid w:val="004341E2"/>
    <w:rsid w:val="00434A5C"/>
    <w:rsid w:val="004353C8"/>
    <w:rsid w:val="004544D9"/>
    <w:rsid w:val="0046038C"/>
    <w:rsid w:val="0047029F"/>
    <w:rsid w:val="00486A59"/>
    <w:rsid w:val="00490E72"/>
    <w:rsid w:val="004921C8"/>
    <w:rsid w:val="004C575D"/>
    <w:rsid w:val="004D1851"/>
    <w:rsid w:val="004D599D"/>
    <w:rsid w:val="004E2EA5"/>
    <w:rsid w:val="004E3AEB"/>
    <w:rsid w:val="004F1A46"/>
    <w:rsid w:val="0050223C"/>
    <w:rsid w:val="005145B3"/>
    <w:rsid w:val="005243FF"/>
    <w:rsid w:val="0052682E"/>
    <w:rsid w:val="005310DC"/>
    <w:rsid w:val="00564076"/>
    <w:rsid w:val="00564FBC"/>
    <w:rsid w:val="00582442"/>
    <w:rsid w:val="00585775"/>
    <w:rsid w:val="005A2E00"/>
    <w:rsid w:val="005B37CA"/>
    <w:rsid w:val="005B5594"/>
    <w:rsid w:val="005B7D83"/>
    <w:rsid w:val="006535F1"/>
    <w:rsid w:val="0065557D"/>
    <w:rsid w:val="00662984"/>
    <w:rsid w:val="00691755"/>
    <w:rsid w:val="00697EDB"/>
    <w:rsid w:val="006A09A0"/>
    <w:rsid w:val="006B00B0"/>
    <w:rsid w:val="006B6DCC"/>
    <w:rsid w:val="006C5B08"/>
    <w:rsid w:val="0074225B"/>
    <w:rsid w:val="00745D17"/>
    <w:rsid w:val="00745FDD"/>
    <w:rsid w:val="0075051B"/>
    <w:rsid w:val="00784BBC"/>
    <w:rsid w:val="00794D34"/>
    <w:rsid w:val="007C0968"/>
    <w:rsid w:val="007C4A5E"/>
    <w:rsid w:val="007D5243"/>
    <w:rsid w:val="00803AAB"/>
    <w:rsid w:val="00813E5E"/>
    <w:rsid w:val="0083581B"/>
    <w:rsid w:val="00864AFF"/>
    <w:rsid w:val="00896CA6"/>
    <w:rsid w:val="008A716E"/>
    <w:rsid w:val="008B4A6A"/>
    <w:rsid w:val="008C7E27"/>
    <w:rsid w:val="009173EF"/>
    <w:rsid w:val="00924747"/>
    <w:rsid w:val="00926C45"/>
    <w:rsid w:val="00932906"/>
    <w:rsid w:val="00934F44"/>
    <w:rsid w:val="009550F4"/>
    <w:rsid w:val="00961B0B"/>
    <w:rsid w:val="009D3993"/>
    <w:rsid w:val="009D44D2"/>
    <w:rsid w:val="009E17BD"/>
    <w:rsid w:val="009F6DCB"/>
    <w:rsid w:val="00A04CEC"/>
    <w:rsid w:val="00A06DA8"/>
    <w:rsid w:val="00A101EB"/>
    <w:rsid w:val="00A10DD9"/>
    <w:rsid w:val="00A16B1F"/>
    <w:rsid w:val="00A27F92"/>
    <w:rsid w:val="00A52EAB"/>
    <w:rsid w:val="00A55622"/>
    <w:rsid w:val="00A83502"/>
    <w:rsid w:val="00AA5768"/>
    <w:rsid w:val="00AB4306"/>
    <w:rsid w:val="00AD4A16"/>
    <w:rsid w:val="00AF6E49"/>
    <w:rsid w:val="00B04A67"/>
    <w:rsid w:val="00B0583C"/>
    <w:rsid w:val="00B40A81"/>
    <w:rsid w:val="00B44910"/>
    <w:rsid w:val="00B61B4F"/>
    <w:rsid w:val="00B72183"/>
    <w:rsid w:val="00B72267"/>
    <w:rsid w:val="00B76EB6"/>
    <w:rsid w:val="00B824C8"/>
    <w:rsid w:val="00BA3C59"/>
    <w:rsid w:val="00BC251A"/>
    <w:rsid w:val="00BD032B"/>
    <w:rsid w:val="00BD615B"/>
    <w:rsid w:val="00BE2640"/>
    <w:rsid w:val="00BE2D09"/>
    <w:rsid w:val="00BE5D71"/>
    <w:rsid w:val="00C01189"/>
    <w:rsid w:val="00C26D4C"/>
    <w:rsid w:val="00C35BF9"/>
    <w:rsid w:val="00C374DE"/>
    <w:rsid w:val="00C47AD4"/>
    <w:rsid w:val="00C52D81"/>
    <w:rsid w:val="00C55198"/>
    <w:rsid w:val="00C564BA"/>
    <w:rsid w:val="00C655AD"/>
    <w:rsid w:val="00CA6393"/>
    <w:rsid w:val="00CB18FF"/>
    <w:rsid w:val="00CC2616"/>
    <w:rsid w:val="00CD0C08"/>
    <w:rsid w:val="00CE433C"/>
    <w:rsid w:val="00CF33F3"/>
    <w:rsid w:val="00CF5DCC"/>
    <w:rsid w:val="00D06183"/>
    <w:rsid w:val="00D1628E"/>
    <w:rsid w:val="00D22C42"/>
    <w:rsid w:val="00D50BA4"/>
    <w:rsid w:val="00D65041"/>
    <w:rsid w:val="00D947A6"/>
    <w:rsid w:val="00DB42D5"/>
    <w:rsid w:val="00DD10F4"/>
    <w:rsid w:val="00DF20DD"/>
    <w:rsid w:val="00DF7693"/>
    <w:rsid w:val="00E10E80"/>
    <w:rsid w:val="00E124F0"/>
    <w:rsid w:val="00E42AFC"/>
    <w:rsid w:val="00E81CDE"/>
    <w:rsid w:val="00EB0D6F"/>
    <w:rsid w:val="00EB2232"/>
    <w:rsid w:val="00EC5337"/>
    <w:rsid w:val="00ED0630"/>
    <w:rsid w:val="00F2150A"/>
    <w:rsid w:val="00F231D8"/>
    <w:rsid w:val="00F46C5F"/>
    <w:rsid w:val="00F478B2"/>
    <w:rsid w:val="00F809AA"/>
    <w:rsid w:val="00F94A63"/>
    <w:rsid w:val="00FE6494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link w:val="FooterChar"/>
    <w:uiPriority w:val="9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9D399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SimSun" w:hAnsi="Times New Roman"/>
      <w:szCs w:val="24"/>
      <w:lang w:eastAsia="zh-CN"/>
    </w:rPr>
  </w:style>
  <w:style w:type="paragraph" w:customStyle="1" w:styleId="RecTitle0">
    <w:name w:val="Rec_Title"/>
    <w:basedOn w:val="Normal"/>
    <w:next w:val="Heading1"/>
    <w:rsid w:val="00B7218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ind w:left="714" w:hanging="357"/>
      <w:jc w:val="center"/>
      <w:textAlignment w:val="auto"/>
    </w:pPr>
    <w:rPr>
      <w:rFonts w:asciiTheme="minorHAnsi" w:eastAsiaTheme="minorEastAsia" w:hAnsiTheme="minorHAnsi" w:cstheme="minorBidi"/>
      <w:b/>
      <w:caps/>
      <w:sz w:val="28"/>
      <w:szCs w:val="22"/>
      <w:lang w:eastAsia="zh-CN"/>
    </w:rPr>
  </w:style>
  <w:style w:type="paragraph" w:customStyle="1" w:styleId="call0">
    <w:name w:val="call"/>
    <w:basedOn w:val="Normal"/>
    <w:next w:val="Normal"/>
    <w:rsid w:val="00B7218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60" w:after="200" w:line="276" w:lineRule="auto"/>
      <w:ind w:left="794" w:hanging="357"/>
      <w:textAlignment w:val="auto"/>
    </w:pPr>
    <w:rPr>
      <w:rFonts w:asciiTheme="minorHAnsi" w:eastAsiaTheme="minorEastAsia" w:hAnsiTheme="minorHAnsi" w:cstheme="minorBidi"/>
      <w:i/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A06DA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A06DA8"/>
    <w:rPr>
      <w:rFonts w:ascii="Calibri" w:hAnsi="Calibri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6DA8"/>
    <w:rPr>
      <w:rFonts w:ascii="Calibri" w:hAnsi="Calibri"/>
      <w:sz w:val="18"/>
      <w:lang w:val="en-GB" w:eastAsia="en-US"/>
    </w:rPr>
  </w:style>
  <w:style w:type="character" w:customStyle="1" w:styleId="apple-converted-space">
    <w:name w:val="apple-converted-space"/>
    <w:basedOn w:val="DefaultParagraphFont"/>
    <w:rsid w:val="00A101EB"/>
  </w:style>
  <w:style w:type="character" w:customStyle="1" w:styleId="FootnoteTextChar">
    <w:name w:val="Footnote Text Char"/>
    <w:basedOn w:val="DefaultParagraphFont"/>
    <w:link w:val="FootnoteText"/>
    <w:uiPriority w:val="99"/>
    <w:rsid w:val="002E6BAE"/>
    <w:rPr>
      <w:rFonts w:ascii="Calibri" w:hAnsi="Calibri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link w:val="FooterChar"/>
    <w:uiPriority w:val="9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9D399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SimSun" w:hAnsi="Times New Roman"/>
      <w:szCs w:val="24"/>
      <w:lang w:eastAsia="zh-CN"/>
    </w:rPr>
  </w:style>
  <w:style w:type="paragraph" w:customStyle="1" w:styleId="RecTitle0">
    <w:name w:val="Rec_Title"/>
    <w:basedOn w:val="Normal"/>
    <w:next w:val="Heading1"/>
    <w:rsid w:val="00B7218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ind w:left="714" w:hanging="357"/>
      <w:jc w:val="center"/>
      <w:textAlignment w:val="auto"/>
    </w:pPr>
    <w:rPr>
      <w:rFonts w:asciiTheme="minorHAnsi" w:eastAsiaTheme="minorEastAsia" w:hAnsiTheme="minorHAnsi" w:cstheme="minorBidi"/>
      <w:b/>
      <w:caps/>
      <w:sz w:val="28"/>
      <w:szCs w:val="22"/>
      <w:lang w:eastAsia="zh-CN"/>
    </w:rPr>
  </w:style>
  <w:style w:type="paragraph" w:customStyle="1" w:styleId="call0">
    <w:name w:val="call"/>
    <w:basedOn w:val="Normal"/>
    <w:next w:val="Normal"/>
    <w:rsid w:val="00B7218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60" w:after="200" w:line="276" w:lineRule="auto"/>
      <w:ind w:left="794" w:hanging="357"/>
      <w:textAlignment w:val="auto"/>
    </w:pPr>
    <w:rPr>
      <w:rFonts w:asciiTheme="minorHAnsi" w:eastAsiaTheme="minorEastAsia" w:hAnsiTheme="minorHAnsi" w:cstheme="minorBidi"/>
      <w:i/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A06DA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A06DA8"/>
    <w:rPr>
      <w:rFonts w:ascii="Calibri" w:hAnsi="Calibri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6DA8"/>
    <w:rPr>
      <w:rFonts w:ascii="Calibri" w:hAnsi="Calibri"/>
      <w:sz w:val="18"/>
      <w:lang w:val="en-GB" w:eastAsia="en-US"/>
    </w:rPr>
  </w:style>
  <w:style w:type="character" w:customStyle="1" w:styleId="apple-converted-space">
    <w:name w:val="apple-converted-space"/>
    <w:basedOn w:val="DefaultParagraphFont"/>
    <w:rsid w:val="00A101EB"/>
  </w:style>
  <w:style w:type="character" w:customStyle="1" w:styleId="FootnoteTextChar">
    <w:name w:val="Footnote Text Char"/>
    <w:basedOn w:val="DefaultParagraphFont"/>
    <w:link w:val="FootnoteText"/>
    <w:uiPriority w:val="99"/>
    <w:rsid w:val="002E6BA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CWG%20STB%20CS%20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506E-BFCB-4ADC-8AED-EF5678B2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PE_CWG STB CS 2.dotm</Template>
  <TotalTime>13</TotalTime>
  <Pages>3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9657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2011</dc:subject>
  <dc:creator>turnbulk</dc:creator>
  <cp:lastModifiedBy>Volanis, Nikolaos</cp:lastModifiedBy>
  <cp:revision>4</cp:revision>
  <cp:lastPrinted>2012-09-24T11:08:00Z</cp:lastPrinted>
  <dcterms:created xsi:type="dcterms:W3CDTF">2012-10-04T10:05:00Z</dcterms:created>
  <dcterms:modified xsi:type="dcterms:W3CDTF">2012-10-04T10:18:00Z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