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0F" w:rsidRDefault="000E780F" w:rsidP="000E780F">
      <w:pPr>
        <w:tabs>
          <w:tab w:val="clear" w:pos="567"/>
          <w:tab w:val="clear" w:pos="1134"/>
          <w:tab w:val="clear" w:pos="1701"/>
          <w:tab w:val="clear" w:pos="2268"/>
          <w:tab w:val="clear" w:pos="2835"/>
          <w:tab w:val="left" w:pos="6804"/>
        </w:tabs>
        <w:rPr>
          <w:rFonts w:asciiTheme="minorHAnsi" w:hAnsiTheme="minorHAnsi"/>
          <w:b/>
          <w:smallCaps/>
          <w:color w:val="000000"/>
          <w:position w:val="6"/>
          <w:sz w:val="32"/>
          <w:szCs w:val="32"/>
          <w:lang w:val="en-US"/>
        </w:rPr>
      </w:pPr>
      <w:r>
        <w:rPr>
          <w:rFonts w:asciiTheme="minorHAnsi" w:hAnsiTheme="minorHAnsi"/>
          <w:b/>
          <w:smallCaps/>
          <w:color w:val="000000"/>
          <w:position w:val="6"/>
          <w:sz w:val="32"/>
          <w:szCs w:val="32"/>
          <w:lang w:val="en-US"/>
        </w:rPr>
        <w:tab/>
        <w:t xml:space="preserve">PATENT ROUNDTABLE </w:t>
      </w:r>
    </w:p>
    <w:p w:rsidR="00A06DA8" w:rsidRPr="00DF20DD" w:rsidRDefault="000E780F" w:rsidP="000E780F">
      <w:pPr>
        <w:tabs>
          <w:tab w:val="clear" w:pos="567"/>
          <w:tab w:val="clear" w:pos="1134"/>
          <w:tab w:val="clear" w:pos="1701"/>
          <w:tab w:val="clear" w:pos="2268"/>
          <w:tab w:val="clear" w:pos="2835"/>
          <w:tab w:val="left" w:pos="6804"/>
        </w:tabs>
        <w:jc w:val="both"/>
        <w:rPr>
          <w:rFonts w:asciiTheme="minorHAnsi" w:hAnsiTheme="minorHAnsi"/>
          <w:lang w:val="en-US"/>
        </w:rPr>
      </w:pPr>
      <w:r>
        <w:rPr>
          <w:rFonts w:asciiTheme="minorHAnsi" w:hAnsiTheme="minorHAnsi"/>
          <w:lang w:val="en-US"/>
        </w:rPr>
        <w:tab/>
        <w:t xml:space="preserve">ITU Headquarters, </w:t>
      </w:r>
      <w:r w:rsidRPr="00DF20DD">
        <w:rPr>
          <w:rFonts w:asciiTheme="minorHAnsi" w:hAnsiTheme="minorHAnsi"/>
          <w:lang w:val="en-US"/>
        </w:rPr>
        <w:t>Geneva</w:t>
      </w:r>
      <w:r>
        <w:rPr>
          <w:rFonts w:asciiTheme="minorHAnsi" w:hAnsiTheme="minorHAnsi"/>
          <w:lang w:val="en-US"/>
        </w:rPr>
        <w:br/>
      </w:r>
      <w:r>
        <w:rPr>
          <w:rFonts w:asciiTheme="minorHAnsi" w:hAnsiTheme="minorHAnsi"/>
          <w:lang w:val="en-US"/>
        </w:rPr>
        <w:tab/>
        <w:t xml:space="preserve">10 October </w:t>
      </w:r>
      <w:r w:rsidRPr="00DF20DD">
        <w:rPr>
          <w:rFonts w:asciiTheme="minorHAnsi" w:hAnsiTheme="minorHAnsi"/>
          <w:lang w:val="en-US"/>
        </w:rPr>
        <w:t>2012</w:t>
      </w:r>
      <w:r w:rsidR="00A06DA8" w:rsidRPr="00DF20DD">
        <w:rPr>
          <w:rFonts w:asciiTheme="minorHAnsi" w:hAnsiTheme="minorHAnsi"/>
          <w:lang w:val="en-US"/>
        </w:rPr>
        <w:tab/>
      </w:r>
    </w:p>
    <w:p w:rsidR="000E780F"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p w:rsidR="000E780F" w:rsidRDefault="000E780F" w:rsidP="000E780F">
      <w:pPr>
        <w:rPr>
          <w:lang w:val="en-US"/>
        </w:rPr>
      </w:pPr>
    </w:p>
    <w:p w:rsidR="000E780F" w:rsidRDefault="000E780F" w:rsidP="000E780F">
      <w:pPr>
        <w:tabs>
          <w:tab w:val="clear" w:pos="567"/>
        </w:tabs>
        <w:rPr>
          <w:b/>
          <w:bCs/>
          <w:lang w:val="en-US"/>
        </w:rPr>
      </w:pPr>
      <w:r>
        <w:rPr>
          <w:lang w:val="en-US"/>
        </w:rPr>
        <w:t>Submitted by:</w:t>
      </w:r>
      <w:r>
        <w:rPr>
          <w:lang w:val="en-US"/>
        </w:rPr>
        <w:tab/>
      </w:r>
      <w:r w:rsidR="00A101EB" w:rsidRPr="00A101EB">
        <w:rPr>
          <w:b/>
          <w:bCs/>
          <w:lang w:val="en-US"/>
        </w:rPr>
        <w:t>IEEE</w:t>
      </w:r>
    </w:p>
    <w:p w:rsidR="0047029F" w:rsidRPr="0047029F" w:rsidRDefault="0047029F" w:rsidP="0047029F">
      <w:r w:rsidRPr="0047029F">
        <w:rPr>
          <w:lang w:val="en-US"/>
        </w:rPr>
        <w:t>Contact point:</w:t>
      </w:r>
      <w:r>
        <w:rPr>
          <w:b/>
          <w:bCs/>
          <w:lang w:val="en-US"/>
        </w:rPr>
        <w:tab/>
      </w:r>
      <w:r w:rsidRPr="0047029F">
        <w:rPr>
          <w:b/>
          <w:bCs/>
        </w:rPr>
        <w:t>Karen McCabe</w:t>
      </w:r>
    </w:p>
    <w:p w:rsidR="000E780F" w:rsidRDefault="000E780F" w:rsidP="000E780F">
      <w:pPr>
        <w:rPr>
          <w:lang w:val="en-US"/>
        </w:rPr>
      </w:pPr>
    </w:p>
    <w:p w:rsidR="000E780F" w:rsidRDefault="000E780F" w:rsidP="000E780F">
      <w:pPr>
        <w:rPr>
          <w:lang w:val="en-US"/>
        </w:rPr>
      </w:pPr>
    </w:p>
    <w:p w:rsidR="00A101EB" w:rsidRPr="003D0AFB" w:rsidRDefault="00A101EB" w:rsidP="00A101EB">
      <w:pPr>
        <w:rPr>
          <w:rFonts w:cstheme="minorHAnsi"/>
        </w:rPr>
      </w:pPr>
      <w:r w:rsidRPr="003D0AFB">
        <w:rPr>
          <w:rFonts w:cstheme="minorHAnsi"/>
          <w:b/>
        </w:rPr>
        <w:t>The Open Standards System and the Patent System</w:t>
      </w:r>
    </w:p>
    <w:p w:rsidR="00A101EB" w:rsidRPr="003D0AFB" w:rsidRDefault="00A101EB" w:rsidP="00A101EB">
      <w:pPr>
        <w:rPr>
          <w:rFonts w:cstheme="minorHAnsi"/>
        </w:rPr>
      </w:pPr>
      <w:r w:rsidRPr="003D0AFB">
        <w:rPr>
          <w:rFonts w:cstheme="minorHAnsi"/>
        </w:rPr>
        <w:t>The IEEE Standards Association (IEEE-SA) recognizes the standards system to be one of the pillars of the global knowledge community. Through an open standards system knowledge is supplied to the global scientific and technical community—information that is representative of collaboration for technological advancement.</w:t>
      </w:r>
    </w:p>
    <w:p w:rsidR="00A101EB" w:rsidRPr="003D0AFB" w:rsidRDefault="00A101EB" w:rsidP="00A101EB">
      <w:pPr>
        <w:rPr>
          <w:rFonts w:cstheme="minorHAnsi"/>
        </w:rPr>
      </w:pPr>
      <w:r w:rsidRPr="003D0AFB">
        <w:rPr>
          <w:rFonts w:cstheme="minorHAnsi"/>
        </w:rPr>
        <w:t>The IEEE-SA also recognizes the patent system to be one of the pillars of the global knowledge community.  With the rise of a knowledge driven economy, the importance of patents has grown considerably, indicating scientific and technology progress and innovation. The patent system by nature has a robust repository of information and knowledge—information and knowledge that combined with the open standards system can make a substantial and unique contribution to the global economy and knowledge community.</w:t>
      </w:r>
    </w:p>
    <w:p w:rsidR="00A101EB" w:rsidRPr="003D0AFB" w:rsidRDefault="00A101EB" w:rsidP="00A101EB">
      <w:pPr>
        <w:rPr>
          <w:rFonts w:cstheme="minorHAnsi"/>
        </w:rPr>
      </w:pPr>
      <w:r w:rsidRPr="003D0AFB">
        <w:rPr>
          <w:rFonts w:cstheme="minorHAnsi"/>
        </w:rPr>
        <w:t xml:space="preserve">Patents and standards encourage innovation and support diffusion of technology. Both the open standards system and the patent system generate, source and manage abundant information—information when combined can be powerful in helping to address today’s global challenges in an increasingly borderless, global market. </w:t>
      </w:r>
    </w:p>
    <w:p w:rsidR="00A101EB" w:rsidRPr="003D0AFB" w:rsidRDefault="00A101EB" w:rsidP="00A101EB">
      <w:pPr>
        <w:rPr>
          <w:rFonts w:cstheme="minorHAnsi"/>
        </w:rPr>
      </w:pPr>
      <w:r w:rsidRPr="003D0AFB">
        <w:rPr>
          <w:rFonts w:cstheme="minorHAnsi"/>
        </w:rPr>
        <w:t>There are patents that are essential for the practice of a standard. Providing access to patent offices to early draft standards prior to publication represents an important source of non-patented literature prior art.  Via collaboration, access can be provided to another key source of prior art—</w:t>
      </w:r>
      <w:r w:rsidRPr="003D0AFB">
        <w:rPr>
          <w:rFonts w:cstheme="minorHAnsi"/>
          <w:color w:val="222222"/>
          <w:shd w:val="clear" w:color="auto" w:fill="FFFFFF"/>
        </w:rPr>
        <w:t xml:space="preserve"> the</w:t>
      </w:r>
      <w:r w:rsidRPr="003D0AFB">
        <w:rPr>
          <w:rStyle w:val="apple-converted-space"/>
          <w:rFonts w:cstheme="minorHAnsi"/>
          <w:color w:val="222222"/>
          <w:shd w:val="clear" w:color="auto" w:fill="FFFFFF"/>
        </w:rPr>
        <w:t> </w:t>
      </w:r>
      <w:r w:rsidRPr="003D0AFB">
        <w:rPr>
          <w:rFonts w:cstheme="minorHAnsi"/>
          <w:shd w:val="clear" w:color="auto" w:fill="FFFFFF"/>
        </w:rPr>
        <w:t>non</w:t>
      </w:r>
      <w:r>
        <w:rPr>
          <w:rFonts w:cstheme="minorHAnsi"/>
          <w:shd w:val="clear" w:color="auto" w:fill="FFFFFF"/>
        </w:rPr>
        <w:t>-</w:t>
      </w:r>
      <w:bookmarkStart w:id="0" w:name="_GoBack"/>
      <w:bookmarkEnd w:id="0"/>
      <w:r w:rsidRPr="003D0AFB">
        <w:rPr>
          <w:rFonts w:cstheme="minorHAnsi"/>
          <w:shd w:val="clear" w:color="auto" w:fill="FFFFFF"/>
        </w:rPr>
        <w:t xml:space="preserve"> confidential</w:t>
      </w:r>
      <w:r w:rsidRPr="003D0AFB">
        <w:rPr>
          <w:rStyle w:val="apple-converted-space"/>
          <w:rFonts w:cstheme="minorHAnsi"/>
          <w:color w:val="FF0000"/>
          <w:shd w:val="clear" w:color="auto" w:fill="FFFFFF"/>
        </w:rPr>
        <w:t> </w:t>
      </w:r>
      <w:r w:rsidRPr="003D0AFB">
        <w:rPr>
          <w:rFonts w:cstheme="minorHAnsi"/>
          <w:color w:val="222222"/>
          <w:shd w:val="clear" w:color="auto" w:fill="FFFFFF"/>
        </w:rPr>
        <w:t>formal submissions and other contributions that are part of the standards development process which do not become part of the final, approved standard, but can still be considered prior art from the perspective of patentability.</w:t>
      </w:r>
      <w:r w:rsidRPr="003D0AFB">
        <w:rPr>
          <w:rStyle w:val="apple-converted-space"/>
          <w:rFonts w:cstheme="minorHAnsi"/>
          <w:color w:val="222222"/>
          <w:shd w:val="clear" w:color="auto" w:fill="FFFFFF"/>
        </w:rPr>
        <w:t> </w:t>
      </w:r>
      <w:r w:rsidRPr="003D0AFB">
        <w:rPr>
          <w:rFonts w:cstheme="minorHAnsi"/>
        </w:rPr>
        <w:t xml:space="preserve">The wealth of information and knowledge realized through cooperative and collaborative relationships amongst standards bodies and patent </w:t>
      </w:r>
      <w:proofErr w:type="spellStart"/>
      <w:r w:rsidRPr="003D0AFB">
        <w:rPr>
          <w:rFonts w:cstheme="minorHAnsi"/>
        </w:rPr>
        <w:t>offices</w:t>
      </w:r>
      <w:proofErr w:type="spellEnd"/>
      <w:r w:rsidRPr="003D0AFB">
        <w:rPr>
          <w:rFonts w:cstheme="minorHAnsi"/>
        </w:rPr>
        <w:t xml:space="preserve"> can greatly improve the quality of patents issued and help reduce patent litigation.</w:t>
      </w:r>
    </w:p>
    <w:p w:rsidR="000E780F"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p w:rsidR="00A101EB" w:rsidRDefault="00A101EB"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p w:rsidR="00A101EB" w:rsidRDefault="00A101EB"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p w:rsidR="00A101EB" w:rsidRPr="00A101EB" w:rsidRDefault="00A101EB" w:rsidP="00A101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rPr>
      </w:pPr>
      <w:r>
        <w:rPr>
          <w:rFonts w:asciiTheme="minorHAnsi" w:hAnsiTheme="minorHAnsi"/>
        </w:rPr>
        <w:t>_______________</w:t>
      </w:r>
    </w:p>
    <w:sectPr w:rsidR="00A101EB" w:rsidRPr="00A101EB" w:rsidSect="000E780F">
      <w:headerReference w:type="default" r:id="rId8"/>
      <w:footerReference w:type="first" r:id="rId9"/>
      <w:pgSz w:w="12240" w:h="15840" w:code="1"/>
      <w:pgMar w:top="1440" w:right="1077" w:bottom="1440"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16" w:rsidRDefault="00CC2616">
      <w:r>
        <w:separator/>
      </w:r>
    </w:p>
  </w:endnote>
  <w:endnote w:type="continuationSeparator" w:id="0">
    <w:p w:rsidR="00CC2616" w:rsidRDefault="00CC2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Default="00CC2616" w:rsidP="00924747">
    <w:pPr>
      <w:tabs>
        <w:tab w:val="left" w:pos="3099"/>
        <w:tab w:val="center" w:pos="4819"/>
      </w:tabs>
      <w:spacing w:after="120"/>
    </w:pP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16" w:rsidRDefault="00CC2616">
      <w:r>
        <w:t>____________________</w:t>
      </w:r>
    </w:p>
  </w:footnote>
  <w:footnote w:type="continuationSeparator" w:id="0">
    <w:p w:rsidR="00CC2616" w:rsidRDefault="00CC2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Pr="00A06DA8" w:rsidRDefault="00A06DA8" w:rsidP="000E780F">
    <w:pPr>
      <w:pStyle w:val="Header"/>
    </w:pPr>
    <w:r>
      <w:t xml:space="preserve">- </w:t>
    </w:r>
    <w:sdt>
      <w:sdtPr>
        <w:id w:val="103870854"/>
        <w:docPartObj>
          <w:docPartGallery w:val="Page Numbers (Top of Page)"/>
          <w:docPartUnique/>
        </w:docPartObj>
      </w:sdtPr>
      <w:sdtContent>
        <w:fldSimple w:instr=" PAGE   \* MERGEFORMAT ">
          <w:r w:rsidR="000E780F">
            <w:rPr>
              <w:noProof/>
            </w:rPr>
            <w:t>2</w:t>
          </w:r>
        </w:fldSimple>
        <w:r>
          <w:t xml:space="preserve"> -</w:t>
        </w:r>
      </w:sdtContent>
    </w:sdt>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42F280E"/>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
    <w:nsid w:val="0A14607A"/>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553E1"/>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nsid w:val="16114FA8"/>
    <w:multiLevelType w:val="hybridMultilevel"/>
    <w:tmpl w:val="5B7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41E2"/>
    <w:multiLevelType w:val="hybridMultilevel"/>
    <w:tmpl w:val="BBDA244A"/>
    <w:lvl w:ilvl="0" w:tplc="927411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6AB8"/>
    <w:multiLevelType w:val="hybridMultilevel"/>
    <w:tmpl w:val="24F082B2"/>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nsid w:val="287B31B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9">
    <w:nsid w:val="2F7D1D37"/>
    <w:multiLevelType w:val="hybridMultilevel"/>
    <w:tmpl w:val="352C55E6"/>
    <w:lvl w:ilvl="0" w:tplc="E24861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57927"/>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1">
    <w:nsid w:val="4C88382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nsid w:val="5C0209EA"/>
    <w:multiLevelType w:val="multilevel"/>
    <w:tmpl w:val="919232F0"/>
    <w:lvl w:ilvl="0">
      <w:start w:val="1"/>
      <w:numFmt w:val="bullet"/>
      <w:lvlText w:val=""/>
      <w:lvlJc w:val="left"/>
      <w:pPr>
        <w:ind w:left="720" w:hanging="360"/>
      </w:pPr>
      <w:rPr>
        <w:rFonts w:ascii="Symbol" w:hAnsi="Symbol" w:hint="default"/>
      </w:rPr>
    </w:lvl>
    <w:lvl w:ilvl="1">
      <w:start w:val="3"/>
      <w:numFmt w:val="decimal"/>
      <w:isLgl/>
      <w:lvlText w:val="%1.%2"/>
      <w:lvlJc w:val="left"/>
      <w:pPr>
        <w:ind w:left="502"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3">
    <w:nsid w:val="7D197E2C"/>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4">
    <w:nsid w:val="7E920182"/>
    <w:multiLevelType w:val="hybridMultilevel"/>
    <w:tmpl w:val="80387292"/>
    <w:lvl w:ilvl="0" w:tplc="78BC2F1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5"/>
  </w:num>
  <w:num w:numId="7">
    <w:abstractNumId w:val="14"/>
  </w:num>
  <w:num w:numId="8">
    <w:abstractNumId w:val="6"/>
  </w:num>
  <w:num w:numId="9">
    <w:abstractNumId w:val="1"/>
  </w:num>
  <w:num w:numId="10">
    <w:abstractNumId w:val="2"/>
  </w:num>
  <w:num w:numId="11">
    <w:abstractNumId w:val="11"/>
  </w:num>
  <w:num w:numId="12">
    <w:abstractNumId w:val="13"/>
  </w:num>
  <w:num w:numId="13">
    <w:abstractNumId w:val="10"/>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
  <w:docVars>
    <w:docVar w:name="dgnword-docGUID" w:val="{AC24405C-4A92-4C44-832B-48D436CE463C}"/>
    <w:docVar w:name="dgnword-eventsink" w:val="160802472"/>
  </w:docVars>
  <w:rsids>
    <w:rsidRoot w:val="00AA5768"/>
    <w:rsid w:val="00000022"/>
    <w:rsid w:val="00035D47"/>
    <w:rsid w:val="00063016"/>
    <w:rsid w:val="00076AF6"/>
    <w:rsid w:val="000838B5"/>
    <w:rsid w:val="00085CF2"/>
    <w:rsid w:val="000B1705"/>
    <w:rsid w:val="000B2394"/>
    <w:rsid w:val="000B5F4E"/>
    <w:rsid w:val="000E780F"/>
    <w:rsid w:val="001121F5"/>
    <w:rsid w:val="00112A4B"/>
    <w:rsid w:val="00140CE1"/>
    <w:rsid w:val="00140CE5"/>
    <w:rsid w:val="00165586"/>
    <w:rsid w:val="001677DA"/>
    <w:rsid w:val="0017539C"/>
    <w:rsid w:val="00175AC2"/>
    <w:rsid w:val="0017609F"/>
    <w:rsid w:val="00176723"/>
    <w:rsid w:val="001A37C3"/>
    <w:rsid w:val="001B5BE0"/>
    <w:rsid w:val="001C628E"/>
    <w:rsid w:val="001D609D"/>
    <w:rsid w:val="001E0F7B"/>
    <w:rsid w:val="002119FD"/>
    <w:rsid w:val="002130E0"/>
    <w:rsid w:val="0023562A"/>
    <w:rsid w:val="00265875"/>
    <w:rsid w:val="0027303B"/>
    <w:rsid w:val="0028109B"/>
    <w:rsid w:val="002853B0"/>
    <w:rsid w:val="002A6AC2"/>
    <w:rsid w:val="002B1F58"/>
    <w:rsid w:val="002C1C7A"/>
    <w:rsid w:val="00322D0D"/>
    <w:rsid w:val="0034039C"/>
    <w:rsid w:val="00365C08"/>
    <w:rsid w:val="0037260D"/>
    <w:rsid w:val="003873AF"/>
    <w:rsid w:val="003942D4"/>
    <w:rsid w:val="003958A8"/>
    <w:rsid w:val="003A512B"/>
    <w:rsid w:val="003B23A1"/>
    <w:rsid w:val="003B4DF3"/>
    <w:rsid w:val="003D739B"/>
    <w:rsid w:val="003E3726"/>
    <w:rsid w:val="004040B0"/>
    <w:rsid w:val="0040435A"/>
    <w:rsid w:val="004101D9"/>
    <w:rsid w:val="00431D9E"/>
    <w:rsid w:val="00433CE8"/>
    <w:rsid w:val="004341E2"/>
    <w:rsid w:val="00434A5C"/>
    <w:rsid w:val="004353C8"/>
    <w:rsid w:val="004544D9"/>
    <w:rsid w:val="0046038C"/>
    <w:rsid w:val="0047029F"/>
    <w:rsid w:val="00486A59"/>
    <w:rsid w:val="00490E72"/>
    <w:rsid w:val="004921C8"/>
    <w:rsid w:val="004C575D"/>
    <w:rsid w:val="004D1851"/>
    <w:rsid w:val="004D599D"/>
    <w:rsid w:val="004E2EA5"/>
    <w:rsid w:val="004E3AEB"/>
    <w:rsid w:val="0050223C"/>
    <w:rsid w:val="005145B3"/>
    <w:rsid w:val="005243FF"/>
    <w:rsid w:val="0052682E"/>
    <w:rsid w:val="005310DC"/>
    <w:rsid w:val="00564FBC"/>
    <w:rsid w:val="00582442"/>
    <w:rsid w:val="00585775"/>
    <w:rsid w:val="005A2E00"/>
    <w:rsid w:val="005B37CA"/>
    <w:rsid w:val="005B5594"/>
    <w:rsid w:val="006535F1"/>
    <w:rsid w:val="0065557D"/>
    <w:rsid w:val="00662984"/>
    <w:rsid w:val="00691755"/>
    <w:rsid w:val="00697EDB"/>
    <w:rsid w:val="006A09A0"/>
    <w:rsid w:val="006B00B0"/>
    <w:rsid w:val="006B6DCC"/>
    <w:rsid w:val="006C5B08"/>
    <w:rsid w:val="0074225B"/>
    <w:rsid w:val="00745D17"/>
    <w:rsid w:val="00745FDD"/>
    <w:rsid w:val="0075051B"/>
    <w:rsid w:val="00784BBC"/>
    <w:rsid w:val="00794D34"/>
    <w:rsid w:val="007C0968"/>
    <w:rsid w:val="007C4A5E"/>
    <w:rsid w:val="007D5243"/>
    <w:rsid w:val="00803AAB"/>
    <w:rsid w:val="00813E5E"/>
    <w:rsid w:val="0083581B"/>
    <w:rsid w:val="00864AFF"/>
    <w:rsid w:val="00896CA6"/>
    <w:rsid w:val="008A716E"/>
    <w:rsid w:val="008B4A6A"/>
    <w:rsid w:val="008C7E27"/>
    <w:rsid w:val="009173EF"/>
    <w:rsid w:val="00924747"/>
    <w:rsid w:val="00926C45"/>
    <w:rsid w:val="00932906"/>
    <w:rsid w:val="00934F44"/>
    <w:rsid w:val="009550F4"/>
    <w:rsid w:val="00961B0B"/>
    <w:rsid w:val="009D3993"/>
    <w:rsid w:val="009D44D2"/>
    <w:rsid w:val="009E17BD"/>
    <w:rsid w:val="009F6DCB"/>
    <w:rsid w:val="00A04CEC"/>
    <w:rsid w:val="00A06DA8"/>
    <w:rsid w:val="00A101EB"/>
    <w:rsid w:val="00A10DD9"/>
    <w:rsid w:val="00A16B1F"/>
    <w:rsid w:val="00A27F92"/>
    <w:rsid w:val="00A52EAB"/>
    <w:rsid w:val="00A55622"/>
    <w:rsid w:val="00A83502"/>
    <w:rsid w:val="00AA5768"/>
    <w:rsid w:val="00AB4306"/>
    <w:rsid w:val="00AF6E49"/>
    <w:rsid w:val="00B04A67"/>
    <w:rsid w:val="00B0583C"/>
    <w:rsid w:val="00B40A81"/>
    <w:rsid w:val="00B44910"/>
    <w:rsid w:val="00B61B4F"/>
    <w:rsid w:val="00B72183"/>
    <w:rsid w:val="00B72267"/>
    <w:rsid w:val="00B76EB6"/>
    <w:rsid w:val="00B824C8"/>
    <w:rsid w:val="00BA3C59"/>
    <w:rsid w:val="00BC251A"/>
    <w:rsid w:val="00BD032B"/>
    <w:rsid w:val="00BD615B"/>
    <w:rsid w:val="00BE2640"/>
    <w:rsid w:val="00BE2D09"/>
    <w:rsid w:val="00BE5D71"/>
    <w:rsid w:val="00C01189"/>
    <w:rsid w:val="00C26D4C"/>
    <w:rsid w:val="00C374DE"/>
    <w:rsid w:val="00C47AD4"/>
    <w:rsid w:val="00C52D81"/>
    <w:rsid w:val="00C55198"/>
    <w:rsid w:val="00C564BA"/>
    <w:rsid w:val="00C655AD"/>
    <w:rsid w:val="00CA6393"/>
    <w:rsid w:val="00CB18FF"/>
    <w:rsid w:val="00CC2616"/>
    <w:rsid w:val="00CD0C08"/>
    <w:rsid w:val="00CE433C"/>
    <w:rsid w:val="00CF33F3"/>
    <w:rsid w:val="00CF5DCC"/>
    <w:rsid w:val="00D06183"/>
    <w:rsid w:val="00D1628E"/>
    <w:rsid w:val="00D22C42"/>
    <w:rsid w:val="00D50BA4"/>
    <w:rsid w:val="00D65041"/>
    <w:rsid w:val="00DB42D5"/>
    <w:rsid w:val="00DD10F4"/>
    <w:rsid w:val="00DF20DD"/>
    <w:rsid w:val="00DF7693"/>
    <w:rsid w:val="00E10E80"/>
    <w:rsid w:val="00E124F0"/>
    <w:rsid w:val="00E42AFC"/>
    <w:rsid w:val="00E81CDE"/>
    <w:rsid w:val="00EB0D6F"/>
    <w:rsid w:val="00EB2232"/>
    <w:rsid w:val="00EC5337"/>
    <w:rsid w:val="00ED0630"/>
    <w:rsid w:val="00F2150A"/>
    <w:rsid w:val="00F231D8"/>
    <w:rsid w:val="00F46C5F"/>
    <w:rsid w:val="00F809AA"/>
    <w:rsid w:val="00F94A63"/>
    <w:rsid w:val="00FE6494"/>
    <w:rsid w:val="00FE77D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 w:type="character" w:customStyle="1" w:styleId="apple-converted-space">
    <w:name w:val="apple-converted-space"/>
    <w:basedOn w:val="DefaultParagraphFont"/>
    <w:rsid w:val="00A10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s>
</file>

<file path=word/webSettings.xml><?xml version="1.0" encoding="utf-8"?>
<w:webSettings xmlns:r="http://schemas.openxmlformats.org/officeDocument/2006/relationships" xmlns:w="http://schemas.openxmlformats.org/wordprocessingml/2006/main">
  <w:divs>
    <w:div w:id="13396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CWG%20STB%20CS%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54303-510D-49B6-A34D-5BB7BFBA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2.dotm</Template>
  <TotalTime>2</TotalTime>
  <Pages>1</Pages>
  <Words>304</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turnbulk</dc:creator>
  <cp:lastModifiedBy>carter</cp:lastModifiedBy>
  <cp:revision>4</cp:revision>
  <cp:lastPrinted>2012-09-24T11:08:00Z</cp:lastPrinted>
  <dcterms:created xsi:type="dcterms:W3CDTF">2012-09-28T12:00:00Z</dcterms:created>
  <dcterms:modified xsi:type="dcterms:W3CDTF">2012-09-28T13:46:00Z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