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14"/>
        <w:tblW w:w="0" w:type="auto"/>
        <w:tblLook w:val="00A0"/>
      </w:tblPr>
      <w:tblGrid>
        <w:gridCol w:w="9576"/>
      </w:tblGrid>
      <w:tr w:rsidR="00451F9B" w:rsidRPr="00604CA5">
        <w:trPr>
          <w:trHeight w:val="1018"/>
        </w:trPr>
        <w:tc>
          <w:tcPr>
            <w:tcW w:w="9576" w:type="dxa"/>
            <w:shd w:val="clear" w:color="auto" w:fill="92D050"/>
            <w:vAlign w:val="center"/>
          </w:tcPr>
          <w:p w:rsidR="00451F9B" w:rsidRPr="00ED69C5" w:rsidRDefault="00053363" w:rsidP="00563EDC">
            <w:pPr>
              <w:spacing w:before="180" w:after="18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5º Simposio sobre "</w:t>
            </w:r>
            <w:r w:rsidR="00451F9B" w:rsidRPr="00ED69C5">
              <w:rPr>
                <w:b/>
                <w:bCs/>
                <w:color w:val="000000"/>
                <w:sz w:val="28"/>
                <w:szCs w:val="28"/>
              </w:rPr>
              <w:t>TIC, me</w:t>
            </w:r>
            <w:r>
              <w:rPr>
                <w:b/>
                <w:bCs/>
                <w:color w:val="000000"/>
                <w:sz w:val="28"/>
                <w:szCs w:val="28"/>
              </w:rPr>
              <w:t>dio ambiente y cambio climático"</w:t>
            </w:r>
          </w:p>
          <w:p w:rsidR="00451F9B" w:rsidRPr="00ED69C5" w:rsidRDefault="00451F9B" w:rsidP="00563EDC">
            <w:pPr>
              <w:spacing w:before="180" w:after="180"/>
              <w:jc w:val="center"/>
              <w:rPr>
                <w:i/>
                <w:iCs/>
                <w:color w:val="000000"/>
                <w:sz w:val="22"/>
                <w:szCs w:val="22"/>
                <w:lang w:val="fr-CH"/>
              </w:rPr>
            </w:pPr>
            <w:r w:rsidRPr="00ED69C5">
              <w:rPr>
                <w:b/>
                <w:bCs/>
                <w:i/>
                <w:iCs/>
                <w:color w:val="000000"/>
                <w:sz w:val="28"/>
                <w:szCs w:val="28"/>
                <w:lang w:val="fr-CH"/>
              </w:rPr>
              <w:t>2-3 de noviembre, Smart Village- Eg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val="fr-CH"/>
              </w:rPr>
              <w:t>ipto</w:t>
            </w:r>
          </w:p>
        </w:tc>
      </w:tr>
      <w:tr w:rsidR="00451F9B" w:rsidRPr="001C69D7">
        <w:trPr>
          <w:trHeight w:val="2879"/>
        </w:trPr>
        <w:tc>
          <w:tcPr>
            <w:tcW w:w="9576" w:type="dxa"/>
            <w:vAlign w:val="center"/>
          </w:tcPr>
          <w:p w:rsidR="00451F9B" w:rsidRPr="00ED69C5" w:rsidRDefault="00451F9B" w:rsidP="00563EDC">
            <w:pPr>
              <w:jc w:val="center"/>
              <w:rPr>
                <w:b/>
                <w:bCs/>
                <w:color w:val="000000"/>
                <w:sz w:val="22"/>
                <w:szCs w:val="22"/>
                <w:lang w:val="fr-CH"/>
              </w:rPr>
            </w:pPr>
          </w:p>
          <w:p w:rsidR="00451F9B" w:rsidRPr="00ED69C5" w:rsidRDefault="00451F9B" w:rsidP="00563EDC">
            <w:pPr>
              <w:jc w:val="center"/>
              <w:rPr>
                <w:b/>
                <w:bCs/>
                <w:color w:val="000000"/>
                <w:sz w:val="22"/>
                <w:szCs w:val="22"/>
                <w:lang w:val="fr-CH"/>
              </w:rPr>
            </w:pPr>
          </w:p>
          <w:p w:rsidR="00451F9B" w:rsidRPr="00ED69C5" w:rsidRDefault="00451F9B" w:rsidP="00563EDC">
            <w:pPr>
              <w:jc w:val="center"/>
              <w:rPr>
                <w:b/>
                <w:bCs/>
                <w:color w:val="000000"/>
                <w:sz w:val="22"/>
                <w:szCs w:val="22"/>
                <w:lang w:val="fr-CH"/>
              </w:rPr>
            </w:pPr>
          </w:p>
          <w:p w:rsidR="00451F9B" w:rsidRPr="00ED69C5" w:rsidRDefault="00451F9B" w:rsidP="00563EDC">
            <w:pPr>
              <w:jc w:val="center"/>
              <w:rPr>
                <w:b/>
                <w:bCs/>
                <w:color w:val="000000"/>
                <w:sz w:val="22"/>
                <w:szCs w:val="22"/>
                <w:lang w:val="fr-CH"/>
              </w:rPr>
            </w:pPr>
          </w:p>
          <w:p w:rsidR="00451F9B" w:rsidRPr="00ED69C5" w:rsidRDefault="00451F9B" w:rsidP="00563EDC">
            <w:pPr>
              <w:jc w:val="center"/>
              <w:rPr>
                <w:b/>
                <w:bCs/>
                <w:color w:val="000000"/>
                <w:sz w:val="22"/>
                <w:szCs w:val="22"/>
                <w:lang w:val="fr-CH"/>
              </w:rPr>
            </w:pPr>
          </w:p>
          <w:p w:rsidR="00451F9B" w:rsidRPr="00ED69C5" w:rsidRDefault="00451F9B" w:rsidP="00563EDC">
            <w:pPr>
              <w:jc w:val="center"/>
              <w:rPr>
                <w:b/>
                <w:bCs/>
                <w:color w:val="000000"/>
                <w:sz w:val="22"/>
                <w:szCs w:val="22"/>
                <w:lang w:val="fr-CH"/>
              </w:rPr>
            </w:pPr>
          </w:p>
          <w:p w:rsidR="00451F9B" w:rsidRPr="00ED69C5" w:rsidRDefault="00451F9B" w:rsidP="00563EDC">
            <w:pPr>
              <w:jc w:val="center"/>
              <w:rPr>
                <w:b/>
                <w:bCs/>
                <w:color w:val="000000"/>
                <w:sz w:val="22"/>
                <w:szCs w:val="22"/>
                <w:lang w:val="fr-CH"/>
              </w:rPr>
            </w:pPr>
          </w:p>
          <w:p w:rsidR="00451F9B" w:rsidRPr="001C69D7" w:rsidRDefault="00451F9B" w:rsidP="00563EDC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1C69D7">
              <w:rPr>
                <w:b/>
                <w:bCs/>
                <w:color w:val="000000"/>
                <w:sz w:val="40"/>
                <w:szCs w:val="40"/>
              </w:rPr>
              <w:t>Plan de El Cairo</w:t>
            </w:r>
          </w:p>
          <w:p w:rsidR="00451F9B" w:rsidRPr="00ED69C5" w:rsidRDefault="00CB7251" w:rsidP="00563E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40"/>
                <w:szCs w:val="40"/>
              </w:rPr>
              <w:t>"</w:t>
            </w:r>
            <w:r w:rsidR="00451F9B" w:rsidRPr="00ED69C5">
              <w:rPr>
                <w:b/>
                <w:bCs/>
                <w:color w:val="000000"/>
                <w:sz w:val="40"/>
                <w:szCs w:val="40"/>
              </w:rPr>
              <w:t>TIC y sostenibilidad medioambiental</w:t>
            </w:r>
            <w:r>
              <w:rPr>
                <w:b/>
                <w:bCs/>
                <w:color w:val="000000"/>
                <w:sz w:val="40"/>
                <w:szCs w:val="40"/>
              </w:rPr>
              <w:t>"</w:t>
            </w:r>
          </w:p>
        </w:tc>
      </w:tr>
    </w:tbl>
    <w:p w:rsidR="00451F9B" w:rsidRPr="001D6714" w:rsidRDefault="00451F9B" w:rsidP="00451F9B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 w:after="120"/>
        <w:ind w:left="425" w:right="1072" w:hanging="425"/>
        <w:jc w:val="both"/>
        <w:textAlignment w:val="auto"/>
        <w:rPr>
          <w:color w:val="000000"/>
          <w:sz w:val="22"/>
          <w:szCs w:val="22"/>
        </w:rPr>
      </w:pPr>
      <w:r w:rsidRPr="00ED69C5">
        <w:rPr>
          <w:b/>
          <w:bCs/>
          <w:color w:val="000000"/>
          <w:sz w:val="22"/>
          <w:szCs w:val="22"/>
        </w:rPr>
        <w:br w:type="page"/>
      </w:r>
      <w:r w:rsidRPr="00ED69C5">
        <w:rPr>
          <w:b/>
          <w:bCs/>
          <w:color w:val="000000"/>
          <w:sz w:val="22"/>
          <w:szCs w:val="22"/>
        </w:rPr>
        <w:lastRenderedPageBreak/>
        <w:t xml:space="preserve"> </w:t>
      </w:r>
      <w:r w:rsidRPr="001D6714">
        <w:rPr>
          <w:b/>
          <w:bCs/>
          <w:color w:val="000000"/>
          <w:sz w:val="22"/>
          <w:szCs w:val="22"/>
        </w:rPr>
        <w:t>Introduc</w:t>
      </w:r>
      <w:r>
        <w:rPr>
          <w:b/>
          <w:bCs/>
          <w:color w:val="000000"/>
          <w:sz w:val="22"/>
          <w:szCs w:val="22"/>
        </w:rPr>
        <w:t>ción</w:t>
      </w:r>
      <w:r w:rsidRPr="001D6714">
        <w:rPr>
          <w:color w:val="000000"/>
          <w:sz w:val="22"/>
          <w:szCs w:val="22"/>
        </w:rPr>
        <w:t xml:space="preserve"> </w:t>
      </w:r>
    </w:p>
    <w:p w:rsidR="00451F9B" w:rsidRPr="00ED69C5" w:rsidRDefault="00451F9B" w:rsidP="00563EDC">
      <w:pPr>
        <w:snapToGrid w:val="0"/>
        <w:spacing w:after="120"/>
        <w:jc w:val="both"/>
        <w:rPr>
          <w:sz w:val="22"/>
          <w:szCs w:val="22"/>
        </w:rPr>
      </w:pPr>
      <w:r w:rsidRPr="001C69D7">
        <w:rPr>
          <w:sz w:val="22"/>
          <w:szCs w:val="22"/>
        </w:rPr>
        <w:t xml:space="preserve">La repercusión de la actividad humana sobre el medio ambiente y, concretamente, sobre el cambio climático, son problemas cada vez más importantes para la Tierra. </w:t>
      </w:r>
      <w:r w:rsidRPr="00ED69C5">
        <w:rPr>
          <w:sz w:val="22"/>
          <w:szCs w:val="22"/>
        </w:rPr>
        <w:t xml:space="preserve">A escala mundial </w:t>
      </w:r>
      <w:r>
        <w:rPr>
          <w:sz w:val="22"/>
          <w:szCs w:val="22"/>
        </w:rPr>
        <w:t>r</w:t>
      </w:r>
      <w:r w:rsidRPr="00ED69C5">
        <w:rPr>
          <w:sz w:val="22"/>
          <w:szCs w:val="22"/>
        </w:rPr>
        <w:t>esulta urgent</w:t>
      </w:r>
      <w:r>
        <w:rPr>
          <w:sz w:val="22"/>
          <w:szCs w:val="22"/>
        </w:rPr>
        <w:t>e</w:t>
      </w:r>
      <w:r w:rsidRPr="00ED69C5">
        <w:rPr>
          <w:sz w:val="22"/>
          <w:szCs w:val="22"/>
        </w:rPr>
        <w:t xml:space="preserve"> mejorar el rendimiento medioambiental, frenar el calentamiento global, mejorar la gestión de los recursos, crear capacidades, lograr el desarrollo sostenible y crear una conciencia colectiva al respecto</w:t>
      </w:r>
      <w:r>
        <w:rPr>
          <w:sz w:val="22"/>
          <w:szCs w:val="22"/>
        </w:rPr>
        <w:t xml:space="preserve">. </w:t>
      </w:r>
      <w:r w:rsidRPr="00ED69C5">
        <w:rPr>
          <w:sz w:val="22"/>
          <w:szCs w:val="22"/>
        </w:rPr>
        <w:t>Las tecnologías de la información y la comunicación (TIC) han demostrado que tienen un papel clave que desempeñar a la hora de paliar el cambio clim</w:t>
      </w:r>
      <w:r>
        <w:rPr>
          <w:sz w:val="22"/>
          <w:szCs w:val="22"/>
        </w:rPr>
        <w:t>ático y adaptarse a él</w:t>
      </w:r>
      <w:r w:rsidRPr="00ED69C5">
        <w:rPr>
          <w:sz w:val="22"/>
          <w:szCs w:val="22"/>
        </w:rPr>
        <w:t xml:space="preserve">. </w:t>
      </w:r>
    </w:p>
    <w:p w:rsidR="00451F9B" w:rsidRPr="00ED69C5" w:rsidRDefault="00451F9B" w:rsidP="00563EDC">
      <w:pPr>
        <w:snapToGrid w:val="0"/>
        <w:spacing w:after="120"/>
        <w:jc w:val="both"/>
        <w:rPr>
          <w:sz w:val="22"/>
          <w:szCs w:val="22"/>
        </w:rPr>
      </w:pPr>
      <w:r w:rsidRPr="00ED69C5">
        <w:rPr>
          <w:sz w:val="22"/>
          <w:szCs w:val="22"/>
        </w:rPr>
        <w:t>Las TIC están hoy en día presentes en prácticamente todos los sectores de la sociedad y la econom</w:t>
      </w:r>
      <w:r>
        <w:rPr>
          <w:sz w:val="22"/>
          <w:szCs w:val="22"/>
        </w:rPr>
        <w:t xml:space="preserve">ía a escala mundial. </w:t>
      </w:r>
      <w:r w:rsidRPr="00ED69C5">
        <w:rPr>
          <w:sz w:val="22"/>
          <w:szCs w:val="22"/>
        </w:rPr>
        <w:t>La revolución digital y la proliferación de las TIC han dado un giro fundamental a nuestra vida cotidiana y han impulsado el crecimiento econ</w:t>
      </w:r>
      <w:r>
        <w:rPr>
          <w:sz w:val="22"/>
          <w:szCs w:val="22"/>
        </w:rPr>
        <w:t xml:space="preserve">ómico. </w:t>
      </w:r>
      <w:r w:rsidRPr="00ED69C5">
        <w:rPr>
          <w:sz w:val="22"/>
          <w:szCs w:val="22"/>
        </w:rPr>
        <w:t>La industria de las TIC es responsable del 2-3% de</w:t>
      </w:r>
      <w:r>
        <w:rPr>
          <w:sz w:val="22"/>
          <w:szCs w:val="22"/>
        </w:rPr>
        <w:t>l total de emisiones de gases con efecto invernadero. Por otra parte, las TIC ti</w:t>
      </w:r>
      <w:r w:rsidR="00053363">
        <w:rPr>
          <w:sz w:val="22"/>
          <w:szCs w:val="22"/>
        </w:rPr>
        <w:t>enen el potencial necesario para</w:t>
      </w:r>
      <w:r>
        <w:rPr>
          <w:sz w:val="22"/>
          <w:szCs w:val="22"/>
        </w:rPr>
        <w:t xml:space="preserve"> mejorar el rendimiento en los demás sectores socioeconómicos a fin de reducir el</w:t>
      </w:r>
      <w:r w:rsidRPr="00ED69C5">
        <w:rPr>
          <w:sz w:val="22"/>
          <w:szCs w:val="22"/>
        </w:rPr>
        <w:t xml:space="preserve"> 97-98% de emisiones restante</w:t>
      </w:r>
      <w:r>
        <w:rPr>
          <w:sz w:val="22"/>
          <w:szCs w:val="22"/>
        </w:rPr>
        <w:t>.</w:t>
      </w:r>
    </w:p>
    <w:p w:rsidR="00451F9B" w:rsidRPr="00591D56" w:rsidRDefault="00451F9B" w:rsidP="00563EDC">
      <w:pPr>
        <w:snapToGrid w:val="0"/>
        <w:spacing w:after="120"/>
        <w:jc w:val="both"/>
        <w:rPr>
          <w:sz w:val="22"/>
          <w:szCs w:val="22"/>
        </w:rPr>
      </w:pPr>
      <w:r w:rsidRPr="00ED69C5">
        <w:rPr>
          <w:sz w:val="22"/>
          <w:szCs w:val="22"/>
        </w:rPr>
        <w:t>Gobiernos y empresas de todo el mundo se han embarcado en una serie de programas e iniciativas sobre las TIC y el medio ambiente a fin de resolver los problemas medioambientales, en particular, el calentamiento global, la producci</w:t>
      </w:r>
      <w:r>
        <w:rPr>
          <w:sz w:val="22"/>
          <w:szCs w:val="22"/>
        </w:rPr>
        <w:t xml:space="preserve">ón de energía y su utilización, y el agotamiento de los recursos. </w:t>
      </w:r>
      <w:r w:rsidRPr="00591D56">
        <w:rPr>
          <w:sz w:val="22"/>
          <w:szCs w:val="22"/>
        </w:rPr>
        <w:t>No obstante, aún es pronto para afirmar que todos los países, sobre todo aquéllos en desarrollo, han llegado a entender claramente las amenazas a que se enfrentan y c</w:t>
      </w:r>
      <w:r>
        <w:rPr>
          <w:sz w:val="22"/>
          <w:szCs w:val="22"/>
        </w:rPr>
        <w:t>ómo se puede sacar provecho de las TIC en este sentido</w:t>
      </w:r>
      <w:r w:rsidRPr="00591D56">
        <w:rPr>
          <w:sz w:val="22"/>
          <w:szCs w:val="22"/>
        </w:rPr>
        <w:t xml:space="preserve">. </w:t>
      </w:r>
    </w:p>
    <w:p w:rsidR="00451F9B" w:rsidRPr="00591D56" w:rsidRDefault="00451F9B" w:rsidP="00563EDC">
      <w:pPr>
        <w:jc w:val="both"/>
        <w:rPr>
          <w:sz w:val="22"/>
          <w:szCs w:val="22"/>
        </w:rPr>
      </w:pPr>
      <w:r w:rsidRPr="00591D56">
        <w:rPr>
          <w:sz w:val="22"/>
          <w:szCs w:val="22"/>
        </w:rPr>
        <w:t>La Conferencia de Plenipotenciarios (PP-10) de la UIT, celebrada en Guadalajara en octubre de 2010, adoptó una nueva Resoluci</w:t>
      </w:r>
      <w:r>
        <w:rPr>
          <w:sz w:val="22"/>
          <w:szCs w:val="22"/>
        </w:rPr>
        <w:t xml:space="preserve">ón sobre </w:t>
      </w:r>
      <w:r w:rsidR="00053363">
        <w:rPr>
          <w:lang w:val="es-ES"/>
        </w:rPr>
        <w:t>e</w:t>
      </w:r>
      <w:r w:rsidRPr="008548E7">
        <w:rPr>
          <w:lang w:val="es-ES"/>
        </w:rPr>
        <w:t>l papel de las telecomunicaciones/tecnologías de la información</w:t>
      </w:r>
      <w:r>
        <w:rPr>
          <w:lang w:val="es-ES"/>
        </w:rPr>
        <w:t xml:space="preserve"> </w:t>
      </w:r>
      <w:r w:rsidRPr="008548E7">
        <w:rPr>
          <w:lang w:val="es-ES"/>
        </w:rPr>
        <w:t>y la comunicación en el cambio climático</w:t>
      </w:r>
      <w:r>
        <w:rPr>
          <w:lang w:val="es-ES"/>
        </w:rPr>
        <w:t xml:space="preserve"> </w:t>
      </w:r>
      <w:r w:rsidRPr="008548E7">
        <w:rPr>
          <w:lang w:val="es-ES"/>
        </w:rPr>
        <w:t>y la protección del medio ambiente</w:t>
      </w:r>
      <w:r w:rsidRPr="00053363">
        <w:rPr>
          <w:rStyle w:val="FootnoteReference"/>
          <w:sz w:val="16"/>
          <w:szCs w:val="16"/>
        </w:rPr>
        <w:footnoteReference w:id="1"/>
      </w:r>
      <w:r w:rsidR="00CB7251">
        <w:rPr>
          <w:sz w:val="22"/>
          <w:szCs w:val="22"/>
        </w:rPr>
        <w:t xml:space="preserve">. </w:t>
      </w:r>
      <w:r w:rsidRPr="00591D56">
        <w:rPr>
          <w:sz w:val="22"/>
          <w:szCs w:val="22"/>
        </w:rPr>
        <w:t>En esta Resolución se señala la necesidad de asistir a los países en desarrollo en aprender a aprovechar el potencial de las TIC para luchar contra el cambio clim</w:t>
      </w:r>
      <w:r>
        <w:rPr>
          <w:sz w:val="22"/>
          <w:szCs w:val="22"/>
        </w:rPr>
        <w:t>ático; y se fomenta el diseño, fabricación y utilización de equipos y soluciones de TIC que hagan una utilización eficaz de la energía y los recursos en pro de un medio ambiente limpio y seguro</w:t>
      </w:r>
      <w:r w:rsidRPr="00591D56">
        <w:rPr>
          <w:sz w:val="22"/>
          <w:szCs w:val="22"/>
        </w:rPr>
        <w:t>.</w:t>
      </w:r>
    </w:p>
    <w:p w:rsidR="00451F9B" w:rsidRPr="001A78F1" w:rsidRDefault="00053363" w:rsidP="00563EDC">
      <w:pPr>
        <w:jc w:val="both"/>
      </w:pPr>
      <w:r>
        <w:t xml:space="preserve">Cada vez más gobiernos </w:t>
      </w:r>
      <w:r w:rsidR="00451F9B" w:rsidRPr="001A78F1">
        <w:t>de Oriente Medio y el Norte de África, incluido el Egipcio, han adoptado planes ambiciosos en relaci</w:t>
      </w:r>
      <w:r w:rsidR="00451F9B">
        <w:t>ón con las TIC inteligentes o verdes en cooperación con otros interesados cuyo objetivo es que las TIC verdes se conviertan en parte integrante del crecimiento ecológico sostenible</w:t>
      </w:r>
      <w:r w:rsidR="00451F9B" w:rsidRPr="001A78F1">
        <w:t xml:space="preserve">. </w:t>
      </w:r>
    </w:p>
    <w:p w:rsidR="00451F9B" w:rsidRPr="00B8461A" w:rsidRDefault="00451F9B" w:rsidP="00CB7251">
      <w:pPr>
        <w:snapToGrid w:val="0"/>
        <w:spacing w:after="120"/>
        <w:jc w:val="both"/>
        <w:rPr>
          <w:sz w:val="22"/>
          <w:szCs w:val="22"/>
        </w:rPr>
      </w:pPr>
      <w:r w:rsidRPr="00B8461A">
        <w:rPr>
          <w:sz w:val="22"/>
          <w:szCs w:val="22"/>
        </w:rPr>
        <w:t xml:space="preserve">El 5º Simposio sobre </w:t>
      </w:r>
      <w:r w:rsidR="00CB7251" w:rsidRPr="00CB7251">
        <w:t>"</w:t>
      </w:r>
      <w:r w:rsidRPr="00B8461A">
        <w:rPr>
          <w:i/>
          <w:iCs/>
          <w:sz w:val="22"/>
          <w:szCs w:val="22"/>
        </w:rPr>
        <w:t>TIC, medio ambiente y cambio climático</w:t>
      </w:r>
      <w:r w:rsidR="00CB7251" w:rsidRPr="00CB7251">
        <w:t>"</w:t>
      </w:r>
      <w:r w:rsidRPr="00B8461A">
        <w:rPr>
          <w:sz w:val="22"/>
          <w:szCs w:val="22"/>
        </w:rPr>
        <w:t xml:space="preserve">, celebrado en Egipto </w:t>
      </w:r>
      <w:r>
        <w:rPr>
          <w:sz w:val="22"/>
          <w:szCs w:val="22"/>
        </w:rPr>
        <w:t>por</w:t>
      </w:r>
      <w:r w:rsidRPr="00B8461A">
        <w:rPr>
          <w:sz w:val="22"/>
          <w:szCs w:val="22"/>
        </w:rPr>
        <w:t xml:space="preserve"> amable invitación del Ministerio de Tecnologías de la Información y la Comunicación y del Ministerio de Estado de Asuntos Medioambientales, ha puesto claramente de manifiesto c</w:t>
      </w:r>
      <w:r>
        <w:rPr>
          <w:sz w:val="22"/>
          <w:szCs w:val="22"/>
        </w:rPr>
        <w:t xml:space="preserve">ómo es posible utilizar las TIC para luchar contra el cambio climático en todo el mundo en desarrollo y en el continente </w:t>
      </w:r>
      <w:r w:rsidR="00053363">
        <w:rPr>
          <w:sz w:val="22"/>
          <w:szCs w:val="22"/>
        </w:rPr>
        <w:t xml:space="preserve">Africano </w:t>
      </w:r>
      <w:r>
        <w:rPr>
          <w:sz w:val="22"/>
          <w:szCs w:val="22"/>
        </w:rPr>
        <w:t xml:space="preserve">y la </w:t>
      </w:r>
      <w:r w:rsidR="00053363">
        <w:rPr>
          <w:sz w:val="22"/>
          <w:szCs w:val="22"/>
        </w:rPr>
        <w:t>Región Árabe</w:t>
      </w:r>
      <w:r>
        <w:rPr>
          <w:sz w:val="22"/>
          <w:szCs w:val="22"/>
        </w:rPr>
        <w:t xml:space="preserve">, en particular. </w:t>
      </w:r>
      <w:r w:rsidRPr="00B8461A">
        <w:rPr>
          <w:sz w:val="22"/>
          <w:szCs w:val="22"/>
        </w:rPr>
        <w:t xml:space="preserve">Puede encontrarse el orden del día del Simposio, así como la lista de oradores, en la dirección: </w:t>
      </w:r>
    </w:p>
    <w:p w:rsidR="00451F9B" w:rsidRPr="001C69D7" w:rsidRDefault="00B125FE" w:rsidP="00563EDC">
      <w:pPr>
        <w:snapToGrid w:val="0"/>
        <w:spacing w:after="120"/>
        <w:jc w:val="both"/>
      </w:pPr>
      <w:hyperlink r:id="rId7" w:history="1">
        <w:r w:rsidR="00451F9B" w:rsidRPr="001C69D7">
          <w:rPr>
            <w:rStyle w:val="Hyperlink"/>
            <w:sz w:val="22"/>
            <w:szCs w:val="22"/>
          </w:rPr>
          <w:t>http://www.itu.int/ITU-T/worksem/climatechange/201011/programme.html</w:t>
        </w:r>
      </w:hyperlink>
    </w:p>
    <w:p w:rsidR="00451F9B" w:rsidRPr="00B8461A" w:rsidRDefault="00451F9B" w:rsidP="00563EDC">
      <w:pPr>
        <w:snapToGrid w:val="0"/>
        <w:spacing w:after="120"/>
        <w:jc w:val="both"/>
        <w:rPr>
          <w:sz w:val="22"/>
          <w:szCs w:val="22"/>
        </w:rPr>
      </w:pPr>
      <w:r w:rsidRPr="00B8461A">
        <w:rPr>
          <w:sz w:val="22"/>
          <w:szCs w:val="22"/>
        </w:rPr>
        <w:t xml:space="preserve">Así, el presente plan es fruto del trabajo </w:t>
      </w:r>
      <w:r w:rsidR="00053363">
        <w:rPr>
          <w:sz w:val="22"/>
          <w:szCs w:val="22"/>
        </w:rPr>
        <w:t>d</w:t>
      </w:r>
      <w:r w:rsidRPr="00B8461A">
        <w:rPr>
          <w:sz w:val="22"/>
          <w:szCs w:val="22"/>
        </w:rPr>
        <w:t>e legisladores y representantes de todos los niveles del sector de las TIC a fin de tener una visión más a</w:t>
      </w:r>
      <w:r w:rsidR="00053363">
        <w:rPr>
          <w:sz w:val="22"/>
          <w:szCs w:val="22"/>
        </w:rPr>
        <w:t>mplia y clara del papel positivo</w:t>
      </w:r>
      <w:r w:rsidRPr="00B8461A">
        <w:rPr>
          <w:sz w:val="22"/>
          <w:szCs w:val="22"/>
        </w:rPr>
        <w:t xml:space="preserve"> que las TIC pueden desempeñar a la hora de aumentar la sostenibilidad medioambiental.</w:t>
      </w:r>
    </w:p>
    <w:p w:rsidR="00F27D1F" w:rsidRDefault="00F27D1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 w:type="page"/>
      </w:r>
    </w:p>
    <w:p w:rsidR="00451F9B" w:rsidRPr="00B8461A" w:rsidRDefault="00CB7251" w:rsidP="00451F9B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 w:after="120"/>
        <w:ind w:left="425" w:right="1072" w:hanging="425"/>
        <w:jc w:val="both"/>
        <w:textAlignment w:val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Plan de El Cairo sobre </w:t>
      </w:r>
      <w:r w:rsidRPr="00CB7251">
        <w:t>"</w:t>
      </w:r>
      <w:r w:rsidR="00451F9B" w:rsidRPr="00B8461A">
        <w:rPr>
          <w:b/>
          <w:bCs/>
          <w:color w:val="000000"/>
          <w:sz w:val="22"/>
          <w:szCs w:val="22"/>
        </w:rPr>
        <w:t>TIC y sostenibilidad medioambiental</w:t>
      </w:r>
      <w:r w:rsidRPr="00CB7251">
        <w:t>"</w:t>
      </w:r>
      <w:bookmarkStart w:id="0" w:name="_Ref275966327"/>
      <w:r w:rsidR="00451F9B" w:rsidRPr="00053363">
        <w:rPr>
          <w:rStyle w:val="FootnoteReference"/>
          <w:color w:val="000000"/>
          <w:sz w:val="16"/>
          <w:szCs w:val="16"/>
        </w:rPr>
        <w:footnoteReference w:id="2"/>
      </w:r>
      <w:bookmarkEnd w:id="0"/>
    </w:p>
    <w:p w:rsidR="00451F9B" w:rsidRPr="00636D71" w:rsidRDefault="00451F9B" w:rsidP="00563EDC">
      <w:pPr>
        <w:jc w:val="both"/>
        <w:rPr>
          <w:color w:val="000000"/>
          <w:sz w:val="22"/>
          <w:szCs w:val="22"/>
          <w:lang w:eastAsia="zh-CN"/>
        </w:rPr>
      </w:pPr>
      <w:r w:rsidRPr="000E4984">
        <w:rPr>
          <w:color w:val="000000"/>
          <w:sz w:val="22"/>
          <w:szCs w:val="22"/>
          <w:lang w:eastAsia="zh-CN"/>
        </w:rPr>
        <w:t>Es necesario que en los países, tanto desarrollados como en desarrollo, las autoridades, los socios para el desarrollo y el p</w:t>
      </w:r>
      <w:r>
        <w:rPr>
          <w:color w:val="000000"/>
          <w:sz w:val="22"/>
          <w:szCs w:val="22"/>
          <w:lang w:eastAsia="zh-CN"/>
        </w:rPr>
        <w:t xml:space="preserve">úblico en general entiendan la importancia del medio ambiente y el cambio climático, así como las consecuencias de este último. </w:t>
      </w:r>
      <w:r w:rsidRPr="00636D71">
        <w:rPr>
          <w:color w:val="000000"/>
          <w:sz w:val="22"/>
          <w:szCs w:val="22"/>
          <w:lang w:eastAsia="zh-CN"/>
        </w:rPr>
        <w:t>También es fundamental entender los riesgos asociados con la degradación medi</w:t>
      </w:r>
      <w:r>
        <w:rPr>
          <w:color w:val="000000"/>
          <w:sz w:val="22"/>
          <w:szCs w:val="22"/>
          <w:lang w:eastAsia="zh-CN"/>
        </w:rPr>
        <w:t>o</w:t>
      </w:r>
      <w:r w:rsidRPr="00636D71">
        <w:rPr>
          <w:color w:val="000000"/>
          <w:sz w:val="22"/>
          <w:szCs w:val="22"/>
          <w:lang w:eastAsia="zh-CN"/>
        </w:rPr>
        <w:t>ambiental y el cambio clim</w:t>
      </w:r>
      <w:r>
        <w:rPr>
          <w:color w:val="000000"/>
          <w:sz w:val="22"/>
          <w:szCs w:val="22"/>
          <w:lang w:eastAsia="zh-CN"/>
        </w:rPr>
        <w:t>á</w:t>
      </w:r>
      <w:r w:rsidRPr="00636D71">
        <w:rPr>
          <w:color w:val="000000"/>
          <w:sz w:val="22"/>
          <w:szCs w:val="22"/>
          <w:lang w:eastAsia="zh-CN"/>
        </w:rPr>
        <w:t>tic</w:t>
      </w:r>
      <w:r>
        <w:rPr>
          <w:color w:val="000000"/>
          <w:sz w:val="22"/>
          <w:szCs w:val="22"/>
          <w:lang w:eastAsia="zh-CN"/>
        </w:rPr>
        <w:t>o</w:t>
      </w:r>
      <w:r w:rsidRPr="00636D71">
        <w:rPr>
          <w:color w:val="000000"/>
          <w:sz w:val="22"/>
          <w:szCs w:val="22"/>
          <w:lang w:eastAsia="zh-CN"/>
        </w:rPr>
        <w:t xml:space="preserve"> que corre cada país en concreto. </w:t>
      </w:r>
      <w:r>
        <w:rPr>
          <w:color w:val="000000"/>
          <w:sz w:val="22"/>
          <w:szCs w:val="22"/>
          <w:lang w:eastAsia="zh-CN"/>
        </w:rPr>
        <w:t xml:space="preserve">Del mismo modo conviene aplicar este mismo enfoque para llegar a entender las oportunidades y riesgos que conlleva una mayor </w:t>
      </w:r>
      <w:r w:rsidR="00604CA5">
        <w:rPr>
          <w:color w:val="000000"/>
          <w:sz w:val="22"/>
          <w:szCs w:val="22"/>
          <w:lang w:eastAsia="zh-CN"/>
        </w:rPr>
        <w:t xml:space="preserve">utilización </w:t>
      </w:r>
      <w:r>
        <w:rPr>
          <w:color w:val="000000"/>
          <w:sz w:val="22"/>
          <w:szCs w:val="22"/>
          <w:lang w:eastAsia="zh-CN"/>
        </w:rPr>
        <w:t>de las TIC en general y para gestionar el medio ambiente, en particular, teniendo por objetivo limitar los riesgos asociados con el cambio climático</w:t>
      </w:r>
      <w:r w:rsidRPr="00636D71">
        <w:rPr>
          <w:color w:val="000000"/>
          <w:sz w:val="22"/>
          <w:szCs w:val="22"/>
          <w:lang w:eastAsia="zh-CN"/>
        </w:rPr>
        <w:t>.</w:t>
      </w:r>
    </w:p>
    <w:p w:rsidR="00451F9B" w:rsidRPr="00636D71" w:rsidRDefault="00451F9B" w:rsidP="00563EDC">
      <w:pPr>
        <w:snapToGrid w:val="0"/>
        <w:spacing w:after="120"/>
        <w:jc w:val="both"/>
        <w:rPr>
          <w:color w:val="000000"/>
          <w:sz w:val="22"/>
          <w:szCs w:val="22"/>
          <w:lang w:eastAsia="zh-CN"/>
        </w:rPr>
      </w:pPr>
      <w:r w:rsidRPr="00636D71">
        <w:rPr>
          <w:color w:val="000000"/>
          <w:sz w:val="22"/>
          <w:szCs w:val="22"/>
        </w:rPr>
        <w:t>A partir de los debates sostenidos en el Simposio, recomendamos la adopción de los siguientes pasos y acciones</w:t>
      </w:r>
      <w:r w:rsidRPr="00053363">
        <w:rPr>
          <w:rStyle w:val="FootnoteReference"/>
          <w:color w:val="000000"/>
          <w:sz w:val="16"/>
          <w:szCs w:val="16"/>
        </w:rPr>
        <w:footnoteReference w:id="3"/>
      </w:r>
      <w:r w:rsidRPr="00636D71">
        <w:rPr>
          <w:color w:val="000000"/>
          <w:sz w:val="22"/>
          <w:szCs w:val="22"/>
        </w:rPr>
        <w:t xml:space="preserve"> como un plan para mejorar las capacidades de los pa</w:t>
      </w:r>
      <w:r>
        <w:rPr>
          <w:color w:val="000000"/>
          <w:sz w:val="22"/>
          <w:szCs w:val="22"/>
        </w:rPr>
        <w:t>íses para utilizar las TIC en pro del medio ambiente, es decir, en pro de la concienciación ecológica, la investigación en este cambio y su gestión, etc. Estos pasos y acciones tienen por objetivo mejorar el rendimiento medioambiental asociado directamente con el desarrollo, la fabricación, la utilización y la eliminación de las TIC mismas, las más amplias consecuencias positivas de las TIC en otros sectores, como los inmuebles y sistemas urbanos, el transporte y la generación y distribución de energía, así como contribuir a un cambio de comportamiento sistémico</w:t>
      </w:r>
      <w:r w:rsidRPr="00636D71">
        <w:rPr>
          <w:color w:val="000000"/>
          <w:sz w:val="22"/>
          <w:szCs w:val="22"/>
          <w:lang w:eastAsia="zh-CN"/>
        </w:rPr>
        <w:t xml:space="preserve">.   </w:t>
      </w:r>
    </w:p>
    <w:p w:rsidR="00451F9B" w:rsidRPr="00636D71" w:rsidRDefault="00451F9B" w:rsidP="00563EDC">
      <w:pPr>
        <w:snapToGrid w:val="0"/>
        <w:spacing w:before="240" w:after="120"/>
        <w:jc w:val="both"/>
        <w:rPr>
          <w:i/>
          <w:iCs/>
          <w:color w:val="000000"/>
          <w:sz w:val="22"/>
          <w:szCs w:val="22"/>
          <w:u w:val="single"/>
        </w:rPr>
      </w:pPr>
      <w:r w:rsidRPr="00636D71">
        <w:rPr>
          <w:i/>
          <w:iCs/>
          <w:color w:val="000000"/>
          <w:sz w:val="22"/>
          <w:szCs w:val="22"/>
          <w:u w:val="single"/>
        </w:rPr>
        <w:t xml:space="preserve">Paso 1: Compartir prácticas idóneas y dar a conocer los beneficios asociados con la utilización de las TIC verdes </w:t>
      </w:r>
    </w:p>
    <w:p w:rsidR="00451F9B" w:rsidRPr="00636D71" w:rsidRDefault="00451F9B" w:rsidP="00451F9B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spacing w:after="120"/>
        <w:jc w:val="both"/>
        <w:textAlignment w:val="auto"/>
        <w:rPr>
          <w:color w:val="000000"/>
          <w:sz w:val="22"/>
          <w:szCs w:val="22"/>
        </w:rPr>
      </w:pPr>
      <w:r w:rsidRPr="00636D71">
        <w:rPr>
          <w:color w:val="000000"/>
          <w:sz w:val="22"/>
          <w:szCs w:val="22"/>
        </w:rPr>
        <w:t>Fomentar y, siempre que sea posible, imponer la amplia compartición de prácticas idóneas y el intercambio de información a fin de maximizar la difusi</w:t>
      </w:r>
      <w:r w:rsidR="00053363">
        <w:rPr>
          <w:color w:val="000000"/>
          <w:sz w:val="22"/>
          <w:szCs w:val="22"/>
        </w:rPr>
        <w:t>ón de las TIC verdes y las TIC "inteligentes"</w:t>
      </w:r>
      <w:r w:rsidRPr="00636D71">
        <w:rPr>
          <w:color w:val="000000"/>
          <w:sz w:val="22"/>
          <w:szCs w:val="22"/>
        </w:rPr>
        <w:t xml:space="preserve"> en los sectores público y privado, incluida la información sobre </w:t>
      </w:r>
      <w:r>
        <w:rPr>
          <w:color w:val="000000"/>
          <w:sz w:val="22"/>
          <w:szCs w:val="22"/>
        </w:rPr>
        <w:t>la medición de las consecuencias medioambientales de las TIC y sus más extendidas consecuencias para la economía y la sociedad</w:t>
      </w:r>
      <w:r w:rsidRPr="00636D71">
        <w:rPr>
          <w:color w:val="000000"/>
          <w:sz w:val="22"/>
          <w:szCs w:val="22"/>
        </w:rPr>
        <w:t xml:space="preserve">. </w:t>
      </w:r>
    </w:p>
    <w:p w:rsidR="00451F9B" w:rsidRPr="00EF186F" w:rsidRDefault="00451F9B" w:rsidP="00451F9B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spacing w:after="120"/>
        <w:jc w:val="both"/>
        <w:textAlignment w:val="auto"/>
        <w:rPr>
          <w:color w:val="000000"/>
          <w:sz w:val="22"/>
          <w:szCs w:val="22"/>
        </w:rPr>
      </w:pPr>
      <w:r w:rsidRPr="00EF186F">
        <w:rPr>
          <w:color w:val="000000"/>
          <w:sz w:val="22"/>
          <w:szCs w:val="22"/>
        </w:rPr>
        <w:t>Fomentar la educación, formación y entrenamiento en TIC verdes a fin de colmar las demandas de conocimientos t</w:t>
      </w:r>
      <w:r>
        <w:rPr>
          <w:color w:val="000000"/>
          <w:sz w:val="22"/>
          <w:szCs w:val="22"/>
        </w:rPr>
        <w:t xml:space="preserve">eóricos y prácticos a todos los niveles. </w:t>
      </w:r>
      <w:r w:rsidRPr="00EF186F">
        <w:rPr>
          <w:color w:val="000000"/>
          <w:sz w:val="22"/>
          <w:szCs w:val="22"/>
        </w:rPr>
        <w:t>Fomentar la cooperación interdisciplinaria para la elaboración de l</w:t>
      </w:r>
      <w:r>
        <w:rPr>
          <w:color w:val="000000"/>
          <w:sz w:val="22"/>
          <w:szCs w:val="22"/>
        </w:rPr>
        <w:t>os materiales necesarios para formar expertos en</w:t>
      </w:r>
      <w:r w:rsidRPr="00EF186F">
        <w:rPr>
          <w:color w:val="000000"/>
          <w:sz w:val="22"/>
          <w:szCs w:val="22"/>
        </w:rPr>
        <w:t xml:space="preserve"> TIC verdes. </w:t>
      </w:r>
    </w:p>
    <w:p w:rsidR="00451F9B" w:rsidRPr="00EF186F" w:rsidRDefault="00451F9B" w:rsidP="00451F9B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spacing w:after="120"/>
        <w:jc w:val="both"/>
        <w:textAlignment w:val="auto"/>
        <w:rPr>
          <w:color w:val="000000"/>
          <w:sz w:val="22"/>
          <w:szCs w:val="22"/>
        </w:rPr>
      </w:pPr>
      <w:r w:rsidRPr="00EF186F">
        <w:rPr>
          <w:color w:val="000000"/>
          <w:sz w:val="22"/>
          <w:szCs w:val="22"/>
        </w:rPr>
        <w:t>Crear una conciencia colectiva en cuanto a las consecuencias medioambientales de la utilizaci</w:t>
      </w:r>
      <w:r>
        <w:rPr>
          <w:color w:val="000000"/>
          <w:sz w:val="22"/>
          <w:szCs w:val="22"/>
        </w:rPr>
        <w:t xml:space="preserve">ón de las TIC. </w:t>
      </w:r>
      <w:r w:rsidRPr="00EF186F">
        <w:rPr>
          <w:color w:val="000000"/>
          <w:sz w:val="22"/>
          <w:szCs w:val="22"/>
        </w:rPr>
        <w:t>Fomentar la elaboración y adopción de normas basadas en la evaluaci</w:t>
      </w:r>
      <w:r>
        <w:rPr>
          <w:color w:val="000000"/>
          <w:sz w:val="22"/>
          <w:szCs w:val="22"/>
        </w:rPr>
        <w:t>ón del ciclo de vida de los soportes físicos y lógicos de TIC. Maximizar el conocimiento que se tiene de la repercusión medioambiental de las TIC</w:t>
      </w:r>
      <w:r w:rsidRPr="00EF186F">
        <w:rPr>
          <w:color w:val="000000"/>
          <w:sz w:val="22"/>
          <w:szCs w:val="22"/>
        </w:rPr>
        <w:t xml:space="preserve">. </w:t>
      </w:r>
    </w:p>
    <w:p w:rsidR="00451F9B" w:rsidRPr="00EF186F" w:rsidRDefault="00451F9B" w:rsidP="00563EDC">
      <w:pPr>
        <w:snapToGrid w:val="0"/>
        <w:spacing w:before="240" w:after="120"/>
        <w:jc w:val="both"/>
        <w:rPr>
          <w:i/>
          <w:iCs/>
          <w:color w:val="000000"/>
          <w:sz w:val="22"/>
          <w:szCs w:val="22"/>
          <w:u w:val="single"/>
        </w:rPr>
      </w:pPr>
      <w:r w:rsidRPr="00EF186F">
        <w:rPr>
          <w:i/>
          <w:iCs/>
          <w:color w:val="000000"/>
          <w:sz w:val="22"/>
          <w:szCs w:val="22"/>
          <w:u w:val="single"/>
        </w:rPr>
        <w:t>Paso 2: Demostrar el éxito y la viabilidad</w:t>
      </w:r>
    </w:p>
    <w:p w:rsidR="00451F9B" w:rsidRPr="00EF186F" w:rsidRDefault="00451F9B" w:rsidP="00053363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spacing w:after="120"/>
        <w:jc w:val="both"/>
        <w:textAlignment w:val="auto"/>
        <w:rPr>
          <w:sz w:val="22"/>
          <w:szCs w:val="22"/>
        </w:rPr>
      </w:pPr>
      <w:r w:rsidRPr="00EF186F">
        <w:rPr>
          <w:color w:val="000000"/>
          <w:sz w:val="22"/>
          <w:szCs w:val="22"/>
        </w:rPr>
        <w:t>Fomentar la elaboración de métodos, como las de las Recomendaciones de la Comisió</w:t>
      </w:r>
      <w:r w:rsidR="00053363">
        <w:rPr>
          <w:color w:val="000000"/>
          <w:sz w:val="22"/>
          <w:szCs w:val="22"/>
        </w:rPr>
        <w:t>n de Estudio 5 del UIT-T sobre "</w:t>
      </w:r>
      <w:r w:rsidRPr="00EF186F">
        <w:rPr>
          <w:color w:val="000000"/>
          <w:sz w:val="22"/>
          <w:szCs w:val="22"/>
        </w:rPr>
        <w:t>Métodos para evaluar la repercusión medioambiental de las TIC</w:t>
      </w:r>
      <w:r w:rsidR="00053363">
        <w:rPr>
          <w:color w:val="000000"/>
          <w:sz w:val="22"/>
          <w:szCs w:val="22"/>
        </w:rPr>
        <w:t>"</w:t>
      </w:r>
      <w:r w:rsidRPr="00053363">
        <w:rPr>
          <w:rStyle w:val="FootnoteReference"/>
          <w:color w:val="000000"/>
          <w:sz w:val="16"/>
          <w:szCs w:val="16"/>
        </w:rPr>
        <w:footnoteReference w:id="4"/>
      </w:r>
      <w:r w:rsidRPr="00EF186F">
        <w:rPr>
          <w:color w:val="000000"/>
          <w:sz w:val="22"/>
          <w:szCs w:val="22"/>
        </w:rPr>
        <w:t>, as</w:t>
      </w:r>
      <w:r>
        <w:rPr>
          <w:color w:val="000000"/>
          <w:sz w:val="22"/>
          <w:szCs w:val="22"/>
        </w:rPr>
        <w:t>í como de indicadores que sirvan para medir y controlar las consecuencias para el medio ambiente a lo largo de todo el ciclo de vida de los dispositivos y servicios de TIC, incluidas las mediciones de referencia de gases con efecto invernadero</w:t>
      </w:r>
      <w:r w:rsidRPr="00EF186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internos y emitidos. </w:t>
      </w:r>
      <w:r w:rsidRPr="00EF186F">
        <w:rPr>
          <w:color w:val="000000"/>
          <w:sz w:val="22"/>
          <w:szCs w:val="22"/>
        </w:rPr>
        <w:t xml:space="preserve">Utilizar métodos compatibles para evaluar el potencial de las TIC </w:t>
      </w:r>
      <w:r w:rsidR="00053363">
        <w:rPr>
          <w:color w:val="000000"/>
          <w:sz w:val="22"/>
          <w:szCs w:val="22"/>
        </w:rPr>
        <w:t>"inteligentes"</w:t>
      </w:r>
      <w:r w:rsidRPr="00EF186F">
        <w:rPr>
          <w:color w:val="000000"/>
          <w:sz w:val="22"/>
          <w:szCs w:val="22"/>
        </w:rPr>
        <w:t xml:space="preserve"> y prácticas de gestión adecuadas (por ejemplo, sistemas de transporte o de gesti</w:t>
      </w:r>
      <w:r>
        <w:rPr>
          <w:color w:val="000000"/>
          <w:sz w:val="22"/>
          <w:szCs w:val="22"/>
        </w:rPr>
        <w:t>ón inmueble inteligentes) para reducir el consumo de energía y las emisiones de gases con efecto invernadero</w:t>
      </w:r>
      <w:r w:rsidRPr="00053363">
        <w:rPr>
          <w:rStyle w:val="FootnoteReference"/>
          <w:sz w:val="16"/>
          <w:szCs w:val="16"/>
        </w:rPr>
        <w:footnoteReference w:id="5"/>
      </w:r>
      <w:r w:rsidRPr="00EF186F">
        <w:rPr>
          <w:sz w:val="22"/>
          <w:szCs w:val="22"/>
        </w:rPr>
        <w:t>.</w:t>
      </w:r>
    </w:p>
    <w:p w:rsidR="00451F9B" w:rsidRPr="00C337FA" w:rsidRDefault="00451F9B" w:rsidP="00053363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spacing w:after="120"/>
        <w:jc w:val="both"/>
        <w:textAlignment w:val="auto"/>
        <w:rPr>
          <w:color w:val="000000"/>
          <w:sz w:val="22"/>
          <w:szCs w:val="22"/>
        </w:rPr>
      </w:pPr>
      <w:r w:rsidRPr="00C337FA">
        <w:rPr>
          <w:color w:val="000000"/>
          <w:sz w:val="22"/>
          <w:szCs w:val="22"/>
        </w:rPr>
        <w:t xml:space="preserve">Utilizar proyectos piloto y faro para dar a conocer soluciones de TIC </w:t>
      </w:r>
      <w:r w:rsidR="00053363">
        <w:rPr>
          <w:color w:val="000000"/>
          <w:sz w:val="22"/>
          <w:szCs w:val="22"/>
        </w:rPr>
        <w:t>"inteligentes"</w:t>
      </w:r>
      <w:r w:rsidRPr="00C337FA">
        <w:rPr>
          <w:color w:val="000000"/>
          <w:sz w:val="22"/>
          <w:szCs w:val="22"/>
        </w:rPr>
        <w:t xml:space="preserve"> en sectores tales como la construcci</w:t>
      </w:r>
      <w:r>
        <w:rPr>
          <w:color w:val="000000"/>
          <w:sz w:val="22"/>
          <w:szCs w:val="22"/>
        </w:rPr>
        <w:t>ón, el transporte y la energía</w:t>
      </w:r>
      <w:r w:rsidRPr="00C337FA">
        <w:rPr>
          <w:color w:val="000000"/>
          <w:sz w:val="22"/>
          <w:szCs w:val="22"/>
        </w:rPr>
        <w:t xml:space="preserve">. </w:t>
      </w:r>
    </w:p>
    <w:p w:rsidR="00451F9B" w:rsidRPr="00C337FA" w:rsidRDefault="00451F9B" w:rsidP="00563EDC">
      <w:pPr>
        <w:snapToGrid w:val="0"/>
        <w:spacing w:before="240" w:after="120"/>
        <w:jc w:val="both"/>
        <w:rPr>
          <w:i/>
          <w:iCs/>
          <w:color w:val="000000"/>
          <w:sz w:val="22"/>
          <w:szCs w:val="22"/>
          <w:u w:val="single"/>
        </w:rPr>
      </w:pPr>
      <w:r w:rsidRPr="00C337FA">
        <w:rPr>
          <w:i/>
          <w:iCs/>
          <w:color w:val="000000"/>
          <w:sz w:val="22"/>
          <w:szCs w:val="22"/>
          <w:u w:val="single"/>
        </w:rPr>
        <w:t>Paso 3: Lograr la colaboración del sector privado, la sociedad civil y la comunidad acad</w:t>
      </w:r>
      <w:r>
        <w:rPr>
          <w:i/>
          <w:iCs/>
          <w:color w:val="000000"/>
          <w:sz w:val="22"/>
          <w:szCs w:val="22"/>
          <w:u w:val="single"/>
        </w:rPr>
        <w:t>émica</w:t>
      </w:r>
    </w:p>
    <w:p w:rsidR="00451F9B" w:rsidRPr="00C337FA" w:rsidRDefault="00451F9B" w:rsidP="00563EDC">
      <w:pPr>
        <w:spacing w:after="120"/>
        <w:jc w:val="both"/>
        <w:rPr>
          <w:i/>
          <w:iCs/>
          <w:sz w:val="22"/>
          <w:szCs w:val="22"/>
          <w:lang w:eastAsia="zh-CN"/>
        </w:rPr>
      </w:pPr>
      <w:r w:rsidRPr="00C337FA">
        <w:rPr>
          <w:i/>
          <w:iCs/>
          <w:sz w:val="22"/>
          <w:szCs w:val="22"/>
          <w:lang w:eastAsia="zh-CN"/>
        </w:rPr>
        <w:t>El sector privado, la sociedad civil y la comunidad académica tienen un importantísimo papel que desempeñar en la protección del medio ambiente a trav</w:t>
      </w:r>
      <w:r>
        <w:rPr>
          <w:i/>
          <w:iCs/>
          <w:sz w:val="22"/>
          <w:szCs w:val="22"/>
          <w:lang w:eastAsia="zh-CN"/>
        </w:rPr>
        <w:t>és de la innovación y la utilización de las TIC para la gestión coherente del medio</w:t>
      </w:r>
      <w:r w:rsidR="00053363">
        <w:rPr>
          <w:i/>
          <w:iCs/>
          <w:sz w:val="22"/>
          <w:szCs w:val="22"/>
          <w:lang w:eastAsia="zh-CN"/>
        </w:rPr>
        <w:t xml:space="preserve"> </w:t>
      </w:r>
      <w:r>
        <w:rPr>
          <w:i/>
          <w:iCs/>
          <w:sz w:val="22"/>
          <w:szCs w:val="22"/>
          <w:lang w:eastAsia="zh-CN"/>
        </w:rPr>
        <w:t>ambiente en la lucha contra el cambio climático</w:t>
      </w:r>
      <w:r w:rsidRPr="00C337FA">
        <w:rPr>
          <w:i/>
          <w:iCs/>
          <w:sz w:val="22"/>
          <w:szCs w:val="22"/>
          <w:lang w:eastAsia="zh-CN"/>
        </w:rPr>
        <w:t>.</w:t>
      </w:r>
    </w:p>
    <w:p w:rsidR="00451F9B" w:rsidRPr="003B06CA" w:rsidRDefault="00451F9B" w:rsidP="00451F9B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spacing w:after="120"/>
        <w:jc w:val="both"/>
        <w:textAlignment w:val="auto"/>
        <w:rPr>
          <w:color w:val="000000"/>
          <w:sz w:val="22"/>
          <w:szCs w:val="22"/>
        </w:rPr>
      </w:pPr>
      <w:r w:rsidRPr="003B06CA">
        <w:rPr>
          <w:color w:val="000000"/>
          <w:sz w:val="22"/>
          <w:szCs w:val="22"/>
        </w:rPr>
        <w:t>Garantizar las perspectivas de ciclo de vida de las TIC y los productos conexos a fin de gestionar sosteniblemente los recursos naturales y materiales utilizados para su producci</w:t>
      </w:r>
      <w:r>
        <w:rPr>
          <w:color w:val="000000"/>
          <w:sz w:val="22"/>
          <w:szCs w:val="22"/>
        </w:rPr>
        <w:t xml:space="preserve">ón, utilización y eliminación. </w:t>
      </w:r>
      <w:r w:rsidRPr="003B06CA">
        <w:rPr>
          <w:color w:val="000000"/>
          <w:sz w:val="22"/>
          <w:szCs w:val="22"/>
        </w:rPr>
        <w:t>Fomentar que la I+D en materia de TIC, así como su diseño, producción, utilización y eliminación, sean inocuas para el medioambiente y socialmente responsables, y que se ampl</w:t>
      </w:r>
      <w:r>
        <w:rPr>
          <w:color w:val="000000"/>
          <w:sz w:val="22"/>
          <w:szCs w:val="22"/>
        </w:rPr>
        <w:t>íe el ciclo de vida de las TIC en los casos en que no sea nocivo para el entorno</w:t>
      </w:r>
      <w:r w:rsidRPr="003B06CA">
        <w:rPr>
          <w:color w:val="000000"/>
          <w:sz w:val="22"/>
          <w:szCs w:val="22"/>
        </w:rPr>
        <w:t>.</w:t>
      </w:r>
    </w:p>
    <w:p w:rsidR="00451F9B" w:rsidRPr="003B06CA" w:rsidRDefault="00451F9B" w:rsidP="00451F9B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spacing w:after="120"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Animar al sector de las TIC a investir en las aplicaciones de TIC adecuadas</w:t>
      </w:r>
      <w:r w:rsidRPr="003B06CA">
        <w:rPr>
          <w:color w:val="000000"/>
          <w:sz w:val="22"/>
          <w:szCs w:val="22"/>
        </w:rPr>
        <w:t xml:space="preserve">. </w:t>
      </w:r>
    </w:p>
    <w:p w:rsidR="00451F9B" w:rsidRPr="003B06CA" w:rsidRDefault="00451F9B" w:rsidP="00451F9B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spacing w:after="120"/>
        <w:jc w:val="both"/>
        <w:textAlignment w:val="auto"/>
        <w:rPr>
          <w:color w:val="000000"/>
          <w:sz w:val="22"/>
          <w:szCs w:val="22"/>
        </w:rPr>
      </w:pPr>
      <w:r w:rsidRPr="003B06CA">
        <w:rPr>
          <w:color w:val="000000"/>
          <w:sz w:val="22"/>
          <w:szCs w:val="22"/>
        </w:rPr>
        <w:t>Aplicar efectivamente el principio de paga el país contaminador neto.</w:t>
      </w:r>
    </w:p>
    <w:p w:rsidR="00451F9B" w:rsidRPr="003B06CA" w:rsidRDefault="00451F9B" w:rsidP="00E91E53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spacing w:after="120"/>
        <w:jc w:val="both"/>
        <w:textAlignment w:val="auto"/>
        <w:rPr>
          <w:color w:val="000000"/>
          <w:sz w:val="22"/>
          <w:szCs w:val="22"/>
        </w:rPr>
      </w:pPr>
      <w:r w:rsidRPr="003B06CA">
        <w:rPr>
          <w:color w:val="000000"/>
          <w:sz w:val="22"/>
          <w:szCs w:val="22"/>
        </w:rPr>
        <w:t>Respetar las obligaciones contraídas en virtud de los acuerdos multilateral</w:t>
      </w:r>
      <w:r>
        <w:rPr>
          <w:color w:val="000000"/>
          <w:sz w:val="22"/>
          <w:szCs w:val="22"/>
        </w:rPr>
        <w:t>e</w:t>
      </w:r>
      <w:r w:rsidRPr="003B06CA">
        <w:rPr>
          <w:color w:val="000000"/>
          <w:sz w:val="22"/>
          <w:szCs w:val="22"/>
        </w:rPr>
        <w:t>s sobre medio ambiente y de los reglamentos nacionales relativ</w:t>
      </w:r>
      <w:r>
        <w:rPr>
          <w:color w:val="000000"/>
          <w:sz w:val="22"/>
          <w:szCs w:val="22"/>
        </w:rPr>
        <w:t>o</w:t>
      </w:r>
      <w:r w:rsidRPr="003B06CA">
        <w:rPr>
          <w:color w:val="000000"/>
          <w:sz w:val="22"/>
          <w:szCs w:val="22"/>
        </w:rPr>
        <w:t>s a la ciberbasura y los desechos peligrosos, en particular el consentimiento previo in</w:t>
      </w:r>
      <w:r>
        <w:rPr>
          <w:color w:val="000000"/>
          <w:sz w:val="22"/>
          <w:szCs w:val="22"/>
        </w:rPr>
        <w:t>f</w:t>
      </w:r>
      <w:r w:rsidRPr="003B06CA">
        <w:rPr>
          <w:color w:val="000000"/>
          <w:sz w:val="22"/>
          <w:szCs w:val="22"/>
        </w:rPr>
        <w:t>ormado antes de la exportaci</w:t>
      </w:r>
      <w:r>
        <w:rPr>
          <w:color w:val="000000"/>
          <w:sz w:val="22"/>
          <w:szCs w:val="22"/>
        </w:rPr>
        <w:t xml:space="preserve">ón, garantizar que los países importadores disponen de la capacidad técnica para reciclar y procesar la ciberbasura de manera ecológica gracias a la asistencia técnica de organizaciones internacionales, y aplicar el principio de </w:t>
      </w:r>
      <w:r w:rsidR="00E91E53">
        <w:t>la responsabilidad extendida al productor</w:t>
      </w:r>
      <w:r w:rsidRPr="003B06CA">
        <w:rPr>
          <w:color w:val="000000"/>
          <w:sz w:val="22"/>
          <w:szCs w:val="22"/>
        </w:rPr>
        <w:t xml:space="preserve">. </w:t>
      </w:r>
    </w:p>
    <w:p w:rsidR="00451F9B" w:rsidRPr="003B06CA" w:rsidRDefault="00451F9B" w:rsidP="00563EDC">
      <w:pPr>
        <w:keepNext/>
        <w:keepLines/>
        <w:snapToGrid w:val="0"/>
        <w:spacing w:before="240" w:after="120"/>
        <w:jc w:val="both"/>
        <w:rPr>
          <w:i/>
          <w:iCs/>
          <w:color w:val="000000"/>
          <w:sz w:val="22"/>
          <w:szCs w:val="22"/>
          <w:u w:val="single"/>
        </w:rPr>
      </w:pPr>
      <w:r w:rsidRPr="003B06CA">
        <w:rPr>
          <w:i/>
          <w:iCs/>
          <w:color w:val="000000"/>
          <w:sz w:val="22"/>
          <w:szCs w:val="22"/>
          <w:u w:val="single"/>
        </w:rPr>
        <w:t xml:space="preserve">Paso 4: Fomentar la cooperación nacional, regional e internacional </w:t>
      </w:r>
    </w:p>
    <w:p w:rsidR="00451F9B" w:rsidRPr="003B06CA" w:rsidRDefault="00451F9B" w:rsidP="00563EDC">
      <w:pPr>
        <w:spacing w:after="120"/>
        <w:jc w:val="both"/>
        <w:rPr>
          <w:i/>
          <w:iCs/>
          <w:color w:val="000000"/>
          <w:sz w:val="22"/>
          <w:szCs w:val="22"/>
        </w:rPr>
      </w:pPr>
      <w:r w:rsidRPr="003B06CA">
        <w:rPr>
          <w:i/>
          <w:iCs/>
          <w:color w:val="000000"/>
          <w:sz w:val="22"/>
          <w:szCs w:val="22"/>
        </w:rPr>
        <w:t>Cooperar a escala internacional, regional y nacional a fin de facilitar la transición hacia economías c</w:t>
      </w:r>
      <w:r w:rsidR="00604CA5">
        <w:rPr>
          <w:i/>
          <w:iCs/>
          <w:color w:val="000000"/>
          <w:sz w:val="22"/>
          <w:szCs w:val="22"/>
        </w:rPr>
        <w:t>on bajas emisiones de carbó</w:t>
      </w:r>
      <w:r w:rsidRPr="003B06CA">
        <w:rPr>
          <w:i/>
          <w:iCs/>
          <w:color w:val="000000"/>
          <w:sz w:val="22"/>
          <w:szCs w:val="22"/>
        </w:rPr>
        <w:t xml:space="preserve">n sostenibles, la inversión verde y la gestión sostenible </w:t>
      </w:r>
      <w:r>
        <w:rPr>
          <w:i/>
          <w:iCs/>
          <w:color w:val="000000"/>
          <w:sz w:val="22"/>
          <w:szCs w:val="22"/>
        </w:rPr>
        <w:t>de los</w:t>
      </w:r>
      <w:r w:rsidRPr="003B06CA">
        <w:rPr>
          <w:i/>
          <w:iCs/>
          <w:color w:val="000000"/>
          <w:sz w:val="22"/>
          <w:szCs w:val="22"/>
        </w:rPr>
        <w:t xml:space="preserve"> recursos naturales, así como el desarrollo y la proliferación de tecnologías limpias y, por último, fomentar que los pa</w:t>
      </w:r>
      <w:r>
        <w:rPr>
          <w:i/>
          <w:iCs/>
          <w:color w:val="000000"/>
          <w:sz w:val="22"/>
          <w:szCs w:val="22"/>
        </w:rPr>
        <w:t>íses desarrollados ayudan a los países en desarrollo en sus esfuerzos, incluso adoptando reformas política nacionales para ser más favorables al crecimiento ecológico</w:t>
      </w:r>
      <w:r w:rsidRPr="003B06CA">
        <w:rPr>
          <w:i/>
          <w:iCs/>
          <w:color w:val="000000"/>
          <w:sz w:val="22"/>
          <w:szCs w:val="22"/>
        </w:rPr>
        <w:t xml:space="preserve">.  </w:t>
      </w:r>
    </w:p>
    <w:p w:rsidR="00451F9B" w:rsidRPr="003B06CA" w:rsidRDefault="00451F9B" w:rsidP="00451F9B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spacing w:after="120"/>
        <w:jc w:val="both"/>
        <w:textAlignment w:val="auto"/>
        <w:rPr>
          <w:color w:val="000000"/>
          <w:sz w:val="22"/>
          <w:szCs w:val="22"/>
        </w:rPr>
      </w:pPr>
      <w:r w:rsidRPr="003B06CA">
        <w:rPr>
          <w:color w:val="000000"/>
          <w:sz w:val="22"/>
          <w:szCs w:val="22"/>
        </w:rPr>
        <w:t xml:space="preserve">Fomentar la cooperación y el intercambio de conocimientos entre empresas del ramo de las TIC y de otros </w:t>
      </w:r>
      <w:r>
        <w:rPr>
          <w:color w:val="000000"/>
          <w:sz w:val="22"/>
          <w:szCs w:val="22"/>
        </w:rPr>
        <w:t>ámbitos, las organizaciones internacionales, los institutos de investigación y los gobiernos, y la sociedad civil</w:t>
      </w:r>
      <w:r w:rsidRPr="003B06CA">
        <w:rPr>
          <w:color w:val="000000"/>
          <w:sz w:val="22"/>
          <w:szCs w:val="22"/>
        </w:rPr>
        <w:t>.</w:t>
      </w:r>
    </w:p>
    <w:p w:rsidR="00451F9B" w:rsidRPr="00FD10E1" w:rsidRDefault="00451F9B" w:rsidP="00451F9B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spacing w:after="120"/>
        <w:jc w:val="both"/>
        <w:textAlignment w:val="auto"/>
        <w:rPr>
          <w:color w:val="000000"/>
          <w:sz w:val="22"/>
          <w:szCs w:val="22"/>
        </w:rPr>
      </w:pPr>
      <w:r w:rsidRPr="00FD10E1">
        <w:rPr>
          <w:color w:val="000000"/>
          <w:sz w:val="22"/>
          <w:szCs w:val="22"/>
        </w:rPr>
        <w:t xml:space="preserve">Buscar la manera de integrar las políticas de TIC en el actual diálogo sobre el cambio climático que se está desarrollando en organizaciones internacionales como </w:t>
      </w:r>
      <w:r>
        <w:rPr>
          <w:color w:val="000000"/>
          <w:sz w:val="22"/>
          <w:szCs w:val="22"/>
        </w:rPr>
        <w:t>la Convención Marco de las Naciones Unidas sobre el Cambio Climático (CMNUCC</w:t>
      </w:r>
      <w:r w:rsidRPr="00FD10E1">
        <w:rPr>
          <w:color w:val="000000"/>
          <w:sz w:val="22"/>
          <w:szCs w:val="22"/>
        </w:rPr>
        <w:t>).</w:t>
      </w:r>
    </w:p>
    <w:p w:rsidR="00451F9B" w:rsidRPr="00FD10E1" w:rsidRDefault="00451F9B" w:rsidP="00451F9B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spacing w:after="120"/>
        <w:jc w:val="both"/>
        <w:textAlignment w:val="auto"/>
        <w:rPr>
          <w:color w:val="000000"/>
          <w:sz w:val="22"/>
          <w:szCs w:val="22"/>
        </w:rPr>
      </w:pPr>
      <w:r w:rsidRPr="00FD10E1">
        <w:rPr>
          <w:color w:val="000000"/>
          <w:sz w:val="22"/>
          <w:szCs w:val="22"/>
        </w:rPr>
        <w:t xml:space="preserve">Buscar la manera de integrar las políticas de TIC en el </w:t>
      </w:r>
      <w:r>
        <w:rPr>
          <w:color w:val="000000"/>
          <w:sz w:val="22"/>
          <w:szCs w:val="22"/>
        </w:rPr>
        <w:t>Grupo Intergubernamental de Expertos sobre el Cambio Climático</w:t>
      </w:r>
      <w:r w:rsidRPr="00FD10E1">
        <w:rPr>
          <w:color w:val="000000"/>
          <w:sz w:val="22"/>
          <w:szCs w:val="22"/>
        </w:rPr>
        <w:t xml:space="preserve"> (IPCC). </w:t>
      </w:r>
    </w:p>
    <w:p w:rsidR="00451F9B" w:rsidRPr="00FD10E1" w:rsidRDefault="00451F9B" w:rsidP="00451F9B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spacing w:after="120"/>
        <w:jc w:val="both"/>
        <w:textAlignment w:val="auto"/>
        <w:rPr>
          <w:color w:val="000000"/>
          <w:sz w:val="22"/>
          <w:szCs w:val="22"/>
        </w:rPr>
      </w:pPr>
      <w:r w:rsidRPr="00FD10E1">
        <w:rPr>
          <w:color w:val="000000"/>
          <w:sz w:val="22"/>
          <w:szCs w:val="22"/>
        </w:rPr>
        <w:t>Fomentar la cooperación nacional, regional e internacional en material de TIC en pro de la sostenibilidad medioambiental, mejorar las asociaciones entre países en desarrollo y entre países desarrollados y en desarrollo a fin de hacer frente a los problemas mundiales relacionados con el medio ambiente; y reforzar la gobernanza internacional a fin de luchar m</w:t>
      </w:r>
      <w:r>
        <w:rPr>
          <w:color w:val="000000"/>
          <w:sz w:val="22"/>
          <w:szCs w:val="22"/>
        </w:rPr>
        <w:t>ás fácilmente contra esos mismos problemas, llamar la atención sobre la relación entre las TIC y el medio ambiente en los programas de cooperación y fomentar la adopción de políticas más coherentes sobre este tema</w:t>
      </w:r>
      <w:r w:rsidRPr="00FD10E1">
        <w:rPr>
          <w:color w:val="000000"/>
          <w:sz w:val="22"/>
          <w:szCs w:val="22"/>
        </w:rPr>
        <w:t>.</w:t>
      </w:r>
    </w:p>
    <w:p w:rsidR="00451F9B" w:rsidRPr="001D6714" w:rsidRDefault="00451F9B" w:rsidP="00451F9B">
      <w:pPr>
        <w:numPr>
          <w:ilvl w:val="0"/>
          <w:numId w:val="3"/>
        </w:numPr>
        <w:tabs>
          <w:tab w:val="clear" w:pos="794"/>
          <w:tab w:val="clear" w:pos="1191"/>
          <w:tab w:val="clear" w:pos="1588"/>
          <w:tab w:val="clear" w:pos="1985"/>
        </w:tabs>
        <w:overflowPunct/>
        <w:spacing w:after="120"/>
        <w:jc w:val="both"/>
        <w:textAlignment w:val="auto"/>
        <w:rPr>
          <w:color w:val="000000"/>
          <w:sz w:val="22"/>
          <w:szCs w:val="22"/>
          <w:rtl/>
        </w:rPr>
      </w:pPr>
      <w:r w:rsidRPr="00FD10E1">
        <w:rPr>
          <w:color w:val="000000"/>
          <w:sz w:val="22"/>
          <w:szCs w:val="22"/>
        </w:rPr>
        <w:t>Facilitar los recursos financieros suficientes para crear capacidad en los países en desarrollo para hacer una mejor utilizaci</w:t>
      </w:r>
      <w:r>
        <w:rPr>
          <w:color w:val="000000"/>
          <w:sz w:val="22"/>
          <w:szCs w:val="22"/>
        </w:rPr>
        <w:t>ón de las TIC para la protección del medio ambiente y para mejorar la transferencia de tecnologías, la difusión y la divulgación de información</w:t>
      </w:r>
      <w:r w:rsidRPr="00FD10E1">
        <w:rPr>
          <w:color w:val="000000"/>
          <w:sz w:val="22"/>
          <w:szCs w:val="22"/>
        </w:rPr>
        <w:t>.</w:t>
      </w:r>
    </w:p>
    <w:p w:rsidR="00451F9B" w:rsidRPr="00FD10E1" w:rsidRDefault="00451F9B" w:rsidP="00563EDC">
      <w:pPr>
        <w:snapToGrid w:val="0"/>
        <w:spacing w:before="240" w:after="120"/>
        <w:jc w:val="both"/>
        <w:rPr>
          <w:i/>
          <w:iCs/>
          <w:color w:val="000000"/>
          <w:sz w:val="22"/>
          <w:szCs w:val="22"/>
          <w:u w:val="single"/>
        </w:rPr>
      </w:pPr>
      <w:r w:rsidRPr="00FD10E1">
        <w:rPr>
          <w:i/>
          <w:iCs/>
          <w:color w:val="000000"/>
          <w:sz w:val="22"/>
          <w:szCs w:val="22"/>
          <w:u w:val="single"/>
        </w:rPr>
        <w:t>Paso 5: In</w:t>
      </w:r>
      <w:r w:rsidR="00053363">
        <w:rPr>
          <w:i/>
          <w:iCs/>
          <w:color w:val="000000"/>
          <w:sz w:val="22"/>
          <w:szCs w:val="22"/>
          <w:u w:val="single"/>
        </w:rPr>
        <w:t>tegrar las políticas en materia</w:t>
      </w:r>
      <w:r w:rsidRPr="00FD10E1">
        <w:rPr>
          <w:i/>
          <w:iCs/>
          <w:color w:val="000000"/>
          <w:sz w:val="22"/>
          <w:szCs w:val="22"/>
          <w:u w:val="single"/>
        </w:rPr>
        <w:t xml:space="preserve"> de TIC, clima, medio ambiente y energ</w:t>
      </w:r>
      <w:r>
        <w:rPr>
          <w:i/>
          <w:iCs/>
          <w:color w:val="000000"/>
          <w:sz w:val="22"/>
          <w:szCs w:val="22"/>
          <w:u w:val="single"/>
        </w:rPr>
        <w:t>ía</w:t>
      </w:r>
    </w:p>
    <w:p w:rsidR="00451F9B" w:rsidRPr="00FD10E1" w:rsidRDefault="00451F9B" w:rsidP="00451F9B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spacing w:after="120"/>
        <w:jc w:val="both"/>
        <w:textAlignment w:val="auto"/>
        <w:rPr>
          <w:color w:val="000000"/>
          <w:sz w:val="22"/>
          <w:szCs w:val="22"/>
        </w:rPr>
      </w:pPr>
      <w:r w:rsidRPr="00FD10E1">
        <w:rPr>
          <w:color w:val="000000"/>
          <w:sz w:val="22"/>
          <w:szCs w:val="22"/>
        </w:rPr>
        <w:t>Cerrar la brecha entre expertos y legisladores en material de TIC, medio ambiente y energía; permitir la integración de las TIC en las políticas energ</w:t>
      </w:r>
      <w:r>
        <w:rPr>
          <w:color w:val="000000"/>
          <w:sz w:val="22"/>
          <w:szCs w:val="22"/>
        </w:rPr>
        <w:t>éticas y medioambientales a fin de mejorar el rendimiento medioambiental, frenar el calentamiento global, mejorar la eficiencia energética y la gestión de los recursos</w:t>
      </w:r>
      <w:r w:rsidRPr="00FD10E1">
        <w:rPr>
          <w:color w:val="000000"/>
          <w:sz w:val="22"/>
          <w:szCs w:val="22"/>
        </w:rPr>
        <w:t xml:space="preserve">. </w:t>
      </w:r>
    </w:p>
    <w:p w:rsidR="00451F9B" w:rsidRPr="00FD10E1" w:rsidRDefault="00451F9B" w:rsidP="00451F9B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spacing w:after="120"/>
        <w:jc w:val="both"/>
        <w:textAlignment w:val="auto"/>
        <w:rPr>
          <w:color w:val="000000"/>
          <w:sz w:val="22"/>
          <w:szCs w:val="22"/>
        </w:rPr>
      </w:pPr>
      <w:r w:rsidRPr="00FD10E1">
        <w:rPr>
          <w:color w:val="000000"/>
          <w:sz w:val="22"/>
          <w:szCs w:val="22"/>
        </w:rPr>
        <w:t>Integrar la utilización de las TIC en los planes nacionales de adaptación para utilizar estas tecnologías como herramienta habilitadora para luchar contra los efectos del cambio clim</w:t>
      </w:r>
      <w:r>
        <w:rPr>
          <w:color w:val="000000"/>
          <w:sz w:val="22"/>
          <w:szCs w:val="22"/>
        </w:rPr>
        <w:t>ático</w:t>
      </w:r>
      <w:r w:rsidRPr="00FD10E1">
        <w:rPr>
          <w:color w:val="000000"/>
          <w:sz w:val="22"/>
          <w:szCs w:val="22"/>
        </w:rPr>
        <w:t>.</w:t>
      </w:r>
    </w:p>
    <w:p w:rsidR="00451F9B" w:rsidRPr="00E71299" w:rsidRDefault="00451F9B" w:rsidP="00451F9B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spacing w:after="120"/>
        <w:jc w:val="both"/>
        <w:textAlignment w:val="auto"/>
        <w:rPr>
          <w:color w:val="000000"/>
          <w:sz w:val="22"/>
          <w:szCs w:val="22"/>
        </w:rPr>
      </w:pPr>
      <w:r w:rsidRPr="00FD10E1">
        <w:rPr>
          <w:color w:val="000000"/>
          <w:sz w:val="22"/>
          <w:szCs w:val="22"/>
        </w:rPr>
        <w:t>Minimizar la repercusión de la administración pública en el medio ambiente a través de soluciones, políticas, aplicaciones y servicios de TIC verdes, poniendo en práctica iniciativas como (a) tener m</w:t>
      </w:r>
      <w:r>
        <w:rPr>
          <w:color w:val="000000"/>
          <w:sz w:val="22"/>
          <w:szCs w:val="22"/>
        </w:rPr>
        <w:t>ás en cuenta los criterios medioambientales en la adquisición de bienes de TIC y aumentar la innovación medioambiental entre los proveedores</w:t>
      </w:r>
      <w:r w:rsidRPr="00FD10E1">
        <w:rPr>
          <w:color w:val="000000"/>
          <w:sz w:val="22"/>
          <w:szCs w:val="22"/>
        </w:rPr>
        <w:t>; (b) maximiz</w:t>
      </w:r>
      <w:r>
        <w:rPr>
          <w:color w:val="000000"/>
          <w:sz w:val="22"/>
          <w:szCs w:val="22"/>
        </w:rPr>
        <w:t>ar la eficiencia de los recursos de servicios públicos, incluso mediante la util</w:t>
      </w:r>
      <w:r w:rsidR="00053363">
        <w:rPr>
          <w:color w:val="000000"/>
          <w:sz w:val="22"/>
          <w:szCs w:val="22"/>
        </w:rPr>
        <w:t>ización de aplicaciones de TIC "inteligentes"</w:t>
      </w:r>
      <w:r>
        <w:rPr>
          <w:color w:val="000000"/>
          <w:sz w:val="22"/>
          <w:szCs w:val="22"/>
        </w:rPr>
        <w:t xml:space="preserve"> en la eficiencia energética (es decir, iluminación, calefacción y refrigeración, y control de edificios)</w:t>
      </w:r>
      <w:r w:rsidRPr="00E71299">
        <w:rPr>
          <w:color w:val="000000"/>
          <w:sz w:val="22"/>
          <w:szCs w:val="22"/>
        </w:rPr>
        <w:t>; o (c) mejorar la eficacia y el cambio org</w:t>
      </w:r>
      <w:r>
        <w:rPr>
          <w:color w:val="000000"/>
          <w:sz w:val="22"/>
          <w:szCs w:val="22"/>
        </w:rPr>
        <w:t>ánico en la administración pública gracias al teletrabajo y la videoconferencia a fin de reducir los desplazamientos y viajes con el objetivo de reducir las emisiones de gases con efecto invernadero</w:t>
      </w:r>
      <w:r w:rsidRPr="00E71299">
        <w:rPr>
          <w:color w:val="000000"/>
          <w:sz w:val="22"/>
          <w:szCs w:val="22"/>
        </w:rPr>
        <w:t>.</w:t>
      </w:r>
    </w:p>
    <w:p w:rsidR="00451F9B" w:rsidRPr="00E71299" w:rsidRDefault="00451F9B" w:rsidP="00451F9B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spacing w:after="120"/>
        <w:jc w:val="both"/>
        <w:textAlignment w:val="auto"/>
        <w:rPr>
          <w:color w:val="000000"/>
          <w:sz w:val="22"/>
          <w:szCs w:val="22"/>
        </w:rPr>
      </w:pPr>
      <w:r w:rsidRPr="00E71299">
        <w:rPr>
          <w:color w:val="000000"/>
          <w:sz w:val="22"/>
          <w:szCs w:val="22"/>
        </w:rPr>
        <w:t>Fijar objetivos y metas políticos transparentes para mejorar las estrategias gubernamentales. Controlar y evaluar la aplicación de las políticas periódicamente a fin de determinar responsabilidades claras y aumentar la responsabilidad. Poner en práctica programas voluntarios de autocontrol y rendición de informes, cuando ello sea eficaz y factible.</w:t>
      </w:r>
    </w:p>
    <w:p w:rsidR="00451F9B" w:rsidRPr="001C69D7" w:rsidRDefault="00451F9B" w:rsidP="00563EDC">
      <w:pPr>
        <w:keepNext/>
        <w:keepLines/>
        <w:snapToGrid w:val="0"/>
        <w:spacing w:before="240" w:after="120"/>
        <w:jc w:val="both"/>
        <w:rPr>
          <w:i/>
          <w:iCs/>
          <w:color w:val="000000"/>
          <w:sz w:val="22"/>
          <w:szCs w:val="22"/>
          <w:u w:val="single"/>
        </w:rPr>
      </w:pPr>
      <w:r w:rsidRPr="001C69D7">
        <w:rPr>
          <w:i/>
          <w:iCs/>
          <w:color w:val="000000"/>
          <w:sz w:val="22"/>
          <w:szCs w:val="22"/>
          <w:u w:val="single"/>
        </w:rPr>
        <w:t xml:space="preserve">Paso 6: Elaborar y aplicar una estrategia </w:t>
      </w:r>
      <w:r>
        <w:rPr>
          <w:i/>
          <w:iCs/>
          <w:color w:val="000000"/>
          <w:sz w:val="22"/>
          <w:szCs w:val="22"/>
          <w:u w:val="single"/>
        </w:rPr>
        <w:t xml:space="preserve">nacional </w:t>
      </w:r>
      <w:r w:rsidRPr="001C69D7">
        <w:rPr>
          <w:i/>
          <w:iCs/>
          <w:color w:val="000000"/>
          <w:sz w:val="22"/>
          <w:szCs w:val="22"/>
          <w:u w:val="single"/>
        </w:rPr>
        <w:t>de TIC verdes para</w:t>
      </w:r>
      <w:r>
        <w:rPr>
          <w:i/>
          <w:iCs/>
          <w:color w:val="000000"/>
          <w:sz w:val="22"/>
          <w:szCs w:val="22"/>
          <w:u w:val="single"/>
        </w:rPr>
        <w:t xml:space="preserve"> el desarrollo</w:t>
      </w:r>
    </w:p>
    <w:p w:rsidR="00451F9B" w:rsidRPr="001C69D7" w:rsidRDefault="00451F9B" w:rsidP="00563EDC">
      <w:pPr>
        <w:spacing w:after="120"/>
        <w:jc w:val="both"/>
        <w:rPr>
          <w:color w:val="000000"/>
          <w:sz w:val="22"/>
          <w:szCs w:val="22"/>
          <w:lang w:eastAsia="zh-CN"/>
        </w:rPr>
      </w:pPr>
      <w:r w:rsidRPr="001C69D7">
        <w:rPr>
          <w:i/>
          <w:iCs/>
          <w:color w:val="000000"/>
          <w:sz w:val="22"/>
          <w:szCs w:val="22"/>
        </w:rPr>
        <w:t xml:space="preserve">Esta estrategia debería aplicarse a escala nacional, subnacional, municipal, comunitaria e individual. </w:t>
      </w:r>
      <w:r>
        <w:rPr>
          <w:i/>
          <w:iCs/>
          <w:color w:val="000000"/>
          <w:sz w:val="22"/>
          <w:szCs w:val="22"/>
        </w:rPr>
        <w:t xml:space="preserve">La estrategia de TIC verdes ha de considerarse como un componente de la estrategia nacional de desarrollo. </w:t>
      </w:r>
      <w:r w:rsidRPr="001C69D7">
        <w:rPr>
          <w:i/>
          <w:iCs/>
          <w:color w:val="000000"/>
          <w:sz w:val="22"/>
          <w:szCs w:val="22"/>
        </w:rPr>
        <w:t xml:space="preserve">La estrategia y el plan de acción para la utilización de las TIC en la gestión medioambiental coherente y el correspondiente proceso de toma de decisiones han de comprender todos los sectores </w:t>
      </w:r>
      <w:r>
        <w:rPr>
          <w:i/>
          <w:iCs/>
          <w:color w:val="000000"/>
          <w:sz w:val="22"/>
          <w:szCs w:val="22"/>
        </w:rPr>
        <w:t>de la</w:t>
      </w:r>
      <w:r w:rsidRPr="001C69D7">
        <w:rPr>
          <w:i/>
          <w:iCs/>
          <w:color w:val="000000"/>
          <w:sz w:val="22"/>
          <w:szCs w:val="22"/>
        </w:rPr>
        <w:t xml:space="preserve"> econom</w:t>
      </w:r>
      <w:r>
        <w:rPr>
          <w:i/>
          <w:iCs/>
          <w:color w:val="000000"/>
          <w:sz w:val="22"/>
          <w:szCs w:val="22"/>
        </w:rPr>
        <w:t xml:space="preserve">ía y todos los niveles de la sociedad. </w:t>
      </w:r>
      <w:r w:rsidRPr="001C69D7">
        <w:rPr>
          <w:i/>
          <w:iCs/>
          <w:color w:val="000000"/>
          <w:sz w:val="22"/>
          <w:szCs w:val="22"/>
        </w:rPr>
        <w:t>Se debe facilitar ayuda técnica a los países que la necesitan, en particular los países en desarrollo, a fin de que puedan formular y aplicar estrategias de TIC verdes y los planes de aplicaci</w:t>
      </w:r>
      <w:r>
        <w:rPr>
          <w:i/>
          <w:iCs/>
          <w:color w:val="000000"/>
          <w:sz w:val="22"/>
          <w:szCs w:val="22"/>
        </w:rPr>
        <w:t xml:space="preserve">ón conexos. </w:t>
      </w:r>
      <w:r w:rsidRPr="001C69D7">
        <w:rPr>
          <w:i/>
          <w:iCs/>
          <w:color w:val="000000"/>
          <w:sz w:val="22"/>
          <w:szCs w:val="22"/>
        </w:rPr>
        <w:t>Esta estrategia debería</w:t>
      </w:r>
      <w:r w:rsidR="00053363">
        <w:rPr>
          <w:i/>
          <w:iCs/>
          <w:color w:val="000000"/>
          <w:sz w:val="22"/>
          <w:szCs w:val="22"/>
        </w:rPr>
        <w:t xml:space="preserve"> incluir una fase de evaluación</w:t>
      </w:r>
      <w:r w:rsidRPr="001C69D7">
        <w:rPr>
          <w:i/>
          <w:iCs/>
          <w:color w:val="000000"/>
          <w:sz w:val="22"/>
          <w:szCs w:val="22"/>
        </w:rPr>
        <w:t xml:space="preserve"> compuesta por, en</w:t>
      </w:r>
      <w:r w:rsidR="00053363">
        <w:rPr>
          <w:i/>
          <w:iCs/>
          <w:color w:val="000000"/>
          <w:sz w:val="22"/>
          <w:szCs w:val="22"/>
        </w:rPr>
        <w:t>tre otros, los siguientes pasos</w:t>
      </w:r>
      <w:r w:rsidRPr="001C69D7">
        <w:rPr>
          <w:i/>
          <w:iCs/>
          <w:color w:val="000000"/>
          <w:sz w:val="22"/>
          <w:szCs w:val="22"/>
        </w:rPr>
        <w:t xml:space="preserve"> o componentes:</w:t>
      </w:r>
    </w:p>
    <w:p w:rsidR="00451F9B" w:rsidRPr="001C69D7" w:rsidRDefault="00451F9B" w:rsidP="00451F9B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spacing w:after="120"/>
        <w:ind w:left="357" w:hanging="357"/>
        <w:jc w:val="both"/>
        <w:textAlignment w:val="auto"/>
        <w:rPr>
          <w:color w:val="000000"/>
          <w:sz w:val="22"/>
          <w:szCs w:val="22"/>
        </w:rPr>
      </w:pPr>
      <w:r w:rsidRPr="001C69D7">
        <w:rPr>
          <w:color w:val="000000"/>
          <w:sz w:val="22"/>
          <w:szCs w:val="22"/>
        </w:rPr>
        <w:t>Una evaluación de preparación electrónica que contribuya a entender la utilizaci</w:t>
      </w:r>
      <w:r>
        <w:rPr>
          <w:color w:val="000000"/>
          <w:sz w:val="22"/>
          <w:szCs w:val="22"/>
        </w:rPr>
        <w:t>ón de las TIC a escala nacional y en el sector medioambiental</w:t>
      </w:r>
      <w:r w:rsidR="00B87820">
        <w:rPr>
          <w:color w:val="000000"/>
          <w:sz w:val="22"/>
          <w:szCs w:val="22"/>
        </w:rPr>
        <w:t>.</w:t>
      </w:r>
    </w:p>
    <w:p w:rsidR="00451F9B" w:rsidRPr="001C69D7" w:rsidRDefault="00451F9B" w:rsidP="00451F9B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spacing w:after="120"/>
        <w:ind w:left="357" w:hanging="357"/>
        <w:jc w:val="both"/>
        <w:textAlignment w:val="auto"/>
        <w:rPr>
          <w:color w:val="000000"/>
          <w:sz w:val="22"/>
          <w:szCs w:val="22"/>
        </w:rPr>
      </w:pPr>
      <w:r w:rsidRPr="001C69D7">
        <w:rPr>
          <w:color w:val="000000"/>
          <w:sz w:val="22"/>
          <w:szCs w:val="22"/>
        </w:rPr>
        <w:t>Un análisis de situación que evalúe la utilización de las TIC para la investigaci</w:t>
      </w:r>
      <w:r>
        <w:rPr>
          <w:color w:val="000000"/>
          <w:sz w:val="22"/>
          <w:szCs w:val="22"/>
        </w:rPr>
        <w:t>ón, la gestión y la planificación medioambiental</w:t>
      </w:r>
      <w:r w:rsidR="00B87820">
        <w:rPr>
          <w:color w:val="000000"/>
          <w:sz w:val="22"/>
          <w:szCs w:val="22"/>
        </w:rPr>
        <w:t>.</w:t>
      </w:r>
    </w:p>
    <w:p w:rsidR="00451F9B" w:rsidRPr="001C69D7" w:rsidRDefault="00451F9B" w:rsidP="00451F9B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spacing w:after="120"/>
        <w:ind w:left="357" w:hanging="357"/>
        <w:jc w:val="both"/>
        <w:textAlignment w:val="auto"/>
        <w:rPr>
          <w:color w:val="000000"/>
          <w:sz w:val="22"/>
          <w:szCs w:val="22"/>
        </w:rPr>
      </w:pPr>
      <w:r w:rsidRPr="001C69D7">
        <w:rPr>
          <w:color w:val="000000"/>
          <w:sz w:val="22"/>
          <w:szCs w:val="22"/>
        </w:rPr>
        <w:t>Identificación de los principales actores e interesados</w:t>
      </w:r>
      <w:r w:rsidR="00B87820">
        <w:rPr>
          <w:color w:val="000000"/>
          <w:sz w:val="22"/>
          <w:szCs w:val="22"/>
        </w:rPr>
        <w:t>.</w:t>
      </w:r>
    </w:p>
    <w:p w:rsidR="00451F9B" w:rsidRPr="001C69D7" w:rsidRDefault="00451F9B" w:rsidP="00451F9B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spacing w:after="120"/>
        <w:ind w:left="357" w:hanging="357"/>
        <w:jc w:val="both"/>
        <w:textAlignment w:val="auto"/>
        <w:rPr>
          <w:color w:val="000000"/>
          <w:sz w:val="22"/>
          <w:szCs w:val="22"/>
        </w:rPr>
      </w:pPr>
      <w:r w:rsidRPr="001C69D7">
        <w:rPr>
          <w:color w:val="000000"/>
          <w:sz w:val="22"/>
          <w:szCs w:val="22"/>
        </w:rPr>
        <w:t xml:space="preserve">Identificación de lagunas y obstáculos que se encontrarán durante la formulación de la estrategia y la </w:t>
      </w:r>
      <w:r>
        <w:rPr>
          <w:color w:val="000000"/>
          <w:sz w:val="22"/>
          <w:szCs w:val="22"/>
        </w:rPr>
        <w:t>fase de aplicación, y los correspondientes informes donde se explique cómo se han superado esos problemas</w:t>
      </w:r>
      <w:r w:rsidR="00B87820">
        <w:rPr>
          <w:color w:val="000000"/>
          <w:sz w:val="22"/>
          <w:szCs w:val="22"/>
        </w:rPr>
        <w:t>.</w:t>
      </w:r>
    </w:p>
    <w:p w:rsidR="00451F9B" w:rsidRPr="001C69D7" w:rsidRDefault="00451F9B" w:rsidP="00451F9B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spacing w:after="120"/>
        <w:ind w:left="357" w:hanging="357"/>
        <w:jc w:val="both"/>
        <w:textAlignment w:val="auto"/>
        <w:rPr>
          <w:color w:val="000000"/>
          <w:sz w:val="22"/>
          <w:szCs w:val="22"/>
        </w:rPr>
      </w:pPr>
      <w:r w:rsidRPr="001C69D7">
        <w:rPr>
          <w:color w:val="000000"/>
          <w:sz w:val="22"/>
          <w:szCs w:val="22"/>
        </w:rPr>
        <w:t>Consideración de factores clave como puede ser la manera en que los países están cumpliendo las obligaciones contra</w:t>
      </w:r>
      <w:r>
        <w:rPr>
          <w:color w:val="000000"/>
          <w:sz w:val="22"/>
          <w:szCs w:val="22"/>
        </w:rPr>
        <w:t>ídas en virtud de los distintos convenios y acuerdos internacionales y regionales</w:t>
      </w:r>
      <w:r w:rsidR="00B87820">
        <w:rPr>
          <w:color w:val="000000"/>
          <w:sz w:val="22"/>
          <w:szCs w:val="22"/>
        </w:rPr>
        <w:t>.</w:t>
      </w:r>
    </w:p>
    <w:p w:rsidR="00451F9B" w:rsidRPr="001C69D7" w:rsidRDefault="00451F9B" w:rsidP="00451F9B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spacing w:after="120"/>
        <w:ind w:left="357" w:hanging="357"/>
        <w:jc w:val="both"/>
        <w:textAlignment w:val="auto"/>
        <w:rPr>
          <w:color w:val="000000"/>
          <w:sz w:val="22"/>
          <w:szCs w:val="22"/>
        </w:rPr>
      </w:pPr>
      <w:r w:rsidRPr="001C69D7">
        <w:rPr>
          <w:color w:val="000000"/>
          <w:sz w:val="22"/>
          <w:szCs w:val="22"/>
        </w:rPr>
        <w:t>Un análisis estratégico que identifique los objetivos, retos y oportunidades relacionados con la utilizaci</w:t>
      </w:r>
      <w:r>
        <w:rPr>
          <w:color w:val="000000"/>
          <w:sz w:val="22"/>
          <w:szCs w:val="22"/>
        </w:rPr>
        <w:t>ón de las TIC en el marco medioambiental</w:t>
      </w:r>
      <w:r w:rsidR="00B87820">
        <w:rPr>
          <w:color w:val="000000"/>
          <w:sz w:val="22"/>
          <w:szCs w:val="22"/>
        </w:rPr>
        <w:t>.</w:t>
      </w:r>
    </w:p>
    <w:p w:rsidR="00451F9B" w:rsidRPr="001C69D7" w:rsidRDefault="00451F9B" w:rsidP="00451F9B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spacing w:after="120"/>
        <w:ind w:left="357" w:hanging="357"/>
        <w:jc w:val="both"/>
        <w:textAlignment w:val="auto"/>
        <w:rPr>
          <w:color w:val="000000"/>
          <w:sz w:val="22"/>
          <w:szCs w:val="22"/>
        </w:rPr>
      </w:pPr>
      <w:r w:rsidRPr="001C69D7">
        <w:rPr>
          <w:color w:val="000000"/>
          <w:sz w:val="22"/>
          <w:szCs w:val="22"/>
        </w:rPr>
        <w:t>Un estudio de referencia que compare y contraste la situación nacional con la de otros países o jurisdicciones, es decir, en qué lugar se encuentra el pa</w:t>
      </w:r>
      <w:r>
        <w:rPr>
          <w:color w:val="000000"/>
          <w:sz w:val="22"/>
          <w:szCs w:val="22"/>
        </w:rPr>
        <w:t>ís en comparación con otros países o jurisdicciones</w:t>
      </w:r>
      <w:r w:rsidR="00B87820">
        <w:rPr>
          <w:color w:val="000000"/>
          <w:sz w:val="22"/>
          <w:szCs w:val="22"/>
        </w:rPr>
        <w:t>.</w:t>
      </w:r>
    </w:p>
    <w:p w:rsidR="00451F9B" w:rsidRPr="001C69D7" w:rsidRDefault="00451F9B" w:rsidP="00451F9B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spacing w:after="120"/>
        <w:ind w:left="357" w:hanging="357"/>
        <w:jc w:val="both"/>
        <w:textAlignment w:val="auto"/>
        <w:rPr>
          <w:color w:val="000000"/>
          <w:sz w:val="22"/>
          <w:szCs w:val="22"/>
        </w:rPr>
      </w:pPr>
      <w:r w:rsidRPr="001C69D7">
        <w:rPr>
          <w:color w:val="000000"/>
          <w:sz w:val="22"/>
          <w:szCs w:val="22"/>
        </w:rPr>
        <w:t>Estudios de caso y análisis de pr</w:t>
      </w:r>
      <w:r>
        <w:rPr>
          <w:color w:val="000000"/>
          <w:sz w:val="22"/>
          <w:szCs w:val="22"/>
        </w:rPr>
        <w:t>ácticas idóneas</w:t>
      </w:r>
      <w:r w:rsidR="00B87820">
        <w:rPr>
          <w:color w:val="000000"/>
          <w:sz w:val="22"/>
          <w:szCs w:val="22"/>
        </w:rPr>
        <w:t>.</w:t>
      </w:r>
    </w:p>
    <w:p w:rsidR="00451F9B" w:rsidRPr="001C69D7" w:rsidRDefault="00451F9B" w:rsidP="00451F9B">
      <w:pPr>
        <w:numPr>
          <w:ilvl w:val="0"/>
          <w:numId w:val="2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napToGrid w:val="0"/>
        <w:spacing w:after="120"/>
        <w:ind w:left="357" w:hanging="357"/>
        <w:jc w:val="both"/>
        <w:textAlignment w:val="auto"/>
        <w:rPr>
          <w:color w:val="000000"/>
          <w:sz w:val="22"/>
          <w:szCs w:val="22"/>
        </w:rPr>
      </w:pPr>
      <w:r w:rsidRPr="001C69D7">
        <w:rPr>
          <w:color w:val="000000"/>
          <w:sz w:val="22"/>
          <w:szCs w:val="22"/>
        </w:rPr>
        <w:t>Informe de viabilidad.</w:t>
      </w:r>
    </w:p>
    <w:p w:rsidR="0022366E" w:rsidRDefault="0022366E">
      <w:pPr>
        <w:jc w:val="center"/>
      </w:pPr>
      <w:r>
        <w:t>______________</w:t>
      </w:r>
    </w:p>
    <w:p w:rsidR="001D503E" w:rsidRDefault="001D503E">
      <w:pPr>
        <w:tabs>
          <w:tab w:val="left" w:pos="7513"/>
        </w:tabs>
        <w:spacing w:before="0"/>
      </w:pPr>
    </w:p>
    <w:sectPr w:rsidR="001D503E" w:rsidSect="00355136">
      <w:headerReference w:type="default" r:id="rId8"/>
      <w:footerReference w:type="default" r:id="rId9"/>
      <w:headerReference w:type="first" r:id="rId10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D2F" w:rsidRDefault="00443D2F">
      <w:r>
        <w:separator/>
      </w:r>
    </w:p>
  </w:endnote>
  <w:endnote w:type="continuationSeparator" w:id="0">
    <w:p w:rsidR="00443D2F" w:rsidRDefault="00443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D2F" w:rsidRPr="00CB7251" w:rsidRDefault="00B125FE">
    <w:pPr>
      <w:pStyle w:val="Footer"/>
      <w:rPr>
        <w:lang w:val="fr-CH"/>
      </w:rPr>
    </w:pPr>
    <w:fldSimple w:instr=" FILENAME \p  \* MERGEFORMAT ">
      <w:r w:rsidR="00672508" w:rsidRPr="00672508">
        <w:rPr>
          <w:lang w:val="fr-CH"/>
        </w:rPr>
        <w:t>P:\ESP\ITU-T\COM-T\ICT&amp;CC\298010S.docx</w:t>
      </w:r>
    </w:fldSimple>
    <w:r w:rsidR="00443D2F" w:rsidRPr="00CB7251">
      <w:rPr>
        <w:lang w:val="fr-CH"/>
      </w:rPr>
      <w:t xml:space="preserve"> </w:t>
    </w:r>
    <w:r w:rsidR="00443D2F">
      <w:rPr>
        <w:lang w:val="fr-CH"/>
      </w:rPr>
      <w:t>(298010)</w:t>
    </w:r>
    <w:r w:rsidR="00443D2F" w:rsidRPr="00CB7251">
      <w:rPr>
        <w:lang w:val="fr-CH"/>
      </w:rPr>
      <w:tab/>
    </w:r>
    <w:r>
      <w:fldChar w:fldCharType="begin"/>
    </w:r>
    <w:r w:rsidR="00443D2F">
      <w:instrText xml:space="preserve"> SAVEDATE \@ DD.MM.YY </w:instrText>
    </w:r>
    <w:r>
      <w:fldChar w:fldCharType="separate"/>
    </w:r>
    <w:r w:rsidR="00672508">
      <w:t>11.11.10</w:t>
    </w:r>
    <w:r>
      <w:fldChar w:fldCharType="end"/>
    </w:r>
    <w:r w:rsidR="00443D2F" w:rsidRPr="00CB7251">
      <w:rPr>
        <w:lang w:val="fr-CH"/>
      </w:rPr>
      <w:tab/>
    </w:r>
    <w:r>
      <w:fldChar w:fldCharType="begin"/>
    </w:r>
    <w:r w:rsidR="00443D2F">
      <w:instrText xml:space="preserve"> PRINTDATE \@ DD.MM.YY </w:instrText>
    </w:r>
    <w:r>
      <w:fldChar w:fldCharType="separate"/>
    </w:r>
    <w:r w:rsidR="00672508">
      <w:t>11.11.10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D2F" w:rsidRDefault="00443D2F">
      <w:r>
        <w:t>____________________</w:t>
      </w:r>
    </w:p>
  </w:footnote>
  <w:footnote w:type="continuationSeparator" w:id="0">
    <w:p w:rsidR="00443D2F" w:rsidRDefault="00443D2F">
      <w:r>
        <w:continuationSeparator/>
      </w:r>
    </w:p>
  </w:footnote>
  <w:footnote w:id="1">
    <w:p w:rsidR="00443D2F" w:rsidRPr="00053363" w:rsidRDefault="00443D2F" w:rsidP="00053363">
      <w:pPr>
        <w:pStyle w:val="FootnoteText"/>
        <w:spacing w:before="60" w:after="60"/>
        <w:rPr>
          <w:i/>
          <w:iCs/>
        </w:rPr>
      </w:pPr>
      <w:r>
        <w:rPr>
          <w:rStyle w:val="FootnoteReference"/>
        </w:rPr>
        <w:footnoteRef/>
      </w:r>
      <w:r>
        <w:rPr>
          <w:i/>
          <w:iCs/>
        </w:rPr>
        <w:tab/>
        <w:t xml:space="preserve"> </w:t>
      </w:r>
      <w:r w:rsidRPr="00053363">
        <w:rPr>
          <w:i/>
          <w:iCs/>
        </w:rPr>
        <w:t>Nueva Resolución de la UIT "</w:t>
      </w:r>
      <w:r w:rsidRPr="00053363">
        <w:rPr>
          <w:i/>
          <w:iCs/>
          <w:lang w:val="es-ES"/>
        </w:rPr>
        <w:t>El papel de las telecomunicaciones/tecnologías de la información y la comunicación en el cambio climático y la protección del medio ambiente</w:t>
      </w:r>
      <w:r w:rsidRPr="00053363">
        <w:rPr>
          <w:i/>
          <w:iCs/>
        </w:rPr>
        <w:t>" (Guadalajara,</w:t>
      </w:r>
      <w:r>
        <w:rPr>
          <w:i/>
          <w:iCs/>
        </w:rPr>
        <w:t> </w:t>
      </w:r>
      <w:r w:rsidRPr="00053363">
        <w:rPr>
          <w:i/>
          <w:iCs/>
        </w:rPr>
        <w:t>2010).</w:t>
      </w:r>
    </w:p>
  </w:footnote>
  <w:footnote w:id="2">
    <w:p w:rsidR="00443D2F" w:rsidRPr="00053363" w:rsidRDefault="00443D2F" w:rsidP="00CB7251">
      <w:pPr>
        <w:pStyle w:val="FootnoteText"/>
        <w:spacing w:before="60" w:after="60"/>
        <w:rPr>
          <w:i/>
          <w:iCs/>
        </w:rPr>
      </w:pPr>
      <w:r w:rsidRPr="00053363">
        <w:rPr>
          <w:rStyle w:val="FootnoteReference"/>
          <w:i/>
          <w:iCs/>
        </w:rPr>
        <w:footnoteRef/>
      </w:r>
      <w:r w:rsidRPr="00053363">
        <w:rPr>
          <w:i/>
          <w:iCs/>
        </w:rPr>
        <w:t xml:space="preserve"> </w:t>
      </w:r>
      <w:r w:rsidRPr="00053363">
        <w:rPr>
          <w:i/>
          <w:iCs/>
        </w:rPr>
        <w:tab/>
        <w:t>En adelante, "Plan de El Cairo"</w:t>
      </w:r>
      <w:r>
        <w:rPr>
          <w:i/>
          <w:iCs/>
        </w:rPr>
        <w:t>.</w:t>
      </w:r>
    </w:p>
  </w:footnote>
  <w:footnote w:id="3">
    <w:p w:rsidR="00443D2F" w:rsidRPr="00053363" w:rsidRDefault="00443D2F" w:rsidP="00563EDC">
      <w:pPr>
        <w:pStyle w:val="FootnoteText"/>
        <w:rPr>
          <w:i/>
          <w:iCs/>
        </w:rPr>
      </w:pPr>
      <w:r>
        <w:rPr>
          <w:rStyle w:val="FootnoteReference"/>
        </w:rPr>
        <w:footnoteRef/>
      </w:r>
      <w:r w:rsidRPr="00EF186F">
        <w:t xml:space="preserve"> </w:t>
      </w:r>
      <w:r>
        <w:tab/>
      </w:r>
      <w:r w:rsidRPr="00053363">
        <w:rPr>
          <w:i/>
          <w:iCs/>
        </w:rPr>
        <w:t>Algunos de los pasos y acciones que aquí se sugieren están extrapolados de la Recomendación del Consejo sobre Tecnologías de la Información y la Comunicación aplicadas al Medio Ambiente, OCDE, 2010, y de "</w:t>
      </w:r>
      <w:r w:rsidRPr="00053363">
        <w:rPr>
          <w:i/>
          <w:iCs/>
          <w:lang w:eastAsia="zh-CN"/>
        </w:rPr>
        <w:t>ICTs for e-Environment - Guidelines for Developing Countries, with a Focus on Climate Change</w:t>
      </w:r>
      <w:r w:rsidRPr="00053363">
        <w:rPr>
          <w:i/>
          <w:iCs/>
        </w:rPr>
        <w:t>"</w:t>
      </w:r>
      <w:r w:rsidRPr="00053363">
        <w:rPr>
          <w:i/>
          <w:iCs/>
          <w:lang w:eastAsia="zh-CN"/>
        </w:rPr>
        <w:t xml:space="preserve">, disponible en </w:t>
      </w:r>
      <w:hyperlink r:id="rId1" w:history="1">
        <w:r w:rsidRPr="00053363">
          <w:rPr>
            <w:rStyle w:val="Hyperlink"/>
            <w:i/>
            <w:iCs/>
            <w:lang w:eastAsia="zh-CN"/>
          </w:rPr>
          <w:t>http://www.itu.int/ITU-D/cyb/app/e-env.html</w:t>
        </w:r>
      </w:hyperlink>
      <w:r w:rsidR="00E91E53">
        <w:t>.</w:t>
      </w:r>
    </w:p>
  </w:footnote>
  <w:footnote w:id="4">
    <w:p w:rsidR="00443D2F" w:rsidRPr="00053363" w:rsidRDefault="00443D2F" w:rsidP="00CB7251">
      <w:pPr>
        <w:pStyle w:val="FootnoteText"/>
        <w:rPr>
          <w:i/>
          <w:iCs/>
        </w:rPr>
      </w:pPr>
      <w:r w:rsidRPr="00053363">
        <w:rPr>
          <w:i/>
          <w:iCs/>
        </w:rPr>
        <w:footnoteRef/>
      </w:r>
      <w:r w:rsidRPr="00053363">
        <w:rPr>
          <w:i/>
          <w:iCs/>
        </w:rPr>
        <w:t xml:space="preserve"> </w:t>
      </w:r>
      <w:r w:rsidRPr="00053363">
        <w:rPr>
          <w:i/>
          <w:iCs/>
        </w:rPr>
        <w:tab/>
        <w:t xml:space="preserve">Comisión de Estudio 5 del UIT-T, véase </w:t>
      </w:r>
      <w:hyperlink r:id="rId2" w:history="1">
        <w:r w:rsidRPr="00053363">
          <w:rPr>
            <w:rStyle w:val="Hyperlink"/>
            <w:i/>
            <w:iCs/>
            <w:sz w:val="18"/>
            <w:szCs w:val="18"/>
          </w:rPr>
          <w:t>http://www.itu.int/ITU-T/climatechange/</w:t>
        </w:r>
      </w:hyperlink>
      <w:r w:rsidR="00E91E53">
        <w:rPr>
          <w:i/>
          <w:iCs/>
        </w:rPr>
        <w:t>.</w:t>
      </w:r>
    </w:p>
  </w:footnote>
  <w:footnote w:id="5">
    <w:p w:rsidR="00443D2F" w:rsidRPr="0022366E" w:rsidRDefault="00443D2F" w:rsidP="00E91E53">
      <w:pPr>
        <w:pStyle w:val="FootnoteText"/>
        <w:rPr>
          <w:lang w:val="en-US"/>
        </w:rPr>
      </w:pPr>
      <w:r w:rsidRPr="00053363">
        <w:rPr>
          <w:i/>
          <w:iCs/>
        </w:rPr>
        <w:footnoteRef/>
      </w:r>
      <w:r w:rsidRPr="00053363">
        <w:rPr>
          <w:i/>
          <w:iCs/>
          <w:lang w:val="en-US"/>
        </w:rPr>
        <w:t xml:space="preserve"> </w:t>
      </w:r>
      <w:r w:rsidRPr="00053363">
        <w:rPr>
          <w:i/>
          <w:iCs/>
          <w:lang w:val="en-US"/>
        </w:rPr>
        <w:tab/>
      </w:r>
      <w:r w:rsidR="00E91E53" w:rsidRPr="00E91E53">
        <w:rPr>
          <w:rFonts w:asciiTheme="majorBidi" w:hAnsiTheme="majorBidi" w:cstheme="majorBidi"/>
          <w:i/>
          <w:iCs/>
          <w:color w:val="1F497D"/>
          <w:sz w:val="22"/>
          <w:szCs w:val="22"/>
        </w:rPr>
        <w:t>Véase en</w:t>
      </w:r>
      <w:r w:rsidR="00E91E53">
        <w:rPr>
          <w:rFonts w:ascii="Calibri" w:hAnsi="Calibri" w:cs="Arial"/>
          <w:color w:val="1F497D"/>
          <w:sz w:val="22"/>
          <w:szCs w:val="22"/>
        </w:rPr>
        <w:t xml:space="preserve"> </w:t>
      </w:r>
      <w:hyperlink r:id="rId3" w:history="1">
        <w:r w:rsidR="00E91E53">
          <w:rPr>
            <w:rStyle w:val="Hyperlink"/>
            <w:i/>
            <w:iCs/>
          </w:rPr>
          <w:t>http://www.itu.int/ITU-T/worksem/climatechange/201011/</w:t>
        </w:r>
      </w:hyperlink>
      <w:r w:rsidR="00E91E53">
        <w:rPr>
          <w:i/>
          <w:iCs/>
        </w:rPr>
        <w:t xml:space="preserve"> un ejemplo de evaluación que, con el respaldo de la UIT, está llevando a cabo Egipto de la posible utilización de las TIC para reducir el consumo energético y las emisiones de gases con efecto invernadero en las zonas urbanizadas.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0133857"/>
      <w:docPartObj>
        <w:docPartGallery w:val="Page Numbers (Top of Page)"/>
        <w:docPartUnique/>
      </w:docPartObj>
    </w:sdtPr>
    <w:sdtContent>
      <w:p w:rsidR="00443D2F" w:rsidRDefault="00B125FE">
        <w:pPr>
          <w:pStyle w:val="Header"/>
        </w:pPr>
        <w:fldSimple w:instr=" PAGE   \* MERGEFORMAT ">
          <w:r w:rsidR="00672508">
            <w:rPr>
              <w:noProof/>
            </w:rPr>
            <w:t>4</w:t>
          </w:r>
        </w:fldSimple>
      </w:p>
    </w:sdtContent>
  </w:sdt>
  <w:p w:rsidR="00443D2F" w:rsidRDefault="00443D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392" w:type="dxa"/>
      <w:tblLook w:val="00A0"/>
    </w:tblPr>
    <w:tblGrid>
      <w:gridCol w:w="2800"/>
      <w:gridCol w:w="3192"/>
      <w:gridCol w:w="2796"/>
    </w:tblGrid>
    <w:tr w:rsidR="00443D2F" w:rsidRPr="00604CA5" w:rsidTr="00443D2F">
      <w:tc>
        <w:tcPr>
          <w:tcW w:w="2800" w:type="dxa"/>
          <w:vAlign w:val="center"/>
        </w:tcPr>
        <w:p w:rsidR="00443D2F" w:rsidRPr="008325F1" w:rsidRDefault="00443D2F" w:rsidP="00443D2F">
          <w:pPr>
            <w:jc w:val="center"/>
          </w:pPr>
          <w:r>
            <w:rPr>
              <w:noProof/>
              <w:color w:val="000066"/>
              <w:sz w:val="18"/>
              <w:szCs w:val="18"/>
              <w:lang w:val="en-US" w:eastAsia="zh-CN"/>
            </w:rPr>
            <w:drawing>
              <wp:inline distT="0" distB="0" distL="0" distR="0">
                <wp:extent cx="636270" cy="970280"/>
                <wp:effectExtent l="19050" t="0" r="0" b="0"/>
                <wp:docPr id="1" name="Picture 3" descr="MCIT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C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970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43D2F" w:rsidRPr="00053363" w:rsidRDefault="00443D2F" w:rsidP="00443D2F">
          <w:pPr>
            <w:spacing w:before="60"/>
            <w:jc w:val="center"/>
            <w:rPr>
              <w:b/>
              <w:bCs/>
              <w:sz w:val="16"/>
              <w:szCs w:val="16"/>
              <w:lang w:val="en-US"/>
            </w:rPr>
          </w:pPr>
          <w:r w:rsidRPr="00053363">
            <w:rPr>
              <w:b/>
              <w:bCs/>
              <w:color w:val="000000"/>
              <w:sz w:val="16"/>
              <w:szCs w:val="16"/>
              <w:lang w:val="en-US"/>
            </w:rPr>
            <w:t>Ministry of State for</w:t>
          </w:r>
          <w:r w:rsidRPr="00053363">
            <w:rPr>
              <w:b/>
              <w:bCs/>
              <w:color w:val="000000"/>
              <w:sz w:val="16"/>
              <w:szCs w:val="16"/>
              <w:lang w:val="en-US"/>
            </w:rPr>
            <w:br/>
            <w:t>Environmental Affairs</w:t>
          </w:r>
        </w:p>
      </w:tc>
      <w:tc>
        <w:tcPr>
          <w:tcW w:w="3192" w:type="dxa"/>
          <w:vAlign w:val="center"/>
        </w:tcPr>
        <w:p w:rsidR="00443D2F" w:rsidRPr="008325F1" w:rsidRDefault="00443D2F" w:rsidP="00443D2F">
          <w:pPr>
            <w:jc w:val="center"/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1693545" cy="731520"/>
                <wp:effectExtent l="19050" t="0" r="190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3545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6" w:type="dxa"/>
          <w:vAlign w:val="center"/>
        </w:tcPr>
        <w:p w:rsidR="00443D2F" w:rsidRPr="008325F1" w:rsidRDefault="00443D2F" w:rsidP="00443D2F">
          <w:pPr>
            <w:jc w:val="center"/>
          </w:pPr>
          <w:r>
            <w:rPr>
              <w:noProof/>
              <w:color w:val="000066"/>
              <w:sz w:val="18"/>
              <w:szCs w:val="18"/>
              <w:lang w:val="en-US" w:eastAsia="zh-CN"/>
            </w:rPr>
            <w:drawing>
              <wp:inline distT="0" distB="0" distL="0" distR="0">
                <wp:extent cx="604520" cy="842645"/>
                <wp:effectExtent l="19050" t="0" r="5080" b="0"/>
                <wp:docPr id="3" name="Picture 3" descr="MCIT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C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520" cy="842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43D2F" w:rsidRPr="00053363" w:rsidRDefault="00443D2F" w:rsidP="00443D2F">
          <w:pPr>
            <w:spacing w:before="60"/>
            <w:jc w:val="center"/>
            <w:rPr>
              <w:lang w:val="en-US"/>
            </w:rPr>
          </w:pPr>
          <w:r w:rsidRPr="00053363">
            <w:rPr>
              <w:b/>
              <w:bCs/>
              <w:color w:val="000000"/>
              <w:sz w:val="16"/>
              <w:szCs w:val="16"/>
              <w:lang w:val="en-US"/>
            </w:rPr>
            <w:t>Ministry of Communications and Information Technology</w:t>
          </w:r>
        </w:p>
        <w:p w:rsidR="00443D2F" w:rsidRPr="00053363" w:rsidRDefault="00443D2F" w:rsidP="00443D2F">
          <w:pPr>
            <w:jc w:val="center"/>
            <w:rPr>
              <w:lang w:val="en-US"/>
            </w:rPr>
          </w:pPr>
        </w:p>
      </w:tc>
    </w:tr>
  </w:tbl>
  <w:p w:rsidR="00443D2F" w:rsidRPr="00053363" w:rsidRDefault="00443D2F" w:rsidP="00053363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07C78"/>
    <w:multiLevelType w:val="hybridMultilevel"/>
    <w:tmpl w:val="ABBCF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7E5C3B"/>
    <w:multiLevelType w:val="hybridMultilevel"/>
    <w:tmpl w:val="E6CEFE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B51DE0"/>
    <w:multiLevelType w:val="hybridMultilevel"/>
    <w:tmpl w:val="55EA776A"/>
    <w:lvl w:ilvl="0" w:tplc="82AEF48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2366E"/>
    <w:rsid w:val="00053363"/>
    <w:rsid w:val="001D503E"/>
    <w:rsid w:val="0022366E"/>
    <w:rsid w:val="00355136"/>
    <w:rsid w:val="003F2177"/>
    <w:rsid w:val="00443D2F"/>
    <w:rsid w:val="00451F9B"/>
    <w:rsid w:val="00563EDC"/>
    <w:rsid w:val="005C66E2"/>
    <w:rsid w:val="00604CA5"/>
    <w:rsid w:val="00672508"/>
    <w:rsid w:val="007D46D0"/>
    <w:rsid w:val="00860158"/>
    <w:rsid w:val="008F544F"/>
    <w:rsid w:val="00B125FE"/>
    <w:rsid w:val="00B85204"/>
    <w:rsid w:val="00B87820"/>
    <w:rsid w:val="00CB7251"/>
    <w:rsid w:val="00D22F42"/>
    <w:rsid w:val="00E91E53"/>
    <w:rsid w:val="00EE154D"/>
    <w:rsid w:val="00F27D1F"/>
    <w:rsid w:val="00FC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66E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5C66E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C66E2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5C66E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5C66E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C66E2"/>
    <w:pPr>
      <w:outlineLvl w:val="4"/>
    </w:pPr>
  </w:style>
  <w:style w:type="paragraph" w:styleId="Heading6">
    <w:name w:val="heading 6"/>
    <w:basedOn w:val="Heading4"/>
    <w:next w:val="Normal"/>
    <w:qFormat/>
    <w:rsid w:val="005C66E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C66E2"/>
    <w:pPr>
      <w:outlineLvl w:val="6"/>
    </w:pPr>
  </w:style>
  <w:style w:type="paragraph" w:styleId="Heading8">
    <w:name w:val="heading 8"/>
    <w:basedOn w:val="Heading6"/>
    <w:next w:val="Normal"/>
    <w:qFormat/>
    <w:rsid w:val="005C66E2"/>
    <w:pPr>
      <w:outlineLvl w:val="7"/>
    </w:pPr>
  </w:style>
  <w:style w:type="paragraph" w:styleId="Heading9">
    <w:name w:val="heading 9"/>
    <w:basedOn w:val="Heading6"/>
    <w:next w:val="Normal"/>
    <w:qFormat/>
    <w:rsid w:val="005C66E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5C66E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C66E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C66E2"/>
  </w:style>
  <w:style w:type="paragraph" w:customStyle="1" w:styleId="AppendixNotitle">
    <w:name w:val="Appendix_No &amp; title"/>
    <w:basedOn w:val="AnnexNotitle"/>
    <w:next w:val="Normalaftertitle"/>
    <w:rsid w:val="005C66E2"/>
  </w:style>
  <w:style w:type="character" w:customStyle="1" w:styleId="Artdef">
    <w:name w:val="Art_def"/>
    <w:basedOn w:val="DefaultParagraphFont"/>
    <w:rsid w:val="005C66E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5C66E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C66E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5C66E2"/>
  </w:style>
  <w:style w:type="paragraph" w:customStyle="1" w:styleId="Arttitle">
    <w:name w:val="Art_title"/>
    <w:basedOn w:val="Normal"/>
    <w:next w:val="Normalaftertitle"/>
    <w:rsid w:val="005C66E2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5C66E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5C66E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5C66E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C66E2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5C66E2"/>
    <w:rPr>
      <w:vertAlign w:val="superscript"/>
    </w:rPr>
  </w:style>
  <w:style w:type="paragraph" w:customStyle="1" w:styleId="enumlev1">
    <w:name w:val="enumlev1"/>
    <w:basedOn w:val="Normal"/>
    <w:rsid w:val="005C66E2"/>
    <w:pPr>
      <w:spacing w:before="80"/>
      <w:ind w:left="794" w:hanging="794"/>
    </w:pPr>
  </w:style>
  <w:style w:type="paragraph" w:customStyle="1" w:styleId="enumlev2">
    <w:name w:val="enumlev2"/>
    <w:basedOn w:val="enumlev1"/>
    <w:rsid w:val="005C66E2"/>
    <w:pPr>
      <w:ind w:left="1191" w:hanging="397"/>
    </w:pPr>
  </w:style>
  <w:style w:type="paragraph" w:customStyle="1" w:styleId="enumlev3">
    <w:name w:val="enumlev3"/>
    <w:basedOn w:val="enumlev2"/>
    <w:rsid w:val="005C66E2"/>
    <w:pPr>
      <w:ind w:left="1588"/>
    </w:pPr>
  </w:style>
  <w:style w:type="paragraph" w:customStyle="1" w:styleId="Equation">
    <w:name w:val="Equation"/>
    <w:basedOn w:val="Normal"/>
    <w:rsid w:val="005C66E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C66E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FigureNotitle"/>
    <w:rsid w:val="005C66E2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5C66E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"/>
    <w:rsid w:val="005C66E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5C66E2"/>
    <w:pPr>
      <w:keepLines/>
      <w:spacing w:before="240" w:after="120"/>
      <w:jc w:val="center"/>
    </w:pPr>
  </w:style>
  <w:style w:type="paragraph" w:styleId="Footer">
    <w:name w:val="footer"/>
    <w:basedOn w:val="Normal"/>
    <w:rsid w:val="005C66E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C66E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5C66E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rsid w:val="005C66E2"/>
    <w:rPr>
      <w:position w:val="6"/>
      <w:sz w:val="18"/>
    </w:rPr>
  </w:style>
  <w:style w:type="paragraph" w:customStyle="1" w:styleId="Note">
    <w:name w:val="Note"/>
    <w:basedOn w:val="Normal"/>
    <w:rsid w:val="005C66E2"/>
    <w:pPr>
      <w:spacing w:before="80"/>
    </w:pPr>
  </w:style>
  <w:style w:type="paragraph" w:styleId="FootnoteText">
    <w:name w:val="footnote text"/>
    <w:aliases w:val="ACMA Footnote Text"/>
    <w:basedOn w:val="Note"/>
    <w:link w:val="FootnoteTextChar"/>
    <w:uiPriority w:val="99"/>
    <w:rsid w:val="005C66E2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5C66E2"/>
    <w:rPr>
      <w:b w:val="0"/>
    </w:rPr>
  </w:style>
  <w:style w:type="paragraph" w:styleId="Header">
    <w:name w:val="header"/>
    <w:basedOn w:val="Normal"/>
    <w:link w:val="HeaderChar"/>
    <w:uiPriority w:val="99"/>
    <w:rsid w:val="005C66E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5C66E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C66E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5C66E2"/>
  </w:style>
  <w:style w:type="paragraph" w:styleId="Index2">
    <w:name w:val="index 2"/>
    <w:basedOn w:val="Normal"/>
    <w:next w:val="Normal"/>
    <w:rsid w:val="005C66E2"/>
    <w:pPr>
      <w:ind w:left="283"/>
    </w:pPr>
  </w:style>
  <w:style w:type="paragraph" w:styleId="Index3">
    <w:name w:val="index 3"/>
    <w:basedOn w:val="Normal"/>
    <w:next w:val="Normal"/>
    <w:rsid w:val="005C66E2"/>
    <w:pPr>
      <w:ind w:left="566"/>
    </w:pPr>
  </w:style>
  <w:style w:type="paragraph" w:customStyle="1" w:styleId="Normalaftertitle">
    <w:name w:val="Normal_after_title"/>
    <w:basedOn w:val="Normal"/>
    <w:next w:val="Normal"/>
    <w:rsid w:val="005C66E2"/>
    <w:pPr>
      <w:spacing w:before="360"/>
    </w:pPr>
  </w:style>
  <w:style w:type="character" w:styleId="PageNumber">
    <w:name w:val="page number"/>
    <w:basedOn w:val="DefaultParagraphFont"/>
    <w:rsid w:val="005C66E2"/>
  </w:style>
  <w:style w:type="paragraph" w:customStyle="1" w:styleId="PartNo">
    <w:name w:val="Part_No"/>
    <w:basedOn w:val="Normal"/>
    <w:next w:val="Partref"/>
    <w:rsid w:val="005C66E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C66E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C66E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5C66E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5C66E2"/>
  </w:style>
  <w:style w:type="paragraph" w:customStyle="1" w:styleId="RecNo">
    <w:name w:val="Rec_No"/>
    <w:basedOn w:val="Normal"/>
    <w:next w:val="Rectitle"/>
    <w:rsid w:val="005C66E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5C66E2"/>
  </w:style>
  <w:style w:type="paragraph" w:customStyle="1" w:styleId="RecNoBR">
    <w:name w:val="Rec_No_BR"/>
    <w:basedOn w:val="Normal"/>
    <w:next w:val="Rectitle"/>
    <w:rsid w:val="005C66E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5C66E2"/>
  </w:style>
  <w:style w:type="paragraph" w:customStyle="1" w:styleId="Recref">
    <w:name w:val="Rec_ref"/>
    <w:basedOn w:val="Normal"/>
    <w:next w:val="Recdate"/>
    <w:rsid w:val="005C66E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5C66E2"/>
  </w:style>
  <w:style w:type="paragraph" w:customStyle="1" w:styleId="Rectitle">
    <w:name w:val="Rec_title"/>
    <w:basedOn w:val="Normal"/>
    <w:next w:val="Normalaftertitle"/>
    <w:rsid w:val="005C66E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5C66E2"/>
  </w:style>
  <w:style w:type="character" w:customStyle="1" w:styleId="Recdef">
    <w:name w:val="Rec_def"/>
    <w:basedOn w:val="DefaultParagraphFont"/>
    <w:rsid w:val="005C66E2"/>
    <w:rPr>
      <w:b/>
    </w:rPr>
  </w:style>
  <w:style w:type="paragraph" w:customStyle="1" w:styleId="Reftext">
    <w:name w:val="Ref_text"/>
    <w:basedOn w:val="Normal"/>
    <w:rsid w:val="005C66E2"/>
    <w:pPr>
      <w:ind w:left="794" w:hanging="794"/>
    </w:pPr>
  </w:style>
  <w:style w:type="paragraph" w:customStyle="1" w:styleId="Reftitle">
    <w:name w:val="Ref_title"/>
    <w:basedOn w:val="Normal"/>
    <w:next w:val="Reftext"/>
    <w:rsid w:val="005C66E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5C66E2"/>
  </w:style>
  <w:style w:type="paragraph" w:customStyle="1" w:styleId="RepNo">
    <w:name w:val="Rep_No"/>
    <w:basedOn w:val="RecNo"/>
    <w:next w:val="Reptitle"/>
    <w:rsid w:val="005C66E2"/>
  </w:style>
  <w:style w:type="paragraph" w:customStyle="1" w:styleId="RepNoBR">
    <w:name w:val="Rep_No_BR"/>
    <w:basedOn w:val="RecNoBR"/>
    <w:next w:val="Reptitle"/>
    <w:rsid w:val="005C66E2"/>
  </w:style>
  <w:style w:type="paragraph" w:customStyle="1" w:styleId="Repref">
    <w:name w:val="Rep_ref"/>
    <w:basedOn w:val="Recref"/>
    <w:next w:val="Repdate"/>
    <w:rsid w:val="005C66E2"/>
  </w:style>
  <w:style w:type="paragraph" w:customStyle="1" w:styleId="Reptitle">
    <w:name w:val="Rep_title"/>
    <w:basedOn w:val="Rectitle"/>
    <w:next w:val="Repref"/>
    <w:rsid w:val="005C66E2"/>
  </w:style>
  <w:style w:type="paragraph" w:customStyle="1" w:styleId="Resdate">
    <w:name w:val="Res_date"/>
    <w:basedOn w:val="Recdate"/>
    <w:next w:val="Normalaftertitle"/>
    <w:rsid w:val="005C66E2"/>
  </w:style>
  <w:style w:type="character" w:customStyle="1" w:styleId="Resdef">
    <w:name w:val="Res_def"/>
    <w:basedOn w:val="DefaultParagraphFont"/>
    <w:rsid w:val="005C66E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C66E2"/>
  </w:style>
  <w:style w:type="paragraph" w:customStyle="1" w:styleId="ResNoBR">
    <w:name w:val="Res_No_BR"/>
    <w:basedOn w:val="RecNoBR"/>
    <w:next w:val="Restitle"/>
    <w:rsid w:val="005C66E2"/>
  </w:style>
  <w:style w:type="paragraph" w:customStyle="1" w:styleId="Resref">
    <w:name w:val="Res_ref"/>
    <w:basedOn w:val="Recref"/>
    <w:next w:val="Resdate"/>
    <w:rsid w:val="005C66E2"/>
  </w:style>
  <w:style w:type="paragraph" w:customStyle="1" w:styleId="Restitle">
    <w:name w:val="Res_title"/>
    <w:basedOn w:val="Rectitle"/>
    <w:next w:val="Resref"/>
    <w:rsid w:val="005C66E2"/>
  </w:style>
  <w:style w:type="paragraph" w:customStyle="1" w:styleId="Section1">
    <w:name w:val="Section_1"/>
    <w:basedOn w:val="Normal"/>
    <w:next w:val="Normal"/>
    <w:rsid w:val="005C66E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5C66E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5C66E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C66E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C66E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C66E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C66E2"/>
    <w:rPr>
      <w:b/>
      <w:color w:val="auto"/>
    </w:rPr>
  </w:style>
  <w:style w:type="paragraph" w:customStyle="1" w:styleId="Tablehead">
    <w:name w:val="Table_head"/>
    <w:basedOn w:val="Normal"/>
    <w:next w:val="Tabletext"/>
    <w:rsid w:val="005C66E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5C66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5C66E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5C66E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5C66E2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5C66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"/>
    <w:rsid w:val="005C66E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5C66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C66E2"/>
  </w:style>
  <w:style w:type="paragraph" w:customStyle="1" w:styleId="Title3">
    <w:name w:val="Title 3"/>
    <w:basedOn w:val="Title2"/>
    <w:next w:val="Title4"/>
    <w:rsid w:val="005C66E2"/>
    <w:rPr>
      <w:caps w:val="0"/>
    </w:rPr>
  </w:style>
  <w:style w:type="paragraph" w:customStyle="1" w:styleId="Title4">
    <w:name w:val="Title 4"/>
    <w:basedOn w:val="Title3"/>
    <w:next w:val="Heading1"/>
    <w:rsid w:val="005C66E2"/>
    <w:rPr>
      <w:b/>
    </w:rPr>
  </w:style>
  <w:style w:type="paragraph" w:customStyle="1" w:styleId="toc0">
    <w:name w:val="toc 0"/>
    <w:basedOn w:val="Normal"/>
    <w:next w:val="TOC1"/>
    <w:rsid w:val="005C66E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5C66E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5C66E2"/>
    <w:pPr>
      <w:spacing w:before="80"/>
      <w:ind w:left="1531" w:hanging="851"/>
    </w:pPr>
  </w:style>
  <w:style w:type="paragraph" w:styleId="TOC3">
    <w:name w:val="toc 3"/>
    <w:basedOn w:val="TOC2"/>
    <w:rsid w:val="005C66E2"/>
  </w:style>
  <w:style w:type="paragraph" w:styleId="TOC4">
    <w:name w:val="toc 4"/>
    <w:basedOn w:val="TOC3"/>
    <w:rsid w:val="005C66E2"/>
  </w:style>
  <w:style w:type="paragraph" w:styleId="TOC5">
    <w:name w:val="toc 5"/>
    <w:basedOn w:val="TOC4"/>
    <w:rsid w:val="005C66E2"/>
  </w:style>
  <w:style w:type="paragraph" w:styleId="TOC6">
    <w:name w:val="toc 6"/>
    <w:basedOn w:val="TOC4"/>
    <w:rsid w:val="005C66E2"/>
  </w:style>
  <w:style w:type="paragraph" w:styleId="TOC7">
    <w:name w:val="toc 7"/>
    <w:basedOn w:val="TOC4"/>
    <w:rsid w:val="005C66E2"/>
  </w:style>
  <w:style w:type="paragraph" w:styleId="TOC8">
    <w:name w:val="toc 8"/>
    <w:basedOn w:val="TOC4"/>
    <w:rsid w:val="005C66E2"/>
  </w:style>
  <w:style w:type="paragraph" w:customStyle="1" w:styleId="FiguretitleBR">
    <w:name w:val="Figure_title_BR"/>
    <w:basedOn w:val="TabletitleBR"/>
    <w:next w:val="Figurewithouttitle"/>
    <w:rsid w:val="005C66E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C66E2"/>
    <w:pPr>
      <w:keepNext/>
      <w:keepLines/>
      <w:spacing w:before="480" w:after="120"/>
      <w:jc w:val="center"/>
    </w:pPr>
    <w:rPr>
      <w:caps/>
    </w:rPr>
  </w:style>
  <w:style w:type="character" w:customStyle="1" w:styleId="FootnoteTextChar">
    <w:name w:val="Footnote Text Char"/>
    <w:aliases w:val="ACMA Footnote Text Char"/>
    <w:basedOn w:val="DefaultParagraphFont"/>
    <w:link w:val="FootnoteText"/>
    <w:uiPriority w:val="99"/>
    <w:locked/>
    <w:rsid w:val="00451F9B"/>
    <w:rPr>
      <w:rFonts w:ascii="Times New Roman" w:hAnsi="Times New Roman"/>
      <w:sz w:val="24"/>
      <w:lang w:val="es-ES_tradnl" w:eastAsia="en-US"/>
    </w:rPr>
  </w:style>
  <w:style w:type="character" w:styleId="Hyperlink">
    <w:name w:val="Hyperlink"/>
    <w:basedOn w:val="DefaultParagraphFont"/>
    <w:uiPriority w:val="99"/>
    <w:rsid w:val="00451F9B"/>
    <w:rPr>
      <w:rFonts w:cs="Times New Roman"/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55136"/>
    <w:rPr>
      <w:rFonts w:ascii="Times New Roman" w:hAnsi="Times New Roman"/>
      <w:sz w:val="18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tu.int/ITU-T/worksem/climatechange/201011/programm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ITU-T/worksem/climatechange/201011/" TargetMode="External"/><Relationship Id="rId2" Type="http://schemas.openxmlformats.org/officeDocument/2006/relationships/hyperlink" Target="http://www.itu.int/ITU-T/climatechange/" TargetMode="External"/><Relationship Id="rId1" Type="http://schemas.openxmlformats.org/officeDocument/2006/relationships/hyperlink" Target="http://www.itu.int/ITU-D/cyb/app/e-env.htm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.eeaa.gov.eg/" TargetMode="External"/><Relationship Id="rId5" Type="http://schemas.openxmlformats.org/officeDocument/2006/relationships/image" Target="media/image3.jpeg"/><Relationship Id="rId4" Type="http://schemas.openxmlformats.org/officeDocument/2006/relationships/hyperlink" Target="http://www.mcit.gov.e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rciap\Application%20Data\Microsoft\Templates\POOL%20S%20-%20ITU\PS_PO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PS_POOL.dotm</Template>
  <TotalTime>59</TotalTime>
  <Pages>6</Pages>
  <Words>2265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garciap</dc:creator>
  <cp:keywords/>
  <dc:description/>
  <cp:lastModifiedBy>garciap</cp:lastModifiedBy>
  <cp:revision>13</cp:revision>
  <cp:lastPrinted>2010-11-11T15:58:00Z</cp:lastPrinted>
  <dcterms:created xsi:type="dcterms:W3CDTF">2010-11-11T11:20:00Z</dcterms:created>
  <dcterms:modified xsi:type="dcterms:W3CDTF">2010-11-11T15:58:00Z</dcterms:modified>
</cp:coreProperties>
</file>