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CA64" w14:textId="77777777" w:rsidR="00077206" w:rsidRPr="00087342" w:rsidRDefault="00077206" w:rsidP="00077206">
      <w:pPr>
        <w:pStyle w:val="Country"/>
        <w:rPr>
          <w:rFonts w:ascii="Calibri" w:hAnsi="Calibri" w:cs="Calibri"/>
          <w:lang w:val="es-ES"/>
        </w:rPr>
      </w:pPr>
      <w:r w:rsidRPr="00087342">
        <w:rPr>
          <w:rFonts w:ascii="Calibri" w:hAnsi="Calibri" w:cs="Calibri"/>
          <w:lang w:val="es-ES"/>
        </w:rPr>
        <w:t>Malta (indicativo de país +356)</w:t>
      </w:r>
    </w:p>
    <w:p w14:paraId="3302408F" w14:textId="77777777" w:rsidR="00077206" w:rsidRPr="00087342" w:rsidRDefault="00077206" w:rsidP="00077206">
      <w:pPr>
        <w:rPr>
          <w:rFonts w:cs="Calibri"/>
          <w:lang w:val="es-ES"/>
        </w:rPr>
      </w:pPr>
      <w:r w:rsidRPr="00087342">
        <w:rPr>
          <w:rFonts w:cs="Calibri"/>
          <w:lang w:val="es-ES"/>
        </w:rPr>
        <w:t>Comunicaciones del 12.XII.2025 y el 23.XII.2025:</w:t>
      </w:r>
    </w:p>
    <w:p w14:paraId="78738CCE" w14:textId="77777777" w:rsidR="00077206" w:rsidRPr="00087342" w:rsidRDefault="00077206" w:rsidP="00077206">
      <w:pPr>
        <w:spacing w:after="80"/>
        <w:rPr>
          <w:rFonts w:cs="Calibri"/>
          <w:lang w:val="es-ES"/>
        </w:rPr>
      </w:pPr>
      <w:r w:rsidRPr="00087342">
        <w:rPr>
          <w:rFonts w:cs="Calibri"/>
          <w:lang w:val="es-ES"/>
        </w:rPr>
        <w:t xml:space="preserve">La </w:t>
      </w:r>
      <w:r w:rsidRPr="00087342">
        <w:rPr>
          <w:rFonts w:cs="Calibri"/>
          <w:i/>
          <w:iCs/>
          <w:lang w:val="es-ES"/>
        </w:rPr>
        <w:t>Malta Communications Authority (MCA)</w:t>
      </w:r>
      <w:r w:rsidRPr="00087342">
        <w:rPr>
          <w:rFonts w:cs="Calibri"/>
          <w:lang w:val="es-ES"/>
        </w:rPr>
        <w:t>, Floriana, anuncia una actualización del plan nacional de numeración (PNN) de Malta. Las principales gamas de números son las siguientes: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10"/>
        <w:gridCol w:w="1797"/>
        <w:gridCol w:w="2432"/>
      </w:tblGrid>
      <w:tr w:rsidR="00077206" w:rsidRPr="00087342" w14:paraId="6AE73839" w14:textId="77777777" w:rsidTr="00686BDB">
        <w:trPr>
          <w:cantSplit/>
          <w:jc w:val="center"/>
        </w:trPr>
        <w:tc>
          <w:tcPr>
            <w:tcW w:w="5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DB965" w14:textId="77777777" w:rsidR="00077206" w:rsidRPr="00087342" w:rsidRDefault="00077206" w:rsidP="00686BDB">
            <w:pPr>
              <w:pStyle w:val="Tablehead"/>
              <w:rPr>
                <w:rFonts w:cs="Calibri"/>
                <w:sz w:val="20"/>
                <w:szCs w:val="20"/>
              </w:rPr>
            </w:pPr>
            <w:r w:rsidRPr="00087342">
              <w:rPr>
                <w:rFonts w:cs="Calibri"/>
                <w:sz w:val="20"/>
                <w:szCs w:val="20"/>
              </w:rPr>
              <w:t>Servicio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E0339" w14:textId="77777777" w:rsidR="00077206" w:rsidRPr="00087342" w:rsidRDefault="00077206" w:rsidP="00686BDB">
            <w:pPr>
              <w:pStyle w:val="Tablehead"/>
              <w:rPr>
                <w:rFonts w:cs="Calibri"/>
                <w:sz w:val="20"/>
                <w:szCs w:val="20"/>
              </w:rPr>
            </w:pPr>
            <w:r w:rsidRPr="00087342">
              <w:rPr>
                <w:rFonts w:cs="Calibri"/>
                <w:sz w:val="20"/>
                <w:szCs w:val="20"/>
              </w:rPr>
              <w:t>Operador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E9001" w14:textId="77777777" w:rsidR="00077206" w:rsidRPr="00087342" w:rsidRDefault="00077206" w:rsidP="00686BDB">
            <w:pPr>
              <w:pStyle w:val="Tablehead"/>
              <w:rPr>
                <w:rFonts w:cs="Calibri"/>
                <w:sz w:val="20"/>
                <w:szCs w:val="20"/>
              </w:rPr>
            </w:pPr>
            <w:r w:rsidRPr="00087342">
              <w:rPr>
                <w:rFonts w:cs="Calibri"/>
                <w:sz w:val="20"/>
                <w:szCs w:val="20"/>
              </w:rPr>
              <w:t>Gamas de números</w:t>
            </w:r>
          </w:p>
        </w:tc>
      </w:tr>
      <w:tr w:rsidR="00077206" w:rsidRPr="00087342" w14:paraId="0C7152DB" w14:textId="77777777" w:rsidTr="00686BDB">
        <w:trPr>
          <w:cantSplit/>
          <w:jc w:val="center"/>
        </w:trPr>
        <w:tc>
          <w:tcPr>
            <w:tcW w:w="5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D5F2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Fijo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8CD8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GO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7EB7A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2100 ‒ 2399 XXXX</w:t>
            </w:r>
          </w:p>
        </w:tc>
      </w:tr>
      <w:tr w:rsidR="00077206" w:rsidRPr="00087342" w14:paraId="05513601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84637D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99AA2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E2C2B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2500 ‒ 2599 XXXX</w:t>
            </w:r>
          </w:p>
        </w:tc>
      </w:tr>
      <w:tr w:rsidR="00077206" w:rsidRPr="00087342" w14:paraId="5CCC1B0E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9189AD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65FF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Melita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4D1A9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2600 ‒ 2609 XXXX</w:t>
            </w:r>
          </w:p>
        </w:tc>
      </w:tr>
      <w:tr w:rsidR="00077206" w:rsidRPr="00087342" w14:paraId="4FED1EBE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36E00C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FEC7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41101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2700 ‒ 2799 XXXX</w:t>
            </w:r>
          </w:p>
        </w:tc>
      </w:tr>
      <w:tr w:rsidR="00077206" w:rsidRPr="00087342" w14:paraId="6F63C3EF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C12E85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99CE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73467B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2010 ‒ 2018 XXXX</w:t>
            </w:r>
          </w:p>
        </w:tc>
      </w:tr>
      <w:tr w:rsidR="00077206" w:rsidRPr="00087342" w14:paraId="63A93D09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608D33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D496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897061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2060 XXXX</w:t>
            </w:r>
          </w:p>
        </w:tc>
      </w:tr>
      <w:tr w:rsidR="00077206" w:rsidRPr="00087342" w14:paraId="53B31C9B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76F96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CE38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141695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2065 XXXX</w:t>
            </w:r>
          </w:p>
        </w:tc>
      </w:tr>
      <w:tr w:rsidR="00077206" w:rsidRPr="00087342" w14:paraId="787F8585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5D5548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5F02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Vanilla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29DE1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2031 ‒ 2034 XXXX</w:t>
            </w:r>
          </w:p>
        </w:tc>
      </w:tr>
      <w:tr w:rsidR="00077206" w:rsidRPr="00087342" w14:paraId="7BED10BA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3235C7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F3E0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9B763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2069 XXXX</w:t>
            </w:r>
          </w:p>
        </w:tc>
      </w:tr>
      <w:tr w:rsidR="00077206" w:rsidRPr="00087342" w14:paraId="23D53240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79F83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4CD1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Epic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52BACC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2090 ‒ 2099 XXXX</w:t>
            </w:r>
          </w:p>
        </w:tc>
      </w:tr>
      <w:tr w:rsidR="00077206" w:rsidRPr="00087342" w14:paraId="291BEED9" w14:textId="77777777" w:rsidTr="00686BDB">
        <w:trPr>
          <w:cantSplit/>
          <w:jc w:val="center"/>
        </w:trPr>
        <w:tc>
          <w:tcPr>
            <w:tcW w:w="5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8AC1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Móvil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8EF39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GO Mobile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E20C5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7900 ‒ 7999 XXXX</w:t>
            </w:r>
          </w:p>
        </w:tc>
      </w:tr>
      <w:tr w:rsidR="00077206" w:rsidRPr="00087342" w14:paraId="1C18BE0F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A6C709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E73B2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193BD3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9889 XXXX</w:t>
            </w:r>
          </w:p>
        </w:tc>
      </w:tr>
      <w:tr w:rsidR="00077206" w:rsidRPr="00087342" w14:paraId="431BC383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4005F6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19744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4F0EE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7210 XXXX</w:t>
            </w:r>
          </w:p>
        </w:tc>
      </w:tr>
      <w:tr w:rsidR="00077206" w:rsidRPr="00087342" w14:paraId="3FC0E4F3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28458B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ADE0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Epic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1B560B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9900 ‒ 9999 XXXX</w:t>
            </w:r>
          </w:p>
        </w:tc>
      </w:tr>
      <w:tr w:rsidR="00077206" w:rsidRPr="00087342" w14:paraId="7613DB39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1C08FB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C9162B1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41484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9696 XXXX</w:t>
            </w:r>
          </w:p>
        </w:tc>
      </w:tr>
      <w:tr w:rsidR="00077206" w:rsidRPr="00087342" w14:paraId="769A4129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CE20A6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785C0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303EC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9897 XXXX</w:t>
            </w:r>
          </w:p>
        </w:tc>
      </w:tr>
      <w:tr w:rsidR="00077206" w:rsidRPr="00087342" w14:paraId="399B6C8D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C2A63A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FBAF0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3680D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9210 ‒ 9211 XXXX</w:t>
            </w:r>
          </w:p>
        </w:tc>
      </w:tr>
      <w:tr w:rsidR="00077206" w:rsidRPr="00087342" w14:paraId="479D4937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A02F0C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9A053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85622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9231 XXXX</w:t>
            </w:r>
          </w:p>
        </w:tc>
      </w:tr>
      <w:tr w:rsidR="00077206" w:rsidRPr="00087342" w14:paraId="32883AD1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0EAE46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0B7D3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Melita Mobile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185B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7700 ‒ 7799 XXXX</w:t>
            </w:r>
          </w:p>
        </w:tc>
      </w:tr>
      <w:tr w:rsidR="00077206" w:rsidRPr="00087342" w14:paraId="5A327E9F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54303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90D3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43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B41D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9811 ‒ 9813 XXXX</w:t>
            </w:r>
          </w:p>
        </w:tc>
      </w:tr>
      <w:tr w:rsidR="00077206" w:rsidRPr="00087342" w14:paraId="64F70319" w14:textId="77777777" w:rsidTr="00686BDB">
        <w:trPr>
          <w:cantSplit/>
          <w:jc w:val="center"/>
        </w:trPr>
        <w:tc>
          <w:tcPr>
            <w:tcW w:w="5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307B8B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  <w:lang w:val="es-ES"/>
              </w:rPr>
            </w:pPr>
            <w:r w:rsidRPr="00087342">
              <w:rPr>
                <w:rFonts w:cs="Calibri"/>
                <w:szCs w:val="20"/>
                <w:lang w:val="es-ES"/>
              </w:rPr>
              <w:t>Servicios de conectividad M2M/IoT y otros servicios de comunicaciones no interpersonales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5EEA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Melita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DB32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40001 – 40038 XXXXX</w:t>
            </w:r>
          </w:p>
        </w:tc>
      </w:tr>
      <w:tr w:rsidR="00077206" w:rsidRPr="00087342" w14:paraId="19B2290A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3ED2AF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left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8666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</w:p>
        </w:tc>
        <w:tc>
          <w:tcPr>
            <w:tcW w:w="243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D696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40040 – 40051 XXXXX</w:t>
            </w:r>
          </w:p>
        </w:tc>
      </w:tr>
      <w:tr w:rsidR="00077206" w:rsidRPr="00087342" w14:paraId="059461E7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D115D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left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077B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</w:p>
        </w:tc>
        <w:tc>
          <w:tcPr>
            <w:tcW w:w="243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ECB2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color w:val="FF0000"/>
                <w:szCs w:val="20"/>
              </w:rPr>
            </w:pPr>
            <w:r w:rsidRPr="00087342">
              <w:rPr>
                <w:rFonts w:cs="Calibri"/>
                <w:color w:val="FF0000"/>
                <w:szCs w:val="20"/>
              </w:rPr>
              <w:t>40060 – 40069 XXXXX</w:t>
            </w:r>
          </w:p>
        </w:tc>
      </w:tr>
      <w:tr w:rsidR="00077206" w:rsidRPr="00087342" w14:paraId="5D99A107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7C8A80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left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1116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</w:p>
        </w:tc>
        <w:tc>
          <w:tcPr>
            <w:tcW w:w="243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E68DC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color w:val="FF0000"/>
                <w:szCs w:val="20"/>
              </w:rPr>
            </w:pPr>
            <w:r w:rsidRPr="00087342">
              <w:rPr>
                <w:rFonts w:cs="Calibri"/>
                <w:color w:val="FF0000"/>
                <w:szCs w:val="20"/>
              </w:rPr>
              <w:t>40080 – 40089 XXXXX</w:t>
            </w:r>
          </w:p>
        </w:tc>
      </w:tr>
      <w:tr w:rsidR="00077206" w:rsidRPr="00087342" w14:paraId="3C69E6B1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372F7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left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5D61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GO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F814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40079 XXXXX</w:t>
            </w:r>
          </w:p>
        </w:tc>
      </w:tr>
      <w:tr w:rsidR="00077206" w:rsidRPr="00087342" w14:paraId="325F1274" w14:textId="77777777" w:rsidTr="00686BDB">
        <w:trPr>
          <w:cantSplit/>
          <w:jc w:val="center"/>
        </w:trPr>
        <w:tc>
          <w:tcPr>
            <w:tcW w:w="5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3DC75" w14:textId="77777777" w:rsidR="00077206" w:rsidRPr="00087342" w:rsidRDefault="00077206" w:rsidP="00686BDB">
            <w:pPr>
              <w:tabs>
                <w:tab w:val="clear" w:pos="1276"/>
                <w:tab w:val="left" w:pos="1701"/>
              </w:tabs>
              <w:ind w:left="567" w:hanging="567"/>
              <w:jc w:val="left"/>
              <w:rPr>
                <w:rFonts w:cs="Calibri"/>
                <w:lang w:val="en-GB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D4B46" w14:textId="77777777" w:rsidR="00077206" w:rsidRPr="00087342" w:rsidRDefault="00077206" w:rsidP="00686BDB">
            <w:pPr>
              <w:pStyle w:val="Tabletext"/>
              <w:jc w:val="center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Epic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7CF1" w14:textId="77777777" w:rsidR="00077206" w:rsidRPr="00087342" w:rsidRDefault="00077206" w:rsidP="00686BDB">
            <w:pPr>
              <w:pStyle w:val="Tabletext"/>
              <w:spacing w:before="20" w:after="20"/>
              <w:ind w:left="227"/>
              <w:rPr>
                <w:rFonts w:cs="Calibri"/>
                <w:szCs w:val="20"/>
              </w:rPr>
            </w:pPr>
            <w:r w:rsidRPr="00087342">
              <w:rPr>
                <w:rFonts w:cs="Calibri"/>
                <w:szCs w:val="20"/>
              </w:rPr>
              <w:t>40099 XXXXX</w:t>
            </w:r>
          </w:p>
        </w:tc>
      </w:tr>
    </w:tbl>
    <w:p w14:paraId="0453AB02" w14:textId="77777777" w:rsidR="00077206" w:rsidRPr="00087342" w:rsidRDefault="00077206" w:rsidP="00077206">
      <w:pPr>
        <w:pStyle w:val="Normalaftertitle"/>
        <w:rPr>
          <w:rFonts w:cs="Calibri"/>
          <w:lang w:val="es-ES"/>
        </w:rPr>
      </w:pPr>
      <w:r w:rsidRPr="00087342">
        <w:rPr>
          <w:rFonts w:cs="Calibri"/>
          <w:lang w:val="es-ES"/>
        </w:rPr>
        <w:t xml:space="preserve">Se ruega a todas las administraciones y empresas de explotación reconocidas (EER) que programen sus conmutadores con carácter urgente para permitir el acceso inmediato a estas gamas de números. Por su parte, el plan nacional de numeración se actualiza en tiempo real y puede consultarse en el sitio web de la MCA en el siguiente enlace: </w:t>
      </w:r>
      <w:r w:rsidRPr="00087342">
        <w:rPr>
          <w:rFonts w:cs="Calibri"/>
          <w:lang w:val="es-ES"/>
        </w:rPr>
        <w:br/>
      </w:r>
      <w:hyperlink r:id="rId6" w:history="1">
        <w:r w:rsidRPr="00087342">
          <w:rPr>
            <w:rStyle w:val="Hyperlink"/>
            <w:rFonts w:cs="Calibri"/>
            <w:lang w:val="es-ES"/>
          </w:rPr>
          <w:t>https://www.mca.org.mt/regulatory/numbering/numbering-plans</w:t>
        </w:r>
      </w:hyperlink>
      <w:r w:rsidRPr="00087342">
        <w:rPr>
          <w:rFonts w:cs="Calibri"/>
          <w:lang w:val="es-ES"/>
        </w:rPr>
        <w:t>.</w:t>
      </w:r>
    </w:p>
    <w:p w14:paraId="18D42E6A" w14:textId="77777777" w:rsidR="00077206" w:rsidRPr="00087342" w:rsidRDefault="00077206" w:rsidP="00077206">
      <w:pPr>
        <w:keepNext/>
        <w:keepLines/>
        <w:rPr>
          <w:rFonts w:cs="Calibri"/>
          <w:lang w:val="es-ES" w:bidi="ar-LB"/>
        </w:rPr>
      </w:pPr>
      <w:r w:rsidRPr="00087342">
        <w:rPr>
          <w:rFonts w:cs="Calibri"/>
          <w:lang w:val="es-ES" w:bidi="ar-LB"/>
        </w:rPr>
        <w:t>Contacto:</w:t>
      </w:r>
    </w:p>
    <w:p w14:paraId="1F056550" w14:textId="494E6196" w:rsidR="00077206" w:rsidRPr="00087342" w:rsidRDefault="00077206" w:rsidP="00077206">
      <w:pPr>
        <w:tabs>
          <w:tab w:val="clear" w:pos="1276"/>
          <w:tab w:val="left" w:pos="1701"/>
        </w:tabs>
        <w:ind w:left="567" w:hanging="567"/>
        <w:jc w:val="left"/>
        <w:rPr>
          <w:rFonts w:cs="Calibri"/>
          <w:lang w:val="es-ES"/>
        </w:rPr>
      </w:pPr>
      <w:r w:rsidRPr="00087342">
        <w:rPr>
          <w:rFonts w:cs="Calibri"/>
          <w:lang w:val="es-ES"/>
        </w:rPr>
        <w:tab/>
        <w:t xml:space="preserve">Alistair Farrugia / Deborah Pisani </w:t>
      </w:r>
      <w:r w:rsidRPr="00087342">
        <w:rPr>
          <w:rFonts w:cs="Calibri"/>
          <w:lang w:val="es-ES"/>
        </w:rPr>
        <w:br/>
        <w:t>Malta Communications Authority (MCA)</w:t>
      </w:r>
      <w:r w:rsidRPr="00087342">
        <w:rPr>
          <w:rFonts w:cs="Calibri"/>
          <w:lang w:val="es-ES"/>
        </w:rPr>
        <w:br/>
        <w:t>Valletta Waterfront</w:t>
      </w:r>
      <w:r w:rsidRPr="00087342">
        <w:rPr>
          <w:rFonts w:cs="Calibri"/>
          <w:lang w:val="es-ES"/>
        </w:rPr>
        <w:br/>
        <w:t>Pinto Wharf</w:t>
      </w:r>
      <w:r w:rsidRPr="00087342">
        <w:rPr>
          <w:rFonts w:cs="Calibri"/>
          <w:lang w:val="es-ES"/>
        </w:rPr>
        <w:br/>
        <w:t>Floriana FRN1913</w:t>
      </w:r>
      <w:r w:rsidRPr="00087342">
        <w:rPr>
          <w:rFonts w:cs="Calibri"/>
          <w:lang w:val="es-ES"/>
        </w:rPr>
        <w:br/>
        <w:t>Malta</w:t>
      </w:r>
      <w:r w:rsidRPr="00087342">
        <w:rPr>
          <w:rFonts w:cs="Calibri"/>
          <w:lang w:val="es-ES"/>
        </w:rPr>
        <w:br/>
        <w:t>Tel:</w:t>
      </w:r>
      <w:r w:rsidR="00087342" w:rsidRPr="00087342">
        <w:rPr>
          <w:rFonts w:cs="Calibri"/>
          <w:lang w:val="es-ES"/>
        </w:rPr>
        <w:t xml:space="preserve"> </w:t>
      </w:r>
      <w:r w:rsidRPr="00087342">
        <w:rPr>
          <w:rFonts w:cs="Calibri"/>
          <w:lang w:val="es-ES"/>
        </w:rPr>
        <w:t>+356 2133 6840</w:t>
      </w:r>
      <w:r w:rsidRPr="00087342">
        <w:rPr>
          <w:rFonts w:cs="Calibri"/>
          <w:lang w:val="es-ES"/>
        </w:rPr>
        <w:br/>
      </w:r>
      <w:r w:rsidR="00DA15D8" w:rsidRPr="00087342">
        <w:rPr>
          <w:rFonts w:cs="Calibri"/>
          <w:lang w:val="es-ES"/>
        </w:rPr>
        <w:t>E-mail</w:t>
      </w:r>
      <w:r w:rsidRPr="00087342">
        <w:rPr>
          <w:rFonts w:cs="Calibri"/>
          <w:lang w:val="es-ES"/>
        </w:rPr>
        <w:t>:</w:t>
      </w:r>
      <w:r w:rsidR="00087342" w:rsidRPr="00087342">
        <w:rPr>
          <w:rFonts w:cs="Calibri"/>
          <w:lang w:val="es-ES"/>
        </w:rPr>
        <w:t xml:space="preserve"> </w:t>
      </w:r>
      <w:r w:rsidRPr="00087342">
        <w:rPr>
          <w:rFonts w:cs="Calibri"/>
          <w:lang w:val="es-ES"/>
        </w:rPr>
        <w:t>numbering@mca.org.mt</w:t>
      </w:r>
      <w:r w:rsidRPr="00087342">
        <w:rPr>
          <w:rFonts w:cs="Calibri"/>
          <w:lang w:val="es-ES"/>
        </w:rPr>
        <w:br/>
        <w:t>URL:</w:t>
      </w:r>
      <w:r w:rsidR="00087342">
        <w:rPr>
          <w:rFonts w:cs="Calibri"/>
          <w:lang w:val="es-ES"/>
        </w:rPr>
        <w:t xml:space="preserve"> </w:t>
      </w:r>
      <w:r w:rsidRPr="00087342">
        <w:rPr>
          <w:rFonts w:eastAsia="Calibri" w:cs="Calibri"/>
          <w:lang w:val="es-ES"/>
        </w:rPr>
        <w:t>www.mca.org.mt</w:t>
      </w:r>
    </w:p>
    <w:p w14:paraId="5227322A" w14:textId="77777777" w:rsidR="00A8525F" w:rsidRPr="00087342" w:rsidRDefault="00A8525F">
      <w:pPr>
        <w:rPr>
          <w:rFonts w:cs="Calibri"/>
          <w:lang w:val="es-ES"/>
        </w:rPr>
      </w:pPr>
    </w:p>
    <w:sectPr w:rsidR="00A8525F" w:rsidRPr="00087342" w:rsidSect="00077206">
      <w:headerReference w:type="even" r:id="rId7"/>
      <w:headerReference w:type="default" r:id="rId8"/>
      <w:footerReference w:type="first" r:id="rId9"/>
      <w:pgSz w:w="11901" w:h="16840" w:code="9"/>
      <w:pgMar w:top="1418" w:right="1134" w:bottom="1418" w:left="1134" w:header="720" w:footer="561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C6EB" w14:textId="77777777" w:rsidR="00DA15D8" w:rsidRDefault="00DA15D8">
      <w:pPr>
        <w:spacing w:before="0"/>
      </w:pPr>
      <w:r>
        <w:separator/>
      </w:r>
    </w:p>
  </w:endnote>
  <w:endnote w:type="continuationSeparator" w:id="0">
    <w:p w14:paraId="2E8CC185" w14:textId="77777777" w:rsidR="00DA15D8" w:rsidRDefault="00DA15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B3AE" w14:textId="77777777" w:rsidR="00077206" w:rsidRPr="003023EB" w:rsidRDefault="00077206" w:rsidP="000C4565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46EC" w14:textId="77777777" w:rsidR="00DA15D8" w:rsidRDefault="00DA15D8">
      <w:pPr>
        <w:spacing w:before="0"/>
      </w:pPr>
      <w:r>
        <w:separator/>
      </w:r>
    </w:p>
  </w:footnote>
  <w:footnote w:type="continuationSeparator" w:id="0">
    <w:p w14:paraId="270411D5" w14:textId="77777777" w:rsidR="00DA15D8" w:rsidRDefault="00DA15D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  <w:sz w:val="18"/>
        <w:szCs w:val="18"/>
      </w:rPr>
      <w:id w:val="-6152158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0C6882" w14:textId="77777777" w:rsidR="00077206" w:rsidRPr="000D2BF0" w:rsidRDefault="00077206" w:rsidP="000D2BF0">
        <w:pPr>
          <w:pStyle w:val="Header"/>
          <w:jc w:val="center"/>
          <w:rPr>
            <w:sz w:val="18"/>
            <w:szCs w:val="18"/>
          </w:rPr>
        </w:pPr>
        <w:r w:rsidRPr="000D2BF0">
          <w:rPr>
            <w:noProof w:val="0"/>
            <w:sz w:val="18"/>
            <w:szCs w:val="18"/>
          </w:rPr>
          <w:fldChar w:fldCharType="begin"/>
        </w:r>
        <w:r w:rsidRPr="000D2BF0">
          <w:rPr>
            <w:sz w:val="18"/>
            <w:szCs w:val="18"/>
          </w:rPr>
          <w:instrText xml:space="preserve"> PAGE   \* MERGEFORMAT </w:instrText>
        </w:r>
        <w:r w:rsidRPr="000D2BF0">
          <w:rPr>
            <w:noProof w:val="0"/>
            <w:sz w:val="18"/>
            <w:szCs w:val="18"/>
          </w:rPr>
          <w:fldChar w:fldCharType="separate"/>
        </w:r>
        <w:r w:rsidRPr="000D2BF0">
          <w:rPr>
            <w:sz w:val="18"/>
            <w:szCs w:val="18"/>
          </w:rPr>
          <w:t>2</w:t>
        </w:r>
        <w:r w:rsidRPr="000D2BF0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  <w:sz w:val="18"/>
        <w:szCs w:val="18"/>
      </w:rPr>
      <w:id w:val="3829925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1A7C0E" w14:textId="77777777" w:rsidR="00077206" w:rsidRPr="00BD5551" w:rsidRDefault="00077206" w:rsidP="00BD5551">
        <w:pPr>
          <w:pStyle w:val="Header"/>
          <w:jc w:val="center"/>
          <w:rPr>
            <w:sz w:val="18"/>
            <w:szCs w:val="18"/>
          </w:rPr>
        </w:pPr>
        <w:r w:rsidRPr="000D2BF0">
          <w:rPr>
            <w:noProof w:val="0"/>
            <w:sz w:val="18"/>
            <w:szCs w:val="18"/>
          </w:rPr>
          <w:fldChar w:fldCharType="begin"/>
        </w:r>
        <w:r w:rsidRPr="000D2BF0">
          <w:rPr>
            <w:sz w:val="18"/>
            <w:szCs w:val="18"/>
          </w:rPr>
          <w:instrText xml:space="preserve"> PAGE   \* MERGEFORMAT </w:instrText>
        </w:r>
        <w:r w:rsidRPr="000D2BF0">
          <w:rPr>
            <w:noProof w:val="0"/>
            <w:sz w:val="18"/>
            <w:szCs w:val="18"/>
          </w:rPr>
          <w:fldChar w:fldCharType="separate"/>
        </w:r>
        <w:r>
          <w:rPr>
            <w:noProof w:val="0"/>
            <w:sz w:val="18"/>
            <w:szCs w:val="18"/>
          </w:rPr>
          <w:t>4</w:t>
        </w:r>
        <w:r w:rsidRPr="000D2BF0">
          <w:rPr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06"/>
    <w:rsid w:val="00077206"/>
    <w:rsid w:val="00087342"/>
    <w:rsid w:val="00921C50"/>
    <w:rsid w:val="00A8525F"/>
    <w:rsid w:val="00AA2471"/>
    <w:rsid w:val="00C66951"/>
    <w:rsid w:val="00D37F19"/>
    <w:rsid w:val="00DA15D8"/>
    <w:rsid w:val="00E1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9738"/>
  <w15:chartTrackingRefBased/>
  <w15:docId w15:val="{7977365D-D115-4865-B45F-54ED6C4E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06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noProof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206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206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206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206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206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206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206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206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206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2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80"/>
      <w:contextualSpacing/>
      <w:jc w:val="left"/>
      <w:textAlignment w:val="auto"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206"/>
    <w:pPr>
      <w:numPr>
        <w:ilvl w:val="1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78" w:lineRule="auto"/>
      <w:jc w:val="left"/>
      <w:textAlignment w:val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2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2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noProof w:val="0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2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APEK-4"/>
    <w:basedOn w:val="Normal"/>
    <w:link w:val="HeaderChar"/>
    <w:uiPriority w:val="99"/>
    <w:rsid w:val="00077206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077206"/>
    <w:rPr>
      <w:rFonts w:ascii="Calibri" w:eastAsia="Times New Roman" w:hAnsi="Calibri" w:cs="Times New Roman"/>
      <w:noProof/>
      <w:kern w:val="0"/>
      <w:sz w:val="20"/>
      <w:szCs w:val="20"/>
      <w:lang w:val="en-US"/>
      <w14:ligatures w14:val="none"/>
    </w:rPr>
  </w:style>
  <w:style w:type="paragraph" w:styleId="Footer">
    <w:name w:val="footer"/>
    <w:aliases w:val="pie de página,footer odd"/>
    <w:basedOn w:val="Normal"/>
    <w:link w:val="FooterChar"/>
    <w:uiPriority w:val="99"/>
    <w:rsid w:val="00077206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077206"/>
    <w:rPr>
      <w:rFonts w:ascii="Calibri" w:eastAsia="Times New Roman" w:hAnsi="Calibri" w:cs="Times New Roman"/>
      <w:noProof/>
      <w:kern w:val="0"/>
      <w:sz w:val="20"/>
      <w:szCs w:val="20"/>
      <w:lang w:val="en-US"/>
      <w14:ligatures w14:val="none"/>
    </w:rPr>
  </w:style>
  <w:style w:type="paragraph" w:customStyle="1" w:styleId="Normalaftertitle">
    <w:name w:val="Normal_after_title"/>
    <w:link w:val="NormalaftertitleChar"/>
    <w:rsid w:val="00077206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NormalaftertitleChar">
    <w:name w:val="Normal_after_title Char"/>
    <w:basedOn w:val="DefaultParagraphFont"/>
    <w:link w:val="Normalaftertitle"/>
    <w:rsid w:val="00077206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customStyle="1" w:styleId="Tabletext">
    <w:name w:val="Table_text"/>
    <w:basedOn w:val="Normal"/>
    <w:link w:val="TabletextChar"/>
    <w:rsid w:val="0007720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077206"/>
    <w:rPr>
      <w:rFonts w:ascii="Calibri" w:eastAsia="Times New Roman" w:hAnsi="Calibri" w:cs="Times New Roman"/>
      <w:noProof/>
      <w:kern w:val="0"/>
      <w:sz w:val="20"/>
      <w:szCs w:val="22"/>
      <w:lang w:val="fr-FR"/>
      <w14:ligatures w14:val="none"/>
    </w:rPr>
  </w:style>
  <w:style w:type="paragraph" w:customStyle="1" w:styleId="Tablehead">
    <w:name w:val="Table_head"/>
    <w:basedOn w:val="Normal"/>
    <w:next w:val="Normal"/>
    <w:rsid w:val="0007720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styleId="Hyperlink">
    <w:name w:val="Hyperlink"/>
    <w:basedOn w:val="DefaultParagraphFont"/>
    <w:uiPriority w:val="99"/>
    <w:rsid w:val="00077206"/>
    <w:rPr>
      <w:color w:val="0000FF"/>
      <w:u w:val="single"/>
    </w:rPr>
  </w:style>
  <w:style w:type="paragraph" w:customStyle="1" w:styleId="Country">
    <w:name w:val="Country"/>
    <w:basedOn w:val="Heading1"/>
    <w:rsid w:val="00077206"/>
    <w:pPr>
      <w:tabs>
        <w:tab w:val="left" w:pos="794"/>
      </w:tabs>
      <w:overflowPunct w:val="0"/>
      <w:autoSpaceDE w:val="0"/>
      <w:autoSpaceDN w:val="0"/>
      <w:adjustRightInd w:val="0"/>
      <w:spacing w:before="0" w:after="0" w:line="220" w:lineRule="exact"/>
      <w:textAlignment w:val="baseline"/>
    </w:pPr>
    <w:rPr>
      <w:rFonts w:asciiTheme="minorHAnsi" w:eastAsia="Times New Roman" w:hAnsiTheme="minorHAnsi" w:cs="Arial"/>
      <w:b/>
      <w:noProof/>
      <w:color w:val="auto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ca.org.mt/regulatory/numbering/numbering-plan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1347</Characters>
  <Application>Microsoft Office Word</Application>
  <DocSecurity>0</DocSecurity>
  <Lines>112</Lines>
  <Paragraphs>61</Paragraphs>
  <ScaleCrop>false</ScaleCrop>
  <Company>ITU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Al-Mnini, Lara</dc:creator>
  <cp:keywords/>
  <dc:description/>
  <cp:lastModifiedBy>Paladin, Rae</cp:lastModifiedBy>
  <cp:revision>4</cp:revision>
  <dcterms:created xsi:type="dcterms:W3CDTF">2026-02-05T13:30:00Z</dcterms:created>
  <dcterms:modified xsi:type="dcterms:W3CDTF">2026-02-12T08:58:00Z</dcterms:modified>
</cp:coreProperties>
</file>