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3E" w:rsidRPr="00152C88" w:rsidRDefault="0065113E" w:rsidP="00DB33C8">
      <w:pPr>
        <w:spacing w:before="0"/>
        <w:rPr>
          <w:b/>
          <w:bCs/>
          <w:lang w:val="es-ES_tradnl"/>
        </w:rPr>
      </w:pPr>
      <w:bookmarkStart w:id="0" w:name="_Toc262631799"/>
      <w:bookmarkStart w:id="1" w:name="_Toc253407143"/>
      <w:r w:rsidRPr="00152C88">
        <w:rPr>
          <w:b/>
          <w:bCs/>
          <w:lang w:val="es-ES_tradnl"/>
        </w:rPr>
        <w:t>Bahamas (</w:t>
      </w:r>
      <w:r w:rsidR="00F35C5E" w:rsidRPr="00152C88">
        <w:rPr>
          <w:b/>
          <w:bCs/>
          <w:lang w:val="es-ES_tradnl"/>
        </w:rPr>
        <w:t>indicativo de país</w:t>
      </w:r>
      <w:r w:rsidRPr="00152C88">
        <w:rPr>
          <w:b/>
          <w:bCs/>
          <w:lang w:val="es-ES_tradnl"/>
        </w:rPr>
        <w:t xml:space="preserve"> +1 242)</w:t>
      </w:r>
    </w:p>
    <w:p w:rsidR="00230922" w:rsidRDefault="00230922" w:rsidP="005C1916">
      <w:pPr>
        <w:spacing w:before="0"/>
        <w:rPr>
          <w:lang w:val="es-ES_tradnl"/>
        </w:rPr>
      </w:pPr>
    </w:p>
    <w:p w:rsidR="004B737D" w:rsidRPr="00C46DC1" w:rsidRDefault="004B737D" w:rsidP="004B737D">
      <w:pPr>
        <w:tabs>
          <w:tab w:val="left" w:pos="1560"/>
          <w:tab w:val="left" w:pos="2127"/>
        </w:tabs>
        <w:spacing w:before="0" w:after="120"/>
        <w:jc w:val="left"/>
        <w:textAlignment w:val="auto"/>
        <w:outlineLvl w:val="3"/>
        <w:rPr>
          <w:rFonts w:cs="Arial"/>
          <w:lang w:val="es-ES_tradnl"/>
        </w:rPr>
      </w:pPr>
      <w:r w:rsidRPr="00C46DC1">
        <w:rPr>
          <w:lang w:val="es-ES_tradnl"/>
        </w:rPr>
        <w:t>Comunicación del 29.VIII.2017:</w:t>
      </w:r>
    </w:p>
    <w:p w:rsidR="004B737D" w:rsidRPr="00C46DC1" w:rsidRDefault="004B737D" w:rsidP="004B737D">
      <w:pPr>
        <w:spacing w:before="0"/>
        <w:textAlignment w:val="auto"/>
        <w:rPr>
          <w:rFonts w:cs="Arial"/>
          <w:lang w:val="es-ES_tradnl"/>
        </w:rPr>
      </w:pPr>
      <w:r w:rsidRPr="00C46DC1">
        <w:rPr>
          <w:lang w:val="es-ES_tradnl"/>
        </w:rPr>
        <w:t xml:space="preserve">La </w:t>
      </w:r>
      <w:proofErr w:type="spellStart"/>
      <w:r w:rsidRPr="00C46DC1">
        <w:rPr>
          <w:i/>
          <w:iCs/>
          <w:lang w:val="es-ES_tradnl"/>
        </w:rPr>
        <w:t>Utilities</w:t>
      </w:r>
      <w:proofErr w:type="spellEnd"/>
      <w:r w:rsidRPr="00C46DC1">
        <w:rPr>
          <w:i/>
          <w:iCs/>
          <w:lang w:val="es-ES_tradnl"/>
        </w:rPr>
        <w:t xml:space="preserve"> </w:t>
      </w:r>
      <w:proofErr w:type="spellStart"/>
      <w:r w:rsidRPr="00C46DC1">
        <w:rPr>
          <w:i/>
          <w:iCs/>
          <w:lang w:val="es-ES_tradnl"/>
        </w:rPr>
        <w:t>Regulation</w:t>
      </w:r>
      <w:proofErr w:type="spellEnd"/>
      <w:r w:rsidRPr="00C46DC1">
        <w:rPr>
          <w:i/>
          <w:iCs/>
          <w:lang w:val="es-ES_tradnl"/>
        </w:rPr>
        <w:t xml:space="preserve"> and </w:t>
      </w:r>
      <w:proofErr w:type="spellStart"/>
      <w:r w:rsidRPr="00C46DC1">
        <w:rPr>
          <w:i/>
          <w:iCs/>
          <w:lang w:val="es-ES_tradnl"/>
        </w:rPr>
        <w:t>Competition</w:t>
      </w:r>
      <w:proofErr w:type="spellEnd"/>
      <w:r w:rsidRPr="00C46DC1">
        <w:rPr>
          <w:i/>
          <w:iCs/>
          <w:lang w:val="es-ES_tradnl"/>
        </w:rPr>
        <w:t xml:space="preserve"> </w:t>
      </w:r>
      <w:proofErr w:type="spellStart"/>
      <w:r w:rsidRPr="00C46DC1">
        <w:rPr>
          <w:i/>
          <w:iCs/>
          <w:lang w:val="es-ES_tradnl"/>
        </w:rPr>
        <w:t>Authority</w:t>
      </w:r>
      <w:proofErr w:type="spellEnd"/>
      <w:r w:rsidRPr="00C46DC1">
        <w:rPr>
          <w:i/>
          <w:iCs/>
          <w:lang w:val="es-ES_tradnl"/>
        </w:rPr>
        <w:t xml:space="preserve"> (URCA), </w:t>
      </w:r>
      <w:r w:rsidRPr="00C46DC1">
        <w:rPr>
          <w:lang w:val="es-ES_tradnl"/>
        </w:rPr>
        <w:t>Nassau, anuncia la siguiente actualización del plan de numeración nacional de las Bahamas.</w:t>
      </w:r>
    </w:p>
    <w:p w:rsidR="004B737D" w:rsidRPr="00C46DC1" w:rsidRDefault="004B737D" w:rsidP="004B737D">
      <w:pPr>
        <w:spacing w:before="0"/>
        <w:textAlignment w:val="auto"/>
        <w:rPr>
          <w:rFonts w:cs="Arial"/>
          <w:lang w:val="es-ES_tradnl"/>
        </w:rPr>
      </w:pPr>
    </w:p>
    <w:p w:rsidR="004B737D" w:rsidRPr="00C46DC1" w:rsidRDefault="004B737D" w:rsidP="004B737D">
      <w:pPr>
        <w:spacing w:before="0"/>
        <w:jc w:val="center"/>
        <w:textAlignment w:val="auto"/>
        <w:rPr>
          <w:i/>
          <w:iCs/>
          <w:lang w:val="es-ES_tradnl"/>
        </w:rPr>
      </w:pPr>
      <w:r w:rsidRPr="00C46DC1">
        <w:rPr>
          <w:i/>
          <w:iCs/>
          <w:lang w:val="es-ES_tradnl"/>
        </w:rPr>
        <w:t>Descripción de cambio de número en el plan de numeración nacional para el indicativo de país + 1 242:</w:t>
      </w:r>
    </w:p>
    <w:p w:rsidR="004B737D" w:rsidRPr="00C46DC1" w:rsidRDefault="004B737D" w:rsidP="004B737D">
      <w:pPr>
        <w:spacing w:before="0"/>
        <w:textAlignment w:val="auto"/>
        <w:rPr>
          <w:lang w:val="es-ES_tradnl"/>
        </w:rPr>
      </w:pPr>
    </w:p>
    <w:tbl>
      <w:tblPr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369"/>
        <w:gridCol w:w="1343"/>
        <w:gridCol w:w="1675"/>
        <w:gridCol w:w="825"/>
        <w:gridCol w:w="828"/>
        <w:gridCol w:w="937"/>
        <w:gridCol w:w="1495"/>
      </w:tblGrid>
      <w:tr w:rsidR="004B737D" w:rsidRPr="00C46DC1" w:rsidTr="007D78AC">
        <w:trPr>
          <w:trHeight w:val="497"/>
        </w:trPr>
        <w:tc>
          <w:tcPr>
            <w:tcW w:w="82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37D" w:rsidRPr="00C46DC1" w:rsidRDefault="004B737D" w:rsidP="007D78AC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C46DC1">
              <w:rPr>
                <w:b/>
                <w:bCs/>
                <w:sz w:val="18"/>
                <w:szCs w:val="18"/>
                <w:lang w:val="es-ES_tradnl"/>
              </w:rPr>
              <w:t xml:space="preserve">Fecha y hora </w:t>
            </w:r>
            <w:r w:rsidRPr="00C46DC1">
              <w:rPr>
                <w:b/>
                <w:bCs/>
                <w:sz w:val="18"/>
                <w:szCs w:val="18"/>
                <w:lang w:val="es-ES_tradnl"/>
              </w:rPr>
              <w:br/>
              <w:t>del cambio comunicadas</w:t>
            </w:r>
          </w:p>
        </w:tc>
        <w:tc>
          <w:tcPr>
            <w:tcW w:w="133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37D" w:rsidRPr="00C46DC1" w:rsidRDefault="004B737D" w:rsidP="007D78AC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C46DC1">
              <w:rPr>
                <w:b/>
                <w:bCs/>
                <w:sz w:val="18"/>
                <w:szCs w:val="18"/>
                <w:lang w:val="es-ES_tradnl"/>
              </w:rPr>
              <w:t>Número nacional (significativo)</w:t>
            </w:r>
            <w:r w:rsidRPr="00C46DC1">
              <w:rPr>
                <w:b/>
                <w:bCs/>
                <w:sz w:val="18"/>
                <w:szCs w:val="18"/>
                <w:lang w:val="es-ES_tradnl"/>
              </w:rPr>
              <w:br/>
              <w:t>N(S)N</w:t>
            </w:r>
          </w:p>
        </w:tc>
        <w:tc>
          <w:tcPr>
            <w:tcW w:w="8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37D" w:rsidRPr="00C46DC1" w:rsidRDefault="004B737D" w:rsidP="007D78AC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C46DC1">
              <w:rPr>
                <w:b/>
                <w:bCs/>
                <w:sz w:val="18"/>
                <w:szCs w:val="18"/>
                <w:lang w:val="es-ES_tradnl"/>
              </w:rPr>
              <w:t xml:space="preserve">Utilización del número </w:t>
            </w:r>
            <w:r>
              <w:rPr>
                <w:b/>
                <w:bCs/>
                <w:sz w:val="18"/>
                <w:szCs w:val="18"/>
                <w:lang w:val="es-ES_tradnl"/>
              </w:rPr>
              <w:t xml:space="preserve">UIT-T </w:t>
            </w:r>
            <w:r w:rsidRPr="00C46DC1">
              <w:rPr>
                <w:b/>
                <w:bCs/>
                <w:sz w:val="18"/>
                <w:szCs w:val="18"/>
                <w:lang w:val="es-ES_tradnl"/>
              </w:rPr>
              <w:t>E.164</w:t>
            </w:r>
          </w:p>
        </w:tc>
        <w:tc>
          <w:tcPr>
            <w:tcW w:w="815" w:type="pct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37D" w:rsidRPr="00C46DC1" w:rsidRDefault="004B737D" w:rsidP="007D78AC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C46DC1">
              <w:rPr>
                <w:b/>
                <w:bCs/>
                <w:sz w:val="18"/>
                <w:szCs w:val="18"/>
                <w:lang w:val="es-ES_tradnl"/>
              </w:rPr>
              <w:t>Funcionamiento en paralelo</w:t>
            </w:r>
          </w:p>
        </w:tc>
        <w:tc>
          <w:tcPr>
            <w:tcW w:w="462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37D" w:rsidRPr="00C46DC1" w:rsidRDefault="004B737D" w:rsidP="007D78AC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C46DC1">
              <w:rPr>
                <w:b/>
                <w:b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73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37D" w:rsidRPr="00C46DC1" w:rsidRDefault="004B737D" w:rsidP="007D78AC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C46DC1">
              <w:rPr>
                <w:b/>
                <w:bCs/>
                <w:sz w:val="18"/>
                <w:szCs w:val="18"/>
                <w:lang w:val="es-ES_tradnl"/>
              </w:rPr>
              <w:t>Texto de anuncio propuesto</w:t>
            </w:r>
          </w:p>
        </w:tc>
      </w:tr>
      <w:tr w:rsidR="004B737D" w:rsidRPr="00C46DC1" w:rsidTr="007D78AC">
        <w:trPr>
          <w:trHeight w:val="277"/>
        </w:trPr>
        <w:tc>
          <w:tcPr>
            <w:tcW w:w="823" w:type="pct"/>
            <w:vMerge/>
            <w:vAlign w:val="center"/>
            <w:hideMark/>
          </w:tcPr>
          <w:p w:rsidR="004B737D" w:rsidRPr="00C46DC1" w:rsidRDefault="004B737D" w:rsidP="007D78AC">
            <w:pPr>
              <w:spacing w:before="20" w:after="20"/>
              <w:jc w:val="center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7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37D" w:rsidRPr="00C46DC1" w:rsidRDefault="004B737D" w:rsidP="007D78AC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C46DC1">
              <w:rPr>
                <w:b/>
                <w:bCs/>
                <w:sz w:val="18"/>
                <w:szCs w:val="18"/>
                <w:lang w:val="es-ES_tradnl"/>
              </w:rPr>
              <w:t>Número antiguo</w:t>
            </w:r>
          </w:p>
        </w:tc>
        <w:tc>
          <w:tcPr>
            <w:tcW w:w="66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37D" w:rsidRPr="00C46DC1" w:rsidRDefault="004B737D" w:rsidP="007D78AC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C46DC1">
              <w:rPr>
                <w:b/>
                <w:bCs/>
                <w:sz w:val="18"/>
                <w:szCs w:val="18"/>
                <w:lang w:val="es-ES_tradnl"/>
              </w:rPr>
              <w:t>Número nuevo</w:t>
            </w:r>
          </w:p>
        </w:tc>
        <w:tc>
          <w:tcPr>
            <w:tcW w:w="826" w:type="pct"/>
            <w:vMerge/>
            <w:vAlign w:val="center"/>
            <w:hideMark/>
          </w:tcPr>
          <w:p w:rsidR="004B737D" w:rsidRPr="00C46DC1" w:rsidRDefault="004B737D" w:rsidP="007D78AC">
            <w:pPr>
              <w:spacing w:before="20" w:after="20"/>
              <w:jc w:val="center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0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37D" w:rsidRPr="00C46DC1" w:rsidRDefault="004B737D" w:rsidP="007D78AC">
            <w:pPr>
              <w:spacing w:before="20" w:after="20"/>
              <w:ind w:left="-113" w:right="-57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C46DC1">
              <w:rPr>
                <w:b/>
                <w:bCs/>
                <w:sz w:val="18"/>
                <w:szCs w:val="18"/>
                <w:lang w:val="es-ES_tradnl"/>
              </w:rPr>
              <w:t>Comienzo</w:t>
            </w:r>
          </w:p>
        </w:tc>
        <w:tc>
          <w:tcPr>
            <w:tcW w:w="40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37D" w:rsidRPr="00C46DC1" w:rsidRDefault="004B737D" w:rsidP="007D78AC">
            <w:pPr>
              <w:spacing w:before="20" w:after="20"/>
              <w:jc w:val="center"/>
              <w:textAlignment w:val="auto"/>
              <w:rPr>
                <w:b/>
                <w:bCs/>
                <w:sz w:val="18"/>
                <w:szCs w:val="18"/>
                <w:lang w:val="es-ES_tradnl"/>
              </w:rPr>
            </w:pPr>
            <w:r w:rsidRPr="00C46DC1">
              <w:rPr>
                <w:b/>
                <w:bCs/>
                <w:sz w:val="18"/>
                <w:szCs w:val="18"/>
                <w:lang w:val="es-ES_tradnl"/>
              </w:rPr>
              <w:t>Fin</w:t>
            </w:r>
          </w:p>
        </w:tc>
        <w:tc>
          <w:tcPr>
            <w:tcW w:w="462" w:type="pct"/>
            <w:vMerge/>
            <w:vAlign w:val="center"/>
            <w:hideMark/>
          </w:tcPr>
          <w:p w:rsidR="004B737D" w:rsidRPr="00C46DC1" w:rsidRDefault="004B737D" w:rsidP="007D78AC">
            <w:pPr>
              <w:spacing w:before="20" w:after="20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4B737D" w:rsidRPr="00C46DC1" w:rsidRDefault="004B737D" w:rsidP="007D78AC">
            <w:pPr>
              <w:spacing w:before="20" w:after="20"/>
              <w:textAlignment w:val="auto"/>
              <w:rPr>
                <w:rFonts w:eastAsia="SimSun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4B737D" w:rsidRPr="00227778" w:rsidTr="007D78AC">
        <w:trPr>
          <w:trHeight w:val="915"/>
        </w:trPr>
        <w:tc>
          <w:tcPr>
            <w:tcW w:w="8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37D" w:rsidRPr="00C46DC1" w:rsidRDefault="004B737D" w:rsidP="007D78AC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C46DC1">
              <w:rPr>
                <w:sz w:val="18"/>
                <w:szCs w:val="18"/>
                <w:lang w:val="es-ES_tradnl"/>
              </w:rPr>
              <w:t xml:space="preserve">15:00 </w:t>
            </w:r>
            <w:r w:rsidRPr="00C46DC1">
              <w:rPr>
                <w:sz w:val="18"/>
                <w:szCs w:val="18"/>
                <w:lang w:val="es-ES_tradnl"/>
              </w:rPr>
              <w:br/>
              <w:t>29.</w:t>
            </w:r>
            <w:r>
              <w:rPr>
                <w:sz w:val="18"/>
                <w:szCs w:val="18"/>
                <w:lang w:val="es-ES_tradnl"/>
              </w:rPr>
              <w:t>VIII</w:t>
            </w:r>
            <w:r w:rsidRPr="00C46DC1">
              <w:rPr>
                <w:sz w:val="18"/>
                <w:szCs w:val="18"/>
                <w:lang w:val="es-ES_tradnl"/>
              </w:rPr>
              <w:t>.2017</w:t>
            </w:r>
          </w:p>
        </w:tc>
        <w:tc>
          <w:tcPr>
            <w:tcW w:w="67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37D" w:rsidRPr="00C46DC1" w:rsidRDefault="004B737D" w:rsidP="007D78AC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C46DC1">
              <w:rPr>
                <w:sz w:val="18"/>
                <w:szCs w:val="18"/>
                <w:lang w:val="es-ES_tradnl"/>
              </w:rPr>
              <w:t>242 889 XXXX</w:t>
            </w:r>
          </w:p>
        </w:tc>
        <w:tc>
          <w:tcPr>
            <w:tcW w:w="66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37D" w:rsidRPr="00C46DC1" w:rsidRDefault="004B737D" w:rsidP="007D78AC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C46DC1">
              <w:rPr>
                <w:sz w:val="18"/>
                <w:szCs w:val="18"/>
                <w:lang w:val="es-ES_tradnl"/>
              </w:rPr>
              <w:t>242 899 XXXX</w:t>
            </w:r>
          </w:p>
        </w:tc>
        <w:tc>
          <w:tcPr>
            <w:tcW w:w="82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37D" w:rsidRPr="00C46DC1" w:rsidRDefault="004B737D" w:rsidP="007D78AC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C46DC1">
              <w:rPr>
                <w:sz w:val="18"/>
                <w:szCs w:val="18"/>
                <w:lang w:val="es-ES_tradnl"/>
              </w:rPr>
              <w:t>Servicio móvil</w:t>
            </w:r>
          </w:p>
        </w:tc>
        <w:tc>
          <w:tcPr>
            <w:tcW w:w="4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37D" w:rsidRPr="00C46DC1" w:rsidRDefault="004B737D" w:rsidP="007D78AC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C46DC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37D" w:rsidRPr="00C46DC1" w:rsidRDefault="004B737D" w:rsidP="007D78AC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C46DC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462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37D" w:rsidRPr="00C46DC1" w:rsidRDefault="004B737D" w:rsidP="007D78AC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C46DC1">
              <w:rPr>
                <w:sz w:val="18"/>
                <w:szCs w:val="18"/>
                <w:lang w:val="es-ES_tradnl"/>
              </w:rPr>
              <w:t>ALIV</w:t>
            </w:r>
          </w:p>
        </w:tc>
        <w:tc>
          <w:tcPr>
            <w:tcW w:w="73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7D" w:rsidRPr="00C46DC1" w:rsidRDefault="004B737D" w:rsidP="007D78AC">
            <w:pPr>
              <w:spacing w:before="20" w:after="20"/>
              <w:jc w:val="center"/>
              <w:textAlignment w:val="auto"/>
              <w:rPr>
                <w:sz w:val="18"/>
                <w:szCs w:val="18"/>
                <w:lang w:val="es-ES_tradnl"/>
              </w:rPr>
            </w:pPr>
            <w:r w:rsidRPr="00C46DC1">
              <w:rPr>
                <w:sz w:val="18"/>
                <w:szCs w:val="18"/>
                <w:lang w:val="es-ES_tradnl"/>
              </w:rPr>
              <w:t>Enmienda al plan de numeración nacional de las Bahamas</w:t>
            </w:r>
          </w:p>
        </w:tc>
      </w:tr>
    </w:tbl>
    <w:p w:rsidR="004B737D" w:rsidRPr="00297EEF" w:rsidRDefault="004B737D" w:rsidP="004B737D">
      <w:pPr>
        <w:spacing w:after="60"/>
        <w:textAlignment w:val="auto"/>
        <w:rPr>
          <w:lang w:val="en-US"/>
        </w:rPr>
      </w:pPr>
      <w:proofErr w:type="spellStart"/>
      <w:r w:rsidRPr="00297EEF">
        <w:rPr>
          <w:lang w:val="en-US"/>
        </w:rPr>
        <w:t>Contacto</w:t>
      </w:r>
      <w:proofErr w:type="spellEnd"/>
      <w:r w:rsidRPr="00297EEF">
        <w:rPr>
          <w:lang w:val="en-US"/>
        </w:rPr>
        <w:t>:</w:t>
      </w:r>
    </w:p>
    <w:p w:rsidR="004B737D" w:rsidRPr="00297EEF" w:rsidRDefault="004B737D" w:rsidP="004B737D">
      <w:pPr>
        <w:ind w:left="567" w:hanging="567"/>
        <w:jc w:val="left"/>
        <w:textAlignment w:val="auto"/>
        <w:rPr>
          <w:lang w:val="en-US"/>
        </w:rPr>
      </w:pPr>
      <w:r w:rsidRPr="00297EEF">
        <w:rPr>
          <w:lang w:val="en-US"/>
        </w:rPr>
        <w:tab/>
        <w:t>Stephen Bereaux</w:t>
      </w:r>
      <w:r w:rsidRPr="00297EEF">
        <w:rPr>
          <w:lang w:val="en-US"/>
        </w:rPr>
        <w:br/>
        <w:t>Chief Executive Officer</w:t>
      </w:r>
      <w:bookmarkStart w:id="2" w:name="_GoBack"/>
      <w:bookmarkEnd w:id="2"/>
      <w:r w:rsidRPr="00297EEF">
        <w:rPr>
          <w:lang w:val="en-US"/>
        </w:rPr>
        <w:br/>
        <w:t>Electronic Communications</w:t>
      </w:r>
      <w:r w:rsidRPr="00297EEF">
        <w:rPr>
          <w:lang w:val="en-US"/>
        </w:rPr>
        <w:br/>
        <w:t>Utilities Regulation and Competition Authority (URCA)</w:t>
      </w:r>
      <w:r w:rsidRPr="00297EEF">
        <w:rPr>
          <w:lang w:val="en-US"/>
        </w:rPr>
        <w:br/>
        <w:t>Frederick House, Frederick Street</w:t>
      </w:r>
      <w:r w:rsidRPr="00297EEF">
        <w:rPr>
          <w:lang w:val="en-US"/>
        </w:rPr>
        <w:br/>
        <w:t>P.O. Box N-4860</w:t>
      </w:r>
      <w:r w:rsidRPr="00297EEF">
        <w:rPr>
          <w:lang w:val="en-US"/>
        </w:rPr>
        <w:br/>
        <w:t>Nassau, Bahamas</w:t>
      </w:r>
      <w:r w:rsidRPr="00297EEF">
        <w:rPr>
          <w:lang w:val="en-US"/>
        </w:rPr>
        <w:br/>
        <w:t>Tel.: +1 242 393 0234</w:t>
      </w:r>
      <w:r w:rsidRPr="00297EEF">
        <w:rPr>
          <w:lang w:val="en-US"/>
        </w:rPr>
        <w:br/>
        <w:t>Fax: +1 242 393 0153</w:t>
      </w:r>
      <w:r w:rsidRPr="00297EEF">
        <w:rPr>
          <w:lang w:val="en-US"/>
        </w:rPr>
        <w:br/>
      </w:r>
      <w:r>
        <w:rPr>
          <w:lang w:val="en-US"/>
        </w:rPr>
        <w:t>E-mail</w:t>
      </w:r>
      <w:r w:rsidRPr="00297EEF">
        <w:rPr>
          <w:lang w:val="en-US"/>
        </w:rPr>
        <w:t xml:space="preserve">: </w:t>
      </w:r>
      <w:r w:rsidRPr="009C0688">
        <w:rPr>
          <w:lang w:val="en-US"/>
        </w:rPr>
        <w:t>info@urcabahamas.bs</w:t>
      </w:r>
      <w:r w:rsidRPr="00297EEF">
        <w:rPr>
          <w:lang w:val="en-US"/>
        </w:rPr>
        <w:br/>
        <w:t xml:space="preserve">URL: </w:t>
      </w:r>
      <w:r w:rsidRPr="009C0688">
        <w:rPr>
          <w:lang w:val="en-US"/>
        </w:rPr>
        <w:t>www.urcabahamas.bs</w:t>
      </w:r>
    </w:p>
    <w:p w:rsidR="004B737D" w:rsidRPr="00227778" w:rsidRDefault="004B737D" w:rsidP="004B737D">
      <w:pPr>
        <w:spacing w:before="0"/>
        <w:rPr>
          <w:lang w:val="en-US"/>
        </w:rPr>
      </w:pPr>
    </w:p>
    <w:p w:rsidR="004B737D" w:rsidRDefault="00132C6A" w:rsidP="00132C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4B737D" w:rsidRPr="00132C6A" w:rsidRDefault="00132C6A" w:rsidP="00132C6A">
      <w:pPr>
        <w:tabs>
          <w:tab w:val="left" w:pos="1560"/>
          <w:tab w:val="left" w:pos="2127"/>
        </w:tabs>
        <w:spacing w:before="0" w:after="120"/>
        <w:jc w:val="left"/>
        <w:textAlignment w:val="auto"/>
        <w:outlineLvl w:val="3"/>
        <w:rPr>
          <w:rFonts w:cs="Arial"/>
          <w:lang w:val="es-ES_tradnl"/>
        </w:rPr>
      </w:pPr>
      <w:r w:rsidRPr="00C46DC1">
        <w:rPr>
          <w:lang w:val="es-ES_tradnl"/>
        </w:rPr>
        <w:lastRenderedPageBreak/>
        <w:t xml:space="preserve">Comunicación del </w:t>
      </w:r>
      <w:r w:rsidRPr="00F35C5E">
        <w:rPr>
          <w:lang w:val="es-ES_tradnl"/>
        </w:rPr>
        <w:t>28.VII.2017</w:t>
      </w:r>
      <w:r w:rsidRPr="00C46DC1">
        <w:rPr>
          <w:lang w:val="es-ES_tradnl"/>
        </w:rPr>
        <w:t>:</w:t>
      </w:r>
    </w:p>
    <w:p w:rsidR="0065113E" w:rsidRPr="00F35C5E" w:rsidRDefault="00F35C5E" w:rsidP="00F35C5E">
      <w:pPr>
        <w:rPr>
          <w:lang w:val="es-ES_tradnl"/>
        </w:rPr>
      </w:pPr>
      <w:bookmarkStart w:id="3" w:name="dtmis_Start"/>
      <w:bookmarkStart w:id="4" w:name="dtmis_Underskriver"/>
      <w:bookmarkEnd w:id="3"/>
      <w:bookmarkEnd w:id="4"/>
      <w:r w:rsidRPr="00F35C5E">
        <w:rPr>
          <w:lang w:val="es-ES_tradnl"/>
        </w:rPr>
        <w:t>La</w:t>
      </w:r>
      <w:r w:rsidR="0065113E" w:rsidRPr="00F35C5E">
        <w:rPr>
          <w:lang w:val="es-ES_tradnl"/>
        </w:rPr>
        <w:t xml:space="preserve"> </w:t>
      </w:r>
      <w:proofErr w:type="spellStart"/>
      <w:r w:rsidR="0065113E" w:rsidRPr="005740F7">
        <w:rPr>
          <w:i/>
          <w:iCs/>
          <w:lang w:val="es-ES_tradnl"/>
        </w:rPr>
        <w:t>Utilities</w:t>
      </w:r>
      <w:proofErr w:type="spellEnd"/>
      <w:r w:rsidR="0065113E" w:rsidRPr="005740F7">
        <w:rPr>
          <w:i/>
          <w:iCs/>
          <w:lang w:val="es-ES_tradnl"/>
        </w:rPr>
        <w:t xml:space="preserve"> </w:t>
      </w:r>
      <w:proofErr w:type="spellStart"/>
      <w:r w:rsidR="0065113E" w:rsidRPr="005740F7">
        <w:rPr>
          <w:i/>
          <w:iCs/>
          <w:lang w:val="es-ES_tradnl"/>
        </w:rPr>
        <w:t>Regulation</w:t>
      </w:r>
      <w:proofErr w:type="spellEnd"/>
      <w:r w:rsidR="0065113E" w:rsidRPr="005740F7">
        <w:rPr>
          <w:i/>
          <w:iCs/>
          <w:lang w:val="es-ES_tradnl"/>
        </w:rPr>
        <w:t xml:space="preserve"> and </w:t>
      </w:r>
      <w:proofErr w:type="spellStart"/>
      <w:r w:rsidR="0065113E" w:rsidRPr="005740F7">
        <w:rPr>
          <w:i/>
          <w:iCs/>
          <w:lang w:val="es-ES_tradnl"/>
        </w:rPr>
        <w:t>Competition</w:t>
      </w:r>
      <w:proofErr w:type="spellEnd"/>
      <w:r w:rsidR="0065113E" w:rsidRPr="005740F7">
        <w:rPr>
          <w:i/>
          <w:iCs/>
          <w:lang w:val="es-ES_tradnl"/>
        </w:rPr>
        <w:t xml:space="preserve"> Authority (URCA)</w:t>
      </w:r>
      <w:r w:rsidR="0065113E" w:rsidRPr="00F35C5E">
        <w:rPr>
          <w:lang w:val="es-ES_tradnl"/>
        </w:rPr>
        <w:t xml:space="preserve">, Nassau, </w:t>
      </w:r>
      <w:r w:rsidRPr="00F35C5E">
        <w:rPr>
          <w:lang w:val="es-ES_tradnl"/>
        </w:rPr>
        <w:t xml:space="preserve">anuncia el </w:t>
      </w:r>
      <w:r w:rsidR="00772FAF" w:rsidRPr="00F35C5E">
        <w:rPr>
          <w:lang w:val="es-ES_tradnl"/>
        </w:rPr>
        <w:t xml:space="preserve">Plan Nacional </w:t>
      </w:r>
      <w:r w:rsidRPr="00F35C5E">
        <w:rPr>
          <w:lang w:val="es-ES_tradnl"/>
        </w:rPr>
        <w:t xml:space="preserve">de </w:t>
      </w:r>
      <w:r w:rsidR="00772FAF" w:rsidRPr="00F35C5E">
        <w:rPr>
          <w:lang w:val="es-ES_tradnl"/>
        </w:rPr>
        <w:t xml:space="preserve">Numeración </w:t>
      </w:r>
      <w:r w:rsidRPr="00F35C5E">
        <w:rPr>
          <w:lang w:val="es-ES_tradnl"/>
        </w:rPr>
        <w:t xml:space="preserve">actualizado de </w:t>
      </w:r>
      <w:r w:rsidR="0065113E" w:rsidRPr="00F35C5E">
        <w:rPr>
          <w:lang w:val="es-ES_tradnl"/>
        </w:rPr>
        <w:t>Bahamas.</w:t>
      </w:r>
    </w:p>
    <w:p w:rsidR="0065113E" w:rsidRPr="00F35C5E" w:rsidRDefault="00FE0623" w:rsidP="00001AAE">
      <w:pPr>
        <w:spacing w:before="240"/>
        <w:rPr>
          <w:lang w:val="es-ES_tradnl"/>
        </w:rPr>
      </w:pPr>
      <w:bookmarkStart w:id="5" w:name="_Toc417051164"/>
      <w:bookmarkStart w:id="6" w:name="_Toc489001243"/>
      <w:r>
        <w:rPr>
          <w:lang w:val="es-ES_tradnl"/>
        </w:rPr>
        <w:t>1</w:t>
      </w:r>
      <w:r w:rsidR="0065113E" w:rsidRPr="00F35C5E">
        <w:rPr>
          <w:lang w:val="es-ES_tradnl"/>
        </w:rPr>
        <w:tab/>
      </w:r>
      <w:bookmarkEnd w:id="5"/>
      <w:bookmarkEnd w:id="6"/>
      <w:r w:rsidR="00F35C5E" w:rsidRPr="00F35C5E">
        <w:rPr>
          <w:lang w:val="es-ES_tradnl"/>
        </w:rPr>
        <w:t>INTRODUCCIÓN</w:t>
      </w:r>
    </w:p>
    <w:p w:rsidR="0065113E" w:rsidRPr="00F35C5E" w:rsidRDefault="00F35C5E" w:rsidP="00A13C38">
      <w:pPr>
        <w:rPr>
          <w:lang w:val="es-ES_tradnl"/>
        </w:rPr>
      </w:pPr>
      <w:r w:rsidRPr="00F35C5E">
        <w:rPr>
          <w:noProof/>
          <w:lang w:val="es-ES_tradnl"/>
        </w:rPr>
        <w:t>La Ley de Comunicaciones</w:t>
      </w:r>
      <w:r w:rsidR="0065113E" w:rsidRPr="00F35C5E">
        <w:rPr>
          <w:noProof/>
          <w:lang w:val="es-ES_tradnl"/>
        </w:rPr>
        <w:t>, 2009 (Comms Act) prescribe</w:t>
      </w:r>
      <w:r w:rsidR="003357AC">
        <w:rPr>
          <w:noProof/>
          <w:lang w:val="es-ES_tradnl"/>
        </w:rPr>
        <w:t xml:space="preserve"> la legislación aplicable al sector de las comu</w:t>
      </w:r>
      <w:r w:rsidR="00A13C38">
        <w:rPr>
          <w:noProof/>
          <w:lang w:val="es-ES_tradnl"/>
        </w:rPr>
        <w:t>n</w:t>
      </w:r>
      <w:r w:rsidR="003357AC">
        <w:rPr>
          <w:noProof/>
          <w:lang w:val="es-ES_tradnl"/>
        </w:rPr>
        <w:t>icaciones electrónicas</w:t>
      </w:r>
      <w:r w:rsidR="0065113E" w:rsidRPr="00F35C5E">
        <w:rPr>
          <w:noProof/>
          <w:lang w:val="es-ES_tradnl"/>
        </w:rPr>
        <w:t xml:space="preserve"> (ECS). </w:t>
      </w:r>
      <w:r w:rsidR="00B378A7">
        <w:rPr>
          <w:noProof/>
          <w:lang w:val="es-ES_tradnl"/>
        </w:rPr>
        <w:t xml:space="preserve">La ley faculta a la </w:t>
      </w:r>
      <w:r w:rsidR="0065113E" w:rsidRPr="00F35C5E">
        <w:rPr>
          <w:noProof/>
          <w:lang w:val="es-ES_tradnl"/>
        </w:rPr>
        <w:t xml:space="preserve">Utilities Regulation and Competition Authority (URCA) </w:t>
      </w:r>
      <w:r w:rsidR="00B378A7">
        <w:rPr>
          <w:noProof/>
          <w:lang w:val="es-ES_tradnl"/>
        </w:rPr>
        <w:t>como el organismo regulador independiente para el sector</w:t>
      </w:r>
      <w:r w:rsidR="0065113E" w:rsidRPr="00F35C5E">
        <w:rPr>
          <w:noProof/>
          <w:lang w:val="es-ES_tradnl"/>
        </w:rPr>
        <w:t xml:space="preserve">. </w:t>
      </w:r>
      <w:r w:rsidR="00B378A7">
        <w:rPr>
          <w:noProof/>
          <w:lang w:val="es-ES_tradnl"/>
        </w:rPr>
        <w:t xml:space="preserve">Además, asigna a </w:t>
      </w:r>
      <w:r w:rsidR="0065113E" w:rsidRPr="00F35C5E">
        <w:rPr>
          <w:noProof/>
          <w:lang w:val="es-ES_tradnl"/>
        </w:rPr>
        <w:t xml:space="preserve">URCA </w:t>
      </w:r>
      <w:r w:rsidR="00B378A7">
        <w:rPr>
          <w:noProof/>
          <w:lang w:val="es-ES_tradnl"/>
        </w:rPr>
        <w:t xml:space="preserve">la responsabilidad de aplicar la política del sector de comunicaciones electrónicas </w:t>
      </w:r>
      <w:r w:rsidR="0065113E" w:rsidRPr="00F35C5E">
        <w:rPr>
          <w:noProof/>
          <w:lang w:val="es-ES_tradnl"/>
        </w:rPr>
        <w:t xml:space="preserve">(ECSP) </w:t>
      </w:r>
      <w:r w:rsidR="00B378A7">
        <w:rPr>
          <w:noProof/>
          <w:lang w:val="es-ES_tradnl"/>
        </w:rPr>
        <w:t>y velar por el cumplimiento de lo dispuesto en la ley de comunicaciones</w:t>
      </w:r>
      <w:r w:rsidR="0065113E" w:rsidRPr="00F35C5E">
        <w:rPr>
          <w:noProof/>
          <w:lang w:val="es-ES_tradnl"/>
        </w:rPr>
        <w:t xml:space="preserve">, </w:t>
      </w:r>
      <w:r w:rsidR="00B378A7">
        <w:rPr>
          <w:noProof/>
          <w:lang w:val="es-ES_tradnl"/>
        </w:rPr>
        <w:t>que comprende la obligación de gestionar los activos públicos como los recursos de numeración</w:t>
      </w:r>
      <w:r w:rsidR="0065113E" w:rsidRPr="00F35C5E">
        <w:rPr>
          <w:noProof/>
          <w:lang w:val="es-ES_tradnl"/>
        </w:rPr>
        <w:t>.</w:t>
      </w:r>
      <w:r w:rsidR="0065113E" w:rsidRPr="00F35C5E">
        <w:rPr>
          <w:lang w:val="es-ES_tradnl"/>
        </w:rPr>
        <w:t xml:space="preserve"> </w:t>
      </w:r>
      <w:r w:rsidR="00B378A7">
        <w:rPr>
          <w:noProof/>
          <w:lang w:val="es-ES_tradnl"/>
        </w:rPr>
        <w:t>De conformidad con dicha obligación</w:t>
      </w:r>
      <w:r w:rsidR="0065113E" w:rsidRPr="00F35C5E">
        <w:rPr>
          <w:lang w:val="es-ES_tradnl"/>
        </w:rPr>
        <w:t xml:space="preserve">, </w:t>
      </w:r>
      <w:r w:rsidR="00B378A7">
        <w:rPr>
          <w:lang w:val="es-ES_tradnl"/>
        </w:rPr>
        <w:t xml:space="preserve">la Sección </w:t>
      </w:r>
      <w:r w:rsidR="0065113E" w:rsidRPr="00F35C5E">
        <w:rPr>
          <w:lang w:val="es-ES_tradnl"/>
        </w:rPr>
        <w:t xml:space="preserve">79 </w:t>
      </w:r>
      <w:r w:rsidR="00B378A7">
        <w:rPr>
          <w:lang w:val="es-ES_tradnl"/>
        </w:rPr>
        <w:t xml:space="preserve">de la Ley de Comunicaciones exige a </w:t>
      </w:r>
      <w:r w:rsidR="0065113E" w:rsidRPr="00F35C5E">
        <w:rPr>
          <w:lang w:val="es-ES_tradnl"/>
        </w:rPr>
        <w:t xml:space="preserve">URCA </w:t>
      </w:r>
      <w:r w:rsidR="00B378A7">
        <w:rPr>
          <w:lang w:val="es-ES_tradnl"/>
        </w:rPr>
        <w:t>que</w:t>
      </w:r>
      <w:r w:rsidR="0065113E" w:rsidRPr="00F35C5E">
        <w:rPr>
          <w:lang w:val="es-ES_tradnl"/>
        </w:rPr>
        <w:t>:</w:t>
      </w:r>
    </w:p>
    <w:p w:rsidR="0065113E" w:rsidRPr="00FE0623" w:rsidRDefault="00FE0623" w:rsidP="00FE0623">
      <w:pPr>
        <w:pStyle w:val="enumlev1"/>
        <w:rPr>
          <w:noProof/>
          <w:lang w:val="es-ES_tradnl"/>
        </w:rPr>
      </w:pPr>
      <w:r w:rsidRPr="00FE0623">
        <w:rPr>
          <w:noProof/>
          <w:lang w:val="es-ES_tradnl"/>
        </w:rPr>
        <w:t>i)</w:t>
      </w:r>
      <w:r w:rsidR="0065113E" w:rsidRPr="00FE0623">
        <w:rPr>
          <w:noProof/>
          <w:lang w:val="es-ES_tradnl"/>
        </w:rPr>
        <w:tab/>
      </w:r>
      <w:r w:rsidR="00B378A7" w:rsidRPr="00FE0623">
        <w:rPr>
          <w:noProof/>
          <w:lang w:val="es-ES_tradnl"/>
        </w:rPr>
        <w:t xml:space="preserve">publique un plan de numeración para </w:t>
      </w:r>
      <w:r w:rsidR="0065113E" w:rsidRPr="00FE0623">
        <w:rPr>
          <w:noProof/>
          <w:lang w:val="es-ES_tradnl"/>
        </w:rPr>
        <w:t xml:space="preserve">Bahamas </w:t>
      </w:r>
      <w:r w:rsidR="00B378A7" w:rsidRPr="00FE0623">
        <w:rPr>
          <w:noProof/>
          <w:lang w:val="es-ES_tradnl"/>
        </w:rPr>
        <w:t xml:space="preserve">que guarde conformidad con las normas internacionales de numeración aplicables, en particular las de la Administración del Plan Numérico de América del Norte </w:t>
      </w:r>
      <w:r w:rsidR="0065113E" w:rsidRPr="00FE0623">
        <w:rPr>
          <w:noProof/>
          <w:lang w:val="es-ES_tradnl"/>
        </w:rPr>
        <w:t xml:space="preserve">(NANPA); </w:t>
      </w:r>
      <w:r w:rsidR="00B378A7" w:rsidRPr="00FE0623">
        <w:rPr>
          <w:noProof/>
          <w:lang w:val="es-ES_tradnl"/>
        </w:rPr>
        <w:t>y</w:t>
      </w:r>
    </w:p>
    <w:p w:rsidR="0065113E" w:rsidRPr="00FE0623" w:rsidRDefault="00FE0623" w:rsidP="00FE0623">
      <w:pPr>
        <w:pStyle w:val="enumlev1"/>
        <w:rPr>
          <w:noProof/>
          <w:lang w:val="es-ES_tradnl"/>
        </w:rPr>
      </w:pPr>
      <w:r w:rsidRPr="00FE0623">
        <w:rPr>
          <w:noProof/>
          <w:lang w:val="es-ES_tradnl"/>
        </w:rPr>
        <w:t>ii)</w:t>
      </w:r>
      <w:r w:rsidR="0065113E" w:rsidRPr="00FE0623">
        <w:rPr>
          <w:noProof/>
          <w:lang w:val="es-ES_tradnl"/>
        </w:rPr>
        <w:tab/>
      </w:r>
      <w:r w:rsidR="00B378A7" w:rsidRPr="00FE0623">
        <w:rPr>
          <w:noProof/>
          <w:lang w:val="es-ES_tradnl"/>
        </w:rPr>
        <w:t>establezca reglas para la atribución y asignación de números a los titulares de licencia</w:t>
      </w:r>
      <w:r w:rsidR="00001AAE">
        <w:rPr>
          <w:noProof/>
          <w:lang w:val="es-ES_tradnl"/>
        </w:rPr>
        <w:t>.</w:t>
      </w:r>
    </w:p>
    <w:p w:rsidR="0065113E" w:rsidRPr="00152C88" w:rsidRDefault="0065113E" w:rsidP="00001AAE">
      <w:pPr>
        <w:spacing w:before="240"/>
        <w:rPr>
          <w:i/>
          <w:iCs/>
          <w:lang w:val="es-ES_tradnl"/>
        </w:rPr>
      </w:pPr>
      <w:bookmarkStart w:id="7" w:name="_Toc465369459"/>
      <w:bookmarkStart w:id="8" w:name="_Toc465369590"/>
      <w:bookmarkStart w:id="9" w:name="_Toc489001244"/>
      <w:r w:rsidRPr="00152C88">
        <w:rPr>
          <w:i/>
          <w:iCs/>
          <w:lang w:val="es-ES_tradnl"/>
        </w:rPr>
        <w:t>OBJECTIV</w:t>
      </w:r>
      <w:r w:rsidR="00B378A7" w:rsidRPr="00152C88">
        <w:rPr>
          <w:i/>
          <w:iCs/>
          <w:lang w:val="es-ES_tradnl"/>
        </w:rPr>
        <w:t>O</w:t>
      </w:r>
      <w:r w:rsidRPr="00152C88">
        <w:rPr>
          <w:i/>
          <w:iCs/>
          <w:lang w:val="es-ES_tradnl"/>
        </w:rPr>
        <w:t xml:space="preserve">S </w:t>
      </w:r>
      <w:r w:rsidR="00B378A7" w:rsidRPr="00152C88">
        <w:rPr>
          <w:i/>
          <w:iCs/>
          <w:lang w:val="es-ES_tradnl"/>
        </w:rPr>
        <w:t xml:space="preserve">DEL PRESENTE </w:t>
      </w:r>
      <w:r w:rsidRPr="00152C88">
        <w:rPr>
          <w:i/>
          <w:iCs/>
          <w:lang w:val="es-ES_tradnl"/>
        </w:rPr>
        <w:t>DOCUMENT</w:t>
      </w:r>
      <w:bookmarkEnd w:id="7"/>
      <w:bookmarkEnd w:id="8"/>
      <w:bookmarkEnd w:id="9"/>
      <w:r w:rsidR="00B378A7" w:rsidRPr="00152C88">
        <w:rPr>
          <w:i/>
          <w:iCs/>
          <w:lang w:val="es-ES_tradnl"/>
        </w:rPr>
        <w:t>O</w:t>
      </w:r>
    </w:p>
    <w:p w:rsidR="0065113E" w:rsidRPr="00F35C5E" w:rsidRDefault="00B378A7" w:rsidP="00152C88">
      <w:pPr>
        <w:rPr>
          <w:lang w:val="es-ES_tradnl"/>
        </w:rPr>
      </w:pPr>
      <w:r>
        <w:rPr>
          <w:noProof/>
          <w:lang w:val="es-ES_tradnl"/>
        </w:rPr>
        <w:t>De conformidad con sus obligaciones dimanantes de la Ley de Comunicaciones</w:t>
      </w:r>
      <w:r w:rsidR="0065113E" w:rsidRPr="00F35C5E">
        <w:rPr>
          <w:noProof/>
          <w:lang w:val="es-ES_tradnl"/>
        </w:rPr>
        <w:t xml:space="preserve">, URCA ha </w:t>
      </w:r>
      <w:r>
        <w:rPr>
          <w:noProof/>
          <w:lang w:val="es-ES_tradnl"/>
        </w:rPr>
        <w:t xml:space="preserve">preparado el presente documento para anunciar a las partes interesadas la actual atribución de recursos de numeración en el Plan Nacional de Numeración </w:t>
      </w:r>
      <w:r w:rsidR="0065113E" w:rsidRPr="00F35C5E">
        <w:rPr>
          <w:noProof/>
          <w:lang w:val="es-ES_tradnl"/>
        </w:rPr>
        <w:t>(</w:t>
      </w:r>
      <w:r w:rsidR="009355A8">
        <w:rPr>
          <w:lang w:val="es-ES_tradnl"/>
        </w:rPr>
        <w:t>PNN</w:t>
      </w:r>
      <w:r w:rsidR="0065113E" w:rsidRPr="00F35C5E">
        <w:rPr>
          <w:noProof/>
          <w:lang w:val="es-ES_tradnl"/>
        </w:rPr>
        <w:t>)</w:t>
      </w:r>
      <w:r>
        <w:rPr>
          <w:noProof/>
          <w:lang w:val="es-ES_tradnl"/>
        </w:rPr>
        <w:t xml:space="preserve"> de Bahamas</w:t>
      </w:r>
      <w:r w:rsidR="0065113E" w:rsidRPr="00F35C5E">
        <w:rPr>
          <w:noProof/>
          <w:lang w:val="es-ES_tradnl"/>
        </w:rPr>
        <w:t>.</w:t>
      </w:r>
      <w:r w:rsidR="0065113E" w:rsidRPr="00F35C5E">
        <w:rPr>
          <w:lang w:val="es-ES_tradnl"/>
        </w:rPr>
        <w:t xml:space="preserve"> </w:t>
      </w:r>
      <w:r>
        <w:rPr>
          <w:lang w:val="es-ES_tradnl"/>
        </w:rPr>
        <w:t>Por consiguiente</w:t>
      </w:r>
      <w:r w:rsidR="0065113E" w:rsidRPr="00F35C5E">
        <w:rPr>
          <w:noProof/>
          <w:lang w:val="es-ES_tradnl"/>
        </w:rPr>
        <w:t xml:space="preserve">, </w:t>
      </w:r>
      <w:r>
        <w:rPr>
          <w:noProof/>
          <w:lang w:val="es-ES_tradnl"/>
        </w:rPr>
        <w:t>el presente documento tiene los objetivos siguientes</w:t>
      </w:r>
      <w:r w:rsidR="0065113E" w:rsidRPr="00F35C5E">
        <w:rPr>
          <w:lang w:val="es-ES_tradnl"/>
        </w:rPr>
        <w:t>:</w:t>
      </w:r>
    </w:p>
    <w:p w:rsidR="0065113E" w:rsidRPr="00FE0623" w:rsidRDefault="0065113E" w:rsidP="00FE0623">
      <w:pPr>
        <w:pStyle w:val="enumlev1"/>
        <w:rPr>
          <w:noProof/>
          <w:lang w:val="es-ES_tradnl"/>
        </w:rPr>
      </w:pPr>
      <w:r w:rsidRPr="00FE0623">
        <w:rPr>
          <w:noProof/>
          <w:lang w:val="es-ES_tradnl"/>
        </w:rPr>
        <w:t>i</w:t>
      </w:r>
      <w:r w:rsidR="00FE0623">
        <w:rPr>
          <w:noProof/>
          <w:lang w:val="es-ES_tradnl"/>
        </w:rPr>
        <w:t>)</w:t>
      </w:r>
      <w:r w:rsidRPr="00FE0623">
        <w:rPr>
          <w:noProof/>
          <w:lang w:val="es-ES_tradnl"/>
        </w:rPr>
        <w:tab/>
      </w:r>
      <w:r w:rsidR="00FE0623">
        <w:rPr>
          <w:noProof/>
          <w:lang w:val="es-ES_tradnl"/>
        </w:rPr>
        <w:t>a</w:t>
      </w:r>
      <w:r w:rsidR="00B378A7" w:rsidRPr="00FE0623">
        <w:rPr>
          <w:noProof/>
          <w:lang w:val="es-ES_tradnl"/>
        </w:rPr>
        <w:t xml:space="preserve">nunciar a las partes interesadas que el </w:t>
      </w:r>
      <w:r w:rsidRPr="00FE0623">
        <w:rPr>
          <w:noProof/>
          <w:lang w:val="es-ES_tradnl"/>
        </w:rPr>
        <w:t>URCA ha</w:t>
      </w:r>
      <w:r w:rsidR="00B378A7" w:rsidRPr="00FE0623">
        <w:rPr>
          <w:noProof/>
          <w:lang w:val="es-ES_tradnl"/>
        </w:rPr>
        <w:t xml:space="preserve"> publicado el </w:t>
      </w:r>
      <w:r w:rsidR="009355A8">
        <w:rPr>
          <w:noProof/>
          <w:lang w:val="es-ES_tradnl"/>
        </w:rPr>
        <w:t>PNN</w:t>
      </w:r>
      <w:r w:rsidR="00FE0623" w:rsidRPr="00FE0623">
        <w:rPr>
          <w:noProof/>
          <w:lang w:val="es-ES_tradnl"/>
        </w:rPr>
        <w:t>;</w:t>
      </w:r>
    </w:p>
    <w:p w:rsidR="0065113E" w:rsidRPr="00FE0623" w:rsidRDefault="0065113E" w:rsidP="00FE0623">
      <w:pPr>
        <w:pStyle w:val="enumlev1"/>
        <w:rPr>
          <w:noProof/>
          <w:lang w:val="es-ES_tradnl"/>
        </w:rPr>
      </w:pPr>
      <w:r w:rsidRPr="00FE0623">
        <w:rPr>
          <w:noProof/>
          <w:lang w:val="es-ES_tradnl"/>
        </w:rPr>
        <w:t>ii</w:t>
      </w:r>
      <w:r w:rsidR="00FE0623">
        <w:rPr>
          <w:noProof/>
          <w:lang w:val="es-ES_tradnl"/>
        </w:rPr>
        <w:t>)</w:t>
      </w:r>
      <w:r w:rsidRPr="00FE0623">
        <w:rPr>
          <w:noProof/>
          <w:lang w:val="es-ES_tradnl"/>
        </w:rPr>
        <w:tab/>
      </w:r>
      <w:r w:rsidR="00FE0623">
        <w:rPr>
          <w:noProof/>
          <w:lang w:val="es-ES_tradnl"/>
        </w:rPr>
        <w:t>p</w:t>
      </w:r>
      <w:r w:rsidR="00B378A7" w:rsidRPr="00FE0623">
        <w:rPr>
          <w:noProof/>
          <w:lang w:val="es-ES_tradnl"/>
        </w:rPr>
        <w:t xml:space="preserve">resentar un resumen sucinto del </w:t>
      </w:r>
      <w:r w:rsidR="009355A8">
        <w:rPr>
          <w:noProof/>
          <w:lang w:val="es-ES_tradnl"/>
        </w:rPr>
        <w:t>PNN</w:t>
      </w:r>
      <w:r w:rsidRPr="00FE0623">
        <w:rPr>
          <w:noProof/>
          <w:lang w:val="es-ES_tradnl"/>
        </w:rPr>
        <w:t xml:space="preserve">; </w:t>
      </w:r>
      <w:r w:rsidR="00FE0623" w:rsidRPr="00FE0623">
        <w:rPr>
          <w:noProof/>
          <w:lang w:val="es-ES_tradnl"/>
        </w:rPr>
        <w:t>y</w:t>
      </w:r>
    </w:p>
    <w:p w:rsidR="0065113E" w:rsidRPr="00FE0623" w:rsidRDefault="0065113E" w:rsidP="00FE0623">
      <w:pPr>
        <w:pStyle w:val="enumlev1"/>
        <w:rPr>
          <w:noProof/>
          <w:lang w:val="es-ES_tradnl"/>
        </w:rPr>
      </w:pPr>
      <w:r w:rsidRPr="00FE0623">
        <w:rPr>
          <w:noProof/>
          <w:lang w:val="es-ES_tradnl"/>
        </w:rPr>
        <w:t>iii</w:t>
      </w:r>
      <w:r w:rsidR="00FE0623">
        <w:rPr>
          <w:noProof/>
          <w:lang w:val="es-ES_tradnl"/>
        </w:rPr>
        <w:t>)</w:t>
      </w:r>
      <w:r w:rsidRPr="00FE0623">
        <w:rPr>
          <w:noProof/>
          <w:lang w:val="es-ES_tradnl"/>
        </w:rPr>
        <w:tab/>
      </w:r>
      <w:r w:rsidR="00FE0623">
        <w:rPr>
          <w:noProof/>
          <w:lang w:val="es-ES_tradnl"/>
        </w:rPr>
        <w:t>p</w:t>
      </w:r>
      <w:r w:rsidR="00B378A7" w:rsidRPr="00FE0623">
        <w:rPr>
          <w:noProof/>
          <w:lang w:val="es-ES_tradnl"/>
        </w:rPr>
        <w:t xml:space="preserve">oner al corriente a las partes interesadas acerca de la atribución de recursos en el </w:t>
      </w:r>
      <w:r w:rsidR="009355A8">
        <w:rPr>
          <w:noProof/>
          <w:lang w:val="es-ES_tradnl"/>
        </w:rPr>
        <w:t>PNN</w:t>
      </w:r>
      <w:r w:rsidRPr="00FE0623">
        <w:rPr>
          <w:noProof/>
          <w:lang w:val="es-ES_tradnl"/>
        </w:rPr>
        <w:t>.</w:t>
      </w:r>
    </w:p>
    <w:p w:rsidR="0065113E" w:rsidRPr="00152C88" w:rsidRDefault="00B378A7" w:rsidP="00001AAE">
      <w:pPr>
        <w:spacing w:before="240"/>
        <w:rPr>
          <w:i/>
          <w:iCs/>
          <w:lang w:val="es-ES_tradnl"/>
        </w:rPr>
      </w:pPr>
      <w:bookmarkStart w:id="10" w:name="_Toc465369460"/>
      <w:bookmarkStart w:id="11" w:name="_Toc465369591"/>
      <w:bookmarkStart w:id="12" w:name="_Toc489001245"/>
      <w:r w:rsidRPr="00152C88">
        <w:rPr>
          <w:i/>
          <w:iCs/>
          <w:lang w:val="es-ES_tradnl"/>
        </w:rPr>
        <w:t>ESTRUCTURA DEL RESTO DEL DOCUMENTO</w:t>
      </w:r>
      <w:bookmarkEnd w:id="10"/>
      <w:bookmarkEnd w:id="11"/>
      <w:bookmarkEnd w:id="12"/>
    </w:p>
    <w:p w:rsidR="0065113E" w:rsidRPr="00152C88" w:rsidRDefault="00B378A7" w:rsidP="00152C88">
      <w:pPr>
        <w:rPr>
          <w:noProof/>
          <w:lang w:val="es-ES_tradnl"/>
        </w:rPr>
      </w:pPr>
      <w:r w:rsidRPr="00152C88">
        <w:rPr>
          <w:noProof/>
          <w:lang w:val="es-ES_tradnl"/>
        </w:rPr>
        <w:t>El resto del presente documento está estructurado del modo siguiente</w:t>
      </w:r>
      <w:r w:rsidR="0065113E" w:rsidRPr="00152C88">
        <w:rPr>
          <w:noProof/>
          <w:lang w:val="es-ES_tradnl"/>
        </w:rPr>
        <w:t>:</w:t>
      </w:r>
    </w:p>
    <w:p w:rsidR="0065113E" w:rsidRPr="00FE0623" w:rsidRDefault="00FE0623" w:rsidP="00FE0623">
      <w:pPr>
        <w:pStyle w:val="enumlev1"/>
        <w:rPr>
          <w:noProof/>
          <w:lang w:val="es-ES_tradnl"/>
        </w:rPr>
      </w:pPr>
      <w:r w:rsidRPr="00FE0623">
        <w:rPr>
          <w:noProof/>
          <w:lang w:val="es-ES_tradnl"/>
        </w:rPr>
        <w:t>•</w:t>
      </w:r>
      <w:r>
        <w:rPr>
          <w:noProof/>
          <w:lang w:val="es-ES_tradnl"/>
        </w:rPr>
        <w:tab/>
      </w:r>
      <w:r w:rsidR="00B378A7" w:rsidRPr="00FE0623">
        <w:rPr>
          <w:noProof/>
          <w:lang w:val="es-ES_tradnl"/>
        </w:rPr>
        <w:t xml:space="preserve">Sección </w:t>
      </w:r>
      <w:r w:rsidR="0065113E" w:rsidRPr="00FE0623">
        <w:rPr>
          <w:noProof/>
          <w:lang w:val="es-ES_tradnl"/>
        </w:rPr>
        <w:t>2</w:t>
      </w:r>
      <w:r w:rsidR="00B378A7" w:rsidRPr="00FE0623">
        <w:rPr>
          <w:noProof/>
          <w:lang w:val="es-ES_tradnl"/>
        </w:rPr>
        <w:t xml:space="preserve">: información sobre la publicación del </w:t>
      </w:r>
      <w:r w:rsidR="009355A8">
        <w:rPr>
          <w:noProof/>
          <w:lang w:val="es-ES_tradnl"/>
        </w:rPr>
        <w:t>PNN</w:t>
      </w:r>
      <w:r w:rsidR="0065113E" w:rsidRPr="00FE0623">
        <w:rPr>
          <w:noProof/>
          <w:lang w:val="es-ES_tradnl"/>
        </w:rPr>
        <w:t>;</w:t>
      </w:r>
    </w:p>
    <w:p w:rsidR="0065113E" w:rsidRPr="00FE0623" w:rsidRDefault="00FE0623" w:rsidP="00FE0623">
      <w:pPr>
        <w:pStyle w:val="enumlev1"/>
        <w:rPr>
          <w:noProof/>
          <w:lang w:val="es-ES_tradnl"/>
        </w:rPr>
      </w:pPr>
      <w:r w:rsidRPr="00FE0623">
        <w:rPr>
          <w:noProof/>
          <w:lang w:val="es-ES_tradnl"/>
        </w:rPr>
        <w:t>•</w:t>
      </w:r>
      <w:r>
        <w:rPr>
          <w:noProof/>
          <w:lang w:val="es-ES_tradnl"/>
        </w:rPr>
        <w:tab/>
      </w:r>
      <w:r w:rsidR="009355A8" w:rsidRPr="00FE0623">
        <w:rPr>
          <w:noProof/>
          <w:lang w:val="es-ES_tradnl"/>
        </w:rPr>
        <w:t xml:space="preserve">Sección </w:t>
      </w:r>
      <w:r w:rsidR="0065113E" w:rsidRPr="00FE0623">
        <w:rPr>
          <w:noProof/>
          <w:lang w:val="es-ES_tradnl"/>
        </w:rPr>
        <w:t>3</w:t>
      </w:r>
      <w:r w:rsidR="009355A8" w:rsidRPr="00FE0623">
        <w:rPr>
          <w:noProof/>
          <w:lang w:val="es-ES_tradnl"/>
        </w:rPr>
        <w:t xml:space="preserve">: resumen de la estructura del </w:t>
      </w:r>
      <w:r w:rsidR="009355A8">
        <w:rPr>
          <w:noProof/>
          <w:lang w:val="es-ES_tradnl"/>
        </w:rPr>
        <w:t>PNN</w:t>
      </w:r>
      <w:r w:rsidR="0065113E" w:rsidRPr="00FE0623">
        <w:rPr>
          <w:noProof/>
          <w:lang w:val="es-ES_tradnl"/>
        </w:rPr>
        <w:t>;</w:t>
      </w:r>
      <w:r w:rsidRPr="00FE0623">
        <w:rPr>
          <w:noProof/>
          <w:lang w:val="es-ES_tradnl"/>
        </w:rPr>
        <w:t xml:space="preserve"> </w:t>
      </w:r>
      <w:r w:rsidR="009355A8" w:rsidRPr="00FE0623">
        <w:rPr>
          <w:noProof/>
          <w:lang w:val="es-ES_tradnl"/>
        </w:rPr>
        <w:t>y</w:t>
      </w:r>
    </w:p>
    <w:p w:rsidR="0065113E" w:rsidRDefault="00FE0623" w:rsidP="00FE0623">
      <w:pPr>
        <w:pStyle w:val="enumlev1"/>
        <w:rPr>
          <w:noProof/>
          <w:lang w:val="es-ES_tradnl"/>
        </w:rPr>
      </w:pPr>
      <w:r w:rsidRPr="00FE0623">
        <w:rPr>
          <w:noProof/>
          <w:lang w:val="es-ES_tradnl"/>
        </w:rPr>
        <w:t>•</w:t>
      </w:r>
      <w:r>
        <w:rPr>
          <w:noProof/>
          <w:lang w:val="es-ES_tradnl"/>
        </w:rPr>
        <w:tab/>
      </w:r>
      <w:r w:rsidR="009355A8" w:rsidRPr="00FE0623">
        <w:rPr>
          <w:noProof/>
          <w:lang w:val="es-ES_tradnl"/>
        </w:rPr>
        <w:t xml:space="preserve">Sección </w:t>
      </w:r>
      <w:r w:rsidR="0065113E" w:rsidRPr="00FE0623">
        <w:rPr>
          <w:noProof/>
          <w:lang w:val="es-ES_tradnl"/>
        </w:rPr>
        <w:t>4</w:t>
      </w:r>
      <w:r w:rsidR="009355A8" w:rsidRPr="00FE0623">
        <w:rPr>
          <w:noProof/>
          <w:lang w:val="es-ES_tradnl"/>
        </w:rPr>
        <w:t>: información actualizada sobre la atribución de recursos de numeración</w:t>
      </w:r>
      <w:r w:rsidR="0065113E" w:rsidRPr="00FE0623">
        <w:rPr>
          <w:noProof/>
          <w:lang w:val="es-ES_tradnl"/>
        </w:rPr>
        <w:t xml:space="preserve">. </w:t>
      </w:r>
    </w:p>
    <w:p w:rsidR="00C64016" w:rsidRPr="00FE0623" w:rsidRDefault="00C64016" w:rsidP="00FE0623">
      <w:pPr>
        <w:pStyle w:val="enumlev1"/>
        <w:rPr>
          <w:noProof/>
          <w:lang w:val="es-ES_tradnl"/>
        </w:rPr>
      </w:pPr>
    </w:p>
    <w:p w:rsidR="0065113E" w:rsidRPr="00F35C5E" w:rsidRDefault="00FE0623" w:rsidP="00001AAE">
      <w:pPr>
        <w:spacing w:before="240"/>
        <w:rPr>
          <w:lang w:val="es-ES_tradnl"/>
        </w:rPr>
      </w:pPr>
      <w:bookmarkStart w:id="13" w:name="_Toc489001246"/>
      <w:r>
        <w:rPr>
          <w:lang w:val="es-ES_tradnl"/>
        </w:rPr>
        <w:t>2</w:t>
      </w:r>
      <w:r w:rsidR="0065113E" w:rsidRPr="00F35C5E">
        <w:rPr>
          <w:lang w:val="es-ES_tradnl"/>
        </w:rPr>
        <w:tab/>
      </w:r>
      <w:r w:rsidR="009355A8">
        <w:rPr>
          <w:lang w:val="es-ES_tradnl"/>
        </w:rPr>
        <w:t>PUBLICACIÓN DEL PLAN DE NUMERACIÓN</w:t>
      </w:r>
      <w:bookmarkEnd w:id="13"/>
    </w:p>
    <w:p w:rsidR="0065113E" w:rsidRPr="00F35C5E" w:rsidRDefault="009355A8" w:rsidP="00FE0623">
      <w:pPr>
        <w:rPr>
          <w:lang w:val="es-ES_tradnl"/>
        </w:rPr>
      </w:pPr>
      <w:r>
        <w:rPr>
          <w:lang w:val="es-ES_tradnl"/>
        </w:rPr>
        <w:t>En esta sección figura información sobre la publicación del PNN</w:t>
      </w:r>
      <w:r w:rsidR="0065113E" w:rsidRPr="00F35C5E">
        <w:rPr>
          <w:lang w:val="es-ES_tradnl"/>
        </w:rPr>
        <w:t xml:space="preserve">, </w:t>
      </w:r>
      <w:r>
        <w:rPr>
          <w:lang w:val="es-ES_tradnl"/>
        </w:rPr>
        <w:t>cómo obtener una copia del PNN y formularios de solicitud de recursos de numeración</w:t>
      </w:r>
      <w:r w:rsidR="00152C88">
        <w:rPr>
          <w:lang w:val="es-ES_tradnl"/>
        </w:rPr>
        <w:t>.</w:t>
      </w:r>
    </w:p>
    <w:p w:rsidR="0065113E" w:rsidRPr="00152C88" w:rsidRDefault="009355A8" w:rsidP="00F13EB8">
      <w:pPr>
        <w:rPr>
          <w:lang w:val="es-ES_tradnl"/>
        </w:rPr>
      </w:pPr>
      <w:r w:rsidRPr="00152C88">
        <w:rPr>
          <w:lang w:val="es-ES_tradnl"/>
        </w:rPr>
        <w:t xml:space="preserve">De conformidad con sus obligaciones estipuladas en la Sección </w:t>
      </w:r>
      <w:r w:rsidR="0065113E" w:rsidRPr="00152C88">
        <w:rPr>
          <w:lang w:val="es-ES_tradnl"/>
        </w:rPr>
        <w:t xml:space="preserve">79 </w:t>
      </w:r>
      <w:r w:rsidRPr="00152C88">
        <w:rPr>
          <w:lang w:val="es-ES_tradnl"/>
        </w:rPr>
        <w:t>de la Ley de Comunicaciones</w:t>
      </w:r>
      <w:r w:rsidR="0065113E" w:rsidRPr="00152C88">
        <w:rPr>
          <w:lang w:val="es-ES_tradnl"/>
        </w:rPr>
        <w:t xml:space="preserve">, </w:t>
      </w:r>
      <w:r w:rsidRPr="00152C88">
        <w:rPr>
          <w:lang w:val="es-ES_tradnl"/>
        </w:rPr>
        <w:t xml:space="preserve">la </w:t>
      </w:r>
      <w:r w:rsidR="0065113E" w:rsidRPr="00152C88">
        <w:rPr>
          <w:lang w:val="es-ES_tradnl"/>
        </w:rPr>
        <w:t xml:space="preserve">URCA </w:t>
      </w:r>
      <w:r w:rsidRPr="00152C88">
        <w:rPr>
          <w:lang w:val="es-ES_tradnl"/>
        </w:rPr>
        <w:t xml:space="preserve">publicó el Plan Nacional de Numeración </w:t>
      </w:r>
      <w:r w:rsidR="0065113E" w:rsidRPr="00152C88">
        <w:rPr>
          <w:lang w:val="es-ES_tradnl"/>
        </w:rPr>
        <w:t>(</w:t>
      </w:r>
      <w:r w:rsidRPr="00152C88">
        <w:rPr>
          <w:lang w:val="es-ES_tradnl"/>
        </w:rPr>
        <w:t>PNN</w:t>
      </w:r>
      <w:r w:rsidR="0065113E" w:rsidRPr="00152C88">
        <w:rPr>
          <w:lang w:val="es-ES_tradnl"/>
        </w:rPr>
        <w:t>)</w:t>
      </w:r>
      <w:r w:rsidRPr="00152C88">
        <w:rPr>
          <w:lang w:val="es-ES_tradnl"/>
        </w:rPr>
        <w:t xml:space="preserve"> de Bahamas</w:t>
      </w:r>
      <w:r w:rsidR="0065113E" w:rsidRPr="00152C88">
        <w:rPr>
          <w:lang w:val="es-ES_tradnl"/>
        </w:rPr>
        <w:t xml:space="preserve"> </w:t>
      </w:r>
      <w:r w:rsidRPr="00152C88">
        <w:rPr>
          <w:lang w:val="es-ES_tradnl"/>
        </w:rPr>
        <w:t xml:space="preserve">el </w:t>
      </w:r>
      <w:r w:rsidR="0065113E" w:rsidRPr="00152C88">
        <w:rPr>
          <w:lang w:val="es-ES_tradnl"/>
        </w:rPr>
        <w:t xml:space="preserve">12 </w:t>
      </w:r>
      <w:r w:rsidRPr="00152C88">
        <w:rPr>
          <w:lang w:val="es-ES_tradnl"/>
        </w:rPr>
        <w:t xml:space="preserve">de agosto de </w:t>
      </w:r>
      <w:r w:rsidR="0065113E" w:rsidRPr="00152C88">
        <w:rPr>
          <w:lang w:val="es-ES_tradnl"/>
        </w:rPr>
        <w:t xml:space="preserve">2011. </w:t>
      </w:r>
      <w:r w:rsidRPr="00152C88">
        <w:rPr>
          <w:lang w:val="es-ES_tradnl"/>
        </w:rPr>
        <w:t>El P</w:t>
      </w:r>
      <w:r w:rsidR="0065113E" w:rsidRPr="00152C88">
        <w:rPr>
          <w:lang w:val="es-ES_tradnl"/>
        </w:rPr>
        <w:t xml:space="preserve">NN </w:t>
      </w:r>
      <w:r w:rsidRPr="00152C88">
        <w:rPr>
          <w:lang w:val="es-ES_tradnl"/>
        </w:rPr>
        <w:t>especifica la política y directrices ge</w:t>
      </w:r>
      <w:r w:rsidR="00A13C38" w:rsidRPr="00152C88">
        <w:rPr>
          <w:lang w:val="es-ES_tradnl"/>
        </w:rPr>
        <w:t>n</w:t>
      </w:r>
      <w:r w:rsidRPr="00152C88">
        <w:rPr>
          <w:lang w:val="es-ES_tradnl"/>
        </w:rPr>
        <w:t xml:space="preserve">erales que la </w:t>
      </w:r>
      <w:r w:rsidR="0065113E" w:rsidRPr="00152C88">
        <w:rPr>
          <w:lang w:val="es-ES_tradnl"/>
        </w:rPr>
        <w:t xml:space="preserve">URCA </w:t>
      </w:r>
      <w:r w:rsidRPr="00152C88">
        <w:rPr>
          <w:lang w:val="es-ES_tradnl"/>
        </w:rPr>
        <w:t>ut</w:t>
      </w:r>
      <w:r w:rsidR="00F13EB8">
        <w:rPr>
          <w:lang w:val="es-ES_tradnl"/>
        </w:rPr>
        <w:t>ilizará para gestionar y atribu</w:t>
      </w:r>
      <w:r w:rsidRPr="00152C88">
        <w:rPr>
          <w:lang w:val="es-ES_tradnl"/>
        </w:rPr>
        <w:t>i</w:t>
      </w:r>
      <w:r w:rsidR="00F13EB8">
        <w:rPr>
          <w:lang w:val="es-ES_tradnl"/>
        </w:rPr>
        <w:t>r</w:t>
      </w:r>
      <w:r w:rsidRPr="00152C88">
        <w:rPr>
          <w:lang w:val="es-ES_tradnl"/>
        </w:rPr>
        <w:t xml:space="preserve"> recursos de numeración en Las Bahamas</w:t>
      </w:r>
      <w:r w:rsidR="0065113E" w:rsidRPr="00152C88">
        <w:rPr>
          <w:lang w:val="es-ES_tradnl"/>
        </w:rPr>
        <w:t xml:space="preserve">. </w:t>
      </w:r>
    </w:p>
    <w:p w:rsidR="0065113E" w:rsidRPr="00F35C5E" w:rsidRDefault="00B54BCF" w:rsidP="005C5F09">
      <w:pPr>
        <w:rPr>
          <w:lang w:val="es-ES_tradnl"/>
        </w:rPr>
      </w:pPr>
      <w:r>
        <w:rPr>
          <w:lang w:val="es-ES_tradnl"/>
        </w:rPr>
        <w:t xml:space="preserve">Las partes interesadas pueden obtener del sitio web de URCA una copia del PNN y formularios de solicitud para emitir recursos de numeración: </w:t>
      </w:r>
      <w:hyperlink r:id="rId8" w:history="1">
        <w:r w:rsidR="0065113E" w:rsidRPr="00F35C5E">
          <w:rPr>
            <w:rStyle w:val="Hyperlink"/>
            <w:lang w:val="es-ES_tradnl"/>
          </w:rPr>
          <w:t>http://www.urcabahamas.bs/publications-library.php?cmd=view&amp;id=89&amp;pre=y</w:t>
        </w:r>
      </w:hyperlink>
      <w:r w:rsidR="0065113E" w:rsidRPr="00F35C5E">
        <w:rPr>
          <w:lang w:val="es-ES_tradnl"/>
        </w:rPr>
        <w:t xml:space="preserve">. </w:t>
      </w:r>
      <w:r>
        <w:rPr>
          <w:lang w:val="es-ES_tradnl"/>
        </w:rPr>
        <w:t xml:space="preserve">Además, en la Cuadro 4 de la Sección 4 </w:t>
      </w:r>
      <w:r w:rsidRPr="00B54BCF">
        <w:rPr>
          <w:i/>
          <w:iCs/>
          <w:lang w:val="es-ES_tradnl"/>
        </w:rPr>
        <w:t>infra</w:t>
      </w:r>
      <w:r>
        <w:rPr>
          <w:lang w:val="es-ES_tradnl"/>
        </w:rPr>
        <w:t xml:space="preserve"> se enumeran los indicativos de </w:t>
      </w:r>
      <w:r w:rsidR="00A70BC3">
        <w:rPr>
          <w:lang w:val="es-ES_tradnl"/>
        </w:rPr>
        <w:t xml:space="preserve">oficina </w:t>
      </w:r>
      <w:r>
        <w:rPr>
          <w:lang w:val="es-ES_tradnl"/>
        </w:rPr>
        <w:t>central de Bahamas</w:t>
      </w:r>
      <w:r w:rsidR="00A13C38">
        <w:rPr>
          <w:lang w:val="es-ES_tradnl"/>
        </w:rPr>
        <w:t>.</w:t>
      </w:r>
    </w:p>
    <w:p w:rsidR="0065113E" w:rsidRPr="00F35C5E" w:rsidRDefault="0065113E" w:rsidP="009211CE">
      <w:pPr>
        <w:rPr>
          <w:lang w:val="es-ES_tradnl"/>
        </w:rPr>
      </w:pPr>
      <w:r w:rsidRPr="00F35C5E">
        <w:rPr>
          <w:lang w:val="es-ES_tradnl"/>
        </w:rPr>
        <w:br w:type="page"/>
      </w:r>
    </w:p>
    <w:p w:rsidR="0065113E" w:rsidRPr="00F35C5E" w:rsidRDefault="009211CE" w:rsidP="00152C88">
      <w:pPr>
        <w:rPr>
          <w:lang w:val="es-ES_tradnl"/>
        </w:rPr>
      </w:pPr>
      <w:bookmarkStart w:id="14" w:name="_Toc489001247"/>
      <w:r>
        <w:rPr>
          <w:lang w:val="es-ES_tradnl"/>
        </w:rPr>
        <w:lastRenderedPageBreak/>
        <w:t>3</w:t>
      </w:r>
      <w:r w:rsidR="006656E4" w:rsidRPr="00F35C5E">
        <w:rPr>
          <w:lang w:val="es-ES_tradnl"/>
        </w:rPr>
        <w:tab/>
      </w:r>
      <w:r w:rsidR="00B54BCF">
        <w:rPr>
          <w:lang w:val="es-ES_tradnl"/>
        </w:rPr>
        <w:t xml:space="preserve">ESTRUCTURA DEL </w:t>
      </w:r>
      <w:r w:rsidR="0065113E" w:rsidRPr="00F35C5E">
        <w:rPr>
          <w:lang w:val="es-ES_tradnl"/>
        </w:rPr>
        <w:t xml:space="preserve">PLAN </w:t>
      </w:r>
      <w:bookmarkEnd w:id="14"/>
      <w:r w:rsidR="00B54BCF">
        <w:rPr>
          <w:lang w:val="es-ES_tradnl"/>
        </w:rPr>
        <w:t>DE NUMERACIÓN</w:t>
      </w:r>
    </w:p>
    <w:p w:rsidR="0065113E" w:rsidRPr="00F35C5E" w:rsidRDefault="00B54BCF" w:rsidP="009211CE">
      <w:pPr>
        <w:rPr>
          <w:lang w:val="es-ES_tradnl"/>
        </w:rPr>
      </w:pPr>
      <w:r>
        <w:rPr>
          <w:lang w:val="es-ES_tradnl"/>
        </w:rPr>
        <w:t>En esta Sección se resume la estructura del plan de numeración</w:t>
      </w:r>
      <w:r w:rsidR="005740F7">
        <w:rPr>
          <w:lang w:val="es-ES_tradnl"/>
        </w:rPr>
        <w:t>.</w:t>
      </w:r>
    </w:p>
    <w:p w:rsidR="0065113E" w:rsidRPr="00F35C5E" w:rsidRDefault="0065113E" w:rsidP="009211CE">
      <w:pPr>
        <w:rPr>
          <w:lang w:val="es-ES_tradnl"/>
        </w:rPr>
      </w:pPr>
      <w:r w:rsidRPr="00F35C5E">
        <w:rPr>
          <w:lang w:val="es-ES_tradnl"/>
        </w:rPr>
        <w:t xml:space="preserve">Bahamas </w:t>
      </w:r>
      <w:r w:rsidR="00B54BCF">
        <w:rPr>
          <w:lang w:val="es-ES_tradnl"/>
        </w:rPr>
        <w:t>es miembro d</w:t>
      </w:r>
      <w:r w:rsidR="00662903">
        <w:rPr>
          <w:lang w:val="es-ES_tradnl"/>
        </w:rPr>
        <w:t>el Plan de Numeración de Nortea</w:t>
      </w:r>
      <w:r w:rsidR="00B54BCF">
        <w:rPr>
          <w:lang w:val="es-ES_tradnl"/>
        </w:rPr>
        <w:t xml:space="preserve">mérica </w:t>
      </w:r>
      <w:r w:rsidRPr="00F35C5E">
        <w:rPr>
          <w:lang w:val="es-ES_tradnl"/>
        </w:rPr>
        <w:t xml:space="preserve">(NANP), </w:t>
      </w:r>
      <w:r w:rsidR="00B54BCF">
        <w:rPr>
          <w:lang w:val="es-ES_tradnl"/>
        </w:rPr>
        <w:t xml:space="preserve">que constituye el plan de numeración básico para la red telefónica pública conmutada </w:t>
      </w:r>
      <w:r w:rsidRPr="00F35C5E">
        <w:rPr>
          <w:lang w:val="es-ES_tradnl"/>
        </w:rPr>
        <w:t>(</w:t>
      </w:r>
      <w:r w:rsidR="00B54BCF">
        <w:rPr>
          <w:lang w:val="es-ES_tradnl"/>
        </w:rPr>
        <w:t>RTPC</w:t>
      </w:r>
      <w:r w:rsidRPr="00F35C5E">
        <w:rPr>
          <w:lang w:val="es-ES_tradnl"/>
        </w:rPr>
        <w:t xml:space="preserve">) </w:t>
      </w:r>
      <w:r w:rsidR="00B54BCF">
        <w:rPr>
          <w:lang w:val="es-ES_tradnl"/>
        </w:rPr>
        <w:t xml:space="preserve">en los países con indicativo de país </w:t>
      </w:r>
      <w:r w:rsidRPr="00F35C5E">
        <w:rPr>
          <w:lang w:val="es-ES_tradnl"/>
        </w:rPr>
        <w:t xml:space="preserve">1. </w:t>
      </w:r>
      <w:r w:rsidR="00B54BCF">
        <w:rPr>
          <w:lang w:val="es-ES_tradnl"/>
        </w:rPr>
        <w:t xml:space="preserve">Forman parte de estos países Las </w:t>
      </w:r>
      <w:r w:rsidRPr="00F35C5E">
        <w:rPr>
          <w:lang w:val="es-ES_tradnl"/>
        </w:rPr>
        <w:t xml:space="preserve">Bahamas, </w:t>
      </w:r>
      <w:r w:rsidR="00B54BCF">
        <w:rPr>
          <w:lang w:val="es-ES_tradnl"/>
        </w:rPr>
        <w:t>Estados Unidos de América</w:t>
      </w:r>
      <w:r w:rsidRPr="00F35C5E">
        <w:rPr>
          <w:lang w:val="es-ES_tradnl"/>
        </w:rPr>
        <w:t>, Canad</w:t>
      </w:r>
      <w:r w:rsidR="00B54BCF">
        <w:rPr>
          <w:lang w:val="es-ES_tradnl"/>
        </w:rPr>
        <w:t>á</w:t>
      </w:r>
      <w:r w:rsidRPr="00F35C5E">
        <w:rPr>
          <w:lang w:val="es-ES_tradnl"/>
        </w:rPr>
        <w:t>, Bermuda</w:t>
      </w:r>
      <w:r w:rsidR="00B54BCF">
        <w:rPr>
          <w:lang w:val="es-ES_tradnl"/>
        </w:rPr>
        <w:t xml:space="preserve"> y quince </w:t>
      </w:r>
      <w:r w:rsidRPr="00F35C5E">
        <w:rPr>
          <w:lang w:val="es-ES_tradnl"/>
        </w:rPr>
        <w:t xml:space="preserve">(15) </w:t>
      </w:r>
      <w:r w:rsidR="00B54BCF">
        <w:rPr>
          <w:lang w:val="es-ES_tradnl"/>
        </w:rPr>
        <w:t>países del Caribe.</w:t>
      </w:r>
      <w:r w:rsidRPr="00001AAE">
        <w:rPr>
          <w:noProof/>
          <w:vertAlign w:val="superscript"/>
          <w:lang w:val="es-ES_tradnl"/>
        </w:rPr>
        <w:footnoteReference w:id="1"/>
      </w:r>
      <w:r w:rsidRPr="00F35C5E">
        <w:rPr>
          <w:lang w:val="es-ES_tradnl"/>
        </w:rPr>
        <w:t xml:space="preserve"> </w:t>
      </w:r>
      <w:r w:rsidR="00F001B3">
        <w:rPr>
          <w:lang w:val="es-ES_tradnl"/>
        </w:rPr>
        <w:t xml:space="preserve">La estructura y formato del plan de numeración de las telecomunicaciones públicas internacionales guarda conformidad con las prácticas de la administración </w:t>
      </w:r>
      <w:r w:rsidRPr="00F35C5E">
        <w:rPr>
          <w:lang w:val="es-ES_tradnl"/>
        </w:rPr>
        <w:t xml:space="preserve">NANP </w:t>
      </w:r>
      <w:r w:rsidR="00F001B3">
        <w:rPr>
          <w:lang w:val="es-ES_tradnl"/>
        </w:rPr>
        <w:t xml:space="preserve">y las Recomendaciones pertinentes de la Unión Internacional de Telecomunicaciones </w:t>
      </w:r>
      <w:r w:rsidRPr="00F35C5E">
        <w:rPr>
          <w:lang w:val="es-ES_tradnl"/>
        </w:rPr>
        <w:t>(</w:t>
      </w:r>
      <w:r w:rsidR="00F001B3">
        <w:rPr>
          <w:lang w:val="es-ES_tradnl"/>
        </w:rPr>
        <w:t>U</w:t>
      </w:r>
      <w:r w:rsidRPr="00F35C5E">
        <w:rPr>
          <w:lang w:val="es-ES_tradnl"/>
        </w:rPr>
        <w:t xml:space="preserve">IT), </w:t>
      </w:r>
      <w:r w:rsidR="00F001B3">
        <w:rPr>
          <w:lang w:val="es-ES_tradnl"/>
        </w:rPr>
        <w:t xml:space="preserve">como la </w:t>
      </w:r>
      <w:r w:rsidRPr="00F35C5E">
        <w:rPr>
          <w:lang w:val="es-ES_tradnl"/>
        </w:rPr>
        <w:t xml:space="preserve">E.164 </w:t>
      </w:r>
      <w:r w:rsidR="00F001B3">
        <w:rPr>
          <w:lang w:val="es-ES_tradnl"/>
        </w:rPr>
        <w:t xml:space="preserve">y la </w:t>
      </w:r>
      <w:r w:rsidRPr="00F35C5E">
        <w:rPr>
          <w:lang w:val="es-ES_tradnl"/>
        </w:rPr>
        <w:t>E.212.</w:t>
      </w:r>
      <w:r w:rsidR="00FE0623">
        <w:rPr>
          <w:lang w:val="es-ES_tradnl"/>
        </w:rPr>
        <w:t xml:space="preserve"> </w:t>
      </w:r>
      <w:r w:rsidR="00F001B3">
        <w:rPr>
          <w:lang w:val="es-ES_tradnl"/>
        </w:rPr>
        <w:t>A continuación se especifican los detalles</w:t>
      </w:r>
      <w:r w:rsidRPr="00F35C5E">
        <w:rPr>
          <w:lang w:val="es-ES_tradnl"/>
        </w:rPr>
        <w:t>.</w:t>
      </w:r>
    </w:p>
    <w:p w:rsidR="0065113E" w:rsidRPr="00F35C5E" w:rsidRDefault="00134733" w:rsidP="009211CE">
      <w:pPr>
        <w:rPr>
          <w:lang w:val="es-ES_tradnl"/>
        </w:rPr>
      </w:pPr>
      <w:r>
        <w:rPr>
          <w:lang w:val="es-ES_tradnl"/>
        </w:rPr>
        <w:t>La estructura del</w:t>
      </w:r>
      <w:r w:rsidR="0065113E" w:rsidRPr="00F35C5E">
        <w:rPr>
          <w:lang w:val="es-ES_tradnl"/>
        </w:rPr>
        <w:t xml:space="preserve"> NANP </w:t>
      </w:r>
      <w:r>
        <w:rPr>
          <w:lang w:val="es-ES_tradnl"/>
        </w:rPr>
        <w:t xml:space="preserve">tiene el siguiente </w:t>
      </w:r>
      <w:r w:rsidR="0065113E" w:rsidRPr="00F35C5E">
        <w:rPr>
          <w:lang w:val="es-ES_tradnl"/>
        </w:rPr>
        <w:t>format</w:t>
      </w:r>
      <w:r>
        <w:rPr>
          <w:lang w:val="es-ES_tradnl"/>
        </w:rPr>
        <w:t>o</w:t>
      </w:r>
      <w:r w:rsidR="0065113E" w:rsidRPr="00F35C5E">
        <w:rPr>
          <w:lang w:val="es-ES_tradnl"/>
        </w:rPr>
        <w:t>:</w:t>
      </w:r>
    </w:p>
    <w:p w:rsidR="0065113E" w:rsidRPr="00F35C5E" w:rsidRDefault="0065113E" w:rsidP="005C1916">
      <w:pPr>
        <w:tabs>
          <w:tab w:val="clear" w:pos="5387"/>
          <w:tab w:val="left" w:pos="3261"/>
        </w:tabs>
        <w:rPr>
          <w:noProof/>
          <w:lang w:val="es-ES_tradnl"/>
        </w:rPr>
      </w:pPr>
      <w:r w:rsidRPr="00F35C5E">
        <w:rPr>
          <w:noProof/>
          <w:lang w:val="es-ES_tradnl"/>
        </w:rPr>
        <w:tab/>
        <w:t>NXX – NXX – XXXX</w:t>
      </w:r>
      <w:r w:rsidRPr="00F35C5E">
        <w:rPr>
          <w:noProof/>
          <w:lang w:val="es-ES_tradnl"/>
        </w:rPr>
        <w:tab/>
      </w:r>
      <w:r w:rsidR="00134733">
        <w:rPr>
          <w:noProof/>
          <w:lang w:val="es-ES_tradnl"/>
        </w:rPr>
        <w:t>siendo</w:t>
      </w:r>
      <w:r w:rsidRPr="00F35C5E">
        <w:rPr>
          <w:noProof/>
          <w:lang w:val="es-ES_tradnl"/>
        </w:rPr>
        <w:t xml:space="preserve">: N = 2 </w:t>
      </w:r>
      <w:r w:rsidR="00134733">
        <w:rPr>
          <w:noProof/>
          <w:lang w:val="es-ES_tradnl"/>
        </w:rPr>
        <w:t>a</w:t>
      </w:r>
      <w:r w:rsidRPr="00F35C5E">
        <w:rPr>
          <w:noProof/>
          <w:lang w:val="es-ES_tradnl"/>
        </w:rPr>
        <w:t xml:space="preserve"> 9 </w:t>
      </w:r>
      <w:r w:rsidR="00134733">
        <w:rPr>
          <w:noProof/>
          <w:lang w:val="es-ES_tradnl"/>
        </w:rPr>
        <w:t xml:space="preserve">y </w:t>
      </w:r>
      <w:r w:rsidRPr="00F35C5E">
        <w:rPr>
          <w:noProof/>
          <w:lang w:val="es-ES_tradnl"/>
        </w:rPr>
        <w:t xml:space="preserve">X = 0 </w:t>
      </w:r>
      <w:r w:rsidR="00134733">
        <w:rPr>
          <w:noProof/>
          <w:lang w:val="es-ES_tradnl"/>
        </w:rPr>
        <w:t>a</w:t>
      </w:r>
      <w:r w:rsidRPr="00F35C5E">
        <w:rPr>
          <w:noProof/>
          <w:lang w:val="es-ES_tradnl"/>
        </w:rPr>
        <w:t xml:space="preserve"> 9</w:t>
      </w:r>
    </w:p>
    <w:p w:rsidR="0065113E" w:rsidRPr="00F35C5E" w:rsidRDefault="0065113E" w:rsidP="005C1916">
      <w:pPr>
        <w:spacing w:before="0"/>
        <w:rPr>
          <w:noProof/>
          <w:lang w:val="es-ES_tradnl"/>
        </w:rPr>
      </w:pPr>
      <w:r w:rsidRPr="00F35C5E">
        <w:rPr>
          <w:noProof/>
          <w:lang w:val="es-ES_tradnl"/>
        </w:rPr>
        <w:tab/>
        <w:t>(ABC – DEF – GHIJ)</w:t>
      </w:r>
    </w:p>
    <w:p w:rsidR="0065113E" w:rsidRPr="00F35C5E" w:rsidRDefault="00134733" w:rsidP="009211CE">
      <w:pPr>
        <w:rPr>
          <w:lang w:val="es-ES_tradnl"/>
        </w:rPr>
      </w:pPr>
      <w:r>
        <w:rPr>
          <w:lang w:val="es-ES_tradnl"/>
        </w:rPr>
        <w:t xml:space="preserve">El formato de </w:t>
      </w:r>
      <w:r w:rsidR="0065113E" w:rsidRPr="00F35C5E">
        <w:rPr>
          <w:lang w:val="es-ES_tradnl"/>
        </w:rPr>
        <w:t>10</w:t>
      </w:r>
      <w:r>
        <w:rPr>
          <w:lang w:val="es-ES_tradnl"/>
        </w:rPr>
        <w:t xml:space="preserve"> cifras se denomina del modo siguiente</w:t>
      </w:r>
      <w:r w:rsidR="0065113E" w:rsidRPr="00F35C5E">
        <w:rPr>
          <w:lang w:val="es-ES_tradnl"/>
        </w:rPr>
        <w:t xml:space="preserve">: </w:t>
      </w:r>
    </w:p>
    <w:p w:rsidR="0065113E" w:rsidRPr="00F35C5E" w:rsidRDefault="0065113E" w:rsidP="009211CE">
      <w:pPr>
        <w:pStyle w:val="enumlev1"/>
        <w:rPr>
          <w:noProof/>
          <w:lang w:val="es-ES_tradnl"/>
        </w:rPr>
      </w:pPr>
      <w:r w:rsidRPr="00F35C5E">
        <w:rPr>
          <w:noProof/>
          <w:lang w:val="es-ES_tradnl"/>
        </w:rPr>
        <w:t>•</w:t>
      </w:r>
      <w:r w:rsidRPr="00F35C5E">
        <w:rPr>
          <w:noProof/>
          <w:lang w:val="es-ES_tradnl"/>
        </w:rPr>
        <w:tab/>
      </w:r>
      <w:r w:rsidR="009211CE">
        <w:rPr>
          <w:noProof/>
          <w:lang w:val="es-ES_tradnl"/>
        </w:rPr>
        <w:t>e</w:t>
      </w:r>
      <w:r w:rsidR="00134733">
        <w:rPr>
          <w:noProof/>
          <w:lang w:val="es-ES_tradnl"/>
        </w:rPr>
        <w:t xml:space="preserve">l primer grupo de tres </w:t>
      </w:r>
      <w:r w:rsidRPr="00F35C5E">
        <w:rPr>
          <w:noProof/>
          <w:lang w:val="es-ES_tradnl"/>
        </w:rPr>
        <w:t>(3) caracter</w:t>
      </w:r>
      <w:r w:rsidR="00134733">
        <w:rPr>
          <w:noProof/>
          <w:lang w:val="es-ES_tradnl"/>
        </w:rPr>
        <w:t>e</w:t>
      </w:r>
      <w:r w:rsidRPr="00F35C5E">
        <w:rPr>
          <w:noProof/>
          <w:lang w:val="es-ES_tradnl"/>
        </w:rPr>
        <w:t xml:space="preserve">s, </w:t>
      </w:r>
      <w:r w:rsidR="00134733">
        <w:rPr>
          <w:noProof/>
          <w:lang w:val="es-ES_tradnl"/>
        </w:rPr>
        <w:t>cifras</w:t>
      </w:r>
      <w:r w:rsidRPr="00F35C5E">
        <w:rPr>
          <w:noProof/>
          <w:lang w:val="es-ES_tradnl"/>
        </w:rPr>
        <w:t xml:space="preserve"> ABC (</w:t>
      </w:r>
      <w:r w:rsidR="00134733">
        <w:rPr>
          <w:noProof/>
          <w:lang w:val="es-ES_tradnl"/>
        </w:rPr>
        <w:t xml:space="preserve">formato </w:t>
      </w:r>
      <w:r w:rsidRPr="00F35C5E">
        <w:rPr>
          <w:noProof/>
          <w:lang w:val="es-ES_tradnl"/>
        </w:rPr>
        <w:t xml:space="preserve">NXX), </w:t>
      </w:r>
      <w:r w:rsidR="00134733">
        <w:rPr>
          <w:noProof/>
          <w:lang w:val="es-ES_tradnl"/>
        </w:rPr>
        <w:t>es el indicativo de zona de plan de numeración</w:t>
      </w:r>
      <w:r w:rsidRPr="00F35C5E">
        <w:rPr>
          <w:noProof/>
          <w:lang w:val="es-ES_tradnl"/>
        </w:rPr>
        <w:t xml:space="preserve"> (NPA);</w:t>
      </w:r>
    </w:p>
    <w:p w:rsidR="0065113E" w:rsidRPr="00F35C5E" w:rsidRDefault="0065113E" w:rsidP="009211CE">
      <w:pPr>
        <w:pStyle w:val="enumlev1"/>
        <w:rPr>
          <w:noProof/>
          <w:lang w:val="es-ES_tradnl"/>
        </w:rPr>
      </w:pPr>
      <w:r w:rsidRPr="00F35C5E">
        <w:rPr>
          <w:noProof/>
          <w:lang w:val="es-ES_tradnl"/>
        </w:rPr>
        <w:t>•</w:t>
      </w:r>
      <w:r w:rsidRPr="00F35C5E">
        <w:rPr>
          <w:noProof/>
          <w:lang w:val="es-ES_tradnl"/>
        </w:rPr>
        <w:tab/>
      </w:r>
      <w:r w:rsidR="009211CE">
        <w:rPr>
          <w:noProof/>
          <w:lang w:val="es-ES_tradnl"/>
        </w:rPr>
        <w:t>e</w:t>
      </w:r>
      <w:r w:rsidR="00D94F85">
        <w:rPr>
          <w:noProof/>
          <w:lang w:val="es-ES_tradnl"/>
        </w:rPr>
        <w:t xml:space="preserve">l segundo grupo de tres </w:t>
      </w:r>
      <w:r w:rsidRPr="00F35C5E">
        <w:rPr>
          <w:noProof/>
          <w:lang w:val="es-ES_tradnl"/>
        </w:rPr>
        <w:t xml:space="preserve">(3) </w:t>
      </w:r>
      <w:r w:rsidR="00D94F85">
        <w:rPr>
          <w:noProof/>
          <w:lang w:val="es-ES_tradnl"/>
        </w:rPr>
        <w:t>caracteres</w:t>
      </w:r>
      <w:r w:rsidRPr="00F35C5E">
        <w:rPr>
          <w:noProof/>
          <w:lang w:val="es-ES_tradnl"/>
        </w:rPr>
        <w:t xml:space="preserve">, </w:t>
      </w:r>
      <w:r w:rsidR="00D94F85">
        <w:rPr>
          <w:noProof/>
          <w:lang w:val="es-ES_tradnl"/>
        </w:rPr>
        <w:t xml:space="preserve">cifras </w:t>
      </w:r>
      <w:r w:rsidRPr="00F35C5E">
        <w:rPr>
          <w:noProof/>
          <w:lang w:val="es-ES_tradnl"/>
        </w:rPr>
        <w:t>DEF (</w:t>
      </w:r>
      <w:r w:rsidR="00D94F85">
        <w:rPr>
          <w:noProof/>
          <w:lang w:val="es-ES_tradnl"/>
        </w:rPr>
        <w:t xml:space="preserve">formato </w:t>
      </w:r>
      <w:r w:rsidRPr="00F35C5E">
        <w:rPr>
          <w:noProof/>
          <w:lang w:val="es-ES_tradnl"/>
        </w:rPr>
        <w:t xml:space="preserve">NXX), </w:t>
      </w:r>
      <w:r w:rsidR="00D94F85">
        <w:rPr>
          <w:noProof/>
          <w:lang w:val="es-ES_tradnl"/>
        </w:rPr>
        <w:t xml:space="preserve">es el indicativo de </w:t>
      </w:r>
      <w:r w:rsidR="00A70BC3">
        <w:rPr>
          <w:noProof/>
          <w:lang w:val="es-ES_tradnl"/>
        </w:rPr>
        <w:t xml:space="preserve">oficina </w:t>
      </w:r>
      <w:r w:rsidR="00D94F85">
        <w:rPr>
          <w:noProof/>
          <w:lang w:val="es-ES_tradnl"/>
        </w:rPr>
        <w:t xml:space="preserve">central </w:t>
      </w:r>
      <w:r w:rsidRPr="00F35C5E">
        <w:rPr>
          <w:noProof/>
          <w:lang w:val="es-ES_tradnl"/>
        </w:rPr>
        <w:t>(CO) (</w:t>
      </w:r>
      <w:r w:rsidR="00D94F85">
        <w:rPr>
          <w:noProof/>
          <w:lang w:val="es-ES_tradnl"/>
        </w:rPr>
        <w:t xml:space="preserve">indicativo </w:t>
      </w:r>
      <w:r w:rsidRPr="00F35C5E">
        <w:rPr>
          <w:noProof/>
          <w:lang w:val="es-ES_tradnl"/>
        </w:rPr>
        <w:t xml:space="preserve">CO); </w:t>
      </w:r>
      <w:r w:rsidR="009211CE">
        <w:rPr>
          <w:noProof/>
          <w:lang w:val="es-ES_tradnl"/>
        </w:rPr>
        <w:t>y</w:t>
      </w:r>
    </w:p>
    <w:p w:rsidR="0065113E" w:rsidRPr="00F35C5E" w:rsidRDefault="0065113E" w:rsidP="009211CE">
      <w:pPr>
        <w:pStyle w:val="enumlev1"/>
        <w:rPr>
          <w:noProof/>
          <w:lang w:val="es-ES_tradnl"/>
        </w:rPr>
      </w:pPr>
      <w:r w:rsidRPr="00F35C5E">
        <w:rPr>
          <w:noProof/>
          <w:lang w:val="es-ES_tradnl"/>
        </w:rPr>
        <w:t>•</w:t>
      </w:r>
      <w:r w:rsidRPr="00F35C5E">
        <w:rPr>
          <w:noProof/>
          <w:lang w:val="es-ES_tradnl"/>
        </w:rPr>
        <w:tab/>
      </w:r>
      <w:r w:rsidR="00D94F85">
        <w:rPr>
          <w:noProof/>
          <w:lang w:val="es-ES_tradnl"/>
        </w:rPr>
        <w:t>el tercer grupo de caracteres</w:t>
      </w:r>
      <w:r w:rsidRPr="00F35C5E">
        <w:rPr>
          <w:noProof/>
          <w:lang w:val="es-ES_tradnl"/>
        </w:rPr>
        <w:t xml:space="preserve">, </w:t>
      </w:r>
      <w:r w:rsidR="00D94F85">
        <w:rPr>
          <w:noProof/>
          <w:lang w:val="es-ES_tradnl"/>
        </w:rPr>
        <w:t xml:space="preserve">las cifras </w:t>
      </w:r>
      <w:r w:rsidRPr="00F35C5E">
        <w:rPr>
          <w:noProof/>
          <w:lang w:val="es-ES_tradnl"/>
        </w:rPr>
        <w:t>GHIJ (</w:t>
      </w:r>
      <w:r w:rsidR="00D94F85">
        <w:rPr>
          <w:noProof/>
          <w:lang w:val="es-ES_tradnl"/>
        </w:rPr>
        <w:t xml:space="preserve">formato </w:t>
      </w:r>
      <w:r w:rsidRPr="00F35C5E">
        <w:rPr>
          <w:noProof/>
          <w:lang w:val="es-ES_tradnl"/>
        </w:rPr>
        <w:t xml:space="preserve">XXXX), </w:t>
      </w:r>
      <w:r w:rsidR="00D94F85">
        <w:rPr>
          <w:noProof/>
          <w:lang w:val="es-ES_tradnl"/>
        </w:rPr>
        <w:t>es el número de línea de abonado</w:t>
      </w:r>
      <w:r w:rsidRPr="00F35C5E">
        <w:rPr>
          <w:noProof/>
          <w:lang w:val="es-ES_tradnl"/>
        </w:rPr>
        <w:t xml:space="preserve">. </w:t>
      </w:r>
    </w:p>
    <w:p w:rsidR="0065113E" w:rsidRPr="00152C88" w:rsidRDefault="0065113E" w:rsidP="00001AAE">
      <w:pPr>
        <w:spacing w:before="240"/>
        <w:rPr>
          <w:i/>
          <w:iCs/>
          <w:lang w:val="es-ES_tradnl"/>
        </w:rPr>
      </w:pPr>
      <w:bookmarkStart w:id="15" w:name="_Toc465369463"/>
      <w:bookmarkStart w:id="16" w:name="_Toc465369594"/>
      <w:bookmarkStart w:id="17" w:name="_Toc489001248"/>
      <w:r w:rsidRPr="00152C88">
        <w:rPr>
          <w:i/>
          <w:iCs/>
          <w:lang w:val="es-ES_tradnl"/>
        </w:rPr>
        <w:t>PLAN</w:t>
      </w:r>
      <w:bookmarkEnd w:id="15"/>
      <w:bookmarkEnd w:id="16"/>
      <w:bookmarkEnd w:id="17"/>
      <w:r w:rsidR="00D94F85" w:rsidRPr="00152C88">
        <w:rPr>
          <w:i/>
          <w:iCs/>
          <w:lang w:val="es-ES_tradnl"/>
        </w:rPr>
        <w:t xml:space="preserve"> DE MARCACIÓN</w:t>
      </w:r>
    </w:p>
    <w:p w:rsidR="0065113E" w:rsidRPr="00F35C5E" w:rsidRDefault="00D94F85" w:rsidP="009211CE">
      <w:pPr>
        <w:rPr>
          <w:lang w:val="es-ES_tradnl"/>
        </w:rPr>
      </w:pPr>
      <w:r>
        <w:rPr>
          <w:lang w:val="es-ES_tradnl"/>
        </w:rPr>
        <w:t xml:space="preserve">El indicativo de país para Las Bahamas es: </w:t>
      </w:r>
      <w:r w:rsidR="0065113E" w:rsidRPr="00F35C5E">
        <w:rPr>
          <w:lang w:val="es-ES_tradnl"/>
        </w:rPr>
        <w:t>"</w:t>
      </w:r>
      <w:r w:rsidR="0065113E" w:rsidRPr="00F35C5E">
        <w:rPr>
          <w:noProof/>
          <w:lang w:val="es-ES_tradnl"/>
        </w:rPr>
        <w:t>1"</w:t>
      </w:r>
    </w:p>
    <w:p w:rsidR="0065113E" w:rsidRPr="00F35C5E" w:rsidRDefault="00D94F85" w:rsidP="009211CE">
      <w:pPr>
        <w:rPr>
          <w:lang w:val="es-ES_tradnl"/>
        </w:rPr>
      </w:pPr>
      <w:r>
        <w:rPr>
          <w:lang w:val="es-ES_tradnl"/>
        </w:rPr>
        <w:t xml:space="preserve">El indicativo de zona del plan de numeración </w:t>
      </w:r>
      <w:r w:rsidR="0065113E" w:rsidRPr="00F35C5E">
        <w:rPr>
          <w:lang w:val="es-ES_tradnl"/>
        </w:rPr>
        <w:t xml:space="preserve">(NPA) </w:t>
      </w:r>
      <w:r>
        <w:rPr>
          <w:lang w:val="es-ES_tradnl"/>
        </w:rPr>
        <w:t xml:space="preserve">para las </w:t>
      </w:r>
      <w:r w:rsidR="0065113E" w:rsidRPr="00F35C5E">
        <w:rPr>
          <w:lang w:val="es-ES_tradnl"/>
        </w:rPr>
        <w:t xml:space="preserve">Bahamas </w:t>
      </w:r>
      <w:r>
        <w:rPr>
          <w:lang w:val="es-ES_tradnl"/>
        </w:rPr>
        <w:t>e</w:t>
      </w:r>
      <w:r w:rsidR="0065113E" w:rsidRPr="00F35C5E">
        <w:rPr>
          <w:lang w:val="es-ES_tradnl"/>
        </w:rPr>
        <w:t xml:space="preserve">s: "242". </w:t>
      </w:r>
      <w:r>
        <w:rPr>
          <w:lang w:val="es-ES_tradnl"/>
        </w:rPr>
        <w:t>Este indicativo se conoce con el nombre de indicativo de zona</w:t>
      </w:r>
      <w:r w:rsidR="0065113E" w:rsidRPr="00F35C5E">
        <w:rPr>
          <w:lang w:val="es-ES_tradnl"/>
        </w:rPr>
        <w:t>.</w:t>
      </w:r>
    </w:p>
    <w:p w:rsidR="0065113E" w:rsidRPr="00F35C5E" w:rsidRDefault="00D94F85" w:rsidP="009211CE">
      <w:pPr>
        <w:rPr>
          <w:lang w:val="es-ES_tradnl"/>
        </w:rPr>
      </w:pPr>
      <w:r>
        <w:rPr>
          <w:lang w:val="es-ES_tradnl"/>
        </w:rPr>
        <w:t xml:space="preserve">La marcación del número local </w:t>
      </w:r>
      <w:r w:rsidR="0065113E" w:rsidRPr="00F35C5E">
        <w:rPr>
          <w:lang w:val="es-ES_tradnl"/>
        </w:rPr>
        <w:t>(</w:t>
      </w:r>
      <w:r>
        <w:rPr>
          <w:lang w:val="es-ES_tradnl"/>
        </w:rPr>
        <w:t>dentro de la isla</w:t>
      </w:r>
      <w:r w:rsidR="0065113E" w:rsidRPr="00F35C5E">
        <w:rPr>
          <w:lang w:val="es-ES_tradnl"/>
        </w:rPr>
        <w:t xml:space="preserve">) </w:t>
      </w:r>
      <w:r>
        <w:rPr>
          <w:lang w:val="es-ES_tradnl"/>
        </w:rPr>
        <w:t xml:space="preserve">está </w:t>
      </w:r>
      <w:r w:rsidR="00216AD3">
        <w:rPr>
          <w:lang w:val="es-ES_tradnl"/>
        </w:rPr>
        <w:t xml:space="preserve">en el siguiente formato </w:t>
      </w:r>
      <w:r>
        <w:rPr>
          <w:lang w:val="es-ES_tradnl"/>
        </w:rPr>
        <w:t xml:space="preserve">normalizado </w:t>
      </w:r>
      <w:r w:rsidR="00216AD3">
        <w:rPr>
          <w:noProof/>
          <w:lang w:val="es-ES_tradnl"/>
        </w:rPr>
        <w:t xml:space="preserve">de siete </w:t>
      </w:r>
      <w:r w:rsidR="0065113E" w:rsidRPr="00F35C5E">
        <w:rPr>
          <w:lang w:val="es-ES_tradnl"/>
        </w:rPr>
        <w:t xml:space="preserve">(7) </w:t>
      </w:r>
      <w:r w:rsidR="00216AD3">
        <w:rPr>
          <w:lang w:val="es-ES_tradnl"/>
        </w:rPr>
        <w:t>cifras</w:t>
      </w:r>
      <w:r w:rsidR="0065113E" w:rsidRPr="00F35C5E">
        <w:rPr>
          <w:lang w:val="es-ES_tradnl"/>
        </w:rPr>
        <w:t>:</w:t>
      </w:r>
    </w:p>
    <w:p w:rsidR="0065113E" w:rsidRPr="00F35C5E" w:rsidRDefault="0065113E" w:rsidP="005C1916">
      <w:pPr>
        <w:rPr>
          <w:noProof/>
          <w:lang w:val="es-ES_tradnl"/>
        </w:rPr>
      </w:pPr>
      <w:r w:rsidRPr="00F35C5E">
        <w:rPr>
          <w:noProof/>
          <w:lang w:val="es-ES_tradnl"/>
        </w:rPr>
        <w:tab/>
        <w:t>NXX – XXXX</w:t>
      </w:r>
    </w:p>
    <w:p w:rsidR="0065113E" w:rsidRPr="00F35C5E" w:rsidRDefault="00216AD3" w:rsidP="009211CE">
      <w:pPr>
        <w:rPr>
          <w:lang w:val="es-ES_tradnl"/>
        </w:rPr>
      </w:pPr>
      <w:r>
        <w:rPr>
          <w:lang w:val="es-ES_tradnl"/>
        </w:rPr>
        <w:t xml:space="preserve">Las llamadas nacionales de larga distancia se cursan con once </w:t>
      </w:r>
      <w:r w:rsidR="0065113E" w:rsidRPr="00F35C5E">
        <w:rPr>
          <w:lang w:val="es-ES_tradnl"/>
        </w:rPr>
        <w:t xml:space="preserve">(11) </w:t>
      </w:r>
      <w:r>
        <w:rPr>
          <w:lang w:val="es-ES_tradnl"/>
        </w:rPr>
        <w:t>cifras</w:t>
      </w:r>
      <w:r w:rsidR="0065113E" w:rsidRPr="00F35C5E">
        <w:rPr>
          <w:lang w:val="es-ES_tradnl"/>
        </w:rPr>
        <w:t>:</w:t>
      </w:r>
    </w:p>
    <w:p w:rsidR="0065113E" w:rsidRPr="00F35C5E" w:rsidRDefault="0065113E" w:rsidP="005C1916">
      <w:pPr>
        <w:rPr>
          <w:noProof/>
          <w:lang w:val="es-ES_tradnl"/>
        </w:rPr>
      </w:pPr>
      <w:r w:rsidRPr="00F35C5E">
        <w:rPr>
          <w:noProof/>
          <w:lang w:val="es-ES_tradnl"/>
        </w:rPr>
        <w:tab/>
        <w:t>1 (242) NXX – XXXX</w:t>
      </w:r>
    </w:p>
    <w:p w:rsidR="0065113E" w:rsidRPr="00F35C5E" w:rsidRDefault="0065113E" w:rsidP="005C1916">
      <w:pPr>
        <w:spacing w:before="0"/>
        <w:rPr>
          <w:noProof/>
          <w:lang w:val="es-ES_tradnl"/>
        </w:rPr>
      </w:pPr>
      <w:r w:rsidRPr="00F35C5E">
        <w:rPr>
          <w:noProof/>
          <w:lang w:val="es-ES_tradnl"/>
        </w:rPr>
        <w:tab/>
        <w:t>(</w:t>
      </w:r>
      <w:r w:rsidR="00216AD3">
        <w:rPr>
          <w:noProof/>
          <w:lang w:val="es-ES_tradnl"/>
        </w:rPr>
        <w:t xml:space="preserve">Prefijo de acceso </w:t>
      </w:r>
      <w:r w:rsidRPr="00F35C5E">
        <w:rPr>
          <w:noProof/>
          <w:lang w:val="es-ES_tradnl"/>
        </w:rPr>
        <w:t>+ NPA + NXX-XXXX).</w:t>
      </w:r>
      <w:r w:rsidRPr="00001AAE">
        <w:rPr>
          <w:noProof/>
          <w:vertAlign w:val="superscript"/>
          <w:lang w:val="es-ES_tradnl"/>
        </w:rPr>
        <w:footnoteReference w:id="2"/>
      </w:r>
    </w:p>
    <w:p w:rsidR="0065113E" w:rsidRPr="00F35C5E" w:rsidRDefault="00216AD3" w:rsidP="009211CE">
      <w:pPr>
        <w:rPr>
          <w:lang w:val="es-ES_tradnl"/>
        </w:rPr>
      </w:pPr>
      <w:r>
        <w:rPr>
          <w:lang w:val="es-ES_tradnl"/>
        </w:rPr>
        <w:t>Llamadas internacionales de larga distancia</w:t>
      </w:r>
      <w:r w:rsidR="0065113E" w:rsidRPr="00F35C5E">
        <w:rPr>
          <w:lang w:val="es-ES_tradnl"/>
        </w:rPr>
        <w:t xml:space="preserve">, </w:t>
      </w:r>
      <w:r>
        <w:rPr>
          <w:lang w:val="es-ES_tradnl"/>
        </w:rPr>
        <w:t xml:space="preserve">dentro del </w:t>
      </w:r>
      <w:r w:rsidR="0065113E" w:rsidRPr="00F35C5E">
        <w:rPr>
          <w:lang w:val="es-ES_tradnl"/>
        </w:rPr>
        <w:t xml:space="preserve">NANP, </w:t>
      </w:r>
      <w:r>
        <w:rPr>
          <w:lang w:val="es-ES_tradnl"/>
        </w:rPr>
        <w:t xml:space="preserve">se marcan utilizando once </w:t>
      </w:r>
      <w:r w:rsidR="0065113E" w:rsidRPr="00F35C5E">
        <w:rPr>
          <w:lang w:val="es-ES_tradnl"/>
        </w:rPr>
        <w:t xml:space="preserve">(11) </w:t>
      </w:r>
      <w:r>
        <w:rPr>
          <w:lang w:val="es-ES_tradnl"/>
        </w:rPr>
        <w:t>cifras</w:t>
      </w:r>
      <w:r w:rsidR="0065113E" w:rsidRPr="00F35C5E">
        <w:rPr>
          <w:lang w:val="es-ES_tradnl"/>
        </w:rPr>
        <w:t>:</w:t>
      </w:r>
    </w:p>
    <w:p w:rsidR="0065113E" w:rsidRPr="00F35C5E" w:rsidRDefault="0065113E" w:rsidP="005C1916">
      <w:pPr>
        <w:rPr>
          <w:noProof/>
          <w:lang w:val="es-ES_tradnl"/>
        </w:rPr>
      </w:pPr>
      <w:r w:rsidRPr="00F35C5E">
        <w:rPr>
          <w:noProof/>
          <w:lang w:val="es-ES_tradnl"/>
        </w:rPr>
        <w:tab/>
        <w:t>1 (NPA) NXX – XXXX</w:t>
      </w:r>
    </w:p>
    <w:p w:rsidR="0065113E" w:rsidRPr="00F35C5E" w:rsidRDefault="0065113E" w:rsidP="005C1916">
      <w:pPr>
        <w:spacing w:before="0"/>
        <w:rPr>
          <w:noProof/>
          <w:lang w:val="es-ES_tradnl"/>
        </w:rPr>
      </w:pPr>
      <w:r w:rsidRPr="00F35C5E">
        <w:rPr>
          <w:noProof/>
          <w:lang w:val="es-ES_tradnl"/>
        </w:rPr>
        <w:tab/>
        <w:t>(</w:t>
      </w:r>
      <w:r w:rsidR="00216AD3">
        <w:rPr>
          <w:noProof/>
          <w:lang w:val="es-ES_tradnl"/>
        </w:rPr>
        <w:t xml:space="preserve">Prefijo de acceso </w:t>
      </w:r>
      <w:r w:rsidRPr="00F35C5E">
        <w:rPr>
          <w:noProof/>
          <w:lang w:val="es-ES_tradnl"/>
        </w:rPr>
        <w:t>+ NPA + NXX-XXXX)</w:t>
      </w:r>
    </w:p>
    <w:p w:rsidR="0065113E" w:rsidRPr="00F35C5E" w:rsidRDefault="00216AD3" w:rsidP="009211CE">
      <w:pPr>
        <w:rPr>
          <w:lang w:val="es-ES_tradnl"/>
        </w:rPr>
      </w:pPr>
      <w:r>
        <w:rPr>
          <w:lang w:val="es-ES_tradnl"/>
        </w:rPr>
        <w:t xml:space="preserve">Las llamadas internacionales de larga distancia que terminan fuera del </w:t>
      </w:r>
      <w:r w:rsidR="0065113E" w:rsidRPr="00F35C5E">
        <w:rPr>
          <w:lang w:val="es-ES_tradnl"/>
        </w:rPr>
        <w:t xml:space="preserve">NANP </w:t>
      </w:r>
      <w:r>
        <w:rPr>
          <w:lang w:val="es-ES_tradnl"/>
        </w:rPr>
        <w:t>se marcan utilizando el formato exigido por el país de terminación</w:t>
      </w:r>
      <w:r w:rsidR="0065113E" w:rsidRPr="00F35C5E">
        <w:rPr>
          <w:lang w:val="es-ES_tradnl"/>
        </w:rPr>
        <w:t xml:space="preserve">. </w:t>
      </w:r>
      <w:r>
        <w:rPr>
          <w:lang w:val="es-ES_tradnl"/>
        </w:rPr>
        <w:t xml:space="preserve">Puede emplearse el prefijo </w:t>
      </w:r>
      <w:r w:rsidR="0065113E" w:rsidRPr="00F35C5E">
        <w:rPr>
          <w:lang w:val="es-ES_tradnl"/>
        </w:rPr>
        <w:t xml:space="preserve">01 </w:t>
      </w:r>
      <w:r>
        <w:rPr>
          <w:lang w:val="es-ES_tradnl"/>
        </w:rPr>
        <w:t xml:space="preserve">ó </w:t>
      </w:r>
      <w:r w:rsidR="0065113E" w:rsidRPr="00F35C5E">
        <w:rPr>
          <w:lang w:val="es-ES_tradnl"/>
        </w:rPr>
        <w:t xml:space="preserve">011 </w:t>
      </w:r>
      <w:r>
        <w:rPr>
          <w:lang w:val="es-ES_tradnl"/>
        </w:rPr>
        <w:t>en función del nivel de asistencia necesario para dar curso a la llamada</w:t>
      </w:r>
      <w:r w:rsidR="0065113E" w:rsidRPr="00F35C5E">
        <w:rPr>
          <w:lang w:val="es-ES_tradnl"/>
        </w:rPr>
        <w:t>.</w:t>
      </w:r>
    </w:p>
    <w:p w:rsidR="0065113E" w:rsidRPr="00F35C5E" w:rsidRDefault="00216AD3" w:rsidP="009211CE">
      <w:pPr>
        <w:rPr>
          <w:lang w:val="es-ES_tradnl"/>
        </w:rPr>
      </w:pPr>
      <w:r>
        <w:rPr>
          <w:lang w:val="es-ES_tradnl"/>
        </w:rPr>
        <w:t xml:space="preserve">El prefijo </w:t>
      </w:r>
      <w:r w:rsidR="0065113E" w:rsidRPr="00F35C5E">
        <w:rPr>
          <w:lang w:val="es-ES_tradnl"/>
        </w:rPr>
        <w:t xml:space="preserve">"01" </w:t>
      </w:r>
      <w:r>
        <w:rPr>
          <w:noProof/>
          <w:lang w:val="es-ES_tradnl"/>
        </w:rPr>
        <w:t>se utiliza para llama</w:t>
      </w:r>
      <w:r w:rsidR="00A13C38">
        <w:rPr>
          <w:noProof/>
          <w:lang w:val="es-ES_tradnl"/>
        </w:rPr>
        <w:t>da</w:t>
      </w:r>
      <w:r>
        <w:rPr>
          <w:noProof/>
          <w:lang w:val="es-ES_tradnl"/>
        </w:rPr>
        <w:t>s a través de operadora</w:t>
      </w:r>
      <w:r w:rsidR="0065113E" w:rsidRPr="00F35C5E">
        <w:rPr>
          <w:lang w:val="es-ES_tradnl"/>
        </w:rPr>
        <w:t xml:space="preserve">. </w:t>
      </w:r>
      <w:r>
        <w:rPr>
          <w:lang w:val="es-ES_tradnl"/>
        </w:rPr>
        <w:t>Estas llamadas tendrán el formato</w:t>
      </w:r>
      <w:r w:rsidR="0065113E" w:rsidRPr="00F35C5E">
        <w:rPr>
          <w:lang w:val="es-ES_tradnl"/>
        </w:rPr>
        <w:t>:</w:t>
      </w:r>
    </w:p>
    <w:p w:rsidR="0065113E" w:rsidRPr="00152C88" w:rsidRDefault="0065113E" w:rsidP="005C1916">
      <w:pPr>
        <w:rPr>
          <w:noProof/>
          <w:lang w:val="es-ES_tradnl"/>
        </w:rPr>
      </w:pPr>
      <w:r w:rsidRPr="00152C88">
        <w:rPr>
          <w:noProof/>
          <w:lang w:val="es-ES_tradnl"/>
        </w:rPr>
        <w:tab/>
        <w:t xml:space="preserve">01 + </w:t>
      </w:r>
      <w:r w:rsidR="00216AD3" w:rsidRPr="00152C88">
        <w:rPr>
          <w:noProof/>
          <w:lang w:val="es-ES_tradnl"/>
        </w:rPr>
        <w:t xml:space="preserve">indicativo de país </w:t>
      </w:r>
      <w:r w:rsidRPr="00152C88">
        <w:rPr>
          <w:noProof/>
          <w:lang w:val="es-ES_tradnl"/>
        </w:rPr>
        <w:t xml:space="preserve">+ </w:t>
      </w:r>
      <w:r w:rsidR="00216AD3" w:rsidRPr="00152C88">
        <w:rPr>
          <w:noProof/>
          <w:lang w:val="es-ES_tradnl"/>
        </w:rPr>
        <w:t xml:space="preserve">indicativo de zona </w:t>
      </w:r>
      <w:r w:rsidRPr="00152C88">
        <w:rPr>
          <w:noProof/>
          <w:lang w:val="es-ES_tradnl"/>
        </w:rPr>
        <w:t xml:space="preserve">+ </w:t>
      </w:r>
      <w:r w:rsidR="00216AD3" w:rsidRPr="00152C88">
        <w:rPr>
          <w:noProof/>
          <w:lang w:val="es-ES_tradnl"/>
        </w:rPr>
        <w:t>número de teléfono</w:t>
      </w:r>
    </w:p>
    <w:p w:rsidR="0065113E" w:rsidRPr="00F35C5E" w:rsidRDefault="00216AD3" w:rsidP="009211CE">
      <w:pPr>
        <w:rPr>
          <w:lang w:val="es-ES_tradnl"/>
        </w:rPr>
      </w:pPr>
      <w:r>
        <w:rPr>
          <w:lang w:val="es-ES_tradnl"/>
        </w:rPr>
        <w:t xml:space="preserve">El prefijo </w:t>
      </w:r>
      <w:r w:rsidR="0065113E" w:rsidRPr="00F35C5E">
        <w:rPr>
          <w:lang w:val="es-ES_tradnl"/>
        </w:rPr>
        <w:t xml:space="preserve">"011" </w:t>
      </w:r>
      <w:r>
        <w:rPr>
          <w:noProof/>
          <w:lang w:val="es-ES_tradnl"/>
        </w:rPr>
        <w:t>se utiliza para llamadas con marcación directa</w:t>
      </w:r>
      <w:r w:rsidR="0065113E" w:rsidRPr="00F35C5E">
        <w:rPr>
          <w:lang w:val="es-ES_tradnl"/>
        </w:rPr>
        <w:t xml:space="preserve">. </w:t>
      </w:r>
      <w:r>
        <w:rPr>
          <w:lang w:val="es-ES_tradnl"/>
        </w:rPr>
        <w:t>Estas llamadas estarán en el formato</w:t>
      </w:r>
      <w:r w:rsidR="0065113E" w:rsidRPr="00F35C5E">
        <w:rPr>
          <w:lang w:val="es-ES_tradnl"/>
        </w:rPr>
        <w:t>:</w:t>
      </w:r>
    </w:p>
    <w:p w:rsidR="0065113E" w:rsidRPr="00152C88" w:rsidRDefault="0065113E" w:rsidP="005C1916">
      <w:pPr>
        <w:rPr>
          <w:noProof/>
          <w:lang w:val="es-ES_tradnl"/>
        </w:rPr>
      </w:pPr>
      <w:r w:rsidRPr="00152C88">
        <w:rPr>
          <w:noProof/>
          <w:lang w:val="es-ES_tradnl"/>
        </w:rPr>
        <w:tab/>
        <w:t xml:space="preserve">011 + </w:t>
      </w:r>
      <w:r w:rsidR="00216AD3" w:rsidRPr="00152C88">
        <w:rPr>
          <w:noProof/>
          <w:lang w:val="es-ES_tradnl"/>
        </w:rPr>
        <w:t xml:space="preserve">indicativo de país </w:t>
      </w:r>
      <w:r w:rsidRPr="00152C88">
        <w:rPr>
          <w:noProof/>
          <w:lang w:val="es-ES_tradnl"/>
        </w:rPr>
        <w:t xml:space="preserve">+ </w:t>
      </w:r>
      <w:r w:rsidR="00216AD3" w:rsidRPr="00152C88">
        <w:rPr>
          <w:noProof/>
          <w:lang w:val="es-ES_tradnl"/>
        </w:rPr>
        <w:t xml:space="preserve">indicativo de zona </w:t>
      </w:r>
      <w:r w:rsidRPr="00152C88">
        <w:rPr>
          <w:noProof/>
          <w:lang w:val="es-ES_tradnl"/>
        </w:rPr>
        <w:t xml:space="preserve">+ </w:t>
      </w:r>
      <w:r w:rsidR="00216AD3" w:rsidRPr="00152C88">
        <w:rPr>
          <w:noProof/>
          <w:lang w:val="es-ES_tradnl"/>
        </w:rPr>
        <w:t>número de teléfono</w:t>
      </w:r>
    </w:p>
    <w:p w:rsidR="0065113E" w:rsidRPr="00F35C5E" w:rsidRDefault="00216AD3" w:rsidP="009211CE">
      <w:pPr>
        <w:rPr>
          <w:lang w:val="es-ES_tradnl"/>
        </w:rPr>
      </w:pPr>
      <w:r>
        <w:rPr>
          <w:lang w:val="es-ES_tradnl"/>
        </w:rPr>
        <w:t xml:space="preserve">Puede obtenerse asistencia sobre el directorio para llamadas internacionales </w:t>
      </w:r>
      <w:r w:rsidR="0065113E" w:rsidRPr="00F35C5E">
        <w:rPr>
          <w:lang w:val="es-ES_tradnl"/>
        </w:rPr>
        <w:t>(</w:t>
      </w:r>
      <w:r>
        <w:rPr>
          <w:lang w:val="es-ES_tradnl"/>
        </w:rPr>
        <w:t xml:space="preserve">dentro y fuera del </w:t>
      </w:r>
      <w:r w:rsidR="0065113E" w:rsidRPr="00F35C5E">
        <w:rPr>
          <w:lang w:val="es-ES_tradnl"/>
        </w:rPr>
        <w:t xml:space="preserve">NANP) </w:t>
      </w:r>
      <w:r>
        <w:rPr>
          <w:lang w:val="es-ES_tradnl"/>
        </w:rPr>
        <w:t>marcando el </w:t>
      </w:r>
      <w:r w:rsidR="0065113E" w:rsidRPr="00F35C5E">
        <w:rPr>
          <w:lang w:val="es-ES_tradnl"/>
        </w:rPr>
        <w:t xml:space="preserve">"0". </w:t>
      </w:r>
    </w:p>
    <w:p w:rsidR="0065113E" w:rsidRPr="00F35C5E" w:rsidRDefault="0065113E" w:rsidP="009211CE">
      <w:pPr>
        <w:rPr>
          <w:lang w:val="es-ES_tradnl"/>
        </w:rPr>
      </w:pPr>
      <w:bookmarkStart w:id="18" w:name="_Toc257623501"/>
      <w:r w:rsidRPr="00F35C5E">
        <w:rPr>
          <w:lang w:val="es-ES_tradnl"/>
        </w:rPr>
        <w:br w:type="page"/>
      </w:r>
    </w:p>
    <w:p w:rsidR="0065113E" w:rsidRPr="00F35C5E" w:rsidRDefault="00152C88" w:rsidP="00152C88">
      <w:pPr>
        <w:rPr>
          <w:lang w:val="es-ES_tradnl"/>
        </w:rPr>
      </w:pPr>
      <w:bookmarkStart w:id="19" w:name="_Toc489001249"/>
      <w:bookmarkEnd w:id="18"/>
      <w:r>
        <w:rPr>
          <w:lang w:val="es-ES_tradnl"/>
        </w:rPr>
        <w:lastRenderedPageBreak/>
        <w:t>4</w:t>
      </w:r>
      <w:r w:rsidR="006656E4" w:rsidRPr="00F35C5E">
        <w:rPr>
          <w:lang w:val="es-ES_tradnl"/>
        </w:rPr>
        <w:tab/>
      </w:r>
      <w:r w:rsidR="007505E7" w:rsidRPr="00152C88">
        <w:rPr>
          <w:i/>
          <w:iCs/>
          <w:lang w:val="es-ES_tradnl"/>
        </w:rPr>
        <w:t>ATRIBUCIONES DE RECURSOS DE NUMERACIÓN</w:t>
      </w:r>
      <w:bookmarkEnd w:id="19"/>
    </w:p>
    <w:p w:rsidR="0065113E" w:rsidRPr="00F35C5E" w:rsidRDefault="007505E7" w:rsidP="009211CE">
      <w:pPr>
        <w:rPr>
          <w:lang w:val="es-ES_tradnl"/>
        </w:rPr>
      </w:pPr>
      <w:r>
        <w:rPr>
          <w:lang w:val="es-ES_tradnl"/>
        </w:rPr>
        <w:t xml:space="preserve">En la Sección </w:t>
      </w:r>
      <w:r w:rsidR="0065113E" w:rsidRPr="00F35C5E">
        <w:rPr>
          <w:lang w:val="es-ES_tradnl"/>
        </w:rPr>
        <w:t xml:space="preserve">4 </w:t>
      </w:r>
      <w:r>
        <w:rPr>
          <w:lang w:val="es-ES_tradnl"/>
        </w:rPr>
        <w:t>se presenta información actualizada de las atribuciones de recursos de numeración</w:t>
      </w:r>
      <w:r w:rsidR="0065113E" w:rsidRPr="00F35C5E">
        <w:rPr>
          <w:lang w:val="es-ES_tradnl"/>
        </w:rPr>
        <w:t>.</w:t>
      </w:r>
      <w:r w:rsidR="00FE0623">
        <w:rPr>
          <w:lang w:val="es-ES_tradnl"/>
        </w:rPr>
        <w:t xml:space="preserve"> </w:t>
      </w:r>
      <w:r>
        <w:rPr>
          <w:lang w:val="es-ES_tradnl"/>
        </w:rPr>
        <w:t xml:space="preserve">El </w:t>
      </w:r>
      <w:r w:rsidR="0065113E" w:rsidRPr="00F35C5E">
        <w:rPr>
          <w:lang w:val="es-ES_tradnl"/>
        </w:rPr>
        <w:t xml:space="preserve">NNP </w:t>
      </w:r>
      <w:r>
        <w:rPr>
          <w:noProof/>
          <w:lang w:val="es-ES_tradnl"/>
        </w:rPr>
        <w:t xml:space="preserve">establece la gestión de todos los recursos de numeración en Las </w:t>
      </w:r>
      <w:r w:rsidR="0065113E" w:rsidRPr="00F35C5E">
        <w:rPr>
          <w:lang w:val="es-ES_tradnl"/>
        </w:rPr>
        <w:t>Bahamas</w:t>
      </w:r>
      <w:r>
        <w:rPr>
          <w:lang w:val="es-ES_tradnl"/>
        </w:rPr>
        <w:t xml:space="preserve"> como objetivo principal</w:t>
      </w:r>
      <w:r w:rsidR="0065113E" w:rsidRPr="00F35C5E">
        <w:rPr>
          <w:lang w:val="es-ES_tradnl"/>
        </w:rPr>
        <w:t xml:space="preserve">. </w:t>
      </w:r>
      <w:r>
        <w:rPr>
          <w:lang w:val="es-ES_tradnl"/>
        </w:rPr>
        <w:t xml:space="preserve">A continuación figura el actual cuadro de atribución de indicativos de </w:t>
      </w:r>
      <w:r w:rsidR="00A70BC3">
        <w:rPr>
          <w:lang w:val="es-ES_tradnl"/>
        </w:rPr>
        <w:t xml:space="preserve">oficina </w:t>
      </w:r>
      <w:r>
        <w:rPr>
          <w:lang w:val="es-ES_tradnl"/>
        </w:rPr>
        <w:t xml:space="preserve">central en el </w:t>
      </w:r>
      <w:r w:rsidR="0065113E" w:rsidRPr="00F35C5E">
        <w:rPr>
          <w:lang w:val="es-ES_tradnl"/>
        </w:rPr>
        <w:t xml:space="preserve">NPA </w:t>
      </w:r>
      <w:r w:rsidRPr="00F35C5E">
        <w:rPr>
          <w:lang w:val="es-ES_tradnl"/>
        </w:rPr>
        <w:t xml:space="preserve">242 </w:t>
      </w:r>
      <w:r>
        <w:rPr>
          <w:lang w:val="es-ES_tradnl"/>
        </w:rPr>
        <w:t xml:space="preserve">de Las </w:t>
      </w:r>
      <w:r w:rsidR="0065113E" w:rsidRPr="00F35C5E">
        <w:rPr>
          <w:lang w:val="es-ES_tradnl"/>
        </w:rPr>
        <w:t>Bahamas.</w:t>
      </w:r>
    </w:p>
    <w:p w:rsidR="0065113E" w:rsidRPr="00152C88" w:rsidRDefault="007505E7" w:rsidP="00C0351A">
      <w:pPr>
        <w:spacing w:before="240" w:after="120"/>
        <w:jc w:val="center"/>
        <w:rPr>
          <w:lang w:val="es-ES_tradnl"/>
        </w:rPr>
      </w:pPr>
      <w:r w:rsidRPr="00152C88">
        <w:rPr>
          <w:lang w:val="es-ES_tradnl"/>
        </w:rPr>
        <w:t xml:space="preserve">Cuadro </w:t>
      </w:r>
      <w:r w:rsidR="0065113E" w:rsidRPr="00152C88">
        <w:rPr>
          <w:lang w:val="es-ES_tradnl"/>
        </w:rPr>
        <w:t xml:space="preserve">1: </w:t>
      </w:r>
      <w:r w:rsidRPr="00152C88">
        <w:rPr>
          <w:lang w:val="es-ES_tradnl"/>
        </w:rPr>
        <w:t xml:space="preserve">ATRIBUCIÓN DE INDICATIVOS </w:t>
      </w:r>
      <w:r w:rsidR="00C0351A">
        <w:rPr>
          <w:lang w:val="es-ES_tradnl"/>
        </w:rPr>
        <w:t>CO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2"/>
        <w:gridCol w:w="6254"/>
      </w:tblGrid>
      <w:tr w:rsidR="0065113E" w:rsidRPr="00F35C5E" w:rsidTr="009E2964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13E" w:rsidRPr="005C1916" w:rsidRDefault="007505E7" w:rsidP="005C1916">
            <w:pPr>
              <w:spacing w:before="80" w:after="80"/>
              <w:jc w:val="center"/>
              <w:rPr>
                <w:i/>
                <w:iCs/>
              </w:rPr>
            </w:pPr>
            <w:r w:rsidRPr="005C1916">
              <w:rPr>
                <w:i/>
                <w:iCs/>
              </w:rPr>
              <w:t xml:space="preserve">Indicativos </w:t>
            </w:r>
            <w:r w:rsidR="0065113E" w:rsidRPr="005C1916">
              <w:rPr>
                <w:i/>
                <w:iCs/>
              </w:rPr>
              <w:t>CO</w:t>
            </w:r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13E" w:rsidRPr="005C1916" w:rsidRDefault="007505E7" w:rsidP="005C1916">
            <w:pPr>
              <w:spacing w:before="80" w:after="80"/>
              <w:jc w:val="center"/>
              <w:rPr>
                <w:i/>
                <w:iCs/>
              </w:rPr>
            </w:pPr>
            <w:r w:rsidRPr="005C1916">
              <w:rPr>
                <w:i/>
                <w:iCs/>
              </w:rPr>
              <w:t>Atribución actual</w:t>
            </w:r>
          </w:p>
        </w:tc>
      </w:tr>
      <w:tr w:rsidR="0065113E" w:rsidRPr="008A5975" w:rsidTr="009E2964">
        <w:trPr>
          <w:jc w:val="center"/>
        </w:trPr>
        <w:tc>
          <w:tcPr>
            <w:tcW w:w="2692" w:type="dxa"/>
            <w:shd w:val="clear" w:color="auto" w:fill="auto"/>
          </w:tcPr>
          <w:p w:rsidR="0065113E" w:rsidRPr="00A27108" w:rsidRDefault="0065113E" w:rsidP="005C1916">
            <w:pPr>
              <w:spacing w:before="60" w:after="60"/>
              <w:jc w:val="center"/>
            </w:pPr>
            <w:r w:rsidRPr="00A27108">
              <w:t>0XX</w:t>
            </w:r>
          </w:p>
        </w:tc>
        <w:tc>
          <w:tcPr>
            <w:tcW w:w="6254" w:type="dxa"/>
            <w:shd w:val="clear" w:color="auto" w:fill="auto"/>
          </w:tcPr>
          <w:p w:rsidR="0065113E" w:rsidRPr="008A5975" w:rsidRDefault="0065113E" w:rsidP="005C1916">
            <w:pPr>
              <w:spacing w:before="60" w:after="60"/>
              <w:jc w:val="left"/>
              <w:rPr>
                <w:lang w:val="es-ES_tradnl"/>
              </w:rPr>
            </w:pPr>
            <w:r w:rsidRPr="008A5975">
              <w:rPr>
                <w:lang w:val="es-ES_tradnl"/>
              </w:rPr>
              <w:t>Reserv</w:t>
            </w:r>
            <w:r w:rsidR="007505E7" w:rsidRPr="008A5975">
              <w:rPr>
                <w:lang w:val="es-ES_tradnl"/>
              </w:rPr>
              <w:t>a</w:t>
            </w:r>
            <w:r w:rsidRPr="008A5975">
              <w:rPr>
                <w:lang w:val="es-ES_tradnl"/>
              </w:rPr>
              <w:t>d</w:t>
            </w:r>
            <w:r w:rsidR="007505E7" w:rsidRPr="008A5975">
              <w:rPr>
                <w:lang w:val="es-ES_tradnl"/>
              </w:rPr>
              <w:t>o para indicativos de a</w:t>
            </w:r>
            <w:r w:rsidRPr="008A5975">
              <w:rPr>
                <w:lang w:val="es-ES_tradnl"/>
              </w:rPr>
              <w:t>cces</w:t>
            </w:r>
            <w:r w:rsidR="007505E7" w:rsidRPr="008A5975">
              <w:rPr>
                <w:lang w:val="es-ES_tradnl"/>
              </w:rPr>
              <w:t>o</w:t>
            </w:r>
            <w:r w:rsidRPr="008A5975">
              <w:rPr>
                <w:lang w:val="es-ES_tradnl"/>
              </w:rPr>
              <w:t>/</w:t>
            </w:r>
            <w:r w:rsidR="007505E7" w:rsidRPr="008A5975">
              <w:rPr>
                <w:lang w:val="es-ES_tradnl"/>
              </w:rPr>
              <w:t>prefijos</w:t>
            </w:r>
          </w:p>
        </w:tc>
      </w:tr>
      <w:tr w:rsidR="0065113E" w:rsidRPr="008A5975" w:rsidTr="009E2964">
        <w:trPr>
          <w:jc w:val="center"/>
        </w:trPr>
        <w:tc>
          <w:tcPr>
            <w:tcW w:w="2692" w:type="dxa"/>
            <w:shd w:val="clear" w:color="auto" w:fill="auto"/>
          </w:tcPr>
          <w:p w:rsidR="0065113E" w:rsidRPr="00A27108" w:rsidRDefault="0065113E" w:rsidP="005C1916">
            <w:pPr>
              <w:spacing w:before="60" w:after="60"/>
              <w:jc w:val="center"/>
            </w:pPr>
            <w:r w:rsidRPr="00A27108">
              <w:t>1XX</w:t>
            </w:r>
          </w:p>
        </w:tc>
        <w:tc>
          <w:tcPr>
            <w:tcW w:w="6254" w:type="dxa"/>
            <w:shd w:val="clear" w:color="auto" w:fill="auto"/>
          </w:tcPr>
          <w:p w:rsidR="0065113E" w:rsidRPr="008A5975" w:rsidRDefault="007505E7" w:rsidP="005C1916">
            <w:pPr>
              <w:spacing w:before="60" w:after="60"/>
              <w:jc w:val="left"/>
              <w:rPr>
                <w:lang w:val="es-ES_tradnl"/>
              </w:rPr>
            </w:pPr>
            <w:r w:rsidRPr="008A5975">
              <w:rPr>
                <w:lang w:val="es-ES_tradnl"/>
              </w:rPr>
              <w:t>Reservado para indicativos de acceso/prefijos</w:t>
            </w:r>
          </w:p>
        </w:tc>
      </w:tr>
      <w:tr w:rsidR="0065113E" w:rsidRPr="00F35C5E" w:rsidTr="009E2964">
        <w:trPr>
          <w:jc w:val="center"/>
        </w:trPr>
        <w:tc>
          <w:tcPr>
            <w:tcW w:w="2692" w:type="dxa"/>
            <w:shd w:val="clear" w:color="auto" w:fill="auto"/>
          </w:tcPr>
          <w:p w:rsidR="0065113E" w:rsidRPr="00A27108" w:rsidRDefault="0065113E" w:rsidP="005C1916">
            <w:pPr>
              <w:spacing w:before="60" w:after="60"/>
              <w:jc w:val="center"/>
            </w:pPr>
            <w:r w:rsidRPr="00A27108">
              <w:t>2XX</w:t>
            </w:r>
          </w:p>
        </w:tc>
        <w:tc>
          <w:tcPr>
            <w:tcW w:w="6254" w:type="dxa"/>
            <w:shd w:val="clear" w:color="auto" w:fill="auto"/>
          </w:tcPr>
          <w:p w:rsidR="0065113E" w:rsidRPr="005C1916" w:rsidRDefault="007505E7" w:rsidP="005C1916">
            <w:pPr>
              <w:spacing w:before="60" w:after="60"/>
              <w:jc w:val="left"/>
            </w:pPr>
            <w:r w:rsidRPr="00A27108">
              <w:t>Reservado para expansión</w:t>
            </w:r>
            <w:r w:rsidR="0065113E" w:rsidRPr="005C1916">
              <w:rPr>
                <w:vertAlign w:val="superscript"/>
              </w:rPr>
              <w:footnoteReference w:id="3"/>
            </w:r>
          </w:p>
        </w:tc>
      </w:tr>
      <w:tr w:rsidR="0065113E" w:rsidRPr="008A5975" w:rsidTr="009E2964">
        <w:trPr>
          <w:jc w:val="center"/>
        </w:trPr>
        <w:tc>
          <w:tcPr>
            <w:tcW w:w="2692" w:type="dxa"/>
            <w:shd w:val="clear" w:color="auto" w:fill="auto"/>
          </w:tcPr>
          <w:p w:rsidR="0065113E" w:rsidRPr="00A27108" w:rsidRDefault="0065113E" w:rsidP="005C1916">
            <w:pPr>
              <w:spacing w:before="60" w:after="60"/>
              <w:jc w:val="center"/>
            </w:pPr>
            <w:r w:rsidRPr="00A27108">
              <w:t>3XX</w:t>
            </w:r>
          </w:p>
        </w:tc>
        <w:tc>
          <w:tcPr>
            <w:tcW w:w="6254" w:type="dxa"/>
            <w:shd w:val="clear" w:color="auto" w:fill="auto"/>
          </w:tcPr>
          <w:p w:rsidR="0065113E" w:rsidRPr="008A5975" w:rsidRDefault="007505E7" w:rsidP="005C1916">
            <w:pPr>
              <w:spacing w:before="60" w:after="60"/>
              <w:jc w:val="left"/>
              <w:rPr>
                <w:lang w:val="es-ES_tradnl"/>
              </w:rPr>
            </w:pPr>
            <w:r w:rsidRPr="008A5975">
              <w:rPr>
                <w:lang w:val="es-ES_tradnl"/>
              </w:rPr>
              <w:t>Servicios fijos</w:t>
            </w:r>
          </w:p>
          <w:p w:rsidR="0065113E" w:rsidRPr="008A5975" w:rsidRDefault="007505E7" w:rsidP="005C1916">
            <w:pPr>
              <w:spacing w:before="60" w:after="60"/>
              <w:jc w:val="left"/>
              <w:rPr>
                <w:lang w:val="es-ES_tradnl"/>
              </w:rPr>
            </w:pPr>
            <w:r w:rsidRPr="008A5975">
              <w:rPr>
                <w:lang w:val="es-ES_tradnl"/>
              </w:rPr>
              <w:t>Servicios móviles celulares</w:t>
            </w:r>
          </w:p>
        </w:tc>
      </w:tr>
      <w:tr w:rsidR="0065113E" w:rsidRPr="00F35C5E" w:rsidTr="009E2964">
        <w:trPr>
          <w:jc w:val="center"/>
        </w:trPr>
        <w:tc>
          <w:tcPr>
            <w:tcW w:w="2692" w:type="dxa"/>
            <w:shd w:val="clear" w:color="auto" w:fill="auto"/>
          </w:tcPr>
          <w:p w:rsidR="0065113E" w:rsidRPr="00A27108" w:rsidRDefault="0065113E" w:rsidP="005C1916">
            <w:pPr>
              <w:spacing w:before="60" w:after="60"/>
              <w:jc w:val="center"/>
            </w:pPr>
            <w:r w:rsidRPr="00A27108">
              <w:t>4XX</w:t>
            </w:r>
          </w:p>
        </w:tc>
        <w:tc>
          <w:tcPr>
            <w:tcW w:w="6254" w:type="dxa"/>
            <w:shd w:val="clear" w:color="auto" w:fill="auto"/>
          </w:tcPr>
          <w:p w:rsidR="0065113E" w:rsidRPr="005C1916" w:rsidRDefault="007505E7" w:rsidP="005C1916">
            <w:pPr>
              <w:spacing w:before="60" w:after="60"/>
              <w:jc w:val="left"/>
            </w:pPr>
            <w:r w:rsidRPr="005C1916">
              <w:t>Servicios móviles celulares</w:t>
            </w:r>
            <w:r w:rsidR="0065113E" w:rsidRPr="005C1916">
              <w:rPr>
                <w:vertAlign w:val="superscript"/>
              </w:rPr>
              <w:footnoteReference w:id="4"/>
            </w:r>
          </w:p>
        </w:tc>
      </w:tr>
      <w:tr w:rsidR="0065113E" w:rsidRPr="008A5975" w:rsidTr="009E2964">
        <w:trPr>
          <w:jc w:val="center"/>
        </w:trPr>
        <w:tc>
          <w:tcPr>
            <w:tcW w:w="2692" w:type="dxa"/>
            <w:shd w:val="clear" w:color="auto" w:fill="auto"/>
          </w:tcPr>
          <w:p w:rsidR="0065113E" w:rsidRPr="00A27108" w:rsidRDefault="0065113E" w:rsidP="005C1916">
            <w:pPr>
              <w:spacing w:before="60" w:after="60"/>
              <w:jc w:val="center"/>
            </w:pPr>
            <w:r w:rsidRPr="00A27108">
              <w:t>5XX</w:t>
            </w:r>
          </w:p>
        </w:tc>
        <w:tc>
          <w:tcPr>
            <w:tcW w:w="6254" w:type="dxa"/>
            <w:shd w:val="clear" w:color="auto" w:fill="auto"/>
          </w:tcPr>
          <w:p w:rsidR="0065113E" w:rsidRPr="008A5975" w:rsidRDefault="007505E7" w:rsidP="005C1916">
            <w:pPr>
              <w:spacing w:before="60" w:after="60"/>
              <w:jc w:val="left"/>
              <w:rPr>
                <w:lang w:val="es-ES_tradnl"/>
              </w:rPr>
            </w:pPr>
            <w:r w:rsidRPr="008A5975">
              <w:rPr>
                <w:lang w:val="es-ES_tradnl"/>
              </w:rPr>
              <w:t>Móvil celular</w:t>
            </w:r>
            <w:r w:rsidR="0065113E" w:rsidRPr="005C1916">
              <w:rPr>
                <w:vertAlign w:val="superscript"/>
              </w:rPr>
              <w:footnoteReference w:id="5"/>
            </w:r>
          </w:p>
          <w:p w:rsidR="0065113E" w:rsidRPr="008A5975" w:rsidRDefault="0065113E" w:rsidP="005C1916">
            <w:pPr>
              <w:spacing w:before="60" w:after="60"/>
              <w:jc w:val="left"/>
              <w:rPr>
                <w:lang w:val="es-ES_tradnl"/>
              </w:rPr>
            </w:pPr>
            <w:r w:rsidRPr="008A5975">
              <w:rPr>
                <w:lang w:val="es-ES_tradnl"/>
              </w:rPr>
              <w:t xml:space="preserve">555 </w:t>
            </w:r>
            <w:r w:rsidR="007505E7" w:rsidRPr="008A5975">
              <w:rPr>
                <w:lang w:val="es-ES_tradnl"/>
              </w:rPr>
              <w:t>reservado para servicios de información</w:t>
            </w:r>
          </w:p>
        </w:tc>
      </w:tr>
      <w:tr w:rsidR="0065113E" w:rsidRPr="00F35C5E" w:rsidTr="009E2964">
        <w:trPr>
          <w:jc w:val="center"/>
        </w:trPr>
        <w:tc>
          <w:tcPr>
            <w:tcW w:w="2692" w:type="dxa"/>
            <w:shd w:val="clear" w:color="auto" w:fill="auto"/>
          </w:tcPr>
          <w:p w:rsidR="0065113E" w:rsidRPr="00A27108" w:rsidRDefault="0065113E" w:rsidP="005C1916">
            <w:pPr>
              <w:spacing w:before="60" w:after="60"/>
              <w:jc w:val="center"/>
            </w:pPr>
            <w:r w:rsidRPr="00A27108">
              <w:t>6XX</w:t>
            </w:r>
          </w:p>
        </w:tc>
        <w:tc>
          <w:tcPr>
            <w:tcW w:w="6254" w:type="dxa"/>
            <w:shd w:val="clear" w:color="auto" w:fill="auto"/>
          </w:tcPr>
          <w:p w:rsidR="0065113E" w:rsidRPr="005C1916" w:rsidRDefault="007505E7" w:rsidP="005C1916">
            <w:pPr>
              <w:spacing w:before="60" w:after="60"/>
              <w:jc w:val="left"/>
            </w:pPr>
            <w:r w:rsidRPr="005C1916">
              <w:t>Servicios fijos</w:t>
            </w:r>
            <w:r w:rsidR="0065113E" w:rsidRPr="005C1916">
              <w:rPr>
                <w:vertAlign w:val="superscript"/>
              </w:rPr>
              <w:footnoteReference w:id="6"/>
            </w:r>
          </w:p>
        </w:tc>
      </w:tr>
      <w:tr w:rsidR="0065113E" w:rsidRPr="00F35C5E" w:rsidTr="009E2964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65113E" w:rsidRPr="00A27108" w:rsidRDefault="0065113E" w:rsidP="005C1916">
            <w:pPr>
              <w:spacing w:before="60" w:after="60"/>
              <w:jc w:val="center"/>
            </w:pPr>
            <w:r w:rsidRPr="00A27108">
              <w:t>7XX</w:t>
            </w:r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</w:tcPr>
          <w:p w:rsidR="0065113E" w:rsidRPr="005C1916" w:rsidRDefault="007505E7" w:rsidP="005C1916">
            <w:pPr>
              <w:spacing w:before="60" w:after="60"/>
              <w:jc w:val="left"/>
            </w:pPr>
            <w:r w:rsidRPr="005C1916">
              <w:t xml:space="preserve">Reservado para </w:t>
            </w:r>
            <w:r w:rsidR="00A82FFE" w:rsidRPr="005C1916">
              <w:t>expansión</w:t>
            </w:r>
            <w:r w:rsidR="0065113E" w:rsidRPr="005C1916">
              <w:rPr>
                <w:vertAlign w:val="superscript"/>
              </w:rPr>
              <w:footnoteReference w:id="7"/>
            </w:r>
          </w:p>
        </w:tc>
      </w:tr>
      <w:tr w:rsidR="0065113E" w:rsidRPr="00F35C5E" w:rsidTr="009E2964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:rsidR="0065113E" w:rsidRPr="00A27108" w:rsidRDefault="0065113E" w:rsidP="005C1916">
            <w:pPr>
              <w:spacing w:before="60" w:after="60"/>
              <w:jc w:val="center"/>
            </w:pPr>
            <w:r w:rsidRPr="00A27108">
              <w:t>8XX</w:t>
            </w:r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</w:tcPr>
          <w:p w:rsidR="0065113E" w:rsidRPr="009211CE" w:rsidRDefault="007505E7" w:rsidP="005C1916">
            <w:pPr>
              <w:spacing w:before="60" w:after="60"/>
              <w:jc w:val="left"/>
            </w:pPr>
            <w:r w:rsidRPr="009211CE">
              <w:t>Servicio móvil celular</w:t>
            </w:r>
          </w:p>
        </w:tc>
      </w:tr>
      <w:tr w:rsidR="0065113E" w:rsidRPr="00F35C5E" w:rsidTr="009E2964">
        <w:trPr>
          <w:jc w:val="center"/>
        </w:trPr>
        <w:tc>
          <w:tcPr>
            <w:tcW w:w="2692" w:type="dxa"/>
            <w:shd w:val="clear" w:color="auto" w:fill="auto"/>
          </w:tcPr>
          <w:p w:rsidR="0065113E" w:rsidRPr="00A27108" w:rsidRDefault="0065113E" w:rsidP="005C1916">
            <w:pPr>
              <w:spacing w:before="60" w:after="60"/>
              <w:jc w:val="center"/>
            </w:pPr>
            <w:r w:rsidRPr="00A27108">
              <w:t>9XX</w:t>
            </w:r>
          </w:p>
        </w:tc>
        <w:tc>
          <w:tcPr>
            <w:tcW w:w="6254" w:type="dxa"/>
            <w:shd w:val="clear" w:color="auto" w:fill="auto"/>
          </w:tcPr>
          <w:p w:rsidR="0065113E" w:rsidRPr="009211CE" w:rsidRDefault="007505E7" w:rsidP="005C1916">
            <w:pPr>
              <w:spacing w:before="60" w:after="60"/>
              <w:jc w:val="left"/>
            </w:pPr>
            <w:r w:rsidRPr="009211CE">
              <w:t>Indicativos abreviados y expansió</w:t>
            </w:r>
            <w:r w:rsidR="00A82FFE" w:rsidRPr="009211CE">
              <w:t>n</w:t>
            </w:r>
          </w:p>
        </w:tc>
      </w:tr>
    </w:tbl>
    <w:p w:rsidR="0065113E" w:rsidRPr="00F35C5E" w:rsidRDefault="0065113E" w:rsidP="0065113E">
      <w:pPr>
        <w:spacing w:before="0"/>
        <w:rPr>
          <w:lang w:val="es-ES_tradnl"/>
        </w:rPr>
      </w:pPr>
    </w:p>
    <w:p w:rsidR="0065113E" w:rsidRPr="00152C88" w:rsidRDefault="00A82FFE" w:rsidP="00152C88">
      <w:pPr>
        <w:rPr>
          <w:i/>
          <w:iCs/>
          <w:lang w:val="es-ES_tradnl"/>
        </w:rPr>
      </w:pPr>
      <w:bookmarkStart w:id="20" w:name="_Toc465369465"/>
      <w:bookmarkStart w:id="21" w:name="_Toc465369596"/>
      <w:bookmarkStart w:id="22" w:name="_Toc489001250"/>
      <w:r w:rsidRPr="00152C88">
        <w:rPr>
          <w:i/>
          <w:iCs/>
          <w:lang w:val="es-ES_tradnl"/>
        </w:rPr>
        <w:t>INDICATIVOS RESERVADOS PARA SERVICIOS ESPECIALES</w:t>
      </w:r>
      <w:bookmarkEnd w:id="20"/>
      <w:bookmarkEnd w:id="21"/>
      <w:bookmarkEnd w:id="22"/>
    </w:p>
    <w:p w:rsidR="0065113E" w:rsidRPr="00F35C5E" w:rsidRDefault="00A82FFE" w:rsidP="009211CE">
      <w:pPr>
        <w:rPr>
          <w:lang w:val="es-ES_tradnl"/>
        </w:rPr>
      </w:pPr>
      <w:r>
        <w:rPr>
          <w:lang w:val="es-ES_tradnl"/>
        </w:rPr>
        <w:t xml:space="preserve">Los siguientes indicativos </w:t>
      </w:r>
      <w:r w:rsidR="0065113E" w:rsidRPr="00F35C5E">
        <w:rPr>
          <w:lang w:val="es-ES_tradnl"/>
        </w:rPr>
        <w:t xml:space="preserve">CO </w:t>
      </w:r>
      <w:r>
        <w:rPr>
          <w:lang w:val="es-ES_tradnl"/>
        </w:rPr>
        <w:t>están atribuidos o reservados para servicios especiales</w:t>
      </w:r>
      <w:r w:rsidR="0065113E" w:rsidRPr="00F35C5E">
        <w:rPr>
          <w:lang w:val="es-ES_tradnl"/>
        </w:rPr>
        <w:t>:</w:t>
      </w:r>
    </w:p>
    <w:p w:rsidR="0065113E" w:rsidRPr="008A5975" w:rsidRDefault="0065113E" w:rsidP="009211CE">
      <w:pPr>
        <w:pStyle w:val="enumlev1"/>
        <w:rPr>
          <w:lang w:val="es-ES_tradnl"/>
        </w:rPr>
      </w:pPr>
      <w:r w:rsidRPr="008A5975">
        <w:rPr>
          <w:lang w:val="es-ES_tradnl"/>
        </w:rPr>
        <w:t>•</w:t>
      </w:r>
      <w:r w:rsidRPr="008A5975">
        <w:rPr>
          <w:lang w:val="es-ES_tradnl"/>
        </w:rPr>
        <w:tab/>
      </w:r>
      <w:r w:rsidR="00A82FFE" w:rsidRPr="008A5975">
        <w:rPr>
          <w:lang w:val="es-ES_tradnl"/>
        </w:rPr>
        <w:t xml:space="preserve">Cualquier </w:t>
      </w:r>
      <w:r w:rsidRPr="008A5975">
        <w:rPr>
          <w:lang w:val="es-ES_tradnl"/>
        </w:rPr>
        <w:t xml:space="preserve">N11: </w:t>
      </w:r>
      <w:r w:rsidR="00A82FFE" w:rsidRPr="008A5975">
        <w:rPr>
          <w:lang w:val="es-ES_tradnl"/>
        </w:rPr>
        <w:t xml:space="preserve">Reservado para indicativos de servicios </w:t>
      </w:r>
      <w:r w:rsidRPr="008A5975">
        <w:rPr>
          <w:lang w:val="es-ES_tradnl"/>
        </w:rPr>
        <w:t>(</w:t>
      </w:r>
      <w:r w:rsidR="00A82FFE" w:rsidRPr="008A5975">
        <w:rPr>
          <w:lang w:val="es-ES_tradnl"/>
        </w:rPr>
        <w:t>es decir</w:t>
      </w:r>
      <w:r w:rsidRPr="008A5975">
        <w:rPr>
          <w:lang w:val="es-ES_tradnl"/>
        </w:rPr>
        <w:t>, 211, 311, 411, 511, 611, 711, 811</w:t>
      </w:r>
      <w:r w:rsidR="00A82FFE" w:rsidRPr="008A5975">
        <w:rPr>
          <w:lang w:val="es-ES_tradnl"/>
        </w:rPr>
        <w:t xml:space="preserve"> y</w:t>
      </w:r>
      <w:r w:rsidRPr="008A5975">
        <w:rPr>
          <w:lang w:val="es-ES_tradnl"/>
        </w:rPr>
        <w:t xml:space="preserve"> 911)</w:t>
      </w:r>
    </w:p>
    <w:p w:rsidR="0065113E" w:rsidRPr="008A5975" w:rsidRDefault="0065113E" w:rsidP="009211CE">
      <w:pPr>
        <w:pStyle w:val="enumlev1"/>
        <w:rPr>
          <w:lang w:val="es-ES_tradnl"/>
        </w:rPr>
      </w:pPr>
      <w:r w:rsidRPr="008A5975">
        <w:rPr>
          <w:lang w:val="es-ES_tradnl"/>
        </w:rPr>
        <w:t>•</w:t>
      </w:r>
      <w:r w:rsidRPr="008A5975">
        <w:rPr>
          <w:lang w:val="es-ES_tradnl"/>
        </w:rPr>
        <w:tab/>
      </w:r>
      <w:r w:rsidR="00A82FFE" w:rsidRPr="008A5975">
        <w:rPr>
          <w:lang w:val="es-ES_tradnl"/>
        </w:rPr>
        <w:t xml:space="preserve">Cualquier </w:t>
      </w:r>
      <w:r w:rsidRPr="008A5975">
        <w:rPr>
          <w:lang w:val="es-ES_tradnl"/>
        </w:rPr>
        <w:t xml:space="preserve">N00: </w:t>
      </w:r>
      <w:r w:rsidR="00A82FFE" w:rsidRPr="008A5975">
        <w:rPr>
          <w:lang w:val="es-ES_tradnl"/>
        </w:rPr>
        <w:t xml:space="preserve">Reservados como indicativos de servicios </w:t>
      </w:r>
      <w:r w:rsidRPr="008A5975">
        <w:rPr>
          <w:lang w:val="es-ES_tradnl"/>
        </w:rPr>
        <w:t>(</w:t>
      </w:r>
      <w:r w:rsidR="00A82FFE" w:rsidRPr="008A5975">
        <w:rPr>
          <w:lang w:val="es-ES_tradnl"/>
        </w:rPr>
        <w:t>es decir</w:t>
      </w:r>
      <w:r w:rsidRPr="008A5975">
        <w:rPr>
          <w:lang w:val="es-ES_tradnl"/>
        </w:rPr>
        <w:t>, 200, 300, 400, 500, 600, 700, 800</w:t>
      </w:r>
      <w:r w:rsidR="00A82FFE" w:rsidRPr="008A5975">
        <w:rPr>
          <w:lang w:val="es-ES_tradnl"/>
        </w:rPr>
        <w:t xml:space="preserve"> y</w:t>
      </w:r>
      <w:r w:rsidRPr="008A5975">
        <w:rPr>
          <w:lang w:val="es-ES_tradnl"/>
        </w:rPr>
        <w:t xml:space="preserve"> 900)</w:t>
      </w:r>
    </w:p>
    <w:p w:rsidR="0065113E" w:rsidRPr="005C5F09" w:rsidRDefault="0065113E" w:rsidP="009211CE">
      <w:pPr>
        <w:pStyle w:val="enumlev1"/>
        <w:rPr>
          <w:lang w:val="es-ES_tradnl"/>
        </w:rPr>
      </w:pPr>
      <w:r w:rsidRPr="005C5F09">
        <w:rPr>
          <w:lang w:val="es-ES_tradnl"/>
        </w:rPr>
        <w:t>•</w:t>
      </w:r>
      <w:r w:rsidRPr="005C5F09">
        <w:rPr>
          <w:lang w:val="es-ES_tradnl"/>
        </w:rPr>
        <w:tab/>
      </w:r>
      <w:r w:rsidR="00A82FFE" w:rsidRPr="005C5F09">
        <w:rPr>
          <w:lang w:val="es-ES_tradnl"/>
        </w:rPr>
        <w:t>Cualquier indicativo atribuido o asignado para fines especiales, por ejemplo</w:t>
      </w:r>
      <w:r w:rsidR="005C5F09" w:rsidRPr="005C5F09">
        <w:rPr>
          <w:lang w:val="es-ES_tradnl"/>
        </w:rPr>
        <w:t>,</w:t>
      </w:r>
      <w:r w:rsidR="00A82FFE" w:rsidRPr="005C5F09">
        <w:rPr>
          <w:lang w:val="es-ES_tradnl"/>
        </w:rPr>
        <w:t xml:space="preserve"> </w:t>
      </w:r>
      <w:r w:rsidRPr="005C5F09">
        <w:rPr>
          <w:lang w:val="es-ES_tradnl"/>
        </w:rPr>
        <w:t xml:space="preserve">555 </w:t>
      </w:r>
      <w:r w:rsidR="00A82FFE" w:rsidRPr="005C5F09">
        <w:rPr>
          <w:lang w:val="es-ES_tradnl"/>
        </w:rPr>
        <w:t>reservad</w:t>
      </w:r>
      <w:r w:rsidR="00001AAE" w:rsidRPr="005C5F09">
        <w:rPr>
          <w:lang w:val="es-ES_tradnl"/>
        </w:rPr>
        <w:t>o para servicios de información</w:t>
      </w:r>
    </w:p>
    <w:p w:rsidR="0065113E" w:rsidRPr="00815A2F" w:rsidRDefault="00633040" w:rsidP="009211CE">
      <w:pPr>
        <w:pStyle w:val="enumlev1"/>
        <w:rPr>
          <w:lang w:val="es-AR"/>
        </w:rPr>
      </w:pPr>
      <w:r w:rsidRPr="00815A2F">
        <w:rPr>
          <w:lang w:val="es-AR"/>
        </w:rPr>
        <w:t>•</w:t>
      </w:r>
      <w:r w:rsidR="0065113E" w:rsidRPr="00815A2F">
        <w:rPr>
          <w:sz w:val="24"/>
          <w:szCs w:val="24"/>
          <w:lang w:val="es-AR"/>
        </w:rPr>
        <w:tab/>
      </w:r>
      <w:r w:rsidR="0065113E" w:rsidRPr="00815A2F">
        <w:rPr>
          <w:lang w:val="es-AR"/>
        </w:rPr>
        <w:t xml:space="preserve">950 </w:t>
      </w:r>
      <w:r w:rsidR="009211CE" w:rsidRPr="00815A2F">
        <w:rPr>
          <w:lang w:val="es-AR"/>
        </w:rPr>
        <w:t>para futuros servicios</w:t>
      </w:r>
    </w:p>
    <w:p w:rsidR="0065113E" w:rsidRPr="008A5975" w:rsidRDefault="0065113E" w:rsidP="009211CE">
      <w:pPr>
        <w:pStyle w:val="enumlev1"/>
        <w:rPr>
          <w:lang w:val="es-ES_tradnl"/>
        </w:rPr>
      </w:pPr>
      <w:r w:rsidRPr="008A5975">
        <w:rPr>
          <w:lang w:val="es-ES_tradnl"/>
        </w:rPr>
        <w:t>•</w:t>
      </w:r>
      <w:r w:rsidRPr="008A5975">
        <w:rPr>
          <w:lang w:val="es-ES_tradnl"/>
        </w:rPr>
        <w:tab/>
        <w:t xml:space="preserve">976 </w:t>
      </w:r>
      <w:r w:rsidR="00DD7660" w:rsidRPr="008A5975">
        <w:rPr>
          <w:lang w:val="es-ES_tradnl"/>
        </w:rPr>
        <w:t>para futuros servicios</w:t>
      </w:r>
    </w:p>
    <w:p w:rsidR="0065113E" w:rsidRPr="008A5975" w:rsidRDefault="0065113E" w:rsidP="009211CE">
      <w:pPr>
        <w:pStyle w:val="enumlev1"/>
        <w:rPr>
          <w:lang w:val="es-ES_tradnl"/>
        </w:rPr>
      </w:pPr>
      <w:r w:rsidRPr="008A5975">
        <w:rPr>
          <w:lang w:val="es-ES_tradnl"/>
        </w:rPr>
        <w:t>•</w:t>
      </w:r>
      <w:r w:rsidRPr="008A5975">
        <w:rPr>
          <w:lang w:val="es-ES_tradnl"/>
        </w:rPr>
        <w:tab/>
      </w:r>
      <w:r w:rsidR="00DD7660" w:rsidRPr="008A5975">
        <w:rPr>
          <w:lang w:val="es-ES_tradnl"/>
        </w:rPr>
        <w:t>Indicativos de pruebas de planta l</w:t>
      </w:r>
      <w:r w:rsidRPr="008A5975">
        <w:rPr>
          <w:lang w:val="es-ES_tradnl"/>
        </w:rPr>
        <w:t>ocal (</w:t>
      </w:r>
      <w:r w:rsidR="00DD7660" w:rsidRPr="008A5975">
        <w:rPr>
          <w:lang w:val="es-ES_tradnl"/>
        </w:rPr>
        <w:t>por ejemplo</w:t>
      </w:r>
      <w:r w:rsidRPr="008A5975">
        <w:rPr>
          <w:lang w:val="es-ES_tradnl"/>
        </w:rPr>
        <w:t xml:space="preserve">, 958 </w:t>
      </w:r>
      <w:r w:rsidR="00DD7660" w:rsidRPr="008A5975">
        <w:rPr>
          <w:lang w:val="es-ES_tradnl"/>
        </w:rPr>
        <w:t xml:space="preserve">y </w:t>
      </w:r>
      <w:r w:rsidRPr="008A5975">
        <w:rPr>
          <w:lang w:val="es-ES_tradnl"/>
        </w:rPr>
        <w:t>959)</w:t>
      </w:r>
    </w:p>
    <w:p w:rsidR="0065113E" w:rsidRPr="008A5975" w:rsidRDefault="0065113E" w:rsidP="009211CE">
      <w:pPr>
        <w:pStyle w:val="enumlev1"/>
        <w:rPr>
          <w:lang w:val="es-ES_tradnl"/>
        </w:rPr>
      </w:pPr>
      <w:r w:rsidRPr="008A5975">
        <w:rPr>
          <w:lang w:val="es-ES_tradnl"/>
        </w:rPr>
        <w:t>•</w:t>
      </w:r>
      <w:r w:rsidRPr="008A5975">
        <w:rPr>
          <w:lang w:val="es-ES_tradnl"/>
        </w:rPr>
        <w:tab/>
      </w:r>
      <w:r w:rsidR="00DD7660" w:rsidRPr="008A5975">
        <w:rPr>
          <w:lang w:val="es-ES_tradnl"/>
        </w:rPr>
        <w:t xml:space="preserve">Indicativos fácilmente reconocibles </w:t>
      </w:r>
      <w:r w:rsidRPr="008A5975">
        <w:rPr>
          <w:lang w:val="es-ES_tradnl"/>
        </w:rPr>
        <w:t xml:space="preserve">(ERC): </w:t>
      </w:r>
      <w:r w:rsidR="00DD7660" w:rsidRPr="008A5975">
        <w:rPr>
          <w:lang w:val="es-ES_tradnl"/>
        </w:rPr>
        <w:t xml:space="preserve">Cualquier indicativo </w:t>
      </w:r>
      <w:r w:rsidRPr="008A5975">
        <w:rPr>
          <w:lang w:val="es-ES_tradnl"/>
        </w:rPr>
        <w:t xml:space="preserve">NYY </w:t>
      </w:r>
      <w:r w:rsidR="00DD7660" w:rsidRPr="008A5975">
        <w:rPr>
          <w:lang w:val="es-ES_tradnl"/>
        </w:rPr>
        <w:t xml:space="preserve">que tenga el mismo valor numérico en cada posición: </w:t>
      </w:r>
      <w:r w:rsidRPr="008A5975">
        <w:rPr>
          <w:lang w:val="es-ES_tradnl"/>
        </w:rPr>
        <w:t>222, 333, 444, etc.</w:t>
      </w:r>
    </w:p>
    <w:p w:rsidR="00001AAE" w:rsidRDefault="0065113E" w:rsidP="00001AAE">
      <w:pPr>
        <w:rPr>
          <w:lang w:val="es-ES_tradnl"/>
        </w:rPr>
      </w:pPr>
      <w:r w:rsidRPr="00F35C5E">
        <w:rPr>
          <w:lang w:val="es-ES_tradnl"/>
        </w:rPr>
        <w:br w:type="page"/>
      </w:r>
      <w:bookmarkStart w:id="23" w:name="_Toc465369466"/>
      <w:bookmarkStart w:id="24" w:name="_Toc465369597"/>
    </w:p>
    <w:p w:rsidR="0065113E" w:rsidRPr="00F35C5E" w:rsidRDefault="00A70BC3" w:rsidP="00A70BC3">
      <w:pPr>
        <w:overflowPunct/>
        <w:autoSpaceDE/>
        <w:autoSpaceDN/>
        <w:adjustRightInd/>
        <w:spacing w:before="0"/>
        <w:jc w:val="left"/>
        <w:rPr>
          <w:bCs/>
          <w:i/>
          <w:lang w:val="es-ES_tradnl"/>
        </w:rPr>
      </w:pPr>
      <w:r>
        <w:rPr>
          <w:bCs/>
          <w:i/>
          <w:lang w:val="es-ES_tradnl"/>
        </w:rPr>
        <w:lastRenderedPageBreak/>
        <w:t>ACTIVACIÓN DE NUEVOS INDICATIVOS DE OFICINA CENTRAL</w:t>
      </w:r>
      <w:bookmarkEnd w:id="23"/>
      <w:bookmarkEnd w:id="24"/>
    </w:p>
    <w:p w:rsidR="0065113E" w:rsidRPr="00F35C5E" w:rsidRDefault="00A70BC3" w:rsidP="009211CE">
      <w:pPr>
        <w:rPr>
          <w:lang w:val="es-ES_tradnl"/>
        </w:rPr>
      </w:pPr>
      <w:r>
        <w:rPr>
          <w:lang w:val="es-ES_tradnl"/>
        </w:rPr>
        <w:t xml:space="preserve">La </w:t>
      </w:r>
      <w:r w:rsidR="0065113E" w:rsidRPr="00F35C5E">
        <w:rPr>
          <w:lang w:val="es-ES_tradnl"/>
        </w:rPr>
        <w:t xml:space="preserve">URCA </w:t>
      </w:r>
      <w:r>
        <w:rPr>
          <w:lang w:val="es-ES_tradnl"/>
        </w:rPr>
        <w:t>anuncia la activación de los siguientes nuevos indicativos de oficina central</w:t>
      </w:r>
      <w:r w:rsidR="0065113E" w:rsidRPr="00F35C5E">
        <w:rPr>
          <w:lang w:val="es-ES_tradnl"/>
        </w:rPr>
        <w:t>:</w:t>
      </w:r>
    </w:p>
    <w:p w:rsidR="0065113E" w:rsidRPr="00152C88" w:rsidRDefault="00A70BC3" w:rsidP="00C0351A">
      <w:pPr>
        <w:spacing w:before="240" w:after="120"/>
        <w:jc w:val="center"/>
        <w:rPr>
          <w:lang w:val="es-ES_tradnl"/>
        </w:rPr>
      </w:pPr>
      <w:r w:rsidRPr="00152C88">
        <w:rPr>
          <w:lang w:val="es-ES_tradnl"/>
        </w:rPr>
        <w:t xml:space="preserve">Cuadro </w:t>
      </w:r>
      <w:r w:rsidR="0065113E" w:rsidRPr="00152C88">
        <w:rPr>
          <w:lang w:val="es-ES_tradnl"/>
        </w:rPr>
        <w:t xml:space="preserve">2: </w:t>
      </w:r>
      <w:r w:rsidRPr="00152C88">
        <w:rPr>
          <w:lang w:val="es-ES_tradnl"/>
        </w:rPr>
        <w:t>Nuevos</w:t>
      </w:r>
      <w:r w:rsidR="00152C88">
        <w:rPr>
          <w:lang w:val="es-ES_tradnl"/>
        </w:rPr>
        <w:t xml:space="preserve"> indicativos de oficina central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23"/>
        <w:gridCol w:w="1443"/>
        <w:gridCol w:w="2682"/>
        <w:gridCol w:w="2385"/>
      </w:tblGrid>
      <w:tr w:rsidR="0065113E" w:rsidRPr="00F35C5E" w:rsidTr="00A70BC3">
        <w:trPr>
          <w:tblHeader/>
          <w:jc w:val="center"/>
        </w:trPr>
        <w:tc>
          <w:tcPr>
            <w:tcW w:w="1418" w:type="dxa"/>
          </w:tcPr>
          <w:p w:rsidR="0065113E" w:rsidRPr="00C0351A" w:rsidRDefault="0065113E" w:rsidP="009E2964">
            <w:pPr>
              <w:spacing w:before="60" w:after="60"/>
              <w:jc w:val="center"/>
              <w:rPr>
                <w:i/>
                <w:iCs/>
              </w:rPr>
            </w:pPr>
            <w:r w:rsidRPr="00C0351A">
              <w:rPr>
                <w:i/>
                <w:iCs/>
              </w:rPr>
              <w:t>NPA</w:t>
            </w:r>
          </w:p>
        </w:tc>
        <w:tc>
          <w:tcPr>
            <w:tcW w:w="1423" w:type="dxa"/>
          </w:tcPr>
          <w:p w:rsidR="0065113E" w:rsidRPr="00C0351A" w:rsidRDefault="00A70BC3" w:rsidP="009E2964">
            <w:pPr>
              <w:spacing w:before="60" w:after="60"/>
              <w:jc w:val="center"/>
              <w:rPr>
                <w:i/>
                <w:iCs/>
              </w:rPr>
            </w:pPr>
            <w:r w:rsidRPr="00C0351A">
              <w:rPr>
                <w:i/>
                <w:iCs/>
              </w:rPr>
              <w:t xml:space="preserve">Indicativo </w:t>
            </w:r>
            <w:r w:rsidR="0065113E" w:rsidRPr="00C0351A">
              <w:rPr>
                <w:i/>
                <w:iCs/>
              </w:rPr>
              <w:t xml:space="preserve">Co </w:t>
            </w:r>
          </w:p>
        </w:tc>
        <w:tc>
          <w:tcPr>
            <w:tcW w:w="1443" w:type="dxa"/>
          </w:tcPr>
          <w:p w:rsidR="0065113E" w:rsidRPr="00C0351A" w:rsidRDefault="00A70BC3" w:rsidP="009E2964">
            <w:pPr>
              <w:spacing w:before="60" w:after="60"/>
              <w:jc w:val="center"/>
              <w:rPr>
                <w:i/>
                <w:iCs/>
              </w:rPr>
            </w:pPr>
            <w:r w:rsidRPr="00C0351A">
              <w:rPr>
                <w:i/>
                <w:iCs/>
              </w:rPr>
              <w:t xml:space="preserve">Proveedor </w:t>
            </w:r>
            <w:r w:rsidRPr="00C0351A">
              <w:rPr>
                <w:i/>
                <w:iCs/>
              </w:rPr>
              <w:br/>
              <w:t>de servicio</w:t>
            </w:r>
          </w:p>
        </w:tc>
        <w:tc>
          <w:tcPr>
            <w:tcW w:w="2682" w:type="dxa"/>
          </w:tcPr>
          <w:p w:rsidR="0065113E" w:rsidRPr="00C0351A" w:rsidRDefault="0065113E" w:rsidP="009E2964">
            <w:pPr>
              <w:spacing w:before="60" w:after="60"/>
              <w:jc w:val="center"/>
              <w:rPr>
                <w:i/>
                <w:iCs/>
              </w:rPr>
            </w:pPr>
            <w:r w:rsidRPr="00C0351A">
              <w:rPr>
                <w:i/>
                <w:iCs/>
              </w:rPr>
              <w:t>Servic</w:t>
            </w:r>
            <w:r w:rsidR="00A70BC3" w:rsidRPr="00C0351A">
              <w:rPr>
                <w:i/>
                <w:iCs/>
              </w:rPr>
              <w:t>io</w:t>
            </w:r>
            <w:r w:rsidRPr="00C0351A">
              <w:rPr>
                <w:i/>
                <w:iCs/>
              </w:rPr>
              <w:t>s</w:t>
            </w:r>
          </w:p>
        </w:tc>
        <w:tc>
          <w:tcPr>
            <w:tcW w:w="2385" w:type="dxa"/>
          </w:tcPr>
          <w:p w:rsidR="0065113E" w:rsidRPr="00C0351A" w:rsidRDefault="00A70BC3" w:rsidP="009E2964">
            <w:pPr>
              <w:spacing w:before="60" w:after="60"/>
              <w:jc w:val="center"/>
              <w:rPr>
                <w:i/>
                <w:iCs/>
              </w:rPr>
            </w:pPr>
            <w:r w:rsidRPr="00C0351A">
              <w:rPr>
                <w:i/>
                <w:iCs/>
              </w:rPr>
              <w:t>Fecha de expedición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C0351A" w:rsidDel="008B51AB" w:rsidRDefault="0065113E" w:rsidP="00C0351A">
            <w:pPr>
              <w:spacing w:before="20" w:after="20"/>
              <w:jc w:val="center"/>
            </w:pPr>
            <w:r w:rsidRPr="00C0351A">
              <w:t>601</w:t>
            </w:r>
          </w:p>
        </w:tc>
        <w:tc>
          <w:tcPr>
            <w:tcW w:w="1443" w:type="dxa"/>
          </w:tcPr>
          <w:p w:rsidR="0065113E" w:rsidRPr="00C0351A" w:rsidDel="008B51AB" w:rsidRDefault="0065113E" w:rsidP="00C0351A">
            <w:pPr>
              <w:spacing w:before="20" w:after="20"/>
              <w:jc w:val="center"/>
            </w:pPr>
            <w:r w:rsidRPr="00C0351A">
              <w:t>CBL</w:t>
            </w:r>
          </w:p>
        </w:tc>
        <w:tc>
          <w:tcPr>
            <w:tcW w:w="2682" w:type="dxa"/>
          </w:tcPr>
          <w:p w:rsidR="0065113E" w:rsidRPr="00C0351A" w:rsidDel="008B51AB" w:rsidRDefault="00A70BC3" w:rsidP="00C0351A">
            <w:pPr>
              <w:spacing w:before="20" w:after="20"/>
              <w:jc w:val="center"/>
            </w:pPr>
            <w:r w:rsidRPr="00C0351A">
              <w:t>Servicios fijos</w:t>
            </w:r>
          </w:p>
        </w:tc>
        <w:tc>
          <w:tcPr>
            <w:tcW w:w="2385" w:type="dxa"/>
          </w:tcPr>
          <w:p w:rsidR="0065113E" w:rsidRPr="00C0351A" w:rsidRDefault="0065113E" w:rsidP="00C0351A">
            <w:pPr>
              <w:spacing w:before="20" w:after="20"/>
              <w:jc w:val="center"/>
            </w:pPr>
            <w:r w:rsidRPr="00C0351A">
              <w:t xml:space="preserve">4 </w:t>
            </w:r>
            <w:r w:rsidR="00A70BC3" w:rsidRPr="00C0351A">
              <w:t>de abril de</w:t>
            </w:r>
            <w:r w:rsidRPr="00C0351A">
              <w:t xml:space="preserve"> 2014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Del="008B51AB" w:rsidRDefault="0065113E" w:rsidP="00C0351A">
            <w:pPr>
              <w:spacing w:before="20" w:after="20"/>
              <w:jc w:val="center"/>
            </w:pPr>
            <w:r w:rsidRPr="00152C88">
              <w:t>602</w:t>
            </w:r>
          </w:p>
        </w:tc>
        <w:tc>
          <w:tcPr>
            <w:tcW w:w="1443" w:type="dxa"/>
          </w:tcPr>
          <w:p w:rsidR="0065113E" w:rsidRPr="00152C88" w:rsidDel="008B51AB" w:rsidRDefault="0065113E" w:rsidP="00C0351A">
            <w:pPr>
              <w:spacing w:before="20" w:after="20"/>
              <w:jc w:val="center"/>
            </w:pPr>
            <w:r w:rsidRPr="00152C88">
              <w:t>CBL</w:t>
            </w:r>
          </w:p>
        </w:tc>
        <w:tc>
          <w:tcPr>
            <w:tcW w:w="2682" w:type="dxa"/>
          </w:tcPr>
          <w:p w:rsidR="0065113E" w:rsidRPr="00152C88" w:rsidDel="008B51AB" w:rsidRDefault="00A70BC3" w:rsidP="00C0351A">
            <w:pPr>
              <w:spacing w:before="20" w:after="20"/>
              <w:jc w:val="center"/>
            </w:pPr>
            <w:r w:rsidRPr="00152C88">
              <w:t>Servicios fijos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4 </w:t>
            </w:r>
            <w:r w:rsidR="00A70BC3" w:rsidRPr="00152C88">
              <w:t xml:space="preserve">de abril de </w:t>
            </w:r>
            <w:r w:rsidRPr="00152C88">
              <w:t>2014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Del="008B51AB" w:rsidRDefault="0065113E" w:rsidP="00C0351A">
            <w:pPr>
              <w:spacing w:before="20" w:after="20"/>
              <w:jc w:val="center"/>
            </w:pPr>
            <w:r w:rsidRPr="00152C88">
              <w:t>603</w:t>
            </w:r>
          </w:p>
        </w:tc>
        <w:tc>
          <w:tcPr>
            <w:tcW w:w="1443" w:type="dxa"/>
          </w:tcPr>
          <w:p w:rsidR="0065113E" w:rsidRPr="00152C88" w:rsidDel="008B51AB" w:rsidRDefault="0065113E" w:rsidP="00C0351A">
            <w:pPr>
              <w:spacing w:before="20" w:after="20"/>
              <w:jc w:val="center"/>
            </w:pPr>
            <w:r w:rsidRPr="00152C88">
              <w:t>CBL</w:t>
            </w:r>
          </w:p>
        </w:tc>
        <w:tc>
          <w:tcPr>
            <w:tcW w:w="2682" w:type="dxa"/>
          </w:tcPr>
          <w:p w:rsidR="0065113E" w:rsidRPr="00152C88" w:rsidDel="008B51AB" w:rsidRDefault="00A70BC3" w:rsidP="00C0351A">
            <w:pPr>
              <w:spacing w:before="20" w:after="20"/>
              <w:jc w:val="center"/>
            </w:pPr>
            <w:r w:rsidRPr="00152C88">
              <w:t>Servicios fijos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4 </w:t>
            </w:r>
            <w:r w:rsidR="00A70BC3" w:rsidRPr="00152C88">
              <w:t>de abril de</w:t>
            </w:r>
            <w:r w:rsidRPr="00152C88">
              <w:t xml:space="preserve"> 2014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Del="008B51AB" w:rsidRDefault="0065113E" w:rsidP="00C0351A">
            <w:pPr>
              <w:spacing w:before="20" w:after="20"/>
              <w:jc w:val="center"/>
            </w:pPr>
            <w:r w:rsidRPr="00152C88">
              <w:t>604</w:t>
            </w:r>
          </w:p>
        </w:tc>
        <w:tc>
          <w:tcPr>
            <w:tcW w:w="1443" w:type="dxa"/>
          </w:tcPr>
          <w:p w:rsidR="0065113E" w:rsidRPr="00152C88" w:rsidDel="008B51AB" w:rsidRDefault="0065113E" w:rsidP="00C0351A">
            <w:pPr>
              <w:spacing w:before="20" w:after="20"/>
              <w:jc w:val="center"/>
            </w:pPr>
            <w:r w:rsidRPr="00152C88">
              <w:t>CBL</w:t>
            </w:r>
          </w:p>
        </w:tc>
        <w:tc>
          <w:tcPr>
            <w:tcW w:w="2682" w:type="dxa"/>
          </w:tcPr>
          <w:p w:rsidR="0065113E" w:rsidRPr="00152C88" w:rsidDel="008B51AB" w:rsidRDefault="00A70BC3" w:rsidP="00C0351A">
            <w:pPr>
              <w:spacing w:before="20" w:after="20"/>
              <w:jc w:val="center"/>
            </w:pPr>
            <w:r w:rsidRPr="00152C88">
              <w:t>Servicios fijos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4 </w:t>
            </w:r>
            <w:r w:rsidR="00A70BC3" w:rsidRPr="00152C88">
              <w:t xml:space="preserve">de abril de </w:t>
            </w:r>
            <w:r w:rsidRPr="00152C88">
              <w:t>2014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620</w:t>
            </w:r>
          </w:p>
        </w:tc>
        <w:tc>
          <w:tcPr>
            <w:tcW w:w="144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TGL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fijos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24 </w:t>
            </w:r>
            <w:r w:rsidR="00A70BC3" w:rsidRPr="00152C88">
              <w:t>de octubre de</w:t>
            </w:r>
            <w:r w:rsidRPr="00152C88">
              <w:t xml:space="preserve"> 2014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640</w:t>
            </w:r>
          </w:p>
        </w:tc>
        <w:tc>
          <w:tcPr>
            <w:tcW w:w="144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JAZZTEL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fijos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6 </w:t>
            </w:r>
            <w:r w:rsidR="00A70BC3" w:rsidRPr="00152C88">
              <w:t>de diciembre de</w:t>
            </w:r>
            <w:r w:rsidRPr="00152C88">
              <w:t xml:space="preserve"> 2010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650</w:t>
            </w:r>
          </w:p>
        </w:tc>
        <w:tc>
          <w:tcPr>
            <w:tcW w:w="144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PEACE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fijos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12 </w:t>
            </w:r>
            <w:r w:rsidR="00A70BC3" w:rsidRPr="00152C88">
              <w:t xml:space="preserve">de diciembre de </w:t>
            </w:r>
            <w:r w:rsidRPr="00152C88">
              <w:t>2014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Del="008B51AB" w:rsidRDefault="0065113E" w:rsidP="00C0351A">
            <w:pPr>
              <w:spacing w:before="20" w:after="20"/>
              <w:jc w:val="center"/>
            </w:pPr>
            <w:r w:rsidRPr="00152C88">
              <w:t>738</w:t>
            </w:r>
          </w:p>
        </w:tc>
        <w:tc>
          <w:tcPr>
            <w:tcW w:w="1443" w:type="dxa"/>
          </w:tcPr>
          <w:p w:rsidR="0065113E" w:rsidRPr="00152C88" w:rsidDel="008B51AB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Del="008B51AB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788</w:t>
            </w:r>
          </w:p>
        </w:tc>
        <w:tc>
          <w:tcPr>
            <w:tcW w:w="144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CBL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fijos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20 </w:t>
            </w:r>
            <w:r w:rsidR="00A70BC3" w:rsidRPr="00152C88">
              <w:t>de junio de</w:t>
            </w:r>
            <w:r w:rsidRPr="00152C88">
              <w:t>, 2014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801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802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803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804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805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806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807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808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809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810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812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813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814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815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816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817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818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819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820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821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822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823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824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825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826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827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828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829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889</w:t>
            </w:r>
          </w:p>
        </w:tc>
        <w:tc>
          <w:tcPr>
            <w:tcW w:w="1443" w:type="dxa"/>
            <w:vAlign w:val="bottom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  <w:tr w:rsidR="0065113E" w:rsidRPr="00F35C5E" w:rsidTr="00A70BC3">
        <w:trPr>
          <w:jc w:val="center"/>
        </w:trPr>
        <w:tc>
          <w:tcPr>
            <w:tcW w:w="1418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242</w:t>
            </w:r>
          </w:p>
        </w:tc>
        <w:tc>
          <w:tcPr>
            <w:tcW w:w="142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889</w:t>
            </w:r>
          </w:p>
        </w:tc>
        <w:tc>
          <w:tcPr>
            <w:tcW w:w="1443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>NEWCO</w:t>
            </w:r>
          </w:p>
        </w:tc>
        <w:tc>
          <w:tcPr>
            <w:tcW w:w="2682" w:type="dxa"/>
          </w:tcPr>
          <w:p w:rsidR="0065113E" w:rsidRPr="00152C88" w:rsidRDefault="00A70BC3" w:rsidP="00C0351A">
            <w:pPr>
              <w:spacing w:before="20" w:after="20"/>
              <w:jc w:val="center"/>
            </w:pPr>
            <w:r w:rsidRPr="00152C88">
              <w:t>Servicios móviles celulares</w:t>
            </w:r>
          </w:p>
        </w:tc>
        <w:tc>
          <w:tcPr>
            <w:tcW w:w="2385" w:type="dxa"/>
          </w:tcPr>
          <w:p w:rsidR="0065113E" w:rsidRPr="00152C88" w:rsidRDefault="0065113E" w:rsidP="00C0351A">
            <w:pPr>
              <w:spacing w:before="20" w:after="20"/>
              <w:jc w:val="center"/>
            </w:pPr>
            <w:r w:rsidRPr="00152C88">
              <w:t xml:space="preserve">30 </w:t>
            </w:r>
            <w:r w:rsidR="00A70BC3" w:rsidRPr="00152C88">
              <w:t>de junio de</w:t>
            </w:r>
            <w:r w:rsidRPr="00152C88">
              <w:t xml:space="preserve"> 2016</w:t>
            </w:r>
          </w:p>
        </w:tc>
      </w:tr>
    </w:tbl>
    <w:p w:rsidR="0065113E" w:rsidRPr="00F35C5E" w:rsidRDefault="00A70BC3" w:rsidP="00815A2F">
      <w:pPr>
        <w:pStyle w:val="Normalaftertitle"/>
        <w:spacing w:before="240"/>
        <w:rPr>
          <w:lang w:val="es-ES_tradnl"/>
        </w:rPr>
      </w:pPr>
      <w:r>
        <w:rPr>
          <w:lang w:val="es-ES_tradnl"/>
        </w:rPr>
        <w:t xml:space="preserve">La lista íntegra de indicativos de oficina central se muestra en el Cuadro </w:t>
      </w:r>
      <w:r w:rsidR="0065113E" w:rsidRPr="00F35C5E">
        <w:rPr>
          <w:lang w:val="es-ES_tradnl"/>
        </w:rPr>
        <w:t xml:space="preserve">4: </w:t>
      </w:r>
      <w:r w:rsidR="00CE5EC6">
        <w:rPr>
          <w:lang w:val="es-ES_tradnl"/>
        </w:rPr>
        <w:t xml:space="preserve">Cuadro detallado de asignación de indicativos de </w:t>
      </w:r>
      <w:r w:rsidR="00815A2F">
        <w:rPr>
          <w:lang w:val="es-ES_tradnl"/>
        </w:rPr>
        <w:t>CO.</w:t>
      </w:r>
    </w:p>
    <w:p w:rsidR="0065113E" w:rsidRPr="00F35C5E" w:rsidRDefault="0065113E" w:rsidP="0065113E">
      <w:pPr>
        <w:overflowPunct/>
        <w:autoSpaceDE/>
        <w:autoSpaceDN/>
        <w:adjustRightInd/>
        <w:spacing w:before="0" w:after="160" w:line="259" w:lineRule="auto"/>
        <w:jc w:val="left"/>
        <w:rPr>
          <w:lang w:val="es-ES_tradnl"/>
        </w:rPr>
      </w:pPr>
      <w:r w:rsidRPr="00F35C5E">
        <w:rPr>
          <w:lang w:val="es-ES_tradnl"/>
        </w:rPr>
        <w:br w:type="page"/>
      </w:r>
    </w:p>
    <w:p w:rsidR="0065113E" w:rsidRPr="00F35C5E" w:rsidRDefault="00CE5EC6" w:rsidP="00CE5EC6">
      <w:pPr>
        <w:keepNext/>
        <w:spacing w:before="0"/>
        <w:outlineLvl w:val="5"/>
        <w:rPr>
          <w:rFonts w:cs="Arial"/>
          <w:i/>
          <w:iCs/>
          <w:lang w:val="es-ES_tradnl"/>
        </w:rPr>
      </w:pPr>
      <w:bookmarkStart w:id="25" w:name="_Toc465369467"/>
      <w:bookmarkStart w:id="26" w:name="_Toc465369598"/>
      <w:bookmarkStart w:id="27" w:name="_Toc489001251"/>
      <w:r>
        <w:rPr>
          <w:rFonts w:cs="Arial"/>
          <w:i/>
          <w:iCs/>
          <w:lang w:val="es-ES_tradnl"/>
        </w:rPr>
        <w:lastRenderedPageBreak/>
        <w:t>RESUMEN DE INDICATIVOS ASIGNADOS</w:t>
      </w:r>
      <w:bookmarkEnd w:id="25"/>
      <w:bookmarkEnd w:id="26"/>
      <w:bookmarkEnd w:id="27"/>
    </w:p>
    <w:p w:rsidR="0065113E" w:rsidRPr="00F35C5E" w:rsidRDefault="00CE5EC6" w:rsidP="00C0351A">
      <w:pPr>
        <w:spacing w:before="240" w:after="120"/>
        <w:jc w:val="center"/>
        <w:rPr>
          <w:lang w:val="es-ES_tradnl"/>
        </w:rPr>
      </w:pPr>
      <w:r>
        <w:rPr>
          <w:lang w:val="es-ES_tradnl"/>
        </w:rPr>
        <w:t xml:space="preserve">Cuadro </w:t>
      </w:r>
      <w:r w:rsidR="0065113E" w:rsidRPr="00F35C5E">
        <w:rPr>
          <w:lang w:val="es-ES_tradnl"/>
        </w:rPr>
        <w:t xml:space="preserve">3: </w:t>
      </w:r>
      <w:r>
        <w:rPr>
          <w:lang w:val="es-ES_tradnl"/>
        </w:rPr>
        <w:t>Resumen de indicativos de oficina central asignados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2371"/>
        <w:gridCol w:w="2783"/>
      </w:tblGrid>
      <w:tr w:rsidR="0065113E" w:rsidRPr="00F35C5E" w:rsidTr="003357AC">
        <w:trPr>
          <w:trHeight w:val="20"/>
          <w:tblHeader/>
          <w:jc w:val="center"/>
        </w:trPr>
        <w:tc>
          <w:tcPr>
            <w:tcW w:w="3918" w:type="dxa"/>
            <w:shd w:val="clear" w:color="auto" w:fill="auto"/>
            <w:vAlign w:val="center"/>
          </w:tcPr>
          <w:p w:rsidR="0065113E" w:rsidRPr="00C0351A" w:rsidRDefault="00CE5EC6" w:rsidP="009E2964">
            <w:pPr>
              <w:spacing w:before="60" w:after="60"/>
              <w:jc w:val="center"/>
              <w:rPr>
                <w:i/>
                <w:iCs/>
              </w:rPr>
            </w:pPr>
            <w:r w:rsidRPr="00C0351A">
              <w:rPr>
                <w:i/>
                <w:iCs/>
              </w:rPr>
              <w:t xml:space="preserve">ASIGNACIONES A SERVICIOS </w:t>
            </w:r>
            <w:r w:rsidR="0065113E" w:rsidRPr="00C0351A">
              <w:rPr>
                <w:i/>
                <w:iCs/>
              </w:rPr>
              <w:t>CO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5113E" w:rsidRPr="00C0351A" w:rsidRDefault="00CE5EC6" w:rsidP="009E2964">
            <w:pPr>
              <w:spacing w:before="60" w:after="60"/>
              <w:jc w:val="center"/>
              <w:rPr>
                <w:i/>
                <w:iCs/>
              </w:rPr>
            </w:pPr>
            <w:r w:rsidRPr="00C0351A">
              <w:rPr>
                <w:i/>
                <w:iCs/>
              </w:rPr>
              <w:t>NÚMERO DE INDICATIVOS ASIGNADOS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65113E" w:rsidRPr="00C0351A" w:rsidRDefault="00CE5EC6" w:rsidP="009E2964">
            <w:pPr>
              <w:spacing w:before="60" w:after="60"/>
              <w:jc w:val="center"/>
              <w:rPr>
                <w:i/>
                <w:iCs/>
              </w:rPr>
            </w:pPr>
            <w:r w:rsidRPr="00C0351A">
              <w:rPr>
                <w:i/>
                <w:iCs/>
              </w:rPr>
              <w:t>CAPACIDAD DE NÚMEROS TELEFÓNICOS</w:t>
            </w:r>
          </w:p>
        </w:tc>
      </w:tr>
      <w:tr w:rsidR="009211CE" w:rsidRPr="009211CE" w:rsidTr="003357AC">
        <w:trPr>
          <w:trHeight w:val="20"/>
          <w:jc w:val="center"/>
        </w:trPr>
        <w:tc>
          <w:tcPr>
            <w:tcW w:w="3918" w:type="dxa"/>
            <w:shd w:val="clear" w:color="auto" w:fill="auto"/>
          </w:tcPr>
          <w:p w:rsidR="009211CE" w:rsidRPr="008A5975" w:rsidRDefault="009211CE" w:rsidP="00C0351A">
            <w:pPr>
              <w:spacing w:before="20" w:after="20"/>
              <w:jc w:val="left"/>
              <w:rPr>
                <w:lang w:val="es-ES_tradnl"/>
              </w:rPr>
            </w:pPr>
            <w:r w:rsidRPr="008A5975">
              <w:rPr>
                <w:lang w:val="es-ES_tradnl"/>
              </w:rPr>
              <w:t>Indicativos asignados para servicios fijos</w:t>
            </w:r>
          </w:p>
        </w:tc>
        <w:tc>
          <w:tcPr>
            <w:tcW w:w="2371" w:type="dxa"/>
            <w:shd w:val="clear" w:color="auto" w:fill="auto"/>
          </w:tcPr>
          <w:p w:rsidR="009211CE" w:rsidRPr="00F35C5E" w:rsidRDefault="009211CE" w:rsidP="00C0351A">
            <w:pPr>
              <w:spacing w:before="20" w:after="20"/>
              <w:jc w:val="center"/>
            </w:pPr>
            <w:r w:rsidRPr="00F35C5E">
              <w:t>81</w:t>
            </w:r>
          </w:p>
        </w:tc>
        <w:tc>
          <w:tcPr>
            <w:tcW w:w="2783" w:type="dxa"/>
            <w:shd w:val="clear" w:color="auto" w:fill="auto"/>
          </w:tcPr>
          <w:p w:rsidR="009211CE" w:rsidRPr="00F35C5E" w:rsidRDefault="009211CE" w:rsidP="00772FAF">
            <w:pPr>
              <w:spacing w:before="20" w:after="20"/>
              <w:jc w:val="center"/>
            </w:pPr>
            <w:r w:rsidRPr="00F35C5E">
              <w:t>810</w:t>
            </w:r>
            <w:r w:rsidR="00772FAF">
              <w:t> </w:t>
            </w:r>
            <w:r w:rsidRPr="00F35C5E">
              <w:t>000</w:t>
            </w:r>
          </w:p>
        </w:tc>
      </w:tr>
      <w:tr w:rsidR="0065113E" w:rsidRPr="00F35C5E" w:rsidTr="003357AC">
        <w:trPr>
          <w:trHeight w:val="20"/>
          <w:jc w:val="center"/>
        </w:trPr>
        <w:tc>
          <w:tcPr>
            <w:tcW w:w="3918" w:type="dxa"/>
            <w:shd w:val="clear" w:color="auto" w:fill="auto"/>
          </w:tcPr>
          <w:p w:rsidR="0065113E" w:rsidRPr="008A5975" w:rsidRDefault="00CE5EC6" w:rsidP="00C0351A">
            <w:pPr>
              <w:spacing w:before="20" w:after="20"/>
              <w:jc w:val="left"/>
              <w:rPr>
                <w:lang w:val="es-ES_tradnl"/>
              </w:rPr>
            </w:pPr>
            <w:r w:rsidRPr="008A5975">
              <w:rPr>
                <w:lang w:val="es-ES_tradnl"/>
              </w:rPr>
              <w:t>Indicativos asignados para servicios móviles celulares</w:t>
            </w:r>
          </w:p>
        </w:tc>
        <w:tc>
          <w:tcPr>
            <w:tcW w:w="2371" w:type="dxa"/>
            <w:shd w:val="clear" w:color="auto" w:fill="auto"/>
          </w:tcPr>
          <w:p w:rsidR="0065113E" w:rsidRPr="00F35C5E" w:rsidRDefault="0065113E" w:rsidP="00C0351A">
            <w:pPr>
              <w:spacing w:before="20" w:after="20"/>
              <w:jc w:val="center"/>
            </w:pPr>
            <w:r w:rsidRPr="00F35C5E">
              <w:t>105</w:t>
            </w:r>
          </w:p>
        </w:tc>
        <w:tc>
          <w:tcPr>
            <w:tcW w:w="2783" w:type="dxa"/>
            <w:shd w:val="clear" w:color="auto" w:fill="auto"/>
          </w:tcPr>
          <w:p w:rsidR="0065113E" w:rsidRPr="00F35C5E" w:rsidRDefault="0065113E" w:rsidP="00772FAF">
            <w:pPr>
              <w:spacing w:before="20" w:after="20"/>
              <w:jc w:val="center"/>
            </w:pPr>
            <w:r w:rsidRPr="00F35C5E">
              <w:t>1</w:t>
            </w:r>
            <w:r w:rsidR="00772FAF">
              <w:t> </w:t>
            </w:r>
            <w:r w:rsidRPr="00F35C5E">
              <w:t>050</w:t>
            </w:r>
            <w:r w:rsidR="00772FAF">
              <w:t> </w:t>
            </w:r>
            <w:r w:rsidRPr="00F35C5E">
              <w:t>000</w:t>
            </w:r>
          </w:p>
        </w:tc>
      </w:tr>
      <w:tr w:rsidR="0065113E" w:rsidRPr="00F35C5E" w:rsidTr="003357AC">
        <w:trPr>
          <w:trHeight w:val="20"/>
          <w:jc w:val="center"/>
        </w:trPr>
        <w:tc>
          <w:tcPr>
            <w:tcW w:w="3918" w:type="dxa"/>
            <w:shd w:val="clear" w:color="auto" w:fill="auto"/>
          </w:tcPr>
          <w:p w:rsidR="0065113E" w:rsidRPr="00F35C5E" w:rsidRDefault="0065113E" w:rsidP="00C0351A">
            <w:pPr>
              <w:spacing w:before="20" w:after="20"/>
              <w:jc w:val="left"/>
            </w:pPr>
            <w:r w:rsidRPr="00F35C5E">
              <w:t xml:space="preserve">Total </w:t>
            </w:r>
            <w:r w:rsidR="00CE5EC6">
              <w:t>de indicativos asignados</w:t>
            </w:r>
          </w:p>
        </w:tc>
        <w:tc>
          <w:tcPr>
            <w:tcW w:w="2371" w:type="dxa"/>
            <w:shd w:val="clear" w:color="auto" w:fill="auto"/>
          </w:tcPr>
          <w:p w:rsidR="0065113E" w:rsidRPr="00F35C5E" w:rsidRDefault="0065113E" w:rsidP="00C0351A">
            <w:pPr>
              <w:spacing w:before="20" w:after="20"/>
              <w:jc w:val="center"/>
            </w:pPr>
            <w:r w:rsidRPr="00F35C5E">
              <w:t>186</w:t>
            </w:r>
          </w:p>
        </w:tc>
        <w:tc>
          <w:tcPr>
            <w:tcW w:w="2783" w:type="dxa"/>
            <w:shd w:val="clear" w:color="auto" w:fill="auto"/>
          </w:tcPr>
          <w:p w:rsidR="0065113E" w:rsidRPr="00F35C5E" w:rsidRDefault="0065113E" w:rsidP="00772FAF">
            <w:pPr>
              <w:spacing w:before="20" w:after="20"/>
              <w:jc w:val="center"/>
            </w:pPr>
            <w:r w:rsidRPr="00F35C5E">
              <w:t>1</w:t>
            </w:r>
            <w:r w:rsidR="00772FAF">
              <w:t> </w:t>
            </w:r>
            <w:r w:rsidRPr="00F35C5E">
              <w:t>860</w:t>
            </w:r>
            <w:r w:rsidR="00772FAF">
              <w:t> </w:t>
            </w:r>
            <w:r w:rsidRPr="00F35C5E">
              <w:t>000</w:t>
            </w:r>
          </w:p>
        </w:tc>
      </w:tr>
      <w:tr w:rsidR="0065113E" w:rsidRPr="00F35C5E" w:rsidTr="003357AC">
        <w:trPr>
          <w:trHeight w:val="20"/>
          <w:jc w:val="center"/>
        </w:trPr>
        <w:tc>
          <w:tcPr>
            <w:tcW w:w="3918" w:type="dxa"/>
            <w:shd w:val="clear" w:color="auto" w:fill="auto"/>
          </w:tcPr>
          <w:p w:rsidR="0065113E" w:rsidRPr="008A5975" w:rsidRDefault="00CE5EC6" w:rsidP="00C0351A">
            <w:pPr>
              <w:spacing w:before="20" w:after="20"/>
              <w:jc w:val="left"/>
              <w:rPr>
                <w:lang w:val="es-ES_tradnl"/>
              </w:rPr>
            </w:pPr>
            <w:r w:rsidRPr="008A5975">
              <w:rPr>
                <w:lang w:val="es-ES_tradnl"/>
              </w:rPr>
              <w:t>Indicativos reservados para servicios fijos</w:t>
            </w:r>
          </w:p>
        </w:tc>
        <w:tc>
          <w:tcPr>
            <w:tcW w:w="2371" w:type="dxa"/>
            <w:shd w:val="clear" w:color="auto" w:fill="auto"/>
          </w:tcPr>
          <w:p w:rsidR="0065113E" w:rsidRPr="00F35C5E" w:rsidRDefault="0065113E" w:rsidP="00C0351A">
            <w:pPr>
              <w:spacing w:before="20" w:after="20"/>
              <w:jc w:val="center"/>
            </w:pPr>
            <w:r w:rsidRPr="00F35C5E">
              <w:t>19</w:t>
            </w:r>
          </w:p>
        </w:tc>
        <w:tc>
          <w:tcPr>
            <w:tcW w:w="2783" w:type="dxa"/>
            <w:shd w:val="clear" w:color="auto" w:fill="auto"/>
          </w:tcPr>
          <w:p w:rsidR="0065113E" w:rsidRPr="00F35C5E" w:rsidRDefault="0065113E" w:rsidP="00772FAF">
            <w:pPr>
              <w:spacing w:before="20" w:after="20"/>
              <w:jc w:val="center"/>
            </w:pPr>
            <w:r w:rsidRPr="00F35C5E">
              <w:t>19</w:t>
            </w:r>
            <w:r w:rsidR="00772FAF">
              <w:t> </w:t>
            </w:r>
            <w:r w:rsidRPr="00F35C5E">
              <w:t>000</w:t>
            </w:r>
          </w:p>
        </w:tc>
      </w:tr>
      <w:tr w:rsidR="0065113E" w:rsidRPr="00F35C5E" w:rsidTr="003357AC">
        <w:trPr>
          <w:trHeight w:val="20"/>
          <w:jc w:val="center"/>
        </w:trPr>
        <w:tc>
          <w:tcPr>
            <w:tcW w:w="3918" w:type="dxa"/>
            <w:shd w:val="clear" w:color="auto" w:fill="auto"/>
          </w:tcPr>
          <w:p w:rsidR="0065113E" w:rsidRPr="00F35C5E" w:rsidRDefault="00CE5EC6" w:rsidP="00C0351A">
            <w:pPr>
              <w:spacing w:before="20" w:after="20"/>
              <w:jc w:val="left"/>
            </w:pPr>
            <w:r>
              <w:t>Capacidad de indicativos disponible</w:t>
            </w:r>
          </w:p>
        </w:tc>
        <w:tc>
          <w:tcPr>
            <w:tcW w:w="2371" w:type="dxa"/>
            <w:shd w:val="clear" w:color="auto" w:fill="auto"/>
          </w:tcPr>
          <w:p w:rsidR="0065113E" w:rsidRPr="00F35C5E" w:rsidRDefault="0065113E" w:rsidP="00C0351A">
            <w:pPr>
              <w:spacing w:before="20" w:after="20"/>
              <w:jc w:val="center"/>
            </w:pPr>
            <w:r w:rsidRPr="00F35C5E">
              <w:t>586</w:t>
            </w:r>
          </w:p>
        </w:tc>
        <w:tc>
          <w:tcPr>
            <w:tcW w:w="2783" w:type="dxa"/>
            <w:shd w:val="clear" w:color="auto" w:fill="auto"/>
          </w:tcPr>
          <w:p w:rsidR="0065113E" w:rsidRPr="00F35C5E" w:rsidRDefault="0065113E" w:rsidP="00772FAF">
            <w:pPr>
              <w:spacing w:before="20" w:after="20"/>
              <w:jc w:val="center"/>
            </w:pPr>
            <w:r w:rsidRPr="00F35C5E">
              <w:t>5</w:t>
            </w:r>
            <w:r w:rsidR="00772FAF">
              <w:t> </w:t>
            </w:r>
            <w:r w:rsidRPr="00F35C5E">
              <w:t>860</w:t>
            </w:r>
            <w:r w:rsidR="00772FAF">
              <w:t> </w:t>
            </w:r>
            <w:r w:rsidRPr="00F35C5E">
              <w:t>000</w:t>
            </w:r>
          </w:p>
        </w:tc>
      </w:tr>
    </w:tbl>
    <w:p w:rsidR="0065113E" w:rsidRPr="00F35C5E" w:rsidRDefault="00CE5EC6" w:rsidP="00815A2F">
      <w:pPr>
        <w:keepNext/>
        <w:spacing w:before="360"/>
        <w:outlineLvl w:val="5"/>
        <w:rPr>
          <w:rFonts w:cs="Arial"/>
          <w:i/>
          <w:iCs/>
          <w:lang w:val="es-ES_tradnl"/>
        </w:rPr>
      </w:pPr>
      <w:bookmarkStart w:id="28" w:name="_Toc257623508"/>
      <w:bookmarkStart w:id="29" w:name="_Toc465369468"/>
      <w:bookmarkStart w:id="30" w:name="_Toc465369599"/>
      <w:bookmarkStart w:id="31" w:name="_Toc489001252"/>
      <w:r>
        <w:rPr>
          <w:rFonts w:cs="Arial"/>
          <w:i/>
          <w:iCs/>
          <w:lang w:val="es-ES_tradnl"/>
        </w:rPr>
        <w:t>CUADRO DETALLADO DE A</w:t>
      </w:r>
      <w:r w:rsidR="00B53F97">
        <w:rPr>
          <w:rFonts w:cs="Arial"/>
          <w:i/>
          <w:iCs/>
          <w:lang w:val="es-ES_tradnl"/>
        </w:rPr>
        <w:t>S</w:t>
      </w:r>
      <w:r>
        <w:rPr>
          <w:rFonts w:cs="Arial"/>
          <w:i/>
          <w:iCs/>
          <w:lang w:val="es-ES_tradnl"/>
        </w:rPr>
        <w:t>I</w:t>
      </w:r>
      <w:r w:rsidR="00B53F97">
        <w:rPr>
          <w:rFonts w:cs="Arial"/>
          <w:i/>
          <w:iCs/>
          <w:lang w:val="es-ES_tradnl"/>
        </w:rPr>
        <w:t>G</w:t>
      </w:r>
      <w:r>
        <w:rPr>
          <w:rFonts w:cs="Arial"/>
          <w:i/>
          <w:iCs/>
          <w:lang w:val="es-ES_tradnl"/>
        </w:rPr>
        <w:t>NACIÓN DE INDICATIVOS DE OFICINA CENTRAL</w:t>
      </w:r>
      <w:bookmarkEnd w:id="28"/>
      <w:bookmarkEnd w:id="29"/>
      <w:bookmarkEnd w:id="30"/>
      <w:bookmarkEnd w:id="31"/>
    </w:p>
    <w:p w:rsidR="0065113E" w:rsidRPr="00152C88" w:rsidRDefault="00CE5EC6" w:rsidP="00C0351A">
      <w:pPr>
        <w:spacing w:before="240" w:after="120"/>
        <w:jc w:val="center"/>
        <w:rPr>
          <w:lang w:val="es-ES_tradnl"/>
        </w:rPr>
      </w:pPr>
      <w:r w:rsidRPr="00152C88">
        <w:rPr>
          <w:lang w:val="es-ES_tradnl"/>
        </w:rPr>
        <w:t xml:space="preserve">Cuadro </w:t>
      </w:r>
      <w:r w:rsidR="0065113E" w:rsidRPr="00152C88">
        <w:rPr>
          <w:lang w:val="es-ES_tradnl"/>
        </w:rPr>
        <w:t xml:space="preserve">4: </w:t>
      </w:r>
      <w:r w:rsidRPr="00152C88">
        <w:rPr>
          <w:lang w:val="es-ES_tradnl"/>
        </w:rPr>
        <w:t xml:space="preserve">Indicativos de </w:t>
      </w:r>
      <w:r w:rsidR="0065113E" w:rsidRPr="00152C88">
        <w:rPr>
          <w:lang w:val="es-ES_tradnl"/>
        </w:rPr>
        <w:t xml:space="preserve">CO </w:t>
      </w:r>
      <w:r w:rsidRPr="00152C88">
        <w:rPr>
          <w:lang w:val="es-ES_tradnl"/>
        </w:rPr>
        <w:t>asignados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220"/>
        <w:gridCol w:w="2480"/>
        <w:gridCol w:w="1550"/>
        <w:gridCol w:w="1960"/>
        <w:gridCol w:w="2138"/>
      </w:tblGrid>
      <w:tr w:rsidR="0065113E" w:rsidRPr="00F35C5E" w:rsidTr="00815A2F">
        <w:trPr>
          <w:trHeight w:val="225"/>
          <w:tblHeader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65113E" w:rsidRPr="00C0351A" w:rsidRDefault="00CE5EC6" w:rsidP="009E2964">
            <w:pPr>
              <w:spacing w:before="60" w:after="60"/>
              <w:jc w:val="center"/>
              <w:rPr>
                <w:i/>
                <w:iCs/>
              </w:rPr>
            </w:pPr>
            <w:r w:rsidRPr="00C0351A">
              <w:rPr>
                <w:i/>
                <w:iCs/>
              </w:rPr>
              <w:t>Índice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65113E" w:rsidRPr="00C0351A" w:rsidRDefault="00CE5EC6" w:rsidP="00B53F97">
            <w:pPr>
              <w:spacing w:before="60" w:after="60"/>
              <w:ind w:left="-57" w:right="-57"/>
              <w:jc w:val="center"/>
              <w:rPr>
                <w:i/>
                <w:iCs/>
              </w:rPr>
            </w:pPr>
            <w:r w:rsidRPr="00C0351A">
              <w:rPr>
                <w:i/>
                <w:iCs/>
              </w:rPr>
              <w:t xml:space="preserve">Indicativo </w:t>
            </w:r>
            <w:r w:rsidR="00B53F97">
              <w:rPr>
                <w:i/>
                <w:iCs/>
              </w:rPr>
              <w:t>NXX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65113E" w:rsidRPr="00C0351A" w:rsidRDefault="00CE5EC6" w:rsidP="009E2964">
            <w:pPr>
              <w:spacing w:before="60" w:after="60"/>
              <w:jc w:val="center"/>
              <w:rPr>
                <w:i/>
                <w:iCs/>
              </w:rPr>
            </w:pPr>
            <w:r w:rsidRPr="00C0351A">
              <w:rPr>
                <w:i/>
                <w:iCs/>
              </w:rPr>
              <w:t>Servicio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65113E" w:rsidRPr="00C0351A" w:rsidRDefault="0065113E" w:rsidP="009E2964">
            <w:pPr>
              <w:spacing w:before="60" w:after="60"/>
              <w:jc w:val="center"/>
              <w:rPr>
                <w:i/>
                <w:iCs/>
              </w:rPr>
            </w:pPr>
            <w:r w:rsidRPr="00C0351A">
              <w:rPr>
                <w:i/>
                <w:iCs/>
              </w:rPr>
              <w:t>Opera</w:t>
            </w:r>
            <w:r w:rsidR="00CE5EC6" w:rsidRPr="00C0351A">
              <w:rPr>
                <w:i/>
                <w:iCs/>
              </w:rPr>
              <w:t>d</w:t>
            </w:r>
            <w:r w:rsidRPr="00C0351A">
              <w:rPr>
                <w:i/>
                <w:iCs/>
              </w:rPr>
              <w:t>or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65113E" w:rsidRPr="00C0351A" w:rsidRDefault="00CE5EC6" w:rsidP="009E2964">
            <w:pPr>
              <w:spacing w:before="60" w:after="60"/>
              <w:jc w:val="center"/>
              <w:rPr>
                <w:i/>
                <w:iCs/>
              </w:rPr>
            </w:pPr>
            <w:r w:rsidRPr="00C0351A">
              <w:rPr>
                <w:i/>
                <w:iCs/>
              </w:rPr>
              <w:t>Ubicación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65113E" w:rsidRPr="00C0351A" w:rsidRDefault="00CE5EC6" w:rsidP="009E2964">
            <w:pPr>
              <w:spacing w:before="60" w:after="60"/>
              <w:jc w:val="center"/>
              <w:rPr>
                <w:i/>
                <w:iCs/>
              </w:rPr>
            </w:pPr>
            <w:r w:rsidRPr="00C0351A">
              <w:rPr>
                <w:i/>
                <w:iCs/>
              </w:rPr>
              <w:t xml:space="preserve">Grupo de miles </w:t>
            </w:r>
          </w:p>
        </w:tc>
      </w:tr>
      <w:tr w:rsidR="0065113E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65113E" w:rsidRPr="00F35C5E" w:rsidRDefault="0065113E" w:rsidP="00C0351A">
            <w:pPr>
              <w:spacing w:before="20" w:after="20"/>
              <w:jc w:val="left"/>
            </w:pPr>
          </w:p>
        </w:tc>
        <w:tc>
          <w:tcPr>
            <w:tcW w:w="1220" w:type="dxa"/>
            <w:shd w:val="clear" w:color="auto" w:fill="auto"/>
            <w:noWrap/>
            <w:hideMark/>
          </w:tcPr>
          <w:p w:rsidR="0065113E" w:rsidRPr="00F35C5E" w:rsidRDefault="0065113E" w:rsidP="00C0351A">
            <w:pPr>
              <w:spacing w:before="20" w:after="20"/>
              <w:jc w:val="left"/>
            </w:pPr>
          </w:p>
        </w:tc>
        <w:tc>
          <w:tcPr>
            <w:tcW w:w="2480" w:type="dxa"/>
            <w:shd w:val="clear" w:color="auto" w:fill="auto"/>
            <w:noWrap/>
            <w:hideMark/>
          </w:tcPr>
          <w:p w:rsidR="0065113E" w:rsidRPr="00F35C5E" w:rsidRDefault="0065113E" w:rsidP="00C0351A">
            <w:pPr>
              <w:spacing w:before="20" w:after="20"/>
              <w:jc w:val="left"/>
            </w:pPr>
          </w:p>
        </w:tc>
        <w:tc>
          <w:tcPr>
            <w:tcW w:w="1550" w:type="dxa"/>
            <w:shd w:val="clear" w:color="auto" w:fill="auto"/>
            <w:noWrap/>
            <w:hideMark/>
          </w:tcPr>
          <w:p w:rsidR="0065113E" w:rsidRPr="00F35C5E" w:rsidRDefault="0065113E" w:rsidP="00C0351A">
            <w:pPr>
              <w:spacing w:before="20" w:after="20"/>
              <w:jc w:val="left"/>
            </w:pPr>
          </w:p>
        </w:tc>
        <w:tc>
          <w:tcPr>
            <w:tcW w:w="1960" w:type="dxa"/>
            <w:shd w:val="clear" w:color="auto" w:fill="auto"/>
            <w:noWrap/>
            <w:hideMark/>
          </w:tcPr>
          <w:p w:rsidR="0065113E" w:rsidRPr="00F35C5E" w:rsidRDefault="0065113E" w:rsidP="00C0351A">
            <w:pPr>
              <w:spacing w:before="20" w:after="20"/>
              <w:jc w:val="left"/>
            </w:pPr>
          </w:p>
        </w:tc>
        <w:tc>
          <w:tcPr>
            <w:tcW w:w="2138" w:type="dxa"/>
            <w:shd w:val="clear" w:color="auto" w:fill="auto"/>
            <w:noWrap/>
            <w:hideMark/>
          </w:tcPr>
          <w:p w:rsidR="0065113E" w:rsidRPr="00F35C5E" w:rsidRDefault="0065113E" w:rsidP="00C0351A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225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DID (</w:t>
            </w:r>
            <w:r>
              <w:t xml:space="preserve">Bloque </w:t>
            </w:r>
            <w:r w:rsidRPr="00F35C5E">
              <w:t xml:space="preserve">"0-4", "6-9" </w:t>
            </w:r>
            <w:r>
              <w:t>miles</w:t>
            </w:r>
            <w:r w:rsidRPr="00F35C5E">
              <w:t>)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225, 0-4, 6-9</w:t>
            </w: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225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 xml:space="preserve">Indicativo publicitario (bloque </w:t>
            </w:r>
            <w:r w:rsidRPr="00F35C5E">
              <w:t xml:space="preserve">"5" </w:t>
            </w:r>
            <w:r>
              <w:t>miles</w:t>
            </w:r>
            <w:r w:rsidRPr="00F35C5E">
              <w:t>)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Admin.</w:t>
            </w:r>
            <w:r>
              <w:t xml:space="preserve"> de numeración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Bahamas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225, 5</w:t>
            </w: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300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Llamada gratuita nacional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BTC/</w:t>
            </w:r>
            <w:r>
              <w:t>compartido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Bahamas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302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321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322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323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324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325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326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327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328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329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Andros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331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 xml:space="preserve">Rum Cay 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331, 2</w:t>
            </w: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331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San Salvador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331, 2, 3</w:t>
            </w: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332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Eleuthera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333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Eleuthera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334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Eleuthera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335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Eleuthera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336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Exuma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20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337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Long Island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21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338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Long Island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22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339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 xml:space="preserve">Inagua 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339, 1, 2</w:t>
            </w: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22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339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Mayaguana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339, 3, 4</w:t>
            </w: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23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340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24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341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25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342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Cat Island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26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344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Ragged Island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344,1</w:t>
            </w: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26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344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Crooked Island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344, 2</w:t>
            </w: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lastRenderedPageBreak/>
              <w:t>26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344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Acklins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344, 3</w:t>
            </w: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27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345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Exuma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28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346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Grand Bahama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29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347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Bimini and Cat Cay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347, 0-5</w:t>
            </w: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348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Grand Bahama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349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Grand Bahama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350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Grand Bahama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351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Grand Bahama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352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Grand Bahama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353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Grand Bahama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354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Cat Island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355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Exuma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356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357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358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Exuma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359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361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362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363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364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365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Abaco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366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Abaco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367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Abaco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367, 0,1,2,3,4,5,6,7,8,9</w:t>
            </w: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368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Andros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369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Andros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373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Grand Bahama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374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Grand Bahama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375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376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377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380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381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382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383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384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392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393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394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395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396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397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421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422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423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70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424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71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425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72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426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lastRenderedPageBreak/>
              <w:t>73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427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74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428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75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429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76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431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77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432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78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433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79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434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435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436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437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438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439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441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442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443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445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446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90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447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91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448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92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449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93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451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94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452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95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453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96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454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97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455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98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456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99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457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100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458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101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461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102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462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103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463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104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464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105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465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106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466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107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467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108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468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109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470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110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471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111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472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112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473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113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474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114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475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115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476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116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477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117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478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118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479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119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481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lastRenderedPageBreak/>
              <w:t>120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502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121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524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122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525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123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533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124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535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125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544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126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551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127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552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128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553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129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554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130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556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131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557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132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558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133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559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134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565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135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577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136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601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CBL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137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602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CBL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Grand Bahama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138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603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CBL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  <w:r w:rsidRPr="00F35C5E">
              <w:t xml:space="preserve"> 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139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604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CBL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140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612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IPSI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141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620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TGL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142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621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ADL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143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623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LMC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144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636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146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646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147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650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PEACE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148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676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SRG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149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677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SRG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150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687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SRG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Grand Bahama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151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688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SRG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Grand Bahama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152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698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SRG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153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699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SRG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Abaco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699, 0, 1, 2, 3 ,4</w:t>
            </w: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153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699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SRG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Eleuthera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699, 5, 6</w:t>
            </w: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154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702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 Providence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155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727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BTC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156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738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157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788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fija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CBL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158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801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159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802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160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803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161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804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162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805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163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806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164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807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165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808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166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809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lastRenderedPageBreak/>
              <w:t>167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810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168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812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169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813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170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814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171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815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172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816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173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817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174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818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175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819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176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820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177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821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178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822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179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823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180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824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181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825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182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826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183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827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184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828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185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829</w:t>
            </w:r>
          </w:p>
        </w:tc>
        <w:tc>
          <w:tcPr>
            <w:tcW w:w="248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Nacional</w:t>
            </w:r>
          </w:p>
        </w:tc>
        <w:tc>
          <w:tcPr>
            <w:tcW w:w="2138" w:type="dxa"/>
            <w:shd w:val="clear" w:color="auto" w:fill="auto"/>
            <w:noWrap/>
            <w:hideMark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  <w:tr w:rsidR="00B53F97" w:rsidRPr="00F35C5E" w:rsidTr="00815A2F">
        <w:trPr>
          <w:trHeight w:val="225"/>
          <w:jc w:val="center"/>
        </w:trPr>
        <w:tc>
          <w:tcPr>
            <w:tcW w:w="820" w:type="dxa"/>
            <w:shd w:val="clear" w:color="auto" w:fill="auto"/>
            <w:noWrap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186</w:t>
            </w:r>
          </w:p>
        </w:tc>
        <w:tc>
          <w:tcPr>
            <w:tcW w:w="1220" w:type="dxa"/>
            <w:shd w:val="clear" w:color="auto" w:fill="auto"/>
            <w:noWrap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889</w:t>
            </w:r>
          </w:p>
        </w:tc>
        <w:tc>
          <w:tcPr>
            <w:tcW w:w="2480" w:type="dxa"/>
            <w:shd w:val="clear" w:color="auto" w:fill="auto"/>
            <w:noWrap/>
          </w:tcPr>
          <w:p w:rsidR="00B53F97" w:rsidRPr="00F35C5E" w:rsidRDefault="00B53F97" w:rsidP="00B53F97">
            <w:pPr>
              <w:spacing w:before="20" w:after="20"/>
              <w:jc w:val="left"/>
            </w:pPr>
            <w:r>
              <w:t>Telefonía móvil</w:t>
            </w:r>
          </w:p>
        </w:tc>
        <w:tc>
          <w:tcPr>
            <w:tcW w:w="1550" w:type="dxa"/>
            <w:shd w:val="clear" w:color="auto" w:fill="auto"/>
            <w:noWrap/>
          </w:tcPr>
          <w:p w:rsidR="00B53F97" w:rsidRPr="00F35C5E" w:rsidRDefault="00B53F97" w:rsidP="00B53F97">
            <w:pPr>
              <w:spacing w:before="20" w:after="20"/>
              <w:jc w:val="left"/>
            </w:pPr>
            <w:r w:rsidRPr="00F35C5E">
              <w:t>NEWCO</w:t>
            </w:r>
          </w:p>
        </w:tc>
        <w:tc>
          <w:tcPr>
            <w:tcW w:w="1960" w:type="dxa"/>
            <w:shd w:val="clear" w:color="auto" w:fill="auto"/>
            <w:noWrap/>
          </w:tcPr>
          <w:p w:rsidR="00B53F97" w:rsidRDefault="00B53F97" w:rsidP="00B53F97">
            <w:pPr>
              <w:spacing w:before="20" w:after="20"/>
              <w:jc w:val="left"/>
            </w:pPr>
            <w:r>
              <w:t>Nacional</w:t>
            </w:r>
            <w:r w:rsidRPr="00F35C5E">
              <w:t xml:space="preserve"> (</w:t>
            </w:r>
            <w:r>
              <w:t>itinerancia</w:t>
            </w:r>
            <w:r w:rsidRPr="00F35C5E">
              <w:t>)</w:t>
            </w:r>
          </w:p>
        </w:tc>
        <w:tc>
          <w:tcPr>
            <w:tcW w:w="2138" w:type="dxa"/>
            <w:shd w:val="clear" w:color="auto" w:fill="auto"/>
            <w:noWrap/>
          </w:tcPr>
          <w:p w:rsidR="00B53F97" w:rsidRPr="00F35C5E" w:rsidRDefault="00B53F97" w:rsidP="00B53F97">
            <w:pPr>
              <w:spacing w:before="20" w:after="20"/>
              <w:jc w:val="left"/>
            </w:pPr>
          </w:p>
        </w:tc>
      </w:tr>
    </w:tbl>
    <w:p w:rsidR="0065113E" w:rsidRPr="00F35C5E" w:rsidRDefault="0065113E" w:rsidP="00815A2F">
      <w:pPr>
        <w:rPr>
          <w:lang w:val="es-ES_tradnl"/>
        </w:rPr>
      </w:pPr>
    </w:p>
    <w:p w:rsidR="0065113E" w:rsidRPr="00F35C5E" w:rsidRDefault="00CE5EC6" w:rsidP="00CE5EC6">
      <w:pPr>
        <w:spacing w:before="0"/>
        <w:rPr>
          <w:b/>
          <w:lang w:val="es-ES_tradnl"/>
        </w:rPr>
      </w:pPr>
      <w:r>
        <w:rPr>
          <w:b/>
          <w:lang w:val="es-ES_tradnl"/>
        </w:rPr>
        <w:t>Nota</w:t>
      </w:r>
      <w:r w:rsidR="0065113E" w:rsidRPr="00F35C5E">
        <w:rPr>
          <w:b/>
          <w:lang w:val="es-ES_tradnl"/>
        </w:rPr>
        <w:t xml:space="preserve">s: </w:t>
      </w:r>
      <w:r>
        <w:rPr>
          <w:b/>
          <w:lang w:val="es-ES_tradnl"/>
        </w:rPr>
        <w:t>Definición de los acrónimos</w:t>
      </w:r>
    </w:p>
    <w:p w:rsidR="0065113E" w:rsidRPr="00F35C5E" w:rsidRDefault="00CE5EC6" w:rsidP="00B85276">
      <w:pPr>
        <w:spacing w:before="0"/>
        <w:rPr>
          <w:lang w:val="es-ES_tradnl"/>
        </w:rPr>
      </w:pPr>
      <w:r>
        <w:rPr>
          <w:lang w:val="es-ES_tradnl"/>
        </w:rPr>
        <w:t>A continuación se definen los acrónimos utilizados en los cuadros de proveedores de servicios de comunicaciones electrónicas con licencia a los que se ha atribuido recursos de numeración</w:t>
      </w:r>
      <w:r w:rsidR="0065113E" w:rsidRPr="00F35C5E">
        <w:rPr>
          <w:lang w:val="es-ES_tradnl"/>
        </w:rPr>
        <w:t>:</w:t>
      </w:r>
    </w:p>
    <w:p w:rsidR="0065113E" w:rsidRPr="00815A2F" w:rsidRDefault="00815A2F" w:rsidP="00B85276">
      <w:pPr>
        <w:pStyle w:val="enumlev1"/>
        <w:tabs>
          <w:tab w:val="clear" w:pos="992"/>
          <w:tab w:val="clear" w:pos="1276"/>
        </w:tabs>
        <w:spacing w:before="0"/>
      </w:pPr>
      <w:r>
        <w:t>•</w:t>
      </w:r>
      <w:r>
        <w:tab/>
      </w:r>
      <w:r w:rsidR="00BE0B0F">
        <w:t>BTC:</w:t>
      </w:r>
      <w:r w:rsidR="0065113E" w:rsidRPr="00815A2F">
        <w:tab/>
      </w:r>
      <w:r w:rsidR="00A33F35">
        <w:t xml:space="preserve">The </w:t>
      </w:r>
      <w:r w:rsidR="0065113E" w:rsidRPr="00815A2F">
        <w:t>Bahamas Telecommunications Company Limited</w:t>
      </w:r>
    </w:p>
    <w:p w:rsidR="0065113E" w:rsidRPr="00BE0B0F" w:rsidRDefault="00BE0B0F" w:rsidP="00B85276">
      <w:pPr>
        <w:pStyle w:val="enumlev1"/>
        <w:tabs>
          <w:tab w:val="clear" w:pos="992"/>
          <w:tab w:val="clear" w:pos="1276"/>
        </w:tabs>
        <w:spacing w:before="0"/>
      </w:pPr>
      <w:r>
        <w:t>•</w:t>
      </w:r>
      <w:r>
        <w:tab/>
        <w:t>SRG:</w:t>
      </w:r>
      <w:r>
        <w:tab/>
      </w:r>
      <w:r w:rsidR="0065113E" w:rsidRPr="00BE0B0F">
        <w:t>Systems Resource Group Limited</w:t>
      </w:r>
    </w:p>
    <w:p w:rsidR="0065113E" w:rsidRPr="00BE0B0F" w:rsidRDefault="00BE0B0F" w:rsidP="00B85276">
      <w:pPr>
        <w:pStyle w:val="enumlev1"/>
        <w:tabs>
          <w:tab w:val="clear" w:pos="992"/>
          <w:tab w:val="clear" w:pos="1276"/>
        </w:tabs>
        <w:spacing w:before="0"/>
      </w:pPr>
      <w:r>
        <w:t>•</w:t>
      </w:r>
      <w:r>
        <w:tab/>
        <w:t>IPSI:</w:t>
      </w:r>
      <w:r>
        <w:tab/>
      </w:r>
      <w:r w:rsidR="0065113E" w:rsidRPr="00BE0B0F">
        <w:t>IP Solutions International Limited</w:t>
      </w:r>
    </w:p>
    <w:p w:rsidR="0065113E" w:rsidRPr="00BE0B0F" w:rsidRDefault="00BE0B0F" w:rsidP="00B85276">
      <w:pPr>
        <w:pStyle w:val="enumlev1"/>
        <w:tabs>
          <w:tab w:val="clear" w:pos="992"/>
          <w:tab w:val="clear" w:pos="1276"/>
        </w:tabs>
        <w:spacing w:before="0"/>
      </w:pPr>
      <w:r>
        <w:t>•</w:t>
      </w:r>
      <w:r>
        <w:tab/>
        <w:t>NewCo:</w:t>
      </w:r>
      <w:r>
        <w:tab/>
      </w:r>
      <w:r w:rsidR="0065113E" w:rsidRPr="00BE0B0F">
        <w:t xml:space="preserve">NewCo2015 Limited </w:t>
      </w:r>
    </w:p>
    <w:p w:rsidR="0065113E" w:rsidRPr="00BE0B0F" w:rsidRDefault="00BE0B0F" w:rsidP="00B85276">
      <w:pPr>
        <w:pStyle w:val="enumlev1"/>
        <w:tabs>
          <w:tab w:val="clear" w:pos="992"/>
          <w:tab w:val="clear" w:pos="1276"/>
        </w:tabs>
        <w:spacing w:before="0"/>
      </w:pPr>
      <w:r>
        <w:t>•</w:t>
      </w:r>
      <w:r>
        <w:tab/>
        <w:t>TGL:</w:t>
      </w:r>
      <w:r>
        <w:tab/>
      </w:r>
      <w:r w:rsidR="0065113E" w:rsidRPr="00BE0B0F">
        <w:t>Tycoon Global Limited</w:t>
      </w:r>
    </w:p>
    <w:p w:rsidR="0065113E" w:rsidRPr="00BE0B0F" w:rsidRDefault="00BE0B0F" w:rsidP="00B85276">
      <w:pPr>
        <w:pStyle w:val="enumlev1"/>
        <w:tabs>
          <w:tab w:val="clear" w:pos="992"/>
          <w:tab w:val="clear" w:pos="1276"/>
        </w:tabs>
        <w:spacing w:before="0"/>
      </w:pPr>
      <w:r>
        <w:t>•</w:t>
      </w:r>
      <w:r>
        <w:tab/>
        <w:t xml:space="preserve">ALD: </w:t>
      </w:r>
      <w:r>
        <w:tab/>
      </w:r>
      <w:r w:rsidR="0065113E" w:rsidRPr="00BE0B0F">
        <w:t>Andros Lakeside Development Company Limited</w:t>
      </w:r>
    </w:p>
    <w:p w:rsidR="0065113E" w:rsidRPr="00BE0B0F" w:rsidRDefault="00BE0B0F" w:rsidP="00B85276">
      <w:pPr>
        <w:pStyle w:val="enumlev1"/>
        <w:tabs>
          <w:tab w:val="clear" w:pos="992"/>
          <w:tab w:val="clear" w:pos="1276"/>
        </w:tabs>
        <w:spacing w:before="0"/>
      </w:pPr>
      <w:r>
        <w:t>•</w:t>
      </w:r>
      <w:r>
        <w:tab/>
        <w:t xml:space="preserve">LMC: </w:t>
      </w:r>
      <w:r>
        <w:tab/>
      </w:r>
      <w:r w:rsidR="0065113E" w:rsidRPr="00BE0B0F">
        <w:t>Last Mile Communications Limited</w:t>
      </w:r>
    </w:p>
    <w:p w:rsidR="0065113E" w:rsidRPr="00BE0B0F" w:rsidRDefault="00BE0B0F" w:rsidP="00B85276">
      <w:pPr>
        <w:pStyle w:val="enumlev1"/>
        <w:tabs>
          <w:tab w:val="clear" w:pos="992"/>
          <w:tab w:val="clear" w:pos="1276"/>
        </w:tabs>
        <w:spacing w:before="0"/>
      </w:pPr>
      <w:r>
        <w:t>•</w:t>
      </w:r>
      <w:r>
        <w:tab/>
      </w:r>
      <w:r w:rsidR="0065113E" w:rsidRPr="00BE0B0F">
        <w:t>Jazz</w:t>
      </w:r>
      <w:r>
        <w:t xml:space="preserve">Tel: </w:t>
      </w:r>
      <w:r>
        <w:tab/>
      </w:r>
      <w:r w:rsidR="0065113E" w:rsidRPr="00BE0B0F">
        <w:t>JazzTel Bahamas Limited</w:t>
      </w:r>
    </w:p>
    <w:p w:rsidR="0065113E" w:rsidRPr="008A5975" w:rsidRDefault="00BE0B0F" w:rsidP="00B85276">
      <w:pPr>
        <w:pStyle w:val="enumlev1"/>
        <w:tabs>
          <w:tab w:val="clear" w:pos="992"/>
          <w:tab w:val="clear" w:pos="1276"/>
        </w:tabs>
        <w:spacing w:before="0"/>
        <w:rPr>
          <w:lang w:val="es-ES_tradnl"/>
        </w:rPr>
      </w:pPr>
      <w:r w:rsidRPr="008A5975">
        <w:rPr>
          <w:lang w:val="es-ES_tradnl"/>
        </w:rPr>
        <w:t>•</w:t>
      </w:r>
      <w:r w:rsidRPr="008A5975">
        <w:rPr>
          <w:lang w:val="es-ES_tradnl"/>
        </w:rPr>
        <w:tab/>
      </w:r>
      <w:proofErr w:type="spellStart"/>
      <w:r w:rsidRPr="008A5975">
        <w:rPr>
          <w:lang w:val="es-ES_tradnl"/>
        </w:rPr>
        <w:t>Peace</w:t>
      </w:r>
      <w:proofErr w:type="spellEnd"/>
      <w:r w:rsidRPr="008A5975">
        <w:rPr>
          <w:lang w:val="es-ES_tradnl"/>
        </w:rPr>
        <w:t xml:space="preserve">: </w:t>
      </w:r>
      <w:r w:rsidRPr="008A5975">
        <w:rPr>
          <w:lang w:val="es-ES_tradnl"/>
        </w:rPr>
        <w:tab/>
      </w:r>
      <w:proofErr w:type="spellStart"/>
      <w:r w:rsidR="0065113E" w:rsidRPr="008A5975">
        <w:rPr>
          <w:lang w:val="es-ES_tradnl"/>
        </w:rPr>
        <w:t>Peace</w:t>
      </w:r>
      <w:proofErr w:type="spellEnd"/>
      <w:r w:rsidR="0065113E" w:rsidRPr="008A5975">
        <w:rPr>
          <w:lang w:val="es-ES_tradnl"/>
        </w:rPr>
        <w:t xml:space="preserve"> Holdings Communications </w:t>
      </w:r>
      <w:proofErr w:type="spellStart"/>
      <w:r w:rsidR="0065113E" w:rsidRPr="008A5975">
        <w:rPr>
          <w:lang w:val="es-ES_tradnl"/>
        </w:rPr>
        <w:t>Limited</w:t>
      </w:r>
      <w:proofErr w:type="spellEnd"/>
    </w:p>
    <w:p w:rsidR="0065113E" w:rsidRPr="008A5975" w:rsidRDefault="00CE5EC6" w:rsidP="00BE0B0F">
      <w:pPr>
        <w:spacing w:before="240"/>
        <w:rPr>
          <w:i/>
          <w:iCs/>
          <w:lang w:val="es-ES_tradnl"/>
        </w:rPr>
      </w:pPr>
      <w:bookmarkStart w:id="32" w:name="_Toc465369469"/>
      <w:bookmarkStart w:id="33" w:name="_Toc465369600"/>
      <w:bookmarkStart w:id="34" w:name="_Toc489001253"/>
      <w:r w:rsidRPr="008A5975">
        <w:rPr>
          <w:i/>
          <w:iCs/>
          <w:lang w:val="es-ES_tradnl"/>
        </w:rPr>
        <w:t>AVISO DE ULTERIORES ACTUALIZACIONES</w:t>
      </w:r>
      <w:bookmarkEnd w:id="32"/>
      <w:bookmarkEnd w:id="33"/>
      <w:bookmarkEnd w:id="34"/>
    </w:p>
    <w:p w:rsidR="0065113E" w:rsidRPr="00F35C5E" w:rsidRDefault="0065113E" w:rsidP="00152C88">
      <w:pPr>
        <w:rPr>
          <w:lang w:val="es-ES_tradnl"/>
        </w:rPr>
      </w:pPr>
      <w:r w:rsidRPr="00F35C5E">
        <w:rPr>
          <w:lang w:val="es-ES_tradnl"/>
        </w:rPr>
        <w:t xml:space="preserve">URCA </w:t>
      </w:r>
      <w:r w:rsidR="00CE5EC6">
        <w:rPr>
          <w:lang w:val="es-ES_tradnl"/>
        </w:rPr>
        <w:t>mantendrá actualizado este registro constanteme</w:t>
      </w:r>
      <w:r w:rsidR="00E66A92">
        <w:rPr>
          <w:lang w:val="es-ES_tradnl"/>
        </w:rPr>
        <w:t>nte a fin de que las partes interesadas dispongan en todo momento de información exacta acerca de la asignación de recursos de numeración con arreglo al P</w:t>
      </w:r>
      <w:r w:rsidR="009E2964">
        <w:rPr>
          <w:lang w:val="es-ES_tradnl"/>
        </w:rPr>
        <w:t>NN.</w:t>
      </w:r>
    </w:p>
    <w:p w:rsidR="0065113E" w:rsidRPr="00F35C5E" w:rsidRDefault="00E66A92" w:rsidP="00152C88">
      <w:pPr>
        <w:rPr>
          <w:b/>
          <w:lang w:val="es-ES_tradnl"/>
        </w:rPr>
      </w:pPr>
      <w:r>
        <w:rPr>
          <w:lang w:val="es-ES_tradnl"/>
        </w:rPr>
        <w:t>Para más información sobre el P</w:t>
      </w:r>
      <w:r w:rsidR="0065113E" w:rsidRPr="00F35C5E">
        <w:rPr>
          <w:noProof/>
          <w:lang w:val="es-ES_tradnl"/>
        </w:rPr>
        <w:t>NN,</w:t>
      </w:r>
      <w:r w:rsidR="0065113E" w:rsidRPr="00F35C5E">
        <w:rPr>
          <w:lang w:val="es-ES_tradnl"/>
        </w:rPr>
        <w:t xml:space="preserve"> </w:t>
      </w:r>
      <w:r>
        <w:rPr>
          <w:lang w:val="es-ES_tradnl"/>
        </w:rPr>
        <w:t>diríjase al administrador de numeración, cuya dirección es la siguiente</w:t>
      </w:r>
      <w:r w:rsidR="0065113E" w:rsidRPr="00F35C5E">
        <w:rPr>
          <w:lang w:val="es-ES_tradnl"/>
        </w:rPr>
        <w:t>:</w:t>
      </w:r>
    </w:p>
    <w:p w:rsidR="0065113E" w:rsidRPr="00FE0623" w:rsidRDefault="0065113E" w:rsidP="00152C88">
      <w:r w:rsidRPr="00FE0623">
        <w:t>Contact</w:t>
      </w:r>
      <w:r w:rsidR="00E66A92" w:rsidRPr="00FE0623">
        <w:t>o</w:t>
      </w:r>
      <w:r w:rsidRPr="00FE0623">
        <w:t>:</w:t>
      </w:r>
    </w:p>
    <w:p w:rsidR="0065113E" w:rsidRPr="00FE0623" w:rsidRDefault="0065113E" w:rsidP="008A5975">
      <w:pPr>
        <w:tabs>
          <w:tab w:val="clear" w:pos="1276"/>
          <w:tab w:val="clear" w:pos="1843"/>
          <w:tab w:val="left" w:pos="1560"/>
          <w:tab w:val="left" w:pos="1701"/>
          <w:tab w:val="left" w:pos="2410"/>
        </w:tabs>
        <w:ind w:left="567" w:hanging="567"/>
        <w:jc w:val="left"/>
      </w:pPr>
      <w:r w:rsidRPr="00FE0623">
        <w:tab/>
        <w:t>Stephen Bereaux</w:t>
      </w:r>
      <w:r w:rsidRPr="00FE0623">
        <w:br/>
        <w:t>Chief Executive Officer</w:t>
      </w:r>
      <w:r w:rsidRPr="00FE0623">
        <w:br/>
        <w:t>Electronic Communications</w:t>
      </w:r>
      <w:r w:rsidRPr="00FE0623">
        <w:br/>
        <w:t>Utilities Regulation and Competition Authority (URCA)</w:t>
      </w:r>
      <w:r w:rsidRPr="00FE0623">
        <w:br/>
        <w:t>Frederick House, Frederick Street</w:t>
      </w:r>
      <w:r w:rsidRPr="00FE0623">
        <w:br/>
        <w:t>P. O. Box N-4860</w:t>
      </w:r>
      <w:r w:rsidRPr="00FE0623">
        <w:br/>
        <w:t>Nassau, Bahamas</w:t>
      </w:r>
      <w:r w:rsidRPr="00FE0623">
        <w:br/>
        <w:t>Tel</w:t>
      </w:r>
      <w:r w:rsidR="005740F7">
        <w:t>.</w:t>
      </w:r>
      <w:r w:rsidRPr="00FE0623">
        <w:t>:</w:t>
      </w:r>
      <w:r w:rsidRPr="00FE0623">
        <w:tab/>
        <w:t>+1 242 393 0234</w:t>
      </w:r>
      <w:r w:rsidRPr="00FE0623">
        <w:br/>
        <w:t>Fax:</w:t>
      </w:r>
      <w:r w:rsidRPr="00FE0623">
        <w:tab/>
        <w:t>+1 242 393 0153</w:t>
      </w:r>
      <w:r w:rsidRPr="00FE0623">
        <w:br/>
      </w:r>
      <w:r w:rsidR="008A5975">
        <w:t>E-mail</w:t>
      </w:r>
      <w:r w:rsidRPr="00FE0623">
        <w:t>:</w:t>
      </w:r>
      <w:r w:rsidRPr="00FE0623">
        <w:tab/>
      </w:r>
      <w:r w:rsidR="005740F7" w:rsidRPr="008A5975">
        <w:t>info@urcabahamas.bs</w:t>
      </w:r>
      <w:r w:rsidRPr="00FE0623">
        <w:br/>
        <w:t>URL:</w:t>
      </w:r>
      <w:r w:rsidRPr="00FE0623">
        <w:tab/>
      </w:r>
      <w:r w:rsidR="005740F7" w:rsidRPr="008A5975">
        <w:t>www.urcabahamas.bs</w:t>
      </w:r>
      <w:bookmarkEnd w:id="0"/>
      <w:bookmarkEnd w:id="1"/>
    </w:p>
    <w:sectPr w:rsidR="0065113E" w:rsidRPr="00FE0623" w:rsidSect="00230922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1" w:h="16840" w:code="9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A5D" w:rsidRDefault="009B1A5D">
      <w:r>
        <w:separator/>
      </w:r>
    </w:p>
  </w:endnote>
  <w:endnote w:type="continuationSeparator" w:id="0">
    <w:p w:rsidR="009B1A5D" w:rsidRDefault="009B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1667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A5975" w:rsidRDefault="008A5975" w:rsidP="008A5975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922" w:rsidRPr="00230922">
          <w:rPr>
            <w:b/>
            <w:bCs/>
            <w:noProof/>
          </w:rPr>
          <w:t>10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10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0446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0922" w:rsidRDefault="002309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4ED">
          <w:rPr>
            <w:noProof/>
          </w:rPr>
          <w:t>10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CA24E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8830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0922" w:rsidRDefault="002309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CA24E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A5D" w:rsidRDefault="009B1A5D">
      <w:r>
        <w:separator/>
      </w:r>
    </w:p>
  </w:footnote>
  <w:footnote w:type="continuationSeparator" w:id="0">
    <w:p w:rsidR="009B1A5D" w:rsidRDefault="009B1A5D">
      <w:r>
        <w:continuationSeparator/>
      </w:r>
    </w:p>
  </w:footnote>
  <w:footnote w:id="1">
    <w:p w:rsidR="00E77251" w:rsidRPr="00B54BCF" w:rsidRDefault="00E77251" w:rsidP="005740F7">
      <w:pPr>
        <w:pStyle w:val="FootnoteText"/>
        <w:tabs>
          <w:tab w:val="clear" w:pos="567"/>
          <w:tab w:val="left" w:pos="284"/>
        </w:tabs>
        <w:ind w:left="284" w:hanging="284"/>
        <w:rPr>
          <w:sz w:val="18"/>
          <w:szCs w:val="18"/>
          <w:lang w:val="es-ES_tradnl"/>
        </w:rPr>
      </w:pPr>
      <w:r w:rsidRPr="00B54BCF">
        <w:rPr>
          <w:rStyle w:val="FootnoteReference"/>
          <w:sz w:val="18"/>
          <w:szCs w:val="18"/>
          <w:lang w:val="es-ES_tradnl"/>
        </w:rPr>
        <w:footnoteRef/>
      </w:r>
      <w:r w:rsidRPr="00B54BCF"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>A continuación se indican los países del Caribe miembros del</w:t>
      </w:r>
      <w:r w:rsidRPr="00B54BCF">
        <w:rPr>
          <w:sz w:val="18"/>
          <w:szCs w:val="18"/>
          <w:lang w:val="es-ES_tradnl"/>
        </w:rPr>
        <w:t xml:space="preserve"> NANP </w:t>
      </w:r>
      <w:r>
        <w:rPr>
          <w:sz w:val="18"/>
          <w:szCs w:val="18"/>
          <w:lang w:val="es-ES_tradnl"/>
        </w:rPr>
        <w:t xml:space="preserve">con sus correspondientes </w:t>
      </w:r>
      <w:r w:rsidRPr="00B54BCF">
        <w:rPr>
          <w:sz w:val="18"/>
          <w:szCs w:val="18"/>
          <w:lang w:val="es-ES_tradnl"/>
        </w:rPr>
        <w:t xml:space="preserve">NPA: Anguilla: 264; Antigua </w:t>
      </w:r>
      <w:r>
        <w:rPr>
          <w:sz w:val="18"/>
          <w:szCs w:val="18"/>
          <w:lang w:val="es-ES_tradnl"/>
        </w:rPr>
        <w:t xml:space="preserve">y </w:t>
      </w:r>
      <w:r w:rsidRPr="00B54BCF">
        <w:rPr>
          <w:sz w:val="18"/>
          <w:szCs w:val="18"/>
          <w:lang w:val="es-ES_tradnl"/>
        </w:rPr>
        <w:t>Barbuda: 268; Barbados: 246; Bermuda</w:t>
      </w:r>
      <w:r>
        <w:rPr>
          <w:sz w:val="18"/>
          <w:szCs w:val="18"/>
          <w:lang w:val="es-ES_tradnl"/>
        </w:rPr>
        <w:t>s</w:t>
      </w:r>
      <w:r w:rsidRPr="00B54BCF">
        <w:rPr>
          <w:sz w:val="18"/>
          <w:szCs w:val="18"/>
          <w:lang w:val="es-ES_tradnl"/>
        </w:rPr>
        <w:t xml:space="preserve">: 441; </w:t>
      </w:r>
      <w:r>
        <w:rPr>
          <w:sz w:val="18"/>
          <w:szCs w:val="18"/>
          <w:lang w:val="es-ES_tradnl"/>
        </w:rPr>
        <w:t xml:space="preserve">Islas Vírgenes Británicas </w:t>
      </w:r>
      <w:r w:rsidRPr="00B54BCF">
        <w:rPr>
          <w:sz w:val="18"/>
          <w:szCs w:val="18"/>
          <w:lang w:val="es-ES_tradnl"/>
        </w:rPr>
        <w:t>(</w:t>
      </w:r>
      <w:r>
        <w:rPr>
          <w:sz w:val="18"/>
          <w:szCs w:val="18"/>
          <w:lang w:val="es-ES_tradnl"/>
        </w:rPr>
        <w:t>las</w:t>
      </w:r>
      <w:r w:rsidRPr="00B54BCF">
        <w:rPr>
          <w:sz w:val="18"/>
          <w:szCs w:val="18"/>
          <w:lang w:val="es-ES_tradnl"/>
        </w:rPr>
        <w:t xml:space="preserve">): 284; </w:t>
      </w:r>
      <w:r>
        <w:rPr>
          <w:sz w:val="18"/>
          <w:szCs w:val="18"/>
          <w:lang w:val="es-ES_tradnl"/>
        </w:rPr>
        <w:t>Islas Caimá</w:t>
      </w:r>
      <w:r w:rsidRPr="00B54BCF">
        <w:rPr>
          <w:sz w:val="18"/>
          <w:szCs w:val="18"/>
          <w:lang w:val="es-ES_tradnl"/>
        </w:rPr>
        <w:t>n (</w:t>
      </w:r>
      <w:r>
        <w:rPr>
          <w:sz w:val="18"/>
          <w:szCs w:val="18"/>
          <w:lang w:val="es-ES_tradnl"/>
        </w:rPr>
        <w:t>las</w:t>
      </w:r>
      <w:r w:rsidRPr="00B54BCF">
        <w:rPr>
          <w:sz w:val="18"/>
          <w:szCs w:val="18"/>
          <w:lang w:val="es-ES_tradnl"/>
        </w:rPr>
        <w:t xml:space="preserve">): 345; Dominica: 767; </w:t>
      </w:r>
      <w:r>
        <w:rPr>
          <w:sz w:val="18"/>
          <w:szCs w:val="18"/>
          <w:lang w:val="es-ES_tradnl"/>
        </w:rPr>
        <w:t xml:space="preserve">República Dominicana </w:t>
      </w:r>
      <w:r w:rsidRPr="00B54BCF">
        <w:rPr>
          <w:sz w:val="18"/>
          <w:szCs w:val="18"/>
          <w:lang w:val="es-ES_tradnl"/>
        </w:rPr>
        <w:t>(</w:t>
      </w:r>
      <w:r>
        <w:rPr>
          <w:sz w:val="18"/>
          <w:szCs w:val="18"/>
          <w:lang w:val="es-ES_tradnl"/>
        </w:rPr>
        <w:t>la</w:t>
      </w:r>
      <w:r w:rsidRPr="00B54BCF">
        <w:rPr>
          <w:sz w:val="18"/>
          <w:szCs w:val="18"/>
          <w:lang w:val="es-ES_tradnl"/>
        </w:rPr>
        <w:t>): 809/829/849; Gr</w:t>
      </w:r>
      <w:r>
        <w:rPr>
          <w:sz w:val="18"/>
          <w:szCs w:val="18"/>
          <w:lang w:val="es-ES_tradnl"/>
        </w:rPr>
        <w:t>a</w:t>
      </w:r>
      <w:r w:rsidRPr="00B54BCF">
        <w:rPr>
          <w:sz w:val="18"/>
          <w:szCs w:val="18"/>
          <w:lang w:val="es-ES_tradnl"/>
        </w:rPr>
        <w:t>nada: 473; Jamaica: 876; Montserrat: 664; S</w:t>
      </w:r>
      <w:r>
        <w:rPr>
          <w:sz w:val="18"/>
          <w:szCs w:val="18"/>
          <w:lang w:val="es-ES_tradnl"/>
        </w:rPr>
        <w:t>an</w:t>
      </w:r>
      <w:r w:rsidRPr="00B54BCF">
        <w:rPr>
          <w:sz w:val="18"/>
          <w:szCs w:val="18"/>
          <w:lang w:val="es-ES_tradnl"/>
        </w:rPr>
        <w:t xml:space="preserve"> Kitts </w:t>
      </w:r>
      <w:r>
        <w:rPr>
          <w:sz w:val="18"/>
          <w:szCs w:val="18"/>
          <w:lang w:val="es-ES_tradnl"/>
        </w:rPr>
        <w:t xml:space="preserve">y </w:t>
      </w:r>
      <w:r w:rsidRPr="00B54BCF">
        <w:rPr>
          <w:sz w:val="18"/>
          <w:szCs w:val="18"/>
          <w:lang w:val="es-ES_tradnl"/>
        </w:rPr>
        <w:t>Nevis: 869; S</w:t>
      </w:r>
      <w:r>
        <w:rPr>
          <w:sz w:val="18"/>
          <w:szCs w:val="18"/>
          <w:lang w:val="es-ES_tradnl"/>
        </w:rPr>
        <w:t>anta</w:t>
      </w:r>
      <w:r w:rsidRPr="00B54BCF">
        <w:rPr>
          <w:sz w:val="18"/>
          <w:szCs w:val="18"/>
          <w:lang w:val="es-ES_tradnl"/>
        </w:rPr>
        <w:t xml:space="preserve"> Lucia: 758; S</w:t>
      </w:r>
      <w:r>
        <w:rPr>
          <w:sz w:val="18"/>
          <w:szCs w:val="18"/>
          <w:lang w:val="es-ES_tradnl"/>
        </w:rPr>
        <w:t>an</w:t>
      </w:r>
      <w:r w:rsidRPr="00B54BCF">
        <w:rPr>
          <w:sz w:val="18"/>
          <w:szCs w:val="18"/>
          <w:lang w:val="es-ES_tradnl"/>
        </w:rPr>
        <w:t xml:space="preserve"> Vicent</w:t>
      </w:r>
      <w:r>
        <w:rPr>
          <w:sz w:val="18"/>
          <w:szCs w:val="18"/>
          <w:lang w:val="es-ES_tradnl"/>
        </w:rPr>
        <w:t>e</w:t>
      </w:r>
      <w:r w:rsidRPr="00B54BCF"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lang w:val="es-ES_tradnl"/>
        </w:rPr>
        <w:t xml:space="preserve">y las </w:t>
      </w:r>
      <w:r w:rsidRPr="00B54BCF">
        <w:rPr>
          <w:sz w:val="18"/>
          <w:szCs w:val="18"/>
          <w:lang w:val="es-ES_tradnl"/>
        </w:rPr>
        <w:t>Gr</w:t>
      </w:r>
      <w:r>
        <w:rPr>
          <w:sz w:val="18"/>
          <w:szCs w:val="18"/>
          <w:lang w:val="es-ES_tradnl"/>
        </w:rPr>
        <w:t>a</w:t>
      </w:r>
      <w:r w:rsidRPr="00B54BCF">
        <w:rPr>
          <w:sz w:val="18"/>
          <w:szCs w:val="18"/>
          <w:lang w:val="es-ES_tradnl"/>
        </w:rPr>
        <w:t>nadin</w:t>
      </w:r>
      <w:r>
        <w:rPr>
          <w:sz w:val="18"/>
          <w:szCs w:val="18"/>
          <w:lang w:val="es-ES_tradnl"/>
        </w:rPr>
        <w:t>a</w:t>
      </w:r>
      <w:r w:rsidRPr="00B54BCF">
        <w:rPr>
          <w:sz w:val="18"/>
          <w:szCs w:val="18"/>
          <w:lang w:val="es-ES_tradnl"/>
        </w:rPr>
        <w:t xml:space="preserve">s: 784; Trinidad </w:t>
      </w:r>
      <w:r>
        <w:rPr>
          <w:sz w:val="18"/>
          <w:szCs w:val="18"/>
          <w:lang w:val="es-ES_tradnl"/>
        </w:rPr>
        <w:t xml:space="preserve">y </w:t>
      </w:r>
      <w:r w:rsidRPr="00B54BCF">
        <w:rPr>
          <w:sz w:val="18"/>
          <w:szCs w:val="18"/>
          <w:lang w:val="es-ES_tradnl"/>
        </w:rPr>
        <w:t>T</w:t>
      </w:r>
      <w:r w:rsidR="005740F7">
        <w:rPr>
          <w:sz w:val="18"/>
          <w:szCs w:val="18"/>
          <w:lang w:val="es-ES_tradnl"/>
        </w:rPr>
        <w:t>a</w:t>
      </w:r>
      <w:r w:rsidRPr="00B54BCF">
        <w:rPr>
          <w:sz w:val="18"/>
          <w:szCs w:val="18"/>
          <w:lang w:val="es-ES_tradnl"/>
        </w:rPr>
        <w:t xml:space="preserve">bago: 868; </w:t>
      </w:r>
      <w:r>
        <w:rPr>
          <w:sz w:val="18"/>
          <w:szCs w:val="18"/>
          <w:lang w:val="es-ES_tradnl"/>
        </w:rPr>
        <w:t>e Islas Turquesas y Caicos: 649. Canadá</w:t>
      </w:r>
      <w:r w:rsidRPr="00B54BCF"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lang w:val="es-ES_tradnl"/>
        </w:rPr>
        <w:t xml:space="preserve">y Estados Unidos tienen numerosos códigos </w:t>
      </w:r>
      <w:r w:rsidRPr="00B54BCF">
        <w:rPr>
          <w:sz w:val="18"/>
          <w:szCs w:val="18"/>
          <w:lang w:val="es-ES_tradnl"/>
        </w:rPr>
        <w:t>NPA.</w:t>
      </w:r>
    </w:p>
  </w:footnote>
  <w:footnote w:id="2">
    <w:p w:rsidR="00E77251" w:rsidRPr="00B54BCF" w:rsidRDefault="00E77251" w:rsidP="00F001B3">
      <w:pPr>
        <w:pStyle w:val="FootnoteText"/>
        <w:tabs>
          <w:tab w:val="left" w:pos="284"/>
        </w:tabs>
        <w:rPr>
          <w:sz w:val="18"/>
          <w:szCs w:val="18"/>
          <w:lang w:val="es-ES_tradnl"/>
        </w:rPr>
      </w:pPr>
      <w:r w:rsidRPr="00B54BCF">
        <w:rPr>
          <w:rStyle w:val="FootnoteReference"/>
          <w:sz w:val="18"/>
          <w:szCs w:val="18"/>
          <w:lang w:val="es-ES_tradnl"/>
        </w:rPr>
        <w:footnoteRef/>
      </w:r>
      <w:r w:rsidRPr="00B54BCF"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 xml:space="preserve">En el </w:t>
      </w:r>
      <w:r w:rsidRPr="00B54BCF">
        <w:rPr>
          <w:sz w:val="18"/>
          <w:szCs w:val="18"/>
          <w:lang w:val="es-ES_tradnl"/>
        </w:rPr>
        <w:t xml:space="preserve">NANP, </w:t>
      </w:r>
      <w:r>
        <w:rPr>
          <w:sz w:val="18"/>
          <w:szCs w:val="18"/>
          <w:lang w:val="es-ES_tradnl"/>
        </w:rPr>
        <w:t xml:space="preserve">la cifra </w:t>
      </w:r>
      <w:r w:rsidRPr="00B54BCF">
        <w:rPr>
          <w:sz w:val="18"/>
          <w:szCs w:val="18"/>
          <w:lang w:val="es-ES_tradnl"/>
        </w:rPr>
        <w:t xml:space="preserve">"1" </w:t>
      </w:r>
      <w:r>
        <w:rPr>
          <w:sz w:val="18"/>
          <w:szCs w:val="18"/>
          <w:lang w:val="es-ES_tradnl"/>
        </w:rPr>
        <w:t>se utiliza indistintamente como indicativo de país y como número de acceso</w:t>
      </w:r>
      <w:r w:rsidRPr="00B54BCF">
        <w:rPr>
          <w:sz w:val="18"/>
          <w:szCs w:val="18"/>
          <w:lang w:val="es-ES_tradnl"/>
        </w:rPr>
        <w:t>.</w:t>
      </w:r>
    </w:p>
  </w:footnote>
  <w:footnote w:id="3">
    <w:p w:rsidR="00E77251" w:rsidRPr="00B54BCF" w:rsidRDefault="00E77251" w:rsidP="00A70BC3">
      <w:pPr>
        <w:pStyle w:val="FootnoteText"/>
        <w:tabs>
          <w:tab w:val="clear" w:pos="567"/>
          <w:tab w:val="left" w:pos="284"/>
        </w:tabs>
        <w:ind w:left="284" w:hanging="284"/>
        <w:rPr>
          <w:sz w:val="18"/>
          <w:szCs w:val="18"/>
          <w:lang w:val="es-ES_tradnl"/>
        </w:rPr>
      </w:pPr>
      <w:r w:rsidRPr="00B54BCF">
        <w:rPr>
          <w:rStyle w:val="FootnoteReference"/>
          <w:sz w:val="18"/>
          <w:szCs w:val="18"/>
          <w:lang w:val="es-ES_tradnl"/>
        </w:rPr>
        <w:footnoteRef/>
      </w:r>
      <w:r w:rsidRPr="00B54BCF">
        <w:rPr>
          <w:sz w:val="18"/>
          <w:szCs w:val="18"/>
          <w:lang w:val="es-ES_tradnl"/>
        </w:rPr>
        <w:tab/>
        <w:t xml:space="preserve">2XX </w:t>
      </w:r>
      <w:r>
        <w:rPr>
          <w:sz w:val="18"/>
          <w:szCs w:val="18"/>
          <w:lang w:val="es-ES_tradnl"/>
        </w:rPr>
        <w:t>se reserva para futura expansión, aunque un bloque ya ha sido asignado a los servicios fijos de indicativos publicitarios y servicios fijos de línea alámbrica</w:t>
      </w:r>
      <w:r w:rsidR="00001AAE">
        <w:rPr>
          <w:sz w:val="18"/>
          <w:szCs w:val="18"/>
          <w:lang w:val="es-ES_tradnl"/>
        </w:rPr>
        <w:t xml:space="preserve">. </w:t>
      </w:r>
      <w:r>
        <w:rPr>
          <w:sz w:val="18"/>
          <w:szCs w:val="18"/>
          <w:lang w:val="es-ES_tradnl"/>
        </w:rPr>
        <w:t>No se harán otras asignaciones en esta gama hasta nuevo aviso</w:t>
      </w:r>
      <w:r w:rsidRPr="00B54BCF">
        <w:rPr>
          <w:sz w:val="18"/>
          <w:szCs w:val="18"/>
          <w:lang w:val="es-ES_tradnl"/>
        </w:rPr>
        <w:t>.</w:t>
      </w:r>
    </w:p>
  </w:footnote>
  <w:footnote w:id="4">
    <w:p w:rsidR="00E77251" w:rsidRPr="00B54BCF" w:rsidRDefault="00E77251" w:rsidP="00662903">
      <w:pPr>
        <w:pStyle w:val="FootnoteText"/>
        <w:tabs>
          <w:tab w:val="clear" w:pos="567"/>
          <w:tab w:val="left" w:pos="284"/>
        </w:tabs>
        <w:ind w:left="284" w:hanging="284"/>
        <w:rPr>
          <w:sz w:val="18"/>
          <w:szCs w:val="18"/>
          <w:lang w:val="es-ES_tradnl"/>
        </w:rPr>
      </w:pPr>
      <w:r w:rsidRPr="00B54BCF">
        <w:rPr>
          <w:rStyle w:val="FootnoteReference"/>
          <w:sz w:val="18"/>
          <w:szCs w:val="18"/>
          <w:lang w:val="es-ES_tradnl"/>
        </w:rPr>
        <w:footnoteRef/>
      </w:r>
      <w:r w:rsidRPr="00B54BCF"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 xml:space="preserve">El bloque </w:t>
      </w:r>
      <w:r w:rsidRPr="00B54BCF">
        <w:rPr>
          <w:sz w:val="18"/>
          <w:szCs w:val="18"/>
          <w:lang w:val="es-ES_tradnl"/>
        </w:rPr>
        <w:t xml:space="preserve">4XX </w:t>
      </w:r>
      <w:r>
        <w:rPr>
          <w:sz w:val="18"/>
          <w:szCs w:val="18"/>
          <w:lang w:val="es-ES_tradnl"/>
        </w:rPr>
        <w:t>está atribuido a los servicios móviles celulares</w:t>
      </w:r>
      <w:r w:rsidRPr="00B54BCF">
        <w:rPr>
          <w:sz w:val="18"/>
          <w:szCs w:val="18"/>
          <w:lang w:val="es-ES_tradnl"/>
        </w:rPr>
        <w:t xml:space="preserve">, </w:t>
      </w:r>
      <w:r>
        <w:rPr>
          <w:sz w:val="18"/>
          <w:szCs w:val="18"/>
          <w:lang w:val="es-ES_tradnl"/>
        </w:rPr>
        <w:t xml:space="preserve">aunque un indicativo </w:t>
      </w:r>
      <w:r w:rsidRPr="00B54BCF">
        <w:rPr>
          <w:sz w:val="18"/>
          <w:szCs w:val="18"/>
          <w:lang w:val="es-ES_tradnl"/>
        </w:rPr>
        <w:t xml:space="preserve">CO </w:t>
      </w:r>
      <w:r>
        <w:rPr>
          <w:sz w:val="18"/>
          <w:szCs w:val="18"/>
          <w:lang w:val="es-ES_tradnl"/>
        </w:rPr>
        <w:t>ha sido asignado a los servicios fijos</w:t>
      </w:r>
      <w:r w:rsidR="00001AAE">
        <w:rPr>
          <w:sz w:val="18"/>
          <w:szCs w:val="18"/>
          <w:lang w:val="es-ES_tradnl"/>
        </w:rPr>
        <w:t xml:space="preserve">. </w:t>
      </w:r>
      <w:r>
        <w:rPr>
          <w:sz w:val="18"/>
          <w:szCs w:val="18"/>
          <w:lang w:val="es-ES_tradnl"/>
        </w:rPr>
        <w:t>No se asignarán más servicios fijos en este bloque de indicativos</w:t>
      </w:r>
      <w:r w:rsidR="00001AAE">
        <w:rPr>
          <w:sz w:val="18"/>
          <w:szCs w:val="18"/>
          <w:lang w:val="es-ES_tradnl"/>
        </w:rPr>
        <w:t>.</w:t>
      </w:r>
    </w:p>
  </w:footnote>
  <w:footnote w:id="5">
    <w:p w:rsidR="00E77251" w:rsidRPr="00B54BCF" w:rsidRDefault="00E77251" w:rsidP="00662903">
      <w:pPr>
        <w:pStyle w:val="FootnoteText"/>
        <w:tabs>
          <w:tab w:val="clear" w:pos="567"/>
          <w:tab w:val="left" w:pos="284"/>
        </w:tabs>
        <w:ind w:left="284" w:hanging="284"/>
        <w:rPr>
          <w:sz w:val="18"/>
          <w:szCs w:val="18"/>
          <w:lang w:val="es-ES_tradnl"/>
        </w:rPr>
      </w:pPr>
      <w:r w:rsidRPr="00B54BCF">
        <w:rPr>
          <w:rStyle w:val="FootnoteReference"/>
          <w:sz w:val="18"/>
          <w:szCs w:val="18"/>
          <w:lang w:val="es-ES_tradnl"/>
        </w:rPr>
        <w:footnoteRef/>
      </w:r>
      <w:r w:rsidRPr="00B54BCF"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 xml:space="preserve">El bloque </w:t>
      </w:r>
      <w:r w:rsidRPr="00B54BCF">
        <w:rPr>
          <w:sz w:val="18"/>
          <w:szCs w:val="18"/>
          <w:lang w:val="es-ES_tradnl"/>
        </w:rPr>
        <w:t xml:space="preserve">5XX </w:t>
      </w:r>
      <w:r>
        <w:rPr>
          <w:sz w:val="18"/>
          <w:szCs w:val="18"/>
          <w:lang w:val="es-ES_tradnl"/>
        </w:rPr>
        <w:t>está asignado a servicios móviles celulares, aunque ya existe un bloque asignado a los servicios fijos</w:t>
      </w:r>
      <w:r w:rsidR="00001AAE">
        <w:rPr>
          <w:sz w:val="18"/>
          <w:szCs w:val="18"/>
          <w:lang w:val="es-ES_tradnl"/>
        </w:rPr>
        <w:t xml:space="preserve">. </w:t>
      </w:r>
      <w:r>
        <w:rPr>
          <w:sz w:val="18"/>
          <w:szCs w:val="18"/>
          <w:lang w:val="es-ES_tradnl"/>
        </w:rPr>
        <w:t xml:space="preserve">El indicativo </w:t>
      </w:r>
      <w:r w:rsidRPr="00B54BCF">
        <w:rPr>
          <w:sz w:val="18"/>
          <w:szCs w:val="18"/>
          <w:lang w:val="es-ES_tradnl"/>
        </w:rPr>
        <w:t xml:space="preserve">CO 555 </w:t>
      </w:r>
      <w:r>
        <w:rPr>
          <w:sz w:val="18"/>
          <w:szCs w:val="18"/>
          <w:lang w:val="es-ES_tradnl"/>
        </w:rPr>
        <w:t>está reservado para servicios especiales</w:t>
      </w:r>
      <w:r w:rsidRPr="00B54BCF">
        <w:rPr>
          <w:sz w:val="18"/>
          <w:szCs w:val="18"/>
          <w:lang w:val="es-ES_tradnl"/>
        </w:rPr>
        <w:t xml:space="preserve">. </w:t>
      </w:r>
      <w:r>
        <w:rPr>
          <w:sz w:val="18"/>
          <w:szCs w:val="18"/>
          <w:lang w:val="es-ES_tradnl"/>
        </w:rPr>
        <w:t xml:space="preserve">No se asignarán otros servicios fijos en el bloque </w:t>
      </w:r>
      <w:r w:rsidRPr="00B54BCF">
        <w:rPr>
          <w:sz w:val="18"/>
          <w:szCs w:val="18"/>
          <w:lang w:val="es-ES_tradnl"/>
        </w:rPr>
        <w:t>5XX.</w:t>
      </w:r>
    </w:p>
  </w:footnote>
  <w:footnote w:id="6">
    <w:p w:rsidR="00E77251" w:rsidRPr="00B54BCF" w:rsidRDefault="00E77251" w:rsidP="00A70BC3">
      <w:pPr>
        <w:pStyle w:val="FootnoteText"/>
        <w:tabs>
          <w:tab w:val="clear" w:pos="567"/>
          <w:tab w:val="left" w:pos="284"/>
        </w:tabs>
        <w:ind w:left="284" w:hanging="284"/>
        <w:rPr>
          <w:sz w:val="18"/>
          <w:szCs w:val="18"/>
          <w:lang w:val="es-ES_tradnl"/>
        </w:rPr>
      </w:pPr>
      <w:r w:rsidRPr="00B54BCF">
        <w:rPr>
          <w:rStyle w:val="FootnoteReference"/>
          <w:sz w:val="18"/>
          <w:szCs w:val="18"/>
          <w:lang w:val="es-ES_tradnl"/>
        </w:rPr>
        <w:footnoteRef/>
      </w:r>
      <w:r w:rsidRPr="00B54BCF">
        <w:rPr>
          <w:sz w:val="18"/>
          <w:szCs w:val="18"/>
          <w:lang w:val="es-ES_tradnl"/>
        </w:rPr>
        <w:tab/>
        <w:t xml:space="preserve">6XX </w:t>
      </w:r>
      <w:r>
        <w:rPr>
          <w:sz w:val="18"/>
          <w:szCs w:val="18"/>
          <w:lang w:val="es-ES_tradnl"/>
        </w:rPr>
        <w:t>está asignado a servicios fijos, aunque ya existen dos bloques asignados a servicios móviles celulares</w:t>
      </w:r>
      <w:r w:rsidRPr="00B54BCF">
        <w:rPr>
          <w:sz w:val="18"/>
          <w:szCs w:val="18"/>
          <w:lang w:val="es-ES_tradnl"/>
        </w:rPr>
        <w:t xml:space="preserve">. No </w:t>
      </w:r>
      <w:r>
        <w:rPr>
          <w:sz w:val="18"/>
          <w:szCs w:val="18"/>
          <w:lang w:val="es-ES_tradnl"/>
        </w:rPr>
        <w:t xml:space="preserve">se asignarán otros servicios móviles celulares en el bloque </w:t>
      </w:r>
      <w:r w:rsidR="00001AAE">
        <w:rPr>
          <w:sz w:val="18"/>
          <w:szCs w:val="18"/>
          <w:lang w:val="es-ES_tradnl"/>
        </w:rPr>
        <w:t>6XX.</w:t>
      </w:r>
    </w:p>
  </w:footnote>
  <w:footnote w:id="7">
    <w:p w:rsidR="00E77251" w:rsidRPr="00B54BCF" w:rsidRDefault="00E77251" w:rsidP="00815A2F">
      <w:pPr>
        <w:pStyle w:val="FootnoteText"/>
        <w:tabs>
          <w:tab w:val="clear" w:pos="567"/>
          <w:tab w:val="left" w:pos="284"/>
        </w:tabs>
        <w:ind w:left="284" w:hanging="284"/>
        <w:rPr>
          <w:sz w:val="18"/>
          <w:szCs w:val="18"/>
          <w:lang w:val="es-ES_tradnl"/>
        </w:rPr>
      </w:pPr>
      <w:r w:rsidRPr="00B54BCF">
        <w:rPr>
          <w:rStyle w:val="FootnoteReference"/>
          <w:sz w:val="18"/>
          <w:szCs w:val="18"/>
          <w:lang w:val="es-ES_tradnl"/>
        </w:rPr>
        <w:footnoteRef/>
      </w:r>
      <w:r w:rsidRPr="00B54BCF">
        <w:rPr>
          <w:sz w:val="18"/>
          <w:szCs w:val="18"/>
          <w:lang w:val="es-ES_tradnl"/>
        </w:rPr>
        <w:tab/>
      </w:r>
      <w:r>
        <w:rPr>
          <w:sz w:val="18"/>
          <w:szCs w:val="18"/>
          <w:lang w:val="es-ES_tradnl"/>
        </w:rPr>
        <w:t>Este bloque está reservado para el futuro, aunque hay dos bloques asignados a los servicios fijos y dos bloques asignados a los servicios móviles celulares</w:t>
      </w:r>
      <w:r w:rsidR="00001AAE">
        <w:rPr>
          <w:sz w:val="18"/>
          <w:szCs w:val="18"/>
          <w:lang w:val="es-ES_tradnl"/>
        </w:rPr>
        <w:t xml:space="preserve">. </w:t>
      </w:r>
      <w:r w:rsidRPr="00B54BCF">
        <w:rPr>
          <w:sz w:val="18"/>
          <w:szCs w:val="18"/>
          <w:lang w:val="es-ES_tradnl"/>
        </w:rPr>
        <w:t xml:space="preserve">No </w:t>
      </w:r>
      <w:r>
        <w:rPr>
          <w:sz w:val="18"/>
          <w:szCs w:val="18"/>
          <w:lang w:val="es-ES_tradnl"/>
        </w:rPr>
        <w:t>se harán otras asignaciones en esta gama hasta nuevo aviso</w:t>
      </w:r>
      <w:r w:rsidRPr="00B54BCF">
        <w:rPr>
          <w:sz w:val="18"/>
          <w:szCs w:val="18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FDA" w:rsidRPr="00315FDA" w:rsidRDefault="00315FDA" w:rsidP="008A5975">
    <w:pPr>
      <w:pStyle w:val="Header"/>
      <w:spacing w:after="120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51" w:rsidRPr="00E77251" w:rsidRDefault="00E77251" w:rsidP="00BC3135">
    <w:pPr>
      <w:pStyle w:val="Header"/>
      <w:spacing w:after="1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2B05A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EC6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1AA1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82AB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723B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0046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44B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969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2EC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1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6"/>
  </w:num>
  <w:num w:numId="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6">
    <w:abstractNumId w:val="20"/>
  </w:num>
  <w:num w:numId="7">
    <w:abstractNumId w:val="14"/>
  </w:num>
  <w:num w:numId="8">
    <w:abstractNumId w:val="19"/>
  </w:num>
  <w:num w:numId="9">
    <w:abstractNumId w:val="22"/>
  </w:num>
  <w:num w:numId="10">
    <w:abstractNumId w:val="15"/>
  </w:num>
  <w:num w:numId="11">
    <w:abstractNumId w:val="13"/>
  </w:num>
  <w:num w:numId="12">
    <w:abstractNumId w:val="18"/>
  </w:num>
  <w:num w:numId="13">
    <w:abstractNumId w:val="11"/>
  </w:num>
  <w:num w:numId="14">
    <w:abstractNumId w:val="21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3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AAE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71A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65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1F3A"/>
    <w:rsid w:val="00092287"/>
    <w:rsid w:val="0009244C"/>
    <w:rsid w:val="000926BE"/>
    <w:rsid w:val="00092C13"/>
    <w:rsid w:val="000934D6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638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B64"/>
    <w:rsid w:val="000F6F40"/>
    <w:rsid w:val="000F6F4D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C6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733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BE8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C88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5D8"/>
    <w:rsid w:val="0017589C"/>
    <w:rsid w:val="00176347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1EB3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1F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7B7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AD3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2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20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4DB8"/>
    <w:rsid w:val="00255117"/>
    <w:rsid w:val="002551B4"/>
    <w:rsid w:val="00255292"/>
    <w:rsid w:val="00255A5F"/>
    <w:rsid w:val="002562E7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77C"/>
    <w:rsid w:val="002B190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70A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17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1E59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5FD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2FE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7AC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37D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68CE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16F"/>
    <w:rsid w:val="004E4ADF"/>
    <w:rsid w:val="004E587A"/>
    <w:rsid w:val="004E598F"/>
    <w:rsid w:val="004E5B45"/>
    <w:rsid w:val="004E5E45"/>
    <w:rsid w:val="004E648D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4A5"/>
    <w:rsid w:val="005106B0"/>
    <w:rsid w:val="00510B2A"/>
    <w:rsid w:val="00510D9F"/>
    <w:rsid w:val="00510FD3"/>
    <w:rsid w:val="0051109C"/>
    <w:rsid w:val="005110ED"/>
    <w:rsid w:val="005117C9"/>
    <w:rsid w:val="00511FCA"/>
    <w:rsid w:val="0051234F"/>
    <w:rsid w:val="00512870"/>
    <w:rsid w:val="00513053"/>
    <w:rsid w:val="00513B04"/>
    <w:rsid w:val="00513FAB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8BB"/>
    <w:rsid w:val="00572A7A"/>
    <w:rsid w:val="00572A7C"/>
    <w:rsid w:val="005736D8"/>
    <w:rsid w:val="005737E0"/>
    <w:rsid w:val="005738BD"/>
    <w:rsid w:val="00573C4B"/>
    <w:rsid w:val="00574060"/>
    <w:rsid w:val="005740F7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3D4"/>
    <w:rsid w:val="00592963"/>
    <w:rsid w:val="00592B0E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91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5F09"/>
    <w:rsid w:val="005C6219"/>
    <w:rsid w:val="005C6336"/>
    <w:rsid w:val="005C6A77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991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80D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13E"/>
    <w:rsid w:val="006512DC"/>
    <w:rsid w:val="00651647"/>
    <w:rsid w:val="00651AB7"/>
    <w:rsid w:val="00651C4F"/>
    <w:rsid w:val="00651D12"/>
    <w:rsid w:val="0065206D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704"/>
    <w:rsid w:val="00661A57"/>
    <w:rsid w:val="00661F0F"/>
    <w:rsid w:val="006623B1"/>
    <w:rsid w:val="00662903"/>
    <w:rsid w:val="00663128"/>
    <w:rsid w:val="00663576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276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025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C15"/>
    <w:rsid w:val="00741D7B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5E7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2FAF"/>
    <w:rsid w:val="007731E2"/>
    <w:rsid w:val="0077365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6F92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6F"/>
    <w:rsid w:val="007C62FA"/>
    <w:rsid w:val="007C632D"/>
    <w:rsid w:val="007C634B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86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A2F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8F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55D4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975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8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1CE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6F66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55A8"/>
    <w:rsid w:val="00936A63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3A5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A5D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964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C38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622"/>
    <w:rsid w:val="00A24193"/>
    <w:rsid w:val="00A24BFF"/>
    <w:rsid w:val="00A24F56"/>
    <w:rsid w:val="00A24FBF"/>
    <w:rsid w:val="00A24FCF"/>
    <w:rsid w:val="00A250F9"/>
    <w:rsid w:val="00A252A5"/>
    <w:rsid w:val="00A255DE"/>
    <w:rsid w:val="00A25A6E"/>
    <w:rsid w:val="00A25C8D"/>
    <w:rsid w:val="00A25FD1"/>
    <w:rsid w:val="00A2674F"/>
    <w:rsid w:val="00A27108"/>
    <w:rsid w:val="00A272B7"/>
    <w:rsid w:val="00A27431"/>
    <w:rsid w:val="00A27ACD"/>
    <w:rsid w:val="00A27B1A"/>
    <w:rsid w:val="00A27C8E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3F35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84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BC3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2FFE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29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BF3"/>
    <w:rsid w:val="00B21135"/>
    <w:rsid w:val="00B2195D"/>
    <w:rsid w:val="00B21D98"/>
    <w:rsid w:val="00B22628"/>
    <w:rsid w:val="00B2288E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8A7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3BF5"/>
    <w:rsid w:val="00B53F97"/>
    <w:rsid w:val="00B544E6"/>
    <w:rsid w:val="00B54BCF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050"/>
    <w:rsid w:val="00B8526A"/>
    <w:rsid w:val="00B85276"/>
    <w:rsid w:val="00B8527E"/>
    <w:rsid w:val="00B85530"/>
    <w:rsid w:val="00B855E8"/>
    <w:rsid w:val="00B85C44"/>
    <w:rsid w:val="00B85EEB"/>
    <w:rsid w:val="00B86272"/>
    <w:rsid w:val="00B8642B"/>
    <w:rsid w:val="00B86451"/>
    <w:rsid w:val="00B868D8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1CA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135"/>
    <w:rsid w:val="00BC3693"/>
    <w:rsid w:val="00BC378E"/>
    <w:rsid w:val="00BC3B78"/>
    <w:rsid w:val="00BC3FEE"/>
    <w:rsid w:val="00BC45BC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B0F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31DB"/>
    <w:rsid w:val="00C0351A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016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951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A2F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1DD0"/>
    <w:rsid w:val="00CA23C0"/>
    <w:rsid w:val="00CA24ED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EC6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3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4A4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4F85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3C8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1BB0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B3"/>
    <w:rsid w:val="00DD746A"/>
    <w:rsid w:val="00DD7660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3DA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1CE9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A92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CB4"/>
    <w:rsid w:val="00E77251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0E68"/>
    <w:rsid w:val="00ED1863"/>
    <w:rsid w:val="00ED1B52"/>
    <w:rsid w:val="00ED20B3"/>
    <w:rsid w:val="00ED248E"/>
    <w:rsid w:val="00ED2814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73F"/>
    <w:rsid w:val="00EF59D9"/>
    <w:rsid w:val="00EF5BDF"/>
    <w:rsid w:val="00EF5D37"/>
    <w:rsid w:val="00EF69F3"/>
    <w:rsid w:val="00EF6B1B"/>
    <w:rsid w:val="00EF7129"/>
    <w:rsid w:val="00EF7705"/>
    <w:rsid w:val="00EF7D2C"/>
    <w:rsid w:val="00F001B3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EB8"/>
    <w:rsid w:val="00F146A0"/>
    <w:rsid w:val="00F149EA"/>
    <w:rsid w:val="00F14C0A"/>
    <w:rsid w:val="00F1506D"/>
    <w:rsid w:val="00F1519C"/>
    <w:rsid w:val="00F15545"/>
    <w:rsid w:val="00F155FA"/>
    <w:rsid w:val="00F158AF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C5E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E15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1D0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345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23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6D9F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A27108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uiPriority w:val="99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152C8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9211CE"/>
    <w:pPr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cabahamas.bs/publications-library.php?cmd=view&amp;id=89&amp;pre=y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4E5F2-057C-4020-A798-F0433ADF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20422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2017-10-13T11:07:00Z</cp:lastPrinted>
  <dcterms:created xsi:type="dcterms:W3CDTF">2017-10-13T11:06:00Z</dcterms:created>
  <dcterms:modified xsi:type="dcterms:W3CDTF">2017-10-13T11:08:00Z</dcterms:modified>
</cp:coreProperties>
</file>