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48" w:rsidRPr="00513C76" w:rsidRDefault="00E64948" w:rsidP="00E64948">
      <w:pPr>
        <w:pStyle w:val="RecNo"/>
      </w:pPr>
      <w:r w:rsidRPr="00513C76">
        <w:t xml:space="preserve">Draft </w:t>
      </w:r>
      <w:r>
        <w:t xml:space="preserve">new </w:t>
      </w:r>
      <w:r w:rsidRPr="00513C76">
        <w:t xml:space="preserve">Recommendation ITU-T </w:t>
      </w:r>
      <w:r>
        <w:t xml:space="preserve">L.1600 (ex </w:t>
      </w:r>
      <w:r w:rsidRPr="00513C76">
        <w:t>L.</w:t>
      </w:r>
      <w:r w:rsidRPr="00513C76">
        <w:rPr>
          <w:rFonts w:eastAsia="SimSun"/>
          <w:lang w:eastAsia="zh-CN"/>
        </w:rPr>
        <w:t>KPIs-SSC-overview</w:t>
      </w:r>
      <w:r>
        <w:rPr>
          <w:rFonts w:eastAsia="SimSun"/>
          <w:lang w:eastAsia="zh-CN"/>
        </w:rPr>
        <w:t>)</w:t>
      </w:r>
    </w:p>
    <w:p w:rsidR="00E64948" w:rsidRDefault="00E64948" w:rsidP="00E64948">
      <w:pPr>
        <w:pStyle w:val="Rectitle"/>
      </w:pPr>
      <w:r>
        <w:rPr>
          <w:rFonts w:eastAsia="SimSun" w:hint="eastAsia"/>
          <w:lang w:eastAsia="zh-CN"/>
        </w:rPr>
        <w:t>Overview of key performance indicators in smart sustainable citie</w:t>
      </w:r>
      <w:r>
        <w:t>s</w:t>
      </w:r>
    </w:p>
    <w:p w:rsidR="00E64948" w:rsidRDefault="00E64948" w:rsidP="00E64948">
      <w:pPr>
        <w:pStyle w:val="Headingb"/>
      </w:pPr>
      <w:r>
        <w:t>Summary</w:t>
      </w:r>
    </w:p>
    <w:p w:rsidR="00E64948" w:rsidRDefault="00E64948" w:rsidP="00E64948">
      <w:r>
        <w:rPr>
          <w:rFonts w:eastAsia="SimSun"/>
          <w:bCs/>
          <w:lang w:eastAsia="zh-CN"/>
        </w:rPr>
        <w:t xml:space="preserve">This </w:t>
      </w:r>
      <w:r>
        <w:rPr>
          <w:rFonts w:eastAsia="SimSun" w:hint="eastAsia"/>
          <w:bCs/>
          <w:lang w:eastAsia="zh-CN"/>
        </w:rPr>
        <w:t>Recommendation ITU-T</w:t>
      </w:r>
      <w:r>
        <w:rPr>
          <w:bCs/>
        </w:rPr>
        <w:t xml:space="preserve"> </w:t>
      </w:r>
      <w:r>
        <w:t xml:space="preserve">L.1600 </w:t>
      </w:r>
      <w:r>
        <w:rPr>
          <w:bCs/>
        </w:rPr>
        <w:t>gives a general guidance to cities and provide an overview of key performance indicators (KPIs) in the context of smart sustainable cities</w:t>
      </w:r>
      <w:r>
        <w:rPr>
          <w:rFonts w:eastAsia="SimSun" w:hint="eastAsia"/>
          <w:bCs/>
          <w:lang w:eastAsia="zh-CN"/>
        </w:rPr>
        <w:t xml:space="preserve"> (SSCs)</w:t>
      </w:r>
      <w:r>
        <w:t>.</w:t>
      </w:r>
    </w:p>
    <w:p w:rsidR="00E64948" w:rsidRDefault="00E64948" w:rsidP="00E64948">
      <w:r>
        <w:rPr>
          <w:rFonts w:hint="eastAsia"/>
          <w:szCs w:val="22"/>
        </w:rPr>
        <w:t>Th</w:t>
      </w:r>
      <w:r>
        <w:rPr>
          <w:rFonts w:eastAsia="SimSun" w:hint="eastAsia"/>
          <w:szCs w:val="22"/>
          <w:lang w:eastAsia="zh-CN"/>
        </w:rPr>
        <w:t>is</w:t>
      </w:r>
      <w:r>
        <w:rPr>
          <w:szCs w:val="22"/>
        </w:rPr>
        <w:t xml:space="preserve"> </w:t>
      </w:r>
      <w:r>
        <w:rPr>
          <w:rFonts w:eastAsia="SimSun" w:hint="eastAsia"/>
          <w:szCs w:val="22"/>
          <w:lang w:eastAsia="zh-CN"/>
        </w:rPr>
        <w:t>Recommendation is</w:t>
      </w:r>
      <w:r>
        <w:rPr>
          <w:szCs w:val="22"/>
        </w:rPr>
        <w:t xml:space="preserve"> </w:t>
      </w:r>
      <w:r>
        <w:rPr>
          <w:rFonts w:hint="eastAsia"/>
          <w:szCs w:val="22"/>
        </w:rPr>
        <w:t xml:space="preserve">one of </w:t>
      </w:r>
      <w:r>
        <w:rPr>
          <w:rFonts w:eastAsia="SimSun" w:hint="eastAsia"/>
          <w:szCs w:val="22"/>
          <w:lang w:eastAsia="zh-CN"/>
        </w:rPr>
        <w:t xml:space="preserve">series of </w:t>
      </w:r>
      <w:r>
        <w:rPr>
          <w:rFonts w:hint="eastAsia"/>
          <w:szCs w:val="22"/>
        </w:rPr>
        <w:t>the</w:t>
      </w:r>
      <w:r>
        <w:rPr>
          <w:szCs w:val="22"/>
        </w:rPr>
        <w:t xml:space="preserve"> </w:t>
      </w:r>
      <w:r>
        <w:rPr>
          <w:rFonts w:eastAsia="SimSun" w:hint="eastAsia"/>
          <w:szCs w:val="22"/>
          <w:lang w:eastAsia="zh-CN"/>
        </w:rPr>
        <w:t>Recommendations and Supplements</w:t>
      </w:r>
      <w:r>
        <w:rPr>
          <w:rFonts w:hint="eastAsia"/>
        </w:rPr>
        <w:t xml:space="preserve"> </w:t>
      </w:r>
      <w:r>
        <w:t xml:space="preserve">which </w:t>
      </w:r>
      <w:r>
        <w:rPr>
          <w:szCs w:val="22"/>
        </w:rPr>
        <w:t xml:space="preserve">define </w:t>
      </w:r>
      <w:r>
        <w:t>KPIs</w:t>
      </w:r>
      <w:r>
        <w:rPr>
          <w:rFonts w:hint="eastAsia"/>
        </w:rPr>
        <w:t xml:space="preserve">. The series of KPI definitions </w:t>
      </w:r>
      <w:r>
        <w:rPr>
          <w:rFonts w:eastAsia="SimSun" w:hint="eastAsia"/>
          <w:lang w:eastAsia="zh-CN"/>
        </w:rPr>
        <w:t xml:space="preserve">documents also </w:t>
      </w:r>
      <w:r>
        <w:rPr>
          <w:rFonts w:hint="eastAsia"/>
        </w:rPr>
        <w:t>include:</w:t>
      </w:r>
    </w:p>
    <w:p w:rsidR="00E64948" w:rsidRDefault="00E64948" w:rsidP="00E64948">
      <w:pPr>
        <w:pStyle w:val="enumlev1TR"/>
      </w:pPr>
      <w:r>
        <w:rPr>
          <w:rFonts w:eastAsia="SimSun" w:hint="eastAsia"/>
        </w:rPr>
        <w:t>Recommendation</w:t>
      </w:r>
      <w:r>
        <w:rPr>
          <w:rFonts w:hint="eastAsia"/>
        </w:rPr>
        <w:t xml:space="preserve"> on </w:t>
      </w:r>
      <w:r>
        <w:t>k</w:t>
      </w:r>
      <w:r>
        <w:rPr>
          <w:rFonts w:hint="eastAsia"/>
        </w:rPr>
        <w:t xml:space="preserve">ey </w:t>
      </w:r>
      <w:r>
        <w:t>p</w:t>
      </w:r>
      <w:r>
        <w:rPr>
          <w:rFonts w:hint="eastAsia"/>
        </w:rPr>
        <w:t xml:space="preserve">erformance </w:t>
      </w:r>
      <w:r>
        <w:t>i</w:t>
      </w:r>
      <w:r>
        <w:rPr>
          <w:rFonts w:hint="eastAsia"/>
        </w:rPr>
        <w:t xml:space="preserve">ndicators </w:t>
      </w:r>
      <w:r>
        <w:rPr>
          <w:rFonts w:eastAsia="SimSun" w:hint="eastAsia"/>
        </w:rPr>
        <w:t xml:space="preserve">(KPIs) </w:t>
      </w:r>
      <w:r>
        <w:rPr>
          <w:rFonts w:hint="eastAsia"/>
        </w:rPr>
        <w:t xml:space="preserve">related to the </w:t>
      </w:r>
      <w:r>
        <w:rPr>
          <w:rFonts w:eastAsia="SimSun" w:hint="eastAsia"/>
        </w:rPr>
        <w:t>use</w:t>
      </w:r>
      <w:r>
        <w:rPr>
          <w:rFonts w:hint="eastAsia"/>
        </w:rPr>
        <w:t xml:space="preserve"> of </w:t>
      </w:r>
      <w:r>
        <w:t>i</w:t>
      </w:r>
      <w:r>
        <w:rPr>
          <w:rFonts w:hint="eastAsia"/>
        </w:rPr>
        <w:t xml:space="preserve">nformation and </w:t>
      </w:r>
      <w:r>
        <w:t>c</w:t>
      </w:r>
      <w:r>
        <w:rPr>
          <w:rFonts w:hint="eastAsia"/>
        </w:rPr>
        <w:t xml:space="preserve">ommunication </w:t>
      </w:r>
      <w:r>
        <w:t>t</w:t>
      </w:r>
      <w:r>
        <w:rPr>
          <w:rFonts w:hint="eastAsia"/>
        </w:rPr>
        <w:t xml:space="preserve">echnology </w:t>
      </w:r>
      <w:r>
        <w:rPr>
          <w:rFonts w:eastAsia="SimSun" w:hint="eastAsia"/>
        </w:rPr>
        <w:t xml:space="preserve">(ICT) </w:t>
      </w:r>
      <w:r>
        <w:rPr>
          <w:rFonts w:hint="eastAsia"/>
        </w:rPr>
        <w:t xml:space="preserve">in smart sustainable cities </w:t>
      </w:r>
      <w:r>
        <w:rPr>
          <w:szCs w:val="24"/>
        </w:rPr>
        <w:t xml:space="preserve">[ITU-T </w:t>
      </w:r>
      <w:r>
        <w:rPr>
          <w:rFonts w:eastAsia="SimSun" w:hint="eastAsia"/>
          <w:szCs w:val="24"/>
        </w:rPr>
        <w:t>L.</w:t>
      </w:r>
      <w:r>
        <w:rPr>
          <w:rFonts w:eastAsia="SimSun"/>
          <w:szCs w:val="24"/>
        </w:rPr>
        <w:t>KPIs-SSC-ICT</w:t>
      </w:r>
      <w:r>
        <w:rPr>
          <w:szCs w:val="24"/>
        </w:rPr>
        <w:t>]</w:t>
      </w:r>
      <w:r>
        <w:t>. T</w:t>
      </w:r>
      <w:r>
        <w:rPr>
          <w:rFonts w:hint="eastAsia"/>
        </w:rPr>
        <w:t xml:space="preserve">his </w:t>
      </w:r>
      <w:r>
        <w:rPr>
          <w:rFonts w:eastAsia="SimSun" w:hint="eastAsia"/>
        </w:rPr>
        <w:t>Recommendation</w:t>
      </w:r>
      <w:r>
        <w:rPr>
          <w:rFonts w:hint="eastAsia"/>
        </w:rPr>
        <w:t xml:space="preserve"> </w:t>
      </w:r>
      <w:r>
        <w:t>lists the KPIs focusing on ICT us</w:t>
      </w:r>
      <w:r>
        <w:rPr>
          <w:rFonts w:eastAsia="SimSun" w:hint="eastAsia"/>
        </w:rPr>
        <w:t>e</w:t>
      </w:r>
      <w:r>
        <w:rPr>
          <w:rFonts w:hint="eastAsia"/>
        </w:rPr>
        <w:t xml:space="preserve"> in SSC</w:t>
      </w:r>
      <w:r>
        <w:t xml:space="preserve">s. </w:t>
      </w:r>
    </w:p>
    <w:p w:rsidR="00E64948" w:rsidRDefault="00E64948" w:rsidP="00E64948">
      <w:pPr>
        <w:pStyle w:val="enumlev1TR"/>
      </w:pPr>
      <w:r>
        <w:rPr>
          <w:rFonts w:eastAsia="SimSun" w:hint="eastAsia"/>
          <w:szCs w:val="24"/>
        </w:rPr>
        <w:t>Recommendation</w:t>
      </w:r>
      <w:r>
        <w:rPr>
          <w:szCs w:val="24"/>
        </w:rPr>
        <w:t xml:space="preserve"> on </w:t>
      </w:r>
      <w:r>
        <w:t xml:space="preserve">key performance indicators </w:t>
      </w:r>
      <w:r>
        <w:rPr>
          <w:rFonts w:eastAsia="SimSun" w:hint="eastAsia"/>
        </w:rPr>
        <w:t xml:space="preserve">(KPIs) </w:t>
      </w:r>
      <w:r>
        <w:rPr>
          <w:rFonts w:hint="eastAsia"/>
        </w:rPr>
        <w:t>related to the sustainability impacts of</w:t>
      </w:r>
      <w:r>
        <w:t xml:space="preserve"> i</w:t>
      </w:r>
      <w:r>
        <w:rPr>
          <w:rFonts w:hint="eastAsia"/>
        </w:rPr>
        <w:t xml:space="preserve">nformation and </w:t>
      </w:r>
      <w:r>
        <w:t>c</w:t>
      </w:r>
      <w:r>
        <w:rPr>
          <w:rFonts w:hint="eastAsia"/>
        </w:rPr>
        <w:t xml:space="preserve">ommunication </w:t>
      </w:r>
      <w:r>
        <w:t>t</w:t>
      </w:r>
      <w:r>
        <w:rPr>
          <w:rFonts w:hint="eastAsia"/>
        </w:rPr>
        <w:t xml:space="preserve">echnology </w:t>
      </w:r>
      <w:r>
        <w:rPr>
          <w:rFonts w:eastAsia="SimSun" w:hint="eastAsia"/>
        </w:rPr>
        <w:t xml:space="preserve">(ICT) </w:t>
      </w:r>
      <w:r>
        <w:rPr>
          <w:rFonts w:hint="eastAsia"/>
        </w:rPr>
        <w:t>in</w:t>
      </w:r>
      <w:r>
        <w:t xml:space="preserve"> smart sustainable cities</w:t>
      </w:r>
      <w:r>
        <w:rPr>
          <w:rFonts w:hint="eastAsia"/>
        </w:rPr>
        <w:t xml:space="preserve"> </w:t>
      </w:r>
      <w:r>
        <w:rPr>
          <w:szCs w:val="24"/>
        </w:rPr>
        <w:t>[</w:t>
      </w:r>
      <w:r>
        <w:rPr>
          <w:rFonts w:hint="eastAsia"/>
          <w:szCs w:val="24"/>
        </w:rPr>
        <w:t xml:space="preserve">ITU-T </w:t>
      </w:r>
      <w:r>
        <w:rPr>
          <w:rFonts w:eastAsia="SimSun" w:hint="eastAsia"/>
          <w:szCs w:val="24"/>
        </w:rPr>
        <w:t>L.</w:t>
      </w:r>
      <w:r>
        <w:rPr>
          <w:rFonts w:eastAsia="SimSun"/>
          <w:szCs w:val="24"/>
        </w:rPr>
        <w:t>KPIs-SSC-impact</w:t>
      </w:r>
      <w:r>
        <w:rPr>
          <w:szCs w:val="24"/>
        </w:rPr>
        <w:t>]</w:t>
      </w:r>
      <w:r>
        <w:t xml:space="preserve">. This </w:t>
      </w:r>
      <w:r>
        <w:rPr>
          <w:rFonts w:eastAsia="SimSun" w:hint="eastAsia"/>
        </w:rPr>
        <w:t>Recommendation</w:t>
      </w:r>
      <w:r>
        <w:t xml:space="preserve"> lists the KPIs proposed </w:t>
      </w:r>
      <w:r>
        <w:rPr>
          <w:rFonts w:hint="eastAsia"/>
          <w:szCs w:val="22"/>
        </w:rPr>
        <w:t>for ICT impact on sustainability</w:t>
      </w:r>
      <w:r>
        <w:rPr>
          <w:szCs w:val="22"/>
        </w:rPr>
        <w:t>.</w:t>
      </w:r>
    </w:p>
    <w:p w:rsidR="00E64948" w:rsidRDefault="00E64948" w:rsidP="00E64948">
      <w:pPr>
        <w:pStyle w:val="enumlev1TR"/>
      </w:pPr>
      <w:r>
        <w:rPr>
          <w:rFonts w:hint="eastAsia"/>
        </w:rPr>
        <w:t xml:space="preserve">Supplement </w:t>
      </w:r>
      <w:r>
        <w:t>on</w:t>
      </w:r>
      <w:r>
        <w:rPr>
          <w:rFonts w:hint="eastAsia"/>
        </w:rPr>
        <w:t xml:space="preserve"> </w:t>
      </w:r>
      <w:r>
        <w:t>key performance indicators (KPIs) for smart sustainable cities</w:t>
      </w:r>
      <w:r>
        <w:rPr>
          <w:rFonts w:hint="eastAsia"/>
        </w:rPr>
        <w:t xml:space="preserve"> </w:t>
      </w:r>
      <w:r>
        <w:rPr>
          <w:szCs w:val="24"/>
        </w:rPr>
        <w:t>[</w:t>
      </w:r>
      <w:r>
        <w:rPr>
          <w:rFonts w:hint="eastAsia"/>
          <w:szCs w:val="24"/>
        </w:rPr>
        <w:t xml:space="preserve">ITU-T </w:t>
      </w:r>
      <w:r w:rsidRPr="00513C76">
        <w:rPr>
          <w:szCs w:val="24"/>
        </w:rPr>
        <w:t>L.KPIs-SSC-Sup</w:t>
      </w:r>
      <w:r w:rsidRPr="00513C76">
        <w:rPr>
          <w:rFonts w:eastAsia="SimSun"/>
          <w:szCs w:val="24"/>
        </w:rPr>
        <w:t>p</w:t>
      </w:r>
      <w:r w:rsidRPr="00D82598">
        <w:rPr>
          <w:szCs w:val="24"/>
        </w:rPr>
        <w:t>]</w:t>
      </w:r>
      <w:r w:rsidRPr="00D82598">
        <w:t>. Th</w:t>
      </w:r>
      <w:r>
        <w:t>is document</w:t>
      </w:r>
      <w:r>
        <w:rPr>
          <w:rFonts w:hint="eastAsia"/>
          <w:szCs w:val="22"/>
        </w:rPr>
        <w:t xml:space="preserve"> provides information regarding KPIs and evaluation index systems of smart cities, KPIs of sustainable cities, etc.</w:t>
      </w:r>
    </w:p>
    <w:p w:rsidR="00CA25A3" w:rsidRPr="00E64948" w:rsidRDefault="00E64948" w:rsidP="00E64948">
      <w:pPr>
        <w:jc w:val="center"/>
      </w:pPr>
      <w:r>
        <w:t>____________</w:t>
      </w:r>
      <w:bookmarkStart w:id="0" w:name="_GoBack"/>
      <w:bookmarkEnd w:id="0"/>
    </w:p>
    <w:sectPr w:rsidR="00CA25A3" w:rsidRPr="00E64948" w:rsidSect="00237328">
      <w:headerReference w:type="even" r:id="rId9"/>
      <w:headerReference w:type="default" r:id="rId10"/>
      <w:type w:val="oddPage"/>
      <w:pgSz w:w="11907" w:h="16834"/>
      <w:pgMar w:top="1134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4B" w:rsidRDefault="00EE364B">
      <w:pPr>
        <w:spacing w:before="0" w:after="0" w:line="240" w:lineRule="auto"/>
      </w:pPr>
      <w:r>
        <w:separator/>
      </w:r>
    </w:p>
  </w:endnote>
  <w:endnote w:type="continuationSeparator" w:id="0">
    <w:p w:rsidR="00EE364B" w:rsidRDefault="00EE36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default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4B" w:rsidRDefault="00EE364B">
      <w:pPr>
        <w:spacing w:before="0" w:after="0" w:line="240" w:lineRule="auto"/>
      </w:pPr>
      <w:r>
        <w:separator/>
      </w:r>
    </w:p>
  </w:footnote>
  <w:footnote w:type="continuationSeparator" w:id="0">
    <w:p w:rsidR="00EE364B" w:rsidRDefault="00EE36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28" w:rsidRPr="00A90B86" w:rsidRDefault="00237328" w:rsidP="00237328">
    <w:pPr>
      <w:pStyle w:val="Header"/>
    </w:pPr>
    <w:r w:rsidRPr="00A90B86">
      <w:t xml:space="preserve">- </w:t>
    </w:r>
    <w:r w:rsidRPr="00A90B86">
      <w:fldChar w:fldCharType="begin"/>
    </w:r>
    <w:r w:rsidRPr="00A90B86">
      <w:instrText xml:space="preserve"> PAGE  \* MERGEFORMAT </w:instrText>
    </w:r>
    <w:r w:rsidRPr="00A90B86">
      <w:fldChar w:fldCharType="separate"/>
    </w:r>
    <w:r>
      <w:rPr>
        <w:noProof/>
      </w:rPr>
      <w:t>6</w:t>
    </w:r>
    <w:r w:rsidRPr="00A90B86">
      <w:fldChar w:fldCharType="end"/>
    </w:r>
    <w:r w:rsidRPr="00A90B86">
      <w:t xml:space="preserve"> -</w:t>
    </w:r>
    <w:r>
      <w:br/>
    </w:r>
    <w:fldSimple w:instr=" STYLEREF  Docnumber  ">
      <w:r>
        <w:rPr>
          <w:noProof/>
        </w:rPr>
        <w:t>TD 1181 (GEN/5)</w:t>
      </w:r>
    </w:fldSimple>
  </w:p>
  <w:p w:rsidR="00237328" w:rsidRDefault="00237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28" w:rsidRDefault="00237328" w:rsidP="00F07C5B">
    <w:pPr>
      <w:pStyle w:val="Header"/>
    </w:pPr>
    <w:r w:rsidRPr="00AE451D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64948">
      <w:rPr>
        <w:noProof/>
      </w:rPr>
      <w:t>2</w:t>
    </w:r>
    <w:r>
      <w:rPr>
        <w:noProof/>
      </w:rPr>
      <w:fldChar w:fldCharType="end"/>
    </w:r>
    <w:r w:rsidRPr="00AE451D">
      <w:t xml:space="preserve"> -</w:t>
    </w:r>
    <w:r>
      <w:br/>
    </w:r>
    <w:r w:rsidR="005C38B6">
      <w:t>Draft new Recommendation ITU-T L.1600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602B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lvl w:ilvl="0" w:tentative="1">
      <w:start w:val="1"/>
      <w:numFmt w:val="decimal"/>
      <w:pStyle w:val="kgkreflist"/>
      <w:lvlText w:val="[%1]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DAC2A02"/>
    <w:multiLevelType w:val="multilevel"/>
    <w:tmpl w:val="3DAC2A02"/>
    <w:lvl w:ilvl="0">
      <w:start w:val="1"/>
      <w:numFmt w:val="bullet"/>
      <w:pStyle w:val="enumlev1TR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attachedTemplate r:id="rId1"/>
  <w:defaultTabStop w:val="720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67"/>
    <w:rsid w:val="000016D1"/>
    <w:rsid w:val="00011282"/>
    <w:rsid w:val="00015453"/>
    <w:rsid w:val="00022FE3"/>
    <w:rsid w:val="000240F5"/>
    <w:rsid w:val="000307C9"/>
    <w:rsid w:val="000407FA"/>
    <w:rsid w:val="000577E5"/>
    <w:rsid w:val="00075050"/>
    <w:rsid w:val="000840F4"/>
    <w:rsid w:val="00084E38"/>
    <w:rsid w:val="00093BB1"/>
    <w:rsid w:val="000A287B"/>
    <w:rsid w:val="000B48BF"/>
    <w:rsid w:val="000C5E8A"/>
    <w:rsid w:val="000D4604"/>
    <w:rsid w:val="000E26D7"/>
    <w:rsid w:val="000E355E"/>
    <w:rsid w:val="000F22AD"/>
    <w:rsid w:val="000F3EAC"/>
    <w:rsid w:val="0010054B"/>
    <w:rsid w:val="00104482"/>
    <w:rsid w:val="001047CD"/>
    <w:rsid w:val="0013384E"/>
    <w:rsid w:val="0013599C"/>
    <w:rsid w:val="001373BF"/>
    <w:rsid w:val="00147B3A"/>
    <w:rsid w:val="00150197"/>
    <w:rsid w:val="001543C7"/>
    <w:rsid w:val="00156515"/>
    <w:rsid w:val="0016509B"/>
    <w:rsid w:val="00177E6E"/>
    <w:rsid w:val="0018403B"/>
    <w:rsid w:val="00185363"/>
    <w:rsid w:val="0019395B"/>
    <w:rsid w:val="001C107A"/>
    <w:rsid w:val="001C2372"/>
    <w:rsid w:val="001D4469"/>
    <w:rsid w:val="001E386B"/>
    <w:rsid w:val="001F667D"/>
    <w:rsid w:val="001F66A0"/>
    <w:rsid w:val="00221A31"/>
    <w:rsid w:val="00222102"/>
    <w:rsid w:val="00225B85"/>
    <w:rsid w:val="002309F5"/>
    <w:rsid w:val="00236D4C"/>
    <w:rsid w:val="00237328"/>
    <w:rsid w:val="002376C1"/>
    <w:rsid w:val="00240FAD"/>
    <w:rsid w:val="00262505"/>
    <w:rsid w:val="00283BA1"/>
    <w:rsid w:val="00286C63"/>
    <w:rsid w:val="002A2404"/>
    <w:rsid w:val="002B2170"/>
    <w:rsid w:val="002D43DC"/>
    <w:rsid w:val="002E0144"/>
    <w:rsid w:val="002E0F55"/>
    <w:rsid w:val="002E5890"/>
    <w:rsid w:val="002E74A0"/>
    <w:rsid w:val="0030290D"/>
    <w:rsid w:val="00302A5B"/>
    <w:rsid w:val="00303F1B"/>
    <w:rsid w:val="0032031C"/>
    <w:rsid w:val="003239B9"/>
    <w:rsid w:val="00327427"/>
    <w:rsid w:val="003317A6"/>
    <w:rsid w:val="00333535"/>
    <w:rsid w:val="00346E8C"/>
    <w:rsid w:val="00352730"/>
    <w:rsid w:val="00356B85"/>
    <w:rsid w:val="00356D5E"/>
    <w:rsid w:val="003860AE"/>
    <w:rsid w:val="003A0344"/>
    <w:rsid w:val="003C2262"/>
    <w:rsid w:val="003C4754"/>
    <w:rsid w:val="003D00C1"/>
    <w:rsid w:val="003D23F8"/>
    <w:rsid w:val="003D49C9"/>
    <w:rsid w:val="003E3AB2"/>
    <w:rsid w:val="00412994"/>
    <w:rsid w:val="0041539F"/>
    <w:rsid w:val="00445C10"/>
    <w:rsid w:val="00455415"/>
    <w:rsid w:val="00464CD2"/>
    <w:rsid w:val="004765B6"/>
    <w:rsid w:val="0049069D"/>
    <w:rsid w:val="004A6146"/>
    <w:rsid w:val="004C084A"/>
    <w:rsid w:val="004C37E7"/>
    <w:rsid w:val="004E7D87"/>
    <w:rsid w:val="004F0BBD"/>
    <w:rsid w:val="004F5EEC"/>
    <w:rsid w:val="00512F1E"/>
    <w:rsid w:val="00513C76"/>
    <w:rsid w:val="005303B6"/>
    <w:rsid w:val="00563D8D"/>
    <w:rsid w:val="00576125"/>
    <w:rsid w:val="00585865"/>
    <w:rsid w:val="00586077"/>
    <w:rsid w:val="0059583B"/>
    <w:rsid w:val="005A06F2"/>
    <w:rsid w:val="005A5706"/>
    <w:rsid w:val="005C38B6"/>
    <w:rsid w:val="005C4DAF"/>
    <w:rsid w:val="005E2978"/>
    <w:rsid w:val="006169F0"/>
    <w:rsid w:val="0062037B"/>
    <w:rsid w:val="00631BC0"/>
    <w:rsid w:val="006327AF"/>
    <w:rsid w:val="00644904"/>
    <w:rsid w:val="006613AC"/>
    <w:rsid w:val="00661F4A"/>
    <w:rsid w:val="00681642"/>
    <w:rsid w:val="00685CE6"/>
    <w:rsid w:val="00694C7A"/>
    <w:rsid w:val="006A24EE"/>
    <w:rsid w:val="006A7B64"/>
    <w:rsid w:val="006B01E4"/>
    <w:rsid w:val="006C7FBC"/>
    <w:rsid w:val="006D098B"/>
    <w:rsid w:val="006E19B1"/>
    <w:rsid w:val="006F32F7"/>
    <w:rsid w:val="006F369D"/>
    <w:rsid w:val="007050E1"/>
    <w:rsid w:val="00715790"/>
    <w:rsid w:val="007246FE"/>
    <w:rsid w:val="00726163"/>
    <w:rsid w:val="007439AD"/>
    <w:rsid w:val="00764B1C"/>
    <w:rsid w:val="007673CC"/>
    <w:rsid w:val="007701C7"/>
    <w:rsid w:val="00773B30"/>
    <w:rsid w:val="007774DE"/>
    <w:rsid w:val="00783586"/>
    <w:rsid w:val="007A125F"/>
    <w:rsid w:val="007A7AB6"/>
    <w:rsid w:val="007D0D2A"/>
    <w:rsid w:val="007D285B"/>
    <w:rsid w:val="007D6305"/>
    <w:rsid w:val="007D7575"/>
    <w:rsid w:val="0080667E"/>
    <w:rsid w:val="00811C3E"/>
    <w:rsid w:val="0081286F"/>
    <w:rsid w:val="00815B4E"/>
    <w:rsid w:val="0081664F"/>
    <w:rsid w:val="00826D5D"/>
    <w:rsid w:val="008450EE"/>
    <w:rsid w:val="00854715"/>
    <w:rsid w:val="00863002"/>
    <w:rsid w:val="00865987"/>
    <w:rsid w:val="00867101"/>
    <w:rsid w:val="008B287C"/>
    <w:rsid w:val="008E77A8"/>
    <w:rsid w:val="008F1FFD"/>
    <w:rsid w:val="00923C60"/>
    <w:rsid w:val="00931F94"/>
    <w:rsid w:val="009401D6"/>
    <w:rsid w:val="00971960"/>
    <w:rsid w:val="00973F59"/>
    <w:rsid w:val="00975165"/>
    <w:rsid w:val="00983849"/>
    <w:rsid w:val="00994FE7"/>
    <w:rsid w:val="0099506B"/>
    <w:rsid w:val="009A0038"/>
    <w:rsid w:val="009A075B"/>
    <w:rsid w:val="009A2897"/>
    <w:rsid w:val="009A64BD"/>
    <w:rsid w:val="009B38B0"/>
    <w:rsid w:val="009B7607"/>
    <w:rsid w:val="009C4BD0"/>
    <w:rsid w:val="009D148B"/>
    <w:rsid w:val="009D333A"/>
    <w:rsid w:val="009F1837"/>
    <w:rsid w:val="009F1DC4"/>
    <w:rsid w:val="009F5DEA"/>
    <w:rsid w:val="00A0557B"/>
    <w:rsid w:val="00A07C06"/>
    <w:rsid w:val="00A23FA6"/>
    <w:rsid w:val="00A43177"/>
    <w:rsid w:val="00A47406"/>
    <w:rsid w:val="00A57959"/>
    <w:rsid w:val="00A6260D"/>
    <w:rsid w:val="00A825B3"/>
    <w:rsid w:val="00A910D2"/>
    <w:rsid w:val="00A9292D"/>
    <w:rsid w:val="00A9786C"/>
    <w:rsid w:val="00AA12E2"/>
    <w:rsid w:val="00AA3E73"/>
    <w:rsid w:val="00AA662C"/>
    <w:rsid w:val="00AB3A5D"/>
    <w:rsid w:val="00AC6E7E"/>
    <w:rsid w:val="00AD60E6"/>
    <w:rsid w:val="00AF1821"/>
    <w:rsid w:val="00B01B93"/>
    <w:rsid w:val="00B06F7D"/>
    <w:rsid w:val="00B11B96"/>
    <w:rsid w:val="00B1247A"/>
    <w:rsid w:val="00B201EC"/>
    <w:rsid w:val="00B46FF3"/>
    <w:rsid w:val="00B6267C"/>
    <w:rsid w:val="00B70B84"/>
    <w:rsid w:val="00B72114"/>
    <w:rsid w:val="00B84159"/>
    <w:rsid w:val="00BA0890"/>
    <w:rsid w:val="00BA4005"/>
    <w:rsid w:val="00BA4FF5"/>
    <w:rsid w:val="00BC21E8"/>
    <w:rsid w:val="00BD0363"/>
    <w:rsid w:val="00BD7FB3"/>
    <w:rsid w:val="00BE191B"/>
    <w:rsid w:val="00BE1F85"/>
    <w:rsid w:val="00BF6AF5"/>
    <w:rsid w:val="00C0588B"/>
    <w:rsid w:val="00C37C93"/>
    <w:rsid w:val="00C50C2D"/>
    <w:rsid w:val="00C5204C"/>
    <w:rsid w:val="00C566D9"/>
    <w:rsid w:val="00C622D6"/>
    <w:rsid w:val="00C62C39"/>
    <w:rsid w:val="00C864F3"/>
    <w:rsid w:val="00C9118A"/>
    <w:rsid w:val="00CA25A3"/>
    <w:rsid w:val="00CA27D1"/>
    <w:rsid w:val="00CB2D6A"/>
    <w:rsid w:val="00CB6FA7"/>
    <w:rsid w:val="00CC0394"/>
    <w:rsid w:val="00CC3E22"/>
    <w:rsid w:val="00CC46DF"/>
    <w:rsid w:val="00CD624E"/>
    <w:rsid w:val="00CE073C"/>
    <w:rsid w:val="00CE197F"/>
    <w:rsid w:val="00CF0C59"/>
    <w:rsid w:val="00D04374"/>
    <w:rsid w:val="00D07525"/>
    <w:rsid w:val="00D077F9"/>
    <w:rsid w:val="00D10A87"/>
    <w:rsid w:val="00D24EF4"/>
    <w:rsid w:val="00D31FFE"/>
    <w:rsid w:val="00D429FF"/>
    <w:rsid w:val="00D45320"/>
    <w:rsid w:val="00D53043"/>
    <w:rsid w:val="00D6184A"/>
    <w:rsid w:val="00D67085"/>
    <w:rsid w:val="00D708ED"/>
    <w:rsid w:val="00D70CB8"/>
    <w:rsid w:val="00D82598"/>
    <w:rsid w:val="00D87403"/>
    <w:rsid w:val="00D87F3B"/>
    <w:rsid w:val="00D94E7A"/>
    <w:rsid w:val="00D96AAA"/>
    <w:rsid w:val="00DC0049"/>
    <w:rsid w:val="00DC345E"/>
    <w:rsid w:val="00DD73B6"/>
    <w:rsid w:val="00DD742A"/>
    <w:rsid w:val="00DE45D7"/>
    <w:rsid w:val="00DE5A32"/>
    <w:rsid w:val="00DE67B9"/>
    <w:rsid w:val="00E0027B"/>
    <w:rsid w:val="00E02950"/>
    <w:rsid w:val="00E03A0C"/>
    <w:rsid w:val="00E14697"/>
    <w:rsid w:val="00E15667"/>
    <w:rsid w:val="00E174AA"/>
    <w:rsid w:val="00E43669"/>
    <w:rsid w:val="00E503F8"/>
    <w:rsid w:val="00E5596B"/>
    <w:rsid w:val="00E64948"/>
    <w:rsid w:val="00E73D20"/>
    <w:rsid w:val="00E81385"/>
    <w:rsid w:val="00E95778"/>
    <w:rsid w:val="00EA098C"/>
    <w:rsid w:val="00EA72BD"/>
    <w:rsid w:val="00EB5C39"/>
    <w:rsid w:val="00EB6B31"/>
    <w:rsid w:val="00EC47F7"/>
    <w:rsid w:val="00EC6821"/>
    <w:rsid w:val="00EE364B"/>
    <w:rsid w:val="00EF0912"/>
    <w:rsid w:val="00EF33EB"/>
    <w:rsid w:val="00F04162"/>
    <w:rsid w:val="00F04A50"/>
    <w:rsid w:val="00F07C5B"/>
    <w:rsid w:val="00F16E3C"/>
    <w:rsid w:val="00F27C67"/>
    <w:rsid w:val="00F51A7E"/>
    <w:rsid w:val="00F566D7"/>
    <w:rsid w:val="00F57E86"/>
    <w:rsid w:val="00F714DA"/>
    <w:rsid w:val="00F74767"/>
    <w:rsid w:val="00F9122E"/>
    <w:rsid w:val="00F9188C"/>
    <w:rsid w:val="00FA190F"/>
    <w:rsid w:val="00FA2375"/>
    <w:rsid w:val="00FA3D51"/>
    <w:rsid w:val="00FB0B63"/>
    <w:rsid w:val="00FD1EDD"/>
    <w:rsid w:val="00FE25D6"/>
    <w:rsid w:val="00FE520F"/>
    <w:rsid w:val="00FF56FE"/>
    <w:rsid w:val="03103945"/>
    <w:rsid w:val="08566E44"/>
    <w:rsid w:val="110C75A9"/>
    <w:rsid w:val="154F2276"/>
    <w:rsid w:val="168E3611"/>
    <w:rsid w:val="170105A7"/>
    <w:rsid w:val="192A5211"/>
    <w:rsid w:val="1A763338"/>
    <w:rsid w:val="1CD83EC1"/>
    <w:rsid w:val="22DA33FE"/>
    <w:rsid w:val="27DE64EE"/>
    <w:rsid w:val="2E554D8A"/>
    <w:rsid w:val="2EF9548A"/>
    <w:rsid w:val="2F0227C7"/>
    <w:rsid w:val="375D299C"/>
    <w:rsid w:val="3B5423E9"/>
    <w:rsid w:val="3DCB354A"/>
    <w:rsid w:val="3DDA3DBF"/>
    <w:rsid w:val="3E497519"/>
    <w:rsid w:val="3FF54189"/>
    <w:rsid w:val="43810210"/>
    <w:rsid w:val="45BB5991"/>
    <w:rsid w:val="47407DF2"/>
    <w:rsid w:val="476568F7"/>
    <w:rsid w:val="4FBF3574"/>
    <w:rsid w:val="505419AD"/>
    <w:rsid w:val="52566DD8"/>
    <w:rsid w:val="54E22576"/>
    <w:rsid w:val="57B37E59"/>
    <w:rsid w:val="5A9E7239"/>
    <w:rsid w:val="5ACB2935"/>
    <w:rsid w:val="5C897349"/>
    <w:rsid w:val="5F692444"/>
    <w:rsid w:val="63F2602F"/>
    <w:rsid w:val="669F6440"/>
    <w:rsid w:val="670F1EB8"/>
    <w:rsid w:val="67D844C3"/>
    <w:rsid w:val="692A27AE"/>
    <w:rsid w:val="6C690949"/>
    <w:rsid w:val="70326F63"/>
    <w:rsid w:val="71E76216"/>
    <w:rsid w:val="73164F9A"/>
    <w:rsid w:val="78E14030"/>
    <w:rsid w:val="7BEE39DE"/>
    <w:rsid w:val="7C92034F"/>
    <w:rsid w:val="7F4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E16A1646-FC33-4FC1-ADC7-73A2E3A2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uiPriority="99"/>
    <w:lsdException w:name="annotation text" w:uiPriority="99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annotation reference" w:uiPriority="99"/>
    <w:lsdException w:name="line number" w:semiHidden="1" w:unhideWhenUsed="1"/>
    <w:lsdException w:name="endnote reference" w:semiHidden="1"/>
    <w:lsdException w:name="endnote text" w:uiPriority="99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Malgun Gothic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pPr>
      <w:tabs>
        <w:tab w:val="left" w:pos="794"/>
        <w:tab w:val="left" w:pos="1191"/>
        <w:tab w:val="left" w:pos="1588"/>
        <w:tab w:val="left" w:pos="1985"/>
      </w:tabs>
      <w:adjustRightInd w:val="0"/>
      <w:spacing w:before="120"/>
      <w:textAlignment w:val="baseline"/>
    </w:pPr>
    <w:rPr>
      <w:b/>
      <w:bCs/>
      <w:sz w:val="24"/>
    </w:rPr>
  </w:style>
  <w:style w:type="paragraph" w:styleId="CommentText">
    <w:name w:val="annotation text"/>
    <w:basedOn w:val="Normal"/>
    <w:link w:val="CommentTextChar1"/>
    <w:uiPriority w:val="99"/>
    <w:pPr>
      <w:tabs>
        <w:tab w:val="clear" w:pos="794"/>
        <w:tab w:val="clear" w:pos="1191"/>
        <w:tab w:val="clear" w:pos="1588"/>
        <w:tab w:val="clear" w:pos="1985"/>
      </w:tabs>
      <w:adjustRightInd/>
      <w:spacing w:before="0"/>
      <w:textAlignment w:val="auto"/>
    </w:pPr>
    <w:rPr>
      <w:sz w:val="20"/>
    </w:rPr>
  </w:style>
  <w:style w:type="paragraph" w:styleId="TOC7">
    <w:name w:val="toc 7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uiPriority w:val="39"/>
    <w:qFormat/>
  </w:style>
  <w:style w:type="paragraph" w:styleId="TOC2">
    <w:name w:val="toc 2"/>
    <w:basedOn w:val="TOC1"/>
    <w:uiPriority w:val="39"/>
    <w:qFormat/>
    <w:pPr>
      <w:tabs>
        <w:tab w:val="left" w:pos="794"/>
        <w:tab w:val="left" w:pos="1191"/>
        <w:tab w:val="left" w:pos="1588"/>
        <w:tab w:val="left" w:pos="1985"/>
      </w:tabs>
      <w:spacing w:before="80"/>
      <w:ind w:left="1531" w:hanging="851"/>
    </w:pPr>
  </w:style>
  <w:style w:type="paragraph" w:styleId="TOC1">
    <w:name w:val="toc 1"/>
    <w:basedOn w:val="Normal"/>
    <w:uiPriority w:val="39"/>
    <w:qFormat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Caption">
    <w:name w:val="caption"/>
    <w:basedOn w:val="Normal"/>
    <w:next w:val="Normal"/>
    <w:qFormat/>
    <w:pPr>
      <w:widowControl w:val="0"/>
      <w:tabs>
        <w:tab w:val="clear" w:pos="794"/>
        <w:tab w:val="clear" w:pos="1191"/>
        <w:tab w:val="clear" w:pos="1588"/>
        <w:tab w:val="clear" w:pos="1985"/>
      </w:tabs>
      <w:adjustRightInd/>
      <w:spacing w:before="0"/>
      <w:textAlignment w:val="auto"/>
    </w:pPr>
    <w:rPr>
      <w:rFonts w:ascii="Cambria" w:eastAsia="SimHei" w:hAnsi="Cambria"/>
      <w:kern w:val="2"/>
      <w:sz w:val="20"/>
      <w:lang w:eastAsia="zh-CN"/>
    </w:rPr>
  </w:style>
  <w:style w:type="paragraph" w:styleId="TOC5">
    <w:name w:val="toc 5"/>
    <w:basedOn w:val="TOC4"/>
    <w:semiHidden/>
  </w:style>
  <w:style w:type="paragraph" w:styleId="PlainText">
    <w:name w:val="Plain Text"/>
    <w:basedOn w:val="Normal"/>
    <w:link w:val="PlainTextChar"/>
    <w:uiPriority w:val="99"/>
    <w:unhideWhenUsed/>
    <w:pPr>
      <w:widowControl w:val="0"/>
      <w:tabs>
        <w:tab w:val="clear" w:pos="794"/>
        <w:tab w:val="clear" w:pos="1191"/>
        <w:tab w:val="clear" w:pos="1588"/>
        <w:tab w:val="clear" w:pos="1985"/>
      </w:tabs>
      <w:adjustRightInd/>
      <w:spacing w:before="0"/>
      <w:textAlignment w:val="auto"/>
    </w:pPr>
    <w:rPr>
      <w:rFonts w:ascii="MS Gothic" w:eastAsia="MS Gothic" w:hAnsi="Courier New"/>
      <w:kern w:val="2"/>
      <w:sz w:val="20"/>
      <w:szCs w:val="21"/>
    </w:rPr>
  </w:style>
  <w:style w:type="paragraph" w:styleId="TOC8">
    <w:name w:val="toc 8"/>
    <w:basedOn w:val="TOC4"/>
    <w:semiHidden/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EndnoteText">
    <w:name w:val="endnote text"/>
    <w:basedOn w:val="Normal"/>
    <w:link w:val="EndnoteTextChar"/>
    <w:uiPriority w:val="99"/>
    <w:rPr>
      <w:rFonts w:ascii="CG Times" w:eastAsia="Calibri" w:hAnsi="CG Times"/>
      <w:sz w:val="20"/>
    </w:rPr>
  </w:style>
  <w:style w:type="paragraph" w:styleId="BalloonText">
    <w:name w:val="Balloon Text"/>
    <w:basedOn w:val="Normal"/>
    <w:link w:val="BalloonTextChar"/>
    <w:uiPriority w:val="99"/>
    <w:pPr>
      <w:spacing w:before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TOC6">
    <w:name w:val="toc 6"/>
    <w:basedOn w:val="TOC4"/>
    <w:semiHidden/>
  </w:style>
  <w:style w:type="paragraph" w:styleId="TOC9">
    <w:name w:val="toc 9"/>
    <w:basedOn w:val="TOC3"/>
    <w:semiHidden/>
  </w:style>
  <w:style w:type="paragraph" w:styleId="NormalWeb">
    <w:name w:val="Normal (Web)"/>
    <w:basedOn w:val="Normal"/>
    <w:uiPriority w:val="99"/>
    <w:unhideWhenUsed/>
    <w:pPr>
      <w:tabs>
        <w:tab w:val="clear" w:pos="794"/>
        <w:tab w:val="clear" w:pos="1191"/>
        <w:tab w:val="clear" w:pos="1588"/>
        <w:tab w:val="clear" w:pos="1985"/>
      </w:tabs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Times New Roman"/>
      <w:b/>
      <w:lang w:eastAsia="en-US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/>
      <w:jc w:val="center"/>
      <w:outlineLvl w:val="0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adjustRightInd/>
      <w:spacing w:before="40"/>
      <w:textAlignment w:val="auto"/>
    </w:pPr>
    <w:rPr>
      <w:caps w:val="0"/>
    </w:rPr>
  </w:style>
  <w:style w:type="paragraph" w:customStyle="1" w:styleId="Formal">
    <w:name w:val="Formal"/>
    <w:basedOn w:val="ASN1"/>
    <w:rPr>
      <w:b w:val="0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  <w:pPr>
      <w:tabs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nnexNotitle0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 &amp; title"/>
    <w:basedOn w:val="AnnexNotitle0"/>
    <w:next w:val="Normal"/>
  </w:style>
  <w:style w:type="paragraph" w:customStyle="1" w:styleId="FigureNotitle0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spacing w:after="480"/>
    </w:pPr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TableNotitle0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Wingdings" w:eastAsia="Malgun Gothic" w:hAnsi="Wingdings" w:cs="Wingdings"/>
      <w:color w:val="000000"/>
      <w:sz w:val="24"/>
      <w:szCs w:val="24"/>
      <w:lang w:eastAsia="ja-JP"/>
    </w:rPr>
  </w:style>
  <w:style w:type="paragraph" w:customStyle="1" w:styleId="kgkreflist">
    <w:name w:val="kgkreflist"/>
    <w:basedOn w:val="Normal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</w:pPr>
    <w:rPr>
      <w:rFonts w:eastAsia="Batang"/>
    </w:rPr>
  </w:style>
  <w:style w:type="paragraph" w:customStyle="1" w:styleId="NormalBlack">
    <w:name w:val="Normal + Black"/>
    <w:basedOn w:val="Normal"/>
    <w:pPr>
      <w:tabs>
        <w:tab w:val="clear" w:pos="794"/>
        <w:tab w:val="clear" w:pos="1191"/>
        <w:tab w:val="clear" w:pos="1588"/>
        <w:tab w:val="clear" w:pos="1985"/>
      </w:tabs>
      <w:adjustRightInd/>
      <w:spacing w:before="0"/>
      <w:textAlignment w:val="auto"/>
      <w:outlineLvl w:val="0"/>
    </w:pPr>
    <w:rPr>
      <w:rFonts w:eastAsia="MS Mincho"/>
      <w:szCs w:val="24"/>
      <w:lang w:eastAsia="ja-JP"/>
    </w:rPr>
  </w:style>
  <w:style w:type="paragraph" w:customStyle="1" w:styleId="FreeForm">
    <w:name w:val="Free Form"/>
    <w:rPr>
      <w:rFonts w:ascii="Times New Roman" w:eastAsia="ヒラギノ角ゴ Pro W3" w:hAnsi="Times New Roman" w:cs="Times New Roman"/>
      <w:color w:val="000000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tabs>
        <w:tab w:val="clear" w:pos="794"/>
        <w:tab w:val="clear" w:pos="1191"/>
        <w:tab w:val="clear" w:pos="1588"/>
        <w:tab w:val="clear" w:pos="1985"/>
      </w:tabs>
      <w:adjustRightInd/>
      <w:spacing w:before="0" w:after="200" w:line="276" w:lineRule="auto"/>
      <w:ind w:left="720"/>
      <w:contextualSpacing/>
      <w:textAlignment w:val="auto"/>
    </w:pPr>
    <w:rPr>
      <w:rFonts w:ascii="Calibri" w:eastAsia="MS Mincho" w:hAnsi="Calibri" w:cs="Arial"/>
      <w:sz w:val="22"/>
      <w:szCs w:val="22"/>
      <w:lang w:eastAsia="zh-CN"/>
    </w:rPr>
  </w:style>
  <w:style w:type="paragraph" w:customStyle="1" w:styleId="Docnumber">
    <w:name w:val="Docnumber"/>
    <w:basedOn w:val="Normal"/>
    <w:link w:val="DocnumberChar"/>
    <w:pPr>
      <w:jc w:val="right"/>
    </w:pPr>
    <w:rPr>
      <w:rFonts w:eastAsia="MS Mincho"/>
      <w:b/>
      <w:bCs/>
      <w:sz w:val="40"/>
    </w:rPr>
  </w:style>
  <w:style w:type="paragraph" w:customStyle="1" w:styleId="Revision1">
    <w:name w:val="Revision1"/>
    <w:hidden/>
    <w:uiPriority w:val="99"/>
    <w:semiHidden/>
    <w:rPr>
      <w:rFonts w:ascii="Times New Roman" w:eastAsia="Malgun Gothic" w:hAnsi="Times New Roman" w:cs="Times New Roman"/>
      <w:sz w:val="24"/>
      <w:lang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tabs>
        <w:tab w:val="clear" w:pos="794"/>
        <w:tab w:val="clear" w:pos="1191"/>
        <w:tab w:val="clear" w:pos="1588"/>
        <w:tab w:val="clear" w:pos="1985"/>
        <w:tab w:val="left" w:pos="432"/>
      </w:tabs>
      <w:adjustRightInd/>
      <w:spacing w:before="480" w:line="276" w:lineRule="auto"/>
      <w:ind w:left="432" w:hanging="432"/>
      <w:textAlignment w:val="auto"/>
      <w:outlineLvl w:val="9"/>
    </w:pPr>
    <w:rPr>
      <w:rFonts w:ascii="Cambria" w:eastAsia="SimSun" w:hAnsi="Cambria"/>
      <w:bCs/>
      <w:color w:val="365F91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pPr>
      <w:tabs>
        <w:tab w:val="clear" w:pos="794"/>
        <w:tab w:val="clear" w:pos="1191"/>
        <w:tab w:val="clear" w:pos="1588"/>
        <w:tab w:val="clear" w:pos="1985"/>
      </w:tabs>
      <w:adjustRightInd/>
      <w:spacing w:before="0" w:after="200" w:line="276" w:lineRule="auto"/>
      <w:textAlignment w:val="auto"/>
    </w:pPr>
    <w:rPr>
      <w:rFonts w:ascii="Calibri" w:eastAsia="SimSun" w:hAnsi="Calibri" w:cs="Arial"/>
      <w:i/>
      <w:iCs/>
      <w:color w:val="000000"/>
      <w:sz w:val="22"/>
      <w:szCs w:val="22"/>
      <w:lang w:eastAsia="zh-CN"/>
    </w:rPr>
  </w:style>
  <w:style w:type="paragraph" w:customStyle="1" w:styleId="Body">
    <w:name w:val="Body"/>
    <w:pPr>
      <w:spacing w:after="1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Quote2">
    <w:name w:val="Quote2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="CG Times" w:eastAsia="Times New Roman" w:hAnsi="CG Times"/>
      <w:i/>
      <w:iCs/>
      <w:color w:val="000000"/>
      <w:sz w:val="20"/>
      <w:lang w:eastAsia="zh-CN"/>
    </w:rPr>
  </w:style>
  <w:style w:type="paragraph" w:customStyle="1" w:styleId="HeadingTR1">
    <w:name w:val="Heading TR 1"/>
    <w:basedOn w:val="Heading1"/>
    <w:link w:val="HeadingTR1Char"/>
    <w:qFormat/>
    <w:pPr>
      <w:pBdr>
        <w:bottom w:val="single" w:sz="6" w:space="1" w:color="auto"/>
      </w:pBdr>
      <w:spacing w:after="120"/>
    </w:pPr>
    <w:rPr>
      <w:i/>
      <w:iCs/>
      <w:sz w:val="40"/>
      <w:szCs w:val="40"/>
      <w:u w:val="single"/>
    </w:rPr>
  </w:style>
  <w:style w:type="paragraph" w:customStyle="1" w:styleId="HeadingTR2">
    <w:name w:val="Heading TR 2"/>
    <w:basedOn w:val="Heading2"/>
    <w:link w:val="HeadingTR2Char"/>
    <w:qFormat/>
    <w:rPr>
      <w:sz w:val="32"/>
      <w:szCs w:val="32"/>
    </w:rPr>
  </w:style>
  <w:style w:type="paragraph" w:customStyle="1" w:styleId="enumlev1TR">
    <w:name w:val="enumlev1 TR"/>
    <w:basedOn w:val="enumlev1"/>
    <w:link w:val="enumlev1TRChar"/>
    <w:qFormat/>
    <w:pPr>
      <w:numPr>
        <w:numId w:val="2"/>
      </w:numPr>
    </w:pPr>
    <w:rPr>
      <w:lang w:eastAsia="zh-CN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Recdef">
    <w:name w:val="Rec_def"/>
    <w:rPr>
      <w:b/>
    </w:rPr>
  </w:style>
  <w:style w:type="character" w:customStyle="1" w:styleId="Heading1Char">
    <w:name w:val="Heading 1 Char"/>
    <w:link w:val="Heading1"/>
    <w:uiPriority w:val="9"/>
    <w:locked/>
    <w:rPr>
      <w:rFonts w:ascii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locked/>
    <w:rPr>
      <w:rFonts w:ascii="Times New Roman" w:hAnsi="Times New Roman"/>
      <w:b/>
      <w:sz w:val="24"/>
      <w:lang w:eastAsia="en-US"/>
    </w:rPr>
  </w:style>
  <w:style w:type="character" w:customStyle="1" w:styleId="CommentTextChar">
    <w:name w:val="Comment Text Char"/>
    <w:uiPriority w:val="99"/>
    <w:rPr>
      <w:sz w:val="24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Pr>
      <w:rFonts w:ascii="Times New Roman" w:eastAsia="Malgun Gothic" w:hAnsi="Times New Roman"/>
      <w:b/>
      <w:bCs/>
      <w:sz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MS Gothic" w:eastAsia="MS Gothic" w:hAnsi="Courier New"/>
      <w:kern w:val="2"/>
      <w:szCs w:val="21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hps">
    <w:name w:val="hps"/>
  </w:style>
  <w:style w:type="character" w:customStyle="1" w:styleId="DocnumberChar">
    <w:name w:val="Docnumber Char"/>
    <w:link w:val="Docnumber"/>
    <w:rPr>
      <w:rFonts w:ascii="Times New Roman" w:eastAsia="MS Mincho" w:hAnsi="Times New Roman"/>
      <w:b/>
      <w:bCs/>
      <w:sz w:val="40"/>
      <w:lang w:eastAsia="en-US"/>
    </w:rPr>
  </w:style>
  <w:style w:type="character" w:customStyle="1" w:styleId="HeaderChar">
    <w:name w:val="Header Char"/>
    <w:link w:val="Header"/>
    <w:rPr>
      <w:rFonts w:ascii="Times New Roman" w:hAnsi="Times New Roma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caps/>
      <w:sz w:val="16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Times New Roman" w:hAnsi="Times New Roman"/>
      <w:b/>
      <w:sz w:val="24"/>
      <w:lang w:eastAsia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ListParagraphChar">
    <w:name w:val="List Paragraph Char"/>
    <w:link w:val="ListParagraph1"/>
    <w:uiPriority w:val="34"/>
    <w:rPr>
      <w:rFonts w:ascii="Calibri" w:eastAsia="MS Mincho" w:hAnsi="Calibri" w:cs="Arial"/>
      <w:sz w:val="22"/>
      <w:szCs w:val="22"/>
    </w:rPr>
  </w:style>
  <w:style w:type="character" w:customStyle="1" w:styleId="EndnoteTextChar">
    <w:name w:val="Endnote Text Char"/>
    <w:link w:val="EndnoteText"/>
    <w:uiPriority w:val="99"/>
    <w:rPr>
      <w:rFonts w:eastAsia="Calibri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Pr>
      <w:rFonts w:ascii="Times New Roman" w:eastAsia="Malgun Gothic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hAnsi="Times New Roman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hAnsi="Times New Roman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hAnsi="Times New Roman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hAnsi="Times New Roman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hAnsi="Times New Roman"/>
      <w:b/>
      <w:sz w:val="24"/>
      <w:lang w:eastAsia="en-US"/>
    </w:rPr>
  </w:style>
  <w:style w:type="character" w:customStyle="1" w:styleId="QuoteChar">
    <w:name w:val="Quote Char"/>
    <w:basedOn w:val="DefaultParagraphFont"/>
    <w:link w:val="Quote2"/>
    <w:uiPriority w:val="29"/>
    <w:rPr>
      <w:i/>
      <w:iCs/>
      <w:color w:val="000000"/>
    </w:rPr>
  </w:style>
  <w:style w:type="character" w:customStyle="1" w:styleId="QuoteChar1">
    <w:name w:val="Quote Char1"/>
    <w:basedOn w:val="DefaultParagraphFont"/>
    <w:uiPriority w:val="29"/>
    <w:rPr>
      <w:rFonts w:ascii="Times New Roman" w:eastAsia="Malgun Gothic" w:hAnsi="Times New Roman"/>
      <w:i/>
      <w:iCs/>
      <w:color w:val="3F3F3F"/>
      <w:sz w:val="24"/>
      <w:lang w:eastAsia="en-US"/>
    </w:rPr>
  </w:style>
  <w:style w:type="character" w:customStyle="1" w:styleId="href">
    <w:name w:val="href"/>
    <w:basedOn w:val="DefaultParagraphFont"/>
  </w:style>
  <w:style w:type="character" w:customStyle="1" w:styleId="HeadingTR1Char">
    <w:name w:val="Heading TR 1 Char"/>
    <w:basedOn w:val="Heading1Char"/>
    <w:link w:val="HeadingTR1"/>
    <w:rPr>
      <w:rFonts w:ascii="Times New Roman" w:eastAsia="Malgun Gothic" w:hAnsi="Times New Roman"/>
      <w:b/>
      <w:i/>
      <w:iCs/>
      <w:sz w:val="40"/>
      <w:szCs w:val="40"/>
      <w:u w:val="single"/>
      <w:lang w:eastAsia="en-US"/>
    </w:rPr>
  </w:style>
  <w:style w:type="character" w:customStyle="1" w:styleId="HeadingTR2Char">
    <w:name w:val="Heading TR 2 Char"/>
    <w:basedOn w:val="Heading2Char"/>
    <w:link w:val="HeadingTR2"/>
    <w:rPr>
      <w:rFonts w:ascii="Times New Roman" w:eastAsia="Malgun Gothic" w:hAnsi="Times New Roman"/>
      <w:b/>
      <w:sz w:val="32"/>
      <w:szCs w:val="32"/>
      <w:lang w:eastAsia="en-US"/>
    </w:rPr>
  </w:style>
  <w:style w:type="character" w:customStyle="1" w:styleId="enumlev1Char">
    <w:name w:val="enumlev1 Char"/>
    <w:basedOn w:val="DefaultParagraphFont"/>
    <w:link w:val="enumlev1"/>
    <w:rPr>
      <w:rFonts w:ascii="Times New Roman" w:eastAsia="Malgun Gothic" w:hAnsi="Times New Roman"/>
      <w:sz w:val="24"/>
      <w:lang w:eastAsia="en-US"/>
    </w:rPr>
  </w:style>
  <w:style w:type="character" w:customStyle="1" w:styleId="enumlev1TRChar">
    <w:name w:val="enumlev1 TR Char"/>
    <w:basedOn w:val="enumlev1Char"/>
    <w:link w:val="enumlev1TR"/>
    <w:rPr>
      <w:rFonts w:ascii="Times New Roman" w:eastAsia="Malgun Gothic" w:hAnsi="Times New Roman"/>
      <w:sz w:val="24"/>
      <w:lang w:eastAsia="en-US"/>
    </w:rPr>
  </w:style>
  <w:style w:type="table" w:customStyle="1" w:styleId="TableGrid1">
    <w:name w:val="Table Grid1"/>
    <w:basedOn w:val="TableNormal"/>
    <w:uiPriority w:val="59"/>
    <w:pPr>
      <w:tabs>
        <w:tab w:val="left" w:pos="794"/>
        <w:tab w:val="left" w:pos="1191"/>
        <w:tab w:val="left" w:pos="1588"/>
        <w:tab w:val="left" w:pos="1985"/>
      </w:tabs>
    </w:pPr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pPr>
      <w:tabs>
        <w:tab w:val="left" w:pos="794"/>
        <w:tab w:val="left" w:pos="1191"/>
        <w:tab w:val="left" w:pos="1588"/>
        <w:tab w:val="left" w:pos="1985"/>
      </w:tabs>
    </w:pPr>
    <w:rPr>
      <w:rFonts w:ascii="Calibri" w:eastAsia="Calibri" w:hAnsi="Calibri" w:cs="Arial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baec5a81-e4d6-4674-97f3-e9220f0136c1">
    <w:name w:val="baec5a81-e4d6-4674-97f3-e9220f0136c1"/>
    <w:rsid w:val="00FE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FG%20SSC_technical%20repor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2882A-1F21-469F-8927-C1992C43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 SSC_technical report.dotm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Recommendation ITU-T L.KPIs-SSC-overview - Overview of key performance indicators in smart sustainable cities – For consent</vt:lpstr>
    </vt:vector>
  </TitlesOfParts>
  <Manager>ITU-T</Manager>
  <Company>International Telecommunication Union (ITU)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Recommendation ITU-T L.KPIs-SSC-overview - Overview of key performance indicators in smart sustainable cities – For consent</dc:title>
  <dc:creator>Vice-Chairman ITU-T FG-SSC and SG20, Rapporteur Q18/5</dc:creator>
  <cp:keywords>18/5</cp:keywords>
  <dc:description>TD 1189 (GEN/5)  For: Geneva, 12-23 October 2015_x000d_Document date: _x000d_Saved by ITU51009145 at 12:15:53 on 16.10.2015</dc:description>
  <cp:lastModifiedBy>Lacombe, Odile</cp:lastModifiedBy>
  <cp:revision>10</cp:revision>
  <cp:lastPrinted>2014-11-12T15:05:00Z</cp:lastPrinted>
  <dcterms:created xsi:type="dcterms:W3CDTF">2016-01-13T12:31:00Z</dcterms:created>
  <dcterms:modified xsi:type="dcterms:W3CDTF">2016-01-13T14:43:00Z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1189 (GEN/5)</vt:lpwstr>
  </property>
  <property fmtid="{D5CDD505-2E9C-101B-9397-08002B2CF9AE}" pid="3" name="doctitle">
    <vt:lpwstr>QPubMacros.dot</vt:lpwstr>
  </property>
  <property fmtid="{D5CDD505-2E9C-101B-9397-08002B2CF9AE}" pid="4" name="doctitle2">
    <vt:lpwstr>QPubMacros.dot</vt:lpwstr>
  </property>
  <property fmtid="{D5CDD505-2E9C-101B-9397-08002B2CF9AE}" pid="5" name="KSOProductBuildVer">
    <vt:lpwstr>2052-9.1.0.4883</vt:lpwstr>
  </property>
  <property fmtid="{D5CDD505-2E9C-101B-9397-08002B2CF9AE}" pid="6" name="ContentTypeId">
    <vt:lpwstr>0x01010017680306B6171D4680FBF36C637FE72B</vt:lpwstr>
  </property>
  <property fmtid="{D5CDD505-2E9C-101B-9397-08002B2CF9AE}" pid="7" name="Docdate">
    <vt:lpwstr/>
  </property>
  <property fmtid="{D5CDD505-2E9C-101B-9397-08002B2CF9AE}" pid="8" name="Docorlang">
    <vt:lpwstr>English only Original: English</vt:lpwstr>
  </property>
  <property fmtid="{D5CDD505-2E9C-101B-9397-08002B2CF9AE}" pid="9" name="Docbluepink">
    <vt:lpwstr>18/5</vt:lpwstr>
  </property>
  <property fmtid="{D5CDD505-2E9C-101B-9397-08002B2CF9AE}" pid="10" name="Docdest">
    <vt:lpwstr>Geneva, 12-23 October 2015</vt:lpwstr>
  </property>
  <property fmtid="{D5CDD505-2E9C-101B-9397-08002B2CF9AE}" pid="11" name="Docauthor">
    <vt:lpwstr>Vice-Chairman ITU-T FG-SSC and SG20, Rapporteur Q18/5</vt:lpwstr>
  </property>
</Properties>
</file>