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horzAnchor="margin" w:tblpYSpec="top"/>
        <w:tblOverlap w:val="never"/>
        <w:tblW w:w="10740" w:type="dxa"/>
        <w:tblLayout w:type="fixed"/>
        <w:tblLook w:val="0000" w:firstRow="0" w:lastRow="0" w:firstColumn="0" w:lastColumn="0" w:noHBand="0" w:noVBand="0"/>
      </w:tblPr>
      <w:tblGrid>
        <w:gridCol w:w="817"/>
        <w:gridCol w:w="4253"/>
        <w:gridCol w:w="5670"/>
      </w:tblGrid>
      <w:tr w:rsidR="00812991" w:rsidRPr="00E224B1" w14:paraId="02EFE2D6" w14:textId="77777777" w:rsidTr="007750CB">
        <w:trPr>
          <w:trHeight w:hRule="exact" w:val="992"/>
        </w:trPr>
        <w:tc>
          <w:tcPr>
            <w:tcW w:w="5070" w:type="dxa"/>
            <w:gridSpan w:val="2"/>
          </w:tcPr>
          <w:p w14:paraId="3435B7B2" w14:textId="77777777" w:rsidR="00812991" w:rsidRPr="00E224B1" w:rsidRDefault="00812991" w:rsidP="007750CB">
            <w:pPr>
              <w:spacing w:before="0"/>
              <w:rPr>
                <w:rFonts w:ascii="Arial" w:eastAsia="Avenir Next W1G Medium" w:hAnsi="Arial" w:cs="Arial"/>
                <w:szCs w:val="24"/>
              </w:rPr>
            </w:pPr>
            <w:r w:rsidRPr="00E224B1">
              <w:rPr>
                <w:rFonts w:ascii="Arial" w:eastAsia="Avenir Next W1G Medium" w:hAnsi="Arial" w:cs="Arial"/>
                <w:noProof/>
                <w:szCs w:val="24"/>
              </w:rPr>
              <mc:AlternateContent>
                <mc:Choice Requires="wpg">
                  <w:drawing>
                    <wp:anchor distT="0" distB="0" distL="114300" distR="114300" simplePos="0" relativeHeight="251660288" behindDoc="1" locked="0" layoutInCell="1" allowOverlap="1" wp14:anchorId="657A2D84" wp14:editId="1B311B3D">
                      <wp:simplePos x="0" y="0"/>
                      <wp:positionH relativeFrom="page">
                        <wp:posOffset>-381000</wp:posOffset>
                      </wp:positionH>
                      <wp:positionV relativeFrom="page">
                        <wp:posOffset>317500</wp:posOffset>
                      </wp:positionV>
                      <wp:extent cx="7772400" cy="229870"/>
                      <wp:effectExtent l="0" t="5080" r="0" b="3175"/>
                      <wp:wrapNone/>
                      <wp:docPr id="1098089225" name="docshapegroup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29870"/>
                                <a:chOff x="0" y="1784"/>
                                <a:chExt cx="11906" cy="362"/>
                              </a:xfrm>
                            </wpg:grpSpPr>
                            <wps:wsp>
                              <wps:cNvPr id="1465083693" name="docshape8"/>
                              <wps:cNvSpPr>
                                <a:spLocks noChangeArrowheads="1"/>
                              </wps:cNvSpPr>
                              <wps:spPr bwMode="auto">
                                <a:xfrm>
                                  <a:off x="0" y="1817"/>
                                  <a:ext cx="11906" cy="329"/>
                                </a:xfrm>
                                <a:prstGeom prst="rect">
                                  <a:avLst/>
                                </a:prstGeom>
                                <a:solidFill>
                                  <a:srgbClr val="D749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7158535" name="docshape9"/>
                              <wps:cNvSpPr>
                                <a:spLocks/>
                              </wps:cNvSpPr>
                              <wps:spPr bwMode="auto">
                                <a:xfrm>
                                  <a:off x="1109" y="1784"/>
                                  <a:ext cx="627" cy="314"/>
                                </a:xfrm>
                                <a:custGeom>
                                  <a:avLst/>
                                  <a:gdLst>
                                    <a:gd name="T0" fmla="+- 0 1736 1109"/>
                                    <a:gd name="T1" fmla="*/ T0 w 627"/>
                                    <a:gd name="T2" fmla="+- 0 1784 1784"/>
                                    <a:gd name="T3" fmla="*/ 1784 h 314"/>
                                    <a:gd name="T4" fmla="+- 0 1109 1109"/>
                                    <a:gd name="T5" fmla="*/ T4 w 627"/>
                                    <a:gd name="T6" fmla="+- 0 1784 1784"/>
                                    <a:gd name="T7" fmla="*/ 1784 h 314"/>
                                    <a:gd name="T8" fmla="+- 0 1423 1109"/>
                                    <a:gd name="T9" fmla="*/ T8 w 627"/>
                                    <a:gd name="T10" fmla="+- 0 2097 1784"/>
                                    <a:gd name="T11" fmla="*/ 2097 h 314"/>
                                    <a:gd name="T12" fmla="+- 0 1736 1109"/>
                                    <a:gd name="T13" fmla="*/ T12 w 627"/>
                                    <a:gd name="T14" fmla="+- 0 1784 1784"/>
                                    <a:gd name="T15" fmla="*/ 1784 h 314"/>
                                  </a:gdLst>
                                  <a:ahLst/>
                                  <a:cxnLst>
                                    <a:cxn ang="0">
                                      <a:pos x="T1" y="T3"/>
                                    </a:cxn>
                                    <a:cxn ang="0">
                                      <a:pos x="T5" y="T7"/>
                                    </a:cxn>
                                    <a:cxn ang="0">
                                      <a:pos x="T9" y="T11"/>
                                    </a:cxn>
                                    <a:cxn ang="0">
                                      <a:pos x="T13" y="T15"/>
                                    </a:cxn>
                                  </a:cxnLst>
                                  <a:rect l="0" t="0" r="r" b="b"/>
                                  <a:pathLst>
                                    <a:path w="627" h="314">
                                      <a:moveTo>
                                        <a:pt x="627" y="0"/>
                                      </a:moveTo>
                                      <a:lnTo>
                                        <a:pt x="0" y="0"/>
                                      </a:lnTo>
                                      <a:lnTo>
                                        <a:pt x="314" y="313"/>
                                      </a:lnTo>
                                      <a:lnTo>
                                        <a:pt x="62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C6A80B" id="docshapegroup7" o:spid="_x0000_s1026" style="position:absolute;margin-left:-30pt;margin-top:25pt;width:612pt;height:18.1pt;z-index:-251656192;mso-position-horizontal-relative:page;mso-position-vertical-relative:page" coordorigin=",1784" coordsize="11906,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">
                      <v:rect id="docshape8" o:spid="_x0000_s1027" style="position:absolute;top:1817;width:11906;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" fillcolor="#d74900" stroked="f"/>
                      <v:shape id="docshape9" o:spid="_x0000_s1028" style="position:absolute;left:1109;top:1784;width:627;height:314;visibility:visible;mso-wrap-style:square;v-text-anchor:top" coordsize="62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" path="m627,l,,314,313,627,xe" stroked="f">
                        <v:path arrowok="t" o:connecttype="custom" o:connectlocs="627,1784;0,1784;314,2097;627,1784" o:connectangles="0,0,0,0"/>
                      </v:shape>
                      <w10:wrap anchorx="page" anchory="page"/>
                    </v:group>
                  </w:pict>
                </mc:Fallback>
              </mc:AlternateContent>
            </w:r>
          </w:p>
        </w:tc>
        <w:tc>
          <w:tcPr>
            <w:tcW w:w="5670" w:type="dxa"/>
          </w:tcPr>
          <w:p w14:paraId="0BD4EF60" w14:textId="77777777" w:rsidR="00812991" w:rsidRPr="00E224B1" w:rsidRDefault="00812991" w:rsidP="007750CB">
            <w:pPr>
              <w:spacing w:before="0"/>
              <w:jc w:val="right"/>
              <w:rPr>
                <w:rFonts w:ascii="Arial" w:eastAsia="Avenir Next W1G Medium" w:hAnsi="Arial" w:cs="Arial"/>
                <w:szCs w:val="24"/>
              </w:rPr>
            </w:pPr>
            <w:r w:rsidRPr="00E224B1">
              <w:rPr>
                <w:rFonts w:ascii="Arial" w:eastAsia="Avenir Next W1G Medium" w:hAnsi="Arial" w:cs="Arial"/>
                <w:szCs w:val="24"/>
              </w:rPr>
              <w:t>Standardization Sector</w:t>
            </w:r>
          </w:p>
        </w:tc>
      </w:tr>
      <w:tr w:rsidR="00812991" w:rsidRPr="00E224B1" w14:paraId="25B23A0E" w14:textId="77777777" w:rsidTr="007750CB">
        <w:tblPrEx>
          <w:tblCellMar>
            <w:left w:w="85" w:type="dxa"/>
            <w:right w:w="85" w:type="dxa"/>
          </w:tblCellMar>
        </w:tblPrEx>
        <w:trPr>
          <w:gridBefore w:val="1"/>
          <w:wBefore w:w="817" w:type="dxa"/>
          <w:trHeight w:val="709"/>
        </w:trPr>
        <w:tc>
          <w:tcPr>
            <w:tcW w:w="9923" w:type="dxa"/>
            <w:gridSpan w:val="2"/>
          </w:tcPr>
          <w:p w14:paraId="47DDDE9E" w14:textId="77777777" w:rsidR="00812991" w:rsidRPr="00E224B1" w:rsidRDefault="00812991" w:rsidP="007750CB">
            <w:pPr>
              <w:pStyle w:val="BodyText"/>
              <w:spacing w:before="440"/>
              <w:rPr>
                <w:rFonts w:ascii="Arial" w:hAnsi="Arial" w:cs="Arial"/>
                <w:spacing w:val="-6"/>
                <w:sz w:val="44"/>
                <w:szCs w:val="44"/>
                <w:lang w:val="en-GB"/>
              </w:rPr>
            </w:pPr>
            <w:r w:rsidRPr="00E224B1">
              <w:rPr>
                <w:rFonts w:ascii="Arial" w:hAnsi="Arial" w:cs="Arial"/>
                <w:spacing w:val="-6"/>
                <w:sz w:val="44"/>
                <w:szCs w:val="44"/>
                <w:lang w:val="en-GB"/>
              </w:rPr>
              <w:t>ITU-T Technical Report</w:t>
            </w:r>
          </w:p>
        </w:tc>
      </w:tr>
      <w:tr w:rsidR="00812991" w:rsidRPr="00E224B1" w14:paraId="181E4E5F" w14:textId="77777777" w:rsidTr="007750CB">
        <w:tblPrEx>
          <w:tblCellMar>
            <w:left w:w="85" w:type="dxa"/>
            <w:right w:w="85" w:type="dxa"/>
          </w:tblCellMar>
        </w:tblPrEx>
        <w:trPr>
          <w:gridBefore w:val="1"/>
          <w:wBefore w:w="817" w:type="dxa"/>
          <w:trHeight w:val="129"/>
        </w:trPr>
        <w:tc>
          <w:tcPr>
            <w:tcW w:w="9923" w:type="dxa"/>
            <w:gridSpan w:val="2"/>
          </w:tcPr>
          <w:p w14:paraId="4169EFB8" w14:textId="39AC4182" w:rsidR="00812991" w:rsidRPr="00E224B1" w:rsidRDefault="00812991" w:rsidP="007750CB">
            <w:pPr>
              <w:pStyle w:val="BodyText"/>
              <w:spacing w:before="120" w:after="240"/>
              <w:jc w:val="right"/>
              <w:rPr>
                <w:rFonts w:ascii="Arial" w:hAnsi="Arial" w:cs="Arial"/>
                <w:spacing w:val="-6"/>
                <w:sz w:val="28"/>
                <w:szCs w:val="28"/>
                <w:lang w:val="en-GB"/>
              </w:rPr>
            </w:pPr>
            <w:bookmarkStart w:id="0" w:name="dnume2"/>
            <w:r w:rsidRPr="00E224B1">
              <w:rPr>
                <w:rFonts w:ascii="Arial" w:hAnsi="Arial" w:cs="Arial"/>
                <w:spacing w:val="-6"/>
                <w:sz w:val="28"/>
                <w:szCs w:val="28"/>
                <w:lang w:val="en-GB"/>
              </w:rPr>
              <w:t>(09/2023)</w:t>
            </w:r>
          </w:p>
        </w:tc>
      </w:tr>
      <w:bookmarkEnd w:id="0"/>
      <w:tr w:rsidR="00812991" w:rsidRPr="00E224B1" w14:paraId="282F99C3" w14:textId="77777777" w:rsidTr="007750CB">
        <w:trPr>
          <w:trHeight w:val="80"/>
        </w:trPr>
        <w:tc>
          <w:tcPr>
            <w:tcW w:w="817" w:type="dxa"/>
          </w:tcPr>
          <w:p w14:paraId="5DB154E6" w14:textId="77777777" w:rsidR="00812991" w:rsidRPr="00E224B1" w:rsidRDefault="00812991" w:rsidP="007750CB">
            <w:pPr>
              <w:tabs>
                <w:tab w:val="right" w:pos="9639"/>
              </w:tabs>
              <w:rPr>
                <w:rFonts w:ascii="Arial" w:hAnsi="Arial" w:cs="Arial"/>
                <w:sz w:val="18"/>
              </w:rPr>
            </w:pPr>
          </w:p>
        </w:tc>
        <w:tc>
          <w:tcPr>
            <w:tcW w:w="9923" w:type="dxa"/>
            <w:gridSpan w:val="2"/>
            <w:tcBorders>
              <w:bottom w:val="single" w:sz="8" w:space="0" w:color="auto"/>
            </w:tcBorders>
          </w:tcPr>
          <w:p w14:paraId="7712D2D8" w14:textId="45574087" w:rsidR="00812991" w:rsidRPr="00E224B1" w:rsidRDefault="00812991" w:rsidP="00812991">
            <w:pPr>
              <w:widowControl w:val="0"/>
              <w:tabs>
                <w:tab w:val="clear" w:pos="794"/>
                <w:tab w:val="clear" w:pos="1191"/>
                <w:tab w:val="clear" w:pos="1588"/>
                <w:tab w:val="clear" w:pos="1985"/>
              </w:tabs>
              <w:overflowPunct/>
              <w:adjustRightInd/>
              <w:spacing w:before="276" w:line="175" w:lineRule="auto"/>
              <w:jc w:val="left"/>
              <w:textAlignment w:val="auto"/>
              <w:rPr>
                <w:rFonts w:ascii="Arial" w:hAnsi="Arial" w:cs="Arial"/>
                <w:b/>
                <w:bCs/>
                <w:sz w:val="48"/>
                <w:szCs w:val="48"/>
              </w:rPr>
            </w:pPr>
            <w:r w:rsidRPr="00E224B1">
              <w:rPr>
                <w:rFonts w:ascii="Arial" w:hAnsi="Arial" w:cs="Arial"/>
                <w:b/>
                <w:bCs/>
                <w:sz w:val="48"/>
                <w:szCs w:val="48"/>
              </w:rPr>
              <w:t>ESTR-NUI</w:t>
            </w:r>
          </w:p>
        </w:tc>
      </w:tr>
      <w:tr w:rsidR="00812991" w:rsidRPr="00E224B1" w14:paraId="60538E9B" w14:textId="77777777" w:rsidTr="007750CB">
        <w:trPr>
          <w:trHeight w:val="743"/>
        </w:trPr>
        <w:tc>
          <w:tcPr>
            <w:tcW w:w="817" w:type="dxa"/>
          </w:tcPr>
          <w:p w14:paraId="452A99E4" w14:textId="77777777" w:rsidR="00812991" w:rsidRPr="00E224B1" w:rsidRDefault="00812991" w:rsidP="007750CB">
            <w:pPr>
              <w:tabs>
                <w:tab w:val="right" w:pos="9639"/>
              </w:tabs>
              <w:rPr>
                <w:rFonts w:ascii="Arial" w:hAnsi="Arial" w:cs="Arial"/>
                <w:sz w:val="48"/>
                <w:szCs w:val="48"/>
              </w:rPr>
            </w:pPr>
          </w:p>
        </w:tc>
        <w:tc>
          <w:tcPr>
            <w:tcW w:w="9923" w:type="dxa"/>
            <w:gridSpan w:val="2"/>
            <w:tcBorders>
              <w:top w:val="single" w:sz="8" w:space="0" w:color="auto"/>
            </w:tcBorders>
          </w:tcPr>
          <w:p w14:paraId="0E5EA7AF" w14:textId="5A6D3095" w:rsidR="00812991" w:rsidRPr="00E224B1" w:rsidRDefault="00EA637D" w:rsidP="001D4156">
            <w:pPr>
              <w:pStyle w:val="BodyText"/>
              <w:spacing w:before="440"/>
              <w:rPr>
                <w:rFonts w:ascii="Arial" w:hAnsi="Arial" w:cs="Arial"/>
                <w:spacing w:val="-6"/>
                <w:sz w:val="44"/>
                <w:szCs w:val="44"/>
                <w:lang w:val="en-GB"/>
              </w:rPr>
            </w:pPr>
            <w:r w:rsidRPr="00E224B1">
              <w:rPr>
                <w:rFonts w:ascii="Arial" w:hAnsi="Arial" w:cs="Arial"/>
                <w:spacing w:val="-6"/>
                <w:sz w:val="44"/>
                <w:szCs w:val="44"/>
                <w:lang w:val="en-GB"/>
              </w:rPr>
              <w:t>Radio f</w:t>
            </w:r>
            <w:r w:rsidR="0042525E" w:rsidRPr="00E224B1">
              <w:rPr>
                <w:rFonts w:ascii="Arial" w:hAnsi="Arial" w:cs="Arial"/>
                <w:spacing w:val="-6"/>
                <w:sz w:val="44"/>
                <w:szCs w:val="44"/>
                <w:lang w:val="en-GB"/>
              </w:rPr>
              <w:t>r</w:t>
            </w:r>
            <w:r w:rsidRPr="00E224B1">
              <w:rPr>
                <w:rFonts w:ascii="Arial" w:hAnsi="Arial" w:cs="Arial"/>
                <w:spacing w:val="-6"/>
                <w:sz w:val="44"/>
                <w:szCs w:val="44"/>
                <w:lang w:val="en-GB"/>
              </w:rPr>
              <w:t>equency</w:t>
            </w:r>
            <w:r w:rsidR="001D4156" w:rsidRPr="00E224B1">
              <w:rPr>
                <w:rFonts w:ascii="Arial" w:hAnsi="Arial" w:cs="Arial"/>
                <w:spacing w:val="-6"/>
                <w:sz w:val="44"/>
                <w:szCs w:val="44"/>
                <w:lang w:val="en-GB"/>
              </w:rPr>
              <w:t xml:space="preserve"> </w:t>
            </w:r>
            <w:r w:rsidRPr="00E224B1">
              <w:rPr>
                <w:rFonts w:ascii="Arial" w:hAnsi="Arial" w:cs="Arial"/>
                <w:spacing w:val="-6"/>
                <w:sz w:val="44"/>
                <w:szCs w:val="44"/>
                <w:lang w:val="en-GB"/>
              </w:rPr>
              <w:t>level</w:t>
            </w:r>
            <w:r w:rsidR="001D4156" w:rsidRPr="00E224B1">
              <w:rPr>
                <w:rFonts w:ascii="Arial" w:hAnsi="Arial" w:cs="Arial"/>
                <w:spacing w:val="-6"/>
                <w:sz w:val="44"/>
                <w:szCs w:val="44"/>
                <w:lang w:val="en-GB"/>
              </w:rPr>
              <w:t>-</w:t>
            </w:r>
            <w:r w:rsidRPr="00E224B1">
              <w:rPr>
                <w:rFonts w:ascii="Arial" w:hAnsi="Arial" w:cs="Arial"/>
                <w:spacing w:val="-6"/>
                <w:sz w:val="44"/>
                <w:szCs w:val="44"/>
                <w:lang w:val="en-GB"/>
              </w:rPr>
              <w:t>based single</w:t>
            </w:r>
            <w:r w:rsidR="001D4156" w:rsidRPr="00E224B1">
              <w:rPr>
                <w:rFonts w:ascii="Arial" w:hAnsi="Arial" w:cs="Arial"/>
                <w:spacing w:val="-6"/>
                <w:sz w:val="44"/>
                <w:szCs w:val="44"/>
                <w:lang w:val="en-GB"/>
              </w:rPr>
              <w:t xml:space="preserve"> </w:t>
            </w:r>
            <w:r w:rsidRPr="00E224B1">
              <w:rPr>
                <w:rFonts w:ascii="Arial" w:hAnsi="Arial" w:cs="Arial"/>
                <w:spacing w:val="-6"/>
                <w:sz w:val="44"/>
                <w:szCs w:val="44"/>
                <w:lang w:val="en-GB"/>
              </w:rPr>
              <w:t>number indicator for mobile network usefulness for a given range of applications</w:t>
            </w:r>
          </w:p>
        </w:tc>
      </w:tr>
    </w:tbl>
    <w:tbl>
      <w:tblPr>
        <w:tblStyle w:val="TableGrid"/>
        <w:tblpPr w:leftFromText="181" w:rightFromText="181" w:vertAnchor="page" w:horzAnchor="margin" w:tblpY="506"/>
        <w:tblW w:w="10739"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4A0" w:firstRow="1" w:lastRow="0" w:firstColumn="1" w:lastColumn="0" w:noHBand="0" w:noVBand="1"/>
      </w:tblPr>
      <w:tblGrid>
        <w:gridCol w:w="5070"/>
        <w:gridCol w:w="5669"/>
      </w:tblGrid>
      <w:tr w:rsidR="00812991" w:rsidRPr="00E224B1" w14:paraId="55C0E24E" w14:textId="77777777" w:rsidTr="007750CB">
        <w:tc>
          <w:tcPr>
            <w:tcW w:w="5070" w:type="dxa"/>
            <w:vAlign w:val="center"/>
          </w:tcPr>
          <w:p w14:paraId="0092CCB2" w14:textId="77777777" w:rsidR="00812991" w:rsidRPr="00E224B1" w:rsidRDefault="00812991" w:rsidP="007750CB">
            <w:pPr>
              <w:jc w:val="left"/>
              <w:rPr>
                <w:rFonts w:ascii="Arial" w:hAnsi="Arial" w:cs="Arial"/>
                <w:sz w:val="32"/>
                <w:szCs w:val="32"/>
              </w:rPr>
            </w:pPr>
            <w:r w:rsidRPr="00E224B1">
              <w:rPr>
                <w:rFonts w:ascii="Arial" w:hAnsi="Arial" w:cs="Arial"/>
                <w:b/>
                <w:color w:val="009CD6"/>
                <w:spacing w:val="-4"/>
                <w:sz w:val="32"/>
                <w:szCs w:val="32"/>
              </w:rPr>
              <w:t>ITU</w:t>
            </w:r>
            <w:r w:rsidRPr="00E224B1">
              <w:rPr>
                <w:rFonts w:ascii="Arial" w:hAnsi="Arial" w:cs="Arial"/>
                <w:b/>
                <w:color w:val="292829"/>
                <w:spacing w:val="-4"/>
                <w:sz w:val="32"/>
                <w:szCs w:val="32"/>
              </w:rPr>
              <w:t>Publications</w:t>
            </w:r>
          </w:p>
        </w:tc>
        <w:tc>
          <w:tcPr>
            <w:tcW w:w="5669" w:type="dxa"/>
            <w:vAlign w:val="center"/>
          </w:tcPr>
          <w:p w14:paraId="1AC369DC" w14:textId="77777777" w:rsidR="00812991" w:rsidRPr="00E224B1" w:rsidRDefault="00812991" w:rsidP="007750CB">
            <w:pPr>
              <w:jc w:val="right"/>
              <w:rPr>
                <w:rFonts w:ascii="Arial" w:hAnsi="Arial" w:cs="Arial"/>
                <w:szCs w:val="24"/>
              </w:rPr>
            </w:pPr>
            <w:r w:rsidRPr="00E224B1">
              <w:rPr>
                <w:rFonts w:ascii="Arial" w:eastAsia="Avenir Next W1G Medium" w:hAnsi="Arial" w:cs="Arial"/>
                <w:b/>
                <w:spacing w:val="-4"/>
                <w:szCs w:val="24"/>
              </w:rPr>
              <w:t>International Telecommunication Union</w:t>
            </w:r>
          </w:p>
        </w:tc>
      </w:tr>
    </w:tbl>
    <w:p w14:paraId="63B6B751" w14:textId="77777777" w:rsidR="00812991" w:rsidRPr="00E224B1" w:rsidRDefault="00812991" w:rsidP="00812991">
      <w:pPr>
        <w:pStyle w:val="Default"/>
      </w:pPr>
      <w:r w:rsidRPr="00E224B1">
        <w:rPr>
          <w:noProof/>
          <w:lang w:eastAsia="en-US"/>
        </w:rPr>
        <w:drawing>
          <wp:anchor distT="0" distB="0" distL="0" distR="0" simplePos="0" relativeHeight="251659264" behindDoc="1" locked="0" layoutInCell="1" allowOverlap="1" wp14:anchorId="45EEB76B" wp14:editId="71FF6FEA">
            <wp:simplePos x="0" y="0"/>
            <wp:positionH relativeFrom="page">
              <wp:posOffset>6355080</wp:posOffset>
            </wp:positionH>
            <wp:positionV relativeFrom="page">
              <wp:posOffset>9591675</wp:posOffset>
            </wp:positionV>
            <wp:extent cx="737870" cy="813435"/>
            <wp:effectExtent l="0" t="0" r="0" b="0"/>
            <wp:wrapNone/>
            <wp:docPr id="990732042" name="Picture 990732042"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Logo, icon&#10;&#10;Description automatically generated"/>
                    <pic:cNvPicPr/>
                  </pic:nvPicPr>
                  <pic:blipFill>
                    <a:blip r:embed="rId11" cstate="print"/>
                    <a:stretch>
                      <a:fillRect/>
                    </a:stretch>
                  </pic:blipFill>
                  <pic:spPr>
                    <a:xfrm>
                      <a:off x="0" y="0"/>
                      <a:ext cx="737870" cy="813435"/>
                    </a:xfrm>
                    <a:prstGeom prst="rect">
                      <a:avLst/>
                    </a:prstGeom>
                  </pic:spPr>
                </pic:pic>
              </a:graphicData>
            </a:graphic>
            <wp14:sizeRelH relativeFrom="margin">
              <wp14:pctWidth>0</wp14:pctWidth>
            </wp14:sizeRelH>
            <wp14:sizeRelV relativeFrom="margin">
              <wp14:pctHeight>0</wp14:pctHeight>
            </wp14:sizeRelV>
          </wp:anchor>
        </w:drawing>
      </w:r>
      <w:bookmarkStart w:id="1" w:name="c2tope"/>
      <w:bookmarkEnd w:id="1"/>
      <w:r w:rsidRPr="00E224B1">
        <w:t xml:space="preserve"> </w:t>
      </w:r>
    </w:p>
    <w:p w14:paraId="73A39303" w14:textId="77777777" w:rsidR="00812991" w:rsidRPr="00E224B1" w:rsidRDefault="00812991" w:rsidP="00812991">
      <w:pPr>
        <w:spacing w:before="80"/>
        <w:jc w:val="left"/>
        <w:rPr>
          <w:i/>
          <w:sz w:val="20"/>
        </w:rPr>
      </w:pPr>
    </w:p>
    <w:p w14:paraId="654BCC34" w14:textId="77777777" w:rsidR="00812991" w:rsidRPr="00E224B1" w:rsidRDefault="00812991" w:rsidP="00812991">
      <w:pPr>
        <w:jc w:val="left"/>
        <w:sectPr w:rsidR="00812991" w:rsidRPr="00E224B1" w:rsidSect="00F44D58">
          <w:headerReference w:type="even" r:id="rId12"/>
          <w:headerReference w:type="default" r:id="rId13"/>
          <w:footerReference w:type="default" r:id="rId14"/>
          <w:pgSz w:w="11907" w:h="16840" w:code="9"/>
          <w:pgMar w:top="1038" w:right="601" w:bottom="1860" w:left="618" w:header="567" w:footer="284" w:gutter="0"/>
          <w:pgNumType w:start="1"/>
          <w:cols w:space="720"/>
          <w:docGrid w:linePitch="326"/>
        </w:sectPr>
      </w:pPr>
    </w:p>
    <w:tbl>
      <w:tblPr>
        <w:tblW w:w="9945" w:type="dxa"/>
        <w:tblLayout w:type="fixed"/>
        <w:tblLook w:val="0000" w:firstRow="0" w:lastRow="0" w:firstColumn="0" w:lastColumn="0" w:noHBand="0" w:noVBand="0"/>
      </w:tblPr>
      <w:tblGrid>
        <w:gridCol w:w="9945"/>
      </w:tblGrid>
      <w:tr w:rsidR="00812991" w:rsidRPr="00E224B1" w14:paraId="053F9AD7" w14:textId="77777777" w:rsidTr="007750CB">
        <w:tc>
          <w:tcPr>
            <w:tcW w:w="9945" w:type="dxa"/>
          </w:tcPr>
          <w:p w14:paraId="27E5D94F" w14:textId="0160C01D" w:rsidR="00812991" w:rsidRPr="00E224B1" w:rsidRDefault="00812991" w:rsidP="00812991">
            <w:pPr>
              <w:pStyle w:val="RecNo"/>
            </w:pPr>
            <w:bookmarkStart w:id="2" w:name="irecnoe"/>
            <w:bookmarkEnd w:id="2"/>
            <w:r w:rsidRPr="00E224B1">
              <w:lastRenderedPageBreak/>
              <w:t>Technical Report ITU-T ESTR-NUI</w:t>
            </w:r>
          </w:p>
          <w:p w14:paraId="37CE6D30" w14:textId="417EDB32" w:rsidR="00812991" w:rsidRPr="00E224B1" w:rsidRDefault="00EA637D">
            <w:pPr>
              <w:pStyle w:val="Rectitle"/>
            </w:pPr>
            <w:r w:rsidRPr="00E224B1">
              <w:t>Radio f</w:t>
            </w:r>
            <w:r w:rsidR="0042525E" w:rsidRPr="00E224B1">
              <w:t>r</w:t>
            </w:r>
            <w:r w:rsidRPr="00E224B1">
              <w:t>equency</w:t>
            </w:r>
            <w:r w:rsidR="001D4156" w:rsidRPr="00E224B1">
              <w:t xml:space="preserve"> </w:t>
            </w:r>
            <w:r w:rsidRPr="00E224B1">
              <w:t>level</w:t>
            </w:r>
            <w:r w:rsidR="001D4156" w:rsidRPr="00E224B1">
              <w:t>-</w:t>
            </w:r>
            <w:r w:rsidRPr="00E224B1">
              <w:t>based single</w:t>
            </w:r>
            <w:r w:rsidR="001D4156" w:rsidRPr="00E224B1">
              <w:t xml:space="preserve"> </w:t>
            </w:r>
            <w:r w:rsidRPr="00E224B1">
              <w:t>number indicator for mobile network usefulness for a given range of applications</w:t>
            </w:r>
          </w:p>
        </w:tc>
      </w:tr>
    </w:tbl>
    <w:p w14:paraId="6AEC621A" w14:textId="77777777" w:rsidR="008C5DEF" w:rsidRPr="00E224B1" w:rsidRDefault="008C5DEF"/>
    <w:tbl>
      <w:tblPr>
        <w:tblW w:w="9945" w:type="dxa"/>
        <w:tblLayout w:type="fixed"/>
        <w:tblLook w:val="0000" w:firstRow="0" w:lastRow="0" w:firstColumn="0" w:lastColumn="0" w:noHBand="0" w:noVBand="0"/>
      </w:tblPr>
      <w:tblGrid>
        <w:gridCol w:w="9945"/>
      </w:tblGrid>
      <w:tr w:rsidR="00812991" w:rsidRPr="00E224B1" w14:paraId="30AFC2A3" w14:textId="77777777" w:rsidTr="007750CB">
        <w:tc>
          <w:tcPr>
            <w:tcW w:w="9945" w:type="dxa"/>
          </w:tcPr>
          <w:p w14:paraId="7423D9C2" w14:textId="77777777" w:rsidR="00812991" w:rsidRPr="00E224B1" w:rsidRDefault="00812991" w:rsidP="007750CB">
            <w:pPr>
              <w:pStyle w:val="Headingb"/>
            </w:pPr>
            <w:bookmarkStart w:id="3" w:name="isume"/>
            <w:r w:rsidRPr="00E224B1">
              <w:t>Summary</w:t>
            </w:r>
          </w:p>
          <w:p w14:paraId="1AC076B1" w14:textId="4FF1D86F" w:rsidR="00812991" w:rsidRPr="00E224B1" w:rsidRDefault="00812991" w:rsidP="00812991">
            <w:bookmarkStart w:id="4" w:name="_Hlk141275930"/>
            <w:bookmarkEnd w:id="3"/>
            <w:r w:rsidRPr="00E224B1">
              <w:t xml:space="preserve">Technical Report </w:t>
            </w:r>
            <w:r w:rsidR="00062192" w:rsidRPr="00E224B1">
              <w:t xml:space="preserve">ITU-T </w:t>
            </w:r>
            <w:r w:rsidR="00062192" w:rsidRPr="00E224B1">
              <w:rPr>
                <w:bCs/>
              </w:rPr>
              <w:t>ESTR-NUI</w:t>
            </w:r>
            <w:r w:rsidR="00062192" w:rsidRPr="00E224B1">
              <w:t xml:space="preserve"> </w:t>
            </w:r>
            <w:r w:rsidRPr="00E224B1">
              <w:t>describes a framework and methodology for a spatially</w:t>
            </w:r>
            <w:r w:rsidR="00065F9A" w:rsidRPr="00E224B1">
              <w:t>-</w:t>
            </w:r>
            <w:r w:rsidRPr="00E224B1">
              <w:t>resolved single</w:t>
            </w:r>
            <w:r w:rsidR="00065F9A" w:rsidRPr="00E224B1">
              <w:t xml:space="preserve"> </w:t>
            </w:r>
            <w:r w:rsidRPr="00E224B1">
              <w:t>number indicator expressing mobile network usefulness for a given range of purposes. The spatial resolution can be adjusted by respective aggregation; practical ranges start at 25 to 50 m depending on the quality of GNSS data. The spectrum of purposes includes single</w:t>
            </w:r>
            <w:r w:rsidR="001D4156" w:rsidRPr="00E224B1">
              <w:t xml:space="preserve"> </w:t>
            </w:r>
            <w:r w:rsidRPr="00E224B1">
              <w:t>network assessment (e.g., expected speech quality or call stability)</w:t>
            </w:r>
            <w:r w:rsidR="00065F9A" w:rsidRPr="00E224B1">
              <w:t>,</w:t>
            </w:r>
            <w:r w:rsidRPr="00E224B1">
              <w:t xml:space="preserve"> as well as assessment of coverage for emergency calls, where coverage of multiple networks is combined into a single indicator. </w:t>
            </w:r>
          </w:p>
          <w:bookmarkEnd w:id="4"/>
          <w:p w14:paraId="649617B3" w14:textId="7D4ACE47" w:rsidR="00812991" w:rsidRPr="00E224B1" w:rsidRDefault="00812991" w:rsidP="00812991">
            <w:r w:rsidRPr="00E224B1">
              <w:t>Single</w:t>
            </w:r>
            <w:r w:rsidR="00065F9A" w:rsidRPr="00E224B1">
              <w:t xml:space="preserve"> </w:t>
            </w:r>
            <w:r w:rsidRPr="00E224B1">
              <w:t>number indicators are used in QoS and QoE contexts to express an overall assessment of a system or service from a given perspective. Such indicators are used routinely, e.g., in mobile network benchmarking, where a number of QoS KPI</w:t>
            </w:r>
            <w:r w:rsidR="00065F9A" w:rsidRPr="00E224B1">
              <w:t>s are</w:t>
            </w:r>
            <w:r w:rsidRPr="00E224B1">
              <w:t xml:space="preserve"> aggregated towards a single rating. This Technical Report describes a methodology which works in the same way but is using low-level measurement data, i.e., RF level values. The particular instance, i.e., the actual type of input value, depends on the radio network technology, e.g., RxLev for 2G, RSCP for 3G and RSRP for 4G and 5G, respectively.</w:t>
            </w:r>
          </w:p>
          <w:p w14:paraId="6D181F17" w14:textId="39D8749A" w:rsidR="00812991" w:rsidRPr="00E224B1" w:rsidRDefault="00812991" w:rsidP="00812991">
            <w:r w:rsidRPr="00E224B1">
              <w:t>The indicator which is the result of data processing expresses a quantity from the QoS domain, namely the usefulness of the network coverage for a given range of purposes. The algorithm uses mapping relations which link the input quantity to component quantities from the QoS domain, such as telephony call setup success, call stability or call quality, or respective QoS KPI for packet</w:t>
            </w:r>
            <w:r w:rsidR="003B3115" w:rsidRPr="00E224B1">
              <w:t xml:space="preserve"> </w:t>
            </w:r>
            <w:r w:rsidRPr="00E224B1">
              <w:t>data services. These mapping relations are typically created from empirical data, e.g.</w:t>
            </w:r>
            <w:r w:rsidR="004E1C44" w:rsidRPr="00E224B1">
              <w:t>,</w:t>
            </w:r>
            <w:r w:rsidRPr="00E224B1">
              <w:t xml:space="preserve"> from analysis of sufficiently large amounts of actual measurement data.</w:t>
            </w:r>
          </w:p>
          <w:p w14:paraId="516DB93B" w14:textId="0F53B0D6" w:rsidR="00812991" w:rsidRPr="00E224B1" w:rsidRDefault="00812991" w:rsidP="00812991">
            <w:r w:rsidRPr="00E224B1">
              <w:t>It is understood that the respective indicator does not assume the same level of accuracy or relevance as a primary QoS quantity from active measurements. The degree of prediction accuracy will depend on input data available for respective characteristic curves, e.g., visualized by a scatter plot or a heatmap-style density visualization. The indicator is however providing additional value in situations where only data from passive measurements, i.e., measurement of said RF levels, is available, or to create additional insights from data produced otherwise. It is meant to work with diverse data sources, such as RF level values provided from industrial-grade testing tools, apps, RF scanners and even crowdsourcing.</w:t>
            </w:r>
          </w:p>
          <w:p w14:paraId="407C7FEC" w14:textId="7967DA48" w:rsidR="00812991" w:rsidRPr="00E224B1" w:rsidRDefault="00812991" w:rsidP="00812991">
            <w:r w:rsidRPr="00E224B1">
              <w:t>It is important to understand that this Technical Report does not attempt to provide actual fixed numbers, target values, thresholds or concrete mapping functions, as such absolute relations would not reflect the diversity of applications and situations in mobile network operation worldwide. Rather, it provides a solid methodological framework to create such implementations, as well as accompanying guidance and considerations on reliability of data in relation to properties of data sources.</w:t>
            </w:r>
          </w:p>
          <w:p w14:paraId="06084E7D" w14:textId="2A45CD95" w:rsidR="00812991" w:rsidRPr="00E224B1" w:rsidRDefault="00812991" w:rsidP="007750CB">
            <w:pPr>
              <w:pStyle w:val="enumlev1"/>
            </w:pPr>
          </w:p>
          <w:p w14:paraId="07B7C93C" w14:textId="77777777" w:rsidR="00812991" w:rsidRPr="00E224B1" w:rsidRDefault="00812991" w:rsidP="007750CB"/>
        </w:tc>
      </w:tr>
      <w:tr w:rsidR="00812991" w:rsidRPr="00E224B1" w14:paraId="33E42C6D" w14:textId="77777777" w:rsidTr="007750CB">
        <w:tc>
          <w:tcPr>
            <w:tcW w:w="9945" w:type="dxa"/>
          </w:tcPr>
          <w:p w14:paraId="61CAB7C3" w14:textId="77777777" w:rsidR="00812991" w:rsidRPr="00E224B1" w:rsidRDefault="00812991" w:rsidP="007750CB">
            <w:pPr>
              <w:pStyle w:val="Headingb"/>
            </w:pPr>
            <w:bookmarkStart w:id="5" w:name="ikeye"/>
            <w:r w:rsidRPr="00E224B1">
              <w:t>Keywords</w:t>
            </w:r>
          </w:p>
          <w:bookmarkEnd w:id="5"/>
          <w:p w14:paraId="38F897CC" w14:textId="18B3B0E0" w:rsidR="00812991" w:rsidRPr="00E224B1" w:rsidRDefault="00812991">
            <w:pPr>
              <w:rPr>
                <w:bCs/>
              </w:rPr>
            </w:pPr>
            <w:r w:rsidRPr="00E224B1">
              <w:rPr>
                <w:rFonts w:eastAsia="Batang"/>
                <w:lang w:eastAsia="ko-KR"/>
              </w:rPr>
              <w:t xml:space="preserve">Call stability, </w:t>
            </w:r>
            <w:r w:rsidR="009C4756" w:rsidRPr="00E224B1">
              <w:rPr>
                <w:rFonts w:eastAsia="Batang"/>
                <w:lang w:eastAsia="ko-KR"/>
              </w:rPr>
              <w:t>metrics</w:t>
            </w:r>
            <w:r w:rsidRPr="00E224B1">
              <w:rPr>
                <w:rFonts w:eastAsia="Batang"/>
                <w:lang w:eastAsia="ko-KR"/>
              </w:rPr>
              <w:t>, mobile communication, QoE, QoS, spatially</w:t>
            </w:r>
            <w:r w:rsidR="003B575C" w:rsidRPr="00E224B1">
              <w:rPr>
                <w:rFonts w:eastAsia="Batang"/>
                <w:lang w:eastAsia="ko-KR"/>
              </w:rPr>
              <w:t>-</w:t>
            </w:r>
            <w:r w:rsidRPr="00E224B1">
              <w:rPr>
                <w:rFonts w:eastAsia="Batang"/>
                <w:lang w:eastAsia="ko-KR"/>
              </w:rPr>
              <w:t>resolved information.</w:t>
            </w:r>
          </w:p>
        </w:tc>
      </w:tr>
    </w:tbl>
    <w:p w14:paraId="538917BB" w14:textId="77777777" w:rsidR="00812991" w:rsidRPr="00E224B1" w:rsidRDefault="00812991" w:rsidP="00812991">
      <w:pPr>
        <w:pStyle w:val="Headingb"/>
        <w:rPr>
          <w:bCs/>
          <w:sz w:val="22"/>
        </w:rPr>
      </w:pPr>
      <w:r w:rsidRPr="00E224B1">
        <w:t>Note</w:t>
      </w:r>
      <w:r w:rsidRPr="00E224B1">
        <w:rPr>
          <w:b w:val="0"/>
          <w:bCs/>
          <w:sz w:val="22"/>
        </w:rPr>
        <w:t xml:space="preserve"> </w:t>
      </w:r>
    </w:p>
    <w:p w14:paraId="4D603B5F" w14:textId="77777777" w:rsidR="00812991" w:rsidRPr="00E224B1" w:rsidRDefault="00812991" w:rsidP="00812991">
      <w:r w:rsidRPr="00E224B1">
        <w:rPr>
          <w:sz w:val="22"/>
        </w:rPr>
        <w:t>This is an informative ITU-T publication. Mandatory provisions, such as those found in ITU-T Recommendations, are outside the scope of this publication. This publication should only be referenced bibliographically in ITU-T Recommendations.</w:t>
      </w:r>
    </w:p>
    <w:p w14:paraId="7FD28E90" w14:textId="40953E84" w:rsidR="00812991" w:rsidRPr="00E224B1" w:rsidRDefault="00812991" w:rsidP="00812991">
      <w:pPr>
        <w:pStyle w:val="Headingb"/>
        <w:jc w:val="both"/>
      </w:pPr>
      <w:r w:rsidRPr="00E224B1">
        <w:t xml:space="preserve">Change </w:t>
      </w:r>
      <w:r w:rsidR="003B575C" w:rsidRPr="00E224B1">
        <w:t>l</w:t>
      </w:r>
      <w:r w:rsidRPr="00E224B1">
        <w:t>og</w:t>
      </w:r>
    </w:p>
    <w:p w14:paraId="4BB42F76" w14:textId="752159EE" w:rsidR="00812991" w:rsidRPr="00E224B1" w:rsidRDefault="009C4756" w:rsidP="009C4756">
      <w:pPr>
        <w:rPr>
          <w:i/>
          <w:iCs/>
        </w:rPr>
      </w:pPr>
      <w:r w:rsidRPr="00E224B1">
        <w:t>This document contains Version 1 of the ITU-T Technical Report ESTR-NUI on "RF level</w:t>
      </w:r>
      <w:r w:rsidR="003B575C" w:rsidRPr="00E224B1">
        <w:t>-</w:t>
      </w:r>
      <w:r w:rsidRPr="00E224B1">
        <w:t>based single</w:t>
      </w:r>
      <w:r w:rsidR="003B575C" w:rsidRPr="00E224B1">
        <w:t xml:space="preserve"> </w:t>
      </w:r>
      <w:r w:rsidRPr="00E224B1">
        <w:t>number indicator for mobile network usefulness for a given range of applications" approved at the ITU-T Study Group 12 meeting held in Mexico City, 19-28 September 2023.</w:t>
      </w:r>
    </w:p>
    <w:p w14:paraId="04538F2C" w14:textId="77777777" w:rsidR="00812991" w:rsidRPr="00E224B1" w:rsidRDefault="00812991" w:rsidP="00812991"/>
    <w:tbl>
      <w:tblPr>
        <w:tblW w:w="5000" w:type="pct"/>
        <w:jc w:val="center"/>
        <w:tblCellMar>
          <w:left w:w="57" w:type="dxa"/>
          <w:right w:w="57" w:type="dxa"/>
        </w:tblCellMar>
        <w:tblLook w:val="0000" w:firstRow="0" w:lastRow="0" w:firstColumn="0" w:lastColumn="0" w:noHBand="0" w:noVBand="0"/>
      </w:tblPr>
      <w:tblGrid>
        <w:gridCol w:w="1571"/>
        <w:gridCol w:w="4268"/>
        <w:gridCol w:w="3800"/>
      </w:tblGrid>
      <w:tr w:rsidR="00812991" w:rsidRPr="003E1CE7" w14:paraId="3D4A3C3D" w14:textId="77777777" w:rsidTr="007750CB">
        <w:trPr>
          <w:cantSplit/>
          <w:trHeight w:val="204"/>
          <w:jc w:val="center"/>
        </w:trPr>
        <w:tc>
          <w:tcPr>
            <w:tcW w:w="815" w:type="pct"/>
          </w:tcPr>
          <w:p w14:paraId="14A84774" w14:textId="77777777" w:rsidR="00812991" w:rsidRPr="00E224B1" w:rsidRDefault="00812991" w:rsidP="007750CB">
            <w:pPr>
              <w:rPr>
                <w:b/>
                <w:bCs/>
                <w:szCs w:val="24"/>
              </w:rPr>
            </w:pPr>
            <w:r w:rsidRPr="00E224B1">
              <w:rPr>
                <w:b/>
                <w:bCs/>
                <w:szCs w:val="24"/>
              </w:rPr>
              <w:t>Editor</w:t>
            </w:r>
            <w:r w:rsidRPr="00E224B1">
              <w:rPr>
                <w:szCs w:val="24"/>
              </w:rPr>
              <w:t>:</w:t>
            </w:r>
          </w:p>
        </w:tc>
        <w:tc>
          <w:tcPr>
            <w:tcW w:w="2214" w:type="pct"/>
          </w:tcPr>
          <w:p w14:paraId="16C9F706" w14:textId="489EFA30" w:rsidR="00812991" w:rsidRPr="00E224B1" w:rsidRDefault="009C4756" w:rsidP="009C4756">
            <w:pPr>
              <w:jc w:val="left"/>
              <w:rPr>
                <w:sz w:val="22"/>
                <w:szCs w:val="22"/>
              </w:rPr>
            </w:pPr>
            <w:r w:rsidRPr="00E224B1">
              <w:rPr>
                <w:sz w:val="22"/>
                <w:szCs w:val="22"/>
              </w:rPr>
              <w:t>Dr. Wolfgang Balzer</w:t>
            </w:r>
            <w:r w:rsidRPr="00E224B1">
              <w:rPr>
                <w:sz w:val="22"/>
                <w:szCs w:val="22"/>
              </w:rPr>
              <w:br/>
              <w:t>Focus Infocom GmbH</w:t>
            </w:r>
            <w:r w:rsidRPr="00E224B1">
              <w:rPr>
                <w:sz w:val="22"/>
                <w:szCs w:val="22"/>
              </w:rPr>
              <w:br/>
              <w:t xml:space="preserve">Germany </w:t>
            </w:r>
          </w:p>
        </w:tc>
        <w:tc>
          <w:tcPr>
            <w:tcW w:w="1971" w:type="pct"/>
          </w:tcPr>
          <w:p w14:paraId="5D165867" w14:textId="29EB2CCA" w:rsidR="00812991" w:rsidRPr="00E225E6" w:rsidRDefault="009C4756" w:rsidP="009C4756">
            <w:pPr>
              <w:tabs>
                <w:tab w:val="clear" w:pos="794"/>
                <w:tab w:val="clear" w:pos="1191"/>
                <w:tab w:val="left" w:pos="911"/>
              </w:tabs>
              <w:jc w:val="left"/>
              <w:rPr>
                <w:sz w:val="22"/>
                <w:szCs w:val="22"/>
                <w:lang w:val="pt-PT"/>
              </w:rPr>
            </w:pPr>
            <w:r w:rsidRPr="00E225E6">
              <w:rPr>
                <w:sz w:val="22"/>
                <w:szCs w:val="22"/>
                <w:lang w:val="pt-PT"/>
              </w:rPr>
              <w:t>Tel: +49 171 422 8557</w:t>
            </w:r>
            <w:r w:rsidRPr="00E225E6">
              <w:rPr>
                <w:sz w:val="22"/>
                <w:szCs w:val="22"/>
                <w:lang w:val="pt-PT"/>
              </w:rPr>
              <w:br/>
              <w:t xml:space="preserve">E-mail: </w:t>
            </w:r>
            <w:hyperlink r:id="rId15" w:history="1">
              <w:r w:rsidR="008C5DEF" w:rsidRPr="00E225E6">
                <w:rPr>
                  <w:rStyle w:val="Hyperlink"/>
                  <w:sz w:val="22"/>
                  <w:szCs w:val="22"/>
                  <w:lang w:val="pt-PT"/>
                </w:rPr>
                <w:t>wfk@focus-infocom.de</w:t>
              </w:r>
            </w:hyperlink>
          </w:p>
        </w:tc>
      </w:tr>
    </w:tbl>
    <w:p w14:paraId="7733F417" w14:textId="77777777" w:rsidR="00812991" w:rsidRPr="00E225E6" w:rsidRDefault="00812991" w:rsidP="00812991">
      <w:pPr>
        <w:jc w:val="center"/>
        <w:rPr>
          <w:sz w:val="22"/>
          <w:lang w:val="pt-PT"/>
        </w:rPr>
      </w:pPr>
    </w:p>
    <w:p w14:paraId="1F27FB49" w14:textId="77777777" w:rsidR="00812991" w:rsidRPr="00E225E6" w:rsidRDefault="00812991" w:rsidP="00812991">
      <w:pPr>
        <w:jc w:val="center"/>
        <w:rPr>
          <w:sz w:val="22"/>
          <w:lang w:val="pt-PT"/>
        </w:rPr>
      </w:pPr>
    </w:p>
    <w:p w14:paraId="5BDFECC5" w14:textId="77777777" w:rsidR="00812991" w:rsidRPr="00E225E6" w:rsidRDefault="00812991" w:rsidP="00812991">
      <w:pPr>
        <w:jc w:val="center"/>
        <w:rPr>
          <w:sz w:val="22"/>
          <w:lang w:val="pt-PT"/>
        </w:rPr>
      </w:pPr>
    </w:p>
    <w:p w14:paraId="388B25D2" w14:textId="77777777" w:rsidR="00812991" w:rsidRPr="00E225E6" w:rsidRDefault="00812991" w:rsidP="00812991">
      <w:pPr>
        <w:jc w:val="center"/>
        <w:rPr>
          <w:sz w:val="22"/>
          <w:lang w:val="pt-PT"/>
        </w:rPr>
      </w:pPr>
    </w:p>
    <w:p w14:paraId="4D36C47A" w14:textId="77777777" w:rsidR="00812991" w:rsidRPr="00E225E6" w:rsidRDefault="00812991" w:rsidP="00812991">
      <w:pPr>
        <w:jc w:val="center"/>
        <w:rPr>
          <w:sz w:val="22"/>
          <w:lang w:val="pt-PT"/>
        </w:rPr>
      </w:pPr>
    </w:p>
    <w:p w14:paraId="491C5855" w14:textId="77777777" w:rsidR="00812991" w:rsidRPr="00E225E6" w:rsidRDefault="00812991" w:rsidP="00812991">
      <w:pPr>
        <w:jc w:val="center"/>
        <w:rPr>
          <w:sz w:val="22"/>
          <w:lang w:val="pt-PT"/>
        </w:rPr>
      </w:pPr>
    </w:p>
    <w:p w14:paraId="5F7590D0" w14:textId="77777777" w:rsidR="00812991" w:rsidRPr="00E225E6" w:rsidRDefault="00812991" w:rsidP="00812991">
      <w:pPr>
        <w:jc w:val="center"/>
        <w:rPr>
          <w:sz w:val="22"/>
          <w:lang w:val="pt-PT"/>
        </w:rPr>
      </w:pPr>
    </w:p>
    <w:p w14:paraId="3C4176E5" w14:textId="77777777" w:rsidR="00812991" w:rsidRPr="00E225E6" w:rsidRDefault="00812991" w:rsidP="00812991">
      <w:pPr>
        <w:jc w:val="center"/>
        <w:rPr>
          <w:sz w:val="22"/>
          <w:lang w:val="pt-PT"/>
        </w:rPr>
      </w:pPr>
    </w:p>
    <w:p w14:paraId="367B0848" w14:textId="77777777" w:rsidR="00812991" w:rsidRPr="00E225E6" w:rsidRDefault="00812991" w:rsidP="00812991">
      <w:pPr>
        <w:jc w:val="center"/>
        <w:rPr>
          <w:sz w:val="22"/>
          <w:lang w:val="pt-PT"/>
        </w:rPr>
      </w:pPr>
    </w:p>
    <w:p w14:paraId="28F98AE0" w14:textId="77777777" w:rsidR="00812991" w:rsidRPr="00E225E6" w:rsidRDefault="00812991" w:rsidP="00812991">
      <w:pPr>
        <w:jc w:val="center"/>
        <w:rPr>
          <w:sz w:val="22"/>
          <w:lang w:val="pt-PT"/>
        </w:rPr>
      </w:pPr>
    </w:p>
    <w:p w14:paraId="08516941" w14:textId="77777777" w:rsidR="00812991" w:rsidRPr="00E225E6" w:rsidRDefault="00812991" w:rsidP="00812991">
      <w:pPr>
        <w:jc w:val="center"/>
        <w:rPr>
          <w:sz w:val="22"/>
          <w:lang w:val="pt-PT"/>
        </w:rPr>
      </w:pPr>
    </w:p>
    <w:p w14:paraId="363F86BB" w14:textId="77777777" w:rsidR="00812991" w:rsidRPr="00E225E6" w:rsidRDefault="00812991" w:rsidP="00812991">
      <w:pPr>
        <w:jc w:val="center"/>
        <w:rPr>
          <w:sz w:val="22"/>
          <w:lang w:val="pt-PT"/>
        </w:rPr>
      </w:pPr>
    </w:p>
    <w:p w14:paraId="3E207C8A" w14:textId="77777777" w:rsidR="00812991" w:rsidRPr="00E225E6" w:rsidRDefault="00812991" w:rsidP="00812991">
      <w:pPr>
        <w:jc w:val="center"/>
        <w:rPr>
          <w:sz w:val="22"/>
          <w:lang w:val="pt-PT"/>
        </w:rPr>
      </w:pPr>
    </w:p>
    <w:p w14:paraId="7F569458" w14:textId="77777777" w:rsidR="00812991" w:rsidRPr="00E225E6" w:rsidRDefault="00812991" w:rsidP="00812991">
      <w:pPr>
        <w:jc w:val="center"/>
        <w:rPr>
          <w:sz w:val="22"/>
          <w:lang w:val="pt-PT"/>
        </w:rPr>
      </w:pPr>
    </w:p>
    <w:p w14:paraId="4091F634" w14:textId="77777777" w:rsidR="009C4756" w:rsidRPr="00E225E6" w:rsidRDefault="009C4756" w:rsidP="00812991">
      <w:pPr>
        <w:jc w:val="center"/>
        <w:rPr>
          <w:sz w:val="22"/>
          <w:lang w:val="pt-PT"/>
        </w:rPr>
      </w:pPr>
    </w:p>
    <w:p w14:paraId="029741D5" w14:textId="77777777" w:rsidR="009C4756" w:rsidRPr="00E225E6" w:rsidRDefault="009C4756" w:rsidP="00812991">
      <w:pPr>
        <w:jc w:val="center"/>
        <w:rPr>
          <w:sz w:val="22"/>
          <w:lang w:val="pt-PT"/>
        </w:rPr>
      </w:pPr>
    </w:p>
    <w:p w14:paraId="4BE999FE" w14:textId="77777777" w:rsidR="009C4756" w:rsidRPr="00E225E6" w:rsidRDefault="009C4756" w:rsidP="00812991">
      <w:pPr>
        <w:jc w:val="center"/>
        <w:rPr>
          <w:sz w:val="22"/>
          <w:lang w:val="pt-PT"/>
        </w:rPr>
      </w:pPr>
    </w:p>
    <w:p w14:paraId="42DE0AE1" w14:textId="77777777" w:rsidR="009C4756" w:rsidRPr="00E225E6" w:rsidRDefault="009C4756" w:rsidP="00812991">
      <w:pPr>
        <w:jc w:val="center"/>
        <w:rPr>
          <w:sz w:val="22"/>
          <w:lang w:val="pt-PT"/>
        </w:rPr>
      </w:pPr>
    </w:p>
    <w:p w14:paraId="489C02D1" w14:textId="77777777" w:rsidR="009C4756" w:rsidRPr="00E225E6" w:rsidRDefault="009C4756" w:rsidP="00812991">
      <w:pPr>
        <w:jc w:val="center"/>
        <w:rPr>
          <w:sz w:val="22"/>
          <w:lang w:val="pt-PT"/>
        </w:rPr>
      </w:pPr>
    </w:p>
    <w:p w14:paraId="3672A32B" w14:textId="77777777" w:rsidR="009C4756" w:rsidRPr="00E225E6" w:rsidRDefault="009C4756" w:rsidP="00812991">
      <w:pPr>
        <w:jc w:val="center"/>
        <w:rPr>
          <w:sz w:val="22"/>
          <w:lang w:val="pt-PT"/>
        </w:rPr>
      </w:pPr>
    </w:p>
    <w:p w14:paraId="4DF7B666" w14:textId="77777777" w:rsidR="009C4756" w:rsidRPr="00E225E6" w:rsidRDefault="009C4756" w:rsidP="00812991">
      <w:pPr>
        <w:jc w:val="center"/>
        <w:rPr>
          <w:sz w:val="22"/>
          <w:lang w:val="pt-PT"/>
        </w:rPr>
      </w:pPr>
    </w:p>
    <w:p w14:paraId="0779FE66" w14:textId="77777777" w:rsidR="009C4756" w:rsidRPr="00E225E6" w:rsidRDefault="009C4756" w:rsidP="00812991">
      <w:pPr>
        <w:jc w:val="center"/>
        <w:rPr>
          <w:sz w:val="22"/>
          <w:lang w:val="pt-PT"/>
        </w:rPr>
      </w:pPr>
    </w:p>
    <w:p w14:paraId="0B41C142" w14:textId="77777777" w:rsidR="009C4756" w:rsidRPr="00E225E6" w:rsidRDefault="009C4756" w:rsidP="00812991">
      <w:pPr>
        <w:jc w:val="center"/>
        <w:rPr>
          <w:sz w:val="22"/>
          <w:lang w:val="pt-PT"/>
        </w:rPr>
      </w:pPr>
    </w:p>
    <w:p w14:paraId="2C6AA85E" w14:textId="77777777" w:rsidR="009C4756" w:rsidRPr="00E225E6" w:rsidRDefault="009C4756" w:rsidP="00812991">
      <w:pPr>
        <w:jc w:val="center"/>
        <w:rPr>
          <w:sz w:val="22"/>
          <w:lang w:val="pt-PT"/>
        </w:rPr>
      </w:pPr>
    </w:p>
    <w:p w14:paraId="3785E87C" w14:textId="77777777" w:rsidR="00812991" w:rsidRPr="00E225E6" w:rsidRDefault="00812991" w:rsidP="00812991">
      <w:pPr>
        <w:jc w:val="center"/>
        <w:rPr>
          <w:sz w:val="22"/>
          <w:lang w:val="pt-PT"/>
        </w:rPr>
      </w:pPr>
    </w:p>
    <w:p w14:paraId="2734A1E8" w14:textId="77777777" w:rsidR="00812991" w:rsidRPr="00E225E6" w:rsidRDefault="00812991" w:rsidP="00812991">
      <w:pPr>
        <w:jc w:val="center"/>
        <w:rPr>
          <w:sz w:val="22"/>
          <w:lang w:val="pt-PT"/>
        </w:rPr>
      </w:pPr>
    </w:p>
    <w:p w14:paraId="2934185A" w14:textId="77777777" w:rsidR="00812991" w:rsidRPr="00E225E6" w:rsidRDefault="00812991" w:rsidP="00812991">
      <w:pPr>
        <w:jc w:val="center"/>
        <w:rPr>
          <w:sz w:val="22"/>
          <w:lang w:val="pt-PT"/>
        </w:rPr>
      </w:pPr>
    </w:p>
    <w:p w14:paraId="4E96EAB8" w14:textId="77777777" w:rsidR="00812991" w:rsidRPr="00E225E6" w:rsidRDefault="00812991" w:rsidP="00812991">
      <w:pPr>
        <w:jc w:val="center"/>
        <w:rPr>
          <w:sz w:val="22"/>
          <w:lang w:val="pt-PT"/>
        </w:rPr>
      </w:pPr>
    </w:p>
    <w:p w14:paraId="0EB76D43" w14:textId="5DC7B22B" w:rsidR="00812991" w:rsidRPr="00E224B1" w:rsidRDefault="00812991" w:rsidP="00812991">
      <w:pPr>
        <w:jc w:val="center"/>
        <w:rPr>
          <w:sz w:val="22"/>
        </w:rPr>
      </w:pPr>
      <w:r w:rsidRPr="00E224B1">
        <w:rPr>
          <w:sz w:val="22"/>
        </w:rPr>
        <w:sym w:font="Symbol" w:char="F0E3"/>
      </w:r>
      <w:r w:rsidRPr="00E224B1">
        <w:rPr>
          <w:sz w:val="22"/>
        </w:rPr>
        <w:t> ITU </w:t>
      </w:r>
      <w:bookmarkStart w:id="6" w:name="iiannee"/>
      <w:bookmarkEnd w:id="6"/>
      <w:r w:rsidRPr="00E224B1">
        <w:rPr>
          <w:sz w:val="22"/>
        </w:rPr>
        <w:t>202</w:t>
      </w:r>
      <w:r w:rsidR="003D6C86" w:rsidRPr="00E224B1">
        <w:rPr>
          <w:sz w:val="22"/>
        </w:rPr>
        <w:t>4</w:t>
      </w:r>
    </w:p>
    <w:p w14:paraId="2DE763B4" w14:textId="77777777" w:rsidR="00812991" w:rsidRPr="00E224B1" w:rsidRDefault="00812991" w:rsidP="00812991">
      <w:pPr>
        <w:rPr>
          <w:sz w:val="22"/>
        </w:rPr>
      </w:pPr>
      <w:r w:rsidRPr="00E224B1">
        <w:rPr>
          <w:sz w:val="22"/>
        </w:rPr>
        <w:t>All rights reserved. No part of this publication may be reproduced, by any means whatsoever, without the prior written permission of ITU.</w:t>
      </w:r>
    </w:p>
    <w:p w14:paraId="20E8CB5B" w14:textId="77777777" w:rsidR="00812991" w:rsidRPr="00E224B1" w:rsidRDefault="00812991" w:rsidP="00812991">
      <w:pPr>
        <w:jc w:val="center"/>
        <w:rPr>
          <w:b/>
        </w:rPr>
      </w:pPr>
      <w:r w:rsidRPr="00E224B1">
        <w:rPr>
          <w:b/>
        </w:rPr>
        <w:br w:type="page"/>
        <w:t>Table of Contents</w:t>
      </w:r>
    </w:p>
    <w:p w14:paraId="631F2E85" w14:textId="4063B987" w:rsidR="009413B7" w:rsidRPr="00E224B1" w:rsidRDefault="009413B7" w:rsidP="009413B7">
      <w:pPr>
        <w:pStyle w:val="toc0"/>
        <w:ind w:right="992"/>
      </w:pPr>
      <w:r w:rsidRPr="00E224B1">
        <w:tab/>
        <w:t>Page</w:t>
      </w:r>
    </w:p>
    <w:p w14:paraId="3E4895C2" w14:textId="7966ED8B"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rPr>
          <w:lang w:bidi="ar-DZ"/>
        </w:rPr>
        <w:t>1</w:t>
      </w:r>
      <w:r w:rsidRPr="00E224B1">
        <w:rPr>
          <w:rFonts w:asciiTheme="minorHAnsi" w:hAnsiTheme="minorHAnsi" w:cstheme="minorBidi"/>
          <w:kern w:val="2"/>
          <w:sz w:val="22"/>
          <w:szCs w:val="22"/>
          <w:lang w:eastAsia="en-GB"/>
          <w14:ligatures w14:val="standardContextual"/>
        </w:rPr>
        <w:tab/>
      </w:r>
      <w:r w:rsidRPr="00E224B1">
        <w:rPr>
          <w:lang w:bidi="ar-DZ"/>
        </w:rPr>
        <w:t>Scope</w:t>
      </w:r>
      <w:r w:rsidRPr="00E224B1">
        <w:rPr>
          <w:lang w:bidi="ar-DZ"/>
        </w:rPr>
        <w:tab/>
      </w:r>
      <w:r w:rsidRPr="00E224B1">
        <w:rPr>
          <w:lang w:bidi="ar-DZ"/>
        </w:rPr>
        <w:tab/>
      </w:r>
      <w:r w:rsidRPr="00E224B1">
        <w:t>1</w:t>
      </w:r>
    </w:p>
    <w:p w14:paraId="01A60D78" w14:textId="71147A08"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rPr>
          <w:lang w:bidi="ar-DZ"/>
        </w:rPr>
        <w:t>2</w:t>
      </w:r>
      <w:r w:rsidRPr="00E224B1">
        <w:rPr>
          <w:rFonts w:asciiTheme="minorHAnsi" w:hAnsiTheme="minorHAnsi" w:cstheme="minorBidi"/>
          <w:kern w:val="2"/>
          <w:sz w:val="22"/>
          <w:szCs w:val="22"/>
          <w:lang w:eastAsia="en-GB"/>
          <w14:ligatures w14:val="standardContextual"/>
        </w:rPr>
        <w:tab/>
      </w:r>
      <w:r w:rsidRPr="00E224B1">
        <w:rPr>
          <w:lang w:bidi="ar-DZ"/>
        </w:rPr>
        <w:t>References</w:t>
      </w:r>
      <w:r w:rsidRPr="00E224B1">
        <w:rPr>
          <w:lang w:bidi="ar-DZ"/>
        </w:rPr>
        <w:tab/>
      </w:r>
      <w:r w:rsidRPr="00E224B1">
        <w:rPr>
          <w:lang w:bidi="ar-DZ"/>
        </w:rPr>
        <w:tab/>
      </w:r>
      <w:r w:rsidRPr="00E224B1">
        <w:t>1</w:t>
      </w:r>
    </w:p>
    <w:p w14:paraId="5A5F6DD6" w14:textId="73ECF305"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rPr>
          <w:lang w:bidi="ar-DZ"/>
        </w:rPr>
        <w:t>3</w:t>
      </w:r>
      <w:r w:rsidRPr="00E224B1">
        <w:rPr>
          <w:rFonts w:asciiTheme="minorHAnsi" w:hAnsiTheme="minorHAnsi" w:cstheme="minorBidi"/>
          <w:kern w:val="2"/>
          <w:sz w:val="22"/>
          <w:szCs w:val="22"/>
          <w:lang w:eastAsia="en-GB"/>
          <w14:ligatures w14:val="standardContextual"/>
        </w:rPr>
        <w:tab/>
      </w:r>
      <w:r w:rsidRPr="00E224B1">
        <w:rPr>
          <w:lang w:bidi="ar-DZ"/>
        </w:rPr>
        <w:t>Definitions</w:t>
      </w:r>
      <w:r w:rsidRPr="00E224B1">
        <w:rPr>
          <w:lang w:bidi="ar-DZ"/>
        </w:rPr>
        <w:tab/>
      </w:r>
      <w:r w:rsidRPr="00E224B1">
        <w:rPr>
          <w:lang w:bidi="ar-DZ"/>
        </w:rPr>
        <w:tab/>
      </w:r>
      <w:r w:rsidRPr="00E224B1">
        <w:t>1</w:t>
      </w:r>
    </w:p>
    <w:p w14:paraId="1A05A242" w14:textId="45B20EA7" w:rsidR="009413B7" w:rsidRPr="00E224B1" w:rsidRDefault="009413B7" w:rsidP="009413B7">
      <w:pPr>
        <w:pStyle w:val="TOC2"/>
        <w:ind w:right="992"/>
        <w:rPr>
          <w:rFonts w:asciiTheme="minorHAnsi" w:hAnsiTheme="minorHAnsi" w:cstheme="minorBidi"/>
          <w:kern w:val="2"/>
          <w:sz w:val="22"/>
          <w:szCs w:val="22"/>
          <w:lang w:eastAsia="en-GB"/>
          <w14:ligatures w14:val="standardContextual"/>
        </w:rPr>
      </w:pPr>
      <w:r w:rsidRPr="00E224B1">
        <w:rPr>
          <w:lang w:bidi="ar-DZ"/>
        </w:rPr>
        <w:t>3.1</w:t>
      </w:r>
      <w:r w:rsidRPr="00E224B1">
        <w:rPr>
          <w:rFonts w:asciiTheme="minorHAnsi" w:hAnsiTheme="minorHAnsi" w:cstheme="minorBidi"/>
          <w:kern w:val="2"/>
          <w:sz w:val="22"/>
          <w:szCs w:val="22"/>
          <w:lang w:eastAsia="en-GB"/>
          <w14:ligatures w14:val="standardContextual"/>
        </w:rPr>
        <w:tab/>
      </w:r>
      <w:r w:rsidRPr="00E224B1">
        <w:rPr>
          <w:lang w:bidi="ar-DZ"/>
        </w:rPr>
        <w:t>Terms defined elsewhere</w:t>
      </w:r>
      <w:r w:rsidRPr="00E224B1">
        <w:rPr>
          <w:lang w:bidi="ar-DZ"/>
        </w:rPr>
        <w:tab/>
      </w:r>
      <w:r w:rsidRPr="00E224B1">
        <w:rPr>
          <w:lang w:bidi="ar-DZ"/>
        </w:rPr>
        <w:tab/>
      </w:r>
      <w:r w:rsidRPr="00E224B1">
        <w:t>1</w:t>
      </w:r>
    </w:p>
    <w:p w14:paraId="652E720D" w14:textId="18E3D14A" w:rsidR="009413B7" w:rsidRPr="00E224B1" w:rsidRDefault="009413B7" w:rsidP="009413B7">
      <w:pPr>
        <w:pStyle w:val="TOC2"/>
        <w:ind w:right="992"/>
        <w:rPr>
          <w:rFonts w:asciiTheme="minorHAnsi" w:hAnsiTheme="minorHAnsi" w:cstheme="minorBidi"/>
          <w:kern w:val="2"/>
          <w:sz w:val="22"/>
          <w:szCs w:val="22"/>
          <w:lang w:eastAsia="en-GB"/>
          <w14:ligatures w14:val="standardContextual"/>
        </w:rPr>
      </w:pPr>
      <w:r w:rsidRPr="00E224B1">
        <w:rPr>
          <w:lang w:bidi="ar-DZ"/>
        </w:rPr>
        <w:t>3.2</w:t>
      </w:r>
      <w:r w:rsidRPr="00E224B1">
        <w:rPr>
          <w:rFonts w:asciiTheme="minorHAnsi" w:hAnsiTheme="minorHAnsi" w:cstheme="minorBidi"/>
          <w:kern w:val="2"/>
          <w:sz w:val="22"/>
          <w:szCs w:val="22"/>
          <w:lang w:eastAsia="en-GB"/>
          <w14:ligatures w14:val="standardContextual"/>
        </w:rPr>
        <w:tab/>
      </w:r>
      <w:r w:rsidRPr="00E224B1">
        <w:rPr>
          <w:lang w:bidi="ar-DZ"/>
        </w:rPr>
        <w:t>Terms defined in this Technical Report</w:t>
      </w:r>
      <w:r w:rsidRPr="00E224B1">
        <w:rPr>
          <w:lang w:bidi="ar-DZ"/>
        </w:rPr>
        <w:tab/>
      </w:r>
      <w:r w:rsidRPr="00E224B1">
        <w:rPr>
          <w:lang w:bidi="ar-DZ"/>
        </w:rPr>
        <w:tab/>
      </w:r>
      <w:r w:rsidRPr="00E224B1">
        <w:t>2</w:t>
      </w:r>
    </w:p>
    <w:p w14:paraId="41DA3FC7" w14:textId="78C6E2F6"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rPr>
          <w:lang w:bidi="ar-DZ"/>
        </w:rPr>
        <w:t>4</w:t>
      </w:r>
      <w:r w:rsidRPr="00E224B1">
        <w:rPr>
          <w:rFonts w:asciiTheme="minorHAnsi" w:hAnsiTheme="minorHAnsi" w:cstheme="minorBidi"/>
          <w:kern w:val="2"/>
          <w:sz w:val="22"/>
          <w:szCs w:val="22"/>
          <w:lang w:eastAsia="en-GB"/>
          <w14:ligatures w14:val="standardContextual"/>
        </w:rPr>
        <w:tab/>
      </w:r>
      <w:r w:rsidRPr="00E224B1">
        <w:rPr>
          <w:lang w:bidi="ar-DZ"/>
        </w:rPr>
        <w:t>Abbreviations and acronyms</w:t>
      </w:r>
      <w:r w:rsidRPr="00E224B1">
        <w:rPr>
          <w:lang w:bidi="ar-DZ"/>
        </w:rPr>
        <w:tab/>
      </w:r>
      <w:r w:rsidRPr="00E224B1">
        <w:rPr>
          <w:lang w:bidi="ar-DZ"/>
        </w:rPr>
        <w:tab/>
      </w:r>
      <w:r w:rsidRPr="00E224B1">
        <w:t>2</w:t>
      </w:r>
    </w:p>
    <w:p w14:paraId="6CCD9413" w14:textId="582FBB4E"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rPr>
          <w:lang w:bidi="ar-DZ"/>
        </w:rPr>
        <w:t>5</w:t>
      </w:r>
      <w:r w:rsidRPr="00E224B1">
        <w:rPr>
          <w:rFonts w:asciiTheme="minorHAnsi" w:hAnsiTheme="minorHAnsi" w:cstheme="minorBidi"/>
          <w:kern w:val="2"/>
          <w:sz w:val="22"/>
          <w:szCs w:val="22"/>
          <w:lang w:eastAsia="en-GB"/>
          <w14:ligatures w14:val="standardContextual"/>
        </w:rPr>
        <w:tab/>
      </w:r>
      <w:r w:rsidRPr="00E224B1">
        <w:rPr>
          <w:lang w:bidi="ar-DZ"/>
        </w:rPr>
        <w:t>Introduction</w:t>
      </w:r>
      <w:r w:rsidRPr="00E224B1">
        <w:rPr>
          <w:lang w:bidi="ar-DZ"/>
        </w:rPr>
        <w:tab/>
      </w:r>
      <w:r w:rsidRPr="00E224B1">
        <w:rPr>
          <w:lang w:bidi="ar-DZ"/>
        </w:rPr>
        <w:tab/>
      </w:r>
      <w:r w:rsidRPr="00E224B1">
        <w:t>2</w:t>
      </w:r>
    </w:p>
    <w:p w14:paraId="25B6947D" w14:textId="75BD3C33"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t>6</w:t>
      </w:r>
      <w:r w:rsidRPr="00E224B1">
        <w:rPr>
          <w:rFonts w:asciiTheme="minorHAnsi" w:hAnsiTheme="minorHAnsi" w:cstheme="minorBidi"/>
          <w:kern w:val="2"/>
          <w:sz w:val="22"/>
          <w:szCs w:val="22"/>
          <w:lang w:eastAsia="en-GB"/>
          <w14:ligatures w14:val="standardContextual"/>
        </w:rPr>
        <w:tab/>
      </w:r>
      <w:r w:rsidRPr="00E224B1">
        <w:t>Categorization of RF level data in the context of usefulness</w:t>
      </w:r>
      <w:r w:rsidRPr="00E224B1">
        <w:tab/>
      </w:r>
      <w:r w:rsidRPr="00E224B1">
        <w:tab/>
        <w:t>3</w:t>
      </w:r>
    </w:p>
    <w:p w14:paraId="686B555A" w14:textId="145581CF"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t>7</w:t>
      </w:r>
      <w:r w:rsidRPr="00E224B1">
        <w:rPr>
          <w:rFonts w:asciiTheme="minorHAnsi" w:hAnsiTheme="minorHAnsi" w:cstheme="minorBidi"/>
          <w:kern w:val="2"/>
          <w:sz w:val="22"/>
          <w:szCs w:val="22"/>
          <w:lang w:eastAsia="en-GB"/>
          <w14:ligatures w14:val="standardContextual"/>
        </w:rPr>
        <w:tab/>
      </w:r>
      <w:r w:rsidRPr="00E224B1">
        <w:t>Essential properties of the NUI concept</w:t>
      </w:r>
      <w:r w:rsidRPr="00E224B1">
        <w:tab/>
      </w:r>
      <w:r w:rsidRPr="00E224B1">
        <w:tab/>
        <w:t>4</w:t>
      </w:r>
    </w:p>
    <w:p w14:paraId="78B644A5" w14:textId="38CF02DA"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t>8</w:t>
      </w:r>
      <w:r w:rsidRPr="00E224B1">
        <w:rPr>
          <w:rFonts w:asciiTheme="minorHAnsi" w:hAnsiTheme="minorHAnsi" w:cstheme="minorBidi"/>
          <w:kern w:val="2"/>
          <w:sz w:val="22"/>
          <w:szCs w:val="22"/>
          <w:lang w:eastAsia="en-GB"/>
          <w14:ligatures w14:val="standardContextual"/>
        </w:rPr>
        <w:tab/>
      </w:r>
      <w:r w:rsidRPr="00E224B1">
        <w:t>Practical basic examples</w:t>
      </w:r>
      <w:r w:rsidRPr="00E224B1">
        <w:tab/>
      </w:r>
      <w:r w:rsidRPr="00E224B1">
        <w:tab/>
        <w:t>4</w:t>
      </w:r>
    </w:p>
    <w:p w14:paraId="03745DD0" w14:textId="4A0AF556"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t>9</w:t>
      </w:r>
      <w:r w:rsidRPr="00E224B1">
        <w:rPr>
          <w:rFonts w:asciiTheme="minorHAnsi" w:hAnsiTheme="minorHAnsi" w:cstheme="minorBidi"/>
          <w:kern w:val="2"/>
          <w:sz w:val="22"/>
          <w:szCs w:val="22"/>
          <w:lang w:eastAsia="en-GB"/>
          <w14:ligatures w14:val="standardContextual"/>
        </w:rPr>
        <w:tab/>
      </w:r>
      <w:r w:rsidRPr="00E224B1">
        <w:t>Mapping relations for telephony</w:t>
      </w:r>
      <w:r w:rsidRPr="00E224B1">
        <w:tab/>
      </w:r>
      <w:r w:rsidRPr="00E224B1">
        <w:tab/>
        <w:t>5</w:t>
      </w:r>
    </w:p>
    <w:p w14:paraId="223FAF62" w14:textId="4AA91689"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t>10</w:t>
      </w:r>
      <w:r w:rsidRPr="00E224B1">
        <w:rPr>
          <w:rFonts w:asciiTheme="minorHAnsi" w:hAnsiTheme="minorHAnsi" w:cstheme="minorBidi"/>
          <w:kern w:val="2"/>
          <w:sz w:val="22"/>
          <w:szCs w:val="22"/>
          <w:lang w:eastAsia="en-GB"/>
          <w14:ligatures w14:val="standardContextual"/>
        </w:rPr>
        <w:tab/>
      </w:r>
      <w:r w:rsidRPr="00E224B1">
        <w:t>Mapping relations for packet data applications</w:t>
      </w:r>
      <w:r w:rsidRPr="00E224B1">
        <w:tab/>
      </w:r>
      <w:r w:rsidRPr="00E224B1">
        <w:tab/>
        <w:t>6</w:t>
      </w:r>
    </w:p>
    <w:p w14:paraId="00380CA3" w14:textId="27DEE55F"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t>11</w:t>
      </w:r>
      <w:r w:rsidRPr="00E224B1">
        <w:rPr>
          <w:rFonts w:asciiTheme="minorHAnsi" w:hAnsiTheme="minorHAnsi" w:cstheme="minorBidi"/>
          <w:kern w:val="2"/>
          <w:sz w:val="22"/>
          <w:szCs w:val="22"/>
          <w:lang w:eastAsia="en-GB"/>
          <w14:ligatures w14:val="standardContextual"/>
        </w:rPr>
        <w:tab/>
      </w:r>
      <w:r w:rsidRPr="00E224B1">
        <w:t>Geographic representation</w:t>
      </w:r>
      <w:r w:rsidRPr="00E224B1">
        <w:tab/>
      </w:r>
      <w:r w:rsidRPr="00E224B1">
        <w:tab/>
        <w:t>6</w:t>
      </w:r>
    </w:p>
    <w:p w14:paraId="01496804" w14:textId="6A2AE347" w:rsidR="009413B7" w:rsidRPr="00E224B1" w:rsidRDefault="009413B7" w:rsidP="009413B7">
      <w:pPr>
        <w:pStyle w:val="TOC1"/>
        <w:ind w:right="992"/>
        <w:rPr>
          <w:rFonts w:asciiTheme="minorHAnsi" w:hAnsiTheme="minorHAnsi" w:cstheme="minorBidi"/>
          <w:kern w:val="2"/>
          <w:sz w:val="22"/>
          <w:szCs w:val="22"/>
          <w:lang w:eastAsia="en-GB"/>
          <w14:ligatures w14:val="standardContextual"/>
        </w:rPr>
      </w:pPr>
      <w:r w:rsidRPr="00E224B1">
        <w:t>12</w:t>
      </w:r>
      <w:r w:rsidRPr="00E224B1">
        <w:rPr>
          <w:rFonts w:asciiTheme="minorHAnsi" w:hAnsiTheme="minorHAnsi" w:cstheme="minorBidi"/>
          <w:kern w:val="2"/>
          <w:sz w:val="22"/>
          <w:szCs w:val="22"/>
          <w:lang w:eastAsia="en-GB"/>
          <w14:ligatures w14:val="standardContextual"/>
        </w:rPr>
        <w:tab/>
      </w:r>
      <w:r w:rsidRPr="00E224B1">
        <w:t>Auxiliary quantities and further aggregation</w:t>
      </w:r>
      <w:r w:rsidRPr="00E224B1">
        <w:tab/>
      </w:r>
      <w:r w:rsidRPr="00E224B1">
        <w:tab/>
        <w:t>7</w:t>
      </w:r>
    </w:p>
    <w:p w14:paraId="7A820D1D" w14:textId="3FF31495" w:rsidR="009413B7" w:rsidRPr="00E224B1" w:rsidRDefault="009413B7" w:rsidP="009413B7"/>
    <w:p w14:paraId="679D8F9D" w14:textId="77777777" w:rsidR="009413B7" w:rsidRPr="00E224B1" w:rsidRDefault="009413B7" w:rsidP="00812991"/>
    <w:p w14:paraId="5E034CEF" w14:textId="77777777" w:rsidR="0088110A" w:rsidRPr="00E224B1" w:rsidRDefault="0088110A" w:rsidP="00812991">
      <w:pPr>
        <w:rPr>
          <w:b/>
          <w:bCs/>
        </w:rPr>
        <w:sectPr w:rsidR="0088110A" w:rsidRPr="00E224B1" w:rsidSect="00BD5402">
          <w:headerReference w:type="default" r:id="rId16"/>
          <w:footerReference w:type="even" r:id="rId17"/>
          <w:footerReference w:type="default" r:id="rId18"/>
          <w:type w:val="oddPage"/>
          <w:pgSz w:w="11907" w:h="16834"/>
          <w:pgMar w:top="1134" w:right="1134" w:bottom="1134" w:left="1134" w:header="567" w:footer="567" w:gutter="0"/>
          <w:paperSrc w:first="15" w:other="15"/>
          <w:pgNumType w:fmt="lowerRoman" w:start="1"/>
          <w:cols w:space="720"/>
          <w:docGrid w:linePitch="326"/>
        </w:sectPr>
      </w:pPr>
    </w:p>
    <w:p w14:paraId="66B10916" w14:textId="532D3FD0" w:rsidR="00812991" w:rsidRPr="00E224B1" w:rsidRDefault="00812991" w:rsidP="00812991">
      <w:pPr>
        <w:pStyle w:val="RecNo"/>
      </w:pPr>
      <w:r w:rsidRPr="00E224B1">
        <w:t xml:space="preserve">Technical Report ITU-T </w:t>
      </w:r>
      <w:r w:rsidRPr="00E224B1">
        <w:rPr>
          <w:bCs/>
        </w:rPr>
        <w:t>ESTR-NUI</w:t>
      </w:r>
    </w:p>
    <w:p w14:paraId="30B68788" w14:textId="4D94C314" w:rsidR="00812991" w:rsidRPr="00E224B1" w:rsidRDefault="00EA637D" w:rsidP="00812991">
      <w:pPr>
        <w:pStyle w:val="Rectitle"/>
      </w:pPr>
      <w:r w:rsidRPr="00E224B1">
        <w:t>Radio f</w:t>
      </w:r>
      <w:r w:rsidR="0042525E" w:rsidRPr="00E224B1">
        <w:t>r</w:t>
      </w:r>
      <w:r w:rsidRPr="00E224B1">
        <w:t>equency</w:t>
      </w:r>
      <w:r w:rsidR="001D4156" w:rsidRPr="00E224B1">
        <w:t xml:space="preserve"> </w:t>
      </w:r>
      <w:r w:rsidRPr="00E224B1">
        <w:t>level</w:t>
      </w:r>
      <w:r w:rsidR="001D4156" w:rsidRPr="00E224B1">
        <w:t>-</w:t>
      </w:r>
      <w:r w:rsidRPr="00E224B1">
        <w:t>based single</w:t>
      </w:r>
      <w:r w:rsidR="001D4156" w:rsidRPr="00E224B1">
        <w:t xml:space="preserve"> </w:t>
      </w:r>
      <w:r w:rsidRPr="00E224B1">
        <w:t>number indicator for mobile network usefulness for a given range of applications</w:t>
      </w:r>
    </w:p>
    <w:p w14:paraId="24960E5C" w14:textId="58108278" w:rsidR="00467172" w:rsidRPr="00E224B1" w:rsidRDefault="007C5AA6" w:rsidP="00467172">
      <w:pPr>
        <w:pStyle w:val="Heading1"/>
        <w:rPr>
          <w:lang w:bidi="ar-DZ"/>
        </w:rPr>
      </w:pPr>
      <w:bookmarkStart w:id="7" w:name="_Toc401158818"/>
      <w:bookmarkStart w:id="8" w:name="_Toc95076727"/>
      <w:bookmarkStart w:id="9" w:name="_Toc125305324"/>
      <w:bookmarkStart w:id="10" w:name="_Toc148950482"/>
      <w:bookmarkStart w:id="11" w:name="_Toc156896116"/>
      <w:r w:rsidRPr="00E224B1">
        <w:rPr>
          <w:lang w:bidi="ar-DZ"/>
        </w:rPr>
        <w:t>1</w:t>
      </w:r>
      <w:r w:rsidRPr="00E224B1">
        <w:rPr>
          <w:lang w:bidi="ar-DZ"/>
        </w:rPr>
        <w:tab/>
      </w:r>
      <w:r w:rsidR="00467172" w:rsidRPr="00E224B1">
        <w:rPr>
          <w:lang w:bidi="ar-DZ"/>
        </w:rPr>
        <w:t>Scope</w:t>
      </w:r>
      <w:bookmarkEnd w:id="7"/>
      <w:bookmarkEnd w:id="8"/>
      <w:bookmarkEnd w:id="9"/>
      <w:bookmarkEnd w:id="10"/>
      <w:bookmarkEnd w:id="11"/>
    </w:p>
    <w:p w14:paraId="2706548A" w14:textId="04EF4BEF" w:rsidR="007D4056" w:rsidRPr="00E224B1" w:rsidRDefault="007D4056" w:rsidP="007D4056">
      <w:bookmarkStart w:id="12" w:name="_Toc401158819"/>
      <w:bookmarkStart w:id="13" w:name="_Toc95076728"/>
      <w:r w:rsidRPr="00E224B1">
        <w:t xml:space="preserve">This </w:t>
      </w:r>
      <w:r w:rsidR="00D07F5B" w:rsidRPr="00E224B1">
        <w:t>Technical Report</w:t>
      </w:r>
      <w:r w:rsidRPr="00E224B1">
        <w:t xml:space="preserve"> establishes a framework for a single</w:t>
      </w:r>
      <w:r w:rsidR="003B3115" w:rsidRPr="00E224B1">
        <w:t xml:space="preserve"> </w:t>
      </w:r>
      <w:r w:rsidRPr="00E224B1">
        <w:t xml:space="preserve">number indicator expressing the usefulness of a mobile network </w:t>
      </w:r>
      <w:r w:rsidR="00B06551" w:rsidRPr="00E224B1">
        <w:t xml:space="preserve">of a </w:t>
      </w:r>
      <w:r w:rsidR="00D85AD5" w:rsidRPr="00E224B1">
        <w:t xml:space="preserve">service provider </w:t>
      </w:r>
      <w:r w:rsidRPr="00E224B1">
        <w:t xml:space="preserve">for a given range of purposes, </w:t>
      </w:r>
      <w:r w:rsidR="00DF5385" w:rsidRPr="00E224B1">
        <w:t>e.g.,</w:t>
      </w:r>
      <w:r w:rsidRPr="00E224B1">
        <w:t xml:space="preserve"> telephony or a range of packet</w:t>
      </w:r>
      <w:r w:rsidR="003B3115" w:rsidRPr="00E224B1">
        <w:t xml:space="preserve"> </w:t>
      </w:r>
      <w:r w:rsidRPr="00E224B1">
        <w:t xml:space="preserve">data applications. The </w:t>
      </w:r>
      <w:r w:rsidR="00D07F5B" w:rsidRPr="00E224B1">
        <w:t>Technical Report</w:t>
      </w:r>
      <w:r w:rsidRPr="00E224B1">
        <w:t xml:space="preserve"> </w:t>
      </w:r>
      <w:r w:rsidR="00D07F5B" w:rsidRPr="00E224B1">
        <w:t xml:space="preserve">also </w:t>
      </w:r>
      <w:r w:rsidRPr="00E224B1">
        <w:t>provides a methodology to calculate such indicators from basic measurement data, using transformation functions derived from empirical data.</w:t>
      </w:r>
    </w:p>
    <w:p w14:paraId="4C8D3654" w14:textId="53716C8F" w:rsidR="00491524" w:rsidRPr="00E224B1" w:rsidRDefault="00491524" w:rsidP="00491524">
      <w:r w:rsidRPr="00E224B1">
        <w:t xml:space="preserve">Potential users of this </w:t>
      </w:r>
      <w:r w:rsidR="00D07F5B" w:rsidRPr="00E224B1">
        <w:t>Technical Report</w:t>
      </w:r>
      <w:r w:rsidRPr="00E224B1">
        <w:t xml:space="preserve"> </w:t>
      </w:r>
      <w:r w:rsidR="00B84073" w:rsidRPr="00E224B1">
        <w:t>are</w:t>
      </w:r>
      <w:r w:rsidRPr="00E224B1">
        <w:t xml:space="preserve"> all stakeholders interested </w:t>
      </w:r>
      <w:r w:rsidR="00300665" w:rsidRPr="00E224B1">
        <w:t xml:space="preserve">in </w:t>
      </w:r>
      <w:r w:rsidRPr="00E224B1">
        <w:t>respective metrics. It can be assumed that mobile network operators have corresponding metrics used internally for purposes such as network optimization, which typically are even more complex and use multiple input values for enhanced precision. Therefore, the main benefit for th</w:t>
      </w:r>
      <w:r w:rsidR="00DB5E5F" w:rsidRPr="00E224B1">
        <w:t>ese</w:t>
      </w:r>
      <w:r w:rsidRPr="00E224B1">
        <w:t xml:space="preserve"> user groups</w:t>
      </w:r>
      <w:r w:rsidR="00D07F5B" w:rsidRPr="00E224B1">
        <w:t xml:space="preserve"> may be that this Technical Report</w:t>
      </w:r>
      <w:r w:rsidRPr="00E224B1">
        <w:t xml:space="preserve"> presents a universal metric of </w:t>
      </w:r>
      <w:r w:rsidR="00DB5E5F" w:rsidRPr="00E224B1">
        <w:t>a</w:t>
      </w:r>
      <w:r w:rsidRPr="00E224B1">
        <w:t xml:space="preserve"> type which is non-proprietary and is suitable for communicating performance characteristics to a wider audience. However, other stakeholder groups do not have access to the wide spectrum of information available to network operators. For them, </w:t>
      </w:r>
      <w:r w:rsidR="00D07F5B" w:rsidRPr="00E224B1">
        <w:t>the Technical Report</w:t>
      </w:r>
      <w:r w:rsidRPr="00E224B1">
        <w:t xml:space="preserve"> provides a robust toolbox to create respective metrics. The principal input quantity is easily measurable (with passive measurement systems, scanners or through means of crowdsourcing); the transformations used are based on empirical data; and the output quantity, being a scalar value, can easily be visualized in many different ways, in particular on maps. Also, the methodology allows </w:t>
      </w:r>
      <w:r w:rsidR="003B3115" w:rsidRPr="00E224B1">
        <w:t xml:space="preserve">us </w:t>
      </w:r>
      <w:r w:rsidRPr="00E224B1">
        <w:t>to expand the dimensionality of input quantities, allowing for extending the methodology by</w:t>
      </w:r>
      <w:r w:rsidR="000C6F3E">
        <w:t>,</w:t>
      </w:r>
      <w:r w:rsidRPr="00E224B1">
        <w:t xml:space="preserve"> </w:t>
      </w:r>
      <w:r w:rsidR="00DF5385" w:rsidRPr="00E224B1">
        <w:t>e.g.,</w:t>
      </w:r>
      <w:r w:rsidRPr="00E224B1">
        <w:t xml:space="preserve"> using machine-learning techniques.</w:t>
      </w:r>
    </w:p>
    <w:p w14:paraId="6AD3B33B" w14:textId="0A262CBD" w:rsidR="007D4056" w:rsidRPr="00E224B1" w:rsidRDefault="00491524" w:rsidP="00491524">
      <w:r w:rsidRPr="00E224B1">
        <w:t xml:space="preserve">In addition, the construction of the Network Usefulness Index </w:t>
      </w:r>
      <w:r w:rsidR="003B3115" w:rsidRPr="00E224B1">
        <w:t xml:space="preserve">(NUI) </w:t>
      </w:r>
      <w:r w:rsidRPr="00E224B1">
        <w:t>allows for a level beyond a single mobile network. An example application is the assessment of the probability that emergency calls</w:t>
      </w:r>
      <w:r w:rsidR="003B3115" w:rsidRPr="00E224B1">
        <w:t>,</w:t>
      </w:r>
      <w:r w:rsidRPr="00E224B1">
        <w:t xml:space="preserve"> which use all available networks</w:t>
      </w:r>
      <w:r w:rsidR="003B3115" w:rsidRPr="00E224B1">
        <w:t>,</w:t>
      </w:r>
      <w:r w:rsidRPr="00E224B1">
        <w:t xml:space="preserve"> can be performed in a given location.</w:t>
      </w:r>
    </w:p>
    <w:p w14:paraId="577CC64B" w14:textId="0E194052" w:rsidR="00467172" w:rsidRPr="00E224B1" w:rsidRDefault="000B4E41" w:rsidP="00467172">
      <w:pPr>
        <w:pStyle w:val="Heading1"/>
        <w:rPr>
          <w:lang w:bidi="ar-DZ"/>
        </w:rPr>
      </w:pPr>
      <w:bookmarkStart w:id="14" w:name="_Toc125305325"/>
      <w:bookmarkStart w:id="15" w:name="_Toc148950483"/>
      <w:bookmarkStart w:id="16" w:name="_Toc156896117"/>
      <w:r w:rsidRPr="00E224B1">
        <w:rPr>
          <w:lang w:bidi="ar-DZ"/>
        </w:rPr>
        <w:t>2</w:t>
      </w:r>
      <w:r w:rsidRPr="00E224B1">
        <w:rPr>
          <w:lang w:bidi="ar-DZ"/>
        </w:rPr>
        <w:tab/>
      </w:r>
      <w:r w:rsidR="00467172" w:rsidRPr="00E224B1">
        <w:rPr>
          <w:lang w:bidi="ar-DZ"/>
        </w:rPr>
        <w:t>References</w:t>
      </w:r>
      <w:bookmarkEnd w:id="12"/>
      <w:bookmarkEnd w:id="13"/>
      <w:bookmarkEnd w:id="14"/>
      <w:bookmarkEnd w:id="15"/>
      <w:bookmarkEnd w:id="16"/>
    </w:p>
    <w:p w14:paraId="3817C663" w14:textId="77777777" w:rsidR="00A4769E" w:rsidRPr="00E224B1" w:rsidRDefault="00A4769E" w:rsidP="00A4769E">
      <w:pPr>
        <w:pStyle w:val="Reftext"/>
        <w:tabs>
          <w:tab w:val="clear" w:pos="794"/>
          <w:tab w:val="clear" w:pos="1191"/>
          <w:tab w:val="clear" w:pos="1588"/>
          <w:tab w:val="clear" w:pos="1985"/>
        </w:tabs>
        <w:ind w:left="1843" w:hanging="1843"/>
        <w:rPr>
          <w:sz w:val="22"/>
          <w:szCs w:val="22"/>
        </w:rPr>
      </w:pPr>
      <w:bookmarkStart w:id="17" w:name="_Toc401158820"/>
      <w:bookmarkStart w:id="18" w:name="_Toc95076729"/>
      <w:r w:rsidRPr="00E224B1">
        <w:t>[ITU-T E.800]</w:t>
      </w:r>
      <w:r w:rsidRPr="00E224B1">
        <w:tab/>
        <w:t xml:space="preserve">Recommendation ITU-T E.800 (2008), </w:t>
      </w:r>
      <w:r w:rsidRPr="00E224B1">
        <w:rPr>
          <w:i/>
          <w:iCs/>
        </w:rPr>
        <w:t>Definitions of terms related to quality of service</w:t>
      </w:r>
      <w:r w:rsidRPr="00E224B1">
        <w:t>.</w:t>
      </w:r>
    </w:p>
    <w:p w14:paraId="7A795609" w14:textId="177432DC" w:rsidR="00A4769E" w:rsidRPr="00E224B1" w:rsidRDefault="00A4769E" w:rsidP="00A4769E">
      <w:pPr>
        <w:pStyle w:val="Reftext"/>
        <w:tabs>
          <w:tab w:val="clear" w:pos="794"/>
          <w:tab w:val="clear" w:pos="1191"/>
          <w:tab w:val="clear" w:pos="1588"/>
          <w:tab w:val="clear" w:pos="1985"/>
        </w:tabs>
        <w:ind w:left="1843" w:hanging="1843"/>
      </w:pPr>
      <w:r w:rsidRPr="00E224B1">
        <w:t>[ITU-T G.1034]</w:t>
      </w:r>
      <w:r w:rsidRPr="00E224B1">
        <w:tab/>
        <w:t xml:space="preserve">Recommendation ITU-T G.1034 (2020), </w:t>
      </w:r>
      <w:r w:rsidR="008F3708" w:rsidRPr="00E225E6">
        <w:rPr>
          <w:i/>
          <w:iCs/>
        </w:rPr>
        <w:t>Quality of Experience</w:t>
      </w:r>
      <w:r w:rsidRPr="00E224B1">
        <w:rPr>
          <w:i/>
          <w:iCs/>
        </w:rPr>
        <w:t xml:space="preserve"> metrics for mobile telephony communication during rail travel</w:t>
      </w:r>
      <w:r w:rsidR="007B7AAB" w:rsidRPr="00E224B1">
        <w:t>.</w:t>
      </w:r>
    </w:p>
    <w:p w14:paraId="691AC5BF" w14:textId="77777777" w:rsidR="00A4769E" w:rsidRPr="00E224B1" w:rsidRDefault="00A4769E" w:rsidP="00A4769E">
      <w:pPr>
        <w:pStyle w:val="Reftext"/>
        <w:tabs>
          <w:tab w:val="clear" w:pos="794"/>
          <w:tab w:val="clear" w:pos="1191"/>
          <w:tab w:val="clear" w:pos="1588"/>
          <w:tab w:val="clear" w:pos="1985"/>
        </w:tabs>
        <w:ind w:left="1843" w:hanging="1843"/>
      </w:pPr>
      <w:r w:rsidRPr="00E224B1">
        <w:t>[ITU-T P.10]</w:t>
      </w:r>
      <w:r w:rsidRPr="00E224B1">
        <w:tab/>
        <w:t xml:space="preserve">Recommendation ITU-T P.10/G.100 (2017), </w:t>
      </w:r>
      <w:r w:rsidRPr="00E224B1">
        <w:rPr>
          <w:i/>
          <w:iCs/>
        </w:rPr>
        <w:t>Vocabulary for performance, quality of service and quality of experience</w:t>
      </w:r>
      <w:r w:rsidRPr="00E224B1">
        <w:t>.</w:t>
      </w:r>
    </w:p>
    <w:p w14:paraId="68852326" w14:textId="04C19875" w:rsidR="007D4056" w:rsidRPr="00E224B1" w:rsidRDefault="007D4056" w:rsidP="000B4E41">
      <w:pPr>
        <w:pStyle w:val="Reftext"/>
        <w:tabs>
          <w:tab w:val="clear" w:pos="794"/>
          <w:tab w:val="clear" w:pos="1191"/>
          <w:tab w:val="clear" w:pos="1588"/>
          <w:tab w:val="clear" w:pos="1985"/>
        </w:tabs>
        <w:ind w:left="1843" w:hanging="1843"/>
        <w:rPr>
          <w:i/>
        </w:rPr>
      </w:pPr>
      <w:r w:rsidRPr="00E224B1">
        <w:t>[ITU-T P.863</w:t>
      </w:r>
      <w:r w:rsidR="00BC7173" w:rsidRPr="00E224B1">
        <w:t>]</w:t>
      </w:r>
      <w:r w:rsidR="00BC7173" w:rsidRPr="00E224B1">
        <w:tab/>
      </w:r>
      <w:r w:rsidRPr="00E224B1">
        <w:t xml:space="preserve">Recommendation ITU-T P.863 (2018), </w:t>
      </w:r>
      <w:r w:rsidRPr="00E224B1">
        <w:rPr>
          <w:i/>
        </w:rPr>
        <w:t>Perceptual objective listening quality prediction</w:t>
      </w:r>
      <w:r w:rsidR="007B7AAB" w:rsidRPr="00E224B1">
        <w:rPr>
          <w:iCs/>
        </w:rPr>
        <w:t>.</w:t>
      </w:r>
    </w:p>
    <w:p w14:paraId="10CA1E5F" w14:textId="3DAA9FB3" w:rsidR="009635CB" w:rsidRPr="00E224B1" w:rsidRDefault="007E4F4D" w:rsidP="00467172">
      <w:pPr>
        <w:pStyle w:val="Heading1"/>
        <w:rPr>
          <w:lang w:bidi="ar-DZ"/>
        </w:rPr>
      </w:pPr>
      <w:bookmarkStart w:id="19" w:name="_Toc125305326"/>
      <w:bookmarkStart w:id="20" w:name="_Toc148950484"/>
      <w:bookmarkStart w:id="21" w:name="_Toc156896118"/>
      <w:r w:rsidRPr="00E224B1">
        <w:rPr>
          <w:lang w:bidi="ar-DZ"/>
        </w:rPr>
        <w:t>3</w:t>
      </w:r>
      <w:r w:rsidRPr="00E224B1">
        <w:rPr>
          <w:lang w:bidi="ar-DZ"/>
        </w:rPr>
        <w:tab/>
        <w:t>D</w:t>
      </w:r>
      <w:r w:rsidR="009635CB" w:rsidRPr="00E224B1">
        <w:rPr>
          <w:lang w:bidi="ar-DZ"/>
        </w:rPr>
        <w:t>efinitions</w:t>
      </w:r>
      <w:bookmarkEnd w:id="17"/>
      <w:bookmarkEnd w:id="18"/>
      <w:bookmarkEnd w:id="19"/>
      <w:bookmarkEnd w:id="20"/>
      <w:bookmarkEnd w:id="21"/>
    </w:p>
    <w:p w14:paraId="34FBE75F" w14:textId="68AF671E" w:rsidR="009635CB" w:rsidRPr="00E224B1" w:rsidRDefault="007E4F4D" w:rsidP="009635CB">
      <w:pPr>
        <w:pStyle w:val="Heading2"/>
        <w:rPr>
          <w:lang w:bidi="ar-DZ"/>
        </w:rPr>
      </w:pPr>
      <w:bookmarkStart w:id="22" w:name="_Toc401158821"/>
      <w:bookmarkStart w:id="23" w:name="_Toc95076730"/>
      <w:bookmarkStart w:id="24" w:name="_Toc125305327"/>
      <w:bookmarkStart w:id="25" w:name="_Toc148950485"/>
      <w:bookmarkStart w:id="26" w:name="_Toc156896119"/>
      <w:r w:rsidRPr="00E224B1">
        <w:rPr>
          <w:lang w:bidi="ar-DZ"/>
        </w:rPr>
        <w:t>3.1</w:t>
      </w:r>
      <w:r w:rsidRPr="00E224B1">
        <w:rPr>
          <w:lang w:bidi="ar-DZ"/>
        </w:rPr>
        <w:tab/>
      </w:r>
      <w:r w:rsidR="009635CB" w:rsidRPr="00E224B1">
        <w:rPr>
          <w:lang w:bidi="ar-DZ"/>
        </w:rPr>
        <w:t>Terms defined elsewhere</w:t>
      </w:r>
      <w:bookmarkEnd w:id="22"/>
      <w:bookmarkEnd w:id="23"/>
      <w:bookmarkEnd w:id="24"/>
      <w:bookmarkEnd w:id="25"/>
      <w:bookmarkEnd w:id="26"/>
    </w:p>
    <w:p w14:paraId="3EE7FE94" w14:textId="77777777" w:rsidR="009635CB" w:rsidRPr="00E224B1" w:rsidRDefault="009635CB" w:rsidP="009635CB">
      <w:r w:rsidRPr="00E224B1">
        <w:t xml:space="preserve">This Technical </w:t>
      </w:r>
      <w:r w:rsidR="00C26533" w:rsidRPr="00E224B1">
        <w:t>Report</w:t>
      </w:r>
      <w:r w:rsidRPr="00E224B1">
        <w:t xml:space="preserve"> uses the following terms defined elsewhere:</w:t>
      </w:r>
    </w:p>
    <w:p w14:paraId="7C54BE23" w14:textId="2092B093" w:rsidR="007D4056" w:rsidRPr="00E224B1" w:rsidRDefault="007D4056" w:rsidP="007D4056">
      <w:bookmarkStart w:id="27" w:name="_Toc401158822"/>
      <w:bookmarkStart w:id="28" w:name="_Toc95076731"/>
      <w:r w:rsidRPr="00E224B1">
        <w:rPr>
          <w:b/>
        </w:rPr>
        <w:t>3.1.1</w:t>
      </w:r>
      <w:r w:rsidRPr="00E224B1">
        <w:rPr>
          <w:b/>
        </w:rPr>
        <w:tab/>
      </w:r>
      <w:r w:rsidR="00231B35" w:rsidRPr="00E224B1">
        <w:rPr>
          <w:b/>
          <w:bCs/>
        </w:rPr>
        <w:t xml:space="preserve">quality </w:t>
      </w:r>
      <w:r w:rsidRPr="00E224B1">
        <w:rPr>
          <w:b/>
          <w:bCs/>
        </w:rPr>
        <w:t>of experience (QoE)</w:t>
      </w:r>
      <w:r w:rsidRPr="00E224B1">
        <w:t xml:space="preserve"> [ITU-T P.10]: The degree of delight or annoyance of the user of an application or service.</w:t>
      </w:r>
    </w:p>
    <w:p w14:paraId="5A0F45F7" w14:textId="1C1578C8" w:rsidR="007D4056" w:rsidRPr="00E224B1" w:rsidRDefault="007D4056" w:rsidP="007D4056">
      <w:r w:rsidRPr="00E224B1">
        <w:rPr>
          <w:b/>
        </w:rPr>
        <w:t>3.1.2</w:t>
      </w:r>
      <w:r w:rsidRPr="00E224B1">
        <w:rPr>
          <w:b/>
        </w:rPr>
        <w:tab/>
      </w:r>
      <w:r w:rsidR="00231B35" w:rsidRPr="00E224B1">
        <w:rPr>
          <w:b/>
          <w:bCs/>
        </w:rPr>
        <w:t xml:space="preserve">quality </w:t>
      </w:r>
      <w:r w:rsidRPr="00E224B1">
        <w:rPr>
          <w:b/>
          <w:bCs/>
        </w:rPr>
        <w:t xml:space="preserve">of service (QoS) </w:t>
      </w:r>
      <w:r w:rsidRPr="00E224B1">
        <w:t>[ITU-T E.800]: The totality of characteristics of a telecommunications service that bear on its ability to satisfy stated and implied needs of the user of the service.</w:t>
      </w:r>
    </w:p>
    <w:p w14:paraId="2CE9FADB" w14:textId="68024722" w:rsidR="009635CB" w:rsidRPr="00E224B1" w:rsidRDefault="00231B35" w:rsidP="009635CB">
      <w:pPr>
        <w:pStyle w:val="Heading2"/>
        <w:rPr>
          <w:lang w:bidi="ar-DZ"/>
        </w:rPr>
      </w:pPr>
      <w:bookmarkStart w:id="29" w:name="_Toc125305328"/>
      <w:bookmarkStart w:id="30" w:name="_Toc148950486"/>
      <w:bookmarkStart w:id="31" w:name="_Toc156896120"/>
      <w:r w:rsidRPr="00E224B1">
        <w:rPr>
          <w:lang w:bidi="ar-DZ"/>
        </w:rPr>
        <w:t>3.2</w:t>
      </w:r>
      <w:r w:rsidRPr="00E224B1">
        <w:rPr>
          <w:lang w:bidi="ar-DZ"/>
        </w:rPr>
        <w:tab/>
      </w:r>
      <w:r w:rsidR="009635CB" w:rsidRPr="00E224B1">
        <w:rPr>
          <w:lang w:bidi="ar-DZ"/>
        </w:rPr>
        <w:t xml:space="preserve">Terms defined </w:t>
      </w:r>
      <w:bookmarkEnd w:id="27"/>
      <w:bookmarkEnd w:id="28"/>
      <w:bookmarkEnd w:id="29"/>
      <w:r w:rsidR="00EA637D" w:rsidRPr="00E224B1">
        <w:rPr>
          <w:lang w:bidi="ar-DZ"/>
        </w:rPr>
        <w:t>in this Technical Report</w:t>
      </w:r>
      <w:bookmarkEnd w:id="30"/>
      <w:bookmarkEnd w:id="31"/>
    </w:p>
    <w:p w14:paraId="27497E86" w14:textId="3A6FD8D7" w:rsidR="009635CB" w:rsidRPr="00E224B1" w:rsidRDefault="009635CB" w:rsidP="00C26533">
      <w:r w:rsidRPr="00E224B1">
        <w:t xml:space="preserve">This </w:t>
      </w:r>
      <w:r w:rsidR="00C26533" w:rsidRPr="00E224B1">
        <w:t>Technical Report</w:t>
      </w:r>
      <w:r w:rsidRPr="00E224B1">
        <w:t xml:space="preserve"> defines the following term:</w:t>
      </w:r>
    </w:p>
    <w:p w14:paraId="5BE4D2B9" w14:textId="1AA5B0C1" w:rsidR="007D4056" w:rsidRPr="00E224B1" w:rsidRDefault="007D4056" w:rsidP="007D4056">
      <w:pPr>
        <w:tabs>
          <w:tab w:val="left" w:pos="851"/>
        </w:tabs>
      </w:pPr>
      <w:bookmarkStart w:id="32" w:name="_Toc401158823"/>
      <w:bookmarkStart w:id="33" w:name="_Toc95076732"/>
      <w:r w:rsidRPr="00E224B1">
        <w:rPr>
          <w:b/>
        </w:rPr>
        <w:t>3.2.1</w:t>
      </w:r>
      <w:r w:rsidRPr="00E224B1">
        <w:rPr>
          <w:b/>
        </w:rPr>
        <w:tab/>
      </w:r>
      <w:r w:rsidR="00231B35" w:rsidRPr="00E224B1">
        <w:rPr>
          <w:b/>
        </w:rPr>
        <w:t>network usefulness index</w:t>
      </w:r>
      <w:r w:rsidR="00231B35" w:rsidRPr="00E224B1">
        <w:rPr>
          <w:rFonts w:eastAsia="Times New Roman"/>
          <w:b/>
        </w:rPr>
        <w:t xml:space="preserve"> </w:t>
      </w:r>
      <w:r w:rsidRPr="00E224B1">
        <w:rPr>
          <w:rFonts w:eastAsia="Times New Roman"/>
          <w:b/>
        </w:rPr>
        <w:t>(NUI</w:t>
      </w:r>
      <w:r w:rsidRPr="00E224B1">
        <w:rPr>
          <w:b/>
        </w:rPr>
        <w:t>)</w:t>
      </w:r>
      <w:r w:rsidRPr="00E224B1">
        <w:rPr>
          <w:bCs/>
        </w:rPr>
        <w:t>: A numerical indicator for the usefulness of a mobile network for a given range of purposes</w:t>
      </w:r>
      <w:r w:rsidRPr="00E224B1">
        <w:t xml:space="preserve"> (see full definition in clause 7). The framework includes the possibility of using textual extensions (NUI_X) for a particular range X.</w:t>
      </w:r>
    </w:p>
    <w:p w14:paraId="591F11A2" w14:textId="7C15E93A" w:rsidR="00467172" w:rsidRPr="00E224B1" w:rsidRDefault="00231B35" w:rsidP="00231B35">
      <w:pPr>
        <w:pStyle w:val="Heading1"/>
        <w:rPr>
          <w:lang w:bidi="ar-DZ"/>
        </w:rPr>
      </w:pPr>
      <w:bookmarkStart w:id="34" w:name="_Toc125305329"/>
      <w:bookmarkStart w:id="35" w:name="_Toc148950487"/>
      <w:bookmarkStart w:id="36" w:name="_Toc156896121"/>
      <w:r w:rsidRPr="00E224B1">
        <w:rPr>
          <w:lang w:bidi="ar-DZ"/>
        </w:rPr>
        <w:t>4</w:t>
      </w:r>
      <w:r w:rsidRPr="00E224B1">
        <w:rPr>
          <w:lang w:bidi="ar-DZ"/>
        </w:rPr>
        <w:tab/>
      </w:r>
      <w:bookmarkEnd w:id="32"/>
      <w:bookmarkEnd w:id="33"/>
      <w:bookmarkEnd w:id="34"/>
      <w:r w:rsidRPr="00E224B1">
        <w:rPr>
          <w:lang w:bidi="ar-DZ"/>
        </w:rPr>
        <w:t>Abbreviations and acronyms</w:t>
      </w:r>
      <w:bookmarkEnd w:id="35"/>
      <w:bookmarkEnd w:id="36"/>
    </w:p>
    <w:p w14:paraId="4C3FAF2A" w14:textId="77777777" w:rsidR="00231B35" w:rsidRPr="00E224B1" w:rsidRDefault="00231B35" w:rsidP="00231B35">
      <w:r w:rsidRPr="00E224B1">
        <w:t>This Technical Report uses the following abbreviations and acronyms:</w:t>
      </w:r>
    </w:p>
    <w:p w14:paraId="33D3D870" w14:textId="77777777" w:rsidR="00231B35" w:rsidRPr="00E224B1" w:rsidRDefault="00231B35" w:rsidP="00231B35">
      <w:pPr>
        <w:tabs>
          <w:tab w:val="clear" w:pos="794"/>
        </w:tabs>
      </w:pPr>
      <w:r w:rsidRPr="00E224B1">
        <w:t>GDPR</w:t>
      </w:r>
      <w:r w:rsidRPr="00E224B1">
        <w:tab/>
        <w:t>General Data Protection Regulation</w:t>
      </w:r>
    </w:p>
    <w:p w14:paraId="61230CBD" w14:textId="0CC5519C" w:rsidR="00231B35" w:rsidRPr="00E224B1" w:rsidRDefault="00231B35" w:rsidP="00231B35">
      <w:pPr>
        <w:tabs>
          <w:tab w:val="clear" w:pos="794"/>
        </w:tabs>
      </w:pPr>
      <w:r w:rsidRPr="00E224B1">
        <w:t>GNSS</w:t>
      </w:r>
      <w:r w:rsidRPr="00E224B1">
        <w:tab/>
        <w:t>Global Navigation Satellite System</w:t>
      </w:r>
    </w:p>
    <w:p w14:paraId="18AC9683" w14:textId="77777777" w:rsidR="00231B35" w:rsidRPr="00E224B1" w:rsidRDefault="00231B35" w:rsidP="00231B35">
      <w:pPr>
        <w:tabs>
          <w:tab w:val="clear" w:pos="794"/>
        </w:tabs>
      </w:pPr>
      <w:r w:rsidRPr="00E224B1">
        <w:t>KPI</w:t>
      </w:r>
      <w:r w:rsidRPr="00E224B1">
        <w:tab/>
        <w:t>Key Performance Indicator</w:t>
      </w:r>
    </w:p>
    <w:p w14:paraId="3016EFFD" w14:textId="77777777" w:rsidR="00231B35" w:rsidRPr="00E224B1" w:rsidRDefault="00231B35" w:rsidP="00231B35">
      <w:pPr>
        <w:tabs>
          <w:tab w:val="clear" w:pos="794"/>
        </w:tabs>
      </w:pPr>
      <w:r w:rsidRPr="00E224B1">
        <w:t>OTT</w:t>
      </w:r>
      <w:r w:rsidRPr="00E224B1">
        <w:tab/>
        <w:t>Over The Top</w:t>
      </w:r>
    </w:p>
    <w:p w14:paraId="7B0192ED" w14:textId="77777777" w:rsidR="00231B35" w:rsidRPr="00E224B1" w:rsidRDefault="00231B35" w:rsidP="00231B35">
      <w:pPr>
        <w:tabs>
          <w:tab w:val="clear" w:pos="794"/>
        </w:tabs>
      </w:pPr>
      <w:r w:rsidRPr="00E224B1">
        <w:t>RAT</w:t>
      </w:r>
      <w:r w:rsidRPr="00E224B1">
        <w:tab/>
        <w:t>Radio Access Technology</w:t>
      </w:r>
    </w:p>
    <w:p w14:paraId="066E7C05" w14:textId="77777777" w:rsidR="00231B35" w:rsidRPr="00E224B1" w:rsidRDefault="00231B35" w:rsidP="00231B35">
      <w:pPr>
        <w:tabs>
          <w:tab w:val="clear" w:pos="794"/>
        </w:tabs>
      </w:pPr>
      <w:r w:rsidRPr="00E224B1">
        <w:t>RF</w:t>
      </w:r>
      <w:r w:rsidRPr="00E224B1">
        <w:tab/>
        <w:t>Radio Frequency</w:t>
      </w:r>
    </w:p>
    <w:p w14:paraId="57989146" w14:textId="77777777" w:rsidR="00231B35" w:rsidRPr="00E224B1" w:rsidRDefault="00231B35" w:rsidP="00231B35">
      <w:pPr>
        <w:tabs>
          <w:tab w:val="clear" w:pos="794"/>
        </w:tabs>
      </w:pPr>
      <w:r w:rsidRPr="00E224B1">
        <w:t>RSCP</w:t>
      </w:r>
      <w:r w:rsidRPr="00E224B1">
        <w:tab/>
        <w:t>Received Signal Code Power</w:t>
      </w:r>
    </w:p>
    <w:p w14:paraId="130A12E2" w14:textId="77777777" w:rsidR="00231B35" w:rsidRPr="00E224B1" w:rsidRDefault="00231B35" w:rsidP="00231B35">
      <w:pPr>
        <w:tabs>
          <w:tab w:val="clear" w:pos="794"/>
        </w:tabs>
      </w:pPr>
      <w:r w:rsidRPr="00E224B1">
        <w:t>RSRP</w:t>
      </w:r>
      <w:r w:rsidRPr="00E224B1">
        <w:tab/>
        <w:t>Reference Signal Received Power</w:t>
      </w:r>
    </w:p>
    <w:p w14:paraId="04832386" w14:textId="77777777" w:rsidR="00231B35" w:rsidRPr="00E224B1" w:rsidRDefault="00231B35" w:rsidP="00231B35">
      <w:pPr>
        <w:tabs>
          <w:tab w:val="clear" w:pos="794"/>
        </w:tabs>
      </w:pPr>
      <w:r w:rsidRPr="00E224B1">
        <w:t>RxLev</w:t>
      </w:r>
      <w:r w:rsidRPr="00E224B1">
        <w:tab/>
        <w:t>Reception Level</w:t>
      </w:r>
    </w:p>
    <w:p w14:paraId="35F680BB" w14:textId="77777777" w:rsidR="00231B35" w:rsidRPr="00E224B1" w:rsidRDefault="00231B35" w:rsidP="00231B35">
      <w:pPr>
        <w:tabs>
          <w:tab w:val="clear" w:pos="794"/>
        </w:tabs>
      </w:pPr>
      <w:r w:rsidRPr="00E224B1">
        <w:t>SpQ</w:t>
      </w:r>
      <w:r w:rsidRPr="00E224B1">
        <w:tab/>
        <w:t>Speech Quality</w:t>
      </w:r>
    </w:p>
    <w:p w14:paraId="5DDA14E4" w14:textId="650DE74C" w:rsidR="00BC7173" w:rsidRPr="00E224B1" w:rsidRDefault="00B05A6E" w:rsidP="00BC7173">
      <w:pPr>
        <w:pStyle w:val="Heading1"/>
      </w:pPr>
      <w:bookmarkStart w:id="37" w:name="_Toc401158824"/>
      <w:bookmarkStart w:id="38" w:name="_Toc95076733"/>
      <w:bookmarkStart w:id="39" w:name="_Toc125305330"/>
      <w:bookmarkStart w:id="40" w:name="_Toc148950488"/>
      <w:bookmarkStart w:id="41" w:name="_Toc156896122"/>
      <w:r w:rsidRPr="00E224B1">
        <w:rPr>
          <w:lang w:bidi="ar-DZ"/>
        </w:rPr>
        <w:t>5</w:t>
      </w:r>
      <w:r w:rsidRPr="00E224B1">
        <w:rPr>
          <w:lang w:bidi="ar-DZ"/>
        </w:rPr>
        <w:tab/>
      </w:r>
      <w:r w:rsidR="00BC7173" w:rsidRPr="00E224B1">
        <w:rPr>
          <w:lang w:bidi="ar-DZ"/>
        </w:rPr>
        <w:t>Introduction</w:t>
      </w:r>
      <w:bookmarkEnd w:id="37"/>
      <w:bookmarkEnd w:id="38"/>
      <w:bookmarkEnd w:id="39"/>
      <w:bookmarkEnd w:id="40"/>
      <w:bookmarkEnd w:id="41"/>
    </w:p>
    <w:p w14:paraId="126051F6" w14:textId="2DE84DAC" w:rsidR="00BC7173" w:rsidRPr="00E224B1" w:rsidRDefault="00BC7173" w:rsidP="00BC7173">
      <w:r w:rsidRPr="00E224B1">
        <w:t>Single</w:t>
      </w:r>
      <w:r w:rsidR="003B3115" w:rsidRPr="00E224B1">
        <w:t xml:space="preserve"> </w:t>
      </w:r>
      <w:r w:rsidRPr="00E224B1">
        <w:t xml:space="preserve">number indicators are practical instruments for many purposes. Of course, meaning and function of such highly aggregated data needs to be well understood and applied with care. When doing so, such indicators have many useful applications, such as providing easy to digest status information and guidance for optimization. Also, such indicators can be helpful in </w:t>
      </w:r>
      <w:r w:rsidR="00FE4581" w:rsidRPr="00E224B1">
        <w:t xml:space="preserve">the </w:t>
      </w:r>
      <w:r w:rsidRPr="00E224B1">
        <w:t>visualization of data, in particular in spatial or geographic contexts.</w:t>
      </w:r>
    </w:p>
    <w:p w14:paraId="143509C2" w14:textId="7B257027" w:rsidR="00BC7173" w:rsidRPr="00E224B1" w:rsidRDefault="00BC7173" w:rsidP="00BC7173">
      <w:r w:rsidRPr="00E224B1">
        <w:t>Mobile network performance assessment, and benchmarking in particular, is one of the fields where single</w:t>
      </w:r>
      <w:r w:rsidR="003B3115" w:rsidRPr="00E224B1">
        <w:t xml:space="preserve"> </w:t>
      </w:r>
      <w:r w:rsidRPr="00E224B1">
        <w:t xml:space="preserve">number indicators are applied routinely, </w:t>
      </w:r>
      <w:r w:rsidR="00DF5385" w:rsidRPr="00E224B1">
        <w:t>e.g.,</w:t>
      </w:r>
      <w:r w:rsidRPr="00E224B1">
        <w:t xml:space="preserve"> when creating rankings. The underlying principle is rather straightforward, with two main ingredients: mapping of basic Key Performance Indicators (KPIs) to a score value, </w:t>
      </w:r>
      <w:r w:rsidR="00DF5385" w:rsidRPr="00E224B1">
        <w:t>e.g.,</w:t>
      </w:r>
      <w:r w:rsidRPr="00E224B1">
        <w:t xml:space="preserve"> a value between 0 and 100, and aggregating these scores by applying </w:t>
      </w:r>
      <w:r w:rsidR="00FE4581" w:rsidRPr="00E224B1">
        <w:t>a</w:t>
      </w:r>
      <w:r w:rsidRPr="00E224B1">
        <w:t xml:space="preserve"> system of weights. There are several degrees of freedom in </w:t>
      </w:r>
      <w:r w:rsidR="00FE4581" w:rsidRPr="00E224B1">
        <w:t xml:space="preserve">the </w:t>
      </w:r>
      <w:r w:rsidRPr="00E224B1">
        <w:t>creation of actual algorithms, which has led to a number of commercially</w:t>
      </w:r>
      <w:r w:rsidR="00FE4581" w:rsidRPr="00E224B1">
        <w:t>-</w:t>
      </w:r>
      <w:r w:rsidRPr="00E224B1">
        <w:t>used proprietary indicator systems</w:t>
      </w:r>
      <w:r w:rsidR="00FE4581" w:rsidRPr="00E224B1">
        <w:t>,</w:t>
      </w:r>
      <w:r w:rsidRPr="00E224B1">
        <w:t xml:space="preserve"> as well as published frameworks and best</w:t>
      </w:r>
      <w:r w:rsidR="00FE4581" w:rsidRPr="00E224B1">
        <w:t xml:space="preserve"> </w:t>
      </w:r>
      <w:r w:rsidRPr="00E224B1">
        <w:t>practice guidance documents.</w:t>
      </w:r>
    </w:p>
    <w:p w14:paraId="51C42494" w14:textId="7FE94881" w:rsidR="00BC7173" w:rsidRPr="00E224B1" w:rsidRDefault="00BC7173" w:rsidP="00BC7173">
      <w:r w:rsidRPr="00E224B1">
        <w:t>The degrees of freedom on actual algorithms include the way original KPI</w:t>
      </w:r>
      <w:r w:rsidR="00FE4581" w:rsidRPr="00E224B1">
        <w:t>s</w:t>
      </w:r>
      <w:r w:rsidRPr="00E224B1">
        <w:t xml:space="preserve"> are (typically nonlinearly) being mapped to generic or score values; pre-selection of values; </w:t>
      </w:r>
      <w:r w:rsidR="00FE4581" w:rsidRPr="00E224B1">
        <w:t xml:space="preserve">and </w:t>
      </w:r>
      <w:r w:rsidRPr="00E224B1">
        <w:t>categorization by mode of mobility such as drive (subdivided into individual/public transport), walk, stationary, categorization by spatial categories such as urban, sub-urban, rural</w:t>
      </w:r>
      <w:r w:rsidR="00E225E6">
        <w:t>,</w:t>
      </w:r>
      <w:r w:rsidRPr="00E224B1">
        <w:t xml:space="preserve"> et</w:t>
      </w:r>
      <w:r w:rsidR="00FE4581" w:rsidRPr="00E224B1">
        <w:t>c</w:t>
      </w:r>
      <w:r w:rsidRPr="00E224B1">
        <w:t>. The principle can also be used to create different single number indicators taking different mixes of usage into account (telephony-centric, packet data</w:t>
      </w:r>
      <w:r w:rsidR="003B3115" w:rsidRPr="00E224B1">
        <w:t>-</w:t>
      </w:r>
      <w:r w:rsidRPr="00E224B1">
        <w:t>centric</w:t>
      </w:r>
      <w:r w:rsidR="00455E59" w:rsidRPr="00E224B1">
        <w:t>,</w:t>
      </w:r>
      <w:r w:rsidRPr="00E224B1">
        <w:t xml:space="preserve"> etc.).</w:t>
      </w:r>
    </w:p>
    <w:p w14:paraId="6CBC1815" w14:textId="367C7F6F" w:rsidR="00BC7173" w:rsidRPr="00E224B1" w:rsidRDefault="00BC7173" w:rsidP="00BC7173">
      <w:r w:rsidRPr="00E224B1">
        <w:t>However, single</w:t>
      </w:r>
      <w:r w:rsidR="003B3115" w:rsidRPr="00E224B1">
        <w:t xml:space="preserve"> </w:t>
      </w:r>
      <w:r w:rsidRPr="00E224B1">
        <w:t>number indicators used in mobile</w:t>
      </w:r>
      <w:r w:rsidR="00FE4581" w:rsidRPr="00E224B1">
        <w:t xml:space="preserve"> </w:t>
      </w:r>
      <w:r w:rsidRPr="00E224B1">
        <w:t>network performance testing and benchmarking use input data obtained from active testing, using a scenario composed from use cases of some kind. The indicator defined in th</w:t>
      </w:r>
      <w:r w:rsidR="00414258" w:rsidRPr="00E224B1">
        <w:t>is</w:t>
      </w:r>
      <w:r w:rsidRPr="00E224B1">
        <w:t xml:space="preserve"> document uses data obtained from basic measurements, </w:t>
      </w:r>
      <w:r w:rsidR="00DF5385" w:rsidRPr="00E224B1">
        <w:t>i.e.,</w:t>
      </w:r>
      <w:r w:rsidRPr="00E224B1">
        <w:t xml:space="preserve"> RF levels for respective radio</w:t>
      </w:r>
      <w:r w:rsidR="00FE4581" w:rsidRPr="00E224B1">
        <w:t xml:space="preserve"> </w:t>
      </w:r>
      <w:r w:rsidRPr="00E224B1">
        <w:t xml:space="preserve">access technologies, which can also come from passive measurements </w:t>
      </w:r>
      <w:r w:rsidR="00414258" w:rsidRPr="00E224B1">
        <w:t>that</w:t>
      </w:r>
      <w:r w:rsidRPr="00E224B1">
        <w:t xml:space="preserve"> can be performed with rather moderate effort and cost. In this sense, th</w:t>
      </w:r>
      <w:r w:rsidR="00D07F5B" w:rsidRPr="00E224B1">
        <w:t>is Technical Report</w:t>
      </w:r>
      <w:r w:rsidRPr="00E224B1">
        <w:t xml:space="preserve"> </w:t>
      </w:r>
      <w:r w:rsidR="00D07F5B" w:rsidRPr="00E224B1">
        <w:t>presents</w:t>
      </w:r>
      <w:r w:rsidRPr="00E224B1">
        <w:t xml:space="preserve"> a new way to use such data in the context of a single</w:t>
      </w:r>
      <w:r w:rsidR="003B3115" w:rsidRPr="00E224B1">
        <w:t xml:space="preserve"> </w:t>
      </w:r>
      <w:r w:rsidRPr="00E224B1">
        <w:t>number approach.</w:t>
      </w:r>
    </w:p>
    <w:p w14:paraId="06F4C110" w14:textId="5C5E0771" w:rsidR="00BC7173" w:rsidRPr="00E224B1" w:rsidRDefault="00455E59" w:rsidP="00BC7173">
      <w:pPr>
        <w:pStyle w:val="Heading1"/>
      </w:pPr>
      <w:bookmarkStart w:id="42" w:name="_Toc125305331"/>
      <w:bookmarkStart w:id="43" w:name="_Toc148950489"/>
      <w:bookmarkStart w:id="44" w:name="_Toc156896123"/>
      <w:r w:rsidRPr="00E224B1">
        <w:t>6</w:t>
      </w:r>
      <w:r w:rsidRPr="00E224B1">
        <w:tab/>
      </w:r>
      <w:r w:rsidR="00BC7173" w:rsidRPr="00E224B1">
        <w:t>Categorization of RF level data in the context of usefulness</w:t>
      </w:r>
      <w:bookmarkEnd w:id="42"/>
      <w:bookmarkEnd w:id="43"/>
      <w:bookmarkEnd w:id="44"/>
    </w:p>
    <w:p w14:paraId="769F37C9" w14:textId="1C568F17" w:rsidR="00BC7173" w:rsidRPr="00E224B1" w:rsidRDefault="00BC7173" w:rsidP="00BC7173">
      <w:r w:rsidRPr="00E224B1">
        <w:t xml:space="preserve">RF level data comes in different formats. For further discussion, it is assumed that </w:t>
      </w:r>
      <w:r w:rsidR="00414258" w:rsidRPr="00E224B1">
        <w:t>Radio Access Technology (</w:t>
      </w:r>
      <w:r w:rsidRPr="00E224B1">
        <w:t>RAT</w:t>
      </w:r>
      <w:r w:rsidR="00414258" w:rsidRPr="00E224B1">
        <w:t>)</w:t>
      </w:r>
      <w:r w:rsidRPr="00E224B1">
        <w:t>-specific values are being used, which implicitly also carries information on the available RAT itself. The means that the data objects currently to be considered are RxLev for 2G, RSCP for 3G, and RSRP for 4G and 5G. Therefore, the minimum extent of input information for the metric will be the RAT</w:t>
      </w:r>
      <w:r w:rsidR="00455E59" w:rsidRPr="00E224B1">
        <w:noBreakHyphen/>
      </w:r>
      <w:r w:rsidRPr="00E224B1">
        <w:t>specific RF level with its respective native unit and value range. A</w:t>
      </w:r>
      <w:r w:rsidR="00414258" w:rsidRPr="00E224B1">
        <w:t>n</w:t>
      </w:r>
      <w:r w:rsidRPr="00E224B1">
        <w:t xml:space="preserve"> </w:t>
      </w:r>
      <w:bookmarkStart w:id="45" w:name="_Hlk141342008"/>
      <w:r w:rsidR="001B7439" w:rsidRPr="00E224B1">
        <w:rPr>
          <w:szCs w:val="24"/>
        </w:rPr>
        <w:t>"</w:t>
      </w:r>
      <w:bookmarkEnd w:id="45"/>
      <w:r w:rsidRPr="00E224B1">
        <w:t>RSSI</w:t>
      </w:r>
      <w:r w:rsidR="001B7439" w:rsidRPr="00E224B1">
        <w:rPr>
          <w:szCs w:val="24"/>
        </w:rPr>
        <w:t>"</w:t>
      </w:r>
      <w:r w:rsidRPr="00E224B1">
        <w:t xml:space="preserve"> value of some type is considered to be insufficient for the purpose, unless employed as a kind of low-value emergency replacement information. There are several practical ways to present these values. Without loss of generality, two useful formats are assumed to be a time-stamped data item with a single value and RAT information, or as a time-stamped row </w:t>
      </w:r>
      <w:r w:rsidR="0014028F" w:rsidRPr="00E224B1">
        <w:t>with</w:t>
      </w:r>
      <w:r w:rsidRPr="00E224B1">
        <w:t xml:space="preserve"> columns for each RAT. In th</w:t>
      </w:r>
      <w:r w:rsidR="0014028F" w:rsidRPr="00E224B1">
        <w:t>is</w:t>
      </w:r>
      <w:r w:rsidRPr="00E224B1">
        <w:t xml:space="preserve"> case, the composition</w:t>
      </w:r>
      <w:r w:rsidR="0014028F" w:rsidRPr="00E224B1">
        <w:t>,</w:t>
      </w:r>
      <w:r w:rsidRPr="00E224B1">
        <w:t xml:space="preserve"> including the empty or NULL-valued ones</w:t>
      </w:r>
      <w:r w:rsidR="0014028F" w:rsidRPr="00E224B1">
        <w:t>,</w:t>
      </w:r>
      <w:r w:rsidRPr="00E224B1">
        <w:t xml:space="preserve"> would carry the RAT information implicitly.</w:t>
      </w:r>
    </w:p>
    <w:p w14:paraId="0EB412EB" w14:textId="42C72314" w:rsidR="00342ED1" w:rsidRPr="00E224B1" w:rsidRDefault="00BC7173" w:rsidP="00BC7173">
      <w:r w:rsidRPr="00E224B1">
        <w:t xml:space="preserve">Geographic information (longitude/latitude) </w:t>
      </w:r>
      <w:r w:rsidR="00DA2A41" w:rsidRPr="00E224B1">
        <w:t>is</w:t>
      </w:r>
      <w:r w:rsidRPr="00E224B1">
        <w:t xml:space="preserve"> understood to be optional</w:t>
      </w:r>
      <w:r w:rsidR="00DA2A41" w:rsidRPr="00E224B1">
        <w:t xml:space="preserve"> but </w:t>
      </w:r>
      <w:r w:rsidR="0014028F" w:rsidRPr="00E224B1">
        <w:t xml:space="preserve">an </w:t>
      </w:r>
      <w:r w:rsidR="00DA2A41" w:rsidRPr="00E224B1">
        <w:t xml:space="preserve">important requirement for </w:t>
      </w:r>
      <w:r w:rsidR="0014028F" w:rsidRPr="00E224B1">
        <w:t xml:space="preserve">a </w:t>
      </w:r>
      <w:r w:rsidR="00DA2A41" w:rsidRPr="00E224B1">
        <w:t xml:space="preserve">meaningful application of </w:t>
      </w:r>
      <w:r w:rsidR="0014028F" w:rsidRPr="00E224B1">
        <w:t xml:space="preserve">the </w:t>
      </w:r>
      <w:r w:rsidR="00DA2A41" w:rsidRPr="00E224B1">
        <w:t>RF level metric</w:t>
      </w:r>
      <w:r w:rsidR="00342ED1" w:rsidRPr="00E224B1">
        <w:t xml:space="preserve"> as </w:t>
      </w:r>
      <w:r w:rsidRPr="00E224B1">
        <w:t>geo</w:t>
      </w:r>
      <w:r w:rsidR="0014028F" w:rsidRPr="00E224B1">
        <w:t>-</w:t>
      </w:r>
      <w:r w:rsidRPr="00E224B1">
        <w:t xml:space="preserve">coordinates </w:t>
      </w:r>
      <w:r w:rsidR="00342ED1" w:rsidRPr="00E224B1">
        <w:t>are</w:t>
      </w:r>
      <w:r w:rsidR="00395061" w:rsidRPr="00E224B1">
        <w:t xml:space="preserve"> needed </w:t>
      </w:r>
      <w:r w:rsidR="00342ED1" w:rsidRPr="00E224B1">
        <w:t xml:space="preserve">to </w:t>
      </w:r>
      <w:r w:rsidR="00395061" w:rsidRPr="00E224B1">
        <w:t>analy</w:t>
      </w:r>
      <w:r w:rsidR="0014028F" w:rsidRPr="00E224B1">
        <w:t>s</w:t>
      </w:r>
      <w:r w:rsidR="00395061" w:rsidRPr="00E224B1">
        <w:t>e data by area, region or using geo</w:t>
      </w:r>
      <w:r w:rsidR="0014028F" w:rsidRPr="00E224B1">
        <w:t>-</w:t>
      </w:r>
      <w:r w:rsidR="00395061" w:rsidRPr="00E224B1">
        <w:t>tiles, and</w:t>
      </w:r>
      <w:r w:rsidR="0014028F" w:rsidRPr="00E224B1">
        <w:t xml:space="preserve"> also</w:t>
      </w:r>
      <w:r w:rsidR="00395061" w:rsidRPr="00E224B1">
        <w:t xml:space="preserve"> to create geo</w:t>
      </w:r>
      <w:r w:rsidR="0014028F" w:rsidRPr="00E224B1">
        <w:t>-</w:t>
      </w:r>
      <w:r w:rsidR="00395061" w:rsidRPr="00E224B1">
        <w:t>visualizations.</w:t>
      </w:r>
      <w:r w:rsidRPr="00E224B1">
        <w:t xml:space="preserve"> </w:t>
      </w:r>
    </w:p>
    <w:p w14:paraId="552C03F8" w14:textId="1E961359" w:rsidR="00BC7173" w:rsidRPr="00E224B1" w:rsidRDefault="00395061" w:rsidP="00395061">
      <w:r w:rsidRPr="00E224B1">
        <w:t>In the special context of crowdsourcing, there are additional aspects with respect to geo</w:t>
      </w:r>
      <w:r w:rsidR="0014028F" w:rsidRPr="00E224B1">
        <w:t>-</w:t>
      </w:r>
      <w:r w:rsidRPr="00E224B1">
        <w:t xml:space="preserve">coordinates. From a purely technical point of view, </w:t>
      </w:r>
      <w:r w:rsidR="0014028F" w:rsidRPr="00E224B1">
        <w:t xml:space="preserve">the </w:t>
      </w:r>
      <w:r w:rsidRPr="00E224B1">
        <w:t>presence of absence of geo</w:t>
      </w:r>
      <w:r w:rsidR="0014028F" w:rsidRPr="00E224B1">
        <w:t>-</w:t>
      </w:r>
      <w:r w:rsidRPr="00E224B1">
        <w:t xml:space="preserve">coordinates can help to identify in-house situations </w:t>
      </w:r>
      <w:r w:rsidR="00B6444F" w:rsidRPr="00E224B1">
        <w:t>(</w:t>
      </w:r>
      <w:r w:rsidRPr="00E224B1">
        <w:t>by the lack of GNSS information</w:t>
      </w:r>
      <w:r w:rsidR="00B6444F" w:rsidRPr="00E224B1">
        <w:t>); this is also relevant for correct interpretation of RF level</w:t>
      </w:r>
      <w:r w:rsidR="0014028F" w:rsidRPr="00E224B1">
        <w:t>s</w:t>
      </w:r>
      <w:r w:rsidR="00B6444F" w:rsidRPr="00E224B1">
        <w:t xml:space="preserve"> which </w:t>
      </w:r>
      <w:r w:rsidR="0014028F" w:rsidRPr="00E224B1">
        <w:t>are</w:t>
      </w:r>
      <w:r w:rsidR="00B6444F" w:rsidRPr="00E224B1">
        <w:t xml:space="preserve"> typically significantly attenuated in such cases</w:t>
      </w:r>
      <w:r w:rsidRPr="00E224B1">
        <w:t xml:space="preserve">. Moreover, and more importantly, </w:t>
      </w:r>
      <w:r w:rsidR="00BC7173" w:rsidRPr="00E224B1">
        <w:t xml:space="preserve">information on geolocation </w:t>
      </w:r>
      <w:r w:rsidR="00FE1E71" w:rsidRPr="00E224B1">
        <w:t>may face some limitations</w:t>
      </w:r>
      <w:r w:rsidRPr="00E224B1">
        <w:t xml:space="preserve">, either with respect to sensitivities of users or </w:t>
      </w:r>
      <w:r w:rsidR="00FE1E71" w:rsidRPr="00E224B1">
        <w:t>due to extant legal framework</w:t>
      </w:r>
      <w:r w:rsidR="00AB50A6" w:rsidRPr="00E224B1">
        <w:t>s</w:t>
      </w:r>
      <w:r w:rsidR="00FE1E71" w:rsidRPr="00E224B1">
        <w:t xml:space="preserve"> in concerned Member State</w:t>
      </w:r>
      <w:r w:rsidR="00AB50A6" w:rsidRPr="00E224B1">
        <w:t>s</w:t>
      </w:r>
      <w:r w:rsidR="00FE1E71" w:rsidRPr="00E224B1">
        <w:t xml:space="preserve"> with regard to privacy (</w:t>
      </w:r>
      <w:r w:rsidR="00DF5385" w:rsidRPr="00E224B1">
        <w:t>e.g.,</w:t>
      </w:r>
      <w:r w:rsidR="00551FD6" w:rsidRPr="00E224B1">
        <w:t> </w:t>
      </w:r>
      <w:r w:rsidR="00FE1E71" w:rsidRPr="00E224B1">
        <w:t xml:space="preserve">GDPR or </w:t>
      </w:r>
      <w:r w:rsidR="002E7D7C" w:rsidRPr="00E224B1">
        <w:t xml:space="preserve">similar </w:t>
      </w:r>
      <w:r w:rsidR="00DF0503" w:rsidRPr="00E224B1">
        <w:t xml:space="preserve">personal </w:t>
      </w:r>
      <w:r w:rsidR="00FE1E71" w:rsidRPr="00E224B1">
        <w:t>data</w:t>
      </w:r>
      <w:r w:rsidR="00DF0503" w:rsidRPr="00E224B1">
        <w:t xml:space="preserve"> protection </w:t>
      </w:r>
      <w:r w:rsidR="002E7D7C" w:rsidRPr="00E224B1">
        <w:t>framework)</w:t>
      </w:r>
      <w:r w:rsidRPr="00E224B1">
        <w:t xml:space="preserve">. </w:t>
      </w:r>
      <w:r w:rsidR="00FE1E71" w:rsidRPr="00E224B1">
        <w:t>In such scenario</w:t>
      </w:r>
      <w:r w:rsidRPr="00E224B1">
        <w:t>s</w:t>
      </w:r>
      <w:r w:rsidR="00FE1E71" w:rsidRPr="00E224B1">
        <w:t>, crowdsourcing applications may consider using data minimization or data anonymization techniques to capture geolocation reference</w:t>
      </w:r>
      <w:r w:rsidRPr="00E224B1">
        <w:t>s</w:t>
      </w:r>
      <w:r w:rsidR="00FE1E71" w:rsidRPr="00E224B1">
        <w:t>.</w:t>
      </w:r>
      <w:r w:rsidRPr="00E224B1" w:rsidDel="00395061">
        <w:t xml:space="preserve"> </w:t>
      </w:r>
    </w:p>
    <w:p w14:paraId="14A114F1" w14:textId="1A5DF332" w:rsidR="00BC7173" w:rsidRPr="00E224B1" w:rsidRDefault="00BC7173" w:rsidP="00BC7173">
      <w:r w:rsidRPr="00E224B1">
        <w:t xml:space="preserve">The main question for the metric is, of course, what this metric should express: a measure of usefulness of network coverage at a particular location. </w:t>
      </w:r>
      <w:r w:rsidR="001B7439" w:rsidRPr="00E224B1">
        <w:rPr>
          <w:szCs w:val="24"/>
        </w:rPr>
        <w:t>"</w:t>
      </w:r>
      <w:r w:rsidRPr="00E224B1">
        <w:t>Location</w:t>
      </w:r>
      <w:r w:rsidR="001B7439" w:rsidRPr="00E224B1">
        <w:rPr>
          <w:szCs w:val="24"/>
        </w:rPr>
        <w:t>"</w:t>
      </w:r>
      <w:r w:rsidRPr="00E224B1">
        <w:t xml:space="preserve"> is to be understood as a certain area; its dimension will depend on the amount of available data and the spatial resolution of the data source itself. For instance, a value could represent the usefulness of mobile network coverage in a square of 500</w:t>
      </w:r>
      <w:r w:rsidR="00455E59" w:rsidRPr="00E224B1">
        <w:t xml:space="preserve"> × </w:t>
      </w:r>
      <w:r w:rsidRPr="00E224B1">
        <w:t>500 or 100</w:t>
      </w:r>
      <w:r w:rsidR="00455E59" w:rsidRPr="00E224B1">
        <w:t xml:space="preserve"> × </w:t>
      </w:r>
      <w:r w:rsidRPr="00E224B1">
        <w:t>100 m.</w:t>
      </w:r>
      <w:r w:rsidR="001B71EB" w:rsidRPr="00E224B1">
        <w:t xml:space="preserve"> </w:t>
      </w:r>
      <w:r w:rsidR="00B6444F" w:rsidRPr="00E224B1">
        <w:t xml:space="preserve">As in other cases of data aggregation, it is of course important to keep in mind that for valid assessments a certain minimum number of data points, and </w:t>
      </w:r>
      <w:r w:rsidR="00AB50A6" w:rsidRPr="00E224B1">
        <w:t xml:space="preserve">a </w:t>
      </w:r>
      <w:r w:rsidR="00B6444F" w:rsidRPr="00E224B1">
        <w:t xml:space="preserve">sufficiently even distribution </w:t>
      </w:r>
      <w:r w:rsidR="001B71EB" w:rsidRPr="00E224B1">
        <w:t>across the coverage square, w</w:t>
      </w:r>
      <w:r w:rsidR="00B6444F" w:rsidRPr="00E224B1">
        <w:t>ill</w:t>
      </w:r>
      <w:r w:rsidR="001B71EB" w:rsidRPr="00E224B1">
        <w:t xml:space="preserve"> be </w:t>
      </w:r>
      <w:r w:rsidR="00CE2580" w:rsidRPr="00E224B1">
        <w:t>required.</w:t>
      </w:r>
    </w:p>
    <w:p w14:paraId="02AD1ED9" w14:textId="0112EE95" w:rsidR="00BC7173" w:rsidRPr="00E224B1" w:rsidRDefault="00133633" w:rsidP="00BC7173">
      <w:r w:rsidRPr="00E224B1">
        <w:t xml:space="preserve">This new metric will be termed NUI, </w:t>
      </w:r>
      <w:r w:rsidR="00BC7173" w:rsidRPr="00E224B1">
        <w:t xml:space="preserve">standing for </w:t>
      </w:r>
      <w:r w:rsidR="00AB50A6" w:rsidRPr="00E224B1">
        <w:t>n</w:t>
      </w:r>
      <w:r w:rsidR="00BC7173" w:rsidRPr="00E224B1">
        <w:t xml:space="preserve">etwork </w:t>
      </w:r>
      <w:r w:rsidR="00AB50A6" w:rsidRPr="00E224B1">
        <w:t>u</w:t>
      </w:r>
      <w:r w:rsidR="00BC7173" w:rsidRPr="00E224B1">
        <w:t xml:space="preserve">sefulness </w:t>
      </w:r>
      <w:r w:rsidR="00AB50A6" w:rsidRPr="00E224B1">
        <w:t>i</w:t>
      </w:r>
      <w:r w:rsidR="00BC7173" w:rsidRPr="00E224B1">
        <w:t>ndex</w:t>
      </w:r>
      <w:r w:rsidRPr="00E224B1">
        <w:t>, from here on.</w:t>
      </w:r>
      <w:r w:rsidR="00BC7173" w:rsidRPr="00E224B1">
        <w:t xml:space="preserve"> </w:t>
      </w:r>
    </w:p>
    <w:p w14:paraId="46850E46" w14:textId="5303E0CC" w:rsidR="00BC7173" w:rsidRPr="00E224B1" w:rsidRDefault="00BC7173" w:rsidP="00BC7173">
      <w:r w:rsidRPr="00E224B1">
        <w:t xml:space="preserve">From the viewpoint of usefulness, two </w:t>
      </w:r>
      <w:r w:rsidR="00CE2580" w:rsidRPr="00E224B1">
        <w:t>use cases may be</w:t>
      </w:r>
      <w:r w:rsidRPr="00E224B1">
        <w:t xml:space="preserve"> derived immediately. Firstly, NUI can </w:t>
      </w:r>
      <w:r w:rsidR="00DF5385" w:rsidRPr="00E224B1">
        <w:t>seamlessly represent</w:t>
      </w:r>
      <w:r w:rsidR="00CE2580" w:rsidRPr="00E224B1">
        <w:t xml:space="preserve"> </w:t>
      </w:r>
      <w:r w:rsidRPr="00E224B1">
        <w:t>the property of network coverage itself. This is actually optional</w:t>
      </w:r>
      <w:r w:rsidR="00133633" w:rsidRPr="00E224B1">
        <w:t>;</w:t>
      </w:r>
      <w:r w:rsidRPr="00E224B1">
        <w:t xml:space="preserve"> separating the two situations of </w:t>
      </w:r>
      <w:r w:rsidR="001B7439" w:rsidRPr="00E224B1">
        <w:rPr>
          <w:szCs w:val="24"/>
        </w:rPr>
        <w:t>"</w:t>
      </w:r>
      <w:r w:rsidRPr="00E224B1">
        <w:t>no network coverage</w:t>
      </w:r>
      <w:r w:rsidR="001B7439" w:rsidRPr="00E224B1">
        <w:rPr>
          <w:szCs w:val="24"/>
        </w:rPr>
        <w:t>"</w:t>
      </w:r>
      <w:r w:rsidRPr="00E224B1">
        <w:t xml:space="preserve"> and </w:t>
      </w:r>
      <w:r w:rsidR="001B7439" w:rsidRPr="00E224B1">
        <w:rPr>
          <w:szCs w:val="24"/>
        </w:rPr>
        <w:t>"</w:t>
      </w:r>
      <w:r w:rsidRPr="00E224B1">
        <w:t>very weak signal</w:t>
      </w:r>
      <w:r w:rsidR="001B7439" w:rsidRPr="00E224B1">
        <w:rPr>
          <w:szCs w:val="24"/>
        </w:rPr>
        <w:t>"</w:t>
      </w:r>
      <w:r w:rsidR="00AB50A6" w:rsidRPr="00E224B1">
        <w:rPr>
          <w:szCs w:val="24"/>
        </w:rPr>
        <w:t>,</w:t>
      </w:r>
      <w:r w:rsidRPr="00E224B1">
        <w:t xml:space="preserve"> which would both lead to a usefulness of practically zero</w:t>
      </w:r>
      <w:r w:rsidR="00AB50A6" w:rsidRPr="00E224B1">
        <w:t>,</w:t>
      </w:r>
      <w:r w:rsidRPr="00E224B1">
        <w:t xml:space="preserve"> can be treated differently but NUI offers the choice to be a true single</w:t>
      </w:r>
      <w:r w:rsidR="003B3115" w:rsidRPr="00E224B1">
        <w:t xml:space="preserve"> </w:t>
      </w:r>
      <w:r w:rsidRPr="00E224B1">
        <w:t>number indicator by integrating this property.</w:t>
      </w:r>
    </w:p>
    <w:p w14:paraId="6263E78A" w14:textId="56D3E1FA" w:rsidR="00133633" w:rsidRPr="00E224B1" w:rsidRDefault="00BC7173" w:rsidP="00BC7173">
      <w:r w:rsidRPr="00E224B1">
        <w:t>Secondly, it is clear that there is no universal</w:t>
      </w:r>
      <w:r w:rsidR="00133633" w:rsidRPr="00E224B1">
        <w:t>, radio technology-independent</w:t>
      </w:r>
      <w:r w:rsidRPr="00E224B1">
        <w:t xml:space="preserve"> usefulness. A 2G network can have perfect usefulness for voice communication and will still be completely inadequate for any packet</w:t>
      </w:r>
      <w:r w:rsidR="003B3115" w:rsidRPr="00E224B1">
        <w:t xml:space="preserve"> </w:t>
      </w:r>
      <w:r w:rsidRPr="00E224B1">
        <w:t xml:space="preserve">data usage which goes beyond the most basic requirements, as achievable data rates are limited to 200 kbit/s at best by the underlying technology. So, it makes sense to understand NUI as having different </w:t>
      </w:r>
      <w:r w:rsidR="001B7439" w:rsidRPr="00E224B1">
        <w:rPr>
          <w:szCs w:val="24"/>
        </w:rPr>
        <w:t>"</w:t>
      </w:r>
      <w:r w:rsidRPr="00E224B1">
        <w:t>flavo</w:t>
      </w:r>
      <w:r w:rsidR="00AB50A6" w:rsidRPr="00E224B1">
        <w:t>u</w:t>
      </w:r>
      <w:r w:rsidRPr="00E224B1">
        <w:t>rs</w:t>
      </w:r>
      <w:r w:rsidR="001B7439" w:rsidRPr="00E224B1">
        <w:rPr>
          <w:szCs w:val="24"/>
        </w:rPr>
        <w:t>"</w:t>
      </w:r>
      <w:r w:rsidRPr="00E224B1">
        <w:t xml:space="preserve"> depending on the choice of services or functions. In naming, this is reflected by respective name extensions, </w:t>
      </w:r>
      <w:r w:rsidR="00DF5385" w:rsidRPr="00E224B1">
        <w:t>e.g.,</w:t>
      </w:r>
      <w:r w:rsidRPr="00E224B1">
        <w:t xml:space="preserve"> NUI_T for the </w:t>
      </w:r>
      <w:r w:rsidR="001B7439" w:rsidRPr="00E224B1">
        <w:rPr>
          <w:szCs w:val="24"/>
        </w:rPr>
        <w:t>"</w:t>
      </w:r>
      <w:r w:rsidRPr="00E224B1">
        <w:t>telephony</w:t>
      </w:r>
      <w:r w:rsidR="001B7439" w:rsidRPr="00E224B1">
        <w:rPr>
          <w:szCs w:val="24"/>
        </w:rPr>
        <w:t>"</w:t>
      </w:r>
      <w:r w:rsidRPr="00E224B1">
        <w:t xml:space="preserve"> flavo</w:t>
      </w:r>
      <w:r w:rsidR="00AB50A6" w:rsidRPr="00E224B1">
        <w:t>u</w:t>
      </w:r>
      <w:r w:rsidRPr="00E224B1">
        <w:t xml:space="preserve">r. </w:t>
      </w:r>
    </w:p>
    <w:p w14:paraId="106F7876" w14:textId="2DF0BD22" w:rsidR="00133633" w:rsidRPr="00E224B1" w:rsidRDefault="000404E4" w:rsidP="007622E4">
      <w:pPr>
        <w:pStyle w:val="Heading1"/>
      </w:pPr>
      <w:bookmarkStart w:id="46" w:name="_Toc148950490"/>
      <w:bookmarkStart w:id="47" w:name="_Toc156896124"/>
      <w:r w:rsidRPr="00E224B1">
        <w:t>7</w:t>
      </w:r>
      <w:r w:rsidR="00133633" w:rsidRPr="00E224B1">
        <w:tab/>
        <w:t>Essential properties of the NUI concept</w:t>
      </w:r>
      <w:bookmarkEnd w:id="46"/>
      <w:bookmarkEnd w:id="47"/>
    </w:p>
    <w:p w14:paraId="74CE3E4D" w14:textId="199114EE" w:rsidR="00BC7173" w:rsidRPr="00E224B1" w:rsidRDefault="00BC7173" w:rsidP="00BC7173">
      <w:r w:rsidRPr="00E224B1">
        <w:t xml:space="preserve">The essence of the NUI concept is its openness with respect to actual working metrics for a wide range of purposes. It is assumed, however, that there will be different families of NUI indicators, starting with </w:t>
      </w:r>
      <w:r w:rsidR="00AB50A6" w:rsidRPr="00E224B1">
        <w:t xml:space="preserve">the </w:t>
      </w:r>
      <w:r w:rsidRPr="00E224B1">
        <w:t>main categories for telephony (NUI_T) and packet data</w:t>
      </w:r>
      <w:r w:rsidR="003B3115" w:rsidRPr="00E224B1">
        <w:t>-</w:t>
      </w:r>
      <w:r w:rsidRPr="00E224B1">
        <w:t>centric usages (NUI_D)</w:t>
      </w:r>
      <w:r w:rsidR="00AB50A6" w:rsidRPr="00E224B1">
        <w:t>,</w:t>
      </w:r>
      <w:r w:rsidRPr="00E224B1">
        <w:t xml:space="preserve"> and respective more specialized indicators for different purposes, i.e.</w:t>
      </w:r>
      <w:r w:rsidR="001B7439" w:rsidRPr="00E224B1">
        <w:t>,</w:t>
      </w:r>
      <w:r w:rsidRPr="00E224B1">
        <w:t xml:space="preserve"> based on different usage scenarios (such as NUI_D_01, NUI_D_02) with purpose-adapted naming within the entities which are using these indicators.</w:t>
      </w:r>
    </w:p>
    <w:p w14:paraId="2738F833" w14:textId="46932AF6" w:rsidR="00BC7173" w:rsidRPr="00E224B1" w:rsidRDefault="00BC7173" w:rsidP="00BC7173">
      <w:r w:rsidRPr="00E224B1">
        <w:t>As mentioned above, using a single</w:t>
      </w:r>
      <w:r w:rsidR="003B3115" w:rsidRPr="00E224B1">
        <w:t xml:space="preserve"> </w:t>
      </w:r>
      <w:r w:rsidRPr="00E224B1">
        <w:t>number indicator in a professional way requires a clear understanding of its capabilities</w:t>
      </w:r>
      <w:r w:rsidR="00AB50A6" w:rsidRPr="00E224B1">
        <w:t>,</w:t>
      </w:r>
      <w:r w:rsidRPr="00E224B1">
        <w:t xml:space="preserve"> as well as its limitations. Mobile networks may be configured to keep a mobile device in a low-performance configuration unless it becomes clear that a use case needs higher performance. In such a case, a</w:t>
      </w:r>
      <w:r w:rsidR="005D642E" w:rsidRPr="00E224B1">
        <w:t>n</w:t>
      </w:r>
      <w:r w:rsidRPr="00E224B1">
        <w:t xml:space="preserve"> RF level</w:t>
      </w:r>
      <w:r w:rsidR="003B3115" w:rsidRPr="00E224B1">
        <w:t>-</w:t>
      </w:r>
      <w:r w:rsidRPr="00E224B1">
        <w:t xml:space="preserve">based approach would not </w:t>
      </w:r>
      <w:r w:rsidR="001B7439" w:rsidRPr="00E224B1">
        <w:rPr>
          <w:szCs w:val="24"/>
        </w:rPr>
        <w:t>"</w:t>
      </w:r>
      <w:r w:rsidRPr="00E224B1">
        <w:t>see</w:t>
      </w:r>
      <w:r w:rsidR="001B7439" w:rsidRPr="00E224B1">
        <w:rPr>
          <w:szCs w:val="24"/>
        </w:rPr>
        <w:t>"</w:t>
      </w:r>
      <w:r w:rsidRPr="00E224B1">
        <w:t xml:space="preserve"> the presence of high-performance networks. Also, if RF level information comes from scanners, a high RF level does not automatically mean that the respective network is accessible to a user in this area. In order to properly interpret results, such information needs to be known and to be integrated </w:t>
      </w:r>
      <w:r w:rsidR="000C0CD6" w:rsidRPr="00E224B1">
        <w:t xml:space="preserve">in the evaluation process </w:t>
      </w:r>
      <w:r w:rsidRPr="00E224B1">
        <w:t xml:space="preserve">accordingly. Also, with respect to </w:t>
      </w:r>
      <w:r w:rsidR="005D642E" w:rsidRPr="00E224B1">
        <w:t xml:space="preserve">the </w:t>
      </w:r>
      <w:r w:rsidRPr="00E224B1">
        <w:t xml:space="preserve">operation of mobile networks in different frequency bands, the accuracy of estimations will depend on the level of detail known. </w:t>
      </w:r>
    </w:p>
    <w:p w14:paraId="5D24FC10" w14:textId="5CB39925" w:rsidR="00BC7173" w:rsidRPr="00E224B1" w:rsidRDefault="00BC7173" w:rsidP="00BC7173">
      <w:r w:rsidRPr="00E224B1">
        <w:t xml:space="preserve">Finally, with all sophistication which can go into the design of actual NUI mappings, it should still be kept in mind that NUI is a surrogate which is not a full replacement of active measurements, but just a construct which makes </w:t>
      </w:r>
      <w:r w:rsidR="005D642E" w:rsidRPr="00E224B1">
        <w:t xml:space="preserve">the </w:t>
      </w:r>
      <w:r w:rsidRPr="00E224B1">
        <w:t xml:space="preserve">best use of available information. </w:t>
      </w:r>
    </w:p>
    <w:p w14:paraId="6EE6DD7B" w14:textId="21CA54CE" w:rsidR="00BC7173" w:rsidRPr="00E224B1" w:rsidRDefault="007622E4" w:rsidP="007622E4">
      <w:pPr>
        <w:pStyle w:val="Heading1"/>
      </w:pPr>
      <w:bookmarkStart w:id="48" w:name="_Toc125305332"/>
      <w:bookmarkStart w:id="49" w:name="_Toc148950491"/>
      <w:bookmarkStart w:id="50" w:name="_Toc156896125"/>
      <w:r w:rsidRPr="00E224B1">
        <w:t>8</w:t>
      </w:r>
      <w:r w:rsidRPr="00E224B1">
        <w:tab/>
      </w:r>
      <w:r w:rsidR="00BC7173" w:rsidRPr="00E224B1">
        <w:t>Practical basic examples</w:t>
      </w:r>
      <w:bookmarkEnd w:id="48"/>
      <w:bookmarkEnd w:id="49"/>
      <w:bookmarkEnd w:id="50"/>
    </w:p>
    <w:p w14:paraId="29CBB890" w14:textId="77777777" w:rsidR="00BC7173" w:rsidRPr="00E224B1" w:rsidRDefault="00BC7173" w:rsidP="00BC7173">
      <w:r w:rsidRPr="00E224B1">
        <w:t>The following figures show some constructed examples of mappings from RF levels to NUI values.</w:t>
      </w:r>
    </w:p>
    <w:p w14:paraId="1F30C3F0" w14:textId="7AF46E2E" w:rsidR="00DE00B9" w:rsidRPr="00E224B1" w:rsidRDefault="00DE00B9" w:rsidP="00DE00B9">
      <w:pPr>
        <w:pStyle w:val="Figure"/>
      </w:pPr>
      <w:r w:rsidRPr="00E224B1">
        <w:rPr>
          <w:noProof/>
        </w:rPr>
        <w:drawing>
          <wp:inline distT="0" distB="0" distL="0" distR="0" wp14:anchorId="0E33D6DF" wp14:editId="0E3C3210">
            <wp:extent cx="5050546" cy="2779782"/>
            <wp:effectExtent l="0" t="0" r="0" b="1905"/>
            <wp:docPr id="31610950" name="Picture 1" descr="A graph of a grap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10950" name="Picture 1" descr="A graph of a graph&#10;&#10;Description automatically generated with medium confidenc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050546" cy="2779782"/>
                    </a:xfrm>
                    <a:prstGeom prst="rect">
                      <a:avLst/>
                    </a:prstGeom>
                  </pic:spPr>
                </pic:pic>
              </a:graphicData>
            </a:graphic>
          </wp:inline>
        </w:drawing>
      </w:r>
    </w:p>
    <w:p w14:paraId="0F613E20" w14:textId="10F05569" w:rsidR="00BC7173" w:rsidRPr="00E224B1" w:rsidRDefault="00BC7173" w:rsidP="00DE00B9">
      <w:pPr>
        <w:pStyle w:val="FigureNoTitle"/>
      </w:pPr>
      <w:bookmarkStart w:id="51" w:name="_Ref83046178"/>
      <w:bookmarkStart w:id="52" w:name="_Toc125305461"/>
      <w:bookmarkStart w:id="53" w:name="_Toc125305472"/>
      <w:r w:rsidRPr="00E224B1">
        <w:t>Figure 1</w:t>
      </w:r>
      <w:bookmarkEnd w:id="51"/>
      <w:r w:rsidRPr="00E224B1">
        <w:rPr>
          <w:b w:val="0"/>
          <w:bCs/>
        </w:rPr>
        <w:t xml:space="preserve"> </w:t>
      </w:r>
      <w:r w:rsidR="00DE00B9" w:rsidRPr="00E224B1">
        <w:rPr>
          <w:b w:val="0"/>
          <w:bCs/>
        </w:rPr>
        <w:t xml:space="preserve">– </w:t>
      </w:r>
      <w:r w:rsidRPr="00E224B1">
        <w:t>Example: Mapping of 2G and 4G to NUI values,</w:t>
      </w:r>
      <w:r w:rsidR="00DE00B9" w:rsidRPr="00E224B1">
        <w:br/>
      </w:r>
      <w:r w:rsidRPr="00E224B1">
        <w:t>with simple segment-wise linear functions</w:t>
      </w:r>
      <w:bookmarkEnd w:id="52"/>
      <w:bookmarkEnd w:id="53"/>
    </w:p>
    <w:p w14:paraId="6D27EAF4" w14:textId="49B77438" w:rsidR="00B6245D" w:rsidRPr="00E224B1" w:rsidRDefault="00B6245D" w:rsidP="00B6245D">
      <w:pPr>
        <w:pStyle w:val="Figure"/>
      </w:pPr>
      <w:r w:rsidRPr="00E224B1">
        <w:rPr>
          <w:noProof/>
        </w:rPr>
        <w:drawing>
          <wp:inline distT="0" distB="0" distL="0" distR="0" wp14:anchorId="1DF25825" wp14:editId="65E9847E">
            <wp:extent cx="5340107" cy="2953518"/>
            <wp:effectExtent l="0" t="0" r="0" b="0"/>
            <wp:docPr id="636351712" name="Picture 2" descr="A graph with green and blue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351712" name="Picture 2" descr="A graph with green and blue dots&#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340107" cy="2953518"/>
                    </a:xfrm>
                    <a:prstGeom prst="rect">
                      <a:avLst/>
                    </a:prstGeom>
                  </pic:spPr>
                </pic:pic>
              </a:graphicData>
            </a:graphic>
          </wp:inline>
        </w:drawing>
      </w:r>
    </w:p>
    <w:p w14:paraId="28295658" w14:textId="5A9F134A" w:rsidR="00BC7173" w:rsidRPr="00E224B1" w:rsidRDefault="00BC7173" w:rsidP="00B6245D">
      <w:pPr>
        <w:pStyle w:val="FigureNoTitle"/>
      </w:pPr>
      <w:bookmarkStart w:id="54" w:name="_Ref83046502"/>
      <w:bookmarkStart w:id="55" w:name="_Toc125305462"/>
      <w:bookmarkStart w:id="56" w:name="_Toc125305473"/>
      <w:r w:rsidRPr="00E224B1">
        <w:t>Figure 2</w:t>
      </w:r>
      <w:bookmarkEnd w:id="54"/>
      <w:r w:rsidRPr="00E224B1">
        <w:rPr>
          <w:b w:val="0"/>
          <w:bCs/>
        </w:rPr>
        <w:t xml:space="preserve"> </w:t>
      </w:r>
      <w:r w:rsidR="00B6245D" w:rsidRPr="00E224B1">
        <w:rPr>
          <w:b w:val="0"/>
          <w:bCs/>
        </w:rPr>
        <w:t xml:space="preserve">– </w:t>
      </w:r>
      <w:r w:rsidRPr="00E224B1">
        <w:t>Example: Comparison of segment-wise linear function</w:t>
      </w:r>
      <w:r w:rsidR="00B6245D" w:rsidRPr="00E224B1">
        <w:br/>
      </w:r>
      <w:r w:rsidRPr="00E224B1">
        <w:t>with sigmoid function</w:t>
      </w:r>
      <w:bookmarkEnd w:id="55"/>
      <w:bookmarkEnd w:id="56"/>
    </w:p>
    <w:p w14:paraId="54E24050" w14:textId="16E3EBB9" w:rsidR="00BC7173" w:rsidRPr="00E224B1" w:rsidRDefault="00BC7173" w:rsidP="00B6245D">
      <w:pPr>
        <w:pStyle w:val="Normalaftertitle0"/>
      </w:pPr>
      <w:r w:rsidRPr="00E224B1">
        <w:t xml:space="preserve">In Figure 1, a segment-wise linear function is used to map RxLev (for 2G) and RSRP (for 4G) to NUI values. Each mapping curve has two parameters: a lower cut-off point (L0), a saturation point (L1) and a linear slope between those points. </w:t>
      </w:r>
    </w:p>
    <w:p w14:paraId="06CA2ECF" w14:textId="77777777" w:rsidR="00BC7173" w:rsidRPr="00E224B1" w:rsidRDefault="00BC7173" w:rsidP="00BC7173">
      <w:r w:rsidRPr="00E224B1">
        <w:t>Remark: Parameter values have been chosen to demonstrate the principle of mapping. These values are in a reasonable range but do not attempt to be proposals for actual mappings.</w:t>
      </w:r>
    </w:p>
    <w:p w14:paraId="15726456" w14:textId="6E8D9070" w:rsidR="00BC7173" w:rsidRPr="00E224B1" w:rsidRDefault="00BC7173" w:rsidP="00BC7173">
      <w:r w:rsidRPr="00E224B1">
        <w:t>Figure 2 shows a sigmoid function as an example of a closed mathematical representation of a mapping. The parameters have been chosen to approximate the cut-off and saturation values for the linear mapping. Consequently, the slope in the middle part is somewhat higher than for the linear mapping.</w:t>
      </w:r>
    </w:p>
    <w:p w14:paraId="6080065D" w14:textId="74591D22" w:rsidR="00BC7173" w:rsidRPr="00E224B1" w:rsidRDefault="00BC7173" w:rsidP="00BC7173">
      <w:r w:rsidRPr="00E224B1">
        <w:t>In the simplest case, the final NUI mapping curve is using a single characteristic curve, e.g.</w:t>
      </w:r>
      <w:r w:rsidR="00DF5385" w:rsidRPr="00E224B1">
        <w:t>,</w:t>
      </w:r>
      <w:r w:rsidRPr="00E224B1">
        <w:t xml:space="preserve"> the relation between a technology-specific RF level and a single QoS KPI. In practice, NUI mapping curves are combined from several characteristic curves. Both figures are assumed to represent the combination of component characteristics curves. For instance, a practical NUI for telephony would use characteristic curves for speech quality and/or call stability (inverse of </w:t>
      </w:r>
      <w:r w:rsidR="005D642E" w:rsidRPr="00E224B1">
        <w:t>c</w:t>
      </w:r>
      <w:r w:rsidRPr="00E224B1">
        <w:t xml:space="preserve">all </w:t>
      </w:r>
      <w:r w:rsidR="005D642E" w:rsidRPr="00E224B1">
        <w:t>d</w:t>
      </w:r>
      <w:r w:rsidRPr="00E224B1">
        <w:t xml:space="preserve">rop </w:t>
      </w:r>
      <w:r w:rsidR="005D642E" w:rsidRPr="00E224B1">
        <w:t>r</w:t>
      </w:r>
      <w:r w:rsidRPr="00E224B1">
        <w:t>ate).</w:t>
      </w:r>
    </w:p>
    <w:p w14:paraId="2A8116CC" w14:textId="688B8BFC" w:rsidR="00BC7173" w:rsidRPr="00E224B1" w:rsidRDefault="00BC7173" w:rsidP="00BC7173">
      <w:r w:rsidRPr="00E224B1">
        <w:t>In an actual implementation of NUI mapping would typically be performed by generated look-up tables</w:t>
      </w:r>
      <w:r w:rsidR="005D642E" w:rsidRPr="00E224B1">
        <w:t>,</w:t>
      </w:r>
      <w:r w:rsidRPr="00E224B1">
        <w:t xml:space="preserve"> as part of a database-based post</w:t>
      </w:r>
      <w:r w:rsidR="005D642E" w:rsidRPr="00E224B1">
        <w:t>-</w:t>
      </w:r>
      <w:r w:rsidRPr="00E224B1">
        <w:t>processing chain.</w:t>
      </w:r>
    </w:p>
    <w:p w14:paraId="35545100" w14:textId="02BC4DBA" w:rsidR="00BC7173" w:rsidRPr="00E224B1" w:rsidRDefault="000404E4" w:rsidP="00E44AD3">
      <w:pPr>
        <w:pStyle w:val="Heading1"/>
      </w:pPr>
      <w:bookmarkStart w:id="57" w:name="_Toc125305333"/>
      <w:bookmarkStart w:id="58" w:name="_Toc148950492"/>
      <w:bookmarkStart w:id="59" w:name="_Toc156896126"/>
      <w:r w:rsidRPr="00E224B1">
        <w:t>9</w:t>
      </w:r>
      <w:r w:rsidR="00133633" w:rsidRPr="00E224B1">
        <w:tab/>
      </w:r>
      <w:r w:rsidR="00BC7173" w:rsidRPr="00E224B1">
        <w:t>Mapping relations for telephony</w:t>
      </w:r>
      <w:bookmarkEnd w:id="57"/>
      <w:bookmarkEnd w:id="58"/>
      <w:bookmarkEnd w:id="59"/>
    </w:p>
    <w:p w14:paraId="7EB42C03" w14:textId="415E9087" w:rsidR="00BC7173" w:rsidRPr="00E224B1" w:rsidRDefault="00BC7173" w:rsidP="00BC7173">
      <w:r w:rsidRPr="00E224B1">
        <w:t xml:space="preserve">Regardless of the actual shape and way of implementation, the mapping should use empirical data to express the target quantity, </w:t>
      </w:r>
      <w:r w:rsidR="00DF5385" w:rsidRPr="00E224B1">
        <w:t>i.e.,</w:t>
      </w:r>
      <w:r w:rsidRPr="00E224B1">
        <w:t xml:space="preserve"> the actual usefulness. In </w:t>
      </w:r>
      <w:r w:rsidR="005D642E" w:rsidRPr="00E224B1">
        <w:t xml:space="preserve">the </w:t>
      </w:r>
      <w:r w:rsidRPr="00E224B1">
        <w:t xml:space="preserve">case of telephony this includes two aspects: call stability and call quality. In both cases, relations between </w:t>
      </w:r>
      <w:r w:rsidR="005D642E" w:rsidRPr="00E224B1">
        <w:t xml:space="preserve">the </w:t>
      </w:r>
      <w:r w:rsidRPr="00E224B1">
        <w:t>RF level and respective KPI (</w:t>
      </w:r>
      <w:r w:rsidR="00DF5385" w:rsidRPr="00E224B1">
        <w:t>i.e.,</w:t>
      </w:r>
      <w:r w:rsidRPr="00E224B1">
        <w:t xml:space="preserve"> call</w:t>
      </w:r>
      <w:r w:rsidR="005D642E" w:rsidRPr="00E224B1">
        <w:t xml:space="preserve"> </w:t>
      </w:r>
      <w:r w:rsidRPr="00E224B1">
        <w:t xml:space="preserve">drop rate and </w:t>
      </w:r>
      <w:r w:rsidR="005D642E" w:rsidRPr="00E224B1">
        <w:t>s</w:t>
      </w:r>
      <w:r w:rsidRPr="00E224B1">
        <w:t xml:space="preserve">peech </w:t>
      </w:r>
      <w:r w:rsidR="005D642E" w:rsidRPr="00E224B1">
        <w:t>q</w:t>
      </w:r>
      <w:r w:rsidRPr="00E224B1">
        <w:t>uality) can easily be created by applying mass-data analysis. In the case of call</w:t>
      </w:r>
      <w:r w:rsidR="005D642E" w:rsidRPr="00E224B1">
        <w:t xml:space="preserve"> </w:t>
      </w:r>
      <w:r w:rsidRPr="00E224B1">
        <w:t xml:space="preserve">drop rates, this would be the probability of call drops vs RF level. In the case of </w:t>
      </w:r>
      <w:r w:rsidR="00480002" w:rsidRPr="00E224B1">
        <w:t>s</w:t>
      </w:r>
      <w:r w:rsidRPr="00E224B1">
        <w:t xml:space="preserve">peech </w:t>
      </w:r>
      <w:r w:rsidR="00480002" w:rsidRPr="00E224B1">
        <w:t>q</w:t>
      </w:r>
      <w:r w:rsidRPr="00E224B1">
        <w:t xml:space="preserve">uality expressed by POLQA </w:t>
      </w:r>
      <w:r w:rsidR="00EA637D" w:rsidRPr="00E224B1">
        <w:t>[</w:t>
      </w:r>
      <w:r w:rsidRPr="00E224B1">
        <w:t>ITU-T P.863</w:t>
      </w:r>
      <w:r w:rsidR="00EA637D" w:rsidRPr="00E224B1">
        <w:t>]</w:t>
      </w:r>
      <w:r w:rsidRPr="00E224B1">
        <w:t>, a characteristic curve of</w:t>
      </w:r>
      <w:r w:rsidR="000C6F3E">
        <w:t>,</w:t>
      </w:r>
      <w:r w:rsidRPr="00E224B1">
        <w:t xml:space="preserve"> </w:t>
      </w:r>
      <w:r w:rsidR="00DF5385" w:rsidRPr="00E224B1">
        <w:t>e.g.,</w:t>
      </w:r>
      <w:r w:rsidRPr="00E224B1">
        <w:t xml:space="preserve"> POLQA values against RF </w:t>
      </w:r>
      <w:r w:rsidR="00480002" w:rsidRPr="00E224B1">
        <w:t>l</w:t>
      </w:r>
      <w:r w:rsidRPr="00E224B1">
        <w:t xml:space="preserve">evel is used. Empirical data </w:t>
      </w:r>
      <w:r w:rsidR="000C0CD6" w:rsidRPr="00E224B1">
        <w:t xml:space="preserve">cannot be shown here due to confidentiality; however, it is reasonable to assume that </w:t>
      </w:r>
      <w:r w:rsidRPr="00E224B1">
        <w:t>the relation between POLQA values and RF level also resembles a sigmoid-like function</w:t>
      </w:r>
      <w:r w:rsidR="000C0CD6" w:rsidRPr="00E224B1">
        <w:t>. C</w:t>
      </w:r>
      <w:r w:rsidRPr="00E224B1">
        <w:t xml:space="preserve">reating an appropriate first-order mapping relation would only require finding a matching set of parameters. </w:t>
      </w:r>
    </w:p>
    <w:p w14:paraId="61096613" w14:textId="6956FF11" w:rsidR="00BC7173" w:rsidRPr="00E224B1" w:rsidRDefault="00133633" w:rsidP="006B482F">
      <w:pPr>
        <w:pStyle w:val="Heading1"/>
      </w:pPr>
      <w:bookmarkStart w:id="60" w:name="_Toc125305334"/>
      <w:bookmarkStart w:id="61" w:name="_Toc148950493"/>
      <w:bookmarkStart w:id="62" w:name="_Toc156896127"/>
      <w:r w:rsidRPr="00E224B1">
        <w:t>1</w:t>
      </w:r>
      <w:r w:rsidR="000404E4" w:rsidRPr="00E224B1">
        <w:t>0</w:t>
      </w:r>
      <w:r w:rsidRPr="00E224B1">
        <w:tab/>
      </w:r>
      <w:r w:rsidR="00BC7173" w:rsidRPr="00E224B1">
        <w:t>Mapping relations for packet</w:t>
      </w:r>
      <w:r w:rsidR="003B3115" w:rsidRPr="00E224B1">
        <w:t xml:space="preserve"> </w:t>
      </w:r>
      <w:r w:rsidR="00BC7173" w:rsidRPr="00E224B1">
        <w:t>data applications</w:t>
      </w:r>
      <w:bookmarkEnd w:id="60"/>
      <w:bookmarkEnd w:id="61"/>
      <w:bookmarkEnd w:id="62"/>
    </w:p>
    <w:p w14:paraId="409DD1D3" w14:textId="2589E058" w:rsidR="00BC7173" w:rsidRPr="00E224B1" w:rsidRDefault="00BC7173" w:rsidP="00BC7173">
      <w:r w:rsidRPr="00E224B1">
        <w:t>In the case of NUI for packet</w:t>
      </w:r>
      <w:r w:rsidR="003B3115" w:rsidRPr="00E224B1">
        <w:t xml:space="preserve"> </w:t>
      </w:r>
      <w:r w:rsidRPr="00E224B1">
        <w:t>data applications (NUI_D), the method is applied analogously. In th</w:t>
      </w:r>
      <w:r w:rsidR="00480002" w:rsidRPr="00E224B1">
        <w:t>is</w:t>
      </w:r>
      <w:r w:rsidRPr="00E224B1">
        <w:t xml:space="preserve"> case, the characteristic curve would be data rate vs RF level. Again, different RAT</w:t>
      </w:r>
      <w:r w:rsidR="00480002" w:rsidRPr="00E224B1">
        <w:t>s</w:t>
      </w:r>
      <w:r w:rsidRPr="00E224B1">
        <w:t xml:space="preserve"> can easily be mapped to a common scale using this approach. In this case, scores values for</w:t>
      </w:r>
      <w:r w:rsidR="00DF5385" w:rsidRPr="00E224B1">
        <w:t>,</w:t>
      </w:r>
      <w:r w:rsidRPr="00E224B1">
        <w:t xml:space="preserve"> </w:t>
      </w:r>
      <w:r w:rsidR="00DF5385" w:rsidRPr="00E224B1">
        <w:t>e.g.,</w:t>
      </w:r>
      <w:r w:rsidRPr="00E224B1">
        <w:t xml:space="preserve"> 2G would of course be significantly lower than even in the best case.</w:t>
      </w:r>
    </w:p>
    <w:p w14:paraId="1DC885AF" w14:textId="4C6A2E75" w:rsidR="0012258B" w:rsidRPr="00E224B1" w:rsidRDefault="00BC7173" w:rsidP="00BC7173">
      <w:r w:rsidRPr="00E224B1">
        <w:t>For a comprehensive quantitative result in case of packet data usage, additional information is required, namely the actual RF bandwidth of a section of radio spectrum</w:t>
      </w:r>
      <w:r w:rsidR="0012258B" w:rsidRPr="00E224B1">
        <w:t>, because available maximum data rate depends, for a given radio access technology, primarily on that bandwidth</w:t>
      </w:r>
      <w:r w:rsidRPr="00E224B1">
        <w:t xml:space="preserve">. </w:t>
      </w:r>
    </w:p>
    <w:p w14:paraId="2F5A433E" w14:textId="45526530" w:rsidR="00ED7864" w:rsidRPr="00E224B1" w:rsidRDefault="0012258B" w:rsidP="00BC7173">
      <w:r w:rsidRPr="00E224B1">
        <w:t>However, in many actual Qo</w:t>
      </w:r>
      <w:r w:rsidR="0043186A" w:rsidRPr="00E224B1">
        <w:t>S</w:t>
      </w:r>
      <w:r w:rsidRPr="00E224B1">
        <w:t xml:space="preserve"> contexts, </w:t>
      </w:r>
      <w:r w:rsidR="003249A8" w:rsidRPr="00E224B1">
        <w:t xml:space="preserve">the </w:t>
      </w:r>
      <w:r w:rsidRPr="00E224B1">
        <w:t xml:space="preserve">data rate will not be the quantity of interest. When expressing the usefulness </w:t>
      </w:r>
      <w:r w:rsidR="00ED7864" w:rsidRPr="00E224B1">
        <w:t xml:space="preserve">of network performance </w:t>
      </w:r>
      <w:r w:rsidRPr="00E224B1">
        <w:t>for a given purpose,</w:t>
      </w:r>
      <w:r w:rsidR="00ED7864" w:rsidRPr="00E224B1">
        <w:t xml:space="preserve"> the final output quantity of an assessment process will take the type of usage into account. </w:t>
      </w:r>
    </w:p>
    <w:p w14:paraId="6127E721" w14:textId="32B05D26" w:rsidR="00ED7864" w:rsidRPr="00E224B1" w:rsidRDefault="00ED7864" w:rsidP="00BC7173">
      <w:r w:rsidRPr="00E224B1">
        <w:t>For instance, one and the same data rate may be considered fully sufficient for OTT telephony or web-browsing purposes, while for high-definition video streaming or augmented-reality purposes, it may be rated as inadequate. Also, in some cases, as for straightforward upload or download applications, a quantity more suitable for Qo</w:t>
      </w:r>
      <w:r w:rsidR="0043186A" w:rsidRPr="00E224B1">
        <w:t>S</w:t>
      </w:r>
      <w:r w:rsidRPr="00E224B1">
        <w:t xml:space="preserve"> purposes is the transaction time because this is what human user</w:t>
      </w:r>
      <w:r w:rsidR="003249A8" w:rsidRPr="00E224B1">
        <w:t>s</w:t>
      </w:r>
      <w:r w:rsidRPr="00E224B1">
        <w:t xml:space="preserve"> perceive. In such cases, a mapping relation may also show a sigmoid-like behavio</w:t>
      </w:r>
      <w:r w:rsidR="003249A8" w:rsidRPr="00E224B1">
        <w:t>u</w:t>
      </w:r>
      <w:r w:rsidRPr="00E224B1">
        <w:t>r because the perceived additional benefit of even higher data rates will, in many practical cases of data volume to be transferred, result in only a very small subjective improvement of download or upload time.</w:t>
      </w:r>
    </w:p>
    <w:p w14:paraId="50F30C47" w14:textId="3DEC42CE" w:rsidR="001D2504" w:rsidRPr="00E224B1" w:rsidRDefault="001D2504" w:rsidP="00BC7173">
      <w:r w:rsidRPr="00E224B1">
        <w:t xml:space="preserve">Also, the NUI methodology as such does not depend on the mathematical type and shape of the chosen mapping relation. A sigmoidal shape can be understood as a reasonable starting assumption in many cases but is not a binding requirement. </w:t>
      </w:r>
    </w:p>
    <w:p w14:paraId="15C09C9D" w14:textId="2AD163E4" w:rsidR="001D2504" w:rsidRPr="00E224B1" w:rsidRDefault="00ED7864" w:rsidP="00BC7173">
      <w:r w:rsidRPr="00E224B1">
        <w:t>The NUI methodology allows a single-</w:t>
      </w:r>
      <w:r w:rsidR="00794AFD" w:rsidRPr="00E224B1">
        <w:t>step expression of usefulness by convoluting Qo</w:t>
      </w:r>
      <w:r w:rsidR="0043186A" w:rsidRPr="00E224B1">
        <w:t>S</w:t>
      </w:r>
      <w:r w:rsidR="00794AFD" w:rsidRPr="00E224B1">
        <w:t xml:space="preserve">-related mappings with the primary quantity of </w:t>
      </w:r>
      <w:r w:rsidR="001D2504" w:rsidRPr="00E224B1">
        <w:t xml:space="preserve">a </w:t>
      </w:r>
      <w:r w:rsidR="00794AFD" w:rsidRPr="00E224B1">
        <w:t>data rate, into a single integrated mapping relation. In this sense, NUI_D should be seen as a family of relations rather than a single universal one, with usage-related subtypes for different use cases, e.g.</w:t>
      </w:r>
      <w:r w:rsidR="001B7439" w:rsidRPr="00E224B1">
        <w:t>,</w:t>
      </w:r>
      <w:r w:rsidR="00794AFD" w:rsidRPr="00E224B1">
        <w:t xml:space="preserve"> NUI_D</w:t>
      </w:r>
      <w:r w:rsidR="006B482F" w:rsidRPr="00E224B1">
        <w:t xml:space="preserve"> </w:t>
      </w:r>
      <w:r w:rsidR="00794AFD" w:rsidRPr="00E224B1">
        <w:t>(web browsing) or NUI_D</w:t>
      </w:r>
      <w:r w:rsidR="006B482F" w:rsidRPr="00E224B1">
        <w:t xml:space="preserve"> </w:t>
      </w:r>
      <w:r w:rsidR="00794AFD" w:rsidRPr="00E224B1">
        <w:t>(video streaming).</w:t>
      </w:r>
    </w:p>
    <w:p w14:paraId="0F4F1F4E" w14:textId="145D76C3" w:rsidR="00794AFD" w:rsidRPr="00E224B1" w:rsidRDefault="00794AFD" w:rsidP="00794AFD">
      <w:r w:rsidRPr="00E224B1">
        <w:t>When taking these considerations into account, even the effect of inaccuracies in the primary mapping from RF level to data rates (</w:t>
      </w:r>
      <w:r w:rsidR="00DF5385" w:rsidRPr="00E224B1">
        <w:t>e.g.,</w:t>
      </w:r>
      <w:r w:rsidRPr="00E224B1">
        <w:t xml:space="preserve"> if information on RF bandwidth is not available or left aside for simplification), can be mitigated at least in the saturation regions of sigmoid-like NUI mapping relations. </w:t>
      </w:r>
    </w:p>
    <w:p w14:paraId="43757720" w14:textId="38D1BDD7" w:rsidR="00BC7173" w:rsidRPr="00E224B1" w:rsidRDefault="00133633" w:rsidP="006B482F">
      <w:pPr>
        <w:pStyle w:val="Heading1"/>
      </w:pPr>
      <w:bookmarkStart w:id="63" w:name="_Toc125305335"/>
      <w:bookmarkStart w:id="64" w:name="_Toc148950494"/>
      <w:bookmarkStart w:id="65" w:name="_Toc156896128"/>
      <w:r w:rsidRPr="00E224B1">
        <w:t>1</w:t>
      </w:r>
      <w:r w:rsidR="000404E4" w:rsidRPr="00E224B1">
        <w:t>1</w:t>
      </w:r>
      <w:r w:rsidRPr="00E224B1">
        <w:tab/>
      </w:r>
      <w:r w:rsidR="00BC7173" w:rsidRPr="00E224B1">
        <w:t>Geographic representation</w:t>
      </w:r>
      <w:bookmarkEnd w:id="63"/>
      <w:bookmarkEnd w:id="64"/>
      <w:bookmarkEnd w:id="65"/>
    </w:p>
    <w:p w14:paraId="0C67DD8C" w14:textId="3570628A" w:rsidR="00BC7173" w:rsidRPr="00E224B1" w:rsidRDefault="00BC7173" w:rsidP="00BC7173">
      <w:r w:rsidRPr="00E224B1">
        <w:t xml:space="preserve">Implicitly, NUI is a geography-related quantity, </w:t>
      </w:r>
      <w:r w:rsidR="00DF5385" w:rsidRPr="00E224B1">
        <w:t>i.e.,</w:t>
      </w:r>
      <w:r w:rsidRPr="00E224B1">
        <w:t xml:space="preserve"> the result of spatial aggregation or binning. If a grid of given dimension is being used, this process is also called </w:t>
      </w:r>
      <w:r w:rsidR="001B7439" w:rsidRPr="00E224B1">
        <w:rPr>
          <w:szCs w:val="24"/>
        </w:rPr>
        <w:t>"</w:t>
      </w:r>
      <w:r w:rsidRPr="00E224B1">
        <w:t>tiling</w:t>
      </w:r>
      <w:r w:rsidR="001B7439" w:rsidRPr="00E224B1">
        <w:rPr>
          <w:szCs w:val="24"/>
        </w:rPr>
        <w:t>"</w:t>
      </w:r>
      <w:r w:rsidRPr="00E224B1">
        <w:t>. The following example shows NUI_T geo</w:t>
      </w:r>
      <w:r w:rsidR="00CC2956" w:rsidRPr="00E224B1">
        <w:t>-</w:t>
      </w:r>
      <w:r w:rsidRPr="00E224B1">
        <w:t>visualization examples with a tile size of 50</w:t>
      </w:r>
      <w:r w:rsidR="00D14C09" w:rsidRPr="00E224B1">
        <w:t xml:space="preserve"> × </w:t>
      </w:r>
      <w:r w:rsidRPr="00E224B1">
        <w:t xml:space="preserve">50 m. </w:t>
      </w:r>
    </w:p>
    <w:p w14:paraId="07AAF76A" w14:textId="005F854D" w:rsidR="00BC7173" w:rsidRPr="00E224B1" w:rsidRDefault="00BC7173" w:rsidP="00BC7173">
      <w:r w:rsidRPr="00E224B1">
        <w:t xml:space="preserve">Remark: In </w:t>
      </w:r>
      <w:r w:rsidRPr="00E224B1">
        <w:rPr>
          <w:rFonts w:eastAsia="Times New Roman"/>
        </w:rPr>
        <w:t>[ITU-T G.1034]</w:t>
      </w:r>
      <w:r w:rsidRPr="00E224B1">
        <w:t xml:space="preserve">, the more general term </w:t>
      </w:r>
      <w:r w:rsidR="001B7439" w:rsidRPr="00E224B1">
        <w:rPr>
          <w:szCs w:val="24"/>
        </w:rPr>
        <w:t>"</w:t>
      </w:r>
      <w:r w:rsidRPr="00E224B1">
        <w:t>Geo</w:t>
      </w:r>
      <w:r w:rsidR="000D796F" w:rsidRPr="00E224B1">
        <w:t>graphical</w:t>
      </w:r>
      <w:r w:rsidRPr="00E224B1">
        <w:t xml:space="preserve"> Unit</w:t>
      </w:r>
      <w:r w:rsidR="001B7439" w:rsidRPr="00E224B1">
        <w:rPr>
          <w:szCs w:val="24"/>
        </w:rPr>
        <w:t>"</w:t>
      </w:r>
      <w:r w:rsidRPr="00E224B1">
        <w:t xml:space="preserve"> or GU has been introduced in connection to spatial binning. A GU describes a general geographical object which can, in the case of a railway track, also be effectively one-dimensional and have an arbitrary orientation in the map plane. </w:t>
      </w:r>
      <w:r w:rsidR="001B7439" w:rsidRPr="00E224B1">
        <w:rPr>
          <w:szCs w:val="24"/>
        </w:rPr>
        <w:t>"</w:t>
      </w:r>
      <w:r w:rsidRPr="00E224B1">
        <w:t>Tile</w:t>
      </w:r>
      <w:r w:rsidR="001B7439" w:rsidRPr="00E224B1">
        <w:rPr>
          <w:szCs w:val="24"/>
        </w:rPr>
        <w:t>"</w:t>
      </w:r>
      <w:r w:rsidRPr="00E224B1">
        <w:t xml:space="preserve"> is used to distinguish the more specialized approach of equidistant grids.</w:t>
      </w:r>
    </w:p>
    <w:p w14:paraId="44E24FC9" w14:textId="77777777" w:rsidR="00BC7173" w:rsidRPr="00E224B1" w:rsidRDefault="00BC7173" w:rsidP="00A16658">
      <w:pPr>
        <w:pStyle w:val="Figure"/>
      </w:pPr>
      <w:r w:rsidRPr="00E224B1">
        <w:rPr>
          <w:noProof/>
        </w:rPr>
        <w:drawing>
          <wp:inline distT="0" distB="0" distL="0" distR="0" wp14:anchorId="01BFE712" wp14:editId="3A104986">
            <wp:extent cx="4924800" cy="28800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924800" cy="2880000"/>
                    </a:xfrm>
                    <a:prstGeom prst="rect">
                      <a:avLst/>
                    </a:prstGeom>
                  </pic:spPr>
                </pic:pic>
              </a:graphicData>
            </a:graphic>
          </wp:inline>
        </w:drawing>
      </w:r>
    </w:p>
    <w:p w14:paraId="391BA74A" w14:textId="7CF85401" w:rsidR="00BC7173" w:rsidRPr="00E224B1" w:rsidRDefault="00BC7173" w:rsidP="00A16658">
      <w:pPr>
        <w:pStyle w:val="FigureNoTitle"/>
      </w:pPr>
      <w:bookmarkStart w:id="66" w:name="_Ref83220216"/>
      <w:bookmarkStart w:id="67" w:name="_Toc125305463"/>
      <w:bookmarkStart w:id="68" w:name="_Toc125305474"/>
      <w:r w:rsidRPr="00E224B1">
        <w:t>Figure 3</w:t>
      </w:r>
      <w:bookmarkEnd w:id="66"/>
      <w:r w:rsidRPr="00E224B1">
        <w:rPr>
          <w:b w:val="0"/>
          <w:bCs/>
        </w:rPr>
        <w:t xml:space="preserve"> </w:t>
      </w:r>
      <w:r w:rsidR="00A16658" w:rsidRPr="00E224B1">
        <w:rPr>
          <w:b w:val="0"/>
          <w:bCs/>
        </w:rPr>
        <w:t xml:space="preserve">– </w:t>
      </w:r>
      <w:r w:rsidRPr="00E224B1">
        <w:t>Example of a tiled geo</w:t>
      </w:r>
      <w:r w:rsidR="000D796F" w:rsidRPr="00E224B1">
        <w:t>-</w:t>
      </w:r>
      <w:r w:rsidRPr="00E224B1">
        <w:t>visualization for NUI_T (color-coded) and three mobile networks. Symbol size according to a binari</w:t>
      </w:r>
      <w:r w:rsidR="000D796F" w:rsidRPr="00E224B1">
        <w:t>z</w:t>
      </w:r>
      <w:r w:rsidRPr="00E224B1">
        <w:t>ed version of NUI_T</w:t>
      </w:r>
      <w:bookmarkEnd w:id="67"/>
      <w:bookmarkEnd w:id="68"/>
    </w:p>
    <w:p w14:paraId="74ED907B" w14:textId="0DAB9E0E" w:rsidR="00BC7173" w:rsidRPr="00E224B1" w:rsidRDefault="00BC7173" w:rsidP="00AC4A47">
      <w:pPr>
        <w:pStyle w:val="Normalaftertitle0"/>
      </w:pPr>
      <w:r w:rsidRPr="00E224B1">
        <w:t xml:space="preserve">In these examples, NUI is represented by a </w:t>
      </w:r>
      <w:r w:rsidR="000D796F" w:rsidRPr="00E224B1">
        <w:t xml:space="preserve">different </w:t>
      </w:r>
      <w:r w:rsidRPr="00E224B1">
        <w:t>colo</w:t>
      </w:r>
      <w:r w:rsidR="000D796F" w:rsidRPr="00E224B1">
        <w:t>u</w:t>
      </w:r>
      <w:r w:rsidRPr="00E224B1">
        <w:t>r-coded symbol for each network. In order to show no-coverage tiles clearly, symbol size is also proportional to a binari</w:t>
      </w:r>
      <w:r w:rsidR="000D796F" w:rsidRPr="00E224B1">
        <w:t>z</w:t>
      </w:r>
      <w:r w:rsidRPr="00E224B1">
        <w:t>ed NUI value. In Figure</w:t>
      </w:r>
      <w:r w:rsidR="00AC4A47" w:rsidRPr="00E224B1">
        <w:t> </w:t>
      </w:r>
      <w:r w:rsidRPr="00E224B1">
        <w:t>3, all networks are shown superimposed on the same map. This representation is useful</w:t>
      </w:r>
      <w:r w:rsidR="00DF5385" w:rsidRPr="00E224B1">
        <w:t>,</w:t>
      </w:r>
      <w:r w:rsidRPr="00E224B1">
        <w:t xml:space="preserve"> </w:t>
      </w:r>
      <w:r w:rsidR="00DF5385" w:rsidRPr="00E224B1">
        <w:t>e.g.,</w:t>
      </w:r>
      <w:r w:rsidRPr="00E224B1">
        <w:t xml:space="preserve"> to clearly show tiles where not even an emergency call would work. Figure 4 shows data from the same region (slightly different area) in an alternative per-operator coverage view.</w:t>
      </w:r>
    </w:p>
    <w:p w14:paraId="58CCAD47" w14:textId="77777777" w:rsidR="00BC7173" w:rsidRPr="00E224B1" w:rsidRDefault="00BC7173" w:rsidP="00AC4A47">
      <w:pPr>
        <w:pStyle w:val="Figure"/>
      </w:pPr>
      <w:r w:rsidRPr="00E224B1">
        <w:rPr>
          <w:noProof/>
        </w:rPr>
        <w:drawing>
          <wp:inline distT="0" distB="0" distL="0" distR="0" wp14:anchorId="1DE16510" wp14:editId="6AEED6F3">
            <wp:extent cx="4888800" cy="2880000"/>
            <wp:effectExtent l="0" t="0" r="762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888800" cy="2880000"/>
                    </a:xfrm>
                    <a:prstGeom prst="rect">
                      <a:avLst/>
                    </a:prstGeom>
                  </pic:spPr>
                </pic:pic>
              </a:graphicData>
            </a:graphic>
          </wp:inline>
        </w:drawing>
      </w:r>
    </w:p>
    <w:p w14:paraId="3F205A87" w14:textId="0BDB34F7" w:rsidR="00BC7173" w:rsidRPr="00E224B1" w:rsidRDefault="00BC7173" w:rsidP="00AC4A47">
      <w:pPr>
        <w:pStyle w:val="FigureNoTitle"/>
      </w:pPr>
      <w:bookmarkStart w:id="69" w:name="_Ref83220345"/>
      <w:bookmarkStart w:id="70" w:name="_Toc125305464"/>
      <w:bookmarkStart w:id="71" w:name="_Toc125305475"/>
      <w:r w:rsidRPr="00E224B1">
        <w:t>Figure 4</w:t>
      </w:r>
      <w:bookmarkEnd w:id="69"/>
      <w:r w:rsidRPr="00E224B1">
        <w:rPr>
          <w:b w:val="0"/>
          <w:bCs/>
        </w:rPr>
        <w:t xml:space="preserve"> </w:t>
      </w:r>
      <w:r w:rsidR="00AC4A47" w:rsidRPr="00E224B1">
        <w:rPr>
          <w:b w:val="0"/>
          <w:bCs/>
        </w:rPr>
        <w:t xml:space="preserve">– </w:t>
      </w:r>
      <w:r w:rsidRPr="00E224B1">
        <w:t>Example of a tiled NUI_T geo</w:t>
      </w:r>
      <w:r w:rsidR="000D796F" w:rsidRPr="00E224B1">
        <w:t>-</w:t>
      </w:r>
      <w:r w:rsidRPr="00E224B1">
        <w:t>visualisation separated per mobile network</w:t>
      </w:r>
      <w:bookmarkEnd w:id="70"/>
      <w:bookmarkEnd w:id="71"/>
    </w:p>
    <w:p w14:paraId="573DCFCC" w14:textId="0632B733" w:rsidR="00BC7173" w:rsidRPr="00E224B1" w:rsidRDefault="00133633" w:rsidP="00464975">
      <w:pPr>
        <w:pStyle w:val="Heading1"/>
        <w:ind w:left="0" w:firstLine="0"/>
      </w:pPr>
      <w:bookmarkStart w:id="72" w:name="_Toc125305336"/>
      <w:bookmarkStart w:id="73" w:name="_Toc148950495"/>
      <w:bookmarkStart w:id="74" w:name="_Toc156896129"/>
      <w:r w:rsidRPr="00E224B1">
        <w:t>1</w:t>
      </w:r>
      <w:r w:rsidR="000404E4" w:rsidRPr="00E224B1">
        <w:t>2</w:t>
      </w:r>
      <w:r w:rsidRPr="00E224B1">
        <w:tab/>
      </w:r>
      <w:r w:rsidR="00BC7173" w:rsidRPr="00E224B1">
        <w:t>Auxiliary quantities and further aggregation</w:t>
      </w:r>
      <w:bookmarkEnd w:id="72"/>
      <w:bookmarkEnd w:id="73"/>
      <w:bookmarkEnd w:id="74"/>
    </w:p>
    <w:p w14:paraId="7959AE61" w14:textId="6DBE51F0" w:rsidR="00BC7173" w:rsidRPr="00E224B1" w:rsidRDefault="00BC7173" w:rsidP="00BC7173">
      <w:r w:rsidRPr="00E224B1">
        <w:t>As for other types of data coming from measurements, the question of reliability needs to be addressed</w:t>
      </w:r>
      <w:r w:rsidR="004669E4" w:rsidRPr="00E224B1">
        <w:t xml:space="preserve"> and </w:t>
      </w:r>
      <w:r w:rsidRPr="00E224B1">
        <w:t xml:space="preserve">is primarily determined by the number of samples. In a practical implementation of NUI, this can be easily done by calculating a respective measure of certainty, derived from the number of data points in a given unit of aggregation, </w:t>
      </w:r>
      <w:r w:rsidR="00DF5385" w:rsidRPr="00E224B1">
        <w:t>e.g.,</w:t>
      </w:r>
      <w:r w:rsidRPr="00E224B1">
        <w:t xml:space="preserve"> a geographic tile.</w:t>
      </w:r>
    </w:p>
    <w:p w14:paraId="0083C750" w14:textId="58044D87" w:rsidR="00BC7173" w:rsidRPr="00E224B1" w:rsidRDefault="00BC7173" w:rsidP="00BC7173">
      <w:r w:rsidRPr="00E224B1">
        <w:t>A</w:t>
      </w:r>
      <w:r w:rsidR="001D4156" w:rsidRPr="00E224B1">
        <w:t>n</w:t>
      </w:r>
      <w:r w:rsidRPr="00E224B1">
        <w:t xml:space="preserve"> NUI value relates to a given mobile network. The concept of NUI can be easily extended to cases of roaming, by considering all mobile networks available for a given subscriber profile. Also, if the interest is on overall network availability as in the case of emergency-call situations, all-net NUI can be defined which considers this particular use case. Respective concrete definitions are subject to further study. </w:t>
      </w:r>
    </w:p>
    <w:p w14:paraId="5328EDE5" w14:textId="4295F6F6" w:rsidR="00E539CD" w:rsidRPr="00E224B1" w:rsidRDefault="004D6DA6" w:rsidP="004D6DA6">
      <w:pPr>
        <w:spacing w:before="720"/>
        <w:jc w:val="center"/>
      </w:pPr>
      <w:r w:rsidRPr="00E224B1">
        <w:t>___________</w:t>
      </w:r>
    </w:p>
    <w:sectPr w:rsidR="00E539CD" w:rsidRPr="00E224B1" w:rsidSect="0088110A">
      <w:footerReference w:type="first" r:id="rId23"/>
      <w:type w:val="oddPage"/>
      <w:pgSz w:w="11907" w:h="16840" w:code="9"/>
      <w:pgMar w:top="1134" w:right="1134" w:bottom="1134" w:left="1134"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92D192" w14:textId="77777777" w:rsidR="006536FC" w:rsidRDefault="006536FC">
      <w:r>
        <w:separator/>
      </w:r>
    </w:p>
  </w:endnote>
  <w:endnote w:type="continuationSeparator" w:id="0">
    <w:p w14:paraId="6A6538C1" w14:textId="77777777" w:rsidR="006536FC" w:rsidRDefault="006536FC">
      <w:r>
        <w:continuationSeparator/>
      </w:r>
    </w:p>
  </w:endnote>
  <w:endnote w:type="continuationNotice" w:id="1">
    <w:p w14:paraId="39E85A3E" w14:textId="77777777" w:rsidR="006536FC" w:rsidRDefault="006536FC">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venir Next W1G Medium">
    <w:altName w:val="Calibri"/>
    <w:panose1 w:val="00000000000000000000"/>
    <w:charset w:val="00"/>
    <w:family w:val="swiss"/>
    <w:notTrueType/>
    <w:pitch w:val="variable"/>
    <w:sig w:usb0="A00002EF"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F9ADC" w14:textId="77777777" w:rsidR="00812991" w:rsidRDefault="00812991" w:rsidP="00CE6FBD">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F2372" w14:textId="7BAC944B" w:rsidR="00812991" w:rsidRPr="008F0E27" w:rsidRDefault="00812991" w:rsidP="00BD5402">
    <w:pPr>
      <w:pStyle w:val="Footer"/>
      <w:tabs>
        <w:tab w:val="clear" w:pos="5954"/>
        <w:tab w:val="left" w:pos="851"/>
        <w:tab w:val="right" w:pos="9072"/>
      </w:tabs>
      <w:jc w:val="left"/>
      <w:rPr>
        <w:b/>
        <w:bCs/>
      </w:rPr>
    </w:pPr>
    <w:r w:rsidRPr="00926B6C">
      <w:fldChar w:fldCharType="begin"/>
    </w:r>
    <w:r w:rsidRPr="00926B6C">
      <w:instrText xml:space="preserve"> PAGE </w:instrText>
    </w:r>
    <w:r w:rsidRPr="00926B6C">
      <w:fldChar w:fldCharType="separate"/>
    </w:r>
    <w:r w:rsidR="001D4156">
      <w:t>ii</w:t>
    </w:r>
    <w:r w:rsidRPr="00926B6C">
      <w:fldChar w:fldCharType="end"/>
    </w:r>
    <w:r>
      <w:tab/>
    </w:r>
    <w:r w:rsidR="00BD5402" w:rsidRPr="00BD5402">
      <w:rPr>
        <w:b/>
        <w:bCs/>
      </w:rPr>
      <w:t xml:space="preserve">ESTR-NUI </w:t>
    </w:r>
    <w:r w:rsidRPr="00926B6C">
      <w:rPr>
        <w:b/>
        <w:bCs/>
      </w:rPr>
      <w:t>(</w:t>
    </w:r>
    <w:r>
      <w:rPr>
        <w:b/>
        <w:bCs/>
      </w:rPr>
      <w:t>2023</w:t>
    </w:r>
    <w:r w:rsidRPr="00926B6C">
      <w:rPr>
        <w:b/>
        <w:bCs/>
      </w:rPr>
      <w:t>-</w:t>
    </w:r>
    <w:r>
      <w:rPr>
        <w:b/>
        <w:bCs/>
      </w:rPr>
      <w:t>0</w:t>
    </w:r>
    <w:r w:rsidR="00BD5402">
      <w:rPr>
        <w:b/>
        <w:bCs/>
      </w:rPr>
      <w:t>9</w:t>
    </w:r>
    <w:r w:rsidRPr="00926B6C">
      <w:rPr>
        <w:b/>
        <w:bCs/>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65145" w14:textId="0ED51070" w:rsidR="00812991" w:rsidRPr="008F0E27" w:rsidRDefault="00812991" w:rsidP="00BD5402">
    <w:pPr>
      <w:pStyle w:val="Footer"/>
      <w:tabs>
        <w:tab w:val="clear" w:pos="5954"/>
        <w:tab w:val="right" w:pos="8789"/>
      </w:tabs>
      <w:jc w:val="right"/>
      <w:rPr>
        <w:b/>
        <w:bCs/>
      </w:rPr>
    </w:pPr>
    <w:r w:rsidRPr="00926B6C">
      <w:rPr>
        <w:b/>
        <w:bCs/>
      </w:rPr>
      <w:tab/>
    </w:r>
    <w:r w:rsidR="00BD5402" w:rsidRPr="00BD5402">
      <w:rPr>
        <w:b/>
        <w:bCs/>
      </w:rPr>
      <w:t xml:space="preserve">ESTR-NUI </w:t>
    </w:r>
    <w:r w:rsidRPr="00926B6C">
      <w:rPr>
        <w:b/>
        <w:bCs/>
      </w:rPr>
      <w:t>(</w:t>
    </w:r>
    <w:r>
      <w:rPr>
        <w:b/>
        <w:bCs/>
      </w:rPr>
      <w:t>2023</w:t>
    </w:r>
    <w:r w:rsidRPr="00926B6C">
      <w:rPr>
        <w:b/>
        <w:bCs/>
      </w:rPr>
      <w:t>-</w:t>
    </w:r>
    <w:r>
      <w:rPr>
        <w:b/>
        <w:bCs/>
      </w:rPr>
      <w:t>0</w:t>
    </w:r>
    <w:r w:rsidR="00BD5402">
      <w:rPr>
        <w:b/>
        <w:bCs/>
      </w:rPr>
      <w:t>9</w:t>
    </w:r>
    <w:r w:rsidRPr="00926B6C">
      <w:rPr>
        <w:b/>
        <w:bCs/>
      </w:rPr>
      <w:t>)</w:t>
    </w:r>
    <w:r w:rsidRPr="00926B6C">
      <w:rPr>
        <w:b/>
        <w:bCs/>
      </w:rPr>
      <w:tab/>
    </w:r>
    <w:r w:rsidRPr="00926B6C">
      <w:fldChar w:fldCharType="begin"/>
    </w:r>
    <w:r w:rsidRPr="00926B6C">
      <w:instrText xml:space="preserve"> PAGE </w:instrText>
    </w:r>
    <w:r w:rsidRPr="00926B6C">
      <w:fldChar w:fldCharType="separate"/>
    </w:r>
    <w:r w:rsidR="001D4156">
      <w:t>i</w:t>
    </w:r>
    <w:r w:rsidRPr="00926B6C">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F2124" w14:textId="77777777" w:rsidR="00E02690" w:rsidRPr="00B22DA4" w:rsidRDefault="00E02690" w:rsidP="00B22DA4">
    <w:pPr>
      <w:pStyle w:val="Footer"/>
      <w:jc w:val="right"/>
      <w:rPr>
        <w:b/>
        <w:sz w:val="20"/>
      </w:rPr>
    </w:pPr>
    <w:r>
      <w:rPr>
        <w:b/>
        <w:sz w:val="20"/>
      </w:rPr>
      <w:t>FS</w:t>
    </w:r>
    <w:r w:rsidRPr="00D04546">
      <w:rPr>
        <w:b/>
        <w:sz w:val="20"/>
      </w:rPr>
      <w:t>TP-</w:t>
    </w:r>
    <w:r>
      <w:rPr>
        <w:b/>
        <w:sz w:val="20"/>
      </w:rPr>
      <w:t>FNTP</w:t>
    </w:r>
    <w:r w:rsidRPr="00D04546">
      <w:rPr>
        <w:b/>
        <w:sz w:val="20"/>
      </w:rPr>
      <w:t xml:space="preserve"> (2006-11) </w:t>
    </w:r>
    <w:r w:rsidRPr="00D04546">
      <w:rPr>
        <w:b/>
        <w:sz w:val="20"/>
      </w:rPr>
      <w:tab/>
    </w:r>
    <w:r w:rsidRPr="00D04546">
      <w:rPr>
        <w:rStyle w:val="PageNumber"/>
        <w:rFonts w:ascii="Times New Roman Bold" w:hAnsi="Times New Roman Bold"/>
        <w:b/>
        <w:bCs/>
        <w:caps w:val="0"/>
        <w:sz w:val="20"/>
      </w:rPr>
      <w:fldChar w:fldCharType="begin"/>
    </w:r>
    <w:r w:rsidRPr="00D04546">
      <w:rPr>
        <w:rStyle w:val="PageNumber"/>
        <w:rFonts w:ascii="Times New Roman Bold" w:hAnsi="Times New Roman Bold"/>
        <w:b/>
        <w:bCs/>
        <w:sz w:val="20"/>
      </w:rPr>
      <w:instrText xml:space="preserve"> PAGE </w:instrText>
    </w:r>
    <w:r w:rsidRPr="00D04546">
      <w:rPr>
        <w:rStyle w:val="PageNumber"/>
        <w:rFonts w:ascii="Times New Roman Bold" w:hAnsi="Times New Roman Bold"/>
        <w:b/>
        <w:bCs/>
        <w:caps w:val="0"/>
        <w:sz w:val="20"/>
      </w:rPr>
      <w:fldChar w:fldCharType="separate"/>
    </w:r>
    <w:r>
      <w:rPr>
        <w:rStyle w:val="PageNumber"/>
        <w:rFonts w:ascii="Times New Roman Bold" w:hAnsi="Times New Roman Bold"/>
        <w:b/>
        <w:bCs/>
        <w:sz w:val="20"/>
      </w:rPr>
      <w:t>4</w:t>
    </w:r>
    <w:r w:rsidRPr="00D04546">
      <w:rPr>
        <w:rStyle w:val="PageNumber"/>
        <w:rFonts w:ascii="Times New Roman Bold" w:hAnsi="Times New Roman Bold"/>
        <w:b/>
        <w:bCs/>
        <w:caps w:val="0"/>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17ABB4" w14:textId="77777777" w:rsidR="006536FC" w:rsidRDefault="006536FC">
      <w:r>
        <w:separator/>
      </w:r>
    </w:p>
  </w:footnote>
  <w:footnote w:type="continuationSeparator" w:id="0">
    <w:p w14:paraId="7B9D422D" w14:textId="77777777" w:rsidR="006536FC" w:rsidRDefault="006536FC">
      <w:r>
        <w:continuationSeparator/>
      </w:r>
    </w:p>
  </w:footnote>
  <w:footnote w:type="continuationNotice" w:id="1">
    <w:p w14:paraId="46390505" w14:textId="77777777" w:rsidR="006536FC" w:rsidRDefault="006536FC">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5615C" w14:textId="77777777" w:rsidR="00812991" w:rsidRDefault="00812991">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5415F" w14:textId="77777777" w:rsidR="00812991" w:rsidRDefault="00812991" w:rsidP="00CE6FBD">
    <w:pPr>
      <w:pStyle w:val="Header"/>
      <w:ind w:right="360"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645EE" w14:textId="77777777" w:rsidR="00812991" w:rsidRDefault="00812991">
    <w:pPr>
      <w:pStyle w:val="Header"/>
      <w:ind w:right="360" w:firstLine="360"/>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FFFFFF83"/>
    <w:multiLevelType w:val="singleLevel"/>
    <w:tmpl w:val="50985226"/>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0000001"/>
    <w:multiLevelType w:val="multilevel"/>
    <w:tmpl w:val="00000001"/>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00000002"/>
    <w:multiLevelType w:val="singleLevel"/>
    <w:tmpl w:val="00000002"/>
    <w:name w:val="WW8Num3"/>
    <w:lvl w:ilvl="0">
      <w:start w:val="1"/>
      <w:numFmt w:val="decimal"/>
      <w:lvlText w:val="%1."/>
      <w:lvlJc w:val="left"/>
      <w:pPr>
        <w:tabs>
          <w:tab w:val="num" w:pos="900"/>
        </w:tabs>
        <w:ind w:left="900" w:hanging="420"/>
      </w:pPr>
    </w:lvl>
  </w:abstractNum>
  <w:abstractNum w:abstractNumId="3" w15:restartNumberingAfterBreak="0">
    <w:nsid w:val="00000003"/>
    <w:multiLevelType w:val="singleLevel"/>
    <w:tmpl w:val="00000003"/>
    <w:name w:val="WW8Num5"/>
    <w:lvl w:ilvl="0">
      <w:start w:val="1"/>
      <w:numFmt w:val="decimal"/>
      <w:lvlText w:val="%1."/>
      <w:lvlJc w:val="left"/>
      <w:pPr>
        <w:tabs>
          <w:tab w:val="num" w:pos="1042"/>
        </w:tabs>
        <w:ind w:left="1042" w:hanging="420"/>
      </w:pPr>
    </w:lvl>
  </w:abstractNum>
  <w:abstractNum w:abstractNumId="4" w15:restartNumberingAfterBreak="0">
    <w:nsid w:val="00000004"/>
    <w:multiLevelType w:val="singleLevel"/>
    <w:tmpl w:val="00000004"/>
    <w:name w:val="WW8Num13"/>
    <w:lvl w:ilvl="0">
      <w:start w:val="1"/>
      <w:numFmt w:val="decimal"/>
      <w:lvlText w:val="%1)"/>
      <w:lvlJc w:val="left"/>
      <w:pPr>
        <w:tabs>
          <w:tab w:val="num" w:pos="360"/>
        </w:tabs>
        <w:ind w:left="360" w:hanging="360"/>
      </w:pPr>
    </w:lvl>
  </w:abstractNum>
  <w:abstractNum w:abstractNumId="5" w15:restartNumberingAfterBreak="0">
    <w:nsid w:val="00000005"/>
    <w:multiLevelType w:val="singleLevel"/>
    <w:tmpl w:val="00000005"/>
    <w:name w:val="WW8Num14"/>
    <w:lvl w:ilvl="0">
      <w:start w:val="1"/>
      <w:numFmt w:val="bullet"/>
      <w:lvlText w:val=""/>
      <w:lvlJc w:val="left"/>
      <w:pPr>
        <w:tabs>
          <w:tab w:val="num" w:pos="360"/>
        </w:tabs>
        <w:ind w:left="360" w:hanging="360"/>
      </w:pPr>
      <w:rPr>
        <w:rFonts w:ascii="Symbol" w:hAnsi="Symbol"/>
      </w:rPr>
    </w:lvl>
  </w:abstractNum>
  <w:abstractNum w:abstractNumId="6" w15:restartNumberingAfterBreak="0">
    <w:nsid w:val="00000006"/>
    <w:multiLevelType w:val="singleLevel"/>
    <w:tmpl w:val="00000006"/>
    <w:name w:val="WW8Num16"/>
    <w:lvl w:ilvl="0">
      <w:start w:val="1"/>
      <w:numFmt w:val="decimal"/>
      <w:lvlText w:val="%1)"/>
      <w:lvlJc w:val="left"/>
      <w:pPr>
        <w:tabs>
          <w:tab w:val="num" w:pos="420"/>
        </w:tabs>
        <w:ind w:left="420" w:hanging="420"/>
      </w:pPr>
    </w:lvl>
  </w:abstractNum>
  <w:abstractNum w:abstractNumId="7" w15:restartNumberingAfterBreak="0">
    <w:nsid w:val="00000007"/>
    <w:multiLevelType w:val="singleLevel"/>
    <w:tmpl w:val="00000007"/>
    <w:name w:val="WW8Num18"/>
    <w:lvl w:ilvl="0">
      <w:start w:val="1"/>
      <w:numFmt w:val="decimal"/>
      <w:lvlText w:val="%1."/>
      <w:lvlJc w:val="left"/>
      <w:pPr>
        <w:tabs>
          <w:tab w:val="num" w:pos="900"/>
        </w:tabs>
        <w:ind w:left="900" w:hanging="420"/>
      </w:pPr>
    </w:lvl>
  </w:abstractNum>
  <w:abstractNum w:abstractNumId="8" w15:restartNumberingAfterBreak="0">
    <w:nsid w:val="00000008"/>
    <w:multiLevelType w:val="singleLevel"/>
    <w:tmpl w:val="00000008"/>
    <w:name w:val="WW8Num19"/>
    <w:lvl w:ilvl="0">
      <w:start w:val="1"/>
      <w:numFmt w:val="decimal"/>
      <w:lvlText w:val="%1)"/>
      <w:lvlJc w:val="left"/>
      <w:pPr>
        <w:tabs>
          <w:tab w:val="num" w:pos="360"/>
        </w:tabs>
        <w:ind w:left="360" w:hanging="360"/>
      </w:pPr>
    </w:lvl>
  </w:abstractNum>
  <w:abstractNum w:abstractNumId="9" w15:restartNumberingAfterBreak="0">
    <w:nsid w:val="0000000A"/>
    <w:multiLevelType w:val="singleLevel"/>
    <w:tmpl w:val="0000000A"/>
    <w:name w:val="WW8Num22"/>
    <w:lvl w:ilvl="0">
      <w:start w:val="1"/>
      <w:numFmt w:val="decimal"/>
      <w:lvlText w:val="%1)"/>
      <w:lvlJc w:val="left"/>
      <w:pPr>
        <w:tabs>
          <w:tab w:val="num" w:pos="360"/>
        </w:tabs>
        <w:ind w:left="360" w:hanging="360"/>
      </w:pPr>
    </w:lvl>
  </w:abstractNum>
  <w:abstractNum w:abstractNumId="10" w15:restartNumberingAfterBreak="0">
    <w:nsid w:val="0000000B"/>
    <w:multiLevelType w:val="singleLevel"/>
    <w:tmpl w:val="0000000B"/>
    <w:name w:val="WW8Num23"/>
    <w:lvl w:ilvl="0">
      <w:start w:val="1"/>
      <w:numFmt w:val="decimal"/>
      <w:lvlText w:val="%1)"/>
      <w:lvlJc w:val="left"/>
      <w:pPr>
        <w:tabs>
          <w:tab w:val="num" w:pos="400"/>
        </w:tabs>
        <w:ind w:left="400" w:hanging="420"/>
      </w:pPr>
    </w:lvl>
  </w:abstractNum>
  <w:abstractNum w:abstractNumId="11" w15:restartNumberingAfterBreak="0">
    <w:nsid w:val="0000000C"/>
    <w:multiLevelType w:val="singleLevel"/>
    <w:tmpl w:val="0000000C"/>
    <w:name w:val="WW8Num27"/>
    <w:lvl w:ilvl="0">
      <w:start w:val="1"/>
      <w:numFmt w:val="bullet"/>
      <w:lvlText w:val="-"/>
      <w:lvlJc w:val="left"/>
      <w:pPr>
        <w:tabs>
          <w:tab w:val="num" w:pos="420"/>
        </w:tabs>
        <w:ind w:left="420" w:hanging="420"/>
      </w:pPr>
      <w:rPr>
        <w:rFonts w:ascii="SimSun" w:hAnsi="SimSun"/>
      </w:rPr>
    </w:lvl>
  </w:abstractNum>
  <w:abstractNum w:abstractNumId="12" w15:restartNumberingAfterBreak="0">
    <w:nsid w:val="0000000D"/>
    <w:multiLevelType w:val="multilevel"/>
    <w:tmpl w:val="0000000D"/>
    <w:name w:val="WW8Num33"/>
    <w:lvl w:ilvl="0">
      <w:start w:val="1"/>
      <w:numFmt w:val="bullet"/>
      <w:lvlText w:val=""/>
      <w:lvlJc w:val="left"/>
      <w:pPr>
        <w:tabs>
          <w:tab w:val="num" w:pos="360"/>
        </w:tabs>
        <w:ind w:left="360" w:hanging="360"/>
      </w:pPr>
      <w:rPr>
        <w:rFonts w:ascii="Symbol" w:hAnsi="Symbol"/>
        <w:sz w:val="20"/>
      </w:rPr>
    </w:lvl>
    <w:lvl w:ilvl="1">
      <w:start w:val="1"/>
      <w:numFmt w:val="bullet"/>
      <w:lvlText w:val=""/>
      <w:lvlJc w:val="left"/>
      <w:pPr>
        <w:tabs>
          <w:tab w:val="num" w:pos="1440"/>
        </w:tabs>
        <w:ind w:left="1440" w:hanging="360"/>
      </w:pPr>
      <w:rPr>
        <w:rFonts w:ascii="Symbol" w:hAnsi="Symbol"/>
        <w:sz w:val="20"/>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3" w15:restartNumberingAfterBreak="0">
    <w:nsid w:val="0000000E"/>
    <w:multiLevelType w:val="singleLevel"/>
    <w:tmpl w:val="0000000E"/>
    <w:name w:val="WW8Num34"/>
    <w:lvl w:ilvl="0">
      <w:start w:val="1"/>
      <w:numFmt w:val="bullet"/>
      <w:lvlText w:val=""/>
      <w:lvlJc w:val="left"/>
      <w:pPr>
        <w:tabs>
          <w:tab w:val="num" w:pos="397"/>
        </w:tabs>
        <w:ind w:left="454" w:hanging="284"/>
      </w:pPr>
      <w:rPr>
        <w:rFonts w:ascii="Wingdings" w:hAnsi="Wingdings"/>
        <w:sz w:val="21"/>
        <w:szCs w:val="21"/>
      </w:rPr>
    </w:lvl>
  </w:abstractNum>
  <w:abstractNum w:abstractNumId="14" w15:restartNumberingAfterBreak="0">
    <w:nsid w:val="0000000F"/>
    <w:multiLevelType w:val="singleLevel"/>
    <w:tmpl w:val="0000000F"/>
    <w:name w:val="WW8Num38"/>
    <w:lvl w:ilvl="0">
      <w:start w:val="1"/>
      <w:numFmt w:val="bullet"/>
      <w:lvlText w:val="-"/>
      <w:lvlJc w:val="left"/>
      <w:pPr>
        <w:tabs>
          <w:tab w:val="num" w:pos="420"/>
        </w:tabs>
        <w:ind w:left="420" w:hanging="420"/>
      </w:pPr>
      <w:rPr>
        <w:rFonts w:ascii="SimSun" w:hAnsi="SimSun"/>
      </w:rPr>
    </w:lvl>
  </w:abstractNum>
  <w:abstractNum w:abstractNumId="15" w15:restartNumberingAfterBreak="0">
    <w:nsid w:val="00000010"/>
    <w:multiLevelType w:val="singleLevel"/>
    <w:tmpl w:val="00000010"/>
    <w:name w:val="WW8Num40"/>
    <w:lvl w:ilvl="0">
      <w:start w:val="1"/>
      <w:numFmt w:val="decimal"/>
      <w:lvlText w:val="%1)"/>
      <w:lvlJc w:val="left"/>
      <w:pPr>
        <w:tabs>
          <w:tab w:val="num" w:pos="360"/>
        </w:tabs>
        <w:ind w:left="360" w:hanging="360"/>
      </w:pPr>
    </w:lvl>
  </w:abstractNum>
  <w:abstractNum w:abstractNumId="16" w15:restartNumberingAfterBreak="0">
    <w:nsid w:val="0FEA4405"/>
    <w:multiLevelType w:val="hybridMultilevel"/>
    <w:tmpl w:val="B8AAEA8A"/>
    <w:lvl w:ilvl="0" w:tplc="605871BA">
      <w:start w:val="1"/>
      <w:numFmt w:val="decimal"/>
      <w:lvlText w:val="%1)"/>
      <w:lvlJc w:val="left"/>
      <w:pPr>
        <w:ind w:left="420" w:hanging="420"/>
      </w:pPr>
      <w:rPr>
        <w:rFonts w:ascii="Times New Roman" w:hAnsi="Times New Roman"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15:restartNumberingAfterBreak="0">
    <w:nsid w:val="10082ACD"/>
    <w:multiLevelType w:val="hybridMultilevel"/>
    <w:tmpl w:val="B8AAEA8A"/>
    <w:lvl w:ilvl="0" w:tplc="FFFFFFFF">
      <w:start w:val="1"/>
      <w:numFmt w:val="decimal"/>
      <w:lvlText w:val="%1)"/>
      <w:lvlJc w:val="left"/>
      <w:pPr>
        <w:ind w:left="420" w:hanging="420"/>
      </w:pPr>
      <w:rPr>
        <w:rFonts w:ascii="Times New Roman" w:hAnsi="Times New Roman" w:cs="Times New Roman" w:hint="default"/>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18" w15:restartNumberingAfterBreak="0">
    <w:nsid w:val="18774457"/>
    <w:multiLevelType w:val="hybridMultilevel"/>
    <w:tmpl w:val="16260DCE"/>
    <w:lvl w:ilvl="0" w:tplc="5F1C4A46">
      <w:start w:val="1"/>
      <w:numFmt w:val="decimal"/>
      <w:lvlText w:val="[%1]"/>
      <w:lvlJc w:val="left"/>
      <w:pPr>
        <w:tabs>
          <w:tab w:val="num" w:pos="576"/>
        </w:tabs>
        <w:ind w:left="5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23A36138"/>
    <w:multiLevelType w:val="hybridMultilevel"/>
    <w:tmpl w:val="72885E28"/>
    <w:lvl w:ilvl="0" w:tplc="04070005">
      <w:start w:val="1"/>
      <w:numFmt w:val="bullet"/>
      <w:lvlText w:val=""/>
      <w:lvlJc w:val="left"/>
      <w:pPr>
        <w:tabs>
          <w:tab w:val="num" w:pos="720"/>
        </w:tabs>
        <w:ind w:left="720" w:hanging="360"/>
      </w:pPr>
      <w:rPr>
        <w:rFonts w:ascii="Wingdings" w:hAnsi="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6A3A79"/>
    <w:multiLevelType w:val="multilevel"/>
    <w:tmpl w:val="23D06F18"/>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1" w15:restartNumberingAfterBreak="0">
    <w:nsid w:val="31357550"/>
    <w:multiLevelType w:val="hybridMultilevel"/>
    <w:tmpl w:val="C2860CA6"/>
    <w:lvl w:ilvl="0" w:tplc="C1463B70">
      <w:start w:val="7"/>
      <w:numFmt w:val="bullet"/>
      <w:lvlText w:val="-"/>
      <w:lvlJc w:val="left"/>
      <w:pPr>
        <w:ind w:left="360" w:hanging="360"/>
      </w:pPr>
      <w:rPr>
        <w:rFonts w:ascii="Times New Roman" w:eastAsiaTheme="minorEastAsia" w:hAnsi="Times New Roman" w:cs="Times New Roman"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2" w15:restartNumberingAfterBreak="0">
    <w:nsid w:val="3C7521FB"/>
    <w:multiLevelType w:val="hybridMultilevel"/>
    <w:tmpl w:val="8B107F38"/>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23" w15:restartNumberingAfterBreak="0">
    <w:nsid w:val="436A03DE"/>
    <w:multiLevelType w:val="hybridMultilevel"/>
    <w:tmpl w:val="B8AAC77C"/>
    <w:lvl w:ilvl="0" w:tplc="ECA883A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4" w15:restartNumberingAfterBreak="0">
    <w:nsid w:val="46D11506"/>
    <w:multiLevelType w:val="hybridMultilevel"/>
    <w:tmpl w:val="4B28C850"/>
    <w:lvl w:ilvl="0" w:tplc="592C4382">
      <w:start w:val="7"/>
      <w:numFmt w:val="bullet"/>
      <w:lvlText w:val="-"/>
      <w:lvlJc w:val="left"/>
      <w:pPr>
        <w:ind w:left="360" w:hanging="360"/>
      </w:pPr>
      <w:rPr>
        <w:rFonts w:ascii="Times New Roman" w:eastAsiaTheme="minorEastAsia"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5" w15:restartNumberingAfterBreak="0">
    <w:nsid w:val="529E3FDD"/>
    <w:multiLevelType w:val="hybridMultilevel"/>
    <w:tmpl w:val="B8AAEA8A"/>
    <w:lvl w:ilvl="0" w:tplc="FFFFFFFF">
      <w:start w:val="1"/>
      <w:numFmt w:val="decimal"/>
      <w:lvlText w:val="%1)"/>
      <w:lvlJc w:val="left"/>
      <w:pPr>
        <w:ind w:left="420" w:hanging="420"/>
      </w:pPr>
      <w:rPr>
        <w:rFonts w:ascii="Times New Roman" w:hAnsi="Times New Roman" w:cs="Times New Roman" w:hint="default"/>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26" w15:restartNumberingAfterBreak="0">
    <w:nsid w:val="5B010E42"/>
    <w:multiLevelType w:val="multilevel"/>
    <w:tmpl w:val="00000001"/>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7" w15:restartNumberingAfterBreak="0">
    <w:nsid w:val="6D831720"/>
    <w:multiLevelType w:val="hybridMultilevel"/>
    <w:tmpl w:val="B8AAEA8A"/>
    <w:lvl w:ilvl="0" w:tplc="FFFFFFFF">
      <w:start w:val="1"/>
      <w:numFmt w:val="decimal"/>
      <w:lvlText w:val="%1)"/>
      <w:lvlJc w:val="left"/>
      <w:pPr>
        <w:ind w:left="420" w:hanging="420"/>
      </w:pPr>
      <w:rPr>
        <w:rFonts w:ascii="Times New Roman" w:hAnsi="Times New Roman" w:cs="Times New Roman" w:hint="default"/>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28"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9" w15:restartNumberingAfterBreak="0">
    <w:nsid w:val="7F0B1914"/>
    <w:multiLevelType w:val="hybridMultilevel"/>
    <w:tmpl w:val="79F08CA6"/>
    <w:lvl w:ilvl="0" w:tplc="04070003">
      <w:start w:val="1"/>
      <w:numFmt w:val="bullet"/>
      <w:lvlText w:val="o"/>
      <w:lvlJc w:val="left"/>
      <w:pPr>
        <w:ind w:left="669" w:hanging="420"/>
      </w:pPr>
      <w:rPr>
        <w:rFonts w:ascii="Courier New" w:hAnsi="Courier New" w:cs="Courier New" w:hint="default"/>
      </w:rPr>
    </w:lvl>
    <w:lvl w:ilvl="1" w:tplc="04090003" w:tentative="1">
      <w:start w:val="1"/>
      <w:numFmt w:val="bullet"/>
      <w:lvlText w:val=""/>
      <w:lvlJc w:val="left"/>
      <w:pPr>
        <w:ind w:left="1089" w:hanging="420"/>
      </w:pPr>
      <w:rPr>
        <w:rFonts w:ascii="Wingdings" w:hAnsi="Wingdings" w:hint="default"/>
      </w:rPr>
    </w:lvl>
    <w:lvl w:ilvl="2" w:tplc="04090005" w:tentative="1">
      <w:start w:val="1"/>
      <w:numFmt w:val="bullet"/>
      <w:lvlText w:val=""/>
      <w:lvlJc w:val="left"/>
      <w:pPr>
        <w:ind w:left="1509" w:hanging="420"/>
      </w:pPr>
      <w:rPr>
        <w:rFonts w:ascii="Wingdings" w:hAnsi="Wingdings" w:hint="default"/>
      </w:rPr>
    </w:lvl>
    <w:lvl w:ilvl="3" w:tplc="04090001" w:tentative="1">
      <w:start w:val="1"/>
      <w:numFmt w:val="bullet"/>
      <w:lvlText w:val=""/>
      <w:lvlJc w:val="left"/>
      <w:pPr>
        <w:ind w:left="1929" w:hanging="420"/>
      </w:pPr>
      <w:rPr>
        <w:rFonts w:ascii="Wingdings" w:hAnsi="Wingdings" w:hint="default"/>
      </w:rPr>
    </w:lvl>
    <w:lvl w:ilvl="4" w:tplc="04090003" w:tentative="1">
      <w:start w:val="1"/>
      <w:numFmt w:val="bullet"/>
      <w:lvlText w:val=""/>
      <w:lvlJc w:val="left"/>
      <w:pPr>
        <w:ind w:left="2349" w:hanging="420"/>
      </w:pPr>
      <w:rPr>
        <w:rFonts w:ascii="Wingdings" w:hAnsi="Wingdings" w:hint="default"/>
      </w:rPr>
    </w:lvl>
    <w:lvl w:ilvl="5" w:tplc="04090005" w:tentative="1">
      <w:start w:val="1"/>
      <w:numFmt w:val="bullet"/>
      <w:lvlText w:val=""/>
      <w:lvlJc w:val="left"/>
      <w:pPr>
        <w:ind w:left="2769" w:hanging="420"/>
      </w:pPr>
      <w:rPr>
        <w:rFonts w:ascii="Wingdings" w:hAnsi="Wingdings" w:hint="default"/>
      </w:rPr>
    </w:lvl>
    <w:lvl w:ilvl="6" w:tplc="04090001" w:tentative="1">
      <w:start w:val="1"/>
      <w:numFmt w:val="bullet"/>
      <w:lvlText w:val=""/>
      <w:lvlJc w:val="left"/>
      <w:pPr>
        <w:ind w:left="3189" w:hanging="420"/>
      </w:pPr>
      <w:rPr>
        <w:rFonts w:ascii="Wingdings" w:hAnsi="Wingdings" w:hint="default"/>
      </w:rPr>
    </w:lvl>
    <w:lvl w:ilvl="7" w:tplc="04090003" w:tentative="1">
      <w:start w:val="1"/>
      <w:numFmt w:val="bullet"/>
      <w:lvlText w:val=""/>
      <w:lvlJc w:val="left"/>
      <w:pPr>
        <w:ind w:left="3609" w:hanging="420"/>
      </w:pPr>
      <w:rPr>
        <w:rFonts w:ascii="Wingdings" w:hAnsi="Wingdings" w:hint="default"/>
      </w:rPr>
    </w:lvl>
    <w:lvl w:ilvl="8" w:tplc="04090005" w:tentative="1">
      <w:start w:val="1"/>
      <w:numFmt w:val="bullet"/>
      <w:lvlText w:val=""/>
      <w:lvlJc w:val="left"/>
      <w:pPr>
        <w:ind w:left="4029" w:hanging="420"/>
      </w:pPr>
      <w:rPr>
        <w:rFonts w:ascii="Wingdings" w:hAnsi="Wingdings" w:hint="default"/>
      </w:rPr>
    </w:lvl>
  </w:abstractNum>
  <w:num w:numId="1" w16cid:durableId="1321618417">
    <w:abstractNumId w:val="18"/>
  </w:num>
  <w:num w:numId="2" w16cid:durableId="417293388">
    <w:abstractNumId w:val="28"/>
  </w:num>
  <w:num w:numId="3" w16cid:durableId="152645498">
    <w:abstractNumId w:val="0"/>
  </w:num>
  <w:num w:numId="4" w16cid:durableId="78524246">
    <w:abstractNumId w:val="28"/>
    <w:lvlOverride w:ilvl="0">
      <w:startOverride w:val="8"/>
    </w:lvlOverride>
  </w:num>
  <w:num w:numId="5" w16cid:durableId="1164931759">
    <w:abstractNumId w:val="28"/>
  </w:num>
  <w:num w:numId="6" w16cid:durableId="1054937559">
    <w:abstractNumId w:val="28"/>
    <w:lvlOverride w:ilvl="0">
      <w:startOverride w:val="8"/>
    </w:lvlOverride>
  </w:num>
  <w:num w:numId="7" w16cid:durableId="184561217">
    <w:abstractNumId w:val="1"/>
  </w:num>
  <w:num w:numId="8" w16cid:durableId="1652828261">
    <w:abstractNumId w:val="2"/>
  </w:num>
  <w:num w:numId="9" w16cid:durableId="1880434784">
    <w:abstractNumId w:val="3"/>
  </w:num>
  <w:num w:numId="10" w16cid:durableId="1826818987">
    <w:abstractNumId w:val="4"/>
  </w:num>
  <w:num w:numId="11" w16cid:durableId="1923373886">
    <w:abstractNumId w:val="5"/>
  </w:num>
  <w:num w:numId="12" w16cid:durableId="1973171135">
    <w:abstractNumId w:val="6"/>
  </w:num>
  <w:num w:numId="13" w16cid:durableId="1735853156">
    <w:abstractNumId w:val="7"/>
  </w:num>
  <w:num w:numId="14" w16cid:durableId="888228784">
    <w:abstractNumId w:val="8"/>
  </w:num>
  <w:num w:numId="15" w16cid:durableId="400829056">
    <w:abstractNumId w:val="9"/>
  </w:num>
  <w:num w:numId="16" w16cid:durableId="505554152">
    <w:abstractNumId w:val="10"/>
  </w:num>
  <w:num w:numId="17" w16cid:durableId="711611126">
    <w:abstractNumId w:val="11"/>
  </w:num>
  <w:num w:numId="18" w16cid:durableId="1236938763">
    <w:abstractNumId w:val="12"/>
  </w:num>
  <w:num w:numId="19" w16cid:durableId="1504280023">
    <w:abstractNumId w:val="13"/>
  </w:num>
  <w:num w:numId="20" w16cid:durableId="820073786">
    <w:abstractNumId w:val="14"/>
  </w:num>
  <w:num w:numId="21" w16cid:durableId="889339807">
    <w:abstractNumId w:val="15"/>
  </w:num>
  <w:num w:numId="22" w16cid:durableId="699278629">
    <w:abstractNumId w:val="26"/>
  </w:num>
  <w:num w:numId="23" w16cid:durableId="170948810">
    <w:abstractNumId w:val="19"/>
  </w:num>
  <w:num w:numId="24" w16cid:durableId="684402193">
    <w:abstractNumId w:val="29"/>
  </w:num>
  <w:num w:numId="25" w16cid:durableId="2037580507">
    <w:abstractNumId w:val="22"/>
  </w:num>
  <w:num w:numId="26" w16cid:durableId="1370380348">
    <w:abstractNumId w:val="21"/>
  </w:num>
  <w:num w:numId="27" w16cid:durableId="1828015731">
    <w:abstractNumId w:val="24"/>
  </w:num>
  <w:num w:numId="28" w16cid:durableId="381485523">
    <w:abstractNumId w:val="20"/>
  </w:num>
  <w:num w:numId="29" w16cid:durableId="612634719">
    <w:abstractNumId w:val="23"/>
  </w:num>
  <w:num w:numId="30" w16cid:durableId="1569001310">
    <w:abstractNumId w:val="16"/>
  </w:num>
  <w:num w:numId="31" w16cid:durableId="1058935205">
    <w:abstractNumId w:val="25"/>
  </w:num>
  <w:num w:numId="32" w16cid:durableId="1351758403">
    <w:abstractNumId w:val="17"/>
  </w:num>
  <w:num w:numId="33" w16cid:durableId="1102267013">
    <w:abstractNumId w:val="2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embedSystemFonts/>
  <w:hideSpellingErrors/>
  <w:hideGrammaticalErrors/>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567"/>
  <w:hyphenationZone w:val="425"/>
  <w:evenAndOddHeaders/>
  <w:drawingGridHorizontalSpacing w:val="120"/>
  <w:displayHorizontalDrawingGridEvery w:val="2"/>
  <w:noPunctuationKerning/>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35CB"/>
    <w:rsid w:val="00003CAA"/>
    <w:rsid w:val="00004A38"/>
    <w:rsid w:val="00006FD8"/>
    <w:rsid w:val="00007949"/>
    <w:rsid w:val="00030745"/>
    <w:rsid w:val="0003282B"/>
    <w:rsid w:val="00033BBF"/>
    <w:rsid w:val="00034049"/>
    <w:rsid w:val="000404E4"/>
    <w:rsid w:val="00058629"/>
    <w:rsid w:val="00062192"/>
    <w:rsid w:val="00065F9A"/>
    <w:rsid w:val="00067382"/>
    <w:rsid w:val="00087100"/>
    <w:rsid w:val="00095330"/>
    <w:rsid w:val="000A4539"/>
    <w:rsid w:val="000B0226"/>
    <w:rsid w:val="000B48B5"/>
    <w:rsid w:val="000B4E41"/>
    <w:rsid w:val="000C0CD6"/>
    <w:rsid w:val="000C1690"/>
    <w:rsid w:val="000C6849"/>
    <w:rsid w:val="000C6F3E"/>
    <w:rsid w:val="000D796F"/>
    <w:rsid w:val="000E6528"/>
    <w:rsid w:val="001010EC"/>
    <w:rsid w:val="00116332"/>
    <w:rsid w:val="0012258B"/>
    <w:rsid w:val="00127BD2"/>
    <w:rsid w:val="00127CDE"/>
    <w:rsid w:val="00133633"/>
    <w:rsid w:val="00133E4A"/>
    <w:rsid w:val="0014028F"/>
    <w:rsid w:val="00142879"/>
    <w:rsid w:val="00146A98"/>
    <w:rsid w:val="00152C27"/>
    <w:rsid w:val="00190A2B"/>
    <w:rsid w:val="00194A00"/>
    <w:rsid w:val="00194D55"/>
    <w:rsid w:val="001B71EB"/>
    <w:rsid w:val="001B7439"/>
    <w:rsid w:val="001B7D0B"/>
    <w:rsid w:val="001C1902"/>
    <w:rsid w:val="001D2504"/>
    <w:rsid w:val="001D4156"/>
    <w:rsid w:val="001E0A1C"/>
    <w:rsid w:val="00216074"/>
    <w:rsid w:val="002240A7"/>
    <w:rsid w:val="00226D5A"/>
    <w:rsid w:val="00231B35"/>
    <w:rsid w:val="002378FD"/>
    <w:rsid w:val="002506D1"/>
    <w:rsid w:val="00263BE2"/>
    <w:rsid w:val="00266711"/>
    <w:rsid w:val="002667D8"/>
    <w:rsid w:val="00285E97"/>
    <w:rsid w:val="0029185B"/>
    <w:rsid w:val="002A45A6"/>
    <w:rsid w:val="002B0E11"/>
    <w:rsid w:val="002C1A6F"/>
    <w:rsid w:val="002C2272"/>
    <w:rsid w:val="002C67BB"/>
    <w:rsid w:val="002D1C18"/>
    <w:rsid w:val="002D41EB"/>
    <w:rsid w:val="002E6815"/>
    <w:rsid w:val="002E7D7C"/>
    <w:rsid w:val="002F2086"/>
    <w:rsid w:val="00300665"/>
    <w:rsid w:val="0030222D"/>
    <w:rsid w:val="00307337"/>
    <w:rsid w:val="003076FB"/>
    <w:rsid w:val="00316D76"/>
    <w:rsid w:val="00320C88"/>
    <w:rsid w:val="003233ED"/>
    <w:rsid w:val="003249A8"/>
    <w:rsid w:val="0033005A"/>
    <w:rsid w:val="00342ED1"/>
    <w:rsid w:val="00355736"/>
    <w:rsid w:val="003859FC"/>
    <w:rsid w:val="0039354E"/>
    <w:rsid w:val="00395061"/>
    <w:rsid w:val="003A4716"/>
    <w:rsid w:val="003B3115"/>
    <w:rsid w:val="003B575C"/>
    <w:rsid w:val="003B5C40"/>
    <w:rsid w:val="003C56EE"/>
    <w:rsid w:val="003D088A"/>
    <w:rsid w:val="003D6ABF"/>
    <w:rsid w:val="003D6C86"/>
    <w:rsid w:val="003E1CE7"/>
    <w:rsid w:val="003E4AF9"/>
    <w:rsid w:val="003F03EC"/>
    <w:rsid w:val="0040627C"/>
    <w:rsid w:val="00412492"/>
    <w:rsid w:val="00414258"/>
    <w:rsid w:val="0042525E"/>
    <w:rsid w:val="0043186A"/>
    <w:rsid w:val="00455E59"/>
    <w:rsid w:val="00461CA0"/>
    <w:rsid w:val="00464975"/>
    <w:rsid w:val="004669E4"/>
    <w:rsid w:val="00467172"/>
    <w:rsid w:val="00467B14"/>
    <w:rsid w:val="00480002"/>
    <w:rsid w:val="00490C80"/>
    <w:rsid w:val="00491524"/>
    <w:rsid w:val="00492BA3"/>
    <w:rsid w:val="004A591B"/>
    <w:rsid w:val="004B39E2"/>
    <w:rsid w:val="004C062A"/>
    <w:rsid w:val="004C46CD"/>
    <w:rsid w:val="004D63AF"/>
    <w:rsid w:val="004D6DA6"/>
    <w:rsid w:val="004E1C44"/>
    <w:rsid w:val="00500F12"/>
    <w:rsid w:val="00501B49"/>
    <w:rsid w:val="0051438B"/>
    <w:rsid w:val="005515B0"/>
    <w:rsid w:val="00551FD6"/>
    <w:rsid w:val="00557737"/>
    <w:rsid w:val="00592474"/>
    <w:rsid w:val="005939F7"/>
    <w:rsid w:val="005947C8"/>
    <w:rsid w:val="005C712C"/>
    <w:rsid w:val="005D0C82"/>
    <w:rsid w:val="005D642E"/>
    <w:rsid w:val="0060241A"/>
    <w:rsid w:val="006035E1"/>
    <w:rsid w:val="00614441"/>
    <w:rsid w:val="00620605"/>
    <w:rsid w:val="006207F0"/>
    <w:rsid w:val="00633928"/>
    <w:rsid w:val="00640F1E"/>
    <w:rsid w:val="00641720"/>
    <w:rsid w:val="0064792C"/>
    <w:rsid w:val="006536FC"/>
    <w:rsid w:val="006558EC"/>
    <w:rsid w:val="00665E46"/>
    <w:rsid w:val="00671B11"/>
    <w:rsid w:val="006727AE"/>
    <w:rsid w:val="00673A4E"/>
    <w:rsid w:val="00675621"/>
    <w:rsid w:val="006935CA"/>
    <w:rsid w:val="006A5568"/>
    <w:rsid w:val="006B482F"/>
    <w:rsid w:val="00721F06"/>
    <w:rsid w:val="007249BF"/>
    <w:rsid w:val="00731515"/>
    <w:rsid w:val="00737170"/>
    <w:rsid w:val="00761BCC"/>
    <w:rsid w:val="007622E4"/>
    <w:rsid w:val="0076332A"/>
    <w:rsid w:val="00785370"/>
    <w:rsid w:val="00785779"/>
    <w:rsid w:val="0078796F"/>
    <w:rsid w:val="00794AFD"/>
    <w:rsid w:val="00797986"/>
    <w:rsid w:val="007A4DD9"/>
    <w:rsid w:val="007B7AAB"/>
    <w:rsid w:val="007C5AA6"/>
    <w:rsid w:val="007D0D76"/>
    <w:rsid w:val="007D4056"/>
    <w:rsid w:val="007E4F4D"/>
    <w:rsid w:val="007F417E"/>
    <w:rsid w:val="00812991"/>
    <w:rsid w:val="0081617D"/>
    <w:rsid w:val="0083023F"/>
    <w:rsid w:val="0084023B"/>
    <w:rsid w:val="00844F16"/>
    <w:rsid w:val="00860EEE"/>
    <w:rsid w:val="00876F4C"/>
    <w:rsid w:val="00877177"/>
    <w:rsid w:val="0088110A"/>
    <w:rsid w:val="00881671"/>
    <w:rsid w:val="008A5D7A"/>
    <w:rsid w:val="008A693C"/>
    <w:rsid w:val="008B001E"/>
    <w:rsid w:val="008B7FF4"/>
    <w:rsid w:val="008C2F1C"/>
    <w:rsid w:val="008C5DEF"/>
    <w:rsid w:val="008D24BE"/>
    <w:rsid w:val="008E2221"/>
    <w:rsid w:val="008E6D55"/>
    <w:rsid w:val="008F3708"/>
    <w:rsid w:val="008F77B6"/>
    <w:rsid w:val="00907B6B"/>
    <w:rsid w:val="00911869"/>
    <w:rsid w:val="009413B7"/>
    <w:rsid w:val="009452D2"/>
    <w:rsid w:val="0095330F"/>
    <w:rsid w:val="00960647"/>
    <w:rsid w:val="00962424"/>
    <w:rsid w:val="00962725"/>
    <w:rsid w:val="009635CB"/>
    <w:rsid w:val="009650A2"/>
    <w:rsid w:val="00970CD5"/>
    <w:rsid w:val="00981C2C"/>
    <w:rsid w:val="00997B74"/>
    <w:rsid w:val="009A0899"/>
    <w:rsid w:val="009A4898"/>
    <w:rsid w:val="009A4F98"/>
    <w:rsid w:val="009C01D1"/>
    <w:rsid w:val="009C46D8"/>
    <w:rsid w:val="009C4756"/>
    <w:rsid w:val="009D26EB"/>
    <w:rsid w:val="009D76F7"/>
    <w:rsid w:val="009E0969"/>
    <w:rsid w:val="009E15B4"/>
    <w:rsid w:val="009F215D"/>
    <w:rsid w:val="00A01C5E"/>
    <w:rsid w:val="00A16658"/>
    <w:rsid w:val="00A2765C"/>
    <w:rsid w:val="00A36E26"/>
    <w:rsid w:val="00A40B6A"/>
    <w:rsid w:val="00A4769E"/>
    <w:rsid w:val="00A6449D"/>
    <w:rsid w:val="00A74437"/>
    <w:rsid w:val="00A7792D"/>
    <w:rsid w:val="00A90B48"/>
    <w:rsid w:val="00A93B35"/>
    <w:rsid w:val="00AA4884"/>
    <w:rsid w:val="00AB50A6"/>
    <w:rsid w:val="00AC4A47"/>
    <w:rsid w:val="00AE360E"/>
    <w:rsid w:val="00AE3CD8"/>
    <w:rsid w:val="00AF0764"/>
    <w:rsid w:val="00AF2DF1"/>
    <w:rsid w:val="00AF3A7B"/>
    <w:rsid w:val="00B05A6E"/>
    <w:rsid w:val="00B06551"/>
    <w:rsid w:val="00B1648F"/>
    <w:rsid w:val="00B22DA4"/>
    <w:rsid w:val="00B344DF"/>
    <w:rsid w:val="00B50E02"/>
    <w:rsid w:val="00B51CCD"/>
    <w:rsid w:val="00B6245D"/>
    <w:rsid w:val="00B6296C"/>
    <w:rsid w:val="00B639E4"/>
    <w:rsid w:val="00B6444F"/>
    <w:rsid w:val="00B8367E"/>
    <w:rsid w:val="00B84073"/>
    <w:rsid w:val="00B847E7"/>
    <w:rsid w:val="00B87323"/>
    <w:rsid w:val="00B93849"/>
    <w:rsid w:val="00BA22D2"/>
    <w:rsid w:val="00BA31F0"/>
    <w:rsid w:val="00BB1CD4"/>
    <w:rsid w:val="00BB723C"/>
    <w:rsid w:val="00BB7441"/>
    <w:rsid w:val="00BC7173"/>
    <w:rsid w:val="00BD5402"/>
    <w:rsid w:val="00BD6371"/>
    <w:rsid w:val="00BE0597"/>
    <w:rsid w:val="00BF5AE3"/>
    <w:rsid w:val="00BF6782"/>
    <w:rsid w:val="00C066A8"/>
    <w:rsid w:val="00C1062C"/>
    <w:rsid w:val="00C26533"/>
    <w:rsid w:val="00C33A3B"/>
    <w:rsid w:val="00C42501"/>
    <w:rsid w:val="00C425A1"/>
    <w:rsid w:val="00C63F63"/>
    <w:rsid w:val="00C71DFD"/>
    <w:rsid w:val="00C80390"/>
    <w:rsid w:val="00C80C5B"/>
    <w:rsid w:val="00C932B1"/>
    <w:rsid w:val="00CA3F8B"/>
    <w:rsid w:val="00CA6A4B"/>
    <w:rsid w:val="00CA7EB6"/>
    <w:rsid w:val="00CB74EE"/>
    <w:rsid w:val="00CC2956"/>
    <w:rsid w:val="00CD03DA"/>
    <w:rsid w:val="00CD09E6"/>
    <w:rsid w:val="00CE189D"/>
    <w:rsid w:val="00CE2580"/>
    <w:rsid w:val="00CF065C"/>
    <w:rsid w:val="00D04CE9"/>
    <w:rsid w:val="00D07F5B"/>
    <w:rsid w:val="00D11FE6"/>
    <w:rsid w:val="00D14C09"/>
    <w:rsid w:val="00D150B8"/>
    <w:rsid w:val="00D44412"/>
    <w:rsid w:val="00D46926"/>
    <w:rsid w:val="00D509D0"/>
    <w:rsid w:val="00D803C1"/>
    <w:rsid w:val="00D85AD5"/>
    <w:rsid w:val="00D8681F"/>
    <w:rsid w:val="00D9069A"/>
    <w:rsid w:val="00D91533"/>
    <w:rsid w:val="00D945C0"/>
    <w:rsid w:val="00D9634C"/>
    <w:rsid w:val="00DA2A41"/>
    <w:rsid w:val="00DB5E5F"/>
    <w:rsid w:val="00DE00B9"/>
    <w:rsid w:val="00DE07BE"/>
    <w:rsid w:val="00DF0503"/>
    <w:rsid w:val="00DF0B5E"/>
    <w:rsid w:val="00DF41E8"/>
    <w:rsid w:val="00DF5385"/>
    <w:rsid w:val="00E02690"/>
    <w:rsid w:val="00E074DA"/>
    <w:rsid w:val="00E224B1"/>
    <w:rsid w:val="00E225E6"/>
    <w:rsid w:val="00E34986"/>
    <w:rsid w:val="00E41D57"/>
    <w:rsid w:val="00E44AD3"/>
    <w:rsid w:val="00E46AC6"/>
    <w:rsid w:val="00E539CD"/>
    <w:rsid w:val="00E87776"/>
    <w:rsid w:val="00E92B39"/>
    <w:rsid w:val="00E93439"/>
    <w:rsid w:val="00EA1152"/>
    <w:rsid w:val="00EA637D"/>
    <w:rsid w:val="00EA7828"/>
    <w:rsid w:val="00EC0300"/>
    <w:rsid w:val="00ED52D6"/>
    <w:rsid w:val="00ED5DD3"/>
    <w:rsid w:val="00ED7864"/>
    <w:rsid w:val="00EE54CA"/>
    <w:rsid w:val="00EF1624"/>
    <w:rsid w:val="00EF56CD"/>
    <w:rsid w:val="00F014D0"/>
    <w:rsid w:val="00F040F0"/>
    <w:rsid w:val="00F05ED5"/>
    <w:rsid w:val="00F07D06"/>
    <w:rsid w:val="00F14A92"/>
    <w:rsid w:val="00F27CEF"/>
    <w:rsid w:val="00F410FD"/>
    <w:rsid w:val="00F62345"/>
    <w:rsid w:val="00FA0911"/>
    <w:rsid w:val="00FC1669"/>
    <w:rsid w:val="00FC331F"/>
    <w:rsid w:val="00FC51E5"/>
    <w:rsid w:val="00FD181F"/>
    <w:rsid w:val="00FD7800"/>
    <w:rsid w:val="00FE1E71"/>
    <w:rsid w:val="00FE4581"/>
    <w:rsid w:val="12C9BFC7"/>
    <w:rsid w:val="579B9F8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6DB4856"/>
  <w15:docId w15:val="{02A85966-4FD2-47D6-A6D8-4A828AAC7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2991"/>
    <w:pPr>
      <w:tabs>
        <w:tab w:val="left" w:pos="794"/>
        <w:tab w:val="left" w:pos="1191"/>
        <w:tab w:val="left" w:pos="1588"/>
        <w:tab w:val="left" w:pos="1985"/>
      </w:tabs>
      <w:overflowPunct w:val="0"/>
      <w:autoSpaceDE w:val="0"/>
      <w:autoSpaceDN w:val="0"/>
      <w:adjustRightInd w:val="0"/>
      <w:spacing w:before="120"/>
      <w:jc w:val="both"/>
      <w:textAlignment w:val="baseline"/>
    </w:pPr>
    <w:rPr>
      <w:rFonts w:eastAsiaTheme="minorEastAsia"/>
      <w:sz w:val="24"/>
      <w:lang w:val="en-GB" w:eastAsia="en-US"/>
    </w:rPr>
  </w:style>
  <w:style w:type="paragraph" w:styleId="Heading1">
    <w:name w:val="heading 1"/>
    <w:basedOn w:val="Normal"/>
    <w:next w:val="Normal"/>
    <w:link w:val="Heading1Char"/>
    <w:qFormat/>
    <w:rsid w:val="00812991"/>
    <w:pPr>
      <w:keepNext/>
      <w:keepLines/>
      <w:spacing w:before="360"/>
      <w:ind w:left="794" w:hanging="794"/>
      <w:jc w:val="left"/>
      <w:outlineLvl w:val="0"/>
    </w:pPr>
    <w:rPr>
      <w:b/>
    </w:rPr>
  </w:style>
  <w:style w:type="paragraph" w:styleId="Heading2">
    <w:name w:val="heading 2"/>
    <w:basedOn w:val="Heading1"/>
    <w:next w:val="Normal"/>
    <w:link w:val="Heading2Char"/>
    <w:qFormat/>
    <w:rsid w:val="00812991"/>
    <w:pPr>
      <w:spacing w:before="240"/>
      <w:outlineLvl w:val="1"/>
    </w:pPr>
  </w:style>
  <w:style w:type="paragraph" w:styleId="Heading3">
    <w:name w:val="heading 3"/>
    <w:basedOn w:val="Heading1"/>
    <w:next w:val="Normal"/>
    <w:link w:val="Heading3Char"/>
    <w:qFormat/>
    <w:rsid w:val="00812991"/>
    <w:pPr>
      <w:spacing w:before="160"/>
      <w:outlineLvl w:val="2"/>
    </w:pPr>
  </w:style>
  <w:style w:type="paragraph" w:styleId="Heading4">
    <w:name w:val="heading 4"/>
    <w:basedOn w:val="Heading3"/>
    <w:next w:val="Normal"/>
    <w:link w:val="Heading4Char"/>
    <w:qFormat/>
    <w:rsid w:val="00812991"/>
    <w:pPr>
      <w:tabs>
        <w:tab w:val="clear" w:pos="794"/>
        <w:tab w:val="left" w:pos="1021"/>
      </w:tabs>
      <w:ind w:left="1021" w:hanging="1021"/>
      <w:outlineLvl w:val="3"/>
    </w:pPr>
  </w:style>
  <w:style w:type="paragraph" w:styleId="Heading5">
    <w:name w:val="heading 5"/>
    <w:basedOn w:val="Heading4"/>
    <w:next w:val="Normal"/>
    <w:link w:val="Heading5Char"/>
    <w:qFormat/>
    <w:rsid w:val="00812991"/>
    <w:pPr>
      <w:outlineLvl w:val="4"/>
    </w:pPr>
  </w:style>
  <w:style w:type="paragraph" w:styleId="Heading6">
    <w:name w:val="heading 6"/>
    <w:basedOn w:val="Heading4"/>
    <w:next w:val="Normal"/>
    <w:qFormat/>
    <w:rsid w:val="00812991"/>
    <w:pPr>
      <w:tabs>
        <w:tab w:val="clear" w:pos="1021"/>
        <w:tab w:val="clear" w:pos="1191"/>
      </w:tabs>
      <w:ind w:left="1588" w:hanging="1588"/>
      <w:outlineLvl w:val="5"/>
    </w:pPr>
  </w:style>
  <w:style w:type="paragraph" w:styleId="Heading7">
    <w:name w:val="heading 7"/>
    <w:basedOn w:val="Heading6"/>
    <w:next w:val="Normal"/>
    <w:qFormat/>
    <w:rsid w:val="00812991"/>
    <w:pPr>
      <w:outlineLvl w:val="6"/>
    </w:pPr>
  </w:style>
  <w:style w:type="paragraph" w:styleId="Heading8">
    <w:name w:val="heading 8"/>
    <w:basedOn w:val="Heading6"/>
    <w:next w:val="Normal"/>
    <w:qFormat/>
    <w:rsid w:val="00812991"/>
    <w:pPr>
      <w:outlineLvl w:val="7"/>
    </w:pPr>
  </w:style>
  <w:style w:type="paragraph" w:styleId="Heading9">
    <w:name w:val="heading 9"/>
    <w:basedOn w:val="Heading6"/>
    <w:next w:val="Normal"/>
    <w:qFormat/>
    <w:rsid w:val="0081299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12991"/>
    <w:pPr>
      <w:tabs>
        <w:tab w:val="clear" w:pos="794"/>
        <w:tab w:val="clear" w:pos="1191"/>
        <w:tab w:val="clear" w:pos="1588"/>
        <w:tab w:val="clear" w:pos="1985"/>
      </w:tabs>
      <w:spacing w:before="0"/>
      <w:jc w:val="center"/>
    </w:pPr>
    <w:rPr>
      <w:sz w:val="18"/>
    </w:rPr>
  </w:style>
  <w:style w:type="paragraph" w:styleId="Footer">
    <w:name w:val="footer"/>
    <w:basedOn w:val="Normal"/>
    <w:link w:val="FooterChar"/>
    <w:rsid w:val="00812991"/>
    <w:pPr>
      <w:tabs>
        <w:tab w:val="clear" w:pos="794"/>
        <w:tab w:val="clear" w:pos="1191"/>
        <w:tab w:val="clear" w:pos="1588"/>
        <w:tab w:val="clear" w:pos="1985"/>
        <w:tab w:val="left" w:pos="5954"/>
        <w:tab w:val="right" w:pos="9639"/>
      </w:tabs>
      <w:spacing w:before="0"/>
    </w:pPr>
    <w:rPr>
      <w:caps/>
      <w:noProof/>
      <w:sz w:val="16"/>
    </w:rPr>
  </w:style>
  <w:style w:type="character" w:styleId="PageNumber">
    <w:name w:val="page number"/>
    <w:basedOn w:val="DefaultParagraphFont"/>
    <w:rsid w:val="00812991"/>
  </w:style>
  <w:style w:type="paragraph" w:customStyle="1" w:styleId="ASN1">
    <w:name w:val="ASN.1"/>
    <w:rsid w:val="0081299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heme="minorEastAsia" w:hAnsi="Courier New"/>
      <w:b/>
      <w:noProof/>
      <w:lang w:val="en-GB" w:eastAsia="en-US"/>
    </w:rPr>
  </w:style>
  <w:style w:type="table" w:styleId="TableGrid">
    <w:name w:val="Table Grid"/>
    <w:basedOn w:val="TableNormal"/>
    <w:rsid w:val="00812991"/>
    <w:rPr>
      <w:rFonts w:ascii="CG Times" w:eastAsiaTheme="minorEastAsia" w:hAnsi="CG Tim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1">
    <w:name w:val="toc 1"/>
    <w:basedOn w:val="Normal"/>
    <w:uiPriority w:val="39"/>
    <w:rsid w:val="00812991"/>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812991"/>
    <w:pPr>
      <w:spacing w:before="80"/>
      <w:ind w:left="1531" w:hanging="851"/>
    </w:pPr>
  </w:style>
  <w:style w:type="paragraph" w:styleId="TOC3">
    <w:name w:val="toc 3"/>
    <w:basedOn w:val="TOC2"/>
    <w:rsid w:val="00812991"/>
  </w:style>
  <w:style w:type="character" w:styleId="Hyperlink">
    <w:name w:val="Hyperlink"/>
    <w:basedOn w:val="DefaultParagraphFont"/>
    <w:uiPriority w:val="99"/>
    <w:rsid w:val="00812991"/>
    <w:rPr>
      <w:color w:val="0000FF"/>
      <w:u w:val="single"/>
    </w:rPr>
  </w:style>
  <w:style w:type="paragraph" w:styleId="CommentText">
    <w:name w:val="annotation text"/>
    <w:basedOn w:val="Normal"/>
    <w:link w:val="CommentTextChar"/>
    <w:qFormat/>
    <w:rsid w:val="00812991"/>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styleId="FollowedHyperlink">
    <w:name w:val="FollowedHyperlink"/>
    <w:rsid w:val="00A0117B"/>
    <w:rPr>
      <w:color w:val="800080"/>
      <w:u w:val="single"/>
    </w:rPr>
  </w:style>
  <w:style w:type="paragraph" w:customStyle="1" w:styleId="Figurelegend">
    <w:name w:val="Figure_legend"/>
    <w:basedOn w:val="Normal"/>
    <w:rsid w:val="00812991"/>
    <w:pPr>
      <w:keepNext/>
      <w:keepLines/>
      <w:tabs>
        <w:tab w:val="clear" w:pos="794"/>
        <w:tab w:val="clear" w:pos="1191"/>
        <w:tab w:val="clear" w:pos="1588"/>
        <w:tab w:val="clear" w:pos="1985"/>
      </w:tabs>
      <w:spacing w:before="20" w:after="20"/>
      <w:jc w:val="left"/>
    </w:pPr>
    <w:rPr>
      <w:sz w:val="18"/>
    </w:rPr>
  </w:style>
  <w:style w:type="paragraph" w:customStyle="1" w:styleId="Normalaftertitle">
    <w:name w:val="Normal after title"/>
    <w:basedOn w:val="Normal"/>
    <w:next w:val="Normal"/>
    <w:rsid w:val="00166D09"/>
    <w:pPr>
      <w:spacing w:before="320"/>
    </w:pPr>
    <w:rPr>
      <w:rFonts w:eastAsia="SimSun"/>
    </w:rPr>
  </w:style>
  <w:style w:type="character" w:styleId="CommentReference">
    <w:name w:val="annotation reference"/>
    <w:basedOn w:val="DefaultParagraphFont"/>
    <w:qFormat/>
    <w:rsid w:val="00812991"/>
    <w:rPr>
      <w:sz w:val="16"/>
      <w:szCs w:val="16"/>
    </w:rPr>
  </w:style>
  <w:style w:type="paragraph" w:customStyle="1" w:styleId="Normalaftertitle0">
    <w:name w:val="Normal_after_title"/>
    <w:basedOn w:val="Normal"/>
    <w:next w:val="Normal"/>
    <w:rsid w:val="00812991"/>
    <w:pPr>
      <w:spacing w:before="360"/>
    </w:pPr>
  </w:style>
  <w:style w:type="paragraph" w:customStyle="1" w:styleId="Rectitle">
    <w:name w:val="Rec_title"/>
    <w:basedOn w:val="Normal"/>
    <w:next w:val="Normalaftertitle0"/>
    <w:rsid w:val="00812991"/>
    <w:pPr>
      <w:keepNext/>
      <w:keepLines/>
      <w:spacing w:before="360"/>
      <w:jc w:val="center"/>
    </w:pPr>
    <w:rPr>
      <w:b/>
      <w:sz w:val="28"/>
    </w:rPr>
  </w:style>
  <w:style w:type="paragraph" w:customStyle="1" w:styleId="RecNo">
    <w:name w:val="Rec_No"/>
    <w:basedOn w:val="Normal"/>
    <w:next w:val="Rectitle"/>
    <w:rsid w:val="00812991"/>
    <w:pPr>
      <w:keepNext/>
      <w:keepLines/>
      <w:spacing w:before="0"/>
      <w:jc w:val="left"/>
    </w:pPr>
    <w:rPr>
      <w:b/>
      <w:sz w:val="28"/>
    </w:rPr>
  </w:style>
  <w:style w:type="paragraph" w:styleId="TOC4">
    <w:name w:val="toc 4"/>
    <w:basedOn w:val="TOC3"/>
    <w:semiHidden/>
    <w:rsid w:val="00812991"/>
  </w:style>
  <w:style w:type="paragraph" w:styleId="TOC5">
    <w:name w:val="toc 5"/>
    <w:basedOn w:val="TOC4"/>
    <w:semiHidden/>
    <w:rsid w:val="00812991"/>
  </w:style>
  <w:style w:type="paragraph" w:styleId="TOC6">
    <w:name w:val="toc 6"/>
    <w:basedOn w:val="TOC4"/>
    <w:semiHidden/>
    <w:rsid w:val="00812991"/>
  </w:style>
  <w:style w:type="paragraph" w:styleId="TOC7">
    <w:name w:val="toc 7"/>
    <w:basedOn w:val="TOC4"/>
    <w:semiHidden/>
    <w:rsid w:val="00812991"/>
  </w:style>
  <w:style w:type="paragraph" w:styleId="TOC8">
    <w:name w:val="toc 8"/>
    <w:basedOn w:val="TOC4"/>
    <w:semiHidden/>
    <w:rsid w:val="00812991"/>
  </w:style>
  <w:style w:type="paragraph" w:styleId="TOC9">
    <w:name w:val="toc 9"/>
    <w:basedOn w:val="TOC3"/>
    <w:semiHidden/>
    <w:rsid w:val="00812991"/>
  </w:style>
  <w:style w:type="character" w:styleId="UnresolvedMention">
    <w:name w:val="Unresolved Mention"/>
    <w:basedOn w:val="DefaultParagraphFont"/>
    <w:uiPriority w:val="99"/>
    <w:semiHidden/>
    <w:unhideWhenUsed/>
    <w:rsid w:val="008C5DEF"/>
    <w:rPr>
      <w:color w:val="605E5C"/>
      <w:shd w:val="clear" w:color="auto" w:fill="E1DFDD"/>
    </w:rPr>
  </w:style>
  <w:style w:type="paragraph" w:styleId="BalloonText">
    <w:name w:val="Balloon Text"/>
    <w:basedOn w:val="Normal"/>
    <w:link w:val="BalloonTextChar"/>
    <w:semiHidden/>
    <w:unhideWhenUsed/>
    <w:rsid w:val="00812991"/>
    <w:pPr>
      <w:spacing w:before="0"/>
    </w:pPr>
    <w:rPr>
      <w:sz w:val="18"/>
      <w:szCs w:val="18"/>
    </w:rPr>
  </w:style>
  <w:style w:type="paragraph" w:styleId="CommentSubject">
    <w:name w:val="annotation subject"/>
    <w:basedOn w:val="CommentText"/>
    <w:next w:val="CommentText"/>
    <w:link w:val="CommentSubjectChar"/>
    <w:semiHidden/>
    <w:unhideWhenUsed/>
    <w:rsid w:val="00812991"/>
    <w:pPr>
      <w:tabs>
        <w:tab w:val="left" w:pos="794"/>
        <w:tab w:val="left" w:pos="1191"/>
        <w:tab w:val="left" w:pos="1588"/>
        <w:tab w:val="left" w:pos="1985"/>
      </w:tabs>
      <w:overflowPunct w:val="0"/>
      <w:autoSpaceDE w:val="0"/>
      <w:autoSpaceDN w:val="0"/>
      <w:adjustRightInd w:val="0"/>
      <w:spacing w:before="120"/>
      <w:textAlignment w:val="baseline"/>
    </w:pPr>
    <w:rPr>
      <w:b/>
      <w:bCs/>
      <w:sz w:val="24"/>
      <w:lang w:val="en-GB"/>
    </w:rPr>
  </w:style>
  <w:style w:type="paragraph" w:customStyle="1" w:styleId="Equation">
    <w:name w:val="Equation"/>
    <w:basedOn w:val="Normal"/>
    <w:rsid w:val="00812991"/>
    <w:pPr>
      <w:tabs>
        <w:tab w:val="clear" w:pos="1191"/>
        <w:tab w:val="clear" w:pos="1588"/>
        <w:tab w:val="clear" w:pos="1985"/>
        <w:tab w:val="center" w:pos="4820"/>
        <w:tab w:val="right" w:pos="9639"/>
      </w:tabs>
      <w:jc w:val="left"/>
    </w:pPr>
  </w:style>
  <w:style w:type="paragraph" w:customStyle="1" w:styleId="Headingb">
    <w:name w:val="Heading_b"/>
    <w:basedOn w:val="Normal"/>
    <w:next w:val="Normal"/>
    <w:rsid w:val="00812991"/>
    <w:pPr>
      <w:keepNext/>
      <w:spacing w:before="160"/>
      <w:jc w:val="left"/>
    </w:pPr>
    <w:rPr>
      <w:b/>
    </w:rPr>
  </w:style>
  <w:style w:type="paragraph" w:styleId="TableofFigures">
    <w:name w:val="table of figures"/>
    <w:basedOn w:val="Normal"/>
    <w:next w:val="Normal"/>
    <w:uiPriority w:val="99"/>
    <w:rsid w:val="00F14A92"/>
    <w:pPr>
      <w:tabs>
        <w:tab w:val="right" w:leader="dot" w:pos="9639"/>
      </w:tabs>
    </w:pPr>
    <w:rPr>
      <w:smallCaps/>
      <w:sz w:val="20"/>
      <w:szCs w:val="24"/>
    </w:rPr>
  </w:style>
  <w:style w:type="paragraph" w:customStyle="1" w:styleId="Heading1Centered">
    <w:name w:val="Heading 1 Centered"/>
    <w:basedOn w:val="Heading1"/>
    <w:rsid w:val="00F14A92"/>
    <w:pPr>
      <w:ind w:left="0" w:firstLine="0"/>
      <w:jc w:val="center"/>
    </w:pPr>
  </w:style>
  <w:style w:type="paragraph" w:customStyle="1" w:styleId="Headingi">
    <w:name w:val="Heading_i"/>
    <w:basedOn w:val="Normal"/>
    <w:next w:val="Normal"/>
    <w:rsid w:val="00812991"/>
    <w:pPr>
      <w:keepNext/>
      <w:spacing w:before="160"/>
      <w:jc w:val="left"/>
    </w:pPr>
    <w:rPr>
      <w:i/>
    </w:rPr>
  </w:style>
  <w:style w:type="paragraph" w:customStyle="1" w:styleId="Tablehead">
    <w:name w:val="Table_head"/>
    <w:basedOn w:val="Normal"/>
    <w:next w:val="Tabletext"/>
    <w:rsid w:val="00812991"/>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812991"/>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customStyle="1" w:styleId="Figure">
    <w:name w:val="Figure"/>
    <w:basedOn w:val="Normal"/>
    <w:next w:val="FigureNoTitle"/>
    <w:rsid w:val="00812991"/>
    <w:pPr>
      <w:keepNext/>
      <w:keepLines/>
      <w:spacing w:before="240" w:after="120"/>
      <w:jc w:val="center"/>
    </w:pPr>
  </w:style>
  <w:style w:type="paragraph" w:customStyle="1" w:styleId="toc0">
    <w:name w:val="toc 0"/>
    <w:basedOn w:val="Normal"/>
    <w:next w:val="TOC1"/>
    <w:rsid w:val="00812991"/>
    <w:pPr>
      <w:keepLines/>
      <w:tabs>
        <w:tab w:val="clear" w:pos="794"/>
        <w:tab w:val="clear" w:pos="1191"/>
        <w:tab w:val="clear" w:pos="1588"/>
        <w:tab w:val="clear" w:pos="1985"/>
        <w:tab w:val="right" w:pos="9639"/>
      </w:tabs>
      <w:jc w:val="left"/>
    </w:pPr>
    <w:rPr>
      <w:b/>
    </w:rPr>
  </w:style>
  <w:style w:type="paragraph" w:styleId="List2">
    <w:name w:val="List 2"/>
    <w:basedOn w:val="Normal"/>
    <w:rsid w:val="0060241A"/>
    <w:pPr>
      <w:ind w:left="566" w:hanging="283"/>
    </w:pPr>
    <w:rPr>
      <w:rFonts w:eastAsia="Times New Roman"/>
      <w:szCs w:val="24"/>
    </w:rPr>
  </w:style>
  <w:style w:type="paragraph" w:styleId="List3">
    <w:name w:val="List 3"/>
    <w:basedOn w:val="Normal"/>
    <w:rsid w:val="0060241A"/>
    <w:pPr>
      <w:ind w:left="849" w:hanging="283"/>
    </w:pPr>
    <w:rPr>
      <w:rFonts w:eastAsia="Times New Roman"/>
      <w:szCs w:val="24"/>
    </w:rPr>
  </w:style>
  <w:style w:type="paragraph" w:styleId="List4">
    <w:name w:val="List 4"/>
    <w:basedOn w:val="Normal"/>
    <w:rsid w:val="0060241A"/>
    <w:pPr>
      <w:ind w:left="1132" w:hanging="283"/>
    </w:pPr>
    <w:rPr>
      <w:rFonts w:eastAsia="Times New Roman"/>
      <w:szCs w:val="24"/>
    </w:rPr>
  </w:style>
  <w:style w:type="paragraph" w:styleId="List5">
    <w:name w:val="List 5"/>
    <w:basedOn w:val="Normal"/>
    <w:rsid w:val="0060241A"/>
    <w:pPr>
      <w:ind w:left="1415" w:hanging="283"/>
    </w:pPr>
    <w:rPr>
      <w:rFonts w:eastAsia="Times New Roman"/>
      <w:szCs w:val="24"/>
    </w:rPr>
  </w:style>
  <w:style w:type="paragraph" w:styleId="Caption">
    <w:name w:val="caption"/>
    <w:aliases w:val="cap"/>
    <w:basedOn w:val="Normal"/>
    <w:next w:val="Normal"/>
    <w:unhideWhenUsed/>
    <w:qFormat/>
    <w:rsid w:val="00812991"/>
    <w:pPr>
      <w:tabs>
        <w:tab w:val="clear" w:pos="794"/>
        <w:tab w:val="clear" w:pos="1191"/>
        <w:tab w:val="clear" w:pos="1588"/>
        <w:tab w:val="clear" w:pos="1985"/>
      </w:tabs>
      <w:overflowPunct/>
      <w:autoSpaceDE/>
      <w:autoSpaceDN/>
      <w:adjustRightInd/>
      <w:spacing w:before="0" w:after="200"/>
      <w:jc w:val="left"/>
      <w:textAlignment w:val="auto"/>
    </w:pPr>
    <w:rPr>
      <w:i/>
      <w:iCs/>
      <w:color w:val="1F497D" w:themeColor="text2"/>
      <w:sz w:val="18"/>
      <w:szCs w:val="18"/>
      <w:lang w:eastAsia="ja-JP"/>
    </w:rPr>
  </w:style>
  <w:style w:type="paragraph" w:customStyle="1" w:styleId="Tablelegend">
    <w:name w:val="Table_legend"/>
    <w:basedOn w:val="Normal"/>
    <w:rsid w:val="00812991"/>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styleId="TOCHeading">
    <w:name w:val="TOC Heading"/>
    <w:basedOn w:val="Heading1"/>
    <w:next w:val="Normal"/>
    <w:uiPriority w:val="39"/>
    <w:unhideWhenUsed/>
    <w:qFormat/>
    <w:rsid w:val="0060241A"/>
    <w:pPr>
      <w:spacing w:before="480" w:line="276" w:lineRule="auto"/>
      <w:ind w:left="0" w:firstLine="0"/>
      <w:outlineLvl w:val="9"/>
    </w:pPr>
    <w:rPr>
      <w:rFonts w:ascii="Cambria" w:eastAsia="SimSun" w:hAnsi="Cambria"/>
      <w:color w:val="365F91"/>
      <w:sz w:val="28"/>
      <w:szCs w:val="28"/>
      <w:lang w:val="en-US"/>
    </w:rPr>
  </w:style>
  <w:style w:type="character" w:customStyle="1" w:styleId="Heading1Char">
    <w:name w:val="Heading 1 Char"/>
    <w:basedOn w:val="DefaultParagraphFont"/>
    <w:link w:val="Heading1"/>
    <w:rsid w:val="00812991"/>
    <w:rPr>
      <w:rFonts w:eastAsiaTheme="minorEastAsia"/>
      <w:b/>
      <w:sz w:val="24"/>
      <w:lang w:val="en-GB" w:eastAsia="en-US"/>
    </w:rPr>
  </w:style>
  <w:style w:type="paragraph" w:styleId="Revision">
    <w:name w:val="Revision"/>
    <w:hidden/>
    <w:uiPriority w:val="99"/>
    <w:semiHidden/>
    <w:rsid w:val="00812991"/>
    <w:rPr>
      <w:rFonts w:eastAsiaTheme="minorEastAsia"/>
      <w:sz w:val="24"/>
      <w:lang w:val="en-GB" w:eastAsia="en-US"/>
    </w:rPr>
  </w:style>
  <w:style w:type="character" w:styleId="Emphasis">
    <w:name w:val="Emphasis"/>
    <w:rsid w:val="009635CB"/>
    <w:rPr>
      <w:i/>
      <w:iCs/>
    </w:rPr>
  </w:style>
  <w:style w:type="character" w:styleId="Strong">
    <w:name w:val="Strong"/>
    <w:rsid w:val="009635CB"/>
    <w:rPr>
      <w:b/>
      <w:bCs/>
    </w:rPr>
  </w:style>
  <w:style w:type="paragraph" w:styleId="Quote">
    <w:name w:val="Quote"/>
    <w:basedOn w:val="Normal"/>
    <w:next w:val="Normal"/>
    <w:link w:val="QuoteChar"/>
    <w:uiPriority w:val="29"/>
    <w:rsid w:val="009635CB"/>
    <w:pPr>
      <w:spacing w:before="200" w:after="160"/>
      <w:ind w:left="864" w:right="864"/>
      <w:jc w:val="center"/>
    </w:pPr>
    <w:rPr>
      <w:i/>
      <w:iCs/>
      <w:color w:val="404040"/>
    </w:rPr>
  </w:style>
  <w:style w:type="character" w:customStyle="1" w:styleId="QuoteChar">
    <w:name w:val="Quote Char"/>
    <w:link w:val="Quote"/>
    <w:uiPriority w:val="29"/>
    <w:rsid w:val="009635CB"/>
    <w:rPr>
      <w:i/>
      <w:iCs/>
      <w:color w:val="404040"/>
      <w:sz w:val="24"/>
    </w:rPr>
  </w:style>
  <w:style w:type="character" w:customStyle="1" w:styleId="CommentTextChar">
    <w:name w:val="Comment Text Char"/>
    <w:basedOn w:val="DefaultParagraphFont"/>
    <w:link w:val="CommentText"/>
    <w:qFormat/>
    <w:rsid w:val="00812991"/>
    <w:rPr>
      <w:rFonts w:eastAsiaTheme="minorEastAsia"/>
      <w:lang w:eastAsia="en-US"/>
    </w:rPr>
  </w:style>
  <w:style w:type="character" w:styleId="FootnoteReference">
    <w:name w:val="footnote reference"/>
    <w:basedOn w:val="DefaultParagraphFont"/>
    <w:semiHidden/>
    <w:rsid w:val="00812991"/>
    <w:rPr>
      <w:position w:val="6"/>
      <w:sz w:val="18"/>
    </w:rPr>
  </w:style>
  <w:style w:type="paragraph" w:customStyle="1" w:styleId="Reftext">
    <w:name w:val="Ref_text"/>
    <w:basedOn w:val="Normal"/>
    <w:rsid w:val="00812991"/>
    <w:pPr>
      <w:ind w:left="794" w:hanging="794"/>
      <w:jc w:val="left"/>
    </w:pPr>
  </w:style>
  <w:style w:type="paragraph" w:styleId="ListBullet2">
    <w:name w:val="List Bullet 2"/>
    <w:basedOn w:val="Normal"/>
    <w:uiPriority w:val="99"/>
    <w:semiHidden/>
    <w:unhideWhenUsed/>
    <w:rsid w:val="00BC7173"/>
    <w:pPr>
      <w:numPr>
        <w:numId w:val="3"/>
      </w:numPr>
      <w:contextualSpacing/>
    </w:pPr>
    <w:rPr>
      <w:szCs w:val="24"/>
      <w:lang w:eastAsia="ja-JP"/>
    </w:rPr>
  </w:style>
  <w:style w:type="paragraph" w:customStyle="1" w:styleId="Docnumber">
    <w:name w:val="Docnumber"/>
    <w:basedOn w:val="Normal"/>
    <w:link w:val="DocnumberChar"/>
    <w:qFormat/>
    <w:rsid w:val="00812991"/>
    <w:pPr>
      <w:jc w:val="right"/>
    </w:pPr>
    <w:rPr>
      <w:rFonts w:eastAsia="Times New Roman"/>
      <w:b/>
      <w:bCs/>
      <w:sz w:val="40"/>
    </w:rPr>
  </w:style>
  <w:style w:type="character" w:customStyle="1" w:styleId="DocnumberChar">
    <w:name w:val="Docnumber Char"/>
    <w:basedOn w:val="DefaultParagraphFont"/>
    <w:link w:val="Docnumber"/>
    <w:rsid w:val="00812991"/>
    <w:rPr>
      <w:rFonts w:eastAsia="Times New Roman"/>
      <w:b/>
      <w:bCs/>
      <w:sz w:val="40"/>
      <w:lang w:val="en-GB" w:eastAsia="en-US"/>
    </w:rPr>
  </w:style>
  <w:style w:type="character" w:customStyle="1" w:styleId="UnresolvedMention1">
    <w:name w:val="Unresolved Mention1"/>
    <w:basedOn w:val="DefaultParagraphFont"/>
    <w:uiPriority w:val="99"/>
    <w:semiHidden/>
    <w:unhideWhenUsed/>
    <w:rsid w:val="00812991"/>
    <w:rPr>
      <w:color w:val="605E5C"/>
      <w:shd w:val="clear" w:color="auto" w:fill="E1DFDD"/>
    </w:rPr>
  </w:style>
  <w:style w:type="paragraph" w:styleId="FootnoteText">
    <w:name w:val="footnote text"/>
    <w:basedOn w:val="Note"/>
    <w:link w:val="FootnoteTextChar"/>
    <w:semiHidden/>
    <w:rsid w:val="00812991"/>
    <w:pPr>
      <w:keepLines/>
      <w:tabs>
        <w:tab w:val="left" w:pos="255"/>
      </w:tabs>
      <w:ind w:left="255" w:hanging="255"/>
    </w:pPr>
  </w:style>
  <w:style w:type="character" w:customStyle="1" w:styleId="FootnoteTextChar">
    <w:name w:val="Footnote Text Char"/>
    <w:basedOn w:val="DefaultParagraphFont"/>
    <w:link w:val="FootnoteText"/>
    <w:semiHidden/>
    <w:rsid w:val="00812991"/>
    <w:rPr>
      <w:rFonts w:eastAsiaTheme="minorEastAsia"/>
      <w:sz w:val="22"/>
      <w:lang w:val="en-GB" w:eastAsia="en-US"/>
    </w:rPr>
  </w:style>
  <w:style w:type="paragraph" w:customStyle="1" w:styleId="Note">
    <w:name w:val="Note"/>
    <w:basedOn w:val="Normal"/>
    <w:rsid w:val="00812991"/>
    <w:pPr>
      <w:spacing w:before="80"/>
    </w:pPr>
    <w:rPr>
      <w:sz w:val="22"/>
    </w:rPr>
  </w:style>
  <w:style w:type="paragraph" w:customStyle="1" w:styleId="enumlev1">
    <w:name w:val="enumlev1"/>
    <w:basedOn w:val="Normal"/>
    <w:rsid w:val="00812991"/>
    <w:pPr>
      <w:spacing w:before="80"/>
      <w:ind w:left="794" w:hanging="794"/>
    </w:pPr>
  </w:style>
  <w:style w:type="paragraph" w:customStyle="1" w:styleId="enumlev2">
    <w:name w:val="enumlev2"/>
    <w:basedOn w:val="enumlev1"/>
    <w:rsid w:val="00812991"/>
    <w:pPr>
      <w:ind w:left="1191" w:hanging="397"/>
    </w:pPr>
  </w:style>
  <w:style w:type="paragraph" w:customStyle="1" w:styleId="enumlev3">
    <w:name w:val="enumlev3"/>
    <w:basedOn w:val="enumlev2"/>
    <w:rsid w:val="00812991"/>
    <w:pPr>
      <w:ind w:left="1588"/>
    </w:pPr>
  </w:style>
  <w:style w:type="paragraph" w:customStyle="1" w:styleId="Chaptitle">
    <w:name w:val="Chap_title"/>
    <w:basedOn w:val="Normal"/>
    <w:next w:val="Normalaftertitle0"/>
    <w:rsid w:val="00812991"/>
    <w:pPr>
      <w:keepNext/>
      <w:keepLines/>
      <w:spacing w:before="240"/>
      <w:jc w:val="center"/>
    </w:pPr>
    <w:rPr>
      <w:b/>
      <w:sz w:val="28"/>
    </w:rPr>
  </w:style>
  <w:style w:type="paragraph" w:styleId="Index1">
    <w:name w:val="index 1"/>
    <w:basedOn w:val="Normal"/>
    <w:next w:val="Normal"/>
    <w:semiHidden/>
    <w:rsid w:val="00812991"/>
    <w:pPr>
      <w:jc w:val="left"/>
    </w:pPr>
  </w:style>
  <w:style w:type="paragraph" w:customStyle="1" w:styleId="AnnexNoTitle">
    <w:name w:val="Annex_NoTitle"/>
    <w:basedOn w:val="Normal"/>
    <w:next w:val="Normalaftertitle0"/>
    <w:rsid w:val="00812991"/>
    <w:pPr>
      <w:keepNext/>
      <w:keepLines/>
      <w:spacing w:before="720"/>
      <w:jc w:val="center"/>
    </w:pPr>
    <w:rPr>
      <w:b/>
      <w:sz w:val="28"/>
    </w:rPr>
  </w:style>
  <w:style w:type="character" w:customStyle="1" w:styleId="Appdef">
    <w:name w:val="App_def"/>
    <w:basedOn w:val="DefaultParagraphFont"/>
    <w:rsid w:val="00812991"/>
    <w:rPr>
      <w:rFonts w:ascii="Times New Roman" w:hAnsi="Times New Roman"/>
      <w:b/>
    </w:rPr>
  </w:style>
  <w:style w:type="character" w:customStyle="1" w:styleId="Appref">
    <w:name w:val="App_ref"/>
    <w:basedOn w:val="DefaultParagraphFont"/>
    <w:rsid w:val="00812991"/>
  </w:style>
  <w:style w:type="paragraph" w:customStyle="1" w:styleId="AppendixNoTitle">
    <w:name w:val="Appendix_NoTitle"/>
    <w:basedOn w:val="AnnexNoTitle"/>
    <w:next w:val="Normalaftertitle0"/>
    <w:rsid w:val="00812991"/>
  </w:style>
  <w:style w:type="character" w:customStyle="1" w:styleId="Artdef">
    <w:name w:val="Art_def"/>
    <w:basedOn w:val="DefaultParagraphFont"/>
    <w:rsid w:val="00812991"/>
    <w:rPr>
      <w:rFonts w:ascii="Times New Roman" w:hAnsi="Times New Roman"/>
      <w:b/>
    </w:rPr>
  </w:style>
  <w:style w:type="paragraph" w:customStyle="1" w:styleId="Reftitle">
    <w:name w:val="Ref_title"/>
    <w:basedOn w:val="Normal"/>
    <w:next w:val="Reftext"/>
    <w:rsid w:val="00812991"/>
    <w:pPr>
      <w:spacing w:before="480"/>
      <w:jc w:val="center"/>
    </w:pPr>
    <w:rPr>
      <w:b/>
    </w:rPr>
  </w:style>
  <w:style w:type="paragraph" w:customStyle="1" w:styleId="ArtNo">
    <w:name w:val="Art_No"/>
    <w:basedOn w:val="Normal"/>
    <w:next w:val="Arttitle"/>
    <w:rsid w:val="00812991"/>
    <w:pPr>
      <w:keepNext/>
      <w:keepLines/>
      <w:spacing w:before="480"/>
      <w:jc w:val="center"/>
    </w:pPr>
    <w:rPr>
      <w:caps/>
      <w:sz w:val="28"/>
    </w:rPr>
  </w:style>
  <w:style w:type="paragraph" w:customStyle="1" w:styleId="Arttitle">
    <w:name w:val="Art_title"/>
    <w:basedOn w:val="Normal"/>
    <w:next w:val="Normalaftertitle0"/>
    <w:rsid w:val="00812991"/>
    <w:pPr>
      <w:keepNext/>
      <w:keepLines/>
      <w:spacing w:before="240"/>
      <w:jc w:val="center"/>
    </w:pPr>
    <w:rPr>
      <w:b/>
      <w:sz w:val="28"/>
    </w:rPr>
  </w:style>
  <w:style w:type="character" w:customStyle="1" w:styleId="Artref">
    <w:name w:val="Art_ref"/>
    <w:basedOn w:val="DefaultParagraphFont"/>
    <w:rsid w:val="00812991"/>
  </w:style>
  <w:style w:type="paragraph" w:customStyle="1" w:styleId="Call">
    <w:name w:val="Call"/>
    <w:basedOn w:val="Normal"/>
    <w:next w:val="Normal"/>
    <w:rsid w:val="00812991"/>
    <w:pPr>
      <w:keepNext/>
      <w:keepLines/>
      <w:spacing w:before="160"/>
      <w:ind w:left="794"/>
      <w:jc w:val="left"/>
    </w:pPr>
    <w:rPr>
      <w:i/>
    </w:rPr>
  </w:style>
  <w:style w:type="paragraph" w:customStyle="1" w:styleId="ChapNo">
    <w:name w:val="Chap_No"/>
    <w:basedOn w:val="Normal"/>
    <w:next w:val="Chaptitle"/>
    <w:rsid w:val="00812991"/>
    <w:pPr>
      <w:keepNext/>
      <w:keepLines/>
      <w:spacing w:before="480"/>
      <w:jc w:val="center"/>
    </w:pPr>
    <w:rPr>
      <w:b/>
      <w:caps/>
      <w:sz w:val="28"/>
    </w:rPr>
  </w:style>
  <w:style w:type="paragraph" w:customStyle="1" w:styleId="Equationlegend">
    <w:name w:val="Equation_legend"/>
    <w:basedOn w:val="Normal"/>
    <w:rsid w:val="00812991"/>
    <w:pPr>
      <w:tabs>
        <w:tab w:val="clear" w:pos="794"/>
        <w:tab w:val="clear" w:pos="1191"/>
        <w:tab w:val="clear" w:pos="1588"/>
        <w:tab w:val="right" w:pos="1814"/>
      </w:tabs>
      <w:spacing w:before="80"/>
      <w:ind w:left="1985" w:hanging="1985"/>
    </w:pPr>
  </w:style>
  <w:style w:type="paragraph" w:customStyle="1" w:styleId="FigureNoTitle">
    <w:name w:val="Figure_NoTitle"/>
    <w:basedOn w:val="Normal"/>
    <w:next w:val="Normalaftertitle0"/>
    <w:rsid w:val="00812991"/>
    <w:pPr>
      <w:keepLines/>
      <w:spacing w:before="240" w:after="120"/>
      <w:jc w:val="center"/>
    </w:pPr>
    <w:rPr>
      <w:b/>
    </w:rPr>
  </w:style>
  <w:style w:type="paragraph" w:customStyle="1" w:styleId="Figurewithouttitle">
    <w:name w:val="Figure_without_title"/>
    <w:basedOn w:val="Normal"/>
    <w:next w:val="Normalaftertitle0"/>
    <w:rsid w:val="00812991"/>
    <w:pPr>
      <w:keepLines/>
      <w:spacing w:before="240" w:after="120"/>
      <w:jc w:val="center"/>
    </w:pPr>
  </w:style>
  <w:style w:type="paragraph" w:customStyle="1" w:styleId="FooterQP">
    <w:name w:val="Footer_QP"/>
    <w:basedOn w:val="Normal"/>
    <w:rsid w:val="00812991"/>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FirstFooter">
    <w:name w:val="FirstFooter"/>
    <w:basedOn w:val="Footer"/>
    <w:rsid w:val="00812991"/>
    <w:pPr>
      <w:tabs>
        <w:tab w:val="clear" w:pos="5954"/>
        <w:tab w:val="clear" w:pos="9639"/>
      </w:tabs>
      <w:overflowPunct/>
      <w:autoSpaceDE/>
      <w:autoSpaceDN/>
      <w:adjustRightInd/>
      <w:spacing w:before="40"/>
      <w:jc w:val="left"/>
      <w:textAlignment w:val="auto"/>
    </w:pPr>
    <w:rPr>
      <w:caps w:val="0"/>
      <w:noProof w:val="0"/>
    </w:rPr>
  </w:style>
  <w:style w:type="paragraph" w:customStyle="1" w:styleId="Formal">
    <w:name w:val="Formal"/>
    <w:basedOn w:val="ASN1"/>
    <w:rsid w:val="00812991"/>
    <w:rPr>
      <w:b w:val="0"/>
    </w:rPr>
  </w:style>
  <w:style w:type="paragraph" w:styleId="Index2">
    <w:name w:val="index 2"/>
    <w:basedOn w:val="Normal"/>
    <w:next w:val="Normal"/>
    <w:semiHidden/>
    <w:rsid w:val="00812991"/>
    <w:pPr>
      <w:ind w:left="284"/>
      <w:jc w:val="left"/>
    </w:pPr>
  </w:style>
  <w:style w:type="paragraph" w:styleId="Index3">
    <w:name w:val="index 3"/>
    <w:basedOn w:val="Normal"/>
    <w:next w:val="Normal"/>
    <w:semiHidden/>
    <w:rsid w:val="00812991"/>
    <w:pPr>
      <w:ind w:left="567"/>
      <w:jc w:val="left"/>
    </w:pPr>
  </w:style>
  <w:style w:type="paragraph" w:customStyle="1" w:styleId="PartNo">
    <w:name w:val="Part_No"/>
    <w:basedOn w:val="Normal"/>
    <w:next w:val="Partref"/>
    <w:rsid w:val="00812991"/>
    <w:pPr>
      <w:keepNext/>
      <w:keepLines/>
      <w:spacing w:before="480" w:after="80"/>
      <w:jc w:val="center"/>
    </w:pPr>
    <w:rPr>
      <w:caps/>
      <w:sz w:val="28"/>
    </w:rPr>
  </w:style>
  <w:style w:type="paragraph" w:customStyle="1" w:styleId="Partref">
    <w:name w:val="Part_ref"/>
    <w:basedOn w:val="Normal"/>
    <w:next w:val="Parttitle"/>
    <w:rsid w:val="00812991"/>
    <w:pPr>
      <w:keepNext/>
      <w:keepLines/>
      <w:spacing w:before="280"/>
      <w:jc w:val="center"/>
    </w:pPr>
  </w:style>
  <w:style w:type="paragraph" w:customStyle="1" w:styleId="Parttitle">
    <w:name w:val="Part_title"/>
    <w:basedOn w:val="Normal"/>
    <w:next w:val="Normalaftertitle0"/>
    <w:rsid w:val="00812991"/>
    <w:pPr>
      <w:keepNext/>
      <w:keepLines/>
      <w:spacing w:before="240" w:after="280"/>
      <w:jc w:val="center"/>
    </w:pPr>
    <w:rPr>
      <w:b/>
      <w:sz w:val="28"/>
    </w:rPr>
  </w:style>
  <w:style w:type="paragraph" w:customStyle="1" w:styleId="Recdate">
    <w:name w:val="Rec_date"/>
    <w:basedOn w:val="Normal"/>
    <w:next w:val="Normalaftertitle0"/>
    <w:rsid w:val="00812991"/>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812991"/>
  </w:style>
  <w:style w:type="paragraph" w:customStyle="1" w:styleId="QuestionNo">
    <w:name w:val="Question_No"/>
    <w:basedOn w:val="RecNo"/>
    <w:next w:val="Questiontitle"/>
    <w:rsid w:val="00812991"/>
  </w:style>
  <w:style w:type="paragraph" w:customStyle="1" w:styleId="Recref">
    <w:name w:val="Rec_ref"/>
    <w:basedOn w:val="Normal"/>
    <w:next w:val="Recdate"/>
    <w:rsid w:val="00812991"/>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812991"/>
  </w:style>
  <w:style w:type="paragraph" w:customStyle="1" w:styleId="Questiontitle">
    <w:name w:val="Question_title"/>
    <w:basedOn w:val="Rectitle"/>
    <w:next w:val="Questionref"/>
    <w:rsid w:val="00812991"/>
  </w:style>
  <w:style w:type="paragraph" w:customStyle="1" w:styleId="Repdate">
    <w:name w:val="Rep_date"/>
    <w:basedOn w:val="Recdate"/>
    <w:next w:val="Normalaftertitle0"/>
    <w:rsid w:val="00812991"/>
  </w:style>
  <w:style w:type="paragraph" w:customStyle="1" w:styleId="RepNo">
    <w:name w:val="Rep_No"/>
    <w:basedOn w:val="RecNo"/>
    <w:next w:val="Reptitle"/>
    <w:rsid w:val="00812991"/>
  </w:style>
  <w:style w:type="paragraph" w:customStyle="1" w:styleId="Repref">
    <w:name w:val="Rep_ref"/>
    <w:basedOn w:val="Recref"/>
    <w:next w:val="Repdate"/>
    <w:rsid w:val="00812991"/>
  </w:style>
  <w:style w:type="paragraph" w:customStyle="1" w:styleId="Reptitle">
    <w:name w:val="Rep_title"/>
    <w:basedOn w:val="Rectitle"/>
    <w:next w:val="Repref"/>
    <w:rsid w:val="00812991"/>
  </w:style>
  <w:style w:type="paragraph" w:customStyle="1" w:styleId="Resdate">
    <w:name w:val="Res_date"/>
    <w:basedOn w:val="Recdate"/>
    <w:next w:val="Normalaftertitle0"/>
    <w:rsid w:val="00812991"/>
  </w:style>
  <w:style w:type="character" w:customStyle="1" w:styleId="Resdef">
    <w:name w:val="Res_def"/>
    <w:basedOn w:val="DefaultParagraphFont"/>
    <w:rsid w:val="00812991"/>
    <w:rPr>
      <w:rFonts w:ascii="Times New Roman" w:hAnsi="Times New Roman"/>
      <w:b/>
    </w:rPr>
  </w:style>
  <w:style w:type="paragraph" w:customStyle="1" w:styleId="ResNo">
    <w:name w:val="Res_No"/>
    <w:basedOn w:val="RecNo"/>
    <w:next w:val="Restitle"/>
    <w:rsid w:val="00812991"/>
  </w:style>
  <w:style w:type="paragraph" w:customStyle="1" w:styleId="Resref">
    <w:name w:val="Res_ref"/>
    <w:basedOn w:val="Recref"/>
    <w:next w:val="Resdate"/>
    <w:rsid w:val="00812991"/>
  </w:style>
  <w:style w:type="paragraph" w:customStyle="1" w:styleId="Restitle">
    <w:name w:val="Res_title"/>
    <w:basedOn w:val="Rectitle"/>
    <w:next w:val="Resref"/>
    <w:rsid w:val="00812991"/>
  </w:style>
  <w:style w:type="paragraph" w:customStyle="1" w:styleId="Section1">
    <w:name w:val="Section_1"/>
    <w:basedOn w:val="Normal"/>
    <w:next w:val="Normal"/>
    <w:rsid w:val="00812991"/>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812991"/>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812991"/>
    <w:pPr>
      <w:keepNext/>
      <w:keepLines/>
      <w:spacing w:before="480" w:after="80"/>
      <w:jc w:val="center"/>
    </w:pPr>
    <w:rPr>
      <w:caps/>
      <w:sz w:val="28"/>
    </w:rPr>
  </w:style>
  <w:style w:type="paragraph" w:customStyle="1" w:styleId="Sectiontitle">
    <w:name w:val="Section_title"/>
    <w:basedOn w:val="Normal"/>
    <w:next w:val="Normalaftertitle0"/>
    <w:rsid w:val="00812991"/>
    <w:pPr>
      <w:keepNext/>
      <w:keepLines/>
      <w:spacing w:before="480" w:after="280"/>
      <w:jc w:val="center"/>
    </w:pPr>
    <w:rPr>
      <w:b/>
      <w:sz w:val="28"/>
    </w:rPr>
  </w:style>
  <w:style w:type="paragraph" w:customStyle="1" w:styleId="Source">
    <w:name w:val="Source"/>
    <w:basedOn w:val="Normal"/>
    <w:next w:val="Normalaftertitle0"/>
    <w:rsid w:val="00812991"/>
    <w:pPr>
      <w:spacing w:before="840" w:after="200"/>
      <w:jc w:val="center"/>
    </w:pPr>
    <w:rPr>
      <w:b/>
      <w:sz w:val="28"/>
    </w:rPr>
  </w:style>
  <w:style w:type="paragraph" w:customStyle="1" w:styleId="SpecialFooter">
    <w:name w:val="Special Footer"/>
    <w:basedOn w:val="Footer"/>
    <w:rsid w:val="00812991"/>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812991"/>
    <w:rPr>
      <w:b/>
      <w:color w:val="auto"/>
    </w:rPr>
  </w:style>
  <w:style w:type="paragraph" w:customStyle="1" w:styleId="TableNoTitle">
    <w:name w:val="Table_NoTitle"/>
    <w:basedOn w:val="Normal"/>
    <w:next w:val="Tablehead"/>
    <w:rsid w:val="00812991"/>
    <w:pPr>
      <w:keepNext/>
      <w:keepLines/>
      <w:spacing w:before="360" w:after="120"/>
      <w:jc w:val="center"/>
    </w:pPr>
    <w:rPr>
      <w:b/>
    </w:rPr>
  </w:style>
  <w:style w:type="paragraph" w:customStyle="1" w:styleId="Title1">
    <w:name w:val="Title 1"/>
    <w:basedOn w:val="Source"/>
    <w:next w:val="Title2"/>
    <w:rsid w:val="0081299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812991"/>
  </w:style>
  <w:style w:type="paragraph" w:customStyle="1" w:styleId="Title3">
    <w:name w:val="Title 3"/>
    <w:basedOn w:val="Title2"/>
    <w:next w:val="Title4"/>
    <w:rsid w:val="00812991"/>
    <w:rPr>
      <w:caps w:val="0"/>
    </w:rPr>
  </w:style>
  <w:style w:type="paragraph" w:customStyle="1" w:styleId="Title4">
    <w:name w:val="Title 4"/>
    <w:basedOn w:val="Title3"/>
    <w:next w:val="Heading1"/>
    <w:rsid w:val="00812991"/>
    <w:rPr>
      <w:b/>
    </w:rPr>
  </w:style>
  <w:style w:type="paragraph" w:customStyle="1" w:styleId="Artheading">
    <w:name w:val="Art_heading"/>
    <w:basedOn w:val="Normal"/>
    <w:next w:val="Normalaftertitle0"/>
    <w:rsid w:val="00812991"/>
    <w:pPr>
      <w:spacing w:before="480"/>
      <w:jc w:val="center"/>
    </w:pPr>
    <w:rPr>
      <w:b/>
      <w:sz w:val="28"/>
    </w:rPr>
  </w:style>
  <w:style w:type="paragraph" w:styleId="EndnoteText">
    <w:name w:val="endnote text"/>
    <w:basedOn w:val="Normal"/>
    <w:link w:val="EndnoteTextChar"/>
    <w:rsid w:val="00812991"/>
    <w:pPr>
      <w:spacing w:before="0"/>
    </w:pPr>
    <w:rPr>
      <w:sz w:val="20"/>
    </w:rPr>
  </w:style>
  <w:style w:type="character" w:customStyle="1" w:styleId="EndnoteTextChar">
    <w:name w:val="Endnote Text Char"/>
    <w:basedOn w:val="DefaultParagraphFont"/>
    <w:link w:val="EndnoteText"/>
    <w:rsid w:val="00812991"/>
    <w:rPr>
      <w:rFonts w:eastAsiaTheme="minorEastAsia"/>
      <w:lang w:val="en-GB" w:eastAsia="en-US"/>
    </w:rPr>
  </w:style>
  <w:style w:type="character" w:customStyle="1" w:styleId="Heading2Char">
    <w:name w:val="Heading 2 Char"/>
    <w:basedOn w:val="DefaultParagraphFont"/>
    <w:link w:val="Heading2"/>
    <w:rsid w:val="00812991"/>
    <w:rPr>
      <w:rFonts w:eastAsiaTheme="minorEastAsia"/>
      <w:b/>
      <w:sz w:val="24"/>
      <w:lang w:val="en-GB" w:eastAsia="en-US"/>
    </w:rPr>
  </w:style>
  <w:style w:type="character" w:customStyle="1" w:styleId="Heading3Char">
    <w:name w:val="Heading 3 Char"/>
    <w:basedOn w:val="DefaultParagraphFont"/>
    <w:link w:val="Heading3"/>
    <w:rsid w:val="00812991"/>
    <w:rPr>
      <w:rFonts w:eastAsiaTheme="minorEastAsia"/>
      <w:b/>
      <w:sz w:val="24"/>
      <w:lang w:val="en-GB" w:eastAsia="en-US"/>
    </w:rPr>
  </w:style>
  <w:style w:type="character" w:customStyle="1" w:styleId="Heading4Char">
    <w:name w:val="Heading 4 Char"/>
    <w:basedOn w:val="DefaultParagraphFont"/>
    <w:link w:val="Heading4"/>
    <w:rsid w:val="00812991"/>
    <w:rPr>
      <w:rFonts w:eastAsiaTheme="minorEastAsia"/>
      <w:b/>
      <w:sz w:val="24"/>
      <w:lang w:val="en-GB" w:eastAsia="en-US"/>
    </w:rPr>
  </w:style>
  <w:style w:type="character" w:customStyle="1" w:styleId="Heading5Char">
    <w:name w:val="Heading 5 Char"/>
    <w:basedOn w:val="DefaultParagraphFont"/>
    <w:link w:val="Heading5"/>
    <w:rsid w:val="00812991"/>
    <w:rPr>
      <w:rFonts w:eastAsiaTheme="minorEastAsia"/>
      <w:b/>
      <w:sz w:val="24"/>
      <w:lang w:val="en-GB" w:eastAsia="en-US"/>
    </w:rPr>
  </w:style>
  <w:style w:type="character" w:styleId="EndnoteReference">
    <w:name w:val="endnote reference"/>
    <w:basedOn w:val="DefaultParagraphFont"/>
    <w:rsid w:val="00812991"/>
    <w:rPr>
      <w:vertAlign w:val="superscript"/>
    </w:rPr>
  </w:style>
  <w:style w:type="paragraph" w:styleId="ListParagraph">
    <w:name w:val="List Paragraph"/>
    <w:basedOn w:val="Normal"/>
    <w:link w:val="ListParagraphChar"/>
    <w:uiPriority w:val="34"/>
    <w:qFormat/>
    <w:rsid w:val="00812991"/>
    <w:pPr>
      <w:ind w:left="720"/>
      <w:contextualSpacing/>
    </w:pPr>
  </w:style>
  <w:style w:type="character" w:customStyle="1" w:styleId="BalloonTextChar">
    <w:name w:val="Balloon Text Char"/>
    <w:basedOn w:val="DefaultParagraphFont"/>
    <w:link w:val="BalloonText"/>
    <w:semiHidden/>
    <w:rsid w:val="00812991"/>
    <w:rPr>
      <w:rFonts w:eastAsiaTheme="minorEastAsia"/>
      <w:sz w:val="18"/>
      <w:szCs w:val="18"/>
      <w:lang w:val="en-GB" w:eastAsia="en-US"/>
    </w:rPr>
  </w:style>
  <w:style w:type="character" w:customStyle="1" w:styleId="CommentSubjectChar">
    <w:name w:val="Comment Subject Char"/>
    <w:basedOn w:val="CommentTextChar"/>
    <w:link w:val="CommentSubject"/>
    <w:semiHidden/>
    <w:rsid w:val="00812991"/>
    <w:rPr>
      <w:rFonts w:eastAsiaTheme="minorEastAsia"/>
      <w:b/>
      <w:bCs/>
      <w:sz w:val="24"/>
      <w:lang w:val="en-GB" w:eastAsia="en-US"/>
    </w:rPr>
  </w:style>
  <w:style w:type="character" w:customStyle="1" w:styleId="ListParagraphChar">
    <w:name w:val="List Paragraph Char"/>
    <w:basedOn w:val="DefaultParagraphFont"/>
    <w:link w:val="ListParagraph"/>
    <w:uiPriority w:val="34"/>
    <w:locked/>
    <w:rsid w:val="00812991"/>
    <w:rPr>
      <w:rFonts w:eastAsiaTheme="minorEastAsia"/>
      <w:sz w:val="24"/>
      <w:lang w:val="en-GB" w:eastAsia="en-US"/>
    </w:rPr>
  </w:style>
  <w:style w:type="character" w:customStyle="1" w:styleId="FooterChar">
    <w:name w:val="Footer Char"/>
    <w:basedOn w:val="DefaultParagraphFont"/>
    <w:link w:val="Footer"/>
    <w:qFormat/>
    <w:rsid w:val="00812991"/>
    <w:rPr>
      <w:rFonts w:eastAsiaTheme="minorEastAsia"/>
      <w:caps/>
      <w:noProof/>
      <w:sz w:val="16"/>
      <w:lang w:val="en-GB" w:eastAsia="en-US"/>
    </w:rPr>
  </w:style>
  <w:style w:type="character" w:customStyle="1" w:styleId="HeaderChar">
    <w:name w:val="Header Char"/>
    <w:basedOn w:val="DefaultParagraphFont"/>
    <w:link w:val="Header"/>
    <w:rsid w:val="00812991"/>
    <w:rPr>
      <w:rFonts w:eastAsiaTheme="minorEastAsia"/>
      <w:sz w:val="18"/>
      <w:lang w:val="en-GB" w:eastAsia="en-US"/>
    </w:rPr>
  </w:style>
  <w:style w:type="paragraph" w:styleId="BodyText">
    <w:name w:val="Body Text"/>
    <w:basedOn w:val="Normal"/>
    <w:link w:val="BodyTextChar"/>
    <w:uiPriority w:val="1"/>
    <w:qFormat/>
    <w:rsid w:val="00812991"/>
    <w:pPr>
      <w:widowControl w:val="0"/>
      <w:tabs>
        <w:tab w:val="clear" w:pos="794"/>
        <w:tab w:val="clear" w:pos="1191"/>
        <w:tab w:val="clear" w:pos="1588"/>
        <w:tab w:val="clear" w:pos="1985"/>
      </w:tabs>
      <w:overflowPunct/>
      <w:adjustRightInd/>
      <w:spacing w:before="0"/>
      <w:jc w:val="left"/>
      <w:textAlignment w:val="auto"/>
    </w:pPr>
    <w:rPr>
      <w:rFonts w:ascii="Avenir Next W1G Medium" w:eastAsia="Avenir Next W1G Medium" w:hAnsi="Avenir Next W1G Medium" w:cs="Avenir Next W1G Medium"/>
      <w:b/>
      <w:bCs/>
      <w:sz w:val="48"/>
      <w:szCs w:val="48"/>
      <w:lang w:val="en-US"/>
    </w:rPr>
  </w:style>
  <w:style w:type="character" w:customStyle="1" w:styleId="BodyTextChar">
    <w:name w:val="Body Text Char"/>
    <w:basedOn w:val="DefaultParagraphFont"/>
    <w:link w:val="BodyText"/>
    <w:uiPriority w:val="1"/>
    <w:rsid w:val="00812991"/>
    <w:rPr>
      <w:rFonts w:ascii="Avenir Next W1G Medium" w:eastAsia="Avenir Next W1G Medium" w:hAnsi="Avenir Next W1G Medium" w:cs="Avenir Next W1G Medium"/>
      <w:b/>
      <w:bCs/>
      <w:sz w:val="48"/>
      <w:szCs w:val="48"/>
      <w:lang w:eastAsia="en-US"/>
    </w:rPr>
  </w:style>
  <w:style w:type="paragraph" w:customStyle="1" w:styleId="Default">
    <w:name w:val="Default"/>
    <w:rsid w:val="00812991"/>
    <w:pPr>
      <w:autoSpaceDE w:val="0"/>
      <w:autoSpaceDN w:val="0"/>
      <w:adjustRightInd w:val="0"/>
    </w:pPr>
    <w:rPr>
      <w:rFonts w:eastAsia="Times New Roman"/>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6811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image" Target="media/image4.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wfk@focus-infocom.de" TargetMode="External"/><Relationship Id="rId23"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ergis\AppData\Roaming\Microsoft\Templates\TSB%20PUB\T-REC-FINAL-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IEEE2006OfficeOnline.xsl" StyleName="IEEE" Version="200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11DC2F-122E-4D25-8F2F-99244749EE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021E2B6-F73A-4F77-A433-10E0079BA3EE}">
  <ds:schemaRefs>
    <ds:schemaRef ds:uri="http://purl.org/dc/dcmitype/"/>
    <ds:schemaRef ds:uri="http://purl.org/dc/terms/"/>
    <ds:schemaRef ds:uri="0d1600e8-004f-4c6f-afe8-0c63f3945779"/>
    <ds:schemaRef ds:uri="http://schemas.microsoft.com/office/2006/documentManagement/types"/>
    <ds:schemaRef ds:uri="http://schemas.microsoft.com/office/2006/metadata/properties"/>
    <ds:schemaRef ds:uri="http://purl.org/dc/elements/1.1/"/>
    <ds:schemaRef ds:uri="http://www.w3.org/XML/1998/namespace"/>
    <ds:schemaRef ds:uri="http://schemas.microsoft.com/office/infopath/2007/PartnerControls"/>
    <ds:schemaRef ds:uri="http://schemas.openxmlformats.org/package/2006/metadata/core-properties"/>
    <ds:schemaRef ds:uri="6048f16a-77ac-4327-be06-b0beb1ce50d8"/>
  </ds:schemaRefs>
</ds:datastoreItem>
</file>

<file path=customXml/itemProps3.xml><?xml version="1.0" encoding="utf-8"?>
<ds:datastoreItem xmlns:ds="http://schemas.openxmlformats.org/officeDocument/2006/customXml" ds:itemID="{5798D469-63AE-446A-8390-6E3608F75091}">
  <ds:schemaRefs>
    <ds:schemaRef ds:uri="http://schemas.openxmlformats.org/officeDocument/2006/bibliography"/>
  </ds:schemaRefs>
</ds:datastoreItem>
</file>

<file path=customXml/itemProps4.xml><?xml version="1.0" encoding="utf-8"?>
<ds:datastoreItem xmlns:ds="http://schemas.openxmlformats.org/officeDocument/2006/customXml" ds:itemID="{AC5A9728-E211-4A3B-BCEF-901E9E60B34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T-REC-FINAL-E.dotm</Template>
  <TotalTime>0</TotalTime>
  <Pages>14</Pages>
  <Words>3547</Words>
  <Characters>20220</Characters>
  <Application>Microsoft Office Word</Application>
  <DocSecurity>4</DocSecurity>
  <Lines>168</Lines>
  <Paragraphs>47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ITU-T Technical Report ESTR-NUI - Radio fequency-level based single-number indicator for mobile network usefulness for a given range of applications</vt:lpstr>
      <vt:lpstr>Technical Report on RF level based single-number indicator for mobile network usefulness for a given range of applications</vt:lpstr>
    </vt:vector>
  </TitlesOfParts>
  <Manager>ITU-T</Manager>
  <Company>International Telecommunication Union (ITU)</Company>
  <LinksUpToDate>false</LinksUpToDate>
  <CharactersWithSpaces>23720</CharactersWithSpaces>
  <SharedDoc>false</SharedDoc>
  <HLinks>
    <vt:vector size="102" baseType="variant">
      <vt:variant>
        <vt:i4>1310768</vt:i4>
      </vt:variant>
      <vt:variant>
        <vt:i4>109</vt:i4>
      </vt:variant>
      <vt:variant>
        <vt:i4>0</vt:i4>
      </vt:variant>
      <vt:variant>
        <vt:i4>5</vt:i4>
      </vt:variant>
      <vt:variant>
        <vt:lpwstr/>
      </vt:variant>
      <vt:variant>
        <vt:lpwstr>_Toc125305475</vt:lpwstr>
      </vt:variant>
      <vt:variant>
        <vt:i4>1310768</vt:i4>
      </vt:variant>
      <vt:variant>
        <vt:i4>103</vt:i4>
      </vt:variant>
      <vt:variant>
        <vt:i4>0</vt:i4>
      </vt:variant>
      <vt:variant>
        <vt:i4>5</vt:i4>
      </vt:variant>
      <vt:variant>
        <vt:lpwstr/>
      </vt:variant>
      <vt:variant>
        <vt:lpwstr>_Toc125305474</vt:lpwstr>
      </vt:variant>
      <vt:variant>
        <vt:i4>1310768</vt:i4>
      </vt:variant>
      <vt:variant>
        <vt:i4>97</vt:i4>
      </vt:variant>
      <vt:variant>
        <vt:i4>0</vt:i4>
      </vt:variant>
      <vt:variant>
        <vt:i4>5</vt:i4>
      </vt:variant>
      <vt:variant>
        <vt:lpwstr/>
      </vt:variant>
      <vt:variant>
        <vt:lpwstr>_Toc125305473</vt:lpwstr>
      </vt:variant>
      <vt:variant>
        <vt:i4>1310768</vt:i4>
      </vt:variant>
      <vt:variant>
        <vt:i4>91</vt:i4>
      </vt:variant>
      <vt:variant>
        <vt:i4>0</vt:i4>
      </vt:variant>
      <vt:variant>
        <vt:i4>5</vt:i4>
      </vt:variant>
      <vt:variant>
        <vt:lpwstr/>
      </vt:variant>
      <vt:variant>
        <vt:lpwstr>_Toc125305472</vt:lpwstr>
      </vt:variant>
      <vt:variant>
        <vt:i4>1048631</vt:i4>
      </vt:variant>
      <vt:variant>
        <vt:i4>80</vt:i4>
      </vt:variant>
      <vt:variant>
        <vt:i4>0</vt:i4>
      </vt:variant>
      <vt:variant>
        <vt:i4>5</vt:i4>
      </vt:variant>
      <vt:variant>
        <vt:lpwstr/>
      </vt:variant>
      <vt:variant>
        <vt:lpwstr>_Toc125305336</vt:lpwstr>
      </vt:variant>
      <vt:variant>
        <vt:i4>1048631</vt:i4>
      </vt:variant>
      <vt:variant>
        <vt:i4>74</vt:i4>
      </vt:variant>
      <vt:variant>
        <vt:i4>0</vt:i4>
      </vt:variant>
      <vt:variant>
        <vt:i4>5</vt:i4>
      </vt:variant>
      <vt:variant>
        <vt:lpwstr/>
      </vt:variant>
      <vt:variant>
        <vt:lpwstr>_Toc125305335</vt:lpwstr>
      </vt:variant>
      <vt:variant>
        <vt:i4>1048631</vt:i4>
      </vt:variant>
      <vt:variant>
        <vt:i4>68</vt:i4>
      </vt:variant>
      <vt:variant>
        <vt:i4>0</vt:i4>
      </vt:variant>
      <vt:variant>
        <vt:i4>5</vt:i4>
      </vt:variant>
      <vt:variant>
        <vt:lpwstr/>
      </vt:variant>
      <vt:variant>
        <vt:lpwstr>_Toc125305334</vt:lpwstr>
      </vt:variant>
      <vt:variant>
        <vt:i4>1048631</vt:i4>
      </vt:variant>
      <vt:variant>
        <vt:i4>62</vt:i4>
      </vt:variant>
      <vt:variant>
        <vt:i4>0</vt:i4>
      </vt:variant>
      <vt:variant>
        <vt:i4>5</vt:i4>
      </vt:variant>
      <vt:variant>
        <vt:lpwstr/>
      </vt:variant>
      <vt:variant>
        <vt:lpwstr>_Toc125305333</vt:lpwstr>
      </vt:variant>
      <vt:variant>
        <vt:i4>1048631</vt:i4>
      </vt:variant>
      <vt:variant>
        <vt:i4>56</vt:i4>
      </vt:variant>
      <vt:variant>
        <vt:i4>0</vt:i4>
      </vt:variant>
      <vt:variant>
        <vt:i4>5</vt:i4>
      </vt:variant>
      <vt:variant>
        <vt:lpwstr/>
      </vt:variant>
      <vt:variant>
        <vt:lpwstr>_Toc125305332</vt:lpwstr>
      </vt:variant>
      <vt:variant>
        <vt:i4>1048631</vt:i4>
      </vt:variant>
      <vt:variant>
        <vt:i4>50</vt:i4>
      </vt:variant>
      <vt:variant>
        <vt:i4>0</vt:i4>
      </vt:variant>
      <vt:variant>
        <vt:i4>5</vt:i4>
      </vt:variant>
      <vt:variant>
        <vt:lpwstr/>
      </vt:variant>
      <vt:variant>
        <vt:lpwstr>_Toc125305331</vt:lpwstr>
      </vt:variant>
      <vt:variant>
        <vt:i4>1048631</vt:i4>
      </vt:variant>
      <vt:variant>
        <vt:i4>44</vt:i4>
      </vt:variant>
      <vt:variant>
        <vt:i4>0</vt:i4>
      </vt:variant>
      <vt:variant>
        <vt:i4>5</vt:i4>
      </vt:variant>
      <vt:variant>
        <vt:lpwstr/>
      </vt:variant>
      <vt:variant>
        <vt:lpwstr>_Toc125305330</vt:lpwstr>
      </vt:variant>
      <vt:variant>
        <vt:i4>1114167</vt:i4>
      </vt:variant>
      <vt:variant>
        <vt:i4>38</vt:i4>
      </vt:variant>
      <vt:variant>
        <vt:i4>0</vt:i4>
      </vt:variant>
      <vt:variant>
        <vt:i4>5</vt:i4>
      </vt:variant>
      <vt:variant>
        <vt:lpwstr/>
      </vt:variant>
      <vt:variant>
        <vt:lpwstr>_Toc125305329</vt:lpwstr>
      </vt:variant>
      <vt:variant>
        <vt:i4>1114167</vt:i4>
      </vt:variant>
      <vt:variant>
        <vt:i4>32</vt:i4>
      </vt:variant>
      <vt:variant>
        <vt:i4>0</vt:i4>
      </vt:variant>
      <vt:variant>
        <vt:i4>5</vt:i4>
      </vt:variant>
      <vt:variant>
        <vt:lpwstr/>
      </vt:variant>
      <vt:variant>
        <vt:lpwstr>_Toc125305328</vt:lpwstr>
      </vt:variant>
      <vt:variant>
        <vt:i4>1114167</vt:i4>
      </vt:variant>
      <vt:variant>
        <vt:i4>26</vt:i4>
      </vt:variant>
      <vt:variant>
        <vt:i4>0</vt:i4>
      </vt:variant>
      <vt:variant>
        <vt:i4>5</vt:i4>
      </vt:variant>
      <vt:variant>
        <vt:lpwstr/>
      </vt:variant>
      <vt:variant>
        <vt:lpwstr>_Toc125305327</vt:lpwstr>
      </vt:variant>
      <vt:variant>
        <vt:i4>1114167</vt:i4>
      </vt:variant>
      <vt:variant>
        <vt:i4>20</vt:i4>
      </vt:variant>
      <vt:variant>
        <vt:i4>0</vt:i4>
      </vt:variant>
      <vt:variant>
        <vt:i4>5</vt:i4>
      </vt:variant>
      <vt:variant>
        <vt:lpwstr/>
      </vt:variant>
      <vt:variant>
        <vt:lpwstr>_Toc125305326</vt:lpwstr>
      </vt:variant>
      <vt:variant>
        <vt:i4>1114167</vt:i4>
      </vt:variant>
      <vt:variant>
        <vt:i4>14</vt:i4>
      </vt:variant>
      <vt:variant>
        <vt:i4>0</vt:i4>
      </vt:variant>
      <vt:variant>
        <vt:i4>5</vt:i4>
      </vt:variant>
      <vt:variant>
        <vt:lpwstr/>
      </vt:variant>
      <vt:variant>
        <vt:lpwstr>_Toc125305325</vt:lpwstr>
      </vt:variant>
      <vt:variant>
        <vt:i4>1114167</vt:i4>
      </vt:variant>
      <vt:variant>
        <vt:i4>8</vt:i4>
      </vt:variant>
      <vt:variant>
        <vt:i4>0</vt:i4>
      </vt:variant>
      <vt:variant>
        <vt:i4>5</vt:i4>
      </vt:variant>
      <vt:variant>
        <vt:lpwstr/>
      </vt:variant>
      <vt:variant>
        <vt:lpwstr>_Toc125305324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ITU-T Technical Report ESTR-NUI - Radio fequency-level based single-number indicator for mobile network usefulness for a given range of applications</dc:title>
  <dc:subject/>
  <dc:creator>Telecom Regulatory Authority of India (TRAI)</dc:creator>
  <cp:keywords/>
  <dc:description>Technical report ESTR-NUI.docx  For: _x000d_Document date: _x000d_Saved by ITU51014243 at 16:08:23 on 09/10/2023</dc:description>
  <cp:lastModifiedBy>Le Van, Jack</cp:lastModifiedBy>
  <cp:revision>2</cp:revision>
  <cp:lastPrinted>2006-11-21T13:52:00Z</cp:lastPrinted>
  <dcterms:created xsi:type="dcterms:W3CDTF">2024-02-29T14:37:00Z</dcterms:created>
  <dcterms:modified xsi:type="dcterms:W3CDTF">2024-02-29T14:37:00Z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Technical report ESTR-NUI.docx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0x010100D089D8AEFAC1A247B7216C0DD884D876</vt:lpwstr>
  </property>
</Properties>
</file>