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8A0986" w:rsidRPr="008C5D8B" w14:paraId="417B7A98" w14:textId="77777777" w:rsidTr="008E219A">
        <w:trPr>
          <w:trHeight w:hRule="exact" w:val="992"/>
        </w:trPr>
        <w:tc>
          <w:tcPr>
            <w:tcW w:w="5070" w:type="dxa"/>
            <w:gridSpan w:val="2"/>
          </w:tcPr>
          <w:p w14:paraId="1E9EB54B" w14:textId="77777777" w:rsidR="008A0986" w:rsidRPr="008C5D8B" w:rsidRDefault="008A0986" w:rsidP="004F4EC9">
            <w:pPr>
              <w:spacing w:before="0"/>
              <w:rPr>
                <w:rFonts w:ascii="Arial" w:eastAsia="Avenir Next W1G Medium" w:hAnsi="Arial" w:cs="Arial"/>
                <w:szCs w:val="24"/>
              </w:rPr>
            </w:pPr>
            <w:bookmarkStart w:id="0" w:name="dsource" w:colFirst="1" w:colLast="1"/>
            <w:bookmarkStart w:id="1" w:name="dtableau"/>
            <w:r w:rsidRPr="008C5D8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57E480D8" wp14:editId="742FD24E">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E0F16"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499DB026" w14:textId="77777777" w:rsidR="008A0986" w:rsidRPr="008E219A" w:rsidRDefault="008A0986" w:rsidP="008E219A">
            <w:pPr>
              <w:spacing w:before="0"/>
              <w:jc w:val="right"/>
              <w:rPr>
                <w:rFonts w:ascii="Arial" w:eastAsia="Avenir Next W1G Medium" w:hAnsi="Arial" w:cs="Arial"/>
              </w:rPr>
            </w:pPr>
            <w:r w:rsidRPr="0073715A">
              <w:rPr>
                <w:rFonts w:ascii="Arial" w:eastAsia="Avenir Next W1G Medium" w:hAnsi="Arial" w:cs="Arial"/>
              </w:rPr>
              <w:t>Standardization Sector</w:t>
            </w:r>
          </w:p>
        </w:tc>
      </w:tr>
      <w:tr w:rsidR="008A0986" w:rsidRPr="008C5D8B" w14:paraId="5B52A7F4" w14:textId="77777777" w:rsidTr="008E219A">
        <w:tblPrEx>
          <w:tblCellMar>
            <w:left w:w="85" w:type="dxa"/>
            <w:right w:w="85" w:type="dxa"/>
          </w:tblCellMar>
        </w:tblPrEx>
        <w:trPr>
          <w:gridBefore w:val="1"/>
          <w:wBefore w:w="817" w:type="dxa"/>
          <w:trHeight w:val="709"/>
        </w:trPr>
        <w:tc>
          <w:tcPr>
            <w:tcW w:w="9923" w:type="dxa"/>
            <w:gridSpan w:val="2"/>
          </w:tcPr>
          <w:p w14:paraId="391AFC6D" w14:textId="1FD7C2FC" w:rsidR="008A0986" w:rsidRPr="008C5D8B" w:rsidRDefault="008A0986" w:rsidP="004F4EC9">
            <w:pPr>
              <w:pStyle w:val="BodyText"/>
              <w:spacing w:before="440"/>
              <w:rPr>
                <w:rFonts w:ascii="Arial" w:hAnsi="Arial" w:cs="Arial"/>
                <w:spacing w:val="-6"/>
                <w:sz w:val="44"/>
                <w:szCs w:val="44"/>
                <w:lang w:val="en-GB"/>
              </w:rPr>
            </w:pPr>
            <w:bookmarkStart w:id="2" w:name="dnume"/>
            <w:r w:rsidRPr="008C5D8B">
              <w:rPr>
                <w:rFonts w:ascii="Arial" w:hAnsi="Arial" w:cs="Arial"/>
                <w:spacing w:val="-6"/>
                <w:sz w:val="44"/>
                <w:szCs w:val="44"/>
                <w:lang w:val="en-GB"/>
              </w:rPr>
              <w:t xml:space="preserve">ITU-T Technical </w:t>
            </w:r>
            <w:r w:rsidR="00D05B6C" w:rsidRPr="008C5D8B">
              <w:rPr>
                <w:rFonts w:ascii="Arial" w:hAnsi="Arial" w:cs="Arial"/>
                <w:spacing w:val="-6"/>
                <w:sz w:val="44"/>
                <w:szCs w:val="44"/>
                <w:lang w:val="en-GB"/>
              </w:rPr>
              <w:t>Paper</w:t>
            </w:r>
          </w:p>
        </w:tc>
      </w:tr>
      <w:tr w:rsidR="008A0986" w:rsidRPr="008C5D8B" w14:paraId="2737DC3E" w14:textId="77777777" w:rsidTr="008E219A">
        <w:tblPrEx>
          <w:tblCellMar>
            <w:left w:w="85" w:type="dxa"/>
            <w:right w:w="85" w:type="dxa"/>
          </w:tblCellMar>
        </w:tblPrEx>
        <w:trPr>
          <w:gridBefore w:val="1"/>
          <w:wBefore w:w="817" w:type="dxa"/>
          <w:trHeight w:val="129"/>
        </w:trPr>
        <w:tc>
          <w:tcPr>
            <w:tcW w:w="9923" w:type="dxa"/>
            <w:gridSpan w:val="2"/>
          </w:tcPr>
          <w:p w14:paraId="0D022AFD" w14:textId="77777777" w:rsidR="008A0986" w:rsidRPr="008C5D8B" w:rsidRDefault="008A0986" w:rsidP="004F4EC9">
            <w:pPr>
              <w:pStyle w:val="BodyText"/>
              <w:spacing w:before="120" w:after="240"/>
              <w:jc w:val="right"/>
              <w:rPr>
                <w:rFonts w:ascii="Arial" w:hAnsi="Arial" w:cs="Arial"/>
                <w:spacing w:val="-6"/>
                <w:sz w:val="28"/>
                <w:szCs w:val="28"/>
                <w:lang w:val="en-GB"/>
              </w:rPr>
            </w:pPr>
            <w:bookmarkStart w:id="3" w:name="dnume2"/>
            <w:bookmarkEnd w:id="2"/>
            <w:r w:rsidRPr="008C5D8B">
              <w:rPr>
                <w:rFonts w:ascii="Arial" w:hAnsi="Arial" w:cs="Arial"/>
                <w:spacing w:val="-6"/>
                <w:sz w:val="28"/>
                <w:szCs w:val="28"/>
                <w:lang w:val="en-GB"/>
              </w:rPr>
              <w:t>(04/2024)</w:t>
            </w:r>
          </w:p>
        </w:tc>
      </w:tr>
      <w:tr w:rsidR="008A0986" w:rsidRPr="008C5D8B" w14:paraId="78DDC804" w14:textId="77777777" w:rsidTr="008E219A">
        <w:trPr>
          <w:trHeight w:val="80"/>
        </w:trPr>
        <w:tc>
          <w:tcPr>
            <w:tcW w:w="817" w:type="dxa"/>
          </w:tcPr>
          <w:p w14:paraId="2508F012" w14:textId="77777777" w:rsidR="008A0986" w:rsidRPr="008C5D8B" w:rsidRDefault="008A0986" w:rsidP="004F4EC9">
            <w:pPr>
              <w:tabs>
                <w:tab w:val="right" w:pos="9639"/>
              </w:tabs>
              <w:rPr>
                <w:rFonts w:ascii="Arial" w:hAnsi="Arial" w:cs="Arial"/>
                <w:sz w:val="18"/>
              </w:rPr>
            </w:pPr>
            <w:bookmarkStart w:id="4" w:name="dsece" w:colFirst="1" w:colLast="1"/>
            <w:bookmarkEnd w:id="3"/>
          </w:p>
        </w:tc>
        <w:tc>
          <w:tcPr>
            <w:tcW w:w="9923" w:type="dxa"/>
            <w:gridSpan w:val="2"/>
            <w:tcBorders>
              <w:bottom w:val="single" w:sz="8" w:space="0" w:color="auto"/>
            </w:tcBorders>
          </w:tcPr>
          <w:p w14:paraId="62EEA932" w14:textId="5E6662D5" w:rsidR="00634A53" w:rsidRPr="008C5D8B" w:rsidRDefault="008A0986" w:rsidP="004F4EC9">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8C5D8B">
              <w:rPr>
                <w:rFonts w:ascii="Arial" w:hAnsi="Arial" w:cs="Arial"/>
                <w:b/>
                <w:bCs/>
                <w:sz w:val="48"/>
                <w:szCs w:val="48"/>
              </w:rPr>
              <w:t>FSTP-ACC-MV-SUST</w:t>
            </w:r>
          </w:p>
        </w:tc>
      </w:tr>
      <w:tr w:rsidR="008A0986" w:rsidRPr="008C5D8B" w14:paraId="26D2A260" w14:textId="77777777" w:rsidTr="008E219A">
        <w:trPr>
          <w:trHeight w:val="743"/>
        </w:trPr>
        <w:tc>
          <w:tcPr>
            <w:tcW w:w="817" w:type="dxa"/>
          </w:tcPr>
          <w:p w14:paraId="6F4F2E06" w14:textId="77777777" w:rsidR="008A0986" w:rsidRPr="008C5D8B" w:rsidRDefault="008A0986" w:rsidP="004F4EC9">
            <w:pPr>
              <w:tabs>
                <w:tab w:val="right" w:pos="9639"/>
              </w:tabs>
              <w:rPr>
                <w:rFonts w:ascii="Arial" w:hAnsi="Arial" w:cs="Arial"/>
                <w:sz w:val="48"/>
                <w:szCs w:val="48"/>
              </w:rPr>
            </w:pPr>
            <w:bookmarkStart w:id="5" w:name="c1tite" w:colFirst="1" w:colLast="1"/>
            <w:bookmarkEnd w:id="4"/>
          </w:p>
        </w:tc>
        <w:tc>
          <w:tcPr>
            <w:tcW w:w="9923" w:type="dxa"/>
            <w:gridSpan w:val="2"/>
            <w:tcBorders>
              <w:top w:val="single" w:sz="8" w:space="0" w:color="auto"/>
            </w:tcBorders>
          </w:tcPr>
          <w:p w14:paraId="4BA57DA9" w14:textId="07F71908" w:rsidR="008A0986" w:rsidRPr="008C5D8B" w:rsidRDefault="008A0986" w:rsidP="004F4EC9">
            <w:pPr>
              <w:pStyle w:val="BodyText"/>
              <w:spacing w:before="440" w:line="192" w:lineRule="auto"/>
              <w:rPr>
                <w:rFonts w:ascii="Arial" w:hAnsi="Arial" w:cs="Arial"/>
                <w:spacing w:val="-6"/>
                <w:sz w:val="44"/>
                <w:szCs w:val="44"/>
                <w:lang w:val="en-GB"/>
              </w:rPr>
            </w:pPr>
            <w:r w:rsidRPr="008C5D8B">
              <w:rPr>
                <w:rFonts w:ascii="Arial" w:hAnsi="Arial" w:cs="Arial"/>
                <w:spacing w:val="-6"/>
                <w:sz w:val="44"/>
                <w:szCs w:val="44"/>
                <w:lang w:val="en-GB"/>
              </w:rPr>
              <w:t>Accessibility in a sustainable metaverse</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8A0986" w:rsidRPr="008C5D8B" w14:paraId="5767CBB2" w14:textId="77777777" w:rsidTr="008E219A">
        <w:tc>
          <w:tcPr>
            <w:tcW w:w="5070" w:type="dxa"/>
            <w:vAlign w:val="center"/>
          </w:tcPr>
          <w:bookmarkEnd w:id="5"/>
          <w:p w14:paraId="79ABF884" w14:textId="77777777" w:rsidR="008A0986" w:rsidRPr="008C5D8B" w:rsidRDefault="008A0986" w:rsidP="004F4EC9">
            <w:pPr>
              <w:jc w:val="left"/>
              <w:rPr>
                <w:rFonts w:ascii="Arial" w:hAnsi="Arial" w:cs="Arial"/>
                <w:sz w:val="32"/>
                <w:szCs w:val="32"/>
              </w:rPr>
            </w:pPr>
            <w:r w:rsidRPr="0073715A">
              <w:rPr>
                <w:rFonts w:ascii="Arial" w:hAnsi="Arial" w:cs="Arial"/>
                <w:b/>
                <w:bCs/>
                <w:color w:val="009CD6"/>
                <w:spacing w:val="-4"/>
                <w:sz w:val="32"/>
                <w:szCs w:val="32"/>
              </w:rPr>
              <w:t>ITU</w:t>
            </w:r>
            <w:r w:rsidRPr="0073715A">
              <w:rPr>
                <w:rFonts w:ascii="Arial" w:hAnsi="Arial" w:cs="Arial"/>
                <w:b/>
                <w:bCs/>
                <w:color w:val="292829"/>
                <w:spacing w:val="-4"/>
                <w:sz w:val="32"/>
                <w:szCs w:val="32"/>
              </w:rPr>
              <w:t>Publications</w:t>
            </w:r>
          </w:p>
        </w:tc>
        <w:tc>
          <w:tcPr>
            <w:tcW w:w="5669" w:type="dxa"/>
            <w:vAlign w:val="center"/>
          </w:tcPr>
          <w:p w14:paraId="5569D045" w14:textId="77777777" w:rsidR="008A0986" w:rsidRPr="008E219A" w:rsidRDefault="008A0986">
            <w:pPr>
              <w:jc w:val="right"/>
              <w:rPr>
                <w:rFonts w:ascii="Arial" w:hAnsi="Arial" w:cs="Arial"/>
              </w:rPr>
            </w:pPr>
            <w:r w:rsidRPr="0073715A">
              <w:rPr>
                <w:rFonts w:ascii="Arial" w:eastAsia="Avenir Next W1G Medium" w:hAnsi="Arial" w:cs="Arial"/>
                <w:b/>
                <w:bCs/>
                <w:spacing w:val="-4"/>
              </w:rPr>
              <w:t>International Telecommunication Union</w:t>
            </w:r>
          </w:p>
        </w:tc>
      </w:tr>
    </w:tbl>
    <w:p w14:paraId="43FE4355" w14:textId="12E6F834" w:rsidR="008A0986" w:rsidRPr="008C5D8B" w:rsidRDefault="008A0986" w:rsidP="008A0986">
      <w:pPr>
        <w:pStyle w:val="Default"/>
      </w:pPr>
      <w:r w:rsidRPr="008C5D8B">
        <w:rPr>
          <w:noProof/>
        </w:rPr>
        <w:drawing>
          <wp:anchor distT="0" distB="0" distL="0" distR="0" simplePos="0" relativeHeight="251659264" behindDoc="1" locked="0" layoutInCell="1" allowOverlap="1" wp14:anchorId="69A3F37E" wp14:editId="51C11E09">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6" w:name="c2tope"/>
      <w:bookmarkEnd w:id="6"/>
    </w:p>
    <w:p w14:paraId="0C69DB4A" w14:textId="77777777" w:rsidR="008A0986" w:rsidRPr="008C5D8B" w:rsidRDefault="008A0986" w:rsidP="008A0986">
      <w:pPr>
        <w:spacing w:before="80"/>
        <w:jc w:val="left"/>
        <w:rPr>
          <w:i/>
          <w:sz w:val="20"/>
        </w:rPr>
      </w:pPr>
    </w:p>
    <w:p w14:paraId="540E5D54" w14:textId="77777777" w:rsidR="008A0986" w:rsidRPr="008C5D8B" w:rsidRDefault="008A0986" w:rsidP="008A0986">
      <w:pPr>
        <w:jc w:val="left"/>
        <w:sectPr w:rsidR="008A0986" w:rsidRPr="008C5D8B" w:rsidSect="008A0986">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8A0986" w:rsidRPr="008C5D8B" w14:paraId="55E57525" w14:textId="77777777" w:rsidTr="20AD8DED">
        <w:tc>
          <w:tcPr>
            <w:tcW w:w="9945" w:type="dxa"/>
          </w:tcPr>
          <w:p w14:paraId="461F493D" w14:textId="00C7934D" w:rsidR="008A0986" w:rsidRPr="008C5D8B" w:rsidRDefault="008A0986" w:rsidP="004F4EC9">
            <w:pPr>
              <w:pStyle w:val="RecNo"/>
            </w:pPr>
            <w:bookmarkStart w:id="7" w:name="irecnoe"/>
            <w:bookmarkEnd w:id="7"/>
            <w:r w:rsidRPr="008C5D8B">
              <w:lastRenderedPageBreak/>
              <w:t xml:space="preserve">Technical </w:t>
            </w:r>
            <w:r w:rsidR="00D66477" w:rsidRPr="008C5D8B">
              <w:t>Paper</w:t>
            </w:r>
            <w:r w:rsidRPr="008C5D8B">
              <w:t xml:space="preserve"> ITU-T FSTP-ACC-MV-SUST</w:t>
            </w:r>
          </w:p>
          <w:p w14:paraId="39498E50" w14:textId="77777777" w:rsidR="008A0986" w:rsidRPr="008C5D8B" w:rsidRDefault="008A0986" w:rsidP="004F4EC9">
            <w:pPr>
              <w:pStyle w:val="Rectitle"/>
            </w:pPr>
            <w:r w:rsidRPr="008C5D8B">
              <w:t>Accessibility in a sustainable metaverse</w:t>
            </w:r>
          </w:p>
        </w:tc>
      </w:tr>
    </w:tbl>
    <w:p w14:paraId="4DF81938" w14:textId="77777777" w:rsidR="008A0986" w:rsidRPr="008C5D8B" w:rsidRDefault="008A0986" w:rsidP="008A0986"/>
    <w:tbl>
      <w:tblPr>
        <w:tblW w:w="0" w:type="auto"/>
        <w:tblLayout w:type="fixed"/>
        <w:tblLook w:val="0000" w:firstRow="0" w:lastRow="0" w:firstColumn="0" w:lastColumn="0" w:noHBand="0" w:noVBand="0"/>
      </w:tblPr>
      <w:tblGrid>
        <w:gridCol w:w="9945"/>
      </w:tblGrid>
      <w:tr w:rsidR="008A0986" w:rsidRPr="008C5D8B" w14:paraId="26AE2A92" w14:textId="77777777" w:rsidTr="20AD8DED">
        <w:tc>
          <w:tcPr>
            <w:tcW w:w="9945" w:type="dxa"/>
          </w:tcPr>
          <w:p w14:paraId="41EC4A6B" w14:textId="77777777" w:rsidR="008A0986" w:rsidRPr="008C5D8B" w:rsidRDefault="008A0986" w:rsidP="004F4EC9">
            <w:pPr>
              <w:pStyle w:val="Headingb"/>
            </w:pPr>
            <w:bookmarkStart w:id="8" w:name="isume"/>
            <w:r w:rsidRPr="008C5D8B">
              <w:t>Summary</w:t>
            </w:r>
          </w:p>
          <w:p w14:paraId="1D5EA2A9" w14:textId="0D75A796" w:rsidR="00670B6B" w:rsidRPr="008C5D8B" w:rsidRDefault="00670B6B" w:rsidP="00670B6B">
            <w:r w:rsidRPr="008C5D8B">
              <w:rPr>
                <w:lang w:bidi="ar-DZ"/>
              </w:rPr>
              <w:t xml:space="preserve">This Technical Paper </w:t>
            </w:r>
            <w:r w:rsidRPr="008C5D8B">
              <w:t>promotes and instructs on the adaptation of an integrated approach to accessibility and sustainability in the metaverse. It explores the integration of accessibility products and services in the metaverse and their associated social benefit and environmental impact. Emphasi</w:t>
            </w:r>
            <w:r w:rsidR="007E6F62">
              <w:t>z</w:t>
            </w:r>
            <w:r w:rsidRPr="008C5D8B">
              <w:t xml:space="preserve">ing the need for the early integration of accessibility and sustainability, this </w:t>
            </w:r>
            <w:r w:rsidR="00526C60">
              <w:t>Paper</w:t>
            </w:r>
            <w:r w:rsidR="00526C60" w:rsidRPr="008C5D8B">
              <w:t xml:space="preserve"> </w:t>
            </w:r>
            <w:r w:rsidRPr="008C5D8B">
              <w:t>presents information and guidance on how to incorporate sustainable accessibility products and services in the metaverse from the outset. Questions related to sustainability and accessibility in the metaverse need to consider the following:</w:t>
            </w:r>
          </w:p>
          <w:p w14:paraId="5292F9AC" w14:textId="75AAE76D" w:rsidR="00670B6B" w:rsidRPr="008C5D8B" w:rsidRDefault="00670B6B" w:rsidP="00670B6B">
            <w:pPr>
              <w:pStyle w:val="enumlev1"/>
            </w:pPr>
            <w:r w:rsidRPr="008C5D8B">
              <w:t>–</w:t>
            </w:r>
            <w:r w:rsidRPr="008C5D8B">
              <w:tab/>
            </w:r>
            <w:r w:rsidR="00526C60">
              <w:t>The s</w:t>
            </w:r>
            <w:r w:rsidRPr="008C5D8B">
              <w:t>ocial benefit of sustainable accessibility products and services in the metaverse.</w:t>
            </w:r>
          </w:p>
          <w:p w14:paraId="20EFB2E1" w14:textId="66056CB2" w:rsidR="008A0986" w:rsidRPr="008C5D8B" w:rsidRDefault="00670B6B" w:rsidP="00670B6B">
            <w:pPr>
              <w:pStyle w:val="enumlev1"/>
            </w:pPr>
            <w:r w:rsidRPr="008C5D8B">
              <w:t>–</w:t>
            </w:r>
            <w:r w:rsidRPr="008C5D8B">
              <w:tab/>
              <w:t>Challenges and opportunities of an accessible and sustainable metaverse.</w:t>
            </w:r>
            <w:bookmarkEnd w:id="8"/>
          </w:p>
        </w:tc>
      </w:tr>
    </w:tbl>
    <w:p w14:paraId="6599B2E5" w14:textId="77777777" w:rsidR="008A0986" w:rsidRPr="008C5D8B" w:rsidRDefault="008A0986" w:rsidP="008A0986"/>
    <w:tbl>
      <w:tblPr>
        <w:tblW w:w="9945" w:type="dxa"/>
        <w:tblLayout w:type="fixed"/>
        <w:tblLook w:val="0000" w:firstRow="0" w:lastRow="0" w:firstColumn="0" w:lastColumn="0" w:noHBand="0" w:noVBand="0"/>
      </w:tblPr>
      <w:tblGrid>
        <w:gridCol w:w="9945"/>
      </w:tblGrid>
      <w:tr w:rsidR="008A0986" w:rsidRPr="008C5D8B" w14:paraId="03C6F18F" w14:textId="77777777" w:rsidTr="20AD8DED">
        <w:tc>
          <w:tcPr>
            <w:tcW w:w="9945" w:type="dxa"/>
          </w:tcPr>
          <w:p w14:paraId="5470E777" w14:textId="77777777" w:rsidR="008A0986" w:rsidRPr="008C5D8B" w:rsidRDefault="008A0986" w:rsidP="004F4EC9">
            <w:pPr>
              <w:pStyle w:val="Headingb"/>
            </w:pPr>
            <w:bookmarkStart w:id="9" w:name="ikeye"/>
            <w:r w:rsidRPr="008C5D8B">
              <w:t>Keywords</w:t>
            </w:r>
          </w:p>
          <w:p w14:paraId="0A6C9CC5" w14:textId="66E5E620" w:rsidR="008A0986" w:rsidRPr="008C5D8B" w:rsidRDefault="00D55CF3" w:rsidP="20AD8DED">
            <w:pPr>
              <w:rPr>
                <w:bCs/>
              </w:rPr>
            </w:pPr>
            <w:r w:rsidRPr="008C5D8B">
              <w:rPr>
                <w:lang w:bidi="ar-DZ"/>
              </w:rPr>
              <w:t>Accessibility, inclusive design, metaverse, sustainability.</w:t>
            </w:r>
            <w:bookmarkEnd w:id="9"/>
          </w:p>
        </w:tc>
      </w:tr>
    </w:tbl>
    <w:p w14:paraId="022DB313" w14:textId="77777777" w:rsidR="008A0986" w:rsidRPr="008C5D8B" w:rsidRDefault="008A0986" w:rsidP="001D095D"/>
    <w:p w14:paraId="2E3B9541" w14:textId="4CD1B3BE" w:rsidR="008A0986" w:rsidRPr="008E219A" w:rsidRDefault="008A0986">
      <w:pPr>
        <w:pStyle w:val="Headingb"/>
        <w:rPr>
          <w:sz w:val="22"/>
          <w:szCs w:val="22"/>
        </w:rPr>
      </w:pPr>
      <w:r w:rsidRPr="008C5D8B">
        <w:t>Note</w:t>
      </w:r>
    </w:p>
    <w:p w14:paraId="3ED99EAE" w14:textId="77777777" w:rsidR="008A0986" w:rsidRPr="008C5D8B" w:rsidRDefault="008A0986" w:rsidP="008A0986">
      <w:r w:rsidRPr="0073715A">
        <w:rPr>
          <w:sz w:val="22"/>
          <w:szCs w:val="22"/>
        </w:rPr>
        <w:t>This is an informative ITU-T publication. Mandatory provisions, such as those found in ITU-T Recommendations, are outside the scope of this publication. This publication should only be referenced bibliographically in ITU-T Recommendations.</w:t>
      </w:r>
    </w:p>
    <w:p w14:paraId="3DA94F4E" w14:textId="77777777" w:rsidR="008A0986" w:rsidRPr="008C5D8B" w:rsidRDefault="008A0986" w:rsidP="008A0986"/>
    <w:p w14:paraId="6CB14702" w14:textId="42F2526D" w:rsidR="008A0986" w:rsidRPr="008C5D8B" w:rsidRDefault="00247278" w:rsidP="008A0986">
      <w:r w:rsidRPr="008C5D8B">
        <w:rPr>
          <w:b/>
          <w:bCs/>
          <w:sz w:val="22"/>
          <w:szCs w:val="22"/>
        </w:rPr>
        <w:t>Contacts:</w:t>
      </w:r>
    </w:p>
    <w:tbl>
      <w:tblPr>
        <w:tblW w:w="5000" w:type="pct"/>
        <w:jc w:val="center"/>
        <w:tblCellMar>
          <w:left w:w="57" w:type="dxa"/>
          <w:right w:w="57" w:type="dxa"/>
        </w:tblCellMar>
        <w:tblLook w:val="0000" w:firstRow="0" w:lastRow="0" w:firstColumn="0" w:lastColumn="0" w:noHBand="0" w:noVBand="0"/>
      </w:tblPr>
      <w:tblGrid>
        <w:gridCol w:w="1276"/>
        <w:gridCol w:w="4110"/>
        <w:gridCol w:w="4253"/>
      </w:tblGrid>
      <w:tr w:rsidR="00247278" w:rsidRPr="008C5D8B" w14:paraId="2DC9983B" w14:textId="77777777" w:rsidTr="20AD8DED">
        <w:trPr>
          <w:cantSplit/>
          <w:trHeight w:val="204"/>
          <w:jc w:val="center"/>
        </w:trPr>
        <w:tc>
          <w:tcPr>
            <w:tcW w:w="662" w:type="pct"/>
          </w:tcPr>
          <w:p w14:paraId="67FE1275" w14:textId="531AB72E" w:rsidR="00247278" w:rsidRPr="008C5D8B" w:rsidRDefault="00247278" w:rsidP="00247278">
            <w:pPr>
              <w:rPr>
                <w:b/>
                <w:bCs/>
                <w:sz w:val="22"/>
                <w:szCs w:val="22"/>
              </w:rPr>
            </w:pPr>
          </w:p>
        </w:tc>
        <w:tc>
          <w:tcPr>
            <w:tcW w:w="2132" w:type="pct"/>
          </w:tcPr>
          <w:p w14:paraId="191700BA" w14:textId="485A7545" w:rsidR="00247278" w:rsidRPr="008C5D8B" w:rsidRDefault="00247278" w:rsidP="00247278">
            <w:pPr>
              <w:jc w:val="left"/>
              <w:rPr>
                <w:sz w:val="22"/>
                <w:szCs w:val="22"/>
              </w:rPr>
            </w:pPr>
            <w:r w:rsidRPr="008C5D8B">
              <w:rPr>
                <w:sz w:val="22"/>
                <w:szCs w:val="22"/>
              </w:rPr>
              <w:t>Masahito Kawamori</w:t>
            </w:r>
            <w:r w:rsidRPr="008C5D8B">
              <w:rPr>
                <w:sz w:val="22"/>
                <w:szCs w:val="22"/>
              </w:rPr>
              <w:br/>
              <w:t>Keio University</w:t>
            </w:r>
            <w:r w:rsidRPr="008C5D8B">
              <w:rPr>
                <w:sz w:val="22"/>
                <w:szCs w:val="22"/>
              </w:rPr>
              <w:br/>
              <w:t>Japan</w:t>
            </w:r>
          </w:p>
        </w:tc>
        <w:tc>
          <w:tcPr>
            <w:tcW w:w="2206" w:type="pct"/>
          </w:tcPr>
          <w:p w14:paraId="22839A77" w14:textId="1F75023A" w:rsidR="00247278" w:rsidRPr="008C5D8B" w:rsidRDefault="00247278" w:rsidP="00247278">
            <w:pPr>
              <w:tabs>
                <w:tab w:val="clear" w:pos="794"/>
                <w:tab w:val="clear" w:pos="1191"/>
                <w:tab w:val="left" w:pos="911"/>
              </w:tabs>
              <w:jc w:val="left"/>
              <w:rPr>
                <w:sz w:val="22"/>
                <w:szCs w:val="22"/>
              </w:rPr>
            </w:pPr>
            <w:r w:rsidRPr="008C5D8B">
              <w:rPr>
                <w:sz w:val="22"/>
                <w:szCs w:val="22"/>
              </w:rPr>
              <w:t>Tel.:</w:t>
            </w:r>
            <w:r w:rsidRPr="008C5D8B">
              <w:rPr>
                <w:sz w:val="22"/>
                <w:szCs w:val="22"/>
              </w:rPr>
              <w:tab/>
              <w:t>+81-3-3516-2504</w:t>
            </w:r>
            <w:r w:rsidRPr="008C5D8B">
              <w:rPr>
                <w:sz w:val="22"/>
                <w:szCs w:val="22"/>
              </w:rPr>
              <w:br/>
              <w:t>E-mail:</w:t>
            </w:r>
            <w:r w:rsidRPr="008C5D8B">
              <w:rPr>
                <w:sz w:val="22"/>
                <w:szCs w:val="22"/>
              </w:rPr>
              <w:tab/>
            </w:r>
            <w:hyperlink r:id="rId15" w:history="1">
              <w:r w:rsidRPr="008C5D8B">
                <w:rPr>
                  <w:rStyle w:val="Hyperlink"/>
                  <w:sz w:val="22"/>
                  <w:szCs w:val="22"/>
                </w:rPr>
                <w:t>kawamori@sfc.wide.ad.jp</w:t>
              </w:r>
            </w:hyperlink>
          </w:p>
        </w:tc>
      </w:tr>
      <w:tr w:rsidR="00247278" w:rsidRPr="00BA35D5" w14:paraId="1C858DEF" w14:textId="77777777" w:rsidTr="20AD8DED">
        <w:trPr>
          <w:cantSplit/>
          <w:trHeight w:val="204"/>
          <w:jc w:val="center"/>
        </w:trPr>
        <w:tc>
          <w:tcPr>
            <w:tcW w:w="662" w:type="pct"/>
          </w:tcPr>
          <w:p w14:paraId="4E818CAD" w14:textId="77777777" w:rsidR="00247278" w:rsidRPr="008C5D8B" w:rsidRDefault="00247278" w:rsidP="00247278">
            <w:pPr>
              <w:rPr>
                <w:b/>
                <w:bCs/>
                <w:sz w:val="22"/>
                <w:szCs w:val="22"/>
              </w:rPr>
            </w:pPr>
          </w:p>
        </w:tc>
        <w:tc>
          <w:tcPr>
            <w:tcW w:w="2132" w:type="pct"/>
          </w:tcPr>
          <w:p w14:paraId="5AFEB963" w14:textId="47312DCD" w:rsidR="00247278" w:rsidRPr="008E219A" w:rsidRDefault="00247278" w:rsidP="00247278">
            <w:pPr>
              <w:jc w:val="left"/>
              <w:rPr>
                <w:sz w:val="22"/>
                <w:szCs w:val="22"/>
                <w:lang w:val="es-ES"/>
              </w:rPr>
            </w:pPr>
            <w:r w:rsidRPr="008E219A">
              <w:rPr>
                <w:sz w:val="22"/>
                <w:szCs w:val="22"/>
                <w:lang w:val="es-ES"/>
              </w:rPr>
              <w:t xml:space="preserve">Pilar Orero </w:t>
            </w:r>
            <w:r w:rsidRPr="008E219A">
              <w:rPr>
                <w:sz w:val="22"/>
                <w:szCs w:val="22"/>
                <w:lang w:val="es-ES"/>
              </w:rPr>
              <w:br/>
              <w:t>Universitat Autònoma de Barcelona</w:t>
            </w:r>
            <w:r w:rsidRPr="008E219A">
              <w:rPr>
                <w:sz w:val="22"/>
                <w:szCs w:val="22"/>
                <w:lang w:val="es-ES"/>
              </w:rPr>
              <w:br/>
              <w:t>Spain</w:t>
            </w:r>
          </w:p>
        </w:tc>
        <w:tc>
          <w:tcPr>
            <w:tcW w:w="2206" w:type="pct"/>
          </w:tcPr>
          <w:p w14:paraId="791B046C" w14:textId="44B6DE0D" w:rsidR="00247278" w:rsidRPr="008E219A" w:rsidRDefault="00247278" w:rsidP="00247278">
            <w:pPr>
              <w:tabs>
                <w:tab w:val="clear" w:pos="794"/>
                <w:tab w:val="clear" w:pos="1191"/>
                <w:tab w:val="left" w:pos="911"/>
              </w:tabs>
              <w:jc w:val="left"/>
              <w:rPr>
                <w:sz w:val="22"/>
                <w:szCs w:val="22"/>
                <w:lang w:val="es-ES"/>
              </w:rPr>
            </w:pPr>
            <w:r w:rsidRPr="008E219A">
              <w:rPr>
                <w:sz w:val="22"/>
                <w:szCs w:val="22"/>
                <w:lang w:val="es-ES"/>
              </w:rPr>
              <w:t>E-mail:</w:t>
            </w:r>
            <w:r w:rsidRPr="008E219A">
              <w:rPr>
                <w:sz w:val="22"/>
                <w:szCs w:val="22"/>
                <w:lang w:val="es-ES"/>
              </w:rPr>
              <w:tab/>
            </w:r>
            <w:hyperlink r:id="rId16" w:history="1">
              <w:r w:rsidRPr="008E219A">
                <w:rPr>
                  <w:rStyle w:val="Hyperlink"/>
                  <w:sz w:val="22"/>
                  <w:szCs w:val="22"/>
                  <w:lang w:val="es-ES"/>
                </w:rPr>
                <w:t>pilar.orero@uab.cat</w:t>
              </w:r>
            </w:hyperlink>
          </w:p>
        </w:tc>
      </w:tr>
      <w:tr w:rsidR="00247278" w:rsidRPr="008C5D8B" w14:paraId="6FC348A9" w14:textId="77777777" w:rsidTr="20AD8DED">
        <w:trPr>
          <w:cantSplit/>
          <w:trHeight w:val="204"/>
          <w:jc w:val="center"/>
        </w:trPr>
        <w:tc>
          <w:tcPr>
            <w:tcW w:w="662" w:type="pct"/>
          </w:tcPr>
          <w:p w14:paraId="65DF5A3B" w14:textId="77777777" w:rsidR="00247278" w:rsidRPr="008E219A" w:rsidRDefault="00247278" w:rsidP="00247278">
            <w:pPr>
              <w:rPr>
                <w:b/>
                <w:bCs/>
                <w:sz w:val="22"/>
                <w:szCs w:val="22"/>
                <w:lang w:val="es-ES"/>
              </w:rPr>
            </w:pPr>
          </w:p>
        </w:tc>
        <w:tc>
          <w:tcPr>
            <w:tcW w:w="2132" w:type="pct"/>
          </w:tcPr>
          <w:p w14:paraId="4495818B" w14:textId="367164A0" w:rsidR="00247278" w:rsidRPr="008C5D8B" w:rsidRDefault="00247278" w:rsidP="00247278">
            <w:pPr>
              <w:jc w:val="left"/>
              <w:rPr>
                <w:sz w:val="22"/>
                <w:szCs w:val="22"/>
              </w:rPr>
            </w:pPr>
            <w:r w:rsidRPr="008C5D8B">
              <w:rPr>
                <w:sz w:val="22"/>
                <w:szCs w:val="22"/>
              </w:rPr>
              <w:t>Hideki Yamamoto</w:t>
            </w:r>
            <w:r w:rsidRPr="008C5D8B">
              <w:rPr>
                <w:sz w:val="22"/>
                <w:szCs w:val="22"/>
              </w:rPr>
              <w:br/>
              <w:t>OKI</w:t>
            </w:r>
            <w:r w:rsidRPr="008C5D8B">
              <w:rPr>
                <w:sz w:val="22"/>
                <w:szCs w:val="22"/>
              </w:rPr>
              <w:br/>
              <w:t>Japan</w:t>
            </w:r>
          </w:p>
        </w:tc>
        <w:tc>
          <w:tcPr>
            <w:tcW w:w="2206" w:type="pct"/>
          </w:tcPr>
          <w:p w14:paraId="369791DB" w14:textId="372E280A" w:rsidR="00247278" w:rsidRPr="008C5D8B" w:rsidRDefault="00247278" w:rsidP="00247278">
            <w:pPr>
              <w:tabs>
                <w:tab w:val="clear" w:pos="794"/>
                <w:tab w:val="clear" w:pos="1191"/>
                <w:tab w:val="left" w:pos="911"/>
              </w:tabs>
              <w:jc w:val="left"/>
              <w:rPr>
                <w:sz w:val="22"/>
                <w:szCs w:val="22"/>
              </w:rPr>
            </w:pPr>
            <w:r w:rsidRPr="008C5D8B">
              <w:rPr>
                <w:sz w:val="22"/>
                <w:szCs w:val="22"/>
              </w:rPr>
              <w:t>E-mail:</w:t>
            </w:r>
            <w:r w:rsidRPr="008C5D8B">
              <w:rPr>
                <w:sz w:val="22"/>
                <w:szCs w:val="22"/>
              </w:rPr>
              <w:tab/>
            </w:r>
            <w:hyperlink r:id="rId17" w:history="1">
              <w:r w:rsidRPr="008C5D8B">
                <w:rPr>
                  <w:rStyle w:val="Hyperlink"/>
                  <w:sz w:val="22"/>
                  <w:szCs w:val="22"/>
                </w:rPr>
                <w:t>yamamoto436@oki.com</w:t>
              </w:r>
            </w:hyperlink>
          </w:p>
        </w:tc>
      </w:tr>
      <w:tr w:rsidR="00247278" w:rsidRPr="008C5D8B" w14:paraId="43620DEC" w14:textId="77777777" w:rsidTr="20AD8DED">
        <w:trPr>
          <w:cantSplit/>
          <w:trHeight w:val="204"/>
          <w:jc w:val="center"/>
        </w:trPr>
        <w:tc>
          <w:tcPr>
            <w:tcW w:w="662" w:type="pct"/>
          </w:tcPr>
          <w:p w14:paraId="572FD87B" w14:textId="77777777" w:rsidR="00247278" w:rsidRPr="008C5D8B" w:rsidRDefault="00247278" w:rsidP="00247278">
            <w:pPr>
              <w:rPr>
                <w:b/>
                <w:bCs/>
                <w:sz w:val="22"/>
                <w:szCs w:val="22"/>
              </w:rPr>
            </w:pPr>
          </w:p>
        </w:tc>
        <w:tc>
          <w:tcPr>
            <w:tcW w:w="2132" w:type="pct"/>
          </w:tcPr>
          <w:p w14:paraId="6190D114" w14:textId="00C2E047" w:rsidR="00247278" w:rsidRPr="008C5D8B" w:rsidRDefault="00247278" w:rsidP="00247278">
            <w:pPr>
              <w:jc w:val="left"/>
              <w:rPr>
                <w:sz w:val="22"/>
                <w:szCs w:val="22"/>
              </w:rPr>
            </w:pPr>
            <w:r w:rsidRPr="008C5D8B">
              <w:rPr>
                <w:sz w:val="22"/>
                <w:szCs w:val="22"/>
              </w:rPr>
              <w:t>Hideo Imanaka</w:t>
            </w:r>
            <w:r w:rsidRPr="008C5D8B">
              <w:rPr>
                <w:sz w:val="22"/>
                <w:szCs w:val="22"/>
              </w:rPr>
              <w:br/>
              <w:t>NICT</w:t>
            </w:r>
            <w:r w:rsidRPr="008C5D8B">
              <w:rPr>
                <w:sz w:val="22"/>
                <w:szCs w:val="22"/>
              </w:rPr>
              <w:br/>
              <w:t>Japan</w:t>
            </w:r>
          </w:p>
        </w:tc>
        <w:tc>
          <w:tcPr>
            <w:tcW w:w="2206" w:type="pct"/>
          </w:tcPr>
          <w:p w14:paraId="0BB1E9C6" w14:textId="4F22B2B3" w:rsidR="00247278" w:rsidRPr="008C5D8B" w:rsidRDefault="00247278" w:rsidP="00247278">
            <w:pPr>
              <w:tabs>
                <w:tab w:val="clear" w:pos="794"/>
                <w:tab w:val="clear" w:pos="1191"/>
                <w:tab w:val="left" w:pos="911"/>
              </w:tabs>
              <w:jc w:val="left"/>
              <w:rPr>
                <w:sz w:val="22"/>
                <w:szCs w:val="22"/>
              </w:rPr>
            </w:pPr>
            <w:r w:rsidRPr="008C5D8B">
              <w:rPr>
                <w:sz w:val="22"/>
                <w:szCs w:val="22"/>
              </w:rPr>
              <w:t>E-mail:</w:t>
            </w:r>
            <w:r w:rsidRPr="008C5D8B">
              <w:rPr>
                <w:sz w:val="22"/>
                <w:szCs w:val="22"/>
              </w:rPr>
              <w:tab/>
            </w:r>
            <w:hyperlink r:id="rId18" w:history="1">
              <w:r w:rsidRPr="008C5D8B">
                <w:rPr>
                  <w:rStyle w:val="Hyperlink"/>
                  <w:sz w:val="22"/>
                  <w:szCs w:val="22"/>
                </w:rPr>
                <w:t>h.imanaka@nict.go.jp</w:t>
              </w:r>
            </w:hyperlink>
            <w:r w:rsidRPr="008C5D8B">
              <w:rPr>
                <w:sz w:val="22"/>
                <w:szCs w:val="22"/>
              </w:rPr>
              <w:t> </w:t>
            </w:r>
          </w:p>
        </w:tc>
      </w:tr>
    </w:tbl>
    <w:p w14:paraId="2FB2DF2C" w14:textId="77777777" w:rsidR="008A0986" w:rsidRPr="008C5D8B" w:rsidRDefault="008A0986" w:rsidP="008A0986">
      <w:pPr>
        <w:jc w:val="center"/>
        <w:rPr>
          <w:sz w:val="22"/>
        </w:rPr>
      </w:pPr>
    </w:p>
    <w:p w14:paraId="7C286130" w14:textId="77777777" w:rsidR="008A0986" w:rsidRPr="008E219A" w:rsidRDefault="008A0986">
      <w:pPr>
        <w:jc w:val="center"/>
        <w:rPr>
          <w:sz w:val="22"/>
          <w:szCs w:val="22"/>
        </w:rPr>
      </w:pPr>
      <w:r w:rsidRPr="008C5D8B">
        <w:rPr>
          <w:sz w:val="22"/>
        </w:rPr>
        <w:sym w:font="Symbol" w:char="F0E3"/>
      </w:r>
      <w:r w:rsidRPr="0073715A">
        <w:rPr>
          <w:sz w:val="22"/>
          <w:szCs w:val="22"/>
        </w:rPr>
        <w:t> ITU </w:t>
      </w:r>
      <w:bookmarkStart w:id="10" w:name="iiannee"/>
      <w:bookmarkEnd w:id="10"/>
      <w:r w:rsidRPr="0073715A">
        <w:rPr>
          <w:sz w:val="22"/>
          <w:szCs w:val="22"/>
        </w:rPr>
        <w:t>2024</w:t>
      </w:r>
    </w:p>
    <w:p w14:paraId="5A9C9948" w14:textId="6F6BB883" w:rsidR="00E56A20" w:rsidRPr="00BA35D5" w:rsidRDefault="00BA35D5">
      <w:pPr>
        <w:rPr>
          <w:sz w:val="22"/>
        </w:rPr>
      </w:pPr>
      <w:r w:rsidRPr="00BA35D5">
        <w:rPr>
          <w:sz w:val="22"/>
        </w:rPr>
        <w:t>All rights reserved. No part of this publication may be reproduced, by any means whatsoever, without the prior written permission of ITU</w:t>
      </w:r>
      <w:r w:rsidR="00E56A20" w:rsidRPr="00BA35D5">
        <w:rPr>
          <w:sz w:val="22"/>
        </w:rPr>
        <w:t>.</w:t>
      </w:r>
    </w:p>
    <w:p w14:paraId="1C34AE31" w14:textId="18C6426E" w:rsidR="008A0986" w:rsidRPr="008C5D8B" w:rsidRDefault="008A0986" w:rsidP="008A0986">
      <w:pPr>
        <w:rPr>
          <w:sz w:val="22"/>
        </w:rPr>
      </w:pPr>
    </w:p>
    <w:p w14:paraId="2C0B4699" w14:textId="77777777" w:rsidR="008A0986" w:rsidRPr="008E219A" w:rsidRDefault="008A0986">
      <w:pPr>
        <w:jc w:val="center"/>
        <w:rPr>
          <w:b/>
          <w:bCs/>
        </w:rPr>
      </w:pPr>
      <w:r w:rsidRPr="0073715A">
        <w:rPr>
          <w:b/>
          <w:bCs/>
        </w:rPr>
        <w:br w:type="page"/>
        <w:t>Table of Contents</w:t>
      </w:r>
    </w:p>
    <w:p w14:paraId="563169A4" w14:textId="1172D5B3" w:rsidR="00063574" w:rsidRPr="008C5D8B" w:rsidRDefault="00063574" w:rsidP="00063574">
      <w:pPr>
        <w:pStyle w:val="toc0"/>
        <w:ind w:right="992"/>
      </w:pPr>
      <w:r w:rsidRPr="008C5D8B">
        <w:tab/>
        <w:t>Page</w:t>
      </w:r>
    </w:p>
    <w:p w14:paraId="17826E93" w14:textId="7DA4E9B7"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1</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Scope</w:t>
      </w:r>
      <w:r>
        <w:rPr>
          <w:rStyle w:val="Hyperlink"/>
          <w:noProof/>
          <w:color w:val="auto"/>
          <w:u w:val="none"/>
        </w:rPr>
        <w:tab/>
      </w:r>
      <w:r w:rsidRPr="0048148C">
        <w:rPr>
          <w:noProof/>
          <w:webHidden/>
        </w:rPr>
        <w:tab/>
        <w:t>1</w:t>
      </w:r>
    </w:p>
    <w:p w14:paraId="01D8C6C3" w14:textId="3AA71EF2"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2</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References</w:t>
      </w:r>
      <w:r w:rsidRPr="0048148C">
        <w:rPr>
          <w:noProof/>
          <w:webHidden/>
        </w:rPr>
        <w:tab/>
      </w:r>
      <w:r>
        <w:rPr>
          <w:noProof/>
          <w:webHidden/>
        </w:rPr>
        <w:tab/>
      </w:r>
      <w:r w:rsidRPr="0048148C">
        <w:rPr>
          <w:noProof/>
          <w:webHidden/>
        </w:rPr>
        <w:t>1</w:t>
      </w:r>
    </w:p>
    <w:p w14:paraId="744DD3A5" w14:textId="385B015B"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3</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Definitions</w:t>
      </w:r>
      <w:r w:rsidRPr="0048148C">
        <w:rPr>
          <w:noProof/>
          <w:webHidden/>
        </w:rPr>
        <w:tab/>
      </w:r>
      <w:r>
        <w:rPr>
          <w:noProof/>
          <w:webHidden/>
        </w:rPr>
        <w:tab/>
      </w:r>
      <w:r w:rsidRPr="0048148C">
        <w:rPr>
          <w:noProof/>
          <w:webHidden/>
        </w:rPr>
        <w:t>1</w:t>
      </w:r>
    </w:p>
    <w:p w14:paraId="68BD529C" w14:textId="164FD8ED"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3.1</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Terms defined elsewhere</w:t>
      </w:r>
      <w:r w:rsidRPr="0048148C">
        <w:rPr>
          <w:noProof/>
          <w:webHidden/>
        </w:rPr>
        <w:tab/>
      </w:r>
      <w:r>
        <w:rPr>
          <w:noProof/>
          <w:webHidden/>
        </w:rPr>
        <w:tab/>
      </w:r>
      <w:r w:rsidRPr="0048148C">
        <w:rPr>
          <w:noProof/>
          <w:webHidden/>
        </w:rPr>
        <w:t>1</w:t>
      </w:r>
    </w:p>
    <w:p w14:paraId="42170A35" w14:textId="1041BFE9"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3.2</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 xml:space="preserve">Terms defined in this </w:t>
      </w:r>
      <w:r w:rsidRPr="0048148C">
        <w:rPr>
          <w:rStyle w:val="Hyperlink"/>
          <w:noProof/>
          <w:color w:val="auto"/>
          <w:u w:val="none"/>
        </w:rPr>
        <w:t>Technical Paper</w:t>
      </w:r>
      <w:r w:rsidRPr="0048148C">
        <w:rPr>
          <w:noProof/>
          <w:webHidden/>
        </w:rPr>
        <w:tab/>
      </w:r>
      <w:r>
        <w:rPr>
          <w:noProof/>
          <w:webHidden/>
        </w:rPr>
        <w:tab/>
      </w:r>
      <w:r w:rsidRPr="0048148C">
        <w:rPr>
          <w:noProof/>
          <w:webHidden/>
        </w:rPr>
        <w:t>1</w:t>
      </w:r>
    </w:p>
    <w:p w14:paraId="08EF5D70" w14:textId="456C0FE2"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4</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Abbreviations and acronyms</w:t>
      </w:r>
      <w:r w:rsidRPr="0048148C">
        <w:rPr>
          <w:noProof/>
          <w:webHidden/>
        </w:rPr>
        <w:tab/>
      </w:r>
      <w:r>
        <w:rPr>
          <w:noProof/>
          <w:webHidden/>
        </w:rPr>
        <w:tab/>
      </w:r>
      <w:r w:rsidRPr="0048148C">
        <w:rPr>
          <w:noProof/>
          <w:webHidden/>
        </w:rPr>
        <w:t>2</w:t>
      </w:r>
    </w:p>
    <w:p w14:paraId="61E03E6B" w14:textId="5DAA1A74"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5</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Conventions</w:t>
      </w:r>
      <w:r w:rsidRPr="0048148C">
        <w:rPr>
          <w:noProof/>
          <w:webHidden/>
        </w:rPr>
        <w:tab/>
      </w:r>
      <w:r>
        <w:rPr>
          <w:noProof/>
          <w:webHidden/>
        </w:rPr>
        <w:tab/>
      </w:r>
      <w:r w:rsidRPr="0048148C">
        <w:rPr>
          <w:noProof/>
          <w:webHidden/>
        </w:rPr>
        <w:t>2</w:t>
      </w:r>
    </w:p>
    <w:p w14:paraId="72C77991" w14:textId="61C5CDAC"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6</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Context</w:t>
      </w:r>
      <w:r w:rsidRPr="0048148C">
        <w:rPr>
          <w:noProof/>
          <w:webHidden/>
        </w:rPr>
        <w:tab/>
      </w:r>
      <w:r>
        <w:rPr>
          <w:noProof/>
          <w:webHidden/>
        </w:rPr>
        <w:tab/>
      </w:r>
      <w:r w:rsidRPr="0048148C">
        <w:rPr>
          <w:noProof/>
          <w:webHidden/>
        </w:rPr>
        <w:t>2</w:t>
      </w:r>
    </w:p>
    <w:p w14:paraId="698FA2B0" w14:textId="7C703126"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6.1</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Social benefit of accessibility products and services in a sustainable metaverse</w:t>
      </w:r>
      <w:r w:rsidRPr="0048148C">
        <w:rPr>
          <w:noProof/>
          <w:webHidden/>
        </w:rPr>
        <w:tab/>
      </w:r>
      <w:r>
        <w:rPr>
          <w:noProof/>
          <w:webHidden/>
        </w:rPr>
        <w:tab/>
      </w:r>
      <w:r w:rsidRPr="0048148C">
        <w:rPr>
          <w:noProof/>
          <w:webHidden/>
        </w:rPr>
        <w:t>2</w:t>
      </w:r>
    </w:p>
    <w:p w14:paraId="4661333F" w14:textId="771A6DB2"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6.2</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Challenges and opportunities of an accessible and sustainable metaverse</w:t>
      </w:r>
      <w:r>
        <w:rPr>
          <w:rStyle w:val="Hyperlink"/>
          <w:rFonts w:eastAsia="SimSun"/>
          <w:noProof/>
          <w:color w:val="auto"/>
          <w:u w:val="none"/>
        </w:rPr>
        <w:tab/>
      </w:r>
      <w:r w:rsidRPr="0048148C">
        <w:rPr>
          <w:noProof/>
          <w:webHidden/>
        </w:rPr>
        <w:tab/>
        <w:t>3</w:t>
      </w:r>
    </w:p>
    <w:p w14:paraId="19F7D4A7" w14:textId="345B32C7"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7</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General considerations</w:t>
      </w:r>
      <w:r w:rsidRPr="0048148C">
        <w:rPr>
          <w:noProof/>
          <w:webHidden/>
        </w:rPr>
        <w:tab/>
      </w:r>
      <w:r>
        <w:rPr>
          <w:noProof/>
          <w:webHidden/>
        </w:rPr>
        <w:tab/>
      </w:r>
      <w:r w:rsidRPr="0048148C">
        <w:rPr>
          <w:noProof/>
          <w:webHidden/>
        </w:rPr>
        <w:t>4</w:t>
      </w:r>
    </w:p>
    <w:p w14:paraId="53A5B933" w14:textId="4BEF3F46"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8</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noProof/>
          <w:color w:val="auto"/>
          <w:u w:val="none"/>
        </w:rPr>
        <w:t>Guidance on accessibility products and services in a sustainable metaverse</w:t>
      </w:r>
      <w:r w:rsidRPr="0048148C">
        <w:rPr>
          <w:noProof/>
          <w:webHidden/>
        </w:rPr>
        <w:tab/>
      </w:r>
      <w:r>
        <w:rPr>
          <w:noProof/>
          <w:webHidden/>
        </w:rPr>
        <w:tab/>
      </w:r>
      <w:r w:rsidRPr="0048148C">
        <w:rPr>
          <w:noProof/>
          <w:webHidden/>
        </w:rPr>
        <w:t>4</w:t>
      </w:r>
    </w:p>
    <w:p w14:paraId="17BEABA7" w14:textId="29B7C7AC"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8.1</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Ensure usability and accessibility by default</w:t>
      </w:r>
      <w:r w:rsidRPr="0048148C">
        <w:rPr>
          <w:noProof/>
          <w:webHidden/>
        </w:rPr>
        <w:tab/>
      </w:r>
      <w:r>
        <w:rPr>
          <w:noProof/>
          <w:webHidden/>
        </w:rPr>
        <w:tab/>
      </w:r>
      <w:r w:rsidRPr="0048148C">
        <w:rPr>
          <w:noProof/>
          <w:webHidden/>
        </w:rPr>
        <w:t>4</w:t>
      </w:r>
    </w:p>
    <w:p w14:paraId="08CBDC25" w14:textId="0A73E0FD"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8.2</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Avoid duplication of content</w:t>
      </w:r>
      <w:r w:rsidRPr="0048148C">
        <w:rPr>
          <w:noProof/>
          <w:webHidden/>
        </w:rPr>
        <w:tab/>
      </w:r>
      <w:r>
        <w:rPr>
          <w:noProof/>
          <w:webHidden/>
        </w:rPr>
        <w:tab/>
      </w:r>
      <w:r w:rsidRPr="0048148C">
        <w:rPr>
          <w:noProof/>
          <w:webHidden/>
        </w:rPr>
        <w:t>4</w:t>
      </w:r>
    </w:p>
    <w:p w14:paraId="0FC92CF2" w14:textId="1A8AF2AC"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8.3</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Create a simpler and cleaner user interface</w:t>
      </w:r>
      <w:r w:rsidRPr="0048148C">
        <w:rPr>
          <w:noProof/>
          <w:webHidden/>
        </w:rPr>
        <w:tab/>
      </w:r>
      <w:r>
        <w:rPr>
          <w:noProof/>
          <w:webHidden/>
        </w:rPr>
        <w:tab/>
      </w:r>
      <w:r w:rsidRPr="0048148C">
        <w:rPr>
          <w:noProof/>
          <w:webHidden/>
        </w:rPr>
        <w:t>5</w:t>
      </w:r>
    </w:p>
    <w:p w14:paraId="33CDE78D" w14:textId="5F8C8321"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8.4</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Prioritize the use of icons for navigation</w:t>
      </w:r>
      <w:r w:rsidRPr="0048148C">
        <w:rPr>
          <w:noProof/>
          <w:webHidden/>
        </w:rPr>
        <w:tab/>
      </w:r>
      <w:r>
        <w:rPr>
          <w:noProof/>
          <w:webHidden/>
        </w:rPr>
        <w:tab/>
      </w:r>
      <w:r w:rsidRPr="0048148C">
        <w:rPr>
          <w:noProof/>
          <w:webHidden/>
        </w:rPr>
        <w:t>5</w:t>
      </w:r>
    </w:p>
    <w:p w14:paraId="7D38E96E" w14:textId="2C8F703E"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8.5</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Build a more energy-efficient metaverse for people and the environment</w:t>
      </w:r>
      <w:r w:rsidRPr="0048148C">
        <w:rPr>
          <w:noProof/>
          <w:webHidden/>
        </w:rPr>
        <w:tab/>
      </w:r>
      <w:r>
        <w:rPr>
          <w:noProof/>
          <w:webHidden/>
        </w:rPr>
        <w:tab/>
      </w:r>
      <w:r w:rsidRPr="0048148C">
        <w:rPr>
          <w:noProof/>
          <w:webHidden/>
        </w:rPr>
        <w:t>5</w:t>
      </w:r>
    </w:p>
    <w:p w14:paraId="0B601FAB" w14:textId="15D1B98B"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8.6</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Find alternative file and media formats</w:t>
      </w:r>
      <w:r w:rsidRPr="0048148C">
        <w:rPr>
          <w:noProof/>
          <w:webHidden/>
        </w:rPr>
        <w:tab/>
      </w:r>
      <w:r>
        <w:rPr>
          <w:noProof/>
          <w:webHidden/>
        </w:rPr>
        <w:tab/>
      </w:r>
      <w:r w:rsidRPr="0048148C">
        <w:rPr>
          <w:noProof/>
          <w:webHidden/>
        </w:rPr>
        <w:t>5</w:t>
      </w:r>
    </w:p>
    <w:p w14:paraId="01AB9C98" w14:textId="29C7B3C2"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8.7</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Use more energy-efficient AI</w:t>
      </w:r>
      <w:r w:rsidRPr="0048148C">
        <w:rPr>
          <w:noProof/>
          <w:webHidden/>
        </w:rPr>
        <w:tab/>
      </w:r>
      <w:r>
        <w:rPr>
          <w:noProof/>
          <w:webHidden/>
        </w:rPr>
        <w:tab/>
      </w:r>
      <w:r w:rsidRPr="0048148C">
        <w:rPr>
          <w:noProof/>
          <w:webHidden/>
        </w:rPr>
        <w:t>6</w:t>
      </w:r>
    </w:p>
    <w:p w14:paraId="2FA332E9" w14:textId="6D47DE09" w:rsidR="0048148C" w:rsidRPr="0048148C" w:rsidRDefault="0048148C">
      <w:pPr>
        <w:pStyle w:val="TOC2"/>
        <w:rPr>
          <w:rFonts w:asciiTheme="minorHAnsi" w:eastAsiaTheme="minorEastAsia" w:hAnsiTheme="minorHAnsi" w:cstheme="minorBidi"/>
          <w:noProof/>
          <w:kern w:val="2"/>
          <w:szCs w:val="24"/>
          <w:lang w:eastAsia="en-GB"/>
          <w14:ligatures w14:val="standardContextual"/>
        </w:rPr>
      </w:pPr>
      <w:r w:rsidRPr="0048148C">
        <w:rPr>
          <w:rStyle w:val="Hyperlink"/>
          <w:rFonts w:eastAsia="SimSun"/>
          <w:noProof/>
          <w:color w:val="auto"/>
          <w:u w:val="none"/>
        </w:rPr>
        <w:t>8.8</w:t>
      </w:r>
      <w:r w:rsidRPr="0048148C">
        <w:rPr>
          <w:rFonts w:asciiTheme="minorHAnsi" w:eastAsiaTheme="minorEastAsia" w:hAnsiTheme="minorHAnsi" w:cstheme="minorBidi"/>
          <w:noProof/>
          <w:kern w:val="2"/>
          <w:szCs w:val="24"/>
          <w:lang w:eastAsia="en-GB"/>
          <w14:ligatures w14:val="standardContextual"/>
        </w:rPr>
        <w:tab/>
      </w:r>
      <w:r w:rsidRPr="0048148C">
        <w:rPr>
          <w:rStyle w:val="Hyperlink"/>
          <w:rFonts w:eastAsia="SimSun"/>
          <w:noProof/>
          <w:color w:val="auto"/>
          <w:u w:val="none"/>
        </w:rPr>
        <w:t>Create intuitive design and provide easy-to-understand language alternatives</w:t>
      </w:r>
      <w:r w:rsidRPr="0048148C">
        <w:rPr>
          <w:noProof/>
          <w:webHidden/>
        </w:rPr>
        <w:tab/>
      </w:r>
      <w:r>
        <w:rPr>
          <w:noProof/>
          <w:webHidden/>
        </w:rPr>
        <w:tab/>
      </w:r>
      <w:r w:rsidRPr="0048148C">
        <w:rPr>
          <w:noProof/>
          <w:webHidden/>
        </w:rPr>
        <w:t>6</w:t>
      </w:r>
    </w:p>
    <w:p w14:paraId="22E4D743" w14:textId="791DE0D3" w:rsidR="0048148C" w:rsidRPr="0048148C" w:rsidRDefault="0048148C">
      <w:pPr>
        <w:pStyle w:val="TOC1"/>
        <w:rPr>
          <w:rFonts w:asciiTheme="minorHAnsi" w:eastAsiaTheme="minorEastAsia" w:hAnsiTheme="minorHAnsi" w:cstheme="minorBidi"/>
          <w:noProof/>
          <w:kern w:val="2"/>
          <w:szCs w:val="24"/>
          <w:lang w:eastAsia="en-GB"/>
          <w14:ligatures w14:val="standardContextual"/>
        </w:rPr>
      </w:pPr>
      <w:r w:rsidRPr="0048148C">
        <w:rPr>
          <w:rStyle w:val="Hyperlink"/>
          <w:noProof/>
          <w:color w:val="auto"/>
          <w:u w:val="none"/>
        </w:rPr>
        <w:t>Bibliography</w:t>
      </w:r>
      <w:r w:rsidRPr="0048148C">
        <w:rPr>
          <w:noProof/>
          <w:webHidden/>
        </w:rPr>
        <w:tab/>
      </w:r>
      <w:r>
        <w:rPr>
          <w:noProof/>
          <w:webHidden/>
        </w:rPr>
        <w:tab/>
      </w:r>
      <w:r w:rsidRPr="0048148C">
        <w:rPr>
          <w:noProof/>
          <w:webHidden/>
        </w:rPr>
        <w:t>7</w:t>
      </w:r>
    </w:p>
    <w:p w14:paraId="5CA33785" w14:textId="3DA0AFBB" w:rsidR="00063574" w:rsidRPr="008C5D8B" w:rsidRDefault="00063574" w:rsidP="00063574">
      <w:pPr>
        <w:pStyle w:val="TOC1"/>
        <w:ind w:right="992"/>
        <w:rPr>
          <w:rFonts w:asciiTheme="minorHAnsi" w:eastAsiaTheme="minorEastAsia" w:hAnsiTheme="minorHAnsi" w:cstheme="minorBidi"/>
          <w:kern w:val="2"/>
          <w:szCs w:val="24"/>
          <w:lang w:eastAsia="en-GB"/>
          <w14:ligatures w14:val="standardContextual"/>
        </w:rPr>
      </w:pPr>
    </w:p>
    <w:p w14:paraId="09143863" w14:textId="6A12F4B0" w:rsidR="008A0986" w:rsidRPr="008C5D8B" w:rsidRDefault="008A0986" w:rsidP="00063574"/>
    <w:p w14:paraId="396090B5" w14:textId="77777777" w:rsidR="00063574" w:rsidRPr="008C5D8B" w:rsidRDefault="00063574" w:rsidP="008A0986"/>
    <w:p w14:paraId="67C3E5DC" w14:textId="77777777" w:rsidR="008A0986" w:rsidRPr="008C5D8B" w:rsidRDefault="008A0986" w:rsidP="008A0986">
      <w:pPr>
        <w:rPr>
          <w:b/>
          <w:bCs/>
        </w:rPr>
        <w:sectPr w:rsidR="008A0986" w:rsidRPr="008C5D8B" w:rsidSect="008A0986">
          <w:headerReference w:type="default" r:id="rId19"/>
          <w:footerReference w:type="even" r:id="rId20"/>
          <w:footerReference w:type="default" r:id="rId21"/>
          <w:type w:val="oddPage"/>
          <w:pgSz w:w="11907" w:h="16834"/>
          <w:pgMar w:top="1134" w:right="1134" w:bottom="1134" w:left="1134" w:header="567" w:footer="567" w:gutter="0"/>
          <w:paperSrc w:first="15" w:other="15"/>
          <w:pgNumType w:fmt="lowerRoman" w:start="1"/>
          <w:cols w:space="720"/>
          <w:docGrid w:linePitch="326"/>
        </w:sectPr>
      </w:pPr>
    </w:p>
    <w:p w14:paraId="35DC6B95" w14:textId="57A93274" w:rsidR="0082705B" w:rsidRPr="008C5D8B" w:rsidRDefault="0082705B" w:rsidP="009866EE">
      <w:pPr>
        <w:pStyle w:val="RecNo"/>
        <w:rPr>
          <w:szCs w:val="28"/>
        </w:rPr>
      </w:pPr>
      <w:bookmarkStart w:id="11" w:name="p1rectexte"/>
      <w:bookmarkEnd w:id="0"/>
      <w:bookmarkEnd w:id="1"/>
      <w:bookmarkEnd w:id="11"/>
      <w:r w:rsidRPr="008C5D8B">
        <w:rPr>
          <w:szCs w:val="28"/>
        </w:rPr>
        <w:t xml:space="preserve">Technical Paper </w:t>
      </w:r>
      <w:r w:rsidRPr="008C5D8B">
        <w:t>ITU</w:t>
      </w:r>
      <w:r w:rsidRPr="008C5D8B">
        <w:rPr>
          <w:rFonts w:eastAsia="MS Mincho"/>
        </w:rPr>
        <w:t>-T</w:t>
      </w:r>
      <w:r w:rsidRPr="008C5D8B">
        <w:t xml:space="preserve"> </w:t>
      </w:r>
      <w:r w:rsidR="009866EE" w:rsidRPr="008C5D8B">
        <w:t>F</w:t>
      </w:r>
      <w:r w:rsidRPr="008C5D8B">
        <w:t>STP</w:t>
      </w:r>
      <w:r w:rsidR="002D5FA6" w:rsidRPr="008C5D8B">
        <w:t>-</w:t>
      </w:r>
      <w:r w:rsidRPr="008C5D8B">
        <w:t>ACC-MV-</w:t>
      </w:r>
      <w:r w:rsidR="009866EE" w:rsidRPr="008C5D8B">
        <w:t>SUST</w:t>
      </w:r>
    </w:p>
    <w:p w14:paraId="641813C9" w14:textId="77777777" w:rsidR="0082705B" w:rsidRPr="008C5D8B" w:rsidRDefault="0082705B" w:rsidP="00D80C49">
      <w:pPr>
        <w:pStyle w:val="Rectitle"/>
      </w:pPr>
      <w:r w:rsidRPr="008C5D8B">
        <w:t>Accessibility in a sustainable metaverse</w:t>
      </w:r>
    </w:p>
    <w:p w14:paraId="04D79C77" w14:textId="5B358E71" w:rsidR="0082705B" w:rsidRPr="008C5D8B" w:rsidRDefault="00D80C49" w:rsidP="00D80C49">
      <w:pPr>
        <w:pStyle w:val="Heading1"/>
        <w:rPr>
          <w:rFonts w:eastAsiaTheme="minorEastAsia"/>
        </w:rPr>
      </w:pPr>
      <w:bookmarkStart w:id="12" w:name="_Toc401158818"/>
      <w:bookmarkStart w:id="13" w:name="_Toc152610351"/>
      <w:bookmarkStart w:id="14" w:name="_Toc153267477"/>
      <w:bookmarkStart w:id="15" w:name="_Toc167978674"/>
      <w:bookmarkStart w:id="16" w:name="_Toc177134614"/>
      <w:r w:rsidRPr="008C5D8B">
        <w:rPr>
          <w:rFonts w:eastAsiaTheme="minorEastAsia"/>
        </w:rPr>
        <w:t>1</w:t>
      </w:r>
      <w:r w:rsidRPr="008C5D8B">
        <w:rPr>
          <w:rFonts w:eastAsiaTheme="minorEastAsia"/>
        </w:rPr>
        <w:tab/>
      </w:r>
      <w:r w:rsidR="0082705B" w:rsidRPr="008C5D8B">
        <w:rPr>
          <w:rFonts w:eastAsiaTheme="minorEastAsia"/>
        </w:rPr>
        <w:t>Scope</w:t>
      </w:r>
      <w:bookmarkEnd w:id="12"/>
      <w:bookmarkEnd w:id="13"/>
      <w:bookmarkEnd w:id="14"/>
      <w:bookmarkEnd w:id="15"/>
      <w:bookmarkEnd w:id="16"/>
    </w:p>
    <w:p w14:paraId="5E9A384D" w14:textId="0A7A133D" w:rsidR="0082705B" w:rsidRPr="008C5D8B" w:rsidRDefault="0082705B" w:rsidP="00E56A20">
      <w:r w:rsidRPr="008C5D8B">
        <w:t xml:space="preserve">This Technical </w:t>
      </w:r>
      <w:r w:rsidR="00630B1C" w:rsidRPr="008C5D8B">
        <w:t>Paper</w:t>
      </w:r>
      <w:r w:rsidRPr="008C5D8B">
        <w:t xml:space="preserve"> presents ways to integrate accessibility products and services in a sustainable and energy</w:t>
      </w:r>
      <w:r w:rsidR="008C5D8B">
        <w:t>-</w:t>
      </w:r>
      <w:r w:rsidRPr="008C5D8B">
        <w:t>efficient metaverse for people with diverse access needs. It covers a range of guidance for making the metaverse sustainable and accessible.</w:t>
      </w:r>
    </w:p>
    <w:p w14:paraId="5D6ECF37" w14:textId="4E17B6B9" w:rsidR="0082705B" w:rsidRPr="008C5D8B" w:rsidRDefault="00E56A20" w:rsidP="00E56A20">
      <w:pPr>
        <w:pStyle w:val="Note"/>
      </w:pPr>
      <w:r w:rsidRPr="008C5D8B">
        <w:t>NOTE –</w:t>
      </w:r>
      <w:r w:rsidR="0082705B" w:rsidRPr="008C5D8B">
        <w:t xml:space="preserve"> Specific guidance on the system design and user requirement for accessible products and services in the metaverse are provided under </w:t>
      </w:r>
      <w:r w:rsidR="00D80C49" w:rsidRPr="008C5D8B">
        <w:t>"</w:t>
      </w:r>
      <w:r w:rsidR="0082705B" w:rsidRPr="008C5D8B">
        <w:t xml:space="preserve">Technical Specification ITU FGMV-04 </w:t>
      </w:r>
      <w:r w:rsidR="00AB3BDA" w:rsidRPr="008C5D8B">
        <w:t>–</w:t>
      </w:r>
      <w:r w:rsidR="0082705B" w:rsidRPr="008C5D8B">
        <w:t xml:space="preserve"> Requirements of accessible products and services in the metaverse: Part I – System design perspective</w:t>
      </w:r>
      <w:r w:rsidR="00D80C49" w:rsidRPr="008C5D8B">
        <w:t>"</w:t>
      </w:r>
      <w:r w:rsidR="0082705B" w:rsidRPr="008C5D8B">
        <w:t xml:space="preserve"> and </w:t>
      </w:r>
      <w:r w:rsidR="00D80C49" w:rsidRPr="008C5D8B">
        <w:t>"</w:t>
      </w:r>
      <w:r w:rsidR="0082705B" w:rsidRPr="008C5D8B">
        <w:t xml:space="preserve">Technical Specification ITU FGMV-05 </w:t>
      </w:r>
      <w:r w:rsidR="00AB3BDA" w:rsidRPr="008C5D8B">
        <w:t>–</w:t>
      </w:r>
      <w:r w:rsidR="0082705B" w:rsidRPr="008C5D8B">
        <w:t xml:space="preserve"> Requirements of accessible products and services in the metaverse: Part II – User perspective</w:t>
      </w:r>
      <w:r w:rsidR="00AB3BDA" w:rsidRPr="008C5D8B">
        <w:t>"</w:t>
      </w:r>
      <w:r w:rsidR="0082705B" w:rsidRPr="008C5D8B">
        <w:t>.</w:t>
      </w:r>
    </w:p>
    <w:p w14:paraId="7F106ABC" w14:textId="66FADC1B" w:rsidR="0082705B" w:rsidRPr="008C5D8B" w:rsidRDefault="00D80C49" w:rsidP="00D80C49">
      <w:pPr>
        <w:pStyle w:val="Heading1"/>
        <w:rPr>
          <w:rFonts w:eastAsiaTheme="minorEastAsia"/>
        </w:rPr>
      </w:pPr>
      <w:bookmarkStart w:id="17" w:name="_Toc401158819"/>
      <w:bookmarkStart w:id="18" w:name="_Toc152610352"/>
      <w:bookmarkStart w:id="19" w:name="_Toc153267478"/>
      <w:bookmarkStart w:id="20" w:name="_Toc167978675"/>
      <w:bookmarkStart w:id="21" w:name="_Toc177134615"/>
      <w:r w:rsidRPr="008C5D8B">
        <w:rPr>
          <w:rFonts w:eastAsiaTheme="minorEastAsia"/>
        </w:rPr>
        <w:t>2</w:t>
      </w:r>
      <w:r w:rsidRPr="008C5D8B">
        <w:rPr>
          <w:rFonts w:eastAsiaTheme="minorEastAsia"/>
        </w:rPr>
        <w:tab/>
      </w:r>
      <w:r w:rsidR="0082705B" w:rsidRPr="008C5D8B">
        <w:rPr>
          <w:rFonts w:eastAsiaTheme="minorEastAsia"/>
        </w:rPr>
        <w:t>References</w:t>
      </w:r>
      <w:bookmarkEnd w:id="17"/>
      <w:bookmarkEnd w:id="18"/>
      <w:bookmarkEnd w:id="19"/>
      <w:bookmarkEnd w:id="20"/>
      <w:bookmarkEnd w:id="21"/>
    </w:p>
    <w:p w14:paraId="0EB68B2F" w14:textId="77777777" w:rsidR="0082705B" w:rsidRPr="008C5D8B" w:rsidRDefault="0082705B" w:rsidP="00E56A20">
      <w:r w:rsidRPr="008C5D8B">
        <w:t>None.</w:t>
      </w:r>
    </w:p>
    <w:p w14:paraId="0C063815" w14:textId="19DC3392" w:rsidR="0082705B" w:rsidRPr="008C5D8B" w:rsidRDefault="00D80C49" w:rsidP="00D80C49">
      <w:pPr>
        <w:pStyle w:val="Heading1"/>
        <w:rPr>
          <w:rFonts w:eastAsiaTheme="minorEastAsia"/>
        </w:rPr>
      </w:pPr>
      <w:bookmarkStart w:id="22" w:name="_Toc401158820"/>
      <w:bookmarkStart w:id="23" w:name="_Toc152610353"/>
      <w:bookmarkStart w:id="24" w:name="_Toc153267479"/>
      <w:bookmarkStart w:id="25" w:name="_Toc167978676"/>
      <w:bookmarkStart w:id="26" w:name="_Toc177134616"/>
      <w:bookmarkStart w:id="27" w:name="_Hlk168034430"/>
      <w:r w:rsidRPr="008C5D8B">
        <w:rPr>
          <w:rFonts w:eastAsiaTheme="minorEastAsia"/>
        </w:rPr>
        <w:t>3</w:t>
      </w:r>
      <w:r w:rsidRPr="008C5D8B">
        <w:rPr>
          <w:rFonts w:eastAsiaTheme="minorEastAsia"/>
        </w:rPr>
        <w:tab/>
      </w:r>
      <w:r w:rsidR="00E56A20" w:rsidRPr="008C5D8B">
        <w:rPr>
          <w:rFonts w:eastAsiaTheme="minorEastAsia"/>
        </w:rPr>
        <w:t>D</w:t>
      </w:r>
      <w:r w:rsidR="0082705B" w:rsidRPr="008C5D8B">
        <w:rPr>
          <w:rFonts w:eastAsiaTheme="minorEastAsia"/>
        </w:rPr>
        <w:t>efinitions</w:t>
      </w:r>
      <w:bookmarkEnd w:id="22"/>
      <w:bookmarkEnd w:id="23"/>
      <w:bookmarkEnd w:id="24"/>
      <w:bookmarkEnd w:id="25"/>
      <w:bookmarkEnd w:id="26"/>
    </w:p>
    <w:p w14:paraId="65A24555" w14:textId="3131CFBB" w:rsidR="0082705B" w:rsidRPr="008C5D8B" w:rsidRDefault="00D80C49" w:rsidP="00D80C49">
      <w:pPr>
        <w:pStyle w:val="Heading2"/>
        <w:rPr>
          <w:rFonts w:eastAsia="SimSun"/>
        </w:rPr>
      </w:pPr>
      <w:bookmarkStart w:id="28" w:name="_Toc401158821"/>
      <w:bookmarkStart w:id="29" w:name="_Toc152610354"/>
      <w:bookmarkStart w:id="30" w:name="_Toc153267480"/>
      <w:bookmarkStart w:id="31" w:name="_Toc167978677"/>
      <w:bookmarkStart w:id="32" w:name="_Toc177134617"/>
      <w:r w:rsidRPr="008C5D8B">
        <w:rPr>
          <w:rFonts w:eastAsia="SimSun"/>
        </w:rPr>
        <w:t>3.1</w:t>
      </w:r>
      <w:r w:rsidRPr="008C5D8B">
        <w:rPr>
          <w:rFonts w:eastAsia="SimSun"/>
        </w:rPr>
        <w:tab/>
      </w:r>
      <w:r w:rsidR="0082705B" w:rsidRPr="008C5D8B">
        <w:rPr>
          <w:rFonts w:eastAsia="SimSun"/>
        </w:rPr>
        <w:t>Terms defined elsewhere</w:t>
      </w:r>
      <w:bookmarkEnd w:id="28"/>
      <w:bookmarkEnd w:id="29"/>
      <w:bookmarkEnd w:id="30"/>
      <w:bookmarkEnd w:id="31"/>
      <w:bookmarkEnd w:id="32"/>
    </w:p>
    <w:p w14:paraId="1D4AC791" w14:textId="11341A98" w:rsidR="0082705B" w:rsidRPr="008C5D8B" w:rsidRDefault="0082705B" w:rsidP="0082705B">
      <w:r w:rsidRPr="008C5D8B">
        <w:t xml:space="preserve">This Technical </w:t>
      </w:r>
      <w:r w:rsidR="00630B1C" w:rsidRPr="008C5D8B">
        <w:t>Paper</w:t>
      </w:r>
      <w:r w:rsidRPr="008C5D8B">
        <w:t xml:space="preserve"> uses the following terms defined elsewhere:</w:t>
      </w:r>
    </w:p>
    <w:bookmarkEnd w:id="27"/>
    <w:p w14:paraId="58D6B88D" w14:textId="1BED8712" w:rsidR="0082705B" w:rsidRPr="008C5D8B" w:rsidRDefault="00651D49" w:rsidP="00651D49">
      <w:pPr>
        <w:tabs>
          <w:tab w:val="left" w:pos="850"/>
        </w:tabs>
        <w:rPr>
          <w:rFonts w:eastAsia="Calibri"/>
        </w:rPr>
      </w:pPr>
      <w:r w:rsidRPr="008C5D8B">
        <w:rPr>
          <w:rFonts w:eastAsia="Calibri"/>
          <w:b/>
        </w:rPr>
        <w:t>3.1.1</w:t>
      </w:r>
      <w:r w:rsidRPr="008C5D8B">
        <w:rPr>
          <w:rFonts w:eastAsia="Calibri"/>
          <w:b/>
        </w:rPr>
        <w:tab/>
      </w:r>
      <w:r w:rsidR="00AB3BDA" w:rsidRPr="008C5D8B">
        <w:rPr>
          <w:rFonts w:eastAsia="Calibri"/>
          <w:b/>
        </w:rPr>
        <w:t>a</w:t>
      </w:r>
      <w:r w:rsidRPr="008C5D8B">
        <w:rPr>
          <w:rFonts w:eastAsia="Calibri"/>
          <w:b/>
        </w:rPr>
        <w:t xml:space="preserve">ccessibility </w:t>
      </w:r>
      <w:r w:rsidRPr="008C5D8B">
        <w:rPr>
          <w:rFonts w:eastAsia="Calibri"/>
          <w:bCs/>
        </w:rPr>
        <w:t>[b-ITU-T F.791]:</w:t>
      </w:r>
      <w:r w:rsidR="0082705B" w:rsidRPr="008C5D8B">
        <w:rPr>
          <w:rFonts w:eastAsia="Calibri"/>
        </w:rPr>
        <w:t xml:space="preserve"> The degree to which a product, device, service or environment (virtual or real) is available to as many people as possible.</w:t>
      </w:r>
    </w:p>
    <w:p w14:paraId="4072DFE0" w14:textId="3BD9994A" w:rsidR="0082705B" w:rsidRPr="008C5D8B" w:rsidRDefault="00651D49" w:rsidP="00651D49">
      <w:pPr>
        <w:tabs>
          <w:tab w:val="left" w:pos="850"/>
        </w:tabs>
        <w:rPr>
          <w:shd w:val="clear" w:color="auto" w:fill="FFFFFF"/>
        </w:rPr>
      </w:pPr>
      <w:r w:rsidRPr="008C5D8B">
        <w:rPr>
          <w:b/>
          <w:bCs/>
        </w:rPr>
        <w:t>3.1.2</w:t>
      </w:r>
      <w:r w:rsidRPr="008C5D8B">
        <w:rPr>
          <w:b/>
          <w:bCs/>
        </w:rPr>
        <w:tab/>
      </w:r>
      <w:r w:rsidR="00AB3BDA" w:rsidRPr="008C5D8B">
        <w:rPr>
          <w:b/>
          <w:bCs/>
        </w:rPr>
        <w:t>a</w:t>
      </w:r>
      <w:r w:rsidRPr="008C5D8B">
        <w:rPr>
          <w:b/>
          <w:bCs/>
        </w:rPr>
        <w:t xml:space="preserve">rtificial intelligence </w:t>
      </w:r>
      <w:r w:rsidRPr="008C5D8B">
        <w:t>[b-ISO/IEC 2382]:</w:t>
      </w:r>
      <w:r w:rsidR="0082705B" w:rsidRPr="008C5D8B">
        <w:t xml:space="preserve"> </w:t>
      </w:r>
      <w:r w:rsidR="0082705B" w:rsidRPr="008C5D8B">
        <w:rPr>
          <w:shd w:val="clear" w:color="auto" w:fill="FFFFFF"/>
        </w:rPr>
        <w:t>An interdisciplinary field, usually regarded as a branch of computer science, dealing with models and systems for the performance of functions generally associated with human intelligence, such as reasoning and learning.</w:t>
      </w:r>
    </w:p>
    <w:p w14:paraId="1203685F" w14:textId="4B06D5DB" w:rsidR="0082705B" w:rsidRPr="008C5D8B" w:rsidRDefault="00651D49" w:rsidP="00E56A20">
      <w:pPr>
        <w:tabs>
          <w:tab w:val="left" w:pos="850"/>
        </w:tabs>
        <w:rPr>
          <w:shd w:val="clear" w:color="auto" w:fill="FFFFFF"/>
        </w:rPr>
      </w:pPr>
      <w:r w:rsidRPr="008C5D8B">
        <w:rPr>
          <w:b/>
          <w:bCs/>
        </w:rPr>
        <w:t>3.1.3</w:t>
      </w:r>
      <w:r w:rsidRPr="008C5D8B">
        <w:rPr>
          <w:b/>
          <w:bCs/>
        </w:rPr>
        <w:tab/>
      </w:r>
      <w:r w:rsidR="00AB3BDA" w:rsidRPr="008C5D8B">
        <w:rPr>
          <w:b/>
          <w:bCs/>
        </w:rPr>
        <w:t>a</w:t>
      </w:r>
      <w:r w:rsidRPr="008C5D8B">
        <w:rPr>
          <w:b/>
          <w:bCs/>
        </w:rPr>
        <w:t xml:space="preserve">ugmented reality </w:t>
      </w:r>
      <w:r w:rsidRPr="0073715A">
        <w:t>[b-ITU-T J.301]:</w:t>
      </w:r>
      <w:r w:rsidR="0082705B" w:rsidRPr="008C5D8B">
        <w:rPr>
          <w:b/>
          <w:bCs/>
        </w:rPr>
        <w:t xml:space="preserve"> </w:t>
      </w:r>
      <w:r w:rsidR="0082705B" w:rsidRPr="008C5D8B">
        <w:rPr>
          <w:shd w:val="clear" w:color="auto" w:fill="FFFFFF"/>
        </w:rPr>
        <w:t>A type of mixed reality where graphical elements are integrated into the real world in order to enhance user experience and enrich information.</w:t>
      </w:r>
    </w:p>
    <w:p w14:paraId="27C7CFBE" w14:textId="21FB27FC" w:rsidR="0082705B" w:rsidRPr="008C5D8B" w:rsidRDefault="00651D49" w:rsidP="00E56A20">
      <w:pPr>
        <w:rPr>
          <w:shd w:val="clear" w:color="auto" w:fill="FFFFFF"/>
        </w:rPr>
      </w:pPr>
      <w:r w:rsidRPr="008C5D8B">
        <w:rPr>
          <w:b/>
          <w:bCs/>
          <w:shd w:val="clear" w:color="auto" w:fill="FFFFFF"/>
        </w:rPr>
        <w:t>3.1.4</w:t>
      </w:r>
      <w:r w:rsidRPr="008C5D8B">
        <w:rPr>
          <w:b/>
          <w:bCs/>
          <w:shd w:val="clear" w:color="auto" w:fill="FFFFFF"/>
        </w:rPr>
        <w:tab/>
      </w:r>
      <w:r w:rsidR="00AB3BDA" w:rsidRPr="008C5D8B">
        <w:rPr>
          <w:b/>
          <w:bCs/>
          <w:shd w:val="clear" w:color="auto" w:fill="FFFFFF"/>
        </w:rPr>
        <w:t>v</w:t>
      </w:r>
      <w:r w:rsidRPr="008C5D8B">
        <w:rPr>
          <w:b/>
          <w:bCs/>
          <w:shd w:val="clear" w:color="auto" w:fill="FFFFFF"/>
        </w:rPr>
        <w:t xml:space="preserve">irtual reality </w:t>
      </w:r>
      <w:r w:rsidRPr="0073715A">
        <w:rPr>
          <w:shd w:val="clear" w:color="auto" w:fill="FFFFFF"/>
        </w:rPr>
        <w:t>[b-ITU-T P.1320]:</w:t>
      </w:r>
      <w:r w:rsidR="0082705B" w:rsidRPr="008C5D8B">
        <w:rPr>
          <w:shd w:val="clear" w:color="auto" w:fill="FFFFFF"/>
        </w:rPr>
        <w:t xml:space="preserve"> An environment that is fully generated by digital means. To qualify as virtual reality, the virtual environment should differ from the local environment.</w:t>
      </w:r>
    </w:p>
    <w:p w14:paraId="37796D96" w14:textId="0840BB0B" w:rsidR="0082705B" w:rsidRPr="008C5D8B" w:rsidRDefault="00651D49" w:rsidP="00651D49">
      <w:pPr>
        <w:tabs>
          <w:tab w:val="left" w:pos="850"/>
        </w:tabs>
      </w:pPr>
      <w:r w:rsidRPr="008C5D8B">
        <w:rPr>
          <w:b/>
          <w:bCs/>
        </w:rPr>
        <w:t>3.1.5</w:t>
      </w:r>
      <w:r w:rsidRPr="008C5D8B">
        <w:rPr>
          <w:b/>
          <w:bCs/>
        </w:rPr>
        <w:tab/>
      </w:r>
      <w:bookmarkStart w:id="33" w:name="_Hlk142386274"/>
      <w:r w:rsidR="00AB3BDA" w:rsidRPr="008C5D8B">
        <w:rPr>
          <w:b/>
          <w:bCs/>
        </w:rPr>
        <w:t>d</w:t>
      </w:r>
      <w:r w:rsidRPr="008C5D8B">
        <w:rPr>
          <w:b/>
          <w:bCs/>
        </w:rPr>
        <w:t>iverse users</w:t>
      </w:r>
      <w:r w:rsidRPr="008C5D8B">
        <w:rPr>
          <w:b/>
        </w:rPr>
        <w:t xml:space="preserve"> </w:t>
      </w:r>
      <w:r w:rsidRPr="008C5D8B">
        <w:rPr>
          <w:bCs/>
        </w:rPr>
        <w:t>[b-ISO/IEC 71]:</w:t>
      </w:r>
      <w:r w:rsidR="0082705B" w:rsidRPr="008C5D8B">
        <w:rPr>
          <w:bCs/>
        </w:rPr>
        <w:t xml:space="preserve"> </w:t>
      </w:r>
      <w:bookmarkEnd w:id="33"/>
      <w:r w:rsidR="0082705B" w:rsidRPr="008C5D8B">
        <w:rPr>
          <w:bCs/>
        </w:rPr>
        <w:t xml:space="preserve">Individuals </w:t>
      </w:r>
      <w:r w:rsidR="0082705B" w:rsidRPr="008C5D8B">
        <w:t>with differing abilities and characteristics or accessibility needs.</w:t>
      </w:r>
    </w:p>
    <w:p w14:paraId="2530A7CD" w14:textId="77777777" w:rsidR="00ED77AF" w:rsidRDefault="00651D49" w:rsidP="00665563">
      <w:r w:rsidRPr="008C5D8B">
        <w:rPr>
          <w:b/>
          <w:bCs/>
        </w:rPr>
        <w:t>3.1.6</w:t>
      </w:r>
      <w:r w:rsidRPr="008C5D8B">
        <w:rPr>
          <w:b/>
          <w:bCs/>
        </w:rPr>
        <w:tab/>
      </w:r>
      <w:r w:rsidR="00AB3BDA" w:rsidRPr="008C5D8B">
        <w:rPr>
          <w:b/>
          <w:bCs/>
        </w:rPr>
        <w:t>e</w:t>
      </w:r>
      <w:r w:rsidRPr="008C5D8B">
        <w:rPr>
          <w:b/>
          <w:bCs/>
        </w:rPr>
        <w:t>asy-to-understand language</w:t>
      </w:r>
      <w:r w:rsidRPr="008C5D8B">
        <w:rPr>
          <w:b/>
        </w:rPr>
        <w:t xml:space="preserve"> </w:t>
      </w:r>
      <w:r w:rsidRPr="008C5D8B">
        <w:rPr>
          <w:bCs/>
        </w:rPr>
        <w:t>[b-ISO/IEC 23859]:</w:t>
      </w:r>
      <w:r w:rsidR="0082705B" w:rsidRPr="008C5D8B">
        <w:t xml:space="preserve"> Any language variety which enhances comprehensibility. </w:t>
      </w:r>
    </w:p>
    <w:p w14:paraId="486DEADC" w14:textId="2B622318" w:rsidR="0082705B" w:rsidRPr="008C5D8B" w:rsidRDefault="00ED77AF" w:rsidP="002268B0">
      <w:pPr>
        <w:pStyle w:val="Note"/>
      </w:pPr>
      <w:r>
        <w:t>NOTE</w:t>
      </w:r>
      <w:r w:rsidRPr="008C5D8B">
        <w:t xml:space="preserve"> </w:t>
      </w:r>
      <w:r w:rsidR="002268B0">
        <w:t>–</w:t>
      </w:r>
      <w:r w:rsidR="0082705B" w:rsidRPr="008C5D8B">
        <w:t xml:space="preserve"> Easy-to-understand language includes plain language, easy language and any intermediate variety. These varieties share many recommendations, but the extent of comprehensibility is different as they address different user needs.</w:t>
      </w:r>
    </w:p>
    <w:p w14:paraId="3BD7CBD2" w14:textId="2292AD02" w:rsidR="0082705B" w:rsidRPr="008C5D8B" w:rsidRDefault="00651D49" w:rsidP="00651D49">
      <w:pPr>
        <w:tabs>
          <w:tab w:val="left" w:pos="850"/>
        </w:tabs>
        <w:rPr>
          <w:color w:val="000000" w:themeColor="text1"/>
          <w:shd w:val="clear" w:color="auto" w:fill="FFFFFF"/>
        </w:rPr>
      </w:pPr>
      <w:r w:rsidRPr="008C5D8B">
        <w:rPr>
          <w:b/>
          <w:bCs/>
          <w:color w:val="000000" w:themeColor="text1"/>
        </w:rPr>
        <w:t>3.1.7</w:t>
      </w:r>
      <w:r w:rsidRPr="008C5D8B">
        <w:rPr>
          <w:b/>
          <w:bCs/>
          <w:color w:val="000000" w:themeColor="text1"/>
        </w:rPr>
        <w:tab/>
      </w:r>
      <w:r w:rsidR="00AB3BDA" w:rsidRPr="008C5D8B">
        <w:rPr>
          <w:b/>
          <w:bCs/>
          <w:color w:val="000000" w:themeColor="text1"/>
        </w:rPr>
        <w:t>p</w:t>
      </w:r>
      <w:r w:rsidRPr="008C5D8B">
        <w:rPr>
          <w:b/>
          <w:bCs/>
          <w:color w:val="000000" w:themeColor="text1"/>
        </w:rPr>
        <w:t xml:space="preserve">roduct </w:t>
      </w:r>
      <w:r w:rsidRPr="0073715A">
        <w:rPr>
          <w:color w:val="000000" w:themeColor="text1"/>
        </w:rPr>
        <w:t>[b-ISO/IEC 9241-11]:</w:t>
      </w:r>
      <w:r w:rsidR="0082705B" w:rsidRPr="008C5D8B">
        <w:rPr>
          <w:color w:val="000000" w:themeColor="text1"/>
        </w:rPr>
        <w:t xml:space="preserve"> </w:t>
      </w:r>
      <w:r w:rsidR="0082705B" w:rsidRPr="008C5D8B">
        <w:rPr>
          <w:color w:val="000000" w:themeColor="text1"/>
          <w:shd w:val="clear" w:color="auto" w:fill="FFFFFF"/>
        </w:rPr>
        <w:t>Item that is made or created by a person or machine.</w:t>
      </w:r>
    </w:p>
    <w:p w14:paraId="60B2FF38" w14:textId="62EF00AD" w:rsidR="0082705B" w:rsidRPr="008C5D8B" w:rsidRDefault="00651D49" w:rsidP="00651D49">
      <w:pPr>
        <w:tabs>
          <w:tab w:val="left" w:pos="850"/>
        </w:tabs>
        <w:rPr>
          <w:rFonts w:eastAsia="MS Mincho"/>
        </w:rPr>
      </w:pPr>
      <w:r w:rsidRPr="008C5D8B">
        <w:rPr>
          <w:b/>
          <w:bCs/>
        </w:rPr>
        <w:t>3.1.8</w:t>
      </w:r>
      <w:r w:rsidRPr="008C5D8B">
        <w:rPr>
          <w:b/>
          <w:bCs/>
        </w:rPr>
        <w:tab/>
      </w:r>
      <w:r w:rsidR="00AB3BDA" w:rsidRPr="008C5D8B">
        <w:rPr>
          <w:b/>
          <w:bCs/>
        </w:rPr>
        <w:t>s</w:t>
      </w:r>
      <w:r w:rsidRPr="008C5D8B">
        <w:rPr>
          <w:b/>
          <w:bCs/>
        </w:rPr>
        <w:t xml:space="preserve">ervice </w:t>
      </w:r>
      <w:r w:rsidRPr="008C5D8B">
        <w:rPr>
          <w:bCs/>
        </w:rPr>
        <w:t>[b-ISO/IEC 9241-11]:</w:t>
      </w:r>
      <w:r w:rsidR="0082705B" w:rsidRPr="008C5D8B">
        <w:t xml:space="preserve"> Means of delivering value for the customer by facilitating results the customer wants to achieve.</w:t>
      </w:r>
    </w:p>
    <w:p w14:paraId="647AA735" w14:textId="308F9437" w:rsidR="000F352C" w:rsidRPr="008C5D8B" w:rsidRDefault="00651D49" w:rsidP="00651D49">
      <w:pPr>
        <w:tabs>
          <w:tab w:val="left" w:pos="850"/>
        </w:tabs>
        <w:rPr>
          <w:rFonts w:eastAsia="MS Mincho"/>
        </w:rPr>
      </w:pPr>
      <w:r w:rsidRPr="008C5D8B">
        <w:rPr>
          <w:rFonts w:eastAsia="MS Mincho"/>
          <w:b/>
          <w:bCs/>
        </w:rPr>
        <w:t>3.1.9</w:t>
      </w:r>
      <w:r w:rsidRPr="008C5D8B">
        <w:rPr>
          <w:rFonts w:eastAsia="MS Mincho"/>
          <w:b/>
          <w:bCs/>
        </w:rPr>
        <w:tab/>
      </w:r>
      <w:r w:rsidR="00AB3BDA" w:rsidRPr="008C5D8B">
        <w:rPr>
          <w:rFonts w:eastAsia="MS Mincho"/>
          <w:b/>
          <w:bCs/>
        </w:rPr>
        <w:t>s</w:t>
      </w:r>
      <w:r w:rsidRPr="008C5D8B">
        <w:rPr>
          <w:rFonts w:eastAsia="MS Mincho"/>
          <w:b/>
          <w:bCs/>
        </w:rPr>
        <w:t xml:space="preserve">ustainable metaverse ecosystem </w:t>
      </w:r>
      <w:r w:rsidRPr="008C5D8B">
        <w:rPr>
          <w:rFonts w:eastAsia="MS Mincho"/>
          <w:bCs/>
        </w:rPr>
        <w:t>[b-UN-FGMV08]:</w:t>
      </w:r>
      <w:r w:rsidR="000F352C" w:rsidRPr="008C5D8B">
        <w:rPr>
          <w:rFonts w:eastAsia="MS Mincho"/>
        </w:rPr>
        <w:t xml:space="preserve"> </w:t>
      </w:r>
      <w:r w:rsidR="00AB3BDA" w:rsidRPr="008C5D8B">
        <w:rPr>
          <w:rFonts w:eastAsia="MS Mincho"/>
        </w:rPr>
        <w:t>A</w:t>
      </w:r>
      <w:r w:rsidR="000F352C" w:rsidRPr="008C5D8B">
        <w:rPr>
          <w:rFonts w:eastAsia="MS Mincho"/>
        </w:rPr>
        <w:t xml:space="preserve"> metaverse ecosystem that is designed and operated to address present environmental and societal needs without compromising the ability of future generations to meet their own needs</w:t>
      </w:r>
      <w:r w:rsidR="00AB3BDA" w:rsidRPr="008C5D8B">
        <w:rPr>
          <w:rFonts w:eastAsia="MS Mincho"/>
        </w:rPr>
        <w:t>.</w:t>
      </w:r>
    </w:p>
    <w:p w14:paraId="4DF5EF92" w14:textId="38AA5823" w:rsidR="0082705B" w:rsidRPr="008C5D8B" w:rsidRDefault="00D80C49" w:rsidP="00D80C49">
      <w:pPr>
        <w:pStyle w:val="Heading2"/>
        <w:rPr>
          <w:rFonts w:eastAsia="SimSun"/>
        </w:rPr>
      </w:pPr>
      <w:bookmarkStart w:id="34" w:name="_Toc401158822"/>
      <w:bookmarkStart w:id="35" w:name="_Toc152610355"/>
      <w:bookmarkStart w:id="36" w:name="_Toc153267481"/>
      <w:bookmarkStart w:id="37" w:name="_Toc167978678"/>
      <w:bookmarkStart w:id="38" w:name="_Toc177134618"/>
      <w:r w:rsidRPr="008C5D8B">
        <w:rPr>
          <w:rFonts w:eastAsia="SimSun"/>
        </w:rPr>
        <w:t>3.2</w:t>
      </w:r>
      <w:r w:rsidRPr="008C5D8B">
        <w:rPr>
          <w:rFonts w:eastAsia="SimSun"/>
        </w:rPr>
        <w:tab/>
      </w:r>
      <w:r w:rsidR="0082705B" w:rsidRPr="008C5D8B">
        <w:rPr>
          <w:rFonts w:eastAsia="SimSun"/>
        </w:rPr>
        <w:t xml:space="preserve">Terms defined </w:t>
      </w:r>
      <w:bookmarkEnd w:id="34"/>
      <w:bookmarkEnd w:id="35"/>
      <w:bookmarkEnd w:id="36"/>
      <w:r w:rsidR="00AB3BDA" w:rsidRPr="008C5D8B">
        <w:rPr>
          <w:rFonts w:eastAsia="SimSun"/>
        </w:rPr>
        <w:t xml:space="preserve">in this </w:t>
      </w:r>
      <w:r w:rsidR="00AB3BDA" w:rsidRPr="008C5D8B">
        <w:t>Technical Paper</w:t>
      </w:r>
      <w:bookmarkEnd w:id="37"/>
      <w:bookmarkEnd w:id="38"/>
    </w:p>
    <w:p w14:paraId="350278C9" w14:textId="77777777" w:rsidR="0082705B" w:rsidRPr="008C5D8B" w:rsidRDefault="0082705B" w:rsidP="0082705B">
      <w:r w:rsidRPr="008C5D8B">
        <w:t>None.</w:t>
      </w:r>
    </w:p>
    <w:p w14:paraId="3AE08086" w14:textId="5185478B" w:rsidR="0082705B" w:rsidRPr="008C5D8B" w:rsidRDefault="00D80C49" w:rsidP="00D80C49">
      <w:pPr>
        <w:pStyle w:val="Heading1"/>
      </w:pPr>
      <w:bookmarkStart w:id="39" w:name="_Toc401158823"/>
      <w:bookmarkStart w:id="40" w:name="_Toc152610356"/>
      <w:bookmarkStart w:id="41" w:name="_Toc153267482"/>
      <w:bookmarkStart w:id="42" w:name="_Toc167978679"/>
      <w:bookmarkStart w:id="43" w:name="_Toc177134619"/>
      <w:bookmarkStart w:id="44" w:name="_Hlk168034440"/>
      <w:r w:rsidRPr="008C5D8B">
        <w:rPr>
          <w:rFonts w:eastAsiaTheme="minorEastAsia"/>
        </w:rPr>
        <w:t>4</w:t>
      </w:r>
      <w:r w:rsidRPr="008C5D8B">
        <w:rPr>
          <w:rFonts w:eastAsiaTheme="minorEastAsia"/>
        </w:rPr>
        <w:tab/>
      </w:r>
      <w:bookmarkEnd w:id="39"/>
      <w:bookmarkEnd w:id="40"/>
      <w:bookmarkEnd w:id="41"/>
      <w:bookmarkEnd w:id="42"/>
      <w:r w:rsidR="00DE2BEA" w:rsidRPr="008C5D8B">
        <w:t>Abbreviations and acronyms</w:t>
      </w:r>
      <w:bookmarkEnd w:id="43"/>
    </w:p>
    <w:p w14:paraId="6D41791B" w14:textId="34C35C20" w:rsidR="00E56A20" w:rsidRPr="008C5D8B" w:rsidRDefault="00E56A20" w:rsidP="00E56A20">
      <w:pPr>
        <w:rPr>
          <w:rFonts w:eastAsiaTheme="minorEastAsia"/>
        </w:rPr>
      </w:pPr>
      <w:r w:rsidRPr="008C5D8B">
        <w:rPr>
          <w:rFonts w:eastAsiaTheme="minorEastAsia"/>
        </w:rPr>
        <w:t>This Technical Paper uses the following abbreviations and acronyms:</w:t>
      </w:r>
    </w:p>
    <w:bookmarkEnd w:id="44"/>
    <w:p w14:paraId="1289AD1C" w14:textId="77777777" w:rsidR="00A80C0E" w:rsidRPr="008C5D8B" w:rsidRDefault="00A80C0E" w:rsidP="00665563">
      <w:pPr>
        <w:tabs>
          <w:tab w:val="clear" w:pos="794"/>
          <w:tab w:val="clear" w:pos="1191"/>
        </w:tabs>
      </w:pPr>
      <w:r w:rsidRPr="008C5D8B">
        <w:rPr>
          <w:lang w:eastAsia="zh-CN"/>
        </w:rPr>
        <w:t>AI</w:t>
      </w:r>
      <w:r w:rsidRPr="008C5D8B">
        <w:tab/>
      </w:r>
      <w:r w:rsidRPr="008C5D8B">
        <w:rPr>
          <w:lang w:eastAsia="zh-CN"/>
        </w:rPr>
        <w:t>Artificial Intelligence</w:t>
      </w:r>
    </w:p>
    <w:p w14:paraId="46C2D98C" w14:textId="77777777" w:rsidR="00A80C0E" w:rsidRPr="008C5D8B" w:rsidRDefault="00A80C0E" w:rsidP="00665563">
      <w:pPr>
        <w:tabs>
          <w:tab w:val="clear" w:pos="794"/>
          <w:tab w:val="clear" w:pos="1191"/>
        </w:tabs>
      </w:pPr>
      <w:r w:rsidRPr="008C5D8B">
        <w:rPr>
          <w:lang w:eastAsia="zh-CN"/>
        </w:rPr>
        <w:t>JPEG</w:t>
      </w:r>
      <w:r w:rsidRPr="008C5D8B">
        <w:tab/>
      </w:r>
      <w:r w:rsidRPr="008C5D8B">
        <w:rPr>
          <w:lang w:eastAsia="zh-CN"/>
        </w:rPr>
        <w:t>Joint Photographic Experts Group</w:t>
      </w:r>
    </w:p>
    <w:p w14:paraId="3C20A98D" w14:textId="77777777" w:rsidR="00A80C0E" w:rsidRPr="008C5D8B" w:rsidRDefault="00A80C0E" w:rsidP="00665563">
      <w:pPr>
        <w:tabs>
          <w:tab w:val="clear" w:pos="794"/>
          <w:tab w:val="clear" w:pos="1191"/>
        </w:tabs>
      </w:pPr>
      <w:r w:rsidRPr="008C5D8B">
        <w:rPr>
          <w:lang w:eastAsia="zh-CN"/>
        </w:rPr>
        <w:t>MT</w:t>
      </w:r>
      <w:r w:rsidRPr="008C5D8B">
        <w:tab/>
      </w:r>
      <w:r w:rsidRPr="008C5D8B">
        <w:rPr>
          <w:lang w:eastAsia="zh-CN"/>
        </w:rPr>
        <w:t>Machine Translation</w:t>
      </w:r>
    </w:p>
    <w:p w14:paraId="4C1549F5" w14:textId="77777777" w:rsidR="00A80C0E" w:rsidRPr="008C5D8B" w:rsidRDefault="00A80C0E" w:rsidP="00665563">
      <w:pPr>
        <w:tabs>
          <w:tab w:val="clear" w:pos="794"/>
          <w:tab w:val="clear" w:pos="1191"/>
        </w:tabs>
      </w:pPr>
      <w:r w:rsidRPr="008C5D8B">
        <w:rPr>
          <w:lang w:eastAsia="zh-CN"/>
        </w:rPr>
        <w:t>NMT</w:t>
      </w:r>
      <w:r w:rsidRPr="008C5D8B">
        <w:tab/>
      </w:r>
      <w:r w:rsidRPr="008C5D8B">
        <w:rPr>
          <w:lang w:eastAsia="zh-CN"/>
        </w:rPr>
        <w:t>Neural Machine Translation</w:t>
      </w:r>
    </w:p>
    <w:p w14:paraId="67C31DA2" w14:textId="77777777" w:rsidR="00A80C0E" w:rsidRPr="008C5D8B" w:rsidRDefault="00A80C0E" w:rsidP="00665563">
      <w:pPr>
        <w:tabs>
          <w:tab w:val="clear" w:pos="794"/>
          <w:tab w:val="clear" w:pos="1191"/>
        </w:tabs>
      </w:pPr>
      <w:r w:rsidRPr="008C5D8B">
        <w:rPr>
          <w:lang w:eastAsia="zh-CN"/>
        </w:rPr>
        <w:t>PNG</w:t>
      </w:r>
      <w:r w:rsidRPr="008C5D8B">
        <w:tab/>
      </w:r>
      <w:r w:rsidRPr="008C5D8B">
        <w:rPr>
          <w:lang w:eastAsia="zh-CN"/>
        </w:rPr>
        <w:t>Portable Network Graphics</w:t>
      </w:r>
    </w:p>
    <w:p w14:paraId="4354C3B1" w14:textId="5BA3B18B" w:rsidR="00A80C0E" w:rsidRPr="008C5D8B" w:rsidRDefault="00A80C0E" w:rsidP="00665563">
      <w:pPr>
        <w:tabs>
          <w:tab w:val="clear" w:pos="794"/>
          <w:tab w:val="clear" w:pos="1191"/>
        </w:tabs>
      </w:pPr>
      <w:r w:rsidRPr="008C5D8B">
        <w:rPr>
          <w:lang w:eastAsia="zh-CN"/>
        </w:rPr>
        <w:t>PoS</w:t>
      </w:r>
      <w:r w:rsidRPr="008C5D8B">
        <w:tab/>
      </w:r>
      <w:r w:rsidRPr="008C5D8B">
        <w:rPr>
          <w:lang w:eastAsia="zh-CN"/>
        </w:rPr>
        <w:t>Proof</w:t>
      </w:r>
      <w:r w:rsidR="008C5D8B">
        <w:rPr>
          <w:lang w:eastAsia="zh-CN"/>
        </w:rPr>
        <w:t>-</w:t>
      </w:r>
      <w:r w:rsidRPr="008C5D8B">
        <w:rPr>
          <w:lang w:eastAsia="zh-CN"/>
        </w:rPr>
        <w:t>of</w:t>
      </w:r>
      <w:r w:rsidR="008C5D8B">
        <w:rPr>
          <w:lang w:eastAsia="zh-CN"/>
        </w:rPr>
        <w:t>-</w:t>
      </w:r>
      <w:r w:rsidRPr="008C5D8B">
        <w:rPr>
          <w:lang w:eastAsia="zh-CN"/>
        </w:rPr>
        <w:t>Stake</w:t>
      </w:r>
    </w:p>
    <w:p w14:paraId="25E43019" w14:textId="52402535" w:rsidR="00A80C0E" w:rsidRPr="008C5D8B" w:rsidRDefault="00A80C0E" w:rsidP="00665563">
      <w:pPr>
        <w:tabs>
          <w:tab w:val="clear" w:pos="794"/>
          <w:tab w:val="clear" w:pos="1191"/>
        </w:tabs>
      </w:pPr>
      <w:r w:rsidRPr="008C5D8B">
        <w:rPr>
          <w:lang w:eastAsia="zh-CN"/>
        </w:rPr>
        <w:t>PoW</w:t>
      </w:r>
      <w:r w:rsidRPr="008C5D8B">
        <w:tab/>
      </w:r>
      <w:r w:rsidRPr="008C5D8B">
        <w:rPr>
          <w:lang w:eastAsia="zh-CN"/>
        </w:rPr>
        <w:t>Proof</w:t>
      </w:r>
      <w:r w:rsidR="008C5D8B">
        <w:rPr>
          <w:lang w:eastAsia="zh-CN"/>
        </w:rPr>
        <w:t>-</w:t>
      </w:r>
      <w:r w:rsidRPr="008C5D8B">
        <w:rPr>
          <w:lang w:eastAsia="zh-CN"/>
        </w:rPr>
        <w:t>of</w:t>
      </w:r>
      <w:r w:rsidR="008C5D8B">
        <w:rPr>
          <w:lang w:eastAsia="zh-CN"/>
        </w:rPr>
        <w:t>-</w:t>
      </w:r>
      <w:r w:rsidRPr="008C5D8B">
        <w:rPr>
          <w:lang w:eastAsia="zh-CN"/>
        </w:rPr>
        <w:t>Work</w:t>
      </w:r>
    </w:p>
    <w:p w14:paraId="6CBA8A6A" w14:textId="77777777" w:rsidR="00A80C0E" w:rsidRPr="008C5D8B" w:rsidRDefault="00A80C0E" w:rsidP="00665563">
      <w:pPr>
        <w:tabs>
          <w:tab w:val="clear" w:pos="794"/>
          <w:tab w:val="clear" w:pos="1191"/>
        </w:tabs>
      </w:pPr>
      <w:r w:rsidRPr="008C5D8B">
        <w:rPr>
          <w:lang w:eastAsia="zh-CN"/>
        </w:rPr>
        <w:t>SRT</w:t>
      </w:r>
      <w:r w:rsidRPr="008C5D8B">
        <w:tab/>
      </w:r>
      <w:r w:rsidRPr="008C5D8B">
        <w:rPr>
          <w:lang w:eastAsia="zh-CN"/>
        </w:rPr>
        <w:t>SubRip</w:t>
      </w:r>
    </w:p>
    <w:p w14:paraId="4B5CFC3E" w14:textId="0688C3CD" w:rsidR="00A80C0E" w:rsidRPr="008C5D8B" w:rsidRDefault="00A80C0E" w:rsidP="00665563">
      <w:pPr>
        <w:tabs>
          <w:tab w:val="clear" w:pos="794"/>
          <w:tab w:val="clear" w:pos="1191"/>
        </w:tabs>
      </w:pPr>
      <w:r w:rsidRPr="008C5D8B">
        <w:rPr>
          <w:lang w:eastAsia="zh-CN"/>
        </w:rPr>
        <w:t>SVG</w:t>
      </w:r>
      <w:r w:rsidRPr="008C5D8B">
        <w:tab/>
      </w:r>
      <w:r w:rsidRPr="008C5D8B">
        <w:rPr>
          <w:lang w:eastAsia="zh-CN"/>
        </w:rPr>
        <w:t>Scalable Vector Graphics</w:t>
      </w:r>
    </w:p>
    <w:p w14:paraId="4945BA8D" w14:textId="7C67F7F6" w:rsidR="00A80C0E" w:rsidRPr="008C5D8B" w:rsidRDefault="00A80C0E" w:rsidP="00665563">
      <w:pPr>
        <w:tabs>
          <w:tab w:val="clear" w:pos="794"/>
          <w:tab w:val="clear" w:pos="1191"/>
        </w:tabs>
      </w:pPr>
      <w:r w:rsidRPr="008C5D8B">
        <w:rPr>
          <w:lang w:eastAsia="zh-CN"/>
        </w:rPr>
        <w:t>UNCRPD</w:t>
      </w:r>
      <w:r w:rsidRPr="008C5D8B">
        <w:tab/>
      </w:r>
      <w:r w:rsidRPr="008C5D8B">
        <w:rPr>
          <w:lang w:eastAsia="zh-CN"/>
        </w:rPr>
        <w:t>United Nations Convention on the Rights of Persons with Disabilities</w:t>
      </w:r>
    </w:p>
    <w:p w14:paraId="13129FDF" w14:textId="77777777" w:rsidR="00A80C0E" w:rsidRPr="008C5D8B" w:rsidRDefault="00A80C0E" w:rsidP="00665563">
      <w:pPr>
        <w:tabs>
          <w:tab w:val="clear" w:pos="794"/>
          <w:tab w:val="clear" w:pos="1191"/>
        </w:tabs>
      </w:pPr>
      <w:r w:rsidRPr="008C5D8B">
        <w:rPr>
          <w:lang w:eastAsia="zh-CN"/>
        </w:rPr>
        <w:t>VR</w:t>
      </w:r>
      <w:r w:rsidRPr="008C5D8B">
        <w:tab/>
      </w:r>
      <w:r w:rsidRPr="008C5D8B">
        <w:rPr>
          <w:lang w:eastAsia="zh-CN"/>
        </w:rPr>
        <w:t>Virtual Reality</w:t>
      </w:r>
    </w:p>
    <w:p w14:paraId="4C8BF006" w14:textId="77777777" w:rsidR="00A80C0E" w:rsidRPr="008C5D8B" w:rsidRDefault="00A80C0E" w:rsidP="00665563">
      <w:pPr>
        <w:tabs>
          <w:tab w:val="clear" w:pos="794"/>
          <w:tab w:val="clear" w:pos="1191"/>
        </w:tabs>
      </w:pPr>
      <w:r w:rsidRPr="008C5D8B">
        <w:rPr>
          <w:lang w:eastAsia="zh-CN"/>
        </w:rPr>
        <w:t>VTT</w:t>
      </w:r>
      <w:r w:rsidRPr="008C5D8B">
        <w:tab/>
      </w:r>
      <w:r w:rsidRPr="008C5D8B">
        <w:rPr>
          <w:lang w:eastAsia="zh-CN"/>
        </w:rPr>
        <w:t>WebVTT</w:t>
      </w:r>
    </w:p>
    <w:p w14:paraId="06EBB1BA" w14:textId="2D08F3BD" w:rsidR="0082705B" w:rsidRPr="008C5D8B" w:rsidRDefault="00D80C49" w:rsidP="00D80C49">
      <w:pPr>
        <w:pStyle w:val="Heading1"/>
        <w:rPr>
          <w:rFonts w:eastAsiaTheme="minorEastAsia"/>
        </w:rPr>
      </w:pPr>
      <w:bookmarkStart w:id="45" w:name="_Toc152610357"/>
      <w:bookmarkStart w:id="46" w:name="_Toc153267483"/>
      <w:bookmarkStart w:id="47" w:name="_Toc167978680"/>
      <w:bookmarkStart w:id="48" w:name="_Toc177134620"/>
      <w:r w:rsidRPr="008C5D8B">
        <w:rPr>
          <w:rFonts w:eastAsiaTheme="minorEastAsia"/>
        </w:rPr>
        <w:t>5</w:t>
      </w:r>
      <w:r w:rsidRPr="008C5D8B">
        <w:rPr>
          <w:rFonts w:eastAsiaTheme="minorEastAsia"/>
        </w:rPr>
        <w:tab/>
      </w:r>
      <w:r w:rsidR="0082705B" w:rsidRPr="008C5D8B">
        <w:rPr>
          <w:rFonts w:eastAsiaTheme="minorEastAsia"/>
        </w:rPr>
        <w:t>Conventions</w:t>
      </w:r>
      <w:bookmarkEnd w:id="45"/>
      <w:bookmarkEnd w:id="46"/>
      <w:bookmarkEnd w:id="47"/>
      <w:bookmarkEnd w:id="48"/>
    </w:p>
    <w:p w14:paraId="1B0DD688" w14:textId="1FD34590" w:rsidR="0082705B" w:rsidRPr="008C5D8B" w:rsidRDefault="0082705B" w:rsidP="0082705B">
      <w:pPr>
        <w:rPr>
          <w:lang w:eastAsia="en-GB"/>
        </w:rPr>
      </w:pPr>
      <w:r w:rsidRPr="008C5D8B">
        <w:rPr>
          <w:lang w:eastAsia="en-GB"/>
        </w:rPr>
        <w:t>None.</w:t>
      </w:r>
    </w:p>
    <w:p w14:paraId="7CEBEE74" w14:textId="07206A7A" w:rsidR="0082705B" w:rsidRPr="008C5D8B" w:rsidRDefault="00D80C49" w:rsidP="00857B22">
      <w:pPr>
        <w:pStyle w:val="Heading1"/>
        <w:keepNext w:val="0"/>
        <w:keepLines w:val="0"/>
        <w:rPr>
          <w:rFonts w:eastAsiaTheme="minorEastAsia"/>
        </w:rPr>
      </w:pPr>
      <w:bookmarkStart w:id="49" w:name="_Toc152610358"/>
      <w:bookmarkStart w:id="50" w:name="_Toc153267484"/>
      <w:bookmarkStart w:id="51" w:name="_Toc167978681"/>
      <w:bookmarkStart w:id="52" w:name="_Toc177134621"/>
      <w:r w:rsidRPr="008C5D8B">
        <w:rPr>
          <w:rFonts w:eastAsiaTheme="minorEastAsia"/>
        </w:rPr>
        <w:t>6</w:t>
      </w:r>
      <w:r w:rsidRPr="008C5D8B">
        <w:rPr>
          <w:rFonts w:eastAsiaTheme="minorEastAsia"/>
        </w:rPr>
        <w:tab/>
      </w:r>
      <w:r w:rsidR="0082705B" w:rsidRPr="008C5D8B">
        <w:rPr>
          <w:rFonts w:eastAsiaTheme="minorEastAsia"/>
        </w:rPr>
        <w:t>Context</w:t>
      </w:r>
      <w:bookmarkEnd w:id="49"/>
      <w:bookmarkEnd w:id="50"/>
      <w:bookmarkEnd w:id="51"/>
      <w:bookmarkEnd w:id="52"/>
    </w:p>
    <w:p w14:paraId="0227CA30" w14:textId="3C1FCBA9" w:rsidR="0082705B" w:rsidRPr="008C5D8B" w:rsidRDefault="0082705B" w:rsidP="00857B22">
      <w:pPr>
        <w:rPr>
          <w:lang w:eastAsia="en-GB"/>
        </w:rPr>
      </w:pPr>
      <w:r w:rsidRPr="008C5D8B">
        <w:rPr>
          <w:lang w:eastAsia="en-GB"/>
        </w:rPr>
        <w:t>The metaverse holds the potential to revolutionize social interaction by providing new opportunities to communicate, learn, work and interact online [b-Vladutescu]. However, as with any new technology, the metaverse presents various ethical, societal</w:t>
      </w:r>
      <w:r w:rsidR="007E6F62">
        <w:rPr>
          <w:lang w:eastAsia="en-GB"/>
        </w:rPr>
        <w:t xml:space="preserve"> and</w:t>
      </w:r>
      <w:r w:rsidRPr="008C5D8B">
        <w:rPr>
          <w:lang w:eastAsia="en-GB"/>
        </w:rPr>
        <w:t xml:space="preserve"> environmental questions that demand our attention. For example, how can we build a metaverse that is both sustainable and accessible to a diverse range of users and what form will it take? Questions concerning the future design and functionality of the metaverse have largely dealt with these two topics separately. This is despite the fact that both accessibility and sustainability are interlinked concepts that feature in the United Nations Sustainable Development Goals [b-UN SDG]. More specifically, Goal 10 (Reduced Inequality) recogni</w:t>
      </w:r>
      <w:r w:rsidR="007E6F62">
        <w:rPr>
          <w:lang w:eastAsia="en-GB"/>
        </w:rPr>
        <w:t>z</w:t>
      </w:r>
      <w:r w:rsidRPr="008C5D8B">
        <w:rPr>
          <w:lang w:eastAsia="en-GB"/>
        </w:rPr>
        <w:t xml:space="preserve">es the importance of ensuring the transition to carbon zero is inclusive </w:t>
      </w:r>
      <w:r w:rsidR="00FB63AF">
        <w:rPr>
          <w:lang w:eastAsia="en-GB"/>
        </w:rPr>
        <w:t>of</w:t>
      </w:r>
      <w:r w:rsidRPr="008C5D8B">
        <w:rPr>
          <w:lang w:eastAsia="en-GB"/>
        </w:rPr>
        <w:t xml:space="preserve"> everyone, irrespective of age, sex, disability, ethnicity, religion, economic or social status. More broadly, the SDGs recogni</w:t>
      </w:r>
      <w:r w:rsidR="007E6F62">
        <w:rPr>
          <w:lang w:eastAsia="en-GB"/>
        </w:rPr>
        <w:t>z</w:t>
      </w:r>
      <w:r w:rsidRPr="008C5D8B">
        <w:rPr>
          <w:lang w:eastAsia="en-GB"/>
        </w:rPr>
        <w:t>e the importance of developing sustainable solutions that safeguard against inequality and exclusion. Consequently, factoring in accessibility and sustainability in the metaverse requires a two-prong</w:t>
      </w:r>
      <w:r w:rsidR="00FB63AF">
        <w:rPr>
          <w:lang w:eastAsia="en-GB"/>
        </w:rPr>
        <w:t>ed</w:t>
      </w:r>
      <w:r w:rsidRPr="008C5D8B">
        <w:rPr>
          <w:lang w:eastAsia="en-GB"/>
        </w:rPr>
        <w:t xml:space="preserve"> approach that considers the social benefit of accessibility services in the metaverse and their associated environmental cost.</w:t>
      </w:r>
    </w:p>
    <w:p w14:paraId="4B84323C" w14:textId="6F291483" w:rsidR="0082705B" w:rsidRPr="008C5D8B" w:rsidRDefault="00D80C49" w:rsidP="00D80C49">
      <w:pPr>
        <w:pStyle w:val="Heading2"/>
        <w:rPr>
          <w:rFonts w:eastAsia="SimSun"/>
        </w:rPr>
      </w:pPr>
      <w:bookmarkStart w:id="53" w:name="_Toc152610359"/>
      <w:bookmarkStart w:id="54" w:name="_Toc153267485"/>
      <w:bookmarkStart w:id="55" w:name="_Toc167978682"/>
      <w:bookmarkStart w:id="56" w:name="_Toc177134622"/>
      <w:r w:rsidRPr="008C5D8B">
        <w:rPr>
          <w:rFonts w:eastAsia="SimSun"/>
        </w:rPr>
        <w:t>6.1</w:t>
      </w:r>
      <w:r w:rsidRPr="008C5D8B">
        <w:rPr>
          <w:rFonts w:eastAsia="SimSun"/>
        </w:rPr>
        <w:tab/>
      </w:r>
      <w:r w:rsidR="0082705B" w:rsidRPr="008C5D8B">
        <w:rPr>
          <w:rFonts w:eastAsia="SimSun"/>
        </w:rPr>
        <w:t>Social benefit of accessibility products and services in a sustainable metaverse</w:t>
      </w:r>
      <w:bookmarkEnd w:id="53"/>
      <w:bookmarkEnd w:id="54"/>
      <w:bookmarkEnd w:id="55"/>
      <w:bookmarkEnd w:id="56"/>
    </w:p>
    <w:p w14:paraId="2987F461" w14:textId="44FED0E7" w:rsidR="0082705B" w:rsidRPr="008C5D8B" w:rsidRDefault="0082705B" w:rsidP="0082705B">
      <w:pPr>
        <w:rPr>
          <w:lang w:eastAsia="en-GB"/>
        </w:rPr>
      </w:pPr>
      <w:r w:rsidRPr="008C5D8B">
        <w:rPr>
          <w:lang w:eastAsia="en-GB"/>
        </w:rPr>
        <w:t xml:space="preserve">In the age of accelerated climate change, ensuring that the metaverse is sustainable and easy to use for people of all capabilities is of pressing concern. Embedding accessibility into all sustainable initiatives in the metaverse safeguards against exclusion and improves its overall usability for a diverse range of users. For example, a less energy intensive metaverse can allow access for users with slower </w:t>
      </w:r>
      <w:r w:rsidR="007E6F62">
        <w:rPr>
          <w:lang w:eastAsia="en-GB"/>
        </w:rPr>
        <w:t>I</w:t>
      </w:r>
      <w:r w:rsidRPr="008C5D8B">
        <w:rPr>
          <w:lang w:eastAsia="en-GB"/>
        </w:rPr>
        <w:t>nternet connections or older devices. This</w:t>
      </w:r>
      <w:r w:rsidR="002C34E4">
        <w:rPr>
          <w:lang w:eastAsia="en-GB"/>
        </w:rPr>
        <w:t>,</w:t>
      </w:r>
      <w:r w:rsidRPr="008C5D8B">
        <w:rPr>
          <w:lang w:eastAsia="en-GB"/>
        </w:rPr>
        <w:t xml:space="preserve"> in turn</w:t>
      </w:r>
      <w:r w:rsidR="002C34E4">
        <w:rPr>
          <w:lang w:eastAsia="en-GB"/>
        </w:rPr>
        <w:t>,</w:t>
      </w:r>
      <w:r w:rsidRPr="008C5D8B">
        <w:rPr>
          <w:lang w:eastAsia="en-GB"/>
        </w:rPr>
        <w:t xml:space="preserve"> not only broadens the usage of the metaverse but also reduces the need for users to acquire new devices, thus curbing electronic waste. By addressing both environmental and accessibility concerns together, we can foster a more inclusive and sustainable metaverse that accommodates the needs and preferences of a broader spectrum of users.</w:t>
      </w:r>
    </w:p>
    <w:p w14:paraId="5FB6E9C7" w14:textId="256CE0BB" w:rsidR="0082705B" w:rsidRPr="008C5D8B" w:rsidRDefault="00D80C49" w:rsidP="00D80C49">
      <w:pPr>
        <w:pStyle w:val="Heading2"/>
        <w:rPr>
          <w:rFonts w:eastAsia="SimSun"/>
        </w:rPr>
      </w:pPr>
      <w:bookmarkStart w:id="57" w:name="_Toc152610360"/>
      <w:bookmarkStart w:id="58" w:name="_Toc153267486"/>
      <w:bookmarkStart w:id="59" w:name="_Toc167978683"/>
      <w:bookmarkStart w:id="60" w:name="_Toc177134623"/>
      <w:r w:rsidRPr="008C5D8B">
        <w:rPr>
          <w:rFonts w:eastAsia="SimSun"/>
        </w:rPr>
        <w:t>6.2</w:t>
      </w:r>
      <w:r w:rsidRPr="008C5D8B">
        <w:rPr>
          <w:rFonts w:eastAsia="SimSun"/>
        </w:rPr>
        <w:tab/>
      </w:r>
      <w:r w:rsidR="0082705B" w:rsidRPr="008C5D8B">
        <w:rPr>
          <w:rFonts w:eastAsia="SimSun"/>
        </w:rPr>
        <w:t>Challenges and opportunities of an accessible and sustainable metaverse</w:t>
      </w:r>
      <w:bookmarkEnd w:id="57"/>
      <w:bookmarkEnd w:id="58"/>
      <w:bookmarkEnd w:id="59"/>
      <w:bookmarkEnd w:id="60"/>
    </w:p>
    <w:p w14:paraId="07336E82" w14:textId="7FD39041" w:rsidR="0082705B" w:rsidRPr="008C5D8B" w:rsidRDefault="0082705B" w:rsidP="0082705B">
      <w:pPr>
        <w:rPr>
          <w:lang w:eastAsia="en-GB"/>
        </w:rPr>
      </w:pPr>
      <w:r w:rsidRPr="008C5D8B">
        <w:rPr>
          <w:lang w:eastAsia="en-GB"/>
        </w:rPr>
        <w:t>As demand for energy increases, technological advancements such as the metaverse not only place an additional strain on our efforts to decarboni</w:t>
      </w:r>
      <w:r w:rsidR="008C5D8B">
        <w:rPr>
          <w:lang w:eastAsia="en-GB"/>
        </w:rPr>
        <w:t>z</w:t>
      </w:r>
      <w:r w:rsidRPr="008C5D8B">
        <w:rPr>
          <w:lang w:eastAsia="en-GB"/>
        </w:rPr>
        <w:t>e our energy production in line with targets set out in the Paris Climate Agreement [b-UN Paris], but also present new and complex challenges in achieving these environmental objectives.</w:t>
      </w:r>
    </w:p>
    <w:p w14:paraId="5B232454" w14:textId="3779E1AD" w:rsidR="0082705B" w:rsidRPr="008C5D8B" w:rsidRDefault="0082705B" w:rsidP="0082705B">
      <w:pPr>
        <w:rPr>
          <w:lang w:eastAsia="en-GB"/>
        </w:rPr>
      </w:pPr>
      <w:r w:rsidRPr="008C5D8B">
        <w:rPr>
          <w:lang w:eastAsia="en-GB"/>
        </w:rPr>
        <w:t>Accessibility services, such as interlingual subtitles and intralingual audio captions, are now an essential prerequisite to ensure that all users, including persons with disabilities, can exercise their human rights to equitable access to digital technology and content [b-UN CRPD]. Artificial intelligence (AI) can improve the accessibility of products and services by using underlying technologies such as speech recognition, text-to-speech</w:t>
      </w:r>
      <w:r w:rsidR="007E6F62">
        <w:rPr>
          <w:lang w:eastAsia="en-GB"/>
        </w:rPr>
        <w:t xml:space="preserve"> and</w:t>
      </w:r>
      <w:r w:rsidRPr="008C5D8B">
        <w:rPr>
          <w:lang w:eastAsia="en-GB"/>
        </w:rPr>
        <w:t xml:space="preserve"> language translation. When combined with blockchain, these services can be securely deployed and shared, making content and resources more accessible to users with disabilities and those who speak different languages [b-Oncins</w:t>
      </w:r>
      <w:r w:rsidR="00526C60">
        <w:rPr>
          <w:lang w:eastAsia="en-GB"/>
        </w:rPr>
        <w:t>-1</w:t>
      </w:r>
      <w:r w:rsidRPr="008C5D8B">
        <w:rPr>
          <w:lang w:eastAsia="en-GB"/>
        </w:rPr>
        <w:t xml:space="preserve">]. AI technology such as </w:t>
      </w:r>
      <w:r w:rsidR="002C34E4">
        <w:rPr>
          <w:lang w:eastAsia="en-GB"/>
        </w:rPr>
        <w:t>m</w:t>
      </w:r>
      <w:r w:rsidRPr="008C5D8B">
        <w:rPr>
          <w:lang w:eastAsia="en-GB"/>
        </w:rPr>
        <w:t xml:space="preserve">achine </w:t>
      </w:r>
      <w:r w:rsidR="002C34E4">
        <w:rPr>
          <w:lang w:eastAsia="en-GB"/>
        </w:rPr>
        <w:t>t</w:t>
      </w:r>
      <w:r w:rsidRPr="008C5D8B">
        <w:rPr>
          <w:lang w:eastAsia="en-GB"/>
        </w:rPr>
        <w:t xml:space="preserve">ranslation (MT) has come to play an increasingly pivotal role in supporting the delivery of such accessibility services, specifically access to information in different languages </w:t>
      </w:r>
      <w:r w:rsidR="002C34E4">
        <w:rPr>
          <w:lang w:eastAsia="en-GB"/>
        </w:rPr>
        <w:t>[</w:t>
      </w:r>
      <w:r w:rsidRPr="008C5D8B">
        <w:rPr>
          <w:lang w:eastAsia="en-GB"/>
        </w:rPr>
        <w:t>b-Greenwood</w:t>
      </w:r>
      <w:r w:rsidR="20AD8DED" w:rsidRPr="008C5D8B">
        <w:rPr>
          <w:lang w:eastAsia="en-GB"/>
        </w:rPr>
        <w:t>-1</w:t>
      </w:r>
      <w:r w:rsidR="002C34E4">
        <w:rPr>
          <w:lang w:eastAsia="en-GB"/>
        </w:rPr>
        <w:t>]</w:t>
      </w:r>
      <w:r w:rsidRPr="008C5D8B">
        <w:rPr>
          <w:lang w:eastAsia="en-GB"/>
        </w:rPr>
        <w:t>. However, the computational power needed to train state-of-the art neural language processing models comes at a significant environmental cost [b-Strubell]; [b</w:t>
      </w:r>
      <w:r w:rsidR="00BE49BA">
        <w:rPr>
          <w:lang w:eastAsia="en-GB"/>
        </w:rPr>
        <w:noBreakHyphen/>
      </w:r>
      <w:r w:rsidRPr="008C5D8B">
        <w:rPr>
          <w:lang w:eastAsia="en-GB"/>
        </w:rPr>
        <w:t>Shterionov]. According to one case study, the carbon emissions associated with training the BERT language model was equivalent to a trans-America</w:t>
      </w:r>
      <w:r w:rsidR="002C34E4">
        <w:rPr>
          <w:lang w:eastAsia="en-GB"/>
        </w:rPr>
        <w:t>n</w:t>
      </w:r>
      <w:r w:rsidRPr="008C5D8B">
        <w:rPr>
          <w:lang w:eastAsia="en-GB"/>
        </w:rPr>
        <w:t xml:space="preserve"> flight [b-Strubell]. The high energy demands of MT engines can be attributed to recent developments in hardware and training methods in the neural networks. While these recent advancements have improved accuracy, this has come at a considerable environmental cost [b-Strubell]; [b-Shterionov]. Tied to these environmental issues are ethical concerns related</w:t>
      </w:r>
      <w:r w:rsidR="002C34E4">
        <w:rPr>
          <w:lang w:eastAsia="en-GB"/>
        </w:rPr>
        <w:t xml:space="preserve"> to</w:t>
      </w:r>
      <w:r w:rsidRPr="008C5D8B">
        <w:rPr>
          <w:lang w:eastAsia="en-GB"/>
        </w:rPr>
        <w:t xml:space="preserve"> the use of translators</w:t>
      </w:r>
      <w:r w:rsidR="002C34E4">
        <w:rPr>
          <w:lang w:eastAsia="en-GB"/>
        </w:rPr>
        <w:t>'</w:t>
      </w:r>
      <w:r w:rsidRPr="008C5D8B">
        <w:rPr>
          <w:lang w:eastAsia="en-GB"/>
        </w:rPr>
        <w:t xml:space="preserve"> data to train </w:t>
      </w:r>
      <w:r w:rsidR="002C34E4">
        <w:rPr>
          <w:lang w:eastAsia="en-GB"/>
        </w:rPr>
        <w:t>n</w:t>
      </w:r>
      <w:r w:rsidRPr="008C5D8B">
        <w:rPr>
          <w:lang w:eastAsia="en-GB"/>
        </w:rPr>
        <w:t xml:space="preserve">eural </w:t>
      </w:r>
      <w:r w:rsidR="002C34E4">
        <w:rPr>
          <w:lang w:eastAsia="en-GB"/>
        </w:rPr>
        <w:t>m</w:t>
      </w:r>
      <w:r w:rsidRPr="008C5D8B">
        <w:rPr>
          <w:lang w:eastAsia="en-GB"/>
        </w:rPr>
        <w:t xml:space="preserve">achine </w:t>
      </w:r>
      <w:r w:rsidR="002C34E4">
        <w:rPr>
          <w:lang w:eastAsia="en-GB"/>
        </w:rPr>
        <w:t>t</w:t>
      </w:r>
      <w:r w:rsidRPr="008C5D8B">
        <w:rPr>
          <w:lang w:eastAsia="en-GB"/>
        </w:rPr>
        <w:t>ranslation (NMT) engines [b</w:t>
      </w:r>
      <w:r w:rsidR="00BE49BA">
        <w:rPr>
          <w:lang w:eastAsia="en-GB"/>
        </w:rPr>
        <w:noBreakHyphen/>
      </w:r>
      <w:r w:rsidRPr="008C5D8B">
        <w:rPr>
          <w:lang w:eastAsia="en-GB"/>
        </w:rPr>
        <w:t>Moorkens] as well as data issues related to privacy, algorithmic bias, assessment, accountability, data ownership and security, and accessibility and inclusion. Despite the increasing computational power required to develop these NMT engines, such an increase yields only marginal gains in accuracy, especially for low resourced languages, i.e., languages that have limited availability of parallel text data, linguistic resources</w:t>
      </w:r>
      <w:r w:rsidR="007E6F62">
        <w:rPr>
          <w:lang w:eastAsia="en-GB"/>
        </w:rPr>
        <w:t xml:space="preserve"> and</w:t>
      </w:r>
      <w:r w:rsidRPr="008C5D8B">
        <w:rPr>
          <w:lang w:eastAsia="en-GB"/>
        </w:rPr>
        <w:t xml:space="preserve"> tools for training translation models for example, regional and minority languages </w:t>
      </w:r>
      <w:r w:rsidR="004C57E9">
        <w:rPr>
          <w:lang w:eastAsia="en-GB"/>
        </w:rPr>
        <w:t>such as</w:t>
      </w:r>
      <w:r w:rsidR="004C57E9" w:rsidRPr="008C5D8B">
        <w:rPr>
          <w:lang w:eastAsia="en-GB"/>
        </w:rPr>
        <w:t xml:space="preserve"> </w:t>
      </w:r>
      <w:r w:rsidRPr="008C5D8B">
        <w:rPr>
          <w:lang w:eastAsia="en-GB"/>
        </w:rPr>
        <w:t>Catalan and Urdu [b-Shterionov]; [b-Goyle]. Against the backdrop of growing environmental concerns, redirecting our attention away from an exclusive emphasis on accuracy towards the development of energy</w:t>
      </w:r>
      <w:r w:rsidR="008C5D8B">
        <w:rPr>
          <w:lang w:eastAsia="en-GB"/>
        </w:rPr>
        <w:t>-</w:t>
      </w:r>
      <w:r w:rsidRPr="008C5D8B">
        <w:rPr>
          <w:lang w:eastAsia="en-GB"/>
        </w:rPr>
        <w:t>efficient NMT engines can provide a path to simultaneously achieve environmental and accessibility objectives for the metaverse.</w:t>
      </w:r>
    </w:p>
    <w:p w14:paraId="6E357FB5" w14:textId="511E5EB7" w:rsidR="0082705B" w:rsidRPr="008C5D8B" w:rsidRDefault="0082705B" w:rsidP="0082705B">
      <w:pPr>
        <w:rPr>
          <w:lang w:eastAsia="en-GB"/>
        </w:rPr>
      </w:pPr>
      <w:r w:rsidRPr="008C5D8B">
        <w:rPr>
          <w:lang w:eastAsia="en-GB"/>
        </w:rPr>
        <w:t xml:space="preserve">When considering the sustainability and accessibility of the metaverse, it is important to take into consideration the devices users will use to access it. To access the metaverse, users normally use a </w:t>
      </w:r>
      <w:r w:rsidR="007E6F62">
        <w:rPr>
          <w:lang w:eastAsia="en-GB"/>
        </w:rPr>
        <w:t>v</w:t>
      </w:r>
      <w:r w:rsidRPr="008C5D8B">
        <w:rPr>
          <w:lang w:eastAsia="en-GB"/>
        </w:rPr>
        <w:t xml:space="preserve">irtual </w:t>
      </w:r>
      <w:r w:rsidR="007E6F62">
        <w:rPr>
          <w:lang w:eastAsia="en-GB"/>
        </w:rPr>
        <w:t>r</w:t>
      </w:r>
      <w:r w:rsidRPr="008C5D8B">
        <w:rPr>
          <w:lang w:eastAsia="en-GB"/>
        </w:rPr>
        <w:t>eality (VR) headset, which poses several accessibility issues for users with additional access needs. For example, users with limited mobility might have difficulty performing the hand gestures required for metaverse navigation, such as swiping or pinching [b-Haynes]. Additionally, the weight, size and multimodal nature of the VR headset may pose problems for some users if worn over extended periods of time [b-Haynes]. Moreover, operating these devices may present difficulties for users who lack digital literacy skills, potentially exacerbating the digital divide.</w:t>
      </w:r>
    </w:p>
    <w:p w14:paraId="157130C0" w14:textId="7C717BB6" w:rsidR="0082705B" w:rsidRPr="008C5D8B" w:rsidRDefault="0082705B" w:rsidP="0082705B">
      <w:pPr>
        <w:rPr>
          <w:lang w:eastAsia="en-GB"/>
        </w:rPr>
      </w:pPr>
      <w:r w:rsidRPr="008C5D8B">
        <w:rPr>
          <w:lang w:eastAsia="en-GB"/>
        </w:rPr>
        <w:t xml:space="preserve">From the perspective of sustainability, </w:t>
      </w:r>
      <w:r w:rsidR="004C57E9">
        <w:rPr>
          <w:lang w:eastAsia="en-GB"/>
        </w:rPr>
        <w:t>i</w:t>
      </w:r>
      <w:r w:rsidRPr="008C5D8B">
        <w:rPr>
          <w:lang w:eastAsia="en-GB"/>
        </w:rPr>
        <w:t xml:space="preserve">nformation and </w:t>
      </w:r>
      <w:r w:rsidR="004C57E9">
        <w:rPr>
          <w:lang w:eastAsia="en-GB"/>
        </w:rPr>
        <w:t>c</w:t>
      </w:r>
      <w:r w:rsidRPr="008C5D8B">
        <w:rPr>
          <w:lang w:eastAsia="en-GB"/>
        </w:rPr>
        <w:t xml:space="preserve">ommunication </w:t>
      </w:r>
      <w:r w:rsidR="004C57E9">
        <w:rPr>
          <w:lang w:eastAsia="en-GB"/>
        </w:rPr>
        <w:t>t</w:t>
      </w:r>
      <w:r w:rsidRPr="008C5D8B">
        <w:rPr>
          <w:lang w:eastAsia="en-GB"/>
        </w:rPr>
        <w:t xml:space="preserve">echnology (ICT) devices </w:t>
      </w:r>
      <w:r w:rsidR="004C57E9">
        <w:rPr>
          <w:lang w:eastAsia="en-GB"/>
        </w:rPr>
        <w:t>such as</w:t>
      </w:r>
      <w:r w:rsidR="004C57E9" w:rsidRPr="008C5D8B">
        <w:rPr>
          <w:lang w:eastAsia="en-GB"/>
        </w:rPr>
        <w:t xml:space="preserve"> </w:t>
      </w:r>
      <w:r w:rsidRPr="008C5D8B">
        <w:rPr>
          <w:lang w:eastAsia="en-GB"/>
        </w:rPr>
        <w:t>smartphones, laptops, tablets</w:t>
      </w:r>
      <w:r w:rsidR="007E6F62">
        <w:rPr>
          <w:lang w:eastAsia="en-GB"/>
        </w:rPr>
        <w:t xml:space="preserve"> and</w:t>
      </w:r>
      <w:r w:rsidRPr="008C5D8B">
        <w:rPr>
          <w:lang w:eastAsia="en-GB"/>
        </w:rPr>
        <w:t xml:space="preserve"> VR headsets all generate waste throughout their lifespan. Up until recently, the pollution generated by ICT devices has been largely overlooked. One possible reason for this oversight is the fact that the manufacturing, production</w:t>
      </w:r>
      <w:r w:rsidR="007E6F62">
        <w:rPr>
          <w:lang w:eastAsia="en-GB"/>
        </w:rPr>
        <w:t xml:space="preserve"> and</w:t>
      </w:r>
      <w:r w:rsidRPr="008C5D8B">
        <w:rPr>
          <w:lang w:eastAsia="en-GB"/>
        </w:rPr>
        <w:t xml:space="preserve"> eventual disposal of ICT devices</w:t>
      </w:r>
      <w:r w:rsidR="004C57E9">
        <w:rPr>
          <w:lang w:eastAsia="en-GB"/>
        </w:rPr>
        <w:t>,</w:t>
      </w:r>
      <w:r w:rsidRPr="008C5D8B">
        <w:rPr>
          <w:lang w:eastAsia="en-GB"/>
        </w:rPr>
        <w:t xml:space="preserve"> including those that facilitate accessibility</w:t>
      </w:r>
      <w:r w:rsidR="004C57E9">
        <w:rPr>
          <w:lang w:eastAsia="en-GB"/>
        </w:rPr>
        <w:t>,</w:t>
      </w:r>
      <w:r w:rsidRPr="008C5D8B">
        <w:rPr>
          <w:lang w:eastAsia="en-GB"/>
        </w:rPr>
        <w:t xml:space="preserve"> take place elsewhere, usually in developing countries where environmental legislation and labour laws are less stringent [b-Williams]. For example, most of the materials that </w:t>
      </w:r>
      <w:r w:rsidR="004C57E9">
        <w:rPr>
          <w:lang w:eastAsia="en-GB"/>
        </w:rPr>
        <w:t>are used in</w:t>
      </w:r>
      <w:r w:rsidRPr="008C5D8B">
        <w:rPr>
          <w:lang w:eastAsia="en-GB"/>
        </w:rPr>
        <w:t xml:space="preserve"> ICT devices </w:t>
      </w:r>
      <w:r w:rsidR="004C57E9">
        <w:rPr>
          <w:lang w:eastAsia="en-GB"/>
        </w:rPr>
        <w:t>such as</w:t>
      </w:r>
      <w:r w:rsidR="004C57E9" w:rsidRPr="008C5D8B">
        <w:rPr>
          <w:lang w:eastAsia="en-GB"/>
        </w:rPr>
        <w:t xml:space="preserve"> </w:t>
      </w:r>
      <w:r w:rsidRPr="008C5D8B">
        <w:rPr>
          <w:lang w:eastAsia="en-GB"/>
        </w:rPr>
        <w:t>smartphones and laptops</w:t>
      </w:r>
      <w:r w:rsidR="00665563" w:rsidRPr="008C5D8B">
        <w:rPr>
          <w:lang w:eastAsia="en-GB"/>
        </w:rPr>
        <w:t xml:space="preserve"> </w:t>
      </w:r>
      <w:r w:rsidR="00BE49BA">
        <w:rPr>
          <w:lang w:eastAsia="en-GB"/>
        </w:rPr>
        <w:t>–</w:t>
      </w:r>
      <w:r w:rsidR="00665563" w:rsidRPr="008C5D8B">
        <w:rPr>
          <w:lang w:eastAsia="en-GB"/>
        </w:rPr>
        <w:t xml:space="preserve"> </w:t>
      </w:r>
      <w:r w:rsidRPr="008C5D8B">
        <w:rPr>
          <w:lang w:eastAsia="en-GB"/>
        </w:rPr>
        <w:t>such as cobalt, copper, silver, gold, tin, tungsten, lithium</w:t>
      </w:r>
      <w:r w:rsidR="007E6F62">
        <w:rPr>
          <w:lang w:eastAsia="en-GB"/>
        </w:rPr>
        <w:t xml:space="preserve"> and</w:t>
      </w:r>
      <w:r w:rsidRPr="008C5D8B">
        <w:rPr>
          <w:lang w:eastAsia="en-GB"/>
        </w:rPr>
        <w:t xml:space="preserve"> tantalum</w:t>
      </w:r>
      <w:r w:rsidR="00665563" w:rsidRPr="008C5D8B">
        <w:rPr>
          <w:lang w:eastAsia="en-GB"/>
        </w:rPr>
        <w:t xml:space="preserve"> </w:t>
      </w:r>
      <w:r w:rsidR="00BE49BA">
        <w:rPr>
          <w:lang w:eastAsia="en-GB"/>
        </w:rPr>
        <w:t>–</w:t>
      </w:r>
      <w:r w:rsidR="00665563" w:rsidRPr="008C5D8B">
        <w:rPr>
          <w:lang w:eastAsia="en-GB"/>
        </w:rPr>
        <w:t xml:space="preserve"> </w:t>
      </w:r>
      <w:r w:rsidRPr="008C5D8B">
        <w:rPr>
          <w:lang w:eastAsia="en-GB"/>
        </w:rPr>
        <w:t xml:space="preserve">are extracted directly from mines in the developing world. This extraction comes at a significant cost to local communities and the surrounding natural environment. There is also the issue of the short lifespan of ICT devices, which poses a significant challenge to our efforts to reduce our e-waste. Currently, the disposal of digital devices is outsourced to developing countries where a </w:t>
      </w:r>
      <w:r w:rsidR="00D80C49" w:rsidRPr="008C5D8B">
        <w:rPr>
          <w:lang w:eastAsia="en-GB"/>
        </w:rPr>
        <w:t>"</w:t>
      </w:r>
      <w:r w:rsidRPr="008C5D8B">
        <w:rPr>
          <w:lang w:eastAsia="en-GB"/>
        </w:rPr>
        <w:t>backyard</w:t>
      </w:r>
      <w:r w:rsidR="00D80C49" w:rsidRPr="008C5D8B">
        <w:rPr>
          <w:lang w:eastAsia="en-GB"/>
        </w:rPr>
        <w:t>"</w:t>
      </w:r>
      <w:r w:rsidRPr="008C5D8B">
        <w:rPr>
          <w:lang w:eastAsia="en-GB"/>
        </w:rPr>
        <w:t xml:space="preserve"> industry has developed [b</w:t>
      </w:r>
      <w:r w:rsidR="00665563" w:rsidRPr="008C5D8B">
        <w:rPr>
          <w:lang w:eastAsia="en-GB"/>
        </w:rPr>
        <w:noBreakHyphen/>
      </w:r>
      <w:r w:rsidRPr="008C5D8B">
        <w:rPr>
          <w:lang w:eastAsia="en-GB"/>
        </w:rPr>
        <w:t>Williams]. A more energy</w:t>
      </w:r>
      <w:r w:rsidR="008C5D8B">
        <w:rPr>
          <w:lang w:eastAsia="en-GB"/>
        </w:rPr>
        <w:t>-</w:t>
      </w:r>
      <w:r w:rsidRPr="008C5D8B">
        <w:rPr>
          <w:lang w:eastAsia="en-GB"/>
        </w:rPr>
        <w:t>efficient metaverse that can accommodate users with older devices eliminates the need for users to upgrade or replace their devices. This not only lessens the economic burden on users but also contributes to the reduction of e-waste.</w:t>
      </w:r>
    </w:p>
    <w:p w14:paraId="3268021A" w14:textId="4838C479" w:rsidR="0082705B" w:rsidRPr="008C5D8B" w:rsidRDefault="0082705B" w:rsidP="0082705B">
      <w:pPr>
        <w:rPr>
          <w:lang w:eastAsia="en-GB"/>
        </w:rPr>
      </w:pPr>
      <w:r w:rsidRPr="008C5D8B">
        <w:rPr>
          <w:lang w:eastAsia="en-GB"/>
        </w:rPr>
        <w:t xml:space="preserve">It is not enough to simply measure the environmental impact of the manufacturing and disposal of the ICT devices needed to support users in the metaverse, it is also crucial to take account of the operation of these devices. ICT tools and the digital infrastructure that supports them require energy. This energy normally takes the form of electricity. The source of this electricity varies from country to country. For example, the electricity used to power a device from a country that predominantly produces renewable energy </w:t>
      </w:r>
      <w:r w:rsidR="008A0875">
        <w:rPr>
          <w:lang w:eastAsia="en-GB"/>
        </w:rPr>
        <w:t>such as</w:t>
      </w:r>
      <w:r w:rsidR="008A0875" w:rsidRPr="008C5D8B">
        <w:rPr>
          <w:lang w:eastAsia="en-GB"/>
        </w:rPr>
        <w:t xml:space="preserve"> </w:t>
      </w:r>
      <w:r w:rsidRPr="008C5D8B">
        <w:rPr>
          <w:lang w:eastAsia="en-GB"/>
        </w:rPr>
        <w:t xml:space="preserve">Norway emits less carbon into the atmosphere than a country </w:t>
      </w:r>
      <w:r w:rsidR="008A0875">
        <w:rPr>
          <w:lang w:eastAsia="en-GB"/>
        </w:rPr>
        <w:t>such as</w:t>
      </w:r>
      <w:r w:rsidR="008A0875" w:rsidRPr="008C5D8B">
        <w:rPr>
          <w:lang w:eastAsia="en-GB"/>
        </w:rPr>
        <w:t xml:space="preserve"> </w:t>
      </w:r>
      <w:r w:rsidRPr="008C5D8B">
        <w:rPr>
          <w:lang w:eastAsia="en-GB"/>
        </w:rPr>
        <w:t xml:space="preserve">the United States, which derives most of its electricity from the burning of fossil fuels [b-Ritchie]. This energy is commonly referred to as </w:t>
      </w:r>
      <w:r w:rsidR="00D80C49" w:rsidRPr="008C5D8B">
        <w:rPr>
          <w:lang w:eastAsia="en-GB"/>
        </w:rPr>
        <w:t>"</w:t>
      </w:r>
      <w:r w:rsidRPr="008C5D8B">
        <w:rPr>
          <w:lang w:eastAsia="en-GB"/>
        </w:rPr>
        <w:t>digital carbon footprint</w:t>
      </w:r>
      <w:r w:rsidR="00D80C49" w:rsidRPr="008C5D8B">
        <w:rPr>
          <w:lang w:eastAsia="en-GB"/>
        </w:rPr>
        <w:t>"</w:t>
      </w:r>
      <w:r w:rsidRPr="008C5D8B">
        <w:rPr>
          <w:lang w:eastAsia="en-GB"/>
        </w:rPr>
        <w:t>, denoting the subsequent unit of carbon emitted into the atmosphere as a result of digital devices and the networks that support them. This includes the production and operation of ICT devices and the systems that support them</w:t>
      </w:r>
      <w:r w:rsidR="00D02A2A" w:rsidRPr="008C5D8B">
        <w:rPr>
          <w:lang w:eastAsia="en-GB"/>
        </w:rPr>
        <w:t xml:space="preserve"> </w:t>
      </w:r>
      <w:r w:rsidR="00BE49BA">
        <w:rPr>
          <w:lang w:eastAsia="en-GB"/>
        </w:rPr>
        <w:t>–</w:t>
      </w:r>
      <w:r w:rsidRPr="008C5D8B">
        <w:rPr>
          <w:lang w:eastAsia="en-GB"/>
        </w:rPr>
        <w:t xml:space="preserve"> from the cooling of the servers that store our data to the electricity we use to power our mobile devices. The complex supply chain and operation of ICT </w:t>
      </w:r>
      <w:r w:rsidR="008A0875">
        <w:rPr>
          <w:lang w:eastAsia="en-GB"/>
        </w:rPr>
        <w:t xml:space="preserve">devices </w:t>
      </w:r>
      <w:r w:rsidRPr="008C5D8B">
        <w:rPr>
          <w:lang w:eastAsia="en-GB"/>
        </w:rPr>
        <w:t>pose significant environmental risks that jeopardi</w:t>
      </w:r>
      <w:r w:rsidR="007E6F62">
        <w:rPr>
          <w:lang w:eastAsia="en-GB"/>
        </w:rPr>
        <w:t>z</w:t>
      </w:r>
      <w:r w:rsidRPr="008C5D8B">
        <w:rPr>
          <w:lang w:eastAsia="en-GB"/>
        </w:rPr>
        <w:t>e our efforts to prevent lasting environmental damage.</w:t>
      </w:r>
    </w:p>
    <w:p w14:paraId="5B257CCE" w14:textId="6DB59768" w:rsidR="0082705B" w:rsidRPr="008C5D8B" w:rsidRDefault="0082705B" w:rsidP="0082705B">
      <w:pPr>
        <w:rPr>
          <w:lang w:eastAsia="en-GB"/>
        </w:rPr>
      </w:pPr>
      <w:r w:rsidRPr="008C5D8B">
        <w:rPr>
          <w:lang w:eastAsia="en-GB"/>
        </w:rPr>
        <w:t>If accessibility in the metaverse is to be sustainable, more attention to the environmental cost of the tools and networks we use needs to be at the heart of all discussions about a metaverse for a diverse group of people. By embracing sustainability and accessibility as key cornerstones of a healthy society, we can build a metaverse that is truly sustainable and beneficial to diverse users.</w:t>
      </w:r>
    </w:p>
    <w:p w14:paraId="4831D11D" w14:textId="6A7E6165" w:rsidR="0082705B" w:rsidRPr="008C5D8B" w:rsidRDefault="00D80C49" w:rsidP="00D80C49">
      <w:pPr>
        <w:pStyle w:val="Heading1"/>
        <w:rPr>
          <w:rFonts w:eastAsiaTheme="minorEastAsia"/>
        </w:rPr>
      </w:pPr>
      <w:bookmarkStart w:id="61" w:name="_Toc152610361"/>
      <w:bookmarkStart w:id="62" w:name="_Toc153267487"/>
      <w:bookmarkStart w:id="63" w:name="_Toc167978684"/>
      <w:bookmarkStart w:id="64" w:name="_Toc177134624"/>
      <w:r w:rsidRPr="008C5D8B">
        <w:rPr>
          <w:rFonts w:eastAsiaTheme="minorEastAsia"/>
        </w:rPr>
        <w:t>7</w:t>
      </w:r>
      <w:r w:rsidRPr="008C5D8B">
        <w:rPr>
          <w:rFonts w:eastAsiaTheme="minorEastAsia"/>
        </w:rPr>
        <w:tab/>
      </w:r>
      <w:r w:rsidR="0082705B" w:rsidRPr="008C5D8B">
        <w:rPr>
          <w:rFonts w:eastAsiaTheme="minorEastAsia"/>
        </w:rPr>
        <w:t>General considerations</w:t>
      </w:r>
      <w:bookmarkEnd w:id="61"/>
      <w:bookmarkEnd w:id="62"/>
      <w:bookmarkEnd w:id="63"/>
      <w:bookmarkEnd w:id="64"/>
    </w:p>
    <w:p w14:paraId="3A301D0D" w14:textId="4F2143F5" w:rsidR="0082705B" w:rsidRPr="008C5D8B" w:rsidRDefault="0082705B" w:rsidP="0082705B">
      <w:pPr>
        <w:rPr>
          <w:lang w:eastAsia="en-GB"/>
        </w:rPr>
      </w:pPr>
      <w:r w:rsidRPr="008C5D8B">
        <w:rPr>
          <w:lang w:eastAsia="en-GB"/>
        </w:rPr>
        <w:t>To fulfil the full potential of a metaverse, it needs to be built to be sustainable, accessible, inclusive</w:t>
      </w:r>
      <w:r w:rsidR="007E6F62">
        <w:rPr>
          <w:lang w:eastAsia="en-GB"/>
        </w:rPr>
        <w:t xml:space="preserve"> and</w:t>
      </w:r>
      <w:r w:rsidRPr="008C5D8B">
        <w:rPr>
          <w:lang w:eastAsia="en-GB"/>
        </w:rPr>
        <w:t xml:space="preserve"> equitable across the spectrum of ability. In line with the SDGs, questions related to the sustainability and accessibility of the metaverse require an integrated approach that considers the social benefit and associated environmental cost of the necessary infrastructure to meet accessibility requirements. Designed well, the metaverse can lead to new opportunities for a wide variety of people to live, work and interact online by breaking down everyday physical barriers, such as geographical distance and limited transport networks. However, if accessibility is not factored in from the development stage, the metaverse risks replicating wider societal inequity. Therefore</w:t>
      </w:r>
      <w:r w:rsidR="008A0875">
        <w:rPr>
          <w:lang w:eastAsia="en-GB"/>
        </w:rPr>
        <w:t>,</w:t>
      </w:r>
      <w:r w:rsidRPr="008C5D8B">
        <w:rPr>
          <w:lang w:eastAsia="en-GB"/>
        </w:rPr>
        <w:t xml:space="preserve"> it is important to be aware of the impact of the choices that are made when a sustainable metaverse is designed so that it is open to a diverse range of users. This includes the adoption of accessibility and usability principles in all metaverse content.</w:t>
      </w:r>
    </w:p>
    <w:p w14:paraId="62D75B8E" w14:textId="44B9FCBB" w:rsidR="0082705B" w:rsidRPr="008C5D8B" w:rsidRDefault="00D80C49" w:rsidP="00D80C49">
      <w:pPr>
        <w:pStyle w:val="Heading1"/>
        <w:rPr>
          <w:rFonts w:eastAsiaTheme="minorEastAsia"/>
        </w:rPr>
      </w:pPr>
      <w:bookmarkStart w:id="65" w:name="_Toc152610362"/>
      <w:bookmarkStart w:id="66" w:name="_Toc153267488"/>
      <w:bookmarkStart w:id="67" w:name="_Toc167978685"/>
      <w:bookmarkStart w:id="68" w:name="_Toc177134625"/>
      <w:bookmarkStart w:id="69" w:name="_Toc286237445"/>
      <w:bookmarkStart w:id="70" w:name="_Toc286246107"/>
      <w:bookmarkStart w:id="71" w:name="_Toc401159832"/>
      <w:r w:rsidRPr="008C5D8B">
        <w:rPr>
          <w:rFonts w:eastAsiaTheme="minorEastAsia"/>
        </w:rPr>
        <w:t>8</w:t>
      </w:r>
      <w:r w:rsidRPr="008C5D8B">
        <w:rPr>
          <w:rFonts w:eastAsiaTheme="minorEastAsia"/>
        </w:rPr>
        <w:tab/>
      </w:r>
      <w:r w:rsidR="0082705B" w:rsidRPr="008C5D8B">
        <w:rPr>
          <w:rFonts w:eastAsiaTheme="minorEastAsia"/>
        </w:rPr>
        <w:t>Guidance on accessibility products and services in a sustainable metaverse</w:t>
      </w:r>
      <w:bookmarkEnd w:id="65"/>
      <w:bookmarkEnd w:id="66"/>
      <w:bookmarkEnd w:id="67"/>
      <w:bookmarkEnd w:id="68"/>
    </w:p>
    <w:p w14:paraId="7AE03CA3" w14:textId="77777777" w:rsidR="0082705B" w:rsidRPr="008C5D8B" w:rsidRDefault="0082705B" w:rsidP="0082705B">
      <w:pPr>
        <w:rPr>
          <w:lang w:eastAsia="en-GB"/>
        </w:rPr>
      </w:pPr>
      <w:r w:rsidRPr="008C5D8B">
        <w:rPr>
          <w:lang w:eastAsia="en-GB"/>
        </w:rPr>
        <w:t>The following sections provide guidance and questions to consider when designing a sustainable and accessible metaverse.</w:t>
      </w:r>
    </w:p>
    <w:p w14:paraId="07832231" w14:textId="1F98C3A1" w:rsidR="0082705B" w:rsidRPr="008C5D8B" w:rsidRDefault="00D80C49" w:rsidP="00D80C49">
      <w:pPr>
        <w:pStyle w:val="Heading2"/>
        <w:rPr>
          <w:rFonts w:eastAsia="SimSun"/>
        </w:rPr>
      </w:pPr>
      <w:bookmarkStart w:id="72" w:name="_Toc152610363"/>
      <w:bookmarkStart w:id="73" w:name="_Toc153267489"/>
      <w:bookmarkStart w:id="74" w:name="_Toc167978686"/>
      <w:bookmarkStart w:id="75" w:name="_Toc177134626"/>
      <w:r w:rsidRPr="008C5D8B">
        <w:rPr>
          <w:rFonts w:eastAsia="SimSun"/>
        </w:rPr>
        <w:t>8.1</w:t>
      </w:r>
      <w:r w:rsidRPr="008C5D8B">
        <w:rPr>
          <w:rFonts w:eastAsia="SimSun"/>
        </w:rPr>
        <w:tab/>
      </w:r>
      <w:r w:rsidR="0082705B" w:rsidRPr="008C5D8B">
        <w:rPr>
          <w:rFonts w:eastAsia="SimSun"/>
        </w:rPr>
        <w:t>Ensure usability and accessibility by default</w:t>
      </w:r>
      <w:bookmarkEnd w:id="72"/>
      <w:bookmarkEnd w:id="73"/>
      <w:bookmarkEnd w:id="74"/>
      <w:bookmarkEnd w:id="75"/>
    </w:p>
    <w:p w14:paraId="4CC377B5" w14:textId="68B64140" w:rsidR="0082705B" w:rsidRPr="008C5D8B" w:rsidRDefault="0082705B" w:rsidP="0082705B">
      <w:pPr>
        <w:rPr>
          <w:lang w:eastAsia="en-GB"/>
        </w:rPr>
      </w:pPr>
      <w:r w:rsidRPr="008C5D8B">
        <w:rPr>
          <w:lang w:eastAsia="en-GB"/>
        </w:rPr>
        <w:t xml:space="preserve">By adopting usability and accessibility conventions and best practice at the design stage [b-W3C], we can ensure that users with diverse access needs </w:t>
      </w:r>
      <w:r w:rsidR="008A0875">
        <w:rPr>
          <w:lang w:eastAsia="en-GB"/>
        </w:rPr>
        <w:t>have these</w:t>
      </w:r>
      <w:r w:rsidR="008A0875" w:rsidRPr="008C5D8B">
        <w:rPr>
          <w:lang w:eastAsia="en-GB"/>
        </w:rPr>
        <w:t xml:space="preserve"> </w:t>
      </w:r>
      <w:r w:rsidRPr="008C5D8B">
        <w:rPr>
          <w:lang w:eastAsia="en-GB"/>
        </w:rPr>
        <w:t>met so that they can access, understand, navigate</w:t>
      </w:r>
      <w:r w:rsidR="007E6F62">
        <w:rPr>
          <w:lang w:eastAsia="en-GB"/>
        </w:rPr>
        <w:t xml:space="preserve"> and</w:t>
      </w:r>
      <w:r w:rsidRPr="008C5D8B">
        <w:rPr>
          <w:lang w:eastAsia="en-GB"/>
        </w:rPr>
        <w:t xml:space="preserve"> interact with multimedia content in the metaverse. This includes the integration of audio description, interlingual subtitles and intralingual audio captions, to help users access, understand, navigate</w:t>
      </w:r>
      <w:r w:rsidR="007E6F62">
        <w:rPr>
          <w:lang w:eastAsia="en-GB"/>
        </w:rPr>
        <w:t xml:space="preserve"> and</w:t>
      </w:r>
      <w:r w:rsidRPr="008C5D8B">
        <w:rPr>
          <w:lang w:eastAsia="en-GB"/>
        </w:rPr>
        <w:t xml:space="preserve"> interact with multimedia content in the metaverse environment.</w:t>
      </w:r>
    </w:p>
    <w:p w14:paraId="01D446A8" w14:textId="51E3AF8E" w:rsidR="0082705B" w:rsidRPr="008C5D8B" w:rsidRDefault="00D80C49" w:rsidP="00D80C49">
      <w:pPr>
        <w:pStyle w:val="Heading2"/>
        <w:rPr>
          <w:rFonts w:eastAsia="SimSun"/>
        </w:rPr>
      </w:pPr>
      <w:bookmarkStart w:id="76" w:name="_Toc152610364"/>
      <w:bookmarkStart w:id="77" w:name="_Toc153267490"/>
      <w:bookmarkStart w:id="78" w:name="_Toc167978687"/>
      <w:bookmarkStart w:id="79" w:name="_Toc177134627"/>
      <w:r w:rsidRPr="008C5D8B">
        <w:rPr>
          <w:rFonts w:eastAsia="SimSun"/>
        </w:rPr>
        <w:t>8.2</w:t>
      </w:r>
      <w:r w:rsidRPr="008C5D8B">
        <w:rPr>
          <w:rFonts w:eastAsia="SimSun"/>
        </w:rPr>
        <w:tab/>
      </w:r>
      <w:r w:rsidR="0082705B" w:rsidRPr="008C5D8B">
        <w:rPr>
          <w:rFonts w:eastAsia="SimSun"/>
        </w:rPr>
        <w:t>Avoid duplication of content</w:t>
      </w:r>
      <w:bookmarkEnd w:id="76"/>
      <w:bookmarkEnd w:id="77"/>
      <w:bookmarkEnd w:id="78"/>
      <w:bookmarkEnd w:id="79"/>
    </w:p>
    <w:p w14:paraId="47A73DB9" w14:textId="5FFAC9DE" w:rsidR="0082705B" w:rsidRPr="008C5D8B" w:rsidRDefault="0082705B" w:rsidP="0082705B">
      <w:pPr>
        <w:rPr>
          <w:lang w:eastAsia="en-GB"/>
        </w:rPr>
      </w:pPr>
      <w:r w:rsidRPr="008C5D8B">
        <w:rPr>
          <w:lang w:eastAsia="en-GB"/>
        </w:rPr>
        <w:t>The duplication of content in the metaverse can lead to higher energy consumption. By leveraging AI to generate content and accelerate the creation process, and utilizing blockchain to search for, identify</w:t>
      </w:r>
      <w:r w:rsidR="007E6F62">
        <w:rPr>
          <w:lang w:eastAsia="en-GB"/>
        </w:rPr>
        <w:t xml:space="preserve"> and</w:t>
      </w:r>
      <w:r w:rsidRPr="008C5D8B">
        <w:rPr>
          <w:lang w:eastAsia="en-GB"/>
        </w:rPr>
        <w:t xml:space="preserve"> detect existing content, we can reduce the redundancy of duplicated data. This not only streamlines the creation and verification of content but also minimizes the amount of data needed to power the metaverse. However, it is important to weigh this against the substantial energy consumption associated with the use of some blockchain technology [b-Schinckus]. One strategy for addressing this concern is prioriti</w:t>
      </w:r>
      <w:r w:rsidR="007E6F62">
        <w:rPr>
          <w:lang w:eastAsia="en-GB"/>
        </w:rPr>
        <w:t>z</w:t>
      </w:r>
      <w:r w:rsidRPr="008C5D8B">
        <w:rPr>
          <w:lang w:eastAsia="en-GB"/>
        </w:rPr>
        <w:t xml:space="preserve">ing the use of different blockchain consensus mechanisms, such as opting for </w:t>
      </w:r>
      <w:r w:rsidR="008C5D8B">
        <w:rPr>
          <w:lang w:eastAsia="en-GB"/>
        </w:rPr>
        <w:t>p</w:t>
      </w:r>
      <w:r w:rsidRPr="008C5D8B">
        <w:rPr>
          <w:lang w:eastAsia="en-GB"/>
        </w:rPr>
        <w:t>roof-of-</w:t>
      </w:r>
      <w:r w:rsidR="008C5D8B">
        <w:rPr>
          <w:lang w:eastAsia="en-GB"/>
        </w:rPr>
        <w:t>s</w:t>
      </w:r>
      <w:r w:rsidRPr="008C5D8B">
        <w:rPr>
          <w:lang w:eastAsia="en-GB"/>
        </w:rPr>
        <w:t xml:space="preserve">take (PoS) over </w:t>
      </w:r>
      <w:r w:rsidR="008C5D8B">
        <w:rPr>
          <w:lang w:eastAsia="en-GB"/>
        </w:rPr>
        <w:t>p</w:t>
      </w:r>
      <w:r w:rsidRPr="008C5D8B">
        <w:rPr>
          <w:lang w:eastAsia="en-GB"/>
        </w:rPr>
        <w:t>roof-of-</w:t>
      </w:r>
      <w:r w:rsidR="008C5D8B">
        <w:rPr>
          <w:lang w:eastAsia="en-GB"/>
        </w:rPr>
        <w:t>w</w:t>
      </w:r>
      <w:r w:rsidRPr="008C5D8B">
        <w:rPr>
          <w:lang w:eastAsia="en-GB"/>
        </w:rPr>
        <w:t xml:space="preserve">ork (PoW). In a PoS blockchain, the energy usage is considerably lower compared </w:t>
      </w:r>
      <w:r w:rsidR="00E601A4">
        <w:rPr>
          <w:lang w:eastAsia="en-GB"/>
        </w:rPr>
        <w:t>with</w:t>
      </w:r>
      <w:r w:rsidRPr="008C5D8B">
        <w:rPr>
          <w:lang w:eastAsia="en-GB"/>
        </w:rPr>
        <w:t xml:space="preserve"> PoW, as </w:t>
      </w:r>
      <w:r w:rsidR="00E601A4">
        <w:rPr>
          <w:lang w:eastAsia="en-GB"/>
        </w:rPr>
        <w:t>PoS</w:t>
      </w:r>
      <w:r w:rsidRPr="008C5D8B">
        <w:rPr>
          <w:lang w:eastAsia="en-GB"/>
        </w:rPr>
        <w:t xml:space="preserve"> does</w:t>
      </w:r>
      <w:r w:rsidR="007E6F62">
        <w:rPr>
          <w:lang w:eastAsia="en-GB"/>
        </w:rPr>
        <w:t xml:space="preserve"> not</w:t>
      </w:r>
      <w:r w:rsidRPr="008C5D8B">
        <w:rPr>
          <w:lang w:eastAsia="en-GB"/>
        </w:rPr>
        <w:t xml:space="preserve"> rely on resource-intensive mining to authenticate a transaction. Instead, PoS designates validators to create blocks based on their ownership or </w:t>
      </w:r>
      <w:r w:rsidR="00D80C49" w:rsidRPr="008C5D8B">
        <w:rPr>
          <w:lang w:eastAsia="en-GB"/>
        </w:rPr>
        <w:t>"</w:t>
      </w:r>
      <w:r w:rsidRPr="008C5D8B">
        <w:rPr>
          <w:lang w:eastAsia="en-GB"/>
        </w:rPr>
        <w:t>stake</w:t>
      </w:r>
      <w:r w:rsidR="00D80C49" w:rsidRPr="008C5D8B">
        <w:rPr>
          <w:lang w:eastAsia="en-GB"/>
        </w:rPr>
        <w:t>"</w:t>
      </w:r>
      <w:r w:rsidRPr="008C5D8B">
        <w:rPr>
          <w:lang w:eastAsia="en-GB"/>
        </w:rPr>
        <w:t xml:space="preserve"> in the blockchain network [b-Fernando]. With regards to accessibility, upcycling or repurposing accessibility services such as audio description and subtitles minimi</w:t>
      </w:r>
      <w:r w:rsidR="007E6F62">
        <w:rPr>
          <w:lang w:eastAsia="en-GB"/>
        </w:rPr>
        <w:t>z</w:t>
      </w:r>
      <w:r w:rsidRPr="008C5D8B">
        <w:rPr>
          <w:lang w:eastAsia="en-GB"/>
        </w:rPr>
        <w:t>es the duplication of content by identifying existing audio description and subtitling scripts that can be reused across different platforms or translated into different languages [b-Oncins</w:t>
      </w:r>
      <w:r w:rsidR="00526C60">
        <w:rPr>
          <w:lang w:eastAsia="en-GB"/>
        </w:rPr>
        <w:t>-2</w:t>
      </w:r>
      <w:r w:rsidRPr="008C5D8B">
        <w:rPr>
          <w:lang w:eastAsia="en-GB"/>
        </w:rPr>
        <w:t>]; [b-Jankowska]; [b-Orero].</w:t>
      </w:r>
    </w:p>
    <w:p w14:paraId="75F7BFDE" w14:textId="1CCD07DA" w:rsidR="0082705B" w:rsidRPr="008C5D8B" w:rsidRDefault="00D80C49" w:rsidP="00D80C49">
      <w:pPr>
        <w:pStyle w:val="Heading2"/>
        <w:rPr>
          <w:rFonts w:eastAsia="SimSun"/>
        </w:rPr>
      </w:pPr>
      <w:bookmarkStart w:id="80" w:name="_Toc152610365"/>
      <w:bookmarkStart w:id="81" w:name="_Toc153267491"/>
      <w:bookmarkStart w:id="82" w:name="_Toc167978688"/>
      <w:bookmarkStart w:id="83" w:name="_Toc177134628"/>
      <w:r w:rsidRPr="008C5D8B">
        <w:rPr>
          <w:rFonts w:eastAsia="SimSun"/>
        </w:rPr>
        <w:t>8.3</w:t>
      </w:r>
      <w:r w:rsidRPr="008C5D8B">
        <w:rPr>
          <w:rFonts w:eastAsia="SimSun"/>
        </w:rPr>
        <w:tab/>
      </w:r>
      <w:r w:rsidR="0082705B" w:rsidRPr="008C5D8B">
        <w:rPr>
          <w:rFonts w:eastAsia="SimSun"/>
        </w:rPr>
        <w:t xml:space="preserve">Create </w:t>
      </w:r>
      <w:r w:rsidR="00E601A4">
        <w:rPr>
          <w:rFonts w:eastAsia="SimSun"/>
        </w:rPr>
        <w:t xml:space="preserve">a </w:t>
      </w:r>
      <w:r w:rsidR="0082705B" w:rsidRPr="008C5D8B">
        <w:rPr>
          <w:rFonts w:eastAsia="SimSun"/>
        </w:rPr>
        <w:t>simpler and cleaner user interface</w:t>
      </w:r>
      <w:bookmarkEnd w:id="80"/>
      <w:bookmarkEnd w:id="81"/>
      <w:bookmarkEnd w:id="82"/>
      <w:bookmarkEnd w:id="83"/>
    </w:p>
    <w:p w14:paraId="3C889A70" w14:textId="4C9B8457" w:rsidR="0082705B" w:rsidRPr="008C5D8B" w:rsidRDefault="0082705B" w:rsidP="0082705B">
      <w:pPr>
        <w:rPr>
          <w:lang w:eastAsia="en-GB"/>
        </w:rPr>
      </w:pPr>
      <w:r w:rsidRPr="008C5D8B">
        <w:rPr>
          <w:lang w:eastAsia="en-GB"/>
        </w:rPr>
        <w:t>A simpler user interface can be beneficial for a diverse range of users. For example, when a user interface is simple and well-structured, it ensures that users who rely on screen readers can accurately interpret onscreen information. Moreover, for individuals with low levels of literacy, a simplified design with clear and easy-to-understand language can help them access, understand, navigate</w:t>
      </w:r>
      <w:r w:rsidR="007E6F62">
        <w:rPr>
          <w:lang w:eastAsia="en-GB"/>
        </w:rPr>
        <w:t xml:space="preserve"> and</w:t>
      </w:r>
      <w:r w:rsidRPr="008C5D8B">
        <w:rPr>
          <w:lang w:eastAsia="en-GB"/>
        </w:rPr>
        <w:t xml:space="preserve"> interact with metaverse content more effectively. It also lessens the cognitive load for some users, making it easier for them to focus on the task at hand. This is particularly important for ensuring equal access to information and opportunities.</w:t>
      </w:r>
    </w:p>
    <w:p w14:paraId="5F999F04" w14:textId="0530DF3E" w:rsidR="0082705B" w:rsidRPr="008C5D8B" w:rsidRDefault="00D80C49" w:rsidP="00D80C49">
      <w:pPr>
        <w:pStyle w:val="Heading2"/>
        <w:rPr>
          <w:rFonts w:eastAsia="SimSun"/>
        </w:rPr>
      </w:pPr>
      <w:bookmarkStart w:id="84" w:name="_Toc152610366"/>
      <w:bookmarkStart w:id="85" w:name="_Toc153267492"/>
      <w:bookmarkStart w:id="86" w:name="_Toc167978689"/>
      <w:bookmarkStart w:id="87" w:name="_Toc177134629"/>
      <w:r w:rsidRPr="008C5D8B">
        <w:rPr>
          <w:rFonts w:eastAsia="SimSun"/>
        </w:rPr>
        <w:t>8.4</w:t>
      </w:r>
      <w:r w:rsidRPr="008C5D8B">
        <w:rPr>
          <w:rFonts w:eastAsia="SimSun"/>
        </w:rPr>
        <w:tab/>
      </w:r>
      <w:r w:rsidR="0082705B" w:rsidRPr="008C5D8B">
        <w:rPr>
          <w:rFonts w:eastAsia="SimSun"/>
        </w:rPr>
        <w:t>Prioriti</w:t>
      </w:r>
      <w:r w:rsidR="007E6F62">
        <w:rPr>
          <w:rFonts w:eastAsia="SimSun"/>
        </w:rPr>
        <w:t>z</w:t>
      </w:r>
      <w:r w:rsidR="0082705B" w:rsidRPr="008C5D8B">
        <w:rPr>
          <w:rFonts w:eastAsia="SimSun"/>
        </w:rPr>
        <w:t>e the use of icons for navigation</w:t>
      </w:r>
      <w:bookmarkEnd w:id="84"/>
      <w:bookmarkEnd w:id="85"/>
      <w:bookmarkEnd w:id="86"/>
      <w:bookmarkEnd w:id="87"/>
    </w:p>
    <w:p w14:paraId="23763E9C" w14:textId="5A6915EA" w:rsidR="0082705B" w:rsidRPr="008C5D8B" w:rsidRDefault="0082705B" w:rsidP="0082705B">
      <w:pPr>
        <w:rPr>
          <w:lang w:eastAsia="en-GB"/>
        </w:rPr>
      </w:pPr>
      <w:r w:rsidRPr="008C5D8B">
        <w:rPr>
          <w:lang w:eastAsia="en-GB"/>
        </w:rPr>
        <w:t>Prioriti</w:t>
      </w:r>
      <w:r w:rsidR="007E6F62">
        <w:rPr>
          <w:lang w:eastAsia="en-GB"/>
        </w:rPr>
        <w:t>z</w:t>
      </w:r>
      <w:r w:rsidRPr="008C5D8B">
        <w:rPr>
          <w:lang w:eastAsia="en-GB"/>
        </w:rPr>
        <w:t>ing the use of icons that are easy to read, in combination with alternative text, can enhance navigation within the metaverse. This, in turn, can lead to faster information retrieval and reduced search times within the metaverse, potentially contributing to energy savings for user devices. Furthermore, prioriti</w:t>
      </w:r>
      <w:r w:rsidR="007E6F62">
        <w:rPr>
          <w:lang w:eastAsia="en-GB"/>
        </w:rPr>
        <w:t>z</w:t>
      </w:r>
      <w:r w:rsidRPr="008C5D8B">
        <w:rPr>
          <w:lang w:eastAsia="en-GB"/>
        </w:rPr>
        <w:t>ing the use of icons and alternative text in the metaverse can provide valuable assistance to users with low levels of literacy and those who use screen readers.</w:t>
      </w:r>
    </w:p>
    <w:p w14:paraId="0A4CBE91" w14:textId="0C7A8F26" w:rsidR="0082705B" w:rsidRPr="008C5D8B" w:rsidRDefault="00D80C49" w:rsidP="00D80C49">
      <w:pPr>
        <w:pStyle w:val="Heading2"/>
        <w:rPr>
          <w:rFonts w:eastAsia="SimSun"/>
        </w:rPr>
      </w:pPr>
      <w:bookmarkStart w:id="88" w:name="_Toc152610367"/>
      <w:bookmarkStart w:id="89" w:name="_Toc153267493"/>
      <w:bookmarkStart w:id="90" w:name="_Toc167978690"/>
      <w:bookmarkStart w:id="91" w:name="_Toc177134630"/>
      <w:r w:rsidRPr="008C5D8B">
        <w:rPr>
          <w:rFonts w:eastAsia="SimSun"/>
        </w:rPr>
        <w:t>8.5</w:t>
      </w:r>
      <w:r w:rsidRPr="008C5D8B">
        <w:rPr>
          <w:rFonts w:eastAsia="SimSun"/>
        </w:rPr>
        <w:tab/>
      </w:r>
      <w:r w:rsidR="0082705B" w:rsidRPr="008C5D8B">
        <w:rPr>
          <w:rFonts w:eastAsia="SimSun"/>
        </w:rPr>
        <w:t>Build a more energy</w:t>
      </w:r>
      <w:r w:rsidR="008C5D8B">
        <w:rPr>
          <w:rFonts w:eastAsia="SimSun"/>
        </w:rPr>
        <w:t>-</w:t>
      </w:r>
      <w:r w:rsidR="0082705B" w:rsidRPr="008C5D8B">
        <w:rPr>
          <w:rFonts w:eastAsia="SimSun"/>
        </w:rPr>
        <w:t>efficient metaverse for people and the environment</w:t>
      </w:r>
      <w:bookmarkEnd w:id="88"/>
      <w:bookmarkEnd w:id="89"/>
      <w:bookmarkEnd w:id="90"/>
      <w:bookmarkEnd w:id="91"/>
    </w:p>
    <w:p w14:paraId="3D3776A0" w14:textId="019448C9" w:rsidR="0082705B" w:rsidRPr="008C5D8B" w:rsidRDefault="0082705B" w:rsidP="0082705B">
      <w:pPr>
        <w:rPr>
          <w:lang w:eastAsia="en-GB"/>
        </w:rPr>
      </w:pPr>
      <w:r w:rsidRPr="008C5D8B">
        <w:rPr>
          <w:lang w:eastAsia="en-GB"/>
        </w:rPr>
        <w:t>Building a more energy</w:t>
      </w:r>
      <w:r w:rsidR="008C5D8B">
        <w:rPr>
          <w:lang w:eastAsia="en-GB"/>
        </w:rPr>
        <w:t>-</w:t>
      </w:r>
      <w:r w:rsidRPr="008C5D8B">
        <w:rPr>
          <w:lang w:eastAsia="en-GB"/>
        </w:rPr>
        <w:t xml:space="preserve">efficient metaverse is beneficial for the environment but also easier for users who use older devices or have slow </w:t>
      </w:r>
      <w:r w:rsidR="007E6F62">
        <w:rPr>
          <w:lang w:eastAsia="en-GB"/>
        </w:rPr>
        <w:t>I</w:t>
      </w:r>
      <w:r w:rsidRPr="008C5D8B">
        <w:rPr>
          <w:lang w:eastAsia="en-GB"/>
        </w:rPr>
        <w:t>nternet connections. Efficiency can be measured by factors such as data consumption, accessibility across various devices, energy consumption</w:t>
      </w:r>
      <w:r w:rsidR="007E6F62">
        <w:rPr>
          <w:lang w:eastAsia="en-GB"/>
        </w:rPr>
        <w:t xml:space="preserve"> and</w:t>
      </w:r>
      <w:r w:rsidRPr="008C5D8B">
        <w:rPr>
          <w:lang w:eastAsia="en-GB"/>
        </w:rPr>
        <w:t xml:space="preserve"> the overall user experience. By optimizing these factors, the metaverse can save users money on data and extend the battery life of their devices. A more energy</w:t>
      </w:r>
      <w:r w:rsidR="008C5D8B">
        <w:rPr>
          <w:lang w:eastAsia="en-GB"/>
        </w:rPr>
        <w:t>-</w:t>
      </w:r>
      <w:r w:rsidRPr="008C5D8B">
        <w:rPr>
          <w:lang w:eastAsia="en-GB"/>
        </w:rPr>
        <w:t>efficient metaverse can also save users money on data and extend the battery life of their devices. It also lessens the financial burden on individuals with older devices by eliminating the need for them to purchase new devices.</w:t>
      </w:r>
    </w:p>
    <w:p w14:paraId="13CEA993" w14:textId="3D12DE64" w:rsidR="0082705B" w:rsidRPr="008C5D8B" w:rsidRDefault="00D80C49" w:rsidP="00D80C49">
      <w:pPr>
        <w:pStyle w:val="Heading2"/>
        <w:rPr>
          <w:rFonts w:eastAsia="SimSun"/>
        </w:rPr>
      </w:pPr>
      <w:bookmarkStart w:id="92" w:name="_Toc152610368"/>
      <w:bookmarkStart w:id="93" w:name="_Toc153267494"/>
      <w:bookmarkStart w:id="94" w:name="_Toc167978691"/>
      <w:bookmarkStart w:id="95" w:name="_Toc177134631"/>
      <w:r w:rsidRPr="008C5D8B">
        <w:rPr>
          <w:rFonts w:eastAsia="SimSun"/>
        </w:rPr>
        <w:t>8.6</w:t>
      </w:r>
      <w:r w:rsidRPr="008C5D8B">
        <w:rPr>
          <w:rFonts w:eastAsia="SimSun"/>
        </w:rPr>
        <w:tab/>
      </w:r>
      <w:r w:rsidR="0082705B" w:rsidRPr="008C5D8B">
        <w:rPr>
          <w:rFonts w:eastAsia="SimSun"/>
        </w:rPr>
        <w:t>Find alternative file and media formats</w:t>
      </w:r>
      <w:bookmarkEnd w:id="92"/>
      <w:bookmarkEnd w:id="93"/>
      <w:bookmarkEnd w:id="94"/>
      <w:bookmarkEnd w:id="95"/>
    </w:p>
    <w:p w14:paraId="7A4C30E2" w14:textId="1EAA6A48" w:rsidR="0082705B" w:rsidRPr="008C5D8B" w:rsidRDefault="0082705B" w:rsidP="0082705B">
      <w:pPr>
        <w:rPr>
          <w:lang w:eastAsia="en-GB"/>
        </w:rPr>
      </w:pPr>
      <w:r w:rsidRPr="008C5D8B">
        <w:rPr>
          <w:lang w:eastAsia="en-GB"/>
        </w:rPr>
        <w:t xml:space="preserve">Providing alternatives file and media formats for informational and accessibility content can reduce the environmental impact of the metaverse and improve accessibility. Alternatives to video for informative content, such as </w:t>
      </w:r>
      <w:r w:rsidR="00E601A4" w:rsidRPr="00E601A4">
        <w:rPr>
          <w:lang w:eastAsia="en-GB"/>
        </w:rPr>
        <w:t>scalable vector graphic</w:t>
      </w:r>
      <w:r w:rsidR="00E601A4">
        <w:rPr>
          <w:lang w:eastAsia="en-GB"/>
        </w:rPr>
        <w:t xml:space="preserve"> (</w:t>
      </w:r>
      <w:r w:rsidRPr="008C5D8B">
        <w:rPr>
          <w:lang w:eastAsia="en-GB"/>
        </w:rPr>
        <w:t>SVG</w:t>
      </w:r>
      <w:r w:rsidR="00E601A4">
        <w:rPr>
          <w:lang w:eastAsia="en-GB"/>
        </w:rPr>
        <w:t>)</w:t>
      </w:r>
      <w:r w:rsidRPr="008C5D8B">
        <w:rPr>
          <w:lang w:eastAsia="en-GB"/>
        </w:rPr>
        <w:t xml:space="preserve"> animation and real</w:t>
      </w:r>
      <w:r w:rsidR="00E601A4">
        <w:rPr>
          <w:lang w:eastAsia="en-GB"/>
        </w:rPr>
        <w:t>-</w:t>
      </w:r>
      <w:r w:rsidRPr="008C5D8B">
        <w:rPr>
          <w:lang w:eastAsia="en-GB"/>
        </w:rPr>
        <w:t>text descriptions can be more accessible and energy</w:t>
      </w:r>
      <w:r w:rsidR="008C5D8B">
        <w:rPr>
          <w:lang w:eastAsia="en-GB"/>
        </w:rPr>
        <w:t>-</w:t>
      </w:r>
      <w:r w:rsidRPr="008C5D8B">
        <w:rPr>
          <w:lang w:eastAsia="en-GB"/>
        </w:rPr>
        <w:t>efficient compared with traditional video formats [b-Greenwood</w:t>
      </w:r>
      <w:r w:rsidR="0C7425CA" w:rsidRPr="008C5D8B">
        <w:rPr>
          <w:lang w:eastAsia="en-GB"/>
        </w:rPr>
        <w:t>-2</w:t>
      </w:r>
      <w:r w:rsidRPr="008C5D8B">
        <w:rPr>
          <w:lang w:eastAsia="en-GB"/>
        </w:rPr>
        <w:t>]. Unlike JPEG and PNG, which are composed of a grid of pixels, SVGs uses mathematical formulas to define shapes, lines, curves</w:t>
      </w:r>
      <w:r w:rsidR="007E6F62">
        <w:rPr>
          <w:lang w:eastAsia="en-GB"/>
        </w:rPr>
        <w:t xml:space="preserve"> and</w:t>
      </w:r>
      <w:r w:rsidRPr="008C5D8B">
        <w:rPr>
          <w:lang w:eastAsia="en-GB"/>
        </w:rPr>
        <w:t xml:space="preserve"> colours, which means that these images are scalable. Since the graphics are defined mathematically, they can be scaled up or down to fit different screen sizes and resolutions without pixelation or blurriness.</w:t>
      </w:r>
    </w:p>
    <w:p w14:paraId="57FC4F0D" w14:textId="023FFD96" w:rsidR="0082705B" w:rsidRPr="008C5D8B" w:rsidRDefault="0082705B" w:rsidP="0082705B">
      <w:pPr>
        <w:rPr>
          <w:lang w:eastAsia="en-GB"/>
        </w:rPr>
      </w:pPr>
      <w:r w:rsidRPr="008C5D8B">
        <w:rPr>
          <w:lang w:eastAsia="en-GB"/>
        </w:rPr>
        <w:t>With regards to accessibility in the metaverse, the choice of file formats may vary depending on platform compatibility and specific requirements. For subtitles, the choice of a subtitle file format can also impact the overall file size. Larger file sizes require more energy to be handled, processed</w:t>
      </w:r>
      <w:r w:rsidR="007E6F62">
        <w:rPr>
          <w:lang w:eastAsia="en-GB"/>
        </w:rPr>
        <w:t xml:space="preserve"> and</w:t>
      </w:r>
      <w:r w:rsidRPr="008C5D8B">
        <w:rPr>
          <w:lang w:eastAsia="en-GB"/>
        </w:rPr>
        <w:t xml:space="preserve"> stored. The choice of subtitle format often relies on specific requirements of the platform, desired features (such as styling and positioning) and compatibility with the content being subtitled. Two commonly used subtitling formats are SRT (SubRip) and VTT (WebVTT). SRT files are generally smaller in size than VTT files, primarily due to their simpler format that includes basic text and timecodes for subtitles. VTT files, on the other hand, include additional features such as text styling and positioning, which can result in larger file sizes. However, the actual file size can vary depending on the content and the specific formatting used in the subtitle. Due to the immersive nature of the metaverse, information about the subtitle</w:t>
      </w:r>
      <w:r w:rsidR="00D80C49" w:rsidRPr="008C5D8B">
        <w:rPr>
          <w:lang w:eastAsia="en-GB"/>
        </w:rPr>
        <w:t>'</w:t>
      </w:r>
      <w:r w:rsidRPr="008C5D8B">
        <w:rPr>
          <w:lang w:eastAsia="en-GB"/>
        </w:rPr>
        <w:t>s placement will need to be incorporated into its design, which may result in larger file size</w:t>
      </w:r>
      <w:r w:rsidR="00975A21">
        <w:rPr>
          <w:lang w:eastAsia="en-GB"/>
        </w:rPr>
        <w:t>s</w:t>
      </w:r>
      <w:r w:rsidRPr="008C5D8B">
        <w:rPr>
          <w:lang w:eastAsia="en-GB"/>
        </w:rPr>
        <w:t xml:space="preserve">. Therefore, for the sake of accessibility VTT files may be a more suitable choice compared </w:t>
      </w:r>
      <w:r w:rsidR="00975A21">
        <w:rPr>
          <w:lang w:eastAsia="en-GB"/>
        </w:rPr>
        <w:t>with</w:t>
      </w:r>
      <w:r w:rsidRPr="008C5D8B">
        <w:rPr>
          <w:lang w:eastAsia="en-GB"/>
        </w:rPr>
        <w:t xml:space="preserve"> SRT, as they are better tailored to an immersive environment </w:t>
      </w:r>
      <w:r w:rsidR="00975A21">
        <w:rPr>
          <w:lang w:eastAsia="en-GB"/>
        </w:rPr>
        <w:t>such as</w:t>
      </w:r>
      <w:r w:rsidR="00975A21" w:rsidRPr="008C5D8B">
        <w:rPr>
          <w:lang w:eastAsia="en-GB"/>
        </w:rPr>
        <w:t xml:space="preserve"> </w:t>
      </w:r>
      <w:r w:rsidRPr="008C5D8B">
        <w:rPr>
          <w:lang w:eastAsia="en-GB"/>
        </w:rPr>
        <w:t>the metaverse.</w:t>
      </w:r>
    </w:p>
    <w:p w14:paraId="057196CB" w14:textId="6BF0043C" w:rsidR="0082705B" w:rsidRPr="008C5D8B" w:rsidRDefault="00D80C49" w:rsidP="00D80C49">
      <w:pPr>
        <w:pStyle w:val="Heading2"/>
        <w:rPr>
          <w:rFonts w:eastAsia="SimSun"/>
        </w:rPr>
      </w:pPr>
      <w:bookmarkStart w:id="96" w:name="_Toc152610369"/>
      <w:bookmarkStart w:id="97" w:name="_Toc153267495"/>
      <w:bookmarkStart w:id="98" w:name="_Toc167978692"/>
      <w:bookmarkStart w:id="99" w:name="_Toc177134632"/>
      <w:r w:rsidRPr="008C5D8B">
        <w:rPr>
          <w:rFonts w:eastAsia="SimSun"/>
        </w:rPr>
        <w:t>8.7</w:t>
      </w:r>
      <w:r w:rsidRPr="008C5D8B">
        <w:rPr>
          <w:rFonts w:eastAsia="SimSun"/>
        </w:rPr>
        <w:tab/>
      </w:r>
      <w:r w:rsidR="0082705B" w:rsidRPr="008C5D8B">
        <w:rPr>
          <w:rFonts w:eastAsia="SimSun"/>
        </w:rPr>
        <w:t>Use more energy</w:t>
      </w:r>
      <w:r w:rsidR="008C5D8B">
        <w:rPr>
          <w:rFonts w:eastAsia="SimSun"/>
        </w:rPr>
        <w:t>-</w:t>
      </w:r>
      <w:r w:rsidR="0082705B" w:rsidRPr="008C5D8B">
        <w:rPr>
          <w:rFonts w:eastAsia="SimSun"/>
        </w:rPr>
        <w:t>efficient AI</w:t>
      </w:r>
      <w:bookmarkEnd w:id="96"/>
      <w:bookmarkEnd w:id="97"/>
      <w:bookmarkEnd w:id="98"/>
      <w:bookmarkEnd w:id="99"/>
    </w:p>
    <w:p w14:paraId="71B2A0E4" w14:textId="5D2673FE" w:rsidR="0082705B" w:rsidRPr="008C5D8B" w:rsidRDefault="0082705B" w:rsidP="0082705B">
      <w:pPr>
        <w:rPr>
          <w:lang w:eastAsia="en-GB"/>
        </w:rPr>
      </w:pPr>
      <w:r w:rsidRPr="008C5D8B">
        <w:rPr>
          <w:lang w:eastAsia="en-GB"/>
        </w:rPr>
        <w:t>Using more energy</w:t>
      </w:r>
      <w:r w:rsidR="008C5D8B">
        <w:rPr>
          <w:lang w:eastAsia="en-GB"/>
        </w:rPr>
        <w:t>-</w:t>
      </w:r>
      <w:r w:rsidRPr="008C5D8B">
        <w:rPr>
          <w:lang w:eastAsia="en-GB"/>
        </w:rPr>
        <w:t xml:space="preserve">efficient AI can ensure a more sustainable and accessible metaverse by facilitating faster access to information. AI supports accessibility services </w:t>
      </w:r>
      <w:r w:rsidR="00975A21">
        <w:rPr>
          <w:lang w:eastAsia="en-GB"/>
        </w:rPr>
        <w:t>such as</w:t>
      </w:r>
      <w:r w:rsidRPr="008C5D8B">
        <w:rPr>
          <w:lang w:eastAsia="en-GB"/>
        </w:rPr>
        <w:t xml:space="preserve"> speech-to-text software and text-to-speech software as well as MT. Using a more energy</w:t>
      </w:r>
      <w:r w:rsidR="008C5D8B">
        <w:rPr>
          <w:lang w:eastAsia="en-GB"/>
        </w:rPr>
        <w:t>-</w:t>
      </w:r>
      <w:r w:rsidRPr="008C5D8B">
        <w:rPr>
          <w:lang w:eastAsia="en-GB"/>
        </w:rPr>
        <w:t xml:space="preserve">efficient AI, also referred to as </w:t>
      </w:r>
      <w:r w:rsidR="00D80C49" w:rsidRPr="008C5D8B">
        <w:rPr>
          <w:lang w:eastAsia="en-GB"/>
        </w:rPr>
        <w:t>"</w:t>
      </w:r>
      <w:r w:rsidRPr="008C5D8B">
        <w:rPr>
          <w:lang w:eastAsia="en-GB"/>
        </w:rPr>
        <w:t>Green AI</w:t>
      </w:r>
      <w:r w:rsidR="00D80C49" w:rsidRPr="008C5D8B">
        <w:rPr>
          <w:lang w:eastAsia="en-GB"/>
        </w:rPr>
        <w:t>"</w:t>
      </w:r>
      <w:r w:rsidRPr="008C5D8B">
        <w:rPr>
          <w:lang w:eastAsia="en-GB"/>
        </w:rPr>
        <w:t xml:space="preserve"> [b-Schwartz], can lead to better outcomes for users of the metaverse in terms of accessibility and energy efficiency.</w:t>
      </w:r>
    </w:p>
    <w:p w14:paraId="6CD33F0A" w14:textId="7C70FC79" w:rsidR="0082705B" w:rsidRPr="008C5D8B" w:rsidRDefault="00D80C49" w:rsidP="00063934">
      <w:pPr>
        <w:pStyle w:val="Heading2"/>
        <w:rPr>
          <w:rFonts w:eastAsia="SimSun"/>
        </w:rPr>
      </w:pPr>
      <w:bookmarkStart w:id="100" w:name="_Toc152610370"/>
      <w:bookmarkStart w:id="101" w:name="_Toc153267496"/>
      <w:bookmarkStart w:id="102" w:name="_Toc167978693"/>
      <w:bookmarkStart w:id="103" w:name="_Toc177134633"/>
      <w:r w:rsidRPr="008C5D8B">
        <w:rPr>
          <w:rFonts w:eastAsia="SimSun"/>
        </w:rPr>
        <w:t>8.8</w:t>
      </w:r>
      <w:r w:rsidRPr="008C5D8B">
        <w:rPr>
          <w:rFonts w:eastAsia="SimSun"/>
        </w:rPr>
        <w:tab/>
      </w:r>
      <w:r w:rsidR="0082705B" w:rsidRPr="008C5D8B">
        <w:rPr>
          <w:rFonts w:eastAsia="SimSun"/>
        </w:rPr>
        <w:t>Create intuitive design and provide easy-to-understand language alternatives</w:t>
      </w:r>
      <w:bookmarkEnd w:id="100"/>
      <w:bookmarkEnd w:id="101"/>
      <w:bookmarkEnd w:id="102"/>
      <w:bookmarkEnd w:id="103"/>
    </w:p>
    <w:p w14:paraId="7F265857" w14:textId="6248EA54" w:rsidR="0082705B" w:rsidRPr="008C5D8B" w:rsidRDefault="0082705B" w:rsidP="00063934">
      <w:pPr>
        <w:keepNext/>
        <w:keepLines/>
        <w:rPr>
          <w:lang w:eastAsia="en-GB"/>
        </w:rPr>
      </w:pPr>
      <w:r w:rsidRPr="008C5D8B">
        <w:rPr>
          <w:lang w:eastAsia="en-GB"/>
        </w:rPr>
        <w:t>Employing easy-to-understand language and simple, intuitive design can make the metaverse more accessible, improving the user experience and reducing its overall digital carbon footprint. By adopting easy-to-understand principles in the design of the metaverse, we can make it easier to access, navigate, understand</w:t>
      </w:r>
      <w:r w:rsidR="007E6F62">
        <w:rPr>
          <w:lang w:eastAsia="en-GB"/>
        </w:rPr>
        <w:t xml:space="preserve"> and</w:t>
      </w:r>
      <w:r w:rsidRPr="008C5D8B">
        <w:rPr>
          <w:lang w:eastAsia="en-GB"/>
        </w:rPr>
        <w:t xml:space="preserve"> interact with a wide range of potential users.</w:t>
      </w:r>
    </w:p>
    <w:p w14:paraId="7D180F97" w14:textId="77777777" w:rsidR="0082705B" w:rsidRPr="008C5D8B" w:rsidRDefault="0082705B" w:rsidP="0082705B">
      <w:pPr>
        <w:spacing w:before="0"/>
        <w:rPr>
          <w:lang w:eastAsia="en-GB"/>
        </w:rPr>
      </w:pPr>
      <w:r w:rsidRPr="008C5D8B">
        <w:rPr>
          <w:lang w:eastAsia="en-GB"/>
        </w:rPr>
        <w:br w:type="page"/>
      </w:r>
    </w:p>
    <w:p w14:paraId="1F1B1C27" w14:textId="77777777" w:rsidR="0082705B" w:rsidRPr="008C5D8B" w:rsidRDefault="0082705B" w:rsidP="00063934">
      <w:pPr>
        <w:pStyle w:val="AppendixNoTitle"/>
      </w:pPr>
      <w:bookmarkStart w:id="104" w:name="_Toc152610371"/>
      <w:bookmarkStart w:id="105" w:name="_Toc153267497"/>
      <w:bookmarkStart w:id="106" w:name="_Toc167978694"/>
      <w:bookmarkStart w:id="107" w:name="_Toc177134634"/>
      <w:bookmarkStart w:id="108" w:name="_Hlk168034466"/>
      <w:bookmarkEnd w:id="69"/>
      <w:bookmarkEnd w:id="70"/>
      <w:bookmarkEnd w:id="71"/>
      <w:r w:rsidRPr="008C5D8B">
        <w:t>Bibliography</w:t>
      </w:r>
      <w:bookmarkEnd w:id="104"/>
      <w:bookmarkEnd w:id="105"/>
      <w:bookmarkEnd w:id="106"/>
      <w:bookmarkEnd w:id="107"/>
    </w:p>
    <w:p w14:paraId="5E6E9FCC" w14:textId="77777777" w:rsidR="00FD0940" w:rsidRPr="008C5D8B" w:rsidRDefault="00FD0940" w:rsidP="00FD0940">
      <w:pPr>
        <w:pStyle w:val="Reftext"/>
      </w:pPr>
    </w:p>
    <w:p w14:paraId="58B6A281" w14:textId="22528DB5" w:rsidR="00E56A20" w:rsidRPr="008C5D8B" w:rsidRDefault="00E56A20" w:rsidP="20AD8DED">
      <w:pPr>
        <w:pStyle w:val="Reftext"/>
        <w:tabs>
          <w:tab w:val="clear" w:pos="794"/>
          <w:tab w:val="clear" w:pos="1191"/>
          <w:tab w:val="clear" w:pos="1588"/>
          <w:tab w:val="clear" w:pos="1985"/>
          <w:tab w:val="left" w:pos="2268"/>
        </w:tabs>
        <w:ind w:left="2268" w:hanging="2268"/>
        <w:rPr>
          <w:szCs w:val="24"/>
        </w:rPr>
      </w:pPr>
      <w:r w:rsidRPr="0073715A">
        <w:t>[</w:t>
      </w:r>
      <w:r w:rsidRPr="0073715A">
        <w:rPr>
          <w:rFonts w:eastAsia="MS Mincho"/>
          <w:lang w:eastAsia="ja-JP" w:bidi="ar-DZ"/>
        </w:rPr>
        <w:t>b-ITU-T F.791</w:t>
      </w:r>
      <w:r w:rsidRPr="0073715A">
        <w:t>]</w:t>
      </w:r>
      <w:r w:rsidRPr="008C5D8B">
        <w:rPr>
          <w:szCs w:val="24"/>
        </w:rPr>
        <w:tab/>
      </w:r>
      <w:r w:rsidRPr="0073715A">
        <w:rPr>
          <w:rFonts w:eastAsia="MS Mincho"/>
          <w:lang w:eastAsia="ja-JP" w:bidi="ar-DZ"/>
        </w:rPr>
        <w:t>Recommendation ITU-T F.791 (201</w:t>
      </w:r>
      <w:r w:rsidR="0073715A">
        <w:rPr>
          <w:rFonts w:eastAsia="MS Mincho"/>
          <w:lang w:eastAsia="ja-JP" w:bidi="ar-DZ"/>
        </w:rPr>
        <w:t>8</w:t>
      </w:r>
      <w:r w:rsidRPr="0073715A">
        <w:rPr>
          <w:rFonts w:eastAsia="MS Mincho"/>
          <w:lang w:eastAsia="ja-JP" w:bidi="ar-DZ"/>
        </w:rPr>
        <w:t xml:space="preserve">), </w:t>
      </w:r>
      <w:r w:rsidRPr="0073715A">
        <w:rPr>
          <w:rFonts w:eastAsia="MS Mincho"/>
          <w:i/>
          <w:iCs/>
          <w:lang w:eastAsia="ja-JP" w:bidi="ar-DZ"/>
        </w:rPr>
        <w:t>Accessibility terms and definitions</w:t>
      </w:r>
      <w:r w:rsidR="00AD0E31" w:rsidRPr="0073715A">
        <w:rPr>
          <w:rFonts w:eastAsia="MS Mincho"/>
          <w:i/>
          <w:iCs/>
          <w:lang w:eastAsia="ja-JP" w:bidi="ar-DZ"/>
        </w:rPr>
        <w:t>.</w:t>
      </w:r>
    </w:p>
    <w:p w14:paraId="7185253F" w14:textId="7A477F69" w:rsidR="00E56A20" w:rsidRPr="008C5D8B" w:rsidRDefault="00E56A20" w:rsidP="00E56A20">
      <w:pPr>
        <w:pStyle w:val="Reftext"/>
        <w:tabs>
          <w:tab w:val="clear" w:pos="794"/>
          <w:tab w:val="clear" w:pos="1191"/>
          <w:tab w:val="clear" w:pos="1588"/>
          <w:tab w:val="clear" w:pos="1985"/>
          <w:tab w:val="left" w:pos="2268"/>
        </w:tabs>
        <w:ind w:left="2268" w:hanging="2268"/>
        <w:rPr>
          <w:szCs w:val="24"/>
        </w:rPr>
      </w:pPr>
      <w:r w:rsidRPr="008C5D8B">
        <w:rPr>
          <w:szCs w:val="24"/>
        </w:rPr>
        <w:t>[b-ITU-T J.301]</w:t>
      </w:r>
      <w:r w:rsidRPr="008C5D8B">
        <w:rPr>
          <w:szCs w:val="24"/>
        </w:rPr>
        <w:tab/>
        <w:t xml:space="preserve">Recommendation ITU-T J.301 (2014), </w:t>
      </w:r>
      <w:r w:rsidRPr="008C5D8B">
        <w:rPr>
          <w:i/>
          <w:iCs/>
          <w:szCs w:val="24"/>
        </w:rPr>
        <w:t>Requirements for augmented reality smart television systems.</w:t>
      </w:r>
    </w:p>
    <w:p w14:paraId="25605F21" w14:textId="23EFE964" w:rsidR="00E56A20" w:rsidRPr="008C5D8B" w:rsidRDefault="00E56A20" w:rsidP="00E56A20">
      <w:pPr>
        <w:pStyle w:val="Reftext"/>
        <w:tabs>
          <w:tab w:val="clear" w:pos="794"/>
          <w:tab w:val="clear" w:pos="1191"/>
          <w:tab w:val="clear" w:pos="1588"/>
          <w:tab w:val="clear" w:pos="1985"/>
          <w:tab w:val="left" w:pos="2268"/>
        </w:tabs>
        <w:ind w:left="2268" w:hanging="2268"/>
        <w:rPr>
          <w:szCs w:val="24"/>
        </w:rPr>
      </w:pPr>
      <w:r w:rsidRPr="008C5D8B">
        <w:rPr>
          <w:szCs w:val="24"/>
        </w:rPr>
        <w:t>[b-ISO/IEC 71]</w:t>
      </w:r>
      <w:r w:rsidRPr="008C5D8B">
        <w:rPr>
          <w:szCs w:val="24"/>
        </w:rPr>
        <w:tab/>
        <w:t xml:space="preserve">ISO/IEC 71:2014, </w:t>
      </w:r>
      <w:r w:rsidRPr="008C5D8B">
        <w:rPr>
          <w:i/>
          <w:iCs/>
          <w:szCs w:val="24"/>
        </w:rPr>
        <w:t>Guide for addressing accessibility in standards</w:t>
      </w:r>
      <w:r w:rsidRPr="008C5D8B">
        <w:rPr>
          <w:szCs w:val="24"/>
        </w:rPr>
        <w:t>.</w:t>
      </w:r>
    </w:p>
    <w:p w14:paraId="7D2E4562" w14:textId="77777777" w:rsidR="00E56A20" w:rsidRPr="008C5D8B" w:rsidRDefault="00E56A20" w:rsidP="00E56A20">
      <w:pPr>
        <w:pStyle w:val="Reftext"/>
        <w:tabs>
          <w:tab w:val="clear" w:pos="794"/>
          <w:tab w:val="clear" w:pos="1191"/>
          <w:tab w:val="clear" w:pos="1588"/>
          <w:tab w:val="clear" w:pos="1985"/>
          <w:tab w:val="left" w:pos="2268"/>
        </w:tabs>
        <w:ind w:left="2268" w:hanging="2268"/>
        <w:rPr>
          <w:szCs w:val="24"/>
        </w:rPr>
      </w:pPr>
      <w:r w:rsidRPr="008C5D8B">
        <w:rPr>
          <w:szCs w:val="24"/>
        </w:rPr>
        <w:t>[b-ISO/IEC 2382]</w:t>
      </w:r>
      <w:r w:rsidRPr="008C5D8B">
        <w:rPr>
          <w:szCs w:val="24"/>
        </w:rPr>
        <w:tab/>
        <w:t xml:space="preserve">ISO/IEC 2382:2015, </w:t>
      </w:r>
      <w:r w:rsidRPr="008C5D8B">
        <w:rPr>
          <w:i/>
          <w:iCs/>
          <w:szCs w:val="24"/>
        </w:rPr>
        <w:t>Information technology – Vocabulary</w:t>
      </w:r>
      <w:r w:rsidRPr="008C5D8B">
        <w:rPr>
          <w:szCs w:val="24"/>
        </w:rPr>
        <w:t>.</w:t>
      </w:r>
    </w:p>
    <w:p w14:paraId="77755923" w14:textId="77777777" w:rsidR="00BE49BA" w:rsidRPr="008C5D8B" w:rsidRDefault="00BE49BA" w:rsidP="00BE49BA">
      <w:pPr>
        <w:pStyle w:val="Reftext"/>
        <w:tabs>
          <w:tab w:val="clear" w:pos="794"/>
          <w:tab w:val="clear" w:pos="1191"/>
          <w:tab w:val="clear" w:pos="1588"/>
          <w:tab w:val="clear" w:pos="1985"/>
          <w:tab w:val="left" w:pos="2268"/>
        </w:tabs>
        <w:ind w:left="2268" w:hanging="2268"/>
        <w:rPr>
          <w:szCs w:val="24"/>
        </w:rPr>
      </w:pPr>
      <w:r w:rsidRPr="008C5D8B">
        <w:rPr>
          <w:szCs w:val="24"/>
        </w:rPr>
        <w:t>[b-ISO/IEC 9241-11]</w:t>
      </w:r>
      <w:r w:rsidRPr="008C5D8B">
        <w:rPr>
          <w:szCs w:val="24"/>
        </w:rPr>
        <w:tab/>
        <w:t xml:space="preserve">ISO/IEC 9241-11:2018, </w:t>
      </w:r>
      <w:r w:rsidRPr="008C5D8B">
        <w:rPr>
          <w:i/>
          <w:iCs/>
          <w:szCs w:val="24"/>
        </w:rPr>
        <w:t>Ergonomics of human-system interaction – Part 11: Usability: definitions and concepts</w:t>
      </w:r>
      <w:r w:rsidRPr="008C5D8B">
        <w:rPr>
          <w:szCs w:val="24"/>
        </w:rPr>
        <w:t>.</w:t>
      </w:r>
    </w:p>
    <w:p w14:paraId="7328BCFB" w14:textId="5B28D663" w:rsidR="00E56A20" w:rsidRPr="008C5D8B" w:rsidRDefault="00E56A20" w:rsidP="00E56A20">
      <w:pPr>
        <w:pStyle w:val="Reftext"/>
        <w:tabs>
          <w:tab w:val="clear" w:pos="794"/>
          <w:tab w:val="clear" w:pos="1191"/>
          <w:tab w:val="clear" w:pos="1588"/>
          <w:tab w:val="clear" w:pos="1985"/>
          <w:tab w:val="left" w:pos="2268"/>
        </w:tabs>
        <w:ind w:left="2268" w:hanging="2268"/>
        <w:rPr>
          <w:szCs w:val="24"/>
        </w:rPr>
      </w:pPr>
      <w:r w:rsidRPr="008C5D8B">
        <w:rPr>
          <w:szCs w:val="24"/>
        </w:rPr>
        <w:t>[b-ISO/IEC 23859]</w:t>
      </w:r>
      <w:r w:rsidRPr="008C5D8B">
        <w:rPr>
          <w:szCs w:val="24"/>
        </w:rPr>
        <w:tab/>
        <w:t xml:space="preserve">ISO/IEC 23859:2023, </w:t>
      </w:r>
      <w:r w:rsidRPr="008C5D8B">
        <w:rPr>
          <w:i/>
          <w:iCs/>
          <w:szCs w:val="24"/>
        </w:rPr>
        <w:t>Information technology – User interfaces – Requirements and recommendations on making written text easy to read and understand</w:t>
      </w:r>
      <w:r w:rsidRPr="008C5D8B">
        <w:rPr>
          <w:szCs w:val="24"/>
        </w:rPr>
        <w:t>.</w:t>
      </w:r>
    </w:p>
    <w:p w14:paraId="6E13C73A" w14:textId="3E37FF8B"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[b-Fernando]</w:t>
      </w:r>
      <w:r w:rsidRPr="008C5D8B">
        <w:rPr>
          <w:iCs/>
          <w:szCs w:val="24"/>
        </w:rPr>
        <w:tab/>
        <w:t>Fernando, Y., and Rubakanthan, S. (2021)</w:t>
      </w:r>
      <w:r w:rsidR="005A4D86">
        <w:rPr>
          <w:iCs/>
          <w:szCs w:val="24"/>
        </w:rPr>
        <w:t>,</w:t>
      </w:r>
      <w:r w:rsidRPr="008C5D8B">
        <w:rPr>
          <w:i/>
          <w:szCs w:val="24"/>
        </w:rPr>
        <w:t xml:space="preserve"> Blockchain Technology: Energy</w:t>
      </w:r>
      <w:r w:rsidR="00774C43" w:rsidRPr="008C5D8B">
        <w:rPr>
          <w:i/>
          <w:szCs w:val="24"/>
        </w:rPr>
        <w:t> </w:t>
      </w:r>
      <w:r w:rsidRPr="008C5D8B">
        <w:rPr>
          <w:i/>
          <w:szCs w:val="24"/>
        </w:rPr>
        <w:t>Efficiency and Ethical Compliance</w:t>
      </w:r>
      <w:r w:rsidR="00AD0E31">
        <w:rPr>
          <w:iCs/>
          <w:szCs w:val="24"/>
        </w:rPr>
        <w:t>,</w:t>
      </w:r>
      <w:r w:rsidRPr="008C5D8B">
        <w:rPr>
          <w:iCs/>
          <w:szCs w:val="24"/>
        </w:rPr>
        <w:t xml:space="preserve"> Journal of Governance and Integrity, </w:t>
      </w:r>
      <w:r w:rsidR="00AD0E31">
        <w:rPr>
          <w:iCs/>
          <w:szCs w:val="24"/>
        </w:rPr>
        <w:t xml:space="preserve">Vol. </w:t>
      </w:r>
      <w:r w:rsidRPr="008C5D8B">
        <w:rPr>
          <w:iCs/>
          <w:szCs w:val="24"/>
        </w:rPr>
        <w:t>4</w:t>
      </w:r>
      <w:r w:rsidR="00AD0E31">
        <w:rPr>
          <w:iCs/>
          <w:szCs w:val="24"/>
        </w:rPr>
        <w:t xml:space="preserve">, No. </w:t>
      </w:r>
      <w:r w:rsidRPr="008C5D8B">
        <w:rPr>
          <w:iCs/>
          <w:szCs w:val="24"/>
        </w:rPr>
        <w:t>2, pp. 88</w:t>
      </w:r>
      <w:r w:rsidR="00AD0E31">
        <w:rPr>
          <w:iCs/>
          <w:szCs w:val="24"/>
        </w:rPr>
        <w:t>–</w:t>
      </w:r>
      <w:r w:rsidRPr="008C5D8B">
        <w:rPr>
          <w:iCs/>
          <w:szCs w:val="24"/>
        </w:rPr>
        <w:t>95.</w:t>
      </w:r>
    </w:p>
    <w:bookmarkEnd w:id="108"/>
    <w:p w14:paraId="07CEEBB8" w14:textId="05D38FBD"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[b-FGMV-04]</w:t>
      </w:r>
      <w:r w:rsidRPr="008C5D8B">
        <w:rPr>
          <w:iCs/>
          <w:szCs w:val="24"/>
        </w:rPr>
        <w:tab/>
      </w:r>
      <w:r w:rsidR="005A4D86" w:rsidRPr="0073715A">
        <w:t xml:space="preserve">ITU FGMV-04 (2023), </w:t>
      </w:r>
      <w:r w:rsidRPr="0073715A">
        <w:t xml:space="preserve">Technical Specifications on </w:t>
      </w:r>
      <w:r w:rsidRPr="0073715A">
        <w:rPr>
          <w:i/>
          <w:iCs/>
        </w:rPr>
        <w:t>Requirements of accessible products and services in the metaverse: Part I – System design perspective</w:t>
      </w:r>
      <w:r w:rsidRPr="0073715A">
        <w:t xml:space="preserve">. </w:t>
      </w:r>
      <w:hyperlink r:id="rId22" w:history="1">
        <w:r w:rsidR="00063934" w:rsidRPr="008C5D8B">
          <w:rPr>
            <w:rStyle w:val="Hyperlink"/>
            <w:rFonts w:ascii="Arial" w:hAnsi="Arial" w:cs="Arial"/>
            <w:sz w:val="16"/>
            <w:szCs w:val="16"/>
          </w:rPr>
          <w:t>https://www.itu.int/en/ITU-T/focusgroups/mv/Documents/List%20of%20FG-MV%20deliverables/FGMV-04.pdf</w:t>
        </w:r>
      </w:hyperlink>
    </w:p>
    <w:p w14:paraId="283597D6" w14:textId="50474B24" w:rsidR="0082705B" w:rsidRPr="008E219A" w:rsidRDefault="0082705B">
      <w:pPr>
        <w:pStyle w:val="Reftext"/>
        <w:tabs>
          <w:tab w:val="clear" w:pos="794"/>
          <w:tab w:val="clear" w:pos="1191"/>
          <w:tab w:val="clear" w:pos="1588"/>
          <w:tab w:val="clear" w:pos="1985"/>
          <w:tab w:val="left" w:pos="2268"/>
        </w:tabs>
        <w:ind w:left="2268" w:hanging="2268"/>
        <w:rPr>
          <w:rStyle w:val="Hyperlink"/>
          <w:rFonts w:eastAsia="MS Mincho"/>
          <w:sz w:val="16"/>
          <w:szCs w:val="16"/>
          <w:lang w:eastAsia="ja-JP"/>
        </w:rPr>
      </w:pPr>
      <w:r w:rsidRPr="0073715A">
        <w:t>[b-FGMV-05]</w:t>
      </w:r>
      <w:r w:rsidRPr="008C5D8B">
        <w:rPr>
          <w:iCs/>
          <w:szCs w:val="24"/>
        </w:rPr>
        <w:tab/>
      </w:r>
      <w:r w:rsidR="005A4D86" w:rsidRPr="0073715A">
        <w:t xml:space="preserve">ITU FGMV-05 (2023), </w:t>
      </w:r>
      <w:r w:rsidRPr="0073715A">
        <w:t xml:space="preserve">Technical Specifications on </w:t>
      </w:r>
      <w:r w:rsidRPr="0073715A">
        <w:rPr>
          <w:i/>
          <w:iCs/>
        </w:rPr>
        <w:t>Requirements of accessible products and services in the metaverse: Part II – User perspective</w:t>
      </w:r>
      <w:r w:rsidRPr="0073715A">
        <w:t xml:space="preserve">. </w:t>
      </w:r>
      <w:hyperlink r:id="rId23" w:history="1">
        <w:r w:rsidR="00F91AB2" w:rsidRPr="008C5D8B">
          <w:rPr>
            <w:rStyle w:val="Hyperlink"/>
            <w:rFonts w:ascii="Arial" w:hAnsi="Arial" w:cs="Arial"/>
            <w:sz w:val="16"/>
            <w:szCs w:val="16"/>
          </w:rPr>
          <w:t>https://www.itu.int/en/ITU-T/focusgroups/mv/Documents/List%20of%20FG-MV%20deliverables/FGMV-05.pdf</w:t>
        </w:r>
      </w:hyperlink>
    </w:p>
    <w:p w14:paraId="39D1D34A" w14:textId="48112A03" w:rsidR="00760974" w:rsidRPr="008E219A" w:rsidRDefault="000F352C">
      <w:pPr>
        <w:pStyle w:val="Reftext"/>
        <w:tabs>
          <w:tab w:val="clear" w:pos="794"/>
          <w:tab w:val="clear" w:pos="1191"/>
          <w:tab w:val="clear" w:pos="1588"/>
          <w:tab w:val="clear" w:pos="1985"/>
          <w:tab w:val="left" w:pos="2268"/>
        </w:tabs>
        <w:ind w:left="2268" w:hanging="2268"/>
        <w:rPr>
          <w:rFonts w:eastAsia="MS Mincho"/>
          <w:sz w:val="16"/>
          <w:szCs w:val="16"/>
          <w:lang w:eastAsia="ja-JP"/>
        </w:rPr>
      </w:pPr>
      <w:r w:rsidRPr="0073715A">
        <w:t>[b-FGMV-0</w:t>
      </w:r>
      <w:r w:rsidRPr="0073715A">
        <w:rPr>
          <w:rFonts w:eastAsia="MS Mincho"/>
          <w:lang w:eastAsia="ja-JP"/>
        </w:rPr>
        <w:t>8</w:t>
      </w:r>
      <w:r w:rsidRPr="0073715A">
        <w:t>]</w:t>
      </w:r>
      <w:r w:rsidRPr="008C5D8B">
        <w:rPr>
          <w:iCs/>
          <w:szCs w:val="24"/>
        </w:rPr>
        <w:tab/>
      </w:r>
      <w:r w:rsidR="005A4D86" w:rsidRPr="0073715A">
        <w:t xml:space="preserve">ITU FGMV-08 (2023), </w:t>
      </w:r>
      <w:r w:rsidRPr="0073715A">
        <w:t>Technical Specifications on</w:t>
      </w:r>
      <w:r w:rsidRPr="0073715A">
        <w:rPr>
          <w:rFonts w:eastAsia="MS Mincho"/>
          <w:lang w:eastAsia="ja-JP"/>
        </w:rPr>
        <w:t xml:space="preserve"> </w:t>
      </w:r>
      <w:r w:rsidR="00760974" w:rsidRPr="0073715A">
        <w:rPr>
          <w:rFonts w:eastAsia="MS Mincho"/>
          <w:i/>
          <w:iCs/>
          <w:lang w:eastAsia="ja-JP"/>
        </w:rPr>
        <w:t>d</w:t>
      </w:r>
      <w:r w:rsidRPr="0073715A">
        <w:rPr>
          <w:rFonts w:eastAsia="MS Mincho"/>
          <w:i/>
          <w:iCs/>
          <w:lang w:eastAsia="ja-JP"/>
        </w:rPr>
        <w:t xml:space="preserve">esign </w:t>
      </w:r>
      <w:r w:rsidR="00760974" w:rsidRPr="0073715A">
        <w:rPr>
          <w:rFonts w:eastAsia="MS Mincho"/>
          <w:i/>
          <w:iCs/>
          <w:lang w:eastAsia="ja-JP"/>
        </w:rPr>
        <w:t>c</w:t>
      </w:r>
      <w:r w:rsidRPr="0073715A">
        <w:rPr>
          <w:rFonts w:eastAsia="MS Mincho"/>
          <w:i/>
          <w:iCs/>
          <w:lang w:eastAsia="ja-JP"/>
        </w:rPr>
        <w:t xml:space="preserve">riteria and technical requirements for sustainable </w:t>
      </w:r>
      <w:r w:rsidRPr="0073715A">
        <w:rPr>
          <w:i/>
          <w:iCs/>
        </w:rPr>
        <w:t>metaverse</w:t>
      </w:r>
      <w:r w:rsidRPr="0073715A">
        <w:rPr>
          <w:rFonts w:eastAsia="MS Mincho"/>
          <w:i/>
          <w:iCs/>
          <w:lang w:eastAsia="ja-JP"/>
        </w:rPr>
        <w:t xml:space="preserve"> ecosystems</w:t>
      </w:r>
      <w:r w:rsidRPr="0073715A">
        <w:rPr>
          <w:rFonts w:eastAsia="MS Mincho"/>
          <w:lang w:eastAsia="ja-JP"/>
        </w:rPr>
        <w:t>.</w:t>
      </w:r>
      <w:r w:rsidR="00760974" w:rsidRPr="0073715A">
        <w:rPr>
          <w:rFonts w:eastAsia="MS Mincho"/>
          <w:lang w:eastAsia="ja-JP"/>
        </w:rPr>
        <w:t xml:space="preserve"> Available at: </w:t>
      </w:r>
      <w:hyperlink r:id="rId24" w:history="1">
        <w:r w:rsidR="00063934" w:rsidRPr="008C5D8B">
          <w:rPr>
            <w:rStyle w:val="Hyperlink"/>
            <w:rFonts w:ascii="Arial" w:eastAsia="MS Mincho" w:hAnsi="Arial" w:cs="Arial"/>
            <w:sz w:val="16"/>
            <w:szCs w:val="16"/>
            <w:lang w:eastAsia="ja-JP"/>
          </w:rPr>
          <w:t>https://www.itu.int/en/ITU-T/focusgroups/mv/Documents/List%20of%20FG-MV%20deliverables/FGMV-08.pdf</w:t>
        </w:r>
      </w:hyperlink>
    </w:p>
    <w:p w14:paraId="2B0EA3BE" w14:textId="49290655"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[b-Greenwood</w:t>
      </w:r>
      <w:r w:rsidR="005A4D86" w:rsidRPr="0073715A">
        <w:t>-1</w:t>
      </w:r>
      <w:r w:rsidRPr="0073715A">
        <w:t>]</w:t>
      </w:r>
      <w:r w:rsidRPr="008C5D8B">
        <w:rPr>
          <w:iCs/>
          <w:szCs w:val="24"/>
        </w:rPr>
        <w:tab/>
      </w:r>
      <w:r w:rsidRPr="0073715A">
        <w:t>Greenwood, F., Howarth, C., Escudero Poole, D., Raymond, N., A. and Scarnecchia, D., P. (2017)</w:t>
      </w:r>
      <w:r w:rsidR="005A4D86" w:rsidRPr="0073715A">
        <w:t>,</w:t>
      </w:r>
      <w:r w:rsidRPr="0073715A">
        <w:rPr>
          <w:i/>
          <w:iCs/>
        </w:rPr>
        <w:t xml:space="preserve"> The Signal Code: A Human Rights Approach to Information During Crisis</w:t>
      </w:r>
      <w:r w:rsidRPr="0073715A">
        <w:t xml:space="preserve"> in Harvard Humanitarian Initiative, pp. 1</w:t>
      </w:r>
      <w:r w:rsidR="005A4D86" w:rsidRPr="0073715A">
        <w:t>–</w:t>
      </w:r>
      <w:r w:rsidRPr="0073715A">
        <w:t>74.</w:t>
      </w:r>
    </w:p>
    <w:p w14:paraId="6BAC6FEF" w14:textId="3D12100D"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[b-Greenwood</w:t>
      </w:r>
      <w:r w:rsidR="005A4D86" w:rsidRPr="0073715A">
        <w:t>-2</w:t>
      </w:r>
      <w:r w:rsidRPr="0073715A">
        <w:t>]</w:t>
      </w:r>
      <w:r w:rsidRPr="008C5D8B">
        <w:rPr>
          <w:iCs/>
          <w:szCs w:val="24"/>
        </w:rPr>
        <w:tab/>
      </w:r>
      <w:r w:rsidRPr="0073715A">
        <w:t>Greenwood, T. (2022)</w:t>
      </w:r>
      <w:r w:rsidR="005A4D86" w:rsidRPr="0073715A">
        <w:t>,</w:t>
      </w:r>
      <w:r w:rsidRPr="0073715A">
        <w:rPr>
          <w:i/>
          <w:iCs/>
        </w:rPr>
        <w:t xml:space="preserve"> Digital Design for the Planet and People </w:t>
      </w:r>
      <w:r w:rsidRPr="0073715A">
        <w:t>presented at Green Digital Accessibility Conference, 1 December.</w:t>
      </w:r>
    </w:p>
    <w:p w14:paraId="514F21B4" w14:textId="2F37D846"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[b-Goyle]</w:t>
      </w:r>
      <w:r w:rsidRPr="008C5D8B">
        <w:rPr>
          <w:iCs/>
          <w:szCs w:val="24"/>
        </w:rPr>
        <w:tab/>
        <w:t>Goyle, V., Krishnaswamy, P., Girija, Ravikumar, K. and Goyle, K. (2023)</w:t>
      </w:r>
      <w:r w:rsidR="005A4D86">
        <w:rPr>
          <w:iCs/>
          <w:szCs w:val="24"/>
        </w:rPr>
        <w:t>,</w:t>
      </w:r>
      <w:r w:rsidRPr="008C5D8B">
        <w:rPr>
          <w:i/>
          <w:szCs w:val="24"/>
        </w:rPr>
        <w:t xml:space="preserve"> Neural Machine Translation for Low Resource Languages</w:t>
      </w:r>
      <w:r w:rsidRPr="008C5D8B">
        <w:rPr>
          <w:iCs/>
          <w:szCs w:val="24"/>
        </w:rPr>
        <w:t>, eprint, pp. 1</w:t>
      </w:r>
      <w:r w:rsidR="005A4D86">
        <w:rPr>
          <w:iCs/>
          <w:szCs w:val="24"/>
        </w:rPr>
        <w:t>–</w:t>
      </w:r>
      <w:r w:rsidRPr="008C5D8B">
        <w:rPr>
          <w:iCs/>
          <w:szCs w:val="24"/>
        </w:rPr>
        <w:t xml:space="preserve">9. </w:t>
      </w:r>
      <w:hyperlink r:id="rId25" w:history="1">
        <w:r w:rsidR="00FE28A9" w:rsidRPr="008C5D8B">
          <w:rPr>
            <w:rStyle w:val="Hyperlink"/>
            <w:rFonts w:ascii="Arial" w:hAnsi="Arial" w:cs="Arial"/>
            <w:sz w:val="16"/>
            <w:szCs w:val="16"/>
          </w:rPr>
          <w:t>https://arxiv.org/abs/2304.07869</w:t>
        </w:r>
      </w:hyperlink>
    </w:p>
    <w:p w14:paraId="63CCD639" w14:textId="5C98F516"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[b-Haynes]</w:t>
      </w:r>
      <w:r w:rsidRPr="008C5D8B">
        <w:rPr>
          <w:iCs/>
          <w:szCs w:val="24"/>
        </w:rPr>
        <w:tab/>
        <w:t>Haynes, A., and Alsaab, H. (2022)</w:t>
      </w:r>
      <w:r w:rsidR="005A4D86">
        <w:rPr>
          <w:iCs/>
          <w:szCs w:val="24"/>
        </w:rPr>
        <w:t>,</w:t>
      </w:r>
      <w:r w:rsidRPr="008C5D8B">
        <w:rPr>
          <w:i/>
          <w:szCs w:val="24"/>
        </w:rPr>
        <w:t xml:space="preserve"> Will the Metaverse be Accessible? </w:t>
      </w:r>
      <w:r w:rsidRPr="008C5D8B">
        <w:rPr>
          <w:iCs/>
          <w:szCs w:val="24"/>
        </w:rPr>
        <w:t xml:space="preserve">Inside Equal Access, Kent State University. </w:t>
      </w:r>
      <w:hyperlink r:id="rId26" w:history="1">
        <w:r w:rsidR="00281A92" w:rsidRPr="008C5D8B">
          <w:rPr>
            <w:rStyle w:val="Hyperlink"/>
            <w:rFonts w:ascii="Arial" w:hAnsi="Arial" w:cs="Arial"/>
            <w:sz w:val="16"/>
            <w:szCs w:val="16"/>
          </w:rPr>
          <w:t>https://www.kent.edu/equalaccess/news/will-metaverse-be-accessible</w:t>
        </w:r>
      </w:hyperlink>
    </w:p>
    <w:p w14:paraId="43658118" w14:textId="6C4EA7EE" w:rsidR="0082705B" w:rsidRPr="008C5D8B" w:rsidRDefault="0082705B" w:rsidP="00063934">
      <w:pPr>
        <w:pStyle w:val="Reftext"/>
        <w:tabs>
          <w:tab w:val="clear" w:pos="794"/>
          <w:tab w:val="clear" w:pos="1191"/>
          <w:tab w:val="clear" w:pos="1588"/>
          <w:tab w:val="clear" w:pos="1985"/>
          <w:tab w:val="left" w:pos="2268"/>
        </w:tabs>
        <w:ind w:left="2268" w:hanging="2268"/>
        <w:rPr>
          <w:szCs w:val="24"/>
        </w:rPr>
      </w:pPr>
      <w:r w:rsidRPr="008C5D8B">
        <w:rPr>
          <w:szCs w:val="24"/>
        </w:rPr>
        <w:t>[b-Jankowska]</w:t>
      </w:r>
      <w:r w:rsidRPr="008C5D8B">
        <w:rPr>
          <w:szCs w:val="24"/>
        </w:rPr>
        <w:tab/>
      </w:r>
      <w:r w:rsidR="005A4D86">
        <w:rPr>
          <w:szCs w:val="24"/>
        </w:rPr>
        <w:t xml:space="preserve">Jankowska, A (2015), </w:t>
      </w:r>
      <w:r w:rsidRPr="008C5D8B">
        <w:rPr>
          <w:i/>
          <w:iCs/>
          <w:szCs w:val="24"/>
        </w:rPr>
        <w:t xml:space="preserve">Translating </w:t>
      </w:r>
      <w:r w:rsidR="005A4D86">
        <w:rPr>
          <w:i/>
          <w:iCs/>
          <w:szCs w:val="24"/>
        </w:rPr>
        <w:t>A</w:t>
      </w:r>
      <w:r w:rsidRPr="008C5D8B">
        <w:rPr>
          <w:i/>
          <w:iCs/>
          <w:szCs w:val="24"/>
        </w:rPr>
        <w:t xml:space="preserve">udio </w:t>
      </w:r>
      <w:r w:rsidR="005A4D86">
        <w:rPr>
          <w:i/>
          <w:iCs/>
          <w:szCs w:val="24"/>
        </w:rPr>
        <w:t>D</w:t>
      </w:r>
      <w:r w:rsidRPr="008C5D8B">
        <w:rPr>
          <w:i/>
          <w:iCs/>
          <w:szCs w:val="24"/>
        </w:rPr>
        <w:t xml:space="preserve">escription </w:t>
      </w:r>
      <w:r w:rsidR="005A4D86">
        <w:rPr>
          <w:i/>
          <w:iCs/>
          <w:szCs w:val="24"/>
        </w:rPr>
        <w:t>S</w:t>
      </w:r>
      <w:r w:rsidRPr="008C5D8B">
        <w:rPr>
          <w:i/>
          <w:iCs/>
          <w:szCs w:val="24"/>
        </w:rPr>
        <w:t xml:space="preserve">cripts </w:t>
      </w:r>
      <w:r w:rsidR="005A4D86">
        <w:rPr>
          <w:i/>
          <w:iCs/>
          <w:szCs w:val="24"/>
        </w:rPr>
        <w:t>T</w:t>
      </w:r>
      <w:r w:rsidRPr="008C5D8B">
        <w:rPr>
          <w:i/>
          <w:iCs/>
          <w:szCs w:val="24"/>
        </w:rPr>
        <w:t xml:space="preserve">ranslation as a </w:t>
      </w:r>
      <w:r w:rsidR="005A4D86">
        <w:rPr>
          <w:i/>
          <w:iCs/>
          <w:szCs w:val="24"/>
        </w:rPr>
        <w:t>N</w:t>
      </w:r>
      <w:r w:rsidRPr="008C5D8B">
        <w:rPr>
          <w:i/>
          <w:iCs/>
          <w:szCs w:val="24"/>
        </w:rPr>
        <w:t xml:space="preserve">ew </w:t>
      </w:r>
      <w:r w:rsidR="005A4D86">
        <w:rPr>
          <w:i/>
          <w:iCs/>
          <w:szCs w:val="24"/>
        </w:rPr>
        <w:t>S</w:t>
      </w:r>
      <w:r w:rsidRPr="008C5D8B">
        <w:rPr>
          <w:i/>
          <w:iCs/>
          <w:szCs w:val="24"/>
        </w:rPr>
        <w:t xml:space="preserve">trategy of </w:t>
      </w:r>
      <w:r w:rsidR="005A4D86">
        <w:rPr>
          <w:i/>
          <w:iCs/>
          <w:szCs w:val="24"/>
        </w:rPr>
        <w:t>C</w:t>
      </w:r>
      <w:r w:rsidRPr="008C5D8B">
        <w:rPr>
          <w:i/>
          <w:iCs/>
          <w:szCs w:val="24"/>
        </w:rPr>
        <w:t xml:space="preserve">reating </w:t>
      </w:r>
      <w:r w:rsidR="005A4D86">
        <w:rPr>
          <w:i/>
          <w:iCs/>
          <w:szCs w:val="24"/>
        </w:rPr>
        <w:t>A</w:t>
      </w:r>
      <w:r w:rsidRPr="008C5D8B">
        <w:rPr>
          <w:i/>
          <w:iCs/>
          <w:szCs w:val="24"/>
        </w:rPr>
        <w:t xml:space="preserve">udio </w:t>
      </w:r>
      <w:r w:rsidR="005A4D86">
        <w:rPr>
          <w:i/>
          <w:iCs/>
          <w:szCs w:val="24"/>
        </w:rPr>
        <w:t>D</w:t>
      </w:r>
      <w:r w:rsidRPr="008C5D8B">
        <w:rPr>
          <w:i/>
          <w:iCs/>
          <w:szCs w:val="24"/>
        </w:rPr>
        <w:t>escription</w:t>
      </w:r>
      <w:r w:rsidRPr="008C5D8B">
        <w:rPr>
          <w:szCs w:val="24"/>
        </w:rPr>
        <w:t>,</w:t>
      </w:r>
      <w:r w:rsidR="005A4D86">
        <w:rPr>
          <w:szCs w:val="24"/>
        </w:rPr>
        <w:t xml:space="preserve"> Frankfurt-am-Main,</w:t>
      </w:r>
      <w:r w:rsidRPr="008C5D8B">
        <w:rPr>
          <w:i/>
          <w:iCs/>
          <w:szCs w:val="24"/>
        </w:rPr>
        <w:t xml:space="preserve"> </w:t>
      </w:r>
      <w:r w:rsidRPr="008C5D8B">
        <w:rPr>
          <w:szCs w:val="24"/>
        </w:rPr>
        <w:t>Peter Lang.</w:t>
      </w:r>
    </w:p>
    <w:p w14:paraId="2816515C" w14:textId="208D5524"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[b-Moorkens]</w:t>
      </w:r>
      <w:r w:rsidRPr="008C5D8B">
        <w:rPr>
          <w:iCs/>
          <w:szCs w:val="24"/>
        </w:rPr>
        <w:tab/>
        <w:t>Moorkens, J., and O</w:t>
      </w:r>
      <w:r w:rsidR="00D80C49" w:rsidRPr="008C5D8B">
        <w:rPr>
          <w:iCs/>
          <w:szCs w:val="24"/>
        </w:rPr>
        <w:t>'</w:t>
      </w:r>
      <w:r w:rsidRPr="008C5D8B">
        <w:rPr>
          <w:iCs/>
          <w:szCs w:val="24"/>
        </w:rPr>
        <w:t>Brien, S. (2017)</w:t>
      </w:r>
      <w:r w:rsidR="00E56A20" w:rsidRPr="008C5D8B">
        <w:rPr>
          <w:iCs/>
          <w:szCs w:val="24"/>
        </w:rPr>
        <w:t>,</w:t>
      </w:r>
      <w:r w:rsidRPr="008C5D8B">
        <w:rPr>
          <w:iCs/>
          <w:szCs w:val="24"/>
        </w:rPr>
        <w:t xml:space="preserve"> </w:t>
      </w:r>
      <w:r w:rsidRPr="008C5D8B">
        <w:rPr>
          <w:i/>
          <w:szCs w:val="24"/>
        </w:rPr>
        <w:t>Assessing user interface needs of post-editors of machine translation</w:t>
      </w:r>
      <w:r w:rsidRPr="008C5D8B">
        <w:rPr>
          <w:iCs/>
          <w:szCs w:val="24"/>
        </w:rPr>
        <w:t>,</w:t>
      </w:r>
      <w:r w:rsidRPr="008C5D8B">
        <w:rPr>
          <w:i/>
          <w:szCs w:val="24"/>
        </w:rPr>
        <w:t xml:space="preserve"> </w:t>
      </w:r>
      <w:r w:rsidRPr="008C5D8B">
        <w:rPr>
          <w:iCs/>
          <w:szCs w:val="24"/>
        </w:rPr>
        <w:t xml:space="preserve">Human Issues in Translation Technology, </w:t>
      </w:r>
      <w:r w:rsidR="00CB7CF5">
        <w:rPr>
          <w:iCs/>
          <w:szCs w:val="24"/>
        </w:rPr>
        <w:t xml:space="preserve">London, </w:t>
      </w:r>
      <w:r w:rsidRPr="008C5D8B">
        <w:rPr>
          <w:iCs/>
          <w:szCs w:val="24"/>
        </w:rPr>
        <w:t>Routledge, pp. 109</w:t>
      </w:r>
      <w:r w:rsidR="00CB7CF5">
        <w:rPr>
          <w:iCs/>
          <w:szCs w:val="24"/>
        </w:rPr>
        <w:t>–</w:t>
      </w:r>
      <w:r w:rsidRPr="008C5D8B">
        <w:rPr>
          <w:iCs/>
          <w:szCs w:val="24"/>
        </w:rPr>
        <w:t>130.</w:t>
      </w:r>
    </w:p>
    <w:p w14:paraId="7B3BEF84" w14:textId="690818DF"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[b-Oncins</w:t>
      </w:r>
      <w:r w:rsidR="00AD0E31">
        <w:rPr>
          <w:iCs/>
          <w:szCs w:val="24"/>
        </w:rPr>
        <w:t>-1</w:t>
      </w:r>
      <w:r w:rsidRPr="008C5D8B">
        <w:rPr>
          <w:iCs/>
          <w:szCs w:val="24"/>
        </w:rPr>
        <w:t>]</w:t>
      </w:r>
      <w:r w:rsidRPr="008C5D8B">
        <w:rPr>
          <w:iCs/>
          <w:szCs w:val="24"/>
        </w:rPr>
        <w:tab/>
        <w:t>Oncins, E., Serrat-Roozen, I. and Andres, F. (forthcoming)</w:t>
      </w:r>
      <w:r w:rsidR="00CB7CF5">
        <w:rPr>
          <w:iCs/>
          <w:szCs w:val="24"/>
        </w:rPr>
        <w:t>,</w:t>
      </w:r>
      <w:r w:rsidRPr="008C5D8B">
        <w:rPr>
          <w:iCs/>
          <w:szCs w:val="24"/>
        </w:rPr>
        <w:t xml:space="preserve"> </w:t>
      </w:r>
      <w:r w:rsidRPr="008C5D8B">
        <w:rPr>
          <w:i/>
          <w:szCs w:val="24"/>
        </w:rPr>
        <w:t>AI</w:t>
      </w:r>
      <w:r w:rsidRPr="008C5D8B">
        <w:rPr>
          <w:iCs/>
          <w:szCs w:val="24"/>
        </w:rPr>
        <w:t>-</w:t>
      </w:r>
      <w:r w:rsidRPr="008C5D8B">
        <w:rPr>
          <w:i/>
          <w:szCs w:val="24"/>
        </w:rPr>
        <w:t>based</w:t>
      </w:r>
      <w:r w:rsidRPr="008C5D8B">
        <w:rPr>
          <w:iCs/>
          <w:szCs w:val="24"/>
        </w:rPr>
        <w:t xml:space="preserve"> </w:t>
      </w:r>
      <w:r w:rsidRPr="008C5D8B">
        <w:rPr>
          <w:i/>
          <w:szCs w:val="24"/>
        </w:rPr>
        <w:t>blockchain solutions in Learning, Education, and Training: Ethical challenges from a user-centric perspective</w:t>
      </w:r>
      <w:r w:rsidRPr="008C5D8B">
        <w:rPr>
          <w:iCs/>
          <w:szCs w:val="24"/>
        </w:rPr>
        <w:t>.</w:t>
      </w:r>
    </w:p>
    <w:p w14:paraId="45608487" w14:textId="364039AA"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[b-Oncins</w:t>
      </w:r>
      <w:r w:rsidR="00AD0E31">
        <w:rPr>
          <w:iCs/>
          <w:szCs w:val="24"/>
        </w:rPr>
        <w:t>-1</w:t>
      </w:r>
      <w:r w:rsidRPr="008C5D8B">
        <w:rPr>
          <w:iCs/>
          <w:szCs w:val="24"/>
        </w:rPr>
        <w:t>]</w:t>
      </w:r>
      <w:r w:rsidRPr="008C5D8B">
        <w:rPr>
          <w:iCs/>
          <w:szCs w:val="24"/>
        </w:rPr>
        <w:tab/>
        <w:t xml:space="preserve">Oncins, E. (2021) </w:t>
      </w:r>
      <w:r w:rsidRPr="008C5D8B">
        <w:rPr>
          <w:i/>
          <w:szCs w:val="24"/>
        </w:rPr>
        <w:t>Upcycling audio descriptions: towards a more sustainable model</w:t>
      </w:r>
      <w:r w:rsidRPr="008C5D8B">
        <w:rPr>
          <w:iCs/>
          <w:szCs w:val="24"/>
        </w:rPr>
        <w:t>,</w:t>
      </w:r>
      <w:r w:rsidRPr="008C5D8B">
        <w:rPr>
          <w:i/>
          <w:szCs w:val="24"/>
        </w:rPr>
        <w:t xml:space="preserve"> </w:t>
      </w:r>
      <w:r w:rsidRPr="008C5D8B">
        <w:rPr>
          <w:iCs/>
          <w:szCs w:val="24"/>
        </w:rPr>
        <w:t>ARSAD conference.</w:t>
      </w:r>
    </w:p>
    <w:p w14:paraId="22C90656" w14:textId="58F10034"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[b-Orero]</w:t>
      </w:r>
      <w:r w:rsidRPr="008C5D8B">
        <w:rPr>
          <w:iCs/>
          <w:szCs w:val="24"/>
        </w:rPr>
        <w:tab/>
        <w:t>Orero, P., Fernandez Torner, A. and Oncins, E. (2023)</w:t>
      </w:r>
      <w:r w:rsidR="00CB7CF5">
        <w:rPr>
          <w:iCs/>
          <w:szCs w:val="24"/>
        </w:rPr>
        <w:t>,</w:t>
      </w:r>
      <w:r w:rsidRPr="008C5D8B">
        <w:rPr>
          <w:iCs/>
          <w:szCs w:val="24"/>
        </w:rPr>
        <w:t xml:space="preserve"> </w:t>
      </w:r>
      <w:r w:rsidRPr="008C5D8B">
        <w:rPr>
          <w:i/>
          <w:szCs w:val="24"/>
        </w:rPr>
        <w:t xml:space="preserve">The visible subtitler: Blockchain technology towards right management and minting, </w:t>
      </w:r>
      <w:r w:rsidRPr="008C5D8B">
        <w:rPr>
          <w:iCs/>
          <w:szCs w:val="24"/>
        </w:rPr>
        <w:t>Open Research Europe, pp. 1</w:t>
      </w:r>
      <w:r w:rsidR="00CB7CF5">
        <w:rPr>
          <w:iCs/>
          <w:szCs w:val="24"/>
        </w:rPr>
        <w:t>–</w:t>
      </w:r>
      <w:r w:rsidRPr="008C5D8B">
        <w:rPr>
          <w:iCs/>
          <w:szCs w:val="24"/>
        </w:rPr>
        <w:t>13.</w:t>
      </w:r>
    </w:p>
    <w:p w14:paraId="767F5009" w14:textId="08D3A949" w:rsidR="0082705B" w:rsidRPr="008C5D8B" w:rsidRDefault="0082705B" w:rsidP="00063934">
      <w:pPr>
        <w:pStyle w:val="Reftext"/>
        <w:tabs>
          <w:tab w:val="clear" w:pos="794"/>
          <w:tab w:val="clear" w:pos="1191"/>
          <w:tab w:val="clear" w:pos="1588"/>
          <w:tab w:val="clear" w:pos="1985"/>
          <w:tab w:val="left" w:pos="2268"/>
        </w:tabs>
        <w:ind w:left="2268" w:hanging="2268"/>
        <w:rPr>
          <w:iCs/>
          <w:sz w:val="16"/>
          <w:szCs w:val="16"/>
        </w:rPr>
      </w:pPr>
      <w:r w:rsidRPr="008C5D8B">
        <w:rPr>
          <w:iCs/>
          <w:szCs w:val="24"/>
        </w:rPr>
        <w:t>[b-Ritchie]</w:t>
      </w:r>
      <w:r w:rsidRPr="008C5D8B">
        <w:rPr>
          <w:iCs/>
          <w:szCs w:val="24"/>
        </w:rPr>
        <w:tab/>
        <w:t>Ritchie, H., Rosado, P.</w:t>
      </w:r>
      <w:r w:rsidR="00CB7CF5">
        <w:rPr>
          <w:iCs/>
          <w:szCs w:val="24"/>
        </w:rPr>
        <w:t>, and</w:t>
      </w:r>
      <w:r w:rsidRPr="008C5D8B">
        <w:rPr>
          <w:iCs/>
          <w:szCs w:val="24"/>
        </w:rPr>
        <w:t xml:space="preserve"> </w:t>
      </w:r>
      <w:r w:rsidR="00CB7CF5" w:rsidRPr="008C5D8B">
        <w:rPr>
          <w:iCs/>
          <w:szCs w:val="24"/>
        </w:rPr>
        <w:t>Roser, M.</w:t>
      </w:r>
      <w:r w:rsidRPr="008C5D8B">
        <w:rPr>
          <w:iCs/>
          <w:szCs w:val="24"/>
        </w:rPr>
        <w:t>(2020)</w:t>
      </w:r>
      <w:r w:rsidR="00CB7CF5">
        <w:rPr>
          <w:iCs/>
          <w:szCs w:val="24"/>
        </w:rPr>
        <w:t>,</w:t>
      </w:r>
      <w:r w:rsidRPr="008C5D8B">
        <w:rPr>
          <w:iCs/>
          <w:szCs w:val="24"/>
        </w:rPr>
        <w:t xml:space="preserve"> </w:t>
      </w:r>
      <w:r w:rsidRPr="008C5D8B">
        <w:rPr>
          <w:i/>
          <w:szCs w:val="24"/>
        </w:rPr>
        <w:t>CO₂ and Greenhouse Gas Emissions,</w:t>
      </w:r>
      <w:r w:rsidRPr="008C5D8B">
        <w:rPr>
          <w:iCs/>
          <w:szCs w:val="24"/>
        </w:rPr>
        <w:t xml:space="preserve"> OurWorldInData.org. </w:t>
      </w:r>
      <w:r w:rsidR="00CB7CF5">
        <w:rPr>
          <w:iCs/>
          <w:szCs w:val="24"/>
        </w:rPr>
        <w:t>,</w:t>
      </w:r>
      <w:r w:rsidR="00FD0940" w:rsidRPr="008C5D8B">
        <w:rPr>
          <w:iCs/>
          <w:szCs w:val="24"/>
        </w:rPr>
        <w:t xml:space="preserve"> </w:t>
      </w:r>
      <w:hyperlink r:id="rId27" w:history="1">
        <w:r w:rsidR="00F91AB2" w:rsidRPr="008C5D8B">
          <w:rPr>
            <w:rStyle w:val="Hyperlink"/>
            <w:rFonts w:ascii="Arial" w:hAnsi="Arial" w:cs="Arial"/>
            <w:sz w:val="16"/>
            <w:szCs w:val="16"/>
          </w:rPr>
          <w:t>https://ourworldindata.org/co2-and-greenhouse-gas-emissions</w:t>
        </w:r>
      </w:hyperlink>
    </w:p>
    <w:p w14:paraId="0D2E5120" w14:textId="3B120121"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[b-Schinckus]</w:t>
      </w:r>
      <w:r w:rsidRPr="008C5D8B">
        <w:rPr>
          <w:iCs/>
          <w:szCs w:val="24"/>
        </w:rPr>
        <w:tab/>
        <w:t xml:space="preserve">Schinckus, C. (2020), </w:t>
      </w:r>
      <w:r w:rsidRPr="008C5D8B">
        <w:rPr>
          <w:i/>
          <w:szCs w:val="24"/>
        </w:rPr>
        <w:t xml:space="preserve">The good, the bad and the ugly: An </w:t>
      </w:r>
      <w:r w:rsidR="00420E04">
        <w:rPr>
          <w:i/>
          <w:szCs w:val="24"/>
        </w:rPr>
        <w:t>o</w:t>
      </w:r>
      <w:r w:rsidRPr="008C5D8B">
        <w:rPr>
          <w:i/>
          <w:szCs w:val="24"/>
        </w:rPr>
        <w:t>verview of the sustainability of blockchain technology</w:t>
      </w:r>
      <w:r w:rsidRPr="008C5D8B">
        <w:rPr>
          <w:iCs/>
          <w:szCs w:val="24"/>
        </w:rPr>
        <w:t>, Energy Research &amp; Social Science,</w:t>
      </w:r>
      <w:r w:rsidR="007124BB" w:rsidRPr="008C5D8B">
        <w:rPr>
          <w:iCs/>
          <w:szCs w:val="24"/>
        </w:rPr>
        <w:t> </w:t>
      </w:r>
      <w:r w:rsidR="00420E04">
        <w:rPr>
          <w:iCs/>
          <w:szCs w:val="24"/>
        </w:rPr>
        <w:t xml:space="preserve">Vol. </w:t>
      </w:r>
      <w:r w:rsidRPr="008C5D8B">
        <w:rPr>
          <w:iCs/>
          <w:szCs w:val="24"/>
        </w:rPr>
        <w:t>69.</w:t>
      </w:r>
    </w:p>
    <w:p w14:paraId="44EAE2CF" w14:textId="7E017191"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[b-Schwartz]</w:t>
      </w:r>
      <w:r w:rsidRPr="008C5D8B">
        <w:rPr>
          <w:iCs/>
          <w:szCs w:val="24"/>
        </w:rPr>
        <w:tab/>
      </w:r>
      <w:r w:rsidRPr="0073715A">
        <w:t xml:space="preserve">Schwartz, R., Dodge, J., Smith, N. and Etzioni, O. (2019), </w:t>
      </w:r>
      <w:r w:rsidRPr="0073715A">
        <w:rPr>
          <w:i/>
          <w:iCs/>
        </w:rPr>
        <w:t>Green AI</w:t>
      </w:r>
      <w:r w:rsidRPr="0073715A">
        <w:t>, Computers and Society, pp.1</w:t>
      </w:r>
      <w:r w:rsidR="00420E04" w:rsidRPr="0073715A">
        <w:t>–</w:t>
      </w:r>
      <w:r w:rsidRPr="0073715A">
        <w:t>12.</w:t>
      </w:r>
    </w:p>
    <w:p w14:paraId="020C0328" w14:textId="186EBB4B"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[b-Shterionov]</w:t>
      </w:r>
      <w:r w:rsidRPr="008C5D8B">
        <w:rPr>
          <w:iCs/>
          <w:szCs w:val="24"/>
        </w:rPr>
        <w:tab/>
        <w:t xml:space="preserve">Shterionov, D., and Vanmassenhove, E. (2021), </w:t>
      </w:r>
      <w:r w:rsidRPr="008C5D8B">
        <w:rPr>
          <w:i/>
          <w:szCs w:val="24"/>
        </w:rPr>
        <w:t xml:space="preserve">The Ecological Footprint of Neural Machine Translation Systems, </w:t>
      </w:r>
      <w:r w:rsidRPr="008C5D8B">
        <w:rPr>
          <w:iCs/>
          <w:szCs w:val="24"/>
        </w:rPr>
        <w:t>Towards Responsible Machine Translation: Ethical and Legal Considerations, Springer, pp. 1</w:t>
      </w:r>
      <w:r w:rsidR="00420E04">
        <w:rPr>
          <w:iCs/>
          <w:szCs w:val="24"/>
        </w:rPr>
        <w:t>–</w:t>
      </w:r>
      <w:r w:rsidRPr="008C5D8B">
        <w:rPr>
          <w:iCs/>
          <w:szCs w:val="24"/>
        </w:rPr>
        <w:t>26.</w:t>
      </w:r>
    </w:p>
    <w:p w14:paraId="21E1D4D9" w14:textId="6B13EA36"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[b-Strubell]</w:t>
      </w:r>
      <w:r w:rsidRPr="008C5D8B">
        <w:rPr>
          <w:iCs/>
          <w:szCs w:val="24"/>
        </w:rPr>
        <w:tab/>
        <w:t xml:space="preserve">Strubell, E., Ganesh, A., and McCallum, A. (2019), </w:t>
      </w:r>
      <w:r w:rsidRPr="008C5D8B">
        <w:rPr>
          <w:i/>
          <w:szCs w:val="24"/>
        </w:rPr>
        <w:t>Energy and Policy Considerations for Deep Learning in NLP</w:t>
      </w:r>
      <w:r w:rsidRPr="008C5D8B">
        <w:rPr>
          <w:iCs/>
          <w:szCs w:val="24"/>
        </w:rPr>
        <w:t>,</w:t>
      </w:r>
      <w:r w:rsidRPr="008C5D8B">
        <w:rPr>
          <w:i/>
          <w:szCs w:val="24"/>
        </w:rPr>
        <w:t xml:space="preserve"> </w:t>
      </w:r>
      <w:r w:rsidRPr="008C5D8B">
        <w:rPr>
          <w:iCs/>
          <w:szCs w:val="24"/>
        </w:rPr>
        <w:t>CoRR. Abs/1906.02243.</w:t>
      </w:r>
    </w:p>
    <w:p w14:paraId="33754B2C" w14:textId="5395BE6B"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[b-UN CRPD]</w:t>
      </w:r>
      <w:r w:rsidRPr="008C5D8B">
        <w:rPr>
          <w:iCs/>
          <w:szCs w:val="24"/>
        </w:rPr>
        <w:tab/>
      </w:r>
      <w:r w:rsidRPr="0073715A">
        <w:t xml:space="preserve">United Nations </w:t>
      </w:r>
      <w:r w:rsidR="00420E04" w:rsidRPr="0073715A">
        <w:t xml:space="preserve">(2006), </w:t>
      </w:r>
      <w:r w:rsidRPr="0073715A">
        <w:t xml:space="preserve">Conventions on the Rights of Persons with Disabilities. </w:t>
      </w:r>
      <w:hyperlink r:id="rId28" w:history="1">
        <w:r w:rsidR="00F91AB2" w:rsidRPr="008C5D8B">
          <w:rPr>
            <w:rStyle w:val="Hyperlink"/>
            <w:rFonts w:ascii="Arial" w:hAnsi="Arial" w:cs="Arial"/>
            <w:sz w:val="16"/>
            <w:szCs w:val="16"/>
          </w:rPr>
          <w:t>https://social.desa.un.org/issues/disability/crpd/convention-on-the-rights-of-persons-with-disabilities-crpd</w:t>
        </w:r>
      </w:hyperlink>
    </w:p>
    <w:p w14:paraId="67D05115" w14:textId="3BD4AFC5" w:rsidR="00E56A20" w:rsidRPr="008C5D8B" w:rsidRDefault="00E56A20" w:rsidP="20AD8DED">
      <w:pPr>
        <w:pStyle w:val="Reftext"/>
        <w:tabs>
          <w:tab w:val="clear" w:pos="794"/>
          <w:tab w:val="clear" w:pos="1191"/>
          <w:tab w:val="clear" w:pos="1588"/>
          <w:tab w:val="clear" w:pos="1985"/>
          <w:tab w:val="left" w:pos="2268"/>
        </w:tabs>
        <w:ind w:left="2268" w:hanging="2268"/>
        <w:rPr>
          <w:iCs/>
          <w:szCs w:val="24"/>
        </w:rPr>
      </w:pPr>
      <w:r w:rsidRPr="0073715A">
        <w:t>[b-UN Paris]</w:t>
      </w:r>
      <w:r w:rsidRPr="008C5D8B">
        <w:rPr>
          <w:iCs/>
          <w:szCs w:val="24"/>
        </w:rPr>
        <w:tab/>
      </w:r>
      <w:r w:rsidRPr="0073715A">
        <w:t>United Nations</w:t>
      </w:r>
      <w:r w:rsidR="00420E04" w:rsidRPr="0073715A">
        <w:t xml:space="preserve"> (2015)</w:t>
      </w:r>
      <w:r w:rsidRPr="0073715A">
        <w:t xml:space="preserve">, </w:t>
      </w:r>
      <w:r w:rsidRPr="0073715A">
        <w:rPr>
          <w:i/>
          <w:iCs/>
        </w:rPr>
        <w:t>The Paris Agreement</w:t>
      </w:r>
      <w:r w:rsidRPr="0073715A">
        <w:t>.</w:t>
      </w:r>
    </w:p>
    <w:p w14:paraId="35D1B120" w14:textId="509DD60D"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[b-UN SDG]</w:t>
      </w:r>
      <w:r w:rsidRPr="008C5D8B">
        <w:rPr>
          <w:iCs/>
          <w:szCs w:val="24"/>
        </w:rPr>
        <w:tab/>
      </w:r>
      <w:r w:rsidRPr="0073715A">
        <w:t>United Nations</w:t>
      </w:r>
      <w:r w:rsidR="006520B1" w:rsidRPr="0073715A">
        <w:t xml:space="preserve"> (2015)</w:t>
      </w:r>
      <w:r w:rsidRPr="0073715A">
        <w:t>, Sustainable Development Goals</w:t>
      </w:r>
      <w:r w:rsidR="006520B1" w:rsidRPr="0073715A">
        <w:t>.</w:t>
      </w:r>
      <w:r w:rsidRPr="0073715A">
        <w:t xml:space="preserve"> </w:t>
      </w:r>
      <w:hyperlink r:id="rId29" w:history="1">
        <w:r w:rsidR="00F91AB2" w:rsidRPr="008C5D8B">
          <w:rPr>
            <w:rStyle w:val="Hyperlink"/>
            <w:rFonts w:ascii="Arial" w:hAnsi="Arial" w:cs="Arial"/>
            <w:sz w:val="16"/>
            <w:szCs w:val="16"/>
          </w:rPr>
          <w:t>https://sdgs.un.org/goals</w:t>
        </w:r>
      </w:hyperlink>
    </w:p>
    <w:p w14:paraId="4884DFCF" w14:textId="52299979" w:rsidR="0082705B" w:rsidRPr="008C5D8B" w:rsidRDefault="0082705B" w:rsidP="00063934">
      <w:pPr>
        <w:pStyle w:val="Reftext"/>
        <w:tabs>
          <w:tab w:val="clear" w:pos="794"/>
          <w:tab w:val="clear" w:pos="1191"/>
          <w:tab w:val="clear" w:pos="1588"/>
          <w:tab w:val="clear" w:pos="1985"/>
          <w:tab w:val="left" w:pos="2268"/>
        </w:tabs>
        <w:ind w:left="2268" w:hanging="2268"/>
        <w:rPr>
          <w:iCs/>
          <w:szCs w:val="24"/>
        </w:rPr>
      </w:pPr>
      <w:r w:rsidRPr="008C5D8B">
        <w:rPr>
          <w:iCs/>
          <w:szCs w:val="24"/>
        </w:rPr>
        <w:t>[b-Vladutescu]</w:t>
      </w:r>
      <w:r w:rsidRPr="008C5D8B">
        <w:rPr>
          <w:iCs/>
          <w:szCs w:val="24"/>
        </w:rPr>
        <w:tab/>
        <w:t>Vladutescu, S. and Stanescu, G.,</w:t>
      </w:r>
      <w:r w:rsidR="007124BB" w:rsidRPr="008C5D8B">
        <w:rPr>
          <w:iCs/>
          <w:szCs w:val="24"/>
        </w:rPr>
        <w:t xml:space="preserve"> </w:t>
      </w:r>
      <w:r w:rsidRPr="008C5D8B">
        <w:rPr>
          <w:iCs/>
          <w:szCs w:val="24"/>
        </w:rPr>
        <w:t xml:space="preserve">C. (2023), </w:t>
      </w:r>
      <w:r w:rsidRPr="008C5D8B">
        <w:rPr>
          <w:i/>
          <w:szCs w:val="24"/>
        </w:rPr>
        <w:t xml:space="preserve">Environmental Sustainability of Metaverse: Perspectives from Romanian Developers, </w:t>
      </w:r>
      <w:r w:rsidRPr="008C5D8B">
        <w:rPr>
          <w:iCs/>
          <w:szCs w:val="24"/>
        </w:rPr>
        <w:t xml:space="preserve">Sustainability, </w:t>
      </w:r>
      <w:r w:rsidR="006520B1">
        <w:rPr>
          <w:iCs/>
          <w:szCs w:val="24"/>
        </w:rPr>
        <w:t xml:space="preserve">Vol. </w:t>
      </w:r>
      <w:r w:rsidRPr="008C5D8B">
        <w:rPr>
          <w:iCs/>
          <w:szCs w:val="24"/>
        </w:rPr>
        <w:t>15,</w:t>
      </w:r>
      <w:r w:rsidR="006520B1">
        <w:rPr>
          <w:iCs/>
          <w:szCs w:val="24"/>
        </w:rPr>
        <w:t xml:space="preserve"> No. 15,</w:t>
      </w:r>
      <w:r w:rsidRPr="008C5D8B">
        <w:rPr>
          <w:iCs/>
          <w:szCs w:val="24"/>
        </w:rPr>
        <w:t xml:space="preserve"> 11704</w:t>
      </w:r>
      <w:r w:rsidR="006520B1">
        <w:rPr>
          <w:iCs/>
          <w:szCs w:val="24"/>
        </w:rPr>
        <w:t>,</w:t>
      </w:r>
      <w:r w:rsidRPr="008C5D8B">
        <w:rPr>
          <w:iCs/>
          <w:szCs w:val="24"/>
        </w:rPr>
        <w:t xml:space="preserve"> pp. 1</w:t>
      </w:r>
      <w:r w:rsidR="006520B1">
        <w:rPr>
          <w:iCs/>
          <w:szCs w:val="24"/>
        </w:rPr>
        <w:t>–</w:t>
      </w:r>
      <w:r w:rsidRPr="008C5D8B">
        <w:rPr>
          <w:iCs/>
          <w:szCs w:val="24"/>
        </w:rPr>
        <w:t>20.</w:t>
      </w:r>
    </w:p>
    <w:p w14:paraId="2C8AD11B" w14:textId="20F18E40" w:rsidR="0082705B" w:rsidRPr="008C5D8B" w:rsidRDefault="0082705B" w:rsidP="20AD8DED">
      <w:pPr>
        <w:pStyle w:val="Reftext"/>
        <w:tabs>
          <w:tab w:val="clear" w:pos="794"/>
          <w:tab w:val="clear" w:pos="1191"/>
          <w:tab w:val="clear" w:pos="1588"/>
          <w:tab w:val="clear" w:pos="1985"/>
          <w:tab w:val="left" w:pos="2268"/>
        </w:tabs>
        <w:ind w:left="2268" w:hanging="2268"/>
        <w:rPr>
          <w:iCs/>
          <w:szCs w:val="24"/>
        </w:rPr>
      </w:pPr>
      <w:r w:rsidRPr="0073715A">
        <w:t>[b-Williams]</w:t>
      </w:r>
      <w:r w:rsidRPr="008C5D8B">
        <w:rPr>
          <w:iCs/>
          <w:szCs w:val="24"/>
        </w:rPr>
        <w:tab/>
      </w:r>
      <w:r w:rsidRPr="0073715A">
        <w:t xml:space="preserve">Williams, E. (2011), </w:t>
      </w:r>
      <w:r w:rsidRPr="0073715A">
        <w:rPr>
          <w:i/>
          <w:iCs/>
        </w:rPr>
        <w:t>The Environmental Effects of Information and Communications Technologies</w:t>
      </w:r>
      <w:r w:rsidRPr="0073715A">
        <w:t>, Nature, Vol. 479</w:t>
      </w:r>
      <w:r w:rsidR="00212D57" w:rsidRPr="0073715A">
        <w:t>,</w:t>
      </w:r>
      <w:r w:rsidRPr="0073715A">
        <w:t xml:space="preserve"> No.7373, pp. 354</w:t>
      </w:r>
      <w:r w:rsidR="00212D57" w:rsidRPr="0073715A">
        <w:t>–</w:t>
      </w:r>
      <w:r w:rsidRPr="0073715A">
        <w:t>358.</w:t>
      </w:r>
    </w:p>
    <w:p w14:paraId="6484C888" w14:textId="6A3FC8C3" w:rsidR="0082705B" w:rsidRPr="008C5D8B" w:rsidRDefault="0082705B" w:rsidP="00063934">
      <w:pPr>
        <w:pStyle w:val="Reftext"/>
        <w:tabs>
          <w:tab w:val="clear" w:pos="794"/>
          <w:tab w:val="clear" w:pos="1191"/>
          <w:tab w:val="clear" w:pos="1588"/>
          <w:tab w:val="clear" w:pos="1985"/>
          <w:tab w:val="left" w:pos="2268"/>
        </w:tabs>
        <w:ind w:left="2268" w:hanging="2268"/>
        <w:rPr>
          <w:iCs/>
          <w:sz w:val="16"/>
          <w:szCs w:val="16"/>
        </w:rPr>
      </w:pPr>
      <w:r w:rsidRPr="008C5D8B">
        <w:rPr>
          <w:iCs/>
          <w:szCs w:val="24"/>
        </w:rPr>
        <w:t xml:space="preserve">[b-W3C] </w:t>
      </w:r>
      <w:r w:rsidRPr="008C5D8B">
        <w:rPr>
          <w:iCs/>
          <w:szCs w:val="24"/>
        </w:rPr>
        <w:tab/>
        <w:t xml:space="preserve">World Wide Web Consortium (2021), </w:t>
      </w:r>
      <w:r w:rsidRPr="008C5D8B">
        <w:rPr>
          <w:i/>
          <w:szCs w:val="24"/>
        </w:rPr>
        <w:t>XR Accessibility User Requirements</w:t>
      </w:r>
      <w:r w:rsidRPr="008C5D8B">
        <w:rPr>
          <w:iCs/>
          <w:szCs w:val="24"/>
        </w:rPr>
        <w:t xml:space="preserve">. </w:t>
      </w:r>
      <w:hyperlink r:id="rId30" w:history="1">
        <w:r w:rsidR="00F91AB2" w:rsidRPr="008C5D8B">
          <w:rPr>
            <w:rStyle w:val="Hyperlink"/>
            <w:rFonts w:ascii="Arial" w:hAnsi="Arial" w:cs="Arial"/>
            <w:sz w:val="18"/>
            <w:szCs w:val="18"/>
          </w:rPr>
          <w:t>https://www.w3.org/TR/xaur/</w:t>
        </w:r>
      </w:hyperlink>
    </w:p>
    <w:p w14:paraId="7452FAFC" w14:textId="77777777" w:rsidR="007124BB" w:rsidRPr="008C5D8B" w:rsidRDefault="007124BB" w:rsidP="007124BB">
      <w:pPr>
        <w:spacing w:before="720"/>
        <w:jc w:val="center"/>
      </w:pPr>
      <w:r w:rsidRPr="008C5D8B">
        <w:t>______________</w:t>
      </w:r>
    </w:p>
    <w:sectPr w:rsidR="007124BB" w:rsidRPr="008C5D8B" w:rsidSect="0073715A">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25F96" w14:textId="77777777" w:rsidR="008A6298" w:rsidRDefault="008A6298" w:rsidP="00C42125">
      <w:pPr>
        <w:spacing w:before="0"/>
      </w:pPr>
      <w:r>
        <w:separator/>
      </w:r>
    </w:p>
  </w:endnote>
  <w:endnote w:type="continuationSeparator" w:id="0">
    <w:p w14:paraId="71085059" w14:textId="77777777" w:rsidR="008A6298" w:rsidRDefault="008A6298" w:rsidP="00C42125">
      <w:pPr>
        <w:spacing w:before="0"/>
      </w:pPr>
      <w:r>
        <w:continuationSeparator/>
      </w:r>
    </w:p>
  </w:endnote>
  <w:endnote w:type="continuationNotice" w:id="1">
    <w:p w14:paraId="6A89DB81" w14:textId="77777777" w:rsidR="008A6298" w:rsidRDefault="008A62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BE26" w14:textId="77777777" w:rsidR="008A0986" w:rsidRDefault="008A0986"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781A" w14:textId="6076BC49" w:rsidR="008A0986" w:rsidRPr="008F0E27" w:rsidRDefault="008A0986"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E56A20">
      <w:rPr>
        <w:b/>
        <w:bCs/>
      </w:rPr>
      <w:t>FSTP-ACC-MV-SUST (2024</w:t>
    </w:r>
    <w:r w:rsidR="002268B0">
      <w:rPr>
        <w:b/>
        <w:bCs/>
      </w:rPr>
      <w:t>-</w:t>
    </w:r>
    <w:r w:rsidR="00E56A20">
      <w:rPr>
        <w:b/>
        <w:bCs/>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8379" w14:textId="245EDD7E" w:rsidR="008A0986" w:rsidRPr="008F0E27" w:rsidRDefault="008A0986" w:rsidP="008F0E27">
    <w:pPr>
      <w:pStyle w:val="Footer"/>
      <w:tabs>
        <w:tab w:val="clear" w:pos="5954"/>
        <w:tab w:val="right" w:pos="8789"/>
      </w:tabs>
      <w:jc w:val="right"/>
      <w:rPr>
        <w:b/>
        <w:bCs/>
      </w:rPr>
    </w:pPr>
    <w:r w:rsidRPr="00926B6C">
      <w:rPr>
        <w:b/>
        <w:bCs/>
      </w:rPr>
      <w:tab/>
    </w:r>
    <w:r>
      <w:rPr>
        <w:b/>
        <w:bCs/>
      </w:rPr>
      <w:t>FSTP-ACC-MV-SUST (2024</w:t>
    </w:r>
    <w:r w:rsidR="002268B0">
      <w:rPr>
        <w:b/>
        <w:bCs/>
      </w:rPr>
      <w:t>-</w:t>
    </w:r>
    <w:r w:rsidR="00E56A20">
      <w:rPr>
        <w:b/>
        <w:bCs/>
      </w:rPr>
      <w:t>04</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4489" w14:textId="4449555C" w:rsidR="00A32451" w:rsidRPr="00BA4D81" w:rsidRDefault="00BA4D81" w:rsidP="00BA4D81">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E56A20">
      <w:rPr>
        <w:b/>
        <w:bCs/>
      </w:rPr>
      <w:t>FSTP-ACC-MV-SUST (2024</w:t>
    </w:r>
    <w:r w:rsidR="002268B0">
      <w:rPr>
        <w:b/>
        <w:bCs/>
      </w:rPr>
      <w:t>-</w:t>
    </w:r>
    <w:r w:rsidR="00E56A20">
      <w:rPr>
        <w:b/>
        <w:bCs/>
      </w:rPr>
      <w:t>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2639" w14:textId="118D6F92" w:rsidR="00A32451" w:rsidRPr="00BA4D81" w:rsidRDefault="00BA4D81" w:rsidP="00BA4D81">
    <w:pPr>
      <w:pStyle w:val="Footer"/>
      <w:tabs>
        <w:tab w:val="clear" w:pos="5954"/>
        <w:tab w:val="right" w:pos="8789"/>
      </w:tabs>
      <w:jc w:val="right"/>
      <w:rPr>
        <w:b/>
        <w:bCs/>
      </w:rPr>
    </w:pPr>
    <w:r w:rsidRPr="00926B6C">
      <w:rPr>
        <w:b/>
        <w:bCs/>
      </w:rPr>
      <w:tab/>
    </w:r>
    <w:r w:rsidR="00E56A20">
      <w:rPr>
        <w:b/>
        <w:bCs/>
      </w:rPr>
      <w:t>FSTP-ACC-MV-SUST (2024</w:t>
    </w:r>
    <w:r w:rsidR="002268B0">
      <w:rPr>
        <w:b/>
        <w:bCs/>
      </w:rPr>
      <w:t>-</w:t>
    </w:r>
    <w:r w:rsidR="00E56A20">
      <w:rPr>
        <w:b/>
        <w:bCs/>
      </w:rPr>
      <w:t>04)</w:t>
    </w:r>
    <w:r w:rsidRPr="00926B6C">
      <w:rPr>
        <w:b/>
        <w:bCs/>
      </w:rPr>
      <w:tab/>
    </w:r>
    <w:r w:rsidRPr="00926B6C">
      <w:fldChar w:fldCharType="begin"/>
    </w:r>
    <w:r w:rsidRPr="00926B6C">
      <w:instrText xml:space="preserve"> PAGE </w:instrText>
    </w:r>
    <w:r w:rsidRPr="00926B6C">
      <w:fldChar w:fldCharType="separate"/>
    </w:r>
    <w:r>
      <w:t>1</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A75C" w14:textId="2400E481" w:rsidR="00A32451" w:rsidRPr="00247278" w:rsidRDefault="00247278" w:rsidP="00247278">
    <w:pPr>
      <w:pStyle w:val="Footer"/>
      <w:tabs>
        <w:tab w:val="clear" w:pos="5954"/>
        <w:tab w:val="right" w:pos="8789"/>
      </w:tabs>
      <w:jc w:val="right"/>
      <w:rPr>
        <w:b/>
        <w:bCs/>
      </w:rPr>
    </w:pPr>
    <w:r w:rsidRPr="00926B6C">
      <w:rPr>
        <w:b/>
        <w:bCs/>
      </w:rPr>
      <w:tab/>
    </w:r>
    <w:r w:rsidR="00E56A20">
      <w:rPr>
        <w:b/>
        <w:bCs/>
      </w:rPr>
      <w:t>FSTP-ACC-MV-SUST (2024</w:t>
    </w:r>
    <w:r w:rsidR="002268B0">
      <w:rPr>
        <w:b/>
        <w:bCs/>
      </w:rPr>
      <w:t>-</w:t>
    </w:r>
    <w:r w:rsidR="00E56A20">
      <w:rPr>
        <w:b/>
        <w:bCs/>
      </w:rPr>
      <w:t>04)</w:t>
    </w:r>
    <w:r w:rsidRPr="00926B6C">
      <w:rPr>
        <w:b/>
        <w:bCs/>
      </w:rPr>
      <w:tab/>
    </w:r>
    <w:r w:rsidRPr="00926B6C">
      <w:fldChar w:fldCharType="begin"/>
    </w:r>
    <w:r w:rsidRPr="00926B6C">
      <w:instrText xml:space="preserve"> PAGE </w:instrText>
    </w:r>
    <w:r w:rsidRPr="00926B6C">
      <w:fldChar w:fldCharType="separate"/>
    </w:r>
    <w:r>
      <w:t>1</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B3B3" w14:textId="77777777" w:rsidR="008A6298" w:rsidRDefault="008A6298" w:rsidP="00C42125">
      <w:pPr>
        <w:spacing w:before="0"/>
      </w:pPr>
      <w:r>
        <w:separator/>
      </w:r>
    </w:p>
  </w:footnote>
  <w:footnote w:type="continuationSeparator" w:id="0">
    <w:p w14:paraId="5E96CC65" w14:textId="77777777" w:rsidR="008A6298" w:rsidRDefault="008A6298" w:rsidP="00C42125">
      <w:pPr>
        <w:spacing w:before="0"/>
      </w:pPr>
      <w:r>
        <w:continuationSeparator/>
      </w:r>
    </w:p>
  </w:footnote>
  <w:footnote w:type="continuationNotice" w:id="1">
    <w:p w14:paraId="693A2520" w14:textId="77777777" w:rsidR="008A6298" w:rsidRDefault="008A62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235F" w14:textId="77777777" w:rsidR="008A0986" w:rsidRDefault="008A098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9AF3" w14:textId="77777777" w:rsidR="008A0986" w:rsidRDefault="008A098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BC4A" w14:textId="77777777" w:rsidR="008A0986" w:rsidRDefault="008A0986">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9409" w14:textId="77777777" w:rsidR="00A32451" w:rsidRDefault="00A324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105D" w14:textId="2C96FD26" w:rsidR="00C42125" w:rsidRPr="004C4B85" w:rsidRDefault="00C42125" w:rsidP="004C4B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D582" w14:textId="77777777" w:rsidR="00A32451" w:rsidRDefault="00A3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B2893"/>
    <w:multiLevelType w:val="hybridMultilevel"/>
    <w:tmpl w:val="9F728A48"/>
    <w:lvl w:ilvl="0" w:tplc="2DC2F3B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FEE43"/>
    <w:multiLevelType w:val="hybridMultilevel"/>
    <w:tmpl w:val="87200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3C3B69"/>
    <w:multiLevelType w:val="hybridMultilevel"/>
    <w:tmpl w:val="BF72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84C31"/>
    <w:multiLevelType w:val="hybridMultilevel"/>
    <w:tmpl w:val="8D4C2824"/>
    <w:lvl w:ilvl="0" w:tplc="DD9AFC08">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742F2B"/>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num w:numId="1" w16cid:durableId="655379998">
    <w:abstractNumId w:val="9"/>
  </w:num>
  <w:num w:numId="2" w16cid:durableId="1092900362">
    <w:abstractNumId w:val="7"/>
  </w:num>
  <w:num w:numId="3" w16cid:durableId="2077821347">
    <w:abstractNumId w:val="6"/>
  </w:num>
  <w:num w:numId="4" w16cid:durableId="556818381">
    <w:abstractNumId w:val="5"/>
  </w:num>
  <w:num w:numId="5" w16cid:durableId="1438409138">
    <w:abstractNumId w:val="4"/>
  </w:num>
  <w:num w:numId="6" w16cid:durableId="158927555">
    <w:abstractNumId w:val="8"/>
  </w:num>
  <w:num w:numId="7" w16cid:durableId="1417290857">
    <w:abstractNumId w:val="3"/>
  </w:num>
  <w:num w:numId="8" w16cid:durableId="1847595755">
    <w:abstractNumId w:val="2"/>
  </w:num>
  <w:num w:numId="9" w16cid:durableId="1423376824">
    <w:abstractNumId w:val="1"/>
  </w:num>
  <w:num w:numId="10" w16cid:durableId="1439520844">
    <w:abstractNumId w:val="0"/>
  </w:num>
  <w:num w:numId="11" w16cid:durableId="716584777">
    <w:abstractNumId w:val="13"/>
  </w:num>
  <w:num w:numId="12" w16cid:durableId="1851530547">
    <w:abstractNumId w:val="11"/>
  </w:num>
  <w:num w:numId="13" w16cid:durableId="318383924">
    <w:abstractNumId w:val="12"/>
  </w:num>
  <w:num w:numId="14" w16cid:durableId="2122920422">
    <w:abstractNumId w:val="14"/>
  </w:num>
  <w:num w:numId="15" w16cid:durableId="1909880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7000"/>
    <w:rsid w:val="0005784D"/>
    <w:rsid w:val="00063574"/>
    <w:rsid w:val="00063934"/>
    <w:rsid w:val="000640E0"/>
    <w:rsid w:val="00064226"/>
    <w:rsid w:val="000A5CA2"/>
    <w:rsid w:val="000B25B1"/>
    <w:rsid w:val="000B4523"/>
    <w:rsid w:val="000C3DDD"/>
    <w:rsid w:val="000D50E9"/>
    <w:rsid w:val="000E3C04"/>
    <w:rsid w:val="000F352C"/>
    <w:rsid w:val="00115A7C"/>
    <w:rsid w:val="001251DA"/>
    <w:rsid w:val="00125432"/>
    <w:rsid w:val="00125D34"/>
    <w:rsid w:val="00137F40"/>
    <w:rsid w:val="00165942"/>
    <w:rsid w:val="0017240B"/>
    <w:rsid w:val="001871EC"/>
    <w:rsid w:val="001A372D"/>
    <w:rsid w:val="001A4748"/>
    <w:rsid w:val="001A607D"/>
    <w:rsid w:val="001A6088"/>
    <w:rsid w:val="001A670F"/>
    <w:rsid w:val="001C3FE2"/>
    <w:rsid w:val="001C62B8"/>
    <w:rsid w:val="001D095D"/>
    <w:rsid w:val="001E7B0E"/>
    <w:rsid w:val="001F141D"/>
    <w:rsid w:val="00200A06"/>
    <w:rsid w:val="00206DED"/>
    <w:rsid w:val="00212D57"/>
    <w:rsid w:val="00225175"/>
    <w:rsid w:val="002268B0"/>
    <w:rsid w:val="0022745F"/>
    <w:rsid w:val="00231DC5"/>
    <w:rsid w:val="00241832"/>
    <w:rsid w:val="002442B5"/>
    <w:rsid w:val="002465BE"/>
    <w:rsid w:val="00247278"/>
    <w:rsid w:val="00251F2A"/>
    <w:rsid w:val="002534C9"/>
    <w:rsid w:val="00253DBE"/>
    <w:rsid w:val="002622FA"/>
    <w:rsid w:val="00263518"/>
    <w:rsid w:val="00274F5B"/>
    <w:rsid w:val="002759E7"/>
    <w:rsid w:val="00275ED1"/>
    <w:rsid w:val="00277326"/>
    <w:rsid w:val="00281A92"/>
    <w:rsid w:val="002A49E0"/>
    <w:rsid w:val="002A5E37"/>
    <w:rsid w:val="002B42DE"/>
    <w:rsid w:val="002C015C"/>
    <w:rsid w:val="002C26C0"/>
    <w:rsid w:val="002C2BC5"/>
    <w:rsid w:val="002C34E4"/>
    <w:rsid w:val="002C778C"/>
    <w:rsid w:val="002D5FA6"/>
    <w:rsid w:val="002E2053"/>
    <w:rsid w:val="002E4CA1"/>
    <w:rsid w:val="002E79CB"/>
    <w:rsid w:val="002F1CFE"/>
    <w:rsid w:val="002F3ABA"/>
    <w:rsid w:val="002F7F55"/>
    <w:rsid w:val="0030745F"/>
    <w:rsid w:val="00314630"/>
    <w:rsid w:val="0032090A"/>
    <w:rsid w:val="00321CDE"/>
    <w:rsid w:val="00333E15"/>
    <w:rsid w:val="00336046"/>
    <w:rsid w:val="00343F0A"/>
    <w:rsid w:val="00345FDC"/>
    <w:rsid w:val="00350492"/>
    <w:rsid w:val="00352714"/>
    <w:rsid w:val="0035343D"/>
    <w:rsid w:val="003611C7"/>
    <w:rsid w:val="00370C8E"/>
    <w:rsid w:val="0037422B"/>
    <w:rsid w:val="00384A85"/>
    <w:rsid w:val="0038715D"/>
    <w:rsid w:val="00394DBF"/>
    <w:rsid w:val="003957A6"/>
    <w:rsid w:val="00395C05"/>
    <w:rsid w:val="003970E8"/>
    <w:rsid w:val="003A43EF"/>
    <w:rsid w:val="003A5982"/>
    <w:rsid w:val="003C7445"/>
    <w:rsid w:val="003D2CC8"/>
    <w:rsid w:val="003F2BED"/>
    <w:rsid w:val="003F3F68"/>
    <w:rsid w:val="00404998"/>
    <w:rsid w:val="00420E04"/>
    <w:rsid w:val="00421A27"/>
    <w:rsid w:val="00436EDD"/>
    <w:rsid w:val="0044011C"/>
    <w:rsid w:val="00443878"/>
    <w:rsid w:val="0044609F"/>
    <w:rsid w:val="004539A8"/>
    <w:rsid w:val="004712CA"/>
    <w:rsid w:val="0047422E"/>
    <w:rsid w:val="0048148C"/>
    <w:rsid w:val="00481EF6"/>
    <w:rsid w:val="00485052"/>
    <w:rsid w:val="0049674B"/>
    <w:rsid w:val="004C0673"/>
    <w:rsid w:val="004C4B85"/>
    <w:rsid w:val="004C4E4E"/>
    <w:rsid w:val="004C57E9"/>
    <w:rsid w:val="004F3816"/>
    <w:rsid w:val="004F6151"/>
    <w:rsid w:val="00512438"/>
    <w:rsid w:val="005155ED"/>
    <w:rsid w:val="0051592A"/>
    <w:rsid w:val="00526C60"/>
    <w:rsid w:val="00543D41"/>
    <w:rsid w:val="005500CE"/>
    <w:rsid w:val="00552142"/>
    <w:rsid w:val="0055619B"/>
    <w:rsid w:val="0055782F"/>
    <w:rsid w:val="00566EDA"/>
    <w:rsid w:val="00567F52"/>
    <w:rsid w:val="00572654"/>
    <w:rsid w:val="00577559"/>
    <w:rsid w:val="00583CED"/>
    <w:rsid w:val="005A4D86"/>
    <w:rsid w:val="005A5086"/>
    <w:rsid w:val="005B3023"/>
    <w:rsid w:val="005B5629"/>
    <w:rsid w:val="005C0300"/>
    <w:rsid w:val="005C4F27"/>
    <w:rsid w:val="005C584D"/>
    <w:rsid w:val="005E4387"/>
    <w:rsid w:val="005F102E"/>
    <w:rsid w:val="005F4B6A"/>
    <w:rsid w:val="006010F3"/>
    <w:rsid w:val="00604127"/>
    <w:rsid w:val="00615A0A"/>
    <w:rsid w:val="006243D6"/>
    <w:rsid w:val="00630B1C"/>
    <w:rsid w:val="00632173"/>
    <w:rsid w:val="006333D4"/>
    <w:rsid w:val="00634A53"/>
    <w:rsid w:val="006369B2"/>
    <w:rsid w:val="006369B8"/>
    <w:rsid w:val="00642D16"/>
    <w:rsid w:val="00647525"/>
    <w:rsid w:val="00651D49"/>
    <w:rsid w:val="006520B1"/>
    <w:rsid w:val="006570B0"/>
    <w:rsid w:val="00665563"/>
    <w:rsid w:val="00670B6B"/>
    <w:rsid w:val="00687DF2"/>
    <w:rsid w:val="0069180E"/>
    <w:rsid w:val="00691C94"/>
    <w:rsid w:val="0069210B"/>
    <w:rsid w:val="006A4055"/>
    <w:rsid w:val="006A5B49"/>
    <w:rsid w:val="006A7457"/>
    <w:rsid w:val="006B32B4"/>
    <w:rsid w:val="006C34D2"/>
    <w:rsid w:val="006C5641"/>
    <w:rsid w:val="006D1089"/>
    <w:rsid w:val="006D1B86"/>
    <w:rsid w:val="006D7355"/>
    <w:rsid w:val="006F2ACE"/>
    <w:rsid w:val="006F4361"/>
    <w:rsid w:val="006F4F9F"/>
    <w:rsid w:val="00700466"/>
    <w:rsid w:val="007124BB"/>
    <w:rsid w:val="00715B22"/>
    <w:rsid w:val="00715CA6"/>
    <w:rsid w:val="00731135"/>
    <w:rsid w:val="007324AF"/>
    <w:rsid w:val="0073715A"/>
    <w:rsid w:val="007409B4"/>
    <w:rsid w:val="00741974"/>
    <w:rsid w:val="0075525E"/>
    <w:rsid w:val="00756D3D"/>
    <w:rsid w:val="00760974"/>
    <w:rsid w:val="00767A56"/>
    <w:rsid w:val="007745D0"/>
    <w:rsid w:val="00774C43"/>
    <w:rsid w:val="007806C2"/>
    <w:rsid w:val="007903F8"/>
    <w:rsid w:val="00794F4F"/>
    <w:rsid w:val="007974BE"/>
    <w:rsid w:val="007A0916"/>
    <w:rsid w:val="007A0DFD"/>
    <w:rsid w:val="007A59C4"/>
    <w:rsid w:val="007A6474"/>
    <w:rsid w:val="007C7122"/>
    <w:rsid w:val="007D3F11"/>
    <w:rsid w:val="007D68D1"/>
    <w:rsid w:val="007D6BA3"/>
    <w:rsid w:val="007E53E4"/>
    <w:rsid w:val="007E656A"/>
    <w:rsid w:val="007E6F62"/>
    <w:rsid w:val="007F664D"/>
    <w:rsid w:val="00801C72"/>
    <w:rsid w:val="00803A74"/>
    <w:rsid w:val="0081064E"/>
    <w:rsid w:val="008128CE"/>
    <w:rsid w:val="00812E36"/>
    <w:rsid w:val="0082705B"/>
    <w:rsid w:val="00841217"/>
    <w:rsid w:val="00842137"/>
    <w:rsid w:val="00855D14"/>
    <w:rsid w:val="00857B22"/>
    <w:rsid w:val="0086610F"/>
    <w:rsid w:val="00887ED8"/>
    <w:rsid w:val="0089088E"/>
    <w:rsid w:val="00892297"/>
    <w:rsid w:val="00893996"/>
    <w:rsid w:val="00893B33"/>
    <w:rsid w:val="008A0875"/>
    <w:rsid w:val="008A0986"/>
    <w:rsid w:val="008A6298"/>
    <w:rsid w:val="008B6F4A"/>
    <w:rsid w:val="008C5D8B"/>
    <w:rsid w:val="008D0C7E"/>
    <w:rsid w:val="008E0172"/>
    <w:rsid w:val="008E219A"/>
    <w:rsid w:val="008E370F"/>
    <w:rsid w:val="0090247C"/>
    <w:rsid w:val="00914912"/>
    <w:rsid w:val="0093137A"/>
    <w:rsid w:val="00932AB7"/>
    <w:rsid w:val="00934405"/>
    <w:rsid w:val="00934C5D"/>
    <w:rsid w:val="009406B5"/>
    <w:rsid w:val="00943FFC"/>
    <w:rsid w:val="0094440E"/>
    <w:rsid w:val="00946166"/>
    <w:rsid w:val="00947A28"/>
    <w:rsid w:val="0095099F"/>
    <w:rsid w:val="00975A21"/>
    <w:rsid w:val="00983164"/>
    <w:rsid w:val="00985F77"/>
    <w:rsid w:val="009866EE"/>
    <w:rsid w:val="009972EF"/>
    <w:rsid w:val="009A62CE"/>
    <w:rsid w:val="009B115F"/>
    <w:rsid w:val="009B75B3"/>
    <w:rsid w:val="009C3160"/>
    <w:rsid w:val="009D61EE"/>
    <w:rsid w:val="009E766E"/>
    <w:rsid w:val="009F1960"/>
    <w:rsid w:val="009F42B3"/>
    <w:rsid w:val="009F715E"/>
    <w:rsid w:val="00A10DBB"/>
    <w:rsid w:val="00A16253"/>
    <w:rsid w:val="00A27A9A"/>
    <w:rsid w:val="00A304DD"/>
    <w:rsid w:val="00A31D47"/>
    <w:rsid w:val="00A32451"/>
    <w:rsid w:val="00A4013E"/>
    <w:rsid w:val="00A4045F"/>
    <w:rsid w:val="00A427CD"/>
    <w:rsid w:val="00A444DE"/>
    <w:rsid w:val="00A4600B"/>
    <w:rsid w:val="00A50506"/>
    <w:rsid w:val="00A51EF0"/>
    <w:rsid w:val="00A67A81"/>
    <w:rsid w:val="00A730A6"/>
    <w:rsid w:val="00A80C0E"/>
    <w:rsid w:val="00A920F9"/>
    <w:rsid w:val="00A971A0"/>
    <w:rsid w:val="00AA1F22"/>
    <w:rsid w:val="00AA203F"/>
    <w:rsid w:val="00AA79C6"/>
    <w:rsid w:val="00AB0B51"/>
    <w:rsid w:val="00AB3BDA"/>
    <w:rsid w:val="00AB7B0F"/>
    <w:rsid w:val="00AC6FE4"/>
    <w:rsid w:val="00AD0E31"/>
    <w:rsid w:val="00AE38E1"/>
    <w:rsid w:val="00B05821"/>
    <w:rsid w:val="00B26C28"/>
    <w:rsid w:val="00B4174C"/>
    <w:rsid w:val="00B453F5"/>
    <w:rsid w:val="00B50937"/>
    <w:rsid w:val="00B52517"/>
    <w:rsid w:val="00B56FD7"/>
    <w:rsid w:val="00B57342"/>
    <w:rsid w:val="00B61624"/>
    <w:rsid w:val="00B718A5"/>
    <w:rsid w:val="00B8261A"/>
    <w:rsid w:val="00BA35D5"/>
    <w:rsid w:val="00BA4D81"/>
    <w:rsid w:val="00BC1FAE"/>
    <w:rsid w:val="00BC62E2"/>
    <w:rsid w:val="00BE36F8"/>
    <w:rsid w:val="00BE49BA"/>
    <w:rsid w:val="00BE7248"/>
    <w:rsid w:val="00BF0E60"/>
    <w:rsid w:val="00C22C5F"/>
    <w:rsid w:val="00C3153D"/>
    <w:rsid w:val="00C33C3D"/>
    <w:rsid w:val="00C36173"/>
    <w:rsid w:val="00C37FDD"/>
    <w:rsid w:val="00C42125"/>
    <w:rsid w:val="00C57386"/>
    <w:rsid w:val="00C62814"/>
    <w:rsid w:val="00C62A30"/>
    <w:rsid w:val="00C658DC"/>
    <w:rsid w:val="00C70984"/>
    <w:rsid w:val="00C74937"/>
    <w:rsid w:val="00CB381C"/>
    <w:rsid w:val="00CB7CF5"/>
    <w:rsid w:val="00CE07EF"/>
    <w:rsid w:val="00CF34A7"/>
    <w:rsid w:val="00D02379"/>
    <w:rsid w:val="00D02A2A"/>
    <w:rsid w:val="00D05B6C"/>
    <w:rsid w:val="00D32F2F"/>
    <w:rsid w:val="00D40746"/>
    <w:rsid w:val="00D44EEB"/>
    <w:rsid w:val="00D55CF3"/>
    <w:rsid w:val="00D57D7F"/>
    <w:rsid w:val="00D62A65"/>
    <w:rsid w:val="00D66477"/>
    <w:rsid w:val="00D73137"/>
    <w:rsid w:val="00D80C49"/>
    <w:rsid w:val="00D838A1"/>
    <w:rsid w:val="00D85019"/>
    <w:rsid w:val="00D8547A"/>
    <w:rsid w:val="00DA313C"/>
    <w:rsid w:val="00DB1307"/>
    <w:rsid w:val="00DC0323"/>
    <w:rsid w:val="00DC48DC"/>
    <w:rsid w:val="00DD50DE"/>
    <w:rsid w:val="00DE2BEA"/>
    <w:rsid w:val="00DE3062"/>
    <w:rsid w:val="00DE7BEC"/>
    <w:rsid w:val="00E015D6"/>
    <w:rsid w:val="00E01E12"/>
    <w:rsid w:val="00E07600"/>
    <w:rsid w:val="00E204DD"/>
    <w:rsid w:val="00E2145E"/>
    <w:rsid w:val="00E2376C"/>
    <w:rsid w:val="00E24D43"/>
    <w:rsid w:val="00E353EC"/>
    <w:rsid w:val="00E53C24"/>
    <w:rsid w:val="00E56A20"/>
    <w:rsid w:val="00E601A4"/>
    <w:rsid w:val="00E625BC"/>
    <w:rsid w:val="00E9569A"/>
    <w:rsid w:val="00EB444A"/>
    <w:rsid w:val="00EB444D"/>
    <w:rsid w:val="00ED135D"/>
    <w:rsid w:val="00ED77AF"/>
    <w:rsid w:val="00EE6B8C"/>
    <w:rsid w:val="00F02294"/>
    <w:rsid w:val="00F24D47"/>
    <w:rsid w:val="00F25254"/>
    <w:rsid w:val="00F35F57"/>
    <w:rsid w:val="00F403F5"/>
    <w:rsid w:val="00F50467"/>
    <w:rsid w:val="00F562A0"/>
    <w:rsid w:val="00F8791A"/>
    <w:rsid w:val="00F91AB2"/>
    <w:rsid w:val="00FA2177"/>
    <w:rsid w:val="00FA2E6D"/>
    <w:rsid w:val="00FB0A28"/>
    <w:rsid w:val="00FB63AF"/>
    <w:rsid w:val="00FD01DA"/>
    <w:rsid w:val="00FD0940"/>
    <w:rsid w:val="00FD35D4"/>
    <w:rsid w:val="00FD439E"/>
    <w:rsid w:val="00FD76CB"/>
    <w:rsid w:val="00FE191C"/>
    <w:rsid w:val="00FE28A9"/>
    <w:rsid w:val="00FE29C6"/>
    <w:rsid w:val="00FE4A72"/>
    <w:rsid w:val="00FE63E5"/>
    <w:rsid w:val="00FE6E92"/>
    <w:rsid w:val="00FF4546"/>
    <w:rsid w:val="00FF538F"/>
    <w:rsid w:val="0C7425CA"/>
    <w:rsid w:val="20AD8D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E0094"/>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6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670B6B"/>
    <w:pPr>
      <w:keepNext/>
      <w:keepLines/>
      <w:spacing w:before="360"/>
      <w:ind w:left="794" w:hanging="794"/>
      <w:jc w:val="left"/>
      <w:outlineLvl w:val="0"/>
    </w:pPr>
    <w:rPr>
      <w:b/>
    </w:rPr>
  </w:style>
  <w:style w:type="paragraph" w:styleId="Heading2">
    <w:name w:val="heading 2"/>
    <w:basedOn w:val="Heading1"/>
    <w:next w:val="Normal"/>
    <w:link w:val="Heading2Char"/>
    <w:qFormat/>
    <w:rsid w:val="00670B6B"/>
    <w:pPr>
      <w:spacing w:before="240"/>
      <w:outlineLvl w:val="1"/>
    </w:pPr>
  </w:style>
  <w:style w:type="paragraph" w:styleId="Heading3">
    <w:name w:val="heading 3"/>
    <w:basedOn w:val="Heading1"/>
    <w:next w:val="Normal"/>
    <w:link w:val="Heading3Char"/>
    <w:qFormat/>
    <w:rsid w:val="00670B6B"/>
    <w:pPr>
      <w:spacing w:before="160"/>
      <w:outlineLvl w:val="2"/>
    </w:pPr>
  </w:style>
  <w:style w:type="paragraph" w:styleId="Heading4">
    <w:name w:val="heading 4"/>
    <w:basedOn w:val="Heading3"/>
    <w:next w:val="Normal"/>
    <w:link w:val="Heading4Char"/>
    <w:qFormat/>
    <w:rsid w:val="00670B6B"/>
    <w:pPr>
      <w:tabs>
        <w:tab w:val="clear" w:pos="794"/>
        <w:tab w:val="left" w:pos="1021"/>
      </w:tabs>
      <w:ind w:left="1021" w:hanging="1021"/>
      <w:outlineLvl w:val="3"/>
    </w:pPr>
  </w:style>
  <w:style w:type="paragraph" w:styleId="Heading5">
    <w:name w:val="heading 5"/>
    <w:basedOn w:val="Heading4"/>
    <w:next w:val="Normal"/>
    <w:link w:val="Heading5Char"/>
    <w:qFormat/>
    <w:rsid w:val="00670B6B"/>
    <w:pPr>
      <w:outlineLvl w:val="4"/>
    </w:pPr>
  </w:style>
  <w:style w:type="paragraph" w:styleId="Heading6">
    <w:name w:val="heading 6"/>
    <w:basedOn w:val="Heading4"/>
    <w:next w:val="Normal"/>
    <w:link w:val="Heading6Char"/>
    <w:qFormat/>
    <w:rsid w:val="00670B6B"/>
    <w:pPr>
      <w:tabs>
        <w:tab w:val="clear" w:pos="1021"/>
        <w:tab w:val="clear" w:pos="1191"/>
      </w:tabs>
      <w:ind w:left="1588" w:hanging="1588"/>
      <w:outlineLvl w:val="5"/>
    </w:pPr>
  </w:style>
  <w:style w:type="paragraph" w:styleId="Heading7">
    <w:name w:val="heading 7"/>
    <w:basedOn w:val="Heading6"/>
    <w:next w:val="Normal"/>
    <w:link w:val="Heading7Char"/>
    <w:qFormat/>
    <w:rsid w:val="00670B6B"/>
    <w:pPr>
      <w:outlineLvl w:val="6"/>
    </w:pPr>
  </w:style>
  <w:style w:type="paragraph" w:styleId="Heading8">
    <w:name w:val="heading 8"/>
    <w:basedOn w:val="Heading6"/>
    <w:next w:val="Normal"/>
    <w:link w:val="Heading8Char"/>
    <w:qFormat/>
    <w:rsid w:val="00670B6B"/>
    <w:pPr>
      <w:outlineLvl w:val="7"/>
    </w:pPr>
  </w:style>
  <w:style w:type="paragraph" w:styleId="Heading9">
    <w:name w:val="heading 9"/>
    <w:basedOn w:val="Heading6"/>
    <w:next w:val="Normal"/>
    <w:link w:val="Heading9Char"/>
    <w:qFormat/>
    <w:rsid w:val="00670B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jc w:val="right"/>
    </w:pPr>
    <w:rPr>
      <w:rFonts w:eastAsia="SimSun"/>
      <w:b/>
      <w:sz w:val="32"/>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Reasons">
    <w:name w:val="Reasons"/>
    <w:basedOn w:val="Normal"/>
    <w:qFormat/>
    <w:rsid w:val="007124BB"/>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customStyle="1" w:styleId="CorrectionSeparatorBegin">
    <w:name w:val="Correction Separator Begin"/>
    <w:basedOn w:val="Normal"/>
    <w:rsid w:val="00C33C3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C33C3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670B6B"/>
    <w:pPr>
      <w:keepNext/>
      <w:keepLines/>
      <w:spacing w:before="240" w:after="120"/>
      <w:jc w:val="center"/>
    </w:pPr>
  </w:style>
  <w:style w:type="paragraph" w:customStyle="1" w:styleId="FigureNotitle">
    <w:name w:val="Figure_No &amp; title"/>
    <w:basedOn w:val="Normal"/>
    <w:next w:val="Normal"/>
    <w:qFormat/>
    <w:rsid w:val="00670B6B"/>
    <w:pPr>
      <w:keepLines/>
      <w:spacing w:before="240" w:after="120"/>
      <w:jc w:val="center"/>
    </w:pPr>
    <w:rPr>
      <w:b/>
    </w:rPr>
  </w:style>
  <w:style w:type="paragraph" w:customStyle="1" w:styleId="Formal">
    <w:name w:val="Formal"/>
    <w:basedOn w:val="ASN1"/>
    <w:rsid w:val="00670B6B"/>
    <w:rPr>
      <w:b w:val="0"/>
    </w:rPr>
  </w:style>
  <w:style w:type="paragraph" w:customStyle="1" w:styleId="Headingb">
    <w:name w:val="Heading_b"/>
    <w:basedOn w:val="Normal"/>
    <w:next w:val="Normal"/>
    <w:rsid w:val="00670B6B"/>
    <w:pPr>
      <w:keepNext/>
      <w:spacing w:before="160"/>
      <w:jc w:val="left"/>
    </w:pPr>
    <w:rPr>
      <w:b/>
    </w:rPr>
  </w:style>
  <w:style w:type="paragraph" w:customStyle="1" w:styleId="Headingi">
    <w:name w:val="Heading_i"/>
    <w:basedOn w:val="Normal"/>
    <w:next w:val="Normal"/>
    <w:rsid w:val="00670B6B"/>
    <w:pPr>
      <w:keepNext/>
      <w:spacing w:before="160"/>
      <w:jc w:val="left"/>
    </w:pPr>
    <w:rPr>
      <w:i/>
    </w:rPr>
  </w:style>
  <w:style w:type="paragraph" w:customStyle="1" w:styleId="Headingib">
    <w:name w:val="Heading_ib"/>
    <w:basedOn w:val="Headingi"/>
    <w:next w:val="Normal"/>
    <w:qFormat/>
    <w:rsid w:val="00C33C3D"/>
    <w:rPr>
      <w:b/>
      <w:bCs/>
    </w:rPr>
  </w:style>
  <w:style w:type="paragraph" w:customStyle="1" w:styleId="Normalbeforetable">
    <w:name w:val="Normal before table"/>
    <w:basedOn w:val="Normal"/>
    <w:rsid w:val="00C33C3D"/>
    <w:pPr>
      <w:keepNext/>
      <w:spacing w:after="120"/>
    </w:pPr>
    <w:rPr>
      <w:rFonts w:eastAsia="????"/>
    </w:rPr>
  </w:style>
  <w:style w:type="paragraph" w:customStyle="1" w:styleId="RecNo">
    <w:name w:val="Rec_No"/>
    <w:basedOn w:val="Normal"/>
    <w:next w:val="Rectitle"/>
    <w:rsid w:val="00670B6B"/>
    <w:pPr>
      <w:keepNext/>
      <w:keepLines/>
      <w:spacing w:before="0"/>
      <w:jc w:val="left"/>
    </w:pPr>
    <w:rPr>
      <w:b/>
      <w:sz w:val="28"/>
    </w:rPr>
  </w:style>
  <w:style w:type="paragraph" w:customStyle="1" w:styleId="Rectitle">
    <w:name w:val="Rec_title"/>
    <w:basedOn w:val="Normal"/>
    <w:next w:val="Normalaftertitle"/>
    <w:rsid w:val="00670B6B"/>
    <w:pPr>
      <w:keepNext/>
      <w:keepLines/>
      <w:spacing w:before="360"/>
      <w:jc w:val="center"/>
    </w:pPr>
    <w:rPr>
      <w:b/>
      <w:sz w:val="28"/>
    </w:rPr>
  </w:style>
  <w:style w:type="paragraph" w:customStyle="1" w:styleId="Reftext">
    <w:name w:val="Ref_text"/>
    <w:basedOn w:val="Normal"/>
    <w:rsid w:val="00670B6B"/>
    <w:pPr>
      <w:ind w:left="794" w:hanging="794"/>
      <w:jc w:val="left"/>
    </w:pPr>
  </w:style>
  <w:style w:type="paragraph" w:customStyle="1" w:styleId="Tablehead">
    <w:name w:val="Table_head"/>
    <w:basedOn w:val="Normal"/>
    <w:next w:val="Tabletext"/>
    <w:rsid w:val="00670B6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70B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670B6B"/>
    <w:pPr>
      <w:keepNext/>
      <w:keepLines/>
      <w:spacing w:before="360" w:after="120"/>
      <w:jc w:val="center"/>
    </w:pPr>
    <w:rPr>
      <w:b/>
    </w:rPr>
  </w:style>
  <w:style w:type="paragraph" w:customStyle="1" w:styleId="Tabletext">
    <w:name w:val="Table_text"/>
    <w:basedOn w:val="Normal"/>
    <w:link w:val="TabletextChar"/>
    <w:rsid w:val="00670B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C33C3D"/>
    <w:pPr>
      <w:tabs>
        <w:tab w:val="right" w:leader="dot" w:pos="9639"/>
      </w:tabs>
    </w:pPr>
    <w:rPr>
      <w:rFonts w:eastAsia="MS Mincho"/>
    </w:rPr>
  </w:style>
  <w:style w:type="paragraph" w:styleId="TOC1">
    <w:name w:val="toc 1"/>
    <w:basedOn w:val="Normal"/>
    <w:uiPriority w:val="39"/>
    <w:rsid w:val="00670B6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670B6B"/>
    <w:pPr>
      <w:spacing w:before="80"/>
      <w:ind w:left="1531" w:hanging="851"/>
    </w:pPr>
  </w:style>
  <w:style w:type="paragraph" w:styleId="TOC3">
    <w:name w:val="toc 3"/>
    <w:basedOn w:val="TOC2"/>
    <w:rsid w:val="00670B6B"/>
  </w:style>
  <w:style w:type="character" w:styleId="Hyperlink">
    <w:name w:val="Hyperlink"/>
    <w:basedOn w:val="DefaultParagraphFont"/>
    <w:uiPriority w:val="99"/>
    <w:rsid w:val="00670B6B"/>
    <w:rPr>
      <w:color w:val="0000FF"/>
      <w:u w:val="single"/>
    </w:rPr>
  </w:style>
  <w:style w:type="character" w:customStyle="1" w:styleId="Heading1Char">
    <w:name w:val="Heading 1 Char"/>
    <w:link w:val="Heading1"/>
    <w:rsid w:val="00670B6B"/>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670B6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33C3D"/>
    <w:rPr>
      <w:rFonts w:ascii="Times New Roman" w:eastAsia="Times New Roman" w:hAnsi="Times New Roman" w:cs="Times New Roman"/>
      <w:sz w:val="18"/>
      <w:szCs w:val="20"/>
      <w:lang w:val="en-GB" w:eastAsia="en-US"/>
    </w:rPr>
  </w:style>
  <w:style w:type="paragraph" w:styleId="Footer">
    <w:name w:val="footer"/>
    <w:basedOn w:val="Normal"/>
    <w:link w:val="FooterChar"/>
    <w:rsid w:val="00670B6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37538"/>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670B6B"/>
    <w:pPr>
      <w:spacing w:before="80"/>
      <w:ind w:left="794" w:hanging="794"/>
    </w:pPr>
  </w:style>
  <w:style w:type="paragraph" w:customStyle="1" w:styleId="enumlev2">
    <w:name w:val="enumlev2"/>
    <w:basedOn w:val="enumlev1"/>
    <w:rsid w:val="00670B6B"/>
    <w:pPr>
      <w:ind w:left="1191" w:hanging="397"/>
    </w:pPr>
  </w:style>
  <w:style w:type="paragraph" w:customStyle="1" w:styleId="enumlev3">
    <w:name w:val="enumlev3"/>
    <w:basedOn w:val="enumlev2"/>
    <w:rsid w:val="00670B6B"/>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semiHidden/>
    <w:rsid w:val="00670B6B"/>
    <w:rPr>
      <w:sz w:val="16"/>
      <w:szCs w:val="16"/>
    </w:rPr>
  </w:style>
  <w:style w:type="paragraph" w:styleId="CommentText">
    <w:name w:val="annotation text"/>
    <w:basedOn w:val="Normal"/>
    <w:link w:val="CommentTextChar"/>
    <w:semiHidden/>
    <w:rsid w:val="00670B6B"/>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3A59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eastAsia="Times New Roman" w:hAnsi="Times New Roman" w:cs="Times New Roman"/>
      <w:b/>
      <w:bCs/>
      <w:sz w:val="20"/>
      <w:szCs w:val="20"/>
      <w:lang w:val="en-GB" w:eastAsia="ja-JP"/>
    </w:rPr>
  </w:style>
  <w:style w:type="paragraph" w:customStyle="1" w:styleId="VenueDate">
    <w:name w:val="VenueDate"/>
    <w:basedOn w:val="Normal"/>
    <w:rsid w:val="00C33C3D"/>
    <w:pPr>
      <w:jc w:val="right"/>
    </w:pPr>
  </w:style>
  <w:style w:type="character" w:customStyle="1" w:styleId="ReftextArial9pt">
    <w:name w:val="Ref_text Arial 9 pt"/>
    <w:rsid w:val="00C33C3D"/>
    <w:rPr>
      <w:rFonts w:ascii="Arial" w:hAnsi="Arial" w:cs="Arial"/>
      <w:sz w:val="18"/>
      <w:szCs w:val="18"/>
    </w:rPr>
  </w:style>
  <w:style w:type="paragraph" w:customStyle="1" w:styleId="Title4">
    <w:name w:val="Title 4"/>
    <w:basedOn w:val="Title3"/>
    <w:next w:val="Heading1"/>
    <w:rsid w:val="00670B6B"/>
    <w:rPr>
      <w:b/>
    </w:rPr>
  </w:style>
  <w:style w:type="paragraph" w:customStyle="1" w:styleId="Note">
    <w:name w:val="Note"/>
    <w:basedOn w:val="Normal"/>
    <w:rsid w:val="00670B6B"/>
    <w:pPr>
      <w:spacing w:before="80"/>
    </w:pPr>
    <w:rPr>
      <w:sz w:val="22"/>
    </w:rPr>
  </w:style>
  <w:style w:type="paragraph" w:styleId="FootnoteText">
    <w:name w:val="footnote text"/>
    <w:basedOn w:val="Note"/>
    <w:link w:val="FootnoteTextChar"/>
    <w:semiHidden/>
    <w:rsid w:val="00670B6B"/>
    <w:pPr>
      <w:keepLines/>
      <w:tabs>
        <w:tab w:val="left" w:pos="255"/>
      </w:tabs>
      <w:ind w:left="255" w:hanging="255"/>
    </w:pPr>
  </w:style>
  <w:style w:type="character" w:customStyle="1" w:styleId="FootnoteTextChar">
    <w:name w:val="Footnote Text Char"/>
    <w:basedOn w:val="DefaultParagraphFont"/>
    <w:link w:val="FootnoteText"/>
    <w:semiHidden/>
    <w:rsid w:val="008D0C7E"/>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670B6B"/>
    <w:rPr>
      <w:position w:val="6"/>
      <w:sz w:val="18"/>
    </w:rPr>
  </w:style>
  <w:style w:type="paragraph" w:styleId="BalloonText">
    <w:name w:val="Balloon Text"/>
    <w:basedOn w:val="Normal"/>
    <w:link w:val="BalloonTextChar"/>
    <w:rsid w:val="00670B6B"/>
    <w:pPr>
      <w:spacing w:before="0"/>
    </w:pPr>
    <w:rPr>
      <w:rFonts w:ascii="Tahoma" w:hAnsi="Tahoma" w:cs="Tahoma"/>
      <w:sz w:val="16"/>
      <w:szCs w:val="16"/>
    </w:rPr>
  </w:style>
  <w:style w:type="character" w:customStyle="1" w:styleId="BalloonTextChar">
    <w:name w:val="Balloon Text Char"/>
    <w:basedOn w:val="DefaultParagraphFont"/>
    <w:link w:val="BalloonText"/>
    <w:rsid w:val="00670B6B"/>
    <w:rPr>
      <w:rFonts w:ascii="Tahoma" w:eastAsia="Times New Roman" w:hAnsi="Tahoma" w:cs="Tahoma"/>
      <w:sz w:val="16"/>
      <w:szCs w:val="16"/>
      <w:lang w:val="en-GB" w:eastAsia="en-US"/>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670B6B"/>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670B6B"/>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eastAsia="Avenir Next W1G Medium" w:hAnsi="Times New Roman" w:cs="Times New Roman"/>
      <w:b/>
      <w:bCs/>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semiHidden/>
    <w:rsid w:val="00670B6B"/>
    <w:pPr>
      <w:jc w:val="left"/>
    </w:pPr>
  </w:style>
  <w:style w:type="paragraph" w:styleId="Index2">
    <w:name w:val="index 2"/>
    <w:basedOn w:val="Normal"/>
    <w:next w:val="Normal"/>
    <w:semiHidden/>
    <w:rsid w:val="00670B6B"/>
    <w:pPr>
      <w:ind w:left="284"/>
      <w:jc w:val="left"/>
    </w:pPr>
  </w:style>
  <w:style w:type="paragraph" w:styleId="Index3">
    <w:name w:val="index 3"/>
    <w:basedOn w:val="Normal"/>
    <w:next w:val="Normal"/>
    <w:semiHidden/>
    <w:rsid w:val="00670B6B"/>
    <w:pPr>
      <w:ind w:left="567"/>
      <w:jc w:val="left"/>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rsid w:val="00670B6B"/>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TOC3"/>
    <w:semiHidden/>
    <w:rsid w:val="00670B6B"/>
  </w:style>
  <w:style w:type="paragraph" w:styleId="TOC5">
    <w:name w:val="toc 5"/>
    <w:basedOn w:val="TOC4"/>
    <w:semiHidden/>
    <w:rsid w:val="00670B6B"/>
  </w:style>
  <w:style w:type="paragraph" w:styleId="TOC6">
    <w:name w:val="toc 6"/>
    <w:basedOn w:val="TOC4"/>
    <w:semiHidden/>
    <w:rsid w:val="00670B6B"/>
  </w:style>
  <w:style w:type="paragraph" w:styleId="TOC7">
    <w:name w:val="toc 7"/>
    <w:basedOn w:val="TOC4"/>
    <w:semiHidden/>
    <w:rsid w:val="00670B6B"/>
  </w:style>
  <w:style w:type="paragraph" w:styleId="TOC8">
    <w:name w:val="toc 8"/>
    <w:basedOn w:val="TOC4"/>
    <w:semiHidden/>
    <w:rsid w:val="00670B6B"/>
  </w:style>
  <w:style w:type="paragraph" w:styleId="TOC9">
    <w:name w:val="toc 9"/>
    <w:basedOn w:val="TOC3"/>
    <w:semiHidden/>
    <w:rsid w:val="00670B6B"/>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670B6B"/>
    <w:rPr>
      <w:color w:val="605E5C"/>
      <w:shd w:val="clear" w:color="auto" w:fill="E1DFDD"/>
    </w:rPr>
  </w:style>
  <w:style w:type="paragraph" w:customStyle="1" w:styleId="TSBHeaderRight14">
    <w:name w:val="TSBHeaderRight14"/>
    <w:basedOn w:val="Normal"/>
    <w:rsid w:val="00C33C3D"/>
    <w:pPr>
      <w:jc w:val="right"/>
    </w:pPr>
    <w:rPr>
      <w:b/>
      <w:bCs/>
      <w:sz w:val="28"/>
      <w:szCs w:val="28"/>
    </w:rPr>
  </w:style>
  <w:style w:type="paragraph" w:customStyle="1" w:styleId="TSBHeaderQuestion">
    <w:name w:val="TSBHeaderQuestion"/>
    <w:basedOn w:val="Normal"/>
    <w:rsid w:val="00C33C3D"/>
  </w:style>
  <w:style w:type="paragraph" w:customStyle="1" w:styleId="TSBHeaderSource">
    <w:name w:val="TSBHeaderSource"/>
    <w:basedOn w:val="Normal"/>
    <w:rsid w:val="00C33C3D"/>
  </w:style>
  <w:style w:type="paragraph" w:customStyle="1" w:styleId="TSBHeaderTitle">
    <w:name w:val="TSBHeaderTitle"/>
    <w:basedOn w:val="Normal"/>
    <w:rsid w:val="00C33C3D"/>
  </w:style>
  <w:style w:type="paragraph" w:customStyle="1" w:styleId="TSBHeaderSummary">
    <w:name w:val="TSBHeaderSummary"/>
    <w:basedOn w:val="Normal"/>
    <w:rsid w:val="00C33C3D"/>
  </w:style>
  <w:style w:type="paragraph" w:customStyle="1" w:styleId="toc0">
    <w:name w:val="toc 0"/>
    <w:basedOn w:val="Normal"/>
    <w:next w:val="TOC1"/>
    <w:rsid w:val="00670B6B"/>
    <w:pPr>
      <w:keepLines/>
      <w:tabs>
        <w:tab w:val="clear" w:pos="794"/>
        <w:tab w:val="clear" w:pos="1191"/>
        <w:tab w:val="clear" w:pos="1588"/>
        <w:tab w:val="clear" w:pos="1985"/>
        <w:tab w:val="right" w:pos="9639"/>
      </w:tabs>
      <w:jc w:val="left"/>
    </w:pPr>
    <w:rPr>
      <w:b/>
    </w:rPr>
  </w:style>
  <w:style w:type="table" w:styleId="TableGridLight">
    <w:name w:val="Grid Table Light"/>
    <w:basedOn w:val="TableNormal"/>
    <w:uiPriority w:val="40"/>
    <w:rsid w:val="00421A27"/>
    <w:pPr>
      <w:spacing w:after="0" w:line="240" w:lineRule="auto"/>
    </w:pPr>
    <w:rPr>
      <w:rFonts w:ascii="Times New Roman" w:eastAsia="MS Mincho"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70B6B"/>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table" w:styleId="TableGrid">
    <w:name w:val="Table Grid"/>
    <w:basedOn w:val="TableNormal"/>
    <w:rsid w:val="00670B6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NoTitle">
    <w:name w:val="Appendix_NoTitle"/>
    <w:basedOn w:val="AnnexNoTitle"/>
    <w:next w:val="Normalaftertitle"/>
    <w:rsid w:val="00670B6B"/>
  </w:style>
  <w:style w:type="character" w:customStyle="1" w:styleId="TabletextChar">
    <w:name w:val="Table_text Char"/>
    <w:link w:val="Tabletext"/>
    <w:qFormat/>
    <w:locked/>
    <w:rsid w:val="00274F5B"/>
    <w:rPr>
      <w:rFonts w:ascii="Times New Roman" w:eastAsia="Times New Roman" w:hAnsi="Times New Roman" w:cs="Times New Roman"/>
      <w:szCs w:val="20"/>
      <w:lang w:val="en-GB" w:eastAsia="en-US"/>
    </w:rPr>
  </w:style>
  <w:style w:type="paragraph" w:customStyle="1" w:styleId="AnnexNoTitle">
    <w:name w:val="Annex_NoTitle"/>
    <w:basedOn w:val="Normal"/>
    <w:next w:val="Normalaftertitle"/>
    <w:rsid w:val="00670B6B"/>
    <w:pPr>
      <w:keepNext/>
      <w:keepLines/>
      <w:spacing w:before="720"/>
      <w:jc w:val="center"/>
      <w:outlineLvl w:val="0"/>
    </w:pPr>
    <w:rPr>
      <w:b/>
      <w:sz w:val="28"/>
    </w:rPr>
  </w:style>
  <w:style w:type="paragraph" w:customStyle="1" w:styleId="Normalaftertitle">
    <w:name w:val="Normal_after_title"/>
    <w:basedOn w:val="Normal"/>
    <w:next w:val="Normal"/>
    <w:rsid w:val="00670B6B"/>
    <w:pPr>
      <w:spacing w:before="360"/>
    </w:pPr>
  </w:style>
  <w:style w:type="character" w:customStyle="1" w:styleId="Appdef">
    <w:name w:val="App_def"/>
    <w:basedOn w:val="DefaultParagraphFont"/>
    <w:rsid w:val="00670B6B"/>
    <w:rPr>
      <w:rFonts w:ascii="Times New Roman" w:hAnsi="Times New Roman"/>
      <w:b/>
    </w:rPr>
  </w:style>
  <w:style w:type="character" w:customStyle="1" w:styleId="Appref">
    <w:name w:val="App_ref"/>
    <w:basedOn w:val="DefaultParagraphFont"/>
    <w:rsid w:val="00670B6B"/>
  </w:style>
  <w:style w:type="character" w:customStyle="1" w:styleId="Artdef">
    <w:name w:val="Art_def"/>
    <w:basedOn w:val="DefaultParagraphFont"/>
    <w:rsid w:val="00670B6B"/>
    <w:rPr>
      <w:rFonts w:ascii="Times New Roman" w:hAnsi="Times New Roman"/>
      <w:b/>
    </w:rPr>
  </w:style>
  <w:style w:type="paragraph" w:customStyle="1" w:styleId="Artheading">
    <w:name w:val="Art_heading"/>
    <w:basedOn w:val="Normal"/>
    <w:next w:val="Normalaftertitle"/>
    <w:rsid w:val="00670B6B"/>
    <w:pPr>
      <w:spacing w:before="480"/>
      <w:jc w:val="center"/>
    </w:pPr>
    <w:rPr>
      <w:b/>
      <w:sz w:val="28"/>
    </w:rPr>
  </w:style>
  <w:style w:type="paragraph" w:customStyle="1" w:styleId="ArtNo">
    <w:name w:val="Art_No"/>
    <w:basedOn w:val="Normal"/>
    <w:next w:val="Normal"/>
    <w:rsid w:val="00670B6B"/>
    <w:pPr>
      <w:keepNext/>
      <w:keepLines/>
      <w:spacing w:before="480"/>
      <w:jc w:val="center"/>
    </w:pPr>
    <w:rPr>
      <w:caps/>
      <w:sz w:val="28"/>
    </w:rPr>
  </w:style>
  <w:style w:type="character" w:customStyle="1" w:styleId="Artref">
    <w:name w:val="Art_ref"/>
    <w:basedOn w:val="DefaultParagraphFont"/>
    <w:rsid w:val="00670B6B"/>
  </w:style>
  <w:style w:type="paragraph" w:customStyle="1" w:styleId="Arttitle">
    <w:name w:val="Art_title"/>
    <w:basedOn w:val="Normal"/>
    <w:next w:val="Normalaftertitle"/>
    <w:rsid w:val="00670B6B"/>
    <w:pPr>
      <w:keepNext/>
      <w:keepLines/>
      <w:spacing w:before="240"/>
      <w:jc w:val="center"/>
    </w:pPr>
    <w:rPr>
      <w:b/>
      <w:sz w:val="28"/>
    </w:rPr>
  </w:style>
  <w:style w:type="paragraph" w:customStyle="1" w:styleId="ASN1">
    <w:name w:val="ASN.1"/>
    <w:rsid w:val="00670B6B"/>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670B6B"/>
    <w:pPr>
      <w:keepNext/>
      <w:keepLines/>
      <w:spacing w:before="160"/>
      <w:ind w:left="794"/>
      <w:jc w:val="left"/>
    </w:pPr>
    <w:rPr>
      <w:i/>
    </w:rPr>
  </w:style>
  <w:style w:type="paragraph" w:customStyle="1" w:styleId="ChapNo">
    <w:name w:val="Chap_No"/>
    <w:basedOn w:val="Normal"/>
    <w:next w:val="Normal"/>
    <w:rsid w:val="00670B6B"/>
    <w:pPr>
      <w:keepNext/>
      <w:keepLines/>
      <w:spacing w:before="480"/>
      <w:jc w:val="center"/>
    </w:pPr>
    <w:rPr>
      <w:b/>
      <w:caps/>
      <w:sz w:val="28"/>
    </w:rPr>
  </w:style>
  <w:style w:type="paragraph" w:customStyle="1" w:styleId="Chaptitle">
    <w:name w:val="Chap_title"/>
    <w:basedOn w:val="Normal"/>
    <w:next w:val="Normalaftertitle"/>
    <w:rsid w:val="00670B6B"/>
    <w:pPr>
      <w:keepNext/>
      <w:keepLines/>
      <w:spacing w:before="240"/>
      <w:jc w:val="center"/>
    </w:pPr>
    <w:rPr>
      <w:b/>
      <w:sz w:val="28"/>
    </w:rPr>
  </w:style>
  <w:style w:type="paragraph" w:customStyle="1" w:styleId="Equation">
    <w:name w:val="Equation"/>
    <w:basedOn w:val="Normal"/>
    <w:rsid w:val="00670B6B"/>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670B6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70B6B"/>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aftertitle"/>
    <w:rsid w:val="00670B6B"/>
    <w:pPr>
      <w:keepLines/>
      <w:spacing w:before="240" w:after="120"/>
      <w:jc w:val="center"/>
    </w:pPr>
    <w:rPr>
      <w:b/>
    </w:rPr>
  </w:style>
  <w:style w:type="paragraph" w:customStyle="1" w:styleId="Figurewithouttitle">
    <w:name w:val="Figure_without_title"/>
    <w:basedOn w:val="Normal"/>
    <w:next w:val="Normalaftertitle"/>
    <w:rsid w:val="00670B6B"/>
    <w:pPr>
      <w:keepLines/>
      <w:spacing w:before="240" w:after="120"/>
      <w:jc w:val="center"/>
    </w:pPr>
  </w:style>
  <w:style w:type="paragraph" w:customStyle="1" w:styleId="FirstFooter">
    <w:name w:val="FirstFooter"/>
    <w:basedOn w:val="Footer"/>
    <w:rsid w:val="00670B6B"/>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670B6B"/>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PartNo">
    <w:name w:val="Part_No"/>
    <w:basedOn w:val="Normal"/>
    <w:next w:val="Normal"/>
    <w:rsid w:val="00670B6B"/>
    <w:pPr>
      <w:keepNext/>
      <w:keepLines/>
      <w:spacing w:before="480" w:after="80"/>
      <w:jc w:val="center"/>
    </w:pPr>
    <w:rPr>
      <w:caps/>
      <w:sz w:val="28"/>
    </w:rPr>
  </w:style>
  <w:style w:type="paragraph" w:customStyle="1" w:styleId="Partref">
    <w:name w:val="Part_ref"/>
    <w:basedOn w:val="Normal"/>
    <w:next w:val="Normal"/>
    <w:rsid w:val="00670B6B"/>
    <w:pPr>
      <w:keepNext/>
      <w:keepLines/>
      <w:spacing w:before="280"/>
      <w:jc w:val="center"/>
    </w:pPr>
  </w:style>
  <w:style w:type="paragraph" w:customStyle="1" w:styleId="Parttitle">
    <w:name w:val="Part_title"/>
    <w:basedOn w:val="Normal"/>
    <w:next w:val="Normalaftertitle"/>
    <w:rsid w:val="00670B6B"/>
    <w:pPr>
      <w:keepNext/>
      <w:keepLines/>
      <w:spacing w:before="240" w:after="280"/>
      <w:jc w:val="center"/>
    </w:pPr>
    <w:rPr>
      <w:b/>
      <w:sz w:val="28"/>
    </w:rPr>
  </w:style>
  <w:style w:type="paragraph" w:customStyle="1" w:styleId="Recdate">
    <w:name w:val="Rec_date"/>
    <w:basedOn w:val="Normal"/>
    <w:next w:val="Normalaftertitle"/>
    <w:rsid w:val="00670B6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70B6B"/>
  </w:style>
  <w:style w:type="paragraph" w:customStyle="1" w:styleId="QuestionNo">
    <w:name w:val="Question_No"/>
    <w:basedOn w:val="RecNo"/>
    <w:next w:val="Normal"/>
    <w:rsid w:val="00670B6B"/>
  </w:style>
  <w:style w:type="paragraph" w:customStyle="1" w:styleId="Recref">
    <w:name w:val="Rec_ref"/>
    <w:basedOn w:val="Normal"/>
    <w:next w:val="Recdate"/>
    <w:rsid w:val="00670B6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70B6B"/>
  </w:style>
  <w:style w:type="paragraph" w:customStyle="1" w:styleId="Questiontitle">
    <w:name w:val="Question_title"/>
    <w:basedOn w:val="Rectitle"/>
    <w:next w:val="Questionref"/>
    <w:rsid w:val="00670B6B"/>
  </w:style>
  <w:style w:type="paragraph" w:customStyle="1" w:styleId="Reftitle">
    <w:name w:val="Ref_title"/>
    <w:basedOn w:val="Normal"/>
    <w:next w:val="Reftext"/>
    <w:rsid w:val="00670B6B"/>
    <w:pPr>
      <w:spacing w:before="480"/>
      <w:jc w:val="center"/>
    </w:pPr>
    <w:rPr>
      <w:b/>
    </w:rPr>
  </w:style>
  <w:style w:type="paragraph" w:customStyle="1" w:styleId="Repdate">
    <w:name w:val="Rep_date"/>
    <w:basedOn w:val="Recdate"/>
    <w:next w:val="Normalaftertitle"/>
    <w:rsid w:val="00670B6B"/>
  </w:style>
  <w:style w:type="paragraph" w:customStyle="1" w:styleId="RepNo">
    <w:name w:val="Rep_No"/>
    <w:basedOn w:val="RecNo"/>
    <w:next w:val="Normal"/>
    <w:rsid w:val="00670B6B"/>
  </w:style>
  <w:style w:type="paragraph" w:customStyle="1" w:styleId="Repref">
    <w:name w:val="Rep_ref"/>
    <w:basedOn w:val="Recref"/>
    <w:next w:val="Repdate"/>
    <w:rsid w:val="00670B6B"/>
  </w:style>
  <w:style w:type="paragraph" w:customStyle="1" w:styleId="Reptitle">
    <w:name w:val="Rep_title"/>
    <w:basedOn w:val="Rectitle"/>
    <w:next w:val="Repref"/>
    <w:rsid w:val="00670B6B"/>
  </w:style>
  <w:style w:type="paragraph" w:customStyle="1" w:styleId="Resdate">
    <w:name w:val="Res_date"/>
    <w:basedOn w:val="Recdate"/>
    <w:next w:val="Normalaftertitle"/>
    <w:rsid w:val="00670B6B"/>
  </w:style>
  <w:style w:type="character" w:customStyle="1" w:styleId="Resdef">
    <w:name w:val="Res_def"/>
    <w:basedOn w:val="DefaultParagraphFont"/>
    <w:rsid w:val="00670B6B"/>
    <w:rPr>
      <w:rFonts w:ascii="Times New Roman" w:hAnsi="Times New Roman"/>
      <w:b/>
    </w:rPr>
  </w:style>
  <w:style w:type="paragraph" w:customStyle="1" w:styleId="ResNo">
    <w:name w:val="Res_No"/>
    <w:basedOn w:val="RecNo"/>
    <w:next w:val="Normal"/>
    <w:rsid w:val="00670B6B"/>
  </w:style>
  <w:style w:type="paragraph" w:customStyle="1" w:styleId="Resref">
    <w:name w:val="Res_ref"/>
    <w:basedOn w:val="Recref"/>
    <w:next w:val="Resdate"/>
    <w:rsid w:val="00670B6B"/>
  </w:style>
  <w:style w:type="paragraph" w:customStyle="1" w:styleId="Restitle">
    <w:name w:val="Res_title"/>
    <w:basedOn w:val="Rectitle"/>
    <w:next w:val="Resref"/>
    <w:rsid w:val="00670B6B"/>
  </w:style>
  <w:style w:type="paragraph" w:customStyle="1" w:styleId="Section1">
    <w:name w:val="Section_1"/>
    <w:basedOn w:val="Normal"/>
    <w:next w:val="Normal"/>
    <w:rsid w:val="00670B6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70B6B"/>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70B6B"/>
    <w:pPr>
      <w:keepNext/>
      <w:keepLines/>
      <w:spacing w:before="480" w:after="80"/>
      <w:jc w:val="center"/>
    </w:pPr>
    <w:rPr>
      <w:caps/>
      <w:sz w:val="28"/>
    </w:rPr>
  </w:style>
  <w:style w:type="paragraph" w:customStyle="1" w:styleId="Sectiontitle">
    <w:name w:val="Section_title"/>
    <w:basedOn w:val="Normal"/>
    <w:next w:val="Normalaftertitle"/>
    <w:rsid w:val="00670B6B"/>
    <w:pPr>
      <w:keepNext/>
      <w:keepLines/>
      <w:spacing w:before="480" w:after="280"/>
      <w:jc w:val="center"/>
    </w:pPr>
    <w:rPr>
      <w:b/>
      <w:sz w:val="28"/>
    </w:rPr>
  </w:style>
  <w:style w:type="paragraph" w:customStyle="1" w:styleId="Source">
    <w:name w:val="Source"/>
    <w:basedOn w:val="Normal"/>
    <w:next w:val="Normalaftertitle"/>
    <w:rsid w:val="00670B6B"/>
    <w:pPr>
      <w:spacing w:before="840" w:after="200"/>
      <w:jc w:val="center"/>
    </w:pPr>
    <w:rPr>
      <w:b/>
      <w:sz w:val="28"/>
    </w:rPr>
  </w:style>
  <w:style w:type="paragraph" w:customStyle="1" w:styleId="SpecialFooter">
    <w:name w:val="Special Footer"/>
    <w:basedOn w:val="Footer"/>
    <w:rsid w:val="00670B6B"/>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670B6B"/>
    <w:rPr>
      <w:b/>
      <w:color w:val="auto"/>
    </w:rPr>
  </w:style>
  <w:style w:type="paragraph" w:customStyle="1" w:styleId="TableNoTitle0">
    <w:name w:val="Table_NoTitle"/>
    <w:basedOn w:val="Normal"/>
    <w:next w:val="Tablehead"/>
    <w:rsid w:val="00670B6B"/>
    <w:pPr>
      <w:keepNext/>
      <w:keepLines/>
      <w:spacing w:before="360" w:after="120"/>
      <w:jc w:val="center"/>
    </w:pPr>
    <w:rPr>
      <w:b/>
    </w:rPr>
  </w:style>
  <w:style w:type="paragraph" w:customStyle="1" w:styleId="Title1">
    <w:name w:val="Title 1"/>
    <w:basedOn w:val="Source"/>
    <w:next w:val="Normal"/>
    <w:rsid w:val="00670B6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70B6B"/>
  </w:style>
  <w:style w:type="paragraph" w:customStyle="1" w:styleId="Title3">
    <w:name w:val="Title 3"/>
    <w:basedOn w:val="Title2"/>
    <w:next w:val="Title4"/>
    <w:rsid w:val="00670B6B"/>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2964">
      <w:bodyDiv w:val="1"/>
      <w:marLeft w:val="0"/>
      <w:marRight w:val="0"/>
      <w:marTop w:val="0"/>
      <w:marBottom w:val="0"/>
      <w:divBdr>
        <w:top w:val="none" w:sz="0" w:space="0" w:color="auto"/>
        <w:left w:val="none" w:sz="0" w:space="0" w:color="auto"/>
        <w:bottom w:val="none" w:sz="0" w:space="0" w:color="auto"/>
        <w:right w:val="none" w:sz="0" w:space="0" w:color="auto"/>
      </w:divBdr>
    </w:div>
    <w:div w:id="90980072">
      <w:bodyDiv w:val="1"/>
      <w:marLeft w:val="0"/>
      <w:marRight w:val="0"/>
      <w:marTop w:val="0"/>
      <w:marBottom w:val="0"/>
      <w:divBdr>
        <w:top w:val="none" w:sz="0" w:space="0" w:color="auto"/>
        <w:left w:val="none" w:sz="0" w:space="0" w:color="auto"/>
        <w:bottom w:val="none" w:sz="0" w:space="0" w:color="auto"/>
        <w:right w:val="none" w:sz="0" w:space="0" w:color="auto"/>
      </w:divBdr>
    </w:div>
    <w:div w:id="1077942343">
      <w:bodyDiv w:val="1"/>
      <w:marLeft w:val="0"/>
      <w:marRight w:val="0"/>
      <w:marTop w:val="0"/>
      <w:marBottom w:val="0"/>
      <w:divBdr>
        <w:top w:val="none" w:sz="0" w:space="0" w:color="auto"/>
        <w:left w:val="none" w:sz="0" w:space="0" w:color="auto"/>
        <w:bottom w:val="none" w:sz="0" w:space="0" w:color="auto"/>
        <w:right w:val="none" w:sz="0" w:space="0" w:color="auto"/>
      </w:divBdr>
    </w:div>
    <w:div w:id="1165896535">
      <w:bodyDiv w:val="1"/>
      <w:marLeft w:val="0"/>
      <w:marRight w:val="0"/>
      <w:marTop w:val="0"/>
      <w:marBottom w:val="0"/>
      <w:divBdr>
        <w:top w:val="none" w:sz="0" w:space="0" w:color="auto"/>
        <w:left w:val="none" w:sz="0" w:space="0" w:color="auto"/>
        <w:bottom w:val="none" w:sz="0" w:space="0" w:color="auto"/>
        <w:right w:val="none" w:sz="0" w:space="0" w:color="auto"/>
      </w:divBdr>
    </w:div>
    <w:div w:id="1315404420">
      <w:bodyDiv w:val="1"/>
      <w:marLeft w:val="0"/>
      <w:marRight w:val="0"/>
      <w:marTop w:val="0"/>
      <w:marBottom w:val="0"/>
      <w:divBdr>
        <w:top w:val="none" w:sz="0" w:space="0" w:color="auto"/>
        <w:left w:val="none" w:sz="0" w:space="0" w:color="auto"/>
        <w:bottom w:val="none" w:sz="0" w:space="0" w:color="auto"/>
        <w:right w:val="none" w:sz="0" w:space="0" w:color="auto"/>
      </w:divBdr>
    </w:div>
    <w:div w:id="1408697208">
      <w:bodyDiv w:val="1"/>
      <w:marLeft w:val="0"/>
      <w:marRight w:val="0"/>
      <w:marTop w:val="0"/>
      <w:marBottom w:val="0"/>
      <w:divBdr>
        <w:top w:val="none" w:sz="0" w:space="0" w:color="auto"/>
        <w:left w:val="none" w:sz="0" w:space="0" w:color="auto"/>
        <w:bottom w:val="none" w:sz="0" w:space="0" w:color="auto"/>
        <w:right w:val="none" w:sz="0" w:space="0" w:color="auto"/>
      </w:divBdr>
    </w:div>
    <w:div w:id="17776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imanaka@nict.go.jp" TargetMode="External"/><Relationship Id="rId26" Type="http://schemas.openxmlformats.org/officeDocument/2006/relationships/hyperlink" Target="https://www.kent.edu/equalaccess/news/will-metaverse-be-accessible" TargetMode="Externa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yamamoto436@oki.com" TargetMode="External"/><Relationship Id="rId25" Type="http://schemas.openxmlformats.org/officeDocument/2006/relationships/hyperlink" Target="https://arxiv.org/abs/2304.07869"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lar.orero@uab.cat" TargetMode="External"/><Relationship Id="rId20" Type="http://schemas.openxmlformats.org/officeDocument/2006/relationships/footer" Target="footer2.xml"/><Relationship Id="rId29"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mv/Documents/List%20of%20FG-MV%20deliverables/FGMV-08.pdf"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wamori@sfc.wide.ad.jp" TargetMode="External"/><Relationship Id="rId23" Type="http://schemas.openxmlformats.org/officeDocument/2006/relationships/hyperlink" Target="https://www.itu.int/en/ITU-T/focusgroups/mv/Documents/List%20of%20FG-MV%20deliverables/FGMV-05.pdf" TargetMode="External"/><Relationship Id="rId28" Type="http://schemas.openxmlformats.org/officeDocument/2006/relationships/hyperlink" Target="https://social.desa.un.org/issues/disability/crpd/convention-on-the-rights-of-persons-with-disabilities-crpd"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tu.int/en/ITU-T/focusgroups/mv/Documents/List%20of%20FG-MV%20deliverables/FGMV-04.pdf" TargetMode="External"/><Relationship Id="rId27" Type="http://schemas.openxmlformats.org/officeDocument/2006/relationships/hyperlink" Target="https://ourworldindata.org/co2-and-greenhouse-gas-emissions" TargetMode="External"/><Relationship Id="rId30" Type="http://schemas.openxmlformats.org/officeDocument/2006/relationships/hyperlink" Target="https://www.w3.org/TR/xaur/"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9624F00-37FF-4A9C-ABF5-0099116B068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d1600e8-004f-4c6f-afe8-0c63f3945779"/>
    <ds:schemaRef ds:uri="6048f16a-77ac-4327-be06-b0beb1ce50d8"/>
    <ds:schemaRef ds:uri="http://www.w3.org/XML/1998/namespace"/>
    <ds:schemaRef ds:uri="http://purl.org/dc/terms/"/>
  </ds:schemaRefs>
</ds:datastoreItem>
</file>

<file path=customXml/itemProps4.xml><?xml version="1.0" encoding="utf-8"?>
<ds:datastoreItem xmlns:ds="http://schemas.openxmlformats.org/officeDocument/2006/customXml" ds:itemID="{67997D6E-CE63-4694-A883-C7F9A14BD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T-TUT-REPORT-E.dotm</Template>
  <TotalTime>1</TotalTime>
  <Pages>12</Pages>
  <Words>4312</Words>
  <Characters>24585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Agreement: HSTP.ACC-MV-Sustainable "Technical Paper on accessibility in a sustainable metaverse" (New)</vt:lpstr>
    </vt:vector>
  </TitlesOfParts>
  <Manager>ITU-T</Manager>
  <Company>International Telecommunication Union (ITU)</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FSTP-ACC-MV-SUST (04/2024) - Accessibility in a sustainable metaverse</dc:title>
  <dc:subject/>
  <dc:creator>Rapporteur Q26/16</dc:creator>
  <cp:keywords/>
  <dc:description/>
  <cp:lastModifiedBy>Le Van, Jack</cp:lastModifiedBy>
  <cp:revision>2</cp:revision>
  <cp:lastPrinted>2017-02-22T09:55:00Z</cp:lastPrinted>
  <dcterms:created xsi:type="dcterms:W3CDTF">2024-11-13T13:41:00Z</dcterms:created>
  <dcterms:modified xsi:type="dcterms:W3CDTF">2024-11-13T13:41:00Z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SG16-TD282/PLEN</vt:lpwstr>
  </property>
  <property fmtid="{D5CDD505-2E9C-101B-9397-08002B2CF9AE}" pid="11" name="Docdate">
    <vt:lpwstr/>
  </property>
  <property fmtid="{D5CDD505-2E9C-101B-9397-08002B2CF9AE}" pid="12" name="Docorlang">
    <vt:lpwstr/>
  </property>
  <property fmtid="{D5CDD505-2E9C-101B-9397-08002B2CF9AE}" pid="13" name="Docbluepink">
    <vt:lpwstr>26/16</vt:lpwstr>
  </property>
  <property fmtid="{D5CDD505-2E9C-101B-9397-08002B2CF9AE}" pid="14" name="Docdest">
    <vt:lpwstr>Rennes, 15-26 April 2024</vt:lpwstr>
  </property>
  <property fmtid="{D5CDD505-2E9C-101B-9397-08002B2CF9AE}" pid="15" name="Docauthor">
    <vt:lpwstr>Rapporteur Q26/16</vt:lpwstr>
  </property>
  <property fmtid="{D5CDD505-2E9C-101B-9397-08002B2CF9AE}" pid="16" name="MediaServiceImageTags">
    <vt:lpwstr/>
  </property>
</Properties>
</file>