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7019F2" w:rsidRPr="008C54A5" w14:paraId="736EC4DC" w14:textId="77777777" w:rsidTr="00087537">
        <w:trPr>
          <w:trHeight w:hRule="exact" w:val="992"/>
        </w:trPr>
        <w:tc>
          <w:tcPr>
            <w:tcW w:w="5070" w:type="dxa"/>
            <w:gridSpan w:val="2"/>
          </w:tcPr>
          <w:p w14:paraId="055DED7B" w14:textId="77777777" w:rsidR="007019F2" w:rsidRPr="008C54A5" w:rsidRDefault="007019F2" w:rsidP="00087537">
            <w:pPr>
              <w:spacing w:before="0"/>
              <w:rPr>
                <w:rFonts w:ascii="Arial" w:eastAsia="Avenir Next W1G Medium" w:hAnsi="Arial" w:cs="Arial"/>
                <w:szCs w:val="24"/>
              </w:rPr>
            </w:pPr>
            <w:r w:rsidRPr="008C54A5">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FE433DA" wp14:editId="30A60644">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B0C7A"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7F6C2906" w14:textId="77777777" w:rsidR="007019F2" w:rsidRPr="008C54A5" w:rsidRDefault="007019F2" w:rsidP="00087537">
            <w:pPr>
              <w:spacing w:before="0"/>
              <w:jc w:val="right"/>
              <w:rPr>
                <w:rFonts w:ascii="Arial" w:eastAsia="Avenir Next W1G Medium" w:hAnsi="Arial" w:cs="Arial"/>
                <w:szCs w:val="24"/>
              </w:rPr>
            </w:pPr>
            <w:r w:rsidRPr="008C54A5">
              <w:rPr>
                <w:rFonts w:ascii="Arial" w:eastAsia="Avenir Next W1G Medium" w:hAnsi="Arial" w:cs="Arial"/>
                <w:szCs w:val="24"/>
              </w:rPr>
              <w:t>Standardization Sector</w:t>
            </w:r>
          </w:p>
        </w:tc>
      </w:tr>
      <w:tr w:rsidR="007019F2" w:rsidRPr="008C54A5" w14:paraId="72299A67" w14:textId="77777777" w:rsidTr="00087537">
        <w:tblPrEx>
          <w:tblCellMar>
            <w:left w:w="85" w:type="dxa"/>
            <w:right w:w="85" w:type="dxa"/>
          </w:tblCellMar>
        </w:tblPrEx>
        <w:trPr>
          <w:gridBefore w:val="1"/>
          <w:wBefore w:w="817" w:type="dxa"/>
          <w:trHeight w:val="709"/>
        </w:trPr>
        <w:tc>
          <w:tcPr>
            <w:tcW w:w="9923" w:type="dxa"/>
            <w:gridSpan w:val="2"/>
          </w:tcPr>
          <w:p w14:paraId="7B832B85" w14:textId="77777777" w:rsidR="007019F2" w:rsidRPr="008C54A5" w:rsidRDefault="007019F2" w:rsidP="00087537">
            <w:pPr>
              <w:pStyle w:val="BodyText"/>
              <w:spacing w:before="440"/>
              <w:rPr>
                <w:rFonts w:ascii="Arial" w:hAnsi="Arial" w:cs="Arial"/>
                <w:spacing w:val="-6"/>
                <w:sz w:val="44"/>
                <w:szCs w:val="44"/>
                <w:lang w:val="en-GB"/>
              </w:rPr>
            </w:pPr>
            <w:bookmarkStart w:id="0" w:name="dnume"/>
            <w:r w:rsidRPr="008C54A5">
              <w:rPr>
                <w:rFonts w:ascii="Arial" w:hAnsi="Arial" w:cs="Arial"/>
                <w:spacing w:val="-6"/>
                <w:sz w:val="44"/>
                <w:szCs w:val="44"/>
                <w:lang w:val="en-GB"/>
              </w:rPr>
              <w:t>ITU-T Technical Paper</w:t>
            </w:r>
          </w:p>
        </w:tc>
      </w:tr>
      <w:tr w:rsidR="007019F2" w:rsidRPr="008C54A5" w14:paraId="6C7CE070" w14:textId="77777777" w:rsidTr="00087537">
        <w:tblPrEx>
          <w:tblCellMar>
            <w:left w:w="85" w:type="dxa"/>
            <w:right w:w="85" w:type="dxa"/>
          </w:tblCellMar>
        </w:tblPrEx>
        <w:trPr>
          <w:gridBefore w:val="1"/>
          <w:wBefore w:w="817" w:type="dxa"/>
          <w:trHeight w:val="129"/>
        </w:trPr>
        <w:tc>
          <w:tcPr>
            <w:tcW w:w="9923" w:type="dxa"/>
            <w:gridSpan w:val="2"/>
          </w:tcPr>
          <w:p w14:paraId="411562D2" w14:textId="77777777" w:rsidR="007019F2" w:rsidRPr="008C54A5" w:rsidRDefault="007019F2" w:rsidP="00087537">
            <w:pPr>
              <w:pStyle w:val="BodyText"/>
              <w:spacing w:before="120" w:after="240"/>
              <w:jc w:val="right"/>
              <w:rPr>
                <w:rFonts w:ascii="Arial" w:hAnsi="Arial" w:cs="Arial"/>
                <w:spacing w:val="-6"/>
                <w:sz w:val="28"/>
                <w:szCs w:val="28"/>
                <w:lang w:val="en-GB"/>
              </w:rPr>
            </w:pPr>
            <w:bookmarkStart w:id="1" w:name="dnume2"/>
            <w:bookmarkEnd w:id="0"/>
            <w:r w:rsidRPr="008C54A5">
              <w:rPr>
                <w:rFonts w:ascii="Arial" w:hAnsi="Arial" w:cs="Arial"/>
                <w:spacing w:val="-6"/>
                <w:sz w:val="28"/>
                <w:szCs w:val="28"/>
                <w:lang w:val="en-GB"/>
              </w:rPr>
              <w:t>(03/2024)</w:t>
            </w:r>
          </w:p>
        </w:tc>
      </w:tr>
      <w:tr w:rsidR="007019F2" w:rsidRPr="008C54A5" w14:paraId="35CF805B" w14:textId="77777777" w:rsidTr="00087537">
        <w:trPr>
          <w:trHeight w:val="80"/>
        </w:trPr>
        <w:tc>
          <w:tcPr>
            <w:tcW w:w="817" w:type="dxa"/>
          </w:tcPr>
          <w:p w14:paraId="0DBB13D7" w14:textId="77777777" w:rsidR="007019F2" w:rsidRPr="008C54A5" w:rsidRDefault="007019F2" w:rsidP="00087537">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5CF4C8FD" w14:textId="77777777" w:rsidR="007019F2" w:rsidRPr="008C54A5" w:rsidRDefault="007019F2" w:rsidP="00087537">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8C54A5">
              <w:rPr>
                <w:rFonts w:ascii="Arial" w:hAnsi="Arial" w:cs="Arial"/>
                <w:b/>
                <w:bCs/>
                <w:sz w:val="48"/>
                <w:szCs w:val="48"/>
              </w:rPr>
              <w:t>TP.inno</w:t>
            </w:r>
          </w:p>
        </w:tc>
      </w:tr>
      <w:tr w:rsidR="007019F2" w:rsidRPr="008C54A5" w14:paraId="49A27E1C" w14:textId="77777777" w:rsidTr="00087537">
        <w:trPr>
          <w:trHeight w:val="743"/>
        </w:trPr>
        <w:tc>
          <w:tcPr>
            <w:tcW w:w="817" w:type="dxa"/>
          </w:tcPr>
          <w:p w14:paraId="747BF2DB" w14:textId="77777777" w:rsidR="007019F2" w:rsidRPr="008C54A5" w:rsidRDefault="007019F2" w:rsidP="00087537">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5220A68E" w14:textId="77777777" w:rsidR="007019F2" w:rsidRPr="008C54A5" w:rsidRDefault="007019F2" w:rsidP="00087537">
            <w:pPr>
              <w:pStyle w:val="BodyText"/>
              <w:spacing w:before="440" w:line="192" w:lineRule="auto"/>
              <w:rPr>
                <w:rFonts w:ascii="Arial" w:hAnsi="Arial" w:cs="Arial"/>
                <w:spacing w:val="-6"/>
                <w:sz w:val="44"/>
                <w:szCs w:val="44"/>
                <w:lang w:val="en-GB"/>
              </w:rPr>
            </w:pPr>
            <w:r w:rsidRPr="008C54A5">
              <w:rPr>
                <w:rFonts w:ascii="Arial" w:hAnsi="Arial" w:cs="Arial"/>
                <w:spacing w:val="-6"/>
                <w:sz w:val="44"/>
                <w:szCs w:val="44"/>
                <w:lang w:val="en-GB"/>
              </w:rPr>
              <w:t>Description of the incubation mechanism and ways to improve it</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7019F2" w:rsidRPr="008C54A5" w14:paraId="26AAF88C" w14:textId="77777777" w:rsidTr="00087537">
        <w:tc>
          <w:tcPr>
            <w:tcW w:w="5070" w:type="dxa"/>
            <w:vAlign w:val="center"/>
          </w:tcPr>
          <w:bookmarkEnd w:id="3"/>
          <w:p w14:paraId="79CCE0EB" w14:textId="77777777" w:rsidR="007019F2" w:rsidRPr="008C54A5" w:rsidRDefault="007019F2" w:rsidP="00087537">
            <w:pPr>
              <w:jc w:val="left"/>
              <w:rPr>
                <w:rFonts w:ascii="Arial" w:hAnsi="Arial" w:cs="Arial"/>
                <w:sz w:val="32"/>
                <w:szCs w:val="32"/>
              </w:rPr>
            </w:pPr>
            <w:r w:rsidRPr="008C54A5">
              <w:rPr>
                <w:rFonts w:ascii="Arial" w:hAnsi="Arial" w:cs="Arial"/>
                <w:b/>
                <w:color w:val="009CD6"/>
                <w:spacing w:val="-4"/>
                <w:sz w:val="32"/>
                <w:szCs w:val="32"/>
              </w:rPr>
              <w:t>ITU</w:t>
            </w:r>
            <w:r w:rsidRPr="008C54A5">
              <w:rPr>
                <w:rFonts w:ascii="Arial" w:hAnsi="Arial" w:cs="Arial"/>
                <w:b/>
                <w:color w:val="292829"/>
                <w:spacing w:val="-4"/>
                <w:sz w:val="32"/>
                <w:szCs w:val="32"/>
              </w:rPr>
              <w:t>Publications</w:t>
            </w:r>
          </w:p>
        </w:tc>
        <w:tc>
          <w:tcPr>
            <w:tcW w:w="5669" w:type="dxa"/>
            <w:vAlign w:val="center"/>
          </w:tcPr>
          <w:p w14:paraId="43DD9507" w14:textId="77777777" w:rsidR="007019F2" w:rsidRPr="008C54A5" w:rsidRDefault="007019F2" w:rsidP="00087537">
            <w:pPr>
              <w:jc w:val="right"/>
              <w:rPr>
                <w:rFonts w:ascii="Arial" w:hAnsi="Arial" w:cs="Arial"/>
                <w:szCs w:val="24"/>
              </w:rPr>
            </w:pPr>
            <w:r w:rsidRPr="008C54A5">
              <w:rPr>
                <w:rFonts w:ascii="Arial" w:eastAsia="Avenir Next W1G Medium" w:hAnsi="Arial" w:cs="Arial"/>
                <w:b/>
                <w:spacing w:val="-4"/>
                <w:szCs w:val="24"/>
              </w:rPr>
              <w:t>International Telecommunication Union</w:t>
            </w:r>
          </w:p>
        </w:tc>
      </w:tr>
    </w:tbl>
    <w:p w14:paraId="080DE5E2" w14:textId="699E41DB" w:rsidR="007019F2" w:rsidRPr="008C54A5" w:rsidRDefault="007019F2" w:rsidP="007019F2">
      <w:pPr>
        <w:pStyle w:val="Default"/>
      </w:pPr>
      <w:r w:rsidRPr="008C54A5">
        <w:rPr>
          <w:noProof/>
        </w:rPr>
        <w:drawing>
          <wp:anchor distT="0" distB="0" distL="0" distR="0" simplePos="0" relativeHeight="251659264" behindDoc="1" locked="0" layoutInCell="1" allowOverlap="1" wp14:anchorId="6C4B30E6" wp14:editId="1B9FCB5D">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p>
    <w:p w14:paraId="1838CC78" w14:textId="77777777" w:rsidR="007019F2" w:rsidRPr="008C54A5" w:rsidRDefault="007019F2" w:rsidP="007019F2">
      <w:pPr>
        <w:spacing w:before="80"/>
        <w:jc w:val="left"/>
        <w:rPr>
          <w:i/>
          <w:sz w:val="20"/>
        </w:rPr>
      </w:pPr>
    </w:p>
    <w:p w14:paraId="5608E85E" w14:textId="77777777" w:rsidR="007019F2" w:rsidRPr="008C54A5" w:rsidRDefault="007019F2" w:rsidP="007019F2">
      <w:pPr>
        <w:jc w:val="left"/>
        <w:sectPr w:rsidR="007019F2" w:rsidRPr="008C54A5" w:rsidSect="007019F2">
          <w:headerReference w:type="even" r:id="rId12"/>
          <w:headerReference w:type="default" r:id="rId13"/>
          <w:footerReference w:type="defaul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7019F2" w:rsidRPr="008C54A5" w14:paraId="2463C23C" w14:textId="77777777" w:rsidTr="00087537">
        <w:tc>
          <w:tcPr>
            <w:tcW w:w="9945" w:type="dxa"/>
          </w:tcPr>
          <w:p w14:paraId="2EC730A5" w14:textId="77777777" w:rsidR="007019F2" w:rsidRPr="00BA74D0" w:rsidRDefault="007019F2" w:rsidP="00087537">
            <w:pPr>
              <w:pStyle w:val="RecNo"/>
              <w:rPr>
                <w:lang w:val="fr-CH"/>
              </w:rPr>
            </w:pPr>
            <w:bookmarkStart w:id="5" w:name="irecnoe"/>
            <w:bookmarkEnd w:id="5"/>
            <w:r w:rsidRPr="00BA74D0">
              <w:rPr>
                <w:lang w:val="fr-CH"/>
              </w:rPr>
              <w:lastRenderedPageBreak/>
              <w:t>Technical Paper ITU-T TP.inno</w:t>
            </w:r>
          </w:p>
          <w:p w14:paraId="2AA20342" w14:textId="77777777" w:rsidR="007019F2" w:rsidRPr="008C54A5" w:rsidRDefault="007019F2" w:rsidP="00087537">
            <w:pPr>
              <w:pStyle w:val="Rectitle"/>
            </w:pPr>
            <w:r w:rsidRPr="008C54A5">
              <w:t>Description of the incubation mechanism and ways to improve it</w:t>
            </w:r>
          </w:p>
        </w:tc>
      </w:tr>
    </w:tbl>
    <w:p w14:paraId="221F47AC" w14:textId="77777777" w:rsidR="007019F2" w:rsidRPr="008C54A5" w:rsidRDefault="007019F2" w:rsidP="007019F2"/>
    <w:p w14:paraId="250D5D17" w14:textId="77777777" w:rsidR="007019F2" w:rsidRPr="008C54A5" w:rsidRDefault="007019F2" w:rsidP="007019F2"/>
    <w:tbl>
      <w:tblPr>
        <w:tblW w:w="9945" w:type="dxa"/>
        <w:tblLayout w:type="fixed"/>
        <w:tblLook w:val="0000" w:firstRow="0" w:lastRow="0" w:firstColumn="0" w:lastColumn="0" w:noHBand="0" w:noVBand="0"/>
      </w:tblPr>
      <w:tblGrid>
        <w:gridCol w:w="9945"/>
      </w:tblGrid>
      <w:tr w:rsidR="007019F2" w:rsidRPr="008C54A5" w14:paraId="0A964C9F" w14:textId="77777777" w:rsidTr="003B6019">
        <w:tc>
          <w:tcPr>
            <w:tcW w:w="9945" w:type="dxa"/>
          </w:tcPr>
          <w:p w14:paraId="0CB8F966" w14:textId="77777777" w:rsidR="007019F2" w:rsidRPr="008C54A5" w:rsidRDefault="007019F2" w:rsidP="00087537">
            <w:pPr>
              <w:pStyle w:val="Headingb"/>
            </w:pPr>
            <w:bookmarkStart w:id="6" w:name="isume"/>
            <w:r w:rsidRPr="008C54A5">
              <w:t>Summary</w:t>
            </w:r>
          </w:p>
          <w:p w14:paraId="3BFA2D15" w14:textId="77777777" w:rsidR="00E96FBA" w:rsidRPr="008C54A5" w:rsidRDefault="00E96FBA" w:rsidP="00E96FBA">
            <w:r w:rsidRPr="008C54A5">
              <w:t>In accordance with its mandate, ITU-T Study Group 17 (SG17) coordinates security-related work across all ITU-T Study Groups. Security, as described in the Study Group's mandate, evolves at a pace that is much faster than the four-year term that characterizes study periods. There are many forces in action driving a lot of innovation such as:</w:t>
            </w:r>
          </w:p>
          <w:p w14:paraId="07A060DD" w14:textId="3FECEC38" w:rsidR="00E96FBA" w:rsidRPr="008C54A5" w:rsidRDefault="00E96FBA" w:rsidP="00E96FBA">
            <w:pPr>
              <w:pStyle w:val="enumlev1"/>
              <w:rPr>
                <w:shd w:val="clear" w:color="auto" w:fill="FFFFFF"/>
                <w:lang w:eastAsia="fr-FR"/>
              </w:rPr>
            </w:pPr>
            <w:r w:rsidRPr="008C54A5">
              <w:rPr>
                <w:lang w:eastAsia="fr-FR"/>
              </w:rPr>
              <w:t>–</w:t>
            </w:r>
            <w:r w:rsidRPr="008C54A5">
              <w:rPr>
                <w:lang w:eastAsia="fr-FR"/>
              </w:rPr>
              <w:tab/>
            </w:r>
            <w:r w:rsidR="00D005A4">
              <w:rPr>
                <w:shd w:val="clear" w:color="auto" w:fill="FFFFFF"/>
                <w:lang w:eastAsia="fr-FR"/>
              </w:rPr>
              <w:t xml:space="preserve">The </w:t>
            </w:r>
            <w:r w:rsidRPr="008C54A5">
              <w:rPr>
                <w:shd w:val="clear" w:color="auto" w:fill="FFFFFF"/>
                <w:lang w:eastAsia="fr-FR"/>
              </w:rPr>
              <w:t>arm</w:t>
            </w:r>
            <w:r w:rsidR="00D005A4">
              <w:rPr>
                <w:shd w:val="clear" w:color="auto" w:fill="FFFFFF"/>
                <w:lang w:eastAsia="fr-FR"/>
              </w:rPr>
              <w:t>s</w:t>
            </w:r>
            <w:r w:rsidRPr="008C54A5">
              <w:rPr>
                <w:shd w:val="clear" w:color="auto" w:fill="FFFFFF"/>
                <w:lang w:eastAsia="fr-FR"/>
              </w:rPr>
              <w:t xml:space="preserve"> race </w:t>
            </w:r>
            <w:r w:rsidRPr="008C54A5">
              <w:t>between</w:t>
            </w:r>
            <w:r w:rsidRPr="008C54A5">
              <w:rPr>
                <w:shd w:val="clear" w:color="auto" w:fill="FFFFFF"/>
                <w:lang w:eastAsia="fr-FR"/>
              </w:rPr>
              <w:t xml:space="preserve"> attackers and defenders</w:t>
            </w:r>
            <w:r w:rsidR="00D005A4">
              <w:rPr>
                <w:shd w:val="clear" w:color="auto" w:fill="FFFFFF"/>
                <w:lang w:eastAsia="fr-FR"/>
              </w:rPr>
              <w:t>;</w:t>
            </w:r>
          </w:p>
          <w:p w14:paraId="2EB0B6C8" w14:textId="7F2EFEFA" w:rsidR="00E96FBA" w:rsidRPr="008C54A5" w:rsidRDefault="00E96FBA" w:rsidP="00E96FBA">
            <w:pPr>
              <w:pStyle w:val="enumlev1"/>
              <w:rPr>
                <w:shd w:val="clear" w:color="auto" w:fill="FFFFFF"/>
                <w:lang w:eastAsia="fr-FR"/>
              </w:rPr>
            </w:pPr>
            <w:r w:rsidRPr="008C54A5">
              <w:rPr>
                <w:lang w:eastAsia="fr-FR"/>
              </w:rPr>
              <w:t>–</w:t>
            </w:r>
            <w:r w:rsidRPr="008C54A5">
              <w:rPr>
                <w:lang w:eastAsia="fr-FR"/>
              </w:rPr>
              <w:tab/>
            </w:r>
            <w:r w:rsidRPr="008C54A5">
              <w:rPr>
                <w:shd w:val="clear" w:color="auto" w:fill="FFFFFF"/>
                <w:lang w:eastAsia="fr-FR"/>
              </w:rPr>
              <w:t xml:space="preserve">The general digitalization mega-trend driving general innovation (artificial intelligence (AI), </w:t>
            </w:r>
            <w:r w:rsidRPr="008C54A5">
              <w:t>distributed ledger technology</w:t>
            </w:r>
            <w:r w:rsidRPr="008C54A5">
              <w:rPr>
                <w:shd w:val="clear" w:color="auto" w:fill="FFFFFF"/>
                <w:lang w:eastAsia="fr-FR"/>
              </w:rPr>
              <w:t xml:space="preserve"> (DLT), etc.)</w:t>
            </w:r>
            <w:r w:rsidR="00D005A4">
              <w:rPr>
                <w:shd w:val="clear" w:color="auto" w:fill="FFFFFF"/>
                <w:lang w:eastAsia="fr-FR"/>
              </w:rPr>
              <w:t>;</w:t>
            </w:r>
          </w:p>
          <w:p w14:paraId="4C60EED9" w14:textId="2133B84F" w:rsidR="00E96FBA" w:rsidRPr="008C54A5" w:rsidRDefault="00E96FBA" w:rsidP="00E96FBA">
            <w:pPr>
              <w:pStyle w:val="enumlev1"/>
              <w:rPr>
                <w:shd w:val="clear" w:color="auto" w:fill="FFFFFF"/>
                <w:lang w:eastAsia="fr-FR"/>
              </w:rPr>
            </w:pPr>
            <w:r w:rsidRPr="008C54A5">
              <w:rPr>
                <w:lang w:eastAsia="fr-FR"/>
              </w:rPr>
              <w:t>–</w:t>
            </w:r>
            <w:r w:rsidRPr="008C54A5">
              <w:rPr>
                <w:lang w:eastAsia="fr-FR"/>
              </w:rPr>
              <w:tab/>
            </w:r>
            <w:r w:rsidRPr="008C54A5">
              <w:rPr>
                <w:shd w:val="clear" w:color="auto" w:fill="FFFFFF"/>
                <w:lang w:eastAsia="fr-FR"/>
              </w:rPr>
              <w:t>A strong change in the policy and regulatory frameworks at country and regional levels (e.g., different</w:t>
            </w:r>
            <w:r w:rsidRPr="008C54A5">
              <w:t xml:space="preserve"> data protection regulation</w:t>
            </w:r>
            <w:r w:rsidRPr="008C54A5">
              <w:rPr>
                <w:shd w:val="clear" w:color="auto" w:fill="FFFFFF"/>
                <w:lang w:eastAsia="fr-FR"/>
              </w:rPr>
              <w:t>)</w:t>
            </w:r>
            <w:r w:rsidR="009D72DD">
              <w:rPr>
                <w:shd w:val="clear" w:color="auto" w:fill="FFFFFF"/>
                <w:lang w:eastAsia="fr-FR"/>
              </w:rPr>
              <w:t>.</w:t>
            </w:r>
          </w:p>
          <w:p w14:paraId="3DB7CCA7" w14:textId="061727EF" w:rsidR="00E96FBA" w:rsidRPr="008C54A5" w:rsidRDefault="00E96FBA" w:rsidP="00E96FBA">
            <w:r w:rsidRPr="008C54A5">
              <w:t xml:space="preserve">In this context, SG17 </w:t>
            </w:r>
            <w:r w:rsidR="00D005A4">
              <w:t>has taken</w:t>
            </w:r>
            <w:r w:rsidR="00D005A4" w:rsidRPr="008C54A5">
              <w:t xml:space="preserve"> </w:t>
            </w:r>
            <w:r w:rsidRPr="008C54A5">
              <w:t xml:space="preserve">the initiative to develop a strategy of transformation of security studies through a correspondence group on </w:t>
            </w:r>
            <w:r w:rsidR="00D005A4">
              <w:t xml:space="preserve">the </w:t>
            </w:r>
            <w:r w:rsidRPr="008C54A5">
              <w:t>transformation of security studies called CG</w:t>
            </w:r>
            <w:r w:rsidRPr="008C54A5">
              <w:noBreakHyphen/>
              <w:t>XSS. This correspondence group and the associated special sessions on the transformation of security studies delivered a strategy in three steps where the first step involved the creation of an incubation mechanism to deal with innovation in a much timelier manner.</w:t>
            </w:r>
          </w:p>
          <w:p w14:paraId="4F3309FE" w14:textId="01AF9826" w:rsidR="00E96FBA" w:rsidRPr="008C54A5" w:rsidRDefault="00E96FBA" w:rsidP="00E96FBA">
            <w:r w:rsidRPr="008C54A5">
              <w:t>Whil</w:t>
            </w:r>
            <w:r w:rsidR="008C54A5">
              <w:t>e</w:t>
            </w:r>
            <w:r w:rsidRPr="008C54A5">
              <w:t xml:space="preserve"> this incubation mechanism proved to be successful in the pilot phase, a lot of the documentation describing it </w:t>
            </w:r>
            <w:r w:rsidR="00D005A4">
              <w:t>became</w:t>
            </w:r>
            <w:r w:rsidR="00D005A4" w:rsidRPr="008C54A5">
              <w:t xml:space="preserve"> </w:t>
            </w:r>
            <w:r w:rsidRPr="008C54A5">
              <w:t>diluted in too many temporary documents. It was therefore felt that there was a fundamental need for a live reference document that can codify this incubation mechanism and incrementally answer the question</w:t>
            </w:r>
            <w:r w:rsidR="00D005A4">
              <w:t xml:space="preserve"> of </w:t>
            </w:r>
            <w:r w:rsidRPr="008C54A5">
              <w:t>how to bring innovation in cybersecurity standardization in Study Group 17 in a timely manner</w:t>
            </w:r>
            <w:r w:rsidR="00D005A4">
              <w:t>.</w:t>
            </w:r>
          </w:p>
          <w:p w14:paraId="7413419E" w14:textId="77777777" w:rsidR="00E96FBA" w:rsidRPr="008C54A5" w:rsidRDefault="00E96FBA" w:rsidP="00E96FBA">
            <w:r w:rsidRPr="008C54A5">
              <w:t>The purpose of this Technical Paper is precisely to answer this question.</w:t>
            </w:r>
          </w:p>
          <w:p w14:paraId="3CB5193F" w14:textId="21C93D44" w:rsidR="007019F2" w:rsidRPr="008C54A5" w:rsidRDefault="00E96FBA" w:rsidP="00E96FBA">
            <w:r w:rsidRPr="008C54A5">
              <w:t>As any mechanism can be improved, it will as well review and analyse what other standards development organizations (SDOs) are doing in terms of innovation, and perhaps it will help SG17 to constantly review and improve this mechanism.</w:t>
            </w:r>
            <w:bookmarkEnd w:id="6"/>
          </w:p>
        </w:tc>
      </w:tr>
      <w:tr w:rsidR="007019F2" w:rsidRPr="008C54A5" w14:paraId="456E870F" w14:textId="77777777" w:rsidTr="003B6019">
        <w:tc>
          <w:tcPr>
            <w:tcW w:w="9945" w:type="dxa"/>
          </w:tcPr>
          <w:p w14:paraId="5B308687" w14:textId="77777777" w:rsidR="007019F2" w:rsidRPr="008C54A5" w:rsidRDefault="007019F2" w:rsidP="00087537">
            <w:pPr>
              <w:pStyle w:val="Headingb"/>
            </w:pPr>
            <w:bookmarkStart w:id="7" w:name="ikeye"/>
            <w:r w:rsidRPr="008C54A5">
              <w:t>Keywords</w:t>
            </w:r>
          </w:p>
          <w:p w14:paraId="6FA5C474" w14:textId="77777777" w:rsidR="007019F2" w:rsidRPr="008C54A5" w:rsidRDefault="007019F2" w:rsidP="00087537">
            <w:pPr>
              <w:rPr>
                <w:bCs/>
              </w:rPr>
            </w:pPr>
            <w:r w:rsidRPr="008C54A5">
              <w:rPr>
                <w:lang w:bidi="ar-DZ"/>
              </w:rPr>
              <w:t>Incubation, innovation, mechanisms</w:t>
            </w:r>
            <w:bookmarkEnd w:id="7"/>
            <w:r w:rsidRPr="008C54A5">
              <w:rPr>
                <w:lang w:bidi="ar-DZ"/>
              </w:rPr>
              <w:t>.</w:t>
            </w:r>
          </w:p>
        </w:tc>
      </w:tr>
    </w:tbl>
    <w:p w14:paraId="02360E26" w14:textId="323758F0" w:rsidR="007019F2" w:rsidRPr="008C54A5" w:rsidRDefault="007019F2" w:rsidP="00BA74D0">
      <w:pPr>
        <w:pStyle w:val="Headingb"/>
        <w:ind w:left="113"/>
        <w:rPr>
          <w:bCs/>
          <w:sz w:val="22"/>
        </w:rPr>
      </w:pPr>
      <w:r w:rsidRPr="008C54A5">
        <w:t>Note</w:t>
      </w:r>
    </w:p>
    <w:p w14:paraId="6EC96BD8" w14:textId="77777777" w:rsidR="007019F2" w:rsidRPr="008C54A5" w:rsidRDefault="007019F2" w:rsidP="00BA74D0">
      <w:pPr>
        <w:ind w:left="113"/>
      </w:pPr>
      <w:r w:rsidRPr="008C54A5">
        <w:rPr>
          <w:sz w:val="22"/>
        </w:rPr>
        <w:t>This is an informative ITU-T publication. Mandatory provisions, such as those found in ITU-T Recommendations, are outside the scope of this publication. This publication should only be referenced bibliographically in ITU-T Recommendations.</w:t>
      </w:r>
    </w:p>
    <w:p w14:paraId="403B2579" w14:textId="77777777" w:rsidR="007019F2" w:rsidRPr="008C54A5" w:rsidRDefault="007019F2" w:rsidP="00BA74D0">
      <w:pPr>
        <w:ind w:left="113"/>
      </w:pPr>
    </w:p>
    <w:p w14:paraId="38196202" w14:textId="77777777" w:rsidR="007019F2" w:rsidRPr="008C54A5" w:rsidRDefault="007019F2" w:rsidP="00BA74D0">
      <w:pPr>
        <w:pStyle w:val="Headingb"/>
        <w:ind w:left="113"/>
        <w:jc w:val="both"/>
      </w:pPr>
      <w:r w:rsidRPr="008C54A5">
        <w:t>Change Log</w:t>
      </w:r>
    </w:p>
    <w:p w14:paraId="40D1B268" w14:textId="100D14F5" w:rsidR="007019F2" w:rsidRPr="008C54A5" w:rsidRDefault="007019F2" w:rsidP="00BA74D0">
      <w:pPr>
        <w:ind w:left="113"/>
      </w:pPr>
      <w:r w:rsidRPr="008C54A5">
        <w:t xml:space="preserve">This document contains Version 2.0 of the ITU-T Technical Paper on </w:t>
      </w:r>
      <w:r w:rsidR="00163081">
        <w:t>"</w:t>
      </w:r>
      <w:r w:rsidRPr="008C54A5">
        <w:rPr>
          <w:i/>
          <w:iCs/>
        </w:rPr>
        <w:t>Description of the incubation mechanism and ways to improve it</w:t>
      </w:r>
      <w:r w:rsidR="00163081">
        <w:t>"</w:t>
      </w:r>
      <w:r w:rsidRPr="008C54A5">
        <w:t xml:space="preserve"> approved at the ITU-T Study Group 17 meeting held in Geneva, 21 February – 3 March 2023</w:t>
      </w:r>
      <w:r w:rsidR="009D72DD">
        <w:t>.</w:t>
      </w:r>
    </w:p>
    <w:p w14:paraId="5F100EDD" w14:textId="77777777" w:rsidR="007019F2" w:rsidRPr="008C54A5" w:rsidRDefault="007019F2" w:rsidP="007019F2">
      <w:pPr>
        <w:jc w:val="center"/>
        <w:rPr>
          <w:sz w:val="22"/>
        </w:rPr>
      </w:pPr>
      <w:r w:rsidRPr="008C54A5">
        <w:rPr>
          <w:sz w:val="22"/>
        </w:rPr>
        <w:sym w:font="Symbol" w:char="F0E3"/>
      </w:r>
      <w:r w:rsidRPr="008C54A5">
        <w:rPr>
          <w:sz w:val="22"/>
        </w:rPr>
        <w:t> ITU </w:t>
      </w:r>
      <w:bookmarkStart w:id="8" w:name="iiannee"/>
      <w:bookmarkEnd w:id="8"/>
      <w:r w:rsidRPr="008C54A5">
        <w:rPr>
          <w:sz w:val="22"/>
        </w:rPr>
        <w:t>2024</w:t>
      </w:r>
    </w:p>
    <w:p w14:paraId="06170CC8" w14:textId="77777777" w:rsidR="007019F2" w:rsidRPr="008C54A5" w:rsidRDefault="007019F2" w:rsidP="00BA74D0">
      <w:pPr>
        <w:ind w:left="113"/>
        <w:rPr>
          <w:sz w:val="22"/>
        </w:rPr>
      </w:pPr>
      <w:r w:rsidRPr="008C54A5">
        <w:rPr>
          <w:sz w:val="22"/>
        </w:rPr>
        <w:t>All rights reserved. No part of this publication may be reproduced, by any means whatsoever, without the prior written permission of ITU.</w:t>
      </w:r>
    </w:p>
    <w:p w14:paraId="0C48D1F8" w14:textId="77777777" w:rsidR="007019F2" w:rsidRPr="008C54A5" w:rsidRDefault="007019F2" w:rsidP="007019F2">
      <w:pPr>
        <w:jc w:val="center"/>
        <w:rPr>
          <w:b/>
        </w:rPr>
      </w:pPr>
      <w:r w:rsidRPr="008C54A5">
        <w:rPr>
          <w:b/>
        </w:rPr>
        <w:br w:type="page"/>
        <w:t>Table of Contents</w:t>
      </w:r>
    </w:p>
    <w:p w14:paraId="60ABDE93" w14:textId="77777777" w:rsidR="007019F2" w:rsidRPr="008C54A5" w:rsidRDefault="007019F2" w:rsidP="007019F2">
      <w:pPr>
        <w:pStyle w:val="toc0"/>
      </w:pPr>
      <w:r w:rsidRPr="008C54A5">
        <w:tab/>
        <w:t>Page</w:t>
      </w:r>
    </w:p>
    <w:p w14:paraId="3B29C506" w14:textId="727CE098"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1</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lang w:bidi="ar-DZ"/>
        </w:rPr>
        <w:t>Scope</w:t>
      </w:r>
      <w:r w:rsidRPr="00F3547D">
        <w:rPr>
          <w:noProof/>
          <w:webHidden/>
        </w:rPr>
        <w:tab/>
      </w:r>
      <w:r w:rsidRPr="00F3547D">
        <w:rPr>
          <w:noProof/>
          <w:webHidden/>
        </w:rPr>
        <w:tab/>
        <w:t>1</w:t>
      </w:r>
    </w:p>
    <w:p w14:paraId="4C78493A" w14:textId="3522743B"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lang w:bidi="ar-DZ"/>
        </w:rPr>
        <w:t>2</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lang w:bidi="ar-DZ"/>
        </w:rPr>
        <w:t>References</w:t>
      </w:r>
      <w:r w:rsidRPr="00F3547D">
        <w:rPr>
          <w:noProof/>
          <w:webHidden/>
        </w:rPr>
        <w:tab/>
      </w:r>
      <w:r w:rsidRPr="00F3547D">
        <w:rPr>
          <w:noProof/>
          <w:webHidden/>
        </w:rPr>
        <w:tab/>
        <w:t>1</w:t>
      </w:r>
    </w:p>
    <w:p w14:paraId="3D9E0BF0" w14:textId="2F8B18E3"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lang w:bidi="ar-DZ"/>
        </w:rPr>
        <w:t>3</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D</w:t>
      </w:r>
      <w:r w:rsidRPr="00F3547D">
        <w:rPr>
          <w:rStyle w:val="Hyperlink"/>
          <w:noProof/>
          <w:color w:val="auto"/>
          <w:u w:val="none"/>
          <w:lang w:bidi="ar-DZ"/>
        </w:rPr>
        <w:t>efinitions</w:t>
      </w:r>
      <w:r w:rsidRPr="00F3547D">
        <w:rPr>
          <w:noProof/>
          <w:webHidden/>
        </w:rPr>
        <w:tab/>
      </w:r>
      <w:r w:rsidRPr="00F3547D">
        <w:rPr>
          <w:noProof/>
          <w:webHidden/>
        </w:rPr>
        <w:tab/>
        <w:t>1</w:t>
      </w:r>
    </w:p>
    <w:p w14:paraId="733CD62B" w14:textId="356ED02C"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lang w:bidi="ar-DZ"/>
        </w:rPr>
        <w:t>3.1</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lang w:bidi="ar-DZ"/>
        </w:rPr>
        <w:t>Terms defined elsewhere</w:t>
      </w:r>
      <w:r w:rsidRPr="00F3547D">
        <w:rPr>
          <w:noProof/>
          <w:webHidden/>
        </w:rPr>
        <w:tab/>
      </w:r>
      <w:r w:rsidRPr="00F3547D">
        <w:rPr>
          <w:noProof/>
          <w:webHidden/>
        </w:rPr>
        <w:tab/>
        <w:t>1</w:t>
      </w:r>
    </w:p>
    <w:p w14:paraId="7FF1239B" w14:textId="78FDBB30"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lang w:bidi="ar-DZ"/>
        </w:rPr>
        <w:t>3.2</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lang w:bidi="ar-DZ"/>
        </w:rPr>
        <w:t>Terms defined in this Technical Paper</w:t>
      </w:r>
      <w:r w:rsidRPr="00F3547D">
        <w:rPr>
          <w:noProof/>
          <w:webHidden/>
        </w:rPr>
        <w:tab/>
      </w:r>
      <w:r w:rsidRPr="00F3547D">
        <w:rPr>
          <w:noProof/>
          <w:webHidden/>
        </w:rPr>
        <w:tab/>
        <w:t>1</w:t>
      </w:r>
    </w:p>
    <w:p w14:paraId="60EFF867" w14:textId="25BB4414"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lang w:bidi="ar-DZ"/>
        </w:rPr>
        <w:t>4</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lang w:bidi="ar-DZ"/>
        </w:rPr>
        <w:t>Abbreviations and acronyms</w:t>
      </w:r>
      <w:r w:rsidRPr="00F3547D">
        <w:rPr>
          <w:noProof/>
          <w:webHidden/>
        </w:rPr>
        <w:tab/>
      </w:r>
      <w:r w:rsidRPr="00F3547D">
        <w:rPr>
          <w:noProof/>
          <w:webHidden/>
        </w:rPr>
        <w:tab/>
        <w:t>2</w:t>
      </w:r>
    </w:p>
    <w:p w14:paraId="71197470" w14:textId="03D26940"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5</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Introduction</w:t>
      </w:r>
      <w:r w:rsidRPr="00F3547D">
        <w:rPr>
          <w:noProof/>
          <w:webHidden/>
        </w:rPr>
        <w:tab/>
      </w:r>
      <w:r w:rsidRPr="00F3547D">
        <w:rPr>
          <w:noProof/>
          <w:webHidden/>
        </w:rPr>
        <w:tab/>
        <w:t>2</w:t>
      </w:r>
    </w:p>
    <w:p w14:paraId="7894D18A" w14:textId="54AC4E60"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5.1</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Context</w:t>
      </w:r>
      <w:r w:rsidRPr="00F3547D">
        <w:rPr>
          <w:noProof/>
          <w:webHidden/>
        </w:rPr>
        <w:tab/>
      </w:r>
      <w:r w:rsidRPr="00F3547D">
        <w:rPr>
          <w:noProof/>
          <w:webHidden/>
        </w:rPr>
        <w:tab/>
        <w:t>2</w:t>
      </w:r>
    </w:p>
    <w:p w14:paraId="003787DC" w14:textId="4DDF26FA"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5.2</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Problem statement</w:t>
      </w:r>
      <w:r w:rsidRPr="00F3547D">
        <w:rPr>
          <w:noProof/>
          <w:webHidden/>
        </w:rPr>
        <w:tab/>
      </w:r>
      <w:r w:rsidRPr="00F3547D">
        <w:rPr>
          <w:noProof/>
          <w:webHidden/>
        </w:rPr>
        <w:tab/>
        <w:t>3</w:t>
      </w:r>
    </w:p>
    <w:p w14:paraId="6D63A59C" w14:textId="4930241E"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5.3</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The need for an innovation path in SG17</w:t>
      </w:r>
      <w:r w:rsidRPr="00F3547D">
        <w:rPr>
          <w:noProof/>
          <w:webHidden/>
        </w:rPr>
        <w:tab/>
      </w:r>
      <w:r w:rsidRPr="00F3547D">
        <w:rPr>
          <w:noProof/>
          <w:webHidden/>
        </w:rPr>
        <w:tab/>
        <w:t>3</w:t>
      </w:r>
    </w:p>
    <w:p w14:paraId="22D555B3" w14:textId="4D128B3A"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5.4</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The reason for considering an innovation path in SG17 at this point in time</w:t>
      </w:r>
      <w:r w:rsidRPr="00F3547D">
        <w:rPr>
          <w:noProof/>
          <w:webHidden/>
        </w:rPr>
        <w:tab/>
      </w:r>
      <w:r w:rsidRPr="00F3547D">
        <w:rPr>
          <w:noProof/>
          <w:webHidden/>
        </w:rPr>
        <w:tab/>
        <w:t>3</w:t>
      </w:r>
    </w:p>
    <w:p w14:paraId="6D4577D6" w14:textId="4CD8745B"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5.5</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Potential solutions to fill this gap</w:t>
      </w:r>
      <w:r w:rsidRPr="00F3547D">
        <w:rPr>
          <w:noProof/>
          <w:webHidden/>
        </w:rPr>
        <w:tab/>
      </w:r>
      <w:r w:rsidRPr="00F3547D">
        <w:rPr>
          <w:noProof/>
          <w:webHidden/>
        </w:rPr>
        <w:tab/>
        <w:t>4</w:t>
      </w:r>
    </w:p>
    <w:p w14:paraId="1D133558" w14:textId="7346758A"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6</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The incubation mechanism</w:t>
      </w:r>
      <w:r w:rsidRPr="00F3547D">
        <w:rPr>
          <w:noProof/>
          <w:webHidden/>
        </w:rPr>
        <w:tab/>
      </w:r>
      <w:r w:rsidRPr="00F3547D">
        <w:rPr>
          <w:noProof/>
          <w:webHidden/>
        </w:rPr>
        <w:tab/>
        <w:t>4</w:t>
      </w:r>
    </w:p>
    <w:p w14:paraId="04F23A54" w14:textId="18E88FD2"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6.1</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General description</w:t>
      </w:r>
      <w:r w:rsidRPr="00F3547D">
        <w:rPr>
          <w:noProof/>
          <w:webHidden/>
        </w:rPr>
        <w:tab/>
      </w:r>
      <w:r w:rsidRPr="00F3547D">
        <w:rPr>
          <w:noProof/>
          <w:webHidden/>
        </w:rPr>
        <w:tab/>
        <w:t>4</w:t>
      </w:r>
    </w:p>
    <w:p w14:paraId="5BB45552" w14:textId="0DBB92B7"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6.2</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A mechanism in two parts</w:t>
      </w:r>
      <w:r w:rsidRPr="00F3547D">
        <w:rPr>
          <w:noProof/>
          <w:webHidden/>
        </w:rPr>
        <w:tab/>
      </w:r>
      <w:r w:rsidRPr="00F3547D">
        <w:rPr>
          <w:noProof/>
          <w:webHidden/>
        </w:rPr>
        <w:tab/>
        <w:t>4</w:t>
      </w:r>
    </w:p>
    <w:p w14:paraId="303A1C75" w14:textId="58D2793B"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6.3</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Incubation mechanism framework</w:t>
      </w:r>
      <w:r w:rsidRPr="00F3547D">
        <w:rPr>
          <w:noProof/>
          <w:webHidden/>
        </w:rPr>
        <w:tab/>
      </w:r>
      <w:r w:rsidRPr="00F3547D">
        <w:rPr>
          <w:noProof/>
          <w:webHidden/>
        </w:rPr>
        <w:tab/>
        <w:t>7</w:t>
      </w:r>
    </w:p>
    <w:p w14:paraId="40627D09" w14:textId="3E7423F3"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6.4</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Incubation rapporteur</w:t>
      </w:r>
      <w:r w:rsidRPr="00F3547D">
        <w:rPr>
          <w:noProof/>
          <w:webHidden/>
        </w:rPr>
        <w:tab/>
      </w:r>
      <w:r w:rsidRPr="00F3547D">
        <w:rPr>
          <w:noProof/>
          <w:webHidden/>
        </w:rPr>
        <w:tab/>
        <w:t>11</w:t>
      </w:r>
    </w:p>
    <w:p w14:paraId="1D639584" w14:textId="026E592C"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Appendix I – Template to support the reporting of the incubation mechanism in the incubation question report</w:t>
      </w:r>
      <w:r w:rsidRPr="00F3547D">
        <w:rPr>
          <w:noProof/>
          <w:webHidden/>
        </w:rPr>
        <w:tab/>
      </w:r>
      <w:r w:rsidRPr="00F3547D">
        <w:rPr>
          <w:noProof/>
          <w:webHidden/>
        </w:rPr>
        <w:tab/>
        <w:t>13</w:t>
      </w:r>
    </w:p>
    <w:p w14:paraId="106BBB3A" w14:textId="2673047C"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Appendix II – Example template of a special session agenda</w:t>
      </w:r>
      <w:r w:rsidRPr="00F3547D">
        <w:rPr>
          <w:noProof/>
          <w:webHidden/>
        </w:rPr>
        <w:tab/>
      </w:r>
      <w:r w:rsidRPr="00F3547D">
        <w:rPr>
          <w:noProof/>
          <w:webHidden/>
        </w:rPr>
        <w:tab/>
        <w:t>15</w:t>
      </w:r>
    </w:p>
    <w:p w14:paraId="0FFA647C" w14:textId="06E17559"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Annex A to Appendix II</w:t>
      </w:r>
      <w:r w:rsidRPr="00F3547D">
        <w:rPr>
          <w:noProof/>
          <w:webHidden/>
        </w:rPr>
        <w:tab/>
      </w:r>
      <w:r w:rsidRPr="00F3547D">
        <w:rPr>
          <w:noProof/>
          <w:webHidden/>
        </w:rPr>
        <w:tab/>
        <w:t>16</w:t>
      </w:r>
    </w:p>
    <w:p w14:paraId="13ED964E" w14:textId="3E4E285A"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A.1</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Incubation criteria</w:t>
      </w:r>
      <w:r w:rsidRPr="00F3547D">
        <w:rPr>
          <w:noProof/>
          <w:webHidden/>
        </w:rPr>
        <w:tab/>
      </w:r>
      <w:r w:rsidRPr="00F3547D">
        <w:rPr>
          <w:noProof/>
          <w:webHidden/>
        </w:rPr>
        <w:tab/>
        <w:t>16</w:t>
      </w:r>
    </w:p>
    <w:p w14:paraId="1CABFD17" w14:textId="2E20F10A"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Annex B to Appendix II – Proposed incubation candidate new work items for allocation discussion</w:t>
      </w:r>
      <w:r w:rsidRPr="00F3547D">
        <w:rPr>
          <w:noProof/>
          <w:webHidden/>
        </w:rPr>
        <w:tab/>
      </w:r>
      <w:r w:rsidRPr="00F3547D">
        <w:rPr>
          <w:noProof/>
          <w:webHidden/>
        </w:rPr>
        <w:tab/>
        <w:t>17</w:t>
      </w:r>
    </w:p>
    <w:p w14:paraId="0D190B2A" w14:textId="3E0F49F1"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Annex C to Appendix II – Status of incubation queue</w:t>
      </w:r>
      <w:r w:rsidRPr="00F3547D">
        <w:rPr>
          <w:noProof/>
          <w:webHidden/>
        </w:rPr>
        <w:tab/>
      </w:r>
      <w:r w:rsidRPr="00F3547D">
        <w:rPr>
          <w:noProof/>
          <w:webHidden/>
        </w:rPr>
        <w:tab/>
        <w:t>20</w:t>
      </w:r>
    </w:p>
    <w:p w14:paraId="14CDF964" w14:textId="0543ACCA" w:rsidR="00F3547D" w:rsidRPr="00F3547D" w:rsidRDefault="00F3547D">
      <w:pPr>
        <w:pStyle w:val="TOC1"/>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Appendix III – Incubation mechanism considerations</w:t>
      </w:r>
      <w:r w:rsidRPr="00F3547D">
        <w:rPr>
          <w:noProof/>
          <w:webHidden/>
        </w:rPr>
        <w:tab/>
      </w:r>
      <w:r w:rsidRPr="00F3547D">
        <w:rPr>
          <w:noProof/>
          <w:webHidden/>
        </w:rPr>
        <w:tab/>
        <w:t>21</w:t>
      </w:r>
    </w:p>
    <w:p w14:paraId="3CE52E78" w14:textId="0E73D36F"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III.1</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Benefits and risks of the incubation mechanism</w:t>
      </w:r>
      <w:r w:rsidRPr="00F3547D">
        <w:rPr>
          <w:noProof/>
          <w:webHidden/>
        </w:rPr>
        <w:tab/>
      </w:r>
      <w:r w:rsidRPr="00F3547D">
        <w:rPr>
          <w:noProof/>
          <w:webHidden/>
        </w:rPr>
        <w:tab/>
        <w:t>21</w:t>
      </w:r>
    </w:p>
    <w:p w14:paraId="3F3493D3" w14:textId="44A51959"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III.2</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Alternatives and gap analysis to introduce innovation in standardization</w:t>
      </w:r>
      <w:r w:rsidRPr="00F3547D">
        <w:rPr>
          <w:noProof/>
          <w:webHidden/>
        </w:rPr>
        <w:tab/>
      </w:r>
      <w:r w:rsidRPr="00F3547D">
        <w:rPr>
          <w:noProof/>
          <w:webHidden/>
        </w:rPr>
        <w:tab/>
        <w:t>22</w:t>
      </w:r>
    </w:p>
    <w:p w14:paraId="5F17E483" w14:textId="0498D71B"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III.3</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Other mechanisms dealing with innovation within ITU and their relationship to incubation mechanism</w:t>
      </w:r>
      <w:r w:rsidRPr="00F3547D">
        <w:rPr>
          <w:noProof/>
          <w:webHidden/>
        </w:rPr>
        <w:tab/>
      </w:r>
      <w:r w:rsidRPr="00F3547D">
        <w:rPr>
          <w:noProof/>
          <w:webHidden/>
        </w:rPr>
        <w:tab/>
        <w:t>23</w:t>
      </w:r>
    </w:p>
    <w:p w14:paraId="32A64DC8" w14:textId="58E7F207"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III.4</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Gap analysis with other SDOs</w:t>
      </w:r>
      <w:r w:rsidRPr="00F3547D">
        <w:rPr>
          <w:noProof/>
          <w:webHidden/>
        </w:rPr>
        <w:tab/>
      </w:r>
      <w:r w:rsidRPr="00F3547D">
        <w:rPr>
          <w:noProof/>
          <w:webHidden/>
        </w:rPr>
        <w:tab/>
        <w:t>23</w:t>
      </w:r>
    </w:p>
    <w:p w14:paraId="3102C37B" w14:textId="105960F4" w:rsidR="00F3547D" w:rsidRPr="00F3547D" w:rsidRDefault="00F3547D">
      <w:pPr>
        <w:pStyle w:val="TOC2"/>
        <w:rPr>
          <w:rFonts w:asciiTheme="minorHAnsi" w:eastAsiaTheme="minorEastAsia" w:hAnsiTheme="minorHAnsi" w:cstheme="minorBidi"/>
          <w:noProof/>
          <w:kern w:val="2"/>
          <w:szCs w:val="24"/>
          <w:lang w:eastAsia="en-GB"/>
          <w14:ligatures w14:val="standardContextual"/>
        </w:rPr>
      </w:pPr>
      <w:r w:rsidRPr="00F3547D">
        <w:rPr>
          <w:rStyle w:val="Hyperlink"/>
          <w:noProof/>
          <w:color w:val="auto"/>
          <w:u w:val="none"/>
        </w:rPr>
        <w:t>III.5</w:t>
      </w:r>
      <w:r w:rsidRPr="00F3547D">
        <w:rPr>
          <w:rFonts w:asciiTheme="minorHAnsi" w:eastAsiaTheme="minorEastAsia" w:hAnsiTheme="minorHAnsi" w:cstheme="minorBidi"/>
          <w:noProof/>
          <w:kern w:val="2"/>
          <w:szCs w:val="24"/>
          <w:lang w:eastAsia="en-GB"/>
          <w14:ligatures w14:val="standardContextual"/>
        </w:rPr>
        <w:tab/>
      </w:r>
      <w:r w:rsidRPr="00F3547D">
        <w:rPr>
          <w:rStyle w:val="Hyperlink"/>
          <w:noProof/>
          <w:color w:val="auto"/>
          <w:u w:val="none"/>
        </w:rPr>
        <w:t>Historical aspects of determining to which question to attach the incubation queue</w:t>
      </w:r>
      <w:r w:rsidRPr="00F3547D">
        <w:rPr>
          <w:noProof/>
          <w:webHidden/>
        </w:rPr>
        <w:tab/>
      </w:r>
      <w:r w:rsidRPr="00F3547D">
        <w:rPr>
          <w:noProof/>
          <w:webHidden/>
        </w:rPr>
        <w:tab/>
        <w:t>24</w:t>
      </w:r>
    </w:p>
    <w:p w14:paraId="521206A5" w14:textId="46247243" w:rsidR="00F3547D" w:rsidRPr="00BA74D0" w:rsidRDefault="00F3547D">
      <w:pPr>
        <w:pStyle w:val="TOC2"/>
        <w:rPr>
          <w:rFonts w:asciiTheme="minorHAnsi" w:eastAsiaTheme="minorEastAsia" w:hAnsiTheme="minorHAnsi" w:cstheme="minorBidi"/>
          <w:noProof/>
          <w:kern w:val="2"/>
          <w:szCs w:val="24"/>
          <w:lang w:val="fr-CH" w:eastAsia="en-GB"/>
          <w14:ligatures w14:val="standardContextual"/>
        </w:rPr>
      </w:pPr>
      <w:r w:rsidRPr="00BA74D0">
        <w:rPr>
          <w:rStyle w:val="Hyperlink"/>
          <w:noProof/>
          <w:color w:val="auto"/>
          <w:u w:val="none"/>
          <w:lang w:val="fr-CH"/>
        </w:rPr>
        <w:t>III.6</w:t>
      </w:r>
      <w:r w:rsidRPr="00BA74D0">
        <w:rPr>
          <w:rFonts w:asciiTheme="minorHAnsi" w:eastAsiaTheme="minorEastAsia" w:hAnsiTheme="minorHAnsi" w:cstheme="minorBidi"/>
          <w:noProof/>
          <w:kern w:val="2"/>
          <w:szCs w:val="24"/>
          <w:lang w:val="fr-CH" w:eastAsia="en-GB"/>
          <w14:ligatures w14:val="standardContextual"/>
        </w:rPr>
        <w:tab/>
      </w:r>
      <w:r w:rsidRPr="00BA74D0">
        <w:rPr>
          <w:rStyle w:val="Hyperlink"/>
          <w:noProof/>
          <w:color w:val="auto"/>
          <w:u w:val="none"/>
          <w:lang w:val="fr-CH"/>
        </w:rPr>
        <w:t>Conclusions</w:t>
      </w:r>
      <w:r w:rsidRPr="00BA74D0">
        <w:rPr>
          <w:noProof/>
          <w:webHidden/>
          <w:lang w:val="fr-CH"/>
        </w:rPr>
        <w:tab/>
      </w:r>
      <w:r w:rsidRPr="00BA74D0">
        <w:rPr>
          <w:noProof/>
          <w:webHidden/>
          <w:lang w:val="fr-CH"/>
        </w:rPr>
        <w:tab/>
        <w:t>25</w:t>
      </w:r>
    </w:p>
    <w:p w14:paraId="1895D44A" w14:textId="042185CB" w:rsidR="00F3547D" w:rsidRPr="00BA74D0" w:rsidRDefault="00F3547D">
      <w:pPr>
        <w:pStyle w:val="TOC1"/>
        <w:rPr>
          <w:rFonts w:asciiTheme="minorHAnsi" w:eastAsiaTheme="minorEastAsia" w:hAnsiTheme="minorHAnsi" w:cstheme="minorBidi"/>
          <w:noProof/>
          <w:kern w:val="2"/>
          <w:szCs w:val="24"/>
          <w:lang w:val="fr-CH" w:eastAsia="en-GB"/>
          <w14:ligatures w14:val="standardContextual"/>
        </w:rPr>
      </w:pPr>
      <w:r w:rsidRPr="00BA74D0">
        <w:rPr>
          <w:rStyle w:val="Hyperlink"/>
          <w:noProof/>
          <w:color w:val="auto"/>
          <w:u w:val="none"/>
          <w:lang w:val="fr-CH"/>
        </w:rPr>
        <w:t>Bibliography</w:t>
      </w:r>
      <w:r w:rsidRPr="00BA74D0">
        <w:rPr>
          <w:noProof/>
          <w:webHidden/>
          <w:lang w:val="fr-CH"/>
        </w:rPr>
        <w:tab/>
      </w:r>
      <w:r w:rsidRPr="00BA74D0">
        <w:rPr>
          <w:noProof/>
          <w:webHidden/>
          <w:lang w:val="fr-CH"/>
        </w:rPr>
        <w:tab/>
        <w:t>26</w:t>
      </w:r>
    </w:p>
    <w:p w14:paraId="11A2D451" w14:textId="77777777" w:rsidR="007019F2" w:rsidRPr="00BA74D0" w:rsidRDefault="007019F2" w:rsidP="007019F2">
      <w:pPr>
        <w:rPr>
          <w:lang w:val="fr-CH"/>
        </w:rPr>
      </w:pPr>
    </w:p>
    <w:p w14:paraId="2EB7E697" w14:textId="77777777" w:rsidR="007019F2" w:rsidRPr="00BA74D0" w:rsidRDefault="007019F2" w:rsidP="007019F2">
      <w:pPr>
        <w:rPr>
          <w:b/>
          <w:bCs/>
          <w:lang w:val="fr-CH"/>
        </w:rPr>
        <w:sectPr w:rsidR="007019F2" w:rsidRPr="00BA74D0" w:rsidSect="003B6019">
          <w:headerReference w:type="default" r:id="rId15"/>
          <w:footerReference w:type="even" r:id="rId16"/>
          <w:footerReference w:type="default" r:id="rId17"/>
          <w:type w:val="oddPage"/>
          <w:pgSz w:w="11907" w:h="16834"/>
          <w:pgMar w:top="1134" w:right="1134" w:bottom="1134" w:left="1134" w:header="567" w:footer="567" w:gutter="0"/>
          <w:paperSrc w:first="15" w:other="15"/>
          <w:pgNumType w:fmt="lowerRoman" w:start="1"/>
          <w:cols w:space="720"/>
          <w:docGrid w:linePitch="326"/>
        </w:sectPr>
      </w:pPr>
    </w:p>
    <w:p w14:paraId="60160D6A" w14:textId="5EB7334D" w:rsidR="007019F2" w:rsidRPr="00BA74D0" w:rsidRDefault="007019F2" w:rsidP="007019F2">
      <w:pPr>
        <w:pStyle w:val="RecNo"/>
        <w:rPr>
          <w:lang w:val="fr-CH"/>
        </w:rPr>
      </w:pPr>
      <w:bookmarkStart w:id="9" w:name="p1rectexte"/>
      <w:bookmarkEnd w:id="9"/>
      <w:r w:rsidRPr="00BA74D0">
        <w:rPr>
          <w:lang w:val="fr-CH"/>
        </w:rPr>
        <w:t xml:space="preserve">Technical </w:t>
      </w:r>
      <w:r w:rsidR="003B6019" w:rsidRPr="00BA74D0">
        <w:rPr>
          <w:lang w:val="fr-CH"/>
        </w:rPr>
        <w:t>Paper</w:t>
      </w:r>
      <w:r w:rsidRPr="00BA74D0">
        <w:rPr>
          <w:lang w:val="fr-CH"/>
        </w:rPr>
        <w:t xml:space="preserve"> ITU-T TP.inno</w:t>
      </w:r>
    </w:p>
    <w:p w14:paraId="490D7E30" w14:textId="77777777" w:rsidR="007019F2" w:rsidRPr="008C54A5" w:rsidRDefault="007019F2" w:rsidP="007019F2">
      <w:pPr>
        <w:pStyle w:val="Rectitle"/>
      </w:pPr>
      <w:r w:rsidRPr="008C54A5">
        <w:rPr>
          <w:bCs/>
        </w:rPr>
        <w:t>Description of the incubation mechanism and ways to improve it</w:t>
      </w:r>
    </w:p>
    <w:p w14:paraId="60CD228F" w14:textId="77777777" w:rsidR="003B6019" w:rsidRPr="008C54A5" w:rsidRDefault="003B6019" w:rsidP="003B6019">
      <w:pPr>
        <w:pStyle w:val="Heading1"/>
      </w:pPr>
      <w:bookmarkStart w:id="10" w:name="_Toc42763755"/>
      <w:bookmarkStart w:id="11" w:name="_Toc401158818"/>
      <w:bookmarkStart w:id="12" w:name="_Toc49679478"/>
      <w:bookmarkStart w:id="13" w:name="_Toc159915867"/>
      <w:bookmarkStart w:id="14" w:name="_Toc167434344"/>
      <w:bookmarkStart w:id="15" w:name="_Toc172128653"/>
      <w:bookmarkStart w:id="16" w:name="_Toc172128757"/>
      <w:bookmarkEnd w:id="10"/>
      <w:r w:rsidRPr="008C54A5">
        <w:t>1</w:t>
      </w:r>
      <w:r w:rsidRPr="008C54A5">
        <w:tab/>
      </w:r>
      <w:r w:rsidRPr="008C54A5">
        <w:rPr>
          <w:lang w:bidi="ar-DZ"/>
        </w:rPr>
        <w:t>Scope</w:t>
      </w:r>
      <w:bookmarkEnd w:id="11"/>
      <w:bookmarkEnd w:id="12"/>
      <w:bookmarkEnd w:id="13"/>
      <w:bookmarkEnd w:id="14"/>
      <w:bookmarkEnd w:id="15"/>
      <w:bookmarkEnd w:id="16"/>
    </w:p>
    <w:p w14:paraId="38B3A6E2" w14:textId="77777777" w:rsidR="003B6019" w:rsidRPr="008C54A5" w:rsidRDefault="003B6019" w:rsidP="003B6019">
      <w:r w:rsidRPr="008C54A5">
        <w:t>This Technical Paper describes entirely the incubation mechanism established by ITU-T SG17.</w:t>
      </w:r>
    </w:p>
    <w:p w14:paraId="5F160B42" w14:textId="77777777" w:rsidR="003B6019" w:rsidRPr="008C54A5" w:rsidRDefault="003B6019" w:rsidP="003B6019">
      <w:r w:rsidRPr="008C54A5">
        <w:t>It then analyses other ways and mechanisms in ITU and other standards development organizations (SDOs) to accept innovation.</w:t>
      </w:r>
    </w:p>
    <w:p w14:paraId="6BBAD70A" w14:textId="77777777" w:rsidR="003B6019" w:rsidRPr="008C54A5" w:rsidRDefault="003B6019" w:rsidP="003B6019">
      <w:pPr>
        <w:pStyle w:val="Heading1"/>
        <w:rPr>
          <w:lang w:bidi="ar-DZ"/>
        </w:rPr>
      </w:pPr>
      <w:bookmarkStart w:id="17" w:name="_Toc401158819"/>
      <w:bookmarkStart w:id="18" w:name="_Toc49679479"/>
      <w:bookmarkStart w:id="19" w:name="_Toc159915868"/>
      <w:bookmarkStart w:id="20" w:name="_Toc167434345"/>
      <w:bookmarkStart w:id="21" w:name="_Toc172128654"/>
      <w:bookmarkStart w:id="22" w:name="_Toc172128758"/>
      <w:r w:rsidRPr="008C54A5">
        <w:rPr>
          <w:lang w:bidi="ar-DZ"/>
        </w:rPr>
        <w:t>2</w:t>
      </w:r>
      <w:r w:rsidRPr="008C54A5">
        <w:rPr>
          <w:lang w:bidi="ar-DZ"/>
        </w:rPr>
        <w:tab/>
        <w:t>References</w:t>
      </w:r>
      <w:bookmarkEnd w:id="17"/>
      <w:bookmarkEnd w:id="18"/>
      <w:bookmarkEnd w:id="19"/>
      <w:bookmarkEnd w:id="20"/>
      <w:bookmarkEnd w:id="21"/>
      <w:bookmarkEnd w:id="22"/>
    </w:p>
    <w:p w14:paraId="79D88255" w14:textId="77777777" w:rsidR="003B6019" w:rsidRPr="008C54A5" w:rsidRDefault="003B6019" w:rsidP="003B6019">
      <w:pPr>
        <w:rPr>
          <w:lang w:bidi="ar-DZ"/>
        </w:rPr>
      </w:pPr>
      <w:r w:rsidRPr="008C54A5">
        <w:rPr>
          <w:lang w:bidi="ar-DZ"/>
        </w:rPr>
        <w:t>None.</w:t>
      </w:r>
    </w:p>
    <w:p w14:paraId="020CDFB5" w14:textId="77777777" w:rsidR="003B6019" w:rsidRPr="008C54A5" w:rsidRDefault="003B6019" w:rsidP="003B6019">
      <w:pPr>
        <w:pStyle w:val="Heading1"/>
        <w:rPr>
          <w:lang w:bidi="ar-DZ"/>
        </w:rPr>
      </w:pPr>
      <w:bookmarkStart w:id="23" w:name="_Toc42763758"/>
      <w:bookmarkStart w:id="24" w:name="_Toc401158820"/>
      <w:bookmarkStart w:id="25" w:name="_Toc49679480"/>
      <w:bookmarkStart w:id="26" w:name="_Toc159915869"/>
      <w:bookmarkStart w:id="27" w:name="_Toc167434346"/>
      <w:bookmarkStart w:id="28" w:name="_Toc172128655"/>
      <w:bookmarkStart w:id="29" w:name="_Toc172128759"/>
      <w:bookmarkEnd w:id="23"/>
      <w:r w:rsidRPr="008C54A5">
        <w:rPr>
          <w:lang w:bidi="ar-DZ"/>
        </w:rPr>
        <w:t>3</w:t>
      </w:r>
      <w:r w:rsidRPr="008C54A5">
        <w:rPr>
          <w:lang w:bidi="ar-DZ"/>
        </w:rPr>
        <w:tab/>
      </w:r>
      <w:r w:rsidRPr="008C54A5">
        <w:t>D</w:t>
      </w:r>
      <w:r w:rsidRPr="008C54A5">
        <w:rPr>
          <w:lang w:bidi="ar-DZ"/>
        </w:rPr>
        <w:t>efinitions</w:t>
      </w:r>
      <w:bookmarkEnd w:id="24"/>
      <w:bookmarkEnd w:id="25"/>
      <w:bookmarkEnd w:id="26"/>
      <w:bookmarkEnd w:id="27"/>
      <w:bookmarkEnd w:id="28"/>
      <w:bookmarkEnd w:id="29"/>
    </w:p>
    <w:p w14:paraId="42EEDABA" w14:textId="77777777" w:rsidR="003B6019" w:rsidRPr="008C54A5" w:rsidRDefault="003B6019" w:rsidP="003B6019">
      <w:pPr>
        <w:pStyle w:val="Heading2"/>
        <w:rPr>
          <w:lang w:bidi="ar-DZ"/>
        </w:rPr>
      </w:pPr>
      <w:bookmarkStart w:id="30" w:name="_Toc401158821"/>
      <w:bookmarkStart w:id="31" w:name="_Toc49679481"/>
      <w:bookmarkStart w:id="32" w:name="_Toc159915870"/>
      <w:bookmarkStart w:id="33" w:name="_Toc167434347"/>
      <w:bookmarkStart w:id="34" w:name="_Toc172128656"/>
      <w:bookmarkStart w:id="35" w:name="_Toc172128760"/>
      <w:r w:rsidRPr="008C54A5">
        <w:rPr>
          <w:lang w:bidi="ar-DZ"/>
        </w:rPr>
        <w:t>3.1</w:t>
      </w:r>
      <w:r w:rsidRPr="008C54A5">
        <w:rPr>
          <w:lang w:bidi="ar-DZ"/>
        </w:rPr>
        <w:tab/>
        <w:t>Terms defined elsewhere</w:t>
      </w:r>
      <w:bookmarkEnd w:id="30"/>
      <w:bookmarkEnd w:id="31"/>
      <w:bookmarkEnd w:id="32"/>
      <w:bookmarkEnd w:id="33"/>
      <w:bookmarkEnd w:id="34"/>
      <w:bookmarkEnd w:id="35"/>
    </w:p>
    <w:p w14:paraId="6049DF59" w14:textId="77777777" w:rsidR="003B6019" w:rsidRPr="008C54A5" w:rsidRDefault="003B6019" w:rsidP="003B6019">
      <w:pPr>
        <w:rPr>
          <w:lang w:bidi="ar-DZ"/>
        </w:rPr>
      </w:pPr>
      <w:r w:rsidRPr="008C54A5">
        <w:rPr>
          <w:lang w:bidi="ar-DZ"/>
        </w:rPr>
        <w:t>None.</w:t>
      </w:r>
    </w:p>
    <w:p w14:paraId="0D0A38A5" w14:textId="77777777" w:rsidR="003B6019" w:rsidRPr="008C54A5" w:rsidRDefault="003B6019" w:rsidP="003B6019">
      <w:pPr>
        <w:pStyle w:val="Heading2"/>
        <w:rPr>
          <w:lang w:bidi="ar-DZ"/>
        </w:rPr>
      </w:pPr>
      <w:bookmarkStart w:id="36" w:name="_Toc42763761"/>
      <w:bookmarkStart w:id="37" w:name="_Toc42763762"/>
      <w:bookmarkStart w:id="38" w:name="_Toc42763763"/>
      <w:bookmarkStart w:id="39" w:name="_Toc401158822"/>
      <w:bookmarkStart w:id="40" w:name="_Toc49679482"/>
      <w:bookmarkStart w:id="41" w:name="_Toc159915871"/>
      <w:bookmarkStart w:id="42" w:name="_Toc167434348"/>
      <w:bookmarkStart w:id="43" w:name="_Toc172128657"/>
      <w:bookmarkStart w:id="44" w:name="_Toc172128761"/>
      <w:bookmarkEnd w:id="36"/>
      <w:bookmarkEnd w:id="37"/>
      <w:bookmarkEnd w:id="38"/>
      <w:r w:rsidRPr="008C54A5">
        <w:rPr>
          <w:lang w:bidi="ar-DZ"/>
        </w:rPr>
        <w:t>3.2</w:t>
      </w:r>
      <w:r w:rsidRPr="008C54A5">
        <w:rPr>
          <w:lang w:bidi="ar-DZ"/>
        </w:rPr>
        <w:tab/>
        <w:t xml:space="preserve">Terms defined </w:t>
      </w:r>
      <w:bookmarkEnd w:id="39"/>
      <w:bookmarkEnd w:id="40"/>
      <w:r w:rsidRPr="008C54A5">
        <w:rPr>
          <w:lang w:bidi="ar-DZ"/>
        </w:rPr>
        <w:t>in this Technical Paper</w:t>
      </w:r>
      <w:bookmarkEnd w:id="41"/>
      <w:bookmarkEnd w:id="42"/>
      <w:bookmarkEnd w:id="43"/>
      <w:bookmarkEnd w:id="44"/>
    </w:p>
    <w:p w14:paraId="5C2BC737" w14:textId="77777777" w:rsidR="003B6019" w:rsidRPr="008C54A5" w:rsidRDefault="003B6019" w:rsidP="003B6019">
      <w:r w:rsidRPr="008C54A5">
        <w:t>This Technical Paper defines the following terms:</w:t>
      </w:r>
    </w:p>
    <w:p w14:paraId="16866871" w14:textId="14DC727B" w:rsidR="003B6019" w:rsidRPr="008C54A5" w:rsidRDefault="003B6019" w:rsidP="003B6019">
      <w:r w:rsidRPr="008C54A5">
        <w:rPr>
          <w:b/>
          <w:bCs/>
        </w:rPr>
        <w:t>3.2.1</w:t>
      </w:r>
      <w:r w:rsidRPr="008C54A5">
        <w:rPr>
          <w:b/>
          <w:bCs/>
        </w:rPr>
        <w:tab/>
        <w:t>allocation criteri</w:t>
      </w:r>
      <w:r w:rsidR="00867176">
        <w:rPr>
          <w:b/>
          <w:bCs/>
        </w:rPr>
        <w:t>on</w:t>
      </w:r>
      <w:r w:rsidRPr="008C54A5">
        <w:t xml:space="preserve">: </w:t>
      </w:r>
      <w:r w:rsidR="000C08BE">
        <w:t>A</w:t>
      </w:r>
      <w:r w:rsidR="00867176">
        <w:t xml:space="preserve"> condition</w:t>
      </w:r>
      <w:r w:rsidR="00867176" w:rsidRPr="008C54A5">
        <w:t xml:space="preserve"> </w:t>
      </w:r>
      <w:r w:rsidRPr="008C54A5">
        <w:t xml:space="preserve">to be </w:t>
      </w:r>
      <w:r w:rsidR="00867176">
        <w:t>met</w:t>
      </w:r>
      <w:r w:rsidR="00867176" w:rsidRPr="008C54A5">
        <w:t xml:space="preserve"> </w:t>
      </w:r>
      <w:r w:rsidRPr="008C54A5">
        <w:t>by a new work item to be</w:t>
      </w:r>
      <w:r w:rsidR="00867176">
        <w:t>come</w:t>
      </w:r>
      <w:r w:rsidRPr="008C54A5">
        <w:t xml:space="preserve"> an incubation candidate new work item.</w:t>
      </w:r>
    </w:p>
    <w:p w14:paraId="6541AAE6" w14:textId="183F1FC0" w:rsidR="00867176" w:rsidRPr="008C54A5" w:rsidRDefault="00867176" w:rsidP="00867176">
      <w:r w:rsidRPr="008C54A5">
        <w:rPr>
          <w:b/>
          <w:bCs/>
        </w:rPr>
        <w:t>3.2.</w:t>
      </w:r>
      <w:r>
        <w:rPr>
          <w:b/>
          <w:bCs/>
        </w:rPr>
        <w:t>2</w:t>
      </w:r>
      <w:r w:rsidRPr="008C54A5">
        <w:rPr>
          <w:b/>
          <w:bCs/>
        </w:rPr>
        <w:tab/>
        <w:t>incubation allocation</w:t>
      </w:r>
      <w:r w:rsidRPr="008C54A5">
        <w:t xml:space="preserve">: </w:t>
      </w:r>
      <w:r w:rsidR="000C08BE">
        <w:t>T</w:t>
      </w:r>
      <w:r w:rsidR="000C08BE" w:rsidRPr="008C54A5">
        <w:t xml:space="preserve">he </w:t>
      </w:r>
      <w:r w:rsidRPr="008C54A5">
        <w:t xml:space="preserve">first part of the incubation mechanism which will </w:t>
      </w:r>
      <w:r>
        <w:t>agree to</w:t>
      </w:r>
      <w:r w:rsidRPr="008C54A5">
        <w:t xml:space="preserve"> the allocation of the new work items into either their final question or the incubation question.</w:t>
      </w:r>
    </w:p>
    <w:p w14:paraId="234619FD" w14:textId="77777777" w:rsidR="00867176" w:rsidRPr="008C54A5" w:rsidRDefault="00867176" w:rsidP="00867176">
      <w:pPr>
        <w:pStyle w:val="Note"/>
      </w:pPr>
      <w:r w:rsidRPr="008C54A5">
        <w:t xml:space="preserve">NOTE – </w:t>
      </w:r>
      <w:r>
        <w:t>The f</w:t>
      </w:r>
      <w:r w:rsidRPr="008C54A5">
        <w:t>inal question is any question except the incubation question.</w:t>
      </w:r>
    </w:p>
    <w:p w14:paraId="3D617A43" w14:textId="668323BF" w:rsidR="003B6019" w:rsidRPr="008C54A5" w:rsidRDefault="003B6019" w:rsidP="003B6019">
      <w:r w:rsidRPr="008C54A5">
        <w:rPr>
          <w:b/>
          <w:bCs/>
        </w:rPr>
        <w:t>3.2.</w:t>
      </w:r>
      <w:r w:rsidR="00867176">
        <w:rPr>
          <w:b/>
          <w:bCs/>
        </w:rPr>
        <w:t>3</w:t>
      </w:r>
      <w:r w:rsidRPr="008C54A5">
        <w:rPr>
          <w:b/>
          <w:bCs/>
        </w:rPr>
        <w:tab/>
        <w:t>incubation candidate new work item</w:t>
      </w:r>
      <w:r w:rsidRPr="008C54A5">
        <w:t xml:space="preserve">: </w:t>
      </w:r>
      <w:r w:rsidR="000C08BE">
        <w:t>A</w:t>
      </w:r>
      <w:r w:rsidRPr="008C54A5">
        <w:t xml:space="preserve"> new work item</w:t>
      </w:r>
      <w:r w:rsidRPr="008C54A5">
        <w:rPr>
          <w:rStyle w:val="FootnoteReference"/>
        </w:rPr>
        <w:footnoteReference w:id="2"/>
      </w:r>
      <w:r w:rsidRPr="008C54A5">
        <w:t xml:space="preserve"> that </w:t>
      </w:r>
      <w:r w:rsidR="00867176">
        <w:t>has met</w:t>
      </w:r>
      <w:r w:rsidR="00867176" w:rsidRPr="008C54A5">
        <w:t xml:space="preserve"> </w:t>
      </w:r>
      <w:r w:rsidRPr="008C54A5">
        <w:t>the allocation criteria but ha</w:t>
      </w:r>
      <w:r w:rsidR="00867176">
        <w:t>s</w:t>
      </w:r>
      <w:r w:rsidRPr="008C54A5">
        <w:t xml:space="preserve"> not yet been agreed as an incubation new work item.</w:t>
      </w:r>
    </w:p>
    <w:p w14:paraId="1B094368" w14:textId="638205BF" w:rsidR="003B6019" w:rsidRPr="008C54A5" w:rsidRDefault="003B6019" w:rsidP="003B6019">
      <w:r w:rsidRPr="008C54A5">
        <w:rPr>
          <w:b/>
          <w:bCs/>
        </w:rPr>
        <w:t>3.2.</w:t>
      </w:r>
      <w:r w:rsidR="00867176">
        <w:rPr>
          <w:b/>
          <w:bCs/>
        </w:rPr>
        <w:t>4</w:t>
      </w:r>
      <w:r w:rsidRPr="008C54A5">
        <w:rPr>
          <w:b/>
          <w:bCs/>
        </w:rPr>
        <w:tab/>
        <w:t>incubation management</w:t>
      </w:r>
      <w:r w:rsidRPr="008C54A5">
        <w:t xml:space="preserve">: </w:t>
      </w:r>
      <w:r w:rsidR="000C08BE">
        <w:t>T</w:t>
      </w:r>
      <w:r w:rsidR="000C08BE" w:rsidRPr="008C54A5">
        <w:t xml:space="preserve">he </w:t>
      </w:r>
      <w:r w:rsidRPr="008C54A5">
        <w:t>second part of the incubation mechanism where the incubation question manages the incubation queue.</w:t>
      </w:r>
    </w:p>
    <w:p w14:paraId="1BA07D13" w14:textId="7CCEEEA0" w:rsidR="003B6019" w:rsidRPr="008C54A5" w:rsidRDefault="003B6019" w:rsidP="003B6019">
      <w:r w:rsidRPr="008C54A5">
        <w:rPr>
          <w:b/>
          <w:bCs/>
        </w:rPr>
        <w:t>3.2.</w:t>
      </w:r>
      <w:r w:rsidR="00867176">
        <w:rPr>
          <w:b/>
          <w:bCs/>
        </w:rPr>
        <w:t>5</w:t>
      </w:r>
      <w:r w:rsidRPr="008C54A5">
        <w:rPr>
          <w:b/>
          <w:bCs/>
        </w:rPr>
        <w:tab/>
        <w:t>incubation mechanism</w:t>
      </w:r>
      <w:r w:rsidRPr="008C54A5">
        <w:t xml:space="preserve">: </w:t>
      </w:r>
      <w:r w:rsidR="000C08BE">
        <w:t>A</w:t>
      </w:r>
      <w:r w:rsidRPr="008C54A5">
        <w:t xml:space="preserve"> </w:t>
      </w:r>
      <w:r w:rsidR="00867176">
        <w:t>means</w:t>
      </w:r>
      <w:r w:rsidR="00867176" w:rsidRPr="008C54A5">
        <w:t xml:space="preserve"> </w:t>
      </w:r>
      <w:r w:rsidRPr="008C54A5">
        <w:t>that allows any new work item which</w:t>
      </w:r>
      <w:r w:rsidR="00867176">
        <w:t xml:space="preserve"> </w:t>
      </w:r>
      <w:r w:rsidRPr="008C54A5">
        <w:t>is valid for SG17 to study</w:t>
      </w:r>
      <w:r w:rsidR="00867176">
        <w:t xml:space="preserve"> </w:t>
      </w:r>
      <w:r w:rsidRPr="008C54A5">
        <w:t>but is not agreed to fit exactly in the current structure of SG17</w:t>
      </w:r>
      <w:r w:rsidR="00867176">
        <w:t xml:space="preserve"> </w:t>
      </w:r>
      <w:r w:rsidRPr="008C54A5">
        <w:t xml:space="preserve">to </w:t>
      </w:r>
      <w:r w:rsidR="00867176">
        <w:t xml:space="preserve">continue to </w:t>
      </w:r>
      <w:r w:rsidRPr="008C54A5">
        <w:t xml:space="preserve">be developed by SG17 by being allocated </w:t>
      </w:r>
      <w:r w:rsidR="00867176">
        <w:t>to an</w:t>
      </w:r>
      <w:r w:rsidR="00867176" w:rsidRPr="008C54A5">
        <w:t xml:space="preserve"> </w:t>
      </w:r>
      <w:r w:rsidRPr="008C54A5">
        <w:t>incubation question until it is finished or reallocated to its final question.</w:t>
      </w:r>
    </w:p>
    <w:p w14:paraId="43B42B0E" w14:textId="6844F5B3" w:rsidR="00867176" w:rsidRPr="008C54A5" w:rsidRDefault="00867176" w:rsidP="00867176">
      <w:r w:rsidRPr="008C54A5">
        <w:rPr>
          <w:b/>
          <w:bCs/>
        </w:rPr>
        <w:t>3.2.</w:t>
      </w:r>
      <w:r>
        <w:rPr>
          <w:b/>
          <w:bCs/>
        </w:rPr>
        <w:t>6</w:t>
      </w:r>
      <w:r w:rsidRPr="008C54A5">
        <w:rPr>
          <w:b/>
          <w:bCs/>
        </w:rPr>
        <w:tab/>
        <w:t>incubation question</w:t>
      </w:r>
      <w:r w:rsidRPr="008C54A5">
        <w:t xml:space="preserve">: </w:t>
      </w:r>
      <w:r w:rsidR="000C08BE">
        <w:t>T</w:t>
      </w:r>
      <w:r w:rsidR="000C08BE" w:rsidRPr="008C54A5">
        <w:t xml:space="preserve">he </w:t>
      </w:r>
      <w:r w:rsidRPr="008C54A5">
        <w:t>question hosting the incubation queue</w:t>
      </w:r>
      <w:r>
        <w:t xml:space="preserve"> that is </w:t>
      </w:r>
      <w:r w:rsidRPr="008C54A5">
        <w:t>responsible for its management and development.</w:t>
      </w:r>
    </w:p>
    <w:p w14:paraId="71E49C7D" w14:textId="7135AC03" w:rsidR="00867176" w:rsidRPr="008C54A5" w:rsidRDefault="00867176" w:rsidP="00867176">
      <w:r w:rsidRPr="008C54A5">
        <w:rPr>
          <w:b/>
          <w:bCs/>
        </w:rPr>
        <w:t>3.2.</w:t>
      </w:r>
      <w:r>
        <w:rPr>
          <w:b/>
          <w:bCs/>
        </w:rPr>
        <w:t>7</w:t>
      </w:r>
      <w:r w:rsidRPr="008C54A5">
        <w:rPr>
          <w:b/>
          <w:bCs/>
        </w:rPr>
        <w:tab/>
        <w:t>incubation</w:t>
      </w:r>
      <w:r w:rsidRPr="008C54A5">
        <w:rPr>
          <w:b/>
        </w:rPr>
        <w:t xml:space="preserve"> queue</w:t>
      </w:r>
      <w:r w:rsidRPr="008C54A5">
        <w:t xml:space="preserve">: </w:t>
      </w:r>
      <w:r w:rsidR="000C08BE" w:rsidRPr="008C54A5">
        <w:t>A</w:t>
      </w:r>
      <w:r w:rsidRPr="008C54A5">
        <w:t xml:space="preserve"> set of incubation work items in the incubation question.</w:t>
      </w:r>
    </w:p>
    <w:p w14:paraId="605CE741" w14:textId="433B9871" w:rsidR="00867176" w:rsidRPr="008C54A5" w:rsidRDefault="00867176" w:rsidP="00867176">
      <w:r w:rsidRPr="008C54A5">
        <w:rPr>
          <w:b/>
          <w:bCs/>
        </w:rPr>
        <w:t>3.2.</w:t>
      </w:r>
      <w:r>
        <w:rPr>
          <w:b/>
          <w:bCs/>
        </w:rPr>
        <w:t>8</w:t>
      </w:r>
      <w:r w:rsidRPr="008C54A5">
        <w:rPr>
          <w:b/>
          <w:bCs/>
        </w:rPr>
        <w:tab/>
        <w:t>incubation rapporteur</w:t>
      </w:r>
      <w:r w:rsidRPr="008C54A5">
        <w:t xml:space="preserve">: </w:t>
      </w:r>
      <w:r w:rsidR="000C08BE">
        <w:t xml:space="preserve">An </w:t>
      </w:r>
      <w:r>
        <w:t>a</w:t>
      </w:r>
      <w:r w:rsidRPr="008C54A5">
        <w:t>ssociate rapporteur in charge of the management of the incubation queue in the incubation question.</w:t>
      </w:r>
    </w:p>
    <w:p w14:paraId="76EB13CC" w14:textId="5799095C" w:rsidR="003B6019" w:rsidRPr="008C54A5" w:rsidRDefault="003B6019" w:rsidP="003B6019">
      <w:r w:rsidRPr="008C54A5">
        <w:rPr>
          <w:b/>
          <w:bCs/>
        </w:rPr>
        <w:t>3.2.</w:t>
      </w:r>
      <w:r w:rsidR="00867176">
        <w:rPr>
          <w:b/>
          <w:bCs/>
        </w:rPr>
        <w:t>9</w:t>
      </w:r>
      <w:r w:rsidRPr="008C54A5">
        <w:rPr>
          <w:b/>
          <w:bCs/>
        </w:rPr>
        <w:tab/>
        <w:t>incubation reallocation</w:t>
      </w:r>
      <w:r w:rsidRPr="008C54A5">
        <w:t xml:space="preserve">: </w:t>
      </w:r>
      <w:r w:rsidR="000C08BE">
        <w:t>T</w:t>
      </w:r>
      <w:r w:rsidR="000C08BE" w:rsidRPr="008C54A5">
        <w:t xml:space="preserve">he </w:t>
      </w:r>
      <w:r w:rsidRPr="008C54A5">
        <w:t>process to move an incubation work item from the incubation queue to its final question.</w:t>
      </w:r>
    </w:p>
    <w:p w14:paraId="3E7200D1" w14:textId="6591982B" w:rsidR="003B6019" w:rsidRPr="008C54A5" w:rsidRDefault="003B6019" w:rsidP="003B6019">
      <w:r w:rsidRPr="008C54A5">
        <w:rPr>
          <w:b/>
          <w:bCs/>
        </w:rPr>
        <w:t>3.2.10</w:t>
      </w:r>
      <w:r w:rsidRPr="008C54A5">
        <w:rPr>
          <w:b/>
          <w:bCs/>
        </w:rPr>
        <w:tab/>
        <w:t>incubation work item</w:t>
      </w:r>
      <w:r w:rsidRPr="008C54A5">
        <w:t xml:space="preserve">: </w:t>
      </w:r>
      <w:r w:rsidR="000C08BE" w:rsidRPr="008C54A5">
        <w:t>A</w:t>
      </w:r>
      <w:r w:rsidRPr="008C54A5">
        <w:t xml:space="preserve"> work item that had been agreed to be in the incubation queue.</w:t>
      </w:r>
    </w:p>
    <w:p w14:paraId="369639B4" w14:textId="77777777" w:rsidR="003B6019" w:rsidRPr="008C54A5" w:rsidRDefault="003B6019" w:rsidP="003B6019">
      <w:pPr>
        <w:pStyle w:val="Heading1"/>
        <w:rPr>
          <w:lang w:bidi="ar-DZ"/>
        </w:rPr>
      </w:pPr>
      <w:bookmarkStart w:id="45" w:name="_Toc42763765"/>
      <w:bookmarkStart w:id="46" w:name="_Toc401158823"/>
      <w:bookmarkStart w:id="47" w:name="_Toc49679483"/>
      <w:bookmarkStart w:id="48" w:name="_Toc159915872"/>
      <w:bookmarkStart w:id="49" w:name="_Toc167434349"/>
      <w:bookmarkStart w:id="50" w:name="_Toc172128658"/>
      <w:bookmarkStart w:id="51" w:name="_Toc172128762"/>
      <w:bookmarkEnd w:id="45"/>
      <w:r w:rsidRPr="008C54A5">
        <w:rPr>
          <w:lang w:bidi="ar-DZ"/>
        </w:rPr>
        <w:t>4</w:t>
      </w:r>
      <w:r w:rsidRPr="008C54A5">
        <w:rPr>
          <w:lang w:bidi="ar-DZ"/>
        </w:rPr>
        <w:tab/>
        <w:t>Abbreviations</w:t>
      </w:r>
      <w:bookmarkEnd w:id="46"/>
      <w:bookmarkEnd w:id="47"/>
      <w:r w:rsidRPr="008C54A5">
        <w:rPr>
          <w:lang w:bidi="ar-DZ"/>
        </w:rPr>
        <w:t xml:space="preserve"> and acronyms</w:t>
      </w:r>
      <w:bookmarkEnd w:id="48"/>
      <w:bookmarkEnd w:id="49"/>
      <w:bookmarkEnd w:id="50"/>
      <w:bookmarkEnd w:id="51"/>
    </w:p>
    <w:p w14:paraId="3C3077D2" w14:textId="77777777" w:rsidR="003B6019" w:rsidRPr="008C54A5" w:rsidRDefault="003B6019" w:rsidP="003B6019">
      <w:pPr>
        <w:rPr>
          <w:lang w:bidi="ar-DZ"/>
        </w:rPr>
      </w:pPr>
      <w:r w:rsidRPr="008C54A5">
        <w:rPr>
          <w:lang w:bidi="ar-DZ"/>
        </w:rPr>
        <w:t>This Technical Paper uses the following abbreviations and acronyms:</w:t>
      </w:r>
    </w:p>
    <w:p w14:paraId="614B7C24" w14:textId="77777777" w:rsidR="003B6019" w:rsidRPr="008C54A5" w:rsidRDefault="003B6019" w:rsidP="003B6019">
      <w:pPr>
        <w:tabs>
          <w:tab w:val="clear" w:pos="794"/>
          <w:tab w:val="clear" w:pos="1191"/>
        </w:tabs>
      </w:pPr>
      <w:r w:rsidRPr="008C54A5">
        <w:t>AI</w:t>
      </w:r>
      <w:r w:rsidRPr="008C54A5">
        <w:tab/>
        <w:t>Artificial Intelligence</w:t>
      </w:r>
    </w:p>
    <w:p w14:paraId="27E66059" w14:textId="77777777" w:rsidR="003B6019" w:rsidRPr="008C54A5" w:rsidRDefault="003B6019" w:rsidP="003B6019">
      <w:pPr>
        <w:tabs>
          <w:tab w:val="clear" w:pos="794"/>
          <w:tab w:val="clear" w:pos="1191"/>
        </w:tabs>
      </w:pPr>
      <w:r w:rsidRPr="008C54A5">
        <w:t>CG</w:t>
      </w:r>
      <w:r w:rsidRPr="008C54A5">
        <w:tab/>
        <w:t>Correspondence Group</w:t>
      </w:r>
    </w:p>
    <w:p w14:paraId="4C0B060E" w14:textId="77777777" w:rsidR="003B6019" w:rsidRPr="008C54A5" w:rsidRDefault="003B6019" w:rsidP="003B6019">
      <w:pPr>
        <w:tabs>
          <w:tab w:val="clear" w:pos="794"/>
          <w:tab w:val="clear" w:pos="1191"/>
        </w:tabs>
      </w:pPr>
      <w:r w:rsidRPr="008C54A5">
        <w:t>CG-XSS</w:t>
      </w:r>
      <w:r w:rsidRPr="008C54A5">
        <w:tab/>
        <w:t>Correspondence Group on Transformation of Security Studies</w:t>
      </w:r>
    </w:p>
    <w:p w14:paraId="5DF42B1D" w14:textId="77777777" w:rsidR="003B6019" w:rsidRPr="008C54A5" w:rsidRDefault="003B6019" w:rsidP="003B6019">
      <w:pPr>
        <w:tabs>
          <w:tab w:val="clear" w:pos="794"/>
          <w:tab w:val="clear" w:pos="1191"/>
        </w:tabs>
      </w:pPr>
      <w:r w:rsidRPr="008C54A5">
        <w:t>CTO</w:t>
      </w:r>
      <w:r w:rsidRPr="008C54A5">
        <w:tab/>
        <w:t>Chief Technology Officer</w:t>
      </w:r>
    </w:p>
    <w:p w14:paraId="7B26E42E" w14:textId="210537F8" w:rsidR="003B6019" w:rsidRPr="008C54A5" w:rsidRDefault="003B6019" w:rsidP="003B6019">
      <w:pPr>
        <w:tabs>
          <w:tab w:val="clear" w:pos="794"/>
          <w:tab w:val="clear" w:pos="1191"/>
        </w:tabs>
      </w:pPr>
      <w:r w:rsidRPr="008C54A5">
        <w:t>CxO</w:t>
      </w:r>
      <w:r w:rsidRPr="008C54A5">
        <w:tab/>
        <w:t xml:space="preserve">Chief </w:t>
      </w:r>
      <w:r w:rsidR="00163081">
        <w:t>"</w:t>
      </w:r>
      <w:r w:rsidRPr="008C54A5">
        <w:t>whatever</w:t>
      </w:r>
      <w:r w:rsidR="00163081">
        <w:t>"</w:t>
      </w:r>
      <w:r w:rsidRPr="008C54A5">
        <w:t xml:space="preserve"> Officer</w:t>
      </w:r>
    </w:p>
    <w:p w14:paraId="1E0CA117" w14:textId="77777777" w:rsidR="003B6019" w:rsidRPr="008C54A5" w:rsidRDefault="003B6019" w:rsidP="003B6019">
      <w:pPr>
        <w:tabs>
          <w:tab w:val="clear" w:pos="794"/>
          <w:tab w:val="clear" w:pos="1191"/>
        </w:tabs>
      </w:pPr>
      <w:r w:rsidRPr="008C54A5">
        <w:t>DLT</w:t>
      </w:r>
      <w:r w:rsidRPr="008C54A5">
        <w:tab/>
        <w:t>Distributed Ledger Technology</w:t>
      </w:r>
    </w:p>
    <w:p w14:paraId="658CA3E1" w14:textId="77777777" w:rsidR="003B6019" w:rsidRPr="008C54A5" w:rsidRDefault="003B6019" w:rsidP="003B6019">
      <w:pPr>
        <w:tabs>
          <w:tab w:val="clear" w:pos="794"/>
          <w:tab w:val="clear" w:pos="1191"/>
        </w:tabs>
      </w:pPr>
      <w:r w:rsidRPr="008C54A5">
        <w:t>FG</w:t>
      </w:r>
      <w:r w:rsidRPr="008C54A5">
        <w:tab/>
        <w:t>Focus Group</w:t>
      </w:r>
    </w:p>
    <w:p w14:paraId="10DE349A" w14:textId="77777777" w:rsidR="003B6019" w:rsidRPr="008C54A5" w:rsidRDefault="003B6019" w:rsidP="003B6019">
      <w:pPr>
        <w:tabs>
          <w:tab w:val="clear" w:pos="794"/>
          <w:tab w:val="clear" w:pos="1191"/>
        </w:tabs>
      </w:pPr>
      <w:r w:rsidRPr="008C54A5">
        <w:t>IETF</w:t>
      </w:r>
      <w:r w:rsidRPr="008C54A5">
        <w:tab/>
        <w:t>Internet Engineering Task Force</w:t>
      </w:r>
    </w:p>
    <w:p w14:paraId="3794B8C2" w14:textId="77777777" w:rsidR="003B6019" w:rsidRPr="008C54A5" w:rsidRDefault="003B6019" w:rsidP="003B6019">
      <w:pPr>
        <w:tabs>
          <w:tab w:val="clear" w:pos="794"/>
          <w:tab w:val="clear" w:pos="1191"/>
        </w:tabs>
      </w:pPr>
      <w:r w:rsidRPr="008C54A5">
        <w:t>ISG</w:t>
      </w:r>
      <w:r w:rsidRPr="008C54A5">
        <w:tab/>
        <w:t>Industry Specification Group</w:t>
      </w:r>
    </w:p>
    <w:p w14:paraId="5F80C8E2" w14:textId="77777777" w:rsidR="003B6019" w:rsidRPr="008C54A5" w:rsidRDefault="003B6019" w:rsidP="003B6019">
      <w:pPr>
        <w:tabs>
          <w:tab w:val="clear" w:pos="794"/>
          <w:tab w:val="clear" w:pos="1191"/>
        </w:tabs>
      </w:pPr>
      <w:r w:rsidRPr="008C54A5">
        <w:t>JTC</w:t>
      </w:r>
      <w:r w:rsidRPr="008C54A5">
        <w:tab/>
        <w:t>Joint Technical Committee</w:t>
      </w:r>
    </w:p>
    <w:p w14:paraId="6AA78135" w14:textId="77777777" w:rsidR="003B6019" w:rsidRPr="008C54A5" w:rsidRDefault="003B6019" w:rsidP="003B6019">
      <w:pPr>
        <w:tabs>
          <w:tab w:val="clear" w:pos="794"/>
          <w:tab w:val="clear" w:pos="1191"/>
        </w:tabs>
      </w:pPr>
      <w:r w:rsidRPr="008C54A5">
        <w:t>NFV</w:t>
      </w:r>
      <w:r w:rsidRPr="008C54A5">
        <w:tab/>
        <w:t>Network Function Virtualization</w:t>
      </w:r>
    </w:p>
    <w:p w14:paraId="3714B8CE" w14:textId="77777777" w:rsidR="003B6019" w:rsidRPr="008C54A5" w:rsidRDefault="003B6019" w:rsidP="003B6019">
      <w:pPr>
        <w:tabs>
          <w:tab w:val="clear" w:pos="794"/>
          <w:tab w:val="clear" w:pos="1191"/>
        </w:tabs>
      </w:pPr>
      <w:r w:rsidRPr="008C54A5">
        <w:t>NWI</w:t>
      </w:r>
      <w:r w:rsidRPr="008C54A5">
        <w:tab/>
        <w:t>New Work Item</w:t>
      </w:r>
    </w:p>
    <w:p w14:paraId="3102758D" w14:textId="77777777" w:rsidR="003B6019" w:rsidRPr="008C54A5" w:rsidRDefault="003B6019" w:rsidP="003B6019">
      <w:pPr>
        <w:tabs>
          <w:tab w:val="clear" w:pos="794"/>
          <w:tab w:val="clear" w:pos="1191"/>
        </w:tabs>
      </w:pPr>
      <w:r w:rsidRPr="008C54A5">
        <w:t>OASIS</w:t>
      </w:r>
      <w:r w:rsidRPr="008C54A5">
        <w:tab/>
        <w:t>Organization for the Advancement of Structured Information</w:t>
      </w:r>
    </w:p>
    <w:p w14:paraId="46647D56" w14:textId="77777777" w:rsidR="003B6019" w:rsidRPr="008C54A5" w:rsidRDefault="003B6019" w:rsidP="003B6019">
      <w:pPr>
        <w:tabs>
          <w:tab w:val="clear" w:pos="794"/>
          <w:tab w:val="clear" w:pos="1191"/>
        </w:tabs>
      </w:pPr>
      <w:r w:rsidRPr="008C54A5">
        <w:t>PP</w:t>
      </w:r>
      <w:r w:rsidRPr="008C54A5">
        <w:tab/>
        <w:t>ITU Plenipotentiary Conference</w:t>
      </w:r>
    </w:p>
    <w:p w14:paraId="1829214A" w14:textId="77777777" w:rsidR="003B6019" w:rsidRPr="008C54A5" w:rsidRDefault="003B6019" w:rsidP="003B6019">
      <w:pPr>
        <w:tabs>
          <w:tab w:val="clear" w:pos="794"/>
          <w:tab w:val="clear" w:pos="1191"/>
        </w:tabs>
      </w:pPr>
      <w:r w:rsidRPr="008C54A5">
        <w:t>PWI</w:t>
      </w:r>
      <w:r w:rsidRPr="008C54A5">
        <w:tab/>
        <w:t>Preliminary Work Item</w:t>
      </w:r>
    </w:p>
    <w:p w14:paraId="7CEECD93" w14:textId="394F44C2" w:rsidR="003B6019" w:rsidRPr="008C54A5" w:rsidRDefault="003B6019" w:rsidP="003B6019">
      <w:pPr>
        <w:tabs>
          <w:tab w:val="clear" w:pos="794"/>
          <w:tab w:val="clear" w:pos="1191"/>
        </w:tabs>
      </w:pPr>
      <w:r w:rsidRPr="008C54A5">
        <w:t>SC</w:t>
      </w:r>
      <w:r w:rsidRPr="008C54A5">
        <w:tab/>
        <w:t>Sub</w:t>
      </w:r>
      <w:r w:rsidR="008C54A5">
        <w:t>c</w:t>
      </w:r>
      <w:r w:rsidRPr="008C54A5">
        <w:t>ommittee</w:t>
      </w:r>
    </w:p>
    <w:p w14:paraId="70517B5B" w14:textId="77777777" w:rsidR="003B6019" w:rsidRPr="008C54A5" w:rsidRDefault="003B6019" w:rsidP="003B6019">
      <w:pPr>
        <w:tabs>
          <w:tab w:val="clear" w:pos="794"/>
          <w:tab w:val="clear" w:pos="1191"/>
        </w:tabs>
      </w:pPr>
      <w:r w:rsidRPr="008C54A5">
        <w:t>SDN</w:t>
      </w:r>
      <w:r w:rsidRPr="008C54A5">
        <w:tab/>
        <w:t>Software Defined Network</w:t>
      </w:r>
    </w:p>
    <w:p w14:paraId="00F6551D" w14:textId="77777777" w:rsidR="003B6019" w:rsidRPr="008C54A5" w:rsidRDefault="003B6019" w:rsidP="003B6019">
      <w:pPr>
        <w:tabs>
          <w:tab w:val="clear" w:pos="794"/>
          <w:tab w:val="clear" w:pos="1191"/>
        </w:tabs>
      </w:pPr>
      <w:r w:rsidRPr="008C54A5">
        <w:t>SDO</w:t>
      </w:r>
      <w:r w:rsidRPr="008C54A5">
        <w:tab/>
      </w:r>
      <w:bookmarkStart w:id="52" w:name="_Hlk60920087"/>
      <w:r w:rsidRPr="008C54A5">
        <w:t>Standards Development Organization</w:t>
      </w:r>
      <w:bookmarkEnd w:id="52"/>
    </w:p>
    <w:p w14:paraId="7F6A3231" w14:textId="77777777" w:rsidR="003B6019" w:rsidRPr="008C54A5" w:rsidRDefault="003B6019" w:rsidP="003B6019">
      <w:pPr>
        <w:tabs>
          <w:tab w:val="clear" w:pos="794"/>
          <w:tab w:val="clear" w:pos="1191"/>
        </w:tabs>
      </w:pPr>
      <w:r w:rsidRPr="008C54A5">
        <w:t>TD</w:t>
      </w:r>
      <w:r w:rsidRPr="008C54A5">
        <w:tab/>
        <w:t>Temporary Document</w:t>
      </w:r>
    </w:p>
    <w:p w14:paraId="28148C01" w14:textId="77777777" w:rsidR="003B6019" w:rsidRPr="008C54A5" w:rsidRDefault="003B6019" w:rsidP="003B6019">
      <w:pPr>
        <w:tabs>
          <w:tab w:val="clear" w:pos="794"/>
          <w:tab w:val="clear" w:pos="1191"/>
        </w:tabs>
      </w:pPr>
      <w:r w:rsidRPr="008C54A5">
        <w:t>TSAG</w:t>
      </w:r>
      <w:r w:rsidRPr="008C54A5">
        <w:tab/>
        <w:t>Telecommunication Standardization Advisory Group</w:t>
      </w:r>
    </w:p>
    <w:p w14:paraId="374BC2E1" w14:textId="77777777" w:rsidR="003B6019" w:rsidRPr="008C54A5" w:rsidRDefault="003B6019" w:rsidP="003B6019">
      <w:pPr>
        <w:tabs>
          <w:tab w:val="clear" w:pos="794"/>
          <w:tab w:val="clear" w:pos="1191"/>
        </w:tabs>
      </w:pPr>
      <w:r w:rsidRPr="008C54A5">
        <w:t>WTSA</w:t>
      </w:r>
      <w:r w:rsidRPr="008C54A5">
        <w:tab/>
        <w:t>World Telecommunication Standardization Assembly</w:t>
      </w:r>
    </w:p>
    <w:p w14:paraId="707FF446" w14:textId="195E5C7F" w:rsidR="003B6019" w:rsidRPr="008C54A5" w:rsidRDefault="003B6019" w:rsidP="003B6019">
      <w:pPr>
        <w:pStyle w:val="Heading1"/>
      </w:pPr>
      <w:bookmarkStart w:id="53" w:name="_Toc34132830"/>
      <w:bookmarkStart w:id="54" w:name="_Toc34132832"/>
      <w:bookmarkStart w:id="55" w:name="_Toc34132835"/>
      <w:bookmarkStart w:id="56" w:name="_Toc34132836"/>
      <w:bookmarkStart w:id="57" w:name="_Toc49679484"/>
      <w:bookmarkStart w:id="58" w:name="_Toc159915873"/>
      <w:bookmarkStart w:id="59" w:name="_Toc167434350"/>
      <w:bookmarkStart w:id="60" w:name="_Toc172128659"/>
      <w:bookmarkStart w:id="61" w:name="_Toc172128763"/>
      <w:bookmarkEnd w:id="53"/>
      <w:bookmarkEnd w:id="54"/>
      <w:bookmarkEnd w:id="55"/>
      <w:bookmarkEnd w:id="56"/>
      <w:r w:rsidRPr="008C54A5">
        <w:t>5</w:t>
      </w:r>
      <w:r w:rsidRPr="008C54A5">
        <w:tab/>
        <w:t>Introduction</w:t>
      </w:r>
      <w:bookmarkEnd w:id="57"/>
      <w:bookmarkEnd w:id="58"/>
      <w:bookmarkEnd w:id="59"/>
      <w:bookmarkEnd w:id="60"/>
      <w:bookmarkEnd w:id="61"/>
    </w:p>
    <w:p w14:paraId="77CB06A8" w14:textId="77777777" w:rsidR="003B6019" w:rsidRPr="008C54A5" w:rsidRDefault="003B6019" w:rsidP="003B6019">
      <w:pPr>
        <w:pStyle w:val="Heading2"/>
      </w:pPr>
      <w:bookmarkStart w:id="62" w:name="_Toc49679485"/>
      <w:bookmarkStart w:id="63" w:name="_Toc159915874"/>
      <w:bookmarkStart w:id="64" w:name="_Toc167434351"/>
      <w:bookmarkStart w:id="65" w:name="_Toc172128660"/>
      <w:bookmarkStart w:id="66" w:name="_Toc172128764"/>
      <w:r w:rsidRPr="008C54A5">
        <w:t>5.1</w:t>
      </w:r>
      <w:r w:rsidRPr="008C54A5">
        <w:tab/>
        <w:t>Context</w:t>
      </w:r>
      <w:bookmarkEnd w:id="62"/>
      <w:bookmarkEnd w:id="63"/>
      <w:bookmarkEnd w:id="64"/>
      <w:bookmarkEnd w:id="65"/>
      <w:bookmarkEnd w:id="66"/>
    </w:p>
    <w:p w14:paraId="42CB4428" w14:textId="77777777" w:rsidR="003B6019" w:rsidRPr="008C54A5" w:rsidRDefault="003B6019" w:rsidP="003B6019">
      <w:r w:rsidRPr="008C54A5">
        <w:t>In accordance with its mandate, ITU-T Study Group 17 (SG17) coordinates security-related work across all ITU-T Study Groups. Security, as described in the Study Group's mandate, evolves at a pace that is much faster than the four-year term that characterizes study periods.</w:t>
      </w:r>
    </w:p>
    <w:p w14:paraId="0B028661" w14:textId="77777777" w:rsidR="003B6019" w:rsidRPr="008C54A5" w:rsidRDefault="003B6019" w:rsidP="003B6019">
      <w:r w:rsidRPr="008C54A5">
        <w:t>There are many forces in action driving a lot of innovation such as:</w:t>
      </w:r>
    </w:p>
    <w:p w14:paraId="7AE9F487" w14:textId="395DFBDC" w:rsidR="003B6019" w:rsidRPr="008C54A5" w:rsidRDefault="003B6019" w:rsidP="003B6019">
      <w:pPr>
        <w:pStyle w:val="enumlev1"/>
      </w:pPr>
      <w:r w:rsidRPr="008C54A5">
        <w:t>–</w:t>
      </w:r>
      <w:r w:rsidRPr="008C54A5">
        <w:tab/>
      </w:r>
      <w:r w:rsidR="006D5668">
        <w:t>An a</w:t>
      </w:r>
      <w:r w:rsidRPr="008C54A5">
        <w:t>rms race between attackers and defenders</w:t>
      </w:r>
      <w:r w:rsidR="006D5668">
        <w:t>;</w:t>
      </w:r>
    </w:p>
    <w:p w14:paraId="7C56CF35" w14:textId="380A1AA3" w:rsidR="003B6019" w:rsidRPr="008C54A5" w:rsidRDefault="003B6019" w:rsidP="003B6019">
      <w:pPr>
        <w:pStyle w:val="enumlev1"/>
      </w:pPr>
      <w:r w:rsidRPr="008C54A5">
        <w:t>–</w:t>
      </w:r>
      <w:r w:rsidRPr="008C54A5">
        <w:tab/>
        <w:t>The digitalization megatrend driving general innovation (AI, DLT, Quantum, etc.)</w:t>
      </w:r>
      <w:r w:rsidR="006D5668">
        <w:t>;</w:t>
      </w:r>
    </w:p>
    <w:p w14:paraId="29582150" w14:textId="77777777" w:rsidR="003B6019" w:rsidRPr="008C54A5" w:rsidRDefault="003B6019" w:rsidP="003B6019">
      <w:pPr>
        <w:pStyle w:val="enumlev1"/>
      </w:pPr>
      <w:r w:rsidRPr="008C54A5">
        <w:t>–</w:t>
      </w:r>
      <w:r w:rsidRPr="008C54A5">
        <w:tab/>
        <w:t>A strong change in the policy and regulatory frameworks at country and regional levels.</w:t>
      </w:r>
    </w:p>
    <w:p w14:paraId="3502B3AF" w14:textId="40B7588E" w:rsidR="003B6019" w:rsidRPr="008C54A5" w:rsidRDefault="003B6019" w:rsidP="003B6019">
      <w:r w:rsidRPr="008C54A5">
        <w:t xml:space="preserve">The purpose of this Technical Paper is to develop </w:t>
      </w:r>
      <w:r w:rsidR="006D5668">
        <w:t>a</w:t>
      </w:r>
      <w:r w:rsidR="006D5668" w:rsidRPr="008C54A5">
        <w:t xml:space="preserve"> </w:t>
      </w:r>
      <w:r w:rsidRPr="008C54A5">
        <w:t>new SG17 incubation mechanism that will keep SG17 work program</w:t>
      </w:r>
      <w:r w:rsidR="008C54A5">
        <w:t>me</w:t>
      </w:r>
      <w:r w:rsidRPr="008C54A5">
        <w:t xml:space="preserve"> in line with </w:t>
      </w:r>
      <w:r w:rsidR="006D5668">
        <w:t>the quickly</w:t>
      </w:r>
      <w:r w:rsidRPr="008C54A5">
        <w:t xml:space="preserve"> changing requirements </w:t>
      </w:r>
      <w:r w:rsidR="006D5668">
        <w:t>in the</w:t>
      </w:r>
      <w:r w:rsidRPr="008C54A5">
        <w:t xml:space="preserve"> world of secure telecommunications.</w:t>
      </w:r>
    </w:p>
    <w:p w14:paraId="43B40E33" w14:textId="240A27DF" w:rsidR="003B6019" w:rsidRPr="008C54A5" w:rsidRDefault="003B6019" w:rsidP="003B6019">
      <w:r w:rsidRPr="008C54A5">
        <w:t>Any mechanism can be improved</w:t>
      </w:r>
      <w:r w:rsidR="006D5668">
        <w:t>.</w:t>
      </w:r>
      <w:r w:rsidRPr="008C54A5">
        <w:t xml:space="preserve"> </w:t>
      </w:r>
      <w:r w:rsidR="006D5668">
        <w:t>I</w:t>
      </w:r>
      <w:r w:rsidRPr="008C54A5">
        <w:t xml:space="preserve">t is possible to identify, document and analyse what other </w:t>
      </w:r>
      <w:r w:rsidR="00CA5D8F">
        <w:t>standards development organizations (</w:t>
      </w:r>
      <w:r w:rsidRPr="008C54A5">
        <w:t>SDOs</w:t>
      </w:r>
      <w:r w:rsidR="00CA5D8F">
        <w:t>)</w:t>
      </w:r>
      <w:r w:rsidRPr="008C54A5">
        <w:t xml:space="preserve"> are undertaking when exposed to the same issues. Part of this process is to review this mechanism to improve it based on lessons learn</w:t>
      </w:r>
      <w:r w:rsidR="008C54A5">
        <w:t>ed</w:t>
      </w:r>
      <w:r w:rsidRPr="008C54A5">
        <w:t>.</w:t>
      </w:r>
    </w:p>
    <w:p w14:paraId="6D919B42" w14:textId="6018D368" w:rsidR="003B6019" w:rsidRPr="008C54A5" w:rsidRDefault="003B6019" w:rsidP="003B6019">
      <w:r w:rsidRPr="008C54A5">
        <w:t>As a result, if this incubation mechanism,</w:t>
      </w:r>
      <w:r w:rsidR="006D5668">
        <w:t xml:space="preserve"> which is</w:t>
      </w:r>
      <w:r w:rsidRPr="008C54A5">
        <w:t xml:space="preserve"> currently an SG17 </w:t>
      </w:r>
      <w:r w:rsidR="006D5668">
        <w:t>mechanism only</w:t>
      </w:r>
      <w:r w:rsidRPr="008C54A5">
        <w:t xml:space="preserve">, </w:t>
      </w:r>
      <w:r w:rsidRPr="008C54A5">
        <w:rPr>
          <w:rStyle w:val="rynqvb"/>
        </w:rPr>
        <w:t xml:space="preserve">proves effective, it may be considered </w:t>
      </w:r>
      <w:r w:rsidR="006D5668">
        <w:rPr>
          <w:rStyle w:val="rynqvb"/>
        </w:rPr>
        <w:t>for introduction</w:t>
      </w:r>
      <w:r w:rsidRPr="008C54A5">
        <w:rPr>
          <w:rStyle w:val="rynqvb"/>
        </w:rPr>
        <w:t xml:space="preserve"> into ITU-T standard working methods through changes to the relevant WTSA Resolutions and A-series ITU-T Recommendations.</w:t>
      </w:r>
    </w:p>
    <w:p w14:paraId="05FE1FED" w14:textId="77777777" w:rsidR="003B6019" w:rsidRPr="008C54A5" w:rsidRDefault="003B6019" w:rsidP="003B6019">
      <w:pPr>
        <w:pStyle w:val="Heading2"/>
      </w:pPr>
      <w:bookmarkStart w:id="67" w:name="_Toc49679486"/>
      <w:bookmarkStart w:id="68" w:name="_Toc159915875"/>
      <w:bookmarkStart w:id="69" w:name="_Toc167434352"/>
      <w:bookmarkStart w:id="70" w:name="_Toc172128661"/>
      <w:bookmarkStart w:id="71" w:name="_Toc172128765"/>
      <w:r w:rsidRPr="008C54A5">
        <w:t>5.2</w:t>
      </w:r>
      <w:r w:rsidRPr="008C54A5">
        <w:tab/>
        <w:t>Problem statement</w:t>
      </w:r>
      <w:bookmarkEnd w:id="67"/>
      <w:bookmarkEnd w:id="68"/>
      <w:bookmarkEnd w:id="69"/>
      <w:bookmarkEnd w:id="70"/>
      <w:bookmarkEnd w:id="71"/>
    </w:p>
    <w:p w14:paraId="011B7EC6" w14:textId="483DB42B" w:rsidR="003B6019" w:rsidRPr="008C54A5" w:rsidRDefault="003B6019" w:rsidP="003B6019">
      <w:r w:rsidRPr="008C54A5">
        <w:t>Every four years, the World Telecommunication Standardization Assembly (WTSA) defines the structure and the mandates of all Study Groups for the next four-year study period.</w:t>
      </w:r>
    </w:p>
    <w:p w14:paraId="16DB23D6" w14:textId="6E57C521" w:rsidR="003B6019" w:rsidRPr="008C54A5" w:rsidRDefault="003B6019" w:rsidP="003B6019">
      <w:r w:rsidRPr="008C54A5">
        <w:t xml:space="preserve">Each Study Group has its own way to describe its </w:t>
      </w:r>
      <w:r w:rsidR="00D005A4">
        <w:t>t</w:t>
      </w:r>
      <w:r w:rsidRPr="008C54A5">
        <w:t xml:space="preserve">erms of </w:t>
      </w:r>
      <w:r w:rsidR="00D005A4">
        <w:t>r</w:t>
      </w:r>
      <w:r w:rsidRPr="008C54A5">
        <w:t>eferences (ToR)</w:t>
      </w:r>
      <w:r w:rsidR="00D005A4">
        <w:t xml:space="preserve"> or m</w:t>
      </w:r>
      <w:r w:rsidRPr="008C54A5">
        <w:t>andates.</w:t>
      </w:r>
    </w:p>
    <w:p w14:paraId="6FFA7B2B" w14:textId="7415A2ED" w:rsidR="003B6019" w:rsidRPr="008C54A5" w:rsidRDefault="003B6019" w:rsidP="003B6019">
      <w:r w:rsidRPr="008C54A5">
        <w:t xml:space="preserve">Some Study Groups have a very simple, short and </w:t>
      </w:r>
      <w:r w:rsidR="006D5668">
        <w:t>'</w:t>
      </w:r>
      <w:r w:rsidRPr="008C54A5">
        <w:t>catch all</w:t>
      </w:r>
      <w:r w:rsidR="006D5668">
        <w:t>'</w:t>
      </w:r>
      <w:r w:rsidRPr="008C54A5">
        <w:t xml:space="preserve"> approach to describe their ToR, including in their Questions. In this case</w:t>
      </w:r>
      <w:r w:rsidR="006D5668">
        <w:t>,</w:t>
      </w:r>
      <w:r w:rsidRPr="008C54A5">
        <w:t xml:space="preserve"> there are no strong borders in the ToR and it is easy for the Study Group to dispatch topics </w:t>
      </w:r>
      <w:r w:rsidR="006D5668">
        <w:t>to</w:t>
      </w:r>
      <w:r w:rsidR="006D5668" w:rsidRPr="008C54A5">
        <w:t xml:space="preserve"> </w:t>
      </w:r>
      <w:r w:rsidRPr="008C54A5">
        <w:t xml:space="preserve">the </w:t>
      </w:r>
      <w:r w:rsidR="006D5668">
        <w:t>most appropriate</w:t>
      </w:r>
      <w:r w:rsidR="006D5668" w:rsidRPr="008C54A5">
        <w:t xml:space="preserve"> </w:t>
      </w:r>
      <w:r w:rsidRPr="008C54A5">
        <w:t>Question.</w:t>
      </w:r>
    </w:p>
    <w:p w14:paraId="77540F53" w14:textId="2ACCA2F6" w:rsidR="003B6019" w:rsidRPr="008C54A5" w:rsidRDefault="003B6019" w:rsidP="003B6019">
      <w:r w:rsidRPr="008C54A5">
        <w:t>However, other Study Groups have a very strict and precise way to describe their ToR, which does not give flexibility to dispatch some valuable new work items</w:t>
      </w:r>
      <w:r w:rsidR="00D72D06">
        <w:t xml:space="preserve"> (NWIs)</w:t>
      </w:r>
      <w:r w:rsidRPr="008C54A5">
        <w:t xml:space="preserve"> that would otherwise be accepted.</w:t>
      </w:r>
    </w:p>
    <w:p w14:paraId="6EDCDE8F" w14:textId="7081BE89" w:rsidR="003B6019" w:rsidRPr="008C54A5" w:rsidRDefault="003B6019" w:rsidP="003B6019">
      <w:r w:rsidRPr="008C54A5">
        <w:t xml:space="preserve">SG17 </w:t>
      </w:r>
      <w:r w:rsidR="006D5668">
        <w:t>finds itself in the latter situation</w:t>
      </w:r>
      <w:r w:rsidRPr="008C54A5">
        <w:t xml:space="preserve"> and</w:t>
      </w:r>
      <w:r w:rsidR="006D5668">
        <w:t>,</w:t>
      </w:r>
      <w:r w:rsidRPr="008C54A5">
        <w:t xml:space="preserve"> as the ToR is set for the whole study period</w:t>
      </w:r>
      <w:r w:rsidR="006D5668">
        <w:t>,</w:t>
      </w:r>
      <w:r w:rsidRPr="008C54A5">
        <w:t xml:space="preserve"> SG17 </w:t>
      </w:r>
      <w:r w:rsidR="006D5668">
        <w:t>may</w:t>
      </w:r>
      <w:r w:rsidR="006D5668" w:rsidRPr="008C54A5">
        <w:t xml:space="preserve"> </w:t>
      </w:r>
      <w:r w:rsidRPr="008C54A5">
        <w:t>face difficulties to manage and work on new innovative topics that were not anticipated during the previous WTSA.</w:t>
      </w:r>
    </w:p>
    <w:p w14:paraId="2A52F415" w14:textId="77777777" w:rsidR="003B6019" w:rsidRPr="008C54A5" w:rsidRDefault="003B6019" w:rsidP="003B6019">
      <w:r w:rsidRPr="008C54A5">
        <w:t>In the above context, the problem that this document resolves is:</w:t>
      </w:r>
    </w:p>
    <w:p w14:paraId="4B6AA544" w14:textId="77777777" w:rsidR="003B6019" w:rsidRPr="008C54A5" w:rsidRDefault="003B6019" w:rsidP="003B6019">
      <w:pPr>
        <w:pStyle w:val="enumlev1"/>
      </w:pPr>
      <w:r w:rsidRPr="008C54A5">
        <w:t>–</w:t>
      </w:r>
      <w:r w:rsidRPr="008C54A5">
        <w:tab/>
        <w:t>How to bring innovation in cybersecurity standardization in Study Group 17 in a timely manner?</w:t>
      </w:r>
      <w:bookmarkStart w:id="72" w:name="_Toc49679487"/>
    </w:p>
    <w:p w14:paraId="55530129" w14:textId="23DCAFFD" w:rsidR="003B6019" w:rsidRPr="008C54A5" w:rsidRDefault="003B6019" w:rsidP="003B6019">
      <w:pPr>
        <w:pStyle w:val="Heading2"/>
      </w:pPr>
      <w:bookmarkStart w:id="73" w:name="_Toc159915876"/>
      <w:bookmarkStart w:id="74" w:name="_Toc167434353"/>
      <w:bookmarkStart w:id="75" w:name="_Toc172128662"/>
      <w:bookmarkStart w:id="76" w:name="_Toc172128766"/>
      <w:r w:rsidRPr="008C54A5">
        <w:t>5.3</w:t>
      </w:r>
      <w:r w:rsidRPr="008C54A5">
        <w:tab/>
      </w:r>
      <w:r w:rsidR="007B04EB">
        <w:t>T</w:t>
      </w:r>
      <w:r w:rsidRPr="008C54A5">
        <w:t>he need for an innovation path in SG17</w:t>
      </w:r>
      <w:bookmarkEnd w:id="72"/>
      <w:bookmarkEnd w:id="73"/>
      <w:bookmarkEnd w:id="74"/>
      <w:bookmarkEnd w:id="75"/>
      <w:bookmarkEnd w:id="76"/>
    </w:p>
    <w:p w14:paraId="6C606B77" w14:textId="5AF7C6CC" w:rsidR="003B6019" w:rsidRPr="008C54A5" w:rsidRDefault="003B6019" w:rsidP="003B6019">
      <w:r w:rsidRPr="008C54A5">
        <w:t xml:space="preserve">Bringing innovation in any Study Group sometimes means that a topic submitted to the group in a contribution to a meeting might not fit exactly in the current structure </w:t>
      </w:r>
      <w:r w:rsidR="006D5668">
        <w:t xml:space="preserve">that is </w:t>
      </w:r>
      <w:r w:rsidRPr="008C54A5">
        <w:t>consensus</w:t>
      </w:r>
      <w:r w:rsidR="008C54A5">
        <w:t>-</w:t>
      </w:r>
      <w:r w:rsidRPr="008C54A5">
        <w:t>based and changing the structure or amending ToR existing questions is always a difficult and a risky task for a large spectrum of reasons discussed in another Technical Paper [b</w:t>
      </w:r>
      <w:r w:rsidRPr="008C54A5">
        <w:noBreakHyphen/>
        <w:t>XSTP-sgstruct].</w:t>
      </w:r>
    </w:p>
    <w:p w14:paraId="4A07B1CF" w14:textId="7275A3AA" w:rsidR="003B6019" w:rsidRPr="008C54A5" w:rsidRDefault="003B6019" w:rsidP="003B6019">
      <w:r w:rsidRPr="008C54A5">
        <w:t xml:space="preserve">This situation leads to a gap and </w:t>
      </w:r>
      <w:r w:rsidR="006D5668">
        <w:t xml:space="preserve">a </w:t>
      </w:r>
      <w:r w:rsidRPr="008C54A5">
        <w:t xml:space="preserve">tension between the formulation of a given </w:t>
      </w:r>
      <w:r w:rsidR="0036584C">
        <w:t>NWI</w:t>
      </w:r>
      <w:r w:rsidRPr="008C54A5">
        <w:t xml:space="preserve"> vs the strict mandate of the </w:t>
      </w:r>
      <w:r w:rsidR="0036584C">
        <w:t>s</w:t>
      </w:r>
      <w:r w:rsidRPr="008C54A5">
        <w:t xml:space="preserve">tudy Question </w:t>
      </w:r>
      <w:r w:rsidR="00690031">
        <w:t>that</w:t>
      </w:r>
      <w:r w:rsidR="00690031" w:rsidRPr="008C54A5">
        <w:t xml:space="preserve"> </w:t>
      </w:r>
      <w:r w:rsidRPr="008C54A5">
        <w:t xml:space="preserve">do not match </w:t>
      </w:r>
      <w:r w:rsidRPr="008C54A5">
        <w:rPr>
          <w:rStyle w:val="rynqvb"/>
        </w:rPr>
        <w:t>exactly (on a consensus bas</w:t>
      </w:r>
      <w:r w:rsidR="00690031">
        <w:rPr>
          <w:rStyle w:val="rynqvb"/>
        </w:rPr>
        <w:t>is</w:t>
      </w:r>
      <w:r w:rsidRPr="008C54A5">
        <w:rPr>
          <w:rStyle w:val="rynqvb"/>
        </w:rPr>
        <w:t>)</w:t>
      </w:r>
      <w:r w:rsidRPr="008C54A5">
        <w:t xml:space="preserve"> when the topic is a valid contribution to the Study Group but would be accepted if the structure of </w:t>
      </w:r>
      <w:r w:rsidR="008C54A5">
        <w:t>the Group</w:t>
      </w:r>
      <w:r w:rsidR="008C54A5" w:rsidRPr="008C54A5">
        <w:t xml:space="preserve"> </w:t>
      </w:r>
      <w:r w:rsidR="00690031">
        <w:t>were</w:t>
      </w:r>
      <w:r w:rsidR="00690031" w:rsidRPr="008C54A5">
        <w:t xml:space="preserve"> </w:t>
      </w:r>
      <w:r w:rsidRPr="008C54A5">
        <w:t xml:space="preserve">be changed or the Question text </w:t>
      </w:r>
      <w:r w:rsidR="00690031">
        <w:t>were</w:t>
      </w:r>
      <w:r w:rsidRPr="008C54A5">
        <w:t xml:space="preserve"> amended, which takes time and </w:t>
      </w:r>
      <w:r w:rsidR="00690031">
        <w:t xml:space="preserve">necessitates following </w:t>
      </w:r>
      <w:r w:rsidRPr="008C54A5">
        <w:t>a specific process.</w:t>
      </w:r>
    </w:p>
    <w:p w14:paraId="243D3C86" w14:textId="77777777" w:rsidR="003B6019" w:rsidRPr="008C54A5" w:rsidRDefault="003B6019" w:rsidP="003B6019">
      <w:r w:rsidRPr="008C54A5">
        <w:t>With a number of members wishing to bring in their contributions, it was necessary to find a solution to this problem and relax the pressure to change reactively and perhaps unwisely the structure without any long-term vision.</w:t>
      </w:r>
    </w:p>
    <w:p w14:paraId="5C47B0DA" w14:textId="129F859D" w:rsidR="003B6019" w:rsidRPr="008C54A5" w:rsidRDefault="003B6019" w:rsidP="003B6019">
      <w:r w:rsidRPr="008C54A5">
        <w:t xml:space="preserve">For example, 14 contributions on </w:t>
      </w:r>
      <w:r w:rsidR="008C54A5">
        <w:t>DLT</w:t>
      </w:r>
      <w:r w:rsidRPr="008C54A5">
        <w:t xml:space="preserve"> were presented to one of the SG17 meetings, which resulted in the establishment of a creative ad hoc approach. However, this also led to a </w:t>
      </w:r>
      <w:r w:rsidR="00690031">
        <w:t>substantial</w:t>
      </w:r>
      <w:r w:rsidRPr="008C54A5">
        <w:t xml:space="preserve">, short-notice change in the agenda of the whole meeting, generating a significant number of challenges during </w:t>
      </w:r>
      <w:r w:rsidR="00690031">
        <w:t>it</w:t>
      </w:r>
      <w:r w:rsidRPr="008C54A5">
        <w:t xml:space="preserve">. </w:t>
      </w:r>
      <w:r w:rsidR="00690031">
        <w:t>It would be preferable not to repeat this approach.</w:t>
      </w:r>
    </w:p>
    <w:p w14:paraId="455882AC" w14:textId="307EFF3D" w:rsidR="003B6019" w:rsidRPr="008C54A5" w:rsidRDefault="003B6019" w:rsidP="003B6019">
      <w:pPr>
        <w:pStyle w:val="Heading2"/>
      </w:pPr>
      <w:bookmarkStart w:id="77" w:name="_Toc49679488"/>
      <w:bookmarkStart w:id="78" w:name="_Toc159915877"/>
      <w:bookmarkStart w:id="79" w:name="_Toc167434354"/>
      <w:bookmarkStart w:id="80" w:name="_Toc172128663"/>
      <w:bookmarkStart w:id="81" w:name="_Toc172128767"/>
      <w:r w:rsidRPr="008C54A5">
        <w:t>5.4</w:t>
      </w:r>
      <w:r w:rsidRPr="008C54A5">
        <w:tab/>
      </w:r>
      <w:r w:rsidR="00690031">
        <w:t>The reason for</w:t>
      </w:r>
      <w:r w:rsidR="00690031" w:rsidRPr="008C54A5">
        <w:t xml:space="preserve"> </w:t>
      </w:r>
      <w:r w:rsidRPr="008C54A5">
        <w:t xml:space="preserve">considering an innovation path in SG17 </w:t>
      </w:r>
      <w:bookmarkEnd w:id="77"/>
      <w:bookmarkEnd w:id="78"/>
      <w:bookmarkEnd w:id="79"/>
      <w:r w:rsidR="00690031">
        <w:t>at this point in time</w:t>
      </w:r>
      <w:bookmarkEnd w:id="80"/>
      <w:bookmarkEnd w:id="81"/>
    </w:p>
    <w:p w14:paraId="6F99D467" w14:textId="49C070D0" w:rsidR="003B6019" w:rsidRPr="008C54A5" w:rsidRDefault="003B6019" w:rsidP="003B6019">
      <w:r w:rsidRPr="008C54A5">
        <w:t xml:space="preserve">SG17 </w:t>
      </w:r>
      <w:r w:rsidR="00690031">
        <w:t xml:space="preserve">has </w:t>
      </w:r>
      <w:r w:rsidRPr="008C54A5">
        <w:t xml:space="preserve">evolved incrementally over the years but security </w:t>
      </w:r>
      <w:r w:rsidR="00690031">
        <w:t xml:space="preserve">has </w:t>
      </w:r>
      <w:r w:rsidRPr="008C54A5">
        <w:t xml:space="preserve">evolved at a much faster pace due, </w:t>
      </w:r>
      <w:r w:rsidR="00690031">
        <w:t>as described above</w:t>
      </w:r>
      <w:r w:rsidRPr="008C54A5">
        <w:t xml:space="preserve">, to a number of factors, </w:t>
      </w:r>
      <w:r w:rsidR="00690031">
        <w:t>including</w:t>
      </w:r>
      <w:r w:rsidRPr="008C54A5">
        <w:t>:</w:t>
      </w:r>
    </w:p>
    <w:p w14:paraId="7B765E0A" w14:textId="76B4C2BC" w:rsidR="003B6019" w:rsidRPr="008C54A5" w:rsidRDefault="00690031" w:rsidP="003B6019">
      <w:r>
        <w:t>An</w:t>
      </w:r>
      <w:r w:rsidRPr="008C54A5">
        <w:t xml:space="preserve"> </w:t>
      </w:r>
      <w:r w:rsidR="003B6019" w:rsidRPr="008C54A5">
        <w:t>arms race between attackers and defenders lead</w:t>
      </w:r>
      <w:r>
        <w:t>ing</w:t>
      </w:r>
      <w:r w:rsidR="003B6019" w:rsidRPr="008C54A5">
        <w:t xml:space="preserve"> to a large range of innovations.</w:t>
      </w:r>
    </w:p>
    <w:p w14:paraId="070291C2" w14:textId="7B72A648" w:rsidR="003B6019" w:rsidRPr="008C54A5" w:rsidRDefault="00690031" w:rsidP="003B6019">
      <w:r>
        <w:t>The d</w:t>
      </w:r>
      <w:r w:rsidR="003B6019" w:rsidRPr="008C54A5">
        <w:t>igitalization megatrend driving general innovation (AI, DLT, etc.)</w:t>
      </w:r>
      <w:r>
        <w:t>, which</w:t>
      </w:r>
      <w:r w:rsidR="003B6019" w:rsidRPr="008C54A5">
        <w:t xml:space="preserve"> increased both:</w:t>
      </w:r>
    </w:p>
    <w:p w14:paraId="089E7727" w14:textId="4201CE86" w:rsidR="003B6019" w:rsidRPr="008C54A5" w:rsidRDefault="003B6019" w:rsidP="003B6019">
      <w:pPr>
        <w:pStyle w:val="enumlev1"/>
      </w:pPr>
      <w:r w:rsidRPr="008C54A5">
        <w:t>–</w:t>
      </w:r>
      <w:r w:rsidRPr="008C54A5">
        <w:tab/>
      </w:r>
      <w:r w:rsidR="00690031">
        <w:t>T</w:t>
      </w:r>
      <w:r w:rsidRPr="008C54A5">
        <w:t>he attackers and defenders capabilities</w:t>
      </w:r>
      <w:r w:rsidR="00690031">
        <w:t>;</w:t>
      </w:r>
    </w:p>
    <w:p w14:paraId="424DC512" w14:textId="7F95E868" w:rsidR="003B6019" w:rsidRPr="008C54A5" w:rsidRDefault="003B6019" w:rsidP="003B6019">
      <w:pPr>
        <w:pStyle w:val="enumlev1"/>
      </w:pPr>
      <w:r w:rsidRPr="008C54A5">
        <w:t>–</w:t>
      </w:r>
      <w:r w:rsidRPr="008C54A5">
        <w:tab/>
      </w:r>
      <w:r w:rsidR="00690031">
        <w:t>T</w:t>
      </w:r>
      <w:r w:rsidRPr="008C54A5">
        <w:t>he attack surface.</w:t>
      </w:r>
    </w:p>
    <w:p w14:paraId="3C8E1C54" w14:textId="77777777" w:rsidR="003B6019" w:rsidRPr="008C54A5" w:rsidRDefault="003B6019" w:rsidP="003B6019">
      <w:r w:rsidRPr="008C54A5">
        <w:t>Increased awareness of:</w:t>
      </w:r>
    </w:p>
    <w:p w14:paraId="32E1A5B9" w14:textId="4DA10820" w:rsidR="003B6019" w:rsidRPr="008C54A5" w:rsidRDefault="003B6019" w:rsidP="003B6019">
      <w:pPr>
        <w:pStyle w:val="enumlev1"/>
      </w:pPr>
      <w:r w:rsidRPr="008C54A5">
        <w:t>–</w:t>
      </w:r>
      <w:r w:rsidRPr="008C54A5">
        <w:tab/>
      </w:r>
      <w:r w:rsidR="009D72DD" w:rsidRPr="008C54A5">
        <w:t xml:space="preserve">The </w:t>
      </w:r>
      <w:r w:rsidRPr="008C54A5">
        <w:t>importance of security and the need to invest</w:t>
      </w:r>
      <w:r w:rsidR="00690031" w:rsidRPr="00690031">
        <w:t xml:space="preserve"> </w:t>
      </w:r>
      <w:r w:rsidR="00690031">
        <w:t xml:space="preserve">among </w:t>
      </w:r>
      <w:r w:rsidR="00690031" w:rsidRPr="008C54A5">
        <w:t>all the business constituencies</w:t>
      </w:r>
      <w:r w:rsidRPr="008C54A5">
        <w:t>;</w:t>
      </w:r>
    </w:p>
    <w:p w14:paraId="159F7091" w14:textId="11900DD4" w:rsidR="003B6019" w:rsidRPr="008C54A5" w:rsidRDefault="003B6019" w:rsidP="003B6019">
      <w:pPr>
        <w:pStyle w:val="enumlev1"/>
      </w:pPr>
      <w:r w:rsidRPr="008C54A5">
        <w:t>–</w:t>
      </w:r>
      <w:r w:rsidRPr="008C54A5">
        <w:tab/>
      </w:r>
      <w:r w:rsidR="009D72DD">
        <w:t xml:space="preserve">Security </w:t>
      </w:r>
      <w:r w:rsidR="00690031">
        <w:t xml:space="preserve">among </w:t>
      </w:r>
      <w:r w:rsidRPr="008C54A5">
        <w:t>policy</w:t>
      </w:r>
      <w:r w:rsidR="008C54A5">
        <w:t>-</w:t>
      </w:r>
      <w:r w:rsidRPr="008C54A5">
        <w:t>makers and regulators across the globe</w:t>
      </w:r>
      <w:r w:rsidR="00690031">
        <w:t>;</w:t>
      </w:r>
    </w:p>
    <w:p w14:paraId="20AE33A8" w14:textId="53A69DFD" w:rsidR="003B6019" w:rsidRPr="009D72DD" w:rsidRDefault="003B6019" w:rsidP="003B6019">
      <w:pPr>
        <w:pStyle w:val="enumlev1"/>
        <w:rPr>
          <w:spacing w:val="-2"/>
        </w:rPr>
      </w:pPr>
      <w:r w:rsidRPr="009D72DD">
        <w:rPr>
          <w:spacing w:val="-2"/>
        </w:rPr>
        <w:t>–</w:t>
      </w:r>
      <w:r w:rsidRPr="009D72DD">
        <w:rPr>
          <w:spacing w:val="-2"/>
        </w:rPr>
        <w:tab/>
      </w:r>
      <w:r w:rsidR="009D72DD" w:rsidRPr="009D72DD">
        <w:rPr>
          <w:spacing w:val="-2"/>
        </w:rPr>
        <w:t xml:space="preserve">Balancing </w:t>
      </w:r>
      <w:r w:rsidRPr="009D72DD">
        <w:rPr>
          <w:spacing w:val="-2"/>
        </w:rPr>
        <w:t xml:space="preserve">security with </w:t>
      </w:r>
      <w:r w:rsidR="00690031" w:rsidRPr="009D72DD">
        <w:rPr>
          <w:spacing w:val="-2"/>
        </w:rPr>
        <w:t>concerns about p</w:t>
      </w:r>
      <w:r w:rsidRPr="009D72DD">
        <w:rPr>
          <w:spacing w:val="-2"/>
        </w:rPr>
        <w:t xml:space="preserve">ersonal </w:t>
      </w:r>
      <w:r w:rsidR="00690031" w:rsidRPr="009D72DD">
        <w:rPr>
          <w:spacing w:val="-2"/>
        </w:rPr>
        <w:t>i</w:t>
      </w:r>
      <w:r w:rsidRPr="009D72DD">
        <w:rPr>
          <w:spacing w:val="-2"/>
        </w:rPr>
        <w:t xml:space="preserve">dentifiable </w:t>
      </w:r>
      <w:r w:rsidR="00690031" w:rsidRPr="009D72DD">
        <w:rPr>
          <w:spacing w:val="-2"/>
        </w:rPr>
        <w:t>i</w:t>
      </w:r>
      <w:r w:rsidRPr="009D72DD">
        <w:rPr>
          <w:spacing w:val="-2"/>
        </w:rPr>
        <w:t xml:space="preserve">nformation </w:t>
      </w:r>
      <w:r w:rsidR="00690031" w:rsidRPr="009D72DD">
        <w:rPr>
          <w:spacing w:val="-2"/>
        </w:rPr>
        <w:t>among civil society;</w:t>
      </w:r>
    </w:p>
    <w:p w14:paraId="56008AB9" w14:textId="007C4F50" w:rsidR="003B6019" w:rsidRPr="008C54A5" w:rsidRDefault="003B6019" w:rsidP="003B6019">
      <w:pPr>
        <w:pStyle w:val="enumlev1"/>
      </w:pPr>
      <w:r w:rsidRPr="008C54A5">
        <w:t>–</w:t>
      </w:r>
      <w:r w:rsidRPr="008C54A5">
        <w:tab/>
      </w:r>
      <w:r w:rsidR="009D72DD">
        <w:t>N</w:t>
      </w:r>
      <w:r w:rsidR="009D72DD" w:rsidRPr="008C54A5">
        <w:t xml:space="preserve">ew </w:t>
      </w:r>
      <w:r w:rsidRPr="008C54A5">
        <w:t>frontiers for security</w:t>
      </w:r>
      <w:r w:rsidR="00690031">
        <w:t xml:space="preserve"> in academia</w:t>
      </w:r>
      <w:r w:rsidRPr="008C54A5">
        <w:t>.</w:t>
      </w:r>
    </w:p>
    <w:p w14:paraId="6DD6BB1D" w14:textId="5DEAF5D0" w:rsidR="003B6019" w:rsidRPr="008C54A5" w:rsidRDefault="00690031" w:rsidP="003B6019">
      <w:r>
        <w:t>A s</w:t>
      </w:r>
      <w:r w:rsidR="003B6019" w:rsidRPr="008C54A5">
        <w:t>hortage of skills, talents, resources and professionali</w:t>
      </w:r>
      <w:r w:rsidR="008C54A5">
        <w:t>z</w:t>
      </w:r>
      <w:r w:rsidR="003B6019" w:rsidRPr="008C54A5">
        <w:t>ation:</w:t>
      </w:r>
    </w:p>
    <w:p w14:paraId="61D5348E" w14:textId="05FC2383" w:rsidR="003B6019" w:rsidRPr="008C54A5" w:rsidRDefault="003B6019" w:rsidP="003B6019">
      <w:pPr>
        <w:pStyle w:val="enumlev1"/>
      </w:pPr>
      <w:r w:rsidRPr="008C54A5">
        <w:t>–</w:t>
      </w:r>
      <w:r w:rsidRPr="008C54A5">
        <w:tab/>
      </w:r>
      <w:r w:rsidR="007B04EB">
        <w:t>W</w:t>
      </w:r>
      <w:r w:rsidRPr="008C54A5">
        <w:t>hich accelerates the need for best practices and standards to simplify the jobs</w:t>
      </w:r>
      <w:r w:rsidR="007B04EB">
        <w:t>;</w:t>
      </w:r>
    </w:p>
    <w:p w14:paraId="4B4E1084" w14:textId="4BFD7D24" w:rsidR="003B6019" w:rsidRPr="008C54A5" w:rsidRDefault="003B6019" w:rsidP="003B6019">
      <w:pPr>
        <w:pStyle w:val="enumlev1"/>
      </w:pPr>
      <w:r w:rsidRPr="008C54A5">
        <w:t>–</w:t>
      </w:r>
      <w:r w:rsidRPr="008C54A5">
        <w:tab/>
      </w:r>
      <w:r w:rsidR="007B04EB">
        <w:t>W</w:t>
      </w:r>
      <w:r w:rsidRPr="008C54A5">
        <w:t>hich demands the appropriate lifelong capacity</w:t>
      </w:r>
      <w:r w:rsidR="008C54A5">
        <w:t>-</w:t>
      </w:r>
      <w:r w:rsidRPr="008C54A5">
        <w:t>building program</w:t>
      </w:r>
      <w:r w:rsidR="008C54A5">
        <w:t>mes</w:t>
      </w:r>
      <w:r w:rsidRPr="008C54A5">
        <w:t xml:space="preserve"> and courses.</w:t>
      </w:r>
    </w:p>
    <w:p w14:paraId="0CDC6522" w14:textId="4F626B40" w:rsidR="003B6019" w:rsidRPr="008C54A5" w:rsidRDefault="003B6019" w:rsidP="003B6019">
      <w:r w:rsidRPr="008C54A5">
        <w:t xml:space="preserve">All of these factors combined together explain why </w:t>
      </w:r>
      <w:r w:rsidR="00FD154F">
        <w:t>innovation was</w:t>
      </w:r>
      <w:r w:rsidRPr="008C54A5">
        <w:t xml:space="preserve"> accelerated </w:t>
      </w:r>
      <w:r w:rsidR="007B04EB">
        <w:t>by</w:t>
      </w:r>
      <w:r w:rsidR="007B04EB" w:rsidRPr="008C54A5">
        <w:t xml:space="preserve"> </w:t>
      </w:r>
      <w:r w:rsidRPr="008C54A5">
        <w:t>investment to a degree that it outpaced the incremental evolution of SG17.</w:t>
      </w:r>
    </w:p>
    <w:p w14:paraId="7E208045" w14:textId="22777263" w:rsidR="003B6019" w:rsidRPr="008C54A5" w:rsidRDefault="003B6019" w:rsidP="003B6019">
      <w:pPr>
        <w:pStyle w:val="Heading2"/>
      </w:pPr>
      <w:bookmarkStart w:id="82" w:name="_Toc49679489"/>
      <w:bookmarkStart w:id="83" w:name="_Toc159915878"/>
      <w:bookmarkStart w:id="84" w:name="_Toc167434355"/>
      <w:bookmarkStart w:id="85" w:name="_Toc172128664"/>
      <w:bookmarkStart w:id="86" w:name="_Toc172128768"/>
      <w:r w:rsidRPr="008C54A5">
        <w:t>5.5</w:t>
      </w:r>
      <w:r w:rsidRPr="008C54A5">
        <w:tab/>
      </w:r>
      <w:r w:rsidR="007B04EB">
        <w:t>Potential</w:t>
      </w:r>
      <w:r w:rsidR="007B04EB" w:rsidRPr="008C54A5">
        <w:t xml:space="preserve"> </w:t>
      </w:r>
      <w:r w:rsidRPr="008C54A5">
        <w:t>solution</w:t>
      </w:r>
      <w:r w:rsidR="007B04EB">
        <w:t>s</w:t>
      </w:r>
      <w:r w:rsidRPr="008C54A5">
        <w:t xml:space="preserve"> </w:t>
      </w:r>
      <w:r w:rsidR="007B04EB">
        <w:t>to</w:t>
      </w:r>
      <w:r w:rsidR="007B04EB" w:rsidRPr="008C54A5">
        <w:t xml:space="preserve"> </w:t>
      </w:r>
      <w:r w:rsidR="007B04EB">
        <w:t>fill</w:t>
      </w:r>
      <w:r w:rsidRPr="008C54A5">
        <w:t xml:space="preserve"> this gap</w:t>
      </w:r>
      <w:bookmarkEnd w:id="82"/>
      <w:bookmarkEnd w:id="83"/>
      <w:bookmarkEnd w:id="84"/>
      <w:bookmarkEnd w:id="85"/>
      <w:bookmarkEnd w:id="86"/>
    </w:p>
    <w:p w14:paraId="3FE5DCBD" w14:textId="11D05AB9" w:rsidR="003B6019" w:rsidRPr="008C54A5" w:rsidRDefault="003B6019" w:rsidP="003B6019">
      <w:r w:rsidRPr="008C54A5">
        <w:t>As discussed in [b-XSTP-sgstruct],</w:t>
      </w:r>
      <w:r w:rsidR="007B04EB">
        <w:t xml:space="preserve"> comparing</w:t>
      </w:r>
      <w:r w:rsidRPr="008C54A5">
        <w:t xml:space="preserve"> a </w:t>
      </w:r>
      <w:r w:rsidR="0036584C">
        <w:t>S</w:t>
      </w:r>
      <w:r w:rsidRPr="008C54A5">
        <w:t xml:space="preserve">tudy </w:t>
      </w:r>
      <w:r w:rsidR="0036584C">
        <w:t>G</w:t>
      </w:r>
      <w:r w:rsidRPr="008C54A5">
        <w:t xml:space="preserve">roup </w:t>
      </w:r>
      <w:r w:rsidR="007B04EB">
        <w:t>to</w:t>
      </w:r>
      <w:r w:rsidRPr="008C54A5">
        <w:t xml:space="preserve"> a company was compelling enough to inspire a solution from industry.</w:t>
      </w:r>
    </w:p>
    <w:p w14:paraId="70521A4B" w14:textId="00954CD5" w:rsidR="003B6019" w:rsidRPr="008C54A5" w:rsidRDefault="003B6019" w:rsidP="003B6019">
      <w:r w:rsidRPr="008C54A5">
        <w:t xml:space="preserve">Indeed, when organizations launch a new business, </w:t>
      </w:r>
      <w:r w:rsidR="007B04EB">
        <w:t>this</w:t>
      </w:r>
      <w:r w:rsidRPr="008C54A5">
        <w:t xml:space="preserve"> typically comes with a number of risks</w:t>
      </w:r>
      <w:r w:rsidR="007B04EB">
        <w:t>;</w:t>
      </w:r>
      <w:r w:rsidRPr="008C54A5">
        <w:t xml:space="preserve"> sometimes the solution used is to incubate the innovation until it is solid enough that the organization can qualify what to do with this new business</w:t>
      </w:r>
      <w:r w:rsidR="007B04EB">
        <w:t xml:space="preserve"> and whether to</w:t>
      </w:r>
      <w:r w:rsidRPr="008C54A5">
        <w:t xml:space="preserve"> spin</w:t>
      </w:r>
      <w:r w:rsidR="007B04EB">
        <w:t xml:space="preserve"> </w:t>
      </w:r>
      <w:r w:rsidRPr="008C54A5">
        <w:t>off a new company, rearrange business units, etc.</w:t>
      </w:r>
    </w:p>
    <w:p w14:paraId="18C7B512" w14:textId="7AB1250C" w:rsidR="003B6019" w:rsidRPr="008C54A5" w:rsidRDefault="003B6019" w:rsidP="003B6019">
      <w:r w:rsidRPr="008C54A5">
        <w:t>The approach</w:t>
      </w:r>
      <w:r w:rsidR="007B04EB">
        <w:t>es</w:t>
      </w:r>
      <w:r w:rsidRPr="008C54A5">
        <w:t xml:space="preserve"> taken by businesses regarding start-ups led them to also create the concept of incubators.</w:t>
      </w:r>
    </w:p>
    <w:p w14:paraId="407A36E6" w14:textId="78E73ADD" w:rsidR="003B6019" w:rsidRPr="008C54A5" w:rsidRDefault="003B6019" w:rsidP="003B6019">
      <w:r w:rsidRPr="008C54A5">
        <w:t xml:space="preserve">Inspired by these approaches, the idea of an incubation mechanism for SG17 started to gain acceptance until it became a reality. Once the principle was agreed, the question that needed to be addressed was how to design it and implement it within the rules and procedures of ITU-T, which this Technical Paper </w:t>
      </w:r>
      <w:r w:rsidR="007B04EB">
        <w:t>will address</w:t>
      </w:r>
      <w:r w:rsidRPr="008C54A5">
        <w:t>.</w:t>
      </w:r>
    </w:p>
    <w:p w14:paraId="2B98FAB6" w14:textId="77777777" w:rsidR="003B6019" w:rsidRPr="008C54A5" w:rsidRDefault="003B6019" w:rsidP="003B6019">
      <w:pPr>
        <w:pStyle w:val="Heading1"/>
      </w:pPr>
      <w:bookmarkStart w:id="87" w:name="_Toc49679491"/>
      <w:bookmarkStart w:id="88" w:name="_Toc159915879"/>
      <w:bookmarkStart w:id="89" w:name="_Toc167434356"/>
      <w:bookmarkStart w:id="90" w:name="_Toc172128665"/>
      <w:bookmarkStart w:id="91" w:name="_Toc172128769"/>
      <w:r w:rsidRPr="008C54A5">
        <w:t>6</w:t>
      </w:r>
      <w:r w:rsidRPr="008C54A5">
        <w:tab/>
        <w:t>The incubation mechanism</w:t>
      </w:r>
      <w:bookmarkEnd w:id="87"/>
      <w:bookmarkEnd w:id="88"/>
      <w:bookmarkEnd w:id="89"/>
      <w:bookmarkEnd w:id="90"/>
      <w:bookmarkEnd w:id="91"/>
    </w:p>
    <w:p w14:paraId="26D6D3D6" w14:textId="77777777" w:rsidR="003B6019" w:rsidRPr="008C54A5" w:rsidRDefault="003B6019" w:rsidP="003B6019">
      <w:pPr>
        <w:pStyle w:val="Heading2"/>
      </w:pPr>
      <w:bookmarkStart w:id="92" w:name="_Toc49679492"/>
      <w:bookmarkStart w:id="93" w:name="_Toc159915880"/>
      <w:bookmarkStart w:id="94" w:name="_Toc167434357"/>
      <w:bookmarkStart w:id="95" w:name="_Toc172128666"/>
      <w:bookmarkStart w:id="96" w:name="_Toc172128770"/>
      <w:r w:rsidRPr="008C54A5">
        <w:t>6.1</w:t>
      </w:r>
      <w:r w:rsidRPr="008C54A5">
        <w:tab/>
        <w:t>General description</w:t>
      </w:r>
      <w:bookmarkEnd w:id="92"/>
      <w:bookmarkEnd w:id="93"/>
      <w:bookmarkEnd w:id="94"/>
      <w:bookmarkEnd w:id="95"/>
      <w:bookmarkEnd w:id="96"/>
    </w:p>
    <w:p w14:paraId="19B73862" w14:textId="44F96949" w:rsidR="003B6019" w:rsidRPr="008C54A5" w:rsidRDefault="003B6019" w:rsidP="003B6019">
      <w:r w:rsidRPr="008C54A5">
        <w:t xml:space="preserve">The incubation mechanism is a mechanism that allows any contribution for </w:t>
      </w:r>
      <w:r w:rsidR="007B04EB">
        <w:t>an NWI</w:t>
      </w:r>
      <w:r w:rsidRPr="008C54A5">
        <w:t xml:space="preserve"> which</w:t>
      </w:r>
      <w:r w:rsidR="007B04EB">
        <w:t xml:space="preserve"> </w:t>
      </w:r>
      <w:r w:rsidRPr="008C54A5">
        <w:t xml:space="preserve">is valid for SG17 to </w:t>
      </w:r>
      <w:r w:rsidR="00FD154F" w:rsidRPr="008C54A5">
        <w:t>study but</w:t>
      </w:r>
      <w:r w:rsidRPr="008C54A5">
        <w:t xml:space="preserve"> does not fit exactly in the current </w:t>
      </w:r>
      <w:r w:rsidR="007B04EB" w:rsidRPr="008C54A5">
        <w:t xml:space="preserve">consensus-based </w:t>
      </w:r>
      <w:r w:rsidRPr="008C54A5">
        <w:t>structure of SG17.</w:t>
      </w:r>
      <w:r w:rsidR="007B04EB">
        <w:t xml:space="preserve">Such NWIs need </w:t>
      </w:r>
      <w:r w:rsidRPr="008C54A5">
        <w:t xml:space="preserve">to be developed </w:t>
      </w:r>
      <w:r w:rsidR="007B04EB">
        <w:t xml:space="preserve">further </w:t>
      </w:r>
      <w:r w:rsidRPr="008C54A5">
        <w:t xml:space="preserve">by SG17 until the specific incubation question (which can be interpreted as </w:t>
      </w:r>
      <w:r w:rsidR="007B04EB">
        <w:t xml:space="preserve">a </w:t>
      </w:r>
      <w:r w:rsidRPr="008C54A5">
        <w:t xml:space="preserve">staging area) </w:t>
      </w:r>
      <w:r w:rsidR="007B04EB">
        <w:t xml:space="preserve">has been answered </w:t>
      </w:r>
      <w:r w:rsidRPr="008C54A5">
        <w:t>or</w:t>
      </w:r>
      <w:r w:rsidR="007B04EB">
        <w:t xml:space="preserve"> until it has been</w:t>
      </w:r>
      <w:r w:rsidRPr="008C54A5">
        <w:t xml:space="preserve"> allocated to its final question.</w:t>
      </w:r>
    </w:p>
    <w:p w14:paraId="24FAD06F" w14:textId="77777777" w:rsidR="003B6019" w:rsidRPr="008C54A5" w:rsidRDefault="003B6019" w:rsidP="003B6019">
      <w:pPr>
        <w:pStyle w:val="Heading2"/>
      </w:pPr>
      <w:bookmarkStart w:id="97" w:name="_Toc49679493"/>
      <w:bookmarkStart w:id="98" w:name="_Toc159915881"/>
      <w:bookmarkStart w:id="99" w:name="_Toc167434358"/>
      <w:bookmarkStart w:id="100" w:name="_Toc172128667"/>
      <w:bookmarkStart w:id="101" w:name="_Toc172128771"/>
      <w:r w:rsidRPr="008C54A5">
        <w:t>6.2</w:t>
      </w:r>
      <w:r w:rsidRPr="008C54A5">
        <w:tab/>
        <w:t>A mechanism in two parts</w:t>
      </w:r>
      <w:bookmarkEnd w:id="97"/>
      <w:bookmarkEnd w:id="98"/>
      <w:bookmarkEnd w:id="99"/>
      <w:bookmarkEnd w:id="100"/>
      <w:bookmarkEnd w:id="101"/>
    </w:p>
    <w:p w14:paraId="451AFB14" w14:textId="6A3A7E16" w:rsidR="003B6019" w:rsidRPr="008C54A5" w:rsidRDefault="007B04EB" w:rsidP="003B6019">
      <w:r>
        <w:t>The a</w:t>
      </w:r>
      <w:r w:rsidR="003B6019" w:rsidRPr="008C54A5">
        <w:t xml:space="preserve">pplication of the mechanism implies </w:t>
      </w:r>
      <w:r>
        <w:t>a</w:t>
      </w:r>
      <w:r w:rsidRPr="008C54A5">
        <w:t xml:space="preserve"> </w:t>
      </w:r>
      <w:r w:rsidR="003B6019" w:rsidRPr="008C54A5">
        <w:t xml:space="preserve">requirement that candidate </w:t>
      </w:r>
      <w:r w:rsidR="00D72D06">
        <w:t>NWI</w:t>
      </w:r>
      <w:r>
        <w:t>s</w:t>
      </w:r>
      <w:r w:rsidR="003B6019" w:rsidRPr="008C54A5">
        <w:t xml:space="preserve"> can be placed using the metaphor of a staging area in SG17, in what is defined </w:t>
      </w:r>
      <w:r>
        <w:t xml:space="preserve">as </w:t>
      </w:r>
      <w:r w:rsidR="003B6019" w:rsidRPr="008C54A5">
        <w:t>the incubation queue.</w:t>
      </w:r>
    </w:p>
    <w:p w14:paraId="371F166B" w14:textId="77777777" w:rsidR="003B6019" w:rsidRPr="008C54A5" w:rsidRDefault="003B6019" w:rsidP="003B6019">
      <w:r w:rsidRPr="008C54A5">
        <w:t>This means that this mechanism needs a way to:</w:t>
      </w:r>
    </w:p>
    <w:p w14:paraId="3EABCCC8" w14:textId="137CCC4C" w:rsidR="003B6019" w:rsidRPr="008C54A5" w:rsidRDefault="003B6019" w:rsidP="003B6019">
      <w:pPr>
        <w:pStyle w:val="enumlev1"/>
      </w:pPr>
      <w:r w:rsidRPr="008C54A5">
        <w:t>–</w:t>
      </w:r>
      <w:r w:rsidRPr="008C54A5">
        <w:tab/>
      </w:r>
      <w:r w:rsidR="007B04EB">
        <w:t>A</w:t>
      </w:r>
      <w:r w:rsidRPr="008C54A5">
        <w:t xml:space="preserve">llocate the incubation candidate </w:t>
      </w:r>
      <w:r w:rsidR="00D72D06">
        <w:t>NWI</w:t>
      </w:r>
      <w:r w:rsidRPr="008C54A5">
        <w:t xml:space="preserve"> into this incubation queue</w:t>
      </w:r>
      <w:r w:rsidR="007B04EB">
        <w:t>;</w:t>
      </w:r>
    </w:p>
    <w:p w14:paraId="5FDBDA30" w14:textId="35B64777" w:rsidR="003B6019" w:rsidRPr="008C54A5" w:rsidRDefault="003B6019" w:rsidP="003B6019">
      <w:pPr>
        <w:pStyle w:val="enumlev1"/>
      </w:pPr>
      <w:r w:rsidRPr="008C54A5">
        <w:t>–</w:t>
      </w:r>
      <w:r w:rsidRPr="008C54A5">
        <w:tab/>
      </w:r>
      <w:r w:rsidR="007B04EB">
        <w:t>M</w:t>
      </w:r>
      <w:r w:rsidRPr="008C54A5">
        <w:t>anage this incubation queue including the possibility to reallocated incubation work items to their final question if needed.</w:t>
      </w:r>
    </w:p>
    <w:p w14:paraId="104E52DC" w14:textId="77777777" w:rsidR="003B6019" w:rsidRPr="008C54A5" w:rsidRDefault="003B6019" w:rsidP="003B6019">
      <w:r w:rsidRPr="008C54A5">
        <w:t>Where:</w:t>
      </w:r>
    </w:p>
    <w:p w14:paraId="27CD7939" w14:textId="66FE2D1A" w:rsidR="003B6019" w:rsidRPr="008C54A5" w:rsidRDefault="003B6019" w:rsidP="003B6019">
      <w:pPr>
        <w:pStyle w:val="enumlev1"/>
      </w:pPr>
      <w:r w:rsidRPr="008C54A5">
        <w:t>–</w:t>
      </w:r>
      <w:r w:rsidRPr="008C54A5">
        <w:tab/>
      </w:r>
      <w:r w:rsidR="007B04EB">
        <w:t>A</w:t>
      </w:r>
      <w:r w:rsidRPr="008C54A5">
        <w:t xml:space="preserve"> work item in the incubation queue is defined as an incubation work item</w:t>
      </w:r>
      <w:r w:rsidR="009D72DD">
        <w:t>;</w:t>
      </w:r>
    </w:p>
    <w:p w14:paraId="10B03522" w14:textId="20287EED" w:rsidR="003B6019" w:rsidRPr="008C54A5" w:rsidRDefault="003B6019" w:rsidP="003B6019">
      <w:pPr>
        <w:pStyle w:val="enumlev1"/>
      </w:pPr>
      <w:r w:rsidRPr="008C54A5">
        <w:t>–</w:t>
      </w:r>
      <w:r w:rsidRPr="008C54A5">
        <w:tab/>
      </w:r>
      <w:r w:rsidR="007B04EB">
        <w:t>A</w:t>
      </w:r>
      <w:r w:rsidRPr="008C54A5">
        <w:t xml:space="preserve"> </w:t>
      </w:r>
      <w:r w:rsidR="007B04EB">
        <w:t>NWI</w:t>
      </w:r>
      <w:r w:rsidRPr="008C54A5">
        <w:t xml:space="preserve"> candidate for incubation is defined as </w:t>
      </w:r>
      <w:r w:rsidR="007B04EB">
        <w:t xml:space="preserve">an </w:t>
      </w:r>
      <w:r w:rsidRPr="008C54A5">
        <w:t xml:space="preserve">incubation candidate </w:t>
      </w:r>
      <w:r w:rsidR="007B04EB">
        <w:t>NWI;</w:t>
      </w:r>
    </w:p>
    <w:p w14:paraId="52F32062" w14:textId="5084E723" w:rsidR="003B6019" w:rsidRPr="008C54A5" w:rsidRDefault="003B6019" w:rsidP="003B6019">
      <w:pPr>
        <w:pStyle w:val="enumlev1"/>
      </w:pPr>
      <w:r w:rsidRPr="008C54A5">
        <w:t>–</w:t>
      </w:r>
      <w:r w:rsidRPr="008C54A5">
        <w:tab/>
      </w:r>
      <w:r w:rsidR="007B04EB">
        <w:t>T</w:t>
      </w:r>
      <w:r w:rsidRPr="008C54A5">
        <w:t xml:space="preserve">he question </w:t>
      </w:r>
      <w:r w:rsidR="007B04EB">
        <w:t>defined in</w:t>
      </w:r>
      <w:r w:rsidR="007B04EB" w:rsidRPr="008C54A5">
        <w:t xml:space="preserve"> </w:t>
      </w:r>
      <w:r w:rsidRPr="008C54A5">
        <w:t>the incubation queue and the incubation management is defined as the incubation question</w:t>
      </w:r>
      <w:r w:rsidR="007B04EB">
        <w:t>;</w:t>
      </w:r>
    </w:p>
    <w:p w14:paraId="542E30EF" w14:textId="15A40834" w:rsidR="003B6019" w:rsidRPr="008C54A5" w:rsidRDefault="003B6019" w:rsidP="003B6019">
      <w:pPr>
        <w:pStyle w:val="enumlev1"/>
      </w:pPr>
      <w:r w:rsidRPr="008C54A5">
        <w:t>–</w:t>
      </w:r>
      <w:r w:rsidRPr="008C54A5">
        <w:tab/>
      </w:r>
      <w:r w:rsidR="007B04EB">
        <w:t>T</w:t>
      </w:r>
      <w:r w:rsidRPr="008C54A5">
        <w:t xml:space="preserve">he associate rapporteur of </w:t>
      </w:r>
      <w:r w:rsidR="007B04EB">
        <w:t xml:space="preserve">the </w:t>
      </w:r>
      <w:r w:rsidRPr="008C54A5">
        <w:t xml:space="preserve">incubation question </w:t>
      </w:r>
      <w:r w:rsidR="007B04EB">
        <w:t xml:space="preserve">who is </w:t>
      </w:r>
      <w:r w:rsidRPr="008C54A5">
        <w:t>in charge of the management of the incubation queue is defined as the incubation rapporteur.</w:t>
      </w:r>
    </w:p>
    <w:p w14:paraId="0B1818CB" w14:textId="77777777" w:rsidR="003B6019" w:rsidRPr="008C54A5" w:rsidRDefault="003B6019" w:rsidP="003B6019">
      <w:r w:rsidRPr="008C54A5">
        <w:t>It is recognized that the incubation mechanism will consist of two parts during SG17 meetings:</w:t>
      </w:r>
    </w:p>
    <w:p w14:paraId="367BE0AA" w14:textId="10AC5335" w:rsidR="003B6019" w:rsidRPr="008C54A5" w:rsidRDefault="003B6019" w:rsidP="003B6019">
      <w:pPr>
        <w:pStyle w:val="enumlev1"/>
      </w:pPr>
      <w:r w:rsidRPr="008C54A5">
        <w:t>–</w:t>
      </w:r>
      <w:r w:rsidRPr="008C54A5">
        <w:tab/>
      </w:r>
      <w:r w:rsidR="00D72D06">
        <w:t>The f</w:t>
      </w:r>
      <w:r w:rsidRPr="008C54A5">
        <w:t xml:space="preserve">irst part will designate the allocation of the </w:t>
      </w:r>
      <w:r w:rsidR="00D72D06">
        <w:t>NWI</w:t>
      </w:r>
      <w:r w:rsidR="007B04EB">
        <w:t>s</w:t>
      </w:r>
      <w:r w:rsidRPr="008C54A5">
        <w:t xml:space="preserve"> and will also be defined as incubation allocation</w:t>
      </w:r>
      <w:r w:rsidR="009D72DD">
        <w:t>;</w:t>
      </w:r>
    </w:p>
    <w:p w14:paraId="4966A715" w14:textId="6C5D8081" w:rsidR="003B6019" w:rsidRDefault="003B6019" w:rsidP="003B6019">
      <w:pPr>
        <w:pStyle w:val="enumlev1"/>
      </w:pPr>
      <w:r w:rsidRPr="008C54A5">
        <w:t>–</w:t>
      </w:r>
      <w:r w:rsidRPr="008C54A5">
        <w:tab/>
      </w:r>
      <w:r w:rsidR="007B04EB">
        <w:t>The s</w:t>
      </w:r>
      <w:r w:rsidRPr="008C54A5">
        <w:t xml:space="preserve">econd part will designate the management of the queue and the developing </w:t>
      </w:r>
      <w:r w:rsidR="00D72D06">
        <w:t>NWI</w:t>
      </w:r>
      <w:r w:rsidR="007B04EB">
        <w:t>s</w:t>
      </w:r>
      <w:r w:rsidRPr="008C54A5">
        <w:t xml:space="preserve"> and will be defined as incubation management.</w:t>
      </w:r>
    </w:p>
    <w:p w14:paraId="1EDDCEB9" w14:textId="77777777" w:rsidR="009D72DD" w:rsidRDefault="009D72DD" w:rsidP="009D72DD"/>
    <w:p w14:paraId="170EF166" w14:textId="77777777" w:rsidR="009D72DD" w:rsidRDefault="009D72DD" w:rsidP="009D72DD">
      <w:pPr>
        <w:sectPr w:rsidR="009D72DD" w:rsidSect="003B6019">
          <w:headerReference w:type="even" r:id="rId18"/>
          <w:footerReference w:type="even" r:id="rId19"/>
          <w:footerReference w:type="default" r:id="rId20"/>
          <w:type w:val="oddPage"/>
          <w:pgSz w:w="11901" w:h="16838" w:code="9"/>
          <w:pgMar w:top="1134" w:right="1134" w:bottom="1134" w:left="1134" w:header="567" w:footer="567" w:gutter="0"/>
          <w:pgNumType w:start="1"/>
          <w:cols w:space="720"/>
          <w:docGrid w:linePitch="360"/>
        </w:sectPr>
      </w:pPr>
    </w:p>
    <w:p w14:paraId="0224BBDB" w14:textId="3E77A491" w:rsidR="003B6019" w:rsidRPr="008C54A5" w:rsidRDefault="000A048B" w:rsidP="003B6019">
      <w:pPr>
        <w:pStyle w:val="Figure"/>
      </w:pPr>
      <w:bookmarkStart w:id="102" w:name="_Toc49679543"/>
      <w:r>
        <w:rPr>
          <w:noProof/>
        </w:rPr>
        <w:drawing>
          <wp:inline distT="0" distB="0" distL="0" distR="0" wp14:anchorId="5DA59F27" wp14:editId="7B45CCFF">
            <wp:extent cx="8648700" cy="4686300"/>
            <wp:effectExtent l="0" t="0" r="0" b="0"/>
            <wp:docPr id="1200356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48700" cy="4686300"/>
                    </a:xfrm>
                    <a:prstGeom prst="rect">
                      <a:avLst/>
                    </a:prstGeom>
                    <a:noFill/>
                    <a:ln>
                      <a:noFill/>
                    </a:ln>
                  </pic:spPr>
                </pic:pic>
              </a:graphicData>
            </a:graphic>
          </wp:inline>
        </w:drawing>
      </w:r>
    </w:p>
    <w:p w14:paraId="56477143" w14:textId="77777777" w:rsidR="003B6019" w:rsidRDefault="003B6019" w:rsidP="003B6019">
      <w:pPr>
        <w:pStyle w:val="FigureNoTitle"/>
      </w:pPr>
      <w:r w:rsidRPr="008C54A5">
        <w:t>Figure 1 – General flow of the incubation mechanism in two parts: allocation and management</w:t>
      </w:r>
      <w:bookmarkEnd w:id="102"/>
    </w:p>
    <w:p w14:paraId="5FCE9B3D" w14:textId="77777777" w:rsidR="009D72DD" w:rsidRPr="009D72DD" w:rsidRDefault="009D72DD" w:rsidP="009D72DD"/>
    <w:p w14:paraId="5FE5ECCE" w14:textId="77777777" w:rsidR="009D72DD" w:rsidRDefault="009D72DD" w:rsidP="009D72DD">
      <w:pPr>
        <w:sectPr w:rsidR="009D72DD" w:rsidSect="00BA73C2">
          <w:footerReference w:type="even" r:id="rId22"/>
          <w:footerReference w:type="default" r:id="rId23"/>
          <w:pgSz w:w="16838" w:h="11901" w:orient="landscape" w:code="9"/>
          <w:pgMar w:top="1134" w:right="1134" w:bottom="1134" w:left="1134" w:header="567" w:footer="567" w:gutter="0"/>
          <w:cols w:space="720"/>
          <w:docGrid w:linePitch="360"/>
        </w:sectPr>
      </w:pPr>
    </w:p>
    <w:p w14:paraId="0DD0F3BB" w14:textId="77777777" w:rsidR="003B6019" w:rsidRPr="008C54A5" w:rsidRDefault="003B6019" w:rsidP="003B6019">
      <w:pPr>
        <w:pStyle w:val="Normalaftertitle"/>
      </w:pPr>
      <w:r w:rsidRPr="008C54A5">
        <w:t>Each part needs to be hosted by an entity:</w:t>
      </w:r>
    </w:p>
    <w:p w14:paraId="242315FE" w14:textId="761551A5" w:rsidR="003B6019" w:rsidRPr="008C54A5" w:rsidRDefault="003B6019" w:rsidP="003B6019">
      <w:pPr>
        <w:pStyle w:val="enumlev1"/>
      </w:pPr>
      <w:r w:rsidRPr="008C54A5">
        <w:t>–</w:t>
      </w:r>
      <w:r w:rsidRPr="008C54A5">
        <w:tab/>
        <w:t xml:space="preserve">The allocation part is handled by a special session </w:t>
      </w:r>
      <w:r w:rsidR="007B04EB">
        <w:t>that</w:t>
      </w:r>
      <w:r w:rsidR="007B04EB" w:rsidRPr="008C54A5">
        <w:t xml:space="preserve"> </w:t>
      </w:r>
      <w:r w:rsidRPr="008C54A5">
        <w:t xml:space="preserve">manages allocations of incubation candidate </w:t>
      </w:r>
      <w:r w:rsidR="00D72D06">
        <w:t>NWI</w:t>
      </w:r>
      <w:r w:rsidRPr="008C54A5">
        <w:t>. This special session may need arbitrations across the Study Group between Questions and it needs to be handled as early as possible in the Study Group</w:t>
      </w:r>
      <w:r w:rsidR="000C08BE">
        <w:t>;</w:t>
      </w:r>
    </w:p>
    <w:p w14:paraId="710F6891" w14:textId="3C296D29" w:rsidR="003B6019" w:rsidRPr="008C54A5" w:rsidRDefault="003B6019" w:rsidP="003B6019">
      <w:pPr>
        <w:pStyle w:val="enumlev1"/>
      </w:pPr>
      <w:r w:rsidRPr="008C54A5">
        <w:t>–</w:t>
      </w:r>
      <w:r w:rsidRPr="008C54A5">
        <w:tab/>
        <w:t xml:space="preserve">The management part </w:t>
      </w:r>
      <w:r w:rsidR="007B04EB">
        <w:t>that</w:t>
      </w:r>
      <w:r w:rsidR="007B04EB" w:rsidRPr="008C54A5">
        <w:t xml:space="preserve"> </w:t>
      </w:r>
      <w:r w:rsidRPr="008C54A5">
        <w:t>manages</w:t>
      </w:r>
      <w:r w:rsidR="007B04EB" w:rsidRPr="007B04EB">
        <w:t xml:space="preserve"> </w:t>
      </w:r>
      <w:r w:rsidR="007B04EB" w:rsidRPr="008C54A5">
        <w:t>reallocations</w:t>
      </w:r>
      <w:r w:rsidRPr="008C54A5">
        <w:t>, among other things, is handled by the above special session.</w:t>
      </w:r>
    </w:p>
    <w:p w14:paraId="772B84D3" w14:textId="77777777" w:rsidR="003B6019" w:rsidRPr="008C54A5" w:rsidRDefault="003B6019" w:rsidP="003B6019">
      <w:pPr>
        <w:pStyle w:val="Heading2"/>
      </w:pPr>
      <w:bookmarkStart w:id="103" w:name="_Toc49679494"/>
      <w:bookmarkStart w:id="104" w:name="_Toc159915882"/>
      <w:bookmarkStart w:id="105" w:name="_Toc167434359"/>
      <w:bookmarkStart w:id="106" w:name="_Toc172128668"/>
      <w:bookmarkStart w:id="107" w:name="_Toc172128772"/>
      <w:r w:rsidRPr="008C54A5">
        <w:t>6.3</w:t>
      </w:r>
      <w:r w:rsidRPr="008C54A5">
        <w:tab/>
        <w:t xml:space="preserve">Incubation mechanism </w:t>
      </w:r>
      <w:bookmarkEnd w:id="103"/>
      <w:r w:rsidRPr="008C54A5">
        <w:t>framework</w:t>
      </w:r>
      <w:bookmarkEnd w:id="104"/>
      <w:bookmarkEnd w:id="105"/>
      <w:bookmarkEnd w:id="106"/>
      <w:bookmarkEnd w:id="107"/>
    </w:p>
    <w:p w14:paraId="5B93801F" w14:textId="77777777" w:rsidR="003B6019" w:rsidRPr="008C54A5" w:rsidRDefault="003B6019" w:rsidP="003B6019">
      <w:pPr>
        <w:pStyle w:val="Heading3"/>
      </w:pPr>
      <w:bookmarkStart w:id="108" w:name="_Toc49679495"/>
      <w:bookmarkStart w:id="109" w:name="_Toc159915883"/>
      <w:r w:rsidRPr="008C54A5">
        <w:t>6.3.1</w:t>
      </w:r>
      <w:r w:rsidRPr="008C54A5">
        <w:tab/>
        <w:t>The incubation work item</w:t>
      </w:r>
      <w:bookmarkEnd w:id="108"/>
      <w:bookmarkEnd w:id="109"/>
    </w:p>
    <w:p w14:paraId="44A70DA3" w14:textId="54DB59D6" w:rsidR="003B6019" w:rsidRPr="008C54A5" w:rsidRDefault="003B6019" w:rsidP="003B6019">
      <w:r w:rsidRPr="008C54A5">
        <w:t xml:space="preserve">An incubation work item is a work item that is identified as </w:t>
      </w:r>
      <w:r w:rsidR="007B04EB">
        <w:t>having been</w:t>
      </w:r>
      <w:r w:rsidR="007B04EB" w:rsidRPr="008C54A5">
        <w:t xml:space="preserve"> </w:t>
      </w:r>
      <w:r w:rsidRPr="008C54A5">
        <w:t>placed in the incubation queue.</w:t>
      </w:r>
    </w:p>
    <w:p w14:paraId="57C30107" w14:textId="1CDA0A97" w:rsidR="003B6019" w:rsidRPr="008C54A5" w:rsidRDefault="007B04EB" w:rsidP="003B6019">
      <w:r>
        <w:t xml:space="preserve">Identifying it </w:t>
      </w:r>
      <w:r w:rsidR="003B6019" w:rsidRPr="008C54A5">
        <w:t>as an incubation work item provides transparency to the whole Study Group and allows an interested Question to claim the work item for reallocation at the special session on incubation.</w:t>
      </w:r>
    </w:p>
    <w:p w14:paraId="6F0B4913" w14:textId="5EDA0522" w:rsidR="003B6019" w:rsidRPr="008C54A5" w:rsidRDefault="003B6019" w:rsidP="003B6019">
      <w:r w:rsidRPr="008C54A5">
        <w:t xml:space="preserve">The incubation work item may be reallocated to its final Question at any time and </w:t>
      </w:r>
      <w:r w:rsidR="00894DC1">
        <w:t xml:space="preserve">at that point </w:t>
      </w:r>
      <w:r w:rsidRPr="008C54A5">
        <w:t>it loses its status of being an incubation work item to continue its normal lifecycle as a work item in its final Question.</w:t>
      </w:r>
    </w:p>
    <w:p w14:paraId="1EFF4E72" w14:textId="2B343067" w:rsidR="003B6019" w:rsidRPr="008C54A5" w:rsidRDefault="003B6019" w:rsidP="003B6019">
      <w:pPr>
        <w:pStyle w:val="Note"/>
      </w:pPr>
      <w:r w:rsidRPr="008C54A5">
        <w:t>NOTE</w:t>
      </w:r>
      <w:r w:rsidR="009D72DD">
        <w:t> </w:t>
      </w:r>
      <w:r w:rsidRPr="008C54A5">
        <w:t>1</w:t>
      </w:r>
      <w:r w:rsidR="009D72DD">
        <w:t> </w:t>
      </w:r>
      <w:r w:rsidRPr="008C54A5">
        <w:t>–</w:t>
      </w:r>
      <w:r w:rsidR="009D72DD">
        <w:t> </w:t>
      </w:r>
      <w:r w:rsidRPr="008C54A5">
        <w:t xml:space="preserve">As the incubation mechanism </w:t>
      </w:r>
      <w:r w:rsidR="00894DC1">
        <w:t>has run</w:t>
      </w:r>
      <w:r w:rsidR="00894DC1" w:rsidRPr="008C54A5">
        <w:t xml:space="preserve"> </w:t>
      </w:r>
      <w:r w:rsidRPr="008C54A5">
        <w:t xml:space="preserve">for a few years it can be observed and noted that some contributors were encouraged to transform their proposed new work item for Recommendation into a Technical Paper or a Technical Report in the incubation queue. As these were really innovative topics and it was often a first experience for the </w:t>
      </w:r>
      <w:r w:rsidR="00774EC4">
        <w:t>c</w:t>
      </w:r>
      <w:r w:rsidRPr="008C54A5">
        <w:t>ontributors it proved to give a number of benefits</w:t>
      </w:r>
      <w:r w:rsidR="00894DC1">
        <w:t>, which are as follows</w:t>
      </w:r>
      <w:r w:rsidRPr="008C54A5">
        <w:t>:</w:t>
      </w:r>
    </w:p>
    <w:p w14:paraId="43713EA9" w14:textId="7120C876" w:rsidR="003B6019" w:rsidRPr="008C54A5" w:rsidRDefault="003B6019" w:rsidP="003B6019">
      <w:pPr>
        <w:pStyle w:val="Note"/>
      </w:pPr>
      <w:r w:rsidRPr="008C54A5">
        <w:t>–</w:t>
      </w:r>
      <w:r w:rsidRPr="008C54A5">
        <w:tab/>
      </w:r>
      <w:r w:rsidR="00894DC1">
        <w:t>H</w:t>
      </w:r>
      <w:r w:rsidRPr="008C54A5">
        <w:t>elp</w:t>
      </w:r>
      <w:r w:rsidR="00894DC1">
        <w:t>ing</w:t>
      </w:r>
      <w:r w:rsidRPr="008C54A5">
        <w:t xml:space="preserve"> Contributors to develop their understanding of ITU-T and SG17 procedures</w:t>
      </w:r>
      <w:r w:rsidR="000C08BE">
        <w:t>;</w:t>
      </w:r>
    </w:p>
    <w:p w14:paraId="6A7DABAA" w14:textId="4226B8C4" w:rsidR="003B6019" w:rsidRPr="008C54A5" w:rsidRDefault="003B6019" w:rsidP="003B6019">
      <w:pPr>
        <w:pStyle w:val="Note"/>
      </w:pPr>
      <w:r w:rsidRPr="008C54A5">
        <w:t>–</w:t>
      </w:r>
      <w:r w:rsidRPr="008C54A5">
        <w:tab/>
      </w:r>
      <w:r w:rsidR="00894DC1">
        <w:t>A</w:t>
      </w:r>
      <w:r w:rsidRPr="008C54A5">
        <w:t>llow</w:t>
      </w:r>
      <w:r w:rsidR="00894DC1">
        <w:t>ing</w:t>
      </w:r>
      <w:r w:rsidRPr="008C54A5">
        <w:t xml:space="preserve"> membership to familiarize itself with the new topic</w:t>
      </w:r>
      <w:r w:rsidR="000C08BE">
        <w:t>;</w:t>
      </w:r>
    </w:p>
    <w:p w14:paraId="722F8387" w14:textId="0B5ECD14" w:rsidR="003B6019" w:rsidRPr="008C54A5" w:rsidRDefault="003B6019" w:rsidP="003B6019">
      <w:pPr>
        <w:pStyle w:val="Note"/>
      </w:pPr>
      <w:r w:rsidRPr="008C54A5">
        <w:t>–</w:t>
      </w:r>
      <w:r w:rsidRPr="008C54A5">
        <w:tab/>
      </w:r>
      <w:r w:rsidR="00894DC1">
        <w:t>I</w:t>
      </w:r>
      <w:r w:rsidRPr="008C54A5">
        <w:t>dentify</w:t>
      </w:r>
      <w:r w:rsidR="00894DC1">
        <w:t>ing</w:t>
      </w:r>
      <w:r w:rsidRPr="008C54A5">
        <w:t xml:space="preserve"> calls for future contributions</w:t>
      </w:r>
      <w:r w:rsidR="000C08BE">
        <w:t>;</w:t>
      </w:r>
    </w:p>
    <w:p w14:paraId="23D5CC07" w14:textId="37AEB2B8" w:rsidR="003B6019" w:rsidRPr="008C54A5" w:rsidRDefault="003B6019" w:rsidP="003B6019">
      <w:pPr>
        <w:pStyle w:val="Note"/>
      </w:pPr>
      <w:r w:rsidRPr="008C54A5">
        <w:t>–</w:t>
      </w:r>
      <w:r w:rsidRPr="008C54A5">
        <w:tab/>
      </w:r>
      <w:r w:rsidR="00894DC1">
        <w:t>T</w:t>
      </w:r>
      <w:r w:rsidRPr="008C54A5">
        <w:t>urn</w:t>
      </w:r>
      <w:r w:rsidR="00894DC1">
        <w:t>ing</w:t>
      </w:r>
      <w:r w:rsidRPr="008C54A5">
        <w:t xml:space="preserve"> a Technical Paper or a Technical Report in</w:t>
      </w:r>
      <w:r w:rsidR="00894DC1">
        <w:t>to</w:t>
      </w:r>
      <w:r w:rsidRPr="008C54A5">
        <w:t xml:space="preserve"> a Recommendation.</w:t>
      </w:r>
    </w:p>
    <w:p w14:paraId="5C00F74B" w14:textId="1320104F" w:rsidR="003B6019" w:rsidRPr="008C54A5" w:rsidRDefault="003B6019" w:rsidP="003B6019">
      <w:pPr>
        <w:pStyle w:val="Note"/>
      </w:pPr>
      <w:r w:rsidRPr="008C54A5">
        <w:t>NOTE</w:t>
      </w:r>
      <w:r w:rsidR="000C08BE">
        <w:t> </w:t>
      </w:r>
      <w:r w:rsidRPr="008C54A5">
        <w:t>2</w:t>
      </w:r>
      <w:r w:rsidR="000C08BE">
        <w:t> </w:t>
      </w:r>
      <w:r w:rsidRPr="008C54A5">
        <w:t>–</w:t>
      </w:r>
      <w:r w:rsidR="000C08BE">
        <w:t> </w:t>
      </w:r>
      <w:r w:rsidRPr="008C54A5">
        <w:t>When ITU-T SG17 work items are listed in temporary documents (agendas, reports, etc.) incubation work items may be identified with the symbol ** after their name.</w:t>
      </w:r>
    </w:p>
    <w:p w14:paraId="2C1BCE6A" w14:textId="3E0BAA44" w:rsidR="003B6019" w:rsidRPr="008C54A5" w:rsidRDefault="003B6019" w:rsidP="003B6019">
      <w:pPr>
        <w:pStyle w:val="Heading3"/>
      </w:pPr>
      <w:bookmarkStart w:id="110" w:name="_Toc49679496"/>
      <w:bookmarkStart w:id="111" w:name="_Toc159915884"/>
      <w:r w:rsidRPr="008C54A5">
        <w:t>6.3.2</w:t>
      </w:r>
      <w:r w:rsidRPr="008C54A5">
        <w:tab/>
        <w:t xml:space="preserve">Candidate incubation </w:t>
      </w:r>
      <w:r w:rsidR="00D72D06">
        <w:t>NWI</w:t>
      </w:r>
      <w:r w:rsidR="00894DC1">
        <w:t>s</w:t>
      </w:r>
      <w:bookmarkEnd w:id="110"/>
      <w:bookmarkEnd w:id="111"/>
    </w:p>
    <w:p w14:paraId="41CA8E00" w14:textId="1826ED95" w:rsidR="003B6019" w:rsidRPr="008C54A5" w:rsidRDefault="003B6019" w:rsidP="003B6019">
      <w:r w:rsidRPr="008C54A5">
        <w:t xml:space="preserve">A candidate </w:t>
      </w:r>
      <w:r w:rsidR="00894DC1">
        <w:t>NWI</w:t>
      </w:r>
      <w:r w:rsidRPr="008C54A5">
        <w:t xml:space="preserve"> is one that is difficult to allocate to a specific question. Table 1 lists some reasons that would justify sending </w:t>
      </w:r>
      <w:r w:rsidR="00894DC1">
        <w:t>an NWI</w:t>
      </w:r>
      <w:r w:rsidRPr="008C54A5">
        <w:t xml:space="preserve"> into incubation and provide</w:t>
      </w:r>
      <w:r w:rsidR="00894DC1">
        <w:t>s</w:t>
      </w:r>
      <w:r w:rsidRPr="008C54A5">
        <w:t xml:space="preserve"> an associated example.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4"/>
      </w:tblGrid>
      <w:tr w:rsidR="009D72DD" w:rsidRPr="008C54A5" w14:paraId="05474DC3" w14:textId="77777777" w:rsidTr="009D72DD">
        <w:trPr>
          <w:tblHeader/>
          <w:jc w:val="center"/>
        </w:trPr>
        <w:tc>
          <w:tcPr>
            <w:tcW w:w="9639" w:type="dxa"/>
            <w:gridSpan w:val="2"/>
            <w:tcBorders>
              <w:top w:val="nil"/>
              <w:left w:val="nil"/>
              <w:bottom w:val="single" w:sz="4" w:space="0" w:color="auto"/>
              <w:right w:val="nil"/>
            </w:tcBorders>
            <w:shd w:val="clear" w:color="auto" w:fill="auto"/>
            <w:vAlign w:val="center"/>
          </w:tcPr>
          <w:p w14:paraId="71EBFC9F" w14:textId="6057F80E" w:rsidR="009D72DD" w:rsidRPr="008C54A5" w:rsidRDefault="009D72DD" w:rsidP="009D72DD">
            <w:pPr>
              <w:pStyle w:val="TableNoTitle0"/>
            </w:pPr>
            <w:bookmarkStart w:id="112" w:name="_Toc49679526"/>
            <w:bookmarkStart w:id="113" w:name="_Hlk61610799"/>
            <w:r w:rsidRPr="008C54A5">
              <w:t xml:space="preserve">Table 1 – Examples of potential </w:t>
            </w:r>
            <w:r>
              <w:t>NWIs</w:t>
            </w:r>
            <w:r w:rsidRPr="008C54A5">
              <w:t xml:space="preserve"> candidate for incubation</w:t>
            </w:r>
            <w:bookmarkEnd w:id="112"/>
          </w:p>
        </w:tc>
      </w:tr>
      <w:bookmarkEnd w:id="113"/>
      <w:tr w:rsidR="003B6019" w:rsidRPr="008C54A5" w14:paraId="26C6CD1C" w14:textId="77777777" w:rsidTr="009D72DD">
        <w:trPr>
          <w:tblHeader/>
          <w:jc w:val="center"/>
        </w:trPr>
        <w:tc>
          <w:tcPr>
            <w:tcW w:w="5245" w:type="dxa"/>
            <w:tcBorders>
              <w:top w:val="single" w:sz="4" w:space="0" w:color="auto"/>
            </w:tcBorders>
            <w:shd w:val="clear" w:color="auto" w:fill="auto"/>
            <w:vAlign w:val="center"/>
          </w:tcPr>
          <w:p w14:paraId="7D602C17" w14:textId="77777777" w:rsidR="003B6019" w:rsidRPr="008C54A5" w:rsidRDefault="003B6019" w:rsidP="009D72DD">
            <w:pPr>
              <w:pStyle w:val="Tablehead"/>
              <w:jc w:val="left"/>
            </w:pPr>
            <w:r w:rsidRPr="008C54A5">
              <w:t>Reason</w:t>
            </w:r>
          </w:p>
        </w:tc>
        <w:tc>
          <w:tcPr>
            <w:tcW w:w="4394" w:type="dxa"/>
            <w:tcBorders>
              <w:top w:val="single" w:sz="4" w:space="0" w:color="auto"/>
            </w:tcBorders>
            <w:shd w:val="clear" w:color="auto" w:fill="auto"/>
            <w:vAlign w:val="center"/>
          </w:tcPr>
          <w:p w14:paraId="6D887393" w14:textId="77777777" w:rsidR="003B6019" w:rsidRPr="008C54A5" w:rsidRDefault="003B6019" w:rsidP="00087537">
            <w:pPr>
              <w:pStyle w:val="Tablehead"/>
            </w:pPr>
            <w:r w:rsidRPr="008C54A5">
              <w:t>Example of a potential new work item topic that would fall in the category</w:t>
            </w:r>
          </w:p>
        </w:tc>
      </w:tr>
      <w:tr w:rsidR="003B6019" w:rsidRPr="008C54A5" w14:paraId="23898277" w14:textId="77777777" w:rsidTr="009D72DD">
        <w:trPr>
          <w:jc w:val="center"/>
        </w:trPr>
        <w:tc>
          <w:tcPr>
            <w:tcW w:w="5245" w:type="dxa"/>
          </w:tcPr>
          <w:p w14:paraId="33B764A5" w14:textId="4BF93233" w:rsidR="003B6019" w:rsidRPr="008C54A5" w:rsidRDefault="00894DC1" w:rsidP="00087537">
            <w:pPr>
              <w:pStyle w:val="Tabletext"/>
            </w:pPr>
            <w:r>
              <w:t xml:space="preserve">The </w:t>
            </w:r>
            <w:r w:rsidR="003B6019" w:rsidRPr="008C54A5">
              <w:t>Question</w:t>
            </w:r>
            <w:r w:rsidR="006D5668">
              <w:t>'</w:t>
            </w:r>
            <w:r w:rsidR="003B6019" w:rsidRPr="008C54A5">
              <w:t>s mandate does not cover the topic exactly</w:t>
            </w:r>
          </w:p>
        </w:tc>
        <w:tc>
          <w:tcPr>
            <w:tcW w:w="4394" w:type="dxa"/>
          </w:tcPr>
          <w:p w14:paraId="1D9CCDA2" w14:textId="051739D4" w:rsidR="003B6019" w:rsidRPr="008C54A5" w:rsidRDefault="003B6019" w:rsidP="00087537">
            <w:pPr>
              <w:pStyle w:val="Tabletext"/>
            </w:pPr>
            <w:r w:rsidRPr="008C54A5">
              <w:t>A</w:t>
            </w:r>
            <w:r w:rsidR="00D72D06">
              <w:t>I</w:t>
            </w:r>
          </w:p>
        </w:tc>
      </w:tr>
      <w:tr w:rsidR="003B6019" w:rsidRPr="008C54A5" w14:paraId="02696547" w14:textId="77777777" w:rsidTr="009D72DD">
        <w:trPr>
          <w:jc w:val="center"/>
        </w:trPr>
        <w:tc>
          <w:tcPr>
            <w:tcW w:w="5245" w:type="dxa"/>
          </w:tcPr>
          <w:p w14:paraId="6D5ED510" w14:textId="6C120176" w:rsidR="003B6019" w:rsidRPr="008C54A5" w:rsidRDefault="00894DC1" w:rsidP="00087537">
            <w:pPr>
              <w:pStyle w:val="Tabletext"/>
            </w:pPr>
            <w:r>
              <w:t xml:space="preserve">The </w:t>
            </w:r>
            <w:r w:rsidR="003B6019" w:rsidRPr="008C54A5">
              <w:t>Question</w:t>
            </w:r>
            <w:r w:rsidR="006D5668">
              <w:t>'</w:t>
            </w:r>
            <w:r w:rsidR="003B6019" w:rsidRPr="008C54A5">
              <w:t>s mandate is too restrictive for the topic</w:t>
            </w:r>
          </w:p>
        </w:tc>
        <w:tc>
          <w:tcPr>
            <w:tcW w:w="4394" w:type="dxa"/>
          </w:tcPr>
          <w:p w14:paraId="6A20ABBD" w14:textId="77777777" w:rsidR="003B6019" w:rsidRPr="008C54A5" w:rsidRDefault="003B6019" w:rsidP="00087537">
            <w:pPr>
              <w:pStyle w:val="Tabletext"/>
            </w:pPr>
            <w:r w:rsidRPr="008C54A5">
              <w:t>Q8 does not cover big data</w:t>
            </w:r>
          </w:p>
        </w:tc>
      </w:tr>
      <w:tr w:rsidR="003B6019" w:rsidRPr="008C54A5" w14:paraId="4E4391DB" w14:textId="77777777" w:rsidTr="009D72DD">
        <w:trPr>
          <w:jc w:val="center"/>
        </w:trPr>
        <w:tc>
          <w:tcPr>
            <w:tcW w:w="5245" w:type="dxa"/>
          </w:tcPr>
          <w:p w14:paraId="205F12B0" w14:textId="09CF0E8C" w:rsidR="003B6019" w:rsidRPr="008C54A5" w:rsidRDefault="00894DC1" w:rsidP="00087537">
            <w:pPr>
              <w:pStyle w:val="Tabletext"/>
              <w:rPr>
                <w:highlight w:val="yellow"/>
              </w:rPr>
            </w:pPr>
            <w:r>
              <w:t xml:space="preserve">The </w:t>
            </w:r>
            <w:r w:rsidR="003B6019" w:rsidRPr="008C54A5">
              <w:t>Question</w:t>
            </w:r>
            <w:r w:rsidR="006D5668">
              <w:t>'</w:t>
            </w:r>
            <w:r w:rsidR="003B6019" w:rsidRPr="008C54A5">
              <w:t>s mandate has a dependency with ISO/IEC that may forbid the scope of the contribution</w:t>
            </w:r>
          </w:p>
        </w:tc>
        <w:tc>
          <w:tcPr>
            <w:tcW w:w="4394" w:type="dxa"/>
          </w:tcPr>
          <w:p w14:paraId="7A5C9EC3" w14:textId="676DBBF1" w:rsidR="003B6019" w:rsidRPr="008C54A5" w:rsidRDefault="003B6019" w:rsidP="00087537">
            <w:pPr>
              <w:pStyle w:val="Tabletext"/>
            </w:pPr>
            <w:r w:rsidRPr="008C54A5">
              <w:t>Q3 has specific agreements with ISO that may limit what it can cover</w:t>
            </w:r>
          </w:p>
        </w:tc>
      </w:tr>
      <w:tr w:rsidR="003B6019" w:rsidRPr="008C54A5" w14:paraId="75A03504" w14:textId="77777777" w:rsidTr="009D72DD">
        <w:trPr>
          <w:jc w:val="center"/>
        </w:trPr>
        <w:tc>
          <w:tcPr>
            <w:tcW w:w="5245" w:type="dxa"/>
          </w:tcPr>
          <w:p w14:paraId="113F5182" w14:textId="1AD312F2" w:rsidR="003B6019" w:rsidRPr="008C54A5" w:rsidRDefault="003B6019" w:rsidP="00087537">
            <w:pPr>
              <w:pStyle w:val="Tabletext"/>
            </w:pPr>
            <w:r w:rsidRPr="008C54A5">
              <w:t xml:space="preserve">ITU mandate that may forbid the topic e.g., PP Resolution 130 </w:t>
            </w:r>
            <w:r w:rsidR="000764AC" w:rsidRPr="008C54A5">
              <w:rPr>
                <w:i/>
                <w:iCs/>
              </w:rPr>
              <w:t>r</w:t>
            </w:r>
            <w:r w:rsidRPr="008C54A5">
              <w:rPr>
                <w:i/>
                <w:iCs/>
              </w:rPr>
              <w:t>esolve</w:t>
            </w:r>
            <w:r w:rsidRPr="008C54A5">
              <w:t xml:space="preserve"> 5.</w:t>
            </w:r>
          </w:p>
        </w:tc>
        <w:tc>
          <w:tcPr>
            <w:tcW w:w="4394" w:type="dxa"/>
          </w:tcPr>
          <w:p w14:paraId="45269EA0" w14:textId="77777777" w:rsidR="003B6019" w:rsidRPr="008C54A5" w:rsidRDefault="003B6019" w:rsidP="00087537">
            <w:pPr>
              <w:pStyle w:val="Tabletext"/>
            </w:pPr>
            <w:r w:rsidRPr="008C54A5">
              <w:t xml:space="preserve">Ad spam is at the edge of security and content </w:t>
            </w:r>
          </w:p>
        </w:tc>
      </w:tr>
      <w:tr w:rsidR="003B6019" w:rsidRPr="008C54A5" w14:paraId="4C5E7BFF" w14:textId="77777777" w:rsidTr="009D72DD">
        <w:trPr>
          <w:jc w:val="center"/>
        </w:trPr>
        <w:tc>
          <w:tcPr>
            <w:tcW w:w="5245" w:type="dxa"/>
          </w:tcPr>
          <w:p w14:paraId="1E1ED2F1" w14:textId="0052DEA6" w:rsidR="003B6019" w:rsidRPr="008C54A5" w:rsidRDefault="003B6019" w:rsidP="00087537">
            <w:pPr>
              <w:pStyle w:val="Tabletext"/>
            </w:pPr>
            <w:r w:rsidRPr="008C54A5">
              <w:t>The topic can fit into multiple questions because the topic was never properly recognized</w:t>
            </w:r>
            <w:r w:rsidR="00894DC1">
              <w:t xml:space="preserve"> or</w:t>
            </w:r>
            <w:r w:rsidRPr="008C54A5">
              <w:t xml:space="preserve"> positioned in SG17</w:t>
            </w:r>
            <w:r w:rsidR="001C73C5">
              <w:t xml:space="preserve"> or</w:t>
            </w:r>
            <w:r w:rsidRPr="008C54A5">
              <w:t xml:space="preserve"> because there are overlaps between questions and membership wants to decrease the proliferation of joint meetings.</w:t>
            </w:r>
          </w:p>
        </w:tc>
        <w:tc>
          <w:tcPr>
            <w:tcW w:w="4394" w:type="dxa"/>
          </w:tcPr>
          <w:p w14:paraId="1F8F1E07" w14:textId="77777777" w:rsidR="003B6019" w:rsidRPr="008C54A5" w:rsidRDefault="003B6019" w:rsidP="00087537">
            <w:pPr>
              <w:pStyle w:val="Tabletext"/>
            </w:pPr>
            <w:r w:rsidRPr="008C54A5">
              <w:t>Big data appeared in Q2, Q7, Q8?</w:t>
            </w:r>
          </w:p>
          <w:p w14:paraId="507FA80B" w14:textId="77777777" w:rsidR="003B6019" w:rsidRPr="008C54A5" w:rsidRDefault="003B6019" w:rsidP="00087537">
            <w:pPr>
              <w:pStyle w:val="Tabletext"/>
            </w:pPr>
            <w:r w:rsidRPr="008C54A5">
              <w:t>Should SDN/NFV be paired with Q6 or Q8?</w:t>
            </w:r>
          </w:p>
        </w:tc>
      </w:tr>
      <w:tr w:rsidR="003B6019" w:rsidRPr="008C54A5" w14:paraId="226D92BF" w14:textId="77777777" w:rsidTr="009D72DD">
        <w:trPr>
          <w:jc w:val="center"/>
        </w:trPr>
        <w:tc>
          <w:tcPr>
            <w:tcW w:w="5245" w:type="dxa"/>
          </w:tcPr>
          <w:p w14:paraId="5FC7C2D9" w14:textId="77777777" w:rsidR="003B6019" w:rsidRPr="008C54A5" w:rsidRDefault="003B6019" w:rsidP="00087537">
            <w:pPr>
              <w:pStyle w:val="Tabletext"/>
            </w:pPr>
            <w:r w:rsidRPr="008C54A5">
              <w:t>The topic can exist in the general question mandate, but the real meaning of the contribution shows a possible misalignment</w:t>
            </w:r>
          </w:p>
        </w:tc>
        <w:tc>
          <w:tcPr>
            <w:tcW w:w="4394" w:type="dxa"/>
          </w:tcPr>
          <w:p w14:paraId="0D8AD72D" w14:textId="77777777" w:rsidR="003B6019" w:rsidRPr="008C54A5" w:rsidRDefault="003B6019" w:rsidP="00087537">
            <w:pPr>
              <w:pStyle w:val="Tabletext"/>
            </w:pPr>
            <w:r w:rsidRPr="008C54A5">
              <w:t>Relates to the allocation of KT quantum work item. Were the right reasons really considered to put it in Q2? Should it be more explicit about the architecture implications regarding middleboxes first?</w:t>
            </w:r>
          </w:p>
        </w:tc>
      </w:tr>
    </w:tbl>
    <w:p w14:paraId="60A3621B" w14:textId="7D5A8A85" w:rsidR="003B6019" w:rsidRPr="008C54A5" w:rsidRDefault="003B6019" w:rsidP="003B6019">
      <w:pPr>
        <w:pStyle w:val="Heading3"/>
      </w:pPr>
      <w:bookmarkStart w:id="114" w:name="_Toc49679497"/>
      <w:bookmarkStart w:id="115" w:name="_Toc159915885"/>
      <w:r w:rsidRPr="008C54A5">
        <w:t>6.3.3</w:t>
      </w:r>
      <w:r w:rsidRPr="008C54A5">
        <w:tab/>
        <w:t xml:space="preserve">Allocation criteria for candidate incubation </w:t>
      </w:r>
      <w:r w:rsidR="00D72D06">
        <w:t>NWI</w:t>
      </w:r>
      <w:r w:rsidR="00894DC1">
        <w:t>s</w:t>
      </w:r>
      <w:bookmarkEnd w:id="114"/>
      <w:bookmarkEnd w:id="115"/>
    </w:p>
    <w:p w14:paraId="76F792E7" w14:textId="5D9905BC" w:rsidR="003B6019" w:rsidRPr="008C54A5" w:rsidRDefault="003B6019" w:rsidP="003B6019">
      <w:r w:rsidRPr="008C54A5">
        <w:t xml:space="preserve">Table 2 lists the criteria to allocate </w:t>
      </w:r>
      <w:r w:rsidR="00D72D06">
        <w:t>NWI</w:t>
      </w:r>
      <w:r w:rsidR="00894DC1">
        <w:t>s</w:t>
      </w:r>
      <w:r w:rsidRPr="008C54A5">
        <w:t xml:space="preserve"> as candidate incubation </w:t>
      </w:r>
      <w:r w:rsidR="00D72D06">
        <w:t>NWI</w:t>
      </w:r>
      <w:r w:rsidR="00894DC1">
        <w:t>s</w:t>
      </w:r>
      <w:r w:rsidRPr="008C54A5">
        <w:t>.</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2355"/>
        <w:gridCol w:w="8"/>
        <w:gridCol w:w="2567"/>
        <w:gridCol w:w="8"/>
        <w:gridCol w:w="2291"/>
        <w:gridCol w:w="8"/>
      </w:tblGrid>
      <w:tr w:rsidR="003B6019" w:rsidRPr="008C54A5" w14:paraId="26EFA230" w14:textId="77777777" w:rsidTr="009D72DD">
        <w:trPr>
          <w:gridAfter w:val="1"/>
          <w:wAfter w:w="8" w:type="dxa"/>
          <w:tblHeader/>
          <w:jc w:val="center"/>
        </w:trPr>
        <w:tc>
          <w:tcPr>
            <w:tcW w:w="9639" w:type="dxa"/>
            <w:gridSpan w:val="7"/>
            <w:tcBorders>
              <w:top w:val="nil"/>
              <w:left w:val="nil"/>
              <w:right w:val="nil"/>
            </w:tcBorders>
            <w:shd w:val="clear" w:color="auto" w:fill="auto"/>
          </w:tcPr>
          <w:p w14:paraId="12CB93BE" w14:textId="6F7655F1" w:rsidR="003B6019" w:rsidRPr="008C54A5" w:rsidRDefault="003B6019" w:rsidP="00087537">
            <w:pPr>
              <w:pStyle w:val="TableNoTitle0"/>
              <w:rPr>
                <w:sz w:val="16"/>
                <w:szCs w:val="16"/>
              </w:rPr>
            </w:pPr>
            <w:bookmarkStart w:id="116" w:name="_Toc49679527"/>
            <w:r w:rsidRPr="008C54A5">
              <w:t xml:space="preserve">Table 2 – Allocation criteria for candidate incubation </w:t>
            </w:r>
            <w:r w:rsidR="00D72D06">
              <w:t>NWI</w:t>
            </w:r>
            <w:r w:rsidR="00894DC1">
              <w:t>s</w:t>
            </w:r>
            <w:bookmarkEnd w:id="116"/>
          </w:p>
        </w:tc>
      </w:tr>
      <w:tr w:rsidR="003B6019" w:rsidRPr="008C54A5" w14:paraId="7E738E04" w14:textId="77777777" w:rsidTr="00087537">
        <w:trPr>
          <w:gridAfter w:val="1"/>
          <w:wAfter w:w="8" w:type="dxa"/>
          <w:tblHeader/>
          <w:jc w:val="center"/>
        </w:trPr>
        <w:tc>
          <w:tcPr>
            <w:tcW w:w="993" w:type="dxa"/>
            <w:shd w:val="clear" w:color="auto" w:fill="auto"/>
          </w:tcPr>
          <w:p w14:paraId="522DCDD3" w14:textId="77777777" w:rsidR="003B6019" w:rsidRPr="008C54A5" w:rsidRDefault="003B6019" w:rsidP="00087537">
            <w:pPr>
              <w:pStyle w:val="Tablehead"/>
              <w:rPr>
                <w:sz w:val="18"/>
                <w:szCs w:val="18"/>
              </w:rPr>
            </w:pPr>
            <w:r w:rsidRPr="008C54A5">
              <w:rPr>
                <w:sz w:val="18"/>
                <w:szCs w:val="18"/>
              </w:rPr>
              <w:t>Criteria</w:t>
            </w:r>
          </w:p>
        </w:tc>
        <w:tc>
          <w:tcPr>
            <w:tcW w:w="1417" w:type="dxa"/>
            <w:shd w:val="clear" w:color="auto" w:fill="auto"/>
          </w:tcPr>
          <w:p w14:paraId="423DEEF2" w14:textId="77777777" w:rsidR="003B6019" w:rsidRPr="008C54A5" w:rsidRDefault="003B6019" w:rsidP="00087537">
            <w:pPr>
              <w:pStyle w:val="Tablehead"/>
              <w:rPr>
                <w:sz w:val="18"/>
                <w:szCs w:val="18"/>
              </w:rPr>
            </w:pPr>
            <w:r w:rsidRPr="008C54A5">
              <w:rPr>
                <w:sz w:val="18"/>
                <w:szCs w:val="18"/>
              </w:rPr>
              <w:t>Category</w:t>
            </w:r>
          </w:p>
        </w:tc>
        <w:tc>
          <w:tcPr>
            <w:tcW w:w="2355" w:type="dxa"/>
            <w:shd w:val="clear" w:color="auto" w:fill="auto"/>
          </w:tcPr>
          <w:p w14:paraId="5D0484D7" w14:textId="77777777" w:rsidR="003B6019" w:rsidRPr="008C54A5" w:rsidRDefault="003B6019" w:rsidP="00087537">
            <w:pPr>
              <w:pStyle w:val="Tablehead"/>
              <w:rPr>
                <w:sz w:val="18"/>
                <w:szCs w:val="18"/>
              </w:rPr>
            </w:pPr>
            <w:r w:rsidRPr="008C54A5">
              <w:rPr>
                <w:sz w:val="18"/>
                <w:szCs w:val="18"/>
              </w:rPr>
              <w:t>Description</w:t>
            </w:r>
          </w:p>
        </w:tc>
        <w:tc>
          <w:tcPr>
            <w:tcW w:w="2575" w:type="dxa"/>
            <w:gridSpan w:val="2"/>
            <w:shd w:val="clear" w:color="auto" w:fill="auto"/>
          </w:tcPr>
          <w:p w14:paraId="11691E86" w14:textId="77777777" w:rsidR="003B6019" w:rsidRPr="008C54A5" w:rsidRDefault="003B6019" w:rsidP="00087537">
            <w:pPr>
              <w:pStyle w:val="Tablehead"/>
              <w:rPr>
                <w:sz w:val="18"/>
                <w:szCs w:val="18"/>
              </w:rPr>
            </w:pPr>
            <w:r w:rsidRPr="008C54A5">
              <w:rPr>
                <w:sz w:val="18"/>
                <w:szCs w:val="18"/>
              </w:rPr>
              <w:t>Comments</w:t>
            </w:r>
          </w:p>
        </w:tc>
        <w:tc>
          <w:tcPr>
            <w:tcW w:w="2299" w:type="dxa"/>
            <w:gridSpan w:val="2"/>
            <w:shd w:val="clear" w:color="auto" w:fill="auto"/>
          </w:tcPr>
          <w:p w14:paraId="08C4BC2C" w14:textId="77777777" w:rsidR="003B6019" w:rsidRPr="008C54A5" w:rsidRDefault="003B6019" w:rsidP="00087537">
            <w:pPr>
              <w:pStyle w:val="Tablehead"/>
              <w:rPr>
                <w:sz w:val="18"/>
                <w:szCs w:val="18"/>
              </w:rPr>
            </w:pPr>
            <w:r w:rsidRPr="008C54A5">
              <w:rPr>
                <w:sz w:val="18"/>
                <w:szCs w:val="18"/>
              </w:rPr>
              <w:t>Example</w:t>
            </w:r>
          </w:p>
        </w:tc>
      </w:tr>
      <w:tr w:rsidR="003B6019" w:rsidRPr="008C54A5" w14:paraId="70D0F316" w14:textId="77777777" w:rsidTr="00087537">
        <w:trPr>
          <w:trHeight w:val="58"/>
          <w:jc w:val="center"/>
        </w:trPr>
        <w:tc>
          <w:tcPr>
            <w:tcW w:w="993" w:type="dxa"/>
          </w:tcPr>
          <w:p w14:paraId="321C2BD6" w14:textId="77777777" w:rsidR="003B6019" w:rsidRPr="008C54A5" w:rsidRDefault="003B6019" w:rsidP="00087537">
            <w:pPr>
              <w:pStyle w:val="Tabletext"/>
              <w:keepNext/>
              <w:keepLines/>
              <w:rPr>
                <w:sz w:val="21"/>
                <w:szCs w:val="21"/>
              </w:rPr>
            </w:pPr>
            <w:r w:rsidRPr="008C54A5">
              <w:rPr>
                <w:sz w:val="21"/>
                <w:szCs w:val="21"/>
              </w:rPr>
              <w:t>C1</w:t>
            </w:r>
          </w:p>
        </w:tc>
        <w:tc>
          <w:tcPr>
            <w:tcW w:w="1417" w:type="dxa"/>
          </w:tcPr>
          <w:p w14:paraId="7DCA784C" w14:textId="77777777" w:rsidR="003B6019" w:rsidRPr="008C54A5" w:rsidRDefault="003B6019" w:rsidP="00087537">
            <w:pPr>
              <w:pStyle w:val="Tabletext"/>
              <w:keepNext/>
              <w:keepLines/>
              <w:rPr>
                <w:sz w:val="21"/>
                <w:szCs w:val="21"/>
              </w:rPr>
            </w:pPr>
            <w:r w:rsidRPr="008C54A5">
              <w:rPr>
                <w:sz w:val="21"/>
                <w:szCs w:val="21"/>
              </w:rPr>
              <w:t>Innovation</w:t>
            </w:r>
          </w:p>
        </w:tc>
        <w:tc>
          <w:tcPr>
            <w:tcW w:w="2363" w:type="dxa"/>
            <w:gridSpan w:val="2"/>
          </w:tcPr>
          <w:p w14:paraId="5B75E75B" w14:textId="758CF3D4" w:rsidR="003B6019" w:rsidRPr="008C54A5" w:rsidRDefault="003B6019" w:rsidP="00087537">
            <w:pPr>
              <w:pStyle w:val="Tabletext"/>
              <w:keepNext/>
              <w:keepLines/>
              <w:rPr>
                <w:sz w:val="21"/>
                <w:szCs w:val="21"/>
              </w:rPr>
            </w:pPr>
            <w:r w:rsidRPr="008C54A5">
              <w:rPr>
                <w:sz w:val="21"/>
                <w:szCs w:val="21"/>
              </w:rPr>
              <w:t xml:space="preserve">ITU-T SG17 members agree that there are no exact Questions that can host this new work item or the contributor allocated this NWI to ALL/17 or to the incubation question. </w:t>
            </w:r>
          </w:p>
        </w:tc>
        <w:tc>
          <w:tcPr>
            <w:tcW w:w="2575" w:type="dxa"/>
            <w:gridSpan w:val="2"/>
          </w:tcPr>
          <w:p w14:paraId="55396FB0" w14:textId="3516AE4B" w:rsidR="003B6019" w:rsidRPr="008C54A5" w:rsidRDefault="003B6019" w:rsidP="00087537">
            <w:pPr>
              <w:pStyle w:val="Tabletext"/>
              <w:keepNext/>
              <w:keepLines/>
              <w:rPr>
                <w:sz w:val="21"/>
                <w:szCs w:val="21"/>
              </w:rPr>
            </w:pPr>
            <w:r w:rsidRPr="008C54A5">
              <w:rPr>
                <w:sz w:val="21"/>
                <w:szCs w:val="21"/>
              </w:rPr>
              <w:t xml:space="preserve">This happens when the topic covered is about a </w:t>
            </w:r>
            <w:r w:rsidR="00894DC1">
              <w:rPr>
                <w:sz w:val="21"/>
                <w:szCs w:val="21"/>
              </w:rPr>
              <w:t>'</w:t>
            </w:r>
            <w:r w:rsidRPr="008C54A5">
              <w:rPr>
                <w:sz w:val="21"/>
                <w:szCs w:val="21"/>
              </w:rPr>
              <w:t>next big thing</w:t>
            </w:r>
            <w:r w:rsidR="00894DC1">
              <w:rPr>
                <w:sz w:val="21"/>
                <w:szCs w:val="21"/>
              </w:rPr>
              <w:t>'</w:t>
            </w:r>
            <w:r w:rsidRPr="008C54A5">
              <w:rPr>
                <w:sz w:val="21"/>
                <w:szCs w:val="21"/>
              </w:rPr>
              <w:t xml:space="preserve"> which is not yet covered by any Question. The contributor wants to bring innovative subject to SG17. This is one of the main reasons why the incubation process </w:t>
            </w:r>
            <w:r w:rsidR="00894DC1">
              <w:rPr>
                <w:sz w:val="21"/>
                <w:szCs w:val="21"/>
              </w:rPr>
              <w:t>has been</w:t>
            </w:r>
            <w:r w:rsidRPr="008C54A5">
              <w:rPr>
                <w:sz w:val="21"/>
                <w:szCs w:val="21"/>
              </w:rPr>
              <w:t xml:space="preserve"> created. Allow innovation to come in and later, when the structure is fixed, move the work item to its final Question.</w:t>
            </w:r>
          </w:p>
        </w:tc>
        <w:tc>
          <w:tcPr>
            <w:tcW w:w="2299" w:type="dxa"/>
            <w:gridSpan w:val="2"/>
          </w:tcPr>
          <w:p w14:paraId="177EA6C8" w14:textId="4229545A" w:rsidR="003B6019" w:rsidRPr="008C54A5" w:rsidRDefault="003B6019" w:rsidP="00087537">
            <w:pPr>
              <w:pStyle w:val="Tabletext"/>
              <w:keepNext/>
              <w:keepLines/>
              <w:rPr>
                <w:sz w:val="21"/>
                <w:szCs w:val="21"/>
              </w:rPr>
            </w:pPr>
            <w:r w:rsidRPr="008C54A5">
              <w:rPr>
                <w:sz w:val="21"/>
                <w:szCs w:val="21"/>
              </w:rPr>
              <w:t xml:space="preserve">New work item is about </w:t>
            </w:r>
            <w:r w:rsidR="00D72D06">
              <w:rPr>
                <w:sz w:val="21"/>
                <w:szCs w:val="21"/>
              </w:rPr>
              <w:t>AI</w:t>
            </w:r>
            <w:r w:rsidRPr="008C54A5">
              <w:rPr>
                <w:sz w:val="21"/>
                <w:szCs w:val="21"/>
              </w:rPr>
              <w:t>, currently not covered by any Question of SG17.</w:t>
            </w:r>
          </w:p>
        </w:tc>
      </w:tr>
      <w:tr w:rsidR="003B6019" w:rsidRPr="008C54A5" w14:paraId="320F5AD4" w14:textId="77777777" w:rsidTr="00087537">
        <w:trPr>
          <w:gridAfter w:val="1"/>
          <w:wAfter w:w="8" w:type="dxa"/>
          <w:jc w:val="center"/>
        </w:trPr>
        <w:tc>
          <w:tcPr>
            <w:tcW w:w="993" w:type="dxa"/>
          </w:tcPr>
          <w:p w14:paraId="1B0A882F" w14:textId="77777777" w:rsidR="003B6019" w:rsidRPr="008C54A5" w:rsidRDefault="003B6019" w:rsidP="00087537">
            <w:pPr>
              <w:pStyle w:val="Tabletext"/>
              <w:rPr>
                <w:sz w:val="21"/>
                <w:szCs w:val="21"/>
              </w:rPr>
            </w:pPr>
            <w:r w:rsidRPr="008C54A5">
              <w:rPr>
                <w:sz w:val="21"/>
                <w:szCs w:val="21"/>
              </w:rPr>
              <w:t>C2</w:t>
            </w:r>
          </w:p>
        </w:tc>
        <w:tc>
          <w:tcPr>
            <w:tcW w:w="1417" w:type="dxa"/>
          </w:tcPr>
          <w:p w14:paraId="7E1729D8" w14:textId="4695EA1F" w:rsidR="003B6019" w:rsidRPr="008C54A5" w:rsidRDefault="003B6019" w:rsidP="00087537">
            <w:pPr>
              <w:pStyle w:val="Tabletext"/>
              <w:rPr>
                <w:sz w:val="21"/>
                <w:szCs w:val="21"/>
              </w:rPr>
            </w:pPr>
            <w:r w:rsidRPr="008C54A5">
              <w:rPr>
                <w:sz w:val="21"/>
                <w:szCs w:val="21"/>
              </w:rPr>
              <w:t xml:space="preserve">Too many target </w:t>
            </w:r>
            <w:r w:rsidR="0036584C">
              <w:rPr>
                <w:sz w:val="21"/>
                <w:szCs w:val="21"/>
              </w:rPr>
              <w:t>q</w:t>
            </w:r>
            <w:r w:rsidRPr="008C54A5">
              <w:rPr>
                <w:sz w:val="21"/>
                <w:szCs w:val="21"/>
              </w:rPr>
              <w:t>uestions</w:t>
            </w:r>
          </w:p>
        </w:tc>
        <w:tc>
          <w:tcPr>
            <w:tcW w:w="2355" w:type="dxa"/>
          </w:tcPr>
          <w:p w14:paraId="59AD3B34" w14:textId="0043708C" w:rsidR="003B6019" w:rsidRPr="008C54A5" w:rsidRDefault="003B6019" w:rsidP="00087537">
            <w:pPr>
              <w:pStyle w:val="Tabletext"/>
              <w:rPr>
                <w:sz w:val="21"/>
                <w:szCs w:val="21"/>
              </w:rPr>
            </w:pPr>
            <w:r w:rsidRPr="008C54A5">
              <w:rPr>
                <w:sz w:val="21"/>
                <w:szCs w:val="21"/>
              </w:rPr>
              <w:t xml:space="preserve">ITU-T SG17 members agree that there are multiple </w:t>
            </w:r>
            <w:r w:rsidR="0036584C">
              <w:rPr>
                <w:sz w:val="21"/>
                <w:szCs w:val="21"/>
              </w:rPr>
              <w:t>q</w:t>
            </w:r>
            <w:r w:rsidRPr="008C54A5">
              <w:rPr>
                <w:sz w:val="21"/>
                <w:szCs w:val="21"/>
              </w:rPr>
              <w:t>uestions that can host this new work item</w:t>
            </w:r>
          </w:p>
        </w:tc>
        <w:tc>
          <w:tcPr>
            <w:tcW w:w="2575" w:type="dxa"/>
            <w:gridSpan w:val="2"/>
          </w:tcPr>
          <w:p w14:paraId="65C51DEB" w14:textId="1AA37EA6" w:rsidR="003B6019" w:rsidRPr="008C54A5" w:rsidRDefault="003B6019" w:rsidP="00087537">
            <w:pPr>
              <w:pStyle w:val="Tabletext"/>
              <w:rPr>
                <w:sz w:val="21"/>
                <w:szCs w:val="21"/>
              </w:rPr>
            </w:pPr>
            <w:r w:rsidRPr="008C54A5">
              <w:rPr>
                <w:sz w:val="21"/>
                <w:szCs w:val="21"/>
              </w:rPr>
              <w:t xml:space="preserve">This happens when there are overlaps between Questions and it is difficult to agree what </w:t>
            </w:r>
            <w:r w:rsidR="00FD154F" w:rsidRPr="008C54A5">
              <w:rPr>
                <w:sz w:val="21"/>
                <w:szCs w:val="21"/>
              </w:rPr>
              <w:t>the right Question is</w:t>
            </w:r>
            <w:r w:rsidRPr="008C54A5">
              <w:rPr>
                <w:sz w:val="21"/>
                <w:szCs w:val="21"/>
              </w:rPr>
              <w:t xml:space="preserve">, probably because the Question text needs to be reviewed and there is a </w:t>
            </w:r>
            <w:r w:rsidR="006D5668">
              <w:rPr>
                <w:sz w:val="21"/>
                <w:szCs w:val="21"/>
              </w:rPr>
              <w:t>'</w:t>
            </w:r>
            <w:r w:rsidRPr="008C54A5">
              <w:rPr>
                <w:sz w:val="21"/>
                <w:szCs w:val="21"/>
              </w:rPr>
              <w:t>chicken and egg situation</w:t>
            </w:r>
            <w:r w:rsidR="006D5668">
              <w:rPr>
                <w:sz w:val="21"/>
                <w:szCs w:val="21"/>
              </w:rPr>
              <w:t>'</w:t>
            </w:r>
            <w:r w:rsidRPr="008C54A5">
              <w:rPr>
                <w:sz w:val="21"/>
                <w:szCs w:val="21"/>
              </w:rPr>
              <w:t xml:space="preserve"> by which this cannot be done yet (CG-XSS S2 or S3 steps not completed yet, TSAG did not approve, perhaps PP impacts, etc.)</w:t>
            </w:r>
          </w:p>
        </w:tc>
        <w:tc>
          <w:tcPr>
            <w:tcW w:w="2299" w:type="dxa"/>
            <w:gridSpan w:val="2"/>
          </w:tcPr>
          <w:p w14:paraId="5619AD04" w14:textId="5BE7E2AE" w:rsidR="003B6019" w:rsidRPr="008C54A5" w:rsidRDefault="00894DC1" w:rsidP="00087537">
            <w:pPr>
              <w:pStyle w:val="Tabletext"/>
              <w:rPr>
                <w:sz w:val="21"/>
                <w:szCs w:val="21"/>
              </w:rPr>
            </w:pPr>
            <w:r>
              <w:rPr>
                <w:sz w:val="21"/>
                <w:szCs w:val="21"/>
              </w:rPr>
              <w:t>This has</w:t>
            </w:r>
            <w:r w:rsidR="003B6019" w:rsidRPr="008C54A5">
              <w:rPr>
                <w:sz w:val="21"/>
                <w:szCs w:val="21"/>
              </w:rPr>
              <w:t xml:space="preserve"> already happened in the allocation of big data work items between Q2, Q7 and Q8 or SDN/NFV between Q6 and Q8, etc.</w:t>
            </w:r>
          </w:p>
        </w:tc>
      </w:tr>
      <w:tr w:rsidR="003B6019" w:rsidRPr="008C54A5" w14:paraId="29FF0989" w14:textId="77777777" w:rsidTr="00087537">
        <w:trPr>
          <w:gridAfter w:val="1"/>
          <w:wAfter w:w="8" w:type="dxa"/>
          <w:jc w:val="center"/>
        </w:trPr>
        <w:tc>
          <w:tcPr>
            <w:tcW w:w="993" w:type="dxa"/>
          </w:tcPr>
          <w:p w14:paraId="121C51D5" w14:textId="77777777" w:rsidR="003B6019" w:rsidRPr="008C54A5" w:rsidRDefault="003B6019" w:rsidP="00087537">
            <w:pPr>
              <w:pStyle w:val="Tabletext"/>
              <w:rPr>
                <w:sz w:val="21"/>
                <w:szCs w:val="21"/>
              </w:rPr>
            </w:pPr>
            <w:r w:rsidRPr="008C54A5">
              <w:rPr>
                <w:sz w:val="21"/>
                <w:szCs w:val="21"/>
              </w:rPr>
              <w:t>C3</w:t>
            </w:r>
          </w:p>
        </w:tc>
        <w:tc>
          <w:tcPr>
            <w:tcW w:w="1417" w:type="dxa"/>
          </w:tcPr>
          <w:p w14:paraId="637C118C" w14:textId="2F1C2AE5" w:rsidR="003B6019" w:rsidRPr="008C54A5" w:rsidRDefault="003B6019" w:rsidP="00087537">
            <w:pPr>
              <w:pStyle w:val="Tabletext"/>
              <w:rPr>
                <w:sz w:val="21"/>
                <w:szCs w:val="21"/>
              </w:rPr>
            </w:pPr>
            <w:r w:rsidRPr="008C54A5">
              <w:rPr>
                <w:sz w:val="21"/>
                <w:szCs w:val="21"/>
              </w:rPr>
              <w:t xml:space="preserve">Semantic </w:t>
            </w:r>
            <w:r w:rsidR="001C73C5">
              <w:rPr>
                <w:sz w:val="21"/>
                <w:szCs w:val="21"/>
              </w:rPr>
              <w:t>m</w:t>
            </w:r>
            <w:r w:rsidRPr="008C54A5">
              <w:rPr>
                <w:sz w:val="21"/>
                <w:szCs w:val="21"/>
              </w:rPr>
              <w:t>ismatch</w:t>
            </w:r>
          </w:p>
        </w:tc>
        <w:tc>
          <w:tcPr>
            <w:tcW w:w="2355" w:type="dxa"/>
          </w:tcPr>
          <w:p w14:paraId="29BA1867" w14:textId="66A66C6E" w:rsidR="003B6019" w:rsidRPr="008C54A5" w:rsidRDefault="003B6019" w:rsidP="00087537">
            <w:pPr>
              <w:pStyle w:val="Tabletext"/>
              <w:rPr>
                <w:sz w:val="21"/>
                <w:szCs w:val="21"/>
              </w:rPr>
            </w:pPr>
            <w:r w:rsidRPr="008C54A5">
              <w:rPr>
                <w:sz w:val="21"/>
                <w:szCs w:val="21"/>
              </w:rPr>
              <w:t>ITU-T SG17 members agree that the new work item is target</w:t>
            </w:r>
            <w:r w:rsidR="00894DC1">
              <w:rPr>
                <w:sz w:val="21"/>
                <w:szCs w:val="21"/>
              </w:rPr>
              <w:t>ing</w:t>
            </w:r>
            <w:r w:rsidRPr="008C54A5">
              <w:rPr>
                <w:sz w:val="21"/>
                <w:szCs w:val="21"/>
              </w:rPr>
              <w:t xml:space="preserve"> a Question but they have no consensus that the Question real semantic or capabilities match the NWI.</w:t>
            </w:r>
          </w:p>
        </w:tc>
        <w:tc>
          <w:tcPr>
            <w:tcW w:w="2575" w:type="dxa"/>
            <w:gridSpan w:val="2"/>
          </w:tcPr>
          <w:p w14:paraId="6346FA83" w14:textId="199A9E9E" w:rsidR="003B6019" w:rsidRPr="008C54A5" w:rsidRDefault="003B6019" w:rsidP="00087537">
            <w:pPr>
              <w:pStyle w:val="Tabletext"/>
              <w:rPr>
                <w:sz w:val="21"/>
                <w:szCs w:val="21"/>
              </w:rPr>
            </w:pPr>
            <w:r w:rsidRPr="008C54A5">
              <w:rPr>
                <w:sz w:val="21"/>
                <w:szCs w:val="21"/>
              </w:rPr>
              <w:t xml:space="preserve">This happens if a contributor specifies a Question but the topic of </w:t>
            </w:r>
            <w:r w:rsidR="00894DC1">
              <w:rPr>
                <w:sz w:val="21"/>
                <w:szCs w:val="21"/>
              </w:rPr>
              <w:t>the</w:t>
            </w:r>
            <w:r w:rsidR="00894DC1" w:rsidRPr="008C54A5">
              <w:rPr>
                <w:sz w:val="21"/>
                <w:szCs w:val="21"/>
              </w:rPr>
              <w:t xml:space="preserve"> </w:t>
            </w:r>
            <w:r w:rsidRPr="008C54A5">
              <w:rPr>
                <w:sz w:val="21"/>
                <w:szCs w:val="21"/>
              </w:rPr>
              <w:t>NWI is not yet covered by the Question by consensus and the future structure of the CG</w:t>
            </w:r>
            <w:r w:rsidRPr="008C54A5">
              <w:rPr>
                <w:sz w:val="21"/>
                <w:szCs w:val="21"/>
              </w:rPr>
              <w:noBreakHyphen/>
              <w:t>XSS might bring the topic to another Question in the future.</w:t>
            </w:r>
          </w:p>
        </w:tc>
        <w:tc>
          <w:tcPr>
            <w:tcW w:w="2299" w:type="dxa"/>
            <w:gridSpan w:val="2"/>
          </w:tcPr>
          <w:p w14:paraId="35055E4A" w14:textId="5BC3C107" w:rsidR="003B6019" w:rsidRPr="008C54A5" w:rsidRDefault="003B6019" w:rsidP="00087537">
            <w:pPr>
              <w:pStyle w:val="Tabletext"/>
              <w:rPr>
                <w:sz w:val="21"/>
                <w:szCs w:val="21"/>
              </w:rPr>
            </w:pPr>
            <w:r w:rsidRPr="008C54A5">
              <w:rPr>
                <w:sz w:val="21"/>
                <w:szCs w:val="21"/>
              </w:rPr>
              <w:t xml:space="preserve">In theory today Q8 does not cover big data and so </w:t>
            </w:r>
            <w:r w:rsidR="00D72D06">
              <w:rPr>
                <w:sz w:val="21"/>
                <w:szCs w:val="21"/>
              </w:rPr>
              <w:t>NWI</w:t>
            </w:r>
            <w:r w:rsidR="00894DC1">
              <w:rPr>
                <w:sz w:val="21"/>
                <w:szCs w:val="21"/>
              </w:rPr>
              <w:t>s</w:t>
            </w:r>
            <w:r w:rsidRPr="008C54A5">
              <w:rPr>
                <w:sz w:val="21"/>
                <w:szCs w:val="21"/>
              </w:rPr>
              <w:t xml:space="preserve"> that are about big data should be sent to the incubation process.</w:t>
            </w:r>
          </w:p>
        </w:tc>
      </w:tr>
      <w:tr w:rsidR="003B6019" w:rsidRPr="008C54A5" w14:paraId="240B7521" w14:textId="77777777" w:rsidTr="00087537">
        <w:trPr>
          <w:gridAfter w:val="1"/>
          <w:wAfter w:w="8" w:type="dxa"/>
          <w:jc w:val="center"/>
        </w:trPr>
        <w:tc>
          <w:tcPr>
            <w:tcW w:w="993" w:type="dxa"/>
          </w:tcPr>
          <w:p w14:paraId="381D9FA4" w14:textId="77777777" w:rsidR="003B6019" w:rsidRPr="008C54A5" w:rsidRDefault="003B6019" w:rsidP="009D72DD">
            <w:pPr>
              <w:pStyle w:val="Tabletext"/>
              <w:keepNext/>
              <w:keepLines/>
              <w:rPr>
                <w:sz w:val="21"/>
                <w:szCs w:val="21"/>
              </w:rPr>
            </w:pPr>
            <w:r w:rsidRPr="008C54A5">
              <w:rPr>
                <w:sz w:val="21"/>
                <w:szCs w:val="21"/>
              </w:rPr>
              <w:t>C4</w:t>
            </w:r>
          </w:p>
        </w:tc>
        <w:tc>
          <w:tcPr>
            <w:tcW w:w="1417" w:type="dxa"/>
          </w:tcPr>
          <w:p w14:paraId="63822C5F" w14:textId="77777777" w:rsidR="003B6019" w:rsidRPr="008C54A5" w:rsidRDefault="003B6019" w:rsidP="009D72DD">
            <w:pPr>
              <w:pStyle w:val="Tabletext"/>
              <w:keepNext/>
              <w:keepLines/>
              <w:rPr>
                <w:sz w:val="21"/>
                <w:szCs w:val="21"/>
              </w:rPr>
            </w:pPr>
            <w:r w:rsidRPr="008C54A5">
              <w:rPr>
                <w:sz w:val="21"/>
                <w:szCs w:val="21"/>
              </w:rPr>
              <w:t>SDO dependency</w:t>
            </w:r>
          </w:p>
        </w:tc>
        <w:tc>
          <w:tcPr>
            <w:tcW w:w="2355" w:type="dxa"/>
          </w:tcPr>
          <w:p w14:paraId="13ED1188" w14:textId="77777777" w:rsidR="003B6019" w:rsidRPr="008C54A5" w:rsidRDefault="003B6019" w:rsidP="009D72DD">
            <w:pPr>
              <w:pStyle w:val="Tabletext"/>
              <w:keepNext/>
              <w:keepLines/>
              <w:rPr>
                <w:sz w:val="21"/>
                <w:szCs w:val="21"/>
              </w:rPr>
            </w:pPr>
            <w:r w:rsidRPr="008C54A5">
              <w:rPr>
                <w:sz w:val="21"/>
                <w:szCs w:val="21"/>
              </w:rPr>
              <w:t>ITU-T SG17 members agree that the new work item has a dependency with ISO/IEC that temporarily forbids the scope of its contribution.</w:t>
            </w:r>
          </w:p>
        </w:tc>
        <w:tc>
          <w:tcPr>
            <w:tcW w:w="2575" w:type="dxa"/>
            <w:gridSpan w:val="2"/>
          </w:tcPr>
          <w:p w14:paraId="08C639CB" w14:textId="7C420D93" w:rsidR="003B6019" w:rsidRPr="008C54A5" w:rsidRDefault="003B6019" w:rsidP="009D72DD">
            <w:pPr>
              <w:pStyle w:val="Tabletext"/>
              <w:keepNext/>
              <w:keepLines/>
              <w:rPr>
                <w:sz w:val="21"/>
                <w:szCs w:val="21"/>
              </w:rPr>
            </w:pPr>
            <w:r w:rsidRPr="008C54A5">
              <w:rPr>
                <w:sz w:val="21"/>
                <w:szCs w:val="21"/>
              </w:rPr>
              <w:t xml:space="preserve">This happens when the contributor is unaware of the specific formal relationships between ITU and other SDOs, yet the NWI is </w:t>
            </w:r>
            <w:r w:rsidR="00FD154F" w:rsidRPr="008C54A5">
              <w:rPr>
                <w:sz w:val="21"/>
                <w:szCs w:val="21"/>
              </w:rPr>
              <w:t>valid,</w:t>
            </w:r>
            <w:r w:rsidRPr="008C54A5">
              <w:rPr>
                <w:sz w:val="21"/>
                <w:szCs w:val="21"/>
              </w:rPr>
              <w:t xml:space="preserve"> and it needs some cycles with the other SDO.</w:t>
            </w:r>
          </w:p>
        </w:tc>
        <w:tc>
          <w:tcPr>
            <w:tcW w:w="2299" w:type="dxa"/>
            <w:gridSpan w:val="2"/>
          </w:tcPr>
          <w:p w14:paraId="37A3DABE" w14:textId="77777777" w:rsidR="003B6019" w:rsidRPr="008C54A5" w:rsidRDefault="003B6019" w:rsidP="009D72DD">
            <w:pPr>
              <w:pStyle w:val="Tabletext"/>
              <w:keepNext/>
              <w:keepLines/>
              <w:rPr>
                <w:sz w:val="21"/>
                <w:szCs w:val="21"/>
              </w:rPr>
            </w:pPr>
            <w:r w:rsidRPr="008C54A5">
              <w:rPr>
                <w:sz w:val="21"/>
                <w:szCs w:val="21"/>
              </w:rPr>
              <w:t>Q3 has specific agreements with ISO that limit what it can cover.</w:t>
            </w:r>
          </w:p>
        </w:tc>
      </w:tr>
      <w:tr w:rsidR="003B6019" w:rsidRPr="008C54A5" w14:paraId="38B1F165" w14:textId="77777777" w:rsidTr="00087537">
        <w:trPr>
          <w:gridAfter w:val="1"/>
          <w:wAfter w:w="8" w:type="dxa"/>
          <w:jc w:val="center"/>
        </w:trPr>
        <w:tc>
          <w:tcPr>
            <w:tcW w:w="993" w:type="dxa"/>
          </w:tcPr>
          <w:p w14:paraId="66993F1D" w14:textId="77777777" w:rsidR="003B6019" w:rsidRPr="008C54A5" w:rsidRDefault="003B6019" w:rsidP="00087537">
            <w:pPr>
              <w:pStyle w:val="Tabletext"/>
              <w:rPr>
                <w:sz w:val="21"/>
                <w:szCs w:val="21"/>
              </w:rPr>
            </w:pPr>
            <w:r w:rsidRPr="008C54A5">
              <w:rPr>
                <w:sz w:val="21"/>
                <w:szCs w:val="21"/>
              </w:rPr>
              <w:t>C5</w:t>
            </w:r>
          </w:p>
        </w:tc>
        <w:tc>
          <w:tcPr>
            <w:tcW w:w="1417" w:type="dxa"/>
          </w:tcPr>
          <w:p w14:paraId="20172A5B" w14:textId="77777777" w:rsidR="003B6019" w:rsidRPr="008C54A5" w:rsidRDefault="003B6019" w:rsidP="00087537">
            <w:pPr>
              <w:pStyle w:val="Tabletext"/>
              <w:rPr>
                <w:sz w:val="21"/>
                <w:szCs w:val="21"/>
              </w:rPr>
            </w:pPr>
            <w:r w:rsidRPr="008C54A5">
              <w:rPr>
                <w:sz w:val="21"/>
                <w:szCs w:val="21"/>
              </w:rPr>
              <w:t>NWI semantic misalignment</w:t>
            </w:r>
          </w:p>
        </w:tc>
        <w:tc>
          <w:tcPr>
            <w:tcW w:w="2355" w:type="dxa"/>
          </w:tcPr>
          <w:p w14:paraId="33C0B156" w14:textId="05CBE7FD" w:rsidR="003B6019" w:rsidRPr="008C54A5" w:rsidRDefault="003B6019" w:rsidP="00087537">
            <w:pPr>
              <w:pStyle w:val="Tabletext"/>
              <w:rPr>
                <w:sz w:val="21"/>
                <w:szCs w:val="21"/>
              </w:rPr>
            </w:pPr>
            <w:r w:rsidRPr="008C54A5">
              <w:rPr>
                <w:sz w:val="21"/>
                <w:szCs w:val="21"/>
              </w:rPr>
              <w:t xml:space="preserve">ITU-T SG17 members has no consensus that the contributor provided a partial rationale for its new work item and a review of the full semantic of the NWI can allow its allocation in multiple Questions or to no Question because it is about a </w:t>
            </w:r>
            <w:r w:rsidR="00894DC1">
              <w:rPr>
                <w:sz w:val="21"/>
                <w:szCs w:val="21"/>
              </w:rPr>
              <w:t>'</w:t>
            </w:r>
            <w:r w:rsidRPr="008C54A5">
              <w:rPr>
                <w:sz w:val="21"/>
                <w:szCs w:val="21"/>
              </w:rPr>
              <w:t>next big thing</w:t>
            </w:r>
            <w:r w:rsidR="00894DC1">
              <w:rPr>
                <w:sz w:val="21"/>
                <w:szCs w:val="21"/>
              </w:rPr>
              <w:t>'</w:t>
            </w:r>
            <w:r w:rsidRPr="008C54A5">
              <w:rPr>
                <w:sz w:val="21"/>
                <w:szCs w:val="21"/>
              </w:rPr>
              <w:t>.</w:t>
            </w:r>
          </w:p>
        </w:tc>
        <w:tc>
          <w:tcPr>
            <w:tcW w:w="2575" w:type="dxa"/>
            <w:gridSpan w:val="2"/>
          </w:tcPr>
          <w:p w14:paraId="026006A3" w14:textId="5E5F9DFC" w:rsidR="003B6019" w:rsidRPr="008C54A5" w:rsidRDefault="003B6019" w:rsidP="00087537">
            <w:pPr>
              <w:pStyle w:val="Tabletext"/>
              <w:rPr>
                <w:sz w:val="21"/>
                <w:szCs w:val="21"/>
              </w:rPr>
            </w:pPr>
            <w:r w:rsidRPr="008C54A5">
              <w:rPr>
                <w:sz w:val="21"/>
                <w:szCs w:val="21"/>
              </w:rPr>
              <w:t>This happens if the contributor did not review all the implications of his NWI by consensus and in fact a real reformulation with more support to its NWI</w:t>
            </w:r>
            <w:r w:rsidR="00894DC1">
              <w:rPr>
                <w:sz w:val="21"/>
                <w:szCs w:val="21"/>
              </w:rPr>
              <w:t>,</w:t>
            </w:r>
            <w:r w:rsidRPr="008C54A5">
              <w:rPr>
                <w:sz w:val="21"/>
                <w:szCs w:val="21"/>
              </w:rPr>
              <w:t xml:space="preserve"> mak</w:t>
            </w:r>
            <w:r w:rsidR="00894DC1">
              <w:rPr>
                <w:sz w:val="21"/>
                <w:szCs w:val="21"/>
              </w:rPr>
              <w:t>ing</w:t>
            </w:r>
            <w:r w:rsidRPr="008C54A5">
              <w:rPr>
                <w:sz w:val="21"/>
                <w:szCs w:val="21"/>
              </w:rPr>
              <w:t xml:space="preserve"> it candidate to multiple or</w:t>
            </w:r>
            <w:r w:rsidR="00894DC1">
              <w:rPr>
                <w:sz w:val="21"/>
                <w:szCs w:val="21"/>
              </w:rPr>
              <w:t xml:space="preserve"> to</w:t>
            </w:r>
            <w:r w:rsidRPr="008C54A5">
              <w:rPr>
                <w:sz w:val="21"/>
                <w:szCs w:val="21"/>
              </w:rPr>
              <w:t xml:space="preserve"> no Questions.</w:t>
            </w:r>
          </w:p>
        </w:tc>
        <w:tc>
          <w:tcPr>
            <w:tcW w:w="2299" w:type="dxa"/>
            <w:gridSpan w:val="2"/>
          </w:tcPr>
          <w:p w14:paraId="38EB5F40" w14:textId="77777777" w:rsidR="003B6019" w:rsidRPr="008C54A5" w:rsidRDefault="003B6019" w:rsidP="00087537">
            <w:pPr>
              <w:pStyle w:val="Tabletext"/>
              <w:rPr>
                <w:sz w:val="21"/>
                <w:szCs w:val="21"/>
              </w:rPr>
            </w:pPr>
            <w:r w:rsidRPr="008C54A5">
              <w:rPr>
                <w:sz w:val="21"/>
                <w:szCs w:val="21"/>
              </w:rPr>
              <w:t>Relates to the allocation of KT quantum work item. Were the right reasons to put it in Q2 really considered? Should it not be more explicit about the architecture implications regarding middleboxes first?</w:t>
            </w:r>
          </w:p>
        </w:tc>
      </w:tr>
      <w:tr w:rsidR="003B6019" w:rsidRPr="008C54A5" w14:paraId="7330DC35" w14:textId="77777777" w:rsidTr="00087537">
        <w:trPr>
          <w:gridAfter w:val="1"/>
          <w:wAfter w:w="8" w:type="dxa"/>
          <w:jc w:val="center"/>
        </w:trPr>
        <w:tc>
          <w:tcPr>
            <w:tcW w:w="993" w:type="dxa"/>
          </w:tcPr>
          <w:p w14:paraId="1D8683B0" w14:textId="77777777" w:rsidR="003B6019" w:rsidRPr="00BA73C2" w:rsidRDefault="003B6019" w:rsidP="00087537">
            <w:pPr>
              <w:pStyle w:val="Tabletext"/>
              <w:rPr>
                <w:sz w:val="21"/>
                <w:szCs w:val="21"/>
              </w:rPr>
            </w:pPr>
            <w:r w:rsidRPr="00BA73C2">
              <w:rPr>
                <w:sz w:val="21"/>
                <w:szCs w:val="21"/>
              </w:rPr>
              <w:t>C6</w:t>
            </w:r>
          </w:p>
        </w:tc>
        <w:tc>
          <w:tcPr>
            <w:tcW w:w="1417" w:type="dxa"/>
          </w:tcPr>
          <w:p w14:paraId="4C76C22A" w14:textId="140ACF48" w:rsidR="003B6019" w:rsidRPr="00BA73C2" w:rsidRDefault="003B6019" w:rsidP="00087537">
            <w:pPr>
              <w:pStyle w:val="Tabletext"/>
              <w:rPr>
                <w:sz w:val="21"/>
                <w:szCs w:val="21"/>
              </w:rPr>
            </w:pPr>
            <w:r w:rsidRPr="00BA73C2">
              <w:rPr>
                <w:sz w:val="21"/>
                <w:szCs w:val="21"/>
              </w:rPr>
              <w:t>ITU mandate possible restrictions in PP Resolution 130</w:t>
            </w:r>
          </w:p>
        </w:tc>
        <w:tc>
          <w:tcPr>
            <w:tcW w:w="2355" w:type="dxa"/>
          </w:tcPr>
          <w:p w14:paraId="0303AD30" w14:textId="7DBEAE3B" w:rsidR="003B6019" w:rsidRPr="00BA73C2" w:rsidRDefault="003B6019" w:rsidP="00087537">
            <w:pPr>
              <w:pStyle w:val="Tabletext"/>
              <w:rPr>
                <w:sz w:val="21"/>
                <w:szCs w:val="21"/>
              </w:rPr>
            </w:pPr>
            <w:r w:rsidRPr="00BA73C2">
              <w:rPr>
                <w:sz w:val="21"/>
                <w:szCs w:val="21"/>
              </w:rPr>
              <w:t xml:space="preserve">ITU-T SG17 members have no consensus that the new work item is falling into a grey area </w:t>
            </w:r>
            <w:r w:rsidR="00894DC1" w:rsidRPr="00BA73C2">
              <w:rPr>
                <w:sz w:val="21"/>
                <w:szCs w:val="21"/>
              </w:rPr>
              <w:t>or</w:t>
            </w:r>
            <w:r w:rsidRPr="00BA73C2">
              <w:rPr>
                <w:sz w:val="21"/>
                <w:szCs w:val="21"/>
              </w:rPr>
              <w:t xml:space="preserve"> a mandate restriction of the ITU or not.</w:t>
            </w:r>
          </w:p>
        </w:tc>
        <w:tc>
          <w:tcPr>
            <w:tcW w:w="2575" w:type="dxa"/>
            <w:gridSpan w:val="2"/>
          </w:tcPr>
          <w:p w14:paraId="3F17BB71" w14:textId="030599B9" w:rsidR="003B6019" w:rsidRPr="00BA73C2" w:rsidRDefault="003B6019" w:rsidP="00087537">
            <w:pPr>
              <w:pStyle w:val="Tabletext"/>
              <w:rPr>
                <w:sz w:val="21"/>
                <w:szCs w:val="21"/>
              </w:rPr>
            </w:pPr>
            <w:r w:rsidRPr="00BA73C2">
              <w:rPr>
                <w:sz w:val="21"/>
                <w:szCs w:val="21"/>
              </w:rPr>
              <w:t xml:space="preserve">There are perhaps conditions </w:t>
            </w:r>
            <w:r w:rsidR="00894DC1" w:rsidRPr="00BA73C2">
              <w:rPr>
                <w:sz w:val="21"/>
                <w:szCs w:val="21"/>
              </w:rPr>
              <w:t xml:space="preserve">under which </w:t>
            </w:r>
            <w:r w:rsidRPr="00BA73C2">
              <w:rPr>
                <w:sz w:val="21"/>
                <w:szCs w:val="21"/>
              </w:rPr>
              <w:t>SG17 might want to keep the topic because it takes time to validate if this is within the scope or restrictions of ITU mandate or if the ITU mandate might change (e.g., in relations to PP or WTSA)</w:t>
            </w:r>
          </w:p>
        </w:tc>
        <w:tc>
          <w:tcPr>
            <w:tcW w:w="2299" w:type="dxa"/>
            <w:gridSpan w:val="2"/>
          </w:tcPr>
          <w:p w14:paraId="0C7EAFF4" w14:textId="77777777" w:rsidR="003B6019" w:rsidRPr="00BA73C2" w:rsidRDefault="003B6019" w:rsidP="00087537">
            <w:pPr>
              <w:pStyle w:val="Tabletext"/>
              <w:rPr>
                <w:sz w:val="21"/>
                <w:szCs w:val="21"/>
              </w:rPr>
            </w:pPr>
            <w:r w:rsidRPr="00BA73C2">
              <w:rPr>
                <w:sz w:val="21"/>
                <w:szCs w:val="21"/>
              </w:rPr>
              <w:t>Example content related NWI, etc.</w:t>
            </w:r>
          </w:p>
        </w:tc>
      </w:tr>
    </w:tbl>
    <w:p w14:paraId="347CE2C7" w14:textId="0509E79D" w:rsidR="003B6019" w:rsidRPr="008C54A5" w:rsidRDefault="001C0683" w:rsidP="000C08BE">
      <w:pPr>
        <w:pStyle w:val="Note"/>
      </w:pPr>
      <w:bookmarkStart w:id="117" w:name="_Toc49679498"/>
      <w:r>
        <w:t>NOTE</w:t>
      </w:r>
      <w:r w:rsidR="000C08BE">
        <w:t> – </w:t>
      </w:r>
      <w:r w:rsidR="003B6019" w:rsidRPr="008C54A5">
        <w:t>This criteria</w:t>
      </w:r>
      <w:r>
        <w:t>,</w:t>
      </w:r>
      <w:r w:rsidR="003B6019" w:rsidRPr="008C54A5">
        <w:t xml:space="preserve"> like any other</w:t>
      </w:r>
      <w:r>
        <w:t>,</w:t>
      </w:r>
      <w:r w:rsidR="003B6019" w:rsidRPr="008C54A5">
        <w:t xml:space="preserve"> is just</w:t>
      </w:r>
      <w:r w:rsidRPr="008C54A5">
        <w:t xml:space="preserve"> </w:t>
      </w:r>
      <w:r w:rsidR="003B6019" w:rsidRPr="008C54A5">
        <w:t xml:space="preserve">metadata that is put on a given </w:t>
      </w:r>
      <w:r w:rsidR="0036584C">
        <w:t>NWI</w:t>
      </w:r>
      <w:r w:rsidR="0036584C" w:rsidRPr="008C54A5">
        <w:t xml:space="preserve"> </w:t>
      </w:r>
      <w:r w:rsidR="003B6019" w:rsidRPr="008C54A5">
        <w:t xml:space="preserve">that would match it. This is to help the audience of the incubation allocation phase to have clarity in its discussion, remembering that the incubation allocation is not discussing the content of the </w:t>
      </w:r>
      <w:r w:rsidR="0036584C">
        <w:t>NWI</w:t>
      </w:r>
      <w:r w:rsidR="0036584C" w:rsidRPr="008C54A5">
        <w:t xml:space="preserve"> </w:t>
      </w:r>
      <w:r w:rsidR="003B6019" w:rsidRPr="008C54A5">
        <w:t xml:space="preserve">but where to send it. It is of course very clear that should </w:t>
      </w:r>
      <w:r w:rsidR="00690031">
        <w:t>an NWI</w:t>
      </w:r>
      <w:r w:rsidR="0036584C" w:rsidRPr="008C54A5">
        <w:t xml:space="preserve"> </w:t>
      </w:r>
      <w:r w:rsidR="003B6019" w:rsidRPr="008C54A5">
        <w:t>breach an ITU mandate restriction, SG17 would of course not support its establishment.</w:t>
      </w:r>
    </w:p>
    <w:p w14:paraId="3614BA25" w14:textId="38523008" w:rsidR="003B6019" w:rsidRPr="008C54A5" w:rsidRDefault="003B6019" w:rsidP="003B6019">
      <w:pPr>
        <w:pStyle w:val="TableNoTitle0"/>
      </w:pPr>
      <w:r w:rsidRPr="008C54A5">
        <w:t xml:space="preserve">Table </w:t>
      </w:r>
      <w:r w:rsidRPr="008C54A5">
        <w:rPr>
          <w:bCs/>
        </w:rPr>
        <w:t>3</w:t>
      </w:r>
      <w:r w:rsidRPr="008C54A5">
        <w:t xml:space="preserve"> – Discussion </w:t>
      </w:r>
      <w:r w:rsidR="001C73C5">
        <w:t>c</w:t>
      </w:r>
      <w:r w:rsidRPr="008C54A5">
        <w:t>riteria</w:t>
      </w:r>
    </w:p>
    <w:tbl>
      <w:tblPr>
        <w:tblW w:w="9620" w:type="dxa"/>
        <w:jc w:val="center"/>
        <w:tblCellMar>
          <w:left w:w="0" w:type="dxa"/>
          <w:right w:w="0" w:type="dxa"/>
        </w:tblCellMar>
        <w:tblLook w:val="0420" w:firstRow="1" w:lastRow="0" w:firstColumn="0" w:lastColumn="0" w:noHBand="0" w:noVBand="1"/>
      </w:tblPr>
      <w:tblGrid>
        <w:gridCol w:w="860"/>
        <w:gridCol w:w="8760"/>
      </w:tblGrid>
      <w:tr w:rsidR="003B6019" w:rsidRPr="008C54A5" w14:paraId="75B389D2" w14:textId="77777777" w:rsidTr="00087537">
        <w:trPr>
          <w:trHeight w:val="288"/>
          <w:jc w:val="center"/>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35ECB7" w14:textId="77777777" w:rsidR="003B6019" w:rsidRPr="008C54A5" w:rsidRDefault="003B6019" w:rsidP="00087537">
            <w:pPr>
              <w:pStyle w:val="Tablehead"/>
            </w:pPr>
            <w:r w:rsidRPr="008C54A5">
              <w:t>#</w:t>
            </w:r>
          </w:p>
        </w:tc>
        <w:tc>
          <w:tcPr>
            <w:tcW w:w="8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C70910" w14:textId="77777777" w:rsidR="003B6019" w:rsidRPr="008C54A5" w:rsidRDefault="003B6019" w:rsidP="00087537">
            <w:pPr>
              <w:pStyle w:val="Tablehead"/>
            </w:pPr>
            <w:r w:rsidRPr="008C54A5">
              <w:t>DESCRIPTION</w:t>
            </w:r>
          </w:p>
        </w:tc>
      </w:tr>
      <w:tr w:rsidR="003B6019" w:rsidRPr="008C54A5" w14:paraId="38212E74" w14:textId="77777777" w:rsidTr="00087537">
        <w:trPr>
          <w:trHeight w:val="288"/>
          <w:jc w:val="center"/>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BB236C" w14:textId="77777777" w:rsidR="003B6019" w:rsidRPr="008C54A5" w:rsidRDefault="003B6019" w:rsidP="00087537">
            <w:pPr>
              <w:pStyle w:val="Tabletext"/>
              <w:jc w:val="center"/>
            </w:pPr>
            <w:r w:rsidRPr="008C54A5">
              <w:t>D</w:t>
            </w:r>
          </w:p>
        </w:tc>
        <w:tc>
          <w:tcPr>
            <w:tcW w:w="8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4A8987" w14:textId="44097135" w:rsidR="003B6019" w:rsidRPr="008C54A5" w:rsidRDefault="003B6019" w:rsidP="00087537">
            <w:pPr>
              <w:pStyle w:val="Tabletext"/>
            </w:pPr>
            <w:r w:rsidRPr="008C54A5">
              <w:t>Members opinion on discussion.</w:t>
            </w:r>
          </w:p>
          <w:p w14:paraId="6F8AC8B9" w14:textId="3948D0FA" w:rsidR="003B6019" w:rsidRPr="008C54A5" w:rsidRDefault="003B6019" w:rsidP="00087537">
            <w:pPr>
              <w:pStyle w:val="Tabletext"/>
            </w:pPr>
            <w:r w:rsidRPr="008C54A5">
              <w:t>•</w:t>
            </w:r>
            <w:r w:rsidRPr="008C54A5">
              <w:tab/>
              <w:t xml:space="preserve">"N" indicates no discussion is needed at </w:t>
            </w:r>
            <w:r w:rsidR="001C0683">
              <w:t>the i</w:t>
            </w:r>
            <w:r w:rsidRPr="008C54A5">
              <w:t>ncubation special session</w:t>
            </w:r>
          </w:p>
          <w:p w14:paraId="3A434264" w14:textId="3985CEAD" w:rsidR="003B6019" w:rsidRPr="008C54A5" w:rsidRDefault="003B6019" w:rsidP="00087537">
            <w:pPr>
              <w:pStyle w:val="Tabletext"/>
            </w:pPr>
            <w:r w:rsidRPr="008C54A5">
              <w:t>•</w:t>
            </w:r>
            <w:r w:rsidRPr="008C54A5">
              <w:tab/>
              <w:t xml:space="preserve">"Y" indicates item should be discussed during </w:t>
            </w:r>
            <w:r w:rsidR="001C0683">
              <w:t>the i</w:t>
            </w:r>
            <w:r w:rsidRPr="008C54A5">
              <w:t>ncubation special session</w:t>
            </w:r>
          </w:p>
          <w:p w14:paraId="4156C06F" w14:textId="5D56A41A" w:rsidR="003B6019" w:rsidRPr="008C54A5" w:rsidRDefault="003B6019" w:rsidP="00087537">
            <w:pPr>
              <w:pStyle w:val="Tabletext"/>
              <w:ind w:left="284" w:hanging="284"/>
            </w:pPr>
            <w:r w:rsidRPr="008C54A5">
              <w:t>•</w:t>
            </w:r>
            <w:r w:rsidRPr="008C54A5">
              <w:tab/>
              <w:t xml:space="preserve">"D" indicates there is disagreement that this item is being discussed during </w:t>
            </w:r>
            <w:r w:rsidR="001C0683">
              <w:t>the i</w:t>
            </w:r>
            <w:r w:rsidRPr="008C54A5">
              <w:t>ncubation special session</w:t>
            </w:r>
          </w:p>
        </w:tc>
      </w:tr>
    </w:tbl>
    <w:p w14:paraId="6BFFE098" w14:textId="622309C5" w:rsidR="003B6019" w:rsidRPr="008C54A5" w:rsidRDefault="003B6019" w:rsidP="003B6019">
      <w:r w:rsidRPr="008C54A5">
        <w:t xml:space="preserve">The example template table in Annex </w:t>
      </w:r>
      <w:r w:rsidR="004D30ED">
        <w:t>B</w:t>
      </w:r>
      <w:r w:rsidR="0002770A">
        <w:t xml:space="preserve"> to Appendix II</w:t>
      </w:r>
      <w:r w:rsidRPr="008C54A5">
        <w:t xml:space="preserve"> </w:t>
      </w:r>
      <w:r w:rsidR="001C0683">
        <w:t>may</w:t>
      </w:r>
      <w:r w:rsidR="001C0683" w:rsidRPr="008C54A5">
        <w:t xml:space="preserve"> </w:t>
      </w:r>
      <w:r w:rsidRPr="008C54A5">
        <w:t>be used to make it clear which new work item was allocated and on which criteria with which outcome and results.</w:t>
      </w:r>
    </w:p>
    <w:p w14:paraId="525819DC" w14:textId="77777777" w:rsidR="003B6019" w:rsidRPr="008C54A5" w:rsidRDefault="003B6019" w:rsidP="003B6019">
      <w:pPr>
        <w:pStyle w:val="Heading3"/>
      </w:pPr>
      <w:bookmarkStart w:id="118" w:name="_Toc159915886"/>
      <w:r w:rsidRPr="008C54A5">
        <w:t>6.3.4</w:t>
      </w:r>
      <w:r w:rsidRPr="008C54A5">
        <w:tab/>
        <w:t>Selection of NWI candidates for incubation</w:t>
      </w:r>
      <w:bookmarkEnd w:id="117"/>
      <w:bookmarkEnd w:id="118"/>
    </w:p>
    <w:p w14:paraId="5FEE501F" w14:textId="623E2120" w:rsidR="003B6019" w:rsidRPr="008C54A5" w:rsidRDefault="003B6019" w:rsidP="009D72DD">
      <w:r w:rsidRPr="008C54A5">
        <w:t>Selection of NWI candidates for incubation should take certain considerations into account.</w:t>
      </w:r>
      <w:r w:rsidR="00183357">
        <w:t xml:space="preserve"> T</w:t>
      </w:r>
      <w:r w:rsidRPr="008C54A5">
        <w:t>he</w:t>
      </w:r>
      <w:r w:rsidR="009D72DD">
        <w:t> </w:t>
      </w:r>
      <w:r w:rsidRPr="008C54A5">
        <w:t xml:space="preserve">responsibility of the selection of the NWI candidates for incubation </w:t>
      </w:r>
      <w:r w:rsidR="00183357">
        <w:t>should not be</w:t>
      </w:r>
      <w:r w:rsidR="00183357" w:rsidRPr="008C54A5">
        <w:t xml:space="preserve"> </w:t>
      </w:r>
      <w:r w:rsidRPr="008C54A5">
        <w:t>left to one individual (SG17 Vice</w:t>
      </w:r>
      <w:r w:rsidR="008C54A5">
        <w:t>-</w:t>
      </w:r>
      <w:r w:rsidRPr="008C54A5">
        <w:t>Chair of the special session on incubation) in order to avoid or reduce</w:t>
      </w:r>
      <w:r w:rsidR="00183357">
        <w:t xml:space="preserve"> </w:t>
      </w:r>
      <w:r w:rsidRPr="008C54A5">
        <w:t>potential arbitrariness</w:t>
      </w:r>
      <w:r w:rsidR="00183357">
        <w:t xml:space="preserve">, </w:t>
      </w:r>
      <w:r w:rsidRPr="008C54A5">
        <w:t>mistakes</w:t>
      </w:r>
      <w:r w:rsidR="00183357">
        <w:t xml:space="preserve">, </w:t>
      </w:r>
      <w:r w:rsidRPr="008C54A5">
        <w:t>misinterpretations of the NWI</w:t>
      </w:r>
      <w:r w:rsidR="00183357">
        <w:t xml:space="preserve"> and l</w:t>
      </w:r>
      <w:r w:rsidRPr="008C54A5">
        <w:t>engthy special session</w:t>
      </w:r>
      <w:r w:rsidR="00183357">
        <w:t>s</w:t>
      </w:r>
      <w:r w:rsidRPr="008C54A5">
        <w:t xml:space="preserve"> on incubation. </w:t>
      </w:r>
      <w:r w:rsidR="00183357">
        <w:t>In addition, this should encourage a</w:t>
      </w:r>
      <w:r w:rsidRPr="008C54A5">
        <w:t xml:space="preserve"> thorough preparation of the meeting</w:t>
      </w:r>
      <w:r w:rsidR="00183357">
        <w:t xml:space="preserve"> and a</w:t>
      </w:r>
      <w:r w:rsidRPr="008C54A5">
        <w:t xml:space="preserve"> thorough understanding of the NWI at SG17 level versus at Question level.</w:t>
      </w:r>
    </w:p>
    <w:p w14:paraId="5484A0DC" w14:textId="77777777" w:rsidR="003B6019" w:rsidRPr="008C54A5" w:rsidRDefault="003B6019" w:rsidP="003B6019">
      <w:pPr>
        <w:keepNext/>
        <w:keepLines/>
      </w:pPr>
      <w:r w:rsidRPr="008C54A5">
        <w:t>The following process will achieve the selection:</w:t>
      </w:r>
    </w:p>
    <w:p w14:paraId="7F1BEB77" w14:textId="45423FD8" w:rsidR="003B6019" w:rsidRPr="008C54A5" w:rsidRDefault="003B6019" w:rsidP="003B6019">
      <w:pPr>
        <w:pStyle w:val="enumlev1"/>
      </w:pPr>
      <w:r w:rsidRPr="008C54A5">
        <w:t>a)</w:t>
      </w:r>
      <w:r w:rsidRPr="008C54A5">
        <w:tab/>
        <w:t xml:space="preserve">SG17 </w:t>
      </w:r>
      <w:r w:rsidR="008C54A5">
        <w:t>Chair</w:t>
      </w:r>
      <w:r w:rsidR="008C54A5" w:rsidRPr="008C54A5">
        <w:t xml:space="preserve"> </w:t>
      </w:r>
      <w:r w:rsidRPr="008C54A5">
        <w:t>reminds all SG17 members</w:t>
      </w:r>
      <w:r w:rsidR="00183357" w:rsidRPr="00183357">
        <w:t xml:space="preserve"> </w:t>
      </w:r>
      <w:r w:rsidR="00183357" w:rsidRPr="008C54A5">
        <w:t xml:space="preserve">by email </w:t>
      </w:r>
      <w:r w:rsidR="00183357">
        <w:t>via the mailing list</w:t>
      </w:r>
      <w:r w:rsidRPr="008C54A5">
        <w:t>, after the contribution cut</w:t>
      </w:r>
      <w:r w:rsidR="00183357">
        <w:t>-off</w:t>
      </w:r>
      <w:r w:rsidRPr="008C54A5">
        <w:t xml:space="preserve"> date</w:t>
      </w:r>
      <w:r w:rsidR="00183357">
        <w:t>,</w:t>
      </w:r>
      <w:r w:rsidRPr="008C54A5">
        <w:t xml:space="preserve"> about the incubation mechanism special session and</w:t>
      </w:r>
      <w:r w:rsidR="00183357">
        <w:t>,</w:t>
      </w:r>
      <w:r w:rsidRPr="008C54A5">
        <w:t xml:space="preserve"> to help prepare this special session, invites all the members to highlight if any </w:t>
      </w:r>
      <w:r w:rsidR="0036584C">
        <w:t>NWI</w:t>
      </w:r>
      <w:r w:rsidR="0036584C" w:rsidRPr="008C54A5">
        <w:t xml:space="preserve"> </w:t>
      </w:r>
      <w:r w:rsidRPr="008C54A5">
        <w:t>proposed warrant</w:t>
      </w:r>
      <w:r w:rsidR="00183357">
        <w:t>s</w:t>
      </w:r>
      <w:r w:rsidRPr="008C54A5">
        <w:t xml:space="preserve"> further discussion and on which criteria (Table</w:t>
      </w:r>
      <w:r w:rsidR="009D72DD">
        <w:t> </w:t>
      </w:r>
      <w:r w:rsidRPr="008C54A5">
        <w:t>2) they want it discussed</w:t>
      </w:r>
      <w:r w:rsidR="00183357">
        <w:t>. Answers are</w:t>
      </w:r>
      <w:r w:rsidRPr="008C54A5">
        <w:t xml:space="preserve"> to be sent to the incubation question mailing reflector list.</w:t>
      </w:r>
    </w:p>
    <w:p w14:paraId="6D25225F" w14:textId="54639CE4" w:rsidR="003B6019" w:rsidRPr="008C54A5" w:rsidRDefault="003B6019" w:rsidP="003B6019">
      <w:pPr>
        <w:pStyle w:val="enumlev1"/>
      </w:pPr>
      <w:r w:rsidRPr="008C54A5">
        <w:t>b)</w:t>
      </w:r>
      <w:r w:rsidRPr="008C54A5">
        <w:tab/>
        <w:t>The SG17 Vice</w:t>
      </w:r>
      <w:r w:rsidR="008C54A5">
        <w:t>-</w:t>
      </w:r>
      <w:r w:rsidRPr="008C54A5">
        <w:t xml:space="preserve">Chair in charge of the incubation special session represents in a neutral way all the input in </w:t>
      </w:r>
      <w:r w:rsidR="00183357">
        <w:t>the</w:t>
      </w:r>
      <w:r w:rsidRPr="008C54A5">
        <w:t xml:space="preserve"> agenda and</w:t>
      </w:r>
      <w:r w:rsidR="00183357">
        <w:t>,</w:t>
      </w:r>
      <w:r w:rsidRPr="008C54A5">
        <w:t xml:space="preserve"> when possible</w:t>
      </w:r>
      <w:r w:rsidR="00183357">
        <w:t>,</w:t>
      </w:r>
      <w:r w:rsidRPr="008C54A5">
        <w:t xml:space="preserve"> coordinates all the inputs, leveraging the example template in Appendix</w:t>
      </w:r>
      <w:r w:rsidR="009D72DD">
        <w:t> </w:t>
      </w:r>
      <w:r w:rsidR="00D8117A">
        <w:t>II</w:t>
      </w:r>
      <w:r w:rsidRPr="008C54A5">
        <w:t xml:space="preserve"> and uses Table</w:t>
      </w:r>
      <w:r w:rsidR="009D72DD">
        <w:t> </w:t>
      </w:r>
      <w:r w:rsidRPr="008C54A5">
        <w:t>2 options accordingly. The objective is simply to help prepar</w:t>
      </w:r>
      <w:r w:rsidR="00183357">
        <w:t>e</w:t>
      </w:r>
      <w:r w:rsidRPr="008C54A5">
        <w:t xml:space="preserve"> the special session.</w:t>
      </w:r>
    </w:p>
    <w:p w14:paraId="44A49750" w14:textId="024984E0" w:rsidR="003B6019" w:rsidRPr="008C54A5" w:rsidRDefault="003B6019" w:rsidP="003B6019">
      <w:pPr>
        <w:pStyle w:val="enumlev1"/>
      </w:pPr>
      <w:r w:rsidRPr="008C54A5">
        <w:t>c)</w:t>
      </w:r>
      <w:r w:rsidRPr="008C54A5">
        <w:tab/>
        <w:t xml:space="preserve">The agenda is constructed with all the data as preparation mindful of the possibility for anyone to add or modify the proposal during the </w:t>
      </w:r>
      <w:r w:rsidR="00183357">
        <w:t>appropriate</w:t>
      </w:r>
      <w:r w:rsidR="00183357" w:rsidRPr="008C54A5">
        <w:t xml:space="preserve"> </w:t>
      </w:r>
      <w:r w:rsidRPr="008C54A5">
        <w:t>agenda item in the special session.</w:t>
      </w:r>
    </w:p>
    <w:p w14:paraId="794DBB31" w14:textId="7AD962B9" w:rsidR="003B6019" w:rsidRPr="008C54A5" w:rsidRDefault="003B6019" w:rsidP="003B6019">
      <w:pPr>
        <w:pStyle w:val="enumlev1"/>
      </w:pPr>
      <w:r w:rsidRPr="008C54A5">
        <w:t>d)</w:t>
      </w:r>
      <w:r w:rsidRPr="008C54A5">
        <w:tab/>
        <w:t>In addition</w:t>
      </w:r>
      <w:r w:rsidR="00183357">
        <w:t>,</w:t>
      </w:r>
      <w:r w:rsidRPr="008C54A5">
        <w:t xml:space="preserve"> the SG17 Vice</w:t>
      </w:r>
      <w:r w:rsidR="008C54A5">
        <w:t>-</w:t>
      </w:r>
      <w:r w:rsidRPr="008C54A5">
        <w:t xml:space="preserve">Chair in charge of the incubation completes the agenda and can </w:t>
      </w:r>
      <w:r w:rsidR="00F900A8">
        <w:t>use</w:t>
      </w:r>
      <w:r w:rsidR="00F900A8" w:rsidRPr="008C54A5">
        <w:t xml:space="preserve"> </w:t>
      </w:r>
      <w:r w:rsidRPr="008C54A5">
        <w:t xml:space="preserve">the example </w:t>
      </w:r>
      <w:r w:rsidR="00F900A8" w:rsidRPr="008C54A5">
        <w:t xml:space="preserve">agenda </w:t>
      </w:r>
      <w:r w:rsidRPr="008C54A5">
        <w:t xml:space="preserve">template in Appendix </w:t>
      </w:r>
      <w:r w:rsidR="00D8117A">
        <w:t>I</w:t>
      </w:r>
      <w:r w:rsidRPr="008C54A5">
        <w:t xml:space="preserve">, </w:t>
      </w:r>
      <w:r w:rsidR="00F900A8" w:rsidRPr="008C54A5">
        <w:t>completing</w:t>
      </w:r>
      <w:r w:rsidR="00F900A8">
        <w:t xml:space="preserve"> it</w:t>
      </w:r>
      <w:r w:rsidR="00F900A8" w:rsidRPr="008C54A5">
        <w:t xml:space="preserve"> </w:t>
      </w:r>
      <w:r w:rsidRPr="008C54A5">
        <w:t xml:space="preserve">with the elements pertaining to incubation management (in particular </w:t>
      </w:r>
      <w:r w:rsidR="00F900A8">
        <w:t xml:space="preserve">with </w:t>
      </w:r>
      <w:r w:rsidRPr="008C54A5">
        <w:t xml:space="preserve">the status of the incubation </w:t>
      </w:r>
      <w:r w:rsidR="00F900A8">
        <w:t>that</w:t>
      </w:r>
      <w:r w:rsidR="00F900A8" w:rsidRPr="008C54A5">
        <w:t xml:space="preserve"> </w:t>
      </w:r>
      <w:r w:rsidRPr="008C54A5">
        <w:t>is in the report of the incubation question at the last SG17 meeting</w:t>
      </w:r>
      <w:r w:rsidR="00F900A8">
        <w:t>;</w:t>
      </w:r>
      <w:r w:rsidRPr="008C54A5">
        <w:t xml:space="preserve"> an example is provided in Annex</w:t>
      </w:r>
      <w:r w:rsidR="009D72DD">
        <w:t> </w:t>
      </w:r>
      <w:r w:rsidR="004D30ED">
        <w:t>C</w:t>
      </w:r>
      <w:r w:rsidR="0002770A">
        <w:t xml:space="preserve"> to Appendix</w:t>
      </w:r>
      <w:r w:rsidR="009D72DD">
        <w:t> </w:t>
      </w:r>
      <w:r w:rsidR="0002770A">
        <w:t>II</w:t>
      </w:r>
      <w:r w:rsidRPr="008C54A5">
        <w:t>).</w:t>
      </w:r>
    </w:p>
    <w:p w14:paraId="36132C8E" w14:textId="549CD5AC" w:rsidR="003B6019" w:rsidRPr="008C54A5" w:rsidRDefault="003B6019" w:rsidP="003B6019">
      <w:pPr>
        <w:pStyle w:val="enumlev1"/>
      </w:pPr>
      <w:r w:rsidRPr="008C54A5">
        <w:t>e)</w:t>
      </w:r>
      <w:r w:rsidRPr="008C54A5">
        <w:tab/>
        <w:t xml:space="preserve">The agenda is reviewed in </w:t>
      </w:r>
      <w:r w:rsidR="00F900A8">
        <w:t xml:space="preserve">an </w:t>
      </w:r>
      <w:r w:rsidRPr="008C54A5">
        <w:t xml:space="preserve">open management meeting the day before </w:t>
      </w:r>
      <w:r w:rsidR="00F900A8">
        <w:t xml:space="preserve">the </w:t>
      </w:r>
      <w:r w:rsidRPr="008C54A5">
        <w:t xml:space="preserve">open plenary and should be published no later than the evening before </w:t>
      </w:r>
      <w:r w:rsidR="00F900A8">
        <w:t xml:space="preserve">the </w:t>
      </w:r>
      <w:r w:rsidRPr="008C54A5">
        <w:t>open plenary.</w:t>
      </w:r>
    </w:p>
    <w:p w14:paraId="18A110D7" w14:textId="741C6373" w:rsidR="003B6019" w:rsidRPr="008C54A5" w:rsidRDefault="003B6019" w:rsidP="003B6019">
      <w:pPr>
        <w:pStyle w:val="enumlev1"/>
      </w:pPr>
      <w:r w:rsidRPr="008C54A5">
        <w:t>f)</w:t>
      </w:r>
      <w:r w:rsidRPr="008C54A5">
        <w:tab/>
      </w:r>
      <w:r w:rsidRPr="008C54A5">
        <w:rPr>
          <w:color w:val="000000"/>
        </w:rPr>
        <w:t>The opening plenary includes a special session on</w:t>
      </w:r>
      <w:r w:rsidR="00F900A8">
        <w:rPr>
          <w:color w:val="000000"/>
        </w:rPr>
        <w:t xml:space="preserve"> the</w:t>
      </w:r>
      <w:r w:rsidRPr="008C54A5">
        <w:rPr>
          <w:color w:val="000000"/>
        </w:rPr>
        <w:t xml:space="preserve"> incubation mechanism in its agenda.</w:t>
      </w:r>
    </w:p>
    <w:p w14:paraId="760FC5FE" w14:textId="7900FB85" w:rsidR="003B6019" w:rsidRPr="008C54A5" w:rsidRDefault="003B6019" w:rsidP="003B6019">
      <w:pPr>
        <w:pStyle w:val="enumlev1"/>
      </w:pPr>
      <w:r w:rsidRPr="008C54A5">
        <w:t>g)</w:t>
      </w:r>
      <w:r w:rsidRPr="008C54A5">
        <w:tab/>
        <w:t>This special session executes the agenda as usual</w:t>
      </w:r>
      <w:r w:rsidR="00F900A8">
        <w:t>,</w:t>
      </w:r>
      <w:r w:rsidRPr="008C54A5">
        <w:t xml:space="preserve"> noting </w:t>
      </w:r>
      <w:r w:rsidR="00F900A8">
        <w:t>any</w:t>
      </w:r>
      <w:r w:rsidR="00F900A8" w:rsidRPr="008C54A5">
        <w:t xml:space="preserve"> </w:t>
      </w:r>
      <w:r w:rsidRPr="008C54A5">
        <w:t xml:space="preserve">flexibility regarding </w:t>
      </w:r>
      <w:r w:rsidR="00F900A8">
        <w:t>an</w:t>
      </w:r>
      <w:r w:rsidR="00F900A8" w:rsidRPr="008C54A5">
        <w:t xml:space="preserve"> </w:t>
      </w:r>
      <w:r w:rsidRPr="008C54A5">
        <w:t>existing work item in the queue itself and</w:t>
      </w:r>
      <w:r w:rsidR="00F900A8">
        <w:t>/</w:t>
      </w:r>
      <w:r w:rsidRPr="008C54A5">
        <w:t xml:space="preserve">or the final allocation of </w:t>
      </w:r>
      <w:r w:rsidR="00690031">
        <w:t>an NWI</w:t>
      </w:r>
      <w:r w:rsidRPr="008C54A5">
        <w:t>.</w:t>
      </w:r>
    </w:p>
    <w:p w14:paraId="562BA2D3" w14:textId="31E90C39" w:rsidR="003B6019" w:rsidRPr="008C54A5" w:rsidRDefault="003B6019" w:rsidP="003B6019">
      <w:pPr>
        <w:pStyle w:val="Note"/>
      </w:pPr>
      <w:r w:rsidRPr="008C54A5">
        <w:t>NOTE – For the incubation queue processing</w:t>
      </w:r>
      <w:r w:rsidR="00F900A8">
        <w:t>:</w:t>
      </w:r>
      <w:r w:rsidRPr="008C54A5">
        <w:t xml:space="preserve"> When there is a </w:t>
      </w:r>
      <w:r w:rsidR="006D5668">
        <w:t>'</w:t>
      </w:r>
      <w:r w:rsidRPr="008C54A5">
        <w:t>dispatching</w:t>
      </w:r>
      <w:r w:rsidR="006D5668">
        <w:t>'</w:t>
      </w:r>
      <w:r w:rsidRPr="008C54A5">
        <w:t xml:space="preserve"> issue during the special session between the incubation hosting question and a candidate question, the processing of the NWI in the incubation queue should allow the candidate question to participate, therefore agendas should not allow parallelism for this particular </w:t>
      </w:r>
      <w:r w:rsidR="00F900A8">
        <w:t>question or a joint session should be run.</w:t>
      </w:r>
    </w:p>
    <w:p w14:paraId="631254BD" w14:textId="77777777" w:rsidR="003B6019" w:rsidRPr="008C54A5" w:rsidRDefault="003B6019" w:rsidP="003B6019">
      <w:pPr>
        <w:pStyle w:val="Heading3"/>
      </w:pPr>
      <w:bookmarkStart w:id="119" w:name="_Toc159915887"/>
      <w:r w:rsidRPr="008C54A5">
        <w:t>6.3.5</w:t>
      </w:r>
      <w:r w:rsidRPr="008C54A5">
        <w:tab/>
        <w:t>Running the special session on incubation</w:t>
      </w:r>
      <w:bookmarkEnd w:id="119"/>
    </w:p>
    <w:p w14:paraId="5149B991" w14:textId="11C5225A" w:rsidR="003B6019" w:rsidRPr="008C54A5" w:rsidRDefault="003B6019" w:rsidP="003B6019">
      <w:r w:rsidRPr="008C54A5">
        <w:t xml:space="preserve">The incubation mechanism is </w:t>
      </w:r>
      <w:r w:rsidR="000764AC" w:rsidRPr="008C54A5">
        <w:t>run</w:t>
      </w:r>
      <w:r w:rsidRPr="008C54A5">
        <w:t xml:space="preserve"> through a special session which is scheduled immediately after </w:t>
      </w:r>
      <w:r w:rsidR="00F900A8">
        <w:t xml:space="preserve">the </w:t>
      </w:r>
      <w:r w:rsidRPr="008C54A5">
        <w:t xml:space="preserve">SG17 opening plenary and </w:t>
      </w:r>
      <w:r w:rsidR="00F900A8">
        <w:t xml:space="preserve">the </w:t>
      </w:r>
      <w:r w:rsidRPr="008C54A5">
        <w:t>SG17 working party plenaries.</w:t>
      </w:r>
    </w:p>
    <w:p w14:paraId="1460C087" w14:textId="340DF22A" w:rsidR="003B6019" w:rsidRPr="008C54A5" w:rsidRDefault="003B6019" w:rsidP="003B6019">
      <w:r w:rsidRPr="008C54A5">
        <w:t>The SG17 Vice</w:t>
      </w:r>
      <w:r w:rsidR="008C54A5">
        <w:t>-</w:t>
      </w:r>
      <w:r w:rsidRPr="008C54A5">
        <w:t xml:space="preserve">Chair in charge of the incubation mechanism </w:t>
      </w:r>
      <w:r w:rsidR="00F900A8">
        <w:t>then acts</w:t>
      </w:r>
      <w:r w:rsidRPr="008C54A5">
        <w:t xml:space="preserve"> as </w:t>
      </w:r>
      <w:r w:rsidR="00F900A8">
        <w:t xml:space="preserve">the </w:t>
      </w:r>
      <w:r w:rsidRPr="008C54A5">
        <w:t xml:space="preserve">special session </w:t>
      </w:r>
      <w:r w:rsidR="00774EC4">
        <w:t>C</w:t>
      </w:r>
      <w:r w:rsidRPr="008C54A5">
        <w:t xml:space="preserve">hair potentially </w:t>
      </w:r>
      <w:r w:rsidR="00F900A8" w:rsidRPr="008C54A5">
        <w:t xml:space="preserve">with </w:t>
      </w:r>
      <w:r w:rsidR="00F900A8">
        <w:t>an</w:t>
      </w:r>
      <w:r w:rsidRPr="008C54A5">
        <w:t>other</w:t>
      </w:r>
      <w:r w:rsidR="00F900A8">
        <w:t>,</w:t>
      </w:r>
      <w:r w:rsidRPr="008C54A5">
        <w:t xml:space="preserve"> nominated</w:t>
      </w:r>
      <w:r w:rsidR="00DF30B6">
        <w:t>,</w:t>
      </w:r>
      <w:r w:rsidRPr="008C54A5">
        <w:t xml:space="preserve"> special session co-</w:t>
      </w:r>
      <w:r w:rsidR="00774EC4">
        <w:t>C</w:t>
      </w:r>
      <w:r w:rsidRPr="008C54A5">
        <w:t>hair.</w:t>
      </w:r>
    </w:p>
    <w:p w14:paraId="5EC6AE24" w14:textId="475DF56A" w:rsidR="003B6019" w:rsidRPr="008C54A5" w:rsidRDefault="00DF30B6" w:rsidP="003B6019">
      <w:r>
        <w:t>The agenda is followed</w:t>
      </w:r>
      <w:r w:rsidR="003B6019" w:rsidRPr="008C54A5">
        <w:t xml:space="preserve"> per the example template in Appendix </w:t>
      </w:r>
      <w:r w:rsidR="00D8117A">
        <w:t>II</w:t>
      </w:r>
      <w:r w:rsidR="003B6019" w:rsidRPr="008C54A5">
        <w:t xml:space="preserve"> in sequence</w:t>
      </w:r>
      <w:r>
        <w:t>, namely</w:t>
      </w:r>
      <w:r w:rsidR="003B6019" w:rsidRPr="008C54A5">
        <w:t>:</w:t>
      </w:r>
    </w:p>
    <w:p w14:paraId="071396A4" w14:textId="75D1EFA9" w:rsidR="003B6019" w:rsidRPr="008C54A5" w:rsidRDefault="003B6019" w:rsidP="003B6019">
      <w:pPr>
        <w:pStyle w:val="enumlev1"/>
      </w:pPr>
      <w:r w:rsidRPr="008C54A5">
        <w:t>–</w:t>
      </w:r>
      <w:r w:rsidRPr="008C54A5">
        <w:tab/>
        <w:t>The incubation allocation part</w:t>
      </w:r>
      <w:r w:rsidR="00DF30B6">
        <w:t>;</w:t>
      </w:r>
    </w:p>
    <w:p w14:paraId="1586B2D9" w14:textId="5D3F0F96" w:rsidR="003B6019" w:rsidRPr="008C54A5" w:rsidRDefault="003B6019" w:rsidP="003B6019">
      <w:pPr>
        <w:pStyle w:val="enumlev1"/>
      </w:pPr>
      <w:r w:rsidRPr="008C54A5">
        <w:t>–</w:t>
      </w:r>
      <w:r w:rsidRPr="008C54A5">
        <w:tab/>
        <w:t>The incubation management part</w:t>
      </w:r>
      <w:r w:rsidR="00DF30B6">
        <w:t>.</w:t>
      </w:r>
    </w:p>
    <w:p w14:paraId="6B87FB2E" w14:textId="7A9CCE94" w:rsidR="003B6019" w:rsidRPr="008C54A5" w:rsidRDefault="003B6019" w:rsidP="003B6019">
      <w:r w:rsidRPr="008C54A5">
        <w:t xml:space="preserve">During the meeting, in the incubation </w:t>
      </w:r>
      <w:bookmarkStart w:id="120" w:name="_Toc49679501"/>
      <w:r w:rsidRPr="008C54A5">
        <w:t>allocation part</w:t>
      </w:r>
      <w:bookmarkEnd w:id="120"/>
      <w:r w:rsidRPr="008C54A5">
        <w:t xml:space="preserve">, the special session </w:t>
      </w:r>
      <w:r w:rsidR="00774EC4">
        <w:t>C</w:t>
      </w:r>
      <w:r w:rsidRPr="008C54A5">
        <w:t>hair:</w:t>
      </w:r>
    </w:p>
    <w:p w14:paraId="5ABC176F" w14:textId="6CADF342" w:rsidR="003B6019" w:rsidRPr="008C54A5" w:rsidRDefault="003B6019" w:rsidP="003B6019">
      <w:pPr>
        <w:pStyle w:val="enumlev1"/>
      </w:pPr>
      <w:r w:rsidRPr="008C54A5">
        <w:t>–</w:t>
      </w:r>
      <w:r w:rsidRPr="008C54A5">
        <w:tab/>
        <w:t>Ask</w:t>
      </w:r>
      <w:r w:rsidR="00DF30B6">
        <w:t>s</w:t>
      </w:r>
      <w:r w:rsidRPr="008C54A5">
        <w:t xml:space="preserve"> the audience </w:t>
      </w:r>
      <w:r w:rsidR="00DF30B6">
        <w:t>whether</w:t>
      </w:r>
      <w:r w:rsidRPr="008C54A5">
        <w:t xml:space="preserve"> there are any missing contributions that should be considered;</w:t>
      </w:r>
    </w:p>
    <w:p w14:paraId="7CDBE3BF" w14:textId="685A0F9A" w:rsidR="003B6019" w:rsidRPr="008C54A5" w:rsidRDefault="003B6019" w:rsidP="003B6019">
      <w:pPr>
        <w:pStyle w:val="enumlev1"/>
      </w:pPr>
      <w:r w:rsidRPr="008C54A5">
        <w:t>–</w:t>
      </w:r>
      <w:r w:rsidRPr="008C54A5">
        <w:tab/>
        <w:t>Goes through the proposed list and for each candidate</w:t>
      </w:r>
      <w:r w:rsidR="00DF30B6">
        <w:t>:</w:t>
      </w:r>
    </w:p>
    <w:p w14:paraId="1ABD2235" w14:textId="774DD292" w:rsidR="003B6019" w:rsidRPr="008C54A5" w:rsidRDefault="009D72DD" w:rsidP="003B6019">
      <w:pPr>
        <w:pStyle w:val="enumlev2"/>
      </w:pPr>
      <w:r w:rsidRPr="009D72DD">
        <w:rPr>
          <w:rFonts w:ascii="Courier New" w:hAnsi="Courier New" w:cs="Courier New"/>
        </w:rPr>
        <w:t>•</w:t>
      </w:r>
      <w:r w:rsidR="003B6019" w:rsidRPr="008C54A5">
        <w:rPr>
          <w:rFonts w:ascii="Courier New" w:hAnsi="Courier New" w:cs="Courier New"/>
        </w:rPr>
        <w:tab/>
      </w:r>
      <w:r w:rsidR="003B6019" w:rsidRPr="008C54A5">
        <w:t>Manages discussion about the reasons why this item is in the candidate list</w:t>
      </w:r>
      <w:r w:rsidR="00DF30B6">
        <w:t>;</w:t>
      </w:r>
    </w:p>
    <w:p w14:paraId="64D5FCA1" w14:textId="586A0601" w:rsidR="003B6019" w:rsidRPr="008C54A5" w:rsidRDefault="009D72DD" w:rsidP="003B6019">
      <w:pPr>
        <w:pStyle w:val="enumlev2"/>
      </w:pPr>
      <w:r w:rsidRPr="009D72DD">
        <w:rPr>
          <w:rFonts w:ascii="Courier New" w:hAnsi="Courier New" w:cs="Courier New"/>
        </w:rPr>
        <w:t>•</w:t>
      </w:r>
      <w:r w:rsidRPr="008C54A5">
        <w:rPr>
          <w:rFonts w:ascii="Courier New" w:hAnsi="Courier New" w:cs="Courier New"/>
        </w:rPr>
        <w:tab/>
      </w:r>
      <w:r w:rsidR="003B6019" w:rsidRPr="008C54A5">
        <w:t>Obtain</w:t>
      </w:r>
      <w:r w:rsidR="00DF30B6">
        <w:t>s</w:t>
      </w:r>
      <w:r w:rsidR="003B6019" w:rsidRPr="008C54A5">
        <w:t xml:space="preserve"> either </w:t>
      </w:r>
      <w:r w:rsidR="00DF30B6">
        <w:t xml:space="preserve">the </w:t>
      </w:r>
      <w:r w:rsidR="003B6019" w:rsidRPr="008C54A5">
        <w:t>meeting</w:t>
      </w:r>
      <w:r w:rsidR="00DF30B6">
        <w:t>'s</w:t>
      </w:r>
      <w:r w:rsidR="003B6019" w:rsidRPr="008C54A5">
        <w:t xml:space="preserve"> agreement to send this candidate to </w:t>
      </w:r>
      <w:r w:rsidR="00DF30B6">
        <w:t xml:space="preserve">the </w:t>
      </w:r>
      <w:r w:rsidR="003B6019" w:rsidRPr="008C54A5">
        <w:t>incubation queue or to allocate it to a final agreed question</w:t>
      </w:r>
      <w:r>
        <w:t>;</w:t>
      </w:r>
    </w:p>
    <w:p w14:paraId="0049A13B" w14:textId="6A764E09" w:rsidR="003B6019" w:rsidRPr="008C54A5" w:rsidRDefault="009D72DD" w:rsidP="003B6019">
      <w:pPr>
        <w:pStyle w:val="enumlev2"/>
      </w:pPr>
      <w:r w:rsidRPr="009D72DD">
        <w:rPr>
          <w:rFonts w:ascii="Courier New" w:hAnsi="Courier New" w:cs="Courier New"/>
        </w:rPr>
        <w:t>•</w:t>
      </w:r>
      <w:r w:rsidRPr="008C54A5">
        <w:rPr>
          <w:rFonts w:ascii="Courier New" w:hAnsi="Courier New" w:cs="Courier New"/>
        </w:rPr>
        <w:tab/>
      </w:r>
      <w:r w:rsidR="00DF30B6">
        <w:t>If</w:t>
      </w:r>
      <w:r w:rsidR="003B6019" w:rsidRPr="008C54A5">
        <w:t xml:space="preserve"> no consensus </w:t>
      </w:r>
      <w:r w:rsidR="00DF30B6" w:rsidRPr="008C54A5">
        <w:t xml:space="preserve">is </w:t>
      </w:r>
      <w:r w:rsidR="003B6019" w:rsidRPr="008C54A5">
        <w:t>obtained, then the status</w:t>
      </w:r>
      <w:r w:rsidR="008C54A5">
        <w:t xml:space="preserve"> </w:t>
      </w:r>
      <w:r w:rsidR="003B6019" w:rsidRPr="008C54A5">
        <w:t xml:space="preserve">quo prevails and the NWI </w:t>
      </w:r>
      <w:r w:rsidR="00DF30B6">
        <w:t>is allocated to</w:t>
      </w:r>
      <w:r w:rsidR="003B6019" w:rsidRPr="008C54A5">
        <w:t xml:space="preserve"> its declared Question.</w:t>
      </w:r>
    </w:p>
    <w:p w14:paraId="23BB07C3" w14:textId="7E6523D7" w:rsidR="003B6019" w:rsidRPr="008C54A5" w:rsidRDefault="003B6019" w:rsidP="003B6019">
      <w:r w:rsidRPr="008C54A5">
        <w:t xml:space="preserve">During the meeting, in the incubation management part, the special session </w:t>
      </w:r>
      <w:r w:rsidR="00774EC4">
        <w:t>C</w:t>
      </w:r>
      <w:r w:rsidRPr="008C54A5">
        <w:t>hair:</w:t>
      </w:r>
    </w:p>
    <w:p w14:paraId="59258793" w14:textId="091CF2AF" w:rsidR="003B6019" w:rsidRPr="008C54A5" w:rsidRDefault="003B6019" w:rsidP="003B6019">
      <w:pPr>
        <w:pStyle w:val="enumlev1"/>
      </w:pPr>
      <w:r w:rsidRPr="008C54A5">
        <w:t>–</w:t>
      </w:r>
      <w:r w:rsidRPr="008C54A5">
        <w:tab/>
        <w:t xml:space="preserve">Identifies the incubation work items in the incubation queue as found in the TD carrying the report </w:t>
      </w:r>
      <w:bookmarkStart w:id="121" w:name="_Toc49679504"/>
      <w:r w:rsidRPr="008C54A5">
        <w:t xml:space="preserve">of the incubation </w:t>
      </w:r>
      <w:bookmarkEnd w:id="121"/>
      <w:r w:rsidRPr="008C54A5">
        <w:t>question</w:t>
      </w:r>
      <w:r w:rsidR="00DF30B6">
        <w:t>;</w:t>
      </w:r>
    </w:p>
    <w:p w14:paraId="0FCF026C" w14:textId="3696D58D" w:rsidR="003B6019" w:rsidRPr="008C54A5" w:rsidRDefault="003B6019" w:rsidP="003B6019">
      <w:pPr>
        <w:pStyle w:val="enumlev1"/>
      </w:pPr>
      <w:r w:rsidRPr="008C54A5">
        <w:t>–</w:t>
      </w:r>
      <w:r w:rsidRPr="008C54A5">
        <w:tab/>
        <w:t>Reads the analysis made in the report by the incubation rapporteur</w:t>
      </w:r>
      <w:r w:rsidR="00DF30B6">
        <w:t>;</w:t>
      </w:r>
    </w:p>
    <w:p w14:paraId="139CB1EB" w14:textId="538B61FB" w:rsidR="003B6019" w:rsidRPr="008C54A5" w:rsidRDefault="003B6019" w:rsidP="003B6019">
      <w:pPr>
        <w:pStyle w:val="enumlev1"/>
      </w:pPr>
      <w:bookmarkStart w:id="122" w:name="_Toc49679505"/>
      <w:r w:rsidRPr="008C54A5">
        <w:t>–</w:t>
      </w:r>
      <w:r w:rsidRPr="008C54A5">
        <w:tab/>
        <w:t>Open</w:t>
      </w:r>
      <w:r w:rsidR="00DF30B6">
        <w:t>s the</w:t>
      </w:r>
      <w:r w:rsidRPr="008C54A5">
        <w:t xml:space="preserve"> discussion for any proposal to reallocate an incubation work item to a final Question</w:t>
      </w:r>
      <w:r w:rsidR="00DF30B6">
        <w:t>;</w:t>
      </w:r>
    </w:p>
    <w:p w14:paraId="7D623F30" w14:textId="253AB945" w:rsidR="003B6019" w:rsidRPr="008C54A5" w:rsidRDefault="003B6019" w:rsidP="003B6019">
      <w:pPr>
        <w:pStyle w:val="enumlev1"/>
      </w:pPr>
      <w:r w:rsidRPr="008C54A5">
        <w:t>–</w:t>
      </w:r>
      <w:r w:rsidRPr="008C54A5">
        <w:tab/>
        <w:t>Discuss</w:t>
      </w:r>
      <w:r w:rsidR="00DF30B6">
        <w:t>es</w:t>
      </w:r>
      <w:r w:rsidRPr="008C54A5">
        <w:t xml:space="preserve"> each request</w:t>
      </w:r>
      <w:r w:rsidR="00DF30B6">
        <w:t>;</w:t>
      </w:r>
    </w:p>
    <w:p w14:paraId="3D1F04D5" w14:textId="57844EFB" w:rsidR="003B6019" w:rsidRPr="008C54A5" w:rsidRDefault="003B6019" w:rsidP="003B6019">
      <w:pPr>
        <w:pStyle w:val="enumlev1"/>
      </w:pPr>
      <w:r w:rsidRPr="008C54A5">
        <w:t>–</w:t>
      </w:r>
      <w:r w:rsidRPr="008C54A5">
        <w:tab/>
        <w:t>Record</w:t>
      </w:r>
      <w:r w:rsidR="00DF30B6">
        <w:t>s</w:t>
      </w:r>
      <w:r w:rsidRPr="008C54A5">
        <w:t xml:space="preserve"> any agreement obtained.</w:t>
      </w:r>
    </w:p>
    <w:p w14:paraId="4B2EA805" w14:textId="4829A672" w:rsidR="003B6019" w:rsidRPr="008C54A5" w:rsidRDefault="003B6019" w:rsidP="009D72DD">
      <w:pPr>
        <w:pStyle w:val="Note"/>
      </w:pPr>
      <w:r w:rsidRPr="008C54A5">
        <w:t>NOTE – Experience shows that TSB can elegantly support this session by making a copy of the special session on incubation agenda, which is then displayed and edited.</w:t>
      </w:r>
      <w:r w:rsidR="00DF30B6">
        <w:t xml:space="preserve"> </w:t>
      </w:r>
      <w:r w:rsidRPr="008C54A5">
        <w:t xml:space="preserve">This allows each decision </w:t>
      </w:r>
      <w:r w:rsidR="00DF30B6">
        <w:t xml:space="preserve">to be noted </w:t>
      </w:r>
      <w:r w:rsidRPr="008C54A5">
        <w:t xml:space="preserve">in the last column of the table named </w:t>
      </w:r>
      <w:r w:rsidR="006D5668">
        <w:t>"</w:t>
      </w:r>
      <w:r w:rsidRPr="008C54A5">
        <w:t xml:space="preserve">Proposed incubation candidate </w:t>
      </w:r>
      <w:r w:rsidR="00D72D06">
        <w:t>NWI</w:t>
      </w:r>
      <w:r w:rsidRPr="008C54A5">
        <w:t xml:space="preserve"> for allocation discussion</w:t>
      </w:r>
      <w:r w:rsidR="006D5668">
        <w:t>"</w:t>
      </w:r>
      <w:r w:rsidRPr="008C54A5">
        <w:t>.</w:t>
      </w:r>
      <w:r w:rsidR="00DF30B6">
        <w:t xml:space="preserve"> </w:t>
      </w:r>
      <w:r w:rsidRPr="008C54A5">
        <w:t>Equally</w:t>
      </w:r>
      <w:r w:rsidR="00DF30B6">
        <w:t>,</w:t>
      </w:r>
      <w:r w:rsidRPr="008C54A5">
        <w:t xml:space="preserve"> results from the reallocation are noted on this file.</w:t>
      </w:r>
    </w:p>
    <w:p w14:paraId="57F0A1CE" w14:textId="2D96CD12" w:rsidR="003B6019" w:rsidRPr="008C54A5" w:rsidRDefault="003B6019" w:rsidP="003B6019">
      <w:r w:rsidRPr="008C54A5">
        <w:t>This amended agenda file can then be immediately sent to all SG17 members via the reflector so that:</w:t>
      </w:r>
    </w:p>
    <w:p w14:paraId="457C3B72" w14:textId="4D780364" w:rsidR="003B6019" w:rsidRPr="008C54A5" w:rsidRDefault="003B6019" w:rsidP="003B6019">
      <w:pPr>
        <w:pStyle w:val="enumlev1"/>
      </w:pPr>
      <w:r w:rsidRPr="008C54A5">
        <w:t>1)</w:t>
      </w:r>
      <w:r w:rsidRPr="008C54A5">
        <w:tab/>
      </w:r>
      <w:r w:rsidR="00DF30B6">
        <w:t>E</w:t>
      </w:r>
      <w:r w:rsidRPr="008C54A5">
        <w:t>very participant has clarity; and</w:t>
      </w:r>
    </w:p>
    <w:p w14:paraId="4A015590" w14:textId="77777777" w:rsidR="003B6019" w:rsidRPr="008C54A5" w:rsidRDefault="003B6019" w:rsidP="003B6019">
      <w:pPr>
        <w:pStyle w:val="enumlev1"/>
      </w:pPr>
      <w:r w:rsidRPr="008C54A5">
        <w:t>2)</w:t>
      </w:r>
      <w:r w:rsidRPr="008C54A5">
        <w:tab/>
        <w:t>Rapporteurs can update their respective agendas with no delays.</w:t>
      </w:r>
    </w:p>
    <w:p w14:paraId="303C444A" w14:textId="0BA9D75F" w:rsidR="003B6019" w:rsidRPr="008C54A5" w:rsidRDefault="003B6019" w:rsidP="003B6019">
      <w:pPr>
        <w:pStyle w:val="Heading3"/>
      </w:pPr>
      <w:bookmarkStart w:id="123" w:name="_Toc49679499"/>
      <w:bookmarkStart w:id="124" w:name="_Toc159915888"/>
      <w:r w:rsidRPr="008C54A5">
        <w:t>6.</w:t>
      </w:r>
      <w:r w:rsidR="00B83FBE">
        <w:t>3</w:t>
      </w:r>
      <w:r w:rsidRPr="008C54A5">
        <w:t>.</w:t>
      </w:r>
      <w:r w:rsidR="00B83FBE">
        <w:t>6</w:t>
      </w:r>
      <w:r w:rsidRPr="008C54A5">
        <w:tab/>
        <w:t>Incubation queue</w:t>
      </w:r>
      <w:bookmarkEnd w:id="123"/>
      <w:r w:rsidRPr="008C54A5">
        <w:t xml:space="preserve"> utili</w:t>
      </w:r>
      <w:r w:rsidR="008C54A5">
        <w:t>z</w:t>
      </w:r>
      <w:r w:rsidRPr="008C54A5">
        <w:t>ation</w:t>
      </w:r>
      <w:bookmarkEnd w:id="124"/>
    </w:p>
    <w:p w14:paraId="13148F98" w14:textId="60C51F1E" w:rsidR="003B6019" w:rsidRPr="008C54A5" w:rsidRDefault="003B6019" w:rsidP="003B6019">
      <w:r w:rsidRPr="008C54A5">
        <w:t>The incubation queue can be used in several ways as it contains the list of incubation work items</w:t>
      </w:r>
      <w:r w:rsidR="00DF30B6">
        <w:t>, because</w:t>
      </w:r>
      <w:r w:rsidRPr="008C54A5">
        <w:t>:</w:t>
      </w:r>
    </w:p>
    <w:p w14:paraId="16D5835A" w14:textId="71903EDE" w:rsidR="003B6019" w:rsidRPr="008C54A5" w:rsidRDefault="003B6019" w:rsidP="003B6019">
      <w:pPr>
        <w:pStyle w:val="enumlev1"/>
      </w:pPr>
      <w:r w:rsidRPr="008C54A5">
        <w:t>–</w:t>
      </w:r>
      <w:r w:rsidRPr="008C54A5">
        <w:tab/>
      </w:r>
      <w:r w:rsidR="00DF30B6">
        <w:t>T</w:t>
      </w:r>
      <w:r w:rsidRPr="008C54A5">
        <w:t>he number of incubation work items is a key information that indicates the workload</w:t>
      </w:r>
      <w:r w:rsidR="00DF30B6">
        <w:t>;</w:t>
      </w:r>
    </w:p>
    <w:p w14:paraId="181CD1F7" w14:textId="42FDC439" w:rsidR="003B6019" w:rsidRPr="008C54A5" w:rsidRDefault="003B6019" w:rsidP="003B6019">
      <w:pPr>
        <w:pStyle w:val="enumlev1"/>
      </w:pPr>
      <w:r w:rsidRPr="008C54A5">
        <w:t>–</w:t>
      </w:r>
      <w:r w:rsidRPr="008C54A5">
        <w:tab/>
      </w:r>
      <w:r w:rsidR="00DF30B6">
        <w:t>T</w:t>
      </w:r>
      <w:r w:rsidRPr="008C54A5">
        <w:t>he number of incubation work items may be used as an indication of SG17 status</w:t>
      </w:r>
      <w:r w:rsidR="00DF30B6">
        <w:t>, as follows</w:t>
      </w:r>
      <w:r w:rsidRPr="008C54A5">
        <w:t>:</w:t>
      </w:r>
    </w:p>
    <w:p w14:paraId="24AFA209" w14:textId="175EA802" w:rsidR="003B6019" w:rsidRPr="008C54A5" w:rsidRDefault="009D72DD" w:rsidP="003B6019">
      <w:pPr>
        <w:pStyle w:val="enumlev2"/>
      </w:pPr>
      <w:r w:rsidRPr="009D72DD">
        <w:rPr>
          <w:rFonts w:ascii="Courier New" w:hAnsi="Courier New" w:cs="Courier New"/>
        </w:rPr>
        <w:t>•</w:t>
      </w:r>
      <w:r w:rsidRPr="008C54A5">
        <w:rPr>
          <w:rFonts w:ascii="Courier New" w:hAnsi="Courier New" w:cs="Courier New"/>
        </w:rPr>
        <w:tab/>
      </w:r>
      <w:r w:rsidR="00DF30B6">
        <w:t>N</w:t>
      </w:r>
      <w:r w:rsidR="003B6019" w:rsidRPr="008C54A5">
        <w:t xml:space="preserve">o incubation work items in the incubation queue indicates that </w:t>
      </w:r>
      <w:r w:rsidR="00DF30B6">
        <w:t xml:space="preserve">the </w:t>
      </w:r>
      <w:r w:rsidR="003B6019" w:rsidRPr="008C54A5">
        <w:t>SG17 structure allows new work</w:t>
      </w:r>
      <w:r w:rsidR="00DF30B6" w:rsidRPr="00DF30B6">
        <w:t xml:space="preserve"> </w:t>
      </w:r>
      <w:r w:rsidR="00DF30B6" w:rsidRPr="008C54A5">
        <w:t xml:space="preserve">to </w:t>
      </w:r>
      <w:r w:rsidR="00DF30B6">
        <w:t xml:space="preserve">be </w:t>
      </w:r>
      <w:r w:rsidR="00DF30B6" w:rsidRPr="008C54A5">
        <w:t>accept</w:t>
      </w:r>
      <w:r w:rsidR="00DF30B6">
        <w:t>ed;</w:t>
      </w:r>
    </w:p>
    <w:p w14:paraId="00E7FAAE" w14:textId="3CEE05A6" w:rsidR="003B6019" w:rsidRPr="008C54A5" w:rsidRDefault="009D72DD" w:rsidP="003B6019">
      <w:pPr>
        <w:pStyle w:val="enumlev2"/>
      </w:pPr>
      <w:r w:rsidRPr="009D72DD">
        <w:rPr>
          <w:rFonts w:ascii="Courier New" w:hAnsi="Courier New" w:cs="Courier New"/>
        </w:rPr>
        <w:t>•</w:t>
      </w:r>
      <w:r w:rsidRPr="008C54A5">
        <w:rPr>
          <w:rFonts w:ascii="Courier New" w:hAnsi="Courier New" w:cs="Courier New"/>
        </w:rPr>
        <w:tab/>
      </w:r>
      <w:r w:rsidR="00DF30B6">
        <w:t>A</w:t>
      </w:r>
      <w:r w:rsidR="003B6019" w:rsidRPr="008C54A5">
        <w:t xml:space="preserve"> few incubation work items in the incubation queue indicates that </w:t>
      </w:r>
      <w:r w:rsidR="00DF30B6">
        <w:t xml:space="preserve">the </w:t>
      </w:r>
      <w:r w:rsidR="003B6019" w:rsidRPr="008C54A5">
        <w:t xml:space="preserve">SG17 structure </w:t>
      </w:r>
      <w:r w:rsidR="00DF30B6">
        <w:t xml:space="preserve">for </w:t>
      </w:r>
      <w:r w:rsidR="003B6019" w:rsidRPr="008C54A5">
        <w:t xml:space="preserve">acceptance for new work </w:t>
      </w:r>
      <w:r w:rsidR="00DF30B6">
        <w:t>is breaking down</w:t>
      </w:r>
      <w:r w:rsidR="003B6019" w:rsidRPr="008C54A5">
        <w:t xml:space="preserve">, otherwise </w:t>
      </w:r>
      <w:r w:rsidR="00DF30B6">
        <w:t xml:space="preserve">the </w:t>
      </w:r>
      <w:r w:rsidR="00D72D06">
        <w:t>NWI</w:t>
      </w:r>
      <w:r w:rsidR="00DF30B6">
        <w:t>s</w:t>
      </w:r>
      <w:r w:rsidR="003B6019" w:rsidRPr="008C54A5">
        <w:t xml:space="preserve"> would be sent to final questions</w:t>
      </w:r>
      <w:r>
        <w:t>;</w:t>
      </w:r>
    </w:p>
    <w:p w14:paraId="5E889CA8" w14:textId="0FF0CABA" w:rsidR="003B6019" w:rsidRPr="008C54A5" w:rsidRDefault="009D72DD" w:rsidP="003B6019">
      <w:pPr>
        <w:pStyle w:val="enumlev2"/>
      </w:pPr>
      <w:r w:rsidRPr="009D72DD">
        <w:rPr>
          <w:rFonts w:ascii="Courier New" w:hAnsi="Courier New" w:cs="Courier New"/>
        </w:rPr>
        <w:t>•</w:t>
      </w:r>
      <w:r w:rsidRPr="008C54A5">
        <w:rPr>
          <w:rFonts w:ascii="Courier New" w:hAnsi="Courier New" w:cs="Courier New"/>
        </w:rPr>
        <w:tab/>
      </w:r>
      <w:r w:rsidR="00DF30B6">
        <w:t>M</w:t>
      </w:r>
      <w:r w:rsidR="003B6019" w:rsidRPr="008C54A5">
        <w:t xml:space="preserve">any incubation work items in the incubation queue indicates that </w:t>
      </w:r>
      <w:r w:rsidR="00DF30B6">
        <w:t xml:space="preserve">the </w:t>
      </w:r>
      <w:r w:rsidR="003B6019" w:rsidRPr="008C54A5">
        <w:t>SG17 structure is not fit for purpose and requires significant changes.</w:t>
      </w:r>
    </w:p>
    <w:p w14:paraId="39EEC2C2" w14:textId="50783110" w:rsidR="003B6019" w:rsidRPr="008C54A5" w:rsidRDefault="003B6019" w:rsidP="003B6019">
      <w:pPr>
        <w:pStyle w:val="enumlev1"/>
      </w:pPr>
      <w:r w:rsidRPr="008C54A5">
        <w:t>–</w:t>
      </w:r>
      <w:r w:rsidRPr="008C54A5">
        <w:tab/>
      </w:r>
      <w:r w:rsidR="00DF30B6">
        <w:t>T</w:t>
      </w:r>
      <w:r w:rsidRPr="008C54A5">
        <w:t xml:space="preserve">he analysis of the incubation work items demonstrates that the Study Group </w:t>
      </w:r>
      <w:r w:rsidR="00DF30B6">
        <w:t xml:space="preserve">has </w:t>
      </w:r>
      <w:r w:rsidRPr="008C54A5">
        <w:t>captured a valuable set of work that may trigger</w:t>
      </w:r>
      <w:r w:rsidR="00DF30B6">
        <w:t>:</w:t>
      </w:r>
    </w:p>
    <w:p w14:paraId="17B256BC" w14:textId="780A31AE" w:rsidR="003B6019" w:rsidRPr="008C54A5" w:rsidRDefault="009D72DD" w:rsidP="003B6019">
      <w:pPr>
        <w:pStyle w:val="enumlev2"/>
      </w:pPr>
      <w:r w:rsidRPr="009D72DD">
        <w:rPr>
          <w:rFonts w:ascii="Courier New" w:hAnsi="Courier New" w:cs="Courier New"/>
        </w:rPr>
        <w:t>•</w:t>
      </w:r>
      <w:r w:rsidRPr="008C54A5">
        <w:rPr>
          <w:rFonts w:ascii="Courier New" w:hAnsi="Courier New" w:cs="Courier New"/>
        </w:rPr>
        <w:tab/>
      </w:r>
      <w:r w:rsidR="00DF30B6">
        <w:t>T</w:t>
      </w:r>
      <w:r w:rsidR="003B6019" w:rsidRPr="008C54A5">
        <w:t>he change of an existing question</w:t>
      </w:r>
      <w:r w:rsidR="00DF30B6">
        <w:t>; or</w:t>
      </w:r>
    </w:p>
    <w:p w14:paraId="2FB61E00" w14:textId="306136A2" w:rsidR="003B6019" w:rsidRPr="008C54A5" w:rsidRDefault="009D72DD" w:rsidP="003B6019">
      <w:pPr>
        <w:pStyle w:val="enumlev2"/>
      </w:pPr>
      <w:r w:rsidRPr="009D72DD">
        <w:rPr>
          <w:rFonts w:ascii="Courier New" w:hAnsi="Courier New" w:cs="Courier New"/>
        </w:rPr>
        <w:t>•</w:t>
      </w:r>
      <w:r w:rsidRPr="008C54A5">
        <w:rPr>
          <w:rFonts w:ascii="Courier New" w:hAnsi="Courier New" w:cs="Courier New"/>
        </w:rPr>
        <w:tab/>
      </w:r>
      <w:r w:rsidR="00DF30B6">
        <w:t>T</w:t>
      </w:r>
      <w:r w:rsidR="003B6019" w:rsidRPr="008C54A5">
        <w:t>he generation of a new question</w:t>
      </w:r>
      <w:r w:rsidR="00DF30B6">
        <w:t>; and/or</w:t>
      </w:r>
    </w:p>
    <w:p w14:paraId="78A9A636" w14:textId="77EDE0EA" w:rsidR="003B6019" w:rsidRPr="008C54A5" w:rsidRDefault="009D72DD" w:rsidP="003B6019">
      <w:pPr>
        <w:pStyle w:val="enumlev2"/>
      </w:pPr>
      <w:r w:rsidRPr="009D72DD">
        <w:rPr>
          <w:rFonts w:ascii="Courier New" w:hAnsi="Courier New" w:cs="Courier New"/>
        </w:rPr>
        <w:t>•</w:t>
      </w:r>
      <w:r w:rsidRPr="008C54A5">
        <w:rPr>
          <w:rFonts w:ascii="Courier New" w:hAnsi="Courier New" w:cs="Courier New"/>
        </w:rPr>
        <w:tab/>
      </w:r>
      <w:r w:rsidR="00DF30B6">
        <w:t>O</w:t>
      </w:r>
      <w:r w:rsidR="003B6019" w:rsidRPr="008C54A5">
        <w:t>ther decisions (e.g., joint meetings)</w:t>
      </w:r>
      <w:r w:rsidR="00DF30B6">
        <w:t>.</w:t>
      </w:r>
    </w:p>
    <w:p w14:paraId="1F5A5902" w14:textId="79DB3DCE" w:rsidR="003B6019" w:rsidRPr="008C54A5" w:rsidRDefault="003B6019" w:rsidP="003B6019">
      <w:pPr>
        <w:pStyle w:val="Note"/>
        <w:ind w:left="794" w:hanging="794"/>
      </w:pPr>
      <w:r w:rsidRPr="008C54A5">
        <w:tab/>
        <w:t xml:space="preserve">NOTE – </w:t>
      </w:r>
      <w:r w:rsidR="00DF30B6">
        <w:t>T</w:t>
      </w:r>
      <w:r w:rsidRPr="008C54A5">
        <w:t xml:space="preserve">he risk to take any of the above decisions is significantly </w:t>
      </w:r>
      <w:r w:rsidR="00DF30B6">
        <w:t xml:space="preserve">lower than it would be </w:t>
      </w:r>
      <w:r w:rsidR="000A048B">
        <w:t xml:space="preserve">if there </w:t>
      </w:r>
      <w:r w:rsidR="00DF30B6">
        <w:t>were there no</w:t>
      </w:r>
      <w:r w:rsidRPr="008C54A5">
        <w:t xml:space="preserve"> incubation mechanism as there is no guessing</w:t>
      </w:r>
      <w:r w:rsidR="00DF30B6">
        <w:t>;</w:t>
      </w:r>
      <w:r w:rsidRPr="008C54A5">
        <w:t xml:space="preserve"> the content of the incubation queue constitutes tangible concrete data of work already developed that may help SG17 to propose a new area of study.</w:t>
      </w:r>
    </w:p>
    <w:p w14:paraId="68157113" w14:textId="77777777" w:rsidR="003B6019" w:rsidRPr="008C54A5" w:rsidRDefault="003B6019" w:rsidP="003B6019">
      <w:pPr>
        <w:pStyle w:val="Heading2"/>
      </w:pPr>
      <w:bookmarkStart w:id="125" w:name="_Toc159915889"/>
      <w:bookmarkStart w:id="126" w:name="_Toc167434360"/>
      <w:bookmarkStart w:id="127" w:name="_Toc172128669"/>
      <w:bookmarkStart w:id="128" w:name="_Toc172128773"/>
      <w:r w:rsidRPr="008C54A5">
        <w:t>6.4</w:t>
      </w:r>
      <w:r w:rsidRPr="008C54A5">
        <w:tab/>
        <w:t>Incubation rapporteur</w:t>
      </w:r>
      <w:bookmarkEnd w:id="122"/>
      <w:bookmarkEnd w:id="125"/>
      <w:bookmarkEnd w:id="126"/>
      <w:bookmarkEnd w:id="127"/>
      <w:bookmarkEnd w:id="128"/>
    </w:p>
    <w:p w14:paraId="199FCD75" w14:textId="6683A3F4" w:rsidR="003B6019" w:rsidRPr="008C54A5" w:rsidRDefault="003B6019" w:rsidP="003B6019">
      <w:r w:rsidRPr="008C54A5">
        <w:t>As the incubation queue can receive arbitrary contribution</w:t>
      </w:r>
      <w:r w:rsidR="00DF30B6">
        <w:t>s</w:t>
      </w:r>
      <w:r w:rsidRPr="008C54A5">
        <w:t xml:space="preserve"> on edge innovation topics</w:t>
      </w:r>
      <w:r w:rsidR="00DF30B6">
        <w:t>,</w:t>
      </w:r>
      <w:r w:rsidRPr="008C54A5">
        <w:t xml:space="preserve"> this imposes some requirements on </w:t>
      </w:r>
      <w:r w:rsidR="00E976A0">
        <w:t xml:space="preserve">the one or more </w:t>
      </w:r>
      <w:r w:rsidRPr="008C54A5">
        <w:t>incubation rapporteurs who manag</w:t>
      </w:r>
      <w:r w:rsidR="00E976A0">
        <w:t>e</w:t>
      </w:r>
      <w:r w:rsidRPr="008C54A5">
        <w:t xml:space="preserve"> the incubation queue in the incubation question.</w:t>
      </w:r>
    </w:p>
    <w:p w14:paraId="2299B608" w14:textId="77777777" w:rsidR="003B6019" w:rsidRPr="008C54A5" w:rsidRDefault="003B6019" w:rsidP="003B6019">
      <w:r w:rsidRPr="008C54A5">
        <w:t>The core requirements for candidates are:</w:t>
      </w:r>
    </w:p>
    <w:p w14:paraId="7DE9110B" w14:textId="1ECDB3D7" w:rsidR="003B6019" w:rsidRPr="008C54A5" w:rsidRDefault="003B6019" w:rsidP="003B6019">
      <w:pPr>
        <w:pStyle w:val="enumlev1"/>
      </w:pPr>
      <w:r w:rsidRPr="008C54A5">
        <w:t>–</w:t>
      </w:r>
      <w:r w:rsidRPr="008C54A5">
        <w:tab/>
      </w:r>
      <w:r w:rsidR="00E976A0">
        <w:t>P</w:t>
      </w:r>
      <w:r w:rsidRPr="008C54A5">
        <w:t xml:space="preserve">roven experience as </w:t>
      </w:r>
      <w:r w:rsidR="00E976A0">
        <w:t xml:space="preserve">a </w:t>
      </w:r>
      <w:r w:rsidRPr="008C54A5">
        <w:t>rapporteur in or outside</w:t>
      </w:r>
      <w:r w:rsidR="00E976A0">
        <w:t xml:space="preserve"> the</w:t>
      </w:r>
      <w:r w:rsidRPr="008C54A5">
        <w:t xml:space="preserve"> ITU</w:t>
      </w:r>
      <w:r w:rsidR="00E976A0">
        <w:t>;</w:t>
      </w:r>
    </w:p>
    <w:p w14:paraId="713FBF6A" w14:textId="5479077C" w:rsidR="003B6019" w:rsidRPr="008C54A5" w:rsidRDefault="003B6019" w:rsidP="003B6019">
      <w:pPr>
        <w:pStyle w:val="enumlev1"/>
      </w:pPr>
      <w:r w:rsidRPr="008C54A5">
        <w:t>–</w:t>
      </w:r>
      <w:r w:rsidRPr="008C54A5">
        <w:tab/>
      </w:r>
      <w:r w:rsidR="00E976A0">
        <w:t xml:space="preserve">A </w:t>
      </w:r>
      <w:r w:rsidRPr="008C54A5">
        <w:t xml:space="preserve">high </w:t>
      </w:r>
      <w:r w:rsidR="00E976A0">
        <w:t xml:space="preserve">level of </w:t>
      </w:r>
      <w:r w:rsidRPr="008C54A5">
        <w:t>expertise in core security</w:t>
      </w:r>
      <w:r w:rsidR="00E976A0">
        <w:t>;</w:t>
      </w:r>
    </w:p>
    <w:p w14:paraId="359F3F6B" w14:textId="610209F0" w:rsidR="003B6019" w:rsidRPr="008C54A5" w:rsidRDefault="003B6019" w:rsidP="003B6019">
      <w:pPr>
        <w:pStyle w:val="enumlev1"/>
      </w:pPr>
      <w:r w:rsidRPr="008C54A5">
        <w:t>–</w:t>
      </w:r>
      <w:r w:rsidRPr="008C54A5">
        <w:tab/>
      </w:r>
      <w:r w:rsidR="00E976A0">
        <w:t xml:space="preserve">A </w:t>
      </w:r>
      <w:r w:rsidRPr="008C54A5">
        <w:t xml:space="preserve">high </w:t>
      </w:r>
      <w:r w:rsidR="00E976A0">
        <w:t xml:space="preserve">level of </w:t>
      </w:r>
      <w:r w:rsidRPr="008C54A5">
        <w:t>expertise in innovation management and associated topics.</w:t>
      </w:r>
    </w:p>
    <w:p w14:paraId="3950B3BA" w14:textId="7F08C914" w:rsidR="003B6019" w:rsidRPr="008C54A5" w:rsidRDefault="003B6019" w:rsidP="003B6019">
      <w:pPr>
        <w:pStyle w:val="enumlev1"/>
      </w:pPr>
      <w:r w:rsidRPr="008C54A5">
        <w:t xml:space="preserve">The </w:t>
      </w:r>
      <w:r w:rsidR="00E976A0" w:rsidRPr="008C54A5">
        <w:t xml:space="preserve">nomination </w:t>
      </w:r>
      <w:r w:rsidR="00E976A0">
        <w:t xml:space="preserve">of the one or more </w:t>
      </w:r>
      <w:r w:rsidRPr="008C54A5">
        <w:t>incubation rapporteurs follows SG17 rules.</w:t>
      </w:r>
    </w:p>
    <w:p w14:paraId="680BC7D3" w14:textId="354C6C8B" w:rsidR="003B6019" w:rsidRPr="008C54A5" w:rsidRDefault="003B6019" w:rsidP="003B6019">
      <w:pPr>
        <w:pStyle w:val="enumlev1"/>
        <w:keepNext/>
        <w:keepLines/>
      </w:pPr>
      <w:r w:rsidRPr="008C54A5">
        <w:t xml:space="preserve">The only specific additional tasks for </w:t>
      </w:r>
      <w:r w:rsidR="00E976A0">
        <w:t>any</w:t>
      </w:r>
      <w:r w:rsidR="00E976A0" w:rsidRPr="008C54A5">
        <w:t xml:space="preserve"> </w:t>
      </w:r>
      <w:r w:rsidRPr="008C54A5">
        <w:t xml:space="preserve">incubation rapporteur </w:t>
      </w:r>
      <w:r w:rsidR="00E976A0">
        <w:t>is</w:t>
      </w:r>
      <w:r w:rsidRPr="008C54A5">
        <w:t>:</w:t>
      </w:r>
    </w:p>
    <w:p w14:paraId="26FDE104" w14:textId="4FECE012" w:rsidR="003B6019" w:rsidRPr="008C54A5" w:rsidRDefault="003B6019" w:rsidP="003B6019">
      <w:pPr>
        <w:pStyle w:val="enumlev1"/>
      </w:pPr>
      <w:r w:rsidRPr="008C54A5">
        <w:t>–</w:t>
      </w:r>
      <w:r w:rsidRPr="008C54A5">
        <w:tab/>
      </w:r>
      <w:r w:rsidR="00E976A0">
        <w:t>He or she</w:t>
      </w:r>
      <w:r w:rsidRPr="008C54A5">
        <w:t xml:space="preserve"> must produce a specific status report as part of the incubation question report.</w:t>
      </w:r>
    </w:p>
    <w:p w14:paraId="74AE177D" w14:textId="77777777" w:rsidR="003B6019" w:rsidRPr="008C54A5" w:rsidRDefault="003B6019" w:rsidP="003B6019">
      <w:pPr>
        <w:pStyle w:val="enumlev1"/>
      </w:pPr>
      <w:r w:rsidRPr="008C54A5">
        <w:t>–</w:t>
      </w:r>
      <w:r w:rsidRPr="008C54A5">
        <w:tab/>
        <w:t>This report must:</w:t>
      </w:r>
    </w:p>
    <w:p w14:paraId="55C809B9" w14:textId="0F26DB1D" w:rsidR="003B6019" w:rsidRPr="008C54A5" w:rsidRDefault="009D72DD" w:rsidP="003B6019">
      <w:pPr>
        <w:pStyle w:val="enumlev2"/>
      </w:pPr>
      <w:r w:rsidRPr="009D72DD">
        <w:rPr>
          <w:rFonts w:ascii="Courier New" w:hAnsi="Courier New" w:cs="Courier New"/>
        </w:rPr>
        <w:t>•</w:t>
      </w:r>
      <w:r w:rsidRPr="008C54A5">
        <w:rPr>
          <w:rFonts w:ascii="Courier New" w:hAnsi="Courier New" w:cs="Courier New"/>
        </w:rPr>
        <w:tab/>
      </w:r>
      <w:r w:rsidR="00E976A0">
        <w:t>C</w:t>
      </w:r>
      <w:r w:rsidR="003B6019" w:rsidRPr="008C54A5">
        <w:t>ontain the number of incubation work item</w:t>
      </w:r>
      <w:r w:rsidR="00E976A0">
        <w:t>s;</w:t>
      </w:r>
    </w:p>
    <w:p w14:paraId="7629ED06" w14:textId="3A82F60A" w:rsidR="003B6019" w:rsidRPr="008C54A5" w:rsidRDefault="009D72DD" w:rsidP="003B6019">
      <w:pPr>
        <w:pStyle w:val="enumlev2"/>
      </w:pPr>
      <w:r w:rsidRPr="009D72DD">
        <w:rPr>
          <w:rFonts w:ascii="Courier New" w:hAnsi="Courier New" w:cs="Courier New"/>
        </w:rPr>
        <w:t>•</w:t>
      </w:r>
      <w:r w:rsidRPr="008C54A5">
        <w:rPr>
          <w:rFonts w:ascii="Courier New" w:hAnsi="Courier New" w:cs="Courier New"/>
        </w:rPr>
        <w:tab/>
      </w:r>
      <w:r w:rsidR="00E976A0">
        <w:t>L</w:t>
      </w:r>
      <w:r w:rsidR="003B6019" w:rsidRPr="008C54A5">
        <w:t>ist each new work item in the incubation queue.</w:t>
      </w:r>
    </w:p>
    <w:p w14:paraId="4176F1D2" w14:textId="77777777" w:rsidR="003B6019" w:rsidRPr="008C54A5" w:rsidRDefault="003B6019" w:rsidP="003B6019">
      <w:pPr>
        <w:pStyle w:val="enumlev1"/>
      </w:pPr>
      <w:r w:rsidRPr="008C54A5">
        <w:t>–</w:t>
      </w:r>
      <w:r w:rsidRPr="008C54A5">
        <w:tab/>
        <w:t>This report may:</w:t>
      </w:r>
    </w:p>
    <w:p w14:paraId="0B27DBD6" w14:textId="3F5DECB4" w:rsidR="003B6019" w:rsidRPr="00E976A0" w:rsidRDefault="009D72DD" w:rsidP="003B6019">
      <w:pPr>
        <w:pStyle w:val="enumlev2"/>
      </w:pPr>
      <w:r w:rsidRPr="009D72DD">
        <w:rPr>
          <w:rFonts w:ascii="Courier New" w:hAnsi="Courier New" w:cs="Courier New"/>
        </w:rPr>
        <w:t>•</w:t>
      </w:r>
      <w:r w:rsidRPr="008C54A5">
        <w:rPr>
          <w:rFonts w:ascii="Courier New" w:hAnsi="Courier New" w:cs="Courier New"/>
        </w:rPr>
        <w:tab/>
      </w:r>
      <w:r w:rsidR="00E976A0" w:rsidRPr="00E976A0">
        <w:t>C</w:t>
      </w:r>
      <w:r w:rsidR="003B6019" w:rsidRPr="00E976A0">
        <w:t>ontain an analysis of the queue</w:t>
      </w:r>
      <w:r w:rsidR="00E976A0" w:rsidRPr="00E976A0">
        <w:t>;</w:t>
      </w:r>
    </w:p>
    <w:p w14:paraId="13294C5B" w14:textId="571CCB1B" w:rsidR="003B6019" w:rsidRPr="00E976A0" w:rsidRDefault="009D72DD" w:rsidP="003B6019">
      <w:pPr>
        <w:pStyle w:val="enumlev2"/>
      </w:pPr>
      <w:r w:rsidRPr="009D72DD">
        <w:rPr>
          <w:rFonts w:ascii="Courier New" w:hAnsi="Courier New" w:cs="Courier New"/>
        </w:rPr>
        <w:t>•</w:t>
      </w:r>
      <w:r w:rsidRPr="008C54A5">
        <w:rPr>
          <w:rFonts w:ascii="Courier New" w:hAnsi="Courier New" w:cs="Courier New"/>
        </w:rPr>
        <w:tab/>
      </w:r>
      <w:r w:rsidR="00E976A0" w:rsidRPr="009D72DD">
        <w:t xml:space="preserve">In particular, </w:t>
      </w:r>
      <w:r w:rsidR="003B6019" w:rsidRPr="00E976A0">
        <w:t xml:space="preserve">alert SG17 </w:t>
      </w:r>
      <w:r w:rsidR="00E976A0" w:rsidRPr="00E976A0">
        <w:t xml:space="preserve">on the current and expected growth </w:t>
      </w:r>
      <w:r w:rsidR="00E976A0">
        <w:t>o</w:t>
      </w:r>
      <w:r w:rsidR="003B6019" w:rsidRPr="00E976A0">
        <w:t>f the incubation queue</w:t>
      </w:r>
      <w:r w:rsidR="00E976A0">
        <w:t>;</w:t>
      </w:r>
    </w:p>
    <w:p w14:paraId="3262E799" w14:textId="3195CAFA" w:rsidR="003B6019" w:rsidRPr="00E976A0" w:rsidRDefault="009D72DD" w:rsidP="003B6019">
      <w:pPr>
        <w:pStyle w:val="enumlev2"/>
      </w:pPr>
      <w:r w:rsidRPr="009D72DD">
        <w:rPr>
          <w:rFonts w:ascii="Courier New" w:hAnsi="Courier New" w:cs="Courier New"/>
        </w:rPr>
        <w:t>•</w:t>
      </w:r>
      <w:r w:rsidRPr="008C54A5">
        <w:rPr>
          <w:rFonts w:ascii="Courier New" w:hAnsi="Courier New" w:cs="Courier New"/>
        </w:rPr>
        <w:tab/>
      </w:r>
      <w:r w:rsidR="00E976A0">
        <w:t>I</w:t>
      </w:r>
      <w:r w:rsidR="003B6019" w:rsidRPr="00E976A0">
        <w:t xml:space="preserve">dentify </w:t>
      </w:r>
      <w:r w:rsidR="00E976A0">
        <w:t xml:space="preserve">the </w:t>
      </w:r>
      <w:r w:rsidR="003B6019" w:rsidRPr="00E976A0">
        <w:t xml:space="preserve">emergence of </w:t>
      </w:r>
      <w:r w:rsidR="00E976A0" w:rsidRPr="00E976A0">
        <w:t xml:space="preserve">any </w:t>
      </w:r>
      <w:r w:rsidR="003B6019" w:rsidRPr="00E976A0">
        <w:t>particular category of study that could be relevant for any SG17 restructuring parallel activity, including potential Question text change, e.g., to offload the incubation queue</w:t>
      </w:r>
      <w:r w:rsidR="00E976A0">
        <w:t>;</w:t>
      </w:r>
    </w:p>
    <w:p w14:paraId="175B9653" w14:textId="4801D6AF" w:rsidR="003B6019" w:rsidRPr="00E976A0" w:rsidRDefault="009D72DD" w:rsidP="003B6019">
      <w:pPr>
        <w:pStyle w:val="enumlev2"/>
      </w:pPr>
      <w:r w:rsidRPr="009D72DD">
        <w:rPr>
          <w:rFonts w:ascii="Courier New" w:hAnsi="Courier New" w:cs="Courier New"/>
        </w:rPr>
        <w:t>•</w:t>
      </w:r>
      <w:r w:rsidRPr="008C54A5">
        <w:rPr>
          <w:rFonts w:ascii="Courier New" w:hAnsi="Courier New" w:cs="Courier New"/>
        </w:rPr>
        <w:tab/>
      </w:r>
      <w:r w:rsidR="00E976A0">
        <w:t>I</w:t>
      </w:r>
      <w:r w:rsidR="003B6019" w:rsidRPr="00E976A0">
        <w:t>dentify any potential incubation work item candidate for incubation reallocation at the next meeting.</w:t>
      </w:r>
    </w:p>
    <w:p w14:paraId="2FA2BB68" w14:textId="5B3C6AA5" w:rsidR="003B6019" w:rsidRPr="008C54A5" w:rsidRDefault="003B6019" w:rsidP="003B6019">
      <w:r w:rsidRPr="008C54A5">
        <w:t>Finally, the incubation rapporteur is encouraged to participate in the relevant correspondence group about the short, mid</w:t>
      </w:r>
      <w:r w:rsidR="001C73C5">
        <w:t xml:space="preserve"> and</w:t>
      </w:r>
      <w:r w:rsidRPr="008C54A5">
        <w:t xml:space="preserve"> long-term transformation of SG17.</w:t>
      </w:r>
    </w:p>
    <w:p w14:paraId="10FC42AD" w14:textId="540A211B" w:rsidR="003B6019" w:rsidRPr="008C54A5" w:rsidRDefault="003B6019" w:rsidP="003B6019">
      <w:pPr>
        <w:rPr>
          <w:sz w:val="28"/>
        </w:rPr>
      </w:pPr>
      <w:r w:rsidRPr="008C54A5">
        <w:t>As by</w:t>
      </w:r>
      <w:r w:rsidR="00E976A0">
        <w:t xml:space="preserve"> its</w:t>
      </w:r>
      <w:r w:rsidRPr="008C54A5">
        <w:t xml:space="preserve"> nature the incubation mechanism is a way to innovate, it is expected that the probability that contributors and editors will be new to ITU-T or even to standardization as a whole is very high. </w:t>
      </w:r>
      <w:r w:rsidR="00E976A0">
        <w:t>The i</w:t>
      </w:r>
      <w:r w:rsidRPr="008C54A5">
        <w:t>ncubation rapporteur may direct newcomers to materials for newcomers as well as relevant tutorials that are prepared by TSB and SG17 leadership.</w:t>
      </w:r>
      <w:bookmarkStart w:id="129" w:name="_Toc159810119"/>
      <w:bookmarkStart w:id="130" w:name="_Toc159810120"/>
      <w:bookmarkStart w:id="131" w:name="_Toc159810121"/>
      <w:bookmarkStart w:id="132" w:name="_Toc159810122"/>
      <w:bookmarkStart w:id="133" w:name="_Toc49679506"/>
      <w:bookmarkEnd w:id="129"/>
      <w:bookmarkEnd w:id="130"/>
      <w:bookmarkEnd w:id="131"/>
      <w:bookmarkEnd w:id="132"/>
    </w:p>
    <w:p w14:paraId="38969BAC" w14:textId="77777777" w:rsidR="003B6019" w:rsidRPr="000C08BE" w:rsidRDefault="003B6019" w:rsidP="000C08BE">
      <w:bookmarkStart w:id="134" w:name="_Toc49679523"/>
      <w:r w:rsidRPr="008C54A5">
        <w:br w:type="page"/>
      </w:r>
    </w:p>
    <w:p w14:paraId="04DEF180" w14:textId="018B93C1" w:rsidR="003B6019" w:rsidRPr="008C54A5" w:rsidRDefault="003B6019" w:rsidP="003B6019">
      <w:pPr>
        <w:pStyle w:val="AppendixNoTitle0"/>
      </w:pPr>
      <w:bookmarkStart w:id="135" w:name="_Toc167434361"/>
      <w:bookmarkStart w:id="136" w:name="_Toc172128670"/>
      <w:bookmarkStart w:id="137" w:name="_Toc172128774"/>
      <w:r w:rsidRPr="008C54A5">
        <w:t xml:space="preserve">Appendix </w:t>
      </w:r>
      <w:r w:rsidR="00B83FBE">
        <w:t>I</w:t>
      </w:r>
      <w:r w:rsidRPr="008C54A5">
        <w:br/>
      </w:r>
      <w:r w:rsidRPr="008C54A5">
        <w:br/>
      </w:r>
      <w:r w:rsidR="00960859">
        <w:t>T</w:t>
      </w:r>
      <w:r w:rsidRPr="008C54A5">
        <w:t xml:space="preserve">emplate to support the reporting of the incubation mechanism </w:t>
      </w:r>
      <w:r w:rsidRPr="008C54A5">
        <w:br/>
        <w:t>in the incubation question report</w:t>
      </w:r>
      <w:bookmarkEnd w:id="134"/>
      <w:bookmarkEnd w:id="135"/>
      <w:bookmarkEnd w:id="136"/>
      <w:bookmarkEnd w:id="137"/>
    </w:p>
    <w:p w14:paraId="77E37112" w14:textId="634172A2" w:rsidR="003B6019" w:rsidRPr="008C54A5" w:rsidRDefault="003B6019" w:rsidP="003B6019">
      <w:pPr>
        <w:pStyle w:val="Normalaftertitle"/>
      </w:pPr>
      <w:r w:rsidRPr="008C54A5">
        <w:t>The following is a</w:t>
      </w:r>
      <w:r w:rsidR="00960859">
        <w:t>n</w:t>
      </w:r>
      <w:r w:rsidRPr="008C54A5">
        <w:t xml:space="preserve"> example text to be included in the incubation question report to document the status and assessment of the incubation mechanism for consideration in the working party closing plenary and then potentially in the </w:t>
      </w:r>
      <w:r w:rsidR="0036584C">
        <w:t>S</w:t>
      </w:r>
      <w:r w:rsidRPr="008C54A5">
        <w:t xml:space="preserve">tudy </w:t>
      </w:r>
      <w:r w:rsidR="0036584C">
        <w:t>G</w:t>
      </w:r>
      <w:r w:rsidRPr="008C54A5">
        <w:t>roup closing plenary.</w:t>
      </w:r>
    </w:p>
    <w:p w14:paraId="6B75BADE" w14:textId="6F841ED8" w:rsidR="003B6019" w:rsidRPr="008C54A5" w:rsidRDefault="003B6019" w:rsidP="003B6019">
      <w:r w:rsidRPr="008C54A5">
        <w:t xml:space="preserve">For sake of clarity, this template example text was </w:t>
      </w:r>
      <w:r w:rsidR="00960859">
        <w:t>created when</w:t>
      </w:r>
      <w:r w:rsidR="00960859" w:rsidRPr="008C54A5">
        <w:t xml:space="preserve"> </w:t>
      </w:r>
      <w:r w:rsidRPr="008C54A5">
        <w:t>Q4 was the incubation question</w:t>
      </w:r>
      <w:r w:rsidR="00960859">
        <w:t>;</w:t>
      </w:r>
      <w:r w:rsidRPr="008C54A5">
        <w:t xml:space="preserve"> the incubation mechanism might be hosted by another question.</w:t>
      </w:r>
    </w:p>
    <w:p w14:paraId="1E8ED641" w14:textId="77777777" w:rsidR="003B6019" w:rsidRPr="008C54A5" w:rsidRDefault="003B6019" w:rsidP="003B6019">
      <w:r w:rsidRPr="008C54A5">
        <w:t>All variable elements are marked in yellow.</w:t>
      </w:r>
    </w:p>
    <w:p w14:paraId="68BE3BF9" w14:textId="77777777" w:rsidR="003B6019" w:rsidRPr="008C54A5" w:rsidRDefault="003B6019" w:rsidP="003B6019">
      <w:pPr>
        <w:pStyle w:val="Headingb"/>
      </w:pPr>
      <w:r w:rsidRPr="008C54A5">
        <w:rPr>
          <w:highlight w:val="yellow"/>
        </w:rPr>
        <w:t>Q4</w:t>
      </w:r>
      <w:r w:rsidRPr="008C54A5">
        <w:t xml:space="preserve"> incubation mechanism report</w:t>
      </w:r>
    </w:p>
    <w:p w14:paraId="650FC0C8" w14:textId="5D1D1F14" w:rsidR="003B6019" w:rsidRPr="008C54A5" w:rsidRDefault="003B6019" w:rsidP="003B6019">
      <w:r w:rsidRPr="008C54A5">
        <w:rPr>
          <w:highlight w:val="yellow"/>
        </w:rPr>
        <w:t>Q4</w:t>
      </w:r>
      <w:r w:rsidRPr="008C54A5">
        <w:t xml:space="preserve"> hosts the incubation management part of the incubation mechanism as described in ITU-T Technical Paper (202</w:t>
      </w:r>
      <w:r w:rsidRPr="008C54A5">
        <w:rPr>
          <w:highlight w:val="yellow"/>
        </w:rPr>
        <w:t>0</w:t>
      </w:r>
      <w:r w:rsidRPr="008C54A5">
        <w:t xml:space="preserve">), </w:t>
      </w:r>
      <w:r w:rsidRPr="008C54A5">
        <w:rPr>
          <w:i/>
          <w:iCs/>
        </w:rPr>
        <w:t>Strategic approaches to the transformation of security studies</w:t>
      </w:r>
      <w:r w:rsidR="00960859">
        <w:t>.</w:t>
      </w:r>
    </w:p>
    <w:p w14:paraId="2863A621" w14:textId="77777777" w:rsidR="003B6019" w:rsidRPr="008C54A5" w:rsidRDefault="003B6019" w:rsidP="003B6019">
      <w:pPr>
        <w:pStyle w:val="Headingb"/>
      </w:pPr>
      <w:r w:rsidRPr="008C54A5">
        <w:rPr>
          <w:highlight w:val="yellow"/>
        </w:rPr>
        <w:t>Q4</w:t>
      </w:r>
      <w:r w:rsidRPr="008C54A5">
        <w:t xml:space="preserve"> incubation rapporteur(s) in charge of incubation management in this SG17 meeting</w:t>
      </w:r>
    </w:p>
    <w:p w14:paraId="11E901EE" w14:textId="77777777" w:rsidR="003B6019" w:rsidRPr="008C54A5" w:rsidRDefault="003B6019" w:rsidP="003B6019">
      <w:r w:rsidRPr="008C54A5">
        <w:rPr>
          <w:highlight w:val="yellow"/>
        </w:rPr>
        <w:t>Q4</w:t>
      </w:r>
      <w:r w:rsidRPr="008C54A5">
        <w:t xml:space="preserve"> incubation rapporteur(s) in charge of incubation management in this SG17 meeting is (are):</w:t>
      </w:r>
    </w:p>
    <w:p w14:paraId="32FBB4F2" w14:textId="3D56CAA3" w:rsidR="003B6019" w:rsidRPr="008C54A5" w:rsidRDefault="003B6019" w:rsidP="003B6019">
      <w:pPr>
        <w:rPr>
          <w:i/>
        </w:rPr>
      </w:pPr>
      <w:r w:rsidRPr="008C54A5">
        <w:rPr>
          <w:i/>
        </w:rPr>
        <w:t>First</w:t>
      </w:r>
      <w:r w:rsidR="001C73C5">
        <w:rPr>
          <w:i/>
        </w:rPr>
        <w:t xml:space="preserve"> </w:t>
      </w:r>
      <w:r w:rsidRPr="008C54A5">
        <w:rPr>
          <w:i/>
        </w:rPr>
        <w:t xml:space="preserve">name, </w:t>
      </w:r>
      <w:r w:rsidR="001807FD">
        <w:rPr>
          <w:i/>
        </w:rPr>
        <w:t>n</w:t>
      </w:r>
      <w:r w:rsidRPr="008C54A5">
        <w:rPr>
          <w:i/>
        </w:rPr>
        <w:t xml:space="preserve">ame, </w:t>
      </w:r>
      <w:r w:rsidR="001807FD">
        <w:rPr>
          <w:i/>
        </w:rPr>
        <w:t>a</w:t>
      </w:r>
      <w:r w:rsidRPr="008C54A5">
        <w:rPr>
          <w:i/>
        </w:rPr>
        <w:t xml:space="preserve">ffiliation, </w:t>
      </w:r>
      <w:r w:rsidR="001807FD">
        <w:rPr>
          <w:i/>
        </w:rPr>
        <w:t>c</w:t>
      </w:r>
      <w:r w:rsidRPr="008C54A5">
        <w:rPr>
          <w:i/>
        </w:rPr>
        <w:t>ountry</w:t>
      </w:r>
    </w:p>
    <w:p w14:paraId="7D596534" w14:textId="77777777" w:rsidR="003B6019" w:rsidRPr="008C54A5" w:rsidRDefault="003B6019" w:rsidP="003B6019">
      <w:pPr>
        <w:pStyle w:val="Headingb"/>
      </w:pPr>
      <w:r w:rsidRPr="008C54A5">
        <w:t>Status of the incubation queue</w:t>
      </w:r>
    </w:p>
    <w:p w14:paraId="698C6C0E" w14:textId="45A8A9F4" w:rsidR="003B6019" w:rsidRPr="008C54A5" w:rsidRDefault="003B6019" w:rsidP="003B6019">
      <w:r w:rsidRPr="008C54A5">
        <w:t xml:space="preserve">The incubation queue contains </w:t>
      </w:r>
      <w:r w:rsidR="008C54A5">
        <w:rPr>
          <w:highlight w:val="yellow"/>
        </w:rPr>
        <w:t>eight</w:t>
      </w:r>
      <w:r w:rsidRPr="008C54A5">
        <w:t xml:space="preserve"> work items under development as of </w:t>
      </w:r>
      <w:r w:rsidRPr="008C54A5">
        <w:rPr>
          <w:highlight w:val="yellow"/>
        </w:rPr>
        <w:t>19 July 2019</w:t>
      </w:r>
      <w:r w:rsidR="0002770A">
        <w:t xml:space="preserve"> (see Table I.1)</w:t>
      </w:r>
      <w:r w:rsidRPr="008C54A5">
        <w:t>.</w:t>
      </w:r>
    </w:p>
    <w:p w14:paraId="4B1A5224" w14:textId="01C1BDA6" w:rsidR="003B6019" w:rsidRPr="008C54A5" w:rsidRDefault="003B6019" w:rsidP="003B6019">
      <w:pPr>
        <w:pStyle w:val="TableNoTitle0"/>
      </w:pPr>
      <w:bookmarkStart w:id="138" w:name="_Toc49679529"/>
      <w:r w:rsidRPr="008C54A5">
        <w:t xml:space="preserve">Table </w:t>
      </w:r>
      <w:r w:rsidR="0002770A">
        <w:t>I.1</w:t>
      </w:r>
      <w:r w:rsidRPr="008C54A5">
        <w:t xml:space="preserve"> – Status of the incubation queue</w:t>
      </w:r>
      <w:bookmarkEnd w:id="13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836"/>
        <w:gridCol w:w="6809"/>
      </w:tblGrid>
      <w:tr w:rsidR="003B6019" w:rsidRPr="008C54A5" w14:paraId="3101609E" w14:textId="77777777" w:rsidTr="009D72DD">
        <w:trPr>
          <w:jc w:val="center"/>
        </w:trPr>
        <w:tc>
          <w:tcPr>
            <w:tcW w:w="994" w:type="dxa"/>
            <w:shd w:val="clear" w:color="auto" w:fill="auto"/>
          </w:tcPr>
          <w:p w14:paraId="4BCE0EFC" w14:textId="77777777" w:rsidR="003B6019" w:rsidRPr="008C54A5" w:rsidRDefault="003B6019" w:rsidP="00087537">
            <w:pPr>
              <w:pStyle w:val="Tablehead"/>
              <w:rPr>
                <w:szCs w:val="22"/>
              </w:rPr>
            </w:pPr>
            <w:r w:rsidRPr="008C54A5">
              <w:rPr>
                <w:szCs w:val="22"/>
              </w:rPr>
              <w:t>TD</w:t>
            </w:r>
          </w:p>
        </w:tc>
        <w:tc>
          <w:tcPr>
            <w:tcW w:w="1836" w:type="dxa"/>
            <w:shd w:val="clear" w:color="auto" w:fill="auto"/>
          </w:tcPr>
          <w:p w14:paraId="3B21C691" w14:textId="77777777" w:rsidR="003B6019" w:rsidRPr="008C54A5" w:rsidRDefault="003B6019" w:rsidP="00087537">
            <w:pPr>
              <w:pStyle w:val="Tablehead"/>
              <w:rPr>
                <w:szCs w:val="22"/>
              </w:rPr>
            </w:pPr>
            <w:r w:rsidRPr="008C54A5">
              <w:rPr>
                <w:szCs w:val="22"/>
              </w:rPr>
              <w:t>Work Item</w:t>
            </w:r>
          </w:p>
        </w:tc>
        <w:tc>
          <w:tcPr>
            <w:tcW w:w="6809" w:type="dxa"/>
            <w:shd w:val="clear" w:color="auto" w:fill="auto"/>
          </w:tcPr>
          <w:p w14:paraId="19CB8D88" w14:textId="77777777" w:rsidR="003B6019" w:rsidRPr="008C54A5" w:rsidRDefault="003B6019" w:rsidP="00087537">
            <w:pPr>
              <w:pStyle w:val="Tablehead"/>
              <w:rPr>
                <w:szCs w:val="22"/>
              </w:rPr>
            </w:pPr>
            <w:r w:rsidRPr="008C54A5">
              <w:rPr>
                <w:szCs w:val="22"/>
              </w:rPr>
              <w:t>Title</w:t>
            </w:r>
          </w:p>
        </w:tc>
      </w:tr>
      <w:tr w:rsidR="003B6019" w:rsidRPr="008C54A5" w14:paraId="7F0D249A" w14:textId="77777777" w:rsidTr="009D72DD">
        <w:trPr>
          <w:jc w:val="center"/>
        </w:trPr>
        <w:tc>
          <w:tcPr>
            <w:tcW w:w="994" w:type="dxa"/>
          </w:tcPr>
          <w:p w14:paraId="1CE44872" w14:textId="16239948" w:rsidR="003B6019" w:rsidRPr="008C54A5" w:rsidRDefault="001109F9" w:rsidP="00087537">
            <w:pPr>
              <w:pStyle w:val="Tabletext"/>
              <w:rPr>
                <w:szCs w:val="22"/>
                <w:highlight w:val="yellow"/>
              </w:rPr>
            </w:pPr>
            <w:hyperlink r:id="rId24" w:history="1">
              <w:r w:rsidR="003B6019" w:rsidRPr="008C54A5">
                <w:rPr>
                  <w:rStyle w:val="Hyperlink"/>
                  <w:szCs w:val="22"/>
                  <w:highlight w:val="yellow"/>
                </w:rPr>
                <w:t>TD1981</w:t>
              </w:r>
            </w:hyperlink>
          </w:p>
        </w:tc>
        <w:tc>
          <w:tcPr>
            <w:tcW w:w="1836" w:type="dxa"/>
          </w:tcPr>
          <w:p w14:paraId="7CBBF5FB" w14:textId="77777777" w:rsidR="003B6019" w:rsidRPr="008C54A5" w:rsidRDefault="003B6019" w:rsidP="00087537">
            <w:pPr>
              <w:pStyle w:val="Tabletext"/>
              <w:rPr>
                <w:szCs w:val="22"/>
                <w:highlight w:val="yellow"/>
              </w:rPr>
            </w:pPr>
            <w:r w:rsidRPr="008C54A5">
              <w:rPr>
                <w:szCs w:val="22"/>
                <w:highlight w:val="yellow"/>
              </w:rPr>
              <w:t>TP.inno</w:t>
            </w:r>
          </w:p>
        </w:tc>
        <w:tc>
          <w:tcPr>
            <w:tcW w:w="6809" w:type="dxa"/>
          </w:tcPr>
          <w:p w14:paraId="51D8A3B4" w14:textId="77777777" w:rsidR="003B6019" w:rsidRPr="008C54A5" w:rsidRDefault="003B6019" w:rsidP="00087537">
            <w:pPr>
              <w:pStyle w:val="Tabletext"/>
              <w:rPr>
                <w:szCs w:val="22"/>
                <w:highlight w:val="yellow"/>
              </w:rPr>
            </w:pPr>
            <w:r w:rsidRPr="008C54A5">
              <w:rPr>
                <w:szCs w:val="22"/>
                <w:highlight w:val="yellow"/>
              </w:rPr>
              <w:t>Description of the incubation mechanism and ways to improve it</w:t>
            </w:r>
          </w:p>
        </w:tc>
      </w:tr>
      <w:tr w:rsidR="003B6019" w:rsidRPr="008C54A5" w14:paraId="7FAC5B88" w14:textId="77777777" w:rsidTr="009D72DD">
        <w:trPr>
          <w:jc w:val="center"/>
        </w:trPr>
        <w:tc>
          <w:tcPr>
            <w:tcW w:w="994" w:type="dxa"/>
          </w:tcPr>
          <w:p w14:paraId="36421D95" w14:textId="77777777" w:rsidR="003B6019" w:rsidRPr="008C54A5" w:rsidRDefault="001109F9" w:rsidP="00087537">
            <w:pPr>
              <w:pStyle w:val="Tabletext"/>
              <w:rPr>
                <w:szCs w:val="22"/>
                <w:highlight w:val="yellow"/>
              </w:rPr>
            </w:pPr>
            <w:hyperlink r:id="rId25" w:history="1">
              <w:r w:rsidR="003B6019" w:rsidRPr="008C54A5">
                <w:rPr>
                  <w:rStyle w:val="Hyperlink"/>
                  <w:szCs w:val="22"/>
                  <w:highlight w:val="yellow"/>
                </w:rPr>
                <w:t>TD1982</w:t>
              </w:r>
            </w:hyperlink>
          </w:p>
        </w:tc>
        <w:tc>
          <w:tcPr>
            <w:tcW w:w="1836" w:type="dxa"/>
          </w:tcPr>
          <w:p w14:paraId="2175BDDD" w14:textId="77777777" w:rsidR="003B6019" w:rsidRPr="008C54A5" w:rsidRDefault="003B6019" w:rsidP="00087537">
            <w:pPr>
              <w:pStyle w:val="Tabletext"/>
              <w:rPr>
                <w:szCs w:val="22"/>
                <w:highlight w:val="yellow"/>
              </w:rPr>
            </w:pPr>
            <w:r w:rsidRPr="008C54A5">
              <w:rPr>
                <w:szCs w:val="22"/>
                <w:highlight w:val="yellow"/>
              </w:rPr>
              <w:t>TP.sgstruct</w:t>
            </w:r>
          </w:p>
        </w:tc>
        <w:tc>
          <w:tcPr>
            <w:tcW w:w="6809" w:type="dxa"/>
          </w:tcPr>
          <w:p w14:paraId="3D018DDE" w14:textId="77777777" w:rsidR="003B6019" w:rsidRPr="008C54A5" w:rsidRDefault="003B6019" w:rsidP="00087537">
            <w:pPr>
              <w:pStyle w:val="Tabletext"/>
              <w:rPr>
                <w:szCs w:val="22"/>
                <w:highlight w:val="yellow"/>
              </w:rPr>
            </w:pPr>
            <w:r w:rsidRPr="008C54A5">
              <w:rPr>
                <w:szCs w:val="22"/>
                <w:highlight w:val="yellow"/>
              </w:rPr>
              <w:t>Strategic approaches to the transformation of security studies</w:t>
            </w:r>
          </w:p>
        </w:tc>
      </w:tr>
      <w:tr w:rsidR="003B6019" w:rsidRPr="008C54A5" w14:paraId="7F4874AC" w14:textId="77777777" w:rsidTr="009D72DD">
        <w:trPr>
          <w:jc w:val="center"/>
        </w:trPr>
        <w:tc>
          <w:tcPr>
            <w:tcW w:w="994" w:type="dxa"/>
          </w:tcPr>
          <w:p w14:paraId="1240611A" w14:textId="77777777" w:rsidR="003B6019" w:rsidRPr="008C54A5" w:rsidRDefault="001109F9" w:rsidP="00087537">
            <w:pPr>
              <w:pStyle w:val="Tabletext"/>
              <w:rPr>
                <w:szCs w:val="22"/>
                <w:highlight w:val="yellow"/>
              </w:rPr>
            </w:pPr>
            <w:hyperlink r:id="rId26" w:history="1">
              <w:r w:rsidR="003B6019" w:rsidRPr="008C54A5">
                <w:rPr>
                  <w:rStyle w:val="Hyperlink"/>
                  <w:szCs w:val="22"/>
                  <w:highlight w:val="yellow"/>
                </w:rPr>
                <w:t>TD1950</w:t>
              </w:r>
            </w:hyperlink>
          </w:p>
        </w:tc>
        <w:tc>
          <w:tcPr>
            <w:tcW w:w="1836" w:type="dxa"/>
          </w:tcPr>
          <w:p w14:paraId="4AD9DD1D" w14:textId="77777777" w:rsidR="003B6019" w:rsidRPr="008C54A5" w:rsidRDefault="003B6019" w:rsidP="00087537">
            <w:pPr>
              <w:pStyle w:val="Tabletext"/>
              <w:rPr>
                <w:szCs w:val="22"/>
                <w:highlight w:val="yellow"/>
              </w:rPr>
            </w:pPr>
            <w:r w:rsidRPr="008C54A5">
              <w:rPr>
                <w:szCs w:val="22"/>
                <w:highlight w:val="yellow"/>
              </w:rPr>
              <w:t>TR.sec-qkd</w:t>
            </w:r>
          </w:p>
        </w:tc>
        <w:tc>
          <w:tcPr>
            <w:tcW w:w="6809" w:type="dxa"/>
          </w:tcPr>
          <w:p w14:paraId="230483FE" w14:textId="77777777" w:rsidR="003B6019" w:rsidRPr="008C54A5" w:rsidRDefault="003B6019" w:rsidP="00087537">
            <w:pPr>
              <w:pStyle w:val="Tabletext"/>
              <w:rPr>
                <w:szCs w:val="22"/>
                <w:highlight w:val="yellow"/>
              </w:rPr>
            </w:pPr>
            <w:r w:rsidRPr="008C54A5">
              <w:rPr>
                <w:szCs w:val="22"/>
                <w:highlight w:val="yellow"/>
              </w:rPr>
              <w:t>Technical report on security framework for quantum key distribution in telecom network</w:t>
            </w:r>
          </w:p>
        </w:tc>
      </w:tr>
      <w:tr w:rsidR="003B6019" w:rsidRPr="008C54A5" w14:paraId="544CBB1F" w14:textId="77777777" w:rsidTr="009D72DD">
        <w:trPr>
          <w:jc w:val="center"/>
        </w:trPr>
        <w:tc>
          <w:tcPr>
            <w:tcW w:w="994" w:type="dxa"/>
          </w:tcPr>
          <w:p w14:paraId="19B0DCAE" w14:textId="77777777" w:rsidR="003B6019" w:rsidRPr="008C54A5" w:rsidRDefault="001109F9" w:rsidP="00087537">
            <w:pPr>
              <w:pStyle w:val="Tabletext"/>
              <w:rPr>
                <w:szCs w:val="22"/>
                <w:highlight w:val="yellow"/>
              </w:rPr>
            </w:pPr>
            <w:hyperlink r:id="rId27" w:history="1">
              <w:r w:rsidR="003B6019" w:rsidRPr="008C54A5">
                <w:rPr>
                  <w:rStyle w:val="Hyperlink"/>
                  <w:szCs w:val="22"/>
                  <w:highlight w:val="yellow"/>
                </w:rPr>
                <w:t>TD2250</w:t>
              </w:r>
            </w:hyperlink>
          </w:p>
        </w:tc>
        <w:tc>
          <w:tcPr>
            <w:tcW w:w="1836" w:type="dxa"/>
          </w:tcPr>
          <w:p w14:paraId="310EABCB" w14:textId="77777777" w:rsidR="003B6019" w:rsidRPr="008C54A5" w:rsidRDefault="003B6019" w:rsidP="00087537">
            <w:pPr>
              <w:pStyle w:val="Tabletext"/>
              <w:rPr>
                <w:szCs w:val="22"/>
                <w:highlight w:val="yellow"/>
              </w:rPr>
            </w:pPr>
            <w:r w:rsidRPr="008C54A5">
              <w:rPr>
                <w:szCs w:val="22"/>
                <w:highlight w:val="yellow"/>
              </w:rPr>
              <w:t>X.cg-QKDN</w:t>
            </w:r>
          </w:p>
        </w:tc>
        <w:tc>
          <w:tcPr>
            <w:tcW w:w="6809" w:type="dxa"/>
          </w:tcPr>
          <w:p w14:paraId="1AE16783" w14:textId="73315748" w:rsidR="003B6019" w:rsidRPr="008C54A5" w:rsidRDefault="003B6019" w:rsidP="00087537">
            <w:pPr>
              <w:pStyle w:val="Tabletext"/>
              <w:rPr>
                <w:szCs w:val="22"/>
                <w:highlight w:val="yellow"/>
              </w:rPr>
            </w:pPr>
            <w:r w:rsidRPr="008C54A5">
              <w:rPr>
                <w:szCs w:val="22"/>
                <w:highlight w:val="yellow"/>
              </w:rPr>
              <w:t xml:space="preserve">Use of cryptographic functions on a key generated in </w:t>
            </w:r>
            <w:r w:rsidR="00960859">
              <w:rPr>
                <w:szCs w:val="22"/>
                <w:highlight w:val="yellow"/>
              </w:rPr>
              <w:t>q</w:t>
            </w:r>
            <w:r w:rsidRPr="008C54A5">
              <w:rPr>
                <w:szCs w:val="22"/>
                <w:highlight w:val="yellow"/>
              </w:rPr>
              <w:t xml:space="preserve">uantum </w:t>
            </w:r>
            <w:r w:rsidR="00960859">
              <w:rPr>
                <w:szCs w:val="22"/>
                <w:highlight w:val="yellow"/>
              </w:rPr>
              <w:t>k</w:t>
            </w:r>
            <w:r w:rsidRPr="008C54A5">
              <w:rPr>
                <w:szCs w:val="22"/>
                <w:highlight w:val="yellow"/>
              </w:rPr>
              <w:t xml:space="preserve">ey </w:t>
            </w:r>
            <w:r w:rsidR="00960859">
              <w:rPr>
                <w:szCs w:val="22"/>
                <w:highlight w:val="yellow"/>
              </w:rPr>
              <w:t>d</w:t>
            </w:r>
            <w:r w:rsidRPr="008C54A5">
              <w:rPr>
                <w:szCs w:val="22"/>
                <w:highlight w:val="yellow"/>
              </w:rPr>
              <w:t>istribution networks</w:t>
            </w:r>
          </w:p>
        </w:tc>
      </w:tr>
      <w:tr w:rsidR="003B6019" w:rsidRPr="008C54A5" w14:paraId="416C6D39" w14:textId="77777777" w:rsidTr="009D72DD">
        <w:trPr>
          <w:jc w:val="center"/>
        </w:trPr>
        <w:tc>
          <w:tcPr>
            <w:tcW w:w="994" w:type="dxa"/>
          </w:tcPr>
          <w:p w14:paraId="1EB36663" w14:textId="77777777" w:rsidR="003B6019" w:rsidRPr="008C54A5" w:rsidRDefault="001109F9" w:rsidP="00087537">
            <w:pPr>
              <w:pStyle w:val="Tabletext"/>
              <w:rPr>
                <w:szCs w:val="22"/>
                <w:highlight w:val="yellow"/>
              </w:rPr>
            </w:pPr>
            <w:hyperlink r:id="rId28" w:history="1">
              <w:r w:rsidR="003B6019" w:rsidRPr="008C54A5">
                <w:rPr>
                  <w:rStyle w:val="Hyperlink"/>
                  <w:szCs w:val="22"/>
                  <w:highlight w:val="yellow"/>
                </w:rPr>
                <w:t>TD2228</w:t>
              </w:r>
            </w:hyperlink>
          </w:p>
        </w:tc>
        <w:tc>
          <w:tcPr>
            <w:tcW w:w="1836" w:type="dxa"/>
          </w:tcPr>
          <w:p w14:paraId="636B9A70" w14:textId="77777777" w:rsidR="003B6019" w:rsidRPr="008C54A5" w:rsidRDefault="003B6019" w:rsidP="00087537">
            <w:pPr>
              <w:pStyle w:val="Tabletext"/>
              <w:rPr>
                <w:szCs w:val="22"/>
                <w:highlight w:val="yellow"/>
              </w:rPr>
            </w:pPr>
            <w:r w:rsidRPr="008C54A5">
              <w:rPr>
                <w:szCs w:val="22"/>
                <w:highlight w:val="yellow"/>
              </w:rPr>
              <w:t>X.qrng-a</w:t>
            </w:r>
          </w:p>
        </w:tc>
        <w:tc>
          <w:tcPr>
            <w:tcW w:w="6809" w:type="dxa"/>
          </w:tcPr>
          <w:p w14:paraId="3210968D" w14:textId="77777777" w:rsidR="003B6019" w:rsidRPr="008C54A5" w:rsidRDefault="003B6019" w:rsidP="00087537">
            <w:pPr>
              <w:pStyle w:val="Tabletext"/>
              <w:rPr>
                <w:szCs w:val="22"/>
                <w:highlight w:val="yellow"/>
              </w:rPr>
            </w:pPr>
            <w:r w:rsidRPr="008C54A5">
              <w:rPr>
                <w:szCs w:val="22"/>
                <w:highlight w:val="yellow"/>
              </w:rPr>
              <w:t>Quantum noise random number generator architecture</w:t>
            </w:r>
          </w:p>
        </w:tc>
      </w:tr>
      <w:tr w:rsidR="003B6019" w:rsidRPr="008C54A5" w14:paraId="41568854" w14:textId="77777777" w:rsidTr="009D72DD">
        <w:trPr>
          <w:jc w:val="center"/>
        </w:trPr>
        <w:tc>
          <w:tcPr>
            <w:tcW w:w="994" w:type="dxa"/>
          </w:tcPr>
          <w:p w14:paraId="77A700EA" w14:textId="77777777" w:rsidR="003B6019" w:rsidRPr="008C54A5" w:rsidRDefault="001109F9" w:rsidP="00087537">
            <w:pPr>
              <w:pStyle w:val="Tabletext"/>
              <w:rPr>
                <w:szCs w:val="22"/>
                <w:highlight w:val="yellow"/>
              </w:rPr>
            </w:pPr>
            <w:hyperlink r:id="rId29" w:history="1">
              <w:r w:rsidR="003B6019" w:rsidRPr="008C54A5">
                <w:rPr>
                  <w:rStyle w:val="Hyperlink"/>
                  <w:szCs w:val="22"/>
                  <w:highlight w:val="yellow"/>
                </w:rPr>
                <w:t>TD1880</w:t>
              </w:r>
            </w:hyperlink>
          </w:p>
        </w:tc>
        <w:tc>
          <w:tcPr>
            <w:tcW w:w="1836" w:type="dxa"/>
          </w:tcPr>
          <w:p w14:paraId="5CDB0FB6" w14:textId="77777777" w:rsidR="003B6019" w:rsidRPr="008C54A5" w:rsidRDefault="003B6019" w:rsidP="00087537">
            <w:pPr>
              <w:pStyle w:val="Tabletext"/>
              <w:rPr>
                <w:szCs w:val="22"/>
                <w:highlight w:val="yellow"/>
              </w:rPr>
            </w:pPr>
            <w:r w:rsidRPr="008C54A5">
              <w:rPr>
                <w:szCs w:val="22"/>
                <w:highlight w:val="yellow"/>
              </w:rPr>
              <w:t>X.rdmase</w:t>
            </w:r>
          </w:p>
        </w:tc>
        <w:tc>
          <w:tcPr>
            <w:tcW w:w="6809" w:type="dxa"/>
          </w:tcPr>
          <w:p w14:paraId="5AF698F3" w14:textId="69A56AB3" w:rsidR="003B6019" w:rsidRPr="008C54A5" w:rsidRDefault="003B6019" w:rsidP="00087537">
            <w:pPr>
              <w:pStyle w:val="Tabletext"/>
              <w:rPr>
                <w:szCs w:val="22"/>
                <w:highlight w:val="yellow"/>
              </w:rPr>
            </w:pPr>
            <w:r w:rsidRPr="008C54A5">
              <w:rPr>
                <w:szCs w:val="22"/>
                <w:highlight w:val="yellow"/>
              </w:rPr>
              <w:t xml:space="preserve">Requirements and </w:t>
            </w:r>
            <w:r w:rsidR="00960859">
              <w:rPr>
                <w:szCs w:val="22"/>
                <w:highlight w:val="yellow"/>
              </w:rPr>
              <w:t>g</w:t>
            </w:r>
            <w:r w:rsidRPr="008C54A5">
              <w:rPr>
                <w:szCs w:val="22"/>
                <w:highlight w:val="yellow"/>
              </w:rPr>
              <w:t xml:space="preserve">uidelines for </w:t>
            </w:r>
            <w:r w:rsidR="00960859">
              <w:rPr>
                <w:szCs w:val="22"/>
                <w:highlight w:val="yellow"/>
              </w:rPr>
              <w:t>d</w:t>
            </w:r>
            <w:r w:rsidRPr="008C54A5">
              <w:rPr>
                <w:szCs w:val="22"/>
                <w:highlight w:val="yellow"/>
              </w:rPr>
              <w:t xml:space="preserve">ynamic </w:t>
            </w:r>
            <w:r w:rsidR="00960859">
              <w:rPr>
                <w:szCs w:val="22"/>
                <w:highlight w:val="yellow"/>
              </w:rPr>
              <w:t>m</w:t>
            </w:r>
            <w:r w:rsidRPr="008C54A5">
              <w:rPr>
                <w:szCs w:val="22"/>
                <w:highlight w:val="yellow"/>
              </w:rPr>
              <w:t xml:space="preserve">alware </w:t>
            </w:r>
            <w:r w:rsidR="00960859">
              <w:rPr>
                <w:szCs w:val="22"/>
                <w:highlight w:val="yellow"/>
              </w:rPr>
              <w:t>a</w:t>
            </w:r>
            <w:r w:rsidRPr="008C54A5">
              <w:rPr>
                <w:szCs w:val="22"/>
                <w:highlight w:val="yellow"/>
              </w:rPr>
              <w:t xml:space="preserve">nalysis in a </w:t>
            </w:r>
            <w:r w:rsidR="00960859">
              <w:rPr>
                <w:szCs w:val="22"/>
                <w:highlight w:val="yellow"/>
              </w:rPr>
              <w:t>s</w:t>
            </w:r>
            <w:r w:rsidRPr="008C54A5">
              <w:rPr>
                <w:szCs w:val="22"/>
                <w:highlight w:val="yellow"/>
              </w:rPr>
              <w:t xml:space="preserve">andbox </w:t>
            </w:r>
            <w:r w:rsidR="00960859">
              <w:rPr>
                <w:szCs w:val="22"/>
                <w:highlight w:val="yellow"/>
              </w:rPr>
              <w:t>e</w:t>
            </w:r>
            <w:r w:rsidRPr="008C54A5">
              <w:rPr>
                <w:szCs w:val="22"/>
                <w:highlight w:val="yellow"/>
              </w:rPr>
              <w:t>nvironment</w:t>
            </w:r>
          </w:p>
        </w:tc>
      </w:tr>
      <w:tr w:rsidR="003B6019" w:rsidRPr="008C54A5" w14:paraId="5F08D656" w14:textId="77777777" w:rsidTr="009D72DD">
        <w:trPr>
          <w:jc w:val="center"/>
        </w:trPr>
        <w:tc>
          <w:tcPr>
            <w:tcW w:w="994" w:type="dxa"/>
          </w:tcPr>
          <w:p w14:paraId="2FB8E77E" w14:textId="77777777" w:rsidR="003B6019" w:rsidRPr="008C54A5" w:rsidRDefault="001109F9" w:rsidP="00087537">
            <w:pPr>
              <w:pStyle w:val="Tabletext"/>
              <w:rPr>
                <w:szCs w:val="22"/>
                <w:highlight w:val="yellow"/>
              </w:rPr>
            </w:pPr>
            <w:hyperlink r:id="rId30" w:history="1">
              <w:r w:rsidR="003B6019" w:rsidRPr="008C54A5">
                <w:rPr>
                  <w:rStyle w:val="Hyperlink"/>
                  <w:szCs w:val="22"/>
                  <w:highlight w:val="yellow"/>
                </w:rPr>
                <w:t>TD2248</w:t>
              </w:r>
            </w:hyperlink>
          </w:p>
        </w:tc>
        <w:tc>
          <w:tcPr>
            <w:tcW w:w="1836" w:type="dxa"/>
          </w:tcPr>
          <w:p w14:paraId="6395929B" w14:textId="77777777" w:rsidR="003B6019" w:rsidRPr="008C54A5" w:rsidRDefault="003B6019" w:rsidP="00087537">
            <w:pPr>
              <w:pStyle w:val="Tabletext"/>
              <w:rPr>
                <w:szCs w:val="22"/>
                <w:highlight w:val="yellow"/>
              </w:rPr>
            </w:pPr>
            <w:r w:rsidRPr="008C54A5">
              <w:rPr>
                <w:szCs w:val="22"/>
                <w:highlight w:val="yellow"/>
              </w:rPr>
              <w:t>X.sec-QKDN-km</w:t>
            </w:r>
          </w:p>
        </w:tc>
        <w:tc>
          <w:tcPr>
            <w:tcW w:w="6809" w:type="dxa"/>
          </w:tcPr>
          <w:p w14:paraId="7C26293C" w14:textId="77777777" w:rsidR="003B6019" w:rsidRPr="008C54A5" w:rsidRDefault="003B6019" w:rsidP="00087537">
            <w:pPr>
              <w:pStyle w:val="Tabletext"/>
              <w:rPr>
                <w:szCs w:val="22"/>
                <w:highlight w:val="yellow"/>
              </w:rPr>
            </w:pPr>
            <w:r w:rsidRPr="008C54A5">
              <w:rPr>
                <w:szCs w:val="22"/>
                <w:highlight w:val="yellow"/>
              </w:rPr>
              <w:t>Security requirements for quantum key distribution – key management</w:t>
            </w:r>
          </w:p>
        </w:tc>
      </w:tr>
      <w:tr w:rsidR="003B6019" w:rsidRPr="008C54A5" w14:paraId="505AD47C" w14:textId="77777777" w:rsidTr="009D72DD">
        <w:trPr>
          <w:jc w:val="center"/>
        </w:trPr>
        <w:tc>
          <w:tcPr>
            <w:tcW w:w="994" w:type="dxa"/>
          </w:tcPr>
          <w:p w14:paraId="71137EAD" w14:textId="77777777" w:rsidR="003B6019" w:rsidRPr="008C54A5" w:rsidRDefault="001109F9" w:rsidP="00087537">
            <w:pPr>
              <w:pStyle w:val="Tabletext"/>
              <w:rPr>
                <w:szCs w:val="22"/>
                <w:highlight w:val="yellow"/>
              </w:rPr>
            </w:pPr>
            <w:hyperlink r:id="rId31" w:history="1">
              <w:r w:rsidR="003B6019" w:rsidRPr="008C54A5">
                <w:rPr>
                  <w:rStyle w:val="Hyperlink"/>
                  <w:szCs w:val="22"/>
                  <w:highlight w:val="yellow"/>
                </w:rPr>
                <w:t>TD2249</w:t>
              </w:r>
            </w:hyperlink>
          </w:p>
        </w:tc>
        <w:tc>
          <w:tcPr>
            <w:tcW w:w="1836" w:type="dxa"/>
          </w:tcPr>
          <w:p w14:paraId="13EFA019" w14:textId="77777777" w:rsidR="003B6019" w:rsidRPr="008C54A5" w:rsidRDefault="003B6019" w:rsidP="00087537">
            <w:pPr>
              <w:pStyle w:val="Tabletext"/>
              <w:rPr>
                <w:szCs w:val="22"/>
                <w:highlight w:val="yellow"/>
              </w:rPr>
            </w:pPr>
            <w:r w:rsidRPr="008C54A5">
              <w:rPr>
                <w:szCs w:val="22"/>
                <w:highlight w:val="yellow"/>
              </w:rPr>
              <w:t>X.sec-QKDN-ov</w:t>
            </w:r>
          </w:p>
        </w:tc>
        <w:tc>
          <w:tcPr>
            <w:tcW w:w="6809" w:type="dxa"/>
          </w:tcPr>
          <w:p w14:paraId="6ADD8C43" w14:textId="3949BF51" w:rsidR="003B6019" w:rsidRPr="008C54A5" w:rsidRDefault="003B6019" w:rsidP="00087537">
            <w:pPr>
              <w:pStyle w:val="Tabletext"/>
              <w:rPr>
                <w:szCs w:val="22"/>
              </w:rPr>
            </w:pPr>
            <w:r w:rsidRPr="008C54A5">
              <w:rPr>
                <w:szCs w:val="22"/>
                <w:highlight w:val="yellow"/>
              </w:rPr>
              <w:t>Security requirements for quantum key distribution networks – overview</w:t>
            </w:r>
          </w:p>
        </w:tc>
      </w:tr>
    </w:tbl>
    <w:p w14:paraId="4796737C" w14:textId="77777777" w:rsidR="003B6019" w:rsidRPr="008C54A5" w:rsidRDefault="003B6019" w:rsidP="003B6019">
      <w:pPr>
        <w:pStyle w:val="Headingb"/>
      </w:pPr>
      <w:r w:rsidRPr="008C54A5">
        <w:t>Consensus on work items to be reallocated to their final questions</w:t>
      </w:r>
    </w:p>
    <w:p w14:paraId="71D93F19" w14:textId="2947F5C6" w:rsidR="003B6019" w:rsidRPr="008C54A5" w:rsidRDefault="003B6019" w:rsidP="003B6019">
      <w:r w:rsidRPr="008C54A5">
        <w:rPr>
          <w:highlight w:val="yellow"/>
        </w:rPr>
        <w:t>Q4</w:t>
      </w:r>
      <w:r w:rsidRPr="008C54A5">
        <w:t xml:space="preserve"> </w:t>
      </w:r>
      <w:r w:rsidR="00960859">
        <w:t>agreed at the meeting</w:t>
      </w:r>
      <w:r w:rsidRPr="008C54A5">
        <w:t xml:space="preserve"> to present the following work items to be proposed for reallocation to their final Questions at </w:t>
      </w:r>
      <w:r w:rsidR="00960859">
        <w:t xml:space="preserve">the </w:t>
      </w:r>
      <w:r w:rsidRPr="008C54A5">
        <w:t>SG17 closing plenary</w:t>
      </w:r>
      <w:r w:rsidR="0002770A">
        <w:t xml:space="preserve"> (see Table I.2)</w:t>
      </w:r>
      <w:r w:rsidRPr="008C54A5">
        <w:t>.</w:t>
      </w:r>
    </w:p>
    <w:p w14:paraId="3656A73B" w14:textId="3F1FB055" w:rsidR="003B6019" w:rsidRPr="008C54A5" w:rsidRDefault="003B6019" w:rsidP="003B6019">
      <w:pPr>
        <w:pStyle w:val="TableNoTitle0"/>
      </w:pPr>
      <w:r w:rsidRPr="008C54A5">
        <w:t xml:space="preserve">Table </w:t>
      </w:r>
      <w:r w:rsidR="0002770A">
        <w:t>I.2</w:t>
      </w:r>
      <w:r w:rsidRPr="008C54A5">
        <w:t xml:space="preserve"> – Incubation reallocation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4869"/>
        <w:gridCol w:w="3213"/>
      </w:tblGrid>
      <w:tr w:rsidR="003B6019" w:rsidRPr="008C54A5" w14:paraId="56BE01DA" w14:textId="77777777" w:rsidTr="00087537">
        <w:trPr>
          <w:jc w:val="center"/>
        </w:trPr>
        <w:tc>
          <w:tcPr>
            <w:tcW w:w="1555" w:type="dxa"/>
            <w:shd w:val="clear" w:color="auto" w:fill="auto"/>
          </w:tcPr>
          <w:p w14:paraId="355A53BB" w14:textId="77777777" w:rsidR="003B6019" w:rsidRPr="008C54A5" w:rsidRDefault="003B6019" w:rsidP="00087537">
            <w:pPr>
              <w:pStyle w:val="Tablehead"/>
            </w:pPr>
            <w:r w:rsidRPr="008C54A5">
              <w:t>Work item</w:t>
            </w:r>
          </w:p>
        </w:tc>
        <w:tc>
          <w:tcPr>
            <w:tcW w:w="4864" w:type="dxa"/>
            <w:shd w:val="clear" w:color="auto" w:fill="auto"/>
          </w:tcPr>
          <w:p w14:paraId="654B09D8" w14:textId="77777777" w:rsidR="003B6019" w:rsidRPr="008C54A5" w:rsidRDefault="003B6019" w:rsidP="00087537">
            <w:pPr>
              <w:pStyle w:val="Tablehead"/>
            </w:pPr>
            <w:r w:rsidRPr="008C54A5">
              <w:t>Title</w:t>
            </w:r>
          </w:p>
        </w:tc>
        <w:tc>
          <w:tcPr>
            <w:tcW w:w="3210" w:type="dxa"/>
            <w:shd w:val="clear" w:color="auto" w:fill="auto"/>
          </w:tcPr>
          <w:p w14:paraId="0AC5864E" w14:textId="77777777" w:rsidR="003B6019" w:rsidRPr="008C54A5" w:rsidRDefault="003B6019" w:rsidP="00087537">
            <w:pPr>
              <w:pStyle w:val="Tablehead"/>
            </w:pPr>
            <w:r w:rsidRPr="008C54A5">
              <w:t>To be moved to question</w:t>
            </w:r>
          </w:p>
        </w:tc>
      </w:tr>
      <w:tr w:rsidR="003B6019" w:rsidRPr="008C54A5" w14:paraId="08D857EB" w14:textId="77777777" w:rsidTr="00087537">
        <w:trPr>
          <w:jc w:val="center"/>
        </w:trPr>
        <w:tc>
          <w:tcPr>
            <w:tcW w:w="1555" w:type="dxa"/>
          </w:tcPr>
          <w:p w14:paraId="5259E5C8" w14:textId="77777777" w:rsidR="003B6019" w:rsidRPr="008C54A5" w:rsidRDefault="003B6019" w:rsidP="00087537">
            <w:pPr>
              <w:pStyle w:val="Tabletext"/>
            </w:pPr>
          </w:p>
        </w:tc>
        <w:tc>
          <w:tcPr>
            <w:tcW w:w="4864" w:type="dxa"/>
          </w:tcPr>
          <w:p w14:paraId="5DD0FE79" w14:textId="77777777" w:rsidR="003B6019" w:rsidRPr="008C54A5" w:rsidRDefault="003B6019" w:rsidP="00087537">
            <w:pPr>
              <w:pStyle w:val="Tabletext"/>
            </w:pPr>
          </w:p>
        </w:tc>
        <w:tc>
          <w:tcPr>
            <w:tcW w:w="3210" w:type="dxa"/>
          </w:tcPr>
          <w:p w14:paraId="35BF5979" w14:textId="77777777" w:rsidR="003B6019" w:rsidRPr="008C54A5" w:rsidRDefault="003B6019" w:rsidP="00087537">
            <w:pPr>
              <w:pStyle w:val="Tabletext"/>
            </w:pPr>
          </w:p>
        </w:tc>
      </w:tr>
      <w:tr w:rsidR="003B6019" w:rsidRPr="008C54A5" w14:paraId="76A0454C" w14:textId="77777777" w:rsidTr="00087537">
        <w:trPr>
          <w:jc w:val="center"/>
        </w:trPr>
        <w:tc>
          <w:tcPr>
            <w:tcW w:w="1555" w:type="dxa"/>
          </w:tcPr>
          <w:p w14:paraId="6EB1877E" w14:textId="77777777" w:rsidR="003B6019" w:rsidRPr="008C54A5" w:rsidRDefault="003B6019" w:rsidP="00087537">
            <w:pPr>
              <w:pStyle w:val="Tabletext"/>
            </w:pPr>
          </w:p>
        </w:tc>
        <w:tc>
          <w:tcPr>
            <w:tcW w:w="4864" w:type="dxa"/>
          </w:tcPr>
          <w:p w14:paraId="2BA7E4A9" w14:textId="77777777" w:rsidR="003B6019" w:rsidRPr="008C54A5" w:rsidRDefault="003B6019" w:rsidP="00087537">
            <w:pPr>
              <w:pStyle w:val="Tabletext"/>
            </w:pPr>
          </w:p>
        </w:tc>
        <w:tc>
          <w:tcPr>
            <w:tcW w:w="3210" w:type="dxa"/>
          </w:tcPr>
          <w:p w14:paraId="62FBF2D8" w14:textId="77777777" w:rsidR="003B6019" w:rsidRPr="008C54A5" w:rsidRDefault="003B6019" w:rsidP="00087537">
            <w:pPr>
              <w:pStyle w:val="Tabletext"/>
            </w:pPr>
          </w:p>
        </w:tc>
      </w:tr>
    </w:tbl>
    <w:p w14:paraId="7D8F65F9" w14:textId="77777777" w:rsidR="003B6019" w:rsidRPr="008C54A5" w:rsidRDefault="003B6019" w:rsidP="003B6019">
      <w:pPr>
        <w:pStyle w:val="Headingb"/>
      </w:pPr>
      <w:r w:rsidRPr="008C54A5">
        <w:t>Incubation rapporteur(s) analysis and report</w:t>
      </w:r>
    </w:p>
    <w:p w14:paraId="18175520" w14:textId="226BE663" w:rsidR="00BE5D31" w:rsidRDefault="003B6019" w:rsidP="003B6019">
      <w:r w:rsidRPr="008C54A5">
        <w:rPr>
          <w:highlight w:val="yellow"/>
        </w:rPr>
        <w:t xml:space="preserve">The incubation queue grew significantly and shows the emergence of a new category </w:t>
      </w:r>
      <w:r w:rsidR="00960859">
        <w:rPr>
          <w:highlight w:val="yellow"/>
        </w:rPr>
        <w:t>on</w:t>
      </w:r>
      <w:r w:rsidR="00960859" w:rsidRPr="008C54A5">
        <w:rPr>
          <w:highlight w:val="yellow"/>
        </w:rPr>
        <w:t xml:space="preserve"> </w:t>
      </w:r>
      <w:r w:rsidR="00960859">
        <w:rPr>
          <w:highlight w:val="yellow"/>
        </w:rPr>
        <w:t>q</w:t>
      </w:r>
      <w:r w:rsidRPr="008C54A5">
        <w:rPr>
          <w:highlight w:val="yellow"/>
        </w:rPr>
        <w:t xml:space="preserve">uantum </w:t>
      </w:r>
      <w:r w:rsidR="00960859">
        <w:rPr>
          <w:highlight w:val="yellow"/>
        </w:rPr>
        <w:t>k</w:t>
      </w:r>
      <w:r w:rsidRPr="008C54A5">
        <w:rPr>
          <w:highlight w:val="yellow"/>
        </w:rPr>
        <w:t xml:space="preserve">ey </w:t>
      </w:r>
      <w:r w:rsidR="00960859">
        <w:rPr>
          <w:highlight w:val="yellow"/>
        </w:rPr>
        <w:t>d</w:t>
      </w:r>
      <w:r w:rsidRPr="008C54A5">
        <w:rPr>
          <w:highlight w:val="yellow"/>
        </w:rPr>
        <w:t xml:space="preserve">istribution and </w:t>
      </w:r>
      <w:r w:rsidR="00960859">
        <w:rPr>
          <w:highlight w:val="yellow"/>
        </w:rPr>
        <w:t>q</w:t>
      </w:r>
      <w:r w:rsidRPr="008C54A5">
        <w:rPr>
          <w:highlight w:val="yellow"/>
        </w:rPr>
        <w:t xml:space="preserve">uantum </w:t>
      </w:r>
      <w:r w:rsidR="00960859">
        <w:rPr>
          <w:highlight w:val="yellow"/>
        </w:rPr>
        <w:t>r</w:t>
      </w:r>
      <w:r w:rsidRPr="008C54A5">
        <w:rPr>
          <w:highlight w:val="yellow"/>
        </w:rPr>
        <w:t xml:space="preserve">andom </w:t>
      </w:r>
      <w:r w:rsidR="00BE5D31">
        <w:rPr>
          <w:highlight w:val="yellow"/>
        </w:rPr>
        <w:t>n</w:t>
      </w:r>
      <w:r w:rsidRPr="008C54A5">
        <w:rPr>
          <w:highlight w:val="yellow"/>
        </w:rPr>
        <w:t xml:space="preserve">umber </w:t>
      </w:r>
      <w:r w:rsidR="00BE5D31">
        <w:rPr>
          <w:highlight w:val="yellow"/>
        </w:rPr>
        <w:t>g</w:t>
      </w:r>
      <w:r w:rsidRPr="008C54A5">
        <w:rPr>
          <w:highlight w:val="yellow"/>
        </w:rPr>
        <w:t>eneration that could be recognized in a future structure change of SG17.</w:t>
      </w:r>
    </w:p>
    <w:p w14:paraId="0147FAEC" w14:textId="3D9F01DD" w:rsidR="003B6019" w:rsidRPr="008C54A5" w:rsidRDefault="003B6019" w:rsidP="009D72DD">
      <w:pPr>
        <w:pStyle w:val="Headingb"/>
      </w:pPr>
      <w:r w:rsidRPr="008C54A5">
        <w:t>Assessment of the incubation queue</w:t>
      </w:r>
    </w:p>
    <w:p w14:paraId="4171CDC8" w14:textId="603E97FA" w:rsidR="003B6019" w:rsidRPr="008C54A5" w:rsidRDefault="003B6019" w:rsidP="003B6019">
      <w:pPr>
        <w:keepNext/>
        <w:keepLines/>
        <w:rPr>
          <w:i/>
        </w:rPr>
      </w:pPr>
      <w:r w:rsidRPr="008C54A5">
        <w:rPr>
          <w:i/>
        </w:rPr>
        <w:t xml:space="preserve">The Q4 </w:t>
      </w:r>
      <w:r w:rsidR="00BE5D31">
        <w:rPr>
          <w:i/>
        </w:rPr>
        <w:t>r</w:t>
      </w:r>
      <w:r w:rsidRPr="008C54A5">
        <w:rPr>
          <w:i/>
        </w:rPr>
        <w:t>apporteur ha</w:t>
      </w:r>
      <w:r w:rsidR="00BE5D31">
        <w:rPr>
          <w:i/>
        </w:rPr>
        <w:t>s</w:t>
      </w:r>
      <w:r w:rsidRPr="008C54A5">
        <w:rPr>
          <w:i/>
        </w:rPr>
        <w:t xml:space="preserve"> the opportunity to write any assessment of the incubation queue here for example:</w:t>
      </w:r>
    </w:p>
    <w:p w14:paraId="45F04547" w14:textId="7B12C04C" w:rsidR="003B6019" w:rsidRPr="008C54A5" w:rsidRDefault="003B6019" w:rsidP="003B6019">
      <w:pPr>
        <w:pStyle w:val="enumlev1"/>
        <w:rPr>
          <w:i/>
          <w:iCs/>
        </w:rPr>
      </w:pPr>
      <w:r w:rsidRPr="008C54A5">
        <w:t>–</w:t>
      </w:r>
      <w:r w:rsidRPr="008C54A5">
        <w:tab/>
      </w:r>
      <w:r w:rsidRPr="008C54A5">
        <w:rPr>
          <w:i/>
          <w:iCs/>
        </w:rPr>
        <w:t>Is the queue manageable, or too big, etc</w:t>
      </w:r>
      <w:r w:rsidR="00BE5D31">
        <w:rPr>
          <w:i/>
          <w:iCs/>
        </w:rPr>
        <w:t>?</w:t>
      </w:r>
    </w:p>
    <w:p w14:paraId="2D9E8F02" w14:textId="19681A86" w:rsidR="003B6019" w:rsidRPr="008C54A5" w:rsidRDefault="003B6019" w:rsidP="003B6019">
      <w:pPr>
        <w:pStyle w:val="enumlev1"/>
        <w:rPr>
          <w:i/>
          <w:iCs/>
        </w:rPr>
      </w:pPr>
      <w:r w:rsidRPr="008C54A5">
        <w:t>–</w:t>
      </w:r>
      <w:r w:rsidRPr="008C54A5">
        <w:tab/>
      </w:r>
      <w:r w:rsidRPr="008C54A5">
        <w:rPr>
          <w:i/>
          <w:iCs/>
        </w:rPr>
        <w:t>Is there a need for specific experts among the group of rapporteurs of Q4 to manage new work items on topic X</w:t>
      </w:r>
      <w:r w:rsidR="00BE5D31">
        <w:rPr>
          <w:i/>
          <w:iCs/>
        </w:rPr>
        <w:t>?</w:t>
      </w:r>
    </w:p>
    <w:p w14:paraId="36E10DE1" w14:textId="4AEFFF69" w:rsidR="003B6019" w:rsidRPr="008C54A5" w:rsidRDefault="003B6019" w:rsidP="003B6019">
      <w:pPr>
        <w:pStyle w:val="enumlev1"/>
      </w:pPr>
      <w:r w:rsidRPr="008C54A5">
        <w:t>–</w:t>
      </w:r>
      <w:r w:rsidRPr="008C54A5">
        <w:tab/>
      </w:r>
      <w:r w:rsidRPr="008C54A5">
        <w:rPr>
          <w:i/>
          <w:iCs/>
        </w:rPr>
        <w:t xml:space="preserve">Is there an interesting trend developing in the queue </w:t>
      </w:r>
      <w:r w:rsidR="00BE5D31">
        <w:rPr>
          <w:i/>
          <w:iCs/>
        </w:rPr>
        <w:t xml:space="preserve">on which </w:t>
      </w:r>
      <w:r w:rsidRPr="008C54A5">
        <w:rPr>
          <w:i/>
          <w:iCs/>
        </w:rPr>
        <w:t xml:space="preserve">the Q4 </w:t>
      </w:r>
      <w:r w:rsidR="00BE5D31">
        <w:rPr>
          <w:i/>
          <w:iCs/>
        </w:rPr>
        <w:t>r</w:t>
      </w:r>
      <w:r w:rsidRPr="008C54A5">
        <w:rPr>
          <w:i/>
          <w:iCs/>
        </w:rPr>
        <w:t>apporteur want</w:t>
      </w:r>
      <w:r w:rsidR="00BE5D31">
        <w:rPr>
          <w:i/>
          <w:iCs/>
        </w:rPr>
        <w:t>s</w:t>
      </w:r>
      <w:r w:rsidRPr="008C54A5">
        <w:rPr>
          <w:i/>
          <w:iCs/>
        </w:rPr>
        <w:t xml:space="preserve"> to suggest a potential new question or other structure or coordination or anything relevant</w:t>
      </w:r>
      <w:r w:rsidR="00BE5D31">
        <w:t>?</w:t>
      </w:r>
    </w:p>
    <w:p w14:paraId="72DE3585" w14:textId="77777777" w:rsidR="003B6019" w:rsidRPr="008C54A5" w:rsidRDefault="003B6019" w:rsidP="009D72DD">
      <w:r w:rsidRPr="008C54A5">
        <w:br w:type="page"/>
      </w:r>
    </w:p>
    <w:p w14:paraId="51B825C7" w14:textId="0B101113" w:rsidR="003B6019" w:rsidRPr="008C54A5" w:rsidRDefault="003B6019" w:rsidP="003B6019">
      <w:pPr>
        <w:pStyle w:val="AppendixNoTitle0"/>
      </w:pPr>
      <w:bookmarkStart w:id="139" w:name="_Toc167434362"/>
      <w:bookmarkStart w:id="140" w:name="_Toc172128671"/>
      <w:bookmarkStart w:id="141" w:name="_Toc172128775"/>
      <w:bookmarkStart w:id="142" w:name="_Toc49679524"/>
      <w:r w:rsidRPr="008C54A5">
        <w:t xml:space="preserve">Appendix </w:t>
      </w:r>
      <w:r w:rsidR="00B83FBE">
        <w:t>II</w:t>
      </w:r>
      <w:r w:rsidRPr="008C54A5">
        <w:br/>
      </w:r>
      <w:r w:rsidRPr="008C54A5">
        <w:br/>
        <w:t>Example template of a special session agenda</w:t>
      </w:r>
      <w:bookmarkEnd w:id="139"/>
      <w:bookmarkEnd w:id="140"/>
      <w:bookmarkEnd w:id="141"/>
    </w:p>
    <w:p w14:paraId="208E23E1" w14:textId="77777777" w:rsidR="003B6019" w:rsidRPr="008C54A5" w:rsidRDefault="003B6019" w:rsidP="009D72DD">
      <w:pPr>
        <w:pStyle w:val="Normalaftertitle"/>
        <w:spacing w:before="240" w:after="120"/>
      </w:pPr>
      <w:r w:rsidRPr="008C54A5">
        <w:t>The variable elements of this example are marked in yellow.</w:t>
      </w:r>
    </w:p>
    <w:tbl>
      <w:tblPr>
        <w:tblW w:w="9639" w:type="dxa"/>
        <w:tblLayout w:type="fixed"/>
        <w:tblCellMar>
          <w:left w:w="57" w:type="dxa"/>
          <w:right w:w="57" w:type="dxa"/>
        </w:tblCellMar>
        <w:tblLook w:val="0000" w:firstRow="0" w:lastRow="0" w:firstColumn="0" w:lastColumn="0" w:noHBand="0" w:noVBand="0"/>
      </w:tblPr>
      <w:tblGrid>
        <w:gridCol w:w="1132"/>
        <w:gridCol w:w="455"/>
        <w:gridCol w:w="3516"/>
        <w:gridCol w:w="4536"/>
      </w:tblGrid>
      <w:tr w:rsidR="003B6019" w:rsidRPr="008C54A5" w14:paraId="2DE1E240" w14:textId="77777777" w:rsidTr="00087537">
        <w:trPr>
          <w:cantSplit/>
        </w:trPr>
        <w:tc>
          <w:tcPr>
            <w:tcW w:w="1132" w:type="dxa"/>
            <w:vMerge w:val="restart"/>
            <w:vAlign w:val="center"/>
          </w:tcPr>
          <w:p w14:paraId="08032763" w14:textId="77777777" w:rsidR="003B6019" w:rsidRPr="008C54A5" w:rsidRDefault="003B6019" w:rsidP="00087537">
            <w:pPr>
              <w:spacing w:before="0"/>
              <w:jc w:val="center"/>
              <w:rPr>
                <w:sz w:val="20"/>
              </w:rPr>
            </w:pPr>
            <w:r w:rsidRPr="008C54A5">
              <w:rPr>
                <w:noProof/>
              </w:rPr>
              <w:drawing>
                <wp:inline distT="0" distB="0" distL="0" distR="0" wp14:anchorId="2EE6C27D" wp14:editId="65BFFB3E">
                  <wp:extent cx="647700" cy="705600"/>
                  <wp:effectExtent l="0" t="0" r="0" b="0"/>
                  <wp:docPr id="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ack and white logo&#10;&#10;Description automatically generated"/>
                          <pic:cNvPicPr>
                            <a:picLocks noChangeAspect="1"/>
                          </pic:cNvPicPr>
                        </pic:nvPicPr>
                        <pic:blipFill rotWithShape="1">
                          <a:blip r:embed="rId32">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71" w:type="dxa"/>
            <w:gridSpan w:val="2"/>
            <w:vMerge w:val="restart"/>
          </w:tcPr>
          <w:p w14:paraId="7C0AC0BA" w14:textId="77777777" w:rsidR="003B6019" w:rsidRPr="008C54A5" w:rsidRDefault="003B6019" w:rsidP="00087537">
            <w:pPr>
              <w:rPr>
                <w:sz w:val="16"/>
                <w:szCs w:val="16"/>
              </w:rPr>
            </w:pPr>
            <w:r w:rsidRPr="008C54A5">
              <w:rPr>
                <w:sz w:val="16"/>
                <w:szCs w:val="16"/>
              </w:rPr>
              <w:t>INTERNATIONAL TELECOMMUNICATION UNION</w:t>
            </w:r>
          </w:p>
          <w:p w14:paraId="43908F83" w14:textId="77777777" w:rsidR="003B6019" w:rsidRPr="008C54A5" w:rsidRDefault="003B6019" w:rsidP="00087537">
            <w:pPr>
              <w:rPr>
                <w:b/>
                <w:bCs/>
                <w:sz w:val="26"/>
                <w:szCs w:val="26"/>
              </w:rPr>
            </w:pPr>
            <w:r w:rsidRPr="008C54A5">
              <w:rPr>
                <w:b/>
                <w:bCs/>
                <w:sz w:val="26"/>
                <w:szCs w:val="26"/>
              </w:rPr>
              <w:t>TELECOMMUNICATION</w:t>
            </w:r>
            <w:r w:rsidRPr="008C54A5">
              <w:rPr>
                <w:b/>
                <w:bCs/>
                <w:sz w:val="26"/>
                <w:szCs w:val="26"/>
              </w:rPr>
              <w:br/>
              <w:t>STANDARDIZATION SECTOR</w:t>
            </w:r>
          </w:p>
          <w:p w14:paraId="1BDE7CD1" w14:textId="77777777" w:rsidR="003B6019" w:rsidRPr="008C54A5" w:rsidRDefault="003B6019" w:rsidP="00087537">
            <w:pPr>
              <w:rPr>
                <w:sz w:val="20"/>
              </w:rPr>
            </w:pPr>
            <w:r w:rsidRPr="008C54A5">
              <w:rPr>
                <w:sz w:val="20"/>
              </w:rPr>
              <w:t xml:space="preserve">STUDY PERIOD </w:t>
            </w:r>
            <w:r w:rsidRPr="008C54A5">
              <w:rPr>
                <w:sz w:val="20"/>
                <w:highlight w:val="yellow"/>
              </w:rPr>
              <w:t>2022-2024</w:t>
            </w:r>
          </w:p>
        </w:tc>
        <w:tc>
          <w:tcPr>
            <w:tcW w:w="4536" w:type="dxa"/>
            <w:vAlign w:val="center"/>
          </w:tcPr>
          <w:p w14:paraId="41672ACD" w14:textId="77777777" w:rsidR="003B6019" w:rsidRPr="008C54A5" w:rsidRDefault="003B6019" w:rsidP="00087537">
            <w:pPr>
              <w:pStyle w:val="Docnumber"/>
            </w:pPr>
            <w:r w:rsidRPr="008C54A5">
              <w:rPr>
                <w:highlight w:val="yellow"/>
              </w:rPr>
              <w:t>SG17-TD1593R1</w:t>
            </w:r>
          </w:p>
        </w:tc>
      </w:tr>
      <w:tr w:rsidR="003B6019" w:rsidRPr="008C54A5" w14:paraId="74FB4EA4" w14:textId="77777777" w:rsidTr="00087537">
        <w:trPr>
          <w:cantSplit/>
        </w:trPr>
        <w:tc>
          <w:tcPr>
            <w:tcW w:w="1132" w:type="dxa"/>
            <w:vMerge/>
          </w:tcPr>
          <w:p w14:paraId="4DB17AAE" w14:textId="77777777" w:rsidR="003B6019" w:rsidRPr="008C54A5" w:rsidRDefault="003B6019" w:rsidP="00087537">
            <w:pPr>
              <w:rPr>
                <w:smallCaps/>
                <w:sz w:val="20"/>
              </w:rPr>
            </w:pPr>
          </w:p>
        </w:tc>
        <w:tc>
          <w:tcPr>
            <w:tcW w:w="3971" w:type="dxa"/>
            <w:gridSpan w:val="2"/>
            <w:vMerge/>
          </w:tcPr>
          <w:p w14:paraId="2CBC3F5A" w14:textId="77777777" w:rsidR="003B6019" w:rsidRPr="008C54A5" w:rsidRDefault="003B6019" w:rsidP="00087537">
            <w:pPr>
              <w:rPr>
                <w:smallCaps/>
                <w:sz w:val="20"/>
              </w:rPr>
            </w:pPr>
          </w:p>
        </w:tc>
        <w:tc>
          <w:tcPr>
            <w:tcW w:w="4536" w:type="dxa"/>
          </w:tcPr>
          <w:p w14:paraId="4CD726E0" w14:textId="77777777" w:rsidR="003B6019" w:rsidRPr="008C54A5" w:rsidRDefault="003B6019" w:rsidP="00087537">
            <w:pPr>
              <w:pStyle w:val="TSBHeaderRight14"/>
              <w:rPr>
                <w:smallCaps/>
              </w:rPr>
            </w:pPr>
            <w:r w:rsidRPr="008C54A5">
              <w:rPr>
                <w:smallCaps/>
              </w:rPr>
              <w:t>STUDY GROUP 17</w:t>
            </w:r>
          </w:p>
        </w:tc>
      </w:tr>
      <w:tr w:rsidR="003B6019" w:rsidRPr="008C54A5" w14:paraId="0783C123" w14:textId="77777777" w:rsidTr="00087537">
        <w:trPr>
          <w:cantSplit/>
        </w:trPr>
        <w:tc>
          <w:tcPr>
            <w:tcW w:w="1132" w:type="dxa"/>
            <w:vMerge/>
            <w:tcBorders>
              <w:bottom w:val="single" w:sz="12" w:space="0" w:color="auto"/>
            </w:tcBorders>
          </w:tcPr>
          <w:p w14:paraId="6804DFAA" w14:textId="77777777" w:rsidR="003B6019" w:rsidRPr="008C54A5" w:rsidRDefault="003B6019" w:rsidP="00087537">
            <w:pPr>
              <w:rPr>
                <w:b/>
                <w:bCs/>
                <w:sz w:val="26"/>
              </w:rPr>
            </w:pPr>
          </w:p>
        </w:tc>
        <w:tc>
          <w:tcPr>
            <w:tcW w:w="3971" w:type="dxa"/>
            <w:gridSpan w:val="2"/>
            <w:vMerge/>
            <w:tcBorders>
              <w:bottom w:val="single" w:sz="12" w:space="0" w:color="auto"/>
            </w:tcBorders>
          </w:tcPr>
          <w:p w14:paraId="1E0560CA" w14:textId="77777777" w:rsidR="003B6019" w:rsidRPr="008C54A5" w:rsidRDefault="003B6019" w:rsidP="00087537">
            <w:pPr>
              <w:rPr>
                <w:b/>
                <w:bCs/>
                <w:sz w:val="26"/>
              </w:rPr>
            </w:pPr>
          </w:p>
        </w:tc>
        <w:tc>
          <w:tcPr>
            <w:tcW w:w="4536" w:type="dxa"/>
            <w:tcBorders>
              <w:bottom w:val="single" w:sz="12" w:space="0" w:color="auto"/>
            </w:tcBorders>
            <w:vAlign w:val="center"/>
          </w:tcPr>
          <w:p w14:paraId="4F5EEBAA" w14:textId="77777777" w:rsidR="003B6019" w:rsidRPr="008C54A5" w:rsidRDefault="003B6019" w:rsidP="00087537">
            <w:pPr>
              <w:pStyle w:val="TSBHeaderRight14"/>
            </w:pPr>
            <w:r w:rsidRPr="008C54A5">
              <w:t>Original: English</w:t>
            </w:r>
          </w:p>
        </w:tc>
      </w:tr>
      <w:tr w:rsidR="003B6019" w:rsidRPr="008C54A5" w14:paraId="3D37E232" w14:textId="77777777" w:rsidTr="00087537">
        <w:trPr>
          <w:cantSplit/>
        </w:trPr>
        <w:tc>
          <w:tcPr>
            <w:tcW w:w="1587" w:type="dxa"/>
            <w:gridSpan w:val="2"/>
          </w:tcPr>
          <w:p w14:paraId="6495102A" w14:textId="77777777" w:rsidR="003B6019" w:rsidRPr="008C54A5" w:rsidRDefault="003B6019" w:rsidP="00087537">
            <w:pPr>
              <w:rPr>
                <w:b/>
                <w:bCs/>
              </w:rPr>
            </w:pPr>
            <w:r w:rsidRPr="008C54A5">
              <w:rPr>
                <w:b/>
                <w:bCs/>
              </w:rPr>
              <w:t>Question(s):</w:t>
            </w:r>
          </w:p>
        </w:tc>
        <w:tc>
          <w:tcPr>
            <w:tcW w:w="3516" w:type="dxa"/>
          </w:tcPr>
          <w:p w14:paraId="4599FACB" w14:textId="77777777" w:rsidR="003B6019" w:rsidRPr="008C54A5" w:rsidRDefault="003B6019" w:rsidP="00087537">
            <w:pPr>
              <w:pStyle w:val="TSBHeaderQuestion"/>
            </w:pPr>
            <w:r w:rsidRPr="008C54A5">
              <w:t>All/17</w:t>
            </w:r>
          </w:p>
        </w:tc>
        <w:tc>
          <w:tcPr>
            <w:tcW w:w="4536" w:type="dxa"/>
          </w:tcPr>
          <w:p w14:paraId="3F3707ED" w14:textId="77777777" w:rsidR="003B6019" w:rsidRPr="008C54A5" w:rsidRDefault="003B6019" w:rsidP="00087537">
            <w:pPr>
              <w:pStyle w:val="VenueDate"/>
            </w:pPr>
            <w:r w:rsidRPr="008C54A5">
              <w:rPr>
                <w:highlight w:val="yellow"/>
              </w:rPr>
              <w:t>Geneva, 20 February – 1 March 2024</w:t>
            </w:r>
          </w:p>
        </w:tc>
      </w:tr>
      <w:tr w:rsidR="003B6019" w:rsidRPr="008C54A5" w14:paraId="64026726" w14:textId="77777777" w:rsidTr="00087537">
        <w:trPr>
          <w:cantSplit/>
        </w:trPr>
        <w:tc>
          <w:tcPr>
            <w:tcW w:w="9639" w:type="dxa"/>
            <w:gridSpan w:val="4"/>
          </w:tcPr>
          <w:p w14:paraId="23ED5C80" w14:textId="77777777" w:rsidR="003B6019" w:rsidRPr="008C54A5" w:rsidRDefault="003B6019" w:rsidP="00087537">
            <w:pPr>
              <w:jc w:val="center"/>
              <w:rPr>
                <w:b/>
                <w:bCs/>
              </w:rPr>
            </w:pPr>
            <w:r w:rsidRPr="008C54A5">
              <w:rPr>
                <w:b/>
                <w:bCs/>
              </w:rPr>
              <w:t>TD</w:t>
            </w:r>
          </w:p>
        </w:tc>
      </w:tr>
      <w:tr w:rsidR="003B6019" w:rsidRPr="008C54A5" w14:paraId="685B559C" w14:textId="77777777" w:rsidTr="00087537">
        <w:trPr>
          <w:cantSplit/>
        </w:trPr>
        <w:tc>
          <w:tcPr>
            <w:tcW w:w="1587" w:type="dxa"/>
            <w:gridSpan w:val="2"/>
          </w:tcPr>
          <w:p w14:paraId="4B3C160A" w14:textId="77777777" w:rsidR="003B6019" w:rsidRPr="008C54A5" w:rsidRDefault="003B6019" w:rsidP="00087537">
            <w:pPr>
              <w:rPr>
                <w:b/>
                <w:bCs/>
              </w:rPr>
            </w:pPr>
            <w:r w:rsidRPr="008C54A5">
              <w:rPr>
                <w:b/>
                <w:bCs/>
              </w:rPr>
              <w:t>Source:</w:t>
            </w:r>
          </w:p>
        </w:tc>
        <w:tc>
          <w:tcPr>
            <w:tcW w:w="8052" w:type="dxa"/>
            <w:gridSpan w:val="2"/>
          </w:tcPr>
          <w:p w14:paraId="5B26536D" w14:textId="77777777" w:rsidR="003B6019" w:rsidRPr="008C54A5" w:rsidRDefault="003B6019" w:rsidP="00087537">
            <w:pPr>
              <w:pStyle w:val="TSBHeaderSource"/>
            </w:pPr>
            <w:r w:rsidRPr="008C54A5">
              <w:t>Chair, special session</w:t>
            </w:r>
          </w:p>
        </w:tc>
      </w:tr>
      <w:tr w:rsidR="003B6019" w:rsidRPr="008C54A5" w14:paraId="1585F98F" w14:textId="77777777" w:rsidTr="00087537">
        <w:trPr>
          <w:cantSplit/>
        </w:trPr>
        <w:tc>
          <w:tcPr>
            <w:tcW w:w="1587" w:type="dxa"/>
            <w:gridSpan w:val="2"/>
            <w:tcBorders>
              <w:bottom w:val="single" w:sz="8" w:space="0" w:color="auto"/>
            </w:tcBorders>
          </w:tcPr>
          <w:p w14:paraId="12F039C9" w14:textId="77777777" w:rsidR="003B6019" w:rsidRPr="008C54A5" w:rsidRDefault="003B6019" w:rsidP="00087537">
            <w:pPr>
              <w:rPr>
                <w:b/>
                <w:bCs/>
              </w:rPr>
            </w:pPr>
            <w:r w:rsidRPr="008C54A5">
              <w:rPr>
                <w:b/>
                <w:bCs/>
              </w:rPr>
              <w:t>Title:</w:t>
            </w:r>
          </w:p>
        </w:tc>
        <w:tc>
          <w:tcPr>
            <w:tcW w:w="8052" w:type="dxa"/>
            <w:gridSpan w:val="2"/>
            <w:tcBorders>
              <w:bottom w:val="single" w:sz="8" w:space="0" w:color="auto"/>
            </w:tcBorders>
          </w:tcPr>
          <w:p w14:paraId="24E58E04" w14:textId="1376E070" w:rsidR="003B6019" w:rsidRPr="008C54A5" w:rsidRDefault="003B6019" w:rsidP="00087537">
            <w:pPr>
              <w:pStyle w:val="TSBHeaderTitle"/>
            </w:pPr>
            <w:r w:rsidRPr="008C54A5">
              <w:t xml:space="preserve">Agenda of </w:t>
            </w:r>
            <w:r w:rsidR="00BE5D31">
              <w:t>s</w:t>
            </w:r>
            <w:r w:rsidRPr="008C54A5">
              <w:t xml:space="preserve">pecial </w:t>
            </w:r>
            <w:r w:rsidR="0036584C">
              <w:t>s</w:t>
            </w:r>
            <w:r w:rsidRPr="008C54A5">
              <w:t>ession on incubation mechanism</w:t>
            </w:r>
          </w:p>
        </w:tc>
      </w:tr>
      <w:tr w:rsidR="003B6019" w:rsidRPr="008C54A5" w14:paraId="076E6671" w14:textId="77777777" w:rsidTr="00087537">
        <w:trPr>
          <w:cantSplit/>
        </w:trPr>
        <w:tc>
          <w:tcPr>
            <w:tcW w:w="1587" w:type="dxa"/>
            <w:gridSpan w:val="2"/>
            <w:tcBorders>
              <w:top w:val="single" w:sz="8" w:space="0" w:color="auto"/>
              <w:bottom w:val="single" w:sz="8" w:space="0" w:color="auto"/>
            </w:tcBorders>
          </w:tcPr>
          <w:p w14:paraId="4FC3AF13" w14:textId="77777777" w:rsidR="003B6019" w:rsidRPr="008C54A5" w:rsidRDefault="003B6019" w:rsidP="00087537">
            <w:pPr>
              <w:rPr>
                <w:b/>
                <w:bCs/>
                <w:highlight w:val="yellow"/>
              </w:rPr>
            </w:pPr>
            <w:bookmarkStart w:id="143" w:name="dcontact"/>
            <w:bookmarkStart w:id="144" w:name="_Hlk98768222"/>
            <w:r w:rsidRPr="008C54A5">
              <w:rPr>
                <w:b/>
                <w:bCs/>
                <w:highlight w:val="yellow"/>
              </w:rPr>
              <w:t>Contact:</w:t>
            </w:r>
          </w:p>
        </w:tc>
        <w:tc>
          <w:tcPr>
            <w:tcW w:w="3516" w:type="dxa"/>
            <w:tcBorders>
              <w:top w:val="single" w:sz="8" w:space="0" w:color="auto"/>
              <w:bottom w:val="single" w:sz="8" w:space="0" w:color="auto"/>
            </w:tcBorders>
          </w:tcPr>
          <w:p w14:paraId="21205AB9" w14:textId="77777777" w:rsidR="003B6019" w:rsidRPr="008C54A5" w:rsidRDefault="003B6019" w:rsidP="009747A5">
            <w:pPr>
              <w:jc w:val="left"/>
              <w:rPr>
                <w:highlight w:val="yellow"/>
              </w:rPr>
            </w:pPr>
            <w:r w:rsidRPr="008C54A5">
              <w:rPr>
                <w:highlight w:val="yellow"/>
              </w:rPr>
              <w:t>Arnaud Taddei</w:t>
            </w:r>
            <w:r w:rsidRPr="008C54A5">
              <w:rPr>
                <w:highlight w:val="yellow"/>
              </w:rPr>
              <w:br/>
              <w:t>Broadcom Europe Ltd.</w:t>
            </w:r>
            <w:r w:rsidRPr="008C54A5">
              <w:rPr>
                <w:highlight w:val="yellow"/>
              </w:rPr>
              <w:br/>
              <w:t>United Kingdom</w:t>
            </w:r>
          </w:p>
        </w:tc>
        <w:tc>
          <w:tcPr>
            <w:tcW w:w="4536" w:type="dxa"/>
            <w:tcBorders>
              <w:top w:val="single" w:sz="8" w:space="0" w:color="auto"/>
              <w:bottom w:val="single" w:sz="8" w:space="0" w:color="auto"/>
            </w:tcBorders>
          </w:tcPr>
          <w:p w14:paraId="7145377B" w14:textId="77777777" w:rsidR="003B6019" w:rsidRPr="008C54A5" w:rsidRDefault="003B6019" w:rsidP="00087537">
            <w:pPr>
              <w:rPr>
                <w:highlight w:val="yellow"/>
              </w:rPr>
            </w:pPr>
            <w:r w:rsidRPr="008C54A5">
              <w:rPr>
                <w:highlight w:val="yellow"/>
              </w:rPr>
              <w:t>Tel:</w:t>
            </w:r>
            <w:r w:rsidRPr="008C54A5">
              <w:rPr>
                <w:highlight w:val="yellow"/>
              </w:rPr>
              <w:tab/>
              <w:t>+41795061128</w:t>
            </w:r>
            <w:r w:rsidRPr="008C54A5">
              <w:rPr>
                <w:highlight w:val="yellow"/>
              </w:rPr>
              <w:br/>
              <w:t>E-mail:</w:t>
            </w:r>
            <w:r w:rsidRPr="008C54A5">
              <w:rPr>
                <w:highlight w:val="yellow"/>
              </w:rPr>
              <w:tab/>
            </w:r>
            <w:hyperlink r:id="rId33" w:history="1">
              <w:r w:rsidRPr="008C54A5">
                <w:rPr>
                  <w:rStyle w:val="Hyperlink"/>
                  <w:highlight w:val="yellow"/>
                </w:rPr>
                <w:t>Arnaud.Taddei@broadcom.com</w:t>
              </w:r>
            </w:hyperlink>
          </w:p>
        </w:tc>
      </w:tr>
      <w:tr w:rsidR="003B6019" w:rsidRPr="008C54A5" w14:paraId="6658B340" w14:textId="77777777" w:rsidTr="00087537">
        <w:trPr>
          <w:cantSplit/>
        </w:trPr>
        <w:tc>
          <w:tcPr>
            <w:tcW w:w="1587" w:type="dxa"/>
            <w:gridSpan w:val="2"/>
            <w:tcBorders>
              <w:top w:val="single" w:sz="8" w:space="0" w:color="auto"/>
              <w:bottom w:val="single" w:sz="8" w:space="0" w:color="auto"/>
            </w:tcBorders>
          </w:tcPr>
          <w:p w14:paraId="315CC129" w14:textId="77777777" w:rsidR="003B6019" w:rsidRPr="008C54A5" w:rsidRDefault="003B6019" w:rsidP="00087537">
            <w:pPr>
              <w:rPr>
                <w:b/>
                <w:bCs/>
                <w:highlight w:val="yellow"/>
              </w:rPr>
            </w:pPr>
            <w:bookmarkStart w:id="145" w:name="dcontact2"/>
            <w:bookmarkStart w:id="146" w:name="dcontent2" w:colFirst="1" w:colLast="1"/>
            <w:bookmarkStart w:id="147" w:name="dcontent" w:colFirst="1" w:colLast="1"/>
            <w:bookmarkEnd w:id="143"/>
            <w:r w:rsidRPr="008C54A5">
              <w:rPr>
                <w:b/>
                <w:bCs/>
                <w:highlight w:val="yellow"/>
              </w:rPr>
              <w:t>Contact:</w:t>
            </w:r>
          </w:p>
        </w:tc>
        <w:tc>
          <w:tcPr>
            <w:tcW w:w="3516" w:type="dxa"/>
            <w:tcBorders>
              <w:top w:val="single" w:sz="8" w:space="0" w:color="auto"/>
              <w:bottom w:val="single" w:sz="8" w:space="0" w:color="auto"/>
            </w:tcBorders>
          </w:tcPr>
          <w:p w14:paraId="4E6B2001" w14:textId="77777777" w:rsidR="003B6019" w:rsidRPr="008C54A5" w:rsidRDefault="003B6019" w:rsidP="009747A5">
            <w:pPr>
              <w:jc w:val="left"/>
              <w:rPr>
                <w:highlight w:val="yellow"/>
              </w:rPr>
            </w:pPr>
            <w:r w:rsidRPr="008C54A5">
              <w:rPr>
                <w:highlight w:val="yellow"/>
              </w:rPr>
              <w:t>Bret Jordan</w:t>
            </w:r>
            <w:r w:rsidRPr="008C54A5">
              <w:rPr>
                <w:highlight w:val="yellow"/>
              </w:rPr>
              <w:br/>
              <w:t>United States</w:t>
            </w:r>
          </w:p>
        </w:tc>
        <w:tc>
          <w:tcPr>
            <w:tcW w:w="4536" w:type="dxa"/>
            <w:tcBorders>
              <w:top w:val="single" w:sz="8" w:space="0" w:color="auto"/>
              <w:bottom w:val="single" w:sz="8" w:space="0" w:color="auto"/>
            </w:tcBorders>
          </w:tcPr>
          <w:p w14:paraId="7EB7A598" w14:textId="77777777" w:rsidR="003B6019" w:rsidRPr="008C54A5" w:rsidRDefault="003B6019" w:rsidP="00087537">
            <w:pPr>
              <w:rPr>
                <w:highlight w:val="yellow"/>
              </w:rPr>
            </w:pPr>
            <w:r w:rsidRPr="008C54A5">
              <w:rPr>
                <w:highlight w:val="yellow"/>
              </w:rPr>
              <w:t>Tel:</w:t>
            </w:r>
            <w:r w:rsidRPr="008C54A5">
              <w:rPr>
                <w:highlight w:val="yellow"/>
              </w:rPr>
              <w:tab/>
              <w:t>+1-801-712-4796</w:t>
            </w:r>
            <w:r w:rsidRPr="008C54A5">
              <w:rPr>
                <w:highlight w:val="yellow"/>
              </w:rPr>
              <w:br/>
              <w:t>E-mail:</w:t>
            </w:r>
            <w:r w:rsidRPr="008C54A5">
              <w:rPr>
                <w:highlight w:val="yellow"/>
              </w:rPr>
              <w:tab/>
            </w:r>
            <w:hyperlink r:id="rId34" w:history="1">
              <w:r w:rsidRPr="008C54A5">
                <w:rPr>
                  <w:rStyle w:val="Hyperlink"/>
                  <w:highlight w:val="yellow"/>
                </w:rPr>
                <w:t>Bret.Jordan@afero.io</w:t>
              </w:r>
            </w:hyperlink>
          </w:p>
        </w:tc>
      </w:tr>
      <w:tr w:rsidR="003B6019" w:rsidRPr="008C54A5" w14:paraId="70947AF6" w14:textId="77777777" w:rsidTr="00087537">
        <w:trPr>
          <w:cantSplit/>
        </w:trPr>
        <w:tc>
          <w:tcPr>
            <w:tcW w:w="1587" w:type="dxa"/>
            <w:gridSpan w:val="2"/>
            <w:tcBorders>
              <w:top w:val="single" w:sz="8" w:space="0" w:color="auto"/>
              <w:bottom w:val="single" w:sz="8" w:space="0" w:color="auto"/>
            </w:tcBorders>
          </w:tcPr>
          <w:p w14:paraId="73E181FA" w14:textId="77777777" w:rsidR="003B6019" w:rsidRPr="008C54A5" w:rsidRDefault="003B6019" w:rsidP="00087537">
            <w:pPr>
              <w:rPr>
                <w:b/>
                <w:bCs/>
                <w:highlight w:val="yellow"/>
              </w:rPr>
            </w:pPr>
            <w:bookmarkStart w:id="148" w:name="dcontact3"/>
            <w:bookmarkStart w:id="149" w:name="dcontent3" w:colFirst="1" w:colLast="1"/>
            <w:bookmarkEnd w:id="145"/>
            <w:bookmarkEnd w:id="146"/>
            <w:r w:rsidRPr="008C54A5">
              <w:rPr>
                <w:b/>
                <w:bCs/>
                <w:highlight w:val="yellow"/>
              </w:rPr>
              <w:t>Contact:</w:t>
            </w:r>
          </w:p>
        </w:tc>
        <w:tc>
          <w:tcPr>
            <w:tcW w:w="3516" w:type="dxa"/>
            <w:tcBorders>
              <w:top w:val="single" w:sz="8" w:space="0" w:color="auto"/>
              <w:bottom w:val="single" w:sz="8" w:space="0" w:color="auto"/>
            </w:tcBorders>
          </w:tcPr>
          <w:p w14:paraId="2D444AF5" w14:textId="77777777" w:rsidR="003B6019" w:rsidRPr="008C54A5" w:rsidRDefault="003B6019" w:rsidP="009747A5">
            <w:pPr>
              <w:jc w:val="left"/>
              <w:rPr>
                <w:highlight w:val="yellow"/>
              </w:rPr>
            </w:pPr>
            <w:r w:rsidRPr="008C54A5">
              <w:rPr>
                <w:highlight w:val="yellow"/>
              </w:rPr>
              <w:t>Chen Zhang</w:t>
            </w:r>
            <w:r w:rsidRPr="008C54A5">
              <w:rPr>
                <w:highlight w:val="yellow"/>
              </w:rPr>
              <w:br/>
              <w:t>China Mobile</w:t>
            </w:r>
          </w:p>
          <w:p w14:paraId="2FFC6BA7" w14:textId="77777777" w:rsidR="003B6019" w:rsidRPr="008C54A5" w:rsidRDefault="003B6019" w:rsidP="00087537">
            <w:pPr>
              <w:spacing w:before="0"/>
              <w:rPr>
                <w:highlight w:val="yellow"/>
              </w:rPr>
            </w:pPr>
            <w:r w:rsidRPr="008C54A5">
              <w:rPr>
                <w:highlight w:val="yellow"/>
              </w:rPr>
              <w:t>China</w:t>
            </w:r>
          </w:p>
        </w:tc>
        <w:tc>
          <w:tcPr>
            <w:tcW w:w="4536" w:type="dxa"/>
            <w:tcBorders>
              <w:top w:val="single" w:sz="8" w:space="0" w:color="auto"/>
              <w:bottom w:val="single" w:sz="8" w:space="0" w:color="auto"/>
            </w:tcBorders>
          </w:tcPr>
          <w:p w14:paraId="01BAA68F" w14:textId="77777777" w:rsidR="003B6019" w:rsidRPr="008C54A5" w:rsidRDefault="003B6019" w:rsidP="00087537">
            <w:r w:rsidRPr="008C54A5">
              <w:rPr>
                <w:highlight w:val="yellow"/>
              </w:rPr>
              <w:t>Tel:</w:t>
            </w:r>
            <w:r w:rsidRPr="008C54A5">
              <w:rPr>
                <w:highlight w:val="yellow"/>
              </w:rPr>
              <w:tab/>
              <w:t>+86-0-13810642906</w:t>
            </w:r>
            <w:r w:rsidRPr="008C54A5">
              <w:rPr>
                <w:highlight w:val="yellow"/>
              </w:rPr>
              <w:br/>
              <w:t xml:space="preserve">Fax: </w:t>
            </w:r>
            <w:r w:rsidRPr="008C54A5">
              <w:rPr>
                <w:highlight w:val="yellow"/>
              </w:rPr>
              <w:tab/>
              <w:t>+86-10-52696688-3000</w:t>
            </w:r>
            <w:r w:rsidRPr="008C54A5">
              <w:rPr>
                <w:highlight w:val="yellow"/>
              </w:rPr>
              <w:br/>
              <w:t xml:space="preserve">E-mail: </w:t>
            </w:r>
            <w:hyperlink r:id="rId35" w:history="1">
              <w:r w:rsidRPr="008C54A5">
                <w:rPr>
                  <w:rStyle w:val="Hyperlink"/>
                  <w:highlight w:val="yellow"/>
                </w:rPr>
                <w:t>zhangchen@cmdi.chinamobile.com</w:t>
              </w:r>
            </w:hyperlink>
          </w:p>
        </w:tc>
      </w:tr>
      <w:bookmarkEnd w:id="147"/>
      <w:bookmarkEnd w:id="148"/>
      <w:bookmarkEnd w:id="149"/>
    </w:tbl>
    <w:p w14:paraId="0B3E265C" w14:textId="77777777" w:rsidR="003B6019" w:rsidRPr="008C54A5" w:rsidRDefault="003B6019" w:rsidP="009D72DD">
      <w:pPr>
        <w:spacing w:before="0"/>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3B6019" w:rsidRPr="008C54A5" w14:paraId="0705E70A" w14:textId="77777777" w:rsidTr="00087537">
        <w:trPr>
          <w:cantSplit/>
        </w:trPr>
        <w:tc>
          <w:tcPr>
            <w:tcW w:w="1588" w:type="dxa"/>
          </w:tcPr>
          <w:p w14:paraId="6A524CB2" w14:textId="77777777" w:rsidR="003B6019" w:rsidRPr="008C54A5" w:rsidRDefault="003B6019" w:rsidP="009D72DD">
            <w:pPr>
              <w:spacing w:before="80" w:after="80"/>
              <w:rPr>
                <w:b/>
                <w:bCs/>
              </w:rPr>
            </w:pPr>
            <w:r w:rsidRPr="008C54A5">
              <w:rPr>
                <w:b/>
                <w:bCs/>
              </w:rPr>
              <w:t>Abstract:</w:t>
            </w:r>
          </w:p>
        </w:tc>
        <w:tc>
          <w:tcPr>
            <w:tcW w:w="8051" w:type="dxa"/>
          </w:tcPr>
          <w:p w14:paraId="47F116D6" w14:textId="5263DB4E" w:rsidR="003B6019" w:rsidRPr="009D72DD" w:rsidRDefault="001109F9" w:rsidP="009D72DD">
            <w:pPr>
              <w:pStyle w:val="TSBHeaderSummary"/>
              <w:spacing w:before="80" w:after="80"/>
              <w:rPr>
                <w:iCs/>
                <w:color w:val="000000" w:themeColor="text1"/>
              </w:rPr>
            </w:pPr>
            <w:sdt>
              <w:sdtPr>
                <w:rPr>
                  <w:iCs/>
                  <w:color w:val="000000" w:themeColor="text1"/>
                </w:rPr>
                <w:alias w:val="Abstract"/>
                <w:tag w:val="Abstract"/>
                <w:id w:val="-939903723"/>
                <w:placeholder>
                  <w:docPart w:val="5594912D10604AC18C83FA84C95D792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8A735C" w:rsidRPr="008C54A5">
                  <w:rPr>
                    <w:iCs/>
                    <w:color w:val="000000" w:themeColor="text1"/>
                  </w:rPr>
                  <w:t xml:space="preserve">This is the agenda for the special session on incubation whose objectives are </w:t>
                </w:r>
                <w:r w:rsidR="00BE5D31">
                  <w:rPr>
                    <w:iCs/>
                    <w:color w:val="000000" w:themeColor="text1"/>
                  </w:rPr>
                  <w:t xml:space="preserve">to </w:t>
                </w:r>
                <w:r w:rsidR="008A735C" w:rsidRPr="008C54A5">
                  <w:rPr>
                    <w:iCs/>
                    <w:color w:val="000000" w:themeColor="text1"/>
                  </w:rPr>
                  <w:t xml:space="preserve">execute the incubation allocation and the incubation management parts of </w:t>
                </w:r>
                <w:r w:rsidR="00BE5D31">
                  <w:rPr>
                    <w:iCs/>
                    <w:color w:val="000000" w:themeColor="text1"/>
                  </w:rPr>
                  <w:t xml:space="preserve">the </w:t>
                </w:r>
                <w:r w:rsidR="008A735C" w:rsidRPr="008C54A5">
                  <w:rPr>
                    <w:iCs/>
                    <w:color w:val="000000" w:themeColor="text1"/>
                  </w:rPr>
                  <w:t>SG17 incubation mechanism.</w:t>
                </w:r>
              </w:sdtContent>
            </w:sdt>
          </w:p>
        </w:tc>
      </w:tr>
    </w:tbl>
    <w:bookmarkEnd w:id="144"/>
    <w:p w14:paraId="087D0F34" w14:textId="77777777" w:rsidR="003B6019" w:rsidRPr="008C54A5" w:rsidRDefault="003B6019" w:rsidP="009D72DD">
      <w:pPr>
        <w:pStyle w:val="enumlev1"/>
        <w:spacing w:before="60"/>
      </w:pPr>
      <w:r w:rsidRPr="008C54A5">
        <w:t>1.</w:t>
      </w:r>
      <w:r w:rsidRPr="008C54A5">
        <w:tab/>
        <w:t>Opening remarks</w:t>
      </w:r>
    </w:p>
    <w:p w14:paraId="40BCE394" w14:textId="59A82FFC" w:rsidR="003B6019" w:rsidRPr="008C54A5" w:rsidRDefault="003B6019" w:rsidP="009D72DD">
      <w:pPr>
        <w:pStyle w:val="enumlev1"/>
        <w:spacing w:before="60"/>
      </w:pPr>
      <w:r w:rsidRPr="008C54A5">
        <w:t>2.</w:t>
      </w:r>
      <w:r w:rsidRPr="008C54A5">
        <w:tab/>
        <w:t>Agenda adoption</w:t>
      </w:r>
    </w:p>
    <w:p w14:paraId="29738C9E" w14:textId="2445B4EC" w:rsidR="003B6019" w:rsidRPr="008C54A5" w:rsidRDefault="003B6019" w:rsidP="009D72DD">
      <w:pPr>
        <w:pStyle w:val="enumlev1"/>
        <w:spacing w:before="60"/>
      </w:pPr>
      <w:r w:rsidRPr="008C54A5">
        <w:t>3.</w:t>
      </w:r>
      <w:r w:rsidRPr="008C54A5">
        <w:tab/>
        <w:t>Incubation allocation</w:t>
      </w:r>
    </w:p>
    <w:p w14:paraId="50E659CC" w14:textId="1C6DE23F" w:rsidR="003B6019" w:rsidRPr="008C54A5" w:rsidRDefault="003B6019" w:rsidP="009D72DD">
      <w:pPr>
        <w:pStyle w:val="enumlev2"/>
        <w:spacing w:before="60"/>
      </w:pPr>
      <w:r w:rsidRPr="008C54A5">
        <w:t xml:space="preserve">(Review of candidate </w:t>
      </w:r>
      <w:r w:rsidR="00BE5D31">
        <w:t>n</w:t>
      </w:r>
      <w:r w:rsidRPr="008C54A5">
        <w:t xml:space="preserve">ew </w:t>
      </w:r>
      <w:r w:rsidR="00BE5D31">
        <w:t>w</w:t>
      </w:r>
      <w:r w:rsidRPr="008C54A5">
        <w:t xml:space="preserve">ork </w:t>
      </w:r>
      <w:r w:rsidR="00BE5D31">
        <w:t>i</w:t>
      </w:r>
      <w:r w:rsidRPr="008C54A5">
        <w:t xml:space="preserve">tems for </w:t>
      </w:r>
      <w:r w:rsidR="00BE5D31">
        <w:t>agreement</w:t>
      </w:r>
      <w:r w:rsidR="00BE5D31" w:rsidRPr="008C54A5">
        <w:t xml:space="preserve"> </w:t>
      </w:r>
      <w:r w:rsidRPr="008C54A5">
        <w:t>by the incubation mechanism)</w:t>
      </w:r>
    </w:p>
    <w:p w14:paraId="300FBD21" w14:textId="2140304D" w:rsidR="003B6019" w:rsidRPr="008C54A5" w:rsidRDefault="003B6019" w:rsidP="009D72DD">
      <w:pPr>
        <w:pStyle w:val="enumlev2"/>
        <w:spacing w:before="60"/>
      </w:pPr>
      <w:r w:rsidRPr="008C54A5">
        <w:t>a.</w:t>
      </w:r>
      <w:r w:rsidRPr="008C54A5">
        <w:tab/>
        <w:t xml:space="preserve">Reminder </w:t>
      </w:r>
      <w:r w:rsidR="00BE5D31">
        <w:t>of</w:t>
      </w:r>
      <w:r w:rsidR="00BE5D31" w:rsidRPr="008C54A5">
        <w:t xml:space="preserve"> </w:t>
      </w:r>
      <w:r w:rsidRPr="008C54A5">
        <w:t xml:space="preserve">the Annex </w:t>
      </w:r>
      <w:r w:rsidR="004D30ED">
        <w:t>A</w:t>
      </w:r>
      <w:r w:rsidRPr="008C54A5">
        <w:t xml:space="preserve"> </w:t>
      </w:r>
      <w:r w:rsidR="00BE5D31">
        <w:t>i</w:t>
      </w:r>
      <w:r w:rsidRPr="008C54A5">
        <w:t>ncubation criteria</w:t>
      </w:r>
    </w:p>
    <w:p w14:paraId="66D7628B" w14:textId="3689B2FE" w:rsidR="003B6019" w:rsidRPr="008C54A5" w:rsidRDefault="003B6019" w:rsidP="009D72DD">
      <w:pPr>
        <w:pStyle w:val="enumlev2"/>
        <w:spacing w:before="60"/>
      </w:pPr>
      <w:r w:rsidRPr="008C54A5">
        <w:t>b.</w:t>
      </w:r>
      <w:r w:rsidRPr="008C54A5">
        <w:tab/>
        <w:t xml:space="preserve">Annex </w:t>
      </w:r>
      <w:r w:rsidR="004D30ED">
        <w:t>B</w:t>
      </w:r>
      <w:r w:rsidR="00BE5D31">
        <w:t>:</w:t>
      </w:r>
      <w:r w:rsidRPr="008C54A5">
        <w:t xml:space="preserve"> Proposed incubation candidate new work items for allocation discussion</w:t>
      </w:r>
    </w:p>
    <w:p w14:paraId="6FEC5A3E" w14:textId="5BA49CE1" w:rsidR="003B6019" w:rsidRPr="008C54A5" w:rsidRDefault="003B6019" w:rsidP="009D72DD">
      <w:pPr>
        <w:pStyle w:val="enumlev2"/>
        <w:spacing w:before="60"/>
      </w:pPr>
      <w:r w:rsidRPr="008C54A5">
        <w:t>c.</w:t>
      </w:r>
      <w:r w:rsidRPr="008C54A5">
        <w:tab/>
        <w:t xml:space="preserve">Agreement for Annex </w:t>
      </w:r>
      <w:r w:rsidR="004D30ED">
        <w:t>B</w:t>
      </w:r>
    </w:p>
    <w:p w14:paraId="594EDE01" w14:textId="55233F13" w:rsidR="003B6019" w:rsidRPr="008C54A5" w:rsidRDefault="003B6019" w:rsidP="009D72DD">
      <w:pPr>
        <w:pStyle w:val="enumlev2"/>
        <w:spacing w:before="60"/>
      </w:pPr>
      <w:r w:rsidRPr="008C54A5">
        <w:t>d.</w:t>
      </w:r>
      <w:r w:rsidRPr="008C54A5">
        <w:tab/>
        <w:t xml:space="preserve">Agreement for each item to be discussed in Annex </w:t>
      </w:r>
      <w:r w:rsidR="004D30ED">
        <w:t>B</w:t>
      </w:r>
      <w:r w:rsidRPr="008C54A5">
        <w:t xml:space="preserve"> (potentially amended by 3c)</w:t>
      </w:r>
    </w:p>
    <w:p w14:paraId="41A7B257" w14:textId="77777777" w:rsidR="003B6019" w:rsidRPr="008C54A5" w:rsidRDefault="003B6019" w:rsidP="009D72DD">
      <w:pPr>
        <w:pStyle w:val="enumlev1"/>
        <w:spacing w:before="60"/>
      </w:pPr>
      <w:r w:rsidRPr="008C54A5">
        <w:t>4.</w:t>
      </w:r>
      <w:r w:rsidRPr="008C54A5">
        <w:tab/>
        <w:t>Incubation management</w:t>
      </w:r>
    </w:p>
    <w:p w14:paraId="5971959C" w14:textId="77777777" w:rsidR="003B6019" w:rsidRPr="008C54A5" w:rsidRDefault="003B6019" w:rsidP="009D72DD">
      <w:pPr>
        <w:pStyle w:val="enumlev2"/>
        <w:spacing w:before="60"/>
      </w:pPr>
      <w:r w:rsidRPr="008C54A5">
        <w:t>(Potential incubation work items to be claimed by any question)</w:t>
      </w:r>
    </w:p>
    <w:p w14:paraId="758571FD" w14:textId="77777777" w:rsidR="003B6019" w:rsidRPr="008C54A5" w:rsidRDefault="003B6019" w:rsidP="009D72DD">
      <w:pPr>
        <w:pStyle w:val="enumlev2"/>
        <w:spacing w:before="60"/>
      </w:pPr>
      <w:r w:rsidRPr="008C54A5">
        <w:t>a.</w:t>
      </w:r>
      <w:r w:rsidRPr="008C54A5">
        <w:tab/>
        <w:t>Incubation identification (from last incubation question meeting report)</w:t>
      </w:r>
    </w:p>
    <w:p w14:paraId="1B72DB77" w14:textId="77777777" w:rsidR="003B6019" w:rsidRPr="008C54A5" w:rsidRDefault="003B6019" w:rsidP="009D72DD">
      <w:pPr>
        <w:pStyle w:val="enumlev2"/>
        <w:spacing w:before="60"/>
        <w:rPr>
          <w:highlight w:val="yellow"/>
        </w:rPr>
      </w:pPr>
      <w:r w:rsidRPr="008C54A5">
        <w:rPr>
          <w:highlight w:val="yellow"/>
        </w:rPr>
        <w:t xml:space="preserve">Q15/17 report </w:t>
      </w:r>
      <w:hyperlink r:id="rId36" w:history="1">
        <w:r w:rsidRPr="008C54A5">
          <w:rPr>
            <w:rStyle w:val="Hyperlink"/>
            <w:highlight w:val="yellow"/>
          </w:rPr>
          <w:t>TD1146</w:t>
        </w:r>
      </w:hyperlink>
      <w:r w:rsidRPr="008C54A5">
        <w:rPr>
          <w:highlight w:val="yellow"/>
        </w:rPr>
        <w:t xml:space="preserve"> section 7.5</w:t>
      </w:r>
    </w:p>
    <w:p w14:paraId="205A3515" w14:textId="77777777" w:rsidR="003B6019" w:rsidRPr="008C54A5" w:rsidRDefault="003B6019" w:rsidP="009D72DD">
      <w:pPr>
        <w:pStyle w:val="enumlev2"/>
        <w:spacing w:before="60"/>
      </w:pPr>
      <w:r w:rsidRPr="008C54A5">
        <w:t>b.</w:t>
      </w:r>
      <w:r w:rsidRPr="008C54A5">
        <w:tab/>
        <w:t>Incubation analysis and report (from last incubation question meeting report)</w:t>
      </w:r>
    </w:p>
    <w:p w14:paraId="3FB319BB" w14:textId="77777777" w:rsidR="003B6019" w:rsidRPr="008C54A5" w:rsidRDefault="003B6019" w:rsidP="009D72DD">
      <w:pPr>
        <w:pStyle w:val="enumlev2"/>
        <w:spacing w:before="60"/>
      </w:pPr>
      <w:r w:rsidRPr="008C54A5">
        <w:t>c.</w:t>
      </w:r>
      <w:r w:rsidRPr="008C54A5">
        <w:tab/>
        <w:t>Agreement for incubation reallocation</w:t>
      </w:r>
    </w:p>
    <w:p w14:paraId="54EEF020" w14:textId="77777777" w:rsidR="003B6019" w:rsidRPr="008C54A5" w:rsidRDefault="003B6019" w:rsidP="009D72DD">
      <w:pPr>
        <w:pStyle w:val="enumlev2"/>
        <w:spacing w:before="60"/>
      </w:pPr>
      <w:r w:rsidRPr="008C54A5">
        <w:rPr>
          <w:highlight w:val="yellow"/>
        </w:rPr>
        <w:t>Chair proposal to move TP.inno-2.0 work item from the incubation queue to Q1</w:t>
      </w:r>
    </w:p>
    <w:p w14:paraId="6D7EE99E" w14:textId="77777777" w:rsidR="003B6019" w:rsidRPr="008C54A5" w:rsidRDefault="003B6019" w:rsidP="009D72DD">
      <w:pPr>
        <w:pStyle w:val="enumlev1"/>
        <w:spacing w:before="60"/>
      </w:pPr>
      <w:r w:rsidRPr="008C54A5">
        <w:t>5.</w:t>
      </w:r>
      <w:r w:rsidRPr="008C54A5">
        <w:tab/>
        <w:t>Conclusions</w:t>
      </w:r>
    </w:p>
    <w:p w14:paraId="38D5451D" w14:textId="5AB8A4FC" w:rsidR="003B6019" w:rsidRPr="008C54A5" w:rsidRDefault="003B6019" w:rsidP="009D72DD">
      <w:pPr>
        <w:pStyle w:val="enumlev1"/>
        <w:spacing w:before="60"/>
      </w:pPr>
      <w:r w:rsidRPr="008C54A5">
        <w:t>6.</w:t>
      </w:r>
      <w:r w:rsidRPr="008C54A5">
        <w:tab/>
        <w:t xml:space="preserve">Any </w:t>
      </w:r>
      <w:r w:rsidR="00BE5D31">
        <w:t>o</w:t>
      </w:r>
      <w:r w:rsidRPr="008C54A5">
        <w:t xml:space="preserve">ther </w:t>
      </w:r>
      <w:r w:rsidR="00BE5D31">
        <w:t>b</w:t>
      </w:r>
      <w:r w:rsidRPr="008C54A5">
        <w:t>usiness</w:t>
      </w:r>
    </w:p>
    <w:p w14:paraId="0CB48558" w14:textId="1A4B6024" w:rsidR="003B6019" w:rsidRPr="008C54A5" w:rsidRDefault="003B6019" w:rsidP="009D72DD">
      <w:pPr>
        <w:pStyle w:val="enumlev1"/>
        <w:spacing w:before="60"/>
      </w:pPr>
      <w:r w:rsidRPr="008C54A5">
        <w:t>7.</w:t>
      </w:r>
      <w:r w:rsidRPr="008C54A5">
        <w:tab/>
        <w:t>Closing</w:t>
      </w:r>
    </w:p>
    <w:p w14:paraId="409D7BFA" w14:textId="11BA54BB" w:rsidR="0002770A" w:rsidRDefault="003B6019" w:rsidP="003B6019">
      <w:pPr>
        <w:pStyle w:val="AnnexNoTitle0"/>
      </w:pPr>
      <w:bookmarkStart w:id="150" w:name="_Toc172128672"/>
      <w:bookmarkStart w:id="151" w:name="_Toc172128776"/>
      <w:bookmarkStart w:id="152" w:name="_Toc167434363"/>
      <w:r w:rsidRPr="008C54A5">
        <w:t xml:space="preserve">Annex </w:t>
      </w:r>
      <w:r w:rsidR="0002770A">
        <w:t xml:space="preserve">A </w:t>
      </w:r>
      <w:r w:rsidR="009747A5">
        <w:br/>
      </w:r>
      <w:r w:rsidR="009747A5">
        <w:br/>
      </w:r>
      <w:r w:rsidR="0002770A">
        <w:t>to Appendix II</w:t>
      </w:r>
      <w:bookmarkEnd w:id="150"/>
      <w:bookmarkEnd w:id="151"/>
    </w:p>
    <w:p w14:paraId="046C2E01" w14:textId="0DE60E0E" w:rsidR="003B6019" w:rsidRPr="008C54A5" w:rsidRDefault="0002770A" w:rsidP="00FA68E9">
      <w:pPr>
        <w:pStyle w:val="Heading2"/>
      </w:pPr>
      <w:bookmarkStart w:id="153" w:name="_Toc172128673"/>
      <w:bookmarkStart w:id="154" w:name="_Toc172128777"/>
      <w:r>
        <w:t>A.1</w:t>
      </w:r>
      <w:r>
        <w:tab/>
      </w:r>
      <w:r w:rsidR="003B6019" w:rsidRPr="008C54A5">
        <w:t xml:space="preserve">Incubation </w:t>
      </w:r>
      <w:r w:rsidR="00C80BA8">
        <w:t>c</w:t>
      </w:r>
      <w:r w:rsidR="003B6019" w:rsidRPr="008C54A5">
        <w:t>riteria</w:t>
      </w:r>
      <w:bookmarkEnd w:id="152"/>
      <w:bookmarkEnd w:id="153"/>
      <w:bookmarkEnd w:id="154"/>
    </w:p>
    <w:p w14:paraId="452D9635" w14:textId="58EC1B83" w:rsidR="003B6019" w:rsidRPr="008C54A5" w:rsidRDefault="007379DA" w:rsidP="009D72DD">
      <w:pPr>
        <w:pStyle w:val="TableNoTitle0"/>
      </w:pPr>
      <w:r>
        <w:t xml:space="preserve">Table </w:t>
      </w:r>
      <w:r w:rsidR="0002770A">
        <w:t>A.1</w:t>
      </w:r>
      <w:r>
        <w:t xml:space="preserve"> – </w:t>
      </w:r>
      <w:r w:rsidR="003B6019" w:rsidRPr="008C54A5">
        <w:t xml:space="preserve">Incubation </w:t>
      </w:r>
      <w:r w:rsidR="001C73C5">
        <w:t>c</w:t>
      </w:r>
      <w:r w:rsidR="003B6019" w:rsidRPr="008C54A5">
        <w:t>riteria</w:t>
      </w:r>
    </w:p>
    <w:tbl>
      <w:tblPr>
        <w:tblW w:w="9566" w:type="dxa"/>
        <w:jc w:val="center"/>
        <w:tblCellMar>
          <w:left w:w="0" w:type="dxa"/>
          <w:right w:w="0" w:type="dxa"/>
        </w:tblCellMar>
        <w:tblLook w:val="0420" w:firstRow="1" w:lastRow="0" w:firstColumn="0" w:lastColumn="0" w:noHBand="0" w:noVBand="1"/>
      </w:tblPr>
      <w:tblGrid>
        <w:gridCol w:w="860"/>
        <w:gridCol w:w="2370"/>
        <w:gridCol w:w="6336"/>
      </w:tblGrid>
      <w:tr w:rsidR="003B6019" w:rsidRPr="008C54A5" w14:paraId="312DCC34" w14:textId="77777777" w:rsidTr="00087537">
        <w:trPr>
          <w:trHeight w:val="288"/>
          <w:jc w:val="center"/>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851CA" w14:textId="77777777" w:rsidR="003B6019" w:rsidRPr="008C54A5" w:rsidRDefault="003B6019" w:rsidP="00087537">
            <w:pPr>
              <w:pStyle w:val="Tablehead"/>
            </w:pPr>
            <w:r w:rsidRPr="008C54A5">
              <w:t>#</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966063" w14:textId="7CC42F51" w:rsidR="003B6019" w:rsidRPr="008C54A5" w:rsidRDefault="003B6019" w:rsidP="00087537">
            <w:pPr>
              <w:pStyle w:val="Tablehead"/>
            </w:pPr>
            <w:r w:rsidRPr="008C54A5">
              <w:t>C</w:t>
            </w:r>
            <w:r w:rsidR="009747A5" w:rsidRPr="008C54A5">
              <w:t>riteria</w:t>
            </w:r>
          </w:p>
        </w:tc>
        <w:tc>
          <w:tcPr>
            <w:tcW w:w="63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FCA40A" w14:textId="0B517A61" w:rsidR="003B6019" w:rsidRPr="008C54A5" w:rsidRDefault="003B6019" w:rsidP="00087537">
            <w:pPr>
              <w:pStyle w:val="Tablehead"/>
            </w:pPr>
            <w:r w:rsidRPr="008C54A5">
              <w:t>D</w:t>
            </w:r>
            <w:r w:rsidR="009747A5" w:rsidRPr="008C54A5">
              <w:t>escription</w:t>
            </w:r>
          </w:p>
        </w:tc>
      </w:tr>
      <w:tr w:rsidR="003B6019" w:rsidRPr="008C54A5" w14:paraId="447A5215" w14:textId="77777777" w:rsidTr="00087537">
        <w:trPr>
          <w:trHeight w:val="288"/>
          <w:jc w:val="center"/>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FFC60D" w14:textId="77777777" w:rsidR="003B6019" w:rsidRPr="008C54A5" w:rsidRDefault="003B6019" w:rsidP="009747A5">
            <w:pPr>
              <w:pStyle w:val="Tabletext"/>
              <w:jc w:val="center"/>
              <w:rPr>
                <w:sz w:val="20"/>
              </w:rPr>
            </w:pPr>
            <w:r w:rsidRPr="008C54A5">
              <w:t>C1</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5DC56E" w14:textId="77777777" w:rsidR="003B6019" w:rsidRPr="008C54A5" w:rsidRDefault="003B6019" w:rsidP="00087537">
            <w:pPr>
              <w:pStyle w:val="Tabletext"/>
              <w:rPr>
                <w:sz w:val="20"/>
              </w:rPr>
            </w:pPr>
            <w:r w:rsidRPr="008C54A5">
              <w:t>Innovation</w:t>
            </w:r>
          </w:p>
        </w:tc>
        <w:tc>
          <w:tcPr>
            <w:tcW w:w="63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6BC53B" w14:textId="279DEA81" w:rsidR="003B6019" w:rsidRPr="008C54A5" w:rsidRDefault="003B6019" w:rsidP="00087537">
            <w:pPr>
              <w:pStyle w:val="Tabletext"/>
              <w:rPr>
                <w:sz w:val="20"/>
              </w:rPr>
            </w:pPr>
            <w:r w:rsidRPr="008C54A5">
              <w:t>ITU-T SG17 members agree that there are no exact Questions that can host this new work item</w:t>
            </w:r>
            <w:r w:rsidR="00765636">
              <w:t xml:space="preserve"> (NWI)</w:t>
            </w:r>
            <w:r w:rsidRPr="008C54A5">
              <w:t xml:space="preserve"> or the contributor allocated this NWI to ALL/17 or to the incubation question.</w:t>
            </w:r>
          </w:p>
        </w:tc>
      </w:tr>
      <w:tr w:rsidR="003B6019" w:rsidRPr="008C54A5" w14:paraId="2B2016B5" w14:textId="77777777" w:rsidTr="00087537">
        <w:trPr>
          <w:trHeight w:val="288"/>
          <w:jc w:val="center"/>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ABCDD1" w14:textId="77777777" w:rsidR="003B6019" w:rsidRPr="008C54A5" w:rsidRDefault="003B6019" w:rsidP="009747A5">
            <w:pPr>
              <w:pStyle w:val="Tabletext"/>
              <w:jc w:val="center"/>
              <w:rPr>
                <w:sz w:val="20"/>
              </w:rPr>
            </w:pPr>
            <w:r w:rsidRPr="008C54A5">
              <w:t>C2</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038AC5" w14:textId="1854BCFF" w:rsidR="003B6019" w:rsidRPr="008C54A5" w:rsidRDefault="003B6019" w:rsidP="00087537">
            <w:pPr>
              <w:pStyle w:val="Tabletext"/>
              <w:rPr>
                <w:sz w:val="20"/>
              </w:rPr>
            </w:pPr>
            <w:r w:rsidRPr="008C54A5">
              <w:t>Too many target Questions</w:t>
            </w:r>
          </w:p>
        </w:tc>
        <w:tc>
          <w:tcPr>
            <w:tcW w:w="63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EF51C0" w14:textId="16F3F00A" w:rsidR="003B6019" w:rsidRPr="008C54A5" w:rsidRDefault="003B6019" w:rsidP="00087537">
            <w:pPr>
              <w:pStyle w:val="Tabletext"/>
              <w:rPr>
                <w:sz w:val="20"/>
              </w:rPr>
            </w:pPr>
            <w:r w:rsidRPr="008C54A5">
              <w:t xml:space="preserve">ITU-T SG17 members agree that there are multiple Questions that can host this </w:t>
            </w:r>
            <w:r w:rsidR="00765636">
              <w:t>NWI.</w:t>
            </w:r>
          </w:p>
        </w:tc>
      </w:tr>
      <w:tr w:rsidR="003B6019" w:rsidRPr="008C54A5" w14:paraId="3FC0E9CA" w14:textId="77777777" w:rsidTr="00087537">
        <w:trPr>
          <w:trHeight w:val="288"/>
          <w:jc w:val="center"/>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13DD12" w14:textId="77777777" w:rsidR="003B6019" w:rsidRPr="008C54A5" w:rsidRDefault="003B6019" w:rsidP="009747A5">
            <w:pPr>
              <w:pStyle w:val="Tabletext"/>
              <w:jc w:val="center"/>
              <w:rPr>
                <w:sz w:val="20"/>
              </w:rPr>
            </w:pPr>
            <w:r w:rsidRPr="008C54A5">
              <w:t>C3</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14C1AC" w14:textId="274C67FB" w:rsidR="003B6019" w:rsidRPr="008C54A5" w:rsidRDefault="003B6019" w:rsidP="00087537">
            <w:pPr>
              <w:pStyle w:val="Tabletext"/>
              <w:rPr>
                <w:sz w:val="20"/>
              </w:rPr>
            </w:pPr>
            <w:r w:rsidRPr="008C54A5">
              <w:t xml:space="preserve">Semantic </w:t>
            </w:r>
            <w:r w:rsidR="00765636">
              <w:t>m</w:t>
            </w:r>
            <w:r w:rsidRPr="008C54A5">
              <w:t>ismatch</w:t>
            </w:r>
          </w:p>
        </w:tc>
        <w:tc>
          <w:tcPr>
            <w:tcW w:w="63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56BDEC" w14:textId="1E8D6854" w:rsidR="003B6019" w:rsidRPr="008C54A5" w:rsidRDefault="003B6019" w:rsidP="00087537">
            <w:pPr>
              <w:pStyle w:val="Tabletext"/>
              <w:rPr>
                <w:sz w:val="20"/>
              </w:rPr>
            </w:pPr>
            <w:r w:rsidRPr="008C54A5">
              <w:t>ITU-T SG17 members agree that the new work item targets a Question but they have no consensus that the match</w:t>
            </w:r>
            <w:r w:rsidR="00765636">
              <w:t>es</w:t>
            </w:r>
            <w:r w:rsidRPr="008C54A5">
              <w:t xml:space="preserve"> the NWI</w:t>
            </w:r>
            <w:r w:rsidR="00765636">
              <w:t xml:space="preserve"> semantically or in terms of capabilities</w:t>
            </w:r>
            <w:r w:rsidRPr="008C54A5">
              <w:t>.</w:t>
            </w:r>
          </w:p>
        </w:tc>
      </w:tr>
      <w:tr w:rsidR="003B6019" w:rsidRPr="008C54A5" w14:paraId="1A4E4619" w14:textId="77777777" w:rsidTr="00087537">
        <w:trPr>
          <w:trHeight w:val="288"/>
          <w:jc w:val="center"/>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5C92A" w14:textId="77777777" w:rsidR="003B6019" w:rsidRPr="008C54A5" w:rsidRDefault="003B6019" w:rsidP="009747A5">
            <w:pPr>
              <w:pStyle w:val="Tabletext"/>
              <w:jc w:val="center"/>
              <w:rPr>
                <w:sz w:val="20"/>
              </w:rPr>
            </w:pPr>
            <w:r w:rsidRPr="008C54A5">
              <w:t>C4</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9347D8" w14:textId="77777777" w:rsidR="003B6019" w:rsidRPr="008C54A5" w:rsidRDefault="003B6019" w:rsidP="00087537">
            <w:pPr>
              <w:pStyle w:val="Tabletext"/>
              <w:rPr>
                <w:sz w:val="20"/>
              </w:rPr>
            </w:pPr>
            <w:r w:rsidRPr="008C54A5">
              <w:t>SDO dependency</w:t>
            </w:r>
          </w:p>
        </w:tc>
        <w:tc>
          <w:tcPr>
            <w:tcW w:w="63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37FF69" w14:textId="31E82B8B" w:rsidR="003B6019" w:rsidRPr="008C54A5" w:rsidRDefault="003B6019" w:rsidP="00087537">
            <w:pPr>
              <w:pStyle w:val="Tabletext"/>
              <w:rPr>
                <w:sz w:val="20"/>
              </w:rPr>
            </w:pPr>
            <w:r w:rsidRPr="008C54A5">
              <w:t xml:space="preserve">ITU-T SG17 members agree that the </w:t>
            </w:r>
            <w:r w:rsidR="00765636">
              <w:t>NWI</w:t>
            </w:r>
            <w:r w:rsidRPr="008C54A5">
              <w:t xml:space="preserve"> has a dependency with ISO/IEC that temporarily forbids the scope of its contribution.</w:t>
            </w:r>
          </w:p>
        </w:tc>
      </w:tr>
      <w:tr w:rsidR="003B6019" w:rsidRPr="008C54A5" w14:paraId="58917201" w14:textId="77777777" w:rsidTr="00087537">
        <w:trPr>
          <w:trHeight w:val="288"/>
          <w:jc w:val="center"/>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E3F696" w14:textId="77777777" w:rsidR="003B6019" w:rsidRPr="008C54A5" w:rsidRDefault="003B6019" w:rsidP="009747A5">
            <w:pPr>
              <w:pStyle w:val="Tabletext"/>
              <w:jc w:val="center"/>
              <w:rPr>
                <w:sz w:val="20"/>
              </w:rPr>
            </w:pPr>
            <w:r w:rsidRPr="008C54A5">
              <w:t>C5</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77B99A" w14:textId="77777777" w:rsidR="003B6019" w:rsidRPr="008C54A5" w:rsidRDefault="003B6019" w:rsidP="00087537">
            <w:pPr>
              <w:pStyle w:val="Tabletext"/>
              <w:rPr>
                <w:sz w:val="20"/>
              </w:rPr>
            </w:pPr>
            <w:r w:rsidRPr="008C54A5">
              <w:t>NWI semantic misalignment</w:t>
            </w:r>
          </w:p>
        </w:tc>
        <w:tc>
          <w:tcPr>
            <w:tcW w:w="63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180C01" w14:textId="20A04006" w:rsidR="003B6019" w:rsidRPr="008C54A5" w:rsidRDefault="003B6019" w:rsidP="00087537">
            <w:pPr>
              <w:pStyle w:val="Tabletext"/>
              <w:rPr>
                <w:sz w:val="20"/>
              </w:rPr>
            </w:pPr>
            <w:r w:rsidRPr="008C54A5">
              <w:t>ITU-T SG17 members ha</w:t>
            </w:r>
            <w:r w:rsidR="00765636">
              <w:t>ve</w:t>
            </w:r>
            <w:r w:rsidRPr="008C54A5">
              <w:t xml:space="preserve"> no consensus that the contributor provided a partial rationale for </w:t>
            </w:r>
            <w:r w:rsidR="00765636">
              <w:t>the NWI</w:t>
            </w:r>
            <w:r w:rsidRPr="008C54A5">
              <w:t xml:space="preserve"> and a review of the full semantic of the NWI can allow its allocation in multiple Questions or to no Question because it is about a next big thing.</w:t>
            </w:r>
          </w:p>
        </w:tc>
      </w:tr>
      <w:tr w:rsidR="003B6019" w:rsidRPr="008C54A5" w14:paraId="7B06F1EE" w14:textId="77777777" w:rsidTr="00087537">
        <w:trPr>
          <w:trHeight w:val="288"/>
          <w:jc w:val="center"/>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CF8314" w14:textId="77777777" w:rsidR="003B6019" w:rsidRPr="008C54A5" w:rsidRDefault="003B6019" w:rsidP="009747A5">
            <w:pPr>
              <w:pStyle w:val="Tabletext"/>
              <w:jc w:val="center"/>
              <w:rPr>
                <w:sz w:val="20"/>
              </w:rPr>
            </w:pPr>
            <w:r w:rsidRPr="008C54A5">
              <w:t>C6</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E473A0" w14:textId="3EC4DAB4" w:rsidR="003B6019" w:rsidRPr="008C54A5" w:rsidRDefault="003B6019" w:rsidP="00087537">
            <w:pPr>
              <w:pStyle w:val="Tabletext"/>
              <w:rPr>
                <w:sz w:val="20"/>
              </w:rPr>
            </w:pPr>
            <w:r w:rsidRPr="008C54A5">
              <w:t>ITU mandate possible restrictions in PP Resolution 130</w:t>
            </w:r>
          </w:p>
        </w:tc>
        <w:tc>
          <w:tcPr>
            <w:tcW w:w="63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34A767" w14:textId="27464440" w:rsidR="003B6019" w:rsidRPr="008C54A5" w:rsidRDefault="003B6019" w:rsidP="00087537">
            <w:pPr>
              <w:pStyle w:val="Tabletext"/>
              <w:rPr>
                <w:sz w:val="20"/>
              </w:rPr>
            </w:pPr>
            <w:r w:rsidRPr="008C54A5">
              <w:t xml:space="preserve">ITU-T SG17 members have no consensus that the new work </w:t>
            </w:r>
            <w:r w:rsidR="00765636">
              <w:t>falls</w:t>
            </w:r>
            <w:r w:rsidRPr="008C54A5">
              <w:t xml:space="preserve"> into a grey area of decision </w:t>
            </w:r>
            <w:r w:rsidR="00765636">
              <w:t>on whether it touches a</w:t>
            </w:r>
            <w:r w:rsidRPr="008C54A5">
              <w:t xml:space="preserve"> mandate restriction of the ITU or not.</w:t>
            </w:r>
          </w:p>
        </w:tc>
      </w:tr>
    </w:tbl>
    <w:p w14:paraId="547C3DA8" w14:textId="64D76FAB" w:rsidR="003B6019" w:rsidRPr="008C54A5" w:rsidRDefault="007379DA" w:rsidP="009D72DD">
      <w:pPr>
        <w:pStyle w:val="TableNoTitle0"/>
      </w:pPr>
      <w:r>
        <w:t xml:space="preserve">Table </w:t>
      </w:r>
      <w:r w:rsidR="004D30ED">
        <w:t>A.2</w:t>
      </w:r>
      <w:r>
        <w:t xml:space="preserve"> – </w:t>
      </w:r>
      <w:r w:rsidR="003B6019" w:rsidRPr="008C54A5">
        <w:t xml:space="preserve">Discussion </w:t>
      </w:r>
      <w:r w:rsidR="001C73C5">
        <w:t>c</w:t>
      </w:r>
      <w:r w:rsidR="003B6019" w:rsidRPr="008C54A5">
        <w:t>riteria</w:t>
      </w:r>
    </w:p>
    <w:tbl>
      <w:tblPr>
        <w:tblW w:w="9620" w:type="dxa"/>
        <w:jc w:val="center"/>
        <w:tblCellMar>
          <w:left w:w="0" w:type="dxa"/>
          <w:right w:w="0" w:type="dxa"/>
        </w:tblCellMar>
        <w:tblLook w:val="0420" w:firstRow="1" w:lastRow="0" w:firstColumn="0" w:lastColumn="0" w:noHBand="0" w:noVBand="1"/>
      </w:tblPr>
      <w:tblGrid>
        <w:gridCol w:w="860"/>
        <w:gridCol w:w="8760"/>
      </w:tblGrid>
      <w:tr w:rsidR="003B6019" w:rsidRPr="008C54A5" w14:paraId="57549C08" w14:textId="77777777" w:rsidTr="00087537">
        <w:trPr>
          <w:trHeight w:val="288"/>
          <w:jc w:val="center"/>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563C29" w14:textId="77777777" w:rsidR="003B6019" w:rsidRPr="008C54A5" w:rsidRDefault="003B6019" w:rsidP="00087537">
            <w:pPr>
              <w:pStyle w:val="Tablehead"/>
            </w:pPr>
            <w:r w:rsidRPr="008C54A5">
              <w:t>#</w:t>
            </w:r>
          </w:p>
        </w:tc>
        <w:tc>
          <w:tcPr>
            <w:tcW w:w="8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EBA7A" w14:textId="2B041E73" w:rsidR="003B6019" w:rsidRPr="008C54A5" w:rsidRDefault="003B6019" w:rsidP="00087537">
            <w:pPr>
              <w:pStyle w:val="Tablehead"/>
            </w:pPr>
            <w:r w:rsidRPr="008C54A5">
              <w:t>D</w:t>
            </w:r>
            <w:r w:rsidR="009747A5" w:rsidRPr="008C54A5">
              <w:t>escription</w:t>
            </w:r>
          </w:p>
        </w:tc>
      </w:tr>
      <w:tr w:rsidR="003B6019" w:rsidRPr="008C54A5" w14:paraId="573CF22A" w14:textId="77777777" w:rsidTr="00087537">
        <w:trPr>
          <w:trHeight w:val="288"/>
          <w:jc w:val="center"/>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F2C435" w14:textId="77777777" w:rsidR="003B6019" w:rsidRPr="008C54A5" w:rsidRDefault="003B6019" w:rsidP="009747A5">
            <w:pPr>
              <w:pStyle w:val="Tabletext"/>
              <w:jc w:val="center"/>
            </w:pPr>
            <w:r w:rsidRPr="008C54A5">
              <w:t>D</w:t>
            </w:r>
          </w:p>
        </w:tc>
        <w:tc>
          <w:tcPr>
            <w:tcW w:w="8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5E1545" w14:textId="37E3F2E0" w:rsidR="003B6019" w:rsidRPr="008C54A5" w:rsidRDefault="003B6019" w:rsidP="00087537">
            <w:pPr>
              <w:pStyle w:val="Tabletext"/>
            </w:pPr>
            <w:r w:rsidRPr="008C54A5">
              <w:t>Members opinion on discussion</w:t>
            </w:r>
            <w:r w:rsidR="00765636">
              <w:t>:</w:t>
            </w:r>
          </w:p>
          <w:p w14:paraId="7B62E71B" w14:textId="3EE9499A" w:rsidR="003B6019" w:rsidRPr="008C54A5" w:rsidRDefault="003B6019" w:rsidP="00087537">
            <w:pPr>
              <w:pStyle w:val="Tabletext"/>
            </w:pPr>
            <w:r w:rsidRPr="008C54A5">
              <w:t>•</w:t>
            </w:r>
            <w:r w:rsidRPr="008C54A5">
              <w:tab/>
              <w:t xml:space="preserve">"N" indicates no discussion is needed at </w:t>
            </w:r>
            <w:r w:rsidR="00765636">
              <w:t>the i</w:t>
            </w:r>
            <w:r w:rsidRPr="008C54A5">
              <w:t>ncubation special session</w:t>
            </w:r>
            <w:r w:rsidR="00765636">
              <w:t>;</w:t>
            </w:r>
          </w:p>
          <w:p w14:paraId="1C48FE82" w14:textId="16B964B3" w:rsidR="003B6019" w:rsidRPr="008C54A5" w:rsidRDefault="003B6019" w:rsidP="00087537">
            <w:pPr>
              <w:pStyle w:val="Tabletext"/>
            </w:pPr>
            <w:r w:rsidRPr="008C54A5">
              <w:t>•</w:t>
            </w:r>
            <w:r w:rsidRPr="008C54A5">
              <w:tab/>
              <w:t>"Y" indicates</w:t>
            </w:r>
            <w:r w:rsidR="00765636">
              <w:t xml:space="preserve"> that the</w:t>
            </w:r>
            <w:r w:rsidRPr="008C54A5">
              <w:t xml:space="preserve"> item should be discussed during </w:t>
            </w:r>
            <w:r w:rsidR="00765636">
              <w:t>the i</w:t>
            </w:r>
            <w:r w:rsidRPr="008C54A5">
              <w:t>ncubation special session</w:t>
            </w:r>
            <w:r w:rsidR="00765636">
              <w:t>;</w:t>
            </w:r>
          </w:p>
          <w:p w14:paraId="375872E8" w14:textId="45199B68" w:rsidR="003B6019" w:rsidRPr="008C54A5" w:rsidRDefault="003B6019" w:rsidP="00087537">
            <w:pPr>
              <w:pStyle w:val="Tabletext"/>
              <w:ind w:left="284" w:hanging="284"/>
            </w:pPr>
            <w:r w:rsidRPr="008C54A5">
              <w:t>•</w:t>
            </w:r>
            <w:r w:rsidRPr="008C54A5">
              <w:tab/>
              <w:t xml:space="preserve">"D" indicates there is disagreement </w:t>
            </w:r>
            <w:r w:rsidR="00765636">
              <w:t>on whether</w:t>
            </w:r>
            <w:r w:rsidR="00765636" w:rsidRPr="008C54A5">
              <w:t xml:space="preserve"> </w:t>
            </w:r>
            <w:r w:rsidRPr="008C54A5">
              <w:t xml:space="preserve">this item </w:t>
            </w:r>
            <w:r w:rsidR="00765636">
              <w:t>should be</w:t>
            </w:r>
            <w:r w:rsidRPr="008C54A5">
              <w:t xml:space="preserve"> discussed during </w:t>
            </w:r>
            <w:r w:rsidR="00765636">
              <w:t>the i</w:t>
            </w:r>
            <w:r w:rsidRPr="008C54A5">
              <w:t>ncubation special session</w:t>
            </w:r>
            <w:r w:rsidR="00765636">
              <w:t>.</w:t>
            </w:r>
          </w:p>
        </w:tc>
      </w:tr>
    </w:tbl>
    <w:p w14:paraId="6655362C" w14:textId="77777777" w:rsidR="003B6019" w:rsidRDefault="003B6019" w:rsidP="009D72DD"/>
    <w:p w14:paraId="582324D3" w14:textId="61591128" w:rsidR="009D72DD" w:rsidRPr="008C54A5" w:rsidRDefault="009D72DD" w:rsidP="009D72DD">
      <w:pPr>
        <w:sectPr w:rsidR="009D72DD" w:rsidRPr="008C54A5" w:rsidSect="00BA73C2">
          <w:footerReference w:type="default" r:id="rId37"/>
          <w:pgSz w:w="11901" w:h="16838" w:code="9"/>
          <w:pgMar w:top="1134" w:right="1134" w:bottom="1134" w:left="1134" w:header="567" w:footer="567" w:gutter="0"/>
          <w:cols w:space="720"/>
          <w:docGrid w:linePitch="360"/>
        </w:sectPr>
      </w:pPr>
    </w:p>
    <w:p w14:paraId="57489E40" w14:textId="73B6800F" w:rsidR="003B6019" w:rsidRPr="008C54A5" w:rsidRDefault="003B6019" w:rsidP="00FA68E9">
      <w:pPr>
        <w:pStyle w:val="AnnexNoTitle0"/>
        <w:spacing w:before="240"/>
      </w:pPr>
      <w:bookmarkStart w:id="155" w:name="_Toc172128778"/>
      <w:r w:rsidRPr="008C54A5">
        <w:t xml:space="preserve">Annex </w:t>
      </w:r>
      <w:r w:rsidR="004D30ED">
        <w:t>B</w:t>
      </w:r>
      <w:r w:rsidR="0002770A">
        <w:t xml:space="preserve"> to Appendix II</w:t>
      </w:r>
      <w:r w:rsidRPr="008C54A5">
        <w:br/>
      </w:r>
      <w:r w:rsidRPr="008C54A5">
        <w:br/>
        <w:t>Proposed incubation candidate new work items for allocation discussion</w:t>
      </w:r>
      <w:bookmarkEnd w:id="155"/>
    </w:p>
    <w:p w14:paraId="17EBD0CC" w14:textId="77777777" w:rsidR="003B6019" w:rsidRPr="008C54A5" w:rsidRDefault="003B6019" w:rsidP="001B6FFA">
      <w:pPr>
        <w:pStyle w:val="Normalaftertitle"/>
      </w:pPr>
      <w:r w:rsidRPr="008C54A5">
        <w:t xml:space="preserve">The list of </w:t>
      </w:r>
      <w:r w:rsidRPr="008C54A5">
        <w:rPr>
          <w:highlight w:val="yellow"/>
        </w:rPr>
        <w:t>62</w:t>
      </w:r>
      <w:r w:rsidRPr="008C54A5">
        <w:t xml:space="preserve"> proposed new work items (NWI) at this SG17 meeting is given by </w:t>
      </w:r>
      <w:hyperlink r:id="rId38" w:history="1">
        <w:r w:rsidRPr="008C54A5">
          <w:rPr>
            <w:rStyle w:val="Hyperlink"/>
            <w:highlight w:val="yellow"/>
          </w:rPr>
          <w:t>TD1517</w:t>
        </w:r>
      </w:hyperlink>
      <w:r w:rsidRPr="008C54A5">
        <w:rPr>
          <w:highlight w:val="yellow"/>
        </w:rPr>
        <w:t>.</w:t>
      </w:r>
    </w:p>
    <w:p w14:paraId="4CB5E9E4" w14:textId="078DCB56" w:rsidR="003B6019" w:rsidRPr="008C54A5" w:rsidRDefault="003B6019" w:rsidP="003B6019">
      <w:r w:rsidRPr="008C54A5">
        <w:rPr>
          <w:highlight w:val="yellow"/>
        </w:rPr>
        <w:t xml:space="preserve">For the purpose of this example </w:t>
      </w:r>
      <w:r w:rsidR="007379DA">
        <w:t xml:space="preserve">Table </w:t>
      </w:r>
      <w:r w:rsidR="004D30ED">
        <w:t>B.1</w:t>
      </w:r>
      <w:r w:rsidR="007379DA">
        <w:t xml:space="preserve"> has been edited.</w:t>
      </w:r>
    </w:p>
    <w:tbl>
      <w:tblPr>
        <w:tblStyle w:val="TableGrid"/>
        <w:tblW w:w="14459" w:type="dxa"/>
        <w:tblLayout w:type="fixed"/>
        <w:tblLook w:val="04A0" w:firstRow="1" w:lastRow="0" w:firstColumn="1" w:lastColumn="0" w:noHBand="0" w:noVBand="1"/>
      </w:tblPr>
      <w:tblGrid>
        <w:gridCol w:w="891"/>
        <w:gridCol w:w="2236"/>
        <w:gridCol w:w="1697"/>
        <w:gridCol w:w="1041"/>
        <w:gridCol w:w="568"/>
        <w:gridCol w:w="568"/>
        <w:gridCol w:w="568"/>
        <w:gridCol w:w="568"/>
        <w:gridCol w:w="568"/>
        <w:gridCol w:w="590"/>
        <w:gridCol w:w="568"/>
        <w:gridCol w:w="3254"/>
        <w:gridCol w:w="1342"/>
      </w:tblGrid>
      <w:tr w:rsidR="00407A24" w:rsidRPr="008C54A5" w14:paraId="5B673EAB" w14:textId="77777777" w:rsidTr="00407A24">
        <w:trPr>
          <w:tblHeader/>
        </w:trPr>
        <w:tc>
          <w:tcPr>
            <w:tcW w:w="14459" w:type="dxa"/>
            <w:gridSpan w:val="13"/>
            <w:tcBorders>
              <w:top w:val="nil"/>
              <w:left w:val="nil"/>
              <w:bottom w:val="single" w:sz="4" w:space="0" w:color="auto"/>
              <w:right w:val="nil"/>
            </w:tcBorders>
            <w:shd w:val="clear" w:color="auto" w:fill="auto"/>
          </w:tcPr>
          <w:p w14:paraId="5545374C" w14:textId="134731C7" w:rsidR="00407A24" w:rsidRPr="008C54A5" w:rsidRDefault="00407A24" w:rsidP="00407A24">
            <w:pPr>
              <w:pStyle w:val="TableNoTitle0"/>
              <w:rPr>
                <w:sz w:val="18"/>
                <w:szCs w:val="18"/>
              </w:rPr>
            </w:pPr>
            <w:r>
              <w:t>Table B.1 – Proposed new work items</w:t>
            </w:r>
          </w:p>
        </w:tc>
      </w:tr>
      <w:tr w:rsidR="003B6019" w:rsidRPr="008C54A5" w14:paraId="29EE08A0" w14:textId="77777777" w:rsidTr="00407A24">
        <w:trPr>
          <w:tblHeader/>
        </w:trPr>
        <w:tc>
          <w:tcPr>
            <w:tcW w:w="891" w:type="dxa"/>
            <w:tcBorders>
              <w:top w:val="single" w:sz="4" w:space="0" w:color="auto"/>
            </w:tcBorders>
            <w:shd w:val="clear" w:color="auto" w:fill="auto"/>
          </w:tcPr>
          <w:p w14:paraId="54BD1604" w14:textId="77777777" w:rsidR="003B6019" w:rsidRPr="008C54A5" w:rsidRDefault="003B6019" w:rsidP="00087537">
            <w:pPr>
              <w:pStyle w:val="Tablehead"/>
              <w:rPr>
                <w:sz w:val="18"/>
                <w:szCs w:val="18"/>
              </w:rPr>
            </w:pPr>
            <w:r w:rsidRPr="008C54A5">
              <w:rPr>
                <w:sz w:val="18"/>
                <w:szCs w:val="18"/>
              </w:rPr>
              <w:t>Number</w:t>
            </w:r>
          </w:p>
        </w:tc>
        <w:tc>
          <w:tcPr>
            <w:tcW w:w="2236" w:type="dxa"/>
            <w:tcBorders>
              <w:top w:val="single" w:sz="4" w:space="0" w:color="auto"/>
            </w:tcBorders>
            <w:shd w:val="clear" w:color="auto" w:fill="auto"/>
          </w:tcPr>
          <w:p w14:paraId="75027E7A" w14:textId="77777777" w:rsidR="003B6019" w:rsidRPr="008C54A5" w:rsidRDefault="003B6019" w:rsidP="00087537">
            <w:pPr>
              <w:pStyle w:val="Tablehead"/>
              <w:rPr>
                <w:sz w:val="18"/>
                <w:szCs w:val="18"/>
              </w:rPr>
            </w:pPr>
            <w:r w:rsidRPr="008C54A5">
              <w:rPr>
                <w:sz w:val="18"/>
                <w:szCs w:val="18"/>
              </w:rPr>
              <w:t>Title</w:t>
            </w:r>
          </w:p>
        </w:tc>
        <w:tc>
          <w:tcPr>
            <w:tcW w:w="1697" w:type="dxa"/>
            <w:tcBorders>
              <w:top w:val="single" w:sz="4" w:space="0" w:color="auto"/>
            </w:tcBorders>
            <w:shd w:val="clear" w:color="auto" w:fill="auto"/>
          </w:tcPr>
          <w:p w14:paraId="7BBB0527" w14:textId="77777777" w:rsidR="003B6019" w:rsidRPr="008C54A5" w:rsidRDefault="003B6019" w:rsidP="00087537">
            <w:pPr>
              <w:pStyle w:val="Tablehead"/>
              <w:rPr>
                <w:sz w:val="18"/>
                <w:szCs w:val="18"/>
              </w:rPr>
            </w:pPr>
            <w:r w:rsidRPr="008C54A5">
              <w:rPr>
                <w:sz w:val="18"/>
                <w:szCs w:val="18"/>
              </w:rPr>
              <w:t>Source</w:t>
            </w:r>
          </w:p>
        </w:tc>
        <w:tc>
          <w:tcPr>
            <w:tcW w:w="1041" w:type="dxa"/>
            <w:tcBorders>
              <w:top w:val="single" w:sz="4" w:space="0" w:color="auto"/>
            </w:tcBorders>
            <w:shd w:val="clear" w:color="auto" w:fill="auto"/>
          </w:tcPr>
          <w:p w14:paraId="50C1ACAB" w14:textId="77777777" w:rsidR="003B6019" w:rsidRPr="008C54A5" w:rsidRDefault="003B6019" w:rsidP="00087537">
            <w:pPr>
              <w:pStyle w:val="Tablehead"/>
              <w:rPr>
                <w:sz w:val="18"/>
                <w:szCs w:val="18"/>
              </w:rPr>
            </w:pPr>
            <w:r w:rsidRPr="008C54A5">
              <w:rPr>
                <w:sz w:val="18"/>
                <w:szCs w:val="18"/>
              </w:rPr>
              <w:t>Question</w:t>
            </w:r>
          </w:p>
        </w:tc>
        <w:tc>
          <w:tcPr>
            <w:tcW w:w="568" w:type="dxa"/>
            <w:tcBorders>
              <w:top w:val="single" w:sz="4" w:space="0" w:color="auto"/>
            </w:tcBorders>
            <w:shd w:val="clear" w:color="auto" w:fill="auto"/>
          </w:tcPr>
          <w:p w14:paraId="3109ED92" w14:textId="77777777" w:rsidR="003B6019" w:rsidRPr="008C54A5" w:rsidDel="000A1C38" w:rsidRDefault="003B6019" w:rsidP="00087537">
            <w:pPr>
              <w:pStyle w:val="Tablehead"/>
              <w:rPr>
                <w:sz w:val="18"/>
                <w:szCs w:val="18"/>
              </w:rPr>
            </w:pPr>
            <w:r w:rsidRPr="008C54A5">
              <w:rPr>
                <w:sz w:val="18"/>
                <w:szCs w:val="18"/>
              </w:rPr>
              <w:t>C1</w:t>
            </w:r>
          </w:p>
        </w:tc>
        <w:tc>
          <w:tcPr>
            <w:tcW w:w="568" w:type="dxa"/>
            <w:tcBorders>
              <w:top w:val="single" w:sz="4" w:space="0" w:color="auto"/>
            </w:tcBorders>
            <w:shd w:val="clear" w:color="auto" w:fill="auto"/>
          </w:tcPr>
          <w:p w14:paraId="64EBBE86" w14:textId="77777777" w:rsidR="003B6019" w:rsidRPr="008C54A5" w:rsidDel="000A1C38" w:rsidRDefault="003B6019" w:rsidP="00087537">
            <w:pPr>
              <w:pStyle w:val="Tablehead"/>
              <w:rPr>
                <w:sz w:val="18"/>
                <w:szCs w:val="18"/>
              </w:rPr>
            </w:pPr>
            <w:r w:rsidRPr="008C54A5">
              <w:rPr>
                <w:sz w:val="18"/>
                <w:szCs w:val="18"/>
              </w:rPr>
              <w:t>C2</w:t>
            </w:r>
          </w:p>
        </w:tc>
        <w:tc>
          <w:tcPr>
            <w:tcW w:w="568" w:type="dxa"/>
            <w:tcBorders>
              <w:top w:val="single" w:sz="4" w:space="0" w:color="auto"/>
            </w:tcBorders>
            <w:shd w:val="clear" w:color="auto" w:fill="auto"/>
          </w:tcPr>
          <w:p w14:paraId="42F8F545" w14:textId="77777777" w:rsidR="003B6019" w:rsidRPr="008C54A5" w:rsidDel="000A1C38" w:rsidRDefault="003B6019" w:rsidP="00087537">
            <w:pPr>
              <w:pStyle w:val="Tablehead"/>
              <w:rPr>
                <w:sz w:val="18"/>
                <w:szCs w:val="18"/>
              </w:rPr>
            </w:pPr>
            <w:r w:rsidRPr="008C54A5">
              <w:rPr>
                <w:sz w:val="18"/>
                <w:szCs w:val="18"/>
              </w:rPr>
              <w:t>C3</w:t>
            </w:r>
          </w:p>
        </w:tc>
        <w:tc>
          <w:tcPr>
            <w:tcW w:w="568" w:type="dxa"/>
            <w:tcBorders>
              <w:top w:val="single" w:sz="4" w:space="0" w:color="auto"/>
            </w:tcBorders>
            <w:shd w:val="clear" w:color="auto" w:fill="auto"/>
          </w:tcPr>
          <w:p w14:paraId="63E622B1" w14:textId="77777777" w:rsidR="003B6019" w:rsidRPr="008C54A5" w:rsidDel="000A1C38" w:rsidRDefault="003B6019" w:rsidP="00087537">
            <w:pPr>
              <w:pStyle w:val="Tablehead"/>
              <w:rPr>
                <w:sz w:val="18"/>
                <w:szCs w:val="18"/>
              </w:rPr>
            </w:pPr>
            <w:r w:rsidRPr="008C54A5">
              <w:rPr>
                <w:sz w:val="18"/>
                <w:szCs w:val="18"/>
              </w:rPr>
              <w:t>C4</w:t>
            </w:r>
          </w:p>
        </w:tc>
        <w:tc>
          <w:tcPr>
            <w:tcW w:w="568" w:type="dxa"/>
            <w:tcBorders>
              <w:top w:val="single" w:sz="4" w:space="0" w:color="auto"/>
            </w:tcBorders>
            <w:shd w:val="clear" w:color="auto" w:fill="auto"/>
          </w:tcPr>
          <w:p w14:paraId="0ECDDD36" w14:textId="77777777" w:rsidR="003B6019" w:rsidRPr="008C54A5" w:rsidDel="000A1C38" w:rsidRDefault="003B6019" w:rsidP="00087537">
            <w:pPr>
              <w:pStyle w:val="Tablehead"/>
              <w:rPr>
                <w:sz w:val="18"/>
                <w:szCs w:val="18"/>
              </w:rPr>
            </w:pPr>
            <w:r w:rsidRPr="008C54A5">
              <w:rPr>
                <w:sz w:val="18"/>
                <w:szCs w:val="18"/>
              </w:rPr>
              <w:t>C5</w:t>
            </w:r>
          </w:p>
        </w:tc>
        <w:tc>
          <w:tcPr>
            <w:tcW w:w="590" w:type="dxa"/>
            <w:tcBorders>
              <w:top w:val="single" w:sz="4" w:space="0" w:color="auto"/>
            </w:tcBorders>
            <w:shd w:val="clear" w:color="auto" w:fill="auto"/>
          </w:tcPr>
          <w:p w14:paraId="0AAC0C3B" w14:textId="77777777" w:rsidR="003B6019" w:rsidRPr="008C54A5" w:rsidDel="000A1C38" w:rsidRDefault="003B6019" w:rsidP="00087537">
            <w:pPr>
              <w:pStyle w:val="Tablehead"/>
              <w:rPr>
                <w:sz w:val="18"/>
                <w:szCs w:val="18"/>
              </w:rPr>
            </w:pPr>
            <w:r w:rsidRPr="008C54A5">
              <w:rPr>
                <w:sz w:val="18"/>
                <w:szCs w:val="18"/>
              </w:rPr>
              <w:t>C6</w:t>
            </w:r>
          </w:p>
        </w:tc>
        <w:tc>
          <w:tcPr>
            <w:tcW w:w="568" w:type="dxa"/>
            <w:tcBorders>
              <w:top w:val="single" w:sz="4" w:space="0" w:color="auto"/>
            </w:tcBorders>
            <w:shd w:val="clear" w:color="auto" w:fill="auto"/>
          </w:tcPr>
          <w:p w14:paraId="055DDBF9" w14:textId="77777777" w:rsidR="003B6019" w:rsidRPr="008C54A5" w:rsidRDefault="003B6019" w:rsidP="00087537">
            <w:pPr>
              <w:pStyle w:val="Tablehead"/>
              <w:rPr>
                <w:sz w:val="18"/>
                <w:szCs w:val="18"/>
              </w:rPr>
            </w:pPr>
            <w:r w:rsidRPr="008C54A5">
              <w:rPr>
                <w:sz w:val="18"/>
                <w:szCs w:val="18"/>
              </w:rPr>
              <w:t>D</w:t>
            </w:r>
          </w:p>
        </w:tc>
        <w:tc>
          <w:tcPr>
            <w:tcW w:w="3254" w:type="dxa"/>
            <w:tcBorders>
              <w:top w:val="single" w:sz="4" w:space="0" w:color="auto"/>
            </w:tcBorders>
            <w:shd w:val="clear" w:color="auto" w:fill="auto"/>
          </w:tcPr>
          <w:p w14:paraId="7CCC9D32" w14:textId="77777777" w:rsidR="003B6019" w:rsidRPr="008C54A5" w:rsidDel="000A1C38" w:rsidRDefault="003B6019" w:rsidP="00087537">
            <w:pPr>
              <w:pStyle w:val="Tablehead"/>
              <w:rPr>
                <w:sz w:val="18"/>
                <w:szCs w:val="18"/>
              </w:rPr>
            </w:pPr>
            <w:r w:rsidRPr="008C54A5">
              <w:rPr>
                <w:sz w:val="18"/>
                <w:szCs w:val="18"/>
              </w:rPr>
              <w:t>Notes</w:t>
            </w:r>
          </w:p>
        </w:tc>
        <w:tc>
          <w:tcPr>
            <w:tcW w:w="1342" w:type="dxa"/>
            <w:tcBorders>
              <w:top w:val="single" w:sz="4" w:space="0" w:color="auto"/>
            </w:tcBorders>
            <w:shd w:val="clear" w:color="auto" w:fill="auto"/>
          </w:tcPr>
          <w:p w14:paraId="50B77AC7" w14:textId="77777777" w:rsidR="003B6019" w:rsidRPr="008C54A5" w:rsidRDefault="003B6019" w:rsidP="00087537">
            <w:pPr>
              <w:pStyle w:val="Tablehead"/>
              <w:rPr>
                <w:sz w:val="18"/>
                <w:szCs w:val="18"/>
              </w:rPr>
            </w:pPr>
            <w:r w:rsidRPr="008C54A5">
              <w:rPr>
                <w:sz w:val="18"/>
                <w:szCs w:val="18"/>
              </w:rPr>
              <w:t>Result</w:t>
            </w:r>
          </w:p>
        </w:tc>
      </w:tr>
      <w:tr w:rsidR="003B6019" w:rsidRPr="008C54A5" w14:paraId="654877F1" w14:textId="77777777" w:rsidTr="00407A24">
        <w:tc>
          <w:tcPr>
            <w:tcW w:w="891" w:type="dxa"/>
          </w:tcPr>
          <w:p w14:paraId="2BCD9DEB" w14:textId="77777777" w:rsidR="003B6019" w:rsidRPr="008C54A5" w:rsidRDefault="001109F9" w:rsidP="00087537">
            <w:pPr>
              <w:pStyle w:val="Tabletext"/>
              <w:rPr>
                <w:color w:val="000000" w:themeColor="text1"/>
                <w:sz w:val="18"/>
                <w:szCs w:val="18"/>
                <w:highlight w:val="yellow"/>
              </w:rPr>
            </w:pPr>
            <w:hyperlink r:id="rId39" w:history="1">
              <w:r w:rsidR="003B6019" w:rsidRPr="008C54A5">
                <w:rPr>
                  <w:rStyle w:val="Hyperlink"/>
                  <w:sz w:val="18"/>
                  <w:szCs w:val="18"/>
                  <w:highlight w:val="yellow"/>
                </w:rPr>
                <w:t>C483</w:t>
              </w:r>
            </w:hyperlink>
          </w:p>
        </w:tc>
        <w:tc>
          <w:tcPr>
            <w:tcW w:w="2236" w:type="dxa"/>
          </w:tcPr>
          <w:p w14:paraId="0A301844" w14:textId="77777777" w:rsidR="003B6019" w:rsidRPr="008C54A5" w:rsidRDefault="003B6019" w:rsidP="00087537">
            <w:pPr>
              <w:pStyle w:val="Tabletext"/>
              <w:rPr>
                <w:sz w:val="18"/>
                <w:szCs w:val="18"/>
                <w:highlight w:val="yellow"/>
                <w:lang w:eastAsia="zh-CN"/>
              </w:rPr>
            </w:pPr>
            <w:r w:rsidRPr="008C54A5">
              <w:rPr>
                <w:sz w:val="18"/>
                <w:szCs w:val="18"/>
                <w:highlight w:val="yellow"/>
                <w:lang w:eastAsia="zh-CN"/>
              </w:rPr>
              <w:t>Proposal for new work item X.1254Rev: Entity authentication assurance framework</w:t>
            </w:r>
          </w:p>
        </w:tc>
        <w:tc>
          <w:tcPr>
            <w:tcW w:w="1697" w:type="dxa"/>
          </w:tcPr>
          <w:p w14:paraId="721F9EA6" w14:textId="77777777" w:rsidR="003B6019" w:rsidRPr="008C54A5" w:rsidRDefault="003B6019" w:rsidP="00087537">
            <w:pPr>
              <w:pStyle w:val="Tabletext"/>
              <w:rPr>
                <w:color w:val="000000" w:themeColor="text1"/>
                <w:sz w:val="18"/>
                <w:szCs w:val="18"/>
                <w:highlight w:val="yellow"/>
                <w:shd w:val="clear" w:color="auto" w:fill="FFFFFF"/>
              </w:rPr>
            </w:pPr>
            <w:r w:rsidRPr="008C54A5">
              <w:rPr>
                <w:color w:val="000000" w:themeColor="text1"/>
                <w:sz w:val="18"/>
                <w:szCs w:val="18"/>
                <w:highlight w:val="yellow"/>
                <w:shd w:val="clear" w:color="auto" w:fill="FFFFFF"/>
              </w:rPr>
              <w:t>Aetna (United States)</w:t>
            </w:r>
          </w:p>
        </w:tc>
        <w:tc>
          <w:tcPr>
            <w:tcW w:w="1041" w:type="dxa"/>
          </w:tcPr>
          <w:p w14:paraId="42163E1D" w14:textId="77777777" w:rsidR="003B6019" w:rsidRPr="008C54A5" w:rsidRDefault="003B6019" w:rsidP="009747A5">
            <w:pPr>
              <w:pStyle w:val="Tabletext"/>
              <w:jc w:val="center"/>
              <w:rPr>
                <w:color w:val="000000" w:themeColor="text1"/>
                <w:sz w:val="18"/>
                <w:szCs w:val="18"/>
                <w:highlight w:val="yellow"/>
              </w:rPr>
            </w:pPr>
            <w:r w:rsidRPr="008C54A5">
              <w:rPr>
                <w:color w:val="000000" w:themeColor="text1"/>
                <w:sz w:val="18"/>
                <w:szCs w:val="18"/>
                <w:highlight w:val="yellow"/>
              </w:rPr>
              <w:t>Q10</w:t>
            </w:r>
          </w:p>
        </w:tc>
        <w:tc>
          <w:tcPr>
            <w:tcW w:w="568" w:type="dxa"/>
          </w:tcPr>
          <w:p w14:paraId="6A59C975"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11926F10"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39BB7F52"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691043B4"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30024535" w14:textId="77777777" w:rsidR="003B6019" w:rsidRPr="008C54A5" w:rsidRDefault="003B6019" w:rsidP="009747A5">
            <w:pPr>
              <w:pStyle w:val="Tabletext"/>
              <w:jc w:val="center"/>
              <w:rPr>
                <w:color w:val="000000" w:themeColor="text1"/>
                <w:sz w:val="18"/>
                <w:szCs w:val="18"/>
                <w:highlight w:val="yellow"/>
              </w:rPr>
            </w:pPr>
          </w:p>
        </w:tc>
        <w:tc>
          <w:tcPr>
            <w:tcW w:w="590" w:type="dxa"/>
          </w:tcPr>
          <w:p w14:paraId="6225BC8C"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5CBF2CD6" w14:textId="77777777" w:rsidR="003B6019" w:rsidRPr="008C54A5" w:rsidRDefault="003B6019" w:rsidP="009747A5">
            <w:pPr>
              <w:pStyle w:val="Tabletext"/>
              <w:jc w:val="center"/>
              <w:rPr>
                <w:color w:val="000000" w:themeColor="text1"/>
                <w:sz w:val="18"/>
                <w:szCs w:val="18"/>
                <w:highlight w:val="yellow"/>
              </w:rPr>
            </w:pPr>
            <w:r w:rsidRPr="008C54A5">
              <w:rPr>
                <w:color w:val="000000" w:themeColor="text1"/>
                <w:sz w:val="18"/>
                <w:szCs w:val="18"/>
                <w:highlight w:val="yellow"/>
              </w:rPr>
              <w:t>N</w:t>
            </w:r>
          </w:p>
        </w:tc>
        <w:tc>
          <w:tcPr>
            <w:tcW w:w="3254" w:type="dxa"/>
          </w:tcPr>
          <w:p w14:paraId="2D27EFC0" w14:textId="77777777" w:rsidR="003B6019" w:rsidRPr="008C54A5" w:rsidRDefault="003B6019" w:rsidP="00087537">
            <w:pPr>
              <w:pStyle w:val="Tabletext"/>
              <w:rPr>
                <w:color w:val="000000" w:themeColor="text1"/>
                <w:sz w:val="18"/>
                <w:szCs w:val="18"/>
                <w:highlight w:val="yellow"/>
              </w:rPr>
            </w:pPr>
          </w:p>
        </w:tc>
        <w:tc>
          <w:tcPr>
            <w:tcW w:w="1342" w:type="dxa"/>
          </w:tcPr>
          <w:p w14:paraId="702562B4" w14:textId="77777777" w:rsidR="003B6019" w:rsidRPr="008C54A5" w:rsidRDefault="003B6019" w:rsidP="00087537">
            <w:pPr>
              <w:pStyle w:val="Tabletext"/>
              <w:rPr>
                <w:color w:val="000000" w:themeColor="text1"/>
                <w:sz w:val="18"/>
                <w:szCs w:val="18"/>
                <w:highlight w:val="yellow"/>
              </w:rPr>
            </w:pPr>
          </w:p>
        </w:tc>
      </w:tr>
      <w:tr w:rsidR="003B6019" w:rsidRPr="008C54A5" w14:paraId="1B2A9692" w14:textId="77777777" w:rsidTr="00407A24">
        <w:tc>
          <w:tcPr>
            <w:tcW w:w="891" w:type="dxa"/>
          </w:tcPr>
          <w:p w14:paraId="282E4FC3" w14:textId="77777777" w:rsidR="003B6019" w:rsidRPr="008C54A5" w:rsidRDefault="001109F9" w:rsidP="00087537">
            <w:pPr>
              <w:pStyle w:val="Tabletext"/>
              <w:rPr>
                <w:color w:val="000000" w:themeColor="text1"/>
                <w:sz w:val="18"/>
                <w:szCs w:val="18"/>
                <w:highlight w:val="yellow"/>
              </w:rPr>
            </w:pPr>
            <w:hyperlink r:id="rId40" w:history="1">
              <w:r w:rsidR="003B6019" w:rsidRPr="008C54A5">
                <w:rPr>
                  <w:rStyle w:val="Hyperlink"/>
                  <w:sz w:val="18"/>
                  <w:szCs w:val="18"/>
                  <w:highlight w:val="yellow"/>
                </w:rPr>
                <w:t>C485</w:t>
              </w:r>
            </w:hyperlink>
          </w:p>
        </w:tc>
        <w:tc>
          <w:tcPr>
            <w:tcW w:w="2236" w:type="dxa"/>
          </w:tcPr>
          <w:p w14:paraId="13B6C54F" w14:textId="77777777" w:rsidR="003B6019" w:rsidRPr="008C54A5" w:rsidRDefault="003B6019" w:rsidP="00087537">
            <w:pPr>
              <w:pStyle w:val="Tabletext"/>
              <w:rPr>
                <w:sz w:val="18"/>
                <w:szCs w:val="18"/>
                <w:highlight w:val="yellow"/>
                <w:lang w:eastAsia="zh-CN"/>
              </w:rPr>
            </w:pPr>
            <w:r w:rsidRPr="008C54A5">
              <w:rPr>
                <w:sz w:val="18"/>
                <w:szCs w:val="18"/>
                <w:highlight w:val="yellow"/>
                <w:lang w:eastAsia="zh-CN"/>
              </w:rPr>
              <w:t>Proposal for new work item X.EPSS: Exploit Prediction Scoring System</w:t>
            </w:r>
          </w:p>
        </w:tc>
        <w:tc>
          <w:tcPr>
            <w:tcW w:w="1697" w:type="dxa"/>
          </w:tcPr>
          <w:p w14:paraId="65BC1687" w14:textId="77777777" w:rsidR="003B6019" w:rsidRPr="008C54A5" w:rsidRDefault="003B6019" w:rsidP="00087537">
            <w:pPr>
              <w:pStyle w:val="Tabletext"/>
              <w:rPr>
                <w:color w:val="000000" w:themeColor="text1"/>
                <w:sz w:val="18"/>
                <w:szCs w:val="18"/>
                <w:highlight w:val="yellow"/>
                <w:shd w:val="clear" w:color="auto" w:fill="FFFFFF"/>
              </w:rPr>
            </w:pPr>
            <w:r w:rsidRPr="008C54A5">
              <w:rPr>
                <w:color w:val="000000" w:themeColor="text1"/>
                <w:sz w:val="18"/>
                <w:szCs w:val="18"/>
                <w:highlight w:val="yellow"/>
                <w:shd w:val="clear" w:color="auto" w:fill="FFFFFF"/>
              </w:rPr>
              <w:t>Forum of Incident Response and Security Teams (FIRST) (United States)</w:t>
            </w:r>
          </w:p>
        </w:tc>
        <w:tc>
          <w:tcPr>
            <w:tcW w:w="1041" w:type="dxa"/>
          </w:tcPr>
          <w:p w14:paraId="7BB92709" w14:textId="77777777" w:rsidR="003B6019" w:rsidRPr="008C54A5" w:rsidRDefault="003B6019" w:rsidP="009747A5">
            <w:pPr>
              <w:pStyle w:val="Tabletext"/>
              <w:jc w:val="center"/>
              <w:rPr>
                <w:color w:val="000000" w:themeColor="text1"/>
                <w:sz w:val="18"/>
                <w:szCs w:val="18"/>
                <w:highlight w:val="yellow"/>
              </w:rPr>
            </w:pPr>
            <w:r w:rsidRPr="008C54A5">
              <w:rPr>
                <w:color w:val="000000" w:themeColor="text1"/>
                <w:sz w:val="18"/>
                <w:szCs w:val="18"/>
                <w:highlight w:val="yellow"/>
              </w:rPr>
              <w:t>Q4</w:t>
            </w:r>
          </w:p>
        </w:tc>
        <w:tc>
          <w:tcPr>
            <w:tcW w:w="568" w:type="dxa"/>
          </w:tcPr>
          <w:p w14:paraId="091B76FD"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7DB07EFB"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7704506D"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7B8E5F81"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1FF2C616" w14:textId="77777777" w:rsidR="003B6019" w:rsidRPr="008C54A5" w:rsidRDefault="003B6019" w:rsidP="009747A5">
            <w:pPr>
              <w:pStyle w:val="Tabletext"/>
              <w:jc w:val="center"/>
              <w:rPr>
                <w:color w:val="000000" w:themeColor="text1"/>
                <w:sz w:val="18"/>
                <w:szCs w:val="18"/>
                <w:highlight w:val="yellow"/>
              </w:rPr>
            </w:pPr>
            <w:r w:rsidRPr="008C54A5">
              <w:rPr>
                <w:color w:val="000000" w:themeColor="text1"/>
                <w:sz w:val="18"/>
                <w:szCs w:val="18"/>
                <w:highlight w:val="yellow"/>
              </w:rPr>
              <w:t>X</w:t>
            </w:r>
          </w:p>
        </w:tc>
        <w:tc>
          <w:tcPr>
            <w:tcW w:w="590" w:type="dxa"/>
          </w:tcPr>
          <w:p w14:paraId="3FA5F4F6"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5CB35955" w14:textId="77777777" w:rsidR="003B6019" w:rsidRPr="008C54A5" w:rsidRDefault="003B6019" w:rsidP="009747A5">
            <w:pPr>
              <w:pStyle w:val="Tabletext"/>
              <w:jc w:val="center"/>
              <w:rPr>
                <w:color w:val="000000" w:themeColor="text1"/>
                <w:sz w:val="18"/>
                <w:szCs w:val="18"/>
                <w:highlight w:val="yellow"/>
              </w:rPr>
            </w:pPr>
            <w:r w:rsidRPr="008C54A5">
              <w:rPr>
                <w:color w:val="000000" w:themeColor="text1"/>
                <w:sz w:val="18"/>
                <w:szCs w:val="18"/>
                <w:highlight w:val="yellow"/>
              </w:rPr>
              <w:t>Y</w:t>
            </w:r>
          </w:p>
        </w:tc>
        <w:tc>
          <w:tcPr>
            <w:tcW w:w="3254" w:type="dxa"/>
          </w:tcPr>
          <w:p w14:paraId="6776F528" w14:textId="14B733EE" w:rsidR="003B6019" w:rsidRPr="008C54A5" w:rsidRDefault="003B6019" w:rsidP="00087537">
            <w:pPr>
              <w:pStyle w:val="Tabletext"/>
              <w:rPr>
                <w:color w:val="000000" w:themeColor="text1"/>
                <w:sz w:val="18"/>
                <w:szCs w:val="18"/>
                <w:highlight w:val="yellow"/>
              </w:rPr>
            </w:pPr>
            <w:r w:rsidRPr="008C54A5">
              <w:rPr>
                <w:color w:val="000000" w:themeColor="text1"/>
                <w:sz w:val="18"/>
                <w:szCs w:val="18"/>
                <w:highlight w:val="yellow"/>
              </w:rPr>
              <w:t xml:space="preserve">Remembering section 2.4.2.1 of </w:t>
            </w:r>
            <w:hyperlink r:id="rId41" w:history="1">
              <w:r w:rsidRPr="008C54A5">
                <w:rPr>
                  <w:rStyle w:val="Hyperlink"/>
                  <w:sz w:val="18"/>
                  <w:szCs w:val="18"/>
                  <w:highlight w:val="yellow"/>
                </w:rPr>
                <w:t>TD1182</w:t>
              </w:r>
            </w:hyperlink>
            <w:r w:rsidRPr="008C54A5">
              <w:rPr>
                <w:color w:val="000000" w:themeColor="text1"/>
                <w:sz w:val="18"/>
                <w:szCs w:val="18"/>
                <w:highlight w:val="yellow"/>
              </w:rPr>
              <w:t xml:space="preserve"> (incubation special session report), this proposal is a continuation of C329 which could</w:t>
            </w:r>
            <w:r w:rsidR="008C54A5">
              <w:rPr>
                <w:color w:val="000000" w:themeColor="text1"/>
                <w:sz w:val="18"/>
                <w:szCs w:val="18"/>
                <w:highlight w:val="yellow"/>
              </w:rPr>
              <w:t xml:space="preserve"> not</w:t>
            </w:r>
            <w:r w:rsidR="006D5668">
              <w:rPr>
                <w:color w:val="000000" w:themeColor="text1"/>
                <w:sz w:val="18"/>
                <w:szCs w:val="18"/>
                <w:highlight w:val="yellow"/>
              </w:rPr>
              <w:t>'</w:t>
            </w:r>
            <w:r w:rsidRPr="008C54A5">
              <w:rPr>
                <w:color w:val="000000" w:themeColor="text1"/>
                <w:sz w:val="18"/>
                <w:szCs w:val="18"/>
                <w:highlight w:val="yellow"/>
              </w:rPr>
              <w:t xml:space="preserve"> be reviewed in the previous SG17 meeting. At that time</w:t>
            </w:r>
            <w:r w:rsidR="00765636">
              <w:rPr>
                <w:color w:val="000000" w:themeColor="text1"/>
                <w:sz w:val="18"/>
                <w:szCs w:val="18"/>
                <w:highlight w:val="yellow"/>
              </w:rPr>
              <w:t>,</w:t>
            </w:r>
            <w:r w:rsidRPr="008C54A5">
              <w:rPr>
                <w:color w:val="000000" w:themeColor="text1"/>
                <w:sz w:val="18"/>
                <w:szCs w:val="18"/>
                <w:highlight w:val="yellow"/>
              </w:rPr>
              <w:t xml:space="preserve"> the contribution was both for Q4 and Q15 and the special session on incubation analysed that there is a potential synergy with </w:t>
            </w:r>
            <w:r w:rsidR="008C54A5">
              <w:rPr>
                <w:color w:val="000000" w:themeColor="text1"/>
                <w:sz w:val="18"/>
                <w:szCs w:val="18"/>
                <w:highlight w:val="yellow"/>
              </w:rPr>
              <w:t>two</w:t>
            </w:r>
            <w:r w:rsidRPr="008C54A5">
              <w:rPr>
                <w:color w:val="000000" w:themeColor="text1"/>
                <w:sz w:val="18"/>
                <w:szCs w:val="18"/>
                <w:highlight w:val="yellow"/>
              </w:rPr>
              <w:t xml:space="preserve"> work items on simulation in the incubation queue, forming a future </w:t>
            </w:r>
            <w:r w:rsidR="006D5668">
              <w:rPr>
                <w:color w:val="000000" w:themeColor="text1"/>
                <w:sz w:val="18"/>
                <w:szCs w:val="18"/>
                <w:highlight w:val="yellow"/>
              </w:rPr>
              <w:t>'</w:t>
            </w:r>
            <w:r w:rsidRPr="008C54A5">
              <w:rPr>
                <w:color w:val="000000" w:themeColor="text1"/>
                <w:sz w:val="18"/>
                <w:szCs w:val="18"/>
                <w:highlight w:val="yellow"/>
              </w:rPr>
              <w:t>predictive</w:t>
            </w:r>
            <w:r w:rsidR="006D5668">
              <w:rPr>
                <w:color w:val="000000" w:themeColor="text1"/>
                <w:sz w:val="18"/>
                <w:szCs w:val="18"/>
                <w:highlight w:val="yellow"/>
              </w:rPr>
              <w:t>'</w:t>
            </w:r>
            <w:r w:rsidRPr="008C54A5">
              <w:rPr>
                <w:color w:val="000000" w:themeColor="text1"/>
                <w:sz w:val="18"/>
                <w:szCs w:val="18"/>
                <w:highlight w:val="yellow"/>
              </w:rPr>
              <w:t xml:space="preserve"> category which is very beneficial to SG17 and probably ultimately for Q4. Given its affinity with </w:t>
            </w:r>
            <w:r w:rsidRPr="00765636">
              <w:rPr>
                <w:color w:val="000000" w:themeColor="text1"/>
                <w:sz w:val="18"/>
                <w:szCs w:val="18"/>
                <w:highlight w:val="yellow"/>
              </w:rPr>
              <w:t>CVS</w:t>
            </w:r>
            <w:r w:rsidRPr="008C54A5">
              <w:rPr>
                <w:color w:val="000000" w:themeColor="text1"/>
                <w:sz w:val="18"/>
                <w:szCs w:val="18"/>
                <w:highlight w:val="yellow"/>
              </w:rPr>
              <w:t xml:space="preserve">, etc. the current incubation special session </w:t>
            </w:r>
            <w:r w:rsidR="00774EC4">
              <w:rPr>
                <w:color w:val="000000" w:themeColor="text1"/>
                <w:sz w:val="18"/>
                <w:szCs w:val="18"/>
                <w:highlight w:val="yellow"/>
              </w:rPr>
              <w:t>C</w:t>
            </w:r>
            <w:r w:rsidRPr="008C54A5">
              <w:rPr>
                <w:color w:val="000000" w:themeColor="text1"/>
                <w:sz w:val="18"/>
                <w:szCs w:val="18"/>
                <w:highlight w:val="yellow"/>
              </w:rPr>
              <w:t>hair</w:t>
            </w:r>
            <w:r w:rsidR="006D5668">
              <w:rPr>
                <w:color w:val="000000" w:themeColor="text1"/>
                <w:sz w:val="18"/>
                <w:szCs w:val="18"/>
                <w:highlight w:val="yellow"/>
              </w:rPr>
              <w:t>'</w:t>
            </w:r>
            <w:r w:rsidRPr="008C54A5">
              <w:rPr>
                <w:color w:val="000000" w:themeColor="text1"/>
                <w:sz w:val="18"/>
                <w:szCs w:val="18"/>
                <w:highlight w:val="yellow"/>
              </w:rPr>
              <w:t>s point of guidance is to keep it in Q4, hoping for a regrouping of all predictive work items in Q4 and with a note that Q4 and Q15 may do some joint meetings in the interim if and when appropriate.</w:t>
            </w:r>
          </w:p>
        </w:tc>
        <w:tc>
          <w:tcPr>
            <w:tcW w:w="1342" w:type="dxa"/>
          </w:tcPr>
          <w:p w14:paraId="59A7F338" w14:textId="77777777" w:rsidR="003B6019" w:rsidRPr="008C54A5" w:rsidRDefault="003B6019" w:rsidP="00087537">
            <w:pPr>
              <w:pStyle w:val="Tabletext"/>
              <w:rPr>
                <w:color w:val="000000" w:themeColor="text1"/>
                <w:sz w:val="18"/>
                <w:szCs w:val="18"/>
                <w:highlight w:val="yellow"/>
              </w:rPr>
            </w:pPr>
          </w:p>
        </w:tc>
      </w:tr>
      <w:tr w:rsidR="003B6019" w:rsidRPr="008C54A5" w14:paraId="6589A27B" w14:textId="77777777" w:rsidTr="00407A24">
        <w:tc>
          <w:tcPr>
            <w:tcW w:w="891" w:type="dxa"/>
          </w:tcPr>
          <w:p w14:paraId="4BDF0FBE" w14:textId="77777777" w:rsidR="003B6019" w:rsidRPr="008C54A5" w:rsidRDefault="001109F9" w:rsidP="00087537">
            <w:pPr>
              <w:pStyle w:val="Tabletext"/>
              <w:rPr>
                <w:color w:val="000000" w:themeColor="text1"/>
                <w:sz w:val="18"/>
                <w:szCs w:val="18"/>
                <w:highlight w:val="yellow"/>
              </w:rPr>
            </w:pPr>
            <w:hyperlink r:id="rId42" w:history="1">
              <w:r w:rsidR="003B6019" w:rsidRPr="008C54A5">
                <w:rPr>
                  <w:rStyle w:val="Hyperlink"/>
                  <w:sz w:val="18"/>
                  <w:szCs w:val="18"/>
                  <w:highlight w:val="yellow"/>
                </w:rPr>
                <w:t>C490</w:t>
              </w:r>
            </w:hyperlink>
          </w:p>
        </w:tc>
        <w:tc>
          <w:tcPr>
            <w:tcW w:w="2236" w:type="dxa"/>
          </w:tcPr>
          <w:p w14:paraId="476BC869" w14:textId="223C9165" w:rsidR="003B6019" w:rsidRPr="00407A24" w:rsidRDefault="003B6019" w:rsidP="00087537">
            <w:pPr>
              <w:pStyle w:val="Tabletext"/>
              <w:rPr>
                <w:sz w:val="18"/>
                <w:szCs w:val="18"/>
                <w:highlight w:val="yellow"/>
                <w:lang w:val="de-DE" w:eastAsia="zh-CN"/>
              </w:rPr>
            </w:pPr>
            <w:r w:rsidRPr="008C54A5">
              <w:rPr>
                <w:sz w:val="18"/>
                <w:szCs w:val="18"/>
                <w:highlight w:val="yellow"/>
                <w:lang w:eastAsia="zh-CN"/>
              </w:rPr>
              <w:t xml:space="preserve">Proposal for new work item: Amd. 1 to Rec. </w:t>
            </w:r>
            <w:r w:rsidRPr="00407A24">
              <w:rPr>
                <w:sz w:val="18"/>
                <w:szCs w:val="18"/>
                <w:highlight w:val="yellow"/>
                <w:lang w:val="de-DE" w:eastAsia="zh-CN"/>
              </w:rPr>
              <w:t>ITU</w:t>
            </w:r>
            <w:r w:rsidR="009747A5">
              <w:rPr>
                <w:sz w:val="18"/>
                <w:szCs w:val="18"/>
                <w:highlight w:val="yellow"/>
                <w:lang w:val="de-DE" w:eastAsia="zh-CN"/>
              </w:rPr>
              <w:noBreakHyphen/>
            </w:r>
            <w:r w:rsidRPr="00407A24">
              <w:rPr>
                <w:sz w:val="18"/>
                <w:szCs w:val="18"/>
                <w:highlight w:val="yellow"/>
                <w:lang w:val="de-DE" w:eastAsia="zh-CN"/>
              </w:rPr>
              <w:t>T X.500 | ISO/IEC 9594-1</w:t>
            </w:r>
          </w:p>
        </w:tc>
        <w:tc>
          <w:tcPr>
            <w:tcW w:w="1697" w:type="dxa"/>
          </w:tcPr>
          <w:p w14:paraId="0CF43C90" w14:textId="77777777" w:rsidR="003B6019" w:rsidRPr="008C54A5" w:rsidRDefault="003B6019" w:rsidP="00087537">
            <w:pPr>
              <w:pStyle w:val="Tabletext"/>
              <w:rPr>
                <w:color w:val="000000" w:themeColor="text1"/>
                <w:sz w:val="18"/>
                <w:szCs w:val="18"/>
                <w:highlight w:val="yellow"/>
                <w:shd w:val="clear" w:color="auto" w:fill="FFFFFF"/>
              </w:rPr>
            </w:pPr>
            <w:r w:rsidRPr="008C54A5">
              <w:rPr>
                <w:color w:val="000000" w:themeColor="text1"/>
                <w:sz w:val="18"/>
                <w:szCs w:val="18"/>
                <w:highlight w:val="yellow"/>
                <w:shd w:val="clear" w:color="auto" w:fill="FFFFFF"/>
              </w:rPr>
              <w:t>Denmark</w:t>
            </w:r>
          </w:p>
        </w:tc>
        <w:tc>
          <w:tcPr>
            <w:tcW w:w="1041" w:type="dxa"/>
          </w:tcPr>
          <w:p w14:paraId="10C420AE" w14:textId="77777777" w:rsidR="003B6019" w:rsidRPr="008C54A5" w:rsidRDefault="003B6019" w:rsidP="009747A5">
            <w:pPr>
              <w:pStyle w:val="Tabletext"/>
              <w:jc w:val="center"/>
              <w:rPr>
                <w:color w:val="000000" w:themeColor="text1"/>
                <w:sz w:val="18"/>
                <w:szCs w:val="18"/>
                <w:highlight w:val="yellow"/>
              </w:rPr>
            </w:pPr>
            <w:r w:rsidRPr="008C54A5">
              <w:rPr>
                <w:color w:val="000000" w:themeColor="text1"/>
                <w:sz w:val="18"/>
                <w:szCs w:val="18"/>
                <w:highlight w:val="yellow"/>
              </w:rPr>
              <w:t>Q11</w:t>
            </w:r>
          </w:p>
        </w:tc>
        <w:tc>
          <w:tcPr>
            <w:tcW w:w="568" w:type="dxa"/>
          </w:tcPr>
          <w:p w14:paraId="4F2667CF"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0F695DAC"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583B516C"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76AF7013"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436B92EC" w14:textId="77777777" w:rsidR="003B6019" w:rsidRPr="008C54A5" w:rsidRDefault="003B6019" w:rsidP="009747A5">
            <w:pPr>
              <w:pStyle w:val="Tabletext"/>
              <w:jc w:val="center"/>
              <w:rPr>
                <w:color w:val="000000" w:themeColor="text1"/>
                <w:sz w:val="18"/>
                <w:szCs w:val="18"/>
                <w:highlight w:val="yellow"/>
              </w:rPr>
            </w:pPr>
          </w:p>
        </w:tc>
        <w:tc>
          <w:tcPr>
            <w:tcW w:w="590" w:type="dxa"/>
          </w:tcPr>
          <w:p w14:paraId="10F031B1"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69AF117D" w14:textId="77777777" w:rsidR="003B6019" w:rsidRPr="008C54A5" w:rsidRDefault="003B6019" w:rsidP="009747A5">
            <w:pPr>
              <w:pStyle w:val="Tabletext"/>
              <w:jc w:val="center"/>
              <w:rPr>
                <w:color w:val="000000" w:themeColor="text1"/>
                <w:sz w:val="18"/>
                <w:szCs w:val="18"/>
                <w:highlight w:val="yellow"/>
              </w:rPr>
            </w:pPr>
            <w:r w:rsidRPr="008C54A5">
              <w:rPr>
                <w:color w:val="000000" w:themeColor="text1"/>
                <w:sz w:val="18"/>
                <w:szCs w:val="18"/>
                <w:highlight w:val="yellow"/>
              </w:rPr>
              <w:t>N</w:t>
            </w:r>
          </w:p>
        </w:tc>
        <w:tc>
          <w:tcPr>
            <w:tcW w:w="3254" w:type="dxa"/>
          </w:tcPr>
          <w:p w14:paraId="7C3EDF78" w14:textId="77777777" w:rsidR="003B6019" w:rsidRPr="008C54A5" w:rsidRDefault="003B6019" w:rsidP="00087537">
            <w:pPr>
              <w:pStyle w:val="Tabletext"/>
              <w:rPr>
                <w:color w:val="000000" w:themeColor="text1"/>
                <w:sz w:val="18"/>
                <w:szCs w:val="18"/>
                <w:highlight w:val="yellow"/>
              </w:rPr>
            </w:pPr>
          </w:p>
        </w:tc>
        <w:tc>
          <w:tcPr>
            <w:tcW w:w="1342" w:type="dxa"/>
          </w:tcPr>
          <w:p w14:paraId="130FF07D" w14:textId="77777777" w:rsidR="003B6019" w:rsidRPr="008C54A5" w:rsidRDefault="003B6019" w:rsidP="00087537">
            <w:pPr>
              <w:pStyle w:val="Tabletext"/>
              <w:rPr>
                <w:color w:val="000000" w:themeColor="text1"/>
                <w:sz w:val="18"/>
                <w:szCs w:val="18"/>
                <w:highlight w:val="yellow"/>
              </w:rPr>
            </w:pPr>
          </w:p>
        </w:tc>
      </w:tr>
      <w:tr w:rsidR="003B6019" w:rsidRPr="008C54A5" w14:paraId="4DD63A88" w14:textId="77777777" w:rsidTr="00407A24">
        <w:tc>
          <w:tcPr>
            <w:tcW w:w="891" w:type="dxa"/>
          </w:tcPr>
          <w:p w14:paraId="6C2B35ED" w14:textId="77777777" w:rsidR="003B6019" w:rsidRPr="008C54A5" w:rsidRDefault="001109F9" w:rsidP="00087537">
            <w:pPr>
              <w:pStyle w:val="Tabletext"/>
              <w:rPr>
                <w:color w:val="000000" w:themeColor="text1"/>
                <w:sz w:val="18"/>
                <w:szCs w:val="18"/>
                <w:highlight w:val="yellow"/>
              </w:rPr>
            </w:pPr>
            <w:hyperlink r:id="rId43" w:history="1">
              <w:r w:rsidR="003B6019" w:rsidRPr="008C54A5">
                <w:rPr>
                  <w:rStyle w:val="Hyperlink"/>
                  <w:sz w:val="18"/>
                  <w:szCs w:val="18"/>
                  <w:highlight w:val="yellow"/>
                </w:rPr>
                <w:t>C500R1</w:t>
              </w:r>
            </w:hyperlink>
          </w:p>
        </w:tc>
        <w:tc>
          <w:tcPr>
            <w:tcW w:w="2236" w:type="dxa"/>
          </w:tcPr>
          <w:p w14:paraId="50C0BEDB" w14:textId="77777777" w:rsidR="003B6019" w:rsidRPr="008C54A5" w:rsidRDefault="003B6019" w:rsidP="00087537">
            <w:pPr>
              <w:pStyle w:val="Tabletext"/>
              <w:rPr>
                <w:sz w:val="18"/>
                <w:szCs w:val="18"/>
                <w:highlight w:val="yellow"/>
                <w:lang w:eastAsia="zh-CN"/>
              </w:rPr>
            </w:pPr>
            <w:r w:rsidRPr="008C54A5">
              <w:rPr>
                <w:sz w:val="18"/>
                <w:szCs w:val="18"/>
                <w:highlight w:val="yellow"/>
                <w:lang w:eastAsia="zh-CN"/>
              </w:rPr>
              <w:t>Proposal for new work item for secure resource management for service-oriented network</w:t>
            </w:r>
          </w:p>
        </w:tc>
        <w:tc>
          <w:tcPr>
            <w:tcW w:w="1697" w:type="dxa"/>
          </w:tcPr>
          <w:p w14:paraId="0D66B7D8" w14:textId="4CCE8A3A" w:rsidR="003B6019" w:rsidRPr="008C54A5" w:rsidRDefault="003B6019" w:rsidP="00087537">
            <w:pPr>
              <w:pStyle w:val="Tabletext"/>
              <w:rPr>
                <w:color w:val="000000" w:themeColor="text1"/>
                <w:sz w:val="18"/>
                <w:szCs w:val="18"/>
                <w:highlight w:val="yellow"/>
                <w:shd w:val="clear" w:color="auto" w:fill="FFFFFF"/>
              </w:rPr>
            </w:pPr>
            <w:r w:rsidRPr="008C54A5">
              <w:rPr>
                <w:color w:val="000000" w:themeColor="text1"/>
                <w:sz w:val="18"/>
                <w:szCs w:val="18"/>
                <w:highlight w:val="yellow"/>
                <w:shd w:val="clear" w:color="auto" w:fill="FFFFFF"/>
              </w:rPr>
              <w:t>Electronics and Telecommunications Research Institute (ETRI) (Korea (Rep</w:t>
            </w:r>
            <w:r w:rsidR="005D5902">
              <w:rPr>
                <w:color w:val="000000" w:themeColor="text1"/>
                <w:sz w:val="18"/>
                <w:szCs w:val="18"/>
                <w:highlight w:val="yellow"/>
                <w:shd w:val="clear" w:color="auto" w:fill="FFFFFF"/>
              </w:rPr>
              <w:t>ublic</w:t>
            </w:r>
            <w:r w:rsidRPr="008C54A5">
              <w:rPr>
                <w:color w:val="000000" w:themeColor="text1"/>
                <w:sz w:val="18"/>
                <w:szCs w:val="18"/>
                <w:highlight w:val="yellow"/>
                <w:shd w:val="clear" w:color="auto" w:fill="FFFFFF"/>
              </w:rPr>
              <w:t xml:space="preserve"> of))</w:t>
            </w:r>
          </w:p>
        </w:tc>
        <w:tc>
          <w:tcPr>
            <w:tcW w:w="1041" w:type="dxa"/>
          </w:tcPr>
          <w:p w14:paraId="38A79C9B" w14:textId="77777777" w:rsidR="003B6019" w:rsidRPr="008C54A5" w:rsidRDefault="003B6019" w:rsidP="009747A5">
            <w:pPr>
              <w:pStyle w:val="Tabletext"/>
              <w:jc w:val="center"/>
              <w:rPr>
                <w:color w:val="000000" w:themeColor="text1"/>
                <w:sz w:val="18"/>
                <w:szCs w:val="18"/>
                <w:highlight w:val="yellow"/>
              </w:rPr>
            </w:pPr>
            <w:r w:rsidRPr="008C54A5">
              <w:rPr>
                <w:color w:val="000000" w:themeColor="text1"/>
                <w:sz w:val="18"/>
                <w:szCs w:val="18"/>
                <w:highlight w:val="yellow"/>
              </w:rPr>
              <w:t>Q7</w:t>
            </w:r>
          </w:p>
        </w:tc>
        <w:tc>
          <w:tcPr>
            <w:tcW w:w="568" w:type="dxa"/>
          </w:tcPr>
          <w:p w14:paraId="112FB68F" w14:textId="77777777" w:rsidR="003B6019" w:rsidRPr="008C54A5" w:rsidRDefault="003B6019" w:rsidP="009747A5">
            <w:pPr>
              <w:pStyle w:val="Tabletext"/>
              <w:jc w:val="center"/>
              <w:rPr>
                <w:color w:val="000000" w:themeColor="text1"/>
                <w:sz w:val="18"/>
                <w:szCs w:val="18"/>
                <w:highlight w:val="yellow"/>
              </w:rPr>
            </w:pPr>
            <w:r w:rsidRPr="008C54A5">
              <w:rPr>
                <w:color w:val="000000" w:themeColor="text1"/>
                <w:sz w:val="18"/>
                <w:szCs w:val="18"/>
                <w:highlight w:val="yellow"/>
              </w:rPr>
              <w:t>X</w:t>
            </w:r>
          </w:p>
        </w:tc>
        <w:tc>
          <w:tcPr>
            <w:tcW w:w="568" w:type="dxa"/>
          </w:tcPr>
          <w:p w14:paraId="6E7B5407"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0C5386B5"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7B639276"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35F6A85D" w14:textId="77777777" w:rsidR="003B6019" w:rsidRPr="008C54A5" w:rsidRDefault="003B6019" w:rsidP="009747A5">
            <w:pPr>
              <w:pStyle w:val="Tabletext"/>
              <w:jc w:val="center"/>
              <w:rPr>
                <w:color w:val="000000" w:themeColor="text1"/>
                <w:sz w:val="18"/>
                <w:szCs w:val="18"/>
                <w:highlight w:val="yellow"/>
              </w:rPr>
            </w:pPr>
            <w:r w:rsidRPr="008C54A5">
              <w:rPr>
                <w:color w:val="000000" w:themeColor="text1"/>
                <w:sz w:val="18"/>
                <w:szCs w:val="18"/>
                <w:highlight w:val="yellow"/>
              </w:rPr>
              <w:t>X</w:t>
            </w:r>
          </w:p>
        </w:tc>
        <w:tc>
          <w:tcPr>
            <w:tcW w:w="590" w:type="dxa"/>
          </w:tcPr>
          <w:p w14:paraId="52A5B60D" w14:textId="77777777" w:rsidR="003B6019" w:rsidRPr="008C54A5" w:rsidRDefault="003B6019" w:rsidP="009747A5">
            <w:pPr>
              <w:pStyle w:val="Tabletext"/>
              <w:jc w:val="center"/>
              <w:rPr>
                <w:color w:val="000000" w:themeColor="text1"/>
                <w:sz w:val="18"/>
                <w:szCs w:val="18"/>
                <w:highlight w:val="yellow"/>
              </w:rPr>
            </w:pPr>
          </w:p>
        </w:tc>
        <w:tc>
          <w:tcPr>
            <w:tcW w:w="568" w:type="dxa"/>
          </w:tcPr>
          <w:p w14:paraId="3A45E864" w14:textId="77777777" w:rsidR="003B6019" w:rsidRPr="008C54A5" w:rsidRDefault="003B6019" w:rsidP="009747A5">
            <w:pPr>
              <w:pStyle w:val="Tabletext"/>
              <w:jc w:val="center"/>
              <w:rPr>
                <w:color w:val="000000" w:themeColor="text1"/>
                <w:sz w:val="18"/>
                <w:szCs w:val="18"/>
                <w:highlight w:val="yellow"/>
              </w:rPr>
            </w:pPr>
            <w:r w:rsidRPr="008C54A5">
              <w:rPr>
                <w:color w:val="000000" w:themeColor="text1"/>
                <w:sz w:val="18"/>
                <w:szCs w:val="18"/>
                <w:highlight w:val="yellow"/>
              </w:rPr>
              <w:t>Y</w:t>
            </w:r>
          </w:p>
        </w:tc>
        <w:tc>
          <w:tcPr>
            <w:tcW w:w="3254" w:type="dxa"/>
          </w:tcPr>
          <w:p w14:paraId="26F10BBD" w14:textId="2A99C304" w:rsidR="003B6019" w:rsidRPr="008C54A5" w:rsidRDefault="003B6019" w:rsidP="00087537">
            <w:pPr>
              <w:pStyle w:val="Tabletext"/>
              <w:rPr>
                <w:color w:val="000000" w:themeColor="text1"/>
                <w:sz w:val="18"/>
                <w:szCs w:val="18"/>
                <w:highlight w:val="yellow"/>
              </w:rPr>
            </w:pPr>
            <w:r w:rsidRPr="008C54A5">
              <w:rPr>
                <w:color w:val="000000" w:themeColor="text1"/>
                <w:sz w:val="18"/>
                <w:szCs w:val="18"/>
                <w:highlight w:val="yellow"/>
              </w:rPr>
              <w:t xml:space="preserve">Remembering section 2.4.2.6 of </w:t>
            </w:r>
            <w:hyperlink r:id="rId44" w:history="1">
              <w:r w:rsidRPr="008C54A5">
                <w:rPr>
                  <w:rStyle w:val="Hyperlink"/>
                  <w:sz w:val="18"/>
                  <w:szCs w:val="18"/>
                  <w:highlight w:val="yellow"/>
                </w:rPr>
                <w:t>TD1182</w:t>
              </w:r>
            </w:hyperlink>
            <w:r w:rsidRPr="008C54A5">
              <w:rPr>
                <w:color w:val="000000" w:themeColor="text1"/>
                <w:sz w:val="18"/>
                <w:szCs w:val="18"/>
                <w:highlight w:val="yellow"/>
              </w:rPr>
              <w:t xml:space="preserve"> (incubation special session report), this proposal is the continuation of </w:t>
            </w:r>
            <w:hyperlink r:id="rId45" w:history="1">
              <w:r w:rsidRPr="008C54A5">
                <w:rPr>
                  <w:rStyle w:val="Hyperlink"/>
                  <w:sz w:val="18"/>
                  <w:szCs w:val="18"/>
                  <w:highlight w:val="yellow"/>
                </w:rPr>
                <w:t>C369</w:t>
              </w:r>
            </w:hyperlink>
            <w:r w:rsidRPr="008C54A5">
              <w:rPr>
                <w:color w:val="000000" w:themeColor="text1"/>
                <w:sz w:val="18"/>
                <w:szCs w:val="18"/>
                <w:highlight w:val="yellow"/>
              </w:rPr>
              <w:t xml:space="preserve"> at the same meeting and therefore the </w:t>
            </w:r>
            <w:r w:rsidR="00774EC4">
              <w:rPr>
                <w:color w:val="000000" w:themeColor="text1"/>
                <w:sz w:val="18"/>
                <w:szCs w:val="18"/>
                <w:highlight w:val="yellow"/>
              </w:rPr>
              <w:t>C</w:t>
            </w:r>
            <w:r w:rsidRPr="008C54A5">
              <w:rPr>
                <w:color w:val="000000" w:themeColor="text1"/>
                <w:sz w:val="18"/>
                <w:szCs w:val="18"/>
                <w:highlight w:val="yellow"/>
              </w:rPr>
              <w:t>hair proposes to apply the same guidance for the same reasons and move it to the incubation queue.</w:t>
            </w:r>
          </w:p>
        </w:tc>
        <w:tc>
          <w:tcPr>
            <w:tcW w:w="1342" w:type="dxa"/>
          </w:tcPr>
          <w:p w14:paraId="085C091C" w14:textId="77777777" w:rsidR="003B6019" w:rsidRPr="008C54A5" w:rsidRDefault="003B6019" w:rsidP="00087537">
            <w:pPr>
              <w:pStyle w:val="Tabletext"/>
              <w:rPr>
                <w:color w:val="000000" w:themeColor="text1"/>
                <w:sz w:val="18"/>
                <w:szCs w:val="18"/>
                <w:highlight w:val="yellow"/>
              </w:rPr>
            </w:pPr>
          </w:p>
        </w:tc>
      </w:tr>
      <w:tr w:rsidR="003B6019" w:rsidRPr="008C54A5" w14:paraId="39AD0313" w14:textId="77777777" w:rsidTr="00407A24">
        <w:tc>
          <w:tcPr>
            <w:tcW w:w="891" w:type="dxa"/>
          </w:tcPr>
          <w:p w14:paraId="2E905890" w14:textId="77777777" w:rsidR="003B6019" w:rsidRPr="008C54A5" w:rsidRDefault="001109F9" w:rsidP="001B6FFA">
            <w:pPr>
              <w:pStyle w:val="Tabletext"/>
              <w:spacing w:before="20" w:after="20"/>
              <w:rPr>
                <w:color w:val="000000" w:themeColor="text1"/>
                <w:sz w:val="18"/>
                <w:szCs w:val="18"/>
                <w:highlight w:val="yellow"/>
              </w:rPr>
            </w:pPr>
            <w:hyperlink r:id="rId46" w:history="1">
              <w:r w:rsidR="003B6019" w:rsidRPr="008C54A5">
                <w:rPr>
                  <w:rStyle w:val="Hyperlink"/>
                  <w:sz w:val="18"/>
                  <w:szCs w:val="18"/>
                  <w:highlight w:val="yellow"/>
                </w:rPr>
                <w:t>C508</w:t>
              </w:r>
            </w:hyperlink>
          </w:p>
        </w:tc>
        <w:tc>
          <w:tcPr>
            <w:tcW w:w="2236" w:type="dxa"/>
          </w:tcPr>
          <w:p w14:paraId="72A24807" w14:textId="67DB322A" w:rsidR="003B6019" w:rsidRPr="008C54A5" w:rsidRDefault="003B6019" w:rsidP="001B6FFA">
            <w:pPr>
              <w:pStyle w:val="Tabletext"/>
              <w:spacing w:before="20" w:after="20"/>
              <w:rPr>
                <w:color w:val="000000" w:themeColor="text1"/>
                <w:sz w:val="18"/>
                <w:szCs w:val="18"/>
                <w:highlight w:val="yellow"/>
                <w:lang w:eastAsia="zh-CN"/>
              </w:rPr>
            </w:pPr>
            <w:r w:rsidRPr="008C54A5">
              <w:rPr>
                <w:sz w:val="18"/>
                <w:szCs w:val="18"/>
                <w:highlight w:val="yellow"/>
                <w:lang w:eastAsia="zh-CN"/>
              </w:rPr>
              <w:t>Proposal for new work item: TR.sec-int-cpc: Security guidelines for interconnection of computing power cent</w:t>
            </w:r>
            <w:r w:rsidR="008C54A5">
              <w:rPr>
                <w:sz w:val="18"/>
                <w:szCs w:val="18"/>
                <w:highlight w:val="yellow"/>
                <w:lang w:eastAsia="zh-CN"/>
              </w:rPr>
              <w:t>re</w:t>
            </w:r>
            <w:r w:rsidRPr="008C54A5">
              <w:rPr>
                <w:sz w:val="18"/>
                <w:szCs w:val="18"/>
                <w:highlight w:val="yellow"/>
                <w:lang w:eastAsia="zh-CN"/>
              </w:rPr>
              <w:t>s</w:t>
            </w:r>
          </w:p>
        </w:tc>
        <w:tc>
          <w:tcPr>
            <w:tcW w:w="1697" w:type="dxa"/>
          </w:tcPr>
          <w:p w14:paraId="56B22BD4" w14:textId="77777777" w:rsidR="003B6019" w:rsidRPr="008C54A5" w:rsidRDefault="003B6019" w:rsidP="001B6FFA">
            <w:pPr>
              <w:pStyle w:val="Tabletext"/>
              <w:spacing w:before="20" w:after="20"/>
              <w:rPr>
                <w:color w:val="000000" w:themeColor="text1"/>
                <w:sz w:val="18"/>
                <w:szCs w:val="18"/>
                <w:highlight w:val="yellow"/>
                <w:shd w:val="clear" w:color="auto" w:fill="FFFFFF"/>
              </w:rPr>
            </w:pPr>
            <w:r w:rsidRPr="008C54A5">
              <w:rPr>
                <w:color w:val="000000" w:themeColor="text1"/>
                <w:sz w:val="18"/>
                <w:szCs w:val="18"/>
                <w:highlight w:val="yellow"/>
                <w:shd w:val="clear" w:color="auto" w:fill="FFFFFF"/>
              </w:rPr>
              <w:t>China Telecommunications Corporation, Peng Cheng Laboratory (China)</w:t>
            </w:r>
          </w:p>
        </w:tc>
        <w:tc>
          <w:tcPr>
            <w:tcW w:w="1041" w:type="dxa"/>
          </w:tcPr>
          <w:p w14:paraId="0C484474"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Q2</w:t>
            </w:r>
          </w:p>
        </w:tc>
        <w:tc>
          <w:tcPr>
            <w:tcW w:w="568" w:type="dxa"/>
          </w:tcPr>
          <w:p w14:paraId="4B76C0D9"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X</w:t>
            </w:r>
          </w:p>
        </w:tc>
        <w:tc>
          <w:tcPr>
            <w:tcW w:w="568" w:type="dxa"/>
          </w:tcPr>
          <w:p w14:paraId="25D13334"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65A61AB8"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305BF3F7"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52AB0C84"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X</w:t>
            </w:r>
          </w:p>
        </w:tc>
        <w:tc>
          <w:tcPr>
            <w:tcW w:w="590" w:type="dxa"/>
          </w:tcPr>
          <w:p w14:paraId="070C103A"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74D7469A"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Y</w:t>
            </w:r>
          </w:p>
        </w:tc>
        <w:tc>
          <w:tcPr>
            <w:tcW w:w="3254" w:type="dxa"/>
          </w:tcPr>
          <w:p w14:paraId="01BC715E" w14:textId="5F205A8F" w:rsidR="003B6019" w:rsidRPr="008C54A5" w:rsidRDefault="003B6019" w:rsidP="001B6FFA">
            <w:pPr>
              <w:pStyle w:val="Tabletext"/>
              <w:spacing w:before="20" w:after="20"/>
              <w:rPr>
                <w:color w:val="000000" w:themeColor="text1"/>
                <w:sz w:val="18"/>
                <w:szCs w:val="18"/>
                <w:highlight w:val="yellow"/>
              </w:rPr>
            </w:pPr>
            <w:r w:rsidRPr="008C54A5">
              <w:rPr>
                <w:color w:val="000000" w:themeColor="text1"/>
                <w:sz w:val="18"/>
                <w:szCs w:val="18"/>
                <w:highlight w:val="yellow"/>
              </w:rPr>
              <w:t>This proposal scopes interconnection of computing power cent</w:t>
            </w:r>
            <w:r w:rsidR="008C54A5">
              <w:rPr>
                <w:color w:val="000000" w:themeColor="text1"/>
                <w:sz w:val="18"/>
                <w:szCs w:val="18"/>
                <w:highlight w:val="yellow"/>
              </w:rPr>
              <w:t>re</w:t>
            </w:r>
            <w:r w:rsidRPr="008C54A5">
              <w:rPr>
                <w:color w:val="000000" w:themeColor="text1"/>
                <w:sz w:val="18"/>
                <w:szCs w:val="18"/>
                <w:highlight w:val="yellow"/>
              </w:rPr>
              <w:t>s (CPN) but is CPN defined and what is its relationship with edge? The same thing? A competing proposal? Should the target be Q2 or Q8?</w:t>
            </w:r>
          </w:p>
        </w:tc>
        <w:tc>
          <w:tcPr>
            <w:tcW w:w="1342" w:type="dxa"/>
          </w:tcPr>
          <w:p w14:paraId="3555DA85" w14:textId="77777777" w:rsidR="003B6019" w:rsidRPr="008C54A5" w:rsidRDefault="003B6019" w:rsidP="001B6FFA">
            <w:pPr>
              <w:pStyle w:val="Tabletext"/>
              <w:spacing w:before="20" w:after="20"/>
              <w:rPr>
                <w:color w:val="000000" w:themeColor="text1"/>
                <w:sz w:val="18"/>
                <w:szCs w:val="18"/>
                <w:highlight w:val="yellow"/>
              </w:rPr>
            </w:pPr>
          </w:p>
        </w:tc>
      </w:tr>
      <w:tr w:rsidR="003B6019" w:rsidRPr="008C54A5" w14:paraId="76F9A758" w14:textId="77777777" w:rsidTr="00407A24">
        <w:tc>
          <w:tcPr>
            <w:tcW w:w="891" w:type="dxa"/>
          </w:tcPr>
          <w:p w14:paraId="3D5BC9D1" w14:textId="77777777" w:rsidR="003B6019" w:rsidRPr="008C54A5" w:rsidRDefault="001109F9" w:rsidP="001B6FFA">
            <w:pPr>
              <w:pStyle w:val="Tabletext"/>
              <w:spacing w:before="20" w:after="20"/>
              <w:rPr>
                <w:color w:val="000000" w:themeColor="text1"/>
                <w:sz w:val="18"/>
                <w:szCs w:val="18"/>
                <w:highlight w:val="yellow"/>
              </w:rPr>
            </w:pPr>
            <w:hyperlink r:id="rId47" w:history="1">
              <w:r w:rsidR="003B6019" w:rsidRPr="008C54A5">
                <w:rPr>
                  <w:rStyle w:val="Hyperlink"/>
                  <w:sz w:val="18"/>
                  <w:szCs w:val="18"/>
                  <w:highlight w:val="yellow"/>
                </w:rPr>
                <w:t>C519</w:t>
              </w:r>
            </w:hyperlink>
          </w:p>
        </w:tc>
        <w:tc>
          <w:tcPr>
            <w:tcW w:w="2236" w:type="dxa"/>
          </w:tcPr>
          <w:p w14:paraId="055A2F92" w14:textId="45D13E43" w:rsidR="003B6019" w:rsidRPr="008C54A5" w:rsidRDefault="003B6019" w:rsidP="001B6FFA">
            <w:pPr>
              <w:pStyle w:val="Tabletext"/>
              <w:spacing w:before="20" w:after="20"/>
              <w:rPr>
                <w:sz w:val="18"/>
                <w:szCs w:val="18"/>
                <w:highlight w:val="yellow"/>
                <w:lang w:eastAsia="zh-CN"/>
              </w:rPr>
            </w:pPr>
            <w:r w:rsidRPr="008C54A5">
              <w:rPr>
                <w:sz w:val="18"/>
                <w:szCs w:val="18"/>
                <w:highlight w:val="yellow"/>
                <w:lang w:eastAsia="zh-CN"/>
              </w:rPr>
              <w:t xml:space="preserve">Proposal for new work item: Security guidelines for Industrial Internet in context of </w:t>
            </w:r>
            <w:r w:rsidR="00B83FBE">
              <w:rPr>
                <w:sz w:val="18"/>
                <w:szCs w:val="18"/>
                <w:highlight w:val="yellow"/>
                <w:lang w:eastAsia="zh-CN"/>
              </w:rPr>
              <w:t>information</w:t>
            </w:r>
            <w:r w:rsidR="00B83FBE" w:rsidRPr="008C54A5">
              <w:rPr>
                <w:sz w:val="18"/>
                <w:szCs w:val="18"/>
                <w:highlight w:val="yellow"/>
                <w:lang w:eastAsia="zh-CN"/>
              </w:rPr>
              <w:t xml:space="preserve"> </w:t>
            </w:r>
            <w:r w:rsidRPr="008C54A5">
              <w:rPr>
                <w:sz w:val="18"/>
                <w:szCs w:val="18"/>
                <w:highlight w:val="yellow"/>
                <w:lang w:eastAsia="zh-CN"/>
              </w:rPr>
              <w:t xml:space="preserve">and </w:t>
            </w:r>
            <w:r w:rsidR="00B83FBE">
              <w:rPr>
                <w:sz w:val="18"/>
                <w:szCs w:val="18"/>
                <w:highlight w:val="yellow"/>
                <w:lang w:eastAsia="zh-CN"/>
              </w:rPr>
              <w:t>operational technology</w:t>
            </w:r>
            <w:r w:rsidR="00B83FBE" w:rsidRPr="008C54A5">
              <w:rPr>
                <w:sz w:val="18"/>
                <w:szCs w:val="18"/>
                <w:highlight w:val="yellow"/>
                <w:lang w:eastAsia="zh-CN"/>
              </w:rPr>
              <w:t xml:space="preserve"> </w:t>
            </w:r>
            <w:r w:rsidRPr="008C54A5">
              <w:rPr>
                <w:sz w:val="18"/>
                <w:szCs w:val="18"/>
                <w:highlight w:val="yellow"/>
                <w:lang w:eastAsia="zh-CN"/>
              </w:rPr>
              <w:t>convergence</w:t>
            </w:r>
          </w:p>
        </w:tc>
        <w:tc>
          <w:tcPr>
            <w:tcW w:w="1697" w:type="dxa"/>
          </w:tcPr>
          <w:p w14:paraId="6FDFA2F1" w14:textId="77777777" w:rsidR="003B6019" w:rsidRPr="008C54A5" w:rsidRDefault="003B6019" w:rsidP="001B6FFA">
            <w:pPr>
              <w:pStyle w:val="Tabletext"/>
              <w:spacing w:before="20" w:after="20"/>
              <w:rPr>
                <w:color w:val="000000" w:themeColor="text1"/>
                <w:sz w:val="18"/>
                <w:szCs w:val="18"/>
                <w:highlight w:val="yellow"/>
                <w:shd w:val="clear" w:color="auto" w:fill="FFFFFF"/>
              </w:rPr>
            </w:pPr>
            <w:r w:rsidRPr="008C54A5">
              <w:rPr>
                <w:color w:val="000000" w:themeColor="text1"/>
                <w:sz w:val="18"/>
                <w:szCs w:val="18"/>
                <w:highlight w:val="yellow"/>
                <w:shd w:val="clear" w:color="auto" w:fill="FFFFFF"/>
              </w:rPr>
              <w:t>China Unicom, Zhejiang University (China)</w:t>
            </w:r>
          </w:p>
        </w:tc>
        <w:tc>
          <w:tcPr>
            <w:tcW w:w="1041" w:type="dxa"/>
          </w:tcPr>
          <w:p w14:paraId="717AEC83"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Q15</w:t>
            </w:r>
          </w:p>
        </w:tc>
        <w:tc>
          <w:tcPr>
            <w:tcW w:w="568" w:type="dxa"/>
          </w:tcPr>
          <w:p w14:paraId="13D04C43"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390A64C2"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5EC825B7"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3F5BC302"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3E550249" w14:textId="77777777" w:rsidR="003B6019" w:rsidRPr="008C54A5" w:rsidRDefault="003B6019" w:rsidP="001B6FFA">
            <w:pPr>
              <w:pStyle w:val="Tabletext"/>
              <w:spacing w:before="20" w:after="20"/>
              <w:jc w:val="center"/>
              <w:rPr>
                <w:color w:val="000000" w:themeColor="text1"/>
                <w:sz w:val="18"/>
                <w:szCs w:val="18"/>
                <w:highlight w:val="yellow"/>
              </w:rPr>
            </w:pPr>
          </w:p>
        </w:tc>
        <w:tc>
          <w:tcPr>
            <w:tcW w:w="590" w:type="dxa"/>
          </w:tcPr>
          <w:p w14:paraId="5E458D33"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2D46BFD6"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N</w:t>
            </w:r>
          </w:p>
        </w:tc>
        <w:tc>
          <w:tcPr>
            <w:tcW w:w="3254" w:type="dxa"/>
          </w:tcPr>
          <w:p w14:paraId="0E3A3436" w14:textId="77777777" w:rsidR="003B6019" w:rsidRPr="008C54A5" w:rsidRDefault="003B6019" w:rsidP="001B6FFA">
            <w:pPr>
              <w:pStyle w:val="Tabletext"/>
              <w:spacing w:before="20" w:after="20"/>
              <w:rPr>
                <w:color w:val="000000" w:themeColor="text1"/>
                <w:sz w:val="18"/>
                <w:szCs w:val="18"/>
                <w:highlight w:val="yellow"/>
              </w:rPr>
            </w:pPr>
          </w:p>
        </w:tc>
        <w:tc>
          <w:tcPr>
            <w:tcW w:w="1342" w:type="dxa"/>
          </w:tcPr>
          <w:p w14:paraId="69F1A952" w14:textId="77777777" w:rsidR="003B6019" w:rsidRPr="008C54A5" w:rsidRDefault="003B6019" w:rsidP="001B6FFA">
            <w:pPr>
              <w:pStyle w:val="Tabletext"/>
              <w:spacing w:before="20" w:after="20"/>
              <w:rPr>
                <w:color w:val="000000" w:themeColor="text1"/>
                <w:sz w:val="18"/>
                <w:szCs w:val="18"/>
                <w:highlight w:val="yellow"/>
              </w:rPr>
            </w:pPr>
          </w:p>
        </w:tc>
      </w:tr>
      <w:tr w:rsidR="003B6019" w:rsidRPr="008C54A5" w14:paraId="0CB6A3B0" w14:textId="77777777" w:rsidTr="00407A24">
        <w:tc>
          <w:tcPr>
            <w:tcW w:w="891" w:type="dxa"/>
          </w:tcPr>
          <w:p w14:paraId="6295E522" w14:textId="77777777" w:rsidR="003B6019" w:rsidRPr="008C54A5" w:rsidRDefault="001109F9" w:rsidP="001B6FFA">
            <w:pPr>
              <w:pStyle w:val="Tabletext"/>
              <w:spacing w:before="20" w:after="20"/>
              <w:rPr>
                <w:color w:val="000000" w:themeColor="text1"/>
                <w:sz w:val="18"/>
                <w:szCs w:val="18"/>
                <w:highlight w:val="yellow"/>
              </w:rPr>
            </w:pPr>
            <w:hyperlink r:id="rId48" w:history="1">
              <w:r w:rsidR="003B6019" w:rsidRPr="008C54A5">
                <w:rPr>
                  <w:rStyle w:val="Hyperlink"/>
                  <w:sz w:val="18"/>
                  <w:szCs w:val="18"/>
                  <w:highlight w:val="yellow"/>
                </w:rPr>
                <w:t>C526</w:t>
              </w:r>
            </w:hyperlink>
          </w:p>
        </w:tc>
        <w:tc>
          <w:tcPr>
            <w:tcW w:w="2236" w:type="dxa"/>
          </w:tcPr>
          <w:p w14:paraId="2B844775" w14:textId="77777777" w:rsidR="003B6019" w:rsidRPr="008C54A5" w:rsidRDefault="003B6019" w:rsidP="001B6FFA">
            <w:pPr>
              <w:pStyle w:val="Tabletext"/>
              <w:spacing w:before="20" w:after="20"/>
              <w:rPr>
                <w:color w:val="000000" w:themeColor="text1"/>
                <w:sz w:val="18"/>
                <w:szCs w:val="18"/>
                <w:highlight w:val="yellow"/>
                <w:lang w:eastAsia="zh-CN"/>
              </w:rPr>
            </w:pPr>
            <w:r w:rsidRPr="008C54A5">
              <w:rPr>
                <w:sz w:val="18"/>
                <w:szCs w:val="18"/>
                <w:highlight w:val="yellow"/>
                <w:lang w:eastAsia="zh-CN"/>
              </w:rPr>
              <w:t>Proposal for new work item X.ztac: Zero trust architecture and capabilities for telecommunication networks</w:t>
            </w:r>
          </w:p>
        </w:tc>
        <w:tc>
          <w:tcPr>
            <w:tcW w:w="1697" w:type="dxa"/>
          </w:tcPr>
          <w:p w14:paraId="0CB621E2" w14:textId="074E684F" w:rsidR="003B6019" w:rsidRPr="008C54A5" w:rsidRDefault="003B6019" w:rsidP="001B6FFA">
            <w:pPr>
              <w:pStyle w:val="Tabletext"/>
              <w:spacing w:before="20" w:after="20"/>
              <w:rPr>
                <w:color w:val="000000" w:themeColor="text1"/>
                <w:sz w:val="18"/>
                <w:szCs w:val="18"/>
                <w:highlight w:val="yellow"/>
                <w:shd w:val="clear" w:color="auto" w:fill="FFFFFF"/>
              </w:rPr>
            </w:pPr>
            <w:r w:rsidRPr="008C54A5">
              <w:rPr>
                <w:color w:val="000000" w:themeColor="text1"/>
                <w:sz w:val="18"/>
                <w:szCs w:val="18"/>
                <w:highlight w:val="yellow"/>
                <w:shd w:val="clear" w:color="auto" w:fill="FFFFFF"/>
              </w:rPr>
              <w:t>Korea (Rep</w:t>
            </w:r>
            <w:r w:rsidR="005D5902">
              <w:rPr>
                <w:color w:val="000000" w:themeColor="text1"/>
                <w:sz w:val="18"/>
                <w:szCs w:val="18"/>
                <w:highlight w:val="yellow"/>
                <w:shd w:val="clear" w:color="auto" w:fill="FFFFFF"/>
              </w:rPr>
              <w:t>ublic</w:t>
            </w:r>
            <w:r w:rsidRPr="008C54A5">
              <w:rPr>
                <w:color w:val="000000" w:themeColor="text1"/>
                <w:sz w:val="18"/>
                <w:szCs w:val="18"/>
                <w:highlight w:val="yellow"/>
                <w:shd w:val="clear" w:color="auto" w:fill="FFFFFF"/>
              </w:rPr>
              <w:t xml:space="preserve"> of)</w:t>
            </w:r>
          </w:p>
        </w:tc>
        <w:tc>
          <w:tcPr>
            <w:tcW w:w="1041" w:type="dxa"/>
          </w:tcPr>
          <w:p w14:paraId="423E8E6D"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Q2</w:t>
            </w:r>
          </w:p>
        </w:tc>
        <w:tc>
          <w:tcPr>
            <w:tcW w:w="568" w:type="dxa"/>
          </w:tcPr>
          <w:p w14:paraId="74EAD5B1"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7014EF4B"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6E2D0428"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500572BC"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7C0F680A"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X</w:t>
            </w:r>
          </w:p>
        </w:tc>
        <w:tc>
          <w:tcPr>
            <w:tcW w:w="590" w:type="dxa"/>
          </w:tcPr>
          <w:p w14:paraId="76174E5A"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7725C34F"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Y</w:t>
            </w:r>
          </w:p>
        </w:tc>
        <w:tc>
          <w:tcPr>
            <w:tcW w:w="3254" w:type="dxa"/>
          </w:tcPr>
          <w:p w14:paraId="7EC2AE33" w14:textId="2B1C7807" w:rsidR="003B6019" w:rsidRPr="008C54A5" w:rsidRDefault="003B6019" w:rsidP="001B6FFA">
            <w:pPr>
              <w:pStyle w:val="Tabletext"/>
              <w:spacing w:before="20" w:after="20"/>
              <w:rPr>
                <w:color w:val="000000" w:themeColor="text1"/>
                <w:sz w:val="18"/>
                <w:szCs w:val="18"/>
                <w:highlight w:val="yellow"/>
              </w:rPr>
            </w:pPr>
            <w:r w:rsidRPr="008C54A5">
              <w:rPr>
                <w:color w:val="000000" w:themeColor="text1"/>
                <w:sz w:val="18"/>
                <w:szCs w:val="18"/>
                <w:highlight w:val="yellow"/>
              </w:rPr>
              <w:t xml:space="preserve">This new work item engages on Zero Trust and </w:t>
            </w:r>
            <w:r w:rsidR="006D5668">
              <w:rPr>
                <w:color w:val="000000" w:themeColor="text1"/>
                <w:sz w:val="18"/>
                <w:szCs w:val="18"/>
                <w:highlight w:val="yellow"/>
              </w:rPr>
              <w:t>'</w:t>
            </w:r>
            <w:r w:rsidRPr="008C54A5">
              <w:rPr>
                <w:color w:val="000000" w:themeColor="text1"/>
                <w:sz w:val="18"/>
                <w:szCs w:val="18"/>
                <w:highlight w:val="yellow"/>
              </w:rPr>
              <w:t>capabilities</w:t>
            </w:r>
            <w:r w:rsidR="006D5668">
              <w:rPr>
                <w:color w:val="000000" w:themeColor="text1"/>
                <w:sz w:val="18"/>
                <w:szCs w:val="18"/>
                <w:highlight w:val="yellow"/>
              </w:rPr>
              <w:t>'</w:t>
            </w:r>
            <w:r w:rsidRPr="008C54A5">
              <w:rPr>
                <w:color w:val="000000" w:themeColor="text1"/>
                <w:sz w:val="18"/>
                <w:szCs w:val="18"/>
                <w:highlight w:val="yellow"/>
              </w:rPr>
              <w:t xml:space="preserve"> which semantically means </w:t>
            </w:r>
            <w:r w:rsidR="006D5668">
              <w:rPr>
                <w:color w:val="000000" w:themeColor="text1"/>
                <w:sz w:val="18"/>
                <w:szCs w:val="18"/>
                <w:highlight w:val="yellow"/>
              </w:rPr>
              <w:t>'</w:t>
            </w:r>
            <w:r w:rsidRPr="008C54A5">
              <w:rPr>
                <w:color w:val="000000" w:themeColor="text1"/>
                <w:sz w:val="18"/>
                <w:szCs w:val="18"/>
                <w:highlight w:val="yellow"/>
              </w:rPr>
              <w:t>security capabilities</w:t>
            </w:r>
            <w:r w:rsidR="006D5668">
              <w:rPr>
                <w:color w:val="000000" w:themeColor="text1"/>
                <w:sz w:val="18"/>
                <w:szCs w:val="18"/>
                <w:highlight w:val="yellow"/>
              </w:rPr>
              <w:t>'</w:t>
            </w:r>
            <w:r w:rsidRPr="008C54A5">
              <w:rPr>
                <w:color w:val="000000" w:themeColor="text1"/>
                <w:sz w:val="18"/>
                <w:szCs w:val="18"/>
                <w:highlight w:val="yellow"/>
              </w:rPr>
              <w:t xml:space="preserve"> however these are to be defined by, e.g., X.arch-design (Q1) and X.secadef (Q15). The risk is to break the sequence of what CG-SECAPA needs to resolve for WTSA20 Resolution 50, disaligning SG17 outcomes. Quality risk. Proposal is to bring this work item to the incubation Queue with Q15 and CG-SECAPA to help alignment of work items context with SG17 strategy.</w:t>
            </w:r>
          </w:p>
          <w:p w14:paraId="0DA1C827" w14:textId="77777777" w:rsidR="003B6019" w:rsidRPr="008C54A5" w:rsidRDefault="003B6019" w:rsidP="001B6FFA">
            <w:pPr>
              <w:pStyle w:val="Tabletext"/>
              <w:spacing w:before="20" w:after="20"/>
              <w:rPr>
                <w:color w:val="000000" w:themeColor="text1"/>
                <w:sz w:val="18"/>
                <w:szCs w:val="18"/>
                <w:highlight w:val="yellow"/>
              </w:rPr>
            </w:pPr>
            <w:r w:rsidRPr="008C54A5">
              <w:rPr>
                <w:color w:val="000000" w:themeColor="text1"/>
                <w:sz w:val="18"/>
                <w:szCs w:val="18"/>
                <w:highlight w:val="yellow"/>
              </w:rPr>
              <w:t>To discuss in sequence with C585.</w:t>
            </w:r>
          </w:p>
        </w:tc>
        <w:tc>
          <w:tcPr>
            <w:tcW w:w="1342" w:type="dxa"/>
          </w:tcPr>
          <w:p w14:paraId="128829C2" w14:textId="77777777" w:rsidR="003B6019" w:rsidRPr="008C54A5" w:rsidRDefault="003B6019" w:rsidP="001B6FFA">
            <w:pPr>
              <w:pStyle w:val="Tabletext"/>
              <w:spacing w:before="20" w:after="20"/>
              <w:rPr>
                <w:color w:val="000000" w:themeColor="text1"/>
                <w:sz w:val="18"/>
                <w:szCs w:val="18"/>
                <w:highlight w:val="yellow"/>
              </w:rPr>
            </w:pPr>
          </w:p>
        </w:tc>
      </w:tr>
      <w:tr w:rsidR="003B6019" w:rsidRPr="008C54A5" w14:paraId="24190B98" w14:textId="77777777" w:rsidTr="00407A24">
        <w:tc>
          <w:tcPr>
            <w:tcW w:w="891" w:type="dxa"/>
          </w:tcPr>
          <w:p w14:paraId="55B250DB" w14:textId="77777777" w:rsidR="003B6019" w:rsidRPr="008C54A5" w:rsidRDefault="001109F9" w:rsidP="00087537">
            <w:pPr>
              <w:pStyle w:val="Tabletext"/>
              <w:rPr>
                <w:color w:val="000000" w:themeColor="text1"/>
                <w:sz w:val="18"/>
                <w:szCs w:val="18"/>
                <w:highlight w:val="yellow"/>
              </w:rPr>
            </w:pPr>
            <w:hyperlink r:id="rId49" w:history="1">
              <w:r w:rsidR="003B6019" w:rsidRPr="008C54A5">
                <w:rPr>
                  <w:rStyle w:val="Hyperlink"/>
                  <w:sz w:val="18"/>
                  <w:szCs w:val="18"/>
                  <w:highlight w:val="yellow"/>
                </w:rPr>
                <w:t>C531</w:t>
              </w:r>
            </w:hyperlink>
          </w:p>
        </w:tc>
        <w:tc>
          <w:tcPr>
            <w:tcW w:w="2236" w:type="dxa"/>
          </w:tcPr>
          <w:p w14:paraId="34D4CB0F" w14:textId="77777777" w:rsidR="003B6019" w:rsidRPr="008C54A5" w:rsidRDefault="003B6019" w:rsidP="00087537">
            <w:pPr>
              <w:pStyle w:val="Tabletext"/>
              <w:rPr>
                <w:sz w:val="18"/>
                <w:szCs w:val="18"/>
                <w:highlight w:val="yellow"/>
                <w:lang w:eastAsia="zh-CN"/>
              </w:rPr>
            </w:pPr>
            <w:r w:rsidRPr="008C54A5">
              <w:rPr>
                <w:sz w:val="18"/>
                <w:szCs w:val="18"/>
                <w:highlight w:val="yellow"/>
                <w:lang w:eastAsia="zh-CN"/>
              </w:rPr>
              <w:t>Proposal for new work item X.sec_QKDN_nq: Security framework for end-to-end QKDN and non-quantum cryptography services</w:t>
            </w:r>
          </w:p>
        </w:tc>
        <w:tc>
          <w:tcPr>
            <w:tcW w:w="1697" w:type="dxa"/>
          </w:tcPr>
          <w:p w14:paraId="627ECEB2" w14:textId="7E3580ED" w:rsidR="003B6019" w:rsidRPr="008C54A5" w:rsidRDefault="003B6019" w:rsidP="00087537">
            <w:pPr>
              <w:pStyle w:val="Tabletext"/>
              <w:rPr>
                <w:color w:val="000000" w:themeColor="text1"/>
                <w:sz w:val="18"/>
                <w:szCs w:val="18"/>
                <w:highlight w:val="yellow"/>
                <w:shd w:val="clear" w:color="auto" w:fill="FFFFFF"/>
              </w:rPr>
            </w:pPr>
            <w:r w:rsidRPr="008C54A5">
              <w:rPr>
                <w:color w:val="000000" w:themeColor="text1"/>
                <w:sz w:val="18"/>
                <w:szCs w:val="18"/>
                <w:highlight w:val="yellow"/>
                <w:shd w:val="clear" w:color="auto" w:fill="FFFFFF"/>
              </w:rPr>
              <w:t xml:space="preserve">Beijing </w:t>
            </w:r>
            <w:r w:rsidR="00D005A4" w:rsidRPr="008C54A5">
              <w:rPr>
                <w:color w:val="000000" w:themeColor="text1"/>
                <w:sz w:val="18"/>
                <w:szCs w:val="18"/>
                <w:highlight w:val="yellow"/>
                <w:shd w:val="clear" w:color="auto" w:fill="FFFFFF"/>
              </w:rPr>
              <w:t>University</w:t>
            </w:r>
            <w:r w:rsidRPr="008C54A5">
              <w:rPr>
                <w:color w:val="000000" w:themeColor="text1"/>
                <w:sz w:val="18"/>
                <w:szCs w:val="18"/>
                <w:highlight w:val="yellow"/>
                <w:shd w:val="clear" w:color="auto" w:fill="FFFFFF"/>
              </w:rPr>
              <w:t xml:space="preserve"> of Posts and Telecommunications (China)</w:t>
            </w:r>
          </w:p>
        </w:tc>
        <w:tc>
          <w:tcPr>
            <w:tcW w:w="1041" w:type="dxa"/>
          </w:tcPr>
          <w:p w14:paraId="35CC711C" w14:textId="77777777" w:rsidR="003B6019" w:rsidRPr="008C54A5" w:rsidRDefault="003B6019" w:rsidP="00087537">
            <w:pPr>
              <w:pStyle w:val="Tabletext"/>
              <w:jc w:val="center"/>
              <w:rPr>
                <w:color w:val="000000" w:themeColor="text1"/>
                <w:sz w:val="18"/>
                <w:szCs w:val="18"/>
                <w:highlight w:val="yellow"/>
              </w:rPr>
            </w:pPr>
            <w:r w:rsidRPr="008C54A5">
              <w:rPr>
                <w:color w:val="000000" w:themeColor="text1"/>
                <w:sz w:val="18"/>
                <w:szCs w:val="18"/>
                <w:highlight w:val="yellow"/>
              </w:rPr>
              <w:t>Q15</w:t>
            </w:r>
          </w:p>
        </w:tc>
        <w:tc>
          <w:tcPr>
            <w:tcW w:w="568" w:type="dxa"/>
          </w:tcPr>
          <w:p w14:paraId="7F1C0EF8" w14:textId="77777777" w:rsidR="003B6019" w:rsidRPr="008C54A5" w:rsidRDefault="003B6019" w:rsidP="00087537">
            <w:pPr>
              <w:pStyle w:val="Tabletext"/>
              <w:jc w:val="center"/>
              <w:rPr>
                <w:color w:val="000000" w:themeColor="text1"/>
                <w:sz w:val="18"/>
                <w:szCs w:val="18"/>
                <w:highlight w:val="yellow"/>
              </w:rPr>
            </w:pPr>
          </w:p>
        </w:tc>
        <w:tc>
          <w:tcPr>
            <w:tcW w:w="568" w:type="dxa"/>
          </w:tcPr>
          <w:p w14:paraId="72772B17" w14:textId="77777777" w:rsidR="003B6019" w:rsidRPr="008C54A5" w:rsidRDefault="003B6019" w:rsidP="00087537">
            <w:pPr>
              <w:pStyle w:val="Tabletext"/>
              <w:jc w:val="center"/>
              <w:rPr>
                <w:color w:val="000000" w:themeColor="text1"/>
                <w:sz w:val="18"/>
                <w:szCs w:val="18"/>
                <w:highlight w:val="yellow"/>
              </w:rPr>
            </w:pPr>
          </w:p>
        </w:tc>
        <w:tc>
          <w:tcPr>
            <w:tcW w:w="568" w:type="dxa"/>
          </w:tcPr>
          <w:p w14:paraId="60BCF9E1" w14:textId="77777777" w:rsidR="003B6019" w:rsidRPr="008C54A5" w:rsidRDefault="003B6019" w:rsidP="00087537">
            <w:pPr>
              <w:pStyle w:val="Tabletext"/>
              <w:jc w:val="center"/>
              <w:rPr>
                <w:color w:val="000000" w:themeColor="text1"/>
                <w:sz w:val="18"/>
                <w:szCs w:val="18"/>
                <w:highlight w:val="yellow"/>
              </w:rPr>
            </w:pPr>
          </w:p>
        </w:tc>
        <w:tc>
          <w:tcPr>
            <w:tcW w:w="568" w:type="dxa"/>
          </w:tcPr>
          <w:p w14:paraId="4CCB1590" w14:textId="77777777" w:rsidR="003B6019" w:rsidRPr="008C54A5" w:rsidRDefault="003B6019" w:rsidP="00087537">
            <w:pPr>
              <w:pStyle w:val="Tabletext"/>
              <w:jc w:val="center"/>
              <w:rPr>
                <w:color w:val="000000" w:themeColor="text1"/>
                <w:sz w:val="18"/>
                <w:szCs w:val="18"/>
                <w:highlight w:val="yellow"/>
              </w:rPr>
            </w:pPr>
          </w:p>
        </w:tc>
        <w:tc>
          <w:tcPr>
            <w:tcW w:w="568" w:type="dxa"/>
          </w:tcPr>
          <w:p w14:paraId="26071393" w14:textId="77777777" w:rsidR="003B6019" w:rsidRPr="008C54A5" w:rsidRDefault="003B6019" w:rsidP="00087537">
            <w:pPr>
              <w:pStyle w:val="Tabletext"/>
              <w:jc w:val="center"/>
              <w:rPr>
                <w:color w:val="000000" w:themeColor="text1"/>
                <w:sz w:val="18"/>
                <w:szCs w:val="18"/>
                <w:highlight w:val="yellow"/>
              </w:rPr>
            </w:pPr>
          </w:p>
        </w:tc>
        <w:tc>
          <w:tcPr>
            <w:tcW w:w="590" w:type="dxa"/>
          </w:tcPr>
          <w:p w14:paraId="7886B535" w14:textId="77777777" w:rsidR="003B6019" w:rsidRPr="008C54A5" w:rsidRDefault="003B6019" w:rsidP="00087537">
            <w:pPr>
              <w:pStyle w:val="Tabletext"/>
              <w:jc w:val="center"/>
              <w:rPr>
                <w:color w:val="000000" w:themeColor="text1"/>
                <w:sz w:val="18"/>
                <w:szCs w:val="18"/>
                <w:highlight w:val="yellow"/>
              </w:rPr>
            </w:pPr>
          </w:p>
        </w:tc>
        <w:tc>
          <w:tcPr>
            <w:tcW w:w="568" w:type="dxa"/>
          </w:tcPr>
          <w:p w14:paraId="62E2A50B" w14:textId="77777777" w:rsidR="003B6019" w:rsidRPr="008C54A5" w:rsidRDefault="003B6019" w:rsidP="00087537">
            <w:pPr>
              <w:pStyle w:val="Tabletext"/>
              <w:jc w:val="center"/>
              <w:rPr>
                <w:color w:val="000000" w:themeColor="text1"/>
                <w:sz w:val="18"/>
                <w:szCs w:val="18"/>
                <w:highlight w:val="yellow"/>
              </w:rPr>
            </w:pPr>
            <w:r w:rsidRPr="008C54A5">
              <w:rPr>
                <w:color w:val="000000" w:themeColor="text1"/>
                <w:sz w:val="18"/>
                <w:szCs w:val="18"/>
                <w:highlight w:val="yellow"/>
              </w:rPr>
              <w:t>N</w:t>
            </w:r>
          </w:p>
        </w:tc>
        <w:tc>
          <w:tcPr>
            <w:tcW w:w="3254" w:type="dxa"/>
          </w:tcPr>
          <w:p w14:paraId="2BE27B54" w14:textId="77777777" w:rsidR="003B6019" w:rsidRPr="008C54A5" w:rsidRDefault="003B6019" w:rsidP="00087537">
            <w:pPr>
              <w:pStyle w:val="Tabletext"/>
              <w:rPr>
                <w:color w:val="000000" w:themeColor="text1"/>
                <w:sz w:val="18"/>
                <w:szCs w:val="18"/>
                <w:highlight w:val="yellow"/>
              </w:rPr>
            </w:pPr>
            <w:r w:rsidRPr="008C54A5">
              <w:rPr>
                <w:color w:val="000000" w:themeColor="text1"/>
                <w:sz w:val="18"/>
                <w:szCs w:val="18"/>
                <w:highlight w:val="yellow"/>
              </w:rPr>
              <w:t>Q15</w:t>
            </w:r>
          </w:p>
        </w:tc>
        <w:tc>
          <w:tcPr>
            <w:tcW w:w="1342" w:type="dxa"/>
          </w:tcPr>
          <w:p w14:paraId="2AA2014F" w14:textId="77777777" w:rsidR="003B6019" w:rsidRPr="008C54A5" w:rsidRDefault="003B6019" w:rsidP="00087537">
            <w:pPr>
              <w:pStyle w:val="Tabletext"/>
              <w:rPr>
                <w:color w:val="000000" w:themeColor="text1"/>
                <w:sz w:val="18"/>
                <w:szCs w:val="18"/>
                <w:highlight w:val="yellow"/>
              </w:rPr>
            </w:pPr>
          </w:p>
        </w:tc>
      </w:tr>
      <w:tr w:rsidR="003B6019" w:rsidRPr="008C54A5" w14:paraId="0A05668E" w14:textId="77777777" w:rsidTr="00407A24">
        <w:tc>
          <w:tcPr>
            <w:tcW w:w="891" w:type="dxa"/>
          </w:tcPr>
          <w:p w14:paraId="6FDE7C2A" w14:textId="77777777" w:rsidR="003B6019" w:rsidRPr="008C54A5" w:rsidRDefault="001109F9" w:rsidP="00407A24">
            <w:pPr>
              <w:pStyle w:val="Tabletext"/>
              <w:keepNext/>
              <w:keepLines/>
              <w:rPr>
                <w:color w:val="000000" w:themeColor="text1"/>
                <w:sz w:val="18"/>
                <w:szCs w:val="18"/>
                <w:highlight w:val="yellow"/>
              </w:rPr>
            </w:pPr>
            <w:hyperlink r:id="rId50" w:history="1">
              <w:r w:rsidR="003B6019" w:rsidRPr="008C54A5">
                <w:rPr>
                  <w:rStyle w:val="Hyperlink"/>
                  <w:sz w:val="18"/>
                  <w:szCs w:val="18"/>
                  <w:highlight w:val="yellow"/>
                </w:rPr>
                <w:t>C541</w:t>
              </w:r>
            </w:hyperlink>
          </w:p>
        </w:tc>
        <w:tc>
          <w:tcPr>
            <w:tcW w:w="2236" w:type="dxa"/>
          </w:tcPr>
          <w:p w14:paraId="454E4F11" w14:textId="77777777" w:rsidR="003B6019" w:rsidRPr="008C54A5" w:rsidRDefault="003B6019" w:rsidP="00407A24">
            <w:pPr>
              <w:pStyle w:val="Tabletext"/>
              <w:keepNext/>
              <w:keepLines/>
              <w:rPr>
                <w:sz w:val="18"/>
                <w:szCs w:val="18"/>
                <w:highlight w:val="yellow"/>
                <w:lang w:eastAsia="zh-CN"/>
              </w:rPr>
            </w:pPr>
            <w:r w:rsidRPr="008C54A5">
              <w:rPr>
                <w:sz w:val="18"/>
                <w:szCs w:val="18"/>
                <w:highlight w:val="yellow"/>
                <w:lang w:eastAsia="zh-CN"/>
              </w:rPr>
              <w:t>Proposal for new work item X.gapci: Guidelines on Anti-DDoS protection for cloud infrastructure</w:t>
            </w:r>
          </w:p>
        </w:tc>
        <w:tc>
          <w:tcPr>
            <w:tcW w:w="1697" w:type="dxa"/>
          </w:tcPr>
          <w:p w14:paraId="683C2A19" w14:textId="77777777" w:rsidR="003B6019" w:rsidRPr="008C54A5" w:rsidRDefault="003B6019" w:rsidP="00407A24">
            <w:pPr>
              <w:pStyle w:val="Tabletext"/>
              <w:keepNext/>
              <w:keepLines/>
              <w:rPr>
                <w:color w:val="000000" w:themeColor="text1"/>
                <w:sz w:val="18"/>
                <w:szCs w:val="18"/>
                <w:highlight w:val="yellow"/>
                <w:shd w:val="clear" w:color="auto" w:fill="FFFFFF"/>
              </w:rPr>
            </w:pPr>
            <w:r w:rsidRPr="008C54A5">
              <w:rPr>
                <w:color w:val="000000" w:themeColor="text1"/>
                <w:sz w:val="18"/>
                <w:szCs w:val="18"/>
                <w:highlight w:val="yellow"/>
                <w:shd w:val="clear" w:color="auto" w:fill="FFFFFF"/>
              </w:rPr>
              <w:t>Ministry of Industry and Information Technology (MIIT) (China)</w:t>
            </w:r>
          </w:p>
        </w:tc>
        <w:tc>
          <w:tcPr>
            <w:tcW w:w="1041" w:type="dxa"/>
          </w:tcPr>
          <w:p w14:paraId="6727E2A3" w14:textId="77777777" w:rsidR="003B6019" w:rsidRPr="008C54A5" w:rsidRDefault="003B6019" w:rsidP="00407A24">
            <w:pPr>
              <w:pStyle w:val="Tabletext"/>
              <w:keepNext/>
              <w:keepLines/>
              <w:jc w:val="center"/>
              <w:rPr>
                <w:color w:val="000000" w:themeColor="text1"/>
                <w:sz w:val="18"/>
                <w:szCs w:val="18"/>
                <w:highlight w:val="yellow"/>
              </w:rPr>
            </w:pPr>
            <w:r w:rsidRPr="008C54A5">
              <w:rPr>
                <w:color w:val="000000" w:themeColor="text1"/>
                <w:sz w:val="18"/>
                <w:szCs w:val="18"/>
                <w:highlight w:val="yellow"/>
              </w:rPr>
              <w:t>Q8</w:t>
            </w:r>
          </w:p>
        </w:tc>
        <w:tc>
          <w:tcPr>
            <w:tcW w:w="568" w:type="dxa"/>
          </w:tcPr>
          <w:p w14:paraId="002E7417" w14:textId="77777777" w:rsidR="003B6019" w:rsidRPr="008C54A5" w:rsidRDefault="003B6019" w:rsidP="00407A24">
            <w:pPr>
              <w:pStyle w:val="Tabletext"/>
              <w:keepNext/>
              <w:keepLines/>
              <w:jc w:val="center"/>
              <w:rPr>
                <w:color w:val="000000" w:themeColor="text1"/>
                <w:sz w:val="18"/>
                <w:szCs w:val="18"/>
                <w:highlight w:val="yellow"/>
              </w:rPr>
            </w:pPr>
          </w:p>
        </w:tc>
        <w:tc>
          <w:tcPr>
            <w:tcW w:w="568" w:type="dxa"/>
          </w:tcPr>
          <w:p w14:paraId="112846EA" w14:textId="77777777" w:rsidR="003B6019" w:rsidRPr="008C54A5" w:rsidRDefault="003B6019" w:rsidP="00407A24">
            <w:pPr>
              <w:pStyle w:val="Tabletext"/>
              <w:keepNext/>
              <w:keepLines/>
              <w:jc w:val="center"/>
              <w:rPr>
                <w:color w:val="000000" w:themeColor="text1"/>
                <w:sz w:val="18"/>
                <w:szCs w:val="18"/>
                <w:highlight w:val="yellow"/>
              </w:rPr>
            </w:pPr>
          </w:p>
        </w:tc>
        <w:tc>
          <w:tcPr>
            <w:tcW w:w="568" w:type="dxa"/>
          </w:tcPr>
          <w:p w14:paraId="51352718" w14:textId="77777777" w:rsidR="003B6019" w:rsidRPr="008C54A5" w:rsidRDefault="003B6019" w:rsidP="00407A24">
            <w:pPr>
              <w:pStyle w:val="Tabletext"/>
              <w:keepNext/>
              <w:keepLines/>
              <w:jc w:val="center"/>
              <w:rPr>
                <w:color w:val="000000" w:themeColor="text1"/>
                <w:sz w:val="18"/>
                <w:szCs w:val="18"/>
                <w:highlight w:val="yellow"/>
              </w:rPr>
            </w:pPr>
          </w:p>
        </w:tc>
        <w:tc>
          <w:tcPr>
            <w:tcW w:w="568" w:type="dxa"/>
          </w:tcPr>
          <w:p w14:paraId="7F29B2BD" w14:textId="77777777" w:rsidR="003B6019" w:rsidRPr="008C54A5" w:rsidRDefault="003B6019" w:rsidP="00407A24">
            <w:pPr>
              <w:pStyle w:val="Tabletext"/>
              <w:keepNext/>
              <w:keepLines/>
              <w:jc w:val="center"/>
              <w:rPr>
                <w:color w:val="000000" w:themeColor="text1"/>
                <w:sz w:val="18"/>
                <w:szCs w:val="18"/>
                <w:highlight w:val="yellow"/>
              </w:rPr>
            </w:pPr>
          </w:p>
        </w:tc>
        <w:tc>
          <w:tcPr>
            <w:tcW w:w="568" w:type="dxa"/>
          </w:tcPr>
          <w:p w14:paraId="7DBB0C12" w14:textId="77777777" w:rsidR="003B6019" w:rsidRPr="008C54A5" w:rsidRDefault="003B6019" w:rsidP="00407A24">
            <w:pPr>
              <w:pStyle w:val="Tabletext"/>
              <w:keepNext/>
              <w:keepLines/>
              <w:jc w:val="center"/>
              <w:rPr>
                <w:color w:val="000000" w:themeColor="text1"/>
                <w:sz w:val="18"/>
                <w:szCs w:val="18"/>
                <w:highlight w:val="yellow"/>
              </w:rPr>
            </w:pPr>
          </w:p>
        </w:tc>
        <w:tc>
          <w:tcPr>
            <w:tcW w:w="590" w:type="dxa"/>
          </w:tcPr>
          <w:p w14:paraId="0BCB01DB" w14:textId="77777777" w:rsidR="003B6019" w:rsidRPr="008C54A5" w:rsidRDefault="003B6019" w:rsidP="00407A24">
            <w:pPr>
              <w:pStyle w:val="Tabletext"/>
              <w:keepNext/>
              <w:keepLines/>
              <w:jc w:val="center"/>
              <w:rPr>
                <w:color w:val="000000" w:themeColor="text1"/>
                <w:sz w:val="18"/>
                <w:szCs w:val="18"/>
                <w:highlight w:val="yellow"/>
              </w:rPr>
            </w:pPr>
          </w:p>
        </w:tc>
        <w:tc>
          <w:tcPr>
            <w:tcW w:w="568" w:type="dxa"/>
          </w:tcPr>
          <w:p w14:paraId="0612F705" w14:textId="77777777" w:rsidR="003B6019" w:rsidRPr="008C54A5" w:rsidRDefault="003B6019" w:rsidP="00407A24">
            <w:pPr>
              <w:pStyle w:val="Tabletext"/>
              <w:keepNext/>
              <w:keepLines/>
              <w:jc w:val="center"/>
              <w:rPr>
                <w:color w:val="000000" w:themeColor="text1"/>
                <w:sz w:val="18"/>
                <w:szCs w:val="18"/>
                <w:highlight w:val="yellow"/>
              </w:rPr>
            </w:pPr>
            <w:r w:rsidRPr="008C54A5">
              <w:rPr>
                <w:color w:val="000000" w:themeColor="text1"/>
                <w:sz w:val="18"/>
                <w:szCs w:val="18"/>
                <w:highlight w:val="yellow"/>
              </w:rPr>
              <w:t>N</w:t>
            </w:r>
          </w:p>
        </w:tc>
        <w:tc>
          <w:tcPr>
            <w:tcW w:w="3254" w:type="dxa"/>
          </w:tcPr>
          <w:p w14:paraId="209B20BB" w14:textId="77777777" w:rsidR="003B6019" w:rsidRPr="008C54A5" w:rsidRDefault="003B6019" w:rsidP="00407A24">
            <w:pPr>
              <w:pStyle w:val="Tabletext"/>
              <w:keepNext/>
              <w:keepLines/>
              <w:rPr>
                <w:color w:val="000000" w:themeColor="text1"/>
                <w:sz w:val="18"/>
                <w:szCs w:val="18"/>
                <w:highlight w:val="yellow"/>
              </w:rPr>
            </w:pPr>
          </w:p>
        </w:tc>
        <w:tc>
          <w:tcPr>
            <w:tcW w:w="1342" w:type="dxa"/>
          </w:tcPr>
          <w:p w14:paraId="7A437C53" w14:textId="77777777" w:rsidR="003B6019" w:rsidRPr="008C54A5" w:rsidRDefault="003B6019" w:rsidP="00407A24">
            <w:pPr>
              <w:pStyle w:val="Tabletext"/>
              <w:keepNext/>
              <w:keepLines/>
              <w:rPr>
                <w:color w:val="000000" w:themeColor="text1"/>
                <w:sz w:val="18"/>
                <w:szCs w:val="18"/>
                <w:highlight w:val="yellow"/>
              </w:rPr>
            </w:pPr>
          </w:p>
        </w:tc>
      </w:tr>
      <w:tr w:rsidR="003B6019" w:rsidRPr="008C54A5" w14:paraId="7C1A725E" w14:textId="77777777" w:rsidTr="00407A24">
        <w:tc>
          <w:tcPr>
            <w:tcW w:w="891" w:type="dxa"/>
          </w:tcPr>
          <w:p w14:paraId="0C3C065E" w14:textId="77777777" w:rsidR="003B6019" w:rsidRPr="008C54A5" w:rsidRDefault="001109F9" w:rsidP="001B6FFA">
            <w:pPr>
              <w:pStyle w:val="Tabletext"/>
              <w:spacing w:before="20" w:after="20"/>
              <w:rPr>
                <w:color w:val="000000" w:themeColor="text1"/>
                <w:sz w:val="18"/>
                <w:szCs w:val="18"/>
                <w:highlight w:val="yellow"/>
              </w:rPr>
            </w:pPr>
            <w:hyperlink r:id="rId51" w:history="1">
              <w:r w:rsidR="003B6019" w:rsidRPr="008C54A5">
                <w:rPr>
                  <w:rStyle w:val="Hyperlink"/>
                  <w:sz w:val="18"/>
                  <w:szCs w:val="18"/>
                  <w:highlight w:val="yellow"/>
                </w:rPr>
                <w:t>C542</w:t>
              </w:r>
            </w:hyperlink>
          </w:p>
        </w:tc>
        <w:tc>
          <w:tcPr>
            <w:tcW w:w="2236" w:type="dxa"/>
          </w:tcPr>
          <w:p w14:paraId="75CD0123" w14:textId="77777777" w:rsidR="003B6019" w:rsidRPr="008C54A5" w:rsidRDefault="003B6019" w:rsidP="001B6FFA">
            <w:pPr>
              <w:pStyle w:val="Tabletext"/>
              <w:spacing w:before="20" w:after="20"/>
              <w:rPr>
                <w:sz w:val="18"/>
                <w:szCs w:val="18"/>
                <w:highlight w:val="yellow"/>
                <w:lang w:eastAsia="zh-CN"/>
              </w:rPr>
            </w:pPr>
            <w:r w:rsidRPr="008C54A5">
              <w:rPr>
                <w:sz w:val="18"/>
                <w:szCs w:val="18"/>
                <w:highlight w:val="yellow"/>
                <w:lang w:eastAsia="zh-CN"/>
              </w:rPr>
              <w:t>Proposal for new work item X.ig-dw: Implementation guidelines for digital watermarking</w:t>
            </w:r>
          </w:p>
        </w:tc>
        <w:tc>
          <w:tcPr>
            <w:tcW w:w="1697" w:type="dxa"/>
          </w:tcPr>
          <w:p w14:paraId="54B1965F" w14:textId="77777777" w:rsidR="003B6019" w:rsidRPr="008C54A5" w:rsidRDefault="003B6019" w:rsidP="001B6FFA">
            <w:pPr>
              <w:pStyle w:val="Tabletext"/>
              <w:spacing w:before="20" w:after="20"/>
              <w:rPr>
                <w:color w:val="000000" w:themeColor="text1"/>
                <w:sz w:val="18"/>
                <w:szCs w:val="18"/>
                <w:highlight w:val="yellow"/>
                <w:shd w:val="clear" w:color="auto" w:fill="FFFFFF"/>
              </w:rPr>
            </w:pPr>
            <w:r w:rsidRPr="008C54A5">
              <w:rPr>
                <w:color w:val="000000" w:themeColor="text1"/>
                <w:sz w:val="18"/>
                <w:szCs w:val="18"/>
                <w:highlight w:val="yellow"/>
                <w:shd w:val="clear" w:color="auto" w:fill="FFFFFF"/>
              </w:rPr>
              <w:t>Alibaba China Co. Ltd.</w:t>
            </w:r>
          </w:p>
        </w:tc>
        <w:tc>
          <w:tcPr>
            <w:tcW w:w="1041" w:type="dxa"/>
          </w:tcPr>
          <w:p w14:paraId="3BE2A1B0"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Q15</w:t>
            </w:r>
          </w:p>
        </w:tc>
        <w:tc>
          <w:tcPr>
            <w:tcW w:w="568" w:type="dxa"/>
          </w:tcPr>
          <w:p w14:paraId="0061BB5A"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405D1A14"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4EBE3574"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7215703D"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3B7FD0D7" w14:textId="77777777" w:rsidR="003B6019" w:rsidRPr="008C54A5" w:rsidRDefault="003B6019" w:rsidP="001B6FFA">
            <w:pPr>
              <w:pStyle w:val="Tabletext"/>
              <w:spacing w:before="20" w:after="20"/>
              <w:jc w:val="center"/>
              <w:rPr>
                <w:color w:val="000000" w:themeColor="text1"/>
                <w:sz w:val="18"/>
                <w:szCs w:val="18"/>
                <w:highlight w:val="yellow"/>
              </w:rPr>
            </w:pPr>
          </w:p>
        </w:tc>
        <w:tc>
          <w:tcPr>
            <w:tcW w:w="590" w:type="dxa"/>
          </w:tcPr>
          <w:p w14:paraId="317BAB89"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70708208"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N</w:t>
            </w:r>
          </w:p>
        </w:tc>
        <w:tc>
          <w:tcPr>
            <w:tcW w:w="3254" w:type="dxa"/>
          </w:tcPr>
          <w:p w14:paraId="27394FE3" w14:textId="77777777" w:rsidR="003B6019" w:rsidRPr="008C54A5" w:rsidRDefault="003B6019" w:rsidP="001B6FFA">
            <w:pPr>
              <w:pStyle w:val="Tabletext"/>
              <w:spacing w:before="20" w:after="20"/>
              <w:rPr>
                <w:color w:val="000000" w:themeColor="text1"/>
                <w:sz w:val="18"/>
                <w:szCs w:val="18"/>
                <w:highlight w:val="yellow"/>
              </w:rPr>
            </w:pPr>
            <w:r w:rsidRPr="008C54A5">
              <w:rPr>
                <w:color w:val="000000" w:themeColor="text1"/>
                <w:sz w:val="18"/>
                <w:szCs w:val="18"/>
                <w:highlight w:val="yellow"/>
              </w:rPr>
              <w:t>Incubation queue</w:t>
            </w:r>
          </w:p>
        </w:tc>
        <w:tc>
          <w:tcPr>
            <w:tcW w:w="1342" w:type="dxa"/>
          </w:tcPr>
          <w:p w14:paraId="5CBA8F5B" w14:textId="77777777" w:rsidR="003B6019" w:rsidRPr="008C54A5" w:rsidRDefault="003B6019" w:rsidP="001B6FFA">
            <w:pPr>
              <w:pStyle w:val="Tabletext"/>
              <w:spacing w:before="20" w:after="20"/>
              <w:rPr>
                <w:color w:val="000000" w:themeColor="text1"/>
                <w:sz w:val="18"/>
                <w:szCs w:val="18"/>
                <w:highlight w:val="yellow"/>
              </w:rPr>
            </w:pPr>
          </w:p>
        </w:tc>
      </w:tr>
      <w:tr w:rsidR="003B6019" w:rsidRPr="008C54A5" w14:paraId="4C022CB6" w14:textId="77777777" w:rsidTr="00407A24">
        <w:tc>
          <w:tcPr>
            <w:tcW w:w="891" w:type="dxa"/>
          </w:tcPr>
          <w:p w14:paraId="1DA277F6" w14:textId="77777777" w:rsidR="003B6019" w:rsidRPr="008C54A5" w:rsidRDefault="001109F9" w:rsidP="001B6FFA">
            <w:pPr>
              <w:pStyle w:val="Tabletext"/>
              <w:spacing w:before="20" w:after="20"/>
              <w:rPr>
                <w:color w:val="000000" w:themeColor="text1"/>
                <w:sz w:val="18"/>
                <w:szCs w:val="18"/>
                <w:highlight w:val="yellow"/>
              </w:rPr>
            </w:pPr>
            <w:hyperlink r:id="rId52" w:history="1">
              <w:r w:rsidR="003B6019" w:rsidRPr="008C54A5">
                <w:rPr>
                  <w:rStyle w:val="Hyperlink"/>
                  <w:sz w:val="18"/>
                  <w:szCs w:val="18"/>
                  <w:highlight w:val="yellow"/>
                </w:rPr>
                <w:t>C544</w:t>
              </w:r>
            </w:hyperlink>
          </w:p>
        </w:tc>
        <w:tc>
          <w:tcPr>
            <w:tcW w:w="2236" w:type="dxa"/>
          </w:tcPr>
          <w:p w14:paraId="7CE0DCEC" w14:textId="77777777" w:rsidR="003B6019" w:rsidRPr="008C54A5" w:rsidRDefault="003B6019" w:rsidP="001B6FFA">
            <w:pPr>
              <w:pStyle w:val="Tabletext"/>
              <w:spacing w:before="20" w:after="20"/>
              <w:rPr>
                <w:sz w:val="18"/>
                <w:szCs w:val="18"/>
                <w:highlight w:val="yellow"/>
                <w:lang w:eastAsia="zh-CN"/>
              </w:rPr>
            </w:pPr>
            <w:r w:rsidRPr="008C54A5">
              <w:rPr>
                <w:sz w:val="18"/>
                <w:szCs w:val="18"/>
                <w:highlight w:val="yellow"/>
                <w:lang w:eastAsia="zh-CN"/>
              </w:rPr>
              <w:t>Proposal for new work item X.gpmr: Guidelines and security measures for prevention and mitigation of ransomware</w:t>
            </w:r>
          </w:p>
        </w:tc>
        <w:tc>
          <w:tcPr>
            <w:tcW w:w="1697" w:type="dxa"/>
          </w:tcPr>
          <w:p w14:paraId="598851A7" w14:textId="489F9E42" w:rsidR="003B6019" w:rsidRPr="008C54A5" w:rsidRDefault="003B6019" w:rsidP="001B6FFA">
            <w:pPr>
              <w:pStyle w:val="Tabletext"/>
              <w:spacing w:before="20" w:after="20"/>
              <w:rPr>
                <w:color w:val="000000" w:themeColor="text1"/>
                <w:sz w:val="18"/>
                <w:szCs w:val="18"/>
                <w:highlight w:val="yellow"/>
                <w:shd w:val="clear" w:color="auto" w:fill="FFFFFF"/>
              </w:rPr>
            </w:pPr>
            <w:r w:rsidRPr="008C54A5">
              <w:rPr>
                <w:color w:val="000000" w:themeColor="text1"/>
                <w:sz w:val="18"/>
                <w:szCs w:val="18"/>
                <w:highlight w:val="yellow"/>
                <w:shd w:val="clear" w:color="auto" w:fill="FFFFFF"/>
              </w:rPr>
              <w:t>China Mobile Communications Co. Ltd., China Unicom, M</w:t>
            </w:r>
            <w:r w:rsidR="00D72D06">
              <w:rPr>
                <w:color w:val="000000" w:themeColor="text1"/>
                <w:sz w:val="18"/>
                <w:szCs w:val="18"/>
                <w:highlight w:val="yellow"/>
                <w:shd w:val="clear" w:color="auto" w:fill="FFFFFF"/>
              </w:rPr>
              <w:t>IIT</w:t>
            </w:r>
            <w:r w:rsidRPr="008C54A5">
              <w:rPr>
                <w:color w:val="000000" w:themeColor="text1"/>
                <w:sz w:val="18"/>
                <w:szCs w:val="18"/>
                <w:highlight w:val="yellow"/>
                <w:shd w:val="clear" w:color="auto" w:fill="FFFFFF"/>
              </w:rPr>
              <w:t xml:space="preserve"> (China)</w:t>
            </w:r>
          </w:p>
        </w:tc>
        <w:tc>
          <w:tcPr>
            <w:tcW w:w="1041" w:type="dxa"/>
          </w:tcPr>
          <w:p w14:paraId="5DB160B0"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Q7</w:t>
            </w:r>
          </w:p>
        </w:tc>
        <w:tc>
          <w:tcPr>
            <w:tcW w:w="568" w:type="dxa"/>
          </w:tcPr>
          <w:p w14:paraId="78D724CA"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70AB45F4"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75A7831F"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X</w:t>
            </w:r>
          </w:p>
        </w:tc>
        <w:tc>
          <w:tcPr>
            <w:tcW w:w="568" w:type="dxa"/>
          </w:tcPr>
          <w:p w14:paraId="365E223D"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5454603E" w14:textId="77777777" w:rsidR="003B6019" w:rsidRPr="008C54A5" w:rsidRDefault="003B6019" w:rsidP="001B6FFA">
            <w:pPr>
              <w:pStyle w:val="Tabletext"/>
              <w:spacing w:before="20" w:after="20"/>
              <w:jc w:val="center"/>
              <w:rPr>
                <w:color w:val="000000" w:themeColor="text1"/>
                <w:sz w:val="18"/>
                <w:szCs w:val="18"/>
                <w:highlight w:val="yellow"/>
              </w:rPr>
            </w:pPr>
          </w:p>
        </w:tc>
        <w:tc>
          <w:tcPr>
            <w:tcW w:w="590" w:type="dxa"/>
          </w:tcPr>
          <w:p w14:paraId="43FCFB72"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5B4724D8"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Y</w:t>
            </w:r>
          </w:p>
        </w:tc>
        <w:tc>
          <w:tcPr>
            <w:tcW w:w="3254" w:type="dxa"/>
          </w:tcPr>
          <w:p w14:paraId="535D69E7" w14:textId="77777777" w:rsidR="003B6019" w:rsidRPr="008C54A5" w:rsidRDefault="003B6019" w:rsidP="001B6FFA">
            <w:pPr>
              <w:pStyle w:val="Tabletext"/>
              <w:spacing w:before="20" w:after="20"/>
              <w:rPr>
                <w:color w:val="000000" w:themeColor="text1"/>
                <w:sz w:val="18"/>
                <w:szCs w:val="18"/>
                <w:highlight w:val="yellow"/>
              </w:rPr>
            </w:pPr>
            <w:r w:rsidRPr="008C54A5">
              <w:rPr>
                <w:color w:val="000000" w:themeColor="text1"/>
                <w:sz w:val="18"/>
                <w:szCs w:val="18"/>
                <w:highlight w:val="yellow"/>
              </w:rPr>
              <w:t>The semantic of this proposal is not for Q7 but for Q4. Proposal to redispatch this proposal to Q4.</w:t>
            </w:r>
          </w:p>
        </w:tc>
        <w:tc>
          <w:tcPr>
            <w:tcW w:w="1342" w:type="dxa"/>
          </w:tcPr>
          <w:p w14:paraId="41B4B14A" w14:textId="77777777" w:rsidR="003B6019" w:rsidRPr="008C54A5" w:rsidRDefault="003B6019" w:rsidP="001B6FFA">
            <w:pPr>
              <w:pStyle w:val="Tabletext"/>
              <w:spacing w:before="20" w:after="20"/>
              <w:rPr>
                <w:color w:val="000000" w:themeColor="text1"/>
                <w:sz w:val="18"/>
                <w:szCs w:val="18"/>
                <w:highlight w:val="yellow"/>
              </w:rPr>
            </w:pPr>
          </w:p>
        </w:tc>
      </w:tr>
      <w:tr w:rsidR="003B6019" w:rsidRPr="008C54A5" w14:paraId="6DE339B2" w14:textId="77777777" w:rsidTr="00407A24">
        <w:tc>
          <w:tcPr>
            <w:tcW w:w="891" w:type="dxa"/>
          </w:tcPr>
          <w:p w14:paraId="0A7A313D" w14:textId="77777777" w:rsidR="003B6019" w:rsidRPr="008C54A5" w:rsidRDefault="001109F9" w:rsidP="001B6FFA">
            <w:pPr>
              <w:pStyle w:val="Tabletext"/>
              <w:spacing w:before="20" w:after="20"/>
              <w:rPr>
                <w:color w:val="000000" w:themeColor="text1"/>
                <w:sz w:val="18"/>
                <w:szCs w:val="18"/>
                <w:highlight w:val="yellow"/>
              </w:rPr>
            </w:pPr>
            <w:hyperlink r:id="rId53" w:history="1">
              <w:r w:rsidR="003B6019" w:rsidRPr="008C54A5">
                <w:rPr>
                  <w:rStyle w:val="Hyperlink"/>
                  <w:sz w:val="18"/>
                  <w:szCs w:val="18"/>
                  <w:highlight w:val="yellow"/>
                </w:rPr>
                <w:t>C545</w:t>
              </w:r>
            </w:hyperlink>
          </w:p>
        </w:tc>
        <w:tc>
          <w:tcPr>
            <w:tcW w:w="2236" w:type="dxa"/>
          </w:tcPr>
          <w:p w14:paraId="0CBFB2F3" w14:textId="77777777" w:rsidR="003B6019" w:rsidRPr="008C54A5" w:rsidRDefault="003B6019" w:rsidP="001B6FFA">
            <w:pPr>
              <w:pStyle w:val="Tabletext"/>
              <w:spacing w:before="20" w:after="20"/>
              <w:rPr>
                <w:sz w:val="18"/>
                <w:szCs w:val="18"/>
                <w:highlight w:val="yellow"/>
                <w:lang w:eastAsia="zh-CN"/>
              </w:rPr>
            </w:pPr>
            <w:r w:rsidRPr="008C54A5">
              <w:rPr>
                <w:sz w:val="18"/>
                <w:szCs w:val="18"/>
                <w:highlight w:val="yellow"/>
                <w:lang w:eastAsia="zh-CN"/>
              </w:rPr>
              <w:t>Proposal for new work item X.sr-da: Security threats and requirements for data annotation service of artificial intelligence</w:t>
            </w:r>
          </w:p>
        </w:tc>
        <w:tc>
          <w:tcPr>
            <w:tcW w:w="1697" w:type="dxa"/>
          </w:tcPr>
          <w:p w14:paraId="3140DA30" w14:textId="2E87246B" w:rsidR="003B6019" w:rsidRPr="008C54A5" w:rsidRDefault="003B6019" w:rsidP="001B6FFA">
            <w:pPr>
              <w:pStyle w:val="Tabletext"/>
              <w:spacing w:before="20" w:after="20"/>
              <w:rPr>
                <w:color w:val="000000" w:themeColor="text1"/>
                <w:sz w:val="18"/>
                <w:szCs w:val="18"/>
                <w:highlight w:val="yellow"/>
                <w:shd w:val="clear" w:color="auto" w:fill="FFFFFF"/>
              </w:rPr>
            </w:pPr>
            <w:r w:rsidRPr="00BA74D0">
              <w:rPr>
                <w:color w:val="000000" w:themeColor="text1"/>
                <w:sz w:val="18"/>
                <w:szCs w:val="18"/>
                <w:highlight w:val="yellow"/>
                <w:shd w:val="clear" w:color="auto" w:fill="FFFFFF"/>
                <w:lang w:val="it-IT"/>
              </w:rPr>
              <w:t>China Unicom, M</w:t>
            </w:r>
            <w:r w:rsidR="00D72D06" w:rsidRPr="00BA74D0">
              <w:rPr>
                <w:color w:val="000000" w:themeColor="text1"/>
                <w:sz w:val="18"/>
                <w:szCs w:val="18"/>
                <w:highlight w:val="yellow"/>
                <w:shd w:val="clear" w:color="auto" w:fill="FFFFFF"/>
                <w:lang w:val="it-IT"/>
              </w:rPr>
              <w:t>IIT</w:t>
            </w:r>
            <w:r w:rsidRPr="00BA74D0">
              <w:rPr>
                <w:color w:val="000000" w:themeColor="text1"/>
                <w:sz w:val="18"/>
                <w:szCs w:val="18"/>
                <w:highlight w:val="yellow"/>
                <w:shd w:val="clear" w:color="auto" w:fill="FFFFFF"/>
                <w:lang w:val="it-IT"/>
              </w:rPr>
              <w:t xml:space="preserve">, Vivo Mobile Communication Co., Ltd. </w:t>
            </w:r>
            <w:r w:rsidRPr="008C54A5">
              <w:rPr>
                <w:color w:val="000000" w:themeColor="text1"/>
                <w:sz w:val="18"/>
                <w:szCs w:val="18"/>
                <w:highlight w:val="yellow"/>
                <w:shd w:val="clear" w:color="auto" w:fill="FFFFFF"/>
              </w:rPr>
              <w:t>(China)</w:t>
            </w:r>
          </w:p>
        </w:tc>
        <w:tc>
          <w:tcPr>
            <w:tcW w:w="1041" w:type="dxa"/>
          </w:tcPr>
          <w:p w14:paraId="1FFF28F9"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Q7</w:t>
            </w:r>
          </w:p>
        </w:tc>
        <w:tc>
          <w:tcPr>
            <w:tcW w:w="568" w:type="dxa"/>
          </w:tcPr>
          <w:p w14:paraId="1AD3A184"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X</w:t>
            </w:r>
          </w:p>
        </w:tc>
        <w:tc>
          <w:tcPr>
            <w:tcW w:w="568" w:type="dxa"/>
          </w:tcPr>
          <w:p w14:paraId="43E7FC40"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35C4FF0A"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6178E9AA"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76A90016"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X</w:t>
            </w:r>
          </w:p>
        </w:tc>
        <w:tc>
          <w:tcPr>
            <w:tcW w:w="590" w:type="dxa"/>
          </w:tcPr>
          <w:p w14:paraId="4C754A52" w14:textId="77777777" w:rsidR="003B6019" w:rsidRPr="008C54A5" w:rsidRDefault="003B6019" w:rsidP="001B6FFA">
            <w:pPr>
              <w:pStyle w:val="Tabletext"/>
              <w:spacing w:before="20" w:after="20"/>
              <w:jc w:val="center"/>
              <w:rPr>
                <w:color w:val="000000" w:themeColor="text1"/>
                <w:sz w:val="18"/>
                <w:szCs w:val="18"/>
                <w:highlight w:val="yellow"/>
              </w:rPr>
            </w:pPr>
          </w:p>
        </w:tc>
        <w:tc>
          <w:tcPr>
            <w:tcW w:w="568" w:type="dxa"/>
          </w:tcPr>
          <w:p w14:paraId="4AB10F38" w14:textId="77777777" w:rsidR="003B6019" w:rsidRPr="008C54A5" w:rsidRDefault="003B6019" w:rsidP="001B6FFA">
            <w:pPr>
              <w:pStyle w:val="Tabletext"/>
              <w:spacing w:before="20" w:after="20"/>
              <w:jc w:val="center"/>
              <w:rPr>
                <w:color w:val="000000" w:themeColor="text1"/>
                <w:sz w:val="18"/>
                <w:szCs w:val="18"/>
                <w:highlight w:val="yellow"/>
              </w:rPr>
            </w:pPr>
            <w:r w:rsidRPr="008C54A5">
              <w:rPr>
                <w:color w:val="000000" w:themeColor="text1"/>
                <w:sz w:val="18"/>
                <w:szCs w:val="18"/>
                <w:highlight w:val="yellow"/>
              </w:rPr>
              <w:t>Y</w:t>
            </w:r>
          </w:p>
        </w:tc>
        <w:tc>
          <w:tcPr>
            <w:tcW w:w="3254" w:type="dxa"/>
          </w:tcPr>
          <w:p w14:paraId="05A1B29C" w14:textId="118CD991" w:rsidR="003B6019" w:rsidRPr="008C54A5" w:rsidRDefault="003B6019" w:rsidP="001B6FFA">
            <w:pPr>
              <w:pStyle w:val="Tabletext"/>
              <w:spacing w:before="20" w:after="20"/>
              <w:rPr>
                <w:color w:val="000000" w:themeColor="text1"/>
                <w:sz w:val="18"/>
                <w:szCs w:val="18"/>
              </w:rPr>
            </w:pPr>
            <w:r w:rsidRPr="008C54A5">
              <w:rPr>
                <w:color w:val="000000" w:themeColor="text1"/>
                <w:sz w:val="18"/>
                <w:szCs w:val="18"/>
                <w:highlight w:val="yellow"/>
              </w:rPr>
              <w:t>This proposal is both innovative and relates strongly to X.sr-ai which is in the incubation queue. Proposal to re</w:t>
            </w:r>
            <w:r w:rsidR="008C54A5">
              <w:rPr>
                <w:color w:val="000000" w:themeColor="text1"/>
                <w:sz w:val="18"/>
                <w:szCs w:val="18"/>
                <w:highlight w:val="yellow"/>
              </w:rPr>
              <w:t>dispatch</w:t>
            </w:r>
            <w:r w:rsidRPr="008C54A5">
              <w:rPr>
                <w:color w:val="000000" w:themeColor="text1"/>
                <w:sz w:val="18"/>
                <w:szCs w:val="18"/>
                <w:highlight w:val="yellow"/>
              </w:rPr>
              <w:t xml:space="preserve"> this one in the incubation queue.</w:t>
            </w:r>
          </w:p>
        </w:tc>
        <w:tc>
          <w:tcPr>
            <w:tcW w:w="1342" w:type="dxa"/>
          </w:tcPr>
          <w:p w14:paraId="274DC74A" w14:textId="77777777" w:rsidR="003B6019" w:rsidRPr="008C54A5" w:rsidRDefault="003B6019" w:rsidP="001B6FFA">
            <w:pPr>
              <w:pStyle w:val="Tabletext"/>
              <w:spacing w:before="20" w:after="20"/>
              <w:rPr>
                <w:color w:val="000000" w:themeColor="text1"/>
                <w:sz w:val="18"/>
                <w:szCs w:val="18"/>
              </w:rPr>
            </w:pPr>
          </w:p>
        </w:tc>
      </w:tr>
    </w:tbl>
    <w:p w14:paraId="41295D5F" w14:textId="77777777" w:rsidR="003B6019" w:rsidRPr="008C54A5" w:rsidRDefault="003B6019" w:rsidP="003B6019"/>
    <w:p w14:paraId="6AEFDB27" w14:textId="77777777" w:rsidR="003B6019" w:rsidRPr="008C54A5" w:rsidRDefault="003B6019" w:rsidP="003B6019">
      <w:pPr>
        <w:sectPr w:rsidR="003B6019" w:rsidRPr="008C54A5" w:rsidSect="001B6FFA">
          <w:footerReference w:type="even" r:id="rId54"/>
          <w:footerReference w:type="default" r:id="rId55"/>
          <w:pgSz w:w="16838" w:h="11901" w:orient="landscape" w:code="9"/>
          <w:pgMar w:top="1134" w:right="1134" w:bottom="1134" w:left="1134" w:header="567" w:footer="567" w:gutter="0"/>
          <w:cols w:space="720"/>
          <w:docGrid w:linePitch="360"/>
        </w:sectPr>
      </w:pPr>
      <w:bookmarkStart w:id="156" w:name="_Hlk98856042"/>
    </w:p>
    <w:p w14:paraId="0EB7589D" w14:textId="1935E0AD" w:rsidR="003B6019" w:rsidRPr="008C54A5" w:rsidRDefault="003B6019" w:rsidP="003B6019">
      <w:pPr>
        <w:pStyle w:val="AnnexNoTitle0"/>
        <w:spacing w:before="0"/>
      </w:pPr>
      <w:bookmarkStart w:id="157" w:name="_Toc167434364"/>
      <w:bookmarkStart w:id="158" w:name="_Toc172128674"/>
      <w:bookmarkStart w:id="159" w:name="_Toc172128779"/>
      <w:r w:rsidRPr="008C54A5">
        <w:t xml:space="preserve">Annex </w:t>
      </w:r>
      <w:r w:rsidR="004D30ED">
        <w:t>C</w:t>
      </w:r>
      <w:r w:rsidR="0002770A" w:rsidRPr="0002770A">
        <w:t xml:space="preserve"> </w:t>
      </w:r>
      <w:r w:rsidR="0002770A">
        <w:t>to Appendix II</w:t>
      </w:r>
      <w:r w:rsidRPr="008C54A5">
        <w:br/>
      </w:r>
      <w:r w:rsidRPr="008C54A5">
        <w:br/>
        <w:t xml:space="preserve">Status of </w:t>
      </w:r>
      <w:r w:rsidR="00C80BA8">
        <w:t>i</w:t>
      </w:r>
      <w:r w:rsidRPr="008C54A5">
        <w:t xml:space="preserve">ncubation </w:t>
      </w:r>
      <w:r w:rsidR="00C80BA8">
        <w:t>q</w:t>
      </w:r>
      <w:r w:rsidRPr="008C54A5">
        <w:t>ueue</w:t>
      </w:r>
      <w:bookmarkEnd w:id="157"/>
      <w:bookmarkEnd w:id="158"/>
      <w:bookmarkEnd w:id="159"/>
    </w:p>
    <w:p w14:paraId="69DD1CBE" w14:textId="5322A468" w:rsidR="003B6019" w:rsidRPr="008C54A5" w:rsidRDefault="003B6019" w:rsidP="003B6019">
      <w:pPr>
        <w:pStyle w:val="Headingb"/>
      </w:pPr>
      <w:r w:rsidRPr="008C54A5">
        <w:t xml:space="preserve">Status of the </w:t>
      </w:r>
      <w:r w:rsidR="00D16F37">
        <w:t>i</w:t>
      </w:r>
      <w:r w:rsidRPr="008C54A5">
        <w:t xml:space="preserve">ncubation </w:t>
      </w:r>
      <w:r w:rsidR="00D16F37">
        <w:t>q</w:t>
      </w:r>
      <w:r w:rsidRPr="008C54A5">
        <w:t>ueue</w:t>
      </w:r>
    </w:p>
    <w:p w14:paraId="62A4944A" w14:textId="3D9610D9" w:rsidR="003B6019" w:rsidRPr="008C54A5" w:rsidRDefault="003B6019" w:rsidP="003B6019">
      <w:r w:rsidRPr="008C54A5">
        <w:t xml:space="preserve">The incubation queue contains </w:t>
      </w:r>
      <w:r w:rsidRPr="008C54A5">
        <w:rPr>
          <w:highlight w:val="yellow"/>
        </w:rPr>
        <w:t>12</w:t>
      </w:r>
      <w:r w:rsidRPr="008C54A5">
        <w:t xml:space="preserve"> work items under development per section </w:t>
      </w:r>
      <w:r w:rsidRPr="00163081">
        <w:rPr>
          <w:highlight w:val="yellow"/>
        </w:rPr>
        <w:t xml:space="preserve">7.5 of </w:t>
      </w:r>
      <w:hyperlink r:id="rId56" w:history="1">
        <w:r w:rsidRPr="008C54A5">
          <w:rPr>
            <w:rStyle w:val="Hyperlink"/>
            <w:highlight w:val="yellow"/>
          </w:rPr>
          <w:t>TD1146</w:t>
        </w:r>
      </w:hyperlink>
      <w:r w:rsidR="004D30ED">
        <w:t>;</w:t>
      </w:r>
      <w:r w:rsidRPr="008C54A5">
        <w:t xml:space="preserve"> </w:t>
      </w:r>
      <w:r w:rsidR="004D30ED">
        <w:t>s</w:t>
      </w:r>
      <w:r w:rsidRPr="008C54A5">
        <w:t xml:space="preserve">ee </w:t>
      </w:r>
      <w:r w:rsidR="00B83FBE">
        <w:t>T</w:t>
      </w:r>
      <w:r w:rsidRPr="008C54A5">
        <w:t>able</w:t>
      </w:r>
      <w:r w:rsidR="00B83FBE">
        <w:t xml:space="preserve"> </w:t>
      </w:r>
      <w:r w:rsidR="004D30ED">
        <w:t>C.1</w:t>
      </w:r>
      <w:r w:rsidR="005D5902">
        <w:t>.</w:t>
      </w:r>
    </w:p>
    <w:p w14:paraId="5ED9D0F8" w14:textId="105FAF5C" w:rsidR="003B6019" w:rsidRPr="008C54A5" w:rsidRDefault="007379DA" w:rsidP="00407A24">
      <w:pPr>
        <w:pStyle w:val="TableNoTitle0"/>
      </w:pPr>
      <w:r>
        <w:t xml:space="preserve">Table </w:t>
      </w:r>
      <w:r w:rsidR="004D30ED">
        <w:t>C.1</w:t>
      </w:r>
      <w:r>
        <w:t xml:space="preserve"> – Status of the incubation queue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789"/>
        <w:gridCol w:w="6403"/>
      </w:tblGrid>
      <w:tr w:rsidR="003B6019" w:rsidRPr="009747A5" w14:paraId="364472D8" w14:textId="77777777" w:rsidTr="009747A5">
        <w:trPr>
          <w:jc w:val="center"/>
        </w:trPr>
        <w:tc>
          <w:tcPr>
            <w:tcW w:w="1438" w:type="dxa"/>
            <w:shd w:val="clear" w:color="auto" w:fill="auto"/>
          </w:tcPr>
          <w:p w14:paraId="65329E1F" w14:textId="77777777" w:rsidR="003B6019" w:rsidRPr="009747A5" w:rsidRDefault="003B6019" w:rsidP="009747A5">
            <w:pPr>
              <w:pStyle w:val="Tablehead"/>
              <w:rPr>
                <w:sz w:val="20"/>
                <w:highlight w:val="yellow"/>
              </w:rPr>
            </w:pPr>
            <w:r w:rsidRPr="009747A5">
              <w:rPr>
                <w:sz w:val="20"/>
                <w:highlight w:val="yellow"/>
              </w:rPr>
              <w:t>TD</w:t>
            </w:r>
          </w:p>
        </w:tc>
        <w:tc>
          <w:tcPr>
            <w:tcW w:w="1790" w:type="dxa"/>
            <w:shd w:val="clear" w:color="auto" w:fill="auto"/>
          </w:tcPr>
          <w:p w14:paraId="61E8F7E8" w14:textId="77777777" w:rsidR="003B6019" w:rsidRPr="009747A5" w:rsidRDefault="003B6019" w:rsidP="009747A5">
            <w:pPr>
              <w:pStyle w:val="Tablehead"/>
              <w:rPr>
                <w:sz w:val="20"/>
                <w:highlight w:val="yellow"/>
              </w:rPr>
            </w:pPr>
            <w:r w:rsidRPr="009747A5">
              <w:rPr>
                <w:sz w:val="20"/>
                <w:highlight w:val="yellow"/>
              </w:rPr>
              <w:t>Work Item</w:t>
            </w:r>
          </w:p>
        </w:tc>
        <w:tc>
          <w:tcPr>
            <w:tcW w:w="6411" w:type="dxa"/>
            <w:shd w:val="clear" w:color="auto" w:fill="auto"/>
          </w:tcPr>
          <w:p w14:paraId="417B67A8" w14:textId="77777777" w:rsidR="003B6019" w:rsidRPr="009747A5" w:rsidRDefault="003B6019" w:rsidP="009747A5">
            <w:pPr>
              <w:pStyle w:val="Tablehead"/>
              <w:rPr>
                <w:sz w:val="20"/>
                <w:highlight w:val="yellow"/>
              </w:rPr>
            </w:pPr>
            <w:r w:rsidRPr="009747A5">
              <w:rPr>
                <w:sz w:val="20"/>
                <w:highlight w:val="yellow"/>
              </w:rPr>
              <w:t>Title</w:t>
            </w:r>
          </w:p>
        </w:tc>
      </w:tr>
      <w:tr w:rsidR="003B6019" w:rsidRPr="009747A5" w14:paraId="6196AE4B" w14:textId="77777777" w:rsidTr="009747A5">
        <w:trPr>
          <w:jc w:val="center"/>
        </w:trPr>
        <w:tc>
          <w:tcPr>
            <w:tcW w:w="1438" w:type="dxa"/>
            <w:shd w:val="clear" w:color="auto" w:fill="auto"/>
          </w:tcPr>
          <w:p w14:paraId="7AF6A800" w14:textId="43540991" w:rsidR="003B6019" w:rsidRPr="009747A5" w:rsidRDefault="001109F9" w:rsidP="009747A5">
            <w:pPr>
              <w:pStyle w:val="Tabletext"/>
              <w:rPr>
                <w:rStyle w:val="Hyperlink"/>
                <w:sz w:val="20"/>
                <w:highlight w:val="yellow"/>
              </w:rPr>
            </w:pPr>
            <w:hyperlink r:id="rId57" w:history="1">
              <w:r w:rsidR="003B6019" w:rsidRPr="009747A5">
                <w:rPr>
                  <w:rStyle w:val="Hyperlink"/>
                  <w:sz w:val="20"/>
                  <w:highlight w:val="yellow"/>
                </w:rPr>
                <w:t>[990-PLEN]</w:t>
              </w:r>
            </w:hyperlink>
            <w:r w:rsidR="003B6019" w:rsidRPr="009747A5">
              <w:rPr>
                <w:sz w:val="20"/>
                <w:highlight w:val="yellow"/>
              </w:rPr>
              <w:t>(Rev.1)</w:t>
            </w:r>
          </w:p>
        </w:tc>
        <w:tc>
          <w:tcPr>
            <w:tcW w:w="1790" w:type="dxa"/>
            <w:shd w:val="clear" w:color="auto" w:fill="auto"/>
          </w:tcPr>
          <w:p w14:paraId="6397F88A" w14:textId="77777777" w:rsidR="003B6019" w:rsidRPr="009747A5" w:rsidRDefault="003B6019" w:rsidP="009747A5">
            <w:pPr>
              <w:pStyle w:val="Tabletext"/>
              <w:rPr>
                <w:sz w:val="20"/>
                <w:highlight w:val="yellow"/>
              </w:rPr>
            </w:pPr>
            <w:r w:rsidRPr="009747A5">
              <w:rPr>
                <w:sz w:val="20"/>
                <w:highlight w:val="yellow"/>
              </w:rPr>
              <w:t>X.icd-schemas</w:t>
            </w:r>
          </w:p>
        </w:tc>
        <w:tc>
          <w:tcPr>
            <w:tcW w:w="6411" w:type="dxa"/>
            <w:shd w:val="clear" w:color="auto" w:fill="auto"/>
          </w:tcPr>
          <w:p w14:paraId="5826BFBE" w14:textId="27DD90F9" w:rsidR="003B6019" w:rsidRPr="009747A5" w:rsidRDefault="003B6019" w:rsidP="009747A5">
            <w:pPr>
              <w:pStyle w:val="Tabletext"/>
              <w:rPr>
                <w:sz w:val="20"/>
                <w:highlight w:val="yellow"/>
              </w:rPr>
            </w:pPr>
            <w:r w:rsidRPr="009747A5">
              <w:rPr>
                <w:sz w:val="20"/>
                <w:highlight w:val="yellow"/>
              </w:rPr>
              <w:t xml:space="preserve">Vendor agnostic security </w:t>
            </w:r>
            <w:r w:rsidR="00456F02" w:rsidRPr="009747A5">
              <w:rPr>
                <w:sz w:val="20"/>
                <w:highlight w:val="yellow"/>
              </w:rPr>
              <w:t>d</w:t>
            </w:r>
            <w:r w:rsidRPr="009747A5">
              <w:rPr>
                <w:sz w:val="20"/>
                <w:highlight w:val="yellow"/>
              </w:rPr>
              <w:t xml:space="preserve">ata </w:t>
            </w:r>
            <w:r w:rsidR="00024DF3" w:rsidRPr="009747A5">
              <w:rPr>
                <w:sz w:val="20"/>
                <w:highlight w:val="yellow"/>
              </w:rPr>
              <w:t>schemas</w:t>
            </w:r>
            <w:r w:rsidRPr="009747A5">
              <w:rPr>
                <w:sz w:val="20"/>
                <w:highlight w:val="yellow"/>
              </w:rPr>
              <w:t xml:space="preserve"> for </w:t>
            </w:r>
            <w:r w:rsidR="00456F02" w:rsidRPr="009747A5">
              <w:rPr>
                <w:sz w:val="20"/>
                <w:highlight w:val="yellow"/>
              </w:rPr>
              <w:t>i</w:t>
            </w:r>
            <w:r w:rsidRPr="009747A5">
              <w:rPr>
                <w:sz w:val="20"/>
                <w:highlight w:val="yellow"/>
              </w:rPr>
              <w:t xml:space="preserve">ntegrated </w:t>
            </w:r>
            <w:r w:rsidR="00456F02" w:rsidRPr="009747A5">
              <w:rPr>
                <w:sz w:val="20"/>
                <w:highlight w:val="yellow"/>
              </w:rPr>
              <w:t>c</w:t>
            </w:r>
            <w:r w:rsidRPr="009747A5">
              <w:rPr>
                <w:sz w:val="20"/>
                <w:highlight w:val="yellow"/>
              </w:rPr>
              <w:t xml:space="preserve">yber </w:t>
            </w:r>
            <w:r w:rsidR="00456F02" w:rsidRPr="009747A5">
              <w:rPr>
                <w:sz w:val="20"/>
                <w:highlight w:val="yellow"/>
              </w:rPr>
              <w:t>d</w:t>
            </w:r>
            <w:r w:rsidRPr="009747A5">
              <w:rPr>
                <w:sz w:val="20"/>
                <w:highlight w:val="yellow"/>
              </w:rPr>
              <w:t xml:space="preserve">efence </w:t>
            </w:r>
            <w:r w:rsidR="00456F02" w:rsidRPr="009747A5">
              <w:rPr>
                <w:sz w:val="20"/>
                <w:highlight w:val="yellow"/>
              </w:rPr>
              <w:t>s</w:t>
            </w:r>
            <w:r w:rsidRPr="009747A5">
              <w:rPr>
                <w:sz w:val="20"/>
                <w:highlight w:val="yellow"/>
              </w:rPr>
              <w:t>olutions</w:t>
            </w:r>
          </w:p>
        </w:tc>
      </w:tr>
      <w:tr w:rsidR="003B6019" w:rsidRPr="009747A5" w14:paraId="3435BADB" w14:textId="77777777" w:rsidTr="009747A5">
        <w:trPr>
          <w:jc w:val="center"/>
        </w:trPr>
        <w:tc>
          <w:tcPr>
            <w:tcW w:w="1438" w:type="dxa"/>
            <w:shd w:val="clear" w:color="auto" w:fill="auto"/>
          </w:tcPr>
          <w:p w14:paraId="6CA95E04" w14:textId="18D69EE3" w:rsidR="003B6019" w:rsidRPr="009747A5" w:rsidRDefault="001109F9" w:rsidP="009747A5">
            <w:pPr>
              <w:pStyle w:val="Tabletext"/>
              <w:rPr>
                <w:rFonts w:eastAsia="Malgun Gothic"/>
                <w:sz w:val="20"/>
                <w:highlight w:val="yellow"/>
                <w:lang w:eastAsia="ko-KR"/>
              </w:rPr>
            </w:pPr>
            <w:hyperlink r:id="rId58" w:history="1">
              <w:r w:rsidR="003B6019" w:rsidRPr="009747A5">
                <w:rPr>
                  <w:rStyle w:val="link-annotation-unknown-block-id-169440727"/>
                  <w:color w:val="0000FF"/>
                  <w:sz w:val="20"/>
                  <w:highlight w:val="yellow"/>
                  <w:u w:val="single"/>
                </w:rPr>
                <w:t>[1405-PLEN]</w:t>
              </w:r>
            </w:hyperlink>
          </w:p>
        </w:tc>
        <w:tc>
          <w:tcPr>
            <w:tcW w:w="1790" w:type="dxa"/>
            <w:shd w:val="clear" w:color="auto" w:fill="auto"/>
          </w:tcPr>
          <w:p w14:paraId="3888B970" w14:textId="77777777" w:rsidR="003B6019" w:rsidRPr="009747A5" w:rsidRDefault="003B6019" w:rsidP="009747A5">
            <w:pPr>
              <w:pStyle w:val="Tabletext"/>
              <w:rPr>
                <w:rFonts w:eastAsia="Malgun Gothic"/>
                <w:sz w:val="20"/>
                <w:highlight w:val="yellow"/>
                <w:lang w:eastAsia="ko-KR"/>
              </w:rPr>
            </w:pPr>
            <w:r w:rsidRPr="009747A5">
              <w:rPr>
                <w:sz w:val="20"/>
                <w:highlight w:val="yellow"/>
              </w:rPr>
              <w:t>X.secadef</w:t>
            </w:r>
          </w:p>
        </w:tc>
        <w:tc>
          <w:tcPr>
            <w:tcW w:w="6411" w:type="dxa"/>
            <w:shd w:val="clear" w:color="auto" w:fill="auto"/>
          </w:tcPr>
          <w:p w14:paraId="703ECC6F" w14:textId="77777777" w:rsidR="003B6019" w:rsidRPr="009747A5" w:rsidRDefault="003B6019" w:rsidP="009747A5">
            <w:pPr>
              <w:pStyle w:val="Tabletext"/>
              <w:rPr>
                <w:color w:val="000000" w:themeColor="text1"/>
                <w:sz w:val="20"/>
                <w:highlight w:val="yellow"/>
              </w:rPr>
            </w:pPr>
            <w:r w:rsidRPr="009747A5">
              <w:rPr>
                <w:sz w:val="20"/>
                <w:highlight w:val="yellow"/>
              </w:rPr>
              <w:t>Security capabilities definitions</w:t>
            </w:r>
          </w:p>
        </w:tc>
      </w:tr>
      <w:tr w:rsidR="003B6019" w:rsidRPr="009747A5" w14:paraId="5E0C933C" w14:textId="77777777" w:rsidTr="009747A5">
        <w:trPr>
          <w:jc w:val="center"/>
        </w:trPr>
        <w:tc>
          <w:tcPr>
            <w:tcW w:w="1438" w:type="dxa"/>
            <w:shd w:val="clear" w:color="auto" w:fill="auto"/>
          </w:tcPr>
          <w:p w14:paraId="0C4E3935" w14:textId="2EB12FC8" w:rsidR="003B6019" w:rsidRPr="009747A5" w:rsidRDefault="001109F9" w:rsidP="009747A5">
            <w:pPr>
              <w:pStyle w:val="Tabletext"/>
              <w:rPr>
                <w:sz w:val="20"/>
                <w:highlight w:val="yellow"/>
              </w:rPr>
            </w:pPr>
            <w:hyperlink r:id="rId59" w:history="1">
              <w:r w:rsidR="003B6019" w:rsidRPr="009747A5">
                <w:rPr>
                  <w:rStyle w:val="link-annotation-unknown-block-id-169440017"/>
                  <w:color w:val="0000FF"/>
                  <w:sz w:val="20"/>
                  <w:highlight w:val="yellow"/>
                  <w:u w:val="single"/>
                </w:rPr>
                <w:t>[1388-PLEN]</w:t>
              </w:r>
            </w:hyperlink>
            <w:r w:rsidR="003B6019" w:rsidRPr="009747A5">
              <w:rPr>
                <w:sz w:val="20"/>
                <w:highlight w:val="yellow"/>
              </w:rPr>
              <w:t> </w:t>
            </w:r>
          </w:p>
        </w:tc>
        <w:tc>
          <w:tcPr>
            <w:tcW w:w="1790" w:type="dxa"/>
            <w:shd w:val="clear" w:color="auto" w:fill="auto"/>
          </w:tcPr>
          <w:p w14:paraId="2FF54AF8" w14:textId="77777777" w:rsidR="003B6019" w:rsidRPr="009747A5" w:rsidRDefault="003B6019" w:rsidP="009747A5">
            <w:pPr>
              <w:pStyle w:val="Tabletext"/>
              <w:rPr>
                <w:rFonts w:eastAsia="Malgun Gothic"/>
                <w:sz w:val="20"/>
                <w:highlight w:val="yellow"/>
                <w:lang w:eastAsia="ko-KR"/>
              </w:rPr>
            </w:pPr>
            <w:r w:rsidRPr="009747A5">
              <w:rPr>
                <w:sz w:val="20"/>
                <w:highlight w:val="yellow"/>
              </w:rPr>
              <w:t>TR.smpa</w:t>
            </w:r>
          </w:p>
        </w:tc>
        <w:tc>
          <w:tcPr>
            <w:tcW w:w="6411" w:type="dxa"/>
            <w:shd w:val="clear" w:color="auto" w:fill="auto"/>
          </w:tcPr>
          <w:p w14:paraId="7049E614" w14:textId="77777777" w:rsidR="003B6019" w:rsidRPr="009747A5" w:rsidRDefault="003B6019" w:rsidP="009747A5">
            <w:pPr>
              <w:pStyle w:val="Tabletext"/>
              <w:rPr>
                <w:color w:val="000000" w:themeColor="text1"/>
                <w:sz w:val="20"/>
                <w:highlight w:val="yellow"/>
              </w:rPr>
            </w:pPr>
            <w:r w:rsidRPr="009747A5">
              <w:rPr>
                <w:sz w:val="20"/>
                <w:highlight w:val="yellow"/>
              </w:rPr>
              <w:t>Technical Report, Security middle platform architecture</w:t>
            </w:r>
          </w:p>
        </w:tc>
      </w:tr>
      <w:tr w:rsidR="003B6019" w:rsidRPr="009747A5" w14:paraId="1EDFDD15" w14:textId="77777777" w:rsidTr="009747A5">
        <w:trPr>
          <w:jc w:val="center"/>
        </w:trPr>
        <w:tc>
          <w:tcPr>
            <w:tcW w:w="1438" w:type="dxa"/>
            <w:shd w:val="clear" w:color="auto" w:fill="auto"/>
          </w:tcPr>
          <w:p w14:paraId="23795C4F" w14:textId="77777777" w:rsidR="003B6019" w:rsidRPr="009747A5" w:rsidRDefault="003B6019" w:rsidP="009747A5">
            <w:pPr>
              <w:pStyle w:val="Tabletext"/>
              <w:rPr>
                <w:sz w:val="20"/>
                <w:highlight w:val="yellow"/>
              </w:rPr>
            </w:pPr>
            <w:r w:rsidRPr="009747A5">
              <w:rPr>
                <w:sz w:val="20"/>
                <w:highlight w:val="yellow"/>
              </w:rPr>
              <w:t>[</w:t>
            </w:r>
            <w:hyperlink r:id="rId60" w:history="1">
              <w:r w:rsidRPr="009747A5">
                <w:rPr>
                  <w:rStyle w:val="link-annotation-unknown-block-id-169439983"/>
                  <w:color w:val="0000FF"/>
                  <w:sz w:val="20"/>
                  <w:highlight w:val="yellow"/>
                  <w:u w:val="single"/>
                </w:rPr>
                <w:t>1375-PLEN ]</w:t>
              </w:r>
            </w:hyperlink>
          </w:p>
        </w:tc>
        <w:tc>
          <w:tcPr>
            <w:tcW w:w="1790" w:type="dxa"/>
            <w:shd w:val="clear" w:color="auto" w:fill="auto"/>
          </w:tcPr>
          <w:p w14:paraId="01D711AE" w14:textId="77777777" w:rsidR="003B6019" w:rsidRPr="009747A5" w:rsidRDefault="003B6019" w:rsidP="009747A5">
            <w:pPr>
              <w:pStyle w:val="Tabletext"/>
              <w:rPr>
                <w:rFonts w:eastAsia="Malgun Gothic"/>
                <w:sz w:val="20"/>
                <w:highlight w:val="yellow"/>
                <w:lang w:eastAsia="ko-KR"/>
              </w:rPr>
            </w:pPr>
            <w:r w:rsidRPr="009747A5">
              <w:rPr>
                <w:rFonts w:eastAsia="Malgun Gothic"/>
                <w:sz w:val="20"/>
                <w:highlight w:val="yellow"/>
                <w:lang w:eastAsia="ko-KR"/>
              </w:rPr>
              <w:t>X.so-sap</w:t>
            </w:r>
          </w:p>
        </w:tc>
        <w:tc>
          <w:tcPr>
            <w:tcW w:w="6411" w:type="dxa"/>
            <w:shd w:val="clear" w:color="auto" w:fill="auto"/>
          </w:tcPr>
          <w:p w14:paraId="32CDDE8F" w14:textId="77777777" w:rsidR="003B6019" w:rsidRPr="009747A5" w:rsidRDefault="003B6019" w:rsidP="009747A5">
            <w:pPr>
              <w:pStyle w:val="Tabletext"/>
              <w:rPr>
                <w:color w:val="000000" w:themeColor="text1"/>
                <w:sz w:val="20"/>
                <w:highlight w:val="yellow"/>
              </w:rPr>
            </w:pPr>
            <w:r w:rsidRPr="009747A5">
              <w:rPr>
                <w:kern w:val="2"/>
                <w:sz w:val="20"/>
                <w:highlight w:val="yellow"/>
                <w:lang w:eastAsia="zh-CN"/>
              </w:rPr>
              <w:t>Guidelines for security orchestration of service access process</w:t>
            </w:r>
          </w:p>
        </w:tc>
      </w:tr>
      <w:tr w:rsidR="003B6019" w:rsidRPr="009747A5" w14:paraId="2A7A4994" w14:textId="77777777" w:rsidTr="009747A5">
        <w:trPr>
          <w:jc w:val="center"/>
        </w:trPr>
        <w:tc>
          <w:tcPr>
            <w:tcW w:w="1438" w:type="dxa"/>
            <w:shd w:val="clear" w:color="auto" w:fill="auto"/>
          </w:tcPr>
          <w:p w14:paraId="0D3143E7" w14:textId="5C01C975" w:rsidR="003B6019" w:rsidRPr="009747A5" w:rsidRDefault="001109F9" w:rsidP="009747A5">
            <w:pPr>
              <w:pStyle w:val="Tabletext"/>
              <w:rPr>
                <w:sz w:val="20"/>
                <w:highlight w:val="yellow"/>
              </w:rPr>
            </w:pPr>
            <w:hyperlink r:id="rId61" w:history="1">
              <w:r w:rsidR="003B6019" w:rsidRPr="009747A5">
                <w:rPr>
                  <w:rStyle w:val="link-annotation-unknown-block-id-169440855"/>
                  <w:sz w:val="20"/>
                  <w:highlight w:val="yellow"/>
                </w:rPr>
                <w:t>[1449-PLEN]</w:t>
              </w:r>
            </w:hyperlink>
          </w:p>
        </w:tc>
        <w:tc>
          <w:tcPr>
            <w:tcW w:w="1790" w:type="dxa"/>
            <w:shd w:val="clear" w:color="auto" w:fill="auto"/>
          </w:tcPr>
          <w:p w14:paraId="36069D28" w14:textId="77777777" w:rsidR="003B6019" w:rsidRPr="009747A5" w:rsidRDefault="003B6019" w:rsidP="009747A5">
            <w:pPr>
              <w:pStyle w:val="Tabletext"/>
              <w:rPr>
                <w:rFonts w:eastAsia="Malgun Gothic"/>
                <w:sz w:val="20"/>
                <w:highlight w:val="yellow"/>
                <w:lang w:eastAsia="ko-KR"/>
              </w:rPr>
            </w:pPr>
            <w:r w:rsidRPr="009747A5">
              <w:rPr>
                <w:rFonts w:eastAsia="Malgun Gothic"/>
                <w:sz w:val="20"/>
                <w:highlight w:val="yellow"/>
                <w:lang w:eastAsia="ko-KR"/>
              </w:rPr>
              <w:t>X.gcspcc</w:t>
            </w:r>
          </w:p>
        </w:tc>
        <w:tc>
          <w:tcPr>
            <w:tcW w:w="6411" w:type="dxa"/>
            <w:shd w:val="clear" w:color="auto" w:fill="auto"/>
          </w:tcPr>
          <w:p w14:paraId="36C7CFC3" w14:textId="77777777" w:rsidR="003B6019" w:rsidRPr="009747A5" w:rsidRDefault="003B6019" w:rsidP="009747A5">
            <w:pPr>
              <w:pStyle w:val="Tabletext"/>
              <w:rPr>
                <w:color w:val="000000" w:themeColor="text1"/>
                <w:sz w:val="20"/>
                <w:highlight w:val="yellow"/>
              </w:rPr>
            </w:pPr>
            <w:r w:rsidRPr="009747A5">
              <w:rPr>
                <w:sz w:val="20"/>
                <w:highlight w:val="yellow"/>
                <w:lang w:eastAsia="zh-CN"/>
              </w:rPr>
              <w:t>Guidelines of developing of cybersecurity simulation platform based on cloud computing</w:t>
            </w:r>
          </w:p>
        </w:tc>
      </w:tr>
      <w:tr w:rsidR="003B6019" w:rsidRPr="009747A5" w14:paraId="359BF2F1" w14:textId="77777777" w:rsidTr="009747A5">
        <w:trPr>
          <w:jc w:val="center"/>
        </w:trPr>
        <w:tc>
          <w:tcPr>
            <w:tcW w:w="1438" w:type="dxa"/>
            <w:shd w:val="clear" w:color="auto" w:fill="auto"/>
          </w:tcPr>
          <w:p w14:paraId="30656F29" w14:textId="000DAF07" w:rsidR="003B6019" w:rsidRPr="009747A5" w:rsidRDefault="001109F9" w:rsidP="009747A5">
            <w:pPr>
              <w:pStyle w:val="Tabletext"/>
              <w:rPr>
                <w:sz w:val="20"/>
                <w:highlight w:val="yellow"/>
              </w:rPr>
            </w:pPr>
            <w:hyperlink r:id="rId62" w:history="1">
              <w:r w:rsidR="003B6019" w:rsidRPr="009747A5">
                <w:rPr>
                  <w:rStyle w:val="link-annotation-unknown-block-id-169440790"/>
                  <w:color w:val="0000FF"/>
                  <w:sz w:val="20"/>
                  <w:highlight w:val="yellow"/>
                  <w:u w:val="single"/>
                </w:rPr>
                <w:t>[1426-PLEN]</w:t>
              </w:r>
            </w:hyperlink>
          </w:p>
        </w:tc>
        <w:tc>
          <w:tcPr>
            <w:tcW w:w="1790" w:type="dxa"/>
            <w:shd w:val="clear" w:color="auto" w:fill="auto"/>
          </w:tcPr>
          <w:p w14:paraId="3E663ACE" w14:textId="77777777" w:rsidR="003B6019" w:rsidRPr="009747A5" w:rsidRDefault="003B6019" w:rsidP="009747A5">
            <w:pPr>
              <w:pStyle w:val="Tabletext"/>
              <w:rPr>
                <w:rFonts w:eastAsia="Malgun Gothic"/>
                <w:sz w:val="20"/>
                <w:highlight w:val="yellow"/>
                <w:lang w:eastAsia="ko-KR"/>
              </w:rPr>
            </w:pPr>
            <w:r w:rsidRPr="009747A5">
              <w:rPr>
                <w:rFonts w:eastAsia="Malgun Gothic"/>
                <w:sz w:val="20"/>
                <w:highlight w:val="yellow"/>
                <w:lang w:eastAsia="ko-KR"/>
              </w:rPr>
              <w:t>X.Secaas</w:t>
            </w:r>
          </w:p>
        </w:tc>
        <w:tc>
          <w:tcPr>
            <w:tcW w:w="6411" w:type="dxa"/>
            <w:shd w:val="clear" w:color="auto" w:fill="auto"/>
          </w:tcPr>
          <w:p w14:paraId="72EAD28A" w14:textId="77777777" w:rsidR="003B6019" w:rsidRPr="009747A5" w:rsidRDefault="003B6019" w:rsidP="009747A5">
            <w:pPr>
              <w:pStyle w:val="Tabletext"/>
              <w:rPr>
                <w:color w:val="000000" w:themeColor="text1"/>
                <w:sz w:val="20"/>
                <w:highlight w:val="yellow"/>
              </w:rPr>
            </w:pPr>
            <w:r w:rsidRPr="009747A5">
              <w:rPr>
                <w:color w:val="000000" w:themeColor="text1"/>
                <w:sz w:val="20"/>
                <w:highlight w:val="yellow"/>
              </w:rPr>
              <w:t>Security threats to be identified in the domain of security as a service</w:t>
            </w:r>
          </w:p>
        </w:tc>
      </w:tr>
      <w:tr w:rsidR="003B6019" w:rsidRPr="009747A5" w14:paraId="1164648C" w14:textId="77777777" w:rsidTr="009747A5">
        <w:trPr>
          <w:jc w:val="center"/>
        </w:trPr>
        <w:tc>
          <w:tcPr>
            <w:tcW w:w="1438" w:type="dxa"/>
            <w:shd w:val="clear" w:color="auto" w:fill="auto"/>
          </w:tcPr>
          <w:p w14:paraId="3AC3D64D" w14:textId="31B9BEC1" w:rsidR="003B6019" w:rsidRPr="009747A5" w:rsidRDefault="001109F9" w:rsidP="009747A5">
            <w:pPr>
              <w:pStyle w:val="Tabletext"/>
              <w:rPr>
                <w:sz w:val="20"/>
                <w:highlight w:val="yellow"/>
              </w:rPr>
            </w:pPr>
            <w:hyperlink r:id="rId63" w:history="1">
              <w:r w:rsidR="003B6019" w:rsidRPr="009747A5">
                <w:rPr>
                  <w:rStyle w:val="link-annotation-unknown-block-id-169440885"/>
                  <w:color w:val="0000FF"/>
                  <w:sz w:val="20"/>
                  <w:highlight w:val="yellow"/>
                  <w:u w:val="single"/>
                </w:rPr>
                <w:t>[1458-PLEN]</w:t>
              </w:r>
            </w:hyperlink>
          </w:p>
        </w:tc>
        <w:tc>
          <w:tcPr>
            <w:tcW w:w="1790" w:type="dxa"/>
            <w:shd w:val="clear" w:color="auto" w:fill="auto"/>
          </w:tcPr>
          <w:p w14:paraId="06011E25" w14:textId="77777777" w:rsidR="003B6019" w:rsidRPr="009747A5" w:rsidRDefault="003B6019" w:rsidP="009747A5">
            <w:pPr>
              <w:pStyle w:val="Tabletext"/>
              <w:rPr>
                <w:rFonts w:eastAsia="Malgun Gothic"/>
                <w:sz w:val="20"/>
                <w:highlight w:val="yellow"/>
                <w:lang w:eastAsia="ko-KR"/>
              </w:rPr>
            </w:pPr>
            <w:r w:rsidRPr="009747A5">
              <w:rPr>
                <w:rFonts w:eastAsia="Malgun Gothic"/>
                <w:sz w:val="20"/>
                <w:highlight w:val="yellow"/>
                <w:lang w:eastAsia="ko-KR"/>
              </w:rPr>
              <w:t>TP.inno-2.0</w:t>
            </w:r>
          </w:p>
        </w:tc>
        <w:tc>
          <w:tcPr>
            <w:tcW w:w="6411" w:type="dxa"/>
            <w:shd w:val="clear" w:color="auto" w:fill="auto"/>
          </w:tcPr>
          <w:p w14:paraId="73EE2092" w14:textId="77777777" w:rsidR="003B6019" w:rsidRPr="009747A5" w:rsidRDefault="003B6019" w:rsidP="009747A5">
            <w:pPr>
              <w:pStyle w:val="Tabletext"/>
              <w:rPr>
                <w:color w:val="000000" w:themeColor="text1"/>
                <w:sz w:val="20"/>
                <w:highlight w:val="yellow"/>
              </w:rPr>
            </w:pPr>
            <w:r w:rsidRPr="009747A5">
              <w:rPr>
                <w:sz w:val="20"/>
                <w:highlight w:val="yellow"/>
              </w:rPr>
              <w:t>Description of the incubation mechanism and ways to improve it</w:t>
            </w:r>
          </w:p>
        </w:tc>
      </w:tr>
      <w:tr w:rsidR="003B6019" w:rsidRPr="009747A5" w14:paraId="6F7F8DFD" w14:textId="77777777" w:rsidTr="009747A5">
        <w:trPr>
          <w:jc w:val="center"/>
        </w:trPr>
        <w:tc>
          <w:tcPr>
            <w:tcW w:w="1438" w:type="dxa"/>
            <w:shd w:val="clear" w:color="auto" w:fill="auto"/>
          </w:tcPr>
          <w:p w14:paraId="53720ABA" w14:textId="1A874383" w:rsidR="003B6019" w:rsidRPr="009747A5" w:rsidRDefault="001109F9" w:rsidP="009747A5">
            <w:pPr>
              <w:pStyle w:val="Tabletext"/>
              <w:rPr>
                <w:sz w:val="20"/>
                <w:highlight w:val="yellow"/>
              </w:rPr>
            </w:pPr>
            <w:hyperlink r:id="rId64" w:history="1">
              <w:r w:rsidR="003B6019" w:rsidRPr="009747A5">
                <w:rPr>
                  <w:rStyle w:val="link-annotation-unknown-block-id-169439953"/>
                  <w:color w:val="0000FF"/>
                  <w:sz w:val="20"/>
                  <w:highlight w:val="yellow"/>
                  <w:u w:val="single"/>
                </w:rPr>
                <w:t>[1366-PLEN]</w:t>
              </w:r>
            </w:hyperlink>
          </w:p>
        </w:tc>
        <w:tc>
          <w:tcPr>
            <w:tcW w:w="1790" w:type="dxa"/>
            <w:shd w:val="clear" w:color="auto" w:fill="auto"/>
          </w:tcPr>
          <w:p w14:paraId="5912606E" w14:textId="77777777" w:rsidR="003B6019" w:rsidRPr="009747A5" w:rsidRDefault="003B6019" w:rsidP="009747A5">
            <w:pPr>
              <w:pStyle w:val="Tabletext"/>
              <w:rPr>
                <w:rFonts w:eastAsia="Malgun Gothic"/>
                <w:sz w:val="20"/>
                <w:highlight w:val="yellow"/>
                <w:lang w:eastAsia="ko-KR"/>
              </w:rPr>
            </w:pPr>
            <w:r w:rsidRPr="009747A5">
              <w:rPr>
                <w:rFonts w:eastAsia="Malgun Gothic"/>
                <w:sz w:val="20"/>
                <w:highlight w:val="yellow"/>
                <w:lang w:eastAsia="ko-KR"/>
              </w:rPr>
              <w:t>X.dtns</w:t>
            </w:r>
          </w:p>
        </w:tc>
        <w:tc>
          <w:tcPr>
            <w:tcW w:w="6411" w:type="dxa"/>
            <w:shd w:val="clear" w:color="auto" w:fill="auto"/>
          </w:tcPr>
          <w:p w14:paraId="310A3427" w14:textId="77777777" w:rsidR="003B6019" w:rsidRPr="009747A5" w:rsidRDefault="003B6019" w:rsidP="009747A5">
            <w:pPr>
              <w:pStyle w:val="Tabletext"/>
              <w:rPr>
                <w:color w:val="000000" w:themeColor="text1"/>
                <w:sz w:val="20"/>
                <w:highlight w:val="yellow"/>
              </w:rPr>
            </w:pPr>
            <w:r w:rsidRPr="009747A5">
              <w:rPr>
                <w:color w:val="000000" w:themeColor="text1"/>
                <w:sz w:val="20"/>
                <w:highlight w:val="yellow"/>
              </w:rPr>
              <w:t>Guidelines of using digital twin of network for network security</w:t>
            </w:r>
          </w:p>
        </w:tc>
      </w:tr>
      <w:tr w:rsidR="003B6019" w:rsidRPr="009747A5" w14:paraId="1724F9E4" w14:textId="77777777" w:rsidTr="009747A5">
        <w:trPr>
          <w:jc w:val="center"/>
        </w:trPr>
        <w:tc>
          <w:tcPr>
            <w:tcW w:w="1438" w:type="dxa"/>
            <w:shd w:val="clear" w:color="auto" w:fill="auto"/>
          </w:tcPr>
          <w:p w14:paraId="0B770A3D" w14:textId="74C583EA" w:rsidR="003B6019" w:rsidRPr="009747A5" w:rsidRDefault="001109F9" w:rsidP="009747A5">
            <w:pPr>
              <w:pStyle w:val="Tabletext"/>
              <w:rPr>
                <w:sz w:val="20"/>
                <w:highlight w:val="yellow"/>
              </w:rPr>
            </w:pPr>
            <w:hyperlink r:id="rId65" w:history="1">
              <w:r w:rsidR="003B6019" w:rsidRPr="009747A5">
                <w:rPr>
                  <w:rStyle w:val="link-annotation-unknown-block-id-169440047"/>
                  <w:color w:val="0000FF"/>
                  <w:sz w:val="20"/>
                  <w:highlight w:val="yellow"/>
                  <w:u w:val="single"/>
                </w:rPr>
                <w:t>[1397-PLEN]</w:t>
              </w:r>
            </w:hyperlink>
            <w:r w:rsidR="003B6019" w:rsidRPr="009747A5">
              <w:rPr>
                <w:sz w:val="20"/>
                <w:highlight w:val="yellow"/>
              </w:rPr>
              <w:t>(Rev.1)</w:t>
            </w:r>
          </w:p>
        </w:tc>
        <w:tc>
          <w:tcPr>
            <w:tcW w:w="1790" w:type="dxa"/>
            <w:shd w:val="clear" w:color="auto" w:fill="auto"/>
          </w:tcPr>
          <w:p w14:paraId="70D08C37" w14:textId="77777777" w:rsidR="003B6019" w:rsidRPr="009747A5" w:rsidRDefault="003B6019" w:rsidP="009747A5">
            <w:pPr>
              <w:pStyle w:val="Tabletext"/>
              <w:rPr>
                <w:rFonts w:eastAsia="Malgun Gothic"/>
                <w:sz w:val="20"/>
                <w:highlight w:val="yellow"/>
                <w:lang w:eastAsia="ko-KR"/>
              </w:rPr>
            </w:pPr>
            <w:r w:rsidRPr="009747A5">
              <w:rPr>
                <w:rFonts w:eastAsia="Malgun Gothic"/>
                <w:sz w:val="20"/>
                <w:highlight w:val="yellow"/>
                <w:lang w:eastAsia="ko-KR"/>
              </w:rPr>
              <w:t>TR.srsec</w:t>
            </w:r>
          </w:p>
        </w:tc>
        <w:tc>
          <w:tcPr>
            <w:tcW w:w="6411" w:type="dxa"/>
            <w:shd w:val="clear" w:color="auto" w:fill="auto"/>
          </w:tcPr>
          <w:p w14:paraId="0BA013D1" w14:textId="77777777" w:rsidR="003B6019" w:rsidRPr="009747A5" w:rsidRDefault="003B6019" w:rsidP="009747A5">
            <w:pPr>
              <w:pStyle w:val="Tabletext"/>
              <w:rPr>
                <w:color w:val="000000" w:themeColor="text1"/>
                <w:sz w:val="20"/>
                <w:highlight w:val="yellow"/>
              </w:rPr>
            </w:pPr>
            <w:r w:rsidRPr="009747A5">
              <w:rPr>
                <w:color w:val="000000" w:themeColor="text1"/>
                <w:sz w:val="20"/>
                <w:highlight w:val="yellow"/>
              </w:rPr>
              <w:t>Security aspects of segment routing IPv6 for the convergence of computing and network resources for telecommunication operators</w:t>
            </w:r>
          </w:p>
        </w:tc>
      </w:tr>
      <w:tr w:rsidR="003B6019" w:rsidRPr="009747A5" w14:paraId="720E39B5" w14:textId="77777777" w:rsidTr="009747A5">
        <w:trPr>
          <w:jc w:val="center"/>
        </w:trPr>
        <w:tc>
          <w:tcPr>
            <w:tcW w:w="1438" w:type="dxa"/>
            <w:shd w:val="clear" w:color="auto" w:fill="auto"/>
          </w:tcPr>
          <w:p w14:paraId="009365D1" w14:textId="5CF884A2" w:rsidR="003B6019" w:rsidRPr="009747A5" w:rsidRDefault="001109F9" w:rsidP="009747A5">
            <w:pPr>
              <w:pStyle w:val="Tabletext"/>
              <w:rPr>
                <w:sz w:val="20"/>
                <w:highlight w:val="yellow"/>
              </w:rPr>
            </w:pPr>
            <w:hyperlink r:id="rId66" w:history="1">
              <w:r w:rsidR="003B6019" w:rsidRPr="009747A5">
                <w:rPr>
                  <w:rStyle w:val="link-annotation-unknown-block-id-169439893"/>
                  <w:color w:val="0000FF"/>
                  <w:sz w:val="20"/>
                  <w:highlight w:val="yellow"/>
                  <w:u w:val="single"/>
                </w:rPr>
                <w:t>[1348-PLEN]</w:t>
              </w:r>
            </w:hyperlink>
            <w:r w:rsidR="003B6019" w:rsidRPr="009747A5">
              <w:rPr>
                <w:sz w:val="20"/>
                <w:highlight w:val="yellow"/>
              </w:rPr>
              <w:t>(Rev.2)</w:t>
            </w:r>
          </w:p>
        </w:tc>
        <w:tc>
          <w:tcPr>
            <w:tcW w:w="1790" w:type="dxa"/>
            <w:shd w:val="clear" w:color="auto" w:fill="auto"/>
          </w:tcPr>
          <w:p w14:paraId="31B5A911" w14:textId="77777777" w:rsidR="003B6019" w:rsidRPr="009747A5" w:rsidRDefault="003B6019" w:rsidP="009747A5">
            <w:pPr>
              <w:pStyle w:val="Tabletext"/>
              <w:rPr>
                <w:rFonts w:eastAsia="Malgun Gothic"/>
                <w:sz w:val="20"/>
                <w:highlight w:val="yellow"/>
                <w:lang w:eastAsia="ko-KR"/>
              </w:rPr>
            </w:pPr>
            <w:r w:rsidRPr="009747A5">
              <w:rPr>
                <w:sz w:val="20"/>
                <w:highlight w:val="yellow"/>
              </w:rPr>
              <w:t>X.sr-ai</w:t>
            </w:r>
          </w:p>
        </w:tc>
        <w:tc>
          <w:tcPr>
            <w:tcW w:w="6411" w:type="dxa"/>
            <w:shd w:val="clear" w:color="auto" w:fill="auto"/>
          </w:tcPr>
          <w:p w14:paraId="2123B61D" w14:textId="77777777" w:rsidR="003B6019" w:rsidRPr="009747A5" w:rsidRDefault="003B6019" w:rsidP="009747A5">
            <w:pPr>
              <w:pStyle w:val="Tabletext"/>
              <w:rPr>
                <w:color w:val="000000" w:themeColor="text1"/>
                <w:sz w:val="20"/>
                <w:highlight w:val="yellow"/>
              </w:rPr>
            </w:pPr>
            <w:r w:rsidRPr="009747A5">
              <w:rPr>
                <w:sz w:val="20"/>
                <w:highlight w:val="yellow"/>
              </w:rPr>
              <w:t>Security requirements for AI systems</w:t>
            </w:r>
          </w:p>
        </w:tc>
      </w:tr>
      <w:tr w:rsidR="003B6019" w:rsidRPr="009747A5" w14:paraId="1E6F450D" w14:textId="77777777" w:rsidTr="009747A5">
        <w:trPr>
          <w:jc w:val="center"/>
        </w:trPr>
        <w:tc>
          <w:tcPr>
            <w:tcW w:w="1438" w:type="dxa"/>
            <w:shd w:val="clear" w:color="auto" w:fill="auto"/>
          </w:tcPr>
          <w:p w14:paraId="26C8BBAB" w14:textId="73168C82" w:rsidR="003B6019" w:rsidRPr="009747A5" w:rsidRDefault="001109F9" w:rsidP="009747A5">
            <w:pPr>
              <w:pStyle w:val="Tabletext"/>
              <w:rPr>
                <w:sz w:val="20"/>
                <w:highlight w:val="yellow"/>
              </w:rPr>
            </w:pPr>
            <w:hyperlink r:id="rId67" w:history="1">
              <w:r w:rsidR="003B6019" w:rsidRPr="009747A5">
                <w:rPr>
                  <w:rStyle w:val="link-annotation-unknown-block-id-169440013"/>
                  <w:color w:val="0000FF"/>
                  <w:sz w:val="20"/>
                  <w:highlight w:val="yellow"/>
                  <w:u w:val="single"/>
                </w:rPr>
                <w:t>[1384-PLEN]</w:t>
              </w:r>
            </w:hyperlink>
            <w:r w:rsidR="003B6019" w:rsidRPr="009747A5">
              <w:rPr>
                <w:sz w:val="20"/>
                <w:highlight w:val="yellow"/>
              </w:rPr>
              <w:t>(Rev.3)</w:t>
            </w:r>
          </w:p>
        </w:tc>
        <w:tc>
          <w:tcPr>
            <w:tcW w:w="1790" w:type="dxa"/>
            <w:shd w:val="clear" w:color="auto" w:fill="auto"/>
          </w:tcPr>
          <w:p w14:paraId="7DD4685B" w14:textId="77777777" w:rsidR="003B6019" w:rsidRPr="009747A5" w:rsidRDefault="003B6019" w:rsidP="009747A5">
            <w:pPr>
              <w:pStyle w:val="Tabletext"/>
              <w:rPr>
                <w:rFonts w:eastAsia="Malgun Gothic"/>
                <w:sz w:val="20"/>
                <w:highlight w:val="yellow"/>
                <w:lang w:eastAsia="ko-KR"/>
              </w:rPr>
            </w:pPr>
            <w:r w:rsidRPr="009747A5">
              <w:rPr>
                <w:sz w:val="20"/>
                <w:highlight w:val="yellow"/>
              </w:rPr>
              <w:t>X.ssc-sra</w:t>
            </w:r>
          </w:p>
        </w:tc>
        <w:tc>
          <w:tcPr>
            <w:tcW w:w="6411" w:type="dxa"/>
            <w:shd w:val="clear" w:color="auto" w:fill="auto"/>
          </w:tcPr>
          <w:p w14:paraId="58B47813" w14:textId="77777777" w:rsidR="003B6019" w:rsidRPr="009747A5" w:rsidRDefault="003B6019" w:rsidP="009747A5">
            <w:pPr>
              <w:pStyle w:val="Tabletext"/>
              <w:rPr>
                <w:color w:val="000000" w:themeColor="text1"/>
                <w:sz w:val="20"/>
                <w:highlight w:val="yellow"/>
              </w:rPr>
            </w:pPr>
            <w:r w:rsidRPr="009747A5">
              <w:rPr>
                <w:sz w:val="20"/>
                <w:highlight w:val="yellow"/>
              </w:rPr>
              <w:t xml:space="preserve">Guidelines for Software Supply Chain Security </w:t>
            </w:r>
            <w:r w:rsidRPr="009747A5">
              <w:rPr>
                <w:sz w:val="20"/>
                <w:highlight w:val="yellow"/>
                <w:lang w:eastAsia="zh-CN"/>
              </w:rPr>
              <w:t>Audit</w:t>
            </w:r>
          </w:p>
        </w:tc>
      </w:tr>
      <w:tr w:rsidR="003B6019" w:rsidRPr="009747A5" w14:paraId="4F42D5C5" w14:textId="77777777" w:rsidTr="009747A5">
        <w:trPr>
          <w:jc w:val="center"/>
        </w:trPr>
        <w:tc>
          <w:tcPr>
            <w:tcW w:w="1438" w:type="dxa"/>
            <w:shd w:val="clear" w:color="auto" w:fill="auto"/>
          </w:tcPr>
          <w:p w14:paraId="2DB8B687" w14:textId="3BBAE579" w:rsidR="003B6019" w:rsidRPr="009747A5" w:rsidRDefault="001109F9" w:rsidP="009747A5">
            <w:pPr>
              <w:pStyle w:val="Tabletext"/>
              <w:rPr>
                <w:sz w:val="20"/>
                <w:highlight w:val="yellow"/>
              </w:rPr>
            </w:pPr>
            <w:hyperlink r:id="rId68" w:history="1">
              <w:r w:rsidR="003B6019" w:rsidRPr="009747A5">
                <w:rPr>
                  <w:rStyle w:val="link-annotation-unknown-block-id-169440722"/>
                  <w:color w:val="0000FF"/>
                  <w:sz w:val="20"/>
                  <w:highlight w:val="yellow"/>
                  <w:u w:val="single"/>
                </w:rPr>
                <w:t>[1400-PLEN]</w:t>
              </w:r>
            </w:hyperlink>
            <w:r w:rsidR="003B6019" w:rsidRPr="009747A5">
              <w:rPr>
                <w:sz w:val="20"/>
                <w:highlight w:val="yellow"/>
              </w:rPr>
              <w:t>(Rev.2)</w:t>
            </w:r>
          </w:p>
        </w:tc>
        <w:tc>
          <w:tcPr>
            <w:tcW w:w="1790" w:type="dxa"/>
            <w:shd w:val="clear" w:color="auto" w:fill="auto"/>
          </w:tcPr>
          <w:p w14:paraId="223F125E" w14:textId="77777777" w:rsidR="003B6019" w:rsidRPr="009747A5" w:rsidRDefault="003B6019" w:rsidP="009747A5">
            <w:pPr>
              <w:pStyle w:val="Tabletext"/>
              <w:rPr>
                <w:rFonts w:eastAsia="Malgun Gothic"/>
                <w:sz w:val="20"/>
                <w:highlight w:val="yellow"/>
                <w:lang w:eastAsia="ko-KR"/>
              </w:rPr>
            </w:pPr>
            <w:r w:rsidRPr="009747A5">
              <w:rPr>
                <w:rFonts w:eastAsia="SimSun"/>
                <w:sz w:val="20"/>
                <w:highlight w:val="yellow"/>
                <w:lang w:eastAsia="zh-CN"/>
              </w:rPr>
              <w:t>X</w:t>
            </w:r>
            <w:r w:rsidRPr="009747A5">
              <w:rPr>
                <w:sz w:val="20"/>
                <w:highlight w:val="yellow"/>
              </w:rPr>
              <w:t>.rm-sup</w:t>
            </w:r>
          </w:p>
        </w:tc>
        <w:tc>
          <w:tcPr>
            <w:tcW w:w="6411" w:type="dxa"/>
            <w:shd w:val="clear" w:color="auto" w:fill="auto"/>
          </w:tcPr>
          <w:p w14:paraId="68B051E6" w14:textId="0C022AA0" w:rsidR="003B6019" w:rsidRPr="009747A5" w:rsidRDefault="003B6019" w:rsidP="009747A5">
            <w:pPr>
              <w:pStyle w:val="Tabletext"/>
              <w:rPr>
                <w:color w:val="000000" w:themeColor="text1"/>
                <w:sz w:val="20"/>
              </w:rPr>
            </w:pPr>
            <w:r w:rsidRPr="009747A5">
              <w:rPr>
                <w:sz w:val="20"/>
                <w:highlight w:val="yellow"/>
              </w:rPr>
              <w:t>Risk management on the security of software supply</w:t>
            </w:r>
            <w:r w:rsidR="008C54A5" w:rsidRPr="009747A5">
              <w:rPr>
                <w:sz w:val="20"/>
                <w:highlight w:val="yellow"/>
              </w:rPr>
              <w:t xml:space="preserve"> </w:t>
            </w:r>
            <w:r w:rsidRPr="009747A5">
              <w:rPr>
                <w:sz w:val="20"/>
                <w:highlight w:val="yellow"/>
              </w:rPr>
              <w:t>chain for telecommunication organizations</w:t>
            </w:r>
          </w:p>
        </w:tc>
      </w:tr>
    </w:tbl>
    <w:p w14:paraId="520FD203" w14:textId="4A2A0388" w:rsidR="003B6019" w:rsidRPr="008C54A5" w:rsidRDefault="003B6019" w:rsidP="003B6019">
      <w:r w:rsidRPr="008C54A5">
        <w:rPr>
          <w:highlight w:val="yellow"/>
        </w:rPr>
        <w:t>The incubation rapporteur made observations in TD1336.</w:t>
      </w:r>
    </w:p>
    <w:p w14:paraId="43F8A910" w14:textId="2D688F8C" w:rsidR="003B6019" w:rsidRPr="008C54A5" w:rsidRDefault="003B6019" w:rsidP="003B6019">
      <w:pPr>
        <w:rPr>
          <w:highlight w:val="yellow"/>
        </w:rPr>
      </w:pPr>
      <w:r w:rsidRPr="008C54A5">
        <w:rPr>
          <w:highlight w:val="yellow"/>
        </w:rPr>
        <w:t>According to clause 6.</w:t>
      </w:r>
      <w:r w:rsidR="002A352A">
        <w:rPr>
          <w:highlight w:val="yellow"/>
        </w:rPr>
        <w:t>4</w:t>
      </w:r>
      <w:r w:rsidRPr="008C54A5">
        <w:rPr>
          <w:highlight w:val="yellow"/>
        </w:rPr>
        <w:t>, the incubation rapporteur alerts SG17 that the incubation queue grew significantly with several new topics and so SG17 may consider taking urgent actions on its current structure.</w:t>
      </w:r>
    </w:p>
    <w:p w14:paraId="357A9AD6" w14:textId="18750DEA" w:rsidR="003B6019" w:rsidRPr="008C54A5" w:rsidRDefault="003B6019" w:rsidP="003B6019">
      <w:pPr>
        <w:rPr>
          <w:highlight w:val="yellow"/>
        </w:rPr>
      </w:pPr>
      <w:r w:rsidRPr="008C54A5">
        <w:rPr>
          <w:highlight w:val="yellow"/>
        </w:rPr>
        <w:t>As requested by Q15, the incubation rapporteur notes that Q15 ran out of time and needed an ad</w:t>
      </w:r>
      <w:r w:rsidR="00D005A4">
        <w:rPr>
          <w:highlight w:val="yellow"/>
        </w:rPr>
        <w:t xml:space="preserve"> </w:t>
      </w:r>
      <w:r w:rsidRPr="008C54A5">
        <w:rPr>
          <w:highlight w:val="yellow"/>
        </w:rPr>
        <w:t>hoc session. This is due to a conjunction of two factors:</w:t>
      </w:r>
    </w:p>
    <w:p w14:paraId="3B92DD48" w14:textId="132A3760" w:rsidR="003B6019" w:rsidRPr="008C54A5" w:rsidRDefault="003B6019" w:rsidP="003B6019">
      <w:pPr>
        <w:pStyle w:val="enumlev1"/>
        <w:rPr>
          <w:highlight w:val="yellow"/>
        </w:rPr>
      </w:pPr>
      <w:r w:rsidRPr="008C54A5">
        <w:rPr>
          <w:highlight w:val="yellow"/>
        </w:rPr>
        <w:t>–</w:t>
      </w:r>
      <w:r w:rsidRPr="008C54A5">
        <w:rPr>
          <w:highlight w:val="yellow"/>
        </w:rPr>
        <w:tab/>
        <w:t xml:space="preserve">NWI </w:t>
      </w:r>
      <w:r w:rsidR="00B83FBE">
        <w:rPr>
          <w:highlight w:val="yellow"/>
        </w:rPr>
        <w:t>had</w:t>
      </w:r>
      <w:r w:rsidRPr="008C54A5">
        <w:rPr>
          <w:highlight w:val="yellow"/>
        </w:rPr>
        <w:t xml:space="preserve"> too many chances to come back with improved versions of their work to a point it took time from the last Q15 meeting time session</w:t>
      </w:r>
      <w:r w:rsidR="00E47694">
        <w:rPr>
          <w:highlight w:val="yellow"/>
        </w:rPr>
        <w:t>.</w:t>
      </w:r>
      <w:r w:rsidRPr="008C54A5">
        <w:rPr>
          <w:highlight w:val="yellow"/>
        </w:rPr>
        <w:t xml:space="preserve"> </w:t>
      </w:r>
      <w:r w:rsidR="00E47694">
        <w:rPr>
          <w:highlight w:val="yellow"/>
        </w:rPr>
        <w:t>I</w:t>
      </w:r>
      <w:r w:rsidRPr="008C54A5">
        <w:rPr>
          <w:highlight w:val="yellow"/>
        </w:rPr>
        <w:t>t should be enforced that the last Q15 meeting time session be solely dedicated to Q15 documents themselves: LS/o, meeting report, etc.</w:t>
      </w:r>
    </w:p>
    <w:p w14:paraId="0C3FEF52" w14:textId="234D51DF" w:rsidR="003B6019" w:rsidRPr="008C54A5" w:rsidRDefault="003B6019" w:rsidP="003B6019">
      <w:pPr>
        <w:pStyle w:val="enumlev1"/>
        <w:rPr>
          <w:highlight w:val="yellow"/>
        </w:rPr>
      </w:pPr>
      <w:r w:rsidRPr="008C54A5">
        <w:rPr>
          <w:highlight w:val="yellow"/>
        </w:rPr>
        <w:t>–</w:t>
      </w:r>
      <w:r w:rsidRPr="008C54A5">
        <w:rPr>
          <w:highlight w:val="yellow"/>
        </w:rPr>
        <w:tab/>
        <w:t>That the incubation queue grew significantly requiring more time to process NWI</w:t>
      </w:r>
      <w:r w:rsidR="00E47694">
        <w:rPr>
          <w:highlight w:val="yellow"/>
        </w:rPr>
        <w:t>s</w:t>
      </w:r>
      <w:r w:rsidRPr="008C54A5">
        <w:rPr>
          <w:highlight w:val="yellow"/>
        </w:rPr>
        <w:t xml:space="preserve"> and this impacted quantum work items and Q15 timing as a whole.</w:t>
      </w:r>
    </w:p>
    <w:p w14:paraId="0BCCE04E" w14:textId="559B0896" w:rsidR="003B6019" w:rsidRPr="008C54A5" w:rsidRDefault="003B6019" w:rsidP="003B6019">
      <w:r w:rsidRPr="008C54A5">
        <w:rPr>
          <w:highlight w:val="yellow"/>
        </w:rPr>
        <w:t xml:space="preserve">Both above points should be </w:t>
      </w:r>
      <w:r w:rsidR="00E47694">
        <w:rPr>
          <w:highlight w:val="yellow"/>
        </w:rPr>
        <w:t>addressed</w:t>
      </w:r>
      <w:r w:rsidR="00E47694" w:rsidRPr="008C54A5">
        <w:rPr>
          <w:highlight w:val="yellow"/>
        </w:rPr>
        <w:t xml:space="preserve"> </w:t>
      </w:r>
      <w:r w:rsidRPr="008C54A5">
        <w:rPr>
          <w:highlight w:val="yellow"/>
        </w:rPr>
        <w:t>by SG17 management team.</w:t>
      </w:r>
    </w:p>
    <w:p w14:paraId="34FECADE" w14:textId="77777777" w:rsidR="003B6019" w:rsidRPr="008C54A5" w:rsidRDefault="003B6019" w:rsidP="00407A24">
      <w:pPr>
        <w:rPr>
          <w:sz w:val="28"/>
        </w:rPr>
      </w:pPr>
      <w:r w:rsidRPr="008C54A5">
        <w:br w:type="page"/>
      </w:r>
    </w:p>
    <w:p w14:paraId="2DB97852" w14:textId="5E6F76BE" w:rsidR="003B6019" w:rsidRPr="008C54A5" w:rsidRDefault="003B6019" w:rsidP="003B6019">
      <w:pPr>
        <w:pStyle w:val="AppendixNoTitle0"/>
      </w:pPr>
      <w:bookmarkStart w:id="160" w:name="_Toc167434365"/>
      <w:bookmarkStart w:id="161" w:name="_Toc172128675"/>
      <w:bookmarkStart w:id="162" w:name="_Toc172128780"/>
      <w:r w:rsidRPr="008C54A5">
        <w:t xml:space="preserve">Appendix </w:t>
      </w:r>
      <w:r w:rsidR="00B83FBE">
        <w:t>III</w:t>
      </w:r>
      <w:r w:rsidRPr="008C54A5">
        <w:br/>
      </w:r>
      <w:r w:rsidRPr="008C54A5">
        <w:br/>
        <w:t>Incubation mechanism considerations</w:t>
      </w:r>
      <w:bookmarkEnd w:id="160"/>
      <w:bookmarkEnd w:id="161"/>
      <w:bookmarkEnd w:id="162"/>
    </w:p>
    <w:p w14:paraId="3F49BB2E" w14:textId="77777777" w:rsidR="003B6019" w:rsidRPr="008C54A5" w:rsidRDefault="003B6019" w:rsidP="003B6019">
      <w:pPr>
        <w:pStyle w:val="Normalaftertitle"/>
      </w:pPr>
      <w:r w:rsidRPr="008C54A5">
        <w:t>The incubation mechanism is a convenience of SG17 to support its work.</w:t>
      </w:r>
    </w:p>
    <w:p w14:paraId="0A9EA1F1" w14:textId="055C5467" w:rsidR="003B6019" w:rsidRPr="008C54A5" w:rsidRDefault="00D8117A" w:rsidP="003B6019">
      <w:pPr>
        <w:pStyle w:val="Heading2"/>
      </w:pPr>
      <w:bookmarkStart w:id="163" w:name="_Toc167434366"/>
      <w:bookmarkStart w:id="164" w:name="_Toc172128676"/>
      <w:bookmarkStart w:id="165" w:name="_Toc172128781"/>
      <w:r>
        <w:t>III</w:t>
      </w:r>
      <w:r w:rsidR="003B6019" w:rsidRPr="008C54A5">
        <w:t>.1</w:t>
      </w:r>
      <w:r w:rsidR="003B6019" w:rsidRPr="008C54A5">
        <w:tab/>
        <w:t>Benefits and risks of the incubation mechanism</w:t>
      </w:r>
      <w:bookmarkEnd w:id="163"/>
      <w:bookmarkEnd w:id="164"/>
      <w:bookmarkEnd w:id="165"/>
    </w:p>
    <w:p w14:paraId="02B73FF2" w14:textId="68F83107" w:rsidR="003B6019" w:rsidRPr="008C54A5" w:rsidRDefault="00D8117A" w:rsidP="003B6019">
      <w:pPr>
        <w:pStyle w:val="Heading3"/>
      </w:pPr>
      <w:r>
        <w:t>III</w:t>
      </w:r>
      <w:r w:rsidR="003B6019" w:rsidRPr="008C54A5">
        <w:t>.1.1</w:t>
      </w:r>
      <w:r w:rsidR="003B6019" w:rsidRPr="008C54A5">
        <w:tab/>
        <w:t>Benefits of the incubation mechanism</w:t>
      </w:r>
    </w:p>
    <w:p w14:paraId="4B1CCC87" w14:textId="147DD148" w:rsidR="003B6019" w:rsidRPr="008C54A5" w:rsidRDefault="003B6019" w:rsidP="003B6019">
      <w:r w:rsidRPr="008C54A5">
        <w:t xml:space="preserve">The main </w:t>
      </w:r>
      <w:r w:rsidR="00E47694">
        <w:t>aim</w:t>
      </w:r>
      <w:r w:rsidR="00E47694" w:rsidRPr="008C54A5">
        <w:t xml:space="preserve"> </w:t>
      </w:r>
      <w:r w:rsidRPr="008C54A5">
        <w:t>of this proposal is to:</w:t>
      </w:r>
    </w:p>
    <w:p w14:paraId="2ADF37EE" w14:textId="27F4FFB6" w:rsidR="003B6019" w:rsidRPr="008C54A5" w:rsidRDefault="003B6019" w:rsidP="003B6019">
      <w:pPr>
        <w:pStyle w:val="enumlev1"/>
      </w:pPr>
      <w:r w:rsidRPr="008C54A5">
        <w:t>–</w:t>
      </w:r>
      <w:r w:rsidRPr="008C54A5">
        <w:tab/>
        <w:t>Allow decorrelation of transformation of the SG17 structure versus the adoption of new work items that do not fit the SG17 structure;</w:t>
      </w:r>
    </w:p>
    <w:p w14:paraId="50716A9E" w14:textId="77777777" w:rsidR="003B6019" w:rsidRPr="008C54A5" w:rsidRDefault="003B6019" w:rsidP="003B6019">
      <w:pPr>
        <w:pStyle w:val="enumlev1"/>
      </w:pPr>
      <w:r w:rsidRPr="008C54A5">
        <w:t>–</w:t>
      </w:r>
      <w:r w:rsidRPr="008C54A5">
        <w:tab/>
        <w:t>Simplify the flow of SG17 meetings by bringing forward the allocation part;</w:t>
      </w:r>
    </w:p>
    <w:p w14:paraId="2A142257" w14:textId="0BDDC737" w:rsidR="003B6019" w:rsidRPr="008C54A5" w:rsidRDefault="003B6019" w:rsidP="003B6019">
      <w:pPr>
        <w:pStyle w:val="enumlev1"/>
      </w:pPr>
      <w:r w:rsidRPr="008C54A5">
        <w:t>–</w:t>
      </w:r>
      <w:r w:rsidRPr="008C54A5">
        <w:tab/>
        <w:t>Accept key innovation</w:t>
      </w:r>
      <w:r w:rsidR="00E47694">
        <w:t>s</w:t>
      </w:r>
      <w:r w:rsidRPr="008C54A5">
        <w:t xml:space="preserve"> in SG17 in a much more agile manner;</w:t>
      </w:r>
    </w:p>
    <w:p w14:paraId="61762F82" w14:textId="5F4CE85D" w:rsidR="003B6019" w:rsidRPr="008C54A5" w:rsidRDefault="003B6019" w:rsidP="003B6019">
      <w:pPr>
        <w:pStyle w:val="enumlev1"/>
      </w:pPr>
      <w:r w:rsidRPr="008C54A5">
        <w:t>–</w:t>
      </w:r>
      <w:r w:rsidRPr="008C54A5">
        <w:tab/>
        <w:t>Therefore</w:t>
      </w:r>
      <w:r w:rsidR="008928E0">
        <w:t>,</w:t>
      </w:r>
      <w:r w:rsidR="00E47694">
        <w:t xml:space="preserve"> it is proposed to</w:t>
      </w:r>
      <w:r w:rsidRPr="008C54A5">
        <w:t>:</w:t>
      </w:r>
    </w:p>
    <w:p w14:paraId="0E096825" w14:textId="7157A2C4" w:rsidR="003B6019" w:rsidRPr="008C54A5" w:rsidRDefault="00407A24" w:rsidP="003B6019">
      <w:pPr>
        <w:pStyle w:val="enumlev2"/>
      </w:pPr>
      <w:r w:rsidRPr="00407A24">
        <w:rPr>
          <w:rFonts w:ascii="Courier New" w:hAnsi="Courier New" w:cs="Courier New"/>
        </w:rPr>
        <w:t>•</w:t>
      </w:r>
      <w:r w:rsidR="003B6019" w:rsidRPr="008C54A5">
        <w:rPr>
          <w:rFonts w:ascii="Courier New" w:hAnsi="Courier New" w:cs="Courier New"/>
        </w:rPr>
        <w:tab/>
      </w:r>
      <w:r w:rsidR="00E47694">
        <w:t>G</w:t>
      </w:r>
      <w:r w:rsidR="003B6019" w:rsidRPr="008C54A5">
        <w:t>ive proper time to the relevant correspondence groups to carry out their job and make recommendations regarding the long-term transformation of SG17 and the evolution of its structure</w:t>
      </w:r>
      <w:r>
        <w:t>;</w:t>
      </w:r>
    </w:p>
    <w:p w14:paraId="19ED05B9" w14:textId="788A89D1" w:rsidR="003B6019" w:rsidRPr="008C54A5" w:rsidRDefault="00407A24" w:rsidP="003B6019">
      <w:pPr>
        <w:pStyle w:val="enumlev2"/>
      </w:pPr>
      <w:r w:rsidRPr="00407A24">
        <w:rPr>
          <w:rFonts w:ascii="Courier New" w:hAnsi="Courier New" w:cs="Courier New"/>
        </w:rPr>
        <w:t>•</w:t>
      </w:r>
      <w:r w:rsidRPr="008C54A5">
        <w:rPr>
          <w:rFonts w:ascii="Courier New" w:hAnsi="Courier New" w:cs="Courier New"/>
        </w:rPr>
        <w:tab/>
      </w:r>
      <w:r w:rsidR="00E47694">
        <w:t>F</w:t>
      </w:r>
      <w:r w:rsidR="003B6019" w:rsidRPr="008C54A5">
        <w:t xml:space="preserve">acilitate the work on the development of thoroughly validated new work items </w:t>
      </w:r>
      <w:r w:rsidR="006D3DCE">
        <w:t xml:space="preserve">(NWIs) </w:t>
      </w:r>
      <w:r w:rsidR="003B6019" w:rsidRPr="008C54A5">
        <w:t xml:space="preserve">without delay and support legitimate requests from </w:t>
      </w:r>
      <w:r w:rsidR="00E47694">
        <w:t>s</w:t>
      </w:r>
      <w:r w:rsidR="003B6019" w:rsidRPr="008C54A5">
        <w:t>ector members.</w:t>
      </w:r>
    </w:p>
    <w:p w14:paraId="3501391D" w14:textId="14EAE9AE" w:rsidR="003B6019" w:rsidRPr="008C54A5" w:rsidRDefault="003B6019" w:rsidP="003B6019">
      <w:pPr>
        <w:pStyle w:val="enumlev1"/>
      </w:pPr>
      <w:r w:rsidRPr="008C54A5">
        <w:t>–</w:t>
      </w:r>
      <w:r w:rsidRPr="008C54A5">
        <w:tab/>
        <w:t>Furthermore</w:t>
      </w:r>
      <w:r w:rsidR="008928E0">
        <w:t>,</w:t>
      </w:r>
      <w:r w:rsidR="00E47694">
        <w:t xml:space="preserve"> it is suggested to</w:t>
      </w:r>
      <w:r w:rsidRPr="008C54A5">
        <w:t>:</w:t>
      </w:r>
    </w:p>
    <w:p w14:paraId="0AF8DC23" w14:textId="756EEC6A" w:rsidR="003B6019" w:rsidRPr="008C54A5" w:rsidRDefault="00407A24" w:rsidP="003B6019">
      <w:pPr>
        <w:pStyle w:val="enumlev2"/>
      </w:pPr>
      <w:r w:rsidRPr="00407A24">
        <w:rPr>
          <w:rFonts w:ascii="Courier New" w:hAnsi="Courier New" w:cs="Courier New"/>
        </w:rPr>
        <w:t>•</w:t>
      </w:r>
      <w:r w:rsidRPr="008C54A5">
        <w:rPr>
          <w:rFonts w:ascii="Courier New" w:hAnsi="Courier New" w:cs="Courier New"/>
        </w:rPr>
        <w:tab/>
      </w:r>
      <w:r w:rsidR="00E47694">
        <w:t>O</w:t>
      </w:r>
      <w:r w:rsidR="003B6019" w:rsidRPr="008C54A5">
        <w:t>ffer a good tool for SG17 to significantly accelerate innovation</w:t>
      </w:r>
      <w:r>
        <w:t>;</w:t>
      </w:r>
    </w:p>
    <w:p w14:paraId="0821F2F3" w14:textId="68517091" w:rsidR="003B6019" w:rsidRPr="008C54A5" w:rsidRDefault="00407A24" w:rsidP="003B6019">
      <w:pPr>
        <w:pStyle w:val="enumlev2"/>
      </w:pPr>
      <w:r w:rsidRPr="00407A24">
        <w:rPr>
          <w:rFonts w:ascii="Courier New" w:hAnsi="Courier New" w:cs="Courier New"/>
        </w:rPr>
        <w:t>•</w:t>
      </w:r>
      <w:r w:rsidRPr="008C54A5">
        <w:rPr>
          <w:rFonts w:ascii="Courier New" w:hAnsi="Courier New" w:cs="Courier New"/>
        </w:rPr>
        <w:tab/>
      </w:r>
      <w:r w:rsidR="00450479">
        <w:t>A</w:t>
      </w:r>
      <w:r w:rsidR="003B6019" w:rsidRPr="008C54A5">
        <w:t>t the same time, be conservati</w:t>
      </w:r>
      <w:r w:rsidR="00450479">
        <w:t>ve</w:t>
      </w:r>
      <w:r w:rsidR="003B6019" w:rsidRPr="008C54A5">
        <w:t xml:space="preserve"> and cautious in terms of future big bets and new structure</w:t>
      </w:r>
      <w:r>
        <w:t>;</w:t>
      </w:r>
    </w:p>
    <w:p w14:paraId="19720BA7" w14:textId="59A8DCAF" w:rsidR="003B6019" w:rsidRPr="008C54A5" w:rsidRDefault="00407A24" w:rsidP="003B6019">
      <w:pPr>
        <w:pStyle w:val="enumlev2"/>
      </w:pPr>
      <w:r w:rsidRPr="00407A24">
        <w:rPr>
          <w:rFonts w:ascii="Courier New" w:hAnsi="Courier New" w:cs="Courier New"/>
        </w:rPr>
        <w:t>•</w:t>
      </w:r>
      <w:r w:rsidRPr="008C54A5">
        <w:rPr>
          <w:rFonts w:ascii="Courier New" w:hAnsi="Courier New" w:cs="Courier New"/>
        </w:rPr>
        <w:tab/>
      </w:r>
      <w:r w:rsidR="00450479">
        <w:t>U</w:t>
      </w:r>
      <w:r w:rsidR="003B6019" w:rsidRPr="008C54A5">
        <w:t xml:space="preserve">se this new tool to help to communicate effectively to </w:t>
      </w:r>
      <w:r w:rsidR="00450479">
        <w:t>recruit</w:t>
      </w:r>
      <w:r w:rsidR="00450479" w:rsidRPr="008C54A5">
        <w:t xml:space="preserve"> </w:t>
      </w:r>
      <w:r w:rsidR="003B6019" w:rsidRPr="008C54A5">
        <w:t>new members and encourage participation.</w:t>
      </w:r>
    </w:p>
    <w:p w14:paraId="4735C20F" w14:textId="5A18F766" w:rsidR="003B6019" w:rsidRPr="00407A24" w:rsidRDefault="00D8117A" w:rsidP="00407A24">
      <w:pPr>
        <w:pStyle w:val="Heading3"/>
      </w:pPr>
      <w:r w:rsidRPr="00407A24">
        <w:t>III</w:t>
      </w:r>
      <w:r w:rsidR="003B6019" w:rsidRPr="00407A24">
        <w:t>.1.2</w:t>
      </w:r>
      <w:r w:rsidR="003B6019" w:rsidRPr="00407A24">
        <w:tab/>
        <w:t>Risks of the incubation mechanism</w:t>
      </w:r>
    </w:p>
    <w:p w14:paraId="7462A2B8" w14:textId="77777777" w:rsidR="003B6019" w:rsidRPr="008C54A5" w:rsidRDefault="003B6019" w:rsidP="003B6019">
      <w:r w:rsidRPr="008C54A5">
        <w:t>As for all proposals, nothing comes with only advantages, and it is important to be aware that there are risks too.</w:t>
      </w:r>
    </w:p>
    <w:p w14:paraId="070974EB" w14:textId="0AD7F7C0" w:rsidR="003B6019" w:rsidRPr="008C54A5" w:rsidRDefault="00D8117A" w:rsidP="003B6019">
      <w:pPr>
        <w:pStyle w:val="Heading4"/>
      </w:pPr>
      <w:r>
        <w:t>III</w:t>
      </w:r>
      <w:r w:rsidR="003B6019" w:rsidRPr="008C54A5">
        <w:t>.1.2.1</w:t>
      </w:r>
      <w:r w:rsidR="003B6019" w:rsidRPr="008C54A5">
        <w:tab/>
        <w:t>Risk associated with implementing the incubation mechanism</w:t>
      </w:r>
    </w:p>
    <w:p w14:paraId="10D70975" w14:textId="5E0B721F" w:rsidR="003B6019" w:rsidRPr="008C54A5" w:rsidRDefault="003B6019" w:rsidP="003B6019">
      <w:r w:rsidRPr="008C54A5">
        <w:t xml:space="preserve">There are risks associated with implementing the incubation mechanism (also called </w:t>
      </w:r>
      <w:r w:rsidR="006D5668">
        <w:t>'</w:t>
      </w:r>
      <w:r w:rsidRPr="008C54A5">
        <w:t>risk of doing</w:t>
      </w:r>
      <w:r w:rsidR="006D5668">
        <w:t>'</w:t>
      </w:r>
      <w:r w:rsidRPr="008C54A5">
        <w:t>). The main ones are:</w:t>
      </w:r>
    </w:p>
    <w:p w14:paraId="249275D1" w14:textId="12E69A3A" w:rsidR="003B6019" w:rsidRPr="008C54A5" w:rsidRDefault="003B6019" w:rsidP="003B6019">
      <w:pPr>
        <w:pStyle w:val="enumlev1"/>
      </w:pPr>
      <w:r w:rsidRPr="008C54A5">
        <w:t>–</w:t>
      </w:r>
      <w:r w:rsidRPr="008C54A5">
        <w:tab/>
        <w:t>R1</w:t>
      </w:r>
      <w:r w:rsidR="003C510F">
        <w:t>:</w:t>
      </w:r>
      <w:r w:rsidRPr="008C54A5">
        <w:t xml:space="preserve"> The queue grows too fast and is difficult to manage </w:t>
      </w:r>
      <w:r w:rsidR="003C510F">
        <w:t>with</w:t>
      </w:r>
      <w:r w:rsidR="003C510F" w:rsidRPr="008C54A5">
        <w:t xml:space="preserve"> </w:t>
      </w:r>
      <w:r w:rsidRPr="008C54A5">
        <w:t>resources</w:t>
      </w:r>
      <w:r w:rsidR="003C510F">
        <w:t xml:space="preserve"> available</w:t>
      </w:r>
      <w:r w:rsidRPr="008C54A5">
        <w:t>;</w:t>
      </w:r>
    </w:p>
    <w:p w14:paraId="21BEA221" w14:textId="6E5A03A8" w:rsidR="003B6019" w:rsidRPr="008C54A5" w:rsidRDefault="003B6019" w:rsidP="003B6019">
      <w:pPr>
        <w:pStyle w:val="enumlev1"/>
      </w:pPr>
      <w:r w:rsidRPr="008C54A5">
        <w:t>–</w:t>
      </w:r>
      <w:r w:rsidRPr="008C54A5">
        <w:tab/>
        <w:t>R2</w:t>
      </w:r>
      <w:r w:rsidR="003C510F">
        <w:t>:</w:t>
      </w:r>
      <w:r w:rsidRPr="008C54A5">
        <w:t xml:space="preserve"> Special expertise required is not available;</w:t>
      </w:r>
    </w:p>
    <w:p w14:paraId="295E7F3E" w14:textId="252AEBBE" w:rsidR="003B6019" w:rsidRPr="008C54A5" w:rsidRDefault="003B6019" w:rsidP="003B6019">
      <w:pPr>
        <w:pStyle w:val="enumlev1"/>
      </w:pPr>
      <w:r w:rsidRPr="008C54A5">
        <w:t>–</w:t>
      </w:r>
      <w:r w:rsidRPr="008C54A5">
        <w:tab/>
        <w:t>R3</w:t>
      </w:r>
      <w:r w:rsidR="003C510F">
        <w:t>:</w:t>
      </w:r>
      <w:r w:rsidRPr="008C54A5">
        <w:t xml:space="preserve"> The incubation mechanism is exploited to delay work.</w:t>
      </w:r>
    </w:p>
    <w:p w14:paraId="29442A4B" w14:textId="77777777" w:rsidR="003B6019" w:rsidRPr="008C54A5" w:rsidRDefault="003B6019" w:rsidP="003B6019">
      <w:r w:rsidRPr="008C54A5">
        <w:t>Mitigation suggestions:</w:t>
      </w:r>
    </w:p>
    <w:p w14:paraId="37173EA3" w14:textId="52E70491" w:rsidR="003B6019" w:rsidRPr="008C54A5" w:rsidRDefault="003B6019" w:rsidP="003B6019">
      <w:pPr>
        <w:pStyle w:val="enumlev1"/>
      </w:pPr>
      <w:r w:rsidRPr="008C54A5">
        <w:t>–</w:t>
      </w:r>
      <w:r w:rsidRPr="008C54A5">
        <w:tab/>
        <w:t>R1 can be mitigated by the incubation rapporteur alert</w:t>
      </w:r>
      <w:r w:rsidR="003C510F">
        <w:t>ing</w:t>
      </w:r>
      <w:r w:rsidRPr="008C54A5">
        <w:t xml:space="preserve"> SG17 through normal reporting;</w:t>
      </w:r>
    </w:p>
    <w:p w14:paraId="11CAC052" w14:textId="03A71508" w:rsidR="003B6019" w:rsidRPr="008C54A5" w:rsidRDefault="003B6019" w:rsidP="003B6019">
      <w:pPr>
        <w:pStyle w:val="enumlev1"/>
      </w:pPr>
      <w:r w:rsidRPr="008C54A5">
        <w:t>–</w:t>
      </w:r>
      <w:r w:rsidRPr="008C54A5">
        <w:tab/>
        <w:t>R2 can be mitigated by the growing number of experts joining ITU-T</w:t>
      </w:r>
      <w:r w:rsidR="003C510F">
        <w:t>,</w:t>
      </w:r>
      <w:r w:rsidRPr="008C54A5">
        <w:t xml:space="preserve"> but in case of </w:t>
      </w:r>
      <w:r w:rsidR="003C510F">
        <w:t xml:space="preserve">a </w:t>
      </w:r>
      <w:r w:rsidRPr="008C54A5">
        <w:t>severe shortage on a specific topic</w:t>
      </w:r>
      <w:r w:rsidR="003C510F">
        <w:t>,</w:t>
      </w:r>
      <w:r w:rsidRPr="008C54A5">
        <w:t xml:space="preserve"> SG17 will need to campaign to attract relevant new members;</w:t>
      </w:r>
    </w:p>
    <w:p w14:paraId="2A40B9BF" w14:textId="63AEC441" w:rsidR="003B6019" w:rsidRPr="008C54A5" w:rsidRDefault="003B6019" w:rsidP="003B6019">
      <w:pPr>
        <w:pStyle w:val="enumlev1"/>
      </w:pPr>
      <w:r w:rsidRPr="008C54A5">
        <w:t>–</w:t>
      </w:r>
      <w:r w:rsidRPr="008C54A5">
        <w:tab/>
        <w:t xml:space="preserve">R3 can be mitigated by SG17 members and by discussions. SG17 has a strong </w:t>
      </w:r>
      <w:r w:rsidR="003C510F" w:rsidRPr="008C54A5">
        <w:t>community</w:t>
      </w:r>
      <w:r w:rsidR="003C510F" w:rsidRPr="008C54A5" w:rsidDel="003C510F">
        <w:t xml:space="preserve"> </w:t>
      </w:r>
      <w:r w:rsidRPr="008C54A5">
        <w:t>spirit.</w:t>
      </w:r>
    </w:p>
    <w:p w14:paraId="10229175" w14:textId="0795EAF9" w:rsidR="003B6019" w:rsidRPr="008C54A5" w:rsidRDefault="00D8117A" w:rsidP="003B6019">
      <w:pPr>
        <w:pStyle w:val="Heading4"/>
      </w:pPr>
      <w:r>
        <w:t>III</w:t>
      </w:r>
      <w:r w:rsidR="003B6019" w:rsidRPr="008C54A5">
        <w:t>.1.2.2</w:t>
      </w:r>
      <w:r w:rsidR="003B6019" w:rsidRPr="008C54A5">
        <w:tab/>
        <w:t>Risk associated with not implementing the incubation mechanism</w:t>
      </w:r>
    </w:p>
    <w:p w14:paraId="1932EA68" w14:textId="5E042247" w:rsidR="003B6019" w:rsidRPr="008C54A5" w:rsidRDefault="003B6019" w:rsidP="003B6019">
      <w:r w:rsidRPr="008C54A5">
        <w:t xml:space="preserve">The risk of not implementing the incubation mechanism </w:t>
      </w:r>
      <w:r w:rsidR="006D3DCE">
        <w:t>is the lack of</w:t>
      </w:r>
      <w:r w:rsidRPr="008C54A5">
        <w:t xml:space="preserve"> flexibility for SG17 to allow a team to develop </w:t>
      </w:r>
      <w:r w:rsidR="00D72D06">
        <w:t>NWI</w:t>
      </w:r>
      <w:r w:rsidR="006D3DCE">
        <w:t>s</w:t>
      </w:r>
      <w:r w:rsidRPr="008C54A5">
        <w:t xml:space="preserve"> </w:t>
      </w:r>
      <w:r w:rsidR="00B76C84">
        <w:t>under</w:t>
      </w:r>
      <w:r w:rsidRPr="008C54A5">
        <w:t xml:space="preserve"> good conditions (</w:t>
      </w:r>
      <w:r w:rsidR="00B76C84">
        <w:t>this is the</w:t>
      </w:r>
      <w:r w:rsidRPr="008C54A5">
        <w:t xml:space="preserve"> </w:t>
      </w:r>
      <w:r w:rsidR="006D5668">
        <w:t>'</w:t>
      </w:r>
      <w:r w:rsidRPr="008C54A5">
        <w:t>risk of not doing</w:t>
      </w:r>
      <w:r w:rsidR="006D5668">
        <w:t>'</w:t>
      </w:r>
      <w:r w:rsidRPr="008C54A5">
        <w:t xml:space="preserve">). This would significantly increase the coordination level and would eventually lead to more arbitrariness in new structure decisions. In fact, it would significantly hinder the work of SG17 and it </w:t>
      </w:r>
      <w:r w:rsidR="00B76C84">
        <w:t>would</w:t>
      </w:r>
      <w:r w:rsidR="00B76C84" w:rsidRPr="008C54A5">
        <w:t xml:space="preserve"> </w:t>
      </w:r>
      <w:r w:rsidRPr="008C54A5">
        <w:t xml:space="preserve">require a major </w:t>
      </w:r>
      <w:r w:rsidR="006D5668">
        <w:t>'</w:t>
      </w:r>
      <w:r w:rsidRPr="008C54A5">
        <w:t>step function</w:t>
      </w:r>
      <w:r w:rsidR="006D5668">
        <w:t>'</w:t>
      </w:r>
      <w:r w:rsidRPr="008C54A5">
        <w:t xml:space="preserve"> to </w:t>
      </w:r>
      <w:r w:rsidR="00B76C84">
        <w:t>avoid</w:t>
      </w:r>
      <w:r w:rsidRPr="008C54A5">
        <w:t xml:space="preserve"> a dangerous plateau effect.</w:t>
      </w:r>
    </w:p>
    <w:p w14:paraId="51575466" w14:textId="1AA3D99A" w:rsidR="003B6019" w:rsidRPr="008C54A5" w:rsidRDefault="00D8117A" w:rsidP="003B6019">
      <w:pPr>
        <w:pStyle w:val="Heading4"/>
      </w:pPr>
      <w:bookmarkStart w:id="166" w:name="_Hlk169013064"/>
      <w:r>
        <w:t>III</w:t>
      </w:r>
      <w:r w:rsidR="003B6019" w:rsidRPr="008C54A5">
        <w:t>.1.2.3</w:t>
      </w:r>
      <w:r w:rsidR="003B6019" w:rsidRPr="008C54A5">
        <w:tab/>
      </w:r>
      <w:r w:rsidR="002A352A" w:rsidRPr="002A352A">
        <w:t>Risk of postponing the implementation of the incubation mechanism or of stopping the incubation process</w:t>
      </w:r>
      <w:bookmarkEnd w:id="166"/>
    </w:p>
    <w:p w14:paraId="1E4DA4DF" w14:textId="4E23B46F" w:rsidR="003B6019" w:rsidRPr="008C54A5" w:rsidRDefault="003B6019" w:rsidP="003B6019">
      <w:r w:rsidRPr="008C54A5">
        <w:t xml:space="preserve">The situation would </w:t>
      </w:r>
      <w:r w:rsidR="00B76C84">
        <w:t xml:space="preserve">create a </w:t>
      </w:r>
      <w:r w:rsidRPr="00FA68E9">
        <w:rPr>
          <w:bCs/>
        </w:rPr>
        <w:t>block</w:t>
      </w:r>
      <w:r w:rsidRPr="008C54A5">
        <w:t xml:space="preserve"> as changes to Questions would not be allowed. It would also block participants</w:t>
      </w:r>
      <w:r w:rsidR="006D5668">
        <w:t>'</w:t>
      </w:r>
      <w:r w:rsidRPr="008C54A5">
        <w:t xml:space="preserve"> position</w:t>
      </w:r>
      <w:r w:rsidR="00B76C84">
        <w:t>s</w:t>
      </w:r>
      <w:r w:rsidRPr="008C54A5">
        <w:t xml:space="preserve"> and in general would make it much harder to establish trust in the process and to allow evolution. This would cause a delay of six months for any decisions and would not resolve anything. </w:t>
      </w:r>
      <w:r w:rsidR="00B76C84">
        <w:t>It may</w:t>
      </w:r>
      <w:r w:rsidRPr="008C54A5">
        <w:t xml:space="preserve"> lead to a major crisis.</w:t>
      </w:r>
    </w:p>
    <w:p w14:paraId="23BAD45B" w14:textId="6120C0F3" w:rsidR="003B6019" w:rsidRPr="008C54A5" w:rsidRDefault="00D8117A" w:rsidP="003B6019">
      <w:pPr>
        <w:pStyle w:val="Heading2"/>
      </w:pPr>
      <w:bookmarkStart w:id="167" w:name="_Toc167434367"/>
      <w:bookmarkStart w:id="168" w:name="_Toc172128677"/>
      <w:bookmarkStart w:id="169" w:name="_Toc172128782"/>
      <w:r>
        <w:t>III</w:t>
      </w:r>
      <w:r w:rsidR="003B6019" w:rsidRPr="008C54A5">
        <w:t>.2</w:t>
      </w:r>
      <w:r w:rsidR="003B6019" w:rsidRPr="008C54A5">
        <w:tab/>
        <w:t>Alternatives and gap analysis to introduce innovation in standardization</w:t>
      </w:r>
      <w:bookmarkEnd w:id="167"/>
      <w:bookmarkEnd w:id="168"/>
      <w:bookmarkEnd w:id="169"/>
    </w:p>
    <w:p w14:paraId="51717CA0" w14:textId="37D3859F" w:rsidR="003B6019" w:rsidRPr="008C54A5" w:rsidRDefault="00D8117A" w:rsidP="003B6019">
      <w:pPr>
        <w:pStyle w:val="Heading3"/>
      </w:pPr>
      <w:r>
        <w:t>III</w:t>
      </w:r>
      <w:r w:rsidR="003B6019" w:rsidRPr="008C54A5">
        <w:t>.2.1</w:t>
      </w:r>
      <w:r w:rsidR="003B6019" w:rsidRPr="008C54A5">
        <w:tab/>
        <w:t>About innovation in security</w:t>
      </w:r>
    </w:p>
    <w:p w14:paraId="09C6F09A" w14:textId="48B9F037" w:rsidR="003B6019" w:rsidRPr="008C54A5" w:rsidRDefault="003B6019" w:rsidP="003B6019">
      <w:r w:rsidRPr="008C54A5">
        <w:t xml:space="preserve">Innovation is a normal element of any technological evolution and the result of various forces. </w:t>
      </w:r>
      <w:r w:rsidR="00B76C84">
        <w:t>However,</w:t>
      </w:r>
      <w:r w:rsidR="00B76C84" w:rsidRPr="008C54A5">
        <w:t xml:space="preserve"> </w:t>
      </w:r>
      <w:r w:rsidRPr="008C54A5">
        <w:t>in security, those forces have the specific nature of an arms race between attackers and defenders in the context of a technological war between key actors.</w:t>
      </w:r>
    </w:p>
    <w:p w14:paraId="3008FBB1" w14:textId="02EBBAC9" w:rsidR="003B6019" w:rsidRPr="008C54A5" w:rsidRDefault="003B6019" w:rsidP="003B6019">
      <w:r w:rsidRPr="008C54A5">
        <w:t xml:space="preserve">Standardization being one of the places where these forces materialize, it is therefore natural to observe a pressing need </w:t>
      </w:r>
      <w:r w:rsidR="00CA5D8F">
        <w:t>for</w:t>
      </w:r>
      <w:r w:rsidRPr="008C54A5">
        <w:t xml:space="preserve"> innovation at a high </w:t>
      </w:r>
      <w:r w:rsidR="00CA5D8F">
        <w:t>pace</w:t>
      </w:r>
      <w:r w:rsidR="00CA5D8F" w:rsidRPr="008C54A5">
        <w:t xml:space="preserve"> </w:t>
      </w:r>
      <w:r w:rsidRPr="008C54A5">
        <w:t xml:space="preserve">in security </w:t>
      </w:r>
      <w:r w:rsidR="00CA5D8F">
        <w:t xml:space="preserve">and </w:t>
      </w:r>
      <w:r w:rsidRPr="008C54A5">
        <w:t>in standardization.</w:t>
      </w:r>
    </w:p>
    <w:p w14:paraId="63AC9488" w14:textId="6D3B9994" w:rsidR="003B6019" w:rsidRPr="008C54A5" w:rsidRDefault="003B6019" w:rsidP="003B6019">
      <w:r w:rsidRPr="008C54A5">
        <w:t xml:space="preserve">This will happen at various stages, in prestandardization and then in standardization itself. </w:t>
      </w:r>
      <w:r w:rsidR="00CA5D8F">
        <w:t>However</w:t>
      </w:r>
      <w:r w:rsidRPr="008C54A5">
        <w:t xml:space="preserve">, with each </w:t>
      </w:r>
      <w:r w:rsidR="00CA5D8F">
        <w:t>standards development organization (</w:t>
      </w:r>
      <w:r w:rsidRPr="008C54A5">
        <w:t>SDO</w:t>
      </w:r>
      <w:r w:rsidR="00CA5D8F">
        <w:t>)</w:t>
      </w:r>
      <w:r w:rsidRPr="008C54A5">
        <w:t xml:space="preserve"> having its own governance, it might be more or less easy</w:t>
      </w:r>
      <w:r w:rsidR="00CA5D8F">
        <w:t xml:space="preserve"> at each</w:t>
      </w:r>
      <w:r w:rsidRPr="008C54A5">
        <w:t xml:space="preserve"> to introduce an efficient approach to innovation in standardization and in particular in security.</w:t>
      </w:r>
    </w:p>
    <w:p w14:paraId="6ECB2070" w14:textId="77777777" w:rsidR="003B6019" w:rsidRPr="008C54A5" w:rsidRDefault="003B6019" w:rsidP="003B6019">
      <w:r w:rsidRPr="008C54A5">
        <w:t>Identifying other mechanisms and ways to approach innovation in security can:</w:t>
      </w:r>
    </w:p>
    <w:p w14:paraId="01A84C45" w14:textId="12AE4C39" w:rsidR="003B6019" w:rsidRPr="008C54A5" w:rsidRDefault="003B6019" w:rsidP="003B6019">
      <w:pPr>
        <w:pStyle w:val="enumlev1"/>
      </w:pPr>
      <w:r w:rsidRPr="008C54A5">
        <w:t>–</w:t>
      </w:r>
      <w:r w:rsidRPr="008C54A5">
        <w:tab/>
        <w:t xml:space="preserve">Position the incubation mechanism </w:t>
      </w:r>
      <w:r w:rsidR="00CA5D8F">
        <w:t>for a wider</w:t>
      </w:r>
      <w:r w:rsidRPr="008C54A5">
        <w:t xml:space="preserve"> spectrum of innovation approaches;</w:t>
      </w:r>
    </w:p>
    <w:p w14:paraId="3082B5FB" w14:textId="43AEE0A0" w:rsidR="003B6019" w:rsidRPr="008C54A5" w:rsidRDefault="003B6019" w:rsidP="003B6019">
      <w:pPr>
        <w:pStyle w:val="enumlev1"/>
      </w:pPr>
      <w:r w:rsidRPr="008C54A5">
        <w:t>–</w:t>
      </w:r>
      <w:r w:rsidRPr="008C54A5">
        <w:tab/>
      </w:r>
      <w:r w:rsidR="00CA5D8F">
        <w:t>Provide information</w:t>
      </w:r>
      <w:r w:rsidR="00CA5D8F" w:rsidRPr="008C54A5">
        <w:t xml:space="preserve"> </w:t>
      </w:r>
      <w:r w:rsidRPr="008C54A5">
        <w:t>on how to maintain and/or develop the incubation mechanism.</w:t>
      </w:r>
    </w:p>
    <w:p w14:paraId="218C1988" w14:textId="1CEE44C3" w:rsidR="003B6019" w:rsidRPr="008C54A5" w:rsidRDefault="00D8117A" w:rsidP="003B6019">
      <w:pPr>
        <w:pStyle w:val="Heading3"/>
      </w:pPr>
      <w:r>
        <w:t>III</w:t>
      </w:r>
      <w:r w:rsidR="003B6019" w:rsidRPr="008C54A5">
        <w:t>.2.2</w:t>
      </w:r>
      <w:r w:rsidR="003B6019" w:rsidRPr="008C54A5">
        <w:tab/>
        <w:t>Other alternatives in the implementation of an incubation mechanism</w:t>
      </w:r>
    </w:p>
    <w:p w14:paraId="16BC2FFE" w14:textId="7BD0AEEC" w:rsidR="003B6019" w:rsidRPr="008C54A5" w:rsidRDefault="003B6019" w:rsidP="003B6019">
      <w:r w:rsidRPr="008C54A5">
        <w:t xml:space="preserve">For future development of this mechanism several </w:t>
      </w:r>
      <w:r w:rsidR="00CA5D8F" w:rsidRPr="008C54A5">
        <w:t xml:space="preserve">implementation </w:t>
      </w:r>
      <w:r w:rsidRPr="008C54A5">
        <w:t xml:space="preserve">alternatives could have been </w:t>
      </w:r>
      <w:r w:rsidR="00CA5D8F">
        <w:t>chosen</w:t>
      </w:r>
      <w:r w:rsidRPr="008C54A5">
        <w:t>.</w:t>
      </w:r>
    </w:p>
    <w:p w14:paraId="4C89DA3C" w14:textId="62DA8BFF" w:rsidR="003B6019" w:rsidRPr="008C54A5" w:rsidRDefault="00D8117A" w:rsidP="003B6019">
      <w:pPr>
        <w:pStyle w:val="Heading4"/>
      </w:pPr>
      <w:r>
        <w:t>III</w:t>
      </w:r>
      <w:r w:rsidR="003B6019" w:rsidRPr="008C54A5">
        <w:t>.2.2.1</w:t>
      </w:r>
      <w:r w:rsidR="003B6019" w:rsidRPr="008C54A5">
        <w:tab/>
        <w:t>Centrali</w:t>
      </w:r>
      <w:r w:rsidR="008C54A5">
        <w:t>z</w:t>
      </w:r>
      <w:r w:rsidR="003B6019" w:rsidRPr="008C54A5">
        <w:t>ed versus decentrali</w:t>
      </w:r>
      <w:r w:rsidR="008C54A5">
        <w:t>z</w:t>
      </w:r>
      <w:r w:rsidR="003B6019" w:rsidRPr="008C54A5">
        <w:t>ed</w:t>
      </w:r>
    </w:p>
    <w:p w14:paraId="5F85FF68" w14:textId="3F562B1F" w:rsidR="003B6019" w:rsidRPr="008C54A5" w:rsidRDefault="003B6019" w:rsidP="003B6019">
      <w:r w:rsidRPr="008C54A5">
        <w:t xml:space="preserve">Depending on the model of structure adopted by the Study Group, the incubation mechanism </w:t>
      </w:r>
      <w:r w:rsidR="00CA5D8F">
        <w:t>could</w:t>
      </w:r>
      <w:r w:rsidR="00CA5D8F" w:rsidRPr="008C54A5">
        <w:t xml:space="preserve"> </w:t>
      </w:r>
      <w:r w:rsidRPr="008C54A5">
        <w:t xml:space="preserve">be implemented </w:t>
      </w:r>
      <w:r w:rsidR="006D5668">
        <w:t>'</w:t>
      </w:r>
      <w:r w:rsidRPr="008C54A5">
        <w:t>centrally</w:t>
      </w:r>
      <w:r w:rsidR="006D5668">
        <w:t>'</w:t>
      </w:r>
      <w:r w:rsidR="00CA5D8F">
        <w:t>,</w:t>
      </w:r>
      <w:r w:rsidRPr="008C54A5">
        <w:t xml:space="preserve"> meaning attached to one incubation question as implemented at present</w:t>
      </w:r>
      <w:r w:rsidR="00E72C3F">
        <w:t>,</w:t>
      </w:r>
      <w:r w:rsidRPr="008C54A5">
        <w:t xml:space="preserve"> or it could </w:t>
      </w:r>
      <w:r w:rsidR="00E72C3F">
        <w:t>be</w:t>
      </w:r>
      <w:r w:rsidRPr="008C54A5">
        <w:t xml:space="preserve"> dispatched across a few questions.</w:t>
      </w:r>
    </w:p>
    <w:p w14:paraId="32A42594" w14:textId="7AB2D37D" w:rsidR="003B6019" w:rsidRPr="008C54A5" w:rsidRDefault="003B6019" w:rsidP="003B6019">
      <w:r w:rsidRPr="008C54A5">
        <w:t xml:space="preserve">Indeed, should there be a </w:t>
      </w:r>
      <w:r w:rsidR="0036584C">
        <w:t>S</w:t>
      </w:r>
      <w:r w:rsidRPr="008C54A5">
        <w:t xml:space="preserve">tudy </w:t>
      </w:r>
      <w:r w:rsidR="0036584C">
        <w:t>G</w:t>
      </w:r>
      <w:r w:rsidRPr="008C54A5">
        <w:t xml:space="preserve">roup with empowered working parties, there could </w:t>
      </w:r>
      <w:r w:rsidR="00E72C3F">
        <w:t>be</w:t>
      </w:r>
      <w:r w:rsidR="00E72C3F" w:rsidRPr="008C54A5">
        <w:t xml:space="preserve"> </w:t>
      </w:r>
      <w:r w:rsidRPr="008C54A5">
        <w:t xml:space="preserve">one </w:t>
      </w:r>
      <w:r w:rsidR="006D5668">
        <w:t>'</w:t>
      </w:r>
      <w:r w:rsidR="00E72C3F">
        <w:t>parent</w:t>
      </w:r>
      <w:r w:rsidRPr="008C54A5">
        <w:t> question</w:t>
      </w:r>
      <w:r w:rsidR="006D5668">
        <w:t>'</w:t>
      </w:r>
      <w:r w:rsidRPr="008C54A5">
        <w:t xml:space="preserve"> per working party that could host an incubation queue for the working party. As such it would be a good way to distribute the emerging and innovation topics across the </w:t>
      </w:r>
      <w:r w:rsidR="00774EC4">
        <w:t>S</w:t>
      </w:r>
      <w:r w:rsidRPr="008C54A5">
        <w:t xml:space="preserve">tudy </w:t>
      </w:r>
      <w:r w:rsidR="00774EC4">
        <w:t>G</w:t>
      </w:r>
      <w:r w:rsidRPr="008C54A5">
        <w:t>roups to balance potential workload issues.</w:t>
      </w:r>
    </w:p>
    <w:p w14:paraId="5E426EB6" w14:textId="39684FBB" w:rsidR="003B6019" w:rsidRPr="008C54A5" w:rsidRDefault="00D8117A" w:rsidP="003B6019">
      <w:pPr>
        <w:pStyle w:val="Heading4"/>
      </w:pPr>
      <w:r>
        <w:t>III</w:t>
      </w:r>
      <w:r w:rsidR="003B6019" w:rsidRPr="008C54A5">
        <w:t>.2.2.2</w:t>
      </w:r>
      <w:r w:rsidR="003B6019" w:rsidRPr="008C54A5">
        <w:tab/>
        <w:t>Emerging topics on dedicated question</w:t>
      </w:r>
    </w:p>
    <w:p w14:paraId="359E350D" w14:textId="54D0479C" w:rsidR="003B6019" w:rsidRPr="008C54A5" w:rsidRDefault="003B6019" w:rsidP="003B6019">
      <w:r w:rsidRPr="008C54A5">
        <w:t xml:space="preserve">Another alternative is for the </w:t>
      </w:r>
      <w:r w:rsidR="0036584C">
        <w:t>S</w:t>
      </w:r>
      <w:r w:rsidRPr="008C54A5">
        <w:t xml:space="preserve">tudy </w:t>
      </w:r>
      <w:r w:rsidR="0036584C">
        <w:t>G</w:t>
      </w:r>
      <w:r w:rsidRPr="008C54A5">
        <w:t>roup to dedicate a full question solely to emerging topics</w:t>
      </w:r>
      <w:r w:rsidR="00E72C3F">
        <w:t>,</w:t>
      </w:r>
      <w:r w:rsidRPr="008C54A5">
        <w:t xml:space="preserve"> which would be one specialization of a centralization approach. The incubation mechanism would still be useful especially because of its incubation allocation part 1 as an important immediate first step after the opening plenary</w:t>
      </w:r>
      <w:r w:rsidR="00E72C3F">
        <w:t>,</w:t>
      </w:r>
      <w:r w:rsidRPr="008C54A5">
        <w:t xml:space="preserve"> which </w:t>
      </w:r>
      <w:r w:rsidR="00E72C3F">
        <w:t xml:space="preserve">has </w:t>
      </w:r>
      <w:r w:rsidRPr="008C54A5">
        <w:t>allowed agree</w:t>
      </w:r>
      <w:r w:rsidR="00E72C3F">
        <w:t>ment on</w:t>
      </w:r>
      <w:r w:rsidRPr="008C54A5">
        <w:t xml:space="preserve"> all ambiguous cases and allow</w:t>
      </w:r>
      <w:r w:rsidR="00E72C3F">
        <w:t>ed</w:t>
      </w:r>
      <w:r w:rsidRPr="008C54A5">
        <w:t xml:space="preserve"> a smooth execution of all meetings so far.</w:t>
      </w:r>
    </w:p>
    <w:p w14:paraId="11661402" w14:textId="64BCBBC5" w:rsidR="003B6019" w:rsidRPr="008C54A5" w:rsidRDefault="00D8117A" w:rsidP="003B6019">
      <w:pPr>
        <w:pStyle w:val="Heading2"/>
      </w:pPr>
      <w:bookmarkStart w:id="170" w:name="_Toc167434368"/>
      <w:bookmarkStart w:id="171" w:name="_Toc172128678"/>
      <w:bookmarkStart w:id="172" w:name="_Toc172128783"/>
      <w:r>
        <w:t>III</w:t>
      </w:r>
      <w:r w:rsidR="003B6019" w:rsidRPr="008C54A5">
        <w:t>.3</w:t>
      </w:r>
      <w:r w:rsidR="003B6019" w:rsidRPr="008C54A5">
        <w:tab/>
        <w:t>Other mechanisms dealing with innovation within ITU and their relationship to incubation mechanism</w:t>
      </w:r>
      <w:bookmarkEnd w:id="170"/>
      <w:bookmarkEnd w:id="171"/>
      <w:bookmarkEnd w:id="172"/>
    </w:p>
    <w:p w14:paraId="141A53DE" w14:textId="7EFA330F" w:rsidR="003B6019" w:rsidRPr="008C54A5" w:rsidRDefault="00D8117A" w:rsidP="003B6019">
      <w:pPr>
        <w:pStyle w:val="Heading3"/>
      </w:pPr>
      <w:r>
        <w:t>III</w:t>
      </w:r>
      <w:r w:rsidR="003B6019" w:rsidRPr="008C54A5">
        <w:t>.3.1</w:t>
      </w:r>
      <w:r w:rsidR="003B6019" w:rsidRPr="008C54A5">
        <w:tab/>
        <w:t>TSAG hot topic</w:t>
      </w:r>
    </w:p>
    <w:p w14:paraId="51101588" w14:textId="2A426512" w:rsidR="003B6019" w:rsidRPr="008C54A5" w:rsidRDefault="003B6019" w:rsidP="003B6019">
      <w:r w:rsidRPr="008C54A5">
        <w:t xml:space="preserve">The rapporteur group for standardization strategies (RG-SS) under TSAG took the task to collect and aggregate proposed </w:t>
      </w:r>
      <w:r w:rsidR="006D5668">
        <w:t>'</w:t>
      </w:r>
      <w:r w:rsidRPr="008C54A5">
        <w:t>hot topics</w:t>
      </w:r>
      <w:r w:rsidR="006D5668">
        <w:t>'</w:t>
      </w:r>
      <w:r w:rsidRPr="008C54A5">
        <w:t xml:space="preserve"> from any of ITU-T entities in addition to ITU-T </w:t>
      </w:r>
      <w:r w:rsidR="00DD7074">
        <w:t>chief technology officer (</w:t>
      </w:r>
      <w:r w:rsidRPr="008C54A5">
        <w:t>CTO</w:t>
      </w:r>
      <w:r w:rsidR="00DD7074">
        <w:t>)</w:t>
      </w:r>
      <w:r w:rsidRPr="008C54A5">
        <w:t xml:space="preserve"> and </w:t>
      </w:r>
      <w:r w:rsidR="00DD7074">
        <w:t>chief "whatever" officer (</w:t>
      </w:r>
      <w:r w:rsidRPr="00DD7074">
        <w:t>CxO</w:t>
      </w:r>
      <w:r w:rsidR="00DD7074">
        <w:t>)</w:t>
      </w:r>
      <w:r w:rsidRPr="008C54A5">
        <w:t xml:space="preserve"> meetings.</w:t>
      </w:r>
    </w:p>
    <w:p w14:paraId="7116F0D9" w14:textId="30FC110C" w:rsidR="003B6019" w:rsidRPr="008C54A5" w:rsidRDefault="003B6019" w:rsidP="003B6019">
      <w:r w:rsidRPr="008C54A5">
        <w:t>Whil</w:t>
      </w:r>
      <w:r w:rsidR="008C54A5">
        <w:t>e</w:t>
      </w:r>
      <w:r w:rsidRPr="008C54A5">
        <w:t xml:space="preserve"> </w:t>
      </w:r>
      <w:r w:rsidR="006D5668">
        <w:t>'</w:t>
      </w:r>
      <w:r w:rsidRPr="008C54A5">
        <w:t>hot topics</w:t>
      </w:r>
      <w:r w:rsidR="006D5668">
        <w:t>'</w:t>
      </w:r>
      <w:r w:rsidRPr="008C54A5">
        <w:t xml:space="preserve"> do not seem to be explicitly defined, some delegates interpreted </w:t>
      </w:r>
      <w:r w:rsidR="00990A4B">
        <w:t>them</w:t>
      </w:r>
      <w:r w:rsidRPr="008C54A5">
        <w:t xml:space="preserve"> as </w:t>
      </w:r>
      <w:r w:rsidR="00DD7074">
        <w:t xml:space="preserve">being any </w:t>
      </w:r>
      <w:r w:rsidRPr="008C54A5">
        <w:t>topic relat</w:t>
      </w:r>
      <w:r w:rsidR="00DD7074">
        <w:t>ed</w:t>
      </w:r>
      <w:r w:rsidRPr="008C54A5">
        <w:t xml:space="preserve"> to innovation</w:t>
      </w:r>
      <w:r w:rsidR="00990A4B">
        <w:t>,</w:t>
      </w:r>
      <w:r w:rsidRPr="008C54A5">
        <w:t xml:space="preserve"> with the idea to make this list visible and shared in particular for study groups to have a chance to potentially coordinate and collaborate on joint topics.</w:t>
      </w:r>
    </w:p>
    <w:p w14:paraId="1822AAFF" w14:textId="7164C702" w:rsidR="003B6019" w:rsidRPr="008C54A5" w:rsidRDefault="003B6019" w:rsidP="003B6019">
      <w:r w:rsidRPr="008C54A5">
        <w:t>The incubation mechanism can be a source of information from the study group to TSAG to declare new 'hot topics'</w:t>
      </w:r>
      <w:r w:rsidR="008317C8">
        <w:t xml:space="preserve"> and</w:t>
      </w:r>
      <w:r w:rsidRPr="008C54A5">
        <w:t xml:space="preserve"> 'sub hot topics' or enrich the qualification of existing ones and so could </w:t>
      </w:r>
      <w:r w:rsidR="008317C8">
        <w:t>contribute</w:t>
      </w:r>
      <w:r w:rsidR="008317C8" w:rsidRPr="008C54A5">
        <w:t xml:space="preserve"> </w:t>
      </w:r>
      <w:r w:rsidRPr="008C54A5">
        <w:t>to informing any potential outgoing liaison statement from the study group to TSAG.</w:t>
      </w:r>
    </w:p>
    <w:p w14:paraId="0506BD5A" w14:textId="01DA2068" w:rsidR="003B6019" w:rsidRPr="008C54A5" w:rsidRDefault="00D8117A" w:rsidP="003B6019">
      <w:pPr>
        <w:pStyle w:val="Heading3"/>
      </w:pPr>
      <w:r>
        <w:t>III</w:t>
      </w:r>
      <w:r w:rsidR="003B6019" w:rsidRPr="008C54A5">
        <w:t>.3.2</w:t>
      </w:r>
      <w:r w:rsidR="003B6019" w:rsidRPr="008C54A5">
        <w:tab/>
        <w:t>Focus groups</w:t>
      </w:r>
    </w:p>
    <w:p w14:paraId="6E9AC876" w14:textId="2819E823" w:rsidR="003B6019" w:rsidRPr="008C54A5" w:rsidRDefault="003B6019" w:rsidP="003B6019">
      <w:r w:rsidRPr="008C54A5">
        <w:t xml:space="preserve">Focus groups are defined by </w:t>
      </w:r>
      <w:r w:rsidR="008317C8" w:rsidRPr="00FA68E9">
        <w:t>[b-ITU-T A.7]</w:t>
      </w:r>
      <w:r w:rsidRPr="008C54A5">
        <w:t xml:space="preserve"> and provide a way to manage innovation for the objective of pre-standardization.</w:t>
      </w:r>
    </w:p>
    <w:p w14:paraId="43093B7F" w14:textId="084A1F26" w:rsidR="003B6019" w:rsidRPr="008C54A5" w:rsidRDefault="003B6019" w:rsidP="003B6019">
      <w:r w:rsidRPr="008C54A5">
        <w:t xml:space="preserve">In comparison, the incubation mechanism is a tactical and lightweight instrument for the </w:t>
      </w:r>
      <w:r w:rsidR="0036584C">
        <w:t>S</w:t>
      </w:r>
      <w:r w:rsidRPr="008C54A5">
        <w:t xml:space="preserve">tudy </w:t>
      </w:r>
      <w:r w:rsidR="0036584C">
        <w:t>G</w:t>
      </w:r>
      <w:r w:rsidRPr="008C54A5">
        <w:t>roup to manage innovation that is ready for standardization as well as to develop analysis for potential future work through non-normative work items.</w:t>
      </w:r>
    </w:p>
    <w:p w14:paraId="543C4EE0" w14:textId="33A880B8" w:rsidR="003B6019" w:rsidRPr="008C54A5" w:rsidRDefault="00D8117A" w:rsidP="003B6019">
      <w:pPr>
        <w:pStyle w:val="Heading2"/>
      </w:pPr>
      <w:bookmarkStart w:id="173" w:name="_Toc167434369"/>
      <w:bookmarkStart w:id="174" w:name="_Toc172128679"/>
      <w:bookmarkStart w:id="175" w:name="_Toc172128784"/>
      <w:r>
        <w:t>III</w:t>
      </w:r>
      <w:r w:rsidR="003B6019" w:rsidRPr="008C54A5">
        <w:t>.4</w:t>
      </w:r>
      <w:r w:rsidR="003B6019" w:rsidRPr="008C54A5">
        <w:tab/>
        <w:t>Gap analysis with other SDOs</w:t>
      </w:r>
      <w:bookmarkEnd w:id="173"/>
      <w:bookmarkEnd w:id="174"/>
      <w:bookmarkEnd w:id="175"/>
    </w:p>
    <w:p w14:paraId="28AADC1D" w14:textId="4AE8A5D4" w:rsidR="003B6019" w:rsidRPr="008C54A5" w:rsidRDefault="003B6019" w:rsidP="003B6019">
      <w:r w:rsidRPr="008C54A5">
        <w:t>Table</w:t>
      </w:r>
      <w:r w:rsidR="00FA68E9">
        <w:t> III.1</w:t>
      </w:r>
      <w:r w:rsidR="007379DA" w:rsidRPr="008C54A5">
        <w:t xml:space="preserve"> </w:t>
      </w:r>
      <w:r w:rsidRPr="008C54A5">
        <w:t>provides a high-level view of the main approaches, if any, of some other SDOs to innovation.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775"/>
        <w:gridCol w:w="1145"/>
        <w:gridCol w:w="1367"/>
        <w:gridCol w:w="3457"/>
      </w:tblGrid>
      <w:tr w:rsidR="003B6019" w:rsidRPr="008C54A5" w14:paraId="34535ACE" w14:textId="77777777" w:rsidTr="00087537">
        <w:trPr>
          <w:tblHeader/>
          <w:jc w:val="center"/>
        </w:trPr>
        <w:tc>
          <w:tcPr>
            <w:tcW w:w="9639" w:type="dxa"/>
            <w:gridSpan w:val="5"/>
            <w:tcBorders>
              <w:top w:val="nil"/>
              <w:left w:val="nil"/>
              <w:right w:val="nil"/>
            </w:tcBorders>
            <w:shd w:val="clear" w:color="auto" w:fill="auto"/>
          </w:tcPr>
          <w:p w14:paraId="3DCB1E3A" w14:textId="2E0FBEF6" w:rsidR="003B6019" w:rsidRPr="008C54A5" w:rsidRDefault="003B6019" w:rsidP="00087537">
            <w:pPr>
              <w:pStyle w:val="TableNoTitle0"/>
            </w:pPr>
            <w:r w:rsidRPr="008C54A5">
              <w:t xml:space="preserve">Table </w:t>
            </w:r>
            <w:r w:rsidR="00FA68E9">
              <w:t>III.1</w:t>
            </w:r>
            <w:r w:rsidRPr="008C54A5">
              <w:t xml:space="preserve"> – High-level view on how innovation is dealt with by </w:t>
            </w:r>
            <w:r w:rsidRPr="008C54A5">
              <w:br/>
              <w:t>different SDOs (non-exhaustive)</w:t>
            </w:r>
          </w:p>
        </w:tc>
      </w:tr>
      <w:tr w:rsidR="003B6019" w:rsidRPr="008C54A5" w14:paraId="1A7291D8" w14:textId="77777777" w:rsidTr="00FA68E9">
        <w:trPr>
          <w:tblHeader/>
          <w:jc w:val="center"/>
        </w:trPr>
        <w:tc>
          <w:tcPr>
            <w:tcW w:w="895" w:type="dxa"/>
            <w:shd w:val="clear" w:color="auto" w:fill="auto"/>
            <w:vAlign w:val="center"/>
          </w:tcPr>
          <w:p w14:paraId="7CCF7277" w14:textId="77777777" w:rsidR="003B6019" w:rsidRPr="008C54A5" w:rsidRDefault="003B6019" w:rsidP="00087537">
            <w:pPr>
              <w:pStyle w:val="Tablehead"/>
            </w:pPr>
            <w:r w:rsidRPr="008C54A5">
              <w:t>SDO</w:t>
            </w:r>
          </w:p>
        </w:tc>
        <w:tc>
          <w:tcPr>
            <w:tcW w:w="2775" w:type="dxa"/>
            <w:shd w:val="clear" w:color="auto" w:fill="auto"/>
            <w:vAlign w:val="center"/>
          </w:tcPr>
          <w:p w14:paraId="3D673312" w14:textId="6A601DA9" w:rsidR="003B6019" w:rsidRPr="008C54A5" w:rsidRDefault="003B6019" w:rsidP="00087537">
            <w:pPr>
              <w:pStyle w:val="Tablehead"/>
            </w:pPr>
            <w:r w:rsidRPr="008C54A5">
              <w:t xml:space="preserve">Mechanisms to deal </w:t>
            </w:r>
            <w:r w:rsidR="00FA68E9">
              <w:br/>
            </w:r>
            <w:r w:rsidRPr="008C54A5">
              <w:t>with innovation</w:t>
            </w:r>
          </w:p>
        </w:tc>
        <w:tc>
          <w:tcPr>
            <w:tcW w:w="1145" w:type="dxa"/>
            <w:shd w:val="clear" w:color="auto" w:fill="auto"/>
            <w:vAlign w:val="center"/>
          </w:tcPr>
          <w:p w14:paraId="3B1F0C7C" w14:textId="0CA0FFAF" w:rsidR="003B6019" w:rsidRPr="008C54A5" w:rsidRDefault="00E00D9B" w:rsidP="00E00D9B">
            <w:pPr>
              <w:pStyle w:val="Tablehead"/>
            </w:pPr>
            <w:r>
              <w:t>Abbre</w:t>
            </w:r>
            <w:r w:rsidR="00FA68E9">
              <w:t>-</w:t>
            </w:r>
            <w:r>
              <w:t>viation</w:t>
            </w:r>
          </w:p>
        </w:tc>
        <w:tc>
          <w:tcPr>
            <w:tcW w:w="1367" w:type="dxa"/>
            <w:shd w:val="clear" w:color="auto" w:fill="auto"/>
            <w:vAlign w:val="center"/>
          </w:tcPr>
          <w:p w14:paraId="312ECDCF" w14:textId="77777777" w:rsidR="003B6019" w:rsidRPr="008C54A5" w:rsidRDefault="003B6019" w:rsidP="00E00D9B">
            <w:pPr>
              <w:pStyle w:val="Tablehead"/>
            </w:pPr>
            <w:r w:rsidRPr="008C54A5">
              <w:t>Status</w:t>
            </w:r>
          </w:p>
        </w:tc>
        <w:tc>
          <w:tcPr>
            <w:tcW w:w="3457" w:type="dxa"/>
            <w:shd w:val="clear" w:color="auto" w:fill="auto"/>
            <w:vAlign w:val="center"/>
          </w:tcPr>
          <w:p w14:paraId="6B9A5317" w14:textId="77777777" w:rsidR="003B6019" w:rsidRPr="008C54A5" w:rsidRDefault="003B6019" w:rsidP="00087537">
            <w:pPr>
              <w:pStyle w:val="Tablehead"/>
            </w:pPr>
            <w:r w:rsidRPr="008C54A5">
              <w:t>Comments</w:t>
            </w:r>
          </w:p>
        </w:tc>
      </w:tr>
      <w:tr w:rsidR="003B6019" w:rsidRPr="008C54A5" w14:paraId="13B9E74E" w14:textId="77777777" w:rsidTr="00087537">
        <w:trPr>
          <w:jc w:val="center"/>
        </w:trPr>
        <w:tc>
          <w:tcPr>
            <w:tcW w:w="895" w:type="dxa"/>
          </w:tcPr>
          <w:p w14:paraId="3851C1F1" w14:textId="77777777" w:rsidR="003B6019" w:rsidRPr="008C54A5" w:rsidRDefault="003B6019" w:rsidP="00087537">
            <w:pPr>
              <w:pStyle w:val="Tabletext"/>
            </w:pPr>
            <w:r w:rsidRPr="008C54A5">
              <w:t>ITU-T</w:t>
            </w:r>
          </w:p>
        </w:tc>
        <w:tc>
          <w:tcPr>
            <w:tcW w:w="2775" w:type="dxa"/>
          </w:tcPr>
          <w:p w14:paraId="338A166A" w14:textId="0FC700B6" w:rsidR="003B6019" w:rsidRPr="008C54A5" w:rsidRDefault="003B6019" w:rsidP="00087537">
            <w:pPr>
              <w:pStyle w:val="Tabletext"/>
            </w:pPr>
            <w:r w:rsidRPr="008C54A5">
              <w:t>Focus group at S</w:t>
            </w:r>
            <w:r w:rsidR="008C54A5">
              <w:t xml:space="preserve">tudy </w:t>
            </w:r>
            <w:r w:rsidRPr="008C54A5">
              <w:t>G</w:t>
            </w:r>
            <w:r w:rsidR="008C54A5">
              <w:t>roup</w:t>
            </w:r>
            <w:r w:rsidRPr="008C54A5">
              <w:t xml:space="preserve"> level</w:t>
            </w:r>
          </w:p>
        </w:tc>
        <w:tc>
          <w:tcPr>
            <w:tcW w:w="1145" w:type="dxa"/>
          </w:tcPr>
          <w:p w14:paraId="538AAE82" w14:textId="77777777" w:rsidR="003B6019" w:rsidRPr="008C54A5" w:rsidRDefault="003B6019" w:rsidP="00FA68E9">
            <w:pPr>
              <w:pStyle w:val="Tabletext"/>
              <w:jc w:val="center"/>
            </w:pPr>
            <w:r w:rsidRPr="008C54A5">
              <w:t>FG</w:t>
            </w:r>
          </w:p>
        </w:tc>
        <w:tc>
          <w:tcPr>
            <w:tcW w:w="1367" w:type="dxa"/>
          </w:tcPr>
          <w:p w14:paraId="0A558E71" w14:textId="77777777" w:rsidR="003B6019" w:rsidRPr="008C54A5" w:rsidRDefault="003B6019" w:rsidP="00FA68E9">
            <w:pPr>
              <w:pStyle w:val="Tabletext"/>
              <w:jc w:val="center"/>
            </w:pPr>
            <w:r w:rsidRPr="008C54A5">
              <w:t>In place</w:t>
            </w:r>
          </w:p>
        </w:tc>
        <w:tc>
          <w:tcPr>
            <w:tcW w:w="3457" w:type="dxa"/>
          </w:tcPr>
          <w:p w14:paraId="0F463708" w14:textId="77777777" w:rsidR="003B6019" w:rsidRPr="008C54A5" w:rsidRDefault="003B6019" w:rsidP="00087537">
            <w:pPr>
              <w:pStyle w:val="Tabletext"/>
            </w:pPr>
          </w:p>
        </w:tc>
      </w:tr>
      <w:tr w:rsidR="003B6019" w:rsidRPr="008C54A5" w14:paraId="4B6AF705" w14:textId="77777777" w:rsidTr="00087537">
        <w:trPr>
          <w:jc w:val="center"/>
        </w:trPr>
        <w:tc>
          <w:tcPr>
            <w:tcW w:w="895" w:type="dxa"/>
          </w:tcPr>
          <w:p w14:paraId="5DEB540E" w14:textId="77777777" w:rsidR="003B6019" w:rsidRPr="008C54A5" w:rsidRDefault="003B6019" w:rsidP="00087537">
            <w:pPr>
              <w:pStyle w:val="Tabletext"/>
            </w:pPr>
            <w:r w:rsidRPr="008C54A5">
              <w:t xml:space="preserve">ITU-T </w:t>
            </w:r>
          </w:p>
        </w:tc>
        <w:tc>
          <w:tcPr>
            <w:tcW w:w="2775" w:type="dxa"/>
          </w:tcPr>
          <w:p w14:paraId="28048A2F" w14:textId="77777777" w:rsidR="003B6019" w:rsidRPr="008C54A5" w:rsidRDefault="003B6019" w:rsidP="00087537">
            <w:pPr>
              <w:pStyle w:val="Tabletext"/>
            </w:pPr>
            <w:r w:rsidRPr="008C54A5">
              <w:t>Focus group at TSAG level</w:t>
            </w:r>
          </w:p>
        </w:tc>
        <w:tc>
          <w:tcPr>
            <w:tcW w:w="1145" w:type="dxa"/>
          </w:tcPr>
          <w:p w14:paraId="5135F288" w14:textId="77777777" w:rsidR="003B6019" w:rsidRPr="008C54A5" w:rsidRDefault="003B6019" w:rsidP="00FA68E9">
            <w:pPr>
              <w:pStyle w:val="Tabletext"/>
              <w:jc w:val="center"/>
            </w:pPr>
            <w:r w:rsidRPr="008C54A5">
              <w:t>FG</w:t>
            </w:r>
          </w:p>
        </w:tc>
        <w:tc>
          <w:tcPr>
            <w:tcW w:w="1367" w:type="dxa"/>
          </w:tcPr>
          <w:p w14:paraId="1DA633DC" w14:textId="77777777" w:rsidR="003B6019" w:rsidRPr="008C54A5" w:rsidRDefault="003B6019" w:rsidP="00FA68E9">
            <w:pPr>
              <w:pStyle w:val="Tabletext"/>
              <w:jc w:val="center"/>
            </w:pPr>
            <w:r w:rsidRPr="008C54A5">
              <w:t>In place</w:t>
            </w:r>
          </w:p>
        </w:tc>
        <w:tc>
          <w:tcPr>
            <w:tcW w:w="3457" w:type="dxa"/>
          </w:tcPr>
          <w:p w14:paraId="0C203A58" w14:textId="77777777" w:rsidR="003B6019" w:rsidRPr="008C54A5" w:rsidRDefault="003B6019" w:rsidP="00087537">
            <w:pPr>
              <w:pStyle w:val="Tabletext"/>
            </w:pPr>
          </w:p>
        </w:tc>
      </w:tr>
      <w:tr w:rsidR="003B6019" w:rsidRPr="008C54A5" w14:paraId="659F639F" w14:textId="77777777" w:rsidTr="00087537">
        <w:trPr>
          <w:jc w:val="center"/>
        </w:trPr>
        <w:tc>
          <w:tcPr>
            <w:tcW w:w="895" w:type="dxa"/>
          </w:tcPr>
          <w:p w14:paraId="6193455E" w14:textId="77777777" w:rsidR="003B6019" w:rsidRPr="008C54A5" w:rsidRDefault="003B6019" w:rsidP="00087537">
            <w:pPr>
              <w:pStyle w:val="Tabletext"/>
            </w:pPr>
            <w:r w:rsidRPr="008C54A5">
              <w:t>ITU-T</w:t>
            </w:r>
          </w:p>
        </w:tc>
        <w:tc>
          <w:tcPr>
            <w:tcW w:w="2775" w:type="dxa"/>
          </w:tcPr>
          <w:p w14:paraId="69D91D15" w14:textId="77777777" w:rsidR="003B6019" w:rsidRPr="008C54A5" w:rsidRDefault="003B6019" w:rsidP="00087537">
            <w:pPr>
              <w:pStyle w:val="Tabletext"/>
            </w:pPr>
            <w:r w:rsidRPr="008C54A5">
              <w:t>Incubation mechanism</w:t>
            </w:r>
          </w:p>
        </w:tc>
        <w:tc>
          <w:tcPr>
            <w:tcW w:w="1145" w:type="dxa"/>
          </w:tcPr>
          <w:p w14:paraId="493DAB16" w14:textId="77777777" w:rsidR="003B6019" w:rsidRPr="008C54A5" w:rsidRDefault="003B6019" w:rsidP="00FA68E9">
            <w:pPr>
              <w:pStyle w:val="Tabletext"/>
              <w:jc w:val="center"/>
            </w:pPr>
            <w:r w:rsidRPr="008C54A5">
              <w:t>None</w:t>
            </w:r>
          </w:p>
        </w:tc>
        <w:tc>
          <w:tcPr>
            <w:tcW w:w="1367" w:type="dxa"/>
          </w:tcPr>
          <w:p w14:paraId="5DD93984" w14:textId="77777777" w:rsidR="003B6019" w:rsidRPr="008C54A5" w:rsidRDefault="003B6019" w:rsidP="00FA68E9">
            <w:pPr>
              <w:pStyle w:val="Tabletext"/>
              <w:jc w:val="center"/>
            </w:pPr>
            <w:r w:rsidRPr="008C54A5">
              <w:t>In pilot</w:t>
            </w:r>
          </w:p>
        </w:tc>
        <w:tc>
          <w:tcPr>
            <w:tcW w:w="3457" w:type="dxa"/>
          </w:tcPr>
          <w:p w14:paraId="71806494" w14:textId="77777777" w:rsidR="003B6019" w:rsidRPr="008C54A5" w:rsidRDefault="003B6019" w:rsidP="00087537">
            <w:pPr>
              <w:pStyle w:val="Tabletext"/>
            </w:pPr>
            <w:r w:rsidRPr="008C54A5">
              <w:t>Considered by other SGs</w:t>
            </w:r>
          </w:p>
        </w:tc>
      </w:tr>
      <w:tr w:rsidR="003B6019" w:rsidRPr="008C54A5" w14:paraId="30D0C0B9" w14:textId="77777777" w:rsidTr="00087537">
        <w:trPr>
          <w:jc w:val="center"/>
        </w:trPr>
        <w:tc>
          <w:tcPr>
            <w:tcW w:w="895" w:type="dxa"/>
          </w:tcPr>
          <w:p w14:paraId="2EBDAD4B" w14:textId="77777777" w:rsidR="003B6019" w:rsidRPr="008C54A5" w:rsidRDefault="003B6019" w:rsidP="00087537">
            <w:pPr>
              <w:pStyle w:val="Tabletext"/>
            </w:pPr>
            <w:r w:rsidRPr="008C54A5">
              <w:t>ISO</w:t>
            </w:r>
          </w:p>
        </w:tc>
        <w:tc>
          <w:tcPr>
            <w:tcW w:w="2775" w:type="dxa"/>
          </w:tcPr>
          <w:p w14:paraId="3DADEA9E" w14:textId="77777777" w:rsidR="003B6019" w:rsidRPr="008C54A5" w:rsidRDefault="003B6019" w:rsidP="00087537">
            <w:pPr>
              <w:pStyle w:val="Tabletext"/>
            </w:pPr>
            <w:r w:rsidRPr="008C54A5">
              <w:t>Advisory group</w:t>
            </w:r>
          </w:p>
        </w:tc>
        <w:tc>
          <w:tcPr>
            <w:tcW w:w="1145" w:type="dxa"/>
          </w:tcPr>
          <w:p w14:paraId="540E771B" w14:textId="77777777" w:rsidR="003B6019" w:rsidRPr="008C54A5" w:rsidRDefault="003B6019" w:rsidP="00FA68E9">
            <w:pPr>
              <w:pStyle w:val="Tabletext"/>
              <w:jc w:val="center"/>
            </w:pPr>
            <w:r w:rsidRPr="008C54A5">
              <w:t>AG</w:t>
            </w:r>
          </w:p>
        </w:tc>
        <w:tc>
          <w:tcPr>
            <w:tcW w:w="1367" w:type="dxa"/>
          </w:tcPr>
          <w:p w14:paraId="49FC1A21" w14:textId="77777777" w:rsidR="003B6019" w:rsidRPr="008C54A5" w:rsidRDefault="003B6019" w:rsidP="00FA68E9">
            <w:pPr>
              <w:pStyle w:val="Tabletext"/>
              <w:jc w:val="center"/>
            </w:pPr>
            <w:r w:rsidRPr="008C54A5">
              <w:t>New</w:t>
            </w:r>
          </w:p>
        </w:tc>
        <w:tc>
          <w:tcPr>
            <w:tcW w:w="3457" w:type="dxa"/>
          </w:tcPr>
          <w:p w14:paraId="67833D3A" w14:textId="77777777" w:rsidR="003B6019" w:rsidRPr="008C54A5" w:rsidRDefault="003B6019" w:rsidP="00087537">
            <w:pPr>
              <w:pStyle w:val="Tabletext"/>
            </w:pPr>
            <w:r w:rsidRPr="008C54A5">
              <w:t>Transformed from another concept</w:t>
            </w:r>
          </w:p>
        </w:tc>
      </w:tr>
      <w:tr w:rsidR="003B6019" w:rsidRPr="008C54A5" w14:paraId="2B8C585F" w14:textId="77777777" w:rsidTr="00087537">
        <w:trPr>
          <w:jc w:val="center"/>
        </w:trPr>
        <w:tc>
          <w:tcPr>
            <w:tcW w:w="895" w:type="dxa"/>
          </w:tcPr>
          <w:p w14:paraId="537E4D33" w14:textId="77777777" w:rsidR="003B6019" w:rsidRPr="008C54A5" w:rsidRDefault="003B6019" w:rsidP="00087537">
            <w:pPr>
              <w:pStyle w:val="Tabletext"/>
            </w:pPr>
            <w:r w:rsidRPr="008C54A5">
              <w:t>ISO</w:t>
            </w:r>
          </w:p>
        </w:tc>
        <w:tc>
          <w:tcPr>
            <w:tcW w:w="2775" w:type="dxa"/>
          </w:tcPr>
          <w:p w14:paraId="2F648F1F" w14:textId="77777777" w:rsidR="003B6019" w:rsidRPr="008C54A5" w:rsidRDefault="003B6019" w:rsidP="00087537">
            <w:pPr>
              <w:pStyle w:val="Tabletext"/>
            </w:pPr>
            <w:r w:rsidRPr="008C54A5">
              <w:t>Preliminary work item</w:t>
            </w:r>
          </w:p>
        </w:tc>
        <w:tc>
          <w:tcPr>
            <w:tcW w:w="1145" w:type="dxa"/>
          </w:tcPr>
          <w:p w14:paraId="3FD359D3" w14:textId="77777777" w:rsidR="003B6019" w:rsidRPr="008C54A5" w:rsidRDefault="003B6019" w:rsidP="00FA68E9">
            <w:pPr>
              <w:pStyle w:val="Tabletext"/>
              <w:jc w:val="center"/>
            </w:pPr>
            <w:r w:rsidRPr="008C54A5">
              <w:t>PWI</w:t>
            </w:r>
          </w:p>
        </w:tc>
        <w:tc>
          <w:tcPr>
            <w:tcW w:w="1367" w:type="dxa"/>
          </w:tcPr>
          <w:p w14:paraId="2A29CB05" w14:textId="77777777" w:rsidR="003B6019" w:rsidRPr="008C54A5" w:rsidRDefault="003B6019" w:rsidP="00FA68E9">
            <w:pPr>
              <w:pStyle w:val="Tabletext"/>
              <w:jc w:val="center"/>
            </w:pPr>
            <w:r w:rsidRPr="008C54A5">
              <w:t>In place</w:t>
            </w:r>
          </w:p>
        </w:tc>
        <w:tc>
          <w:tcPr>
            <w:tcW w:w="3457" w:type="dxa"/>
          </w:tcPr>
          <w:p w14:paraId="205E50B7" w14:textId="6B60ACED" w:rsidR="003B6019" w:rsidRPr="008C54A5" w:rsidRDefault="003B6019" w:rsidP="00087537">
            <w:pPr>
              <w:pStyle w:val="Tabletext"/>
            </w:pPr>
            <w:r w:rsidRPr="008C54A5">
              <w:t xml:space="preserve">ISO/IEC JTC1/SC27 introduced a concept of </w:t>
            </w:r>
            <w:r w:rsidR="00163081">
              <w:t>"</w:t>
            </w:r>
            <w:r w:rsidRPr="008C54A5">
              <w:t>Preliminary Work Item</w:t>
            </w:r>
            <w:r w:rsidR="00163081">
              <w:t>"</w:t>
            </w:r>
            <w:r w:rsidRPr="008C54A5">
              <w:t xml:space="preserve"> (PWI) as a replacement for </w:t>
            </w:r>
            <w:r w:rsidR="00163081">
              <w:t>"</w:t>
            </w:r>
            <w:r w:rsidRPr="008C54A5">
              <w:t>Study Period</w:t>
            </w:r>
            <w:r w:rsidR="00163081">
              <w:t>"</w:t>
            </w:r>
            <w:r w:rsidRPr="008C54A5">
              <w:t xml:space="preserve"> (SP).</w:t>
            </w:r>
          </w:p>
          <w:p w14:paraId="5D4B4469" w14:textId="21A2A191" w:rsidR="003B6019" w:rsidRPr="008C54A5" w:rsidRDefault="003B6019" w:rsidP="00087537">
            <w:pPr>
              <w:pStyle w:val="Tabletext"/>
            </w:pPr>
            <w:r w:rsidRPr="008C54A5">
              <w:t>PWI seem to be interpretable as an incubation mechanism in SC27 and this can also echo to SG17's incubation mechanism.</w:t>
            </w:r>
          </w:p>
        </w:tc>
      </w:tr>
      <w:tr w:rsidR="003B6019" w:rsidRPr="008C54A5" w14:paraId="5D0E740E" w14:textId="77777777" w:rsidTr="00087537">
        <w:trPr>
          <w:jc w:val="center"/>
        </w:trPr>
        <w:tc>
          <w:tcPr>
            <w:tcW w:w="895" w:type="dxa"/>
          </w:tcPr>
          <w:p w14:paraId="42270163" w14:textId="77777777" w:rsidR="003B6019" w:rsidRPr="008C54A5" w:rsidRDefault="003B6019" w:rsidP="00087537">
            <w:pPr>
              <w:pStyle w:val="Tabletext"/>
            </w:pPr>
            <w:r w:rsidRPr="008C54A5">
              <w:t>IETF</w:t>
            </w:r>
          </w:p>
        </w:tc>
        <w:tc>
          <w:tcPr>
            <w:tcW w:w="2775" w:type="dxa"/>
          </w:tcPr>
          <w:p w14:paraId="6D6D1ABD" w14:textId="5A8629E8" w:rsidR="003B6019" w:rsidRPr="008C54A5" w:rsidRDefault="00E00D9B" w:rsidP="00087537">
            <w:pPr>
              <w:pStyle w:val="Tabletext"/>
            </w:pPr>
            <w:r w:rsidRPr="00FA68E9">
              <w:t>Bird</w:t>
            </w:r>
            <w:r>
              <w:t>s-</w:t>
            </w:r>
            <w:r w:rsidRPr="00FA68E9">
              <w:t>of</w:t>
            </w:r>
            <w:r>
              <w:t>-</w:t>
            </w:r>
            <w:r w:rsidRPr="00FA68E9">
              <w:t>a</w:t>
            </w:r>
            <w:r>
              <w:t>-f</w:t>
            </w:r>
            <w:r w:rsidRPr="00FA68E9">
              <w:t>eather</w:t>
            </w:r>
            <w:r>
              <w:t xml:space="preserve"> sessions</w:t>
            </w:r>
          </w:p>
        </w:tc>
        <w:tc>
          <w:tcPr>
            <w:tcW w:w="1145" w:type="dxa"/>
          </w:tcPr>
          <w:p w14:paraId="0DA7B475" w14:textId="77777777" w:rsidR="003B6019" w:rsidRPr="008C54A5" w:rsidRDefault="003B6019" w:rsidP="00FA68E9">
            <w:pPr>
              <w:pStyle w:val="Tabletext"/>
              <w:jc w:val="center"/>
            </w:pPr>
            <w:r w:rsidRPr="008C54A5">
              <w:t>BoF</w:t>
            </w:r>
          </w:p>
        </w:tc>
        <w:tc>
          <w:tcPr>
            <w:tcW w:w="1367" w:type="dxa"/>
          </w:tcPr>
          <w:p w14:paraId="75C2A047" w14:textId="77777777" w:rsidR="003B6019" w:rsidRPr="008C54A5" w:rsidRDefault="003B6019" w:rsidP="00FA68E9">
            <w:pPr>
              <w:pStyle w:val="Tabletext"/>
              <w:jc w:val="center"/>
            </w:pPr>
            <w:r w:rsidRPr="008C54A5">
              <w:t>In place</w:t>
            </w:r>
          </w:p>
        </w:tc>
        <w:tc>
          <w:tcPr>
            <w:tcW w:w="3457" w:type="dxa"/>
          </w:tcPr>
          <w:p w14:paraId="468BB157" w14:textId="0847D1C3" w:rsidR="003B6019" w:rsidRPr="008C54A5" w:rsidRDefault="001109F9" w:rsidP="00087537">
            <w:pPr>
              <w:pStyle w:val="Tabletext"/>
            </w:pPr>
            <w:hyperlink r:id="rId69" w:anchor="section-2.4" w:history="1">
              <w:r w:rsidR="003B6019" w:rsidRPr="00163081">
                <w:rPr>
                  <w:rStyle w:val="Hyperlink"/>
                </w:rPr>
                <w:t>RFC 2418 Section 2.4</w:t>
              </w:r>
            </w:hyperlink>
            <w:r w:rsidR="003B6019" w:rsidRPr="008C54A5">
              <w:t xml:space="preserve"> provides guidance and details about proposing a </w:t>
            </w:r>
            <w:r w:rsidR="00E00D9B">
              <w:t>b</w:t>
            </w:r>
            <w:r w:rsidR="003B6019" w:rsidRPr="008C54A5">
              <w:t>irds</w:t>
            </w:r>
            <w:r w:rsidR="00E00D9B">
              <w:t>-</w:t>
            </w:r>
            <w:r w:rsidR="00E00D9B" w:rsidRPr="00C1475C">
              <w:t>of</w:t>
            </w:r>
            <w:r w:rsidR="00E00D9B">
              <w:t>-</w:t>
            </w:r>
            <w:r w:rsidR="00E00D9B" w:rsidRPr="00C1475C">
              <w:t>a</w:t>
            </w:r>
            <w:r w:rsidR="00E00D9B">
              <w:t>-f</w:t>
            </w:r>
            <w:r w:rsidR="00E00D9B" w:rsidRPr="00C1475C">
              <w:t>eather</w:t>
            </w:r>
            <w:r w:rsidR="00E00D9B">
              <w:t xml:space="preserve"> sessions</w:t>
            </w:r>
            <w:r w:rsidR="003B6019" w:rsidRPr="008C54A5">
              <w:t>, particularly in the context of "IETF Working Group Guidelines and Procedures".</w:t>
            </w:r>
          </w:p>
          <w:p w14:paraId="781F1FA8" w14:textId="64C13C7D" w:rsidR="003B6019" w:rsidRPr="008C54A5" w:rsidRDefault="001109F9" w:rsidP="00087537">
            <w:pPr>
              <w:pStyle w:val="Tabletext"/>
              <w:rPr>
                <w:rFonts w:ascii="Montserrat" w:hAnsi="Montserrat"/>
                <w:color w:val="333741"/>
              </w:rPr>
            </w:pPr>
            <w:hyperlink r:id="rId70" w:history="1">
              <w:r w:rsidR="003B6019" w:rsidRPr="00B3779C">
                <w:rPr>
                  <w:rStyle w:val="Hyperlink"/>
                </w:rPr>
                <w:t>RFC 5434</w:t>
              </w:r>
            </w:hyperlink>
            <w:r w:rsidR="003B6019" w:rsidRPr="008C54A5">
              <w:t xml:space="preserve">, as its title suggests, provides "Considerations for Having a Successful Birds-of-a-Feather (BOF) </w:t>
            </w:r>
            <w:r w:rsidR="0036584C">
              <w:t>s</w:t>
            </w:r>
            <w:r w:rsidR="003B6019" w:rsidRPr="008C54A5">
              <w:t>ession</w:t>
            </w:r>
            <w:r w:rsidR="006D5668">
              <w:t>"</w:t>
            </w:r>
            <w:r w:rsidR="003B6019" w:rsidRPr="008C54A5">
              <w:t>.</w:t>
            </w:r>
          </w:p>
        </w:tc>
      </w:tr>
      <w:tr w:rsidR="003B6019" w:rsidRPr="008C54A5" w14:paraId="20CDF5B0" w14:textId="77777777" w:rsidTr="00087537">
        <w:trPr>
          <w:jc w:val="center"/>
        </w:trPr>
        <w:tc>
          <w:tcPr>
            <w:tcW w:w="895" w:type="dxa"/>
          </w:tcPr>
          <w:p w14:paraId="0E871907" w14:textId="77777777" w:rsidR="003B6019" w:rsidRPr="008C54A5" w:rsidRDefault="003B6019" w:rsidP="00087537">
            <w:pPr>
              <w:pStyle w:val="Tabletext"/>
            </w:pPr>
            <w:r w:rsidRPr="008C54A5">
              <w:t>IETF</w:t>
            </w:r>
          </w:p>
        </w:tc>
        <w:tc>
          <w:tcPr>
            <w:tcW w:w="2775" w:type="dxa"/>
          </w:tcPr>
          <w:p w14:paraId="6FD7D025" w14:textId="153CC4D0" w:rsidR="003B6019" w:rsidRPr="008C54A5" w:rsidRDefault="003B6019" w:rsidP="00087537">
            <w:pPr>
              <w:pStyle w:val="Tabletext"/>
            </w:pPr>
            <w:r w:rsidRPr="008C54A5">
              <w:t xml:space="preserve">Bar </w:t>
            </w:r>
            <w:r w:rsidR="00E00D9B">
              <w:t>b</w:t>
            </w:r>
            <w:r w:rsidR="00E00D9B" w:rsidRPr="00C1475C">
              <w:t>ird</w:t>
            </w:r>
            <w:r w:rsidR="00E00D9B">
              <w:t>s-</w:t>
            </w:r>
            <w:r w:rsidR="00E00D9B" w:rsidRPr="00C1475C">
              <w:t>of</w:t>
            </w:r>
            <w:r w:rsidR="00E00D9B">
              <w:t>-</w:t>
            </w:r>
            <w:r w:rsidR="00E00D9B" w:rsidRPr="00C1475C">
              <w:t>a</w:t>
            </w:r>
            <w:r w:rsidR="00E00D9B">
              <w:t>-f</w:t>
            </w:r>
            <w:r w:rsidR="00E00D9B" w:rsidRPr="00C1475C">
              <w:t>eather</w:t>
            </w:r>
            <w:r w:rsidR="00E00D9B">
              <w:t xml:space="preserve"> sessions</w:t>
            </w:r>
          </w:p>
        </w:tc>
        <w:tc>
          <w:tcPr>
            <w:tcW w:w="1145" w:type="dxa"/>
          </w:tcPr>
          <w:p w14:paraId="45591AE5" w14:textId="77777777" w:rsidR="003B6019" w:rsidRPr="008C54A5" w:rsidRDefault="003B6019" w:rsidP="00FA68E9">
            <w:pPr>
              <w:pStyle w:val="Tabletext"/>
              <w:jc w:val="center"/>
            </w:pPr>
            <w:r w:rsidRPr="008C54A5">
              <w:t>Bar BoF</w:t>
            </w:r>
          </w:p>
        </w:tc>
        <w:tc>
          <w:tcPr>
            <w:tcW w:w="1367" w:type="dxa"/>
          </w:tcPr>
          <w:p w14:paraId="06699BFC" w14:textId="77777777" w:rsidR="003B6019" w:rsidRPr="008C54A5" w:rsidRDefault="003B6019" w:rsidP="00FA68E9">
            <w:pPr>
              <w:pStyle w:val="Tabletext"/>
              <w:jc w:val="center"/>
            </w:pPr>
            <w:r w:rsidRPr="008C54A5">
              <w:t>In place</w:t>
            </w:r>
          </w:p>
        </w:tc>
        <w:tc>
          <w:tcPr>
            <w:tcW w:w="3457" w:type="dxa"/>
          </w:tcPr>
          <w:p w14:paraId="1C91CF64" w14:textId="77777777" w:rsidR="003B6019" w:rsidRPr="008C54A5" w:rsidRDefault="003B6019" w:rsidP="00087537">
            <w:pPr>
              <w:pStyle w:val="Tabletext"/>
            </w:pPr>
            <w:r w:rsidRPr="008C54A5">
              <w:t xml:space="preserve">Same as above but done informally. </w:t>
            </w:r>
          </w:p>
        </w:tc>
      </w:tr>
      <w:tr w:rsidR="003B6019" w:rsidRPr="008C54A5" w14:paraId="4DA8B549" w14:textId="77777777" w:rsidTr="00087537">
        <w:trPr>
          <w:jc w:val="center"/>
        </w:trPr>
        <w:tc>
          <w:tcPr>
            <w:tcW w:w="895" w:type="dxa"/>
          </w:tcPr>
          <w:p w14:paraId="185729EC" w14:textId="77777777" w:rsidR="003B6019" w:rsidRPr="008C54A5" w:rsidRDefault="003B6019" w:rsidP="00087537">
            <w:pPr>
              <w:pStyle w:val="Tabletext"/>
            </w:pPr>
            <w:r w:rsidRPr="008C54A5">
              <w:t>IETF</w:t>
            </w:r>
          </w:p>
        </w:tc>
        <w:tc>
          <w:tcPr>
            <w:tcW w:w="2775" w:type="dxa"/>
          </w:tcPr>
          <w:p w14:paraId="62EFF310" w14:textId="77777777" w:rsidR="003B6019" w:rsidRPr="008C54A5" w:rsidRDefault="003B6019" w:rsidP="00087537">
            <w:pPr>
              <w:pStyle w:val="Tabletext"/>
            </w:pPr>
            <w:r w:rsidRPr="008C54A5">
              <w:t>Dispatch</w:t>
            </w:r>
          </w:p>
        </w:tc>
        <w:tc>
          <w:tcPr>
            <w:tcW w:w="1145" w:type="dxa"/>
          </w:tcPr>
          <w:p w14:paraId="2A4C8CB9" w14:textId="77777777" w:rsidR="003B6019" w:rsidRPr="008C54A5" w:rsidRDefault="003B6019" w:rsidP="00FA68E9">
            <w:pPr>
              <w:pStyle w:val="Tabletext"/>
              <w:jc w:val="center"/>
            </w:pPr>
            <w:r w:rsidRPr="008C54A5">
              <w:t>Dispatch</w:t>
            </w:r>
          </w:p>
        </w:tc>
        <w:tc>
          <w:tcPr>
            <w:tcW w:w="1367" w:type="dxa"/>
          </w:tcPr>
          <w:p w14:paraId="55BF5BDD" w14:textId="77777777" w:rsidR="003B6019" w:rsidRPr="008C54A5" w:rsidRDefault="003B6019" w:rsidP="00FA68E9">
            <w:pPr>
              <w:pStyle w:val="Tabletext"/>
              <w:jc w:val="center"/>
            </w:pPr>
            <w:r w:rsidRPr="008C54A5">
              <w:t>In place</w:t>
            </w:r>
          </w:p>
        </w:tc>
        <w:tc>
          <w:tcPr>
            <w:tcW w:w="3457" w:type="dxa"/>
          </w:tcPr>
          <w:p w14:paraId="29341224" w14:textId="452BFDC6" w:rsidR="003B6019" w:rsidRPr="008C54A5" w:rsidRDefault="003B6019" w:rsidP="00087537">
            <w:pPr>
              <w:pStyle w:val="Tabletext"/>
            </w:pPr>
            <w:r w:rsidRPr="008C54A5">
              <w:t xml:space="preserve">IETF has mechanism which have some similarities with the incubation mechanism part 1. Indeed IETF has a working group called </w:t>
            </w:r>
            <w:hyperlink r:id="rId71" w:history="1">
              <w:r w:rsidRPr="008C54A5">
                <w:rPr>
                  <w:rStyle w:val="Hyperlink"/>
                </w:rPr>
                <w:t>gendispatch</w:t>
              </w:r>
            </w:hyperlink>
            <w:r w:rsidRPr="008C54A5">
              <w:t xml:space="preserve"> and another called </w:t>
            </w:r>
            <w:hyperlink r:id="rId72" w:history="1">
              <w:r w:rsidRPr="008C54A5">
                <w:rPr>
                  <w:rStyle w:val="Hyperlink"/>
                </w:rPr>
                <w:t>secdispatch</w:t>
              </w:r>
            </w:hyperlink>
            <w:r w:rsidRPr="008C54A5">
              <w:t xml:space="preserve">. They are based on </w:t>
            </w:r>
            <w:hyperlink r:id="rId73" w:history="1">
              <w:r w:rsidRPr="008C54A5">
                <w:rPr>
                  <w:rStyle w:val="Hyperlink"/>
                </w:rPr>
                <w:t>RFC7957</w:t>
              </w:r>
            </w:hyperlink>
            <w:r w:rsidRPr="008C54A5">
              <w:t xml:space="preserve">. IETF </w:t>
            </w:r>
            <w:r w:rsidR="00E00D9B">
              <w:t xml:space="preserve">has also </w:t>
            </w:r>
            <w:r w:rsidRPr="008C54A5">
              <w:t>published its working methods.</w:t>
            </w:r>
          </w:p>
        </w:tc>
      </w:tr>
      <w:tr w:rsidR="003B6019" w:rsidRPr="008C54A5" w14:paraId="136ACE9A" w14:textId="77777777" w:rsidTr="00087537">
        <w:trPr>
          <w:jc w:val="center"/>
        </w:trPr>
        <w:tc>
          <w:tcPr>
            <w:tcW w:w="895" w:type="dxa"/>
          </w:tcPr>
          <w:p w14:paraId="5C3F92ED" w14:textId="77777777" w:rsidR="003B6019" w:rsidRPr="008C54A5" w:rsidRDefault="003B6019" w:rsidP="00087537">
            <w:pPr>
              <w:pStyle w:val="Tabletext"/>
            </w:pPr>
            <w:r w:rsidRPr="008C54A5">
              <w:t>IETF</w:t>
            </w:r>
          </w:p>
        </w:tc>
        <w:tc>
          <w:tcPr>
            <w:tcW w:w="2775" w:type="dxa"/>
          </w:tcPr>
          <w:p w14:paraId="0DF46D09" w14:textId="77777777" w:rsidR="003B6019" w:rsidRPr="008C54A5" w:rsidRDefault="003B6019" w:rsidP="00087537">
            <w:pPr>
              <w:pStyle w:val="Tabletext"/>
            </w:pPr>
            <w:r w:rsidRPr="008C54A5">
              <w:t>Side meetings</w:t>
            </w:r>
          </w:p>
        </w:tc>
        <w:tc>
          <w:tcPr>
            <w:tcW w:w="1145" w:type="dxa"/>
          </w:tcPr>
          <w:p w14:paraId="7507AB10" w14:textId="77777777" w:rsidR="003B6019" w:rsidRPr="008C54A5" w:rsidRDefault="003B6019" w:rsidP="00FA68E9">
            <w:pPr>
              <w:pStyle w:val="Tabletext"/>
              <w:jc w:val="center"/>
            </w:pPr>
            <w:r w:rsidRPr="008C54A5">
              <w:t>Side meetings</w:t>
            </w:r>
          </w:p>
        </w:tc>
        <w:tc>
          <w:tcPr>
            <w:tcW w:w="1367" w:type="dxa"/>
          </w:tcPr>
          <w:p w14:paraId="423A78E0" w14:textId="77777777" w:rsidR="003B6019" w:rsidRPr="008C54A5" w:rsidRDefault="003B6019" w:rsidP="00FA68E9">
            <w:pPr>
              <w:pStyle w:val="Tabletext"/>
              <w:jc w:val="center"/>
            </w:pPr>
            <w:r w:rsidRPr="008C54A5">
              <w:t>In place</w:t>
            </w:r>
          </w:p>
        </w:tc>
        <w:tc>
          <w:tcPr>
            <w:tcW w:w="3457" w:type="dxa"/>
          </w:tcPr>
          <w:p w14:paraId="583C1126" w14:textId="31A1814C" w:rsidR="003B6019" w:rsidRPr="008C54A5" w:rsidRDefault="001109F9" w:rsidP="00087537">
            <w:pPr>
              <w:pStyle w:val="Tabletext"/>
            </w:pPr>
            <w:hyperlink r:id="rId74" w:history="1">
              <w:r w:rsidR="003B6019" w:rsidRPr="00B3779C">
                <w:rPr>
                  <w:rStyle w:val="Hyperlink"/>
                </w:rPr>
                <w:t>RFC 6771</w:t>
              </w:r>
            </w:hyperlink>
            <w:r w:rsidR="003B6019" w:rsidRPr="008C54A5">
              <w:t> provides guidelines on how to have a side meeting to work on a possible proposal for new work in the IETF.</w:t>
            </w:r>
          </w:p>
        </w:tc>
      </w:tr>
      <w:tr w:rsidR="003B6019" w:rsidRPr="008C54A5" w14:paraId="0FBE0D9E" w14:textId="77777777" w:rsidTr="00087537">
        <w:trPr>
          <w:jc w:val="center"/>
        </w:trPr>
        <w:tc>
          <w:tcPr>
            <w:tcW w:w="895" w:type="dxa"/>
          </w:tcPr>
          <w:p w14:paraId="03849DBA" w14:textId="77777777" w:rsidR="003B6019" w:rsidRPr="008C54A5" w:rsidRDefault="003B6019" w:rsidP="00087537">
            <w:pPr>
              <w:pStyle w:val="Tabletext"/>
            </w:pPr>
            <w:r w:rsidRPr="008C54A5">
              <w:t>ETSI</w:t>
            </w:r>
          </w:p>
        </w:tc>
        <w:tc>
          <w:tcPr>
            <w:tcW w:w="2775" w:type="dxa"/>
          </w:tcPr>
          <w:p w14:paraId="11A38964" w14:textId="77777777" w:rsidR="003B6019" w:rsidRPr="008C54A5" w:rsidRDefault="003B6019" w:rsidP="00087537">
            <w:pPr>
              <w:pStyle w:val="Tabletext"/>
            </w:pPr>
            <w:r w:rsidRPr="008C54A5">
              <w:t>Industry specification groups</w:t>
            </w:r>
          </w:p>
        </w:tc>
        <w:tc>
          <w:tcPr>
            <w:tcW w:w="1145" w:type="dxa"/>
          </w:tcPr>
          <w:p w14:paraId="49DA8A3C" w14:textId="77777777" w:rsidR="003B6019" w:rsidRPr="008C54A5" w:rsidRDefault="003B6019" w:rsidP="00FA68E9">
            <w:pPr>
              <w:pStyle w:val="Tabletext"/>
              <w:jc w:val="center"/>
            </w:pPr>
            <w:r w:rsidRPr="008C54A5">
              <w:t>ISGs</w:t>
            </w:r>
          </w:p>
        </w:tc>
        <w:tc>
          <w:tcPr>
            <w:tcW w:w="1367" w:type="dxa"/>
          </w:tcPr>
          <w:p w14:paraId="5FF5EF85" w14:textId="77777777" w:rsidR="003B6019" w:rsidRPr="008C54A5" w:rsidRDefault="003B6019" w:rsidP="00FA68E9">
            <w:pPr>
              <w:pStyle w:val="Tabletext"/>
              <w:jc w:val="center"/>
            </w:pPr>
            <w:r w:rsidRPr="008C54A5">
              <w:t>In place</w:t>
            </w:r>
          </w:p>
        </w:tc>
        <w:tc>
          <w:tcPr>
            <w:tcW w:w="3457" w:type="dxa"/>
          </w:tcPr>
          <w:p w14:paraId="78F2A558" w14:textId="0EFF1B51" w:rsidR="003B6019" w:rsidRPr="008C54A5" w:rsidRDefault="003B6019" w:rsidP="00087537">
            <w:pPr>
              <w:pStyle w:val="Tabletext"/>
            </w:pPr>
            <w:r w:rsidRPr="008C54A5">
              <w:t xml:space="preserve">More information on ETSI committee structures can be found at </w:t>
            </w:r>
            <w:hyperlink r:id="rId75" w:history="1">
              <w:r w:rsidRPr="008C54A5">
                <w:rPr>
                  <w:rStyle w:val="Hyperlink"/>
                  <w:rFonts w:asciiTheme="majorBidi" w:hAnsiTheme="majorBidi"/>
                </w:rPr>
                <w:t>https://www.etsi.org/about/our-operations</w:t>
              </w:r>
            </w:hyperlink>
            <w:r w:rsidRPr="008C54A5">
              <w:rPr>
                <w:rFonts w:asciiTheme="majorBidi" w:hAnsiTheme="majorBidi"/>
              </w:rPr>
              <w:t xml:space="preserve"> </w:t>
            </w:r>
          </w:p>
        </w:tc>
      </w:tr>
      <w:tr w:rsidR="003B6019" w:rsidRPr="008C54A5" w14:paraId="10D8A30C" w14:textId="77777777" w:rsidTr="00087537">
        <w:trPr>
          <w:jc w:val="center"/>
        </w:trPr>
        <w:tc>
          <w:tcPr>
            <w:tcW w:w="895" w:type="dxa"/>
          </w:tcPr>
          <w:p w14:paraId="091D2890" w14:textId="77777777" w:rsidR="003B6019" w:rsidRPr="008C54A5" w:rsidRDefault="003B6019" w:rsidP="00087537">
            <w:pPr>
              <w:pStyle w:val="Tabletext"/>
            </w:pPr>
            <w:r w:rsidRPr="008C54A5">
              <w:t>OASIS</w:t>
            </w:r>
          </w:p>
        </w:tc>
        <w:tc>
          <w:tcPr>
            <w:tcW w:w="2775" w:type="dxa"/>
          </w:tcPr>
          <w:p w14:paraId="3EA9DEB3" w14:textId="77777777" w:rsidR="003B6019" w:rsidRPr="008C54A5" w:rsidRDefault="003B6019" w:rsidP="00087537">
            <w:pPr>
              <w:pStyle w:val="Tabletext"/>
            </w:pPr>
            <w:r w:rsidRPr="008C54A5">
              <w:t>None</w:t>
            </w:r>
          </w:p>
        </w:tc>
        <w:tc>
          <w:tcPr>
            <w:tcW w:w="1145" w:type="dxa"/>
          </w:tcPr>
          <w:p w14:paraId="15D15052" w14:textId="77777777" w:rsidR="003B6019" w:rsidRPr="008C54A5" w:rsidRDefault="003B6019" w:rsidP="00FA68E9">
            <w:pPr>
              <w:pStyle w:val="Tabletext"/>
              <w:jc w:val="center"/>
            </w:pPr>
            <w:r w:rsidRPr="008C54A5">
              <w:t>N/A</w:t>
            </w:r>
          </w:p>
        </w:tc>
        <w:tc>
          <w:tcPr>
            <w:tcW w:w="1367" w:type="dxa"/>
          </w:tcPr>
          <w:p w14:paraId="1A0324B8" w14:textId="77777777" w:rsidR="003B6019" w:rsidRPr="008C54A5" w:rsidRDefault="003B6019" w:rsidP="00FA68E9">
            <w:pPr>
              <w:pStyle w:val="Tabletext"/>
              <w:jc w:val="center"/>
            </w:pPr>
            <w:r w:rsidRPr="008C54A5">
              <w:t>In place</w:t>
            </w:r>
          </w:p>
        </w:tc>
        <w:tc>
          <w:tcPr>
            <w:tcW w:w="3457" w:type="dxa"/>
          </w:tcPr>
          <w:p w14:paraId="05A472E6" w14:textId="77777777" w:rsidR="003B6019" w:rsidRPr="008C54A5" w:rsidRDefault="003B6019" w:rsidP="00087537">
            <w:pPr>
              <w:pStyle w:val="Tabletext"/>
            </w:pPr>
            <w:r w:rsidRPr="008C54A5">
              <w:t>OASIS has a very pragmatic way to accept any valuable suggestion on the working draft flow in their standards track process.</w:t>
            </w:r>
          </w:p>
        </w:tc>
      </w:tr>
    </w:tbl>
    <w:p w14:paraId="61F3AD64" w14:textId="26C72DC3" w:rsidR="003B6019" w:rsidRPr="008C54A5" w:rsidRDefault="00D8117A" w:rsidP="003B6019">
      <w:pPr>
        <w:pStyle w:val="Heading2"/>
      </w:pPr>
      <w:bookmarkStart w:id="176" w:name="_Toc167434370"/>
      <w:bookmarkStart w:id="177" w:name="_Toc172128680"/>
      <w:bookmarkStart w:id="178" w:name="_Toc172128785"/>
      <w:r>
        <w:t>III</w:t>
      </w:r>
      <w:r w:rsidR="003B6019" w:rsidRPr="008C54A5">
        <w:t>.5</w:t>
      </w:r>
      <w:r w:rsidR="003B6019" w:rsidRPr="008C54A5">
        <w:tab/>
        <w:t>Historic</w:t>
      </w:r>
      <w:r w:rsidR="00E00D9B">
        <w:t>al</w:t>
      </w:r>
      <w:r w:rsidR="003B6019" w:rsidRPr="008C54A5">
        <w:t xml:space="preserve"> aspects of determining to which question to attach the incubation queue</w:t>
      </w:r>
      <w:bookmarkEnd w:id="133"/>
      <w:bookmarkEnd w:id="176"/>
      <w:bookmarkEnd w:id="177"/>
      <w:bookmarkEnd w:id="178"/>
    </w:p>
    <w:p w14:paraId="5C4FD1B5" w14:textId="65BD88FB" w:rsidR="003B6019" w:rsidRPr="008C54A5" w:rsidRDefault="003B6019" w:rsidP="003B6019">
      <w:r w:rsidRPr="008C54A5">
        <w:t xml:space="preserve">The rationale for selecting the incubation question flows </w:t>
      </w:r>
      <w:r w:rsidRPr="00FA68E9">
        <w:rPr>
          <w:bCs/>
        </w:rPr>
        <w:t>in the SG17 structure and distribution of experts during the 2017</w:t>
      </w:r>
      <w:r w:rsidR="00E00D9B">
        <w:rPr>
          <w:bCs/>
        </w:rPr>
        <w:t>–</w:t>
      </w:r>
      <w:r w:rsidRPr="00FA68E9">
        <w:rPr>
          <w:bCs/>
        </w:rPr>
        <w:t xml:space="preserve">2020 study period </w:t>
      </w:r>
      <w:r w:rsidRPr="00E00D9B">
        <w:rPr>
          <w:bCs/>
        </w:rPr>
        <w:t xml:space="preserve">as </w:t>
      </w:r>
      <w:r w:rsidR="00E00D9B">
        <w:rPr>
          <w:bCs/>
        </w:rPr>
        <w:t>follows</w:t>
      </w:r>
      <w:r w:rsidRPr="00E00D9B">
        <w:rPr>
          <w:bCs/>
        </w:rPr>
        <w:t>:</w:t>
      </w:r>
    </w:p>
    <w:p w14:paraId="7D2CFAAC" w14:textId="7242E997" w:rsidR="003B6019" w:rsidRPr="008C54A5" w:rsidRDefault="003B6019" w:rsidP="003B6019">
      <w:pPr>
        <w:pStyle w:val="enumlev1"/>
      </w:pPr>
      <w:r w:rsidRPr="008C54A5">
        <w:t>–</w:t>
      </w:r>
      <w:r w:rsidRPr="008C54A5">
        <w:tab/>
        <w:t xml:space="preserve">As new questions cannot be created, a </w:t>
      </w:r>
      <w:r w:rsidR="00E00D9B">
        <w:t>"</w:t>
      </w:r>
      <w:r w:rsidRPr="008C54A5">
        <w:t>Question 0</w:t>
      </w:r>
      <w:r w:rsidR="00E00D9B">
        <w:t>"</w:t>
      </w:r>
      <w:r w:rsidRPr="008C54A5">
        <w:t xml:space="preserve"> </w:t>
      </w:r>
      <w:r w:rsidR="00E00D9B" w:rsidRPr="008C54A5">
        <w:t xml:space="preserve">cannot be established </w:t>
      </w:r>
      <w:r w:rsidRPr="008C54A5">
        <w:t xml:space="preserve">as </w:t>
      </w:r>
      <w:r w:rsidR="00E00D9B">
        <w:t xml:space="preserve">the </w:t>
      </w:r>
      <w:r w:rsidRPr="008C54A5">
        <w:t xml:space="preserve">incubation question. However, a Question 0 covering the scope of </w:t>
      </w:r>
      <w:r w:rsidR="00E00D9B">
        <w:t>e</w:t>
      </w:r>
      <w:r w:rsidRPr="008C54A5">
        <w:t xml:space="preserve">merging technologies could have multiple benefits </w:t>
      </w:r>
      <w:r w:rsidR="00E00D9B">
        <w:t>for the trouble</w:t>
      </w:r>
      <w:r w:rsidRPr="008C54A5">
        <w:t xml:space="preserve"> of creating a new question;</w:t>
      </w:r>
    </w:p>
    <w:p w14:paraId="4199843B" w14:textId="1FE66782" w:rsidR="003B6019" w:rsidRPr="008C54A5" w:rsidRDefault="003B6019" w:rsidP="003B6019">
      <w:pPr>
        <w:pStyle w:val="enumlev1"/>
      </w:pPr>
      <w:r w:rsidRPr="008C54A5">
        <w:t>–</w:t>
      </w:r>
      <w:r w:rsidRPr="008C54A5">
        <w:tab/>
        <w:t>Q1 could take work items in its current set-up as there are no experts in this question</w:t>
      </w:r>
      <w:r w:rsidR="00E00D9B">
        <w:t>;</w:t>
      </w:r>
      <w:r w:rsidR="00E00D9B" w:rsidRPr="008C54A5">
        <w:t xml:space="preserve"> </w:t>
      </w:r>
      <w:r w:rsidR="00E00D9B">
        <w:t>it</w:t>
      </w:r>
      <w:r w:rsidR="00E00D9B" w:rsidRPr="008C54A5">
        <w:t xml:space="preserve"> </w:t>
      </w:r>
      <w:r w:rsidRPr="008C54A5">
        <w:t xml:space="preserve">is a coordination question. The incubation new role requires expertise to </w:t>
      </w:r>
      <w:r w:rsidR="00E00D9B">
        <w:t>carry out</w:t>
      </w:r>
      <w:r w:rsidR="00E00D9B" w:rsidRPr="008C54A5">
        <w:t xml:space="preserve"> </w:t>
      </w:r>
      <w:r w:rsidRPr="008C54A5">
        <w:t xml:space="preserve">the peer reviews and offer normal good conditions for the work item to develop. </w:t>
      </w:r>
      <w:r w:rsidR="00E00D9B">
        <w:t>However,</w:t>
      </w:r>
      <w:r w:rsidR="00E00D9B" w:rsidRPr="008C54A5">
        <w:t xml:space="preserve"> </w:t>
      </w:r>
      <w:r w:rsidRPr="008C54A5">
        <w:t xml:space="preserve">should there be a solid incubation rapporteur </w:t>
      </w:r>
      <w:r w:rsidR="00E00D9B">
        <w:t>(</w:t>
      </w:r>
      <w:r w:rsidRPr="008C54A5">
        <w:t xml:space="preserve">1) experts would be present where the work is being done and </w:t>
      </w:r>
      <w:r w:rsidR="00E00D9B">
        <w:t>(</w:t>
      </w:r>
      <w:r w:rsidRPr="008C54A5">
        <w:t>2) it would regroup the incubation queue and management with the coordination question;</w:t>
      </w:r>
    </w:p>
    <w:p w14:paraId="3972AD11" w14:textId="4058899E" w:rsidR="003B6019" w:rsidRPr="008C54A5" w:rsidRDefault="003B6019" w:rsidP="003B6019">
      <w:pPr>
        <w:pStyle w:val="enumlev1"/>
      </w:pPr>
      <w:r w:rsidRPr="008C54A5">
        <w:t>–</w:t>
      </w:r>
      <w:r w:rsidRPr="008C54A5">
        <w:tab/>
        <w:t>None of Q3, Q5, Q6, Q7, Q8, Q9, Q10, Q11, Q12, Q13 or Q14 can carry the role because they presently have specific purpose</w:t>
      </w:r>
      <w:r w:rsidR="00E00D9B">
        <w:t>s</w:t>
      </w:r>
      <w:r w:rsidRPr="008C54A5">
        <w:t xml:space="preserve"> (</w:t>
      </w:r>
      <w:r w:rsidR="004D30ED">
        <w:t>irrespectively of whether they 'should' have this purpose</w:t>
      </w:r>
      <w:r w:rsidRPr="008C54A5">
        <w:t>) and are specialized unless there is an option for a distributed incubation queue mechanism versus a central queue mechanism, but this would require embracing a very specific structure of SG17 with a number of assumptions:</w:t>
      </w:r>
    </w:p>
    <w:p w14:paraId="7F6632A6" w14:textId="65BF0F69" w:rsidR="003B6019" w:rsidRPr="008C54A5" w:rsidRDefault="00FA68E9" w:rsidP="003B6019">
      <w:pPr>
        <w:pStyle w:val="enumlev2"/>
      </w:pPr>
      <w:r w:rsidRPr="00FA68E9">
        <w:rPr>
          <w:rFonts w:ascii="Courier New" w:hAnsi="Courier New" w:cs="Courier New"/>
        </w:rPr>
        <w:t>•</w:t>
      </w:r>
      <w:r>
        <w:rPr>
          <w:rFonts w:ascii="Courier New" w:hAnsi="Courier New" w:cs="Courier New"/>
        </w:rPr>
        <w:tab/>
      </w:r>
      <w:r w:rsidR="00E00D9B">
        <w:t>The p</w:t>
      </w:r>
      <w:r w:rsidR="003B6019" w:rsidRPr="008C54A5">
        <w:t>rinciple of stable long-term working parties;</w:t>
      </w:r>
    </w:p>
    <w:p w14:paraId="0EB20378" w14:textId="6FAE760A" w:rsidR="003B6019" w:rsidRPr="008C54A5" w:rsidRDefault="00FA68E9" w:rsidP="003B6019">
      <w:pPr>
        <w:pStyle w:val="enumlev2"/>
      </w:pPr>
      <w:r w:rsidRPr="00FA68E9">
        <w:rPr>
          <w:rFonts w:ascii="Courier New" w:hAnsi="Courier New" w:cs="Courier New"/>
        </w:rPr>
        <w:t>•</w:t>
      </w:r>
      <w:r>
        <w:rPr>
          <w:rFonts w:ascii="Courier New" w:hAnsi="Courier New" w:cs="Courier New"/>
        </w:rPr>
        <w:tab/>
      </w:r>
      <w:r w:rsidR="00E00D9B">
        <w:t>The p</w:t>
      </w:r>
      <w:r w:rsidR="003B6019" w:rsidRPr="008C54A5">
        <w:t xml:space="preserve">rinciple of </w:t>
      </w:r>
      <w:r w:rsidR="00E00D9B">
        <w:t>having a 'parent'</w:t>
      </w:r>
      <w:r w:rsidR="003B6019" w:rsidRPr="008C54A5">
        <w:t xml:space="preserve"> question in each working party.</w:t>
      </w:r>
    </w:p>
    <w:p w14:paraId="5E3BBB21" w14:textId="1B41EFE5" w:rsidR="003B6019" w:rsidRPr="008C54A5" w:rsidRDefault="003B6019" w:rsidP="003B6019">
      <w:pPr>
        <w:pStyle w:val="enumlev1"/>
      </w:pPr>
      <w:r w:rsidRPr="008C54A5">
        <w:tab/>
        <w:t xml:space="preserve">This would resolve some problems of workload but would </w:t>
      </w:r>
      <w:r w:rsidR="00E00D9B" w:rsidRPr="008C54A5">
        <w:t xml:space="preserve">probably </w:t>
      </w:r>
      <w:r w:rsidRPr="008C54A5">
        <w:t>make the incubation allocation much harder</w:t>
      </w:r>
      <w:r w:rsidR="00FA68E9">
        <w:t>;</w:t>
      </w:r>
    </w:p>
    <w:p w14:paraId="3486C518" w14:textId="77777777" w:rsidR="003B6019" w:rsidRPr="008C54A5" w:rsidRDefault="003B6019" w:rsidP="003B6019">
      <w:pPr>
        <w:pStyle w:val="enumlev1"/>
      </w:pPr>
      <w:r w:rsidRPr="008C54A5">
        <w:t>–</w:t>
      </w:r>
      <w:r w:rsidRPr="008C54A5">
        <w:tab/>
        <w:t>Remains Q2 on architecture and frameworks and Q4 cybersecurity.</w:t>
      </w:r>
    </w:p>
    <w:p w14:paraId="3143F6F9" w14:textId="77777777" w:rsidR="003B6019" w:rsidRPr="008C54A5" w:rsidRDefault="003B6019" w:rsidP="003B6019">
      <w:r w:rsidRPr="008C54A5">
        <w:t>Both Q2 and Q4 are reasonable candidates to host, at this stage, the incubation question.</w:t>
      </w:r>
    </w:p>
    <w:p w14:paraId="17666C5A" w14:textId="141E3B37" w:rsidR="003B6019" w:rsidRPr="008C54A5" w:rsidRDefault="003B6019" w:rsidP="003B6019">
      <w:r w:rsidRPr="008C54A5">
        <w:t>However, looking deeper, it is noted that there is a requirement on expertise to give a good review</w:t>
      </w:r>
      <w:r w:rsidR="00905C4D">
        <w:t xml:space="preserve"> and</w:t>
      </w:r>
      <w:r w:rsidRPr="008C54A5">
        <w:t xml:space="preserve"> support for the work item development. Indeed, just looking at the above examples in previous clauses, it is evident that there is need for significant expertise in core security versus architecture. </w:t>
      </w:r>
      <w:r w:rsidR="00905C4D">
        <w:t>B</w:t>
      </w:r>
      <w:r w:rsidRPr="008C54A5">
        <w:t xml:space="preserve">oth types of expertise would be </w:t>
      </w:r>
      <w:r w:rsidR="00905C4D">
        <w:t>needed</w:t>
      </w:r>
      <w:r w:rsidRPr="008C54A5">
        <w:t xml:space="preserve">, and it might happen in the future that both </w:t>
      </w:r>
      <w:r w:rsidR="00905C4D">
        <w:t xml:space="preserve">needs may </w:t>
      </w:r>
      <w:r w:rsidRPr="008C54A5">
        <w:t xml:space="preserve">occur </w:t>
      </w:r>
      <w:r w:rsidR="00905C4D">
        <w:t>at the same time</w:t>
      </w:r>
      <w:r w:rsidRPr="008C54A5">
        <w:t>, or that a switch takes place depending on what the new structure of SG17 might be.</w:t>
      </w:r>
    </w:p>
    <w:p w14:paraId="4F576D85" w14:textId="77777777" w:rsidR="003B6019" w:rsidRPr="008C54A5" w:rsidRDefault="003B6019" w:rsidP="003B6019">
      <w:r w:rsidRPr="008C54A5">
        <w:t>So, with this new requirement in mind, it becomes clear that Q4 is right now the best candidate, but with Q2 next in line.</w:t>
      </w:r>
    </w:p>
    <w:p w14:paraId="68116354" w14:textId="68ED8DBF" w:rsidR="003B6019" w:rsidRPr="008C54A5" w:rsidRDefault="003B6019" w:rsidP="003B6019">
      <w:r w:rsidRPr="008C54A5">
        <w:t xml:space="preserve">It was therefore that </w:t>
      </w:r>
      <w:r w:rsidR="00905C4D">
        <w:t>Q4</w:t>
      </w:r>
      <w:r w:rsidR="00905C4D" w:rsidRPr="008C54A5">
        <w:t xml:space="preserve"> </w:t>
      </w:r>
      <w:r w:rsidRPr="008C54A5">
        <w:t>host the incubation role and mechanism at this stage.</w:t>
      </w:r>
    </w:p>
    <w:p w14:paraId="7E1C6973" w14:textId="7C63B9CA" w:rsidR="003B6019" w:rsidRPr="008C54A5" w:rsidRDefault="003B6019" w:rsidP="003B6019">
      <w:pPr>
        <w:rPr>
          <w:bCs/>
        </w:rPr>
      </w:pPr>
      <w:r w:rsidRPr="008C54A5">
        <w:rPr>
          <w:bCs/>
        </w:rPr>
        <w:t>Then with WTSA20, it was agreed to create a new Question 15 (Q15/17) for Security for/by emerging technologies including quantum-based security which naturally hosted the incubation mechanism.</w:t>
      </w:r>
      <w:bookmarkStart w:id="179" w:name="_Toc159810163"/>
      <w:bookmarkStart w:id="180" w:name="_Toc159810334"/>
      <w:bookmarkStart w:id="181" w:name="_Toc159810503"/>
      <w:bookmarkStart w:id="182" w:name="_Toc159810166"/>
      <w:bookmarkStart w:id="183" w:name="_Toc159810337"/>
      <w:bookmarkStart w:id="184" w:name="_Toc159810506"/>
      <w:bookmarkStart w:id="185" w:name="_Toc159810170"/>
      <w:bookmarkStart w:id="186" w:name="_Toc159810341"/>
      <w:bookmarkStart w:id="187" w:name="_Toc159810510"/>
      <w:bookmarkStart w:id="188" w:name="_Toc159810185"/>
      <w:bookmarkStart w:id="189" w:name="_Toc159810356"/>
      <w:bookmarkStart w:id="190" w:name="_Toc159810525"/>
      <w:bookmarkStart w:id="191" w:name="_Toc159810264"/>
      <w:bookmarkStart w:id="192" w:name="_Toc159810435"/>
      <w:bookmarkStart w:id="193" w:name="_Toc159810604"/>
      <w:bookmarkStart w:id="194" w:name="_Toc159810265"/>
      <w:bookmarkStart w:id="195" w:name="_Toc159810436"/>
      <w:bookmarkStart w:id="196" w:name="_Toc159810605"/>
      <w:bookmarkStart w:id="197" w:name="_Toc159810266"/>
      <w:bookmarkStart w:id="198" w:name="_Toc159810437"/>
      <w:bookmarkStart w:id="199" w:name="_Toc159810606"/>
      <w:bookmarkStart w:id="200" w:name="_Toc159810267"/>
      <w:bookmarkStart w:id="201" w:name="_Toc159810438"/>
      <w:bookmarkStart w:id="202" w:name="_Toc159810607"/>
      <w:bookmarkStart w:id="203" w:name="_Toc159810268"/>
      <w:bookmarkStart w:id="204" w:name="_Toc159810439"/>
      <w:bookmarkStart w:id="205" w:name="_Toc159810608"/>
      <w:bookmarkStart w:id="206" w:name="_Toc49679522"/>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23065C1D" w14:textId="6124DDF0" w:rsidR="003B6019" w:rsidRPr="008C54A5" w:rsidRDefault="00D8117A" w:rsidP="003B6019">
      <w:pPr>
        <w:pStyle w:val="Heading2"/>
      </w:pPr>
      <w:bookmarkStart w:id="207" w:name="_Toc167434371"/>
      <w:bookmarkStart w:id="208" w:name="_Toc172128681"/>
      <w:bookmarkStart w:id="209" w:name="_Toc172128786"/>
      <w:r>
        <w:t>III</w:t>
      </w:r>
      <w:r w:rsidR="003B6019" w:rsidRPr="008C54A5">
        <w:t>.6</w:t>
      </w:r>
      <w:r w:rsidR="003B6019" w:rsidRPr="008C54A5">
        <w:tab/>
        <w:t>Conclusions</w:t>
      </w:r>
      <w:bookmarkEnd w:id="206"/>
      <w:bookmarkEnd w:id="207"/>
      <w:bookmarkEnd w:id="208"/>
      <w:bookmarkEnd w:id="209"/>
    </w:p>
    <w:p w14:paraId="46087769" w14:textId="1021BAAC" w:rsidR="003B6019" w:rsidRPr="008C54A5" w:rsidRDefault="003B6019" w:rsidP="003B6019">
      <w:r w:rsidRPr="008C54A5">
        <w:t xml:space="preserve">The incubation mechanism successfully finished its pilot phase </w:t>
      </w:r>
      <w:r w:rsidR="00905C4D">
        <w:t>of</w:t>
      </w:r>
      <w:r w:rsidR="00905C4D" w:rsidRPr="008C54A5">
        <w:t xml:space="preserve"> </w:t>
      </w:r>
      <w:r w:rsidRPr="008C54A5">
        <w:t>around 2 years which tested all of its features.</w:t>
      </w:r>
    </w:p>
    <w:p w14:paraId="4DD9DDCC" w14:textId="004F746C" w:rsidR="003B6019" w:rsidRPr="008C54A5" w:rsidRDefault="003B6019" w:rsidP="003B6019">
      <w:r w:rsidRPr="008C54A5">
        <w:t>It ha</w:t>
      </w:r>
      <w:r w:rsidR="00905C4D">
        <w:t>s</w:t>
      </w:r>
      <w:r w:rsidRPr="008C54A5">
        <w:t xml:space="preserve"> been adopted by SG17 and is part of a proposal to be allocated to a new emerging question for the next study period 2021</w:t>
      </w:r>
      <w:r w:rsidR="00FA68E9">
        <w:t>-</w:t>
      </w:r>
      <w:r w:rsidRPr="008C54A5">
        <w:t>2024.</w:t>
      </w:r>
    </w:p>
    <w:p w14:paraId="3A1EAF1B" w14:textId="27A07C08" w:rsidR="003B6019" w:rsidRPr="008C54A5" w:rsidRDefault="003B6019" w:rsidP="003B6019">
      <w:r w:rsidRPr="008C54A5">
        <w:t>It provided significant benefits to the Study Group in particular, allow</w:t>
      </w:r>
      <w:r w:rsidR="00905C4D">
        <w:t>ing</w:t>
      </w:r>
      <w:r w:rsidRPr="008C54A5">
        <w:t>:</w:t>
      </w:r>
    </w:p>
    <w:p w14:paraId="46306A09" w14:textId="52C3008B" w:rsidR="003B6019" w:rsidRPr="008C54A5" w:rsidRDefault="003B6019" w:rsidP="003B6019">
      <w:pPr>
        <w:pStyle w:val="enumlev1"/>
      </w:pPr>
      <w:r w:rsidRPr="008C54A5">
        <w:t>–</w:t>
      </w:r>
      <w:r w:rsidRPr="008C54A5">
        <w:tab/>
      </w:r>
      <w:r w:rsidR="00905C4D">
        <w:t>K</w:t>
      </w:r>
      <w:r w:rsidRPr="008C54A5">
        <w:t xml:space="preserve">ey innovative new standards to be developed, e.g., </w:t>
      </w:r>
      <w:r w:rsidR="00905C4D" w:rsidRPr="008C54A5">
        <w:t>quantum key distribution, quantum random number generation</w:t>
      </w:r>
      <w:r w:rsidRPr="008C54A5">
        <w:t>;</w:t>
      </w:r>
    </w:p>
    <w:p w14:paraId="4A60C332" w14:textId="68F16327" w:rsidR="003B6019" w:rsidRPr="008C54A5" w:rsidRDefault="003B6019" w:rsidP="003B6019">
      <w:pPr>
        <w:pStyle w:val="enumlev1"/>
      </w:pPr>
      <w:r w:rsidRPr="008C54A5">
        <w:t>–</w:t>
      </w:r>
      <w:r w:rsidRPr="008C54A5">
        <w:tab/>
      </w:r>
      <w:r w:rsidR="00905C4D">
        <w:t>V</w:t>
      </w:r>
      <w:r w:rsidRPr="008C54A5">
        <w:t xml:space="preserve">ery peaceful and lean SG17 meetings regarding a number of exceptions in NWI allocation to be managed immediately after the opening plenary </w:t>
      </w:r>
      <w:r w:rsidR="00905C4D">
        <w:t>and</w:t>
      </w:r>
      <w:r w:rsidR="00905C4D" w:rsidRPr="008C54A5">
        <w:t xml:space="preserve"> </w:t>
      </w:r>
      <w:r w:rsidRPr="008C54A5">
        <w:t>as early as possible during the meeting, allowing for a well-managed meeting;</w:t>
      </w:r>
    </w:p>
    <w:p w14:paraId="7D2D2C87" w14:textId="0F75BDD7" w:rsidR="003B6019" w:rsidRPr="008C54A5" w:rsidRDefault="003B6019" w:rsidP="003B6019">
      <w:pPr>
        <w:pStyle w:val="enumlev1"/>
      </w:pPr>
      <w:r w:rsidRPr="008C54A5">
        <w:t>–</w:t>
      </w:r>
      <w:r w:rsidRPr="008C54A5">
        <w:tab/>
      </w:r>
      <w:r w:rsidR="00905C4D">
        <w:t>F</w:t>
      </w:r>
      <w:r w:rsidRPr="008C54A5">
        <w:t xml:space="preserve">lexibility for delegates to progress their work items, for </w:t>
      </w:r>
      <w:r w:rsidR="00905C4D">
        <w:t xml:space="preserve">a </w:t>
      </w:r>
      <w:r w:rsidRPr="008C54A5">
        <w:t>rapporteur to observe the work and understand the fitness to their questions;</w:t>
      </w:r>
    </w:p>
    <w:p w14:paraId="49122F4D" w14:textId="1A4CF7EA" w:rsidR="003B6019" w:rsidRPr="008C54A5" w:rsidRDefault="003B6019" w:rsidP="003B6019">
      <w:pPr>
        <w:pStyle w:val="enumlev1"/>
      </w:pPr>
      <w:r w:rsidRPr="008C54A5">
        <w:t>–</w:t>
      </w:r>
      <w:r w:rsidRPr="008C54A5">
        <w:tab/>
      </w:r>
      <w:r w:rsidR="00905C4D">
        <w:t>R</w:t>
      </w:r>
      <w:r w:rsidRPr="008C54A5">
        <w:t>e-valu</w:t>
      </w:r>
      <w:r w:rsidR="00905C4D">
        <w:t>ation of</w:t>
      </w:r>
      <w:r w:rsidRPr="008C54A5">
        <w:t xml:space="preserve"> the benefits of providing Technical Papers and Technical Reports before doing pure</w:t>
      </w:r>
      <w:r w:rsidR="00905C4D">
        <w:t>ly</w:t>
      </w:r>
      <w:r w:rsidRPr="008C54A5">
        <w:t xml:space="preserve"> normative work, thus allowing the community to familiarize itself </w:t>
      </w:r>
      <w:r w:rsidR="00905C4D" w:rsidRPr="008C54A5">
        <w:t xml:space="preserve">in different manners </w:t>
      </w:r>
      <w:r w:rsidRPr="008C54A5">
        <w:t>with topics that are innovative in nature;</w:t>
      </w:r>
    </w:p>
    <w:p w14:paraId="59AD8B57" w14:textId="15CF8BDA" w:rsidR="003B6019" w:rsidRPr="008C54A5" w:rsidRDefault="003B6019" w:rsidP="003B6019">
      <w:pPr>
        <w:pStyle w:val="enumlev1"/>
      </w:pPr>
      <w:r w:rsidRPr="008C54A5">
        <w:t>–</w:t>
      </w:r>
      <w:r w:rsidRPr="008C54A5">
        <w:tab/>
      </w:r>
      <w:r w:rsidR="002C2E07">
        <w:t>A</w:t>
      </w:r>
      <w:r w:rsidRPr="008C54A5">
        <w:t xml:space="preserve"> lot of agility to allow innovation and transformation while avoiding the constraints of the creation of a new entity, either in the Study Group (creation or change of a new question) or outside (creation of a Focus Group);</w:t>
      </w:r>
    </w:p>
    <w:p w14:paraId="71C777CC" w14:textId="5634D461" w:rsidR="003B6019" w:rsidRPr="008C54A5" w:rsidRDefault="003B6019" w:rsidP="003B6019">
      <w:pPr>
        <w:pStyle w:val="enumlev1"/>
      </w:pPr>
      <w:r w:rsidRPr="008C54A5">
        <w:t>–</w:t>
      </w:r>
      <w:r w:rsidRPr="008C54A5">
        <w:tab/>
      </w:r>
      <w:r w:rsidR="002C2E07">
        <w:t>F</w:t>
      </w:r>
      <w:r w:rsidRPr="008C54A5">
        <w:t>or the Study Group to work proactively towards a strategic approach versus having to change, while in operation, its structure and potentially jeopardize fundamental changes or increase operational rigidity;</w:t>
      </w:r>
    </w:p>
    <w:p w14:paraId="0C4BBC3B" w14:textId="43C47131" w:rsidR="003B6019" w:rsidRPr="008C54A5" w:rsidRDefault="003B6019" w:rsidP="003B6019">
      <w:pPr>
        <w:pStyle w:val="enumlev1"/>
      </w:pPr>
      <w:r w:rsidRPr="008C54A5">
        <w:t>–</w:t>
      </w:r>
      <w:r w:rsidRPr="008C54A5">
        <w:tab/>
      </w:r>
      <w:r w:rsidR="002C2E07">
        <w:t>A</w:t>
      </w:r>
      <w:r w:rsidRPr="008C54A5">
        <w:t>n elegant indirect indicator if the structure of the Study Group is adequate or needs changes;</w:t>
      </w:r>
    </w:p>
    <w:p w14:paraId="5080E54B" w14:textId="57571822" w:rsidR="003B6019" w:rsidRPr="008C54A5" w:rsidRDefault="003B6019" w:rsidP="003B6019">
      <w:pPr>
        <w:pStyle w:val="enumlev1"/>
      </w:pPr>
      <w:r w:rsidRPr="008C54A5">
        <w:t>–</w:t>
      </w:r>
      <w:r w:rsidRPr="008C54A5">
        <w:tab/>
      </w:r>
      <w:r w:rsidR="002C2E07">
        <w:t xml:space="preserve">The </w:t>
      </w:r>
      <w:r w:rsidRPr="008C54A5">
        <w:t>consider</w:t>
      </w:r>
      <w:r w:rsidR="002C2E07">
        <w:t>ation of</w:t>
      </w:r>
      <w:r w:rsidRPr="008C54A5">
        <w:t xml:space="preserve"> potential structural changes with the facts in the queue as they are identified and developing versus having to make a bet with no evidence</w:t>
      </w:r>
      <w:r w:rsidR="002C2E07">
        <w:t>,</w:t>
      </w:r>
      <w:r w:rsidRPr="008C54A5">
        <w:t xml:space="preserve"> decreasing significantly the transformation risks and help</w:t>
      </w:r>
      <w:r w:rsidR="002C2E07">
        <w:t>ing</w:t>
      </w:r>
      <w:r w:rsidRPr="008C54A5">
        <w:t xml:space="preserve"> the qualification of the reach of the potential changes.</w:t>
      </w:r>
    </w:p>
    <w:p w14:paraId="7BE9617C" w14:textId="276A3AC3" w:rsidR="003B6019" w:rsidRPr="008C54A5" w:rsidRDefault="003B6019" w:rsidP="003B6019">
      <w:r w:rsidRPr="008C54A5">
        <w:t xml:space="preserve">This approach may be considered by other Study Groups in a growing complexification of the technical standardization as a flexible and lightweight instrument not only </w:t>
      </w:r>
      <w:r w:rsidR="002C2E07" w:rsidRPr="008C54A5">
        <w:t xml:space="preserve">to </w:t>
      </w:r>
      <w:r w:rsidRPr="008C54A5">
        <w:t xml:space="preserve">accept innovation but </w:t>
      </w:r>
      <w:r w:rsidR="002C2E07">
        <w:t xml:space="preserve">also </w:t>
      </w:r>
      <w:r w:rsidRPr="008C54A5">
        <w:t>to allow a safe path to transformation.</w:t>
      </w:r>
    </w:p>
    <w:p w14:paraId="17DE9D29" w14:textId="77777777" w:rsidR="003B6019" w:rsidRPr="008C54A5" w:rsidRDefault="003B6019" w:rsidP="003B6019">
      <w:pPr>
        <w:pStyle w:val="AnnexNoTitle0"/>
      </w:pPr>
      <w:bookmarkStart w:id="210" w:name="_Toc44658411"/>
      <w:bookmarkStart w:id="211" w:name="_Toc46766417"/>
      <w:bookmarkStart w:id="212" w:name="_Toc49864249"/>
      <w:bookmarkStart w:id="213" w:name="_Toc52096212"/>
      <w:bookmarkStart w:id="214" w:name="_Toc52521781"/>
      <w:bookmarkStart w:id="215" w:name="_Toc159915890"/>
      <w:bookmarkStart w:id="216" w:name="_Toc167434372"/>
      <w:bookmarkStart w:id="217" w:name="_Toc172128682"/>
      <w:bookmarkStart w:id="218" w:name="_Toc172128787"/>
      <w:bookmarkStart w:id="219" w:name="_Toc49679525"/>
      <w:bookmarkEnd w:id="142"/>
      <w:bookmarkEnd w:id="156"/>
      <w:r w:rsidRPr="008C54A5">
        <w:t>Bibliography</w:t>
      </w:r>
      <w:bookmarkEnd w:id="210"/>
      <w:bookmarkEnd w:id="211"/>
      <w:bookmarkEnd w:id="212"/>
      <w:bookmarkEnd w:id="213"/>
      <w:bookmarkEnd w:id="214"/>
      <w:bookmarkEnd w:id="215"/>
      <w:bookmarkEnd w:id="216"/>
      <w:bookmarkEnd w:id="217"/>
      <w:bookmarkEnd w:id="218"/>
    </w:p>
    <w:bookmarkEnd w:id="219"/>
    <w:p w14:paraId="523FE8A3" w14:textId="77777777" w:rsidR="003B6019" w:rsidRPr="008C54A5" w:rsidRDefault="003B6019" w:rsidP="003B6019">
      <w:pPr>
        <w:pStyle w:val="Reftext"/>
        <w:tabs>
          <w:tab w:val="left" w:pos="3544"/>
        </w:tabs>
        <w:spacing w:before="0"/>
        <w:ind w:left="3544" w:hanging="3544"/>
      </w:pPr>
    </w:p>
    <w:p w14:paraId="78CC9EA3" w14:textId="2BD35483" w:rsidR="003B6019" w:rsidRPr="008C54A5" w:rsidRDefault="002C2E07" w:rsidP="003B6019">
      <w:pPr>
        <w:pStyle w:val="Reftext"/>
        <w:tabs>
          <w:tab w:val="clear" w:pos="794"/>
          <w:tab w:val="clear" w:pos="1191"/>
          <w:tab w:val="clear" w:pos="1588"/>
          <w:tab w:val="clear" w:pos="1985"/>
          <w:tab w:val="left" w:pos="3119"/>
          <w:tab w:val="left" w:pos="3544"/>
        </w:tabs>
        <w:ind w:left="3119" w:hanging="3119"/>
      </w:pPr>
      <w:r w:rsidRPr="00FA68E9">
        <w:t>[b-ITU-T A.1]</w:t>
      </w:r>
      <w:r w:rsidR="003B6019" w:rsidRPr="008C54A5">
        <w:tab/>
        <w:t xml:space="preserve">Recommendation ITU-T A.1 (2019), </w:t>
      </w:r>
      <w:r w:rsidR="003B6019" w:rsidRPr="008C54A5">
        <w:rPr>
          <w:i/>
          <w:iCs/>
        </w:rPr>
        <w:t>Working methods for study groups of the ITU Telecommunication Standardization Sector</w:t>
      </w:r>
      <w:r w:rsidR="003B6019" w:rsidRPr="008C54A5">
        <w:t>.</w:t>
      </w:r>
    </w:p>
    <w:p w14:paraId="13A2E8F9" w14:textId="77777777" w:rsidR="00FA68E9" w:rsidRPr="008C54A5" w:rsidRDefault="00FA68E9" w:rsidP="00FA68E9">
      <w:pPr>
        <w:pStyle w:val="Reftext"/>
        <w:tabs>
          <w:tab w:val="clear" w:pos="794"/>
          <w:tab w:val="clear" w:pos="1191"/>
          <w:tab w:val="clear" w:pos="1588"/>
          <w:tab w:val="clear" w:pos="1985"/>
          <w:tab w:val="left" w:pos="3119"/>
          <w:tab w:val="left" w:pos="3544"/>
        </w:tabs>
        <w:ind w:left="3119" w:hanging="3119"/>
      </w:pPr>
      <w:r w:rsidRPr="00FA68E9">
        <w:t>[b-ITU-T A.7]</w:t>
      </w:r>
      <w:r w:rsidRPr="008C54A5">
        <w:tab/>
        <w:t xml:space="preserve">Recommendation ITU-T A.7 (2016), </w:t>
      </w:r>
      <w:r w:rsidRPr="008C54A5">
        <w:rPr>
          <w:i/>
          <w:iCs/>
        </w:rPr>
        <w:t>Focus groups: Establishment and working procedures</w:t>
      </w:r>
      <w:r w:rsidRPr="008C54A5">
        <w:t>.</w:t>
      </w:r>
    </w:p>
    <w:p w14:paraId="5CEEC2DB" w14:textId="655E00DA" w:rsidR="003B6019" w:rsidRPr="00FA68E9" w:rsidRDefault="002C2E07" w:rsidP="003B6019">
      <w:pPr>
        <w:pStyle w:val="Reftext"/>
        <w:tabs>
          <w:tab w:val="clear" w:pos="794"/>
          <w:tab w:val="clear" w:pos="1191"/>
          <w:tab w:val="clear" w:pos="1588"/>
          <w:tab w:val="clear" w:pos="1985"/>
          <w:tab w:val="left" w:pos="3119"/>
          <w:tab w:val="left" w:pos="3544"/>
        </w:tabs>
        <w:ind w:left="3119" w:hanging="3119"/>
        <w:rPr>
          <w:lang w:val="fr-FR"/>
        </w:rPr>
      </w:pPr>
      <w:r w:rsidRPr="00FA68E9">
        <w:rPr>
          <w:lang w:val="fr-FR"/>
        </w:rPr>
        <w:t>[b-ITU-T A.12]</w:t>
      </w:r>
      <w:r w:rsidR="003B6019" w:rsidRPr="00FA68E9">
        <w:rPr>
          <w:lang w:val="fr-FR"/>
        </w:rPr>
        <w:tab/>
        <w:t xml:space="preserve">Recommendation ITU-T A.12 (2016), </w:t>
      </w:r>
      <w:r w:rsidR="003B6019" w:rsidRPr="00FA68E9">
        <w:rPr>
          <w:i/>
          <w:iCs/>
          <w:lang w:val="fr-FR"/>
        </w:rPr>
        <w:t>Identification and layout of ITU-T Recommendations</w:t>
      </w:r>
      <w:r w:rsidR="003B6019" w:rsidRPr="00FA68E9">
        <w:rPr>
          <w:lang w:val="fr-FR"/>
        </w:rPr>
        <w:t>.</w:t>
      </w:r>
    </w:p>
    <w:p w14:paraId="4EB63E46" w14:textId="62538E2C" w:rsidR="003B6019" w:rsidRPr="00FA68E9" w:rsidRDefault="002C2E07" w:rsidP="003B6019">
      <w:pPr>
        <w:pStyle w:val="Reftext"/>
        <w:tabs>
          <w:tab w:val="clear" w:pos="794"/>
          <w:tab w:val="clear" w:pos="1191"/>
          <w:tab w:val="clear" w:pos="1588"/>
          <w:tab w:val="clear" w:pos="1985"/>
          <w:tab w:val="left" w:pos="3119"/>
          <w:tab w:val="left" w:pos="3544"/>
        </w:tabs>
        <w:ind w:left="3119" w:hanging="3119"/>
        <w:rPr>
          <w:lang w:val="fr-FR"/>
        </w:rPr>
      </w:pPr>
      <w:r w:rsidRPr="00FA68E9">
        <w:rPr>
          <w:lang w:val="fr-FR"/>
        </w:rPr>
        <w:t>[b-ITU-T A.13]</w:t>
      </w:r>
      <w:r w:rsidR="003B6019" w:rsidRPr="00FA68E9">
        <w:rPr>
          <w:lang w:val="fr-FR"/>
        </w:rPr>
        <w:tab/>
        <w:t>Recommendation ITU-T A.13 (2019),</w:t>
      </w:r>
      <w:r w:rsidR="003B6019" w:rsidRPr="00FA68E9">
        <w:rPr>
          <w:i/>
          <w:iCs/>
          <w:lang w:val="fr-FR"/>
        </w:rPr>
        <w:t xml:space="preserve"> Non-normative ITU-T publications, including Supplements to ITU-T Recommendations</w:t>
      </w:r>
      <w:r w:rsidR="003B6019" w:rsidRPr="00FA68E9">
        <w:rPr>
          <w:lang w:val="fr-FR"/>
        </w:rPr>
        <w:t>.</w:t>
      </w:r>
    </w:p>
    <w:p w14:paraId="04DF8BAA" w14:textId="2EE51C9A" w:rsidR="003B6019" w:rsidRPr="008C54A5" w:rsidRDefault="002C2E07" w:rsidP="003B6019">
      <w:pPr>
        <w:pStyle w:val="Reftext"/>
        <w:tabs>
          <w:tab w:val="clear" w:pos="794"/>
          <w:tab w:val="clear" w:pos="1191"/>
          <w:tab w:val="clear" w:pos="1588"/>
          <w:tab w:val="clear" w:pos="1985"/>
          <w:tab w:val="left" w:pos="3119"/>
          <w:tab w:val="left" w:pos="3544"/>
        </w:tabs>
        <w:ind w:left="3119" w:hanging="3119"/>
      </w:pPr>
      <w:r w:rsidRPr="00FA68E9">
        <w:t>[b-ITU-T WTSA-20 Res. 1]</w:t>
      </w:r>
      <w:r w:rsidR="003B6019" w:rsidRPr="008C54A5">
        <w:tab/>
        <w:t xml:space="preserve">ITU-T WTSA-20 Resolution 1 (2020), </w:t>
      </w:r>
      <w:r w:rsidR="003B6019" w:rsidRPr="008C54A5">
        <w:rPr>
          <w:i/>
          <w:iCs/>
        </w:rPr>
        <w:t>Rules of procedure of the ITU Telecommunication Standardization Sector</w:t>
      </w:r>
      <w:r w:rsidR="003B6019" w:rsidRPr="008C54A5">
        <w:t>.</w:t>
      </w:r>
    </w:p>
    <w:p w14:paraId="0EFDA9EA" w14:textId="26871584" w:rsidR="003B6019" w:rsidRPr="008C54A5" w:rsidRDefault="002C2E07" w:rsidP="003B6019">
      <w:pPr>
        <w:pStyle w:val="Reftext"/>
        <w:tabs>
          <w:tab w:val="clear" w:pos="794"/>
          <w:tab w:val="clear" w:pos="1191"/>
          <w:tab w:val="clear" w:pos="1588"/>
          <w:tab w:val="clear" w:pos="1985"/>
          <w:tab w:val="left" w:pos="3119"/>
          <w:tab w:val="left" w:pos="3544"/>
        </w:tabs>
        <w:ind w:left="3119" w:hanging="3119"/>
      </w:pPr>
      <w:r w:rsidRPr="00FA68E9">
        <w:t>[b-XSTP-sgstruct]</w:t>
      </w:r>
      <w:r w:rsidR="003B6019" w:rsidRPr="008C54A5">
        <w:tab/>
        <w:t xml:space="preserve">ITU-T Technical Paper (2020), </w:t>
      </w:r>
      <w:r w:rsidR="003B6019" w:rsidRPr="008C54A5">
        <w:rPr>
          <w:i/>
          <w:iCs/>
        </w:rPr>
        <w:t>Strategic approaches to the transformation of security studies</w:t>
      </w:r>
      <w:r w:rsidR="003B6019" w:rsidRPr="008C54A5">
        <w:t>.</w:t>
      </w:r>
    </w:p>
    <w:p w14:paraId="04C1C72F" w14:textId="77777777" w:rsidR="00203A23" w:rsidRDefault="00203A23" w:rsidP="00411C49">
      <w:pPr>
        <w:pStyle w:val="Reasons"/>
      </w:pPr>
    </w:p>
    <w:p w14:paraId="190313F8" w14:textId="77777777" w:rsidR="00203A23" w:rsidRDefault="00203A23">
      <w:pPr>
        <w:jc w:val="center"/>
      </w:pPr>
      <w:r>
        <w:t>______________</w:t>
      </w:r>
    </w:p>
    <w:sectPr w:rsidR="00203A23" w:rsidSect="001B6FFA">
      <w:headerReference w:type="default" r:id="rId76"/>
      <w:footerReference w:type="even" r:id="rId77"/>
      <w:footerReference w:type="default" r:id="rId78"/>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BCEE0" w14:textId="77777777" w:rsidR="0032098A" w:rsidRDefault="0032098A" w:rsidP="00C42125">
      <w:pPr>
        <w:spacing w:before="0"/>
      </w:pPr>
      <w:r>
        <w:separator/>
      </w:r>
    </w:p>
  </w:endnote>
  <w:endnote w:type="continuationSeparator" w:id="0">
    <w:p w14:paraId="73861771" w14:textId="77777777" w:rsidR="0032098A" w:rsidRDefault="0032098A" w:rsidP="00C42125">
      <w:pPr>
        <w:spacing w:before="0"/>
      </w:pPr>
      <w:r>
        <w:continuationSeparator/>
      </w:r>
    </w:p>
  </w:endnote>
  <w:endnote w:type="continuationNotice" w:id="1">
    <w:p w14:paraId="3F1B9ABF" w14:textId="77777777" w:rsidR="0032098A" w:rsidRDefault="003209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EE10" w14:textId="77777777" w:rsidR="007019F2" w:rsidRDefault="007019F2" w:rsidP="00CE6FB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1A2B" w14:textId="77777777" w:rsidR="003B6019" w:rsidRPr="003B6019" w:rsidRDefault="003B6019" w:rsidP="003B6019">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16</w:t>
    </w:r>
    <w:r w:rsidRPr="00926B6C">
      <w:fldChar w:fldCharType="end"/>
    </w:r>
    <w:r>
      <w:tab/>
    </w:r>
    <w:r>
      <w:rPr>
        <w:b/>
        <w:bCs/>
      </w:rPr>
      <w:t>TP.</w:t>
    </w:r>
    <w:r>
      <w:rPr>
        <w:b/>
        <w:bCs/>
        <w:caps w:val="0"/>
      </w:rPr>
      <w:t xml:space="preserve">inno </w:t>
    </w:r>
    <w:r>
      <w:rPr>
        <w:b/>
        <w:bCs/>
      </w:rPr>
      <w:t>(2024/03)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975C" w14:textId="16FF4615" w:rsidR="00B00F74" w:rsidRPr="003B6019" w:rsidRDefault="003B6019" w:rsidP="003B6019">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16</w:t>
    </w:r>
    <w:r w:rsidRPr="00926B6C">
      <w:fldChar w:fldCharType="end"/>
    </w:r>
    <w:r>
      <w:tab/>
    </w:r>
    <w:r>
      <w:rPr>
        <w:b/>
        <w:bCs/>
      </w:rPr>
      <w:t>TP.</w:t>
    </w:r>
    <w:r>
      <w:rPr>
        <w:b/>
        <w:bCs/>
        <w:caps w:val="0"/>
      </w:rPr>
      <w:t xml:space="preserve">inno </w:t>
    </w:r>
    <w:r>
      <w:rPr>
        <w:b/>
        <w:bCs/>
      </w:rPr>
      <w:t>(2024/03)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2F05" w14:textId="12F12DAB" w:rsidR="003B6019" w:rsidRPr="003B6019" w:rsidRDefault="003B6019" w:rsidP="003B6019">
    <w:pPr>
      <w:pStyle w:val="Footer"/>
      <w:tabs>
        <w:tab w:val="clear" w:pos="5954"/>
        <w:tab w:val="left" w:pos="851"/>
        <w:tab w:val="right" w:pos="9072"/>
      </w:tabs>
      <w:jc w:val="left"/>
      <w:rPr>
        <w:b/>
        <w:bCs/>
      </w:rPr>
    </w:pPr>
    <w:r>
      <w:tab/>
    </w:r>
    <w:r>
      <w:tab/>
    </w:r>
    <w:r>
      <w:rPr>
        <w:b/>
        <w:bCs/>
      </w:rPr>
      <w:t>TP.</w:t>
    </w:r>
    <w:r>
      <w:rPr>
        <w:b/>
        <w:bCs/>
        <w:caps w:val="0"/>
      </w:rPr>
      <w:t xml:space="preserve">inno </w:t>
    </w:r>
    <w:r>
      <w:rPr>
        <w:b/>
        <w:bCs/>
      </w:rPr>
      <w:t>(2024/03)</w:t>
    </w:r>
    <w:r>
      <w:rPr>
        <w:b/>
        <w:bCs/>
      </w:rPr>
      <w:tab/>
    </w:r>
    <w:r w:rsidRPr="00926B6C">
      <w:fldChar w:fldCharType="begin"/>
    </w:r>
    <w:r w:rsidRPr="00926B6C">
      <w:instrText xml:space="preserve"> PAGE </w:instrText>
    </w:r>
    <w:r w:rsidRPr="00926B6C">
      <w:fldChar w:fldCharType="separate"/>
    </w:r>
    <w:r>
      <w:t>21</w:t>
    </w:r>
    <w:r w:rsidRPr="00926B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CA00" w14:textId="591D05E7" w:rsidR="007019F2" w:rsidRPr="008F0E27" w:rsidRDefault="007019F2"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3B6019">
      <w:rPr>
        <w:b/>
        <w:bCs/>
      </w:rPr>
      <w:t>TP.</w:t>
    </w:r>
    <w:r w:rsidR="003B6019">
      <w:rPr>
        <w:b/>
        <w:bCs/>
        <w:caps w:val="0"/>
      </w:rPr>
      <w:t xml:space="preserve">inno </w:t>
    </w:r>
    <w:r w:rsidR="003B6019">
      <w:rPr>
        <w:b/>
        <w:bCs/>
      </w:rPr>
      <w:t>(2024/03)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23E2" w14:textId="6587DB70" w:rsidR="007019F2" w:rsidRPr="008F0E27" w:rsidRDefault="007019F2" w:rsidP="008F0E27">
    <w:pPr>
      <w:pStyle w:val="Footer"/>
      <w:tabs>
        <w:tab w:val="clear" w:pos="5954"/>
        <w:tab w:val="right" w:pos="8789"/>
      </w:tabs>
      <w:jc w:val="right"/>
      <w:rPr>
        <w:b/>
        <w:bCs/>
      </w:rPr>
    </w:pPr>
    <w:r w:rsidRPr="00926B6C">
      <w:rPr>
        <w:b/>
        <w:bCs/>
      </w:rPr>
      <w:tab/>
    </w:r>
    <w:r>
      <w:rPr>
        <w:b/>
        <w:bCs/>
      </w:rPr>
      <w:t>TP.</w:t>
    </w:r>
    <w:r w:rsidR="003B6019">
      <w:rPr>
        <w:b/>
        <w:bCs/>
        <w:caps w:val="0"/>
      </w:rPr>
      <w:t xml:space="preserve">inno </w:t>
    </w:r>
    <w:r>
      <w:rPr>
        <w:b/>
        <w:bCs/>
      </w:rPr>
      <w:t>(2024</w:t>
    </w:r>
    <w:r w:rsidR="003B6019">
      <w:rPr>
        <w:b/>
        <w:bCs/>
      </w:rPr>
      <w:t>/03</w:t>
    </w:r>
    <w:r>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2E26E" w14:textId="17481B19" w:rsidR="003B6019" w:rsidRPr="008F0E27" w:rsidRDefault="003B6019" w:rsidP="0028263A">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Pr>
        <w:b/>
        <w:bCs/>
      </w:rPr>
      <w:t>TP.</w:t>
    </w:r>
    <w:r>
      <w:rPr>
        <w:b/>
        <w:bCs/>
        <w:caps w:val="0"/>
      </w:rPr>
      <w:t xml:space="preserve">inno </w:t>
    </w:r>
    <w:r>
      <w:rPr>
        <w:b/>
        <w:bCs/>
      </w:rPr>
      <w:t>(2024/03)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1C42" w14:textId="57DF8EA8" w:rsidR="003B6019" w:rsidRPr="003B6019" w:rsidRDefault="000764AC" w:rsidP="003B6019">
    <w:pPr>
      <w:pStyle w:val="Footer"/>
      <w:tabs>
        <w:tab w:val="clear" w:pos="5954"/>
        <w:tab w:val="left" w:pos="851"/>
        <w:tab w:val="right" w:pos="9072"/>
      </w:tabs>
      <w:jc w:val="left"/>
      <w:rPr>
        <w:b/>
        <w:bCs/>
      </w:rPr>
    </w:pPr>
    <w:r>
      <w:tab/>
    </w:r>
    <w:r w:rsidR="003B6019">
      <w:tab/>
    </w:r>
    <w:r w:rsidR="003B6019">
      <w:rPr>
        <w:b/>
        <w:bCs/>
      </w:rPr>
      <w:t>TP.</w:t>
    </w:r>
    <w:r w:rsidR="003B6019">
      <w:rPr>
        <w:b/>
        <w:bCs/>
        <w:caps w:val="0"/>
      </w:rPr>
      <w:t xml:space="preserve">inno </w:t>
    </w:r>
    <w:r w:rsidR="003B6019">
      <w:rPr>
        <w:b/>
        <w:bCs/>
      </w:rPr>
      <w:t>(2024/03)</w:t>
    </w:r>
    <w:r>
      <w:rPr>
        <w:b/>
        <w:bCs/>
      </w:rPr>
      <w:tab/>
    </w:r>
    <w:r w:rsidRPr="00926B6C">
      <w:fldChar w:fldCharType="begin"/>
    </w:r>
    <w:r w:rsidRPr="00926B6C">
      <w:instrText xml:space="preserve"> PAGE </w:instrText>
    </w:r>
    <w:r w:rsidRPr="00926B6C">
      <w:fldChar w:fldCharType="separate"/>
    </w:r>
    <w:r>
      <w:t>1</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7FA5" w14:textId="77777777" w:rsidR="009D72DD" w:rsidRPr="008F0E27" w:rsidRDefault="009D72DD" w:rsidP="0028263A">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Pr>
        <w:b/>
        <w:bCs/>
      </w:rPr>
      <w:t>TP.</w:t>
    </w:r>
    <w:r>
      <w:rPr>
        <w:b/>
        <w:bCs/>
        <w:caps w:val="0"/>
      </w:rPr>
      <w:t xml:space="preserve">inno </w:t>
    </w:r>
    <w:r>
      <w:rPr>
        <w:b/>
        <w:bCs/>
      </w:rPr>
      <w:t>(2024/03)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641C" w14:textId="77777777" w:rsidR="009D72DD" w:rsidRPr="008F0E27" w:rsidRDefault="009D72DD" w:rsidP="009D72DD">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4</w:t>
    </w:r>
    <w:r w:rsidRPr="00926B6C">
      <w:fldChar w:fldCharType="end"/>
    </w:r>
    <w:r>
      <w:tab/>
    </w:r>
    <w:r>
      <w:rPr>
        <w:b/>
        <w:bCs/>
      </w:rPr>
      <w:t>TP.</w:t>
    </w:r>
    <w:r>
      <w:rPr>
        <w:b/>
        <w:bCs/>
        <w:caps w:val="0"/>
      </w:rPr>
      <w:t xml:space="preserve">inno </w:t>
    </w:r>
    <w:r>
      <w:rPr>
        <w:b/>
        <w:bCs/>
      </w:rPr>
      <w:t>(2024/03)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7B6F" w14:textId="77777777" w:rsidR="009D72DD" w:rsidRPr="003B6019" w:rsidRDefault="009D72DD" w:rsidP="009D72DD">
    <w:pPr>
      <w:pStyle w:val="Footer"/>
      <w:tabs>
        <w:tab w:val="clear" w:pos="5954"/>
        <w:tab w:val="left" w:pos="851"/>
        <w:tab w:val="right" w:pos="9072"/>
      </w:tabs>
      <w:jc w:val="left"/>
      <w:rPr>
        <w:b/>
        <w:bCs/>
      </w:rPr>
    </w:pPr>
    <w:r>
      <w:tab/>
    </w:r>
    <w:r>
      <w:tab/>
    </w:r>
    <w:r>
      <w:rPr>
        <w:b/>
        <w:bCs/>
      </w:rPr>
      <w:t>TP.</w:t>
    </w:r>
    <w:r>
      <w:rPr>
        <w:b/>
        <w:bCs/>
        <w:caps w:val="0"/>
      </w:rPr>
      <w:t xml:space="preserve">inno </w:t>
    </w:r>
    <w:r>
      <w:rPr>
        <w:b/>
        <w:bCs/>
      </w:rPr>
      <w:t>(2024/03)</w:t>
    </w:r>
    <w:r>
      <w:rPr>
        <w:b/>
        <w:bCs/>
      </w:rPr>
      <w:tab/>
    </w:r>
    <w:r w:rsidRPr="00926B6C">
      <w:fldChar w:fldCharType="begin"/>
    </w:r>
    <w:r w:rsidRPr="00926B6C">
      <w:instrText xml:space="preserve"> PAGE </w:instrText>
    </w:r>
    <w:r w:rsidRPr="00926B6C">
      <w:fldChar w:fldCharType="separate"/>
    </w:r>
    <w:r>
      <w:t>5</w:t>
    </w:r>
    <w:r w:rsidRPr="00926B6C">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83A4" w14:textId="77777777" w:rsidR="000764AC" w:rsidRPr="008F0E27" w:rsidRDefault="000764AC" w:rsidP="0028263A">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Pr>
        <w:b/>
        <w:bCs/>
      </w:rPr>
      <w:t>TP.</w:t>
    </w:r>
    <w:r>
      <w:rPr>
        <w:b/>
        <w:bCs/>
        <w:caps w:val="0"/>
      </w:rPr>
      <w:t xml:space="preserve">inno </w:t>
    </w:r>
    <w:r>
      <w:rPr>
        <w:b/>
        <w:bCs/>
      </w:rPr>
      <w:t>(2024/03)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4CFD8" w14:textId="77777777" w:rsidR="0032098A" w:rsidRDefault="0032098A" w:rsidP="00C42125">
      <w:pPr>
        <w:spacing w:before="0"/>
      </w:pPr>
      <w:r>
        <w:separator/>
      </w:r>
    </w:p>
  </w:footnote>
  <w:footnote w:type="continuationSeparator" w:id="0">
    <w:p w14:paraId="426506CC" w14:textId="77777777" w:rsidR="0032098A" w:rsidRDefault="0032098A" w:rsidP="00C42125">
      <w:pPr>
        <w:spacing w:before="0"/>
      </w:pPr>
      <w:r>
        <w:continuationSeparator/>
      </w:r>
    </w:p>
  </w:footnote>
  <w:footnote w:type="continuationNotice" w:id="1">
    <w:p w14:paraId="1D1FEAE0" w14:textId="77777777" w:rsidR="0032098A" w:rsidRDefault="0032098A">
      <w:pPr>
        <w:spacing w:before="0"/>
      </w:pPr>
    </w:p>
  </w:footnote>
  <w:footnote w:id="2">
    <w:p w14:paraId="11165E74" w14:textId="554E69BB" w:rsidR="003B6019" w:rsidRPr="00625288" w:rsidRDefault="003B6019" w:rsidP="003B6019">
      <w:pPr>
        <w:pStyle w:val="FootnoteText"/>
        <w:rPr>
          <w:lang w:val="en-US"/>
        </w:rPr>
      </w:pPr>
      <w:r>
        <w:rPr>
          <w:rStyle w:val="FootnoteReference"/>
        </w:rPr>
        <w:footnoteRef/>
      </w:r>
      <w:r>
        <w:tab/>
      </w:r>
      <w:r w:rsidRPr="004E50A2">
        <w:rPr>
          <w:lang w:val="en-US"/>
        </w:rPr>
        <w:t xml:space="preserve">A contribution </w:t>
      </w:r>
      <w:r>
        <w:rPr>
          <w:lang w:val="en-US"/>
        </w:rPr>
        <w:t xml:space="preserve">or text carrying a </w:t>
      </w:r>
      <w:r w:rsidR="00867176">
        <w:rPr>
          <w:lang w:val="en-US"/>
        </w:rPr>
        <w:t>n</w:t>
      </w:r>
      <w:r>
        <w:rPr>
          <w:lang w:val="en-US"/>
        </w:rPr>
        <w:t xml:space="preserve">ew </w:t>
      </w:r>
      <w:r w:rsidR="00867176">
        <w:rPr>
          <w:lang w:val="en-US"/>
        </w:rPr>
        <w:t>w</w:t>
      </w:r>
      <w:r>
        <w:rPr>
          <w:lang w:val="en-US"/>
        </w:rPr>
        <w:t xml:space="preserve">ork </w:t>
      </w:r>
      <w:r w:rsidR="00867176">
        <w:rPr>
          <w:lang w:val="en-US"/>
        </w:rPr>
        <w:t>i</w:t>
      </w:r>
      <w:r>
        <w:rPr>
          <w:lang w:val="en-US"/>
        </w:rPr>
        <w:t xml:space="preserve">tem from </w:t>
      </w:r>
      <w:r w:rsidR="00867176">
        <w:rPr>
          <w:lang w:val="en-US"/>
        </w:rPr>
        <w:t>an</w:t>
      </w:r>
      <w:r>
        <w:rPr>
          <w:lang w:val="en-US"/>
        </w:rPr>
        <w:t xml:space="preserve">other SDO </w:t>
      </w:r>
      <w:r w:rsidRPr="004E50A2">
        <w:rPr>
          <w:lang w:val="en-US"/>
        </w:rPr>
        <w:t xml:space="preserve">is to be understood as submitted before the contribution deadline for </w:t>
      </w:r>
      <w:r w:rsidR="00867176">
        <w:rPr>
          <w:lang w:val="en-US"/>
        </w:rPr>
        <w:t xml:space="preserve">the </w:t>
      </w:r>
      <w:r w:rsidRPr="004E50A2">
        <w:rPr>
          <w:lang w:val="en-US"/>
        </w:rPr>
        <w:t>SG17</w:t>
      </w:r>
      <w:r>
        <w:rPr>
          <w:lang w:val="en-US"/>
        </w:rPr>
        <w:t xml:space="preserv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96029" w14:textId="77777777" w:rsidR="007019F2" w:rsidRDefault="007019F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958B" w14:textId="77777777" w:rsidR="007019F2" w:rsidRDefault="007019F2"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E0C9D" w14:textId="77777777" w:rsidR="007019F2" w:rsidRDefault="007019F2">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25552" w14:textId="77777777" w:rsidR="003B6019" w:rsidRDefault="003B60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8A61" w14:textId="5A30441B" w:rsidR="00807216" w:rsidRPr="003B6019" w:rsidRDefault="00807216" w:rsidP="003B6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74A4F"/>
    <w:multiLevelType w:val="hybridMultilevel"/>
    <w:tmpl w:val="E632AA88"/>
    <w:lvl w:ilvl="0" w:tplc="61C2AD82">
      <w:start w:val="10"/>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0D77C3"/>
    <w:multiLevelType w:val="hybridMultilevel"/>
    <w:tmpl w:val="84F2C266"/>
    <w:lvl w:ilvl="0" w:tplc="8CE47AD4">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FF1228"/>
    <w:multiLevelType w:val="hybridMultilevel"/>
    <w:tmpl w:val="6584E9FE"/>
    <w:lvl w:ilvl="0" w:tplc="69C65A9C">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EA7F93"/>
    <w:multiLevelType w:val="hybridMultilevel"/>
    <w:tmpl w:val="9356E01E"/>
    <w:lvl w:ilvl="0" w:tplc="8CE47AD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967D83"/>
    <w:multiLevelType w:val="hybridMultilevel"/>
    <w:tmpl w:val="93DAB64E"/>
    <w:lvl w:ilvl="0" w:tplc="0AA8325E">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444A3E"/>
    <w:multiLevelType w:val="multilevel"/>
    <w:tmpl w:val="ED3A5B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169703C"/>
    <w:multiLevelType w:val="hybridMultilevel"/>
    <w:tmpl w:val="D8BADFCC"/>
    <w:lvl w:ilvl="0" w:tplc="10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8A571F"/>
    <w:multiLevelType w:val="multilevel"/>
    <w:tmpl w:val="219A95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AD1E86"/>
    <w:multiLevelType w:val="multilevel"/>
    <w:tmpl w:val="6AAC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191EC0"/>
    <w:multiLevelType w:val="hybridMultilevel"/>
    <w:tmpl w:val="720240FC"/>
    <w:lvl w:ilvl="0" w:tplc="8CE47AD4">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BD3737"/>
    <w:multiLevelType w:val="hybridMultilevel"/>
    <w:tmpl w:val="D4BA5AE8"/>
    <w:lvl w:ilvl="0" w:tplc="61963EC8">
      <w:numFmt w:val="bullet"/>
      <w:lvlText w:val="-"/>
      <w:lvlJc w:val="left"/>
      <w:pPr>
        <w:ind w:left="1440" w:hanging="360"/>
      </w:pPr>
      <w:rPr>
        <w:rFonts w:ascii="Times New Roman" w:eastAsiaTheme="minorEastAsia"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10777E"/>
    <w:multiLevelType w:val="hybridMultilevel"/>
    <w:tmpl w:val="C382DB26"/>
    <w:lvl w:ilvl="0" w:tplc="8CE47AD4">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56002"/>
    <w:multiLevelType w:val="multilevel"/>
    <w:tmpl w:val="F326C1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B6E3941"/>
    <w:multiLevelType w:val="hybridMultilevel"/>
    <w:tmpl w:val="6D1E89C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C7475"/>
    <w:multiLevelType w:val="multilevel"/>
    <w:tmpl w:val="15EAF7A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C853E3"/>
    <w:multiLevelType w:val="hybridMultilevel"/>
    <w:tmpl w:val="F8A2107E"/>
    <w:lvl w:ilvl="0" w:tplc="8CE47AD4">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A6EFC"/>
    <w:multiLevelType w:val="hybridMultilevel"/>
    <w:tmpl w:val="1F2A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2382F"/>
    <w:multiLevelType w:val="hybridMultilevel"/>
    <w:tmpl w:val="440E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60EF4"/>
    <w:multiLevelType w:val="hybridMultilevel"/>
    <w:tmpl w:val="987E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146FF"/>
    <w:multiLevelType w:val="hybridMultilevel"/>
    <w:tmpl w:val="B8F29B80"/>
    <w:lvl w:ilvl="0" w:tplc="C660DF58">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C096F"/>
    <w:multiLevelType w:val="hybridMultilevel"/>
    <w:tmpl w:val="4B0EA9F6"/>
    <w:lvl w:ilvl="0" w:tplc="C5B4060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BA2589C"/>
    <w:multiLevelType w:val="hybridMultilevel"/>
    <w:tmpl w:val="C0EA4FE2"/>
    <w:lvl w:ilvl="0" w:tplc="8CE47AD4">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154776">
    <w:abstractNumId w:val="9"/>
  </w:num>
  <w:num w:numId="2" w16cid:durableId="197279508">
    <w:abstractNumId w:val="7"/>
  </w:num>
  <w:num w:numId="3" w16cid:durableId="118032693">
    <w:abstractNumId w:val="6"/>
  </w:num>
  <w:num w:numId="4" w16cid:durableId="553276146">
    <w:abstractNumId w:val="5"/>
  </w:num>
  <w:num w:numId="5" w16cid:durableId="329867063">
    <w:abstractNumId w:val="4"/>
  </w:num>
  <w:num w:numId="6" w16cid:durableId="1641109095">
    <w:abstractNumId w:val="8"/>
  </w:num>
  <w:num w:numId="7" w16cid:durableId="1256137377">
    <w:abstractNumId w:val="3"/>
  </w:num>
  <w:num w:numId="8" w16cid:durableId="1914118696">
    <w:abstractNumId w:val="2"/>
  </w:num>
  <w:num w:numId="9" w16cid:durableId="1877548942">
    <w:abstractNumId w:val="1"/>
  </w:num>
  <w:num w:numId="10" w16cid:durableId="1386298997">
    <w:abstractNumId w:val="0"/>
  </w:num>
  <w:num w:numId="11" w16cid:durableId="706101062">
    <w:abstractNumId w:val="19"/>
  </w:num>
  <w:num w:numId="12" w16cid:durableId="1048991133">
    <w:abstractNumId w:val="22"/>
  </w:num>
  <w:num w:numId="13" w16cid:durableId="351616666">
    <w:abstractNumId w:val="30"/>
  </w:num>
  <w:num w:numId="14" w16cid:durableId="1127746202">
    <w:abstractNumId w:val="26"/>
  </w:num>
  <w:num w:numId="15" w16cid:durableId="1782455841">
    <w:abstractNumId w:val="28"/>
  </w:num>
  <w:num w:numId="16" w16cid:durableId="105585890">
    <w:abstractNumId w:val="27"/>
  </w:num>
  <w:num w:numId="17" w16cid:durableId="670571279">
    <w:abstractNumId w:val="14"/>
  </w:num>
  <w:num w:numId="18" w16cid:durableId="1780952677">
    <w:abstractNumId w:val="10"/>
  </w:num>
  <w:num w:numId="19" w16cid:durableId="2039427378">
    <w:abstractNumId w:val="18"/>
  </w:num>
  <w:num w:numId="20" w16cid:durableId="1472550882">
    <w:abstractNumId w:val="23"/>
  </w:num>
  <w:num w:numId="21" w16cid:durableId="1522470928">
    <w:abstractNumId w:val="20"/>
  </w:num>
  <w:num w:numId="22" w16cid:durableId="154302246">
    <w:abstractNumId w:val="12"/>
  </w:num>
  <w:num w:numId="23" w16cid:durableId="1748074221">
    <w:abstractNumId w:val="29"/>
  </w:num>
  <w:num w:numId="24" w16cid:durableId="1710377865">
    <w:abstractNumId w:val="24"/>
  </w:num>
  <w:num w:numId="25" w16cid:durableId="451361248">
    <w:abstractNumId w:val="16"/>
  </w:num>
  <w:num w:numId="26" w16cid:durableId="1890535059">
    <w:abstractNumId w:val="13"/>
  </w:num>
  <w:num w:numId="27" w16cid:durableId="520434635">
    <w:abstractNumId w:val="15"/>
  </w:num>
  <w:num w:numId="28" w16cid:durableId="670715653">
    <w:abstractNumId w:val="11"/>
  </w:num>
  <w:num w:numId="29" w16cid:durableId="629745942">
    <w:abstractNumId w:val="21"/>
  </w:num>
  <w:num w:numId="30" w16cid:durableId="3365496">
    <w:abstractNumId w:val="32"/>
  </w:num>
  <w:num w:numId="31" w16cid:durableId="1968661837">
    <w:abstractNumId w:val="25"/>
  </w:num>
  <w:num w:numId="32" w16cid:durableId="1808819630">
    <w:abstractNumId w:val="17"/>
  </w:num>
  <w:num w:numId="33" w16cid:durableId="7538922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2637"/>
    <w:rsid w:val="00004D29"/>
    <w:rsid w:val="00014F69"/>
    <w:rsid w:val="000171DB"/>
    <w:rsid w:val="00020A40"/>
    <w:rsid w:val="00023D9A"/>
    <w:rsid w:val="000244A2"/>
    <w:rsid w:val="0002490E"/>
    <w:rsid w:val="00024DF3"/>
    <w:rsid w:val="0002770A"/>
    <w:rsid w:val="000321D0"/>
    <w:rsid w:val="0003582E"/>
    <w:rsid w:val="00037538"/>
    <w:rsid w:val="00043D75"/>
    <w:rsid w:val="00054813"/>
    <w:rsid w:val="00057000"/>
    <w:rsid w:val="000640E0"/>
    <w:rsid w:val="00064226"/>
    <w:rsid w:val="00066C7D"/>
    <w:rsid w:val="000764AC"/>
    <w:rsid w:val="00077B45"/>
    <w:rsid w:val="00086D80"/>
    <w:rsid w:val="000966A8"/>
    <w:rsid w:val="00096998"/>
    <w:rsid w:val="000A048B"/>
    <w:rsid w:val="000A0675"/>
    <w:rsid w:val="000A0A5C"/>
    <w:rsid w:val="000A39D9"/>
    <w:rsid w:val="000A45DC"/>
    <w:rsid w:val="000A5CA2"/>
    <w:rsid w:val="000A651A"/>
    <w:rsid w:val="000B25B1"/>
    <w:rsid w:val="000B4523"/>
    <w:rsid w:val="000C08BE"/>
    <w:rsid w:val="000C3DDD"/>
    <w:rsid w:val="000C6073"/>
    <w:rsid w:val="000E0518"/>
    <w:rsid w:val="000E3C61"/>
    <w:rsid w:val="000E3E55"/>
    <w:rsid w:val="000E6083"/>
    <w:rsid w:val="000E6125"/>
    <w:rsid w:val="00100BAF"/>
    <w:rsid w:val="0010456B"/>
    <w:rsid w:val="00107031"/>
    <w:rsid w:val="00110480"/>
    <w:rsid w:val="001109F9"/>
    <w:rsid w:val="00111773"/>
    <w:rsid w:val="00113DBE"/>
    <w:rsid w:val="00117A9E"/>
    <w:rsid w:val="001200A6"/>
    <w:rsid w:val="001251DA"/>
    <w:rsid w:val="00125432"/>
    <w:rsid w:val="00136DDD"/>
    <w:rsid w:val="00137F40"/>
    <w:rsid w:val="0014166F"/>
    <w:rsid w:val="00144BDF"/>
    <w:rsid w:val="00155DDC"/>
    <w:rsid w:val="00163081"/>
    <w:rsid w:val="00165942"/>
    <w:rsid w:val="00165FF4"/>
    <w:rsid w:val="0017240B"/>
    <w:rsid w:val="001807FD"/>
    <w:rsid w:val="00183357"/>
    <w:rsid w:val="00183B0C"/>
    <w:rsid w:val="001871EC"/>
    <w:rsid w:val="001A20C3"/>
    <w:rsid w:val="001A670F"/>
    <w:rsid w:val="001A781E"/>
    <w:rsid w:val="001B6A45"/>
    <w:rsid w:val="001B6FFA"/>
    <w:rsid w:val="001C0683"/>
    <w:rsid w:val="001C1003"/>
    <w:rsid w:val="001C3FE2"/>
    <w:rsid w:val="001C4B91"/>
    <w:rsid w:val="001C62B8"/>
    <w:rsid w:val="001C73C5"/>
    <w:rsid w:val="001C787A"/>
    <w:rsid w:val="001D033C"/>
    <w:rsid w:val="001D22D8"/>
    <w:rsid w:val="001D4296"/>
    <w:rsid w:val="001D6EB6"/>
    <w:rsid w:val="001E34FA"/>
    <w:rsid w:val="001E7B0E"/>
    <w:rsid w:val="001F141D"/>
    <w:rsid w:val="001F3DE2"/>
    <w:rsid w:val="001F48ED"/>
    <w:rsid w:val="001F68BA"/>
    <w:rsid w:val="002009F1"/>
    <w:rsid w:val="00200A06"/>
    <w:rsid w:val="00200A98"/>
    <w:rsid w:val="00201AFA"/>
    <w:rsid w:val="00203A23"/>
    <w:rsid w:val="00211A77"/>
    <w:rsid w:val="00213FD8"/>
    <w:rsid w:val="0021692F"/>
    <w:rsid w:val="002229F1"/>
    <w:rsid w:val="00225082"/>
    <w:rsid w:val="00225175"/>
    <w:rsid w:val="00230B96"/>
    <w:rsid w:val="00231DC5"/>
    <w:rsid w:val="00233F75"/>
    <w:rsid w:val="00241832"/>
    <w:rsid w:val="0025233B"/>
    <w:rsid w:val="002528F9"/>
    <w:rsid w:val="002534C9"/>
    <w:rsid w:val="00253DBE"/>
    <w:rsid w:val="00253DC6"/>
    <w:rsid w:val="0025489C"/>
    <w:rsid w:val="002622FA"/>
    <w:rsid w:val="00263518"/>
    <w:rsid w:val="002759E7"/>
    <w:rsid w:val="00275ED1"/>
    <w:rsid w:val="00277326"/>
    <w:rsid w:val="00284EEA"/>
    <w:rsid w:val="00285A49"/>
    <w:rsid w:val="00286C22"/>
    <w:rsid w:val="0029061F"/>
    <w:rsid w:val="0029770D"/>
    <w:rsid w:val="002A11C4"/>
    <w:rsid w:val="002A352A"/>
    <w:rsid w:val="002A399B"/>
    <w:rsid w:val="002A49E0"/>
    <w:rsid w:val="002B1D26"/>
    <w:rsid w:val="002C015C"/>
    <w:rsid w:val="002C26C0"/>
    <w:rsid w:val="002C2BC5"/>
    <w:rsid w:val="002C2E07"/>
    <w:rsid w:val="002C6F39"/>
    <w:rsid w:val="002C7122"/>
    <w:rsid w:val="002E0407"/>
    <w:rsid w:val="002E2053"/>
    <w:rsid w:val="002E2467"/>
    <w:rsid w:val="002E79CB"/>
    <w:rsid w:val="002F0471"/>
    <w:rsid w:val="002F1714"/>
    <w:rsid w:val="002F1CFE"/>
    <w:rsid w:val="002F270C"/>
    <w:rsid w:val="002F5CA7"/>
    <w:rsid w:val="002F74AC"/>
    <w:rsid w:val="002F7F55"/>
    <w:rsid w:val="003065A1"/>
    <w:rsid w:val="0030745F"/>
    <w:rsid w:val="0030748F"/>
    <w:rsid w:val="00314630"/>
    <w:rsid w:val="0032090A"/>
    <w:rsid w:val="0032098A"/>
    <w:rsid w:val="00321CDE"/>
    <w:rsid w:val="00324D1C"/>
    <w:rsid w:val="00333E15"/>
    <w:rsid w:val="00334FEE"/>
    <w:rsid w:val="00336046"/>
    <w:rsid w:val="003416D3"/>
    <w:rsid w:val="00345FDC"/>
    <w:rsid w:val="00350492"/>
    <w:rsid w:val="00350A9A"/>
    <w:rsid w:val="0035343D"/>
    <w:rsid w:val="00357039"/>
    <w:rsid w:val="003571BC"/>
    <w:rsid w:val="0036090C"/>
    <w:rsid w:val="00364979"/>
    <w:rsid w:val="0036584C"/>
    <w:rsid w:val="0037202D"/>
    <w:rsid w:val="0037422B"/>
    <w:rsid w:val="00375714"/>
    <w:rsid w:val="00385B9C"/>
    <w:rsid w:val="00385FB5"/>
    <w:rsid w:val="0038715D"/>
    <w:rsid w:val="00392E84"/>
    <w:rsid w:val="00394DBF"/>
    <w:rsid w:val="003957A6"/>
    <w:rsid w:val="00395C05"/>
    <w:rsid w:val="00397713"/>
    <w:rsid w:val="003A43EF"/>
    <w:rsid w:val="003A5982"/>
    <w:rsid w:val="003B6019"/>
    <w:rsid w:val="003B60A2"/>
    <w:rsid w:val="003C510F"/>
    <w:rsid w:val="003C5782"/>
    <w:rsid w:val="003C70E1"/>
    <w:rsid w:val="003C7445"/>
    <w:rsid w:val="003D1B88"/>
    <w:rsid w:val="003D2CC8"/>
    <w:rsid w:val="003D5C26"/>
    <w:rsid w:val="003E39A2"/>
    <w:rsid w:val="003E57AB"/>
    <w:rsid w:val="003F1CB7"/>
    <w:rsid w:val="003F2BED"/>
    <w:rsid w:val="00400B49"/>
    <w:rsid w:val="0040415B"/>
    <w:rsid w:val="00404998"/>
    <w:rsid w:val="004069FB"/>
    <w:rsid w:val="00407A24"/>
    <w:rsid w:val="004139E4"/>
    <w:rsid w:val="00415999"/>
    <w:rsid w:val="004211CF"/>
    <w:rsid w:val="0042578B"/>
    <w:rsid w:val="00443878"/>
    <w:rsid w:val="0044609F"/>
    <w:rsid w:val="004472CA"/>
    <w:rsid w:val="00450479"/>
    <w:rsid w:val="004539A8"/>
    <w:rsid w:val="00456F02"/>
    <w:rsid w:val="00462942"/>
    <w:rsid w:val="00462B6B"/>
    <w:rsid w:val="004646F1"/>
    <w:rsid w:val="004675E0"/>
    <w:rsid w:val="004712CA"/>
    <w:rsid w:val="0047422E"/>
    <w:rsid w:val="00495CD9"/>
    <w:rsid w:val="0049674B"/>
    <w:rsid w:val="004A4222"/>
    <w:rsid w:val="004B1BE0"/>
    <w:rsid w:val="004B5318"/>
    <w:rsid w:val="004C0673"/>
    <w:rsid w:val="004C4E4E"/>
    <w:rsid w:val="004D30ED"/>
    <w:rsid w:val="004E08F2"/>
    <w:rsid w:val="004E21F6"/>
    <w:rsid w:val="004E2FB9"/>
    <w:rsid w:val="004F3816"/>
    <w:rsid w:val="004F500A"/>
    <w:rsid w:val="004F6151"/>
    <w:rsid w:val="005126A0"/>
    <w:rsid w:val="005155ED"/>
    <w:rsid w:val="005237C1"/>
    <w:rsid w:val="0052590E"/>
    <w:rsid w:val="0053277D"/>
    <w:rsid w:val="00541F38"/>
    <w:rsid w:val="00543D41"/>
    <w:rsid w:val="00545472"/>
    <w:rsid w:val="00552142"/>
    <w:rsid w:val="00553A58"/>
    <w:rsid w:val="005571A4"/>
    <w:rsid w:val="0055782F"/>
    <w:rsid w:val="005604FC"/>
    <w:rsid w:val="00566EDA"/>
    <w:rsid w:val="00567F52"/>
    <w:rsid w:val="0057081A"/>
    <w:rsid w:val="00572654"/>
    <w:rsid w:val="00577559"/>
    <w:rsid w:val="005775E7"/>
    <w:rsid w:val="00582711"/>
    <w:rsid w:val="00583CED"/>
    <w:rsid w:val="005957A3"/>
    <w:rsid w:val="00596669"/>
    <w:rsid w:val="005976A1"/>
    <w:rsid w:val="005A34E7"/>
    <w:rsid w:val="005A69A3"/>
    <w:rsid w:val="005B3023"/>
    <w:rsid w:val="005B5629"/>
    <w:rsid w:val="005C0300"/>
    <w:rsid w:val="005C27A2"/>
    <w:rsid w:val="005C4F27"/>
    <w:rsid w:val="005D4FEB"/>
    <w:rsid w:val="005D5902"/>
    <w:rsid w:val="005D65ED"/>
    <w:rsid w:val="005E0E6C"/>
    <w:rsid w:val="005F1042"/>
    <w:rsid w:val="005F4B6A"/>
    <w:rsid w:val="006010F3"/>
    <w:rsid w:val="00604127"/>
    <w:rsid w:val="006104B9"/>
    <w:rsid w:val="00615A0A"/>
    <w:rsid w:val="006243D6"/>
    <w:rsid w:val="00625017"/>
    <w:rsid w:val="00625288"/>
    <w:rsid w:val="00627BA4"/>
    <w:rsid w:val="006333D4"/>
    <w:rsid w:val="006369B2"/>
    <w:rsid w:val="0063718D"/>
    <w:rsid w:val="0064290B"/>
    <w:rsid w:val="00642D16"/>
    <w:rsid w:val="00647525"/>
    <w:rsid w:val="00647A71"/>
    <w:rsid w:val="006530A8"/>
    <w:rsid w:val="006570B0"/>
    <w:rsid w:val="0066022F"/>
    <w:rsid w:val="00673453"/>
    <w:rsid w:val="00674C6F"/>
    <w:rsid w:val="0067739F"/>
    <w:rsid w:val="006823F3"/>
    <w:rsid w:val="00682799"/>
    <w:rsid w:val="00690031"/>
    <w:rsid w:val="0069180E"/>
    <w:rsid w:val="00691C94"/>
    <w:rsid w:val="0069210B"/>
    <w:rsid w:val="006924B9"/>
    <w:rsid w:val="00693139"/>
    <w:rsid w:val="00695DD7"/>
    <w:rsid w:val="006A0F3F"/>
    <w:rsid w:val="006A2A02"/>
    <w:rsid w:val="006A4055"/>
    <w:rsid w:val="006A4F69"/>
    <w:rsid w:val="006A7457"/>
    <w:rsid w:val="006A7C27"/>
    <w:rsid w:val="006B07CB"/>
    <w:rsid w:val="006B2FE4"/>
    <w:rsid w:val="006B37B0"/>
    <w:rsid w:val="006B6BA2"/>
    <w:rsid w:val="006C34D2"/>
    <w:rsid w:val="006C5641"/>
    <w:rsid w:val="006D1089"/>
    <w:rsid w:val="006D1B86"/>
    <w:rsid w:val="006D3DCE"/>
    <w:rsid w:val="006D5668"/>
    <w:rsid w:val="006D7355"/>
    <w:rsid w:val="006E1D3E"/>
    <w:rsid w:val="006E6DB8"/>
    <w:rsid w:val="006E7B55"/>
    <w:rsid w:val="006F0797"/>
    <w:rsid w:val="006F1BE2"/>
    <w:rsid w:val="006F2ACE"/>
    <w:rsid w:val="006F4361"/>
    <w:rsid w:val="006F7DEE"/>
    <w:rsid w:val="007019F2"/>
    <w:rsid w:val="00705954"/>
    <w:rsid w:val="0070599D"/>
    <w:rsid w:val="00706A29"/>
    <w:rsid w:val="00706F2F"/>
    <w:rsid w:val="00714CEE"/>
    <w:rsid w:val="00715B22"/>
    <w:rsid w:val="00715CA6"/>
    <w:rsid w:val="00725921"/>
    <w:rsid w:val="00727D41"/>
    <w:rsid w:val="00731135"/>
    <w:rsid w:val="007324AF"/>
    <w:rsid w:val="00735C6F"/>
    <w:rsid w:val="007379DA"/>
    <w:rsid w:val="0074098D"/>
    <w:rsid w:val="007409B4"/>
    <w:rsid w:val="00741974"/>
    <w:rsid w:val="007454B6"/>
    <w:rsid w:val="00754A2C"/>
    <w:rsid w:val="0075525E"/>
    <w:rsid w:val="00756D3D"/>
    <w:rsid w:val="00763F50"/>
    <w:rsid w:val="00765636"/>
    <w:rsid w:val="007745D0"/>
    <w:rsid w:val="00774EC4"/>
    <w:rsid w:val="007806C2"/>
    <w:rsid w:val="00781FEE"/>
    <w:rsid w:val="007903F8"/>
    <w:rsid w:val="0079341C"/>
    <w:rsid w:val="00794F4F"/>
    <w:rsid w:val="007974BE"/>
    <w:rsid w:val="007A0916"/>
    <w:rsid w:val="007A0DFD"/>
    <w:rsid w:val="007A59C4"/>
    <w:rsid w:val="007A6474"/>
    <w:rsid w:val="007B02E6"/>
    <w:rsid w:val="007B04EB"/>
    <w:rsid w:val="007C12B9"/>
    <w:rsid w:val="007C5ED4"/>
    <w:rsid w:val="007C7122"/>
    <w:rsid w:val="007D3F11"/>
    <w:rsid w:val="007D6BA3"/>
    <w:rsid w:val="007E2C69"/>
    <w:rsid w:val="007E53E4"/>
    <w:rsid w:val="007E656A"/>
    <w:rsid w:val="007E6DA6"/>
    <w:rsid w:val="007F3CAA"/>
    <w:rsid w:val="007F664D"/>
    <w:rsid w:val="007F6D6D"/>
    <w:rsid w:val="007F7C61"/>
    <w:rsid w:val="00801B42"/>
    <w:rsid w:val="00802745"/>
    <w:rsid w:val="00807216"/>
    <w:rsid w:val="0081064E"/>
    <w:rsid w:val="008128CE"/>
    <w:rsid w:val="00820B91"/>
    <w:rsid w:val="00821039"/>
    <w:rsid w:val="008249A7"/>
    <w:rsid w:val="00827268"/>
    <w:rsid w:val="008317C8"/>
    <w:rsid w:val="00836D45"/>
    <w:rsid w:val="00837203"/>
    <w:rsid w:val="00841217"/>
    <w:rsid w:val="00842137"/>
    <w:rsid w:val="0085100D"/>
    <w:rsid w:val="00851E6C"/>
    <w:rsid w:val="00853F5F"/>
    <w:rsid w:val="00855D14"/>
    <w:rsid w:val="00856C7A"/>
    <w:rsid w:val="008623ED"/>
    <w:rsid w:val="00867176"/>
    <w:rsid w:val="00875AA6"/>
    <w:rsid w:val="00880944"/>
    <w:rsid w:val="008831AC"/>
    <w:rsid w:val="00887ED8"/>
    <w:rsid w:val="0089088E"/>
    <w:rsid w:val="00891F09"/>
    <w:rsid w:val="00892297"/>
    <w:rsid w:val="008928E0"/>
    <w:rsid w:val="00893996"/>
    <w:rsid w:val="00894DC1"/>
    <w:rsid w:val="008964D6"/>
    <w:rsid w:val="008A0F6A"/>
    <w:rsid w:val="008A735C"/>
    <w:rsid w:val="008A77A8"/>
    <w:rsid w:val="008B5123"/>
    <w:rsid w:val="008B6F4A"/>
    <w:rsid w:val="008C54A5"/>
    <w:rsid w:val="008C5A9A"/>
    <w:rsid w:val="008C79F7"/>
    <w:rsid w:val="008D0C7E"/>
    <w:rsid w:val="008D1E1E"/>
    <w:rsid w:val="008E0172"/>
    <w:rsid w:val="008E2200"/>
    <w:rsid w:val="008E370F"/>
    <w:rsid w:val="008E6A9A"/>
    <w:rsid w:val="008F0E8E"/>
    <w:rsid w:val="008F449E"/>
    <w:rsid w:val="00905C4D"/>
    <w:rsid w:val="009069CB"/>
    <w:rsid w:val="00913241"/>
    <w:rsid w:val="00914912"/>
    <w:rsid w:val="00922BC4"/>
    <w:rsid w:val="00931D92"/>
    <w:rsid w:val="00932AB7"/>
    <w:rsid w:val="00934405"/>
    <w:rsid w:val="00934C5D"/>
    <w:rsid w:val="00936852"/>
    <w:rsid w:val="0094045D"/>
    <w:rsid w:val="009406B5"/>
    <w:rsid w:val="00943B37"/>
    <w:rsid w:val="00943FFC"/>
    <w:rsid w:val="00945F2F"/>
    <w:rsid w:val="00946166"/>
    <w:rsid w:val="00947A28"/>
    <w:rsid w:val="0095099F"/>
    <w:rsid w:val="00960859"/>
    <w:rsid w:val="00961790"/>
    <w:rsid w:val="00966653"/>
    <w:rsid w:val="00966B5C"/>
    <w:rsid w:val="009747A5"/>
    <w:rsid w:val="00975C79"/>
    <w:rsid w:val="00983164"/>
    <w:rsid w:val="00984252"/>
    <w:rsid w:val="00986EA5"/>
    <w:rsid w:val="00990A4B"/>
    <w:rsid w:val="00990EFB"/>
    <w:rsid w:val="0099184D"/>
    <w:rsid w:val="00992E63"/>
    <w:rsid w:val="009972EF"/>
    <w:rsid w:val="009B5035"/>
    <w:rsid w:val="009B75B3"/>
    <w:rsid w:val="009C3160"/>
    <w:rsid w:val="009D399E"/>
    <w:rsid w:val="009D644B"/>
    <w:rsid w:val="009D72DD"/>
    <w:rsid w:val="009D7871"/>
    <w:rsid w:val="009E4B6B"/>
    <w:rsid w:val="009E5A5A"/>
    <w:rsid w:val="009E766E"/>
    <w:rsid w:val="009F174D"/>
    <w:rsid w:val="009F1960"/>
    <w:rsid w:val="009F42B3"/>
    <w:rsid w:val="009F4B1A"/>
    <w:rsid w:val="009F715E"/>
    <w:rsid w:val="009F78FE"/>
    <w:rsid w:val="00A07154"/>
    <w:rsid w:val="00A10DBB"/>
    <w:rsid w:val="00A11720"/>
    <w:rsid w:val="00A16253"/>
    <w:rsid w:val="00A21247"/>
    <w:rsid w:val="00A2595A"/>
    <w:rsid w:val="00A304DD"/>
    <w:rsid w:val="00A311F0"/>
    <w:rsid w:val="00A31D47"/>
    <w:rsid w:val="00A36219"/>
    <w:rsid w:val="00A4013E"/>
    <w:rsid w:val="00A4045F"/>
    <w:rsid w:val="00A427CD"/>
    <w:rsid w:val="00A45FEE"/>
    <w:rsid w:val="00A4600B"/>
    <w:rsid w:val="00A50506"/>
    <w:rsid w:val="00A51EF0"/>
    <w:rsid w:val="00A56F75"/>
    <w:rsid w:val="00A600CD"/>
    <w:rsid w:val="00A66FB6"/>
    <w:rsid w:val="00A67A81"/>
    <w:rsid w:val="00A730A6"/>
    <w:rsid w:val="00A827B0"/>
    <w:rsid w:val="00A82878"/>
    <w:rsid w:val="00A873E6"/>
    <w:rsid w:val="00A91B7E"/>
    <w:rsid w:val="00A94AFC"/>
    <w:rsid w:val="00A96899"/>
    <w:rsid w:val="00A971A0"/>
    <w:rsid w:val="00AA1186"/>
    <w:rsid w:val="00AA1F22"/>
    <w:rsid w:val="00AA203F"/>
    <w:rsid w:val="00AA3459"/>
    <w:rsid w:val="00AB0B51"/>
    <w:rsid w:val="00AB1AF4"/>
    <w:rsid w:val="00AB37FB"/>
    <w:rsid w:val="00AB7B0F"/>
    <w:rsid w:val="00AC3E73"/>
    <w:rsid w:val="00AC63B0"/>
    <w:rsid w:val="00AC6FE4"/>
    <w:rsid w:val="00AD3199"/>
    <w:rsid w:val="00AD5663"/>
    <w:rsid w:val="00AE38E1"/>
    <w:rsid w:val="00B00F74"/>
    <w:rsid w:val="00B05821"/>
    <w:rsid w:val="00B100D6"/>
    <w:rsid w:val="00B1433D"/>
    <w:rsid w:val="00B164C9"/>
    <w:rsid w:val="00B20CF9"/>
    <w:rsid w:val="00B2519B"/>
    <w:rsid w:val="00B26C28"/>
    <w:rsid w:val="00B33C1F"/>
    <w:rsid w:val="00B35030"/>
    <w:rsid w:val="00B3779C"/>
    <w:rsid w:val="00B4174C"/>
    <w:rsid w:val="00B449F1"/>
    <w:rsid w:val="00B453F5"/>
    <w:rsid w:val="00B5162E"/>
    <w:rsid w:val="00B52517"/>
    <w:rsid w:val="00B5674F"/>
    <w:rsid w:val="00B56FD7"/>
    <w:rsid w:val="00B57342"/>
    <w:rsid w:val="00B61624"/>
    <w:rsid w:val="00B63D12"/>
    <w:rsid w:val="00B66481"/>
    <w:rsid w:val="00B7189C"/>
    <w:rsid w:val="00B718A5"/>
    <w:rsid w:val="00B727C8"/>
    <w:rsid w:val="00B76C84"/>
    <w:rsid w:val="00B8261A"/>
    <w:rsid w:val="00B83FBE"/>
    <w:rsid w:val="00B862E2"/>
    <w:rsid w:val="00B86602"/>
    <w:rsid w:val="00B96F13"/>
    <w:rsid w:val="00BA73C2"/>
    <w:rsid w:val="00BA7411"/>
    <w:rsid w:val="00BA74D0"/>
    <w:rsid w:val="00BA757E"/>
    <w:rsid w:val="00BA788A"/>
    <w:rsid w:val="00BB4120"/>
    <w:rsid w:val="00BB4574"/>
    <w:rsid w:val="00BB4983"/>
    <w:rsid w:val="00BB7597"/>
    <w:rsid w:val="00BC1FAE"/>
    <w:rsid w:val="00BC62E2"/>
    <w:rsid w:val="00BE2FA8"/>
    <w:rsid w:val="00BE36F8"/>
    <w:rsid w:val="00BE4AC3"/>
    <w:rsid w:val="00BE4B98"/>
    <w:rsid w:val="00BE5D31"/>
    <w:rsid w:val="00BF0D32"/>
    <w:rsid w:val="00BF0E60"/>
    <w:rsid w:val="00C009D2"/>
    <w:rsid w:val="00C22C5F"/>
    <w:rsid w:val="00C30762"/>
    <w:rsid w:val="00C374F0"/>
    <w:rsid w:val="00C37FDD"/>
    <w:rsid w:val="00C42125"/>
    <w:rsid w:val="00C47120"/>
    <w:rsid w:val="00C557CE"/>
    <w:rsid w:val="00C571E6"/>
    <w:rsid w:val="00C62814"/>
    <w:rsid w:val="00C62CE6"/>
    <w:rsid w:val="00C63B80"/>
    <w:rsid w:val="00C67B25"/>
    <w:rsid w:val="00C748F7"/>
    <w:rsid w:val="00C74937"/>
    <w:rsid w:val="00C80BA8"/>
    <w:rsid w:val="00C9281F"/>
    <w:rsid w:val="00CA5D8F"/>
    <w:rsid w:val="00CB2599"/>
    <w:rsid w:val="00CB381C"/>
    <w:rsid w:val="00CC386F"/>
    <w:rsid w:val="00CC4127"/>
    <w:rsid w:val="00CC6D55"/>
    <w:rsid w:val="00CC73E6"/>
    <w:rsid w:val="00CD2139"/>
    <w:rsid w:val="00CE5297"/>
    <w:rsid w:val="00CE5986"/>
    <w:rsid w:val="00CF34A7"/>
    <w:rsid w:val="00D005A4"/>
    <w:rsid w:val="00D10A47"/>
    <w:rsid w:val="00D16F37"/>
    <w:rsid w:val="00D26477"/>
    <w:rsid w:val="00D358C2"/>
    <w:rsid w:val="00D4473E"/>
    <w:rsid w:val="00D44EEB"/>
    <w:rsid w:val="00D53C5D"/>
    <w:rsid w:val="00D56CC3"/>
    <w:rsid w:val="00D56F33"/>
    <w:rsid w:val="00D57D7F"/>
    <w:rsid w:val="00D647EF"/>
    <w:rsid w:val="00D65144"/>
    <w:rsid w:val="00D72D06"/>
    <w:rsid w:val="00D73137"/>
    <w:rsid w:val="00D73A59"/>
    <w:rsid w:val="00D8117A"/>
    <w:rsid w:val="00D811A5"/>
    <w:rsid w:val="00D838A1"/>
    <w:rsid w:val="00D86E71"/>
    <w:rsid w:val="00D977A2"/>
    <w:rsid w:val="00DA07C1"/>
    <w:rsid w:val="00DA1D47"/>
    <w:rsid w:val="00DA259C"/>
    <w:rsid w:val="00DA313C"/>
    <w:rsid w:val="00DB0706"/>
    <w:rsid w:val="00DB1307"/>
    <w:rsid w:val="00DB19D1"/>
    <w:rsid w:val="00DC0323"/>
    <w:rsid w:val="00DC48DC"/>
    <w:rsid w:val="00DD37BD"/>
    <w:rsid w:val="00DD50DE"/>
    <w:rsid w:val="00DD7074"/>
    <w:rsid w:val="00DE0709"/>
    <w:rsid w:val="00DE1204"/>
    <w:rsid w:val="00DE3062"/>
    <w:rsid w:val="00DF10C6"/>
    <w:rsid w:val="00DF30B6"/>
    <w:rsid w:val="00DF7891"/>
    <w:rsid w:val="00E00D9B"/>
    <w:rsid w:val="00E015D6"/>
    <w:rsid w:val="00E01E12"/>
    <w:rsid w:val="00E04403"/>
    <w:rsid w:val="00E0581D"/>
    <w:rsid w:val="00E07600"/>
    <w:rsid w:val="00E1590B"/>
    <w:rsid w:val="00E204DD"/>
    <w:rsid w:val="00E2145E"/>
    <w:rsid w:val="00E228B7"/>
    <w:rsid w:val="00E24D43"/>
    <w:rsid w:val="00E323CA"/>
    <w:rsid w:val="00E353EC"/>
    <w:rsid w:val="00E47694"/>
    <w:rsid w:val="00E51F61"/>
    <w:rsid w:val="00E53C24"/>
    <w:rsid w:val="00E56E77"/>
    <w:rsid w:val="00E625BC"/>
    <w:rsid w:val="00E72C3F"/>
    <w:rsid w:val="00E73F16"/>
    <w:rsid w:val="00E827BC"/>
    <w:rsid w:val="00E96FBA"/>
    <w:rsid w:val="00E97460"/>
    <w:rsid w:val="00E976A0"/>
    <w:rsid w:val="00EA0BE7"/>
    <w:rsid w:val="00EB444A"/>
    <w:rsid w:val="00EB444D"/>
    <w:rsid w:val="00EC38D0"/>
    <w:rsid w:val="00EC436B"/>
    <w:rsid w:val="00ED1B45"/>
    <w:rsid w:val="00ED4D51"/>
    <w:rsid w:val="00EE1A06"/>
    <w:rsid w:val="00EE3068"/>
    <w:rsid w:val="00EE5C0D"/>
    <w:rsid w:val="00EF06AE"/>
    <w:rsid w:val="00EF4792"/>
    <w:rsid w:val="00EF76DC"/>
    <w:rsid w:val="00F02294"/>
    <w:rsid w:val="00F25254"/>
    <w:rsid w:val="00F30DE7"/>
    <w:rsid w:val="00F33D9C"/>
    <w:rsid w:val="00F3547D"/>
    <w:rsid w:val="00F35F57"/>
    <w:rsid w:val="00F403F5"/>
    <w:rsid w:val="00F4741E"/>
    <w:rsid w:val="00F47EF0"/>
    <w:rsid w:val="00F50467"/>
    <w:rsid w:val="00F562A0"/>
    <w:rsid w:val="00F57FA4"/>
    <w:rsid w:val="00F63D77"/>
    <w:rsid w:val="00F8791A"/>
    <w:rsid w:val="00F900A8"/>
    <w:rsid w:val="00F9547A"/>
    <w:rsid w:val="00FA02CB"/>
    <w:rsid w:val="00FA2177"/>
    <w:rsid w:val="00FA2E6D"/>
    <w:rsid w:val="00FA543A"/>
    <w:rsid w:val="00FA68E9"/>
    <w:rsid w:val="00FB0783"/>
    <w:rsid w:val="00FB0A28"/>
    <w:rsid w:val="00FB3B63"/>
    <w:rsid w:val="00FB7A8B"/>
    <w:rsid w:val="00FC2485"/>
    <w:rsid w:val="00FD01DA"/>
    <w:rsid w:val="00FD154F"/>
    <w:rsid w:val="00FD35D4"/>
    <w:rsid w:val="00FD439E"/>
    <w:rsid w:val="00FD76CB"/>
    <w:rsid w:val="00FE152B"/>
    <w:rsid w:val="00FE191C"/>
    <w:rsid w:val="00FE239E"/>
    <w:rsid w:val="00FE2528"/>
    <w:rsid w:val="00FE29C6"/>
    <w:rsid w:val="00FE399B"/>
    <w:rsid w:val="00FE4A72"/>
    <w:rsid w:val="00FE4ACD"/>
    <w:rsid w:val="00FE698B"/>
    <w:rsid w:val="00FE6E92"/>
    <w:rsid w:val="00FF02DA"/>
    <w:rsid w:val="00FF1151"/>
    <w:rsid w:val="00FF2DC1"/>
    <w:rsid w:val="00FF4546"/>
    <w:rsid w:val="00FF538F"/>
    <w:rsid w:val="00FF668A"/>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13F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F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7019F2"/>
    <w:pPr>
      <w:keepNext/>
      <w:keepLines/>
      <w:spacing w:before="360"/>
      <w:ind w:left="794" w:hanging="794"/>
      <w:jc w:val="left"/>
      <w:outlineLvl w:val="0"/>
    </w:pPr>
    <w:rPr>
      <w:b/>
    </w:rPr>
  </w:style>
  <w:style w:type="paragraph" w:styleId="Heading2">
    <w:name w:val="heading 2"/>
    <w:basedOn w:val="Heading1"/>
    <w:next w:val="Normal"/>
    <w:link w:val="Heading2Char"/>
    <w:qFormat/>
    <w:rsid w:val="007019F2"/>
    <w:pPr>
      <w:spacing w:before="240"/>
      <w:outlineLvl w:val="1"/>
    </w:pPr>
  </w:style>
  <w:style w:type="paragraph" w:styleId="Heading3">
    <w:name w:val="heading 3"/>
    <w:basedOn w:val="Heading1"/>
    <w:next w:val="Normal"/>
    <w:link w:val="Heading3Char"/>
    <w:qFormat/>
    <w:rsid w:val="007019F2"/>
    <w:pPr>
      <w:spacing w:before="160"/>
      <w:outlineLvl w:val="2"/>
    </w:pPr>
  </w:style>
  <w:style w:type="paragraph" w:styleId="Heading4">
    <w:name w:val="heading 4"/>
    <w:basedOn w:val="Heading3"/>
    <w:next w:val="Normal"/>
    <w:link w:val="Heading4Char"/>
    <w:qFormat/>
    <w:rsid w:val="007019F2"/>
    <w:pPr>
      <w:tabs>
        <w:tab w:val="clear" w:pos="794"/>
        <w:tab w:val="left" w:pos="1021"/>
      </w:tabs>
      <w:ind w:left="1021" w:hanging="1021"/>
      <w:outlineLvl w:val="3"/>
    </w:pPr>
  </w:style>
  <w:style w:type="paragraph" w:styleId="Heading5">
    <w:name w:val="heading 5"/>
    <w:basedOn w:val="Heading4"/>
    <w:next w:val="Normal"/>
    <w:link w:val="Heading5Char"/>
    <w:qFormat/>
    <w:rsid w:val="007019F2"/>
    <w:pPr>
      <w:outlineLvl w:val="4"/>
    </w:pPr>
  </w:style>
  <w:style w:type="paragraph" w:styleId="Heading6">
    <w:name w:val="heading 6"/>
    <w:basedOn w:val="Heading4"/>
    <w:next w:val="Normal"/>
    <w:link w:val="Heading6Char"/>
    <w:qFormat/>
    <w:rsid w:val="007019F2"/>
    <w:pPr>
      <w:tabs>
        <w:tab w:val="clear" w:pos="1021"/>
        <w:tab w:val="clear" w:pos="1191"/>
      </w:tabs>
      <w:ind w:left="1588" w:hanging="1588"/>
      <w:outlineLvl w:val="5"/>
    </w:pPr>
  </w:style>
  <w:style w:type="paragraph" w:styleId="Heading7">
    <w:name w:val="heading 7"/>
    <w:basedOn w:val="Heading6"/>
    <w:next w:val="Normal"/>
    <w:link w:val="Heading7Char"/>
    <w:qFormat/>
    <w:rsid w:val="007019F2"/>
    <w:pPr>
      <w:outlineLvl w:val="6"/>
    </w:pPr>
  </w:style>
  <w:style w:type="paragraph" w:styleId="Heading8">
    <w:name w:val="heading 8"/>
    <w:basedOn w:val="Heading6"/>
    <w:next w:val="Normal"/>
    <w:link w:val="Heading8Char"/>
    <w:qFormat/>
    <w:rsid w:val="007019F2"/>
    <w:pPr>
      <w:outlineLvl w:val="7"/>
    </w:pPr>
  </w:style>
  <w:style w:type="paragraph" w:styleId="Heading9">
    <w:name w:val="heading 9"/>
    <w:basedOn w:val="Heading6"/>
    <w:next w:val="Normal"/>
    <w:link w:val="Heading9Char"/>
    <w:qFormat/>
    <w:rsid w:val="007019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4630"/>
    <w:rPr>
      <w:rFonts w:ascii="Times New Roman" w:hAnsi="Times New Roman"/>
      <w:color w:val="808080"/>
    </w:rPr>
  </w:style>
  <w:style w:type="paragraph" w:customStyle="1" w:styleId="Docnumber">
    <w:name w:val="Docnumber"/>
    <w:basedOn w:val="Normal"/>
    <w:link w:val="DocnumberChar"/>
    <w:qFormat/>
    <w:rsid w:val="00314630"/>
    <w:pPr>
      <w:jc w:val="right"/>
    </w:pPr>
    <w:rPr>
      <w:rFonts w:eastAsia="SimSun"/>
      <w:b/>
      <w:sz w:val="32"/>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7019F2"/>
    <w:pPr>
      <w:keepNext/>
      <w:keepLines/>
      <w:spacing w:before="480"/>
      <w:jc w:val="center"/>
    </w:pPr>
    <w:rPr>
      <w:b/>
      <w:sz w:val="28"/>
    </w:rPr>
  </w:style>
  <w:style w:type="paragraph" w:customStyle="1" w:styleId="AppendixNotitle">
    <w:name w:val="Appendix_No &amp; title"/>
    <w:basedOn w:val="AnnexNotitle"/>
    <w:next w:val="Normal"/>
    <w:rsid w:val="007019F2"/>
  </w:style>
  <w:style w:type="paragraph" w:customStyle="1" w:styleId="CorrectionSeparatorBegin">
    <w:name w:val="Correction Separator Begin"/>
    <w:basedOn w:val="Normal"/>
    <w:rsid w:val="003D5C26"/>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3D5C26"/>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7019F2"/>
    <w:pPr>
      <w:keepNext/>
      <w:keepLines/>
      <w:spacing w:before="240" w:after="120"/>
      <w:jc w:val="center"/>
    </w:pPr>
  </w:style>
  <w:style w:type="paragraph" w:customStyle="1" w:styleId="FigureNotitle0">
    <w:name w:val="Figure_No &amp; title"/>
    <w:basedOn w:val="Normal"/>
    <w:next w:val="Normal"/>
    <w:qFormat/>
    <w:rsid w:val="007019F2"/>
    <w:pPr>
      <w:keepLines/>
      <w:spacing w:before="240" w:after="120"/>
      <w:jc w:val="center"/>
    </w:pPr>
    <w:rPr>
      <w:b/>
    </w:rPr>
  </w:style>
  <w:style w:type="paragraph" w:customStyle="1" w:styleId="Formal">
    <w:name w:val="Formal"/>
    <w:basedOn w:val="ASN1"/>
    <w:rsid w:val="007019F2"/>
    <w:rPr>
      <w:b w:val="0"/>
    </w:rPr>
  </w:style>
  <w:style w:type="paragraph" w:customStyle="1" w:styleId="Headingb">
    <w:name w:val="Heading_b"/>
    <w:basedOn w:val="Normal"/>
    <w:next w:val="Normal"/>
    <w:rsid w:val="007019F2"/>
    <w:pPr>
      <w:keepNext/>
      <w:spacing w:before="160"/>
      <w:jc w:val="left"/>
    </w:pPr>
    <w:rPr>
      <w:b/>
    </w:rPr>
  </w:style>
  <w:style w:type="paragraph" w:customStyle="1" w:styleId="Headingi">
    <w:name w:val="Heading_i"/>
    <w:basedOn w:val="Normal"/>
    <w:next w:val="Normal"/>
    <w:rsid w:val="007019F2"/>
    <w:pPr>
      <w:keepNext/>
      <w:spacing w:before="160"/>
      <w:jc w:val="left"/>
    </w:pPr>
    <w:rPr>
      <w:i/>
    </w:rPr>
  </w:style>
  <w:style w:type="paragraph" w:customStyle="1" w:styleId="Headingib">
    <w:name w:val="Heading_ib"/>
    <w:basedOn w:val="Headingi"/>
    <w:next w:val="Normal"/>
    <w:qFormat/>
    <w:rsid w:val="003D5C26"/>
    <w:rPr>
      <w:b/>
      <w:bCs/>
    </w:rPr>
  </w:style>
  <w:style w:type="paragraph" w:customStyle="1" w:styleId="Normalbeforetable">
    <w:name w:val="Normal before table"/>
    <w:basedOn w:val="Normal"/>
    <w:rsid w:val="003D5C26"/>
    <w:pPr>
      <w:keepNext/>
      <w:spacing w:after="120"/>
    </w:pPr>
    <w:rPr>
      <w:rFonts w:eastAsia="????"/>
    </w:rPr>
  </w:style>
  <w:style w:type="paragraph" w:customStyle="1" w:styleId="RecNo">
    <w:name w:val="Rec_No"/>
    <w:basedOn w:val="Normal"/>
    <w:next w:val="Rectitle"/>
    <w:rsid w:val="007019F2"/>
    <w:pPr>
      <w:keepNext/>
      <w:keepLines/>
      <w:spacing w:before="0"/>
      <w:jc w:val="left"/>
    </w:pPr>
    <w:rPr>
      <w:b/>
      <w:sz w:val="28"/>
    </w:rPr>
  </w:style>
  <w:style w:type="paragraph" w:customStyle="1" w:styleId="Rectitle">
    <w:name w:val="Rec_title"/>
    <w:basedOn w:val="Normal"/>
    <w:next w:val="Normalaftertitle"/>
    <w:rsid w:val="007019F2"/>
    <w:pPr>
      <w:keepNext/>
      <w:keepLines/>
      <w:spacing w:before="360"/>
      <w:jc w:val="center"/>
    </w:pPr>
    <w:rPr>
      <w:b/>
      <w:sz w:val="28"/>
    </w:rPr>
  </w:style>
  <w:style w:type="paragraph" w:customStyle="1" w:styleId="Reftext">
    <w:name w:val="Ref_text"/>
    <w:basedOn w:val="Normal"/>
    <w:rsid w:val="007019F2"/>
    <w:pPr>
      <w:ind w:left="794" w:hanging="794"/>
      <w:jc w:val="left"/>
    </w:pPr>
  </w:style>
  <w:style w:type="paragraph" w:customStyle="1" w:styleId="Tablehead">
    <w:name w:val="Table_head"/>
    <w:basedOn w:val="Normal"/>
    <w:next w:val="Tabletext"/>
    <w:rsid w:val="007019F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019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7019F2"/>
    <w:pPr>
      <w:keepNext/>
      <w:keepLines/>
      <w:spacing w:before="360" w:after="120"/>
      <w:jc w:val="center"/>
    </w:pPr>
    <w:rPr>
      <w:b/>
    </w:rPr>
  </w:style>
  <w:style w:type="paragraph" w:customStyle="1" w:styleId="Tabletext">
    <w:name w:val="Table_text"/>
    <w:basedOn w:val="Normal"/>
    <w:rsid w:val="007019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3D5C26"/>
    <w:pPr>
      <w:tabs>
        <w:tab w:val="right" w:leader="dot" w:pos="9639"/>
      </w:tabs>
    </w:pPr>
    <w:rPr>
      <w:rFonts w:eastAsia="MS Mincho"/>
    </w:rPr>
  </w:style>
  <w:style w:type="paragraph" w:styleId="TOC1">
    <w:name w:val="toc 1"/>
    <w:basedOn w:val="Normal"/>
    <w:uiPriority w:val="39"/>
    <w:rsid w:val="007019F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7019F2"/>
    <w:pPr>
      <w:spacing w:before="80"/>
      <w:ind w:left="1531" w:hanging="851"/>
    </w:pPr>
  </w:style>
  <w:style w:type="paragraph" w:styleId="TOC3">
    <w:name w:val="toc 3"/>
    <w:basedOn w:val="TOC2"/>
    <w:rsid w:val="007019F2"/>
  </w:style>
  <w:style w:type="character" w:styleId="Hyperlink">
    <w:name w:val="Hyperlink"/>
    <w:basedOn w:val="DefaultParagraphFont"/>
    <w:uiPriority w:val="99"/>
    <w:rsid w:val="007019F2"/>
    <w:rPr>
      <w:color w:val="0000FF"/>
      <w:u w:val="single"/>
    </w:rPr>
  </w:style>
  <w:style w:type="character" w:customStyle="1" w:styleId="Heading1Char">
    <w:name w:val="Heading 1 Char"/>
    <w:link w:val="Heading1"/>
    <w:rsid w:val="007019F2"/>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aliases w:val="cap"/>
    <w:basedOn w:val="Normal"/>
    <w:next w:val="Normal"/>
    <w:unhideWhenUsed/>
    <w:qFormat/>
    <w:rsid w:val="00394DBF"/>
    <w:pPr>
      <w:spacing w:before="0" w:after="200"/>
    </w:pPr>
    <w:rPr>
      <w:i/>
      <w:iCs/>
      <w:color w:val="44546A" w:themeColor="text2"/>
      <w:sz w:val="18"/>
      <w:szCs w:val="18"/>
    </w:rPr>
  </w:style>
  <w:style w:type="paragraph" w:styleId="Header">
    <w:name w:val="header"/>
    <w:basedOn w:val="Normal"/>
    <w:link w:val="HeaderChar"/>
    <w:rsid w:val="007019F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D5C26"/>
    <w:rPr>
      <w:rFonts w:ascii="Times New Roman" w:eastAsia="Times New Roman" w:hAnsi="Times New Roman" w:cs="Times New Roman"/>
      <w:sz w:val="18"/>
      <w:szCs w:val="20"/>
      <w:lang w:val="en-GB" w:eastAsia="en-US"/>
    </w:rPr>
  </w:style>
  <w:style w:type="paragraph" w:styleId="Footer">
    <w:name w:val="footer"/>
    <w:basedOn w:val="Normal"/>
    <w:link w:val="FooterChar"/>
    <w:rsid w:val="007019F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037538"/>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7019F2"/>
    <w:pPr>
      <w:spacing w:before="80"/>
      <w:ind w:left="794" w:hanging="794"/>
    </w:pPr>
  </w:style>
  <w:style w:type="paragraph" w:customStyle="1" w:styleId="enumlev2">
    <w:name w:val="enumlev2"/>
    <w:basedOn w:val="enumlev1"/>
    <w:rsid w:val="007019F2"/>
    <w:pPr>
      <w:ind w:left="1191" w:hanging="397"/>
    </w:pPr>
  </w:style>
  <w:style w:type="paragraph" w:customStyle="1" w:styleId="enumlev3">
    <w:name w:val="enumlev3"/>
    <w:basedOn w:val="enumlev2"/>
    <w:rsid w:val="007019F2"/>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qFormat/>
    <w:rsid w:val="007019F2"/>
    <w:rPr>
      <w:sz w:val="16"/>
      <w:szCs w:val="16"/>
    </w:rPr>
  </w:style>
  <w:style w:type="paragraph" w:styleId="CommentText">
    <w:name w:val="annotation text"/>
    <w:basedOn w:val="Normal"/>
    <w:link w:val="CommentTextChar"/>
    <w:qFormat/>
    <w:rsid w:val="007019F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3A598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3A5982"/>
    <w:rPr>
      <w:b/>
      <w:bCs/>
    </w:rPr>
  </w:style>
  <w:style w:type="character" w:customStyle="1" w:styleId="CommentSubjectChar">
    <w:name w:val="Comment Subject Char"/>
    <w:basedOn w:val="CommentTextChar"/>
    <w:link w:val="CommentSubject"/>
    <w:semiHidden/>
    <w:rsid w:val="003A5982"/>
    <w:rPr>
      <w:rFonts w:ascii="Times New Roman" w:eastAsia="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3D5C26"/>
    <w:rPr>
      <w:rFonts w:ascii="Arial" w:hAnsi="Arial" w:cs="Arial"/>
      <w:sz w:val="18"/>
      <w:szCs w:val="18"/>
    </w:rPr>
  </w:style>
  <w:style w:type="paragraph" w:customStyle="1" w:styleId="Title4">
    <w:name w:val="Title 4"/>
    <w:basedOn w:val="Title3"/>
    <w:next w:val="Heading1"/>
    <w:rsid w:val="007019F2"/>
    <w:rPr>
      <w:b/>
    </w:rPr>
  </w:style>
  <w:style w:type="paragraph" w:customStyle="1" w:styleId="Note">
    <w:name w:val="Note"/>
    <w:basedOn w:val="Normal"/>
    <w:rsid w:val="007019F2"/>
    <w:pPr>
      <w:spacing w:before="80"/>
    </w:pPr>
    <w:rPr>
      <w:sz w:val="22"/>
    </w:rPr>
  </w:style>
  <w:style w:type="paragraph" w:styleId="FootnoteText">
    <w:name w:val="footnote text"/>
    <w:basedOn w:val="Note"/>
    <w:link w:val="FootnoteTextChar"/>
    <w:semiHidden/>
    <w:rsid w:val="007019F2"/>
    <w:pPr>
      <w:keepLines/>
      <w:tabs>
        <w:tab w:val="left" w:pos="255"/>
      </w:tabs>
      <w:ind w:left="255" w:hanging="255"/>
    </w:pPr>
  </w:style>
  <w:style w:type="character" w:customStyle="1" w:styleId="FootnoteTextChar">
    <w:name w:val="Footnote Text Char"/>
    <w:basedOn w:val="DefaultParagraphFont"/>
    <w:link w:val="FootnoteText"/>
    <w:semiHidden/>
    <w:rsid w:val="008D0C7E"/>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7019F2"/>
    <w:rPr>
      <w:position w:val="6"/>
      <w:sz w:val="18"/>
    </w:rPr>
  </w:style>
  <w:style w:type="paragraph" w:styleId="BalloonText">
    <w:name w:val="Balloon Text"/>
    <w:basedOn w:val="Normal"/>
    <w:link w:val="BalloonTextChar"/>
    <w:rsid w:val="007019F2"/>
    <w:pPr>
      <w:spacing w:before="0"/>
    </w:pPr>
    <w:rPr>
      <w:rFonts w:ascii="Tahoma" w:hAnsi="Tahoma" w:cs="Tahoma"/>
      <w:sz w:val="16"/>
      <w:szCs w:val="16"/>
    </w:rPr>
  </w:style>
  <w:style w:type="character" w:customStyle="1" w:styleId="BalloonTextChar">
    <w:name w:val="Balloon Text Char"/>
    <w:basedOn w:val="DefaultParagraphFont"/>
    <w:link w:val="BalloonText"/>
    <w:rsid w:val="007019F2"/>
    <w:rPr>
      <w:rFonts w:ascii="Tahoma" w:eastAsia="Times New Roman" w:hAnsi="Tahoma" w:cs="Tahoma"/>
      <w:sz w:val="16"/>
      <w:szCs w:val="16"/>
      <w:lang w:val="en-GB" w:eastAsia="en-US"/>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7019F2"/>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7019F2"/>
    <w:rPr>
      <w:rFonts w:ascii="Avenir Next W1G Medium" w:eastAsia="Avenir Next W1G Medium" w:hAnsi="Avenir Next W1G Medium" w:cs="Avenir Next W1G Medium"/>
      <w:b/>
      <w:bCs/>
      <w:sz w:val="48"/>
      <w:szCs w:val="48"/>
      <w:lang w:eastAsia="en-US"/>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unhideWhenUsed/>
    <w:rsid w:val="008D0C7E"/>
    <w:pPr>
      <w:ind w:firstLine="360"/>
    </w:pPr>
  </w:style>
  <w:style w:type="character" w:customStyle="1" w:styleId="BodyTextFirstIndentChar">
    <w:name w:val="Body Text First Indent Char"/>
    <w:basedOn w:val="BodyTextChar"/>
    <w:link w:val="BodyTextFirstIndent"/>
    <w:uiPriority w:val="99"/>
    <w:rsid w:val="008D0C7E"/>
    <w:rPr>
      <w:rFonts w:ascii="Times New Roman" w:eastAsia="Avenir Next W1G Medium" w:hAnsi="Times New Roman" w:cs="Times New Roman"/>
      <w:b/>
      <w:bCs/>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unhideWhenUsed/>
    <w:rsid w:val="008D0C7E"/>
  </w:style>
  <w:style w:type="character" w:customStyle="1" w:styleId="DateChar">
    <w:name w:val="Date Char"/>
    <w:basedOn w:val="DefaultParagraphFont"/>
    <w:link w:val="Date"/>
    <w:uiPriority w:val="99"/>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nhideWhenUsed/>
    <w:rsid w:val="008D0C7E"/>
    <w:rPr>
      <w:vertAlign w:val="superscript"/>
    </w:rPr>
  </w:style>
  <w:style w:type="paragraph" w:styleId="EndnoteText">
    <w:name w:val="endnote text"/>
    <w:basedOn w:val="Normal"/>
    <w:link w:val="EndnoteTextChar"/>
    <w:unhideWhenUsed/>
    <w:rsid w:val="008D0C7E"/>
    <w:pPr>
      <w:spacing w:before="0"/>
    </w:pPr>
    <w:rPr>
      <w:sz w:val="20"/>
    </w:rPr>
  </w:style>
  <w:style w:type="character" w:customStyle="1" w:styleId="EndnoteTextChar">
    <w:name w:val="Endnote Text Char"/>
    <w:basedOn w:val="DefaultParagraphFont"/>
    <w:link w:val="EndnoteText"/>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semiHidden/>
    <w:rsid w:val="007019F2"/>
    <w:pPr>
      <w:jc w:val="left"/>
    </w:pPr>
  </w:style>
  <w:style w:type="paragraph" w:styleId="Index2">
    <w:name w:val="index 2"/>
    <w:basedOn w:val="Normal"/>
    <w:next w:val="Normal"/>
    <w:semiHidden/>
    <w:rsid w:val="007019F2"/>
    <w:pPr>
      <w:ind w:left="284"/>
      <w:jc w:val="left"/>
    </w:pPr>
  </w:style>
  <w:style w:type="paragraph" w:styleId="Index3">
    <w:name w:val="index 3"/>
    <w:basedOn w:val="Normal"/>
    <w:next w:val="Normal"/>
    <w:semiHidden/>
    <w:rsid w:val="007019F2"/>
    <w:pPr>
      <w:ind w:left="567"/>
      <w:jc w:val="left"/>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nhideWhenUsed/>
    <w:rsid w:val="008D0C7E"/>
    <w:pPr>
      <w:ind w:left="720" w:hanging="360"/>
      <w:contextualSpacing/>
    </w:pPr>
  </w:style>
  <w:style w:type="paragraph" w:styleId="List3">
    <w:name w:val="List 3"/>
    <w:basedOn w:val="Normal"/>
    <w:unhideWhenUsed/>
    <w:rsid w:val="008D0C7E"/>
    <w:pPr>
      <w:ind w:left="1080" w:hanging="360"/>
      <w:contextualSpacing/>
    </w:pPr>
  </w:style>
  <w:style w:type="paragraph" w:styleId="List4">
    <w:name w:val="List 4"/>
    <w:basedOn w:val="Normal"/>
    <w:unhideWhenUsed/>
    <w:rsid w:val="008D0C7E"/>
    <w:pPr>
      <w:ind w:left="1440" w:hanging="360"/>
      <w:contextualSpacing/>
    </w:pPr>
  </w:style>
  <w:style w:type="paragraph" w:styleId="List5">
    <w:name w:val="List 5"/>
    <w:basedOn w:val="Normal"/>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unhideWhenUsed/>
    <w:qFormat/>
    <w:rsid w:val="00B1433D"/>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rsid w:val="007019F2"/>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unhideWhenUsed/>
    <w:rsid w:val="008D0C7E"/>
  </w:style>
  <w:style w:type="character" w:customStyle="1" w:styleId="SalutationChar">
    <w:name w:val="Salutation Char"/>
    <w:basedOn w:val="DefaultParagraphFont"/>
    <w:link w:val="Salutation"/>
    <w:uiPriority w:val="99"/>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TOC3"/>
    <w:rsid w:val="007019F2"/>
  </w:style>
  <w:style w:type="paragraph" w:styleId="TOC5">
    <w:name w:val="toc 5"/>
    <w:basedOn w:val="TOC4"/>
    <w:rsid w:val="007019F2"/>
  </w:style>
  <w:style w:type="paragraph" w:styleId="TOC6">
    <w:name w:val="toc 6"/>
    <w:basedOn w:val="TOC4"/>
    <w:rsid w:val="007019F2"/>
  </w:style>
  <w:style w:type="paragraph" w:styleId="TOC7">
    <w:name w:val="toc 7"/>
    <w:basedOn w:val="TOC4"/>
    <w:rsid w:val="007019F2"/>
  </w:style>
  <w:style w:type="paragraph" w:styleId="TOC8">
    <w:name w:val="toc 8"/>
    <w:basedOn w:val="TOC4"/>
    <w:rsid w:val="007019F2"/>
  </w:style>
  <w:style w:type="paragraph" w:styleId="TOC9">
    <w:name w:val="toc 9"/>
    <w:basedOn w:val="TOC3"/>
    <w:rsid w:val="007019F2"/>
  </w:style>
  <w:style w:type="paragraph" w:styleId="TOCHeading">
    <w:name w:val="TOC Heading"/>
    <w:basedOn w:val="Heading1"/>
    <w:next w:val="Normal"/>
    <w:uiPriority w:val="39"/>
    <w:semiHidden/>
    <w:unhideWhenUsed/>
    <w:qFormat/>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unhideWhenUsed/>
    <w:rsid w:val="007019F2"/>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link-annotation-unknown-block-id--916096533">
    <w:name w:val="link-annotation-unknown-block-id--916096533"/>
    <w:basedOn w:val="DefaultParagraphFont"/>
    <w:rsid w:val="00B00F74"/>
  </w:style>
  <w:style w:type="character" w:customStyle="1" w:styleId="link-annotation-unknown-block-id--95130307">
    <w:name w:val="link-annotation-unknown-block-id--95130307"/>
    <w:basedOn w:val="DefaultParagraphFont"/>
    <w:rsid w:val="00B00F74"/>
  </w:style>
  <w:style w:type="paragraph" w:customStyle="1" w:styleId="ASN1">
    <w:name w:val="ASN.1"/>
    <w:rsid w:val="007019F2"/>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table" w:styleId="TableGrid">
    <w:name w:val="Table Grid"/>
    <w:basedOn w:val="TableNormal"/>
    <w:rsid w:val="007019F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legend">
    <w:name w:val="Figure_legend"/>
    <w:basedOn w:val="Normal"/>
    <w:rsid w:val="007019F2"/>
    <w:pPr>
      <w:keepNext/>
      <w:keepLines/>
      <w:tabs>
        <w:tab w:val="clear" w:pos="794"/>
        <w:tab w:val="clear" w:pos="1191"/>
        <w:tab w:val="clear" w:pos="1588"/>
        <w:tab w:val="clear" w:pos="1985"/>
      </w:tabs>
      <w:spacing w:before="20" w:after="20"/>
      <w:jc w:val="left"/>
    </w:pPr>
    <w:rPr>
      <w:sz w:val="18"/>
    </w:rPr>
  </w:style>
  <w:style w:type="paragraph" w:customStyle="1" w:styleId="Normalaftertitle0">
    <w:name w:val="Normal after title"/>
    <w:basedOn w:val="Normal"/>
    <w:next w:val="Normal"/>
    <w:rsid w:val="00B00F74"/>
    <w:pPr>
      <w:spacing w:before="320"/>
    </w:pPr>
    <w:rPr>
      <w:rFonts w:eastAsia="SimSun"/>
    </w:rPr>
  </w:style>
  <w:style w:type="paragraph" w:customStyle="1" w:styleId="Normalaftertitle">
    <w:name w:val="Normal_after_title"/>
    <w:basedOn w:val="Normal"/>
    <w:next w:val="Normal"/>
    <w:rsid w:val="007019F2"/>
    <w:pPr>
      <w:spacing w:before="360"/>
    </w:pPr>
  </w:style>
  <w:style w:type="paragraph" w:customStyle="1" w:styleId="Equation">
    <w:name w:val="Equation"/>
    <w:basedOn w:val="Normal"/>
    <w:rsid w:val="007019F2"/>
    <w:pPr>
      <w:tabs>
        <w:tab w:val="clear" w:pos="1191"/>
        <w:tab w:val="clear" w:pos="1588"/>
        <w:tab w:val="clear" w:pos="1985"/>
        <w:tab w:val="center" w:pos="4820"/>
        <w:tab w:val="right" w:pos="9639"/>
      </w:tabs>
      <w:jc w:val="left"/>
    </w:pPr>
  </w:style>
  <w:style w:type="paragraph" w:customStyle="1" w:styleId="Heading1Centered">
    <w:name w:val="Heading 1 Centered"/>
    <w:basedOn w:val="Heading1"/>
    <w:rsid w:val="00B00F74"/>
    <w:pPr>
      <w:ind w:left="0" w:firstLine="0"/>
      <w:jc w:val="center"/>
    </w:pPr>
    <w:rPr>
      <w:rFonts w:eastAsia="MS Mincho"/>
      <w:bCs/>
    </w:rPr>
  </w:style>
  <w:style w:type="paragraph" w:customStyle="1" w:styleId="toc0">
    <w:name w:val="toc 0"/>
    <w:basedOn w:val="Normal"/>
    <w:next w:val="TOC1"/>
    <w:rsid w:val="007019F2"/>
    <w:pPr>
      <w:keepLines/>
      <w:tabs>
        <w:tab w:val="clear" w:pos="794"/>
        <w:tab w:val="clear" w:pos="1191"/>
        <w:tab w:val="clear" w:pos="1588"/>
        <w:tab w:val="clear" w:pos="1985"/>
        <w:tab w:val="right" w:pos="9639"/>
      </w:tabs>
      <w:jc w:val="left"/>
    </w:pPr>
    <w:rPr>
      <w:b/>
    </w:rPr>
  </w:style>
  <w:style w:type="paragraph" w:customStyle="1" w:styleId="AnnexNoTitle0">
    <w:name w:val="Annex_NoTitle"/>
    <w:basedOn w:val="Normal"/>
    <w:next w:val="Normalaftertitle"/>
    <w:rsid w:val="007019F2"/>
    <w:pPr>
      <w:keepNext/>
      <w:keepLines/>
      <w:spacing w:before="720"/>
      <w:jc w:val="center"/>
      <w:outlineLvl w:val="0"/>
    </w:pPr>
    <w:rPr>
      <w:b/>
      <w:sz w:val="28"/>
    </w:rPr>
  </w:style>
  <w:style w:type="character" w:customStyle="1" w:styleId="Appdef">
    <w:name w:val="App_def"/>
    <w:basedOn w:val="DefaultParagraphFont"/>
    <w:rsid w:val="007019F2"/>
    <w:rPr>
      <w:rFonts w:ascii="Times New Roman" w:hAnsi="Times New Roman"/>
      <w:b/>
    </w:rPr>
  </w:style>
  <w:style w:type="character" w:customStyle="1" w:styleId="Appref">
    <w:name w:val="App_ref"/>
    <w:basedOn w:val="DefaultParagraphFont"/>
    <w:rsid w:val="007019F2"/>
  </w:style>
  <w:style w:type="paragraph" w:customStyle="1" w:styleId="AppendixNoTitle0">
    <w:name w:val="Appendix_NoTitle"/>
    <w:basedOn w:val="AnnexNoTitle0"/>
    <w:next w:val="Normalaftertitle"/>
    <w:rsid w:val="007019F2"/>
  </w:style>
  <w:style w:type="character" w:customStyle="1" w:styleId="Artdef">
    <w:name w:val="Art_def"/>
    <w:basedOn w:val="DefaultParagraphFont"/>
    <w:rsid w:val="007019F2"/>
    <w:rPr>
      <w:rFonts w:ascii="Times New Roman" w:hAnsi="Times New Roman"/>
      <w:b/>
    </w:rPr>
  </w:style>
  <w:style w:type="paragraph" w:customStyle="1" w:styleId="Artheading">
    <w:name w:val="Art_heading"/>
    <w:basedOn w:val="Normal"/>
    <w:next w:val="Normalaftertitle"/>
    <w:rsid w:val="007019F2"/>
    <w:pPr>
      <w:spacing w:before="480"/>
      <w:jc w:val="center"/>
    </w:pPr>
    <w:rPr>
      <w:b/>
      <w:sz w:val="28"/>
    </w:rPr>
  </w:style>
  <w:style w:type="paragraph" w:customStyle="1" w:styleId="ArtNo">
    <w:name w:val="Art_No"/>
    <w:basedOn w:val="Normal"/>
    <w:next w:val="Arttitle"/>
    <w:rsid w:val="007019F2"/>
    <w:pPr>
      <w:keepNext/>
      <w:keepLines/>
      <w:spacing w:before="480"/>
      <w:jc w:val="center"/>
    </w:pPr>
    <w:rPr>
      <w:caps/>
      <w:sz w:val="28"/>
    </w:rPr>
  </w:style>
  <w:style w:type="character" w:customStyle="1" w:styleId="Artref">
    <w:name w:val="Art_ref"/>
    <w:basedOn w:val="DefaultParagraphFont"/>
    <w:rsid w:val="007019F2"/>
  </w:style>
  <w:style w:type="paragraph" w:customStyle="1" w:styleId="Arttitle">
    <w:name w:val="Art_title"/>
    <w:basedOn w:val="Normal"/>
    <w:next w:val="Normalaftertitle"/>
    <w:rsid w:val="007019F2"/>
    <w:pPr>
      <w:keepNext/>
      <w:keepLines/>
      <w:spacing w:before="240"/>
      <w:jc w:val="center"/>
    </w:pPr>
    <w:rPr>
      <w:b/>
      <w:sz w:val="28"/>
    </w:rPr>
  </w:style>
  <w:style w:type="paragraph" w:customStyle="1" w:styleId="Call">
    <w:name w:val="Call"/>
    <w:basedOn w:val="Normal"/>
    <w:next w:val="Normal"/>
    <w:rsid w:val="007019F2"/>
    <w:pPr>
      <w:keepNext/>
      <w:keepLines/>
      <w:spacing w:before="160"/>
      <w:ind w:left="794"/>
      <w:jc w:val="left"/>
    </w:pPr>
    <w:rPr>
      <w:i/>
    </w:rPr>
  </w:style>
  <w:style w:type="paragraph" w:customStyle="1" w:styleId="ChapNo">
    <w:name w:val="Chap_No"/>
    <w:basedOn w:val="Normal"/>
    <w:next w:val="Chaptitle"/>
    <w:rsid w:val="007019F2"/>
    <w:pPr>
      <w:keepNext/>
      <w:keepLines/>
      <w:spacing w:before="480"/>
      <w:jc w:val="center"/>
    </w:pPr>
    <w:rPr>
      <w:b/>
      <w:caps/>
      <w:sz w:val="28"/>
    </w:rPr>
  </w:style>
  <w:style w:type="paragraph" w:customStyle="1" w:styleId="Chaptitle">
    <w:name w:val="Chap_title"/>
    <w:basedOn w:val="Normal"/>
    <w:next w:val="Normalaftertitle"/>
    <w:rsid w:val="007019F2"/>
    <w:pPr>
      <w:keepNext/>
      <w:keepLines/>
      <w:spacing w:before="240"/>
      <w:jc w:val="center"/>
    </w:pPr>
    <w:rPr>
      <w:b/>
      <w:sz w:val="28"/>
    </w:rPr>
  </w:style>
  <w:style w:type="paragraph" w:customStyle="1" w:styleId="Equationlegend">
    <w:name w:val="Equation_legend"/>
    <w:basedOn w:val="Normal"/>
    <w:rsid w:val="007019F2"/>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7019F2"/>
    <w:pPr>
      <w:keepLines/>
      <w:spacing w:before="240" w:after="120"/>
      <w:jc w:val="center"/>
    </w:pPr>
    <w:rPr>
      <w:b/>
    </w:rPr>
  </w:style>
  <w:style w:type="paragraph" w:customStyle="1" w:styleId="Figurewithouttitle">
    <w:name w:val="Figure_without_title"/>
    <w:basedOn w:val="Normal"/>
    <w:next w:val="Normalaftertitle"/>
    <w:rsid w:val="007019F2"/>
    <w:pPr>
      <w:keepLines/>
      <w:spacing w:before="240" w:after="120"/>
      <w:jc w:val="center"/>
    </w:pPr>
  </w:style>
  <w:style w:type="paragraph" w:customStyle="1" w:styleId="FirstFooter">
    <w:name w:val="FirstFooter"/>
    <w:basedOn w:val="Footer"/>
    <w:rsid w:val="007019F2"/>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7019F2"/>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PartNo">
    <w:name w:val="Part_No"/>
    <w:basedOn w:val="Normal"/>
    <w:next w:val="Partref"/>
    <w:rsid w:val="007019F2"/>
    <w:pPr>
      <w:keepNext/>
      <w:keepLines/>
      <w:spacing w:before="480" w:after="80"/>
      <w:jc w:val="center"/>
    </w:pPr>
    <w:rPr>
      <w:caps/>
      <w:sz w:val="28"/>
    </w:rPr>
  </w:style>
  <w:style w:type="paragraph" w:customStyle="1" w:styleId="Partref">
    <w:name w:val="Part_ref"/>
    <w:basedOn w:val="Normal"/>
    <w:next w:val="Parttitle"/>
    <w:rsid w:val="007019F2"/>
    <w:pPr>
      <w:keepNext/>
      <w:keepLines/>
      <w:spacing w:before="280"/>
      <w:jc w:val="center"/>
    </w:pPr>
  </w:style>
  <w:style w:type="paragraph" w:customStyle="1" w:styleId="Parttitle">
    <w:name w:val="Part_title"/>
    <w:basedOn w:val="Normal"/>
    <w:next w:val="Normalaftertitle"/>
    <w:rsid w:val="007019F2"/>
    <w:pPr>
      <w:keepNext/>
      <w:keepLines/>
      <w:spacing w:before="240" w:after="280"/>
      <w:jc w:val="center"/>
    </w:pPr>
    <w:rPr>
      <w:b/>
      <w:sz w:val="28"/>
    </w:rPr>
  </w:style>
  <w:style w:type="paragraph" w:customStyle="1" w:styleId="Recdate">
    <w:name w:val="Rec_date"/>
    <w:basedOn w:val="Normal"/>
    <w:next w:val="Normalaftertitle"/>
    <w:rsid w:val="007019F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019F2"/>
  </w:style>
  <w:style w:type="paragraph" w:customStyle="1" w:styleId="QuestionNo">
    <w:name w:val="Question_No"/>
    <w:basedOn w:val="RecNo"/>
    <w:next w:val="Questiontitle"/>
    <w:rsid w:val="007019F2"/>
  </w:style>
  <w:style w:type="paragraph" w:customStyle="1" w:styleId="Recref">
    <w:name w:val="Rec_ref"/>
    <w:basedOn w:val="Normal"/>
    <w:next w:val="Recdate"/>
    <w:rsid w:val="007019F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019F2"/>
  </w:style>
  <w:style w:type="paragraph" w:customStyle="1" w:styleId="Questiontitle">
    <w:name w:val="Question_title"/>
    <w:basedOn w:val="Rectitle"/>
    <w:next w:val="Questionref"/>
    <w:rsid w:val="007019F2"/>
  </w:style>
  <w:style w:type="paragraph" w:customStyle="1" w:styleId="Reftitle">
    <w:name w:val="Ref_title"/>
    <w:basedOn w:val="Normal"/>
    <w:next w:val="Reftext"/>
    <w:rsid w:val="007019F2"/>
    <w:pPr>
      <w:spacing w:before="480"/>
      <w:jc w:val="center"/>
    </w:pPr>
    <w:rPr>
      <w:b/>
    </w:rPr>
  </w:style>
  <w:style w:type="paragraph" w:customStyle="1" w:styleId="Repdate">
    <w:name w:val="Rep_date"/>
    <w:basedOn w:val="Recdate"/>
    <w:next w:val="Normalaftertitle"/>
    <w:rsid w:val="007019F2"/>
  </w:style>
  <w:style w:type="paragraph" w:customStyle="1" w:styleId="RepNo">
    <w:name w:val="Rep_No"/>
    <w:basedOn w:val="RecNo"/>
    <w:next w:val="Reptitle"/>
    <w:rsid w:val="007019F2"/>
  </w:style>
  <w:style w:type="paragraph" w:customStyle="1" w:styleId="Repref">
    <w:name w:val="Rep_ref"/>
    <w:basedOn w:val="Recref"/>
    <w:next w:val="Repdate"/>
    <w:rsid w:val="007019F2"/>
  </w:style>
  <w:style w:type="paragraph" w:customStyle="1" w:styleId="Reptitle">
    <w:name w:val="Rep_title"/>
    <w:basedOn w:val="Rectitle"/>
    <w:next w:val="Repref"/>
    <w:rsid w:val="007019F2"/>
  </w:style>
  <w:style w:type="paragraph" w:customStyle="1" w:styleId="Resdate">
    <w:name w:val="Res_date"/>
    <w:basedOn w:val="Recdate"/>
    <w:next w:val="Normalaftertitle"/>
    <w:rsid w:val="007019F2"/>
  </w:style>
  <w:style w:type="character" w:customStyle="1" w:styleId="Resdef">
    <w:name w:val="Res_def"/>
    <w:basedOn w:val="DefaultParagraphFont"/>
    <w:rsid w:val="007019F2"/>
    <w:rPr>
      <w:rFonts w:ascii="Times New Roman" w:hAnsi="Times New Roman"/>
      <w:b/>
    </w:rPr>
  </w:style>
  <w:style w:type="paragraph" w:customStyle="1" w:styleId="ResNo">
    <w:name w:val="Res_No"/>
    <w:basedOn w:val="RecNo"/>
    <w:next w:val="Restitle"/>
    <w:rsid w:val="007019F2"/>
  </w:style>
  <w:style w:type="paragraph" w:customStyle="1" w:styleId="Resref">
    <w:name w:val="Res_ref"/>
    <w:basedOn w:val="Recref"/>
    <w:next w:val="Resdate"/>
    <w:rsid w:val="007019F2"/>
  </w:style>
  <w:style w:type="paragraph" w:customStyle="1" w:styleId="Restitle">
    <w:name w:val="Res_title"/>
    <w:basedOn w:val="Rectitle"/>
    <w:next w:val="Resref"/>
    <w:rsid w:val="007019F2"/>
  </w:style>
  <w:style w:type="paragraph" w:customStyle="1" w:styleId="Section1">
    <w:name w:val="Section_1"/>
    <w:basedOn w:val="Normal"/>
    <w:next w:val="Normal"/>
    <w:rsid w:val="007019F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019F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7019F2"/>
    <w:pPr>
      <w:keepNext/>
      <w:keepLines/>
      <w:spacing w:before="480" w:after="80"/>
      <w:jc w:val="center"/>
    </w:pPr>
    <w:rPr>
      <w:caps/>
      <w:sz w:val="28"/>
    </w:rPr>
  </w:style>
  <w:style w:type="paragraph" w:customStyle="1" w:styleId="Sectiontitle">
    <w:name w:val="Section_title"/>
    <w:basedOn w:val="Normal"/>
    <w:next w:val="Normalaftertitle"/>
    <w:rsid w:val="007019F2"/>
    <w:pPr>
      <w:keepNext/>
      <w:keepLines/>
      <w:spacing w:before="480" w:after="280"/>
      <w:jc w:val="center"/>
    </w:pPr>
    <w:rPr>
      <w:b/>
      <w:sz w:val="28"/>
    </w:rPr>
  </w:style>
  <w:style w:type="paragraph" w:customStyle="1" w:styleId="Source">
    <w:name w:val="Source"/>
    <w:basedOn w:val="Normal"/>
    <w:next w:val="Normalaftertitle"/>
    <w:rsid w:val="007019F2"/>
    <w:pPr>
      <w:spacing w:before="840" w:after="200"/>
      <w:jc w:val="center"/>
    </w:pPr>
    <w:rPr>
      <w:b/>
      <w:sz w:val="28"/>
    </w:rPr>
  </w:style>
  <w:style w:type="paragraph" w:customStyle="1" w:styleId="SpecialFooter">
    <w:name w:val="Special Footer"/>
    <w:basedOn w:val="Footer"/>
    <w:rsid w:val="007019F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7019F2"/>
    <w:rPr>
      <w:b/>
      <w:color w:val="auto"/>
    </w:rPr>
  </w:style>
  <w:style w:type="paragraph" w:customStyle="1" w:styleId="TableNoTitle0">
    <w:name w:val="Table_NoTitle"/>
    <w:basedOn w:val="Normal"/>
    <w:next w:val="Tablehead"/>
    <w:rsid w:val="007019F2"/>
    <w:pPr>
      <w:keepNext/>
      <w:keepLines/>
      <w:spacing w:before="360" w:after="120"/>
      <w:jc w:val="center"/>
    </w:pPr>
    <w:rPr>
      <w:b/>
    </w:rPr>
  </w:style>
  <w:style w:type="paragraph" w:customStyle="1" w:styleId="Title1">
    <w:name w:val="Title 1"/>
    <w:basedOn w:val="Source"/>
    <w:next w:val="Title2"/>
    <w:rsid w:val="007019F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019F2"/>
  </w:style>
  <w:style w:type="paragraph" w:customStyle="1" w:styleId="Title3">
    <w:name w:val="Title 3"/>
    <w:basedOn w:val="Title2"/>
    <w:next w:val="Title4"/>
    <w:rsid w:val="007019F2"/>
    <w:rPr>
      <w:caps w:val="0"/>
    </w:rPr>
  </w:style>
  <w:style w:type="paragraph" w:customStyle="1" w:styleId="enumlev4">
    <w:name w:val="enumlev4"/>
    <w:basedOn w:val="enumlev3"/>
    <w:rsid w:val="00B00F74"/>
  </w:style>
  <w:style w:type="paragraph" w:customStyle="1" w:styleId="Line">
    <w:name w:val="Line"/>
    <w:basedOn w:val="Normal"/>
    <w:rsid w:val="00B00F74"/>
    <w:pPr>
      <w:jc w:val="center"/>
    </w:pPr>
  </w:style>
  <w:style w:type="character" w:customStyle="1" w:styleId="rynqvb">
    <w:name w:val="rynqvb"/>
    <w:basedOn w:val="DefaultParagraphFont"/>
    <w:rsid w:val="0085100D"/>
  </w:style>
  <w:style w:type="character" w:customStyle="1" w:styleId="ListParagraphChar">
    <w:name w:val="List Paragraph Char"/>
    <w:link w:val="ListParagraph"/>
    <w:uiPriority w:val="34"/>
    <w:qFormat/>
    <w:locked/>
    <w:rsid w:val="000A651A"/>
    <w:rPr>
      <w:rFonts w:ascii="Times New Roman" w:hAnsi="Times New Roman" w:cs="Times New Roman"/>
      <w:sz w:val="24"/>
      <w:szCs w:val="24"/>
      <w:lang w:val="en-GB" w:eastAsia="ja-JP"/>
    </w:rPr>
  </w:style>
  <w:style w:type="character" w:customStyle="1" w:styleId="link-annotation-unknown-block-id-169440017">
    <w:name w:val="link-annotation-unknown-block-id-169440017"/>
    <w:basedOn w:val="DefaultParagraphFont"/>
    <w:rsid w:val="000A651A"/>
  </w:style>
  <w:style w:type="character" w:customStyle="1" w:styleId="link-annotation-unknown-block-id-169439893">
    <w:name w:val="link-annotation-unknown-block-id-169439893"/>
    <w:basedOn w:val="DefaultParagraphFont"/>
    <w:rsid w:val="000A651A"/>
  </w:style>
  <w:style w:type="character" w:customStyle="1" w:styleId="link-annotation-unknown-block-id-169440722">
    <w:name w:val="link-annotation-unknown-block-id-169440722"/>
    <w:basedOn w:val="DefaultParagraphFont"/>
    <w:rsid w:val="000A651A"/>
  </w:style>
  <w:style w:type="character" w:customStyle="1" w:styleId="link-annotation-unknown-block-id-169440885">
    <w:name w:val="link-annotation-unknown-block-id-169440885"/>
    <w:basedOn w:val="DefaultParagraphFont"/>
    <w:rsid w:val="000A651A"/>
  </w:style>
  <w:style w:type="character" w:customStyle="1" w:styleId="link-annotation-unknown-block-id-169440727">
    <w:name w:val="link-annotation-unknown-block-id-169440727"/>
    <w:basedOn w:val="DefaultParagraphFont"/>
    <w:rsid w:val="000A651A"/>
  </w:style>
  <w:style w:type="character" w:customStyle="1" w:styleId="link-annotation-unknown-block-id-169440047">
    <w:name w:val="link-annotation-unknown-block-id-169440047"/>
    <w:basedOn w:val="DefaultParagraphFont"/>
    <w:rsid w:val="000A651A"/>
  </w:style>
  <w:style w:type="character" w:customStyle="1" w:styleId="link-annotation-unknown-block-id-169439953">
    <w:name w:val="link-annotation-unknown-block-id-169439953"/>
    <w:basedOn w:val="DefaultParagraphFont"/>
    <w:rsid w:val="000A651A"/>
  </w:style>
  <w:style w:type="character" w:customStyle="1" w:styleId="link-annotation-unknown-block-id-169440855">
    <w:name w:val="link-annotation-unknown-block-id-169440855"/>
    <w:basedOn w:val="DefaultParagraphFont"/>
    <w:rsid w:val="000A651A"/>
  </w:style>
  <w:style w:type="character" w:customStyle="1" w:styleId="link-annotation-unknown-block-id-169440790">
    <w:name w:val="link-annotation-unknown-block-id-169440790"/>
    <w:basedOn w:val="DefaultParagraphFont"/>
    <w:rsid w:val="000A651A"/>
  </w:style>
  <w:style w:type="character" w:customStyle="1" w:styleId="link-annotation-unknown-block-id-169439983">
    <w:name w:val="link-annotation-unknown-block-id-169439983"/>
    <w:basedOn w:val="DefaultParagraphFont"/>
    <w:rsid w:val="000A651A"/>
  </w:style>
  <w:style w:type="character" w:customStyle="1" w:styleId="link-annotation-unknown-block-id-169440013">
    <w:name w:val="link-annotation-unknown-block-id-169440013"/>
    <w:basedOn w:val="DefaultParagraphFont"/>
    <w:rsid w:val="000A651A"/>
  </w:style>
  <w:style w:type="paragraph" w:customStyle="1" w:styleId="Default">
    <w:name w:val="Default"/>
    <w:rsid w:val="007019F2"/>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CommentTextChar1">
    <w:name w:val="Comment Text Char1"/>
    <w:basedOn w:val="DefaultParagraphFont"/>
    <w:rsid w:val="003B6019"/>
    <w:rPr>
      <w:rFonts w:ascii="Times New Roman" w:hAnsi="Times New Roman"/>
      <w:lang w:eastAsia="en-US"/>
    </w:rPr>
  </w:style>
  <w:style w:type="paragraph" w:customStyle="1" w:styleId="Reasons">
    <w:name w:val="Reasons"/>
    <w:basedOn w:val="Normal"/>
    <w:qFormat/>
    <w:rsid w:val="00203A23"/>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SG17-190122-TD-PLEN-1950" TargetMode="External"/><Relationship Id="rId21" Type="http://schemas.openxmlformats.org/officeDocument/2006/relationships/image" Target="media/image2.png"/><Relationship Id="rId42" Type="http://schemas.openxmlformats.org/officeDocument/2006/relationships/hyperlink" Target="https://www.itu.int/md/T22-SG17-C-0490/en" TargetMode="External"/><Relationship Id="rId47" Type="http://schemas.openxmlformats.org/officeDocument/2006/relationships/hyperlink" Target="https://www.itu.int/md/T22-SG17-C-0519/en" TargetMode="External"/><Relationship Id="rId63" Type="http://schemas.openxmlformats.org/officeDocument/2006/relationships/hyperlink" Target="https://www.itu.int/md/meetingdoc.asp?lang=en&amp;parent=T22-SG17-230829-TD-PLEN-1458" TargetMode="External"/><Relationship Id="rId68" Type="http://schemas.openxmlformats.org/officeDocument/2006/relationships/hyperlink" Target="https://www.itu.int/md/meetingdoc.asp?lang=en&amp;parent=T22-SG17-230829-TD-PLEN-1400" TargetMode="Externa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image" Target="media/image3.png"/><Relationship Id="rId37" Type="http://schemas.openxmlformats.org/officeDocument/2006/relationships/footer" Target="footer8.xml"/><Relationship Id="rId53" Type="http://schemas.openxmlformats.org/officeDocument/2006/relationships/hyperlink" Target="https://www.itu.int/md/T22-SG17-C-0545/en" TargetMode="External"/><Relationship Id="rId58" Type="http://schemas.openxmlformats.org/officeDocument/2006/relationships/hyperlink" Target="https://www.itu.int/md/meetingdoc.asp?lang=en&amp;parent=T22-SG17-230829-TD-PLEN-1405" TargetMode="External"/><Relationship Id="rId74" Type="http://schemas.openxmlformats.org/officeDocument/2006/relationships/hyperlink" Target="https://datatracker.ietf.org/doc/rfc6771/"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md/meetingdoc.asp?lang=en&amp;parent=T22-SG17-230829-TD-PLEN-1449" TargetMode="Externa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www.itu.int/md/T17-SG17-190827-TD-PLEN-2250" TargetMode="External"/><Relationship Id="rId30" Type="http://schemas.openxmlformats.org/officeDocument/2006/relationships/hyperlink" Target="https://www.itu.int/md/T17-SG17-190827-TD-PLEN-2248" TargetMode="External"/><Relationship Id="rId35" Type="http://schemas.openxmlformats.org/officeDocument/2006/relationships/hyperlink" Target="mailto:zhangchen@cmdi.chinamobile.com" TargetMode="External"/><Relationship Id="rId43" Type="http://schemas.openxmlformats.org/officeDocument/2006/relationships/hyperlink" Target="https://www.itu.int/md/T22-SG17-C-0500/en" TargetMode="External"/><Relationship Id="rId48" Type="http://schemas.openxmlformats.org/officeDocument/2006/relationships/hyperlink" Target="https://www.itu.int/md/T22-SG17-C-0526/en" TargetMode="External"/><Relationship Id="rId56" Type="http://schemas.openxmlformats.org/officeDocument/2006/relationships/hyperlink" Target="https://www.itu.int/md/T22-SG17-230829-TD-PLEN-1146/en" TargetMode="External"/><Relationship Id="rId64" Type="http://schemas.openxmlformats.org/officeDocument/2006/relationships/hyperlink" Target="https://www.itu.int/md/meetingdoc.asp?lang=en&amp;parent=T22-SG17-230829-TD-PLEN-1366" TargetMode="External"/><Relationship Id="rId69" Type="http://schemas.openxmlformats.org/officeDocument/2006/relationships/hyperlink" Target="https://www.rfc-editor.org/rfc/rfc2418.html" TargetMode="External"/><Relationship Id="rId77"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hyperlink" Target="https://www.itu.int/md/T22-SG17-C-0542/en" TargetMode="External"/><Relationship Id="rId72" Type="http://schemas.openxmlformats.org/officeDocument/2006/relationships/hyperlink" Target="https://datatracker.ietf.org/wg/secdispatch/about/" TargetMode="External"/><Relationship Id="rId80"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tu.int/md/T17-SG17-190122-TD-PLEN-1982" TargetMode="External"/><Relationship Id="rId33" Type="http://schemas.openxmlformats.org/officeDocument/2006/relationships/hyperlink" Target="mailto:Arnaud.Taddei@broadcom.com" TargetMode="External"/><Relationship Id="rId38" Type="http://schemas.openxmlformats.org/officeDocument/2006/relationships/hyperlink" Target="https://www.itu.int/md/T22-SG17-240220-TD-PLEN-1517/en" TargetMode="External"/><Relationship Id="rId46" Type="http://schemas.openxmlformats.org/officeDocument/2006/relationships/hyperlink" Target="https://www.itu.int/md/T22-SG17-C-0508/en" TargetMode="External"/><Relationship Id="rId59" Type="http://schemas.openxmlformats.org/officeDocument/2006/relationships/hyperlink" Target="https://www.itu.int/md/meetingdoc.asp?lang=en&amp;parent=T22-SG17-230829-TD-PLEN-1388" TargetMode="External"/><Relationship Id="rId67" Type="http://schemas.openxmlformats.org/officeDocument/2006/relationships/hyperlink" Target="https://www.itu.int/md/meetingdoc.asp?lang=en&amp;parent=T22-SG17-230829-TD-PLEN-1384" TargetMode="External"/><Relationship Id="rId20" Type="http://schemas.openxmlformats.org/officeDocument/2006/relationships/footer" Target="footer5.xml"/><Relationship Id="rId41" Type="http://schemas.openxmlformats.org/officeDocument/2006/relationships/hyperlink" Target="https://www.itu.int/md/T22-SG17-230829-TD-PLEN-1182/en" TargetMode="External"/><Relationship Id="rId54" Type="http://schemas.openxmlformats.org/officeDocument/2006/relationships/footer" Target="footer9.xml"/><Relationship Id="rId62" Type="http://schemas.openxmlformats.org/officeDocument/2006/relationships/hyperlink" Target="https://www.itu.int/md/meetingdoc.asp?lang=en&amp;parent=T22-SG17-230829-TD-PLEN-1426" TargetMode="External"/><Relationship Id="rId70" Type="http://schemas.openxmlformats.org/officeDocument/2006/relationships/hyperlink" Target="https://datatracker.ietf.org/doc/rfc5434/" TargetMode="External"/><Relationship Id="rId75" Type="http://schemas.openxmlformats.org/officeDocument/2006/relationships/hyperlink" Target="https://www.etsi.org/about/our-opera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yperlink" Target="https://www.itu.int/md/T17-SG17-190827-TD-PLEN-2228" TargetMode="External"/><Relationship Id="rId36" Type="http://schemas.openxmlformats.org/officeDocument/2006/relationships/hyperlink" Target="https://www.itu.int/md/T22-SG17-230829-TD-PLEN-1146/en" TargetMode="External"/><Relationship Id="rId49" Type="http://schemas.openxmlformats.org/officeDocument/2006/relationships/hyperlink" Target="https://www.itu.int/md/T22-SG17-C-0531/en" TargetMode="External"/><Relationship Id="rId57" Type="http://schemas.openxmlformats.org/officeDocument/2006/relationships/hyperlink" Target="https://www.itu.int/md/meetingdoc.asp?lang=en&amp;parent=T22-SG17-230221-TD-PLEN-0990" TargetMode="External"/><Relationship Id="rId10" Type="http://schemas.openxmlformats.org/officeDocument/2006/relationships/endnotes" Target="endnotes.xml"/><Relationship Id="rId31" Type="http://schemas.openxmlformats.org/officeDocument/2006/relationships/hyperlink" Target="https://www.itu.int/md/T17-SG17-190827-TD-PLEN-2249" TargetMode="External"/><Relationship Id="rId44" Type="http://schemas.openxmlformats.org/officeDocument/2006/relationships/hyperlink" Target="https://www.itu.int/md/T22-SG17-230829-TD-PLEN-1182/en" TargetMode="External"/><Relationship Id="rId52" Type="http://schemas.openxmlformats.org/officeDocument/2006/relationships/hyperlink" Target="https://www.itu.int/md/T22-SG17-C-0544/en" TargetMode="External"/><Relationship Id="rId60" Type="http://schemas.openxmlformats.org/officeDocument/2006/relationships/hyperlink" Target="https://www.itu.int/md/meetingdoc.asp?lang=en&amp;parent=T22-SG17-230829-TD-PLEN-1375" TargetMode="External"/><Relationship Id="rId65" Type="http://schemas.openxmlformats.org/officeDocument/2006/relationships/hyperlink" Target="https://www.itu.int/md/meetingdoc.asp?lang=en&amp;parent=T22-SG17-230829-TD-PLEN-1397" TargetMode="External"/><Relationship Id="rId73" Type="http://schemas.openxmlformats.org/officeDocument/2006/relationships/hyperlink" Target="https://datatracker.ietf.org/doc/rfc7957/" TargetMode="External"/><Relationship Id="rId78" Type="http://schemas.openxmlformats.org/officeDocument/2006/relationships/footer" Target="footer1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www.itu.int/md/T22-SG17-C-0483/en" TargetMode="External"/><Relationship Id="rId34" Type="http://schemas.openxmlformats.org/officeDocument/2006/relationships/hyperlink" Target="mailto:Bret.Jordan@afero.io" TargetMode="External"/><Relationship Id="rId50" Type="http://schemas.openxmlformats.org/officeDocument/2006/relationships/hyperlink" Target="https://www.itu.int/md/T22-SG17-C-0541/en" TargetMode="External"/><Relationship Id="rId55" Type="http://schemas.openxmlformats.org/officeDocument/2006/relationships/footer" Target="footer10.xml"/><Relationship Id="rId76"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yperlink" Target="https://datatracker.ietf.org/wg/gendispatch/about/" TargetMode="External"/><Relationship Id="rId2" Type="http://schemas.openxmlformats.org/officeDocument/2006/relationships/customXml" Target="../customXml/item2.xml"/><Relationship Id="rId29" Type="http://schemas.openxmlformats.org/officeDocument/2006/relationships/hyperlink" Target="https://www.itu.int/md/T17-SG17-190122-TD-PLEN-1880" TargetMode="External"/><Relationship Id="rId24" Type="http://schemas.openxmlformats.org/officeDocument/2006/relationships/hyperlink" Target="https://www.itu.int/md/T17-SG17-190122-TD-PLEN-1981" TargetMode="External"/><Relationship Id="rId40" Type="http://schemas.openxmlformats.org/officeDocument/2006/relationships/hyperlink" Target="https://www.itu.int/md/T22-SG17-C-0485/en" TargetMode="External"/><Relationship Id="rId45" Type="http://schemas.openxmlformats.org/officeDocument/2006/relationships/hyperlink" Target="https://www.itu.int/md/T22-SG17-C-0369/en" TargetMode="External"/><Relationship Id="rId66" Type="http://schemas.openxmlformats.org/officeDocument/2006/relationships/hyperlink" Target="https://www.itu.int/md/meetingdoc.asp?lang=en&amp;parent=T22-SG17-230829-TD-PLEN-13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TUT-REPOR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94912D10604AC18C83FA84C95D792F"/>
        <w:category>
          <w:name w:val="General"/>
          <w:gallery w:val="placeholder"/>
        </w:category>
        <w:types>
          <w:type w:val="bbPlcHdr"/>
        </w:types>
        <w:behaviors>
          <w:behavior w:val="content"/>
        </w:behaviors>
        <w:guid w:val="{8705E591-EE20-446F-A472-17C80F4CF4CE}"/>
      </w:docPartPr>
      <w:docPartBody>
        <w:p w:rsidR="00280486" w:rsidRDefault="00280486" w:rsidP="00280486">
          <w:pPr>
            <w:pStyle w:val="5594912D10604AC18C83FA84C95D792F"/>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41"/>
    <w:rsid w:val="00066C7D"/>
    <w:rsid w:val="0008677B"/>
    <w:rsid w:val="000A0E80"/>
    <w:rsid w:val="000D349F"/>
    <w:rsid w:val="000D76B7"/>
    <w:rsid w:val="001A7197"/>
    <w:rsid w:val="001A781E"/>
    <w:rsid w:val="001D6EB6"/>
    <w:rsid w:val="00232D01"/>
    <w:rsid w:val="00280486"/>
    <w:rsid w:val="00342960"/>
    <w:rsid w:val="00344AD5"/>
    <w:rsid w:val="003D1B88"/>
    <w:rsid w:val="003F6885"/>
    <w:rsid w:val="0042578B"/>
    <w:rsid w:val="00553A58"/>
    <w:rsid w:val="00584B88"/>
    <w:rsid w:val="007236AD"/>
    <w:rsid w:val="008130B9"/>
    <w:rsid w:val="008A697A"/>
    <w:rsid w:val="00A56F75"/>
    <w:rsid w:val="00A82878"/>
    <w:rsid w:val="00B96F13"/>
    <w:rsid w:val="00BB4B45"/>
    <w:rsid w:val="00C36314"/>
    <w:rsid w:val="00C61751"/>
    <w:rsid w:val="00D17D54"/>
    <w:rsid w:val="00D971C9"/>
    <w:rsid w:val="00E827BC"/>
    <w:rsid w:val="00ED116A"/>
    <w:rsid w:val="00EF06AE"/>
    <w:rsid w:val="00F62641"/>
    <w:rsid w:val="00F678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280486"/>
    <w:rPr>
      <w:rFonts w:ascii="Times New Roman" w:hAnsi="Times New Roman"/>
      <w:color w:val="808080"/>
    </w:rPr>
  </w:style>
  <w:style w:type="paragraph" w:customStyle="1" w:styleId="5594912D10604AC18C83FA84C95D792F">
    <w:name w:val="5594912D10604AC18C83FA84C95D792F"/>
    <w:rsid w:val="00280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FB3AF-7BD9-7F4A-83CF-C47EB4783161}">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openxmlformats.org/package/2006/metadata/core-properties"/>
    <ds:schemaRef ds:uri="http://schemas.microsoft.com/office/infopath/2007/PartnerControls"/>
    <ds:schemaRef ds:uri="0d1600e8-004f-4c6f-afe8-0c63f3945779"/>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6048f16a-77ac-4327-be06-b0beb1ce50d8"/>
    <ds:schemaRef ds:uri="http://purl.org/dc/terms/"/>
  </ds:schemaRefs>
</ds:datastoreItem>
</file>

<file path=customXml/itemProps3.xml><?xml version="1.0" encoding="utf-8"?>
<ds:datastoreItem xmlns:ds="http://schemas.openxmlformats.org/officeDocument/2006/customXml" ds:itemID="{4265F234-7E3B-4C0F-8756-F37255D44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T-TUT-REPORT-E.dotm</Template>
  <TotalTime>1</TotalTime>
  <Pages>30</Pages>
  <Words>9143</Words>
  <Characters>52121</Characters>
  <Application>Microsoft Office Word</Application>
  <DocSecurity>0</DocSecurity>
  <Lines>434</Lines>
  <Paragraphs>122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ITU-T Technical Paper TP.inno (03/2024) - Description of the incubation mechanism and ways to improve it</vt:lpstr>
      <vt:lpstr>DDP template for SG17 (2022-2024 study period)</vt:lpstr>
    </vt:vector>
  </TitlesOfParts>
  <Manager>ITU-T</Manager>
  <Company>International Telecommunication Union (ITU)</Company>
  <LinksUpToDate>false</LinksUpToDate>
  <CharactersWithSpaces>61142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Paper TP.inno (03/2024) - Description of the incubation mechanism and ways to improve it</dc:title>
  <dc:subject/>
  <dc:creator>Editors TP.inno-2.0</dc:creator>
  <cp:keywords/>
  <dc:description/>
  <cp:lastModifiedBy>Le Van, Jack</cp:lastModifiedBy>
  <cp:revision>2</cp:revision>
  <cp:lastPrinted>2017-02-22T09:55:00Z</cp:lastPrinted>
  <dcterms:created xsi:type="dcterms:W3CDTF">2024-07-22T07:41:00Z</dcterms:created>
  <dcterms:modified xsi:type="dcterms:W3CDTF">2024-07-22T07:41:00Z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SG17-TD1874</vt:lpwstr>
  </property>
  <property fmtid="{D5CDD505-2E9C-101B-9397-08002B2CF9AE}" pid="11" name="Docdate">
    <vt:lpwstr/>
  </property>
  <property fmtid="{D5CDD505-2E9C-101B-9397-08002B2CF9AE}" pid="12" name="Docorlang">
    <vt:lpwstr/>
  </property>
  <property fmtid="{D5CDD505-2E9C-101B-9397-08002B2CF9AE}" pid="13" name="Docbluepink">
    <vt:lpwstr>Q1/17</vt:lpwstr>
  </property>
  <property fmtid="{D5CDD505-2E9C-101B-9397-08002B2CF9AE}" pid="14" name="Docdest">
    <vt:lpwstr>Geneva, 20 February – 1 March 2024</vt:lpwstr>
  </property>
  <property fmtid="{D5CDD505-2E9C-101B-9397-08002B2CF9AE}" pid="15" name="Docauthor">
    <vt:lpwstr>Editors TP.inno-2.0</vt:lpwstr>
  </property>
</Properties>
</file>