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111E62" w:rsidRPr="006F3E3B" w14:paraId="5A905D3F" w14:textId="77777777" w:rsidTr="00CD0B82">
        <w:trPr>
          <w:trHeight w:hRule="exact" w:val="992"/>
        </w:trPr>
        <w:tc>
          <w:tcPr>
            <w:tcW w:w="5070" w:type="dxa"/>
            <w:gridSpan w:val="2"/>
          </w:tcPr>
          <w:p w14:paraId="18C87CB4" w14:textId="77777777" w:rsidR="00111E62" w:rsidRPr="00957911" w:rsidRDefault="00111E62" w:rsidP="00111E62">
            <w:pPr>
              <w:spacing w:before="0"/>
              <w:rPr>
                <w:rFonts w:ascii="Arial" w:eastAsia="Avenir Next W1G Medium" w:hAnsi="Arial" w:cs="Arial"/>
                <w:szCs w:val="24"/>
              </w:rPr>
            </w:pPr>
            <w:r w:rsidRPr="00934B4E">
              <w:rPr>
                <w:rFonts w:ascii="Arial" w:eastAsia="Avenir Next W1G Medium" w:hAnsi="Arial" w:cs="Arial"/>
                <w:noProof/>
                <w:szCs w:val="24"/>
              </w:rPr>
              <mc:AlternateContent>
                <mc:Choice Requires="wpg">
                  <w:drawing>
                    <wp:anchor distT="0" distB="0" distL="114300" distR="114300" simplePos="0" relativeHeight="251661312" behindDoc="1" locked="0" layoutInCell="1" allowOverlap="1" wp14:anchorId="27AF6026" wp14:editId="4E619860">
                      <wp:simplePos x="0" y="0"/>
                      <wp:positionH relativeFrom="page">
                        <wp:posOffset>-381000</wp:posOffset>
                      </wp:positionH>
                      <wp:positionV relativeFrom="page">
                        <wp:posOffset>317500</wp:posOffset>
                      </wp:positionV>
                      <wp:extent cx="7772400" cy="229870"/>
                      <wp:effectExtent l="0" t="5080" r="0" b="3175"/>
                      <wp:wrapNone/>
                      <wp:docPr id="2"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A537F56" id="docshapegroup7" o:spid="_x0000_s1026" alt="&quot;&quot;" style="position:absolute;margin-left:-30pt;margin-top:25pt;width:612pt;height:18.1pt;z-index:-251655168;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5E64C2C1" w14:textId="77777777" w:rsidR="00111E62" w:rsidRPr="00957911" w:rsidRDefault="00111E62" w:rsidP="00111E62">
            <w:pPr>
              <w:spacing w:before="0"/>
              <w:jc w:val="right"/>
              <w:rPr>
                <w:rFonts w:ascii="Arial" w:eastAsia="Avenir Next W1G Medium" w:hAnsi="Arial" w:cs="Arial"/>
                <w:szCs w:val="24"/>
              </w:rPr>
            </w:pPr>
            <w:r w:rsidRPr="00957911">
              <w:rPr>
                <w:rFonts w:ascii="Arial" w:eastAsia="Avenir Next W1G Medium" w:hAnsi="Arial" w:cs="Arial"/>
                <w:szCs w:val="24"/>
              </w:rPr>
              <w:t>Standardization Sector</w:t>
            </w:r>
          </w:p>
        </w:tc>
      </w:tr>
      <w:tr w:rsidR="00111E62" w:rsidRPr="006C28C2" w14:paraId="58E5A2B3" w14:textId="77777777" w:rsidTr="00CD0B82">
        <w:tblPrEx>
          <w:tblCellMar>
            <w:left w:w="85" w:type="dxa"/>
            <w:right w:w="85" w:type="dxa"/>
          </w:tblCellMar>
        </w:tblPrEx>
        <w:trPr>
          <w:gridBefore w:val="1"/>
          <w:wBefore w:w="817" w:type="dxa"/>
          <w:trHeight w:val="709"/>
        </w:trPr>
        <w:tc>
          <w:tcPr>
            <w:tcW w:w="9923" w:type="dxa"/>
            <w:gridSpan w:val="2"/>
          </w:tcPr>
          <w:p w14:paraId="6F5632BE" w14:textId="77777777" w:rsidR="00111E62" w:rsidRPr="00934B4E" w:rsidRDefault="00111E62" w:rsidP="00111E62">
            <w:pPr>
              <w:pStyle w:val="BodyText"/>
              <w:spacing w:before="440"/>
              <w:rPr>
                <w:rFonts w:ascii="Arial" w:hAnsi="Arial" w:cs="Arial"/>
                <w:spacing w:val="-6"/>
                <w:sz w:val="44"/>
                <w:szCs w:val="44"/>
                <w:lang w:val="en-GB"/>
              </w:rPr>
            </w:pPr>
            <w:bookmarkStart w:id="0" w:name="dnume"/>
            <w:r w:rsidRPr="00934B4E">
              <w:rPr>
                <w:rFonts w:ascii="Arial" w:hAnsi="Arial" w:cs="Arial"/>
                <w:spacing w:val="-6"/>
                <w:sz w:val="44"/>
                <w:szCs w:val="44"/>
                <w:lang w:val="en-GB"/>
              </w:rPr>
              <w:t xml:space="preserve">ITU-T Technical </w:t>
            </w:r>
            <w:r>
              <w:rPr>
                <w:rFonts w:ascii="Arial" w:hAnsi="Arial" w:cs="Arial"/>
                <w:spacing w:val="-6"/>
                <w:sz w:val="44"/>
                <w:szCs w:val="44"/>
                <w:lang w:val="en-GB"/>
              </w:rPr>
              <w:t>Report</w:t>
            </w:r>
          </w:p>
        </w:tc>
      </w:tr>
      <w:tr w:rsidR="00111E62" w:rsidRPr="00934B4E" w14:paraId="11FCA22E" w14:textId="77777777" w:rsidTr="00CD0B82">
        <w:tblPrEx>
          <w:tblCellMar>
            <w:left w:w="85" w:type="dxa"/>
            <w:right w:w="85" w:type="dxa"/>
          </w:tblCellMar>
        </w:tblPrEx>
        <w:trPr>
          <w:gridBefore w:val="1"/>
          <w:wBefore w:w="817" w:type="dxa"/>
          <w:trHeight w:val="129"/>
        </w:trPr>
        <w:tc>
          <w:tcPr>
            <w:tcW w:w="9923" w:type="dxa"/>
            <w:gridSpan w:val="2"/>
          </w:tcPr>
          <w:p w14:paraId="7C9F9AA5" w14:textId="77777777" w:rsidR="00111E62" w:rsidRPr="00934B4E" w:rsidRDefault="00111E62" w:rsidP="00111E62">
            <w:pPr>
              <w:pStyle w:val="BodyText"/>
              <w:spacing w:before="120" w:after="240"/>
              <w:jc w:val="right"/>
              <w:rPr>
                <w:rFonts w:ascii="Arial" w:hAnsi="Arial" w:cs="Arial"/>
                <w:spacing w:val="-6"/>
                <w:sz w:val="28"/>
                <w:szCs w:val="28"/>
                <w:lang w:val="en-GB"/>
              </w:rPr>
            </w:pPr>
            <w:bookmarkStart w:id="1" w:name="dnume2"/>
            <w:bookmarkEnd w:id="0"/>
            <w:r>
              <w:rPr>
                <w:rFonts w:ascii="Arial" w:hAnsi="Arial" w:cs="Arial"/>
                <w:spacing w:val="-6"/>
                <w:sz w:val="28"/>
                <w:szCs w:val="28"/>
                <w:lang w:val="en-GB"/>
              </w:rPr>
              <w:t>(06/2026)</w:t>
            </w:r>
          </w:p>
        </w:tc>
      </w:tr>
      <w:tr w:rsidR="00111E62" w:rsidRPr="006F3E3B" w14:paraId="5AFFA923" w14:textId="77777777" w:rsidTr="00CD0B82">
        <w:trPr>
          <w:trHeight w:val="80"/>
        </w:trPr>
        <w:tc>
          <w:tcPr>
            <w:tcW w:w="817" w:type="dxa"/>
          </w:tcPr>
          <w:p w14:paraId="23E68A77" w14:textId="77777777" w:rsidR="00111E62" w:rsidRPr="006F3E3B" w:rsidRDefault="00111E62" w:rsidP="00111E62">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5E5AC335" w14:textId="77777777" w:rsidR="00111E62" w:rsidRPr="00934B4E" w:rsidRDefault="00111E62" w:rsidP="00111E62">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1E37D7">
              <w:rPr>
                <w:rFonts w:ascii="Arial" w:hAnsi="Arial" w:cs="Arial"/>
                <w:b/>
                <w:bCs/>
                <w:sz w:val="48"/>
                <w:szCs w:val="48"/>
              </w:rPr>
              <w:t>XSTR.hyb-qsafe</w:t>
            </w:r>
          </w:p>
        </w:tc>
      </w:tr>
      <w:tr w:rsidR="00111E62" w:rsidRPr="006F3E3B" w14:paraId="439B9921" w14:textId="77777777" w:rsidTr="00CD0B82">
        <w:trPr>
          <w:trHeight w:val="743"/>
        </w:trPr>
        <w:tc>
          <w:tcPr>
            <w:tcW w:w="817" w:type="dxa"/>
          </w:tcPr>
          <w:p w14:paraId="1D08783D" w14:textId="77777777" w:rsidR="00111E62" w:rsidRPr="006F3E3B" w:rsidRDefault="00111E62" w:rsidP="00111E62">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68F96B70" w14:textId="77777777" w:rsidR="00111E62" w:rsidRPr="00934B4E" w:rsidRDefault="00111E62" w:rsidP="00804351">
            <w:pPr>
              <w:pStyle w:val="BodyText"/>
              <w:spacing w:before="440"/>
              <w:rPr>
                <w:rFonts w:ascii="Arial" w:hAnsi="Arial" w:cs="Arial"/>
                <w:spacing w:val="-6"/>
                <w:sz w:val="44"/>
                <w:szCs w:val="44"/>
                <w:lang w:val="en-GB"/>
              </w:rPr>
            </w:pPr>
            <w:r>
              <w:rPr>
                <w:rFonts w:ascii="Arial" w:hAnsi="Arial" w:cs="Arial"/>
                <w:spacing w:val="-6"/>
                <w:sz w:val="44"/>
                <w:szCs w:val="44"/>
                <w:lang w:val="en-GB"/>
              </w:rPr>
              <w:t>Overview of key management of hybrid approaches for quantum-safe communications</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111E62" w:rsidRPr="006F3E3B" w14:paraId="4A93EB1C" w14:textId="77777777" w:rsidTr="00626C6D">
        <w:tc>
          <w:tcPr>
            <w:tcW w:w="5070" w:type="dxa"/>
            <w:vAlign w:val="center"/>
          </w:tcPr>
          <w:bookmarkEnd w:id="3"/>
          <w:p w14:paraId="434E60FA" w14:textId="77777777" w:rsidR="00111E62" w:rsidRPr="00957911" w:rsidRDefault="00111E62" w:rsidP="00111E62">
            <w:pPr>
              <w:jc w:val="left"/>
              <w:rPr>
                <w:rFonts w:ascii="Arial" w:hAnsi="Arial" w:cs="Arial"/>
                <w:sz w:val="32"/>
                <w:szCs w:val="32"/>
              </w:rPr>
            </w:pPr>
            <w:r w:rsidRPr="00957911">
              <w:rPr>
                <w:rFonts w:ascii="Arial" w:hAnsi="Arial" w:cs="Arial"/>
                <w:b/>
                <w:color w:val="009CD6"/>
                <w:spacing w:val="-4"/>
                <w:sz w:val="32"/>
                <w:szCs w:val="32"/>
              </w:rPr>
              <w:t>ITU</w:t>
            </w:r>
            <w:r w:rsidRPr="00957911">
              <w:rPr>
                <w:rFonts w:ascii="Arial" w:hAnsi="Arial" w:cs="Arial"/>
                <w:b/>
                <w:color w:val="292829"/>
                <w:spacing w:val="-4"/>
                <w:sz w:val="32"/>
                <w:szCs w:val="32"/>
              </w:rPr>
              <w:t>Publications</w:t>
            </w:r>
          </w:p>
        </w:tc>
        <w:tc>
          <w:tcPr>
            <w:tcW w:w="5669" w:type="dxa"/>
            <w:vAlign w:val="center"/>
          </w:tcPr>
          <w:p w14:paraId="30EB366E" w14:textId="77777777" w:rsidR="00111E62" w:rsidRPr="00957911" w:rsidRDefault="00111E62" w:rsidP="00111E62">
            <w:pPr>
              <w:jc w:val="right"/>
              <w:rPr>
                <w:rFonts w:ascii="Arial" w:hAnsi="Arial" w:cs="Arial"/>
                <w:szCs w:val="24"/>
              </w:rPr>
            </w:pPr>
            <w:r w:rsidRPr="00957911">
              <w:rPr>
                <w:rFonts w:ascii="Arial" w:eastAsia="Avenir Next W1G Medium" w:hAnsi="Arial" w:cs="Arial"/>
                <w:b/>
                <w:spacing w:val="-4"/>
                <w:szCs w:val="24"/>
                <w:lang w:val="en-US"/>
              </w:rPr>
              <w:t>International Telecommunication Union</w:t>
            </w:r>
          </w:p>
        </w:tc>
      </w:tr>
    </w:tbl>
    <w:p w14:paraId="09738F20" w14:textId="77777777" w:rsidR="00093D64" w:rsidRPr="002B534E" w:rsidRDefault="00093D64" w:rsidP="00093D64">
      <w:pPr>
        <w:pStyle w:val="Default"/>
      </w:pPr>
      <w:r>
        <w:rPr>
          <w:noProof/>
        </w:rPr>
        <w:drawing>
          <wp:anchor distT="0" distB="0" distL="0" distR="0" simplePos="0" relativeHeight="251659264" behindDoc="1" locked="0" layoutInCell="1" allowOverlap="1" wp14:anchorId="4A39DA3D" wp14:editId="66F167FC">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2"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2B534E">
        <w:t xml:space="preserve"> </w:t>
      </w:r>
    </w:p>
    <w:p w14:paraId="314671F4" w14:textId="77777777" w:rsidR="00093D64" w:rsidRPr="002B534E" w:rsidRDefault="00093D64" w:rsidP="00093D64">
      <w:pPr>
        <w:spacing w:before="80"/>
        <w:jc w:val="left"/>
        <w:rPr>
          <w:i/>
          <w:sz w:val="20"/>
        </w:rPr>
      </w:pPr>
    </w:p>
    <w:p w14:paraId="768E615F" w14:textId="77777777" w:rsidR="00093D64" w:rsidRPr="002B534E" w:rsidRDefault="00093D64" w:rsidP="00093D64">
      <w:pPr>
        <w:jc w:val="left"/>
        <w:sectPr w:rsidR="00093D64" w:rsidRPr="002B534E" w:rsidSect="00093D64">
          <w:headerReference w:type="even" r:id="rId13"/>
          <w:headerReference w:type="default" r:id="rId14"/>
          <w:footerReference w:type="default" r:id="rId15"/>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093D64" w:rsidRPr="002B534E" w14:paraId="65C11D0E" w14:textId="77777777" w:rsidTr="00892805">
        <w:tc>
          <w:tcPr>
            <w:tcW w:w="9945" w:type="dxa"/>
          </w:tcPr>
          <w:p w14:paraId="4F3A8182" w14:textId="77777777" w:rsidR="00093D64" w:rsidRPr="00E93254" w:rsidRDefault="00093D64" w:rsidP="00627A63">
            <w:pPr>
              <w:pStyle w:val="RecNo"/>
            </w:pPr>
            <w:bookmarkStart w:id="5" w:name="irecnoe"/>
            <w:bookmarkEnd w:id="5"/>
            <w:r w:rsidRPr="00E93254">
              <w:lastRenderedPageBreak/>
              <w:t>Technical Report ITU-T XSTR.hyb-qsafe</w:t>
            </w:r>
          </w:p>
          <w:p w14:paraId="128725C8" w14:textId="77777777" w:rsidR="00093D64" w:rsidRPr="002B534E" w:rsidRDefault="00093D64" w:rsidP="00627A63">
            <w:pPr>
              <w:pStyle w:val="Rectitle"/>
            </w:pPr>
            <w:r w:rsidRPr="00E93254">
              <w:t>Overview of key management of hybrid approaches for quantum-safe communications</w:t>
            </w:r>
          </w:p>
        </w:tc>
      </w:tr>
    </w:tbl>
    <w:p w14:paraId="3C849327" w14:textId="77777777" w:rsidR="00093D64" w:rsidRPr="002B534E" w:rsidRDefault="00093D64" w:rsidP="00093D64"/>
    <w:p w14:paraId="450E1CAE" w14:textId="77777777" w:rsidR="00093D64" w:rsidRPr="002B534E" w:rsidRDefault="00093D64" w:rsidP="00093D64"/>
    <w:tbl>
      <w:tblPr>
        <w:tblW w:w="0" w:type="auto"/>
        <w:tblLayout w:type="fixed"/>
        <w:tblLook w:val="0020" w:firstRow="1" w:lastRow="0" w:firstColumn="0" w:lastColumn="0" w:noHBand="0" w:noVBand="0"/>
      </w:tblPr>
      <w:tblGrid>
        <w:gridCol w:w="9945"/>
      </w:tblGrid>
      <w:tr w:rsidR="00093D64" w:rsidRPr="002B534E" w14:paraId="093EA294" w14:textId="77777777" w:rsidTr="00892805">
        <w:tc>
          <w:tcPr>
            <w:tcW w:w="9945" w:type="dxa"/>
          </w:tcPr>
          <w:p w14:paraId="496F0D10" w14:textId="77777777" w:rsidR="00093D64" w:rsidRPr="002B534E" w:rsidRDefault="00093D64" w:rsidP="00627A63">
            <w:pPr>
              <w:pStyle w:val="Headingb"/>
            </w:pPr>
            <w:bookmarkStart w:id="6" w:name="isume"/>
            <w:r w:rsidRPr="002B534E">
              <w:t>Summary</w:t>
            </w:r>
          </w:p>
          <w:p w14:paraId="4454EE16" w14:textId="77777777" w:rsidR="00093D64" w:rsidRPr="002B534E" w:rsidRDefault="00093D64" w:rsidP="00627A63">
            <w:r w:rsidRPr="00FD0FF7">
              <w:t xml:space="preserve">This Technical Report addresses key management of hybrid approaches </w:t>
            </w:r>
            <w:r w:rsidRPr="0057110E">
              <w:t xml:space="preserve">using quantum key distribution (QKD) and post-quantum cryptography (PQC) </w:t>
            </w:r>
            <w:r w:rsidRPr="00FD0FF7">
              <w:t xml:space="preserve">for quantum-safe </w:t>
            </w:r>
            <w:r w:rsidRPr="00FA3D1A">
              <w:rPr>
                <w:rFonts w:eastAsia="Malgun Gothic"/>
                <w:lang w:eastAsia="ko-KR"/>
              </w:rPr>
              <w:t>communication</w:t>
            </w:r>
            <w:r>
              <w:rPr>
                <w:rFonts w:hint="eastAsia"/>
              </w:rPr>
              <w:t>s</w:t>
            </w:r>
            <w:r w:rsidRPr="00FD0FF7">
              <w:t>.</w:t>
            </w:r>
            <w:bookmarkEnd w:id="6"/>
          </w:p>
        </w:tc>
      </w:tr>
    </w:tbl>
    <w:p w14:paraId="42EFC069" w14:textId="77777777" w:rsidR="00093D64" w:rsidRPr="002B534E" w:rsidRDefault="00093D64" w:rsidP="00093D64"/>
    <w:p w14:paraId="02B56247" w14:textId="77777777" w:rsidR="00093D64" w:rsidRPr="002B534E" w:rsidRDefault="00093D64" w:rsidP="00093D64"/>
    <w:tbl>
      <w:tblPr>
        <w:tblW w:w="9945" w:type="dxa"/>
        <w:tblLayout w:type="fixed"/>
        <w:tblLook w:val="0020" w:firstRow="1" w:lastRow="0" w:firstColumn="0" w:lastColumn="0" w:noHBand="0" w:noVBand="0"/>
      </w:tblPr>
      <w:tblGrid>
        <w:gridCol w:w="9945"/>
      </w:tblGrid>
      <w:tr w:rsidR="00093D64" w:rsidRPr="002B534E" w14:paraId="5A7C41C5" w14:textId="77777777" w:rsidTr="00892805">
        <w:tc>
          <w:tcPr>
            <w:tcW w:w="9945" w:type="dxa"/>
          </w:tcPr>
          <w:p w14:paraId="0387E103" w14:textId="77777777" w:rsidR="00093D64" w:rsidRPr="002B534E" w:rsidRDefault="00093D64" w:rsidP="00627A63">
            <w:pPr>
              <w:pStyle w:val="Headingb"/>
            </w:pPr>
            <w:bookmarkStart w:id="7" w:name="ikeye"/>
            <w:r w:rsidRPr="002B534E">
              <w:t>Keywords</w:t>
            </w:r>
          </w:p>
          <w:p w14:paraId="0ECFF1CF" w14:textId="77777777" w:rsidR="00093D64" w:rsidRPr="002B534E" w:rsidRDefault="00093D64" w:rsidP="00627A63">
            <w:pPr>
              <w:rPr>
                <w:bCs/>
              </w:rPr>
            </w:pPr>
            <w:r w:rsidRPr="00FD0FF7">
              <w:t>Hybrid approaches</w:t>
            </w:r>
            <w:r w:rsidRPr="00DF729A">
              <w:t>, key management</w:t>
            </w:r>
            <w:r>
              <w:t xml:space="preserve">, </w:t>
            </w:r>
            <w:r w:rsidRPr="00FD0FF7">
              <w:t>PQC (post</w:t>
            </w:r>
            <w:r w:rsidRPr="00DF729A">
              <w:t>-</w:t>
            </w:r>
            <w:r w:rsidRPr="00FD0FF7">
              <w:t>quantum cryptography), QKD (quantum key distribution), QKDN (QKD network), quantum-safe communications</w:t>
            </w:r>
            <w:r>
              <w:t>.</w:t>
            </w:r>
            <w:bookmarkEnd w:id="7"/>
          </w:p>
        </w:tc>
      </w:tr>
    </w:tbl>
    <w:p w14:paraId="6BF3FA45" w14:textId="77777777" w:rsidR="00093D64" w:rsidRDefault="00093D64" w:rsidP="00093D64">
      <w:pPr>
        <w:pStyle w:val="Headingb"/>
      </w:pPr>
    </w:p>
    <w:p w14:paraId="09D5072E" w14:textId="77777777" w:rsidR="00093D64" w:rsidRPr="0076675B" w:rsidRDefault="00093D64" w:rsidP="00093D64">
      <w:pPr>
        <w:pStyle w:val="Headingb"/>
        <w:rPr>
          <w:bCs/>
          <w:sz w:val="22"/>
          <w:lang w:val="en-US"/>
        </w:rPr>
      </w:pPr>
      <w:r w:rsidRPr="0076675B">
        <w:t>Note</w:t>
      </w:r>
      <w:r w:rsidRPr="0016115F">
        <w:rPr>
          <w:b w:val="0"/>
          <w:bCs/>
          <w:sz w:val="22"/>
          <w:lang w:val="en-US"/>
        </w:rPr>
        <w:t xml:space="preserve"> </w:t>
      </w:r>
    </w:p>
    <w:p w14:paraId="4C812895" w14:textId="77777777" w:rsidR="00093D64" w:rsidRDefault="00093D64" w:rsidP="00093D64">
      <w:r w:rsidRPr="00075625">
        <w:rPr>
          <w:sz w:val="22"/>
          <w:lang w:val="en-US"/>
        </w:rPr>
        <w:t>This is an informative ITU-T publication. Mandatory provisions, such as those found in ITU-T Recommendations, are outside the scope of this publication. This publication should only be referenced bibliographically in ITU-T Recommendations</w:t>
      </w:r>
      <w:r>
        <w:rPr>
          <w:sz w:val="22"/>
          <w:lang w:val="en-US"/>
        </w:rPr>
        <w:t>.</w:t>
      </w:r>
    </w:p>
    <w:p w14:paraId="11FEB0CD" w14:textId="77777777" w:rsidR="00093D64" w:rsidRDefault="00093D64" w:rsidP="00093D64"/>
    <w:tbl>
      <w:tblPr>
        <w:tblW w:w="5000" w:type="pct"/>
        <w:jc w:val="center"/>
        <w:tblCellMar>
          <w:left w:w="57" w:type="dxa"/>
          <w:right w:w="57" w:type="dxa"/>
        </w:tblCellMar>
        <w:tblLook w:val="0000" w:firstRow="0" w:lastRow="0" w:firstColumn="0" w:lastColumn="0" w:noHBand="0" w:noVBand="0"/>
      </w:tblPr>
      <w:tblGrid>
        <w:gridCol w:w="1571"/>
        <w:gridCol w:w="4268"/>
        <w:gridCol w:w="3800"/>
      </w:tblGrid>
      <w:tr w:rsidR="00093D64" w:rsidRPr="002352BF" w14:paraId="5138EF3C" w14:textId="77777777" w:rsidTr="00627A63">
        <w:trPr>
          <w:cantSplit/>
          <w:trHeight w:val="204"/>
          <w:jc w:val="center"/>
        </w:trPr>
        <w:tc>
          <w:tcPr>
            <w:tcW w:w="815" w:type="pct"/>
          </w:tcPr>
          <w:p w14:paraId="36CC830E" w14:textId="77777777" w:rsidR="00093D64" w:rsidRPr="002352BF" w:rsidRDefault="00093D64" w:rsidP="00627A63">
            <w:pPr>
              <w:rPr>
                <w:b/>
                <w:bCs/>
                <w:sz w:val="22"/>
                <w:szCs w:val="22"/>
              </w:rPr>
            </w:pPr>
          </w:p>
        </w:tc>
        <w:tc>
          <w:tcPr>
            <w:tcW w:w="2214" w:type="pct"/>
          </w:tcPr>
          <w:p w14:paraId="5ECC82E1" w14:textId="77777777" w:rsidR="00093D64" w:rsidRPr="002352BF" w:rsidRDefault="00093D64" w:rsidP="00627A63">
            <w:pPr>
              <w:jc w:val="left"/>
              <w:rPr>
                <w:sz w:val="22"/>
                <w:szCs w:val="22"/>
              </w:rPr>
            </w:pPr>
          </w:p>
        </w:tc>
        <w:tc>
          <w:tcPr>
            <w:tcW w:w="1971" w:type="pct"/>
          </w:tcPr>
          <w:p w14:paraId="66C5E6ED" w14:textId="77777777" w:rsidR="00093D64" w:rsidRPr="002352BF" w:rsidRDefault="00093D64" w:rsidP="00627A63">
            <w:pPr>
              <w:tabs>
                <w:tab w:val="clear" w:pos="794"/>
                <w:tab w:val="clear" w:pos="1191"/>
                <w:tab w:val="left" w:pos="911"/>
              </w:tabs>
              <w:jc w:val="left"/>
              <w:rPr>
                <w:sz w:val="22"/>
                <w:szCs w:val="22"/>
              </w:rPr>
            </w:pPr>
          </w:p>
        </w:tc>
      </w:tr>
    </w:tbl>
    <w:p w14:paraId="103EA22C" w14:textId="77777777" w:rsidR="00093D64" w:rsidRDefault="00093D64" w:rsidP="00093D64">
      <w:pPr>
        <w:jc w:val="center"/>
        <w:rPr>
          <w:sz w:val="22"/>
        </w:rPr>
      </w:pPr>
    </w:p>
    <w:p w14:paraId="4DE02F80" w14:textId="77777777" w:rsidR="00093D64" w:rsidRDefault="00093D64" w:rsidP="00093D64">
      <w:pPr>
        <w:jc w:val="center"/>
        <w:rPr>
          <w:sz w:val="22"/>
        </w:rPr>
      </w:pPr>
    </w:p>
    <w:p w14:paraId="2C8B2036" w14:textId="77777777" w:rsidR="00093D64" w:rsidRDefault="00093D64" w:rsidP="00093D64">
      <w:pPr>
        <w:jc w:val="center"/>
        <w:rPr>
          <w:sz w:val="22"/>
        </w:rPr>
      </w:pPr>
    </w:p>
    <w:p w14:paraId="705F81DE" w14:textId="77777777" w:rsidR="00093D64" w:rsidRDefault="00093D64" w:rsidP="00093D64">
      <w:pPr>
        <w:jc w:val="center"/>
        <w:rPr>
          <w:sz w:val="22"/>
        </w:rPr>
      </w:pPr>
    </w:p>
    <w:p w14:paraId="00A92E6F" w14:textId="77777777" w:rsidR="00804351" w:rsidRDefault="00804351" w:rsidP="00093D64">
      <w:pPr>
        <w:jc w:val="center"/>
        <w:rPr>
          <w:sz w:val="22"/>
        </w:rPr>
      </w:pPr>
    </w:p>
    <w:p w14:paraId="0A7968F7" w14:textId="77777777" w:rsidR="00804351" w:rsidRDefault="00804351" w:rsidP="00093D64">
      <w:pPr>
        <w:jc w:val="center"/>
        <w:rPr>
          <w:sz w:val="22"/>
        </w:rPr>
      </w:pPr>
    </w:p>
    <w:p w14:paraId="4EC538CF" w14:textId="77777777" w:rsidR="00804351" w:rsidRDefault="00804351" w:rsidP="00093D64">
      <w:pPr>
        <w:jc w:val="center"/>
        <w:rPr>
          <w:sz w:val="22"/>
        </w:rPr>
      </w:pPr>
    </w:p>
    <w:p w14:paraId="36666208" w14:textId="77777777" w:rsidR="00804351" w:rsidRDefault="00804351" w:rsidP="00093D64">
      <w:pPr>
        <w:jc w:val="center"/>
        <w:rPr>
          <w:sz w:val="22"/>
        </w:rPr>
      </w:pPr>
    </w:p>
    <w:p w14:paraId="1B062214" w14:textId="77777777" w:rsidR="00093D64" w:rsidRDefault="00093D64" w:rsidP="00093D64">
      <w:pPr>
        <w:jc w:val="center"/>
        <w:rPr>
          <w:sz w:val="22"/>
        </w:rPr>
      </w:pPr>
    </w:p>
    <w:p w14:paraId="555619A1" w14:textId="77777777" w:rsidR="00093D64" w:rsidRDefault="00093D64" w:rsidP="00093D64">
      <w:pPr>
        <w:jc w:val="center"/>
        <w:rPr>
          <w:sz w:val="22"/>
        </w:rPr>
      </w:pPr>
    </w:p>
    <w:p w14:paraId="63221073" w14:textId="77777777" w:rsidR="00093D64" w:rsidRDefault="00093D64" w:rsidP="00093D64">
      <w:pPr>
        <w:jc w:val="center"/>
        <w:rPr>
          <w:sz w:val="22"/>
        </w:rPr>
      </w:pPr>
    </w:p>
    <w:p w14:paraId="2CDDF940" w14:textId="77777777" w:rsidR="00093D64" w:rsidRDefault="00093D64" w:rsidP="00093D64">
      <w:pPr>
        <w:jc w:val="center"/>
        <w:rPr>
          <w:sz w:val="22"/>
        </w:rPr>
      </w:pPr>
    </w:p>
    <w:p w14:paraId="5AAFCE30" w14:textId="77777777" w:rsidR="00093D64" w:rsidRDefault="00093D64" w:rsidP="00093D64">
      <w:pPr>
        <w:jc w:val="center"/>
        <w:rPr>
          <w:sz w:val="22"/>
        </w:rPr>
      </w:pPr>
    </w:p>
    <w:p w14:paraId="2585DB49" w14:textId="77777777" w:rsidR="00093D64" w:rsidRDefault="00093D64" w:rsidP="00093D64">
      <w:pPr>
        <w:jc w:val="center"/>
        <w:rPr>
          <w:sz w:val="22"/>
        </w:rPr>
      </w:pPr>
    </w:p>
    <w:p w14:paraId="1B3A3CD0" w14:textId="77777777" w:rsidR="00093D64" w:rsidRDefault="00093D64" w:rsidP="00093D64">
      <w:pPr>
        <w:jc w:val="center"/>
        <w:rPr>
          <w:sz w:val="22"/>
        </w:rPr>
      </w:pPr>
      <w:r>
        <w:rPr>
          <w:sz w:val="22"/>
        </w:rPr>
        <w:sym w:font="Symbol" w:char="F0E3"/>
      </w:r>
      <w:r>
        <w:rPr>
          <w:sz w:val="22"/>
        </w:rPr>
        <w:t> ITU </w:t>
      </w:r>
      <w:bookmarkStart w:id="8" w:name="iiannee"/>
      <w:bookmarkEnd w:id="8"/>
      <w:r>
        <w:rPr>
          <w:sz w:val="22"/>
        </w:rPr>
        <w:t>2026</w:t>
      </w:r>
    </w:p>
    <w:p w14:paraId="243BC15E" w14:textId="77777777" w:rsidR="00093D64" w:rsidRDefault="00093D64" w:rsidP="00093D64">
      <w:pPr>
        <w:rPr>
          <w:sz w:val="22"/>
        </w:rPr>
      </w:pPr>
      <w:r>
        <w:rPr>
          <w:sz w:val="22"/>
        </w:rPr>
        <w:t>All rights reserved. No part of this publication may be reproduced, by any means whatsoever, without the prior written permission of ITU.</w:t>
      </w:r>
    </w:p>
    <w:p w14:paraId="237609C5" w14:textId="77777777" w:rsidR="00093D64" w:rsidRPr="002B534E" w:rsidRDefault="00093D64" w:rsidP="00093D64"/>
    <w:p w14:paraId="02617D26" w14:textId="77777777" w:rsidR="00093D64" w:rsidRPr="002B534E" w:rsidRDefault="00093D64" w:rsidP="00093D64">
      <w:pPr>
        <w:jc w:val="center"/>
        <w:rPr>
          <w:b/>
        </w:rPr>
      </w:pPr>
      <w:r w:rsidRPr="002B534E">
        <w:rPr>
          <w:b/>
        </w:rPr>
        <w:br w:type="page"/>
      </w:r>
      <w:r w:rsidRPr="002B534E">
        <w:rPr>
          <w:b/>
        </w:rPr>
        <w:lastRenderedPageBreak/>
        <w:t>Table of Contents</w:t>
      </w:r>
    </w:p>
    <w:p w14:paraId="4212E55B" w14:textId="2FFD0BDC" w:rsidR="00892C3C" w:rsidRDefault="00892C3C" w:rsidP="00892C3C">
      <w:pPr>
        <w:pStyle w:val="toc0"/>
        <w:ind w:right="992"/>
        <w:rPr>
          <w:noProof/>
        </w:rPr>
      </w:pPr>
      <w:r>
        <w:tab/>
        <w:t>Page</w:t>
      </w:r>
    </w:p>
    <w:p w14:paraId="69F5A3DB" w14:textId="19A84362"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Yu Mincho"/>
          <w:noProof/>
          <w:lang w:val="en-US" w:eastAsia="zh-CN"/>
        </w:rPr>
        <w:t>1</w:t>
      </w:r>
      <w:r>
        <w:rPr>
          <w:rFonts w:asciiTheme="minorHAnsi" w:eastAsiaTheme="minorEastAsia" w:hAnsiTheme="minorHAnsi" w:cstheme="minorBidi"/>
          <w:noProof/>
          <w:kern w:val="2"/>
          <w:szCs w:val="24"/>
          <w:lang w:eastAsia="en-GB"/>
          <w14:ligatures w14:val="standardContextual"/>
        </w:rPr>
        <w:tab/>
      </w:r>
      <w:r w:rsidRPr="00892C3C">
        <w:rPr>
          <w:rFonts w:eastAsia="Yu Mincho"/>
          <w:noProof/>
          <w:lang w:val="en-US" w:eastAsia="zh-CN"/>
        </w:rPr>
        <w:t>Scope</w:t>
      </w:r>
      <w:r>
        <w:rPr>
          <w:rFonts w:eastAsia="Yu Mincho"/>
          <w:noProof/>
          <w:lang w:val="en-US" w:eastAsia="zh-CN"/>
        </w:rPr>
        <w:tab/>
      </w:r>
      <w:r>
        <w:rPr>
          <w:rFonts w:eastAsia="Yu Mincho"/>
          <w:noProof/>
          <w:lang w:val="en-US" w:eastAsia="zh-CN"/>
        </w:rPr>
        <w:tab/>
      </w:r>
      <w:r w:rsidRPr="00892C3C">
        <w:rPr>
          <w:noProof/>
        </w:rPr>
        <w:t>1</w:t>
      </w:r>
    </w:p>
    <w:p w14:paraId="0F9BF38F" w14:textId="10F90BF2"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Yu Mincho"/>
          <w:noProof/>
          <w:lang w:val="en-US" w:eastAsia="zh-CN"/>
        </w:rPr>
        <w:t>2</w:t>
      </w:r>
      <w:r>
        <w:rPr>
          <w:rFonts w:asciiTheme="minorHAnsi" w:eastAsiaTheme="minorEastAsia" w:hAnsiTheme="minorHAnsi" w:cstheme="minorBidi"/>
          <w:noProof/>
          <w:kern w:val="2"/>
          <w:szCs w:val="24"/>
          <w:lang w:eastAsia="en-GB"/>
          <w14:ligatures w14:val="standardContextual"/>
        </w:rPr>
        <w:tab/>
      </w:r>
      <w:r w:rsidRPr="00892C3C">
        <w:rPr>
          <w:rFonts w:eastAsia="Yu Mincho"/>
          <w:noProof/>
          <w:lang w:val="en-US" w:eastAsia="zh-CN"/>
        </w:rPr>
        <w:t>References</w:t>
      </w:r>
      <w:r>
        <w:rPr>
          <w:rFonts w:eastAsia="Yu Mincho"/>
          <w:noProof/>
          <w:lang w:val="en-US" w:eastAsia="zh-CN"/>
        </w:rPr>
        <w:tab/>
      </w:r>
      <w:r>
        <w:rPr>
          <w:rFonts w:eastAsia="Yu Mincho"/>
          <w:noProof/>
          <w:lang w:val="en-US" w:eastAsia="zh-CN"/>
        </w:rPr>
        <w:tab/>
      </w:r>
      <w:r w:rsidRPr="00892C3C">
        <w:rPr>
          <w:noProof/>
        </w:rPr>
        <w:t>1</w:t>
      </w:r>
    </w:p>
    <w:p w14:paraId="6CDB771C" w14:textId="210FCA99"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Yu Mincho"/>
          <w:noProof/>
          <w:lang w:val="en-US" w:eastAsia="zh-CN"/>
        </w:rPr>
        <w:t>3</w:t>
      </w:r>
      <w:r>
        <w:rPr>
          <w:rFonts w:asciiTheme="minorHAnsi" w:eastAsiaTheme="minorEastAsia" w:hAnsiTheme="minorHAnsi" w:cstheme="minorBidi"/>
          <w:noProof/>
          <w:kern w:val="2"/>
          <w:szCs w:val="24"/>
          <w:lang w:eastAsia="en-GB"/>
          <w14:ligatures w14:val="standardContextual"/>
        </w:rPr>
        <w:tab/>
      </w:r>
      <w:r w:rsidRPr="00892C3C">
        <w:rPr>
          <w:rFonts w:eastAsia="Yu Mincho"/>
          <w:noProof/>
          <w:lang w:val="en-US" w:eastAsia="zh-CN"/>
        </w:rPr>
        <w:t>Definitions</w:t>
      </w:r>
      <w:r>
        <w:rPr>
          <w:rFonts w:eastAsia="Yu Mincho"/>
          <w:noProof/>
          <w:lang w:val="en-US" w:eastAsia="zh-CN"/>
        </w:rPr>
        <w:tab/>
      </w:r>
      <w:r>
        <w:rPr>
          <w:rFonts w:eastAsia="Yu Mincho"/>
          <w:noProof/>
          <w:lang w:val="en-US" w:eastAsia="zh-CN"/>
        </w:rPr>
        <w:tab/>
      </w:r>
      <w:r w:rsidRPr="00892C3C">
        <w:rPr>
          <w:noProof/>
        </w:rPr>
        <w:t>1</w:t>
      </w:r>
    </w:p>
    <w:p w14:paraId="3A7555EC" w14:textId="4481087B"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bCs/>
          <w:noProof/>
        </w:rPr>
        <w:t>3.1</w:t>
      </w:r>
      <w:r>
        <w:rPr>
          <w:rFonts w:asciiTheme="minorHAnsi" w:eastAsiaTheme="minorEastAsia" w:hAnsiTheme="minorHAnsi" w:cstheme="minorBidi"/>
          <w:noProof/>
          <w:kern w:val="2"/>
          <w:szCs w:val="24"/>
          <w:lang w:eastAsia="en-GB"/>
          <w14:ligatures w14:val="standardContextual"/>
        </w:rPr>
        <w:tab/>
      </w:r>
      <w:r>
        <w:rPr>
          <w:noProof/>
        </w:rPr>
        <w:t xml:space="preserve">Terms defined </w:t>
      </w:r>
      <w:r w:rsidRPr="00892C3C">
        <w:rPr>
          <w:noProof/>
        </w:rPr>
        <w:t>elsewhere</w:t>
      </w:r>
      <w:r>
        <w:rPr>
          <w:noProof/>
        </w:rPr>
        <w:tab/>
      </w:r>
      <w:r>
        <w:rPr>
          <w:noProof/>
        </w:rPr>
        <w:tab/>
      </w:r>
      <w:r w:rsidRPr="00892C3C">
        <w:rPr>
          <w:noProof/>
        </w:rPr>
        <w:t>1</w:t>
      </w:r>
    </w:p>
    <w:p w14:paraId="426E162D" w14:textId="5F581507"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bCs/>
          <w:noProof/>
        </w:rPr>
        <w:t>3.2</w:t>
      </w:r>
      <w:r>
        <w:rPr>
          <w:rFonts w:asciiTheme="minorHAnsi" w:eastAsiaTheme="minorEastAsia" w:hAnsiTheme="minorHAnsi" w:cstheme="minorBidi"/>
          <w:noProof/>
          <w:kern w:val="2"/>
          <w:szCs w:val="24"/>
          <w:lang w:eastAsia="en-GB"/>
          <w14:ligatures w14:val="standardContextual"/>
        </w:rPr>
        <w:tab/>
      </w:r>
      <w:r>
        <w:rPr>
          <w:noProof/>
        </w:rPr>
        <w:t xml:space="preserve">Terms defined in this Technical </w:t>
      </w:r>
      <w:r w:rsidRPr="00892C3C">
        <w:rPr>
          <w:noProof/>
        </w:rPr>
        <w:t>Report</w:t>
      </w:r>
      <w:r>
        <w:rPr>
          <w:noProof/>
        </w:rPr>
        <w:tab/>
      </w:r>
      <w:r>
        <w:rPr>
          <w:noProof/>
        </w:rPr>
        <w:tab/>
      </w:r>
      <w:r w:rsidRPr="00892C3C">
        <w:rPr>
          <w:noProof/>
        </w:rPr>
        <w:t>2</w:t>
      </w:r>
    </w:p>
    <w:p w14:paraId="14559537" w14:textId="1D97BACA"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Yu Mincho"/>
          <w:noProof/>
          <w:lang w:val="en-US" w:eastAsia="zh-CN"/>
        </w:rPr>
        <w:t>4</w:t>
      </w:r>
      <w:r>
        <w:rPr>
          <w:rFonts w:asciiTheme="minorHAnsi" w:eastAsiaTheme="minorEastAsia" w:hAnsiTheme="minorHAnsi" w:cstheme="minorBidi"/>
          <w:noProof/>
          <w:kern w:val="2"/>
          <w:szCs w:val="24"/>
          <w:lang w:eastAsia="en-GB"/>
          <w14:ligatures w14:val="standardContextual"/>
        </w:rPr>
        <w:tab/>
      </w:r>
      <w:r w:rsidRPr="0073202B">
        <w:rPr>
          <w:rFonts w:eastAsia="Yu Mincho"/>
          <w:noProof/>
          <w:lang w:val="en-US" w:eastAsia="zh-CN"/>
        </w:rPr>
        <w:t xml:space="preserve">Abbreviations and </w:t>
      </w:r>
      <w:r w:rsidRPr="00892C3C">
        <w:rPr>
          <w:rFonts w:eastAsia="Yu Mincho"/>
          <w:noProof/>
          <w:lang w:val="en-US" w:eastAsia="zh-CN"/>
        </w:rPr>
        <w:t>acronyms</w:t>
      </w:r>
      <w:r>
        <w:rPr>
          <w:rFonts w:eastAsia="Yu Mincho"/>
          <w:noProof/>
          <w:lang w:val="en-US" w:eastAsia="zh-CN"/>
        </w:rPr>
        <w:tab/>
      </w:r>
      <w:r>
        <w:rPr>
          <w:rFonts w:eastAsia="Yu Mincho"/>
          <w:noProof/>
          <w:lang w:val="en-US" w:eastAsia="zh-CN"/>
        </w:rPr>
        <w:tab/>
      </w:r>
      <w:r w:rsidRPr="00892C3C">
        <w:rPr>
          <w:noProof/>
        </w:rPr>
        <w:t>2</w:t>
      </w:r>
    </w:p>
    <w:p w14:paraId="324A22CB" w14:textId="4FA8D656"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Yu Mincho"/>
          <w:noProof/>
          <w:lang w:val="en-US" w:eastAsia="zh-CN"/>
        </w:rPr>
        <w:t>5</w:t>
      </w:r>
      <w:r>
        <w:rPr>
          <w:rFonts w:asciiTheme="minorHAnsi" w:eastAsiaTheme="minorEastAsia" w:hAnsiTheme="minorHAnsi" w:cstheme="minorBidi"/>
          <w:noProof/>
          <w:kern w:val="2"/>
          <w:szCs w:val="24"/>
          <w:lang w:eastAsia="en-GB"/>
          <w14:ligatures w14:val="standardContextual"/>
        </w:rPr>
        <w:tab/>
      </w:r>
      <w:r w:rsidRPr="00892C3C">
        <w:rPr>
          <w:rFonts w:eastAsia="Yu Mincho"/>
          <w:noProof/>
          <w:lang w:val="en-US" w:eastAsia="zh-CN"/>
        </w:rPr>
        <w:t>Introduction</w:t>
      </w:r>
      <w:r>
        <w:rPr>
          <w:rFonts w:eastAsia="Yu Mincho"/>
          <w:noProof/>
          <w:lang w:val="en-US" w:eastAsia="zh-CN"/>
        </w:rPr>
        <w:tab/>
      </w:r>
      <w:r>
        <w:rPr>
          <w:rFonts w:eastAsia="Yu Mincho"/>
          <w:noProof/>
          <w:lang w:val="en-US" w:eastAsia="zh-CN"/>
        </w:rPr>
        <w:tab/>
      </w:r>
      <w:r w:rsidRPr="00892C3C">
        <w:rPr>
          <w:noProof/>
        </w:rPr>
        <w:t>2</w:t>
      </w:r>
    </w:p>
    <w:p w14:paraId="612587FB" w14:textId="45C15F62"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Arial Unicode MS"/>
          <w:noProof/>
          <w:lang w:val="en-US"/>
        </w:rPr>
        <w:t>6</w:t>
      </w:r>
      <w:r>
        <w:rPr>
          <w:rFonts w:asciiTheme="minorHAnsi" w:eastAsiaTheme="minorEastAsia" w:hAnsiTheme="minorHAnsi" w:cstheme="minorBidi"/>
          <w:noProof/>
          <w:kern w:val="2"/>
          <w:szCs w:val="24"/>
          <w:lang w:eastAsia="en-GB"/>
          <w14:ligatures w14:val="standardContextual"/>
        </w:rPr>
        <w:tab/>
      </w:r>
      <w:r w:rsidRPr="0073202B">
        <w:rPr>
          <w:rFonts w:eastAsia="Arial Unicode MS"/>
          <w:noProof/>
        </w:rPr>
        <w:t xml:space="preserve">Key management of hybrid approaches for quantum-safe communications and service </w:t>
      </w:r>
      <w:r w:rsidRPr="00892C3C">
        <w:rPr>
          <w:rFonts w:eastAsia="Arial Unicode MS"/>
          <w:noProof/>
        </w:rPr>
        <w:t>scenarios</w:t>
      </w:r>
      <w:r>
        <w:rPr>
          <w:rFonts w:eastAsia="Arial Unicode MS"/>
          <w:noProof/>
        </w:rPr>
        <w:tab/>
      </w:r>
      <w:r>
        <w:rPr>
          <w:rFonts w:eastAsia="Arial Unicode MS"/>
          <w:noProof/>
        </w:rPr>
        <w:tab/>
      </w:r>
      <w:r w:rsidRPr="00892C3C">
        <w:rPr>
          <w:noProof/>
        </w:rPr>
        <w:t>3</w:t>
      </w:r>
    </w:p>
    <w:p w14:paraId="77DE97E6" w14:textId="60D50178"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bCs/>
          <w:noProof/>
        </w:rPr>
        <w:t>6.1</w:t>
      </w:r>
      <w:r>
        <w:rPr>
          <w:rFonts w:asciiTheme="minorHAnsi" w:eastAsiaTheme="minorEastAsia" w:hAnsiTheme="minorHAnsi" w:cstheme="minorBidi"/>
          <w:noProof/>
          <w:kern w:val="2"/>
          <w:szCs w:val="24"/>
          <w:lang w:eastAsia="en-GB"/>
          <w14:ligatures w14:val="standardContextual"/>
        </w:rPr>
        <w:tab/>
      </w:r>
      <w:r w:rsidRPr="0073202B">
        <w:rPr>
          <w:rFonts w:eastAsia="SimSun"/>
          <w:noProof/>
        </w:rPr>
        <w:t xml:space="preserve">Review of documents on key management in QKDN in ITU-T SG </w:t>
      </w:r>
      <w:r w:rsidRPr="00892C3C">
        <w:rPr>
          <w:rFonts w:eastAsia="SimSun"/>
          <w:noProof/>
        </w:rPr>
        <w:t>17</w:t>
      </w:r>
      <w:r>
        <w:rPr>
          <w:rFonts w:eastAsia="SimSun"/>
          <w:noProof/>
        </w:rPr>
        <w:tab/>
      </w:r>
      <w:r>
        <w:rPr>
          <w:rFonts w:eastAsia="SimSun"/>
          <w:noProof/>
        </w:rPr>
        <w:tab/>
      </w:r>
      <w:r w:rsidRPr="00892C3C">
        <w:rPr>
          <w:noProof/>
        </w:rPr>
        <w:t>3</w:t>
      </w:r>
    </w:p>
    <w:p w14:paraId="31764C17" w14:textId="3D4EEE15"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rFonts w:eastAsia="SimSun"/>
          <w:bCs/>
          <w:noProof/>
        </w:rPr>
        <w:t>6.2</w:t>
      </w:r>
      <w:r>
        <w:rPr>
          <w:rFonts w:asciiTheme="minorHAnsi" w:eastAsiaTheme="minorEastAsia" w:hAnsiTheme="minorHAnsi" w:cstheme="minorBidi"/>
          <w:noProof/>
          <w:kern w:val="2"/>
          <w:szCs w:val="24"/>
          <w:lang w:eastAsia="en-GB"/>
          <w14:ligatures w14:val="standardContextual"/>
        </w:rPr>
        <w:tab/>
      </w:r>
      <w:r w:rsidRPr="0073202B">
        <w:rPr>
          <w:rFonts w:eastAsia="SimSun"/>
          <w:noProof/>
        </w:rPr>
        <w:t xml:space="preserve">Concepts of key management of hybrid </w:t>
      </w:r>
      <w:r w:rsidRPr="00892C3C">
        <w:rPr>
          <w:rFonts w:eastAsia="SimSun"/>
          <w:noProof/>
        </w:rPr>
        <w:t>approaches</w:t>
      </w:r>
      <w:r>
        <w:rPr>
          <w:rFonts w:eastAsia="SimSun"/>
          <w:noProof/>
        </w:rPr>
        <w:tab/>
      </w:r>
      <w:r>
        <w:rPr>
          <w:rFonts w:eastAsia="SimSun"/>
          <w:noProof/>
        </w:rPr>
        <w:tab/>
      </w:r>
      <w:r w:rsidRPr="00892C3C">
        <w:rPr>
          <w:noProof/>
        </w:rPr>
        <w:t>5</w:t>
      </w:r>
    </w:p>
    <w:p w14:paraId="2251D9CF" w14:textId="0A55A7CD"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Pr>
          <w:noProof/>
        </w:rPr>
        <w:t>7</w:t>
      </w:r>
      <w:r>
        <w:rPr>
          <w:rFonts w:asciiTheme="minorHAnsi" w:eastAsiaTheme="minorEastAsia" w:hAnsiTheme="minorHAnsi" w:cstheme="minorBidi"/>
          <w:noProof/>
          <w:kern w:val="2"/>
          <w:szCs w:val="24"/>
          <w:lang w:eastAsia="en-GB"/>
          <w14:ligatures w14:val="standardContextual"/>
        </w:rPr>
        <w:tab/>
      </w:r>
      <w:r w:rsidRPr="0073202B">
        <w:rPr>
          <w:rFonts w:eastAsia="Arial Unicode MS"/>
          <w:noProof/>
        </w:rPr>
        <w:t xml:space="preserve">Overview of activities and use cases of key management of hybrid approaches for quantum-safe </w:t>
      </w:r>
      <w:r w:rsidRPr="00892C3C">
        <w:rPr>
          <w:rFonts w:eastAsia="Arial Unicode MS"/>
          <w:noProof/>
        </w:rPr>
        <w:t>communications</w:t>
      </w:r>
      <w:r>
        <w:rPr>
          <w:rFonts w:eastAsia="Arial Unicode MS"/>
          <w:noProof/>
        </w:rPr>
        <w:tab/>
      </w:r>
      <w:r>
        <w:rPr>
          <w:rFonts w:eastAsia="Arial Unicode MS"/>
          <w:noProof/>
        </w:rPr>
        <w:tab/>
      </w:r>
      <w:r w:rsidRPr="00892C3C">
        <w:rPr>
          <w:noProof/>
        </w:rPr>
        <w:t>6</w:t>
      </w:r>
    </w:p>
    <w:p w14:paraId="391DB0AB" w14:textId="3565DA2C"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bCs/>
          <w:noProof/>
        </w:rPr>
        <w:t>7.1</w:t>
      </w:r>
      <w:r>
        <w:rPr>
          <w:rFonts w:asciiTheme="minorHAnsi" w:eastAsiaTheme="minorEastAsia" w:hAnsiTheme="minorHAnsi" w:cstheme="minorBidi"/>
          <w:noProof/>
          <w:kern w:val="2"/>
          <w:szCs w:val="24"/>
          <w:lang w:eastAsia="en-GB"/>
          <w14:ligatures w14:val="standardContextual"/>
        </w:rPr>
        <w:tab/>
      </w:r>
      <w:r>
        <w:rPr>
          <w:noProof/>
        </w:rPr>
        <w:t xml:space="preserve">Combination of QKD and PQC to realize end to end quantum-safe </w:t>
      </w:r>
      <w:r w:rsidRPr="00892C3C">
        <w:rPr>
          <w:noProof/>
        </w:rPr>
        <w:t>communication</w:t>
      </w:r>
      <w:r>
        <w:rPr>
          <w:noProof/>
        </w:rPr>
        <w:tab/>
      </w:r>
      <w:r>
        <w:rPr>
          <w:noProof/>
        </w:rPr>
        <w:tab/>
      </w:r>
      <w:r w:rsidRPr="00892C3C">
        <w:rPr>
          <w:noProof/>
        </w:rPr>
        <w:t>6</w:t>
      </w:r>
    </w:p>
    <w:p w14:paraId="430F5B20" w14:textId="5BC96733"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bCs/>
          <w:noProof/>
        </w:rPr>
        <w:t>7.2</w:t>
      </w:r>
      <w:r>
        <w:rPr>
          <w:rFonts w:asciiTheme="minorHAnsi" w:eastAsiaTheme="minorEastAsia" w:hAnsiTheme="minorHAnsi" w:cstheme="minorBidi"/>
          <w:noProof/>
          <w:kern w:val="2"/>
          <w:szCs w:val="24"/>
          <w:lang w:eastAsia="en-GB"/>
          <w14:ligatures w14:val="standardContextual"/>
        </w:rPr>
        <w:tab/>
      </w:r>
      <w:r>
        <w:rPr>
          <w:noProof/>
        </w:rPr>
        <w:t xml:space="preserve">Combining multiple key exchange </w:t>
      </w:r>
      <w:r w:rsidRPr="00892C3C">
        <w:rPr>
          <w:noProof/>
        </w:rPr>
        <w:t>systems</w:t>
      </w:r>
      <w:r>
        <w:rPr>
          <w:noProof/>
        </w:rPr>
        <w:tab/>
      </w:r>
      <w:r>
        <w:rPr>
          <w:noProof/>
        </w:rPr>
        <w:tab/>
      </w:r>
      <w:r w:rsidRPr="00892C3C">
        <w:rPr>
          <w:noProof/>
        </w:rPr>
        <w:t>7</w:t>
      </w:r>
    </w:p>
    <w:p w14:paraId="3F27ADA5" w14:textId="7BF269AA"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bCs/>
          <w:noProof/>
        </w:rPr>
        <w:t>7.3</w:t>
      </w:r>
      <w:r>
        <w:rPr>
          <w:rFonts w:asciiTheme="minorHAnsi" w:eastAsiaTheme="minorEastAsia" w:hAnsiTheme="minorHAnsi" w:cstheme="minorBidi"/>
          <w:noProof/>
          <w:kern w:val="2"/>
          <w:szCs w:val="24"/>
          <w:lang w:eastAsia="en-GB"/>
          <w14:ligatures w14:val="standardContextual"/>
        </w:rPr>
        <w:tab/>
      </w:r>
      <w:r>
        <w:rPr>
          <w:noProof/>
        </w:rPr>
        <w:t xml:space="preserve">Mixing pre-shared </w:t>
      </w:r>
      <w:r w:rsidRPr="00892C3C">
        <w:rPr>
          <w:noProof/>
        </w:rPr>
        <w:t>keys</w:t>
      </w:r>
      <w:r>
        <w:rPr>
          <w:noProof/>
        </w:rPr>
        <w:tab/>
      </w:r>
      <w:r>
        <w:rPr>
          <w:noProof/>
        </w:rPr>
        <w:tab/>
      </w:r>
      <w:r w:rsidRPr="00892C3C">
        <w:rPr>
          <w:noProof/>
        </w:rPr>
        <w:t>8</w:t>
      </w:r>
    </w:p>
    <w:p w14:paraId="703D76AB" w14:textId="183C00EE"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Arial Unicode MS"/>
          <w:noProof/>
        </w:rPr>
        <w:t>8</w:t>
      </w:r>
      <w:r>
        <w:rPr>
          <w:rFonts w:asciiTheme="minorHAnsi" w:eastAsiaTheme="minorEastAsia" w:hAnsiTheme="minorHAnsi" w:cstheme="minorBidi"/>
          <w:noProof/>
          <w:kern w:val="2"/>
          <w:szCs w:val="24"/>
          <w:lang w:eastAsia="en-GB"/>
          <w14:ligatures w14:val="standardContextual"/>
        </w:rPr>
        <w:tab/>
      </w:r>
      <w:r w:rsidRPr="0073202B">
        <w:rPr>
          <w:rFonts w:eastAsia="Arial Unicode MS"/>
          <w:noProof/>
        </w:rPr>
        <w:t xml:space="preserve">Security considerations for QKD-PQC </w:t>
      </w:r>
      <w:r w:rsidRPr="00892C3C">
        <w:rPr>
          <w:rFonts w:eastAsia="Arial Unicode MS"/>
          <w:noProof/>
        </w:rPr>
        <w:t>integration</w:t>
      </w:r>
      <w:r>
        <w:rPr>
          <w:rFonts w:eastAsia="Arial Unicode MS"/>
          <w:noProof/>
        </w:rPr>
        <w:tab/>
      </w:r>
      <w:r>
        <w:rPr>
          <w:rFonts w:eastAsia="Arial Unicode MS"/>
          <w:noProof/>
        </w:rPr>
        <w:tab/>
      </w:r>
      <w:r w:rsidRPr="00892C3C">
        <w:rPr>
          <w:noProof/>
        </w:rPr>
        <w:t>8</w:t>
      </w:r>
    </w:p>
    <w:p w14:paraId="00FE7543" w14:textId="4FEE988A"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rFonts w:eastAsia="Malgun Gothic"/>
          <w:bCs/>
          <w:noProof/>
          <w:lang w:val="en-US" w:eastAsia="ko-KR"/>
        </w:rPr>
        <w:t>8.1</w:t>
      </w:r>
      <w:r>
        <w:rPr>
          <w:rFonts w:asciiTheme="minorHAnsi" w:eastAsiaTheme="minorEastAsia" w:hAnsiTheme="minorHAnsi" w:cstheme="minorBidi"/>
          <w:noProof/>
          <w:kern w:val="2"/>
          <w:szCs w:val="24"/>
          <w:lang w:eastAsia="en-GB"/>
          <w14:ligatures w14:val="standardContextual"/>
        </w:rPr>
        <w:tab/>
      </w:r>
      <w:r w:rsidRPr="0073202B">
        <w:rPr>
          <w:rFonts w:eastAsia="SimSun"/>
          <w:noProof/>
        </w:rPr>
        <w:t xml:space="preserve">Preservation of security </w:t>
      </w:r>
      <w:r w:rsidRPr="00892C3C">
        <w:rPr>
          <w:rFonts w:eastAsia="SimSun"/>
          <w:noProof/>
        </w:rPr>
        <w:t>properties</w:t>
      </w:r>
      <w:r>
        <w:rPr>
          <w:rFonts w:eastAsia="SimSun"/>
          <w:noProof/>
        </w:rPr>
        <w:tab/>
      </w:r>
      <w:r>
        <w:rPr>
          <w:rFonts w:eastAsia="SimSun"/>
          <w:noProof/>
        </w:rPr>
        <w:tab/>
      </w:r>
      <w:r w:rsidRPr="00892C3C">
        <w:rPr>
          <w:noProof/>
        </w:rPr>
        <w:t>8</w:t>
      </w:r>
    </w:p>
    <w:p w14:paraId="3CE5379F" w14:textId="7A672F3C"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rFonts w:eastAsia="SimSun"/>
          <w:bCs/>
          <w:noProof/>
        </w:rPr>
        <w:t>8.2</w:t>
      </w:r>
      <w:r>
        <w:rPr>
          <w:rFonts w:asciiTheme="minorHAnsi" w:eastAsiaTheme="minorEastAsia" w:hAnsiTheme="minorHAnsi" w:cstheme="minorBidi"/>
          <w:noProof/>
          <w:kern w:val="2"/>
          <w:szCs w:val="24"/>
          <w:lang w:eastAsia="en-GB"/>
          <w14:ligatures w14:val="standardContextual"/>
        </w:rPr>
        <w:tab/>
      </w:r>
      <w:r w:rsidRPr="00892C3C">
        <w:rPr>
          <w:rFonts w:eastAsia="SimSun"/>
          <w:noProof/>
        </w:rPr>
        <w:t>Authentication</w:t>
      </w:r>
      <w:r>
        <w:rPr>
          <w:rFonts w:eastAsia="SimSun"/>
          <w:noProof/>
        </w:rPr>
        <w:tab/>
      </w:r>
      <w:r>
        <w:rPr>
          <w:rFonts w:eastAsia="SimSun"/>
          <w:noProof/>
        </w:rPr>
        <w:tab/>
      </w:r>
      <w:r w:rsidRPr="00892C3C">
        <w:rPr>
          <w:noProof/>
        </w:rPr>
        <w:t>8</w:t>
      </w:r>
    </w:p>
    <w:p w14:paraId="4093B604" w14:textId="4C6A09A3"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rFonts w:eastAsia="SimSun"/>
          <w:bCs/>
          <w:noProof/>
        </w:rPr>
        <w:t>8.3</w:t>
      </w:r>
      <w:r>
        <w:rPr>
          <w:rFonts w:asciiTheme="minorHAnsi" w:eastAsiaTheme="minorEastAsia" w:hAnsiTheme="minorHAnsi" w:cstheme="minorBidi"/>
          <w:noProof/>
          <w:kern w:val="2"/>
          <w:szCs w:val="24"/>
          <w:lang w:eastAsia="en-GB"/>
          <w14:ligatures w14:val="standardContextual"/>
        </w:rPr>
        <w:tab/>
      </w:r>
      <w:r w:rsidRPr="0073202B">
        <w:rPr>
          <w:rFonts w:eastAsia="SimSun"/>
          <w:noProof/>
        </w:rPr>
        <w:t xml:space="preserve">Protection of key forwarding and trusted </w:t>
      </w:r>
      <w:r w:rsidRPr="00892C3C">
        <w:rPr>
          <w:rFonts w:eastAsia="SimSun"/>
          <w:noProof/>
        </w:rPr>
        <w:t>nodes</w:t>
      </w:r>
      <w:r>
        <w:rPr>
          <w:rFonts w:eastAsia="SimSun"/>
          <w:noProof/>
        </w:rPr>
        <w:tab/>
      </w:r>
      <w:r>
        <w:rPr>
          <w:rFonts w:eastAsia="SimSun"/>
          <w:noProof/>
        </w:rPr>
        <w:tab/>
      </w:r>
      <w:r w:rsidRPr="00892C3C">
        <w:rPr>
          <w:noProof/>
        </w:rPr>
        <w:t>9</w:t>
      </w:r>
    </w:p>
    <w:p w14:paraId="7DBA81EE" w14:textId="758F56F6"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sidRPr="0073202B">
        <w:rPr>
          <w:rFonts w:eastAsia="SimSun"/>
          <w:bCs/>
          <w:noProof/>
        </w:rPr>
        <w:t>8.4</w:t>
      </w:r>
      <w:r>
        <w:rPr>
          <w:rFonts w:asciiTheme="minorHAnsi" w:eastAsiaTheme="minorEastAsia" w:hAnsiTheme="minorHAnsi" w:cstheme="minorBidi"/>
          <w:noProof/>
          <w:kern w:val="2"/>
          <w:szCs w:val="24"/>
          <w:lang w:eastAsia="en-GB"/>
          <w14:ligatures w14:val="standardContextual"/>
        </w:rPr>
        <w:tab/>
      </w:r>
      <w:r w:rsidRPr="0073202B">
        <w:rPr>
          <w:rFonts w:eastAsia="SimSun"/>
          <w:noProof/>
        </w:rPr>
        <w:t xml:space="preserve">Security aspects of hybrid </w:t>
      </w:r>
      <w:r w:rsidRPr="00892C3C">
        <w:rPr>
          <w:rFonts w:eastAsia="SimSun"/>
          <w:noProof/>
        </w:rPr>
        <w:t>architectures</w:t>
      </w:r>
      <w:r>
        <w:rPr>
          <w:rFonts w:eastAsia="SimSun"/>
          <w:noProof/>
        </w:rPr>
        <w:tab/>
      </w:r>
      <w:r>
        <w:rPr>
          <w:rFonts w:eastAsia="SimSun"/>
          <w:noProof/>
        </w:rPr>
        <w:tab/>
      </w:r>
      <w:r w:rsidRPr="00892C3C">
        <w:rPr>
          <w:noProof/>
        </w:rPr>
        <w:t>9</w:t>
      </w:r>
    </w:p>
    <w:p w14:paraId="7717766D" w14:textId="482F565A"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SimSun"/>
          <w:noProof/>
        </w:rPr>
        <w:t>9</w:t>
      </w:r>
      <w:r>
        <w:rPr>
          <w:rFonts w:asciiTheme="minorHAnsi" w:eastAsiaTheme="minorEastAsia" w:hAnsiTheme="minorHAnsi" w:cstheme="minorBidi"/>
          <w:noProof/>
          <w:kern w:val="2"/>
          <w:szCs w:val="24"/>
          <w:lang w:eastAsia="en-GB"/>
          <w14:ligatures w14:val="standardContextual"/>
        </w:rPr>
        <w:tab/>
      </w:r>
      <w:r w:rsidRPr="0073202B">
        <w:rPr>
          <w:rFonts w:eastAsia="SimSun"/>
          <w:noProof/>
        </w:rPr>
        <w:t xml:space="preserve">Coordination with other </w:t>
      </w:r>
      <w:r w:rsidRPr="00892C3C">
        <w:rPr>
          <w:rFonts w:eastAsia="SimSun"/>
          <w:noProof/>
        </w:rPr>
        <w:t>SDOs</w:t>
      </w:r>
      <w:r>
        <w:rPr>
          <w:rFonts w:eastAsia="SimSun"/>
          <w:noProof/>
        </w:rPr>
        <w:tab/>
      </w:r>
      <w:r>
        <w:rPr>
          <w:rFonts w:eastAsia="SimSun"/>
          <w:noProof/>
        </w:rPr>
        <w:tab/>
      </w:r>
      <w:r w:rsidRPr="00892C3C">
        <w:rPr>
          <w:noProof/>
        </w:rPr>
        <w:t>9</w:t>
      </w:r>
    </w:p>
    <w:p w14:paraId="5A273440" w14:textId="539B6810"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Arial Unicode MS"/>
          <w:noProof/>
        </w:rPr>
        <w:t>10</w:t>
      </w:r>
      <w:r>
        <w:rPr>
          <w:rFonts w:asciiTheme="minorHAnsi" w:eastAsiaTheme="minorEastAsia" w:hAnsiTheme="minorHAnsi" w:cstheme="minorBidi"/>
          <w:noProof/>
          <w:kern w:val="2"/>
          <w:szCs w:val="24"/>
          <w:lang w:eastAsia="en-GB"/>
          <w14:ligatures w14:val="standardContextual"/>
        </w:rPr>
        <w:tab/>
      </w:r>
      <w:r w:rsidRPr="0073202B">
        <w:rPr>
          <w:rFonts w:eastAsia="Arial Unicode MS"/>
          <w:noProof/>
        </w:rPr>
        <w:t xml:space="preserve">Role of </w:t>
      </w:r>
      <w:r w:rsidRPr="00892C3C">
        <w:rPr>
          <w:rFonts w:eastAsia="Arial Unicode MS"/>
          <w:noProof/>
        </w:rPr>
        <w:t>SG17</w:t>
      </w:r>
      <w:r>
        <w:rPr>
          <w:rFonts w:eastAsia="Arial Unicode MS"/>
          <w:noProof/>
        </w:rPr>
        <w:tab/>
      </w:r>
      <w:r>
        <w:rPr>
          <w:rFonts w:eastAsia="Arial Unicode MS"/>
          <w:noProof/>
        </w:rPr>
        <w:tab/>
      </w:r>
      <w:r w:rsidRPr="00892C3C">
        <w:rPr>
          <w:noProof/>
        </w:rPr>
        <w:t>9</w:t>
      </w:r>
    </w:p>
    <w:p w14:paraId="2D0C5072" w14:textId="43BE761A"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Malgun Gothic"/>
          <w:bCs/>
          <w:noProof/>
          <w:lang w:val="en-US" w:eastAsia="ko-KR"/>
        </w:rPr>
        <w:t>11</w:t>
      </w:r>
      <w:r>
        <w:rPr>
          <w:rFonts w:asciiTheme="minorHAnsi" w:eastAsiaTheme="minorEastAsia" w:hAnsiTheme="minorHAnsi" w:cstheme="minorBidi"/>
          <w:noProof/>
          <w:kern w:val="2"/>
          <w:szCs w:val="24"/>
          <w:lang w:eastAsia="en-GB"/>
          <w14:ligatures w14:val="standardContextual"/>
        </w:rPr>
        <w:tab/>
      </w:r>
      <w:r w:rsidRPr="00892C3C">
        <w:rPr>
          <w:rFonts w:eastAsia="Arial Unicode MS"/>
          <w:noProof/>
        </w:rPr>
        <w:t>Implications</w:t>
      </w:r>
      <w:r>
        <w:rPr>
          <w:rFonts w:eastAsia="Arial Unicode MS"/>
          <w:noProof/>
        </w:rPr>
        <w:tab/>
      </w:r>
      <w:r>
        <w:rPr>
          <w:rFonts w:eastAsia="Arial Unicode MS"/>
          <w:noProof/>
        </w:rPr>
        <w:tab/>
      </w:r>
      <w:r w:rsidRPr="00892C3C">
        <w:rPr>
          <w:noProof/>
        </w:rPr>
        <w:t>9</w:t>
      </w:r>
    </w:p>
    <w:p w14:paraId="4C76ED0C" w14:textId="138A68A6"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73202B">
        <w:rPr>
          <w:rFonts w:eastAsia="MS Mincho"/>
          <w:noProof/>
          <w:lang w:val="en-US" w:eastAsia="ja-JP"/>
        </w:rPr>
        <w:t>Annex A</w:t>
      </w:r>
      <w:r w:rsidRPr="0073202B">
        <w:rPr>
          <w:noProof/>
          <w:lang w:val="en-US"/>
        </w:rPr>
        <w:t xml:space="preserve"> </w:t>
      </w:r>
      <w:r>
        <w:rPr>
          <w:noProof/>
          <w:lang w:val="en-US"/>
        </w:rPr>
        <w:t>–</w:t>
      </w:r>
      <w:r w:rsidRPr="0073202B">
        <w:rPr>
          <w:noProof/>
          <w:lang w:val="en-US"/>
        </w:rPr>
        <w:t xml:space="preserve"> PQC </w:t>
      </w:r>
      <w:r w:rsidRPr="00892C3C">
        <w:rPr>
          <w:noProof/>
          <w:lang w:val="en-US"/>
        </w:rPr>
        <w:t>authentication</w:t>
      </w:r>
      <w:r>
        <w:rPr>
          <w:noProof/>
          <w:lang w:val="en-US"/>
        </w:rPr>
        <w:tab/>
      </w:r>
      <w:r>
        <w:rPr>
          <w:noProof/>
          <w:lang w:val="en-US"/>
        </w:rPr>
        <w:tab/>
      </w:r>
      <w:r w:rsidRPr="00892C3C">
        <w:rPr>
          <w:noProof/>
        </w:rPr>
        <w:t>10</w:t>
      </w:r>
    </w:p>
    <w:p w14:paraId="0970B1B7" w14:textId="09F957E6"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Pr>
          <w:noProof/>
        </w:rPr>
        <w:t>A.1</w:t>
      </w:r>
      <w:r>
        <w:rPr>
          <w:rFonts w:asciiTheme="minorHAnsi" w:eastAsiaTheme="minorEastAsia" w:hAnsiTheme="minorHAnsi" w:cstheme="minorBidi"/>
          <w:noProof/>
          <w:kern w:val="2"/>
          <w:szCs w:val="24"/>
          <w:lang w:eastAsia="en-GB"/>
          <w14:ligatures w14:val="standardContextual"/>
        </w:rPr>
        <w:tab/>
      </w:r>
      <w:r>
        <w:rPr>
          <w:noProof/>
        </w:rPr>
        <w:t xml:space="preserve">Overview of PQC </w:t>
      </w:r>
      <w:r w:rsidRPr="00892C3C">
        <w:rPr>
          <w:noProof/>
        </w:rPr>
        <w:t>authentication</w:t>
      </w:r>
      <w:r>
        <w:rPr>
          <w:noProof/>
        </w:rPr>
        <w:tab/>
      </w:r>
      <w:r>
        <w:rPr>
          <w:noProof/>
        </w:rPr>
        <w:tab/>
      </w:r>
      <w:r w:rsidRPr="00892C3C">
        <w:rPr>
          <w:noProof/>
        </w:rPr>
        <w:t>10</w:t>
      </w:r>
    </w:p>
    <w:p w14:paraId="435E707A" w14:textId="11FD73C0"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Pr>
          <w:noProof/>
        </w:rPr>
        <w:t>A.2</w:t>
      </w:r>
      <w:r>
        <w:rPr>
          <w:rFonts w:asciiTheme="minorHAnsi" w:eastAsiaTheme="minorEastAsia" w:hAnsiTheme="minorHAnsi" w:cstheme="minorBidi"/>
          <w:noProof/>
          <w:kern w:val="2"/>
          <w:szCs w:val="24"/>
          <w:lang w:eastAsia="en-GB"/>
          <w14:ligatures w14:val="standardContextual"/>
        </w:rPr>
        <w:tab/>
      </w:r>
      <w:r>
        <w:rPr>
          <w:noProof/>
        </w:rPr>
        <w:t xml:space="preserve">Motivation for PQC </w:t>
      </w:r>
      <w:r w:rsidRPr="00892C3C">
        <w:rPr>
          <w:noProof/>
        </w:rPr>
        <w:t>authentication</w:t>
      </w:r>
      <w:r>
        <w:rPr>
          <w:noProof/>
        </w:rPr>
        <w:tab/>
      </w:r>
      <w:r>
        <w:rPr>
          <w:noProof/>
        </w:rPr>
        <w:tab/>
      </w:r>
      <w:r w:rsidRPr="00892C3C">
        <w:rPr>
          <w:noProof/>
        </w:rPr>
        <w:t>10</w:t>
      </w:r>
    </w:p>
    <w:p w14:paraId="190DDE9A" w14:textId="20B20147"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Pr>
          <w:noProof/>
        </w:rPr>
        <w:t>A.3</w:t>
      </w:r>
      <w:r>
        <w:rPr>
          <w:rFonts w:asciiTheme="minorHAnsi" w:eastAsiaTheme="minorEastAsia" w:hAnsiTheme="minorHAnsi" w:cstheme="minorBidi"/>
          <w:noProof/>
          <w:kern w:val="2"/>
          <w:szCs w:val="24"/>
          <w:lang w:eastAsia="en-GB"/>
          <w14:ligatures w14:val="standardContextual"/>
        </w:rPr>
        <w:tab/>
      </w:r>
      <w:r>
        <w:rPr>
          <w:noProof/>
        </w:rPr>
        <w:t xml:space="preserve">Representative PQC authentication </w:t>
      </w:r>
      <w:r w:rsidRPr="00892C3C">
        <w:rPr>
          <w:noProof/>
        </w:rPr>
        <w:t>algorithms</w:t>
      </w:r>
      <w:r>
        <w:rPr>
          <w:noProof/>
        </w:rPr>
        <w:tab/>
      </w:r>
      <w:r>
        <w:rPr>
          <w:noProof/>
        </w:rPr>
        <w:tab/>
      </w:r>
      <w:r w:rsidRPr="00892C3C">
        <w:rPr>
          <w:noProof/>
        </w:rPr>
        <w:t>10</w:t>
      </w:r>
    </w:p>
    <w:p w14:paraId="44216B19" w14:textId="123EE510"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Pr>
          <w:noProof/>
        </w:rPr>
        <w:t>A.4</w:t>
      </w:r>
      <w:r>
        <w:rPr>
          <w:rFonts w:asciiTheme="minorHAnsi" w:eastAsiaTheme="minorEastAsia" w:hAnsiTheme="minorHAnsi" w:cstheme="minorBidi"/>
          <w:noProof/>
          <w:kern w:val="2"/>
          <w:szCs w:val="24"/>
          <w:lang w:eastAsia="en-GB"/>
          <w14:ligatures w14:val="standardContextual"/>
        </w:rPr>
        <w:tab/>
      </w:r>
      <w:r>
        <w:rPr>
          <w:noProof/>
        </w:rPr>
        <w:t xml:space="preserve">Use of PQC authentication in practical </w:t>
      </w:r>
      <w:r w:rsidRPr="00892C3C">
        <w:rPr>
          <w:noProof/>
        </w:rPr>
        <w:t>systems</w:t>
      </w:r>
      <w:r>
        <w:rPr>
          <w:noProof/>
        </w:rPr>
        <w:tab/>
      </w:r>
      <w:r>
        <w:rPr>
          <w:noProof/>
        </w:rPr>
        <w:tab/>
      </w:r>
      <w:r w:rsidRPr="00892C3C">
        <w:rPr>
          <w:noProof/>
        </w:rPr>
        <w:t>10</w:t>
      </w:r>
    </w:p>
    <w:p w14:paraId="51167DEA" w14:textId="1ADB467C"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Pr>
          <w:noProof/>
        </w:rPr>
        <w:t>A.5</w:t>
      </w:r>
      <w:r>
        <w:rPr>
          <w:rFonts w:asciiTheme="minorHAnsi" w:eastAsiaTheme="minorEastAsia" w:hAnsiTheme="minorHAnsi" w:cstheme="minorBidi"/>
          <w:noProof/>
          <w:kern w:val="2"/>
          <w:szCs w:val="24"/>
          <w:lang w:eastAsia="en-GB"/>
          <w14:ligatures w14:val="standardContextual"/>
        </w:rPr>
        <w:tab/>
      </w:r>
      <w:r>
        <w:rPr>
          <w:noProof/>
        </w:rPr>
        <w:t xml:space="preserve">Hybrid authentication </w:t>
      </w:r>
      <w:r w:rsidRPr="00892C3C">
        <w:rPr>
          <w:noProof/>
        </w:rPr>
        <w:t>approaches</w:t>
      </w:r>
      <w:r>
        <w:rPr>
          <w:noProof/>
        </w:rPr>
        <w:tab/>
      </w:r>
      <w:r>
        <w:rPr>
          <w:noProof/>
        </w:rPr>
        <w:tab/>
      </w:r>
      <w:r w:rsidRPr="00892C3C">
        <w:rPr>
          <w:noProof/>
        </w:rPr>
        <w:t>11</w:t>
      </w:r>
    </w:p>
    <w:p w14:paraId="66E9600F" w14:textId="2B8FC26C" w:rsidR="00892C3C" w:rsidRDefault="00892C3C" w:rsidP="00892C3C">
      <w:pPr>
        <w:pStyle w:val="TOC2"/>
        <w:ind w:right="992"/>
        <w:rPr>
          <w:rFonts w:asciiTheme="minorHAnsi" w:eastAsiaTheme="minorEastAsia" w:hAnsiTheme="minorHAnsi" w:cstheme="minorBidi"/>
          <w:noProof/>
          <w:kern w:val="2"/>
          <w:szCs w:val="24"/>
          <w:lang w:eastAsia="en-GB"/>
          <w14:ligatures w14:val="standardContextual"/>
        </w:rPr>
      </w:pPr>
      <w:r>
        <w:rPr>
          <w:noProof/>
        </w:rPr>
        <w:t>A.6</w:t>
      </w:r>
      <w:r>
        <w:rPr>
          <w:rFonts w:asciiTheme="minorHAnsi" w:eastAsiaTheme="minorEastAsia" w:hAnsiTheme="minorHAnsi" w:cstheme="minorBidi"/>
          <w:noProof/>
          <w:kern w:val="2"/>
          <w:szCs w:val="24"/>
          <w:lang w:eastAsia="en-GB"/>
          <w14:ligatures w14:val="standardContextual"/>
        </w:rPr>
        <w:tab/>
      </w:r>
      <w:r>
        <w:rPr>
          <w:noProof/>
        </w:rPr>
        <w:t xml:space="preserve">Technical and operational </w:t>
      </w:r>
      <w:r w:rsidRPr="00892C3C">
        <w:rPr>
          <w:noProof/>
        </w:rPr>
        <w:t>considerations</w:t>
      </w:r>
      <w:r>
        <w:rPr>
          <w:noProof/>
        </w:rPr>
        <w:tab/>
      </w:r>
      <w:r>
        <w:rPr>
          <w:noProof/>
        </w:rPr>
        <w:tab/>
      </w:r>
      <w:r w:rsidRPr="00892C3C">
        <w:rPr>
          <w:noProof/>
        </w:rPr>
        <w:t>11</w:t>
      </w:r>
    </w:p>
    <w:p w14:paraId="2217086D" w14:textId="3850E710" w:rsidR="00892C3C" w:rsidRDefault="00892C3C" w:rsidP="00892C3C">
      <w:pPr>
        <w:pStyle w:val="TOC1"/>
        <w:ind w:right="992"/>
        <w:rPr>
          <w:rFonts w:asciiTheme="minorHAnsi" w:eastAsiaTheme="minorEastAsia" w:hAnsiTheme="minorHAnsi" w:cstheme="minorBidi"/>
          <w:noProof/>
          <w:kern w:val="2"/>
          <w:szCs w:val="24"/>
          <w:lang w:eastAsia="en-GB"/>
          <w14:ligatures w14:val="standardContextual"/>
        </w:rPr>
      </w:pPr>
      <w:r w:rsidRPr="00892C3C">
        <w:rPr>
          <w:noProof/>
        </w:rPr>
        <w:t>Bibliography</w:t>
      </w:r>
      <w:r>
        <w:rPr>
          <w:noProof/>
        </w:rPr>
        <w:tab/>
      </w:r>
      <w:r>
        <w:rPr>
          <w:noProof/>
        </w:rPr>
        <w:tab/>
      </w:r>
      <w:r w:rsidRPr="00892C3C">
        <w:rPr>
          <w:noProof/>
        </w:rPr>
        <w:t>12</w:t>
      </w:r>
    </w:p>
    <w:p w14:paraId="2F69B1DD" w14:textId="6DB3532A" w:rsidR="00FC35DC" w:rsidRDefault="00FC35DC" w:rsidP="00892C3C"/>
    <w:p w14:paraId="55A9758E" w14:textId="77777777" w:rsidR="00892C3C" w:rsidRPr="002B534E" w:rsidRDefault="00892C3C" w:rsidP="00093D64"/>
    <w:p w14:paraId="4E6B028C" w14:textId="77777777" w:rsidR="00093D64" w:rsidRPr="002B534E" w:rsidRDefault="00093D64" w:rsidP="00093D64">
      <w:pPr>
        <w:rPr>
          <w:b/>
          <w:bCs/>
        </w:rPr>
        <w:sectPr w:rsidR="00093D64" w:rsidRPr="002B534E" w:rsidSect="00093D64">
          <w:headerReference w:type="default" r:id="rId16"/>
          <w:footerReference w:type="even" r:id="rId17"/>
          <w:footerReference w:type="default" r:id="rId18"/>
          <w:type w:val="oddPage"/>
          <w:pgSz w:w="11907" w:h="16834"/>
          <w:pgMar w:top="1134" w:right="1134" w:bottom="1134" w:left="1134" w:header="567" w:footer="567" w:gutter="0"/>
          <w:paperSrc w:first="15" w:other="15"/>
          <w:pgNumType w:fmt="lowerRoman" w:start="1"/>
          <w:cols w:space="720"/>
          <w:docGrid w:linePitch="326"/>
        </w:sectPr>
      </w:pPr>
    </w:p>
    <w:p w14:paraId="7A4D92BE" w14:textId="77777777" w:rsidR="00093D64" w:rsidRPr="00E93254" w:rsidRDefault="00093D64" w:rsidP="00093D64">
      <w:pPr>
        <w:pStyle w:val="RecNo"/>
      </w:pPr>
      <w:bookmarkStart w:id="9" w:name="p1rectexte"/>
      <w:bookmarkEnd w:id="9"/>
      <w:r w:rsidRPr="00E93254">
        <w:lastRenderedPageBreak/>
        <w:t>Technical Report ITU-T XSTR.hyb-qsafe</w:t>
      </w:r>
    </w:p>
    <w:p w14:paraId="0D0373B8" w14:textId="77777777" w:rsidR="00093D64" w:rsidRPr="00CE55A5" w:rsidRDefault="00093D64" w:rsidP="00093D64">
      <w:pPr>
        <w:pStyle w:val="Rectitle"/>
      </w:pPr>
      <w:r>
        <w:rPr>
          <w:bCs/>
        </w:rPr>
        <w:t>Overview of key management of hybrid approaches for quantum-safe communications</w:t>
      </w:r>
    </w:p>
    <w:p w14:paraId="587B1483" w14:textId="77777777" w:rsidR="00093D64" w:rsidRPr="00170180" w:rsidRDefault="00093D64" w:rsidP="00DB1236">
      <w:pPr>
        <w:pStyle w:val="Heading1"/>
        <w:rPr>
          <w:rFonts w:eastAsia="Yu Mincho"/>
          <w:lang w:val="en-US" w:eastAsia="zh-CN"/>
        </w:rPr>
      </w:pPr>
      <w:bookmarkStart w:id="10" w:name="_Toc256000001"/>
      <w:bookmarkStart w:id="11" w:name="_Toc206673892"/>
      <w:bookmarkStart w:id="12" w:name="_Toc238198999"/>
      <w:bookmarkStart w:id="13" w:name="_Toc243546256"/>
      <w:r w:rsidRPr="00170180">
        <w:rPr>
          <w:rFonts w:eastAsia="Yu Mincho" w:hint="eastAsia"/>
          <w:lang w:val="en-US" w:eastAsia="zh-CN"/>
        </w:rPr>
        <w:t>1</w:t>
      </w:r>
      <w:r w:rsidRPr="00170180">
        <w:rPr>
          <w:rFonts w:eastAsia="Yu Mincho" w:hint="eastAsia"/>
          <w:lang w:val="en-US" w:eastAsia="zh-CN"/>
        </w:rPr>
        <w:tab/>
      </w:r>
      <w:r w:rsidRPr="00170180">
        <w:rPr>
          <w:rFonts w:eastAsia="Yu Mincho"/>
          <w:lang w:val="en-US" w:eastAsia="zh-CN"/>
        </w:rPr>
        <w:t>Scope</w:t>
      </w:r>
      <w:bookmarkEnd w:id="10"/>
      <w:bookmarkEnd w:id="11"/>
      <w:bookmarkEnd w:id="12"/>
      <w:bookmarkEnd w:id="13"/>
    </w:p>
    <w:p w14:paraId="04CEC80D" w14:textId="718CEE2C" w:rsidR="00093D64" w:rsidRPr="00FD0FF7" w:rsidRDefault="00093D64" w:rsidP="00DB1236">
      <w:r w:rsidRPr="00FD0FF7">
        <w:t xml:space="preserve">This Technical Report studies </w:t>
      </w:r>
      <w:r>
        <w:t xml:space="preserve">case studies and use cases, service scenarios; and technical and security considerations of </w:t>
      </w:r>
      <w:r w:rsidRPr="00FD0FF7">
        <w:t xml:space="preserve">key management </w:t>
      </w:r>
      <w:r w:rsidRPr="00D6785B">
        <w:t>for</w:t>
      </w:r>
      <w:r w:rsidRPr="00FD0FF7">
        <w:t xml:space="preserve"> hybrid approaches </w:t>
      </w:r>
      <w:r w:rsidRPr="0057110E">
        <w:t xml:space="preserve">using quantum key distribution (QKD) and post-quantum cryptography (PQC) for </w:t>
      </w:r>
      <w:r w:rsidRPr="00FD0FF7">
        <w:t>quantum-safe communications.</w:t>
      </w:r>
    </w:p>
    <w:p w14:paraId="0BDD41C4" w14:textId="77777777" w:rsidR="00093D64" w:rsidRDefault="00093D64" w:rsidP="00DB1236">
      <w:pPr>
        <w:pStyle w:val="Heading1"/>
        <w:rPr>
          <w:rFonts w:eastAsia="Yu Mincho"/>
          <w:lang w:val="en-US" w:eastAsia="zh-CN"/>
        </w:rPr>
      </w:pPr>
      <w:bookmarkStart w:id="14" w:name="_Toc256000002"/>
      <w:bookmarkStart w:id="15" w:name="_Toc206673893"/>
      <w:bookmarkStart w:id="16" w:name="_Toc238199000"/>
      <w:bookmarkStart w:id="17" w:name="_Toc243546257"/>
      <w:r>
        <w:rPr>
          <w:rFonts w:eastAsia="Yu Mincho" w:hint="eastAsia"/>
          <w:lang w:val="en-US" w:eastAsia="zh-CN"/>
        </w:rPr>
        <w:t>2</w:t>
      </w:r>
      <w:r>
        <w:rPr>
          <w:rFonts w:eastAsia="Yu Mincho" w:hint="eastAsia"/>
          <w:lang w:val="en-US" w:eastAsia="zh-CN"/>
        </w:rPr>
        <w:tab/>
      </w:r>
      <w:r w:rsidRPr="00D70A20">
        <w:rPr>
          <w:rFonts w:eastAsia="Yu Mincho"/>
          <w:lang w:val="en-US" w:eastAsia="zh-CN"/>
        </w:rPr>
        <w:t>References</w:t>
      </w:r>
      <w:bookmarkEnd w:id="14"/>
      <w:bookmarkEnd w:id="15"/>
      <w:bookmarkEnd w:id="16"/>
      <w:bookmarkEnd w:id="17"/>
    </w:p>
    <w:p w14:paraId="4230A1AB" w14:textId="77777777" w:rsidR="00093D64" w:rsidRPr="00464A54" w:rsidRDefault="00093D64" w:rsidP="00093D64">
      <w:pPr>
        <w:rPr>
          <w:lang w:val="en-US" w:eastAsia="zh-CN"/>
        </w:rPr>
      </w:pPr>
      <w:r>
        <w:rPr>
          <w:lang w:val="en-US" w:eastAsia="zh-CN"/>
        </w:rPr>
        <w:t>None.</w:t>
      </w:r>
    </w:p>
    <w:p w14:paraId="5EB6F011" w14:textId="6349D91D" w:rsidR="00093D64" w:rsidRPr="00A564CF" w:rsidRDefault="00093D64" w:rsidP="00DB1236">
      <w:pPr>
        <w:pStyle w:val="Heading1"/>
        <w:rPr>
          <w:rFonts w:eastAsia="Yu Mincho"/>
          <w:lang w:val="en-US" w:eastAsia="zh-CN"/>
        </w:rPr>
      </w:pPr>
      <w:bookmarkStart w:id="18" w:name="_Toc256000003"/>
      <w:bookmarkStart w:id="19" w:name="_Toc206673894"/>
      <w:bookmarkStart w:id="20" w:name="_Toc238199001"/>
      <w:bookmarkStart w:id="21" w:name="_Toc243546258"/>
      <w:r w:rsidRPr="00A564CF">
        <w:rPr>
          <w:rFonts w:eastAsia="Yu Mincho" w:hint="eastAsia"/>
          <w:lang w:val="en-US" w:eastAsia="zh-CN"/>
        </w:rPr>
        <w:t>3</w:t>
      </w:r>
      <w:r w:rsidRPr="00A564CF">
        <w:rPr>
          <w:rFonts w:eastAsia="Yu Mincho" w:hint="eastAsia"/>
          <w:lang w:val="en-US" w:eastAsia="zh-CN"/>
        </w:rPr>
        <w:tab/>
      </w:r>
      <w:r w:rsidRPr="00A564CF">
        <w:rPr>
          <w:rFonts w:eastAsia="Yu Mincho"/>
          <w:lang w:val="en-US" w:eastAsia="zh-CN"/>
        </w:rPr>
        <w:t>Definitions</w:t>
      </w:r>
      <w:bookmarkEnd w:id="18"/>
      <w:bookmarkEnd w:id="19"/>
      <w:bookmarkEnd w:id="20"/>
      <w:bookmarkEnd w:id="21"/>
    </w:p>
    <w:p w14:paraId="2B2498F0" w14:textId="77777777" w:rsidR="00093D64" w:rsidRPr="00FD0FF7" w:rsidRDefault="00093D64" w:rsidP="00DB1236">
      <w:pPr>
        <w:pStyle w:val="Heading2"/>
      </w:pPr>
      <w:bookmarkStart w:id="22" w:name="_Toc256000004"/>
      <w:bookmarkStart w:id="23" w:name="_Toc13553383"/>
      <w:bookmarkStart w:id="24" w:name="_Toc20240908"/>
      <w:bookmarkStart w:id="25" w:name="_Toc206673895"/>
      <w:bookmarkStart w:id="26" w:name="_Toc238199002"/>
      <w:bookmarkStart w:id="27" w:name="_Toc530569346"/>
      <w:bookmarkStart w:id="28" w:name="_Toc531345968"/>
      <w:bookmarkStart w:id="29" w:name="_Toc531677469"/>
      <w:bookmarkStart w:id="30" w:name="_Toc531678074"/>
      <w:bookmarkStart w:id="31" w:name="_Toc166772"/>
      <w:bookmarkStart w:id="32" w:name="_Toc243546259"/>
      <w:r w:rsidRPr="00FD0FF7">
        <w:rPr>
          <w:rFonts w:hint="eastAsia"/>
          <w:bCs/>
        </w:rPr>
        <w:t>3.1</w:t>
      </w:r>
      <w:r w:rsidRPr="00FD0FF7">
        <w:rPr>
          <w:rFonts w:hint="eastAsia"/>
          <w:bCs/>
        </w:rPr>
        <w:tab/>
      </w:r>
      <w:r w:rsidRPr="00FD0FF7">
        <w:t>Terms defined elsewhere</w:t>
      </w:r>
      <w:bookmarkEnd w:id="22"/>
      <w:bookmarkEnd w:id="23"/>
      <w:bookmarkEnd w:id="24"/>
      <w:bookmarkEnd w:id="25"/>
      <w:bookmarkEnd w:id="26"/>
      <w:bookmarkEnd w:id="32"/>
    </w:p>
    <w:p w14:paraId="360C0415" w14:textId="77777777" w:rsidR="00093D64" w:rsidRPr="00FD0FF7" w:rsidRDefault="00093D64" w:rsidP="00DB1236">
      <w:r w:rsidRPr="00FD0FF7">
        <w:t>This Technical Report uses the following terms defined elsewhere:</w:t>
      </w:r>
      <w:bookmarkStart w:id="33" w:name="_Toc166775"/>
      <w:bookmarkStart w:id="34" w:name="_Toc530569347"/>
      <w:bookmarkStart w:id="35" w:name="_Toc531345969"/>
      <w:bookmarkStart w:id="36" w:name="_Toc531677470"/>
      <w:bookmarkStart w:id="37" w:name="_Toc531678075"/>
      <w:bookmarkEnd w:id="27"/>
      <w:bookmarkEnd w:id="28"/>
      <w:bookmarkEnd w:id="29"/>
      <w:bookmarkEnd w:id="30"/>
      <w:bookmarkEnd w:id="31"/>
    </w:p>
    <w:p w14:paraId="06056BC1" w14:textId="77777777" w:rsidR="00093D64" w:rsidRPr="002E62B2" w:rsidRDefault="00093D64" w:rsidP="00DB1236">
      <w:bookmarkStart w:id="38" w:name="_Toc256000005"/>
      <w:bookmarkStart w:id="39" w:name="_Toc206673896"/>
      <w:bookmarkStart w:id="40" w:name="_Toc228187582"/>
      <w:r w:rsidRPr="00FD0FF7">
        <w:rPr>
          <w:rFonts w:hint="eastAsia"/>
          <w:b/>
          <w:bCs/>
        </w:rPr>
        <w:t>3.1.1</w:t>
      </w:r>
      <w:r w:rsidRPr="00FD0FF7">
        <w:rPr>
          <w:rFonts w:hint="eastAsia"/>
          <w:b/>
          <w:bCs/>
        </w:rPr>
        <w:tab/>
      </w:r>
      <w:r w:rsidRPr="00FD0FF7">
        <w:rPr>
          <w:b/>
        </w:rPr>
        <w:t xml:space="preserve">key manager (KM) </w:t>
      </w:r>
      <w:r w:rsidRPr="001806F7">
        <w:t>[</w:t>
      </w:r>
      <w:r w:rsidRPr="00464A54">
        <w:rPr>
          <w:lang w:eastAsia="zh-CN"/>
        </w:rPr>
        <w:t>b-</w:t>
      </w:r>
      <w:r w:rsidRPr="001806F7">
        <w:t>ITU-T Y.3800]</w:t>
      </w:r>
      <w:r w:rsidRPr="00FD0FF7">
        <w:t>: A functional module located in a quantum key distribution (QKD) node to perform key management in the key management layer.</w:t>
      </w:r>
      <w:bookmarkEnd w:id="38"/>
      <w:bookmarkEnd w:id="39"/>
      <w:bookmarkEnd w:id="40"/>
    </w:p>
    <w:p w14:paraId="19038197" w14:textId="125C56CE" w:rsidR="00093D64" w:rsidRPr="002E62B2" w:rsidRDefault="00093D64" w:rsidP="00DB1236">
      <w:bookmarkStart w:id="41" w:name="_Toc256000006"/>
      <w:bookmarkStart w:id="42" w:name="_Toc206673897"/>
      <w:bookmarkStart w:id="43" w:name="_Toc228187583"/>
      <w:r w:rsidRPr="00FD0FF7">
        <w:rPr>
          <w:rFonts w:hint="eastAsia"/>
          <w:b/>
          <w:bCs/>
        </w:rPr>
        <w:t>3.1.2</w:t>
      </w:r>
      <w:r w:rsidRPr="00FD0FF7">
        <w:rPr>
          <w:rFonts w:hint="eastAsia"/>
          <w:b/>
          <w:bCs/>
        </w:rPr>
        <w:tab/>
      </w:r>
      <w:r w:rsidRPr="00FD0FF7">
        <w:rPr>
          <w:b/>
        </w:rPr>
        <w:t xml:space="preserve">key management </w:t>
      </w:r>
      <w:r w:rsidRPr="001806F7">
        <w:t>[</w:t>
      </w:r>
      <w:r w:rsidRPr="00464A54">
        <w:rPr>
          <w:lang w:eastAsia="zh-CN"/>
        </w:rPr>
        <w:t>b-</w:t>
      </w:r>
      <w:r w:rsidRPr="001806F7">
        <w:t>ITU-T Y.3800]</w:t>
      </w:r>
      <w:r w:rsidRPr="00FD0FF7">
        <w:t>:</w:t>
      </w:r>
      <w:r w:rsidRPr="001806F7">
        <w:t xml:space="preserve"> </w:t>
      </w:r>
      <w:r w:rsidRPr="00FD0FF7">
        <w:t>All activities performed on keys during their life cycle starting from their reception from the quantum layer, the storage, formatting, relay, synchronization, authentication, to supply to cryptographic application and delete or preserve depending on the key management policy</w:t>
      </w:r>
      <w:r w:rsidRPr="002E62B2">
        <w:t>.</w:t>
      </w:r>
      <w:bookmarkEnd w:id="41"/>
      <w:bookmarkEnd w:id="42"/>
      <w:bookmarkEnd w:id="43"/>
    </w:p>
    <w:p w14:paraId="368F335B" w14:textId="337F7A78" w:rsidR="00093D64" w:rsidRPr="00FD0FF7" w:rsidRDefault="00093D64" w:rsidP="00DB1236">
      <w:bookmarkStart w:id="44" w:name="_Toc256000007"/>
      <w:bookmarkStart w:id="45" w:name="_Toc3235495"/>
      <w:bookmarkStart w:id="46" w:name="_Toc3235723"/>
      <w:bookmarkStart w:id="47" w:name="_Toc206673898"/>
      <w:bookmarkStart w:id="48" w:name="_Toc228187584"/>
      <w:bookmarkStart w:id="49" w:name="_Toc534723767"/>
      <w:bookmarkStart w:id="50" w:name="_Toc536167481"/>
      <w:bookmarkEnd w:id="33"/>
      <w:r w:rsidRPr="00FD0FF7">
        <w:rPr>
          <w:rFonts w:hint="eastAsia"/>
          <w:b/>
          <w:bCs/>
        </w:rPr>
        <w:t>3.1.3</w:t>
      </w:r>
      <w:r w:rsidRPr="00FD0FF7">
        <w:rPr>
          <w:rFonts w:hint="eastAsia"/>
          <w:b/>
          <w:bCs/>
        </w:rPr>
        <w:tab/>
      </w:r>
      <w:r w:rsidRPr="00FD0FF7">
        <w:rPr>
          <w:b/>
        </w:rPr>
        <w:t>quantum key distribution (QKD)</w:t>
      </w:r>
      <w:r w:rsidRPr="00FD0FF7">
        <w:t xml:space="preserve"> [b-ETSI GR QKD 007]:</w:t>
      </w:r>
      <w:r w:rsidRPr="00FD0FF7">
        <w:rPr>
          <w:b/>
        </w:rPr>
        <w:t xml:space="preserve"> </w:t>
      </w:r>
      <w:r w:rsidRPr="00FD0FF7">
        <w:t xml:space="preserve">Procedure </w:t>
      </w:r>
      <w:r w:rsidRPr="00F60F9B">
        <w:rPr>
          <w:rFonts w:eastAsia="SimSun"/>
          <w:lang w:eastAsia="zh-CN"/>
        </w:rPr>
        <w:t>involving the transport of quantum states to agree shared secret bit strings between remote parties using a protocol with security based on quantum entanglement or the impossibility of perfectly cloning or measuring the unknown transported quantum state</w:t>
      </w:r>
      <w:r w:rsidR="00F23EF4">
        <w:rPr>
          <w:rFonts w:eastAsia="SimSun"/>
          <w:lang w:eastAsia="zh-CN"/>
        </w:rPr>
        <w:t>s</w:t>
      </w:r>
      <w:r w:rsidRPr="00FD0FF7">
        <w:t>.</w:t>
      </w:r>
      <w:bookmarkEnd w:id="44"/>
      <w:bookmarkEnd w:id="45"/>
      <w:bookmarkEnd w:id="46"/>
      <w:bookmarkEnd w:id="47"/>
      <w:bookmarkEnd w:id="48"/>
    </w:p>
    <w:p w14:paraId="2EB1F80F" w14:textId="7B7ADF85" w:rsidR="00093D64" w:rsidRPr="00FD0FF7" w:rsidRDefault="00093D64" w:rsidP="00DB1236">
      <w:bookmarkStart w:id="51" w:name="_Toc534723771"/>
      <w:bookmarkStart w:id="52" w:name="_Toc536167485"/>
      <w:bookmarkStart w:id="53" w:name="_Toc256000008"/>
      <w:bookmarkStart w:id="54" w:name="_Toc206673899"/>
      <w:bookmarkStart w:id="55" w:name="_Toc228187585"/>
      <w:bookmarkStart w:id="56" w:name="_Toc166782"/>
      <w:bookmarkEnd w:id="49"/>
      <w:bookmarkEnd w:id="50"/>
      <w:r w:rsidRPr="00FD0FF7">
        <w:rPr>
          <w:rFonts w:hint="eastAsia"/>
          <w:b/>
          <w:bCs/>
        </w:rPr>
        <w:t>3.1.4</w:t>
      </w:r>
      <w:r w:rsidRPr="00FD0FF7">
        <w:rPr>
          <w:rFonts w:hint="eastAsia"/>
          <w:b/>
          <w:bCs/>
        </w:rPr>
        <w:tab/>
      </w:r>
      <w:r w:rsidRPr="00FD0FF7">
        <w:rPr>
          <w:b/>
        </w:rPr>
        <w:t>quantum key distribution link (QKD link)</w:t>
      </w:r>
      <w:r w:rsidRPr="00FD0FF7">
        <w:t xml:space="preserve"> [</w:t>
      </w:r>
      <w:r>
        <w:rPr>
          <w:lang w:eastAsia="zh-CN"/>
        </w:rPr>
        <w:t>b-</w:t>
      </w:r>
      <w:r w:rsidRPr="00FD0FF7">
        <w:t xml:space="preserve">ITU-T Y.3800]: </w:t>
      </w:r>
      <w:bookmarkEnd w:id="51"/>
      <w:bookmarkEnd w:id="52"/>
      <w:r w:rsidRPr="00FD0FF7">
        <w:t>A communication link between two quantum key distribution (QKD) modules to operate the QKD.</w:t>
      </w:r>
      <w:bookmarkEnd w:id="53"/>
      <w:bookmarkEnd w:id="54"/>
      <w:bookmarkEnd w:id="55"/>
    </w:p>
    <w:p w14:paraId="7C8634A8" w14:textId="77777777" w:rsidR="00093D64" w:rsidRPr="00FD0FF7" w:rsidRDefault="00093D64" w:rsidP="00093D64">
      <w:pPr>
        <w:pStyle w:val="Note"/>
      </w:pPr>
      <w:r w:rsidRPr="00FD0FF7">
        <w:t>NOTE – A QKD link consists of a quantum channel for the transmission of quantum signals, and a classical channel used to exchange information for synchronization and key distillation.</w:t>
      </w:r>
    </w:p>
    <w:p w14:paraId="439F0FBC" w14:textId="33DDE47B" w:rsidR="00093D64" w:rsidRPr="00FD0FF7" w:rsidRDefault="00093D64" w:rsidP="00DB1236">
      <w:bookmarkStart w:id="57" w:name="_Toc256000009"/>
      <w:bookmarkStart w:id="58" w:name="_Toc206673900"/>
      <w:bookmarkStart w:id="59" w:name="_Toc228187586"/>
      <w:r w:rsidRPr="00FD0FF7">
        <w:rPr>
          <w:rFonts w:hint="eastAsia"/>
          <w:b/>
          <w:bCs/>
        </w:rPr>
        <w:t>3.1.5</w:t>
      </w:r>
      <w:r w:rsidRPr="00FD0FF7">
        <w:rPr>
          <w:rFonts w:hint="eastAsia"/>
          <w:b/>
          <w:bCs/>
        </w:rPr>
        <w:tab/>
      </w:r>
      <w:r w:rsidRPr="00FD0FF7">
        <w:rPr>
          <w:b/>
        </w:rPr>
        <w:t>quantum key distribution module (QKD module)</w:t>
      </w:r>
      <w:r w:rsidRPr="00FD0FF7">
        <w:t xml:space="preserve"> [</w:t>
      </w:r>
      <w:r>
        <w:rPr>
          <w:lang w:eastAsia="zh-CN"/>
        </w:rPr>
        <w:t>b-</w:t>
      </w:r>
      <w:r w:rsidRPr="00FD0FF7">
        <w:t>ITU-T Y.3800]: A</w:t>
      </w:r>
      <w:r w:rsidRPr="00FD0FF7">
        <w:rPr>
          <w:b/>
        </w:rPr>
        <w:t xml:space="preserve"> </w:t>
      </w:r>
      <w:r w:rsidRPr="00FD0FF7">
        <w:t>set of hardware and software components that implements cryptographic functions and quantum optical processes, including quantum key distribution (QKD) protocols, synchronization, distillation for key generation, and is contained within a defined cryptographic boundary.</w:t>
      </w:r>
      <w:bookmarkEnd w:id="57"/>
      <w:bookmarkEnd w:id="58"/>
      <w:bookmarkEnd w:id="59"/>
    </w:p>
    <w:p w14:paraId="482B7F21" w14:textId="77777777" w:rsidR="00093D64" w:rsidRPr="00FD0FF7" w:rsidRDefault="00093D64" w:rsidP="00093D64">
      <w:pPr>
        <w:pStyle w:val="Note"/>
      </w:pPr>
      <w:r w:rsidRPr="00FD0FF7">
        <w:t>NOTE –</w:t>
      </w:r>
      <w:r w:rsidRPr="00FD0FF7">
        <w:rPr>
          <w:b/>
        </w:rPr>
        <w:t xml:space="preserve"> </w:t>
      </w:r>
      <w:r w:rsidRPr="00FD0FF7">
        <w:t>A QKD module is connected to a QKD link, acting as an endpoint module in which a key is generated. These are two types of QKD modules, namely, the transmitters (QKD-Tx) and the receivers (QKD-Rx).</w:t>
      </w:r>
    </w:p>
    <w:p w14:paraId="47B8FB0A" w14:textId="77777777" w:rsidR="00093D64" w:rsidRPr="00FD0FF7" w:rsidRDefault="00093D64" w:rsidP="00DB1236">
      <w:bookmarkStart w:id="60" w:name="_Toc534723772"/>
      <w:bookmarkStart w:id="61" w:name="_Toc536167486"/>
      <w:bookmarkStart w:id="62" w:name="_Toc256000010"/>
      <w:bookmarkStart w:id="63" w:name="_Toc206673901"/>
      <w:bookmarkStart w:id="64" w:name="_Toc228187587"/>
      <w:bookmarkStart w:id="65" w:name="_Toc166784"/>
      <w:bookmarkStart w:id="66" w:name="_Toc534723770"/>
      <w:bookmarkStart w:id="67" w:name="_Toc536167484"/>
      <w:bookmarkEnd w:id="56"/>
      <w:r w:rsidRPr="00FD0FF7">
        <w:rPr>
          <w:rFonts w:hint="eastAsia"/>
          <w:b/>
          <w:bCs/>
        </w:rPr>
        <w:t>3.1.6</w:t>
      </w:r>
      <w:r w:rsidRPr="00FD0FF7">
        <w:rPr>
          <w:rFonts w:hint="eastAsia"/>
          <w:b/>
          <w:bCs/>
        </w:rPr>
        <w:tab/>
      </w:r>
      <w:r w:rsidRPr="00FD0FF7">
        <w:rPr>
          <w:b/>
        </w:rPr>
        <w:t>quantum key distribution network (QKDN)</w:t>
      </w:r>
      <w:r w:rsidRPr="00FD0FF7">
        <w:t xml:space="preserve"> [</w:t>
      </w:r>
      <w:r>
        <w:rPr>
          <w:lang w:eastAsia="zh-CN"/>
        </w:rPr>
        <w:t>b-</w:t>
      </w:r>
      <w:r w:rsidRPr="00FD0FF7">
        <w:t xml:space="preserve">ITU-T Y.3800]: </w:t>
      </w:r>
      <w:bookmarkEnd w:id="60"/>
      <w:bookmarkEnd w:id="61"/>
      <w:r w:rsidRPr="00FD0FF7">
        <w:t>A network comprised of two or more quantum key distribution (QKD) nodes connected through QKD links.</w:t>
      </w:r>
      <w:bookmarkEnd w:id="62"/>
      <w:bookmarkEnd w:id="63"/>
      <w:bookmarkEnd w:id="64"/>
    </w:p>
    <w:p w14:paraId="1E83979C" w14:textId="77777777" w:rsidR="00093D64" w:rsidRPr="00FD0FF7" w:rsidRDefault="00093D64" w:rsidP="00093D64">
      <w:pPr>
        <w:pStyle w:val="Note"/>
      </w:pPr>
      <w:r w:rsidRPr="00FD0FF7">
        <w:t>NOTE – A QKDN allows sharing keys between the QKD nodes by key relay when they are not directly connected by a QKD link.</w:t>
      </w:r>
    </w:p>
    <w:p w14:paraId="395C0181" w14:textId="62932390" w:rsidR="00093D64" w:rsidRPr="00FD0FF7" w:rsidRDefault="00093D64" w:rsidP="002E62B2">
      <w:bookmarkStart w:id="68" w:name="_Toc256000011"/>
      <w:bookmarkStart w:id="69" w:name="_Toc206673902"/>
      <w:bookmarkStart w:id="70" w:name="_Toc228187588"/>
      <w:r w:rsidRPr="00FD0FF7">
        <w:rPr>
          <w:rFonts w:hint="eastAsia"/>
          <w:b/>
          <w:bCs/>
        </w:rPr>
        <w:t>3.1.7</w:t>
      </w:r>
      <w:r w:rsidRPr="00FD0FF7">
        <w:rPr>
          <w:rFonts w:hint="eastAsia"/>
          <w:b/>
          <w:bCs/>
        </w:rPr>
        <w:tab/>
      </w:r>
      <w:r w:rsidRPr="00FD0FF7">
        <w:rPr>
          <w:b/>
        </w:rPr>
        <w:t>quantum key distribution network controller (QKDN controller)</w:t>
      </w:r>
      <w:r w:rsidRPr="00FD0FF7">
        <w:t xml:space="preserve"> [</w:t>
      </w:r>
      <w:r>
        <w:rPr>
          <w:lang w:eastAsia="zh-CN"/>
        </w:rPr>
        <w:t>b-</w:t>
      </w:r>
      <w:r w:rsidRPr="00FD0FF7">
        <w:t xml:space="preserve">ITU-T Y.3800]: A functional module, which </w:t>
      </w:r>
      <w:proofErr w:type="gramStart"/>
      <w:r w:rsidRPr="00FD0FF7">
        <w:t>is located in</w:t>
      </w:r>
      <w:proofErr w:type="gramEnd"/>
      <w:r w:rsidRPr="00FD0FF7">
        <w:t xml:space="preserve"> a quantum key distribution (QKD) network control layer to control a QKD network.</w:t>
      </w:r>
      <w:bookmarkEnd w:id="68"/>
      <w:bookmarkEnd w:id="69"/>
      <w:bookmarkEnd w:id="70"/>
    </w:p>
    <w:p w14:paraId="19B296CB" w14:textId="41C84632" w:rsidR="00093D64" w:rsidRPr="00FD0FF7" w:rsidRDefault="00093D64" w:rsidP="002E62B2">
      <w:bookmarkStart w:id="71" w:name="_Toc256000012"/>
      <w:bookmarkStart w:id="72" w:name="_Toc206673903"/>
      <w:bookmarkStart w:id="73" w:name="_Toc228187589"/>
      <w:r w:rsidRPr="00FD0FF7">
        <w:rPr>
          <w:rFonts w:hint="eastAsia"/>
          <w:b/>
          <w:bCs/>
        </w:rPr>
        <w:lastRenderedPageBreak/>
        <w:t>3.1.8</w:t>
      </w:r>
      <w:r w:rsidRPr="00FD0FF7">
        <w:rPr>
          <w:rFonts w:hint="eastAsia"/>
          <w:b/>
          <w:bCs/>
        </w:rPr>
        <w:tab/>
      </w:r>
      <w:r w:rsidRPr="00FD0FF7">
        <w:rPr>
          <w:b/>
        </w:rPr>
        <w:t>quantum key distribution network manager (QKDN manager)</w:t>
      </w:r>
      <w:r w:rsidRPr="00FD0FF7">
        <w:t xml:space="preserve"> [</w:t>
      </w:r>
      <w:r>
        <w:rPr>
          <w:lang w:eastAsia="zh-CN"/>
        </w:rPr>
        <w:t>b-</w:t>
      </w:r>
      <w:r w:rsidRPr="00FD0FF7">
        <w:t xml:space="preserve">ITU-T Y.3800]: A functional module, which </w:t>
      </w:r>
      <w:proofErr w:type="gramStart"/>
      <w:r w:rsidRPr="00FD0FF7">
        <w:t>is located in</w:t>
      </w:r>
      <w:proofErr w:type="gramEnd"/>
      <w:r w:rsidRPr="00FD0FF7">
        <w:t xml:space="preserve"> a quantum key distribution (QKD) network management layer to monitor and manage a QKD network.</w:t>
      </w:r>
      <w:bookmarkEnd w:id="71"/>
      <w:bookmarkEnd w:id="72"/>
      <w:bookmarkEnd w:id="73"/>
    </w:p>
    <w:p w14:paraId="734FB6EB" w14:textId="77777777" w:rsidR="00093D64" w:rsidRPr="00FD0FF7" w:rsidRDefault="00093D64" w:rsidP="002E62B2">
      <w:bookmarkStart w:id="74" w:name="_Toc256000013"/>
      <w:bookmarkStart w:id="75" w:name="_Toc206673904"/>
      <w:bookmarkStart w:id="76" w:name="_Toc228187590"/>
      <w:bookmarkStart w:id="77" w:name="_Toc3235516"/>
      <w:bookmarkStart w:id="78" w:name="_Toc3235744"/>
      <w:bookmarkStart w:id="79" w:name="_Toc166786"/>
      <w:bookmarkEnd w:id="65"/>
      <w:bookmarkEnd w:id="66"/>
      <w:bookmarkEnd w:id="67"/>
      <w:r w:rsidRPr="00FD0FF7">
        <w:rPr>
          <w:rFonts w:hint="eastAsia"/>
          <w:b/>
          <w:bCs/>
        </w:rPr>
        <w:t>3.1.9</w:t>
      </w:r>
      <w:r w:rsidRPr="00FD0FF7">
        <w:rPr>
          <w:rFonts w:hint="eastAsia"/>
          <w:b/>
          <w:bCs/>
        </w:rPr>
        <w:tab/>
      </w:r>
      <w:r w:rsidRPr="00FD0FF7">
        <w:rPr>
          <w:b/>
        </w:rPr>
        <w:t>quantum key distribution</w:t>
      </w:r>
      <w:r w:rsidRPr="00FD0FF7">
        <w:t xml:space="preserve"> </w:t>
      </w:r>
      <w:r w:rsidRPr="00FD0FF7">
        <w:rPr>
          <w:b/>
        </w:rPr>
        <w:t xml:space="preserve">node (QKD node) </w:t>
      </w:r>
      <w:r w:rsidRPr="00FD0FF7">
        <w:t>[</w:t>
      </w:r>
      <w:r>
        <w:rPr>
          <w:lang w:eastAsia="zh-CN"/>
        </w:rPr>
        <w:t>b-</w:t>
      </w:r>
      <w:r w:rsidRPr="00FD0FF7">
        <w:t>ITU-T Y.3800]: A node that contains one or more quantum key distribution (QKD) modules protected against intrusion and attacks by unauthorized parties.</w:t>
      </w:r>
      <w:bookmarkEnd w:id="74"/>
      <w:bookmarkEnd w:id="75"/>
      <w:bookmarkEnd w:id="76"/>
    </w:p>
    <w:p w14:paraId="54295905" w14:textId="77777777" w:rsidR="00093D64" w:rsidRPr="00FD0FF7" w:rsidRDefault="00093D64" w:rsidP="00093D64">
      <w:pPr>
        <w:pStyle w:val="Note"/>
      </w:pPr>
      <w:r w:rsidRPr="00FD0FF7">
        <w:t>NOTE – A QKD node can contain a key manager (KM).</w:t>
      </w:r>
      <w:bookmarkEnd w:id="77"/>
      <w:bookmarkEnd w:id="78"/>
    </w:p>
    <w:p w14:paraId="5148F433" w14:textId="0B955F6E" w:rsidR="00093D64" w:rsidRDefault="00093D64" w:rsidP="002E62B2">
      <w:pPr>
        <w:pStyle w:val="Heading2"/>
      </w:pPr>
      <w:bookmarkStart w:id="80" w:name="_Toc256000014"/>
      <w:bookmarkStart w:id="81" w:name="_Toc13553384"/>
      <w:bookmarkStart w:id="82" w:name="_Toc206673905"/>
      <w:bookmarkStart w:id="83" w:name="_Toc238199003"/>
      <w:bookmarkStart w:id="84" w:name="_Toc243546260"/>
      <w:r w:rsidRPr="000E06B4">
        <w:rPr>
          <w:rFonts w:hint="eastAsia"/>
          <w:bCs/>
        </w:rPr>
        <w:t>3.2</w:t>
      </w:r>
      <w:r w:rsidRPr="000E06B4">
        <w:rPr>
          <w:rFonts w:hint="eastAsia"/>
          <w:bCs/>
        </w:rPr>
        <w:tab/>
      </w:r>
      <w:r w:rsidRPr="000E06B4">
        <w:t xml:space="preserve">Terms defined </w:t>
      </w:r>
      <w:bookmarkStart w:id="85" w:name="_Toc41913247"/>
      <w:bookmarkStart w:id="86" w:name="_Toc39484824"/>
      <w:bookmarkStart w:id="87" w:name="_Toc39482769"/>
      <w:bookmarkEnd w:id="79"/>
      <w:bookmarkEnd w:id="80"/>
      <w:bookmarkEnd w:id="81"/>
      <w:bookmarkEnd w:id="82"/>
      <w:bookmarkEnd w:id="83"/>
      <w:r w:rsidR="00804351">
        <w:t>in this Technical Report</w:t>
      </w:r>
      <w:bookmarkEnd w:id="84"/>
    </w:p>
    <w:p w14:paraId="01E01F20" w14:textId="2C192345" w:rsidR="002E62B2" w:rsidRPr="00FD0FF7" w:rsidRDefault="002E62B2" w:rsidP="002E62B2">
      <w:r w:rsidRPr="00FD0FF7">
        <w:t>This Technical Report uses the following term:</w:t>
      </w:r>
    </w:p>
    <w:p w14:paraId="76CD2B21" w14:textId="7C7AA685" w:rsidR="00093D64" w:rsidRPr="00C30B6B" w:rsidRDefault="00093D64" w:rsidP="002E62B2">
      <w:pPr>
        <w:rPr>
          <w:b/>
        </w:rPr>
      </w:pPr>
      <w:bookmarkStart w:id="88" w:name="_Toc256000015"/>
      <w:bookmarkStart w:id="89" w:name="_Toc206673906"/>
      <w:bookmarkStart w:id="90" w:name="_Toc228187592"/>
      <w:r w:rsidRPr="00C30B6B">
        <w:rPr>
          <w:rFonts w:hint="eastAsia"/>
          <w:b/>
          <w:bCs/>
        </w:rPr>
        <w:t>3.2.1</w:t>
      </w:r>
      <w:r w:rsidRPr="00C30B6B">
        <w:rPr>
          <w:rFonts w:hint="eastAsia"/>
          <w:b/>
          <w:bCs/>
        </w:rPr>
        <w:tab/>
      </w:r>
      <w:r w:rsidR="002E62B2" w:rsidRPr="00C30B6B">
        <w:rPr>
          <w:b/>
        </w:rPr>
        <w:t>q</w:t>
      </w:r>
      <w:r w:rsidRPr="00C30B6B">
        <w:rPr>
          <w:b/>
        </w:rPr>
        <w:t>uantum-safe communication</w:t>
      </w:r>
      <w:r w:rsidRPr="00FD0FF7">
        <w:t xml:space="preserve">: </w:t>
      </w:r>
      <w:r>
        <w:t>C</w:t>
      </w:r>
      <w:r w:rsidRPr="00FD0FF7">
        <w:t xml:space="preserve">ommunication </w:t>
      </w:r>
      <w:bookmarkEnd w:id="85"/>
      <w:bookmarkEnd w:id="86"/>
      <w:bookmarkEnd w:id="87"/>
      <w:r>
        <w:t>that</w:t>
      </w:r>
      <w:r w:rsidRPr="00FD0FF7">
        <w:t xml:space="preserve"> use</w:t>
      </w:r>
      <w:r>
        <w:t>s</w:t>
      </w:r>
      <w:r w:rsidRPr="00FD0FF7">
        <w:t xml:space="preserve"> methods </w:t>
      </w:r>
      <w:r w:rsidRPr="00C30B6B">
        <w:t>designed</w:t>
      </w:r>
      <w:r w:rsidRPr="00FD0FF7">
        <w:t xml:space="preserve"> to</w:t>
      </w:r>
      <w:r w:rsidRPr="00FD0FF7" w:rsidDel="000E06B4">
        <w:t xml:space="preserve"> </w:t>
      </w:r>
      <w:r w:rsidRPr="00FD0FF7">
        <w:t xml:space="preserve">resist attacks by quantum computers </w:t>
      </w:r>
      <w:proofErr w:type="gramStart"/>
      <w:r w:rsidRPr="00FD0FF7">
        <w:t>in order to</w:t>
      </w:r>
      <w:proofErr w:type="gramEnd"/>
      <w:r w:rsidRPr="00FD0FF7">
        <w:t xml:space="preserve"> </w:t>
      </w:r>
      <w:r>
        <w:t>protect</w:t>
      </w:r>
      <w:r w:rsidRPr="00FD0FF7">
        <w:t xml:space="preserve"> information assets</w:t>
      </w:r>
      <w:r>
        <w:t>,</w:t>
      </w:r>
      <w:r w:rsidRPr="00FD0FF7">
        <w:t xml:space="preserve"> </w:t>
      </w:r>
      <w:r w:rsidRPr="00C30B6B">
        <w:t>including</w:t>
      </w:r>
      <w:r w:rsidRPr="00FD0FF7">
        <w:t xml:space="preserve"> after </w:t>
      </w:r>
      <w:r w:rsidRPr="00C30B6B">
        <w:t xml:space="preserve">the availability of </w:t>
      </w:r>
      <w:r w:rsidRPr="00FD0FF7">
        <w:t>large-scale quantum computer</w:t>
      </w:r>
      <w:r>
        <w:t>s</w:t>
      </w:r>
      <w:r w:rsidRPr="00FD0FF7">
        <w:t>.</w:t>
      </w:r>
      <w:bookmarkEnd w:id="88"/>
      <w:bookmarkEnd w:id="89"/>
      <w:bookmarkEnd w:id="90"/>
    </w:p>
    <w:p w14:paraId="37FC92B1" w14:textId="628F6EF8" w:rsidR="00093D64" w:rsidRPr="00A564CF" w:rsidRDefault="00093D64" w:rsidP="002E62B2">
      <w:pPr>
        <w:pStyle w:val="Heading1"/>
        <w:rPr>
          <w:rFonts w:eastAsia="Yu Mincho"/>
          <w:lang w:val="en-US" w:eastAsia="zh-CN"/>
        </w:rPr>
      </w:pPr>
      <w:bookmarkStart w:id="91" w:name="_Toc256000016"/>
      <w:bookmarkStart w:id="92" w:name="_Toc206673907"/>
      <w:bookmarkStart w:id="93" w:name="_Toc238199004"/>
      <w:bookmarkStart w:id="94" w:name="_Toc243546261"/>
      <w:bookmarkEnd w:id="34"/>
      <w:bookmarkEnd w:id="35"/>
      <w:bookmarkEnd w:id="36"/>
      <w:bookmarkEnd w:id="37"/>
      <w:r w:rsidRPr="00A564CF">
        <w:rPr>
          <w:rFonts w:eastAsia="Yu Mincho" w:hint="eastAsia"/>
          <w:lang w:val="en-US" w:eastAsia="zh-CN"/>
        </w:rPr>
        <w:t>4</w:t>
      </w:r>
      <w:r w:rsidRPr="00A564CF">
        <w:rPr>
          <w:rFonts w:eastAsia="Yu Mincho" w:hint="eastAsia"/>
          <w:lang w:val="en-US" w:eastAsia="zh-CN"/>
        </w:rPr>
        <w:tab/>
      </w:r>
      <w:r w:rsidRPr="00A564CF">
        <w:rPr>
          <w:rFonts w:eastAsia="Yu Mincho"/>
          <w:lang w:val="en-US" w:eastAsia="zh-CN"/>
        </w:rPr>
        <w:t>Abbreviations</w:t>
      </w:r>
      <w:bookmarkEnd w:id="91"/>
      <w:bookmarkEnd w:id="92"/>
      <w:bookmarkEnd w:id="93"/>
      <w:r w:rsidR="00804351">
        <w:rPr>
          <w:rFonts w:eastAsia="Yu Mincho"/>
          <w:lang w:val="en-US" w:eastAsia="zh-CN"/>
        </w:rPr>
        <w:t xml:space="preserve"> and acronyms</w:t>
      </w:r>
      <w:bookmarkEnd w:id="94"/>
    </w:p>
    <w:p w14:paraId="6F9453F5" w14:textId="43B8FD3F" w:rsidR="00093D64" w:rsidRPr="00FD0FF7" w:rsidRDefault="00093D64" w:rsidP="00093D64">
      <w:r w:rsidRPr="00FD0FF7">
        <w:t>This Technical Report uses the following abbreviations</w:t>
      </w:r>
      <w:r w:rsidR="00804351">
        <w:t xml:space="preserve"> </w:t>
      </w:r>
      <w:r w:rsidR="00804351">
        <w:rPr>
          <w:rFonts w:eastAsia="Yu Mincho"/>
          <w:lang w:val="en-US" w:eastAsia="zh-CN"/>
        </w:rPr>
        <w:t>and acronyms</w:t>
      </w:r>
      <w:r w:rsidRPr="00FD0FF7">
        <w:t>:</w:t>
      </w:r>
    </w:p>
    <w:p w14:paraId="1DE7CDCE" w14:textId="77777777" w:rsidR="002E62B2" w:rsidRPr="00464A54" w:rsidRDefault="002E62B2" w:rsidP="002E62B2">
      <w:pPr>
        <w:tabs>
          <w:tab w:val="clear" w:pos="794"/>
        </w:tabs>
        <w:rPr>
          <w:rFonts w:eastAsia="SimSun"/>
          <w:lang w:eastAsia="ko-KR"/>
        </w:rPr>
      </w:pPr>
      <w:r w:rsidRPr="00464A54">
        <w:rPr>
          <w:rFonts w:eastAsia="SimSun" w:hint="eastAsia"/>
          <w:lang w:eastAsia="ko-KR"/>
        </w:rPr>
        <w:t>I</w:t>
      </w:r>
      <w:r w:rsidRPr="00464A54">
        <w:rPr>
          <w:rFonts w:eastAsia="SimSun"/>
          <w:lang w:eastAsia="ko-KR"/>
        </w:rPr>
        <w:t>KE</w:t>
      </w:r>
      <w:r w:rsidRPr="00464A54">
        <w:rPr>
          <w:rFonts w:eastAsia="SimSun"/>
          <w:lang w:eastAsia="ko-KR"/>
        </w:rPr>
        <w:tab/>
        <w:t>Internet Key Exchange</w:t>
      </w:r>
    </w:p>
    <w:p w14:paraId="60CF19EC" w14:textId="77777777" w:rsidR="002E62B2" w:rsidRPr="00464A54" w:rsidRDefault="002E62B2" w:rsidP="002E62B2">
      <w:pPr>
        <w:tabs>
          <w:tab w:val="clear" w:pos="794"/>
        </w:tabs>
        <w:rPr>
          <w:rFonts w:eastAsia="SimSun"/>
          <w:lang w:eastAsia="ko-KR"/>
        </w:rPr>
      </w:pPr>
      <w:r w:rsidRPr="00464A54">
        <w:rPr>
          <w:rFonts w:eastAsia="SimSun"/>
          <w:lang w:eastAsia="ko-KR"/>
        </w:rPr>
        <w:t>IT-secure</w:t>
      </w:r>
      <w:r w:rsidRPr="00464A54">
        <w:rPr>
          <w:rFonts w:eastAsia="SimSun"/>
          <w:lang w:eastAsia="ko-KR"/>
        </w:rPr>
        <w:tab/>
        <w:t>Information-theoretically secure</w:t>
      </w:r>
    </w:p>
    <w:p w14:paraId="04225485" w14:textId="77777777" w:rsidR="002E62B2" w:rsidRDefault="002E62B2" w:rsidP="002E62B2">
      <w:pPr>
        <w:tabs>
          <w:tab w:val="clear" w:pos="794"/>
        </w:tabs>
        <w:rPr>
          <w:rFonts w:eastAsia="SimSun"/>
          <w:lang w:eastAsia="ko-KR"/>
        </w:rPr>
      </w:pPr>
      <w:r w:rsidRPr="00464A54">
        <w:rPr>
          <w:rFonts w:eastAsia="SimSun"/>
          <w:lang w:eastAsia="ko-KR"/>
        </w:rPr>
        <w:t>KM</w:t>
      </w:r>
      <w:r w:rsidRPr="00464A54">
        <w:rPr>
          <w:rFonts w:eastAsia="SimSun"/>
          <w:lang w:eastAsia="ko-KR"/>
        </w:rPr>
        <w:tab/>
        <w:t>Key Manager</w:t>
      </w:r>
    </w:p>
    <w:p w14:paraId="3411275E" w14:textId="77777777" w:rsidR="002E62B2" w:rsidRPr="00464A54" w:rsidRDefault="002E62B2" w:rsidP="002E62B2">
      <w:pPr>
        <w:tabs>
          <w:tab w:val="clear" w:pos="794"/>
        </w:tabs>
        <w:rPr>
          <w:rFonts w:eastAsia="SimSun"/>
          <w:lang w:eastAsia="ko-KR"/>
        </w:rPr>
      </w:pPr>
      <w:r>
        <w:rPr>
          <w:rFonts w:eastAsia="Malgun Gothic"/>
          <w:lang w:eastAsia="ko-KR"/>
        </w:rPr>
        <w:t>PKI</w:t>
      </w:r>
      <w:r>
        <w:rPr>
          <w:rFonts w:eastAsia="Malgun Gothic"/>
          <w:lang w:eastAsia="ko-KR"/>
        </w:rPr>
        <w:tab/>
        <w:t>Public Key Infrastructure</w:t>
      </w:r>
    </w:p>
    <w:p w14:paraId="11200BB5" w14:textId="4E62B82C" w:rsidR="002E62B2" w:rsidRPr="00464A54" w:rsidRDefault="002E62B2" w:rsidP="002E62B2">
      <w:pPr>
        <w:tabs>
          <w:tab w:val="clear" w:pos="794"/>
        </w:tabs>
        <w:rPr>
          <w:rFonts w:eastAsia="SimSun"/>
          <w:lang w:eastAsia="ko-KR"/>
        </w:rPr>
      </w:pPr>
      <w:r w:rsidRPr="00464A54">
        <w:rPr>
          <w:rFonts w:eastAsia="SimSun" w:hint="eastAsia"/>
          <w:lang w:eastAsia="ko-KR"/>
        </w:rPr>
        <w:t>P</w:t>
      </w:r>
      <w:r w:rsidRPr="00464A54">
        <w:rPr>
          <w:rFonts w:eastAsia="SimSun"/>
          <w:lang w:eastAsia="ko-KR"/>
        </w:rPr>
        <w:t>QC</w:t>
      </w:r>
      <w:r w:rsidRPr="00464A54">
        <w:rPr>
          <w:rFonts w:eastAsia="SimSun"/>
          <w:lang w:eastAsia="ko-KR"/>
        </w:rPr>
        <w:tab/>
        <w:t>Post</w:t>
      </w:r>
      <w:r w:rsidR="00C61D35">
        <w:rPr>
          <w:rFonts w:eastAsia="SimSun"/>
          <w:lang w:eastAsia="ko-KR"/>
        </w:rPr>
        <w:t>-</w:t>
      </w:r>
      <w:r w:rsidRPr="00464A54">
        <w:rPr>
          <w:rFonts w:eastAsia="SimSun"/>
          <w:lang w:eastAsia="ko-KR"/>
        </w:rPr>
        <w:t>Quantum Cryptography</w:t>
      </w:r>
    </w:p>
    <w:p w14:paraId="156DC7F8" w14:textId="77777777" w:rsidR="002E62B2" w:rsidRPr="00464A54" w:rsidRDefault="002E62B2" w:rsidP="002E62B2">
      <w:pPr>
        <w:tabs>
          <w:tab w:val="clear" w:pos="794"/>
        </w:tabs>
        <w:rPr>
          <w:rFonts w:eastAsia="SimSun"/>
          <w:lang w:eastAsia="ko-KR"/>
        </w:rPr>
      </w:pPr>
      <w:r w:rsidRPr="00464A54">
        <w:rPr>
          <w:rFonts w:eastAsia="SimSun"/>
          <w:lang w:eastAsia="ko-KR"/>
        </w:rPr>
        <w:t>QKD</w:t>
      </w:r>
      <w:r w:rsidRPr="00464A54">
        <w:rPr>
          <w:rFonts w:eastAsia="SimSun"/>
          <w:lang w:eastAsia="ko-KR"/>
        </w:rPr>
        <w:tab/>
        <w:t>Quantum Key Distribution</w:t>
      </w:r>
    </w:p>
    <w:p w14:paraId="2F9D24D3" w14:textId="77777777" w:rsidR="002E62B2" w:rsidRPr="00464A54" w:rsidRDefault="002E62B2" w:rsidP="002E62B2">
      <w:pPr>
        <w:tabs>
          <w:tab w:val="clear" w:pos="794"/>
        </w:tabs>
        <w:rPr>
          <w:rFonts w:eastAsia="SimSun"/>
          <w:lang w:eastAsia="ko-KR"/>
        </w:rPr>
      </w:pPr>
      <w:r w:rsidRPr="00464A54">
        <w:rPr>
          <w:rFonts w:eastAsia="SimSun"/>
          <w:lang w:eastAsia="ko-KR"/>
        </w:rPr>
        <w:t>QKDN</w:t>
      </w:r>
      <w:r w:rsidRPr="00464A54">
        <w:rPr>
          <w:rFonts w:eastAsia="SimSun"/>
          <w:lang w:eastAsia="ko-KR"/>
        </w:rPr>
        <w:tab/>
        <w:t>QKD Network</w:t>
      </w:r>
      <w:bookmarkStart w:id="95" w:name="_Toc107562567"/>
      <w:bookmarkStart w:id="96" w:name="_Toc107562568"/>
      <w:bookmarkStart w:id="97" w:name="_Toc107562569"/>
      <w:bookmarkStart w:id="98" w:name="_Toc107562570"/>
      <w:bookmarkStart w:id="99" w:name="_Toc107562571"/>
      <w:bookmarkStart w:id="100" w:name="_Toc107562572"/>
      <w:bookmarkStart w:id="101" w:name="_Toc107562573"/>
      <w:bookmarkStart w:id="102" w:name="_Toc107562574"/>
      <w:bookmarkEnd w:id="95"/>
      <w:bookmarkEnd w:id="96"/>
      <w:bookmarkEnd w:id="97"/>
      <w:bookmarkEnd w:id="98"/>
      <w:bookmarkEnd w:id="99"/>
      <w:bookmarkEnd w:id="100"/>
      <w:bookmarkEnd w:id="101"/>
      <w:bookmarkEnd w:id="102"/>
    </w:p>
    <w:p w14:paraId="6133B137" w14:textId="77777777" w:rsidR="00093D64" w:rsidRPr="00A564CF" w:rsidRDefault="00093D64" w:rsidP="0029144F">
      <w:pPr>
        <w:pStyle w:val="Heading1"/>
        <w:rPr>
          <w:rFonts w:eastAsia="Yu Mincho"/>
          <w:lang w:val="en-US" w:eastAsia="zh-CN"/>
        </w:rPr>
      </w:pPr>
      <w:bookmarkStart w:id="103" w:name="_Toc256000017"/>
      <w:bookmarkStart w:id="104" w:name="_Toc206673908"/>
      <w:bookmarkStart w:id="105" w:name="_Toc238199005"/>
      <w:bookmarkStart w:id="106" w:name="_Toc243546262"/>
      <w:r w:rsidRPr="00A564CF">
        <w:rPr>
          <w:rFonts w:eastAsia="Yu Mincho" w:hint="eastAsia"/>
          <w:lang w:val="en-US" w:eastAsia="zh-CN"/>
        </w:rPr>
        <w:t>5</w:t>
      </w:r>
      <w:r w:rsidRPr="00A564CF">
        <w:rPr>
          <w:rFonts w:eastAsia="Yu Mincho" w:hint="eastAsia"/>
          <w:lang w:val="en-US" w:eastAsia="zh-CN"/>
        </w:rPr>
        <w:tab/>
      </w:r>
      <w:r w:rsidRPr="00A564CF">
        <w:rPr>
          <w:rFonts w:eastAsia="Yu Mincho"/>
          <w:lang w:val="en-US" w:eastAsia="zh-CN"/>
        </w:rPr>
        <w:t>Introduction</w:t>
      </w:r>
      <w:bookmarkEnd w:id="103"/>
      <w:bookmarkEnd w:id="104"/>
      <w:bookmarkEnd w:id="105"/>
      <w:bookmarkEnd w:id="106"/>
    </w:p>
    <w:p w14:paraId="17227562" w14:textId="2F9F2B49" w:rsidR="00093D64" w:rsidRPr="004459E1" w:rsidRDefault="00093D64" w:rsidP="0029144F">
      <w:r w:rsidRPr="004459E1">
        <w:t xml:space="preserve">In a </w:t>
      </w:r>
      <w:r w:rsidR="0029144F" w:rsidRPr="004459E1">
        <w:t>q</w:t>
      </w:r>
      <w:r w:rsidRPr="004459E1">
        <w:t xml:space="preserve">uantum </w:t>
      </w:r>
      <w:r w:rsidR="0029144F" w:rsidRPr="004459E1">
        <w:t>k</w:t>
      </w:r>
      <w:r w:rsidRPr="004459E1">
        <w:t xml:space="preserve">ey </w:t>
      </w:r>
      <w:r w:rsidR="0029144F" w:rsidRPr="004459E1">
        <w:t>d</w:t>
      </w:r>
      <w:r w:rsidRPr="004459E1">
        <w:t xml:space="preserve">istribution </w:t>
      </w:r>
      <w:r w:rsidR="0029144F" w:rsidRPr="004459E1">
        <w:t>n</w:t>
      </w:r>
      <w:r w:rsidRPr="004459E1">
        <w:t>etwork (QKDN), the key management layer is the middle layer between the quantum layer and the service layer and is also connected to the QKDN control and management layer. It mainly handles the key-related tasks and plays a central role in interacting with different elements in a QKDN.</w:t>
      </w:r>
    </w:p>
    <w:p w14:paraId="1FFDE162" w14:textId="272D91CB" w:rsidR="00093D64" w:rsidRPr="004459E1" w:rsidRDefault="00093D64" w:rsidP="00093D64">
      <w:r w:rsidRPr="004459E1">
        <w:t xml:space="preserve">Several </w:t>
      </w:r>
      <w:r>
        <w:t>documents</w:t>
      </w:r>
      <w:r w:rsidRPr="004459E1">
        <w:t xml:space="preserve"> have been published in ITU</w:t>
      </w:r>
      <w:r w:rsidRPr="004459E1">
        <w:noBreakHyphen/>
        <w:t xml:space="preserve">T SG17 for key management in QKDNs. These </w:t>
      </w:r>
      <w:r>
        <w:t>documents</w:t>
      </w:r>
      <w:r w:rsidRPr="004459E1">
        <w:t xml:space="preserve"> primarily focus on key management inside QKDNs, including key generation using </w:t>
      </w:r>
      <w:r w:rsidR="009F1347">
        <w:rPr>
          <w:rFonts w:eastAsia="SimSun"/>
          <w:lang w:eastAsia="ko-KR"/>
        </w:rPr>
        <w:t>q</w:t>
      </w:r>
      <w:r w:rsidR="0039074F" w:rsidRPr="00464A54">
        <w:rPr>
          <w:rFonts w:eastAsia="SimSun"/>
          <w:lang w:eastAsia="ko-KR"/>
        </w:rPr>
        <w:t xml:space="preserve">uantum </w:t>
      </w:r>
      <w:r w:rsidR="009F1347">
        <w:rPr>
          <w:rFonts w:eastAsia="SimSun"/>
          <w:lang w:eastAsia="ko-KR"/>
        </w:rPr>
        <w:t>k</w:t>
      </w:r>
      <w:r w:rsidR="0039074F" w:rsidRPr="00464A54">
        <w:rPr>
          <w:rFonts w:eastAsia="SimSun"/>
          <w:lang w:eastAsia="ko-KR"/>
        </w:rPr>
        <w:t xml:space="preserve">ey </w:t>
      </w:r>
      <w:r w:rsidR="009F1347">
        <w:rPr>
          <w:rFonts w:eastAsia="SimSun"/>
          <w:lang w:eastAsia="ko-KR"/>
        </w:rPr>
        <w:t>d</w:t>
      </w:r>
      <w:r w:rsidR="0039074F" w:rsidRPr="00464A54">
        <w:rPr>
          <w:rFonts w:eastAsia="SimSun"/>
          <w:lang w:eastAsia="ko-KR"/>
        </w:rPr>
        <w:t>istribution</w:t>
      </w:r>
      <w:r w:rsidR="0039074F" w:rsidRPr="004459E1">
        <w:t xml:space="preserve"> </w:t>
      </w:r>
      <w:r w:rsidR="0039074F">
        <w:t>(</w:t>
      </w:r>
      <w:r w:rsidRPr="004459E1">
        <w:t>QKD</w:t>
      </w:r>
      <w:r w:rsidR="0039074F">
        <w:t>)</w:t>
      </w:r>
      <w:r w:rsidRPr="004459E1">
        <w:t xml:space="preserve"> and key relay based on trusted nodes.</w:t>
      </w:r>
    </w:p>
    <w:p w14:paraId="69BC2997" w14:textId="31C56727" w:rsidR="00093D64" w:rsidRPr="001806F7" w:rsidRDefault="00093D64" w:rsidP="00093D64">
      <w:pPr>
        <w:rPr>
          <w:lang w:val="en-US"/>
        </w:rPr>
      </w:pPr>
      <w:r w:rsidRPr="004459E1">
        <w:t xml:space="preserve">In parallel, other approaches for achieving quantum-safe communications have been actively developed, most notably </w:t>
      </w:r>
      <w:r w:rsidRPr="00F915C8">
        <w:t>post-quantum cryptography</w:t>
      </w:r>
      <w:r w:rsidRPr="004459E1">
        <w:t xml:space="preserve"> (PQC). Quantum-safe methods are </w:t>
      </w:r>
      <w:r w:rsidRPr="00F915C8">
        <w:t>intended to resist</w:t>
      </w:r>
      <w:r w:rsidRPr="004459E1">
        <w:t xml:space="preserve"> attacks by quantum computers, with the objective of protecting information assets even after large</w:t>
      </w:r>
      <w:r w:rsidRPr="00F915C8">
        <w:t>-</w:t>
      </w:r>
      <w:r w:rsidRPr="004459E1">
        <w:t xml:space="preserve">scale quantum computers become practical. </w:t>
      </w:r>
      <w:r w:rsidRPr="00F915C8">
        <w:t>Both QKD and PQC are candidate technologies for quantum-safe communications, but they rely on different assumptions, deployment models, and operational constraints.</w:t>
      </w:r>
    </w:p>
    <w:p w14:paraId="72948083" w14:textId="77777777" w:rsidR="00093D64" w:rsidRPr="004459E1" w:rsidRDefault="00093D64" w:rsidP="00093D64">
      <w:r w:rsidRPr="004459E1">
        <w:t xml:space="preserve">While SG17 has developed multiple </w:t>
      </w:r>
      <w:r>
        <w:t>documents</w:t>
      </w:r>
      <w:r w:rsidRPr="004459E1">
        <w:t xml:space="preserve"> addressing key management within QKDNs, there has been limited discussion on how QKD</w:t>
      </w:r>
      <w:r w:rsidRPr="004459E1">
        <w:noBreakHyphen/>
        <w:t>generated keys can be used to achieve end</w:t>
      </w:r>
      <w:r w:rsidRPr="004459E1">
        <w:noBreakHyphen/>
        <w:t>to</w:t>
      </w:r>
      <w:r w:rsidRPr="004459E1">
        <w:noBreakHyphen/>
        <w:t>end quantum-safe communications in conjunction with other approaches such as PQC.</w:t>
      </w:r>
    </w:p>
    <w:p w14:paraId="461308B1" w14:textId="77777777" w:rsidR="00093D64" w:rsidRPr="001806F7" w:rsidRDefault="00093D64" w:rsidP="00093D64">
      <w:pPr>
        <w:rPr>
          <w:lang w:val="en-US"/>
        </w:rPr>
      </w:pPr>
      <w:r w:rsidRPr="00C90E6B">
        <w:t xml:space="preserve">QKD protocols can provide information-theoretic security for key establishment under their applicable security assumptions, because their security does not rely on the computational difficulty of mathematical problems. However, QKD </w:t>
      </w:r>
      <w:r w:rsidRPr="004459E1">
        <w:t>requires specialized devices, i.e</w:t>
      </w:r>
      <w:r w:rsidRPr="00C90E6B">
        <w:t>.,</w:t>
      </w:r>
      <w:r w:rsidRPr="004459E1">
        <w:t xml:space="preserve"> QKD modules, and dedicated </w:t>
      </w:r>
      <w:r w:rsidRPr="00C90E6B">
        <w:t>quantum and classical channels.</w:t>
      </w:r>
      <w:r w:rsidRPr="004459E1">
        <w:t xml:space="preserve"> In contrast, PQC algorithms are designed to resist known </w:t>
      </w:r>
      <w:r w:rsidRPr="004459E1">
        <w:lastRenderedPageBreak/>
        <w:t>quantum</w:t>
      </w:r>
      <w:r w:rsidRPr="00C90E6B">
        <w:t>-</w:t>
      </w:r>
      <w:r w:rsidRPr="004459E1">
        <w:t xml:space="preserve">computer attacks while operating on conventional communication and computing infrastructure. PQC security </w:t>
      </w:r>
      <w:r w:rsidRPr="00C90E6B">
        <w:t>remains</w:t>
      </w:r>
      <w:r w:rsidRPr="004459E1">
        <w:t xml:space="preserve"> computational</w:t>
      </w:r>
      <w:r w:rsidRPr="00C90E6B">
        <w:t xml:space="preserve"> and relies</w:t>
      </w:r>
      <w:r w:rsidRPr="004459E1">
        <w:t xml:space="preserve"> on the assumed hardness of underlying mathematical problems</w:t>
      </w:r>
      <w:r w:rsidRPr="00C90E6B">
        <w:t>; therefore,</w:t>
      </w:r>
      <w:r w:rsidRPr="004459E1">
        <w:t xml:space="preserve"> future cryptanalytic advances cannot be completely ruled out.</w:t>
      </w:r>
    </w:p>
    <w:p w14:paraId="634145BE" w14:textId="045E7494" w:rsidR="00093D64" w:rsidRPr="001806F7" w:rsidRDefault="00093D64" w:rsidP="00093D64">
      <w:pPr>
        <w:rPr>
          <w:lang w:val="en-US"/>
        </w:rPr>
      </w:pPr>
      <w:r w:rsidRPr="004459E1">
        <w:t xml:space="preserve">NIST has made significant progress in the standardization of PQC. In August 2024, NIST </w:t>
      </w:r>
      <w:r w:rsidRPr="00E16410">
        <w:t>approved</w:t>
      </w:r>
      <w:r w:rsidRPr="004459E1">
        <w:t xml:space="preserve"> its first set of finalized PQC </w:t>
      </w:r>
      <w:r w:rsidR="00776324">
        <w:t>f</w:t>
      </w:r>
      <w:r w:rsidRPr="004459E1">
        <w:t xml:space="preserve">ederal </w:t>
      </w:r>
      <w:r w:rsidR="00776324">
        <w:t>i</w:t>
      </w:r>
      <w:r w:rsidRPr="004459E1">
        <w:t xml:space="preserve">nformation </w:t>
      </w:r>
      <w:r w:rsidR="00776324">
        <w:t>p</w:t>
      </w:r>
      <w:r w:rsidRPr="004459E1">
        <w:t xml:space="preserve">rocessing </w:t>
      </w:r>
      <w:r w:rsidR="00776324">
        <w:t>s</w:t>
      </w:r>
      <w:r w:rsidRPr="004459E1">
        <w:t>tandards (FIPS), including:</w:t>
      </w:r>
    </w:p>
    <w:p w14:paraId="5A1D62E3" w14:textId="594928E6" w:rsidR="00093D64" w:rsidRPr="004459E1" w:rsidRDefault="005B798D" w:rsidP="005B798D">
      <w:pPr>
        <w:pStyle w:val="enumlev1"/>
      </w:pPr>
      <w:r w:rsidRPr="005B798D">
        <w:rPr>
          <w:rFonts w:eastAsia="Batang"/>
        </w:rPr>
        <w:t>–</w:t>
      </w:r>
      <w:r w:rsidR="00093D64" w:rsidRPr="004459E1">
        <w:rPr>
          <w:rFonts w:eastAsia="Batang"/>
        </w:rPr>
        <w:tab/>
      </w:r>
      <w:r w:rsidR="00093D64">
        <w:t>[b-</w:t>
      </w:r>
      <w:r w:rsidR="00CA5053">
        <w:t xml:space="preserve">NIST </w:t>
      </w:r>
      <w:r w:rsidR="00093D64" w:rsidRPr="004459E1">
        <w:t>FIPS 203</w:t>
      </w:r>
      <w:r w:rsidR="00093D64">
        <w:t>]</w:t>
      </w:r>
      <w:r w:rsidR="00093D64" w:rsidRPr="004459E1">
        <w:t>: Module</w:t>
      </w:r>
      <w:r w:rsidR="00093D64" w:rsidRPr="004459E1">
        <w:noBreakHyphen/>
      </w:r>
      <w:r w:rsidR="0011414F">
        <w:t>l</w:t>
      </w:r>
      <w:r w:rsidR="00093D64" w:rsidRPr="004459E1">
        <w:t>attice</w:t>
      </w:r>
      <w:r w:rsidR="00093D64" w:rsidRPr="004459E1">
        <w:noBreakHyphen/>
      </w:r>
      <w:r w:rsidR="0011414F">
        <w:t>b</w:t>
      </w:r>
      <w:r w:rsidR="00093D64" w:rsidRPr="004459E1">
        <w:t xml:space="preserve">ased </w:t>
      </w:r>
      <w:r w:rsidR="0011414F">
        <w:t>k</w:t>
      </w:r>
      <w:r w:rsidR="00093D64" w:rsidRPr="004459E1">
        <w:t>ey</w:t>
      </w:r>
      <w:r w:rsidR="003B644F">
        <w:t>-</w:t>
      </w:r>
      <w:r w:rsidR="0011414F">
        <w:t>e</w:t>
      </w:r>
      <w:r w:rsidR="00093D64" w:rsidRPr="004459E1">
        <w:t xml:space="preserve">ncapsulation </w:t>
      </w:r>
      <w:r w:rsidR="0011414F">
        <w:t>m</w:t>
      </w:r>
      <w:r w:rsidR="00093D64" w:rsidRPr="004459E1">
        <w:t>echanism (ML</w:t>
      </w:r>
      <w:r w:rsidR="00093D64" w:rsidRPr="004459E1">
        <w:noBreakHyphen/>
        <w:t>KEM);</w:t>
      </w:r>
    </w:p>
    <w:p w14:paraId="346788A4" w14:textId="1A5F9B1E" w:rsidR="00093D64" w:rsidRPr="004459E1" w:rsidRDefault="005B798D" w:rsidP="005B798D">
      <w:pPr>
        <w:pStyle w:val="enumlev1"/>
      </w:pPr>
      <w:r w:rsidRPr="005B798D">
        <w:rPr>
          <w:rFonts w:eastAsia="Batang"/>
        </w:rPr>
        <w:t>–</w:t>
      </w:r>
      <w:r w:rsidR="00093D64" w:rsidRPr="004459E1">
        <w:rPr>
          <w:rFonts w:eastAsia="Batang"/>
        </w:rPr>
        <w:tab/>
      </w:r>
      <w:r w:rsidR="00093D64">
        <w:t>[b-</w:t>
      </w:r>
      <w:r w:rsidR="008553D1">
        <w:t xml:space="preserve">NIST </w:t>
      </w:r>
      <w:r w:rsidR="00093D64" w:rsidRPr="004459E1">
        <w:t>FIPS 204</w:t>
      </w:r>
      <w:r w:rsidR="00093D64">
        <w:t>]</w:t>
      </w:r>
      <w:r w:rsidR="00093D64" w:rsidRPr="004459E1">
        <w:t>: Module</w:t>
      </w:r>
      <w:r w:rsidR="00093D64" w:rsidRPr="004459E1">
        <w:noBreakHyphen/>
      </w:r>
      <w:r w:rsidR="00727FB9">
        <w:t>l</w:t>
      </w:r>
      <w:r w:rsidR="00093D64" w:rsidRPr="004459E1">
        <w:t>attice</w:t>
      </w:r>
      <w:r w:rsidR="00093D64" w:rsidRPr="004459E1">
        <w:noBreakHyphen/>
      </w:r>
      <w:r w:rsidR="00727FB9">
        <w:t>b</w:t>
      </w:r>
      <w:r w:rsidR="00093D64" w:rsidRPr="004459E1">
        <w:t xml:space="preserve">ased </w:t>
      </w:r>
      <w:r w:rsidR="00727FB9">
        <w:t>d</w:t>
      </w:r>
      <w:r w:rsidR="00093D64" w:rsidRPr="004459E1">
        <w:t xml:space="preserve">igital </w:t>
      </w:r>
      <w:r w:rsidR="00727FB9">
        <w:t>s</w:t>
      </w:r>
      <w:r w:rsidR="00093D64" w:rsidRPr="004459E1">
        <w:t xml:space="preserve">ignature </w:t>
      </w:r>
      <w:r w:rsidR="00727FB9">
        <w:t>a</w:t>
      </w:r>
      <w:r w:rsidR="00093D64" w:rsidRPr="004459E1">
        <w:t>lgorithm (ML</w:t>
      </w:r>
      <w:r w:rsidR="00093D64" w:rsidRPr="004459E1">
        <w:noBreakHyphen/>
        <w:t>DSA);</w:t>
      </w:r>
    </w:p>
    <w:p w14:paraId="02F1BDD2" w14:textId="02F6FFFE" w:rsidR="00093D64" w:rsidRDefault="005B798D" w:rsidP="005B798D">
      <w:pPr>
        <w:pStyle w:val="enumlev1"/>
      </w:pPr>
      <w:r w:rsidRPr="005B798D">
        <w:rPr>
          <w:rFonts w:eastAsia="Batang"/>
        </w:rPr>
        <w:t>–</w:t>
      </w:r>
      <w:r w:rsidR="00093D64">
        <w:rPr>
          <w:rFonts w:eastAsia="Batang"/>
        </w:rPr>
        <w:tab/>
      </w:r>
      <w:r w:rsidR="00093D64">
        <w:t>[b-</w:t>
      </w:r>
      <w:r w:rsidR="008553D1">
        <w:t xml:space="preserve">NIST </w:t>
      </w:r>
      <w:r w:rsidR="00093D64" w:rsidRPr="004459E1">
        <w:t>FIPS 205</w:t>
      </w:r>
      <w:r w:rsidR="00093D64">
        <w:t>]</w:t>
      </w:r>
      <w:r w:rsidR="00093D64" w:rsidRPr="004459E1">
        <w:t xml:space="preserve">: Stateless </w:t>
      </w:r>
      <w:r w:rsidR="00727FB9">
        <w:t>h</w:t>
      </w:r>
      <w:r w:rsidR="00093D64" w:rsidRPr="004459E1">
        <w:t>ash</w:t>
      </w:r>
      <w:r w:rsidR="00093D64" w:rsidRPr="004459E1">
        <w:noBreakHyphen/>
      </w:r>
      <w:r w:rsidR="008C0DFA">
        <w:t>b</w:t>
      </w:r>
      <w:r w:rsidR="00093D64" w:rsidRPr="004459E1">
        <w:t xml:space="preserve">ased </w:t>
      </w:r>
      <w:r w:rsidR="008C0DFA">
        <w:t>d</w:t>
      </w:r>
      <w:r w:rsidR="00093D64" w:rsidRPr="004459E1">
        <w:t xml:space="preserve">igital </w:t>
      </w:r>
      <w:r w:rsidR="008C0DFA">
        <w:t>s</w:t>
      </w:r>
      <w:r w:rsidR="00093D64" w:rsidRPr="004459E1">
        <w:t xml:space="preserve">ignature </w:t>
      </w:r>
      <w:r w:rsidR="008C0DFA">
        <w:t>a</w:t>
      </w:r>
      <w:r w:rsidR="00093D64" w:rsidRPr="004459E1">
        <w:t>lgorithm (SLH</w:t>
      </w:r>
      <w:r w:rsidR="00093D64" w:rsidRPr="004459E1">
        <w:noBreakHyphen/>
        <w:t>DSA)</w:t>
      </w:r>
      <w:r w:rsidR="00093D64">
        <w:t>;</w:t>
      </w:r>
    </w:p>
    <w:p w14:paraId="0F0BC449" w14:textId="7C6C3641" w:rsidR="00093D64" w:rsidRPr="004459E1" w:rsidRDefault="005B798D" w:rsidP="005B798D">
      <w:pPr>
        <w:pStyle w:val="enumlev1"/>
      </w:pPr>
      <w:r w:rsidRPr="005B798D">
        <w:rPr>
          <w:rFonts w:eastAsia="Batang"/>
        </w:rPr>
        <w:t>–</w:t>
      </w:r>
      <w:r w:rsidR="00093D64" w:rsidRPr="004459E1">
        <w:rPr>
          <w:rFonts w:eastAsia="Batang"/>
        </w:rPr>
        <w:tab/>
      </w:r>
      <w:r w:rsidR="00093D64" w:rsidRPr="00AA45F7">
        <w:t>[b-NIST I</w:t>
      </w:r>
      <w:r w:rsidR="00093D64">
        <w:t>R</w:t>
      </w:r>
      <w:r w:rsidR="00093D64" w:rsidRPr="00AA45F7">
        <w:t xml:space="preserve"> 8545</w:t>
      </w:r>
      <w:r w:rsidR="00093D64">
        <w:t xml:space="preserve">]: </w:t>
      </w:r>
      <w:r w:rsidR="00093D64" w:rsidRPr="000930A1">
        <w:t xml:space="preserve">Status </w:t>
      </w:r>
      <w:r w:rsidR="0085698C">
        <w:t>r</w:t>
      </w:r>
      <w:r w:rsidR="00093D64" w:rsidRPr="000930A1">
        <w:t xml:space="preserve">eport on the </w:t>
      </w:r>
      <w:r w:rsidR="0085698C">
        <w:t>f</w:t>
      </w:r>
      <w:r w:rsidR="00093D64" w:rsidRPr="000930A1">
        <w:t xml:space="preserve">ourth </w:t>
      </w:r>
      <w:r w:rsidR="0085698C">
        <w:t>r</w:t>
      </w:r>
      <w:r w:rsidR="00093D64" w:rsidRPr="000930A1">
        <w:t xml:space="preserve">ound of the NIST </w:t>
      </w:r>
      <w:r w:rsidR="0085698C">
        <w:t>p</w:t>
      </w:r>
      <w:r w:rsidR="00093D64" w:rsidRPr="000930A1">
        <w:t>ost-</w:t>
      </w:r>
      <w:r w:rsidR="0085698C">
        <w:t>q</w:t>
      </w:r>
      <w:r w:rsidR="00093D64" w:rsidRPr="000930A1">
        <w:t xml:space="preserve">uantum </w:t>
      </w:r>
      <w:r w:rsidR="0085698C">
        <w:t>c</w:t>
      </w:r>
      <w:r w:rsidR="00093D64" w:rsidRPr="000930A1">
        <w:t xml:space="preserve">ryptography </w:t>
      </w:r>
      <w:r w:rsidR="0085698C">
        <w:t>s</w:t>
      </w:r>
      <w:r w:rsidR="00093D64" w:rsidRPr="000930A1">
        <w:t xml:space="preserve">tandardization </w:t>
      </w:r>
      <w:r w:rsidR="0085698C">
        <w:t>p</w:t>
      </w:r>
      <w:r w:rsidR="00093D64" w:rsidRPr="000930A1">
        <w:t>rocess</w:t>
      </w:r>
      <w:r w:rsidR="00093D64" w:rsidRPr="004459E1">
        <w:t>.</w:t>
      </w:r>
    </w:p>
    <w:p w14:paraId="5175D154" w14:textId="77777777" w:rsidR="00093D64" w:rsidRPr="004459E1" w:rsidRDefault="00093D64" w:rsidP="00093D64">
      <w:r w:rsidRPr="004459E1">
        <w:t>With the publication of these standards, NIST has formally initiated the migration phase toward post</w:t>
      </w:r>
      <w:r w:rsidRPr="004459E1">
        <w:noBreakHyphen/>
        <w:t>quantum cryptography and recommends that organizations begin transitioning their systems accordingly. However, the integration of these algorithms into widely deployed security protocols, operational networks, and commercial products is still ongoing. Additional standardization activities by other standards development organizations (SDOs) are expected to be necessary to ensure interoperability, operational consistency, and deployment guidance across diverse communication environments. For example, ITU</w:t>
      </w:r>
      <w:r w:rsidRPr="004459E1">
        <w:noBreakHyphen/>
        <w:t>T SG17 has also started work items on PQC migration for PKI</w:t>
      </w:r>
      <w:r w:rsidRPr="004459E1">
        <w:noBreakHyphen/>
        <w:t>related Recommendations in the X.500 series.</w:t>
      </w:r>
    </w:p>
    <w:p w14:paraId="2FEC65D3" w14:textId="5E6A5D63" w:rsidR="00093D64" w:rsidRPr="004459E1" w:rsidRDefault="00093D64" w:rsidP="00093D64">
      <w:r w:rsidRPr="004459E1">
        <w:t xml:space="preserve">During this transition period, hybrid approaches combining multiple cryptographic techniques have been widely discussed and recommended within the cryptographic community, including by NIST. Such approaches may combine classical cryptography and PQC, or combine QKD with PQC, </w:t>
      </w:r>
      <w:proofErr w:type="gramStart"/>
      <w:r w:rsidRPr="004459E1">
        <w:t>in order to</w:t>
      </w:r>
      <w:proofErr w:type="gramEnd"/>
      <w:r w:rsidRPr="004459E1">
        <w:t xml:space="preserve"> mitigate uncertainties associated with individual technologies and to provide defen</w:t>
      </w:r>
      <w:r w:rsidR="008D0A15">
        <w:t>c</w:t>
      </w:r>
      <w:r w:rsidRPr="004459E1">
        <w:t>e</w:t>
      </w:r>
      <w:r w:rsidRPr="004459E1">
        <w:noBreakHyphen/>
        <w:t>in</w:t>
      </w:r>
      <w:r w:rsidRPr="004459E1">
        <w:noBreakHyphen/>
        <w:t>depth for quantum-safe communications.</w:t>
      </w:r>
    </w:p>
    <w:p w14:paraId="1B0B0F1F" w14:textId="17974A9E" w:rsidR="00093D64" w:rsidRPr="004459E1" w:rsidRDefault="00093D64" w:rsidP="00093D64">
      <w:r w:rsidRPr="004459E1">
        <w:t>In existing ITU</w:t>
      </w:r>
      <w:r w:rsidRPr="004459E1">
        <w:noBreakHyphen/>
        <w:t xml:space="preserve">T </w:t>
      </w:r>
      <w:r>
        <w:t>documents</w:t>
      </w:r>
      <w:r w:rsidRPr="004459E1">
        <w:t>, QKDN specifications focus on key management functions within QKDNs to supply keys to cryptographic applications. To realize quantum-safe communications using hybrid approaches that involve both QKD and PQC, it is important for service providers and network operators to be able to consider all available technologies and select appropriate combinations depending on use cases, operational assumptions, and deployment constraints.</w:t>
      </w:r>
    </w:p>
    <w:p w14:paraId="124FC5F9" w14:textId="77777777" w:rsidR="00093D64" w:rsidRPr="00FD0FF7" w:rsidRDefault="00093D64" w:rsidP="00093D64">
      <w:r w:rsidRPr="004459E1">
        <w:t>Given the current situation, where each candidate technology (QKD, PQC, and classical cryptography) has been developed based on different assumptions and target scenarios, it is beneficial to study key management architectures that support hybrid approaches combining QKD and PQC in comparison with the current key management mechanisms defined for QKDNs. Such a study can help identify representative use cases and deployment scenarios, clarify roles and interactions among different technologies, and derive additional requirements and gaps that need to be addressed to enable practical and interoperable quantum-safe communications.</w:t>
      </w:r>
    </w:p>
    <w:p w14:paraId="196A8D4B" w14:textId="77777777" w:rsidR="00093D64" w:rsidRDefault="00093D64" w:rsidP="005B798D">
      <w:pPr>
        <w:pStyle w:val="Heading1"/>
        <w:rPr>
          <w:rFonts w:eastAsia="Arial Unicode MS"/>
          <w:szCs w:val="22"/>
          <w:lang w:val="en-US"/>
        </w:rPr>
      </w:pPr>
      <w:bookmarkStart w:id="107" w:name="_Toc256000018"/>
      <w:bookmarkStart w:id="108" w:name="_Toc206673909"/>
      <w:bookmarkStart w:id="109" w:name="_Toc238199006"/>
      <w:bookmarkStart w:id="110" w:name="_Toc243546263"/>
      <w:r>
        <w:rPr>
          <w:rFonts w:eastAsia="Arial Unicode MS" w:hint="eastAsia"/>
          <w:szCs w:val="22"/>
          <w:lang w:val="en-US"/>
        </w:rPr>
        <w:t>6</w:t>
      </w:r>
      <w:r>
        <w:rPr>
          <w:rFonts w:eastAsia="Arial Unicode MS" w:hint="eastAsia"/>
          <w:szCs w:val="22"/>
          <w:lang w:val="en-US"/>
        </w:rPr>
        <w:tab/>
      </w:r>
      <w:r>
        <w:rPr>
          <w:rFonts w:eastAsia="Arial Unicode MS"/>
        </w:rPr>
        <w:t>Key management of hybrid approaches for quantum-safe communications and service scenarios</w:t>
      </w:r>
      <w:bookmarkEnd w:id="107"/>
      <w:bookmarkEnd w:id="108"/>
      <w:bookmarkEnd w:id="109"/>
      <w:bookmarkEnd w:id="110"/>
    </w:p>
    <w:p w14:paraId="27BB33B0" w14:textId="77777777" w:rsidR="00093D64" w:rsidRPr="001806F7" w:rsidRDefault="00093D64" w:rsidP="005B798D">
      <w:pPr>
        <w:pStyle w:val="Heading2"/>
      </w:pPr>
      <w:bookmarkStart w:id="111" w:name="_Toc256000019"/>
      <w:bookmarkStart w:id="112" w:name="_Toc238199007"/>
      <w:bookmarkStart w:id="113" w:name="_Toc243546264"/>
      <w:r w:rsidRPr="001806F7">
        <w:rPr>
          <w:rFonts w:hint="eastAsia"/>
          <w:bCs/>
        </w:rPr>
        <w:t>6.1</w:t>
      </w:r>
      <w:r w:rsidRPr="001806F7">
        <w:rPr>
          <w:rFonts w:hint="eastAsia"/>
          <w:bCs/>
        </w:rPr>
        <w:tab/>
      </w:r>
      <w:r w:rsidRPr="00464A54">
        <w:rPr>
          <w:rFonts w:eastAsia="SimSun"/>
        </w:rPr>
        <w:t>Review</w:t>
      </w:r>
      <w:r w:rsidRPr="00A564CF">
        <w:rPr>
          <w:rFonts w:eastAsia="SimSun"/>
        </w:rPr>
        <w:t xml:space="preserve"> of documents on key management in QKDN in ITU-T SG 17</w:t>
      </w:r>
      <w:bookmarkEnd w:id="111"/>
      <w:bookmarkEnd w:id="112"/>
      <w:bookmarkEnd w:id="113"/>
      <w:r w:rsidRPr="001806F7">
        <w:t xml:space="preserve"> </w:t>
      </w:r>
    </w:p>
    <w:p w14:paraId="53BABEAD" w14:textId="77777777" w:rsidR="00093D64" w:rsidRPr="004459E1" w:rsidRDefault="00093D64" w:rsidP="005B798D">
      <w:r w:rsidRPr="004459E1">
        <w:t xml:space="preserve">ITU-T SG17 has published several </w:t>
      </w:r>
      <w:r>
        <w:t>documents</w:t>
      </w:r>
      <w:r w:rsidRPr="004459E1">
        <w:t xml:space="preserve"> related to key management in QKDNs, as follows:</w:t>
      </w:r>
    </w:p>
    <w:p w14:paraId="3E31E796" w14:textId="6F845166" w:rsidR="00093D64" w:rsidRDefault="00093D64" w:rsidP="005B798D">
      <w:pPr>
        <w:pStyle w:val="enumlev1"/>
      </w:pPr>
      <w:r>
        <w:t>1)</w:t>
      </w:r>
      <w:r>
        <w:tab/>
      </w:r>
      <w:r w:rsidRPr="004459E1">
        <w:t>Recommendation ITU-T X.1712</w:t>
      </w:r>
      <w:r w:rsidRPr="00480A33">
        <w:t xml:space="preserve"> </w:t>
      </w:r>
      <w:r w:rsidR="005B798D">
        <w:t>'</w:t>
      </w:r>
      <w:r w:rsidRPr="004459E1">
        <w:t xml:space="preserve">Security requirements and measures for quantum key distribution networks – key </w:t>
      </w:r>
      <w:r w:rsidRPr="00480A33">
        <w:t>management</w:t>
      </w:r>
      <w:r w:rsidR="005B798D">
        <w:t>'</w:t>
      </w:r>
      <w:r w:rsidR="00147672">
        <w:t>.</w:t>
      </w:r>
    </w:p>
    <w:p w14:paraId="1B8E3F2F" w14:textId="759A9EE9" w:rsidR="00093D64" w:rsidRPr="004459E1" w:rsidRDefault="00093D64" w:rsidP="005B798D">
      <w:r>
        <w:t xml:space="preserve">[b-ITU-T </w:t>
      </w:r>
      <w:r w:rsidRPr="004459E1">
        <w:t>X.1712</w:t>
      </w:r>
      <w:r>
        <w:t>]</w:t>
      </w:r>
      <w:r w:rsidRPr="004459E1">
        <w:t xml:space="preserve"> specifies security threats and security requirements for key management in QKDNs, and security measures for key management to meet those security requirements. This Recommendation also provides support for the design, implementation, and operation of key management in QKDNs. This Recommendation addresses key management inside QKDNs, which </w:t>
      </w:r>
      <w:r w:rsidRPr="00FD0FF7">
        <w:t>is</w:t>
      </w:r>
      <w:r w:rsidRPr="004459E1">
        <w:t xml:space="preserve"> all </w:t>
      </w:r>
      <w:r w:rsidR="007D40F8">
        <w:t xml:space="preserve">the </w:t>
      </w:r>
      <w:r w:rsidRPr="004459E1">
        <w:t xml:space="preserve">activities performed on keys during their life cycle starting from their reception from the </w:t>
      </w:r>
      <w:r w:rsidRPr="004459E1">
        <w:lastRenderedPageBreak/>
        <w:t xml:space="preserve">quantum layer, </w:t>
      </w:r>
      <w:r w:rsidRPr="00FD0FF7">
        <w:t xml:space="preserve">the </w:t>
      </w:r>
      <w:r w:rsidRPr="004459E1">
        <w:t xml:space="preserve">storage, formatting, relay, synchronization, authentication, </w:t>
      </w:r>
      <w:r w:rsidRPr="00FD0FF7">
        <w:t xml:space="preserve">to </w:t>
      </w:r>
      <w:r w:rsidRPr="004459E1">
        <w:t xml:space="preserve">supply to cryptographic </w:t>
      </w:r>
      <w:r w:rsidRPr="00FD0FF7">
        <w:t>application</w:t>
      </w:r>
      <w:r w:rsidRPr="004459E1">
        <w:t xml:space="preserve"> and </w:t>
      </w:r>
      <w:r w:rsidRPr="00FD0FF7">
        <w:t>delete</w:t>
      </w:r>
      <w:r w:rsidRPr="004459E1">
        <w:t xml:space="preserve"> or </w:t>
      </w:r>
      <w:r w:rsidRPr="00FD0FF7">
        <w:t>preserve</w:t>
      </w:r>
      <w:r w:rsidRPr="004459E1">
        <w:t xml:space="preserve"> depending on the key management policy.</w:t>
      </w:r>
    </w:p>
    <w:p w14:paraId="3B1AB1CF" w14:textId="7E96F507" w:rsidR="00093D64" w:rsidRDefault="00093D64" w:rsidP="005B798D">
      <w:pPr>
        <w:pStyle w:val="enumlev1"/>
      </w:pPr>
      <w:r>
        <w:t>2)</w:t>
      </w:r>
      <w:r>
        <w:tab/>
      </w:r>
      <w:r w:rsidRPr="004459E1">
        <w:t>Recommendation ITU-T X.1714</w:t>
      </w:r>
      <w:r w:rsidRPr="005D1D11">
        <w:rPr>
          <w:rFonts w:eastAsia="Mincho"/>
        </w:rPr>
        <w:t xml:space="preserve"> </w:t>
      </w:r>
      <w:r w:rsidR="005B798D">
        <w:rPr>
          <w:rFonts w:eastAsia="Mincho"/>
        </w:rPr>
        <w:t>'</w:t>
      </w:r>
      <w:r w:rsidRPr="004459E1">
        <w:t xml:space="preserve">Key combination and confidential key supply for quantum key distribution </w:t>
      </w:r>
      <w:r w:rsidRPr="005D1D11">
        <w:rPr>
          <w:rFonts w:eastAsia="Mincho"/>
        </w:rPr>
        <w:t>networks</w:t>
      </w:r>
      <w:r w:rsidR="005B798D">
        <w:rPr>
          <w:rFonts w:eastAsia="Mincho"/>
        </w:rPr>
        <w:t>'</w:t>
      </w:r>
      <w:r w:rsidR="007D40F8">
        <w:rPr>
          <w:rFonts w:eastAsia="Mincho"/>
        </w:rPr>
        <w:t>.</w:t>
      </w:r>
    </w:p>
    <w:p w14:paraId="0A2433D6" w14:textId="77777777" w:rsidR="00093D64" w:rsidRPr="004459E1" w:rsidRDefault="00093D64" w:rsidP="005B798D">
      <w:r>
        <w:t>[b-</w:t>
      </w:r>
      <w:r w:rsidRPr="004459E1">
        <w:t>ITU-T X.1714</w:t>
      </w:r>
      <w:r>
        <w:t>]</w:t>
      </w:r>
      <w:r w:rsidRPr="004459E1">
        <w:t xml:space="preserve"> describes key combination methods for </w:t>
      </w:r>
      <w:r w:rsidRPr="00FD0FF7">
        <w:t>QKDN</w:t>
      </w:r>
      <w:r w:rsidRPr="004459E1">
        <w:t xml:space="preserve"> and specifies security requirements for both key combination and key supply from QKDNs to cryptographic applications. </w:t>
      </w:r>
      <w:proofErr w:type="gramStart"/>
      <w:r w:rsidRPr="004459E1">
        <w:t>In particular, this</w:t>
      </w:r>
      <w:proofErr w:type="gramEnd"/>
      <w:r w:rsidRPr="004459E1">
        <w:t xml:space="preserve"> Recommendation addresses the following points:</w:t>
      </w:r>
    </w:p>
    <w:p w14:paraId="29E53FDB" w14:textId="5DCF5427" w:rsidR="00093D64" w:rsidRPr="00A05E99" w:rsidRDefault="005B798D" w:rsidP="005B798D">
      <w:pPr>
        <w:pStyle w:val="enumlev1"/>
      </w:pPr>
      <w:r w:rsidRPr="005B798D">
        <w:rPr>
          <w:rFonts w:eastAsia="Batang"/>
        </w:rPr>
        <w:t>–</w:t>
      </w:r>
      <w:r w:rsidR="00093D64" w:rsidRPr="00A05E99">
        <w:rPr>
          <w:rFonts w:eastAsia="Batang"/>
        </w:rPr>
        <w:tab/>
      </w:r>
      <w:r w:rsidR="00093D64">
        <w:t>T</w:t>
      </w:r>
      <w:r w:rsidR="00093D64" w:rsidRPr="004459E1">
        <w:t xml:space="preserve">he security of the combination of keys exchanged through a QKDN and keys exchanged through </w:t>
      </w:r>
      <w:r w:rsidR="00093D64" w:rsidRPr="00A05E99">
        <w:t>other key exchange methods;</w:t>
      </w:r>
    </w:p>
    <w:p w14:paraId="5ACF875A" w14:textId="2B4F765C" w:rsidR="00093D64" w:rsidRPr="00A05E99" w:rsidRDefault="005B798D" w:rsidP="005B798D">
      <w:pPr>
        <w:pStyle w:val="enumlev1"/>
      </w:pPr>
      <w:r w:rsidRPr="005B798D">
        <w:rPr>
          <w:rFonts w:eastAsia="Batang"/>
        </w:rPr>
        <w:t>–</w:t>
      </w:r>
      <w:r w:rsidR="00093D64" w:rsidRPr="00A05E99">
        <w:rPr>
          <w:rFonts w:eastAsia="Batang"/>
        </w:rPr>
        <w:tab/>
      </w:r>
      <w:r>
        <w:t>T</w:t>
      </w:r>
      <w:r w:rsidR="00093D64" w:rsidRPr="00A05E99">
        <w:t>he security of the key supply from a QKDN to cryptographic applications.</w:t>
      </w:r>
    </w:p>
    <w:p w14:paraId="1D2BC73D" w14:textId="32D9119C" w:rsidR="00093D64" w:rsidRPr="00E16D54" w:rsidRDefault="002B41B0" w:rsidP="005B798D">
      <w:pPr>
        <w:pStyle w:val="Figure"/>
        <w:rPr>
          <w:rFonts w:eastAsia="Malgun Gothic"/>
          <w:lang w:eastAsia="ko-KR"/>
        </w:rPr>
      </w:pPr>
      <w:r>
        <w:rPr>
          <w:rFonts w:eastAsia="Malgun Gothic"/>
          <w:noProof/>
          <w:lang w:eastAsia="ko-KR"/>
        </w:rPr>
        <w:drawing>
          <wp:inline distT="0" distB="0" distL="0" distR="0" wp14:anchorId="4C8566C3" wp14:editId="7D7F36FB">
            <wp:extent cx="1883668" cy="2167132"/>
            <wp:effectExtent l="0" t="0" r="2540" b="5080"/>
            <wp:docPr id="1240303325" name="Picture 1" descr="Key combination method for QK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03325" name="Picture 1" descr="Key combination method for QKD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3668" cy="2167132"/>
                    </a:xfrm>
                    <a:prstGeom prst="rect">
                      <a:avLst/>
                    </a:prstGeom>
                  </pic:spPr>
                </pic:pic>
              </a:graphicData>
            </a:graphic>
          </wp:inline>
        </w:drawing>
      </w:r>
    </w:p>
    <w:p w14:paraId="33874089" w14:textId="77777777" w:rsidR="00093D64" w:rsidRPr="00FD0FF7" w:rsidRDefault="00093D64" w:rsidP="005B798D">
      <w:pPr>
        <w:pStyle w:val="FigureNoTitle"/>
      </w:pPr>
      <w:r w:rsidRPr="00FD0FF7">
        <w:t>Figure 1 – Key combination method for QKDN</w:t>
      </w:r>
    </w:p>
    <w:p w14:paraId="66C38549" w14:textId="3944DDF2" w:rsidR="00093D64" w:rsidRPr="00A05E99" w:rsidRDefault="00093D64" w:rsidP="005B798D">
      <w:pPr>
        <w:pStyle w:val="Normalaftertitle"/>
      </w:pPr>
      <w:r w:rsidRPr="00A05E99">
        <w:t xml:space="preserve">Figure 1 in </w:t>
      </w:r>
      <w:r>
        <w:t>[</w:t>
      </w:r>
      <w:r w:rsidR="004E3B3F">
        <w:t>b-</w:t>
      </w:r>
      <w:r w:rsidRPr="00A05E99">
        <w:t>ITU-T X.1714</w:t>
      </w:r>
      <w:r>
        <w:t>]</w:t>
      </w:r>
      <w:r w:rsidRPr="00A05E99">
        <w:t xml:space="preserve"> shows a general description of the key combination considered in this Recommendation. It consists of a key combiner that transforms two or more input keys supplied by different key exchange methods into a combined key. One of the input keys is supplied by a QKD</w:t>
      </w:r>
      <w:r w:rsidRPr="00A05E99">
        <w:noBreakHyphen/>
        <w:t>based key exchange.</w:t>
      </w:r>
    </w:p>
    <w:p w14:paraId="75DD203A" w14:textId="2F5A083D" w:rsidR="00093D64" w:rsidRPr="00A05E99" w:rsidRDefault="00093D64" w:rsidP="00093D64">
      <w:r w:rsidRPr="00A05E99">
        <w:t>When the key combiner is located outside the QKDN and is used in the service layer, the QKD</w:t>
      </w:r>
      <w:r w:rsidRPr="00A05E99">
        <w:noBreakHyphen/>
        <w:t xml:space="preserve">based key exchange is a key exchange performed by the QKDN. When the key combiner </w:t>
      </w:r>
      <w:proofErr w:type="gramStart"/>
      <w:r w:rsidRPr="00A05E99">
        <w:t>is located in</w:t>
      </w:r>
      <w:proofErr w:type="gramEnd"/>
      <w:r w:rsidRPr="00A05E99">
        <w:t xml:space="preserve"> the QKDN, the QKD</w:t>
      </w:r>
      <w:r w:rsidRPr="00A05E99">
        <w:noBreakHyphen/>
        <w:t>based key exchange is a key exchange between QKD modules, with or without key relays. The other input keys can be provided by any</w:t>
      </w:r>
      <w:r w:rsidRPr="00FD0FF7">
        <w:t xml:space="preserve"> kind of</w:t>
      </w:r>
      <w:r w:rsidRPr="00A05E99">
        <w:t xml:space="preserve"> method allowing the exchange of symmetric keys between two nodes, including cryptographic means and physical means (e.g.</w:t>
      </w:r>
      <w:r w:rsidR="001808ED">
        <w:t>,</w:t>
      </w:r>
      <w:r w:rsidRPr="00A05E99">
        <w:t xml:space="preserve"> subscriber identity module (SIM) </w:t>
      </w:r>
      <w:r w:rsidRPr="00FD0FF7">
        <w:t>card</w:t>
      </w:r>
      <w:r w:rsidRPr="00A05E99">
        <w:t>).</w:t>
      </w:r>
    </w:p>
    <w:p w14:paraId="3F2A41B0" w14:textId="74C0EBDB" w:rsidR="00093D64" w:rsidRPr="00A05E99" w:rsidRDefault="00093D64" w:rsidP="00093D64">
      <w:r w:rsidRPr="00A05E99">
        <w:t xml:space="preserve">If the key combiner is located outside the QKDN and is used as a cryptographic application, the requirements fully depend on the policy of the </w:t>
      </w:r>
      <w:r w:rsidRPr="00FD0FF7">
        <w:t xml:space="preserve">user of the </w:t>
      </w:r>
      <w:r w:rsidRPr="00A05E99">
        <w:t xml:space="preserve">application. Specification of the security requirements in this case is outside the scope of </w:t>
      </w:r>
      <w:r>
        <w:t>[</w:t>
      </w:r>
      <w:r w:rsidR="004E3B3F">
        <w:t>b-</w:t>
      </w:r>
      <w:r w:rsidRPr="00A05E99">
        <w:t>ITU-T X.1714</w:t>
      </w:r>
      <w:r>
        <w:t>]</w:t>
      </w:r>
      <w:r w:rsidRPr="00A05E99">
        <w:t>.</w:t>
      </w:r>
    </w:p>
    <w:p w14:paraId="5326D713" w14:textId="623F44A2" w:rsidR="00093D64" w:rsidRDefault="00093D64" w:rsidP="005B798D">
      <w:pPr>
        <w:pStyle w:val="enumlev1"/>
      </w:pPr>
      <w:r>
        <w:t>3)</w:t>
      </w:r>
      <w:r>
        <w:tab/>
      </w:r>
      <w:r w:rsidRPr="00A05E99">
        <w:t>XSTR-HYB-QKD</w:t>
      </w:r>
      <w:r w:rsidRPr="005D1D11">
        <w:rPr>
          <w:rFonts w:eastAsia="Malgun Gothic"/>
          <w:lang w:eastAsia="ko-KR"/>
        </w:rPr>
        <w:t xml:space="preserve"> </w:t>
      </w:r>
      <w:r w:rsidR="00804351">
        <w:rPr>
          <w:rFonts w:eastAsia="Malgun Gothic"/>
          <w:lang w:eastAsia="ko-KR"/>
        </w:rPr>
        <w:t>"</w:t>
      </w:r>
      <w:r w:rsidRPr="00A05E99">
        <w:t xml:space="preserve">Overview of hybrid approaches for key exchange with quantum key </w:t>
      </w:r>
      <w:r w:rsidRPr="005D1D11">
        <w:rPr>
          <w:rFonts w:eastAsia="Malgun Gothic"/>
          <w:lang w:eastAsia="ko-KR"/>
        </w:rPr>
        <w:t>distributions</w:t>
      </w:r>
      <w:r w:rsidR="00804351">
        <w:rPr>
          <w:rFonts w:eastAsia="Malgun Gothic"/>
          <w:lang w:eastAsia="ko-KR"/>
        </w:rPr>
        <w:t>"</w:t>
      </w:r>
      <w:r w:rsidR="007D40F8">
        <w:rPr>
          <w:rFonts w:eastAsia="Malgun Gothic"/>
          <w:lang w:eastAsia="ko-KR"/>
        </w:rPr>
        <w:t>.</w:t>
      </w:r>
    </w:p>
    <w:p w14:paraId="1415E173" w14:textId="77777777" w:rsidR="00093D64" w:rsidRPr="00A05E99" w:rsidRDefault="00093D64" w:rsidP="005B798D">
      <w:r w:rsidRPr="00A05E99">
        <w:t>This Technical Report provides a landscape of standardization activities on hybrid approaches for migration towards quantum-safe algorithms or protocols within international, regional, and national organizations. The hybrid approaches covered by this Technical Report focus on key exchange.</w:t>
      </w:r>
    </w:p>
    <w:p w14:paraId="2676C1AF" w14:textId="77777777" w:rsidR="00093D64" w:rsidRPr="001806F7" w:rsidRDefault="00093D64" w:rsidP="005B798D">
      <w:pPr>
        <w:rPr>
          <w:lang w:val="en-US"/>
        </w:rPr>
      </w:pPr>
      <w:r w:rsidRPr="00A05E99">
        <w:t xml:space="preserve">Hybrid approaches for key exchange consist of combining at least two different key exchange </w:t>
      </w:r>
      <w:r w:rsidRPr="00FD0FF7">
        <w:t>methods</w:t>
      </w:r>
      <w:r w:rsidRPr="00325814">
        <w:t xml:space="preserve"> to establish keying material.</w:t>
      </w:r>
      <w:r w:rsidRPr="00A05E99">
        <w:t xml:space="preserve"> This Technical Report studies possible ways to accommodate </w:t>
      </w:r>
      <w:r w:rsidRPr="00325814">
        <w:t>QKD</w:t>
      </w:r>
      <w:r w:rsidRPr="00A05E99">
        <w:t xml:space="preserve"> protocols in the context of hybrid approaches for key exchange. This compatibility is studied for both generic hybrid key exchange </w:t>
      </w:r>
      <w:r>
        <w:t>method</w:t>
      </w:r>
      <w:r w:rsidRPr="00A05E99">
        <w:t xml:space="preserve">s and hybrid key exchange </w:t>
      </w:r>
      <w:r>
        <w:t>method</w:t>
      </w:r>
      <w:r w:rsidRPr="00A05E99">
        <w:t>s specific to certain communication protocols. The scope and objective of this Technical Report are to study how QKD</w:t>
      </w:r>
      <w:r w:rsidRPr="00325814">
        <w:t>-</w:t>
      </w:r>
      <w:r w:rsidRPr="00325814">
        <w:lastRenderedPageBreak/>
        <w:t>generated</w:t>
      </w:r>
      <w:r w:rsidRPr="00A05E99">
        <w:t xml:space="preserve"> keys can be used within </w:t>
      </w:r>
      <w:r w:rsidRPr="00325814">
        <w:t xml:space="preserve">existing </w:t>
      </w:r>
      <w:r w:rsidRPr="00A05E99">
        <w:t xml:space="preserve">key exchange protocols </w:t>
      </w:r>
      <w:r w:rsidRPr="00325814">
        <w:t>or protocols under standardization.</w:t>
      </w:r>
    </w:p>
    <w:p w14:paraId="34F1264D" w14:textId="0C4FEA0F" w:rsidR="00093D64" w:rsidRPr="00A05E99" w:rsidRDefault="00093D64" w:rsidP="00093D64">
      <w:r w:rsidRPr="00A05E99">
        <w:t xml:space="preserve">Although several </w:t>
      </w:r>
      <w:r>
        <w:t>documents</w:t>
      </w:r>
      <w:r w:rsidRPr="00A05E99">
        <w:t xml:space="preserve"> have been published for key management in QKDNs, these </w:t>
      </w:r>
      <w:r>
        <w:t>documents</w:t>
      </w:r>
      <w:r w:rsidRPr="00A05E99">
        <w:t xml:space="preserve"> focus on key management inside QKDNs, meaning that they are </w:t>
      </w:r>
      <w:r w:rsidRPr="00FD0FF7">
        <w:t xml:space="preserve">key management </w:t>
      </w:r>
      <w:r w:rsidRPr="00A05E99">
        <w:t xml:space="preserve">specific to </w:t>
      </w:r>
      <w:r w:rsidRPr="00FD0FF7">
        <w:t>QKDNs.</w:t>
      </w:r>
      <w:r>
        <w:t xml:space="preserve"> </w:t>
      </w:r>
      <w:r w:rsidRPr="00A05E99">
        <w:t xml:space="preserve">While </w:t>
      </w:r>
      <w:r>
        <w:t>[</w:t>
      </w:r>
      <w:r w:rsidR="00804351">
        <w:t>b-</w:t>
      </w:r>
      <w:r w:rsidRPr="00A05E99">
        <w:t>ITU-T XSTR-HYB-QKD</w:t>
      </w:r>
      <w:r>
        <w:t>]</w:t>
      </w:r>
      <w:r w:rsidRPr="00A05E99">
        <w:t xml:space="preserve"> is not specific to QKDNs, it focuses on enabling existing </w:t>
      </w:r>
      <w:r w:rsidRPr="00FD0FF7">
        <w:t>(</w:t>
      </w:r>
      <w:r w:rsidRPr="00A05E99">
        <w:t xml:space="preserve">or </w:t>
      </w:r>
      <w:r w:rsidRPr="00FD0FF7">
        <w:t xml:space="preserve">being </w:t>
      </w:r>
      <w:r w:rsidRPr="00A05E99">
        <w:t>standardized</w:t>
      </w:r>
      <w:r w:rsidRPr="00FD0FF7">
        <w:t>)</w:t>
      </w:r>
      <w:r w:rsidRPr="00A05E99">
        <w:t xml:space="preserve"> cryptographic protocols to accommodate QKD</w:t>
      </w:r>
      <w:r>
        <w:t>-generated</w:t>
      </w:r>
      <w:r w:rsidRPr="00A05E99">
        <w:t xml:space="preserve"> keys </w:t>
      </w:r>
      <w:r w:rsidRPr="00FD0FF7">
        <w:t>inside of</w:t>
      </w:r>
      <w:r w:rsidRPr="00A05E99">
        <w:t xml:space="preserve"> their protocols.</w:t>
      </w:r>
      <w:r w:rsidRPr="00FD0FF7">
        <w:t xml:space="preserve"> </w:t>
      </w:r>
    </w:p>
    <w:p w14:paraId="225715A4" w14:textId="77777777" w:rsidR="00093D64" w:rsidRPr="001806F7" w:rsidRDefault="00093D64" w:rsidP="00093D64">
      <w:pPr>
        <w:rPr>
          <w:lang w:val="en-US"/>
        </w:rPr>
      </w:pPr>
      <w:r w:rsidRPr="00A05E99">
        <w:t xml:space="preserve">None of these </w:t>
      </w:r>
      <w:r>
        <w:t>documents</w:t>
      </w:r>
      <w:r w:rsidRPr="00A05E99">
        <w:t xml:space="preserve"> </w:t>
      </w:r>
      <w:r w:rsidRPr="00EF0FB8">
        <w:t>addresses</w:t>
      </w:r>
      <w:r w:rsidRPr="00A05E99">
        <w:t xml:space="preserve"> key management for quantum-safe </w:t>
      </w:r>
      <w:r w:rsidRPr="00EF0FB8">
        <w:t>communications using</w:t>
      </w:r>
      <w:r w:rsidRPr="00A05E99">
        <w:t xml:space="preserve"> hybrid approaches that combine QKD and PQC from </w:t>
      </w:r>
      <w:r w:rsidRPr="00EF0FB8">
        <w:t>the</w:t>
      </w:r>
      <w:r w:rsidRPr="00A05E99">
        <w:t xml:space="preserve"> user</w:t>
      </w:r>
      <w:r w:rsidRPr="00EF0FB8">
        <w:t>-network</w:t>
      </w:r>
      <w:r w:rsidRPr="00A05E99">
        <w:t xml:space="preserve"> perspective, </w:t>
      </w:r>
      <w:proofErr w:type="gramStart"/>
      <w:r w:rsidRPr="00A05E99">
        <w:t>in order to</w:t>
      </w:r>
      <w:proofErr w:type="gramEnd"/>
      <w:r w:rsidRPr="00A05E99">
        <w:t xml:space="preserve"> leverage available solutions, including QKD</w:t>
      </w:r>
      <w:r w:rsidRPr="00EF0FB8">
        <w:t xml:space="preserve">, according to </w:t>
      </w:r>
      <w:r w:rsidRPr="00A05E99">
        <w:t>use cases</w:t>
      </w:r>
      <w:r w:rsidRPr="00EF0FB8">
        <w:t xml:space="preserve"> and deployment requirements</w:t>
      </w:r>
      <w:r w:rsidRPr="00A05E99">
        <w:t>.</w:t>
      </w:r>
    </w:p>
    <w:p w14:paraId="01E5FADD" w14:textId="77777777" w:rsidR="00093D64" w:rsidRPr="00A564CF" w:rsidRDefault="00093D64" w:rsidP="005B798D">
      <w:pPr>
        <w:pStyle w:val="Heading2"/>
        <w:rPr>
          <w:rFonts w:eastAsia="SimSun"/>
        </w:rPr>
      </w:pPr>
      <w:bookmarkStart w:id="114" w:name="_Toc256000020"/>
      <w:bookmarkStart w:id="115" w:name="_Toc238199008"/>
      <w:bookmarkStart w:id="116" w:name="_Toc243546265"/>
      <w:r w:rsidRPr="00A564CF">
        <w:rPr>
          <w:rFonts w:eastAsia="SimSun" w:hint="eastAsia"/>
          <w:bCs/>
        </w:rPr>
        <w:t>6.2</w:t>
      </w:r>
      <w:r w:rsidRPr="00A564CF">
        <w:rPr>
          <w:rFonts w:eastAsia="SimSun" w:hint="eastAsia"/>
          <w:bCs/>
        </w:rPr>
        <w:tab/>
      </w:r>
      <w:r w:rsidRPr="00464A54">
        <w:rPr>
          <w:rFonts w:eastAsia="SimSun"/>
        </w:rPr>
        <w:t>Concepts</w:t>
      </w:r>
      <w:r w:rsidRPr="00A564CF">
        <w:rPr>
          <w:rFonts w:eastAsia="SimSun"/>
        </w:rPr>
        <w:t xml:space="preserve"> of key management of hybrid approaches</w:t>
      </w:r>
      <w:bookmarkEnd w:id="114"/>
      <w:bookmarkEnd w:id="115"/>
      <w:bookmarkEnd w:id="116"/>
    </w:p>
    <w:p w14:paraId="6ED5B24B" w14:textId="03E410EA" w:rsidR="00093D64" w:rsidRPr="001806F7" w:rsidRDefault="00093D64" w:rsidP="004E3B3F">
      <w:pPr>
        <w:rPr>
          <w:lang w:val="en-US"/>
        </w:rPr>
      </w:pPr>
      <w:r w:rsidRPr="00A05E99">
        <w:t>Figure 2 depicts the concept of global key management for hybrid approaches</w:t>
      </w:r>
      <w:r w:rsidRPr="00FD0FF7">
        <w:t xml:space="preserve"> </w:t>
      </w:r>
      <w:r w:rsidRPr="00DC7B19">
        <w:t>in comparison with</w:t>
      </w:r>
      <w:r w:rsidRPr="00FD0FF7">
        <w:t xml:space="preserve"> </w:t>
      </w:r>
      <w:r w:rsidRPr="00A05E99">
        <w:t xml:space="preserve">the key management </w:t>
      </w:r>
      <w:r w:rsidRPr="00FD0FF7">
        <w:t xml:space="preserve">of </w:t>
      </w:r>
      <w:r w:rsidRPr="00DC7B19">
        <w:t xml:space="preserve">QKDNs </w:t>
      </w:r>
      <w:r w:rsidRPr="00A05E99">
        <w:t xml:space="preserve">defined in </w:t>
      </w:r>
      <w:r>
        <w:t>[b-</w:t>
      </w:r>
      <w:r w:rsidRPr="00A05E99">
        <w:t>ITU-T X.1712</w:t>
      </w:r>
      <w:r>
        <w:t>]</w:t>
      </w:r>
      <w:r w:rsidRPr="00A05E99">
        <w:t xml:space="preserve">. The key management described in </w:t>
      </w:r>
      <w:r>
        <w:t>[</w:t>
      </w:r>
      <w:r w:rsidRPr="00DC7B19">
        <w:t>b</w:t>
      </w:r>
      <w:r w:rsidR="001E278A">
        <w:noBreakHyphen/>
      </w:r>
      <w:r w:rsidRPr="00A05E99">
        <w:t>ITU</w:t>
      </w:r>
      <w:r w:rsidR="001E278A">
        <w:noBreakHyphen/>
      </w:r>
      <w:r w:rsidRPr="00A05E99">
        <w:t>T X.1712</w:t>
      </w:r>
      <w:r>
        <w:t>]</w:t>
      </w:r>
      <w:r w:rsidRPr="00A05E99">
        <w:t xml:space="preserve"> focuses on key relay inside QKDNs among trusted nodes, </w:t>
      </w:r>
      <w:proofErr w:type="gramStart"/>
      <w:r w:rsidRPr="00A05E99">
        <w:t>in order to</w:t>
      </w:r>
      <w:proofErr w:type="gramEnd"/>
      <w:r w:rsidRPr="00A05E99">
        <w:t xml:space="preserve"> deliver keys to cryptographic applications. </w:t>
      </w:r>
      <w:r w:rsidRPr="00DC7B19">
        <w:t>Key</w:t>
      </w:r>
      <w:r w:rsidRPr="00A05E99">
        <w:t xml:space="preserve"> management for hybrid approaches </w:t>
      </w:r>
      <w:r w:rsidRPr="00DC7B19">
        <w:t>may reside</w:t>
      </w:r>
      <w:r w:rsidRPr="00A05E99">
        <w:t xml:space="preserve"> in the user network and may leverage existing key management </w:t>
      </w:r>
      <w:r w:rsidRPr="00DC7B19">
        <w:t xml:space="preserve">functions </w:t>
      </w:r>
      <w:r w:rsidRPr="00A05E99">
        <w:t xml:space="preserve">for cryptographic </w:t>
      </w:r>
      <w:r w:rsidRPr="00DC7B19">
        <w:t xml:space="preserve">applications </w:t>
      </w:r>
      <w:r w:rsidRPr="00A05E99">
        <w:t>to manage both QKD</w:t>
      </w:r>
      <w:r w:rsidRPr="00DC7B19">
        <w:t>-</w:t>
      </w:r>
      <w:r w:rsidRPr="00A05E99">
        <w:t xml:space="preserve">generated keys and other keys, such as </w:t>
      </w:r>
      <w:r w:rsidRPr="00DC7B19">
        <w:t>keys</w:t>
      </w:r>
      <w:r w:rsidRPr="00A05E99">
        <w:t xml:space="preserve"> established using PQC. For illustrative purposes, only two end nodes are </w:t>
      </w:r>
      <w:r w:rsidRPr="00FD0FF7">
        <w:t>depicted</w:t>
      </w:r>
      <w:r w:rsidRPr="00A05E99">
        <w:t xml:space="preserve"> in Figure 2. Such a configuration is </w:t>
      </w:r>
      <w:proofErr w:type="gramStart"/>
      <w:r w:rsidRPr="00A05E99">
        <w:t>similar to</w:t>
      </w:r>
      <w:proofErr w:type="gramEnd"/>
      <w:r w:rsidRPr="00A05E99">
        <w:t xml:space="preserve"> a key distribution </w:t>
      </w:r>
      <w:r w:rsidRPr="00DC7B19">
        <w:t>centre</w:t>
      </w:r>
      <w:r w:rsidRPr="00A05E99">
        <w:t xml:space="preserve"> (KDC) located </w:t>
      </w:r>
      <w:r>
        <w:t>in</w:t>
      </w:r>
      <w:r w:rsidRPr="00A05E99">
        <w:t xml:space="preserve"> the user network.</w:t>
      </w:r>
    </w:p>
    <w:p w14:paraId="1725E86D" w14:textId="6534127E" w:rsidR="00093D64" w:rsidRPr="00FD0FF7" w:rsidRDefault="002B41B0" w:rsidP="005B798D">
      <w:pPr>
        <w:pStyle w:val="Figure"/>
      </w:pPr>
      <w:r>
        <w:rPr>
          <w:noProof/>
        </w:rPr>
        <w:drawing>
          <wp:inline distT="0" distB="0" distL="0" distR="0" wp14:anchorId="19B65700" wp14:editId="75B1F562">
            <wp:extent cx="5651003" cy="2923038"/>
            <wp:effectExtent l="0" t="0" r="6985" b="0"/>
            <wp:docPr id="998706926" name="Picture 2" descr="Concept of key management of hybrid approaches for quantum-safe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06926" name="Picture 2" descr="Concept of key management of hybrid approaches for quantum-safe communication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51003" cy="2923038"/>
                    </a:xfrm>
                    <a:prstGeom prst="rect">
                      <a:avLst/>
                    </a:prstGeom>
                  </pic:spPr>
                </pic:pic>
              </a:graphicData>
            </a:graphic>
          </wp:inline>
        </w:drawing>
      </w:r>
    </w:p>
    <w:p w14:paraId="24526DD9" w14:textId="77777777" w:rsidR="00093D64" w:rsidRPr="00FD0FF7" w:rsidRDefault="00093D64" w:rsidP="005B798D">
      <w:pPr>
        <w:pStyle w:val="FigureNoTitle"/>
      </w:pPr>
      <w:r w:rsidRPr="00FD0FF7">
        <w:t>Figure 2 – Concept of key management of hybrid approaches for quantum-safe communications</w:t>
      </w:r>
    </w:p>
    <w:p w14:paraId="094CE5EB" w14:textId="318D8FE2" w:rsidR="00093D64" w:rsidRPr="001806F7" w:rsidRDefault="00093D64" w:rsidP="005B798D">
      <w:pPr>
        <w:pStyle w:val="Normalaftertitle"/>
        <w:rPr>
          <w:lang w:val="en-US"/>
        </w:rPr>
      </w:pPr>
      <w:r w:rsidRPr="00D66A56">
        <w:t>The</w:t>
      </w:r>
      <w:r w:rsidRPr="00A05E99">
        <w:t xml:space="preserve"> key manager (KM) located in the key management layer </w:t>
      </w:r>
      <w:r w:rsidRPr="00D66A56">
        <w:t>may</w:t>
      </w:r>
      <w:r w:rsidRPr="00A05E99">
        <w:t xml:space="preserve"> also </w:t>
      </w:r>
      <w:r w:rsidRPr="00D66A56">
        <w:t>support</w:t>
      </w:r>
      <w:r w:rsidRPr="00A05E99">
        <w:t xml:space="preserve"> hybrid approaches. When QKD key supply is not available to the KM, the KM </w:t>
      </w:r>
      <w:r w:rsidRPr="00D66A56">
        <w:t>may</w:t>
      </w:r>
      <w:r w:rsidRPr="00A05E99">
        <w:t xml:space="preserve"> activate key establishment functions using PQC algorithms to establish keys between two KMs via the KM link. Furthermore, the KM </w:t>
      </w:r>
      <w:r w:rsidRPr="00D66A56">
        <w:t>may</w:t>
      </w:r>
      <w:r w:rsidRPr="00A05E99">
        <w:t xml:space="preserve"> enable QKD</w:t>
      </w:r>
      <w:r w:rsidRPr="00D66A56">
        <w:t>-generated</w:t>
      </w:r>
      <w:r w:rsidRPr="00A05E99">
        <w:t xml:space="preserve"> keys to be </w:t>
      </w:r>
      <w:r w:rsidRPr="00D66A56">
        <w:t>combined</w:t>
      </w:r>
      <w:r w:rsidRPr="00A05E99">
        <w:t xml:space="preserve"> with keys established using PQC at the key management layer </w:t>
      </w:r>
      <w:r w:rsidRPr="00D66A56">
        <w:t>through an approved</w:t>
      </w:r>
      <w:r w:rsidRPr="00A05E99">
        <w:t xml:space="preserve"> key derivation </w:t>
      </w:r>
      <w:r w:rsidRPr="00D66A56">
        <w:t xml:space="preserve">or key-combining </w:t>
      </w:r>
      <w:r w:rsidRPr="00A05E99">
        <w:t xml:space="preserve">function and </w:t>
      </w:r>
      <w:r w:rsidRPr="00D66A56">
        <w:t xml:space="preserve">may </w:t>
      </w:r>
      <w:r w:rsidRPr="00A05E99">
        <w:t>supply hybrid keys to end</w:t>
      </w:r>
      <w:r w:rsidRPr="00D66A56">
        <w:t>-</w:t>
      </w:r>
      <w:r w:rsidRPr="00A05E99">
        <w:t xml:space="preserve">node applications according to specific requirements. </w:t>
      </w:r>
      <w:r w:rsidRPr="00D66A56">
        <w:t>Authentication</w:t>
      </w:r>
      <w:r w:rsidRPr="00A05E99">
        <w:t xml:space="preserve"> of the KM over the KM link </w:t>
      </w:r>
      <w:r w:rsidRPr="00D66A56">
        <w:t>may</w:t>
      </w:r>
      <w:r w:rsidRPr="00A05E99">
        <w:t xml:space="preserve"> also be implemented using a quantum-safe </w:t>
      </w:r>
      <w:r w:rsidRPr="00D66A56">
        <w:t>public key infrastructure</w:t>
      </w:r>
      <w:r w:rsidRPr="00A05E99">
        <w:t xml:space="preserve"> (PKI</w:t>
      </w:r>
      <w:r w:rsidRPr="00D66A56">
        <w:t>). This</w:t>
      </w:r>
      <w:r w:rsidRPr="00A05E99">
        <w:t xml:space="preserve"> represents another scenario in which PQC </w:t>
      </w:r>
      <w:r w:rsidRPr="00D66A56">
        <w:t xml:space="preserve">mechanisms </w:t>
      </w:r>
      <w:r w:rsidRPr="00A05E99">
        <w:t xml:space="preserve">can be </w:t>
      </w:r>
      <w:r w:rsidRPr="00D66A56">
        <w:t>integrated</w:t>
      </w:r>
      <w:r w:rsidRPr="00A05E99">
        <w:t xml:space="preserve"> with QKDNs.</w:t>
      </w:r>
    </w:p>
    <w:p w14:paraId="661D11CE" w14:textId="77777777" w:rsidR="00093D64" w:rsidRPr="00BF0254" w:rsidRDefault="00093D64" w:rsidP="005B798D">
      <w:pPr>
        <w:pStyle w:val="Heading1"/>
      </w:pPr>
      <w:bookmarkStart w:id="117" w:name="_Toc256000021"/>
      <w:bookmarkStart w:id="118" w:name="_Toc206673910"/>
      <w:bookmarkStart w:id="119" w:name="_Toc238199009"/>
      <w:bookmarkStart w:id="120" w:name="_Toc243546266"/>
      <w:r w:rsidRPr="00BF0254">
        <w:rPr>
          <w:rFonts w:hint="eastAsia"/>
        </w:rPr>
        <w:lastRenderedPageBreak/>
        <w:t>7</w:t>
      </w:r>
      <w:r w:rsidRPr="00BF0254">
        <w:rPr>
          <w:rFonts w:hint="eastAsia"/>
        </w:rPr>
        <w:tab/>
      </w:r>
      <w:r>
        <w:rPr>
          <w:rFonts w:eastAsia="Arial Unicode MS"/>
        </w:rPr>
        <w:t>Overview of activities and use cases of key management of hybrid approaches for quantum-safe communications</w:t>
      </w:r>
      <w:bookmarkEnd w:id="117"/>
      <w:bookmarkEnd w:id="118"/>
      <w:bookmarkEnd w:id="119"/>
      <w:bookmarkEnd w:id="120"/>
    </w:p>
    <w:p w14:paraId="0440F6D6" w14:textId="1ED5A0AE" w:rsidR="00093D64" w:rsidRPr="00FD0FF7" w:rsidRDefault="00093D64" w:rsidP="00093D64">
      <w:r w:rsidRPr="00BF0254">
        <w:t xml:space="preserve">The </w:t>
      </w:r>
      <w:r w:rsidR="007D40F8">
        <w:t>i</w:t>
      </w:r>
      <w:r w:rsidRPr="00BF0254">
        <w:t xml:space="preserve">ntroduction highlighted that every technology </w:t>
      </w:r>
      <w:r w:rsidR="00D37302">
        <w:t xml:space="preserve">discussed in this TR </w:t>
      </w:r>
      <w:r w:rsidRPr="00BF0254">
        <w:t xml:space="preserve">claiming to provide quantum-safe communication has its own limitations. These limitations include the absence of security proofs, flaws in implementation, or potential technical vulnerabilities. By combining these technologies, the drawbacks of each individual solution can be mitigated, resulting in a significantly stronger security system. </w:t>
      </w:r>
      <w:proofErr w:type="gramStart"/>
      <w:r w:rsidRPr="00BF0254">
        <w:t>In order to</w:t>
      </w:r>
      <w:proofErr w:type="gramEnd"/>
      <w:r w:rsidRPr="00BF0254">
        <w:t xml:space="preserve"> compromise multiple quantum-safe communication technologies, an attacker would need to gain access to multiple solutions simultaneously. The subsequent subclauses outline various use cases and applications of hybrid solutions.</w:t>
      </w:r>
    </w:p>
    <w:p w14:paraId="4B4A31E7" w14:textId="77777777" w:rsidR="00093D64" w:rsidRPr="00FD0FF7" w:rsidRDefault="00093D64" w:rsidP="005B798D">
      <w:pPr>
        <w:pStyle w:val="Heading2"/>
      </w:pPr>
      <w:bookmarkStart w:id="121" w:name="_Toc256000022"/>
      <w:bookmarkStart w:id="122" w:name="_Toc35792755"/>
      <w:bookmarkStart w:id="123" w:name="_Toc43711228"/>
      <w:bookmarkStart w:id="124" w:name="_Toc41579505"/>
      <w:bookmarkStart w:id="125" w:name="_Toc56521915"/>
      <w:bookmarkStart w:id="126" w:name="_Toc60901607"/>
      <w:bookmarkStart w:id="127" w:name="_Toc206673911"/>
      <w:bookmarkStart w:id="128" w:name="_Toc238199010"/>
      <w:bookmarkStart w:id="129" w:name="_Toc31810326"/>
      <w:bookmarkStart w:id="130" w:name="_Toc243546267"/>
      <w:r w:rsidRPr="00FD0FF7">
        <w:rPr>
          <w:rFonts w:hint="eastAsia"/>
          <w:bCs/>
        </w:rPr>
        <w:t>7.1</w:t>
      </w:r>
      <w:r w:rsidRPr="00FD0FF7">
        <w:rPr>
          <w:rFonts w:hint="eastAsia"/>
          <w:bCs/>
        </w:rPr>
        <w:tab/>
      </w:r>
      <w:r w:rsidRPr="00FD0FF7">
        <w:t>Combination of QKD and PQC to realize end to end quantum-safe communication</w:t>
      </w:r>
      <w:bookmarkEnd w:id="121"/>
      <w:bookmarkEnd w:id="122"/>
      <w:bookmarkEnd w:id="123"/>
      <w:bookmarkEnd w:id="124"/>
      <w:bookmarkEnd w:id="125"/>
      <w:bookmarkEnd w:id="126"/>
      <w:bookmarkEnd w:id="127"/>
      <w:bookmarkEnd w:id="128"/>
      <w:bookmarkEnd w:id="130"/>
    </w:p>
    <w:bookmarkEnd w:id="129"/>
    <w:p w14:paraId="786953AA" w14:textId="77777777" w:rsidR="00093D64" w:rsidRPr="00BF0254" w:rsidRDefault="00093D64" w:rsidP="00093D64">
      <w:r w:rsidRPr="00BF0254">
        <w:t xml:space="preserve">This clause provides a summary of multiple use cases that have been identified for combining QKD and PQC </w:t>
      </w:r>
      <w:proofErr w:type="gramStart"/>
      <w:r w:rsidRPr="00BF0254">
        <w:t>in order to</w:t>
      </w:r>
      <w:proofErr w:type="gramEnd"/>
      <w:r w:rsidRPr="00BF0254">
        <w:t xml:space="preserve"> achieve quantum-safe communication. It addresses solutions aimed at transitioning government and industry infrastructure to a quantum-safe state, which encompass the implementation of both QKD and PQC methodologies.</w:t>
      </w:r>
    </w:p>
    <w:p w14:paraId="7BBB9E69" w14:textId="77777777" w:rsidR="00093D64" w:rsidRPr="00FD0FF7" w:rsidRDefault="00093D64" w:rsidP="00093D64">
      <w:r w:rsidRPr="00BF0254">
        <w:t>In the study [</w:t>
      </w:r>
      <w:r>
        <w:t>b-QED-C2024</w:t>
      </w:r>
      <w:r w:rsidRPr="00BF0254">
        <w:t xml:space="preserve">], an analysis of the advantages and disadvantages of adopting PQC and QKD for Internet security is conducted. The authors emphasize in their summary that the architecture of both QKD and PQC solutions plays a crucial role in determining the speed of deployment and the ability to adapt over time. They propose a hybrid PQC/QKD solution that considers the nature of the content to be protected, as illustrated in Figure 3. The figure demonstrates the feasibility of a hybrid approach in which PQC can be employed for </w:t>
      </w:r>
      <w:proofErr w:type="gramStart"/>
      <w:r w:rsidRPr="00BF0254">
        <w:t>a large number of</w:t>
      </w:r>
      <w:proofErr w:type="gramEnd"/>
      <w:r w:rsidRPr="00BF0254">
        <w:t xml:space="preserve"> endpoints where the likelihood of quantum computer attacks is relatively low, while QKD can be utilized by sites involved in the transmission of highly sensitive content that demands exceptional security measures.</w:t>
      </w:r>
    </w:p>
    <w:p w14:paraId="67B91382" w14:textId="77777777" w:rsidR="00093D64" w:rsidRPr="00FD0FF7" w:rsidRDefault="00093D64" w:rsidP="005B798D">
      <w:pPr>
        <w:pStyle w:val="Figure"/>
      </w:pPr>
      <w:r w:rsidRPr="00FD0FF7">
        <w:rPr>
          <w:noProof/>
        </w:rPr>
        <w:drawing>
          <wp:inline distT="0" distB="0" distL="0" distR="0" wp14:anchorId="43AEC7ED" wp14:editId="07E80D88">
            <wp:extent cx="4830214" cy="2623820"/>
            <wp:effectExtent l="0" t="0" r="0" b="5080"/>
            <wp:docPr id="599321124" name="그림 1" descr="PQC/QKD hybrid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21124" name="그림 1" descr="PQC/QKD hybrid architecture"/>
                    <pic:cNvPicPr/>
                  </pic:nvPicPr>
                  <pic:blipFill>
                    <a:blip r:embed="rId21">
                      <a:extLst>
                        <a:ext uri="{28A0092B-C50C-407E-A947-70E740481C1C}">
                          <a14:useLocalDpi xmlns:a14="http://schemas.microsoft.com/office/drawing/2010/main" val="0"/>
                        </a:ext>
                      </a:extLst>
                    </a:blip>
                    <a:stretch>
                      <a:fillRect/>
                    </a:stretch>
                  </pic:blipFill>
                  <pic:spPr>
                    <a:xfrm>
                      <a:off x="0" y="0"/>
                      <a:ext cx="4834307" cy="2626044"/>
                    </a:xfrm>
                    <a:prstGeom prst="rect">
                      <a:avLst/>
                    </a:prstGeom>
                  </pic:spPr>
                </pic:pic>
              </a:graphicData>
            </a:graphic>
          </wp:inline>
        </w:drawing>
      </w:r>
    </w:p>
    <w:p w14:paraId="422E5BAF" w14:textId="30E33DD5" w:rsidR="00093D64" w:rsidRPr="00FD0FF7" w:rsidRDefault="00093D64" w:rsidP="005B798D">
      <w:pPr>
        <w:pStyle w:val="FigureNoTitle"/>
      </w:pPr>
      <w:r w:rsidRPr="00FD0FF7">
        <w:t>Figure 3 – PQC/QKD hybrid architecture</w:t>
      </w:r>
    </w:p>
    <w:p w14:paraId="07803347" w14:textId="4AB1EE87" w:rsidR="00093D64" w:rsidRPr="00BF0254" w:rsidRDefault="00093D64" w:rsidP="005B798D">
      <w:pPr>
        <w:pStyle w:val="Normalaftertitle"/>
      </w:pPr>
      <w:r w:rsidRPr="00BF0254">
        <w:t>The white paper [b</w:t>
      </w:r>
      <w:r w:rsidRPr="00BF0254">
        <w:noBreakHyphen/>
        <w:t>QED</w:t>
      </w:r>
      <w:r w:rsidRPr="00BF0254">
        <w:noBreakHyphen/>
        <w:t>C2022] presents an illustrative example of a hybrid solution incorporating both QKD and PQC. It underscores the notion that QKD and PQC are complementary technologies that can and should be integrated in a hybrid fashion to achieve optimal effectiveness. In the example outlined in the white paper, QKD is employed for establishing secure links between a data centr</w:t>
      </w:r>
      <w:r w:rsidR="006562E6">
        <w:t>e</w:t>
      </w:r>
      <w:r w:rsidRPr="00BF0254">
        <w:t>, a critical backup site, and a disaster recovery centr</w:t>
      </w:r>
      <w:r w:rsidR="006562E6">
        <w:t>e</w:t>
      </w:r>
      <w:r w:rsidRPr="00BF0254">
        <w:t>. On the other hand, PQC is utilized for securing wireless connections between the data centr</w:t>
      </w:r>
      <w:r w:rsidR="0003184B">
        <w:t>e</w:t>
      </w:r>
      <w:r w:rsidRPr="00BF0254">
        <w:t xml:space="preserve"> and various devices. This combination of QKD and PQC leverages their respective strengths and enhances overall security.</w:t>
      </w:r>
    </w:p>
    <w:p w14:paraId="5C3BD114" w14:textId="77777777" w:rsidR="00093D64" w:rsidRPr="00BF0254" w:rsidRDefault="00093D64" w:rsidP="00093D64">
      <w:r>
        <w:t>[b-</w:t>
      </w:r>
      <w:r w:rsidRPr="00BF0254">
        <w:t>ITU</w:t>
      </w:r>
      <w:r w:rsidRPr="00FD0FF7">
        <w:t>-</w:t>
      </w:r>
      <w:r w:rsidRPr="00BF0254">
        <w:t>T Y</w:t>
      </w:r>
      <w:r w:rsidRPr="00FD0FF7">
        <w:t xml:space="preserve"> Supp.</w:t>
      </w:r>
      <w:r w:rsidRPr="00BF0254">
        <w:t xml:space="preserve"> 79</w:t>
      </w:r>
      <w:r>
        <w:t>]</w:t>
      </w:r>
      <w:r w:rsidRPr="00BF0254">
        <w:t xml:space="preserve"> provides </w:t>
      </w:r>
      <w:r w:rsidRPr="00FD0FF7">
        <w:t>the</w:t>
      </w:r>
      <w:r w:rsidRPr="00BF0254">
        <w:t xml:space="preserve"> overview </w:t>
      </w:r>
      <w:r w:rsidRPr="00FD0FF7">
        <w:t xml:space="preserve">for integration </w:t>
      </w:r>
      <w:r w:rsidRPr="00BF0254">
        <w:t xml:space="preserve">of </w:t>
      </w:r>
      <w:r w:rsidRPr="00FD0FF7">
        <w:t xml:space="preserve">QKDN </w:t>
      </w:r>
      <w:r w:rsidRPr="00BF0254">
        <w:t>with mathematics</w:t>
      </w:r>
      <w:r w:rsidRPr="00BF0254">
        <w:noBreakHyphen/>
        <w:t xml:space="preserve">based cryptographic applications and recommends that the integration of QKDNs and </w:t>
      </w:r>
      <w:r w:rsidRPr="00FD0FF7">
        <w:t>PKI with</w:t>
      </w:r>
      <w:r w:rsidRPr="00BF0254">
        <w:t xml:space="preserve"> PQC </w:t>
      </w:r>
      <w:r w:rsidRPr="00FD0FF7">
        <w:lastRenderedPageBreak/>
        <w:t>algorithm</w:t>
      </w:r>
      <w:r w:rsidRPr="00BF0254">
        <w:t xml:space="preserve"> should be studied </w:t>
      </w:r>
      <w:r w:rsidRPr="00FD0FF7">
        <w:t>for the extension of</w:t>
      </w:r>
      <w:r w:rsidRPr="00BF0254">
        <w:t xml:space="preserve"> QKD service availability and market penetration for QKD service </w:t>
      </w:r>
      <w:r w:rsidRPr="00FD0FF7">
        <w:t xml:space="preserve">provider. </w:t>
      </w:r>
    </w:p>
    <w:p w14:paraId="7DD0E57F" w14:textId="77777777" w:rsidR="00093D64" w:rsidRPr="00BF0254" w:rsidRDefault="00093D64" w:rsidP="00093D64">
      <w:r w:rsidRPr="00BF0254">
        <w:t xml:space="preserve">In </w:t>
      </w:r>
      <w:r w:rsidRPr="00FD0FF7">
        <w:t>the</w:t>
      </w:r>
      <w:r w:rsidRPr="00BF0254">
        <w:t xml:space="preserve"> context</w:t>
      </w:r>
      <w:r w:rsidRPr="00FD0FF7">
        <w:t xml:space="preserve"> of the integration</w:t>
      </w:r>
      <w:r w:rsidRPr="00BF0254">
        <w:t>, three use cases are introduced as follows</w:t>
      </w:r>
      <w:r w:rsidRPr="00FD0FF7">
        <w:t>;</w:t>
      </w:r>
    </w:p>
    <w:p w14:paraId="5201354B" w14:textId="46AEB49F" w:rsidR="00093D64" w:rsidRPr="00BF0254" w:rsidRDefault="005B798D" w:rsidP="005B798D">
      <w:pPr>
        <w:pStyle w:val="enumlev1"/>
      </w:pPr>
      <w:r w:rsidRPr="005B798D">
        <w:rPr>
          <w:rFonts w:eastAsia="Batang"/>
        </w:rPr>
        <w:t>–</w:t>
      </w:r>
      <w:r w:rsidR="00093D64" w:rsidRPr="00BF0254">
        <w:rPr>
          <w:rFonts w:eastAsia="Batang"/>
        </w:rPr>
        <w:tab/>
      </w:r>
      <w:r w:rsidR="00093D64" w:rsidRPr="00BF0254">
        <w:t>Use case 1</w:t>
      </w:r>
      <w:r w:rsidR="00093D64" w:rsidRPr="005D1D11">
        <w:rPr>
          <w:lang w:val="en-US"/>
        </w:rPr>
        <w:t>:</w:t>
      </w:r>
      <w:r w:rsidR="00093D64" w:rsidRPr="00883CBD">
        <w:rPr>
          <w:rFonts w:hint="eastAsia"/>
        </w:rPr>
        <w:t xml:space="preserve"> </w:t>
      </w:r>
      <w:r w:rsidR="00093D64" w:rsidRPr="006D7BA3">
        <w:t>KSA-keys</w:t>
      </w:r>
      <w:r w:rsidR="00093D64" w:rsidRPr="00BF0254">
        <w:t xml:space="preserve"> generated from </w:t>
      </w:r>
      <w:r w:rsidR="00093D64" w:rsidRPr="006D7BA3">
        <w:t xml:space="preserve">QKDN </w:t>
      </w:r>
      <w:r w:rsidR="00093D64">
        <w:t>are supplied</w:t>
      </w:r>
      <w:r w:rsidR="00093D64" w:rsidRPr="00BF0254">
        <w:t xml:space="preserve"> to </w:t>
      </w:r>
      <w:r w:rsidR="000801EC">
        <w:t>t</w:t>
      </w:r>
      <w:r w:rsidR="00093D64" w:rsidRPr="00BF0254">
        <w:t xml:space="preserve">ransport </w:t>
      </w:r>
      <w:r w:rsidR="000801EC">
        <w:t>l</w:t>
      </w:r>
      <w:r w:rsidR="00093D64" w:rsidRPr="00BF0254">
        <w:t xml:space="preserve">ayer </w:t>
      </w:r>
      <w:r w:rsidR="000801EC">
        <w:t>s</w:t>
      </w:r>
      <w:r w:rsidR="00093D64" w:rsidRPr="00BF0254">
        <w:t xml:space="preserve">ecurity (TLS) </w:t>
      </w:r>
      <w:r w:rsidR="00093D64" w:rsidRPr="006D7BA3">
        <w:t>client</w:t>
      </w:r>
      <w:r w:rsidR="00093D64" w:rsidRPr="00BF0254">
        <w:t xml:space="preserve"> and </w:t>
      </w:r>
      <w:r w:rsidR="00093D64" w:rsidRPr="006D7BA3">
        <w:t>server symmetrically</w:t>
      </w:r>
      <w:r w:rsidR="00093D64" w:rsidRPr="00BF0254">
        <w:t>.</w:t>
      </w:r>
    </w:p>
    <w:p w14:paraId="13665757" w14:textId="375407B6" w:rsidR="00093D64" w:rsidRPr="00BF0254" w:rsidRDefault="005B798D" w:rsidP="005B798D">
      <w:pPr>
        <w:pStyle w:val="enumlev1"/>
      </w:pPr>
      <w:r w:rsidRPr="005B798D">
        <w:rPr>
          <w:rFonts w:eastAsia="Batang"/>
        </w:rPr>
        <w:t>–</w:t>
      </w:r>
      <w:r w:rsidR="00093D64" w:rsidRPr="00BF0254">
        <w:rPr>
          <w:rFonts w:eastAsia="Batang"/>
        </w:rPr>
        <w:tab/>
      </w:r>
      <w:r w:rsidR="00093D64" w:rsidRPr="00BF0254">
        <w:t>Use case 2</w:t>
      </w:r>
      <w:r w:rsidR="00D046E9">
        <w:t>:</w:t>
      </w:r>
      <w:r w:rsidR="00093D64" w:rsidRPr="00883CBD">
        <w:t xml:space="preserve"> </w:t>
      </w:r>
      <w:r w:rsidR="00093D64" w:rsidRPr="006D7BA3">
        <w:t>KSA-keys</w:t>
      </w:r>
      <w:r w:rsidR="00093D64" w:rsidRPr="00BF0254">
        <w:t xml:space="preserve"> generated from </w:t>
      </w:r>
      <w:r w:rsidR="00093D64" w:rsidRPr="006D7BA3">
        <w:t xml:space="preserve">QKDN </w:t>
      </w:r>
      <w:r w:rsidR="00093D64">
        <w:t>are supplied</w:t>
      </w:r>
      <w:r w:rsidR="00093D64" w:rsidRPr="00BF0254">
        <w:t xml:space="preserve"> only to the corresponding portion for encryption </w:t>
      </w:r>
      <w:r w:rsidR="00093D64" w:rsidRPr="006D7BA3">
        <w:t>by KSA-</w:t>
      </w:r>
      <w:r w:rsidR="00093D64" w:rsidRPr="00BF0254">
        <w:t>keys</w:t>
      </w:r>
      <w:r w:rsidR="00093D64" w:rsidRPr="006D7BA3">
        <w:t>. The</w:t>
      </w:r>
      <w:r w:rsidR="00093D64" w:rsidRPr="00BF0254">
        <w:t xml:space="preserve"> other </w:t>
      </w:r>
      <w:r w:rsidR="00093D64" w:rsidRPr="006D7BA3">
        <w:t xml:space="preserve">end </w:t>
      </w:r>
      <w:r w:rsidR="00093D64" w:rsidRPr="00BF0254">
        <w:t xml:space="preserve">portions are encrypted </w:t>
      </w:r>
      <w:r w:rsidR="00093D64" w:rsidRPr="006D7BA3">
        <w:t>by the</w:t>
      </w:r>
      <w:r w:rsidR="00093D64" w:rsidRPr="00BF0254">
        <w:t xml:space="preserve"> cryptographic keys derived from modern cryptography, </w:t>
      </w:r>
      <w:r w:rsidR="00093D64" w:rsidRPr="006D7BA3">
        <w:t xml:space="preserve">i.e., </w:t>
      </w:r>
      <w:r w:rsidR="004E5035" w:rsidRPr="00464A54">
        <w:rPr>
          <w:rFonts w:eastAsia="SimSun"/>
          <w:lang w:eastAsia="ko-KR"/>
        </w:rPr>
        <w:t xml:space="preserve">Internet </w:t>
      </w:r>
      <w:r w:rsidR="00D26882">
        <w:rPr>
          <w:rFonts w:eastAsia="SimSun"/>
          <w:lang w:eastAsia="ko-KR"/>
        </w:rPr>
        <w:t>k</w:t>
      </w:r>
      <w:r w:rsidR="004E5035" w:rsidRPr="00464A54">
        <w:rPr>
          <w:rFonts w:eastAsia="SimSun"/>
          <w:lang w:eastAsia="ko-KR"/>
        </w:rPr>
        <w:t xml:space="preserve">ey </w:t>
      </w:r>
      <w:r w:rsidR="00D26882">
        <w:rPr>
          <w:rFonts w:eastAsia="SimSun"/>
          <w:lang w:eastAsia="ko-KR"/>
        </w:rPr>
        <w:t>e</w:t>
      </w:r>
      <w:r w:rsidR="004E5035" w:rsidRPr="00464A54">
        <w:rPr>
          <w:rFonts w:eastAsia="SimSun"/>
          <w:lang w:eastAsia="ko-KR"/>
        </w:rPr>
        <w:t>xchange</w:t>
      </w:r>
      <w:r w:rsidR="004E5035" w:rsidRPr="00BF0254">
        <w:t xml:space="preserve"> </w:t>
      </w:r>
      <w:r w:rsidR="004E5035">
        <w:t>(</w:t>
      </w:r>
      <w:r w:rsidR="00093D64" w:rsidRPr="00BF0254">
        <w:t>IKE</w:t>
      </w:r>
      <w:r w:rsidR="004E5035">
        <w:t>)</w:t>
      </w:r>
      <w:r w:rsidR="00093D64" w:rsidRPr="00BF0254">
        <w:t xml:space="preserve"> protocol.</w:t>
      </w:r>
    </w:p>
    <w:p w14:paraId="583156F5" w14:textId="2DB8A3B1" w:rsidR="00093D64" w:rsidRPr="00BF0254" w:rsidRDefault="005B798D" w:rsidP="005B798D">
      <w:pPr>
        <w:pStyle w:val="enumlev1"/>
      </w:pPr>
      <w:r w:rsidRPr="005B798D">
        <w:rPr>
          <w:rFonts w:eastAsia="Batang"/>
        </w:rPr>
        <w:t>–</w:t>
      </w:r>
      <w:r w:rsidR="00093D64" w:rsidRPr="00BF0254">
        <w:rPr>
          <w:rFonts w:eastAsia="Batang"/>
        </w:rPr>
        <w:tab/>
      </w:r>
      <w:r w:rsidR="00093D64" w:rsidRPr="00BF0254">
        <w:t>Use case 3</w:t>
      </w:r>
      <w:r w:rsidR="00D046E9">
        <w:t>:</w:t>
      </w:r>
      <w:r w:rsidR="00093D64" w:rsidRPr="00883CBD">
        <w:t xml:space="preserve"> </w:t>
      </w:r>
      <w:r w:rsidR="00093D64" w:rsidRPr="006D7BA3">
        <w:t>KSA-keys</w:t>
      </w:r>
      <w:r w:rsidR="00093D64" w:rsidRPr="00BF0254">
        <w:t xml:space="preserve"> generated from </w:t>
      </w:r>
      <w:r w:rsidR="00093D64" w:rsidRPr="006D7BA3">
        <w:t xml:space="preserve">QKDN </w:t>
      </w:r>
      <w:r w:rsidR="00093D64">
        <w:t>are supplied</w:t>
      </w:r>
      <w:r w:rsidR="00093D64" w:rsidRPr="00BF0254">
        <w:t xml:space="preserve"> to the corresponding portion</w:t>
      </w:r>
      <w:r w:rsidR="00093D64" w:rsidRPr="006D7BA3">
        <w:t xml:space="preserve">. Then the keys </w:t>
      </w:r>
      <w:r w:rsidR="00093D64">
        <w:t>are delivered</w:t>
      </w:r>
      <w:r w:rsidR="00093D64" w:rsidRPr="00BF0254">
        <w:t xml:space="preserve"> to both ends of connectivity through key exchange function.</w:t>
      </w:r>
    </w:p>
    <w:p w14:paraId="77E1D13D" w14:textId="77777777" w:rsidR="00093D64" w:rsidRDefault="00093D64" w:rsidP="00093D64">
      <w:r w:rsidRPr="00BF0254">
        <w:t>The follow</w:t>
      </w:r>
      <w:r w:rsidRPr="00BF0254">
        <w:noBreakHyphen/>
        <w:t xml:space="preserve">up standardization topics related to the implementation of </w:t>
      </w:r>
      <w:r w:rsidRPr="00FD0FF7">
        <w:t>the three</w:t>
      </w:r>
      <w:r w:rsidRPr="00BF0254">
        <w:t xml:space="preserve"> use cases </w:t>
      </w:r>
      <w:r w:rsidRPr="00FD0FF7">
        <w:t xml:space="preserve">defined above </w:t>
      </w:r>
      <w:r w:rsidRPr="00BF0254">
        <w:t>include</w:t>
      </w:r>
      <w:r w:rsidRPr="00FD0FF7">
        <w:t>: [</w:t>
      </w:r>
      <w:r>
        <w:t>b-</w:t>
      </w:r>
      <w:r w:rsidRPr="00BF0254">
        <w:t>ITU</w:t>
      </w:r>
      <w:r w:rsidRPr="00FD0FF7">
        <w:t>-</w:t>
      </w:r>
      <w:r w:rsidRPr="00BF0254">
        <w:t>T Y.3826</w:t>
      </w:r>
      <w:r>
        <w:t>]</w:t>
      </w:r>
      <w:r w:rsidRPr="00BF0254">
        <w:t xml:space="preserve">, which specifies the framework for the integration, and </w:t>
      </w:r>
      <w:r w:rsidRPr="00FD0FF7">
        <w:t>[</w:t>
      </w:r>
      <w:r>
        <w:t>b-</w:t>
      </w:r>
      <w:r w:rsidRPr="00BF0254">
        <w:t>ITU</w:t>
      </w:r>
      <w:r w:rsidRPr="00FD0FF7">
        <w:t>-</w:t>
      </w:r>
      <w:r w:rsidRPr="00BF0254">
        <w:t>T Y.3828</w:t>
      </w:r>
      <w:r>
        <w:t>]</w:t>
      </w:r>
      <w:r w:rsidRPr="00BF0254">
        <w:t xml:space="preserve">, which defines </w:t>
      </w:r>
      <w:r w:rsidRPr="00FD0FF7">
        <w:t xml:space="preserve">the </w:t>
      </w:r>
      <w:proofErr w:type="gramStart"/>
      <w:r w:rsidRPr="00BF0254">
        <w:t>quality of service</w:t>
      </w:r>
      <w:proofErr w:type="gramEnd"/>
      <w:r w:rsidRPr="00BF0254">
        <w:t xml:space="preserve"> requirements for the integration. </w:t>
      </w:r>
      <w:bookmarkStart w:id="131" w:name="_Toc206673912"/>
    </w:p>
    <w:p w14:paraId="2D250201" w14:textId="77777777" w:rsidR="00093D64" w:rsidRPr="00FD0FF7" w:rsidRDefault="00093D64" w:rsidP="005B798D">
      <w:pPr>
        <w:pStyle w:val="Heading2"/>
      </w:pPr>
      <w:bookmarkStart w:id="132" w:name="_Toc256000023"/>
      <w:bookmarkStart w:id="133" w:name="_Toc238199011"/>
      <w:bookmarkStart w:id="134" w:name="_Toc243546268"/>
      <w:r w:rsidRPr="00FD0FF7">
        <w:rPr>
          <w:rFonts w:hint="eastAsia"/>
          <w:bCs/>
        </w:rPr>
        <w:t>7.2</w:t>
      </w:r>
      <w:r w:rsidRPr="00FD0FF7">
        <w:rPr>
          <w:rFonts w:hint="eastAsia"/>
          <w:bCs/>
        </w:rPr>
        <w:tab/>
      </w:r>
      <w:r w:rsidRPr="00FD0FF7">
        <w:t>Combining multiple key exchange systems</w:t>
      </w:r>
      <w:bookmarkEnd w:id="131"/>
      <w:bookmarkEnd w:id="132"/>
      <w:bookmarkEnd w:id="133"/>
      <w:bookmarkEnd w:id="134"/>
    </w:p>
    <w:p w14:paraId="7FCAA91D" w14:textId="245C96B8" w:rsidR="00093D64" w:rsidRPr="00332445" w:rsidRDefault="00093D64" w:rsidP="00093D64">
      <w:bookmarkStart w:id="135" w:name="OLE_LINK11"/>
      <w:bookmarkStart w:id="136" w:name="OLE_LINK12"/>
      <w:bookmarkStart w:id="137" w:name="_Toc206673913"/>
      <w:r w:rsidRPr="00332445">
        <w:t>The research article [b</w:t>
      </w:r>
      <w:r w:rsidRPr="00332445">
        <w:noBreakHyphen/>
        <w:t>Geitz] presents various hybrid approaches that combine QKD and PQC to enhance the security of QKD nodes. These approaches have been implemented and tested in the OpenQKD testbed located in Berlin</w:t>
      </w:r>
      <w:r w:rsidRPr="00FD0FF7">
        <w:t>. The work presented in this paper is</w:t>
      </w:r>
      <w:r w:rsidRPr="00332445">
        <w:t xml:space="preserve"> part of the OpenQKD project, </w:t>
      </w:r>
      <w:r w:rsidRPr="00FD0FF7">
        <w:t xml:space="preserve">which is </w:t>
      </w:r>
      <w:r w:rsidRPr="00332445">
        <w:t xml:space="preserve">a </w:t>
      </w:r>
      <w:r w:rsidR="00D046E9">
        <w:t>q</w:t>
      </w:r>
      <w:r w:rsidRPr="00332445">
        <w:t xml:space="preserve">uantum </w:t>
      </w:r>
      <w:r w:rsidR="00D046E9">
        <w:t>f</w:t>
      </w:r>
      <w:r w:rsidRPr="00332445">
        <w:t xml:space="preserve">lagship </w:t>
      </w:r>
      <w:r w:rsidRPr="00FD0FF7">
        <w:t>project</w:t>
      </w:r>
      <w:r w:rsidRPr="00332445">
        <w:t xml:space="preserve"> under the EU Horizon 2020 </w:t>
      </w:r>
      <w:r w:rsidRPr="00FD0FF7">
        <w:t>program</w:t>
      </w:r>
      <w:r w:rsidRPr="00332445">
        <w:t>. The primary objective of OpenQKD is to facilitate the adoption of QKD technology in industry and demonstrate its practicality and effectiveness in real</w:t>
      </w:r>
      <w:r w:rsidRPr="00332445">
        <w:noBreakHyphen/>
        <w:t>world use cases.</w:t>
      </w:r>
    </w:p>
    <w:p w14:paraId="1CC6CC0D" w14:textId="47A4CBE5" w:rsidR="00093D64" w:rsidRPr="00332445" w:rsidRDefault="00093D64" w:rsidP="00093D64">
      <w:r w:rsidRPr="00332445">
        <w:t xml:space="preserve">Within the Berlin testbed, </w:t>
      </w:r>
      <w:r w:rsidR="00C12A06">
        <w:t>a telecommunications company in Germany</w:t>
      </w:r>
      <w:r w:rsidRPr="00332445">
        <w:t xml:space="preserve"> has established one of the major QKD testbeds </w:t>
      </w:r>
      <w:r w:rsidRPr="00FD0FF7">
        <w:t xml:space="preserve">as part of the OpenQKD project, specifically </w:t>
      </w:r>
      <w:r w:rsidRPr="00332445">
        <w:t>in the metropolitan area of Berlin</w:t>
      </w:r>
      <w:r w:rsidRPr="00FD0FF7">
        <w:t>. The</w:t>
      </w:r>
      <w:r w:rsidRPr="00332445">
        <w:t xml:space="preserve"> focus </w:t>
      </w:r>
      <w:r w:rsidRPr="00FD0FF7">
        <w:t>of their efforts lies in</w:t>
      </w:r>
      <w:r w:rsidRPr="00332445">
        <w:t xml:space="preserve"> integrating QKD into provider networks. In addition to QKD key exchange, the Berlin testbed incorporates a key exchange mechanism based on </w:t>
      </w:r>
      <w:r w:rsidRPr="00FD0FF7">
        <w:t>post-quantum cryptography.</w:t>
      </w:r>
      <w:r w:rsidRPr="00332445">
        <w:t xml:space="preserve"> This integration has </w:t>
      </w:r>
      <w:r w:rsidRPr="00FD0FF7">
        <w:t>led to intriguing</w:t>
      </w:r>
      <w:r w:rsidRPr="00332445">
        <w:t xml:space="preserve"> use cases such as key exchange </w:t>
      </w:r>
      <w:r w:rsidRPr="00FD0FF7">
        <w:t>via</w:t>
      </w:r>
      <w:r w:rsidRPr="00332445">
        <w:t xml:space="preserve"> mobile 5G networks and the inclusion of mobile clients </w:t>
      </w:r>
      <w:r w:rsidRPr="00FD0FF7">
        <w:t>in</w:t>
      </w:r>
      <w:r w:rsidRPr="00332445">
        <w:t xml:space="preserve"> the security platform.</w:t>
      </w:r>
      <w:r w:rsidR="005B798D">
        <w:t xml:space="preserve"> </w:t>
      </w:r>
      <w:r w:rsidRPr="00FD0FF7">
        <w:t>Moreover</w:t>
      </w:r>
      <w:r w:rsidRPr="00332445">
        <w:t xml:space="preserve">, the paper introduces a PQC trust chain </w:t>
      </w:r>
      <w:r w:rsidRPr="00FD0FF7">
        <w:t>that relies</w:t>
      </w:r>
      <w:r w:rsidRPr="00332445">
        <w:t xml:space="preserve"> on PQC algorithms. This trust chain enables secure communication between all applications within a QKD node and between adjacent QKD nodes. By leveraging PQC</w:t>
      </w:r>
      <w:r w:rsidRPr="00332445">
        <w:noBreakHyphen/>
        <w:t>based algorithms, communication within and between QKD nodes can be established with a high level of trust and security.</w:t>
      </w:r>
      <w:bookmarkEnd w:id="135"/>
      <w:bookmarkEnd w:id="136"/>
    </w:p>
    <w:p w14:paraId="118ED4C9" w14:textId="77777777" w:rsidR="00093D64" w:rsidRPr="005164D0" w:rsidRDefault="00093D64" w:rsidP="00093D64">
      <w:bookmarkStart w:id="138" w:name="OLE_LINK13"/>
      <w:bookmarkStart w:id="139" w:name="OLE_LINK14"/>
      <w:r w:rsidRPr="005164D0">
        <w:t>One of the use cases demonstrates the application of PQC to secure communication between QKD nodes as part of a key forwarding process. This approach ensures that encryption artifacts remain protected and inaccessible at intermediate QKD nodes. To achieve this, PQC encryption has been implemented to secure communication on all links within a QKD node.</w:t>
      </w:r>
    </w:p>
    <w:p w14:paraId="2F85D021" w14:textId="77777777" w:rsidR="00093D64" w:rsidRPr="005164D0" w:rsidRDefault="00093D64" w:rsidP="00093D64">
      <w:r w:rsidRPr="005164D0">
        <w:t>It is important to note that QKD has distance limitations of a few hundred kilometres due to optical attenuation in optical fibres. Extending the range of quantum optical key exchange would require the involvement of trusted network nodes, which are network operating centres that adhere to high security standards. From a commercial standpoint, this implies that customers must rely on the network operator to safeguard the quantum key exchange process, resulting in a lack of end</w:t>
      </w:r>
      <w:r w:rsidRPr="005164D0">
        <w:noBreakHyphen/>
        <w:t>to</w:t>
      </w:r>
      <w:r w:rsidRPr="005164D0">
        <w:noBreakHyphen/>
        <w:t>end security for key exchange. To address this limitation, PQC encryption and authentication are integrated into the QKD key forwarding process to provide end</w:t>
      </w:r>
      <w:r w:rsidRPr="005164D0">
        <w:noBreakHyphen/>
        <w:t>to</w:t>
      </w:r>
      <w:r w:rsidRPr="005164D0">
        <w:noBreakHyphen/>
        <w:t>end security.</w:t>
      </w:r>
    </w:p>
    <w:p w14:paraId="3B8E42CD" w14:textId="77777777" w:rsidR="00093D64" w:rsidRPr="005164D0" w:rsidRDefault="00093D64" w:rsidP="00093D64">
      <w:r w:rsidRPr="005164D0">
        <w:t>The key forwarding scheme enhances security by incorporating an additional layer of PQC encryption, ensuring that encryption keys remain concealed at intermediate nodes. Moreover, PQC key exchange can be routed through alternative network paths that bypass intermediate nodes entirely, preventing local adversaries from accessing the PQC key exchange. It is also possible to transmit the PQC key exchange over different types of networks, such as mobile networks or space networks. Each of these approaches contributes to improving the security of the key forwarding process.</w:t>
      </w:r>
    </w:p>
    <w:p w14:paraId="5BA590E2" w14:textId="77777777" w:rsidR="00093D64" w:rsidRPr="005164D0" w:rsidRDefault="00093D64" w:rsidP="00093D64">
      <w:r w:rsidRPr="005164D0">
        <w:lastRenderedPageBreak/>
        <w:t>By employing a key management system, a hybrid key exchange is facilitated by abstracting the interactions between QKD and PQC. This allows applications to select any desired combination of QKD keys, PQC keys, or hybrid keys, providing flexibility and versatility in the key exchange process.</w:t>
      </w:r>
      <w:bookmarkEnd w:id="138"/>
      <w:bookmarkEnd w:id="139"/>
    </w:p>
    <w:p w14:paraId="79B402D8" w14:textId="5E66EE1E" w:rsidR="00093D64" w:rsidRPr="00FD0FF7" w:rsidRDefault="00093D64" w:rsidP="005B798D">
      <w:pPr>
        <w:pStyle w:val="Heading2"/>
      </w:pPr>
      <w:bookmarkStart w:id="140" w:name="_Toc256000024"/>
      <w:bookmarkStart w:id="141" w:name="_Toc238199012"/>
      <w:bookmarkStart w:id="142" w:name="_Toc243546269"/>
      <w:r w:rsidRPr="00FD0FF7">
        <w:rPr>
          <w:rFonts w:hint="eastAsia"/>
          <w:bCs/>
        </w:rPr>
        <w:t>7.3</w:t>
      </w:r>
      <w:r w:rsidRPr="00FD0FF7">
        <w:rPr>
          <w:rFonts w:hint="eastAsia"/>
          <w:bCs/>
        </w:rPr>
        <w:tab/>
      </w:r>
      <w:r w:rsidRPr="00FD0FF7">
        <w:t xml:space="preserve">Mixing </w:t>
      </w:r>
      <w:r w:rsidR="00BA180D">
        <w:t>p</w:t>
      </w:r>
      <w:r w:rsidRPr="00FD0FF7">
        <w:t>re-</w:t>
      </w:r>
      <w:r w:rsidR="00BA180D">
        <w:t>s</w:t>
      </w:r>
      <w:r w:rsidRPr="00FD0FF7">
        <w:t xml:space="preserve">hared </w:t>
      </w:r>
      <w:r w:rsidR="00BA180D">
        <w:t>k</w:t>
      </w:r>
      <w:r w:rsidRPr="00FD0FF7">
        <w:t>eys</w:t>
      </w:r>
      <w:bookmarkEnd w:id="137"/>
      <w:bookmarkEnd w:id="140"/>
      <w:bookmarkEnd w:id="141"/>
      <w:bookmarkEnd w:id="142"/>
      <w:r w:rsidRPr="00FD0FF7">
        <w:t xml:space="preserve"> </w:t>
      </w:r>
    </w:p>
    <w:p w14:paraId="09DE0305" w14:textId="36464666" w:rsidR="00093D64" w:rsidRPr="00332445" w:rsidRDefault="00093D64" w:rsidP="00093D64">
      <w:r w:rsidRPr="00FD0FF7">
        <w:t>[</w:t>
      </w:r>
      <w:r>
        <w:t>b-</w:t>
      </w:r>
      <w:bookmarkStart w:id="143" w:name="_Toc228187602"/>
      <w:bookmarkStart w:id="144" w:name="_Toc228187603"/>
      <w:bookmarkEnd w:id="143"/>
      <w:bookmarkEnd w:id="144"/>
      <w:r w:rsidRPr="00332445">
        <w:t>IETF RFC 8784</w:t>
      </w:r>
      <w:r w:rsidRPr="00FD0FF7">
        <w:t xml:space="preserve">] </w:t>
      </w:r>
      <w:r w:rsidRPr="00332445">
        <w:t>specifies a method for mixing pre</w:t>
      </w:r>
      <w:r w:rsidRPr="00332445">
        <w:noBreakHyphen/>
        <w:t xml:space="preserve">shared keys in the Internet </w:t>
      </w:r>
      <w:r w:rsidR="00AE73A9">
        <w:t>k</w:t>
      </w:r>
      <w:r w:rsidRPr="00332445">
        <w:t xml:space="preserve">ey </w:t>
      </w:r>
      <w:r w:rsidR="00AE73A9">
        <w:t>e</w:t>
      </w:r>
      <w:r w:rsidRPr="00332445">
        <w:t xml:space="preserve">xchange </w:t>
      </w:r>
      <w:r w:rsidR="00DC2037">
        <w:t>p</w:t>
      </w:r>
      <w:r w:rsidRPr="00332445">
        <w:t>rotocol version 2 (IKEv2) to support post</w:t>
      </w:r>
      <w:r w:rsidRPr="00332445">
        <w:noBreakHyphen/>
        <w:t xml:space="preserve">quantum security. This </w:t>
      </w:r>
      <w:r w:rsidR="00DC2037">
        <w:t>Technical Report</w:t>
      </w:r>
      <w:r w:rsidRPr="00332445">
        <w:t xml:space="preserve"> describes an extension to IKEv2 that allows the use of alternative key exchange mechanisms through pre</w:t>
      </w:r>
      <w:r w:rsidRPr="00332445">
        <w:noBreakHyphen/>
        <w:t>shared keys.</w:t>
      </w:r>
    </w:p>
    <w:p w14:paraId="252695AF" w14:textId="77777777" w:rsidR="00093D64" w:rsidRPr="00332445" w:rsidRDefault="00093D64" w:rsidP="00093D64">
      <w:r w:rsidRPr="00FD0FF7">
        <w:t>[</w:t>
      </w:r>
      <w:r>
        <w:t>b-</w:t>
      </w:r>
      <w:r w:rsidRPr="00332445">
        <w:t>IETF RFC 8784</w:t>
      </w:r>
      <w:r w:rsidRPr="00FD0FF7">
        <w:t xml:space="preserve">] </w:t>
      </w:r>
      <w:r w:rsidRPr="00332445">
        <w:t>assumes that each IKE peer maintains a list of pre</w:t>
      </w:r>
      <w:r w:rsidRPr="00332445">
        <w:noBreakHyphen/>
        <w:t>shared keys along with their associated identifiers, which may be exchanged using any post</w:t>
      </w:r>
      <w:r w:rsidRPr="00332445">
        <w:noBreakHyphen/>
        <w:t>quantum key exchange method. The specification also introduces notification messages that allow the initiator and the responder to decide whether pre</w:t>
      </w:r>
      <w:r w:rsidRPr="00332445">
        <w:noBreakHyphen/>
        <w:t>shared keys are used in an IKEv2 exchange. The decision not to use pre</w:t>
      </w:r>
      <w:r w:rsidRPr="00332445">
        <w:noBreakHyphen/>
        <w:t>shared keys can be taken by either of the parties during the various steps of the protocol. In this case, the initiator and the responder use the standard IKEv2 protocol.</w:t>
      </w:r>
    </w:p>
    <w:p w14:paraId="54491D42" w14:textId="77777777" w:rsidR="00093D64" w:rsidRPr="00332445" w:rsidRDefault="00093D64" w:rsidP="00093D64">
      <w:r w:rsidRPr="00332445">
        <w:t>When a pre</w:t>
      </w:r>
      <w:r w:rsidRPr="00332445">
        <w:noBreakHyphen/>
        <w:t>shared key is used, it is combined with the three sub</w:t>
      </w:r>
      <w:r w:rsidRPr="00332445">
        <w:noBreakHyphen/>
        <w:t xml:space="preserve">keys generated from the conventional IKEv2 </w:t>
      </w:r>
      <w:r w:rsidRPr="00FD0FF7">
        <w:t>protocol</w:t>
      </w:r>
      <w:r w:rsidRPr="00332445">
        <w:t xml:space="preserve"> specified in </w:t>
      </w:r>
      <w:r>
        <w:t>[b-</w:t>
      </w:r>
      <w:r w:rsidRPr="00332445">
        <w:t>IETF RFC 7296</w:t>
      </w:r>
      <w:r>
        <w:t>]</w:t>
      </w:r>
      <w:r w:rsidRPr="00332445">
        <w:t>. The combination of these sub</w:t>
      </w:r>
      <w:r w:rsidRPr="00332445">
        <w:noBreakHyphen/>
        <w:t>keys with the pre</w:t>
      </w:r>
      <w:r w:rsidRPr="00332445">
        <w:noBreakHyphen/>
        <w:t>shared keys is performed using a pseudo</w:t>
      </w:r>
      <w:r w:rsidRPr="00332445">
        <w:noBreakHyphen/>
        <w:t>random function.</w:t>
      </w:r>
    </w:p>
    <w:p w14:paraId="13F46025" w14:textId="382062F7" w:rsidR="00093D64" w:rsidRPr="00332445" w:rsidRDefault="00093D64" w:rsidP="00093D64">
      <w:r w:rsidRPr="00332445">
        <w:t xml:space="preserve">Clause 3 of </w:t>
      </w:r>
      <w:r>
        <w:t>[b-</w:t>
      </w:r>
      <w:r w:rsidRPr="00332445">
        <w:t>IETF RFC 8784</w:t>
      </w:r>
      <w:r>
        <w:t>]</w:t>
      </w:r>
      <w:r w:rsidRPr="00332445">
        <w:t xml:space="preserve"> specifies notification messages related to the use of post</w:t>
      </w:r>
      <w:r w:rsidRPr="00332445">
        <w:noBreakHyphen/>
        <w:t>quantum pre</w:t>
      </w:r>
      <w:r w:rsidRPr="00332445">
        <w:noBreakHyphen/>
        <w:t>shared keys. These notifications are exchanged between the initiator and the responder. Depending on the responder</w:t>
      </w:r>
      <w:r w:rsidR="00C7414B">
        <w:t>'</w:t>
      </w:r>
      <w:r w:rsidRPr="00332445">
        <w:t xml:space="preserve">s notification, applications may decide to abort the exchange, use the standard IKEv2 protocol, or use the variation </w:t>
      </w:r>
      <w:r w:rsidRPr="00FD0FF7">
        <w:t xml:space="preserve">of IKEv2 </w:t>
      </w:r>
      <w:r w:rsidRPr="00332445">
        <w:t>with post</w:t>
      </w:r>
      <w:r w:rsidRPr="00332445">
        <w:noBreakHyphen/>
        <w:t>quantum pre</w:t>
      </w:r>
      <w:r w:rsidRPr="00332445">
        <w:noBreakHyphen/>
        <w:t>shared keys. In the latter case, the initiator sends a notification containing the identifier of the post</w:t>
      </w:r>
      <w:r w:rsidRPr="00332445">
        <w:noBreakHyphen/>
        <w:t>quantum pre</w:t>
      </w:r>
      <w:r w:rsidRPr="00332445">
        <w:noBreakHyphen/>
        <w:t>shared key to the responder. The method for mixing post</w:t>
      </w:r>
      <w:r w:rsidRPr="00332445">
        <w:noBreakHyphen/>
        <w:t>quantum pre</w:t>
      </w:r>
      <w:r w:rsidRPr="00332445">
        <w:noBreakHyphen/>
        <w:t>shared keys with the secret exchanged using Diffie</w:t>
      </w:r>
      <w:r w:rsidRPr="00332445">
        <w:noBreakHyphen/>
        <w:t xml:space="preserve">Hellman, as specified in </w:t>
      </w:r>
      <w:r>
        <w:t>[b-</w:t>
      </w:r>
      <w:r w:rsidRPr="00332445">
        <w:t>IETF RFC 7296</w:t>
      </w:r>
      <w:r>
        <w:t>]</w:t>
      </w:r>
      <w:r w:rsidRPr="00332445">
        <w:t xml:space="preserve">, is also defined in </w:t>
      </w:r>
      <w:r w:rsidRPr="00FD0FF7">
        <w:t>clause</w:t>
      </w:r>
      <w:r w:rsidRPr="00332445">
        <w:t xml:space="preserve"> 3.</w:t>
      </w:r>
    </w:p>
    <w:p w14:paraId="211925E3" w14:textId="41078774" w:rsidR="00093D64" w:rsidRPr="00332445" w:rsidRDefault="00093D64" w:rsidP="00093D64">
      <w:r w:rsidRPr="00332445">
        <w:t>The methods for exchanging these pre</w:t>
      </w:r>
      <w:r w:rsidRPr="00332445">
        <w:noBreakHyphen/>
        <w:t>shared keys are not defined</w:t>
      </w:r>
      <w:r w:rsidRPr="00FD0FF7">
        <w:t>. Therefore, QKD</w:t>
      </w:r>
      <w:r w:rsidRPr="00332445">
        <w:t xml:space="preserve"> is one option that may be used in this context. However, the approach defined in </w:t>
      </w:r>
      <w:r>
        <w:t>[b-</w:t>
      </w:r>
      <w:r w:rsidRPr="00332445">
        <w:t>IETF RFC 8784</w:t>
      </w:r>
      <w:r>
        <w:t>]</w:t>
      </w:r>
      <w:r w:rsidRPr="00332445">
        <w:t xml:space="preserve"> is limited to initiators and responders that are configured with fixed lists of pre</w:t>
      </w:r>
      <w:r w:rsidRPr="00332445">
        <w:noBreakHyphen/>
        <w:t xml:space="preserve">shared keys and </w:t>
      </w:r>
      <w:r w:rsidRPr="00FD0FF7">
        <w:t xml:space="preserve">pre-shared key </w:t>
      </w:r>
      <w:r w:rsidRPr="00332445">
        <w:t>identifiers and does not support dynamic updates of pre</w:t>
      </w:r>
      <w:r w:rsidRPr="00332445">
        <w:noBreakHyphen/>
        <w:t>shared keys.</w:t>
      </w:r>
    </w:p>
    <w:p w14:paraId="5CCF4304" w14:textId="77777777" w:rsidR="00093D64" w:rsidRPr="00A564CF" w:rsidRDefault="00093D64" w:rsidP="005B798D">
      <w:pPr>
        <w:pStyle w:val="Heading1"/>
        <w:rPr>
          <w:rFonts w:eastAsia="Arial Unicode MS"/>
        </w:rPr>
      </w:pPr>
      <w:bookmarkStart w:id="145" w:name="_Toc256000025"/>
      <w:bookmarkStart w:id="146" w:name="_Toc238199013"/>
      <w:bookmarkStart w:id="147" w:name="_Toc243546270"/>
      <w:r w:rsidRPr="00A564CF">
        <w:rPr>
          <w:rFonts w:eastAsia="Arial Unicode MS" w:hint="eastAsia"/>
        </w:rPr>
        <w:t>8</w:t>
      </w:r>
      <w:r w:rsidRPr="00A564CF">
        <w:rPr>
          <w:rFonts w:eastAsia="Arial Unicode MS" w:hint="eastAsia"/>
        </w:rPr>
        <w:tab/>
      </w:r>
      <w:r w:rsidRPr="00464A54">
        <w:rPr>
          <w:rFonts w:eastAsia="Arial Unicode MS" w:hint="eastAsia"/>
        </w:rPr>
        <w:t>Security</w:t>
      </w:r>
      <w:r w:rsidRPr="00A564CF">
        <w:rPr>
          <w:rFonts w:eastAsia="Arial Unicode MS" w:hint="eastAsia"/>
        </w:rPr>
        <w:t xml:space="preserve"> considerations for QKD-PQC integration</w:t>
      </w:r>
      <w:bookmarkEnd w:id="145"/>
      <w:bookmarkEnd w:id="146"/>
      <w:bookmarkEnd w:id="147"/>
    </w:p>
    <w:p w14:paraId="164ACA38" w14:textId="47F14373" w:rsidR="00093D64" w:rsidRPr="004365CC" w:rsidRDefault="00093D64" w:rsidP="005B798D">
      <w:pPr>
        <w:pStyle w:val="Heading2"/>
        <w:rPr>
          <w:rFonts w:eastAsia="Malgun Gothic"/>
          <w:lang w:val="en-US" w:eastAsia="ko-KR"/>
        </w:rPr>
      </w:pPr>
      <w:bookmarkStart w:id="148" w:name="_Toc256000026"/>
      <w:bookmarkStart w:id="149" w:name="_Toc238199014"/>
      <w:bookmarkStart w:id="150" w:name="_Toc243546271"/>
      <w:r w:rsidRPr="004365CC">
        <w:rPr>
          <w:rFonts w:eastAsia="Malgun Gothic" w:hint="eastAsia"/>
          <w:bCs/>
          <w:lang w:val="en-US" w:eastAsia="ko-KR"/>
        </w:rPr>
        <w:t>8.1</w:t>
      </w:r>
      <w:r w:rsidRPr="004365CC">
        <w:rPr>
          <w:rFonts w:eastAsia="Malgun Gothic" w:hint="eastAsia"/>
          <w:bCs/>
          <w:lang w:val="en-US" w:eastAsia="ko-KR"/>
        </w:rPr>
        <w:tab/>
      </w:r>
      <w:r w:rsidRPr="00A564CF">
        <w:rPr>
          <w:rFonts w:eastAsia="SimSun"/>
        </w:rPr>
        <w:t xml:space="preserve">Preservation of </w:t>
      </w:r>
      <w:r w:rsidR="00B61691">
        <w:rPr>
          <w:rFonts w:eastAsia="SimSun"/>
        </w:rPr>
        <w:t>s</w:t>
      </w:r>
      <w:r w:rsidRPr="00A564CF">
        <w:rPr>
          <w:rFonts w:eastAsia="SimSun"/>
        </w:rPr>
        <w:t xml:space="preserve">ecurity </w:t>
      </w:r>
      <w:r w:rsidR="00B61691">
        <w:rPr>
          <w:rFonts w:eastAsia="SimSun"/>
        </w:rPr>
        <w:t>p</w:t>
      </w:r>
      <w:r w:rsidRPr="00A564CF">
        <w:rPr>
          <w:rFonts w:eastAsia="SimSun"/>
        </w:rPr>
        <w:t>roperties</w:t>
      </w:r>
      <w:bookmarkEnd w:id="148"/>
      <w:bookmarkEnd w:id="149"/>
      <w:bookmarkEnd w:id="150"/>
    </w:p>
    <w:p w14:paraId="4E3C910C" w14:textId="77777777" w:rsidR="00093D64" w:rsidRPr="001806F7" w:rsidRDefault="00093D64" w:rsidP="00093D64">
      <w:pPr>
        <w:rPr>
          <w:lang w:val="en-US"/>
        </w:rPr>
      </w:pPr>
      <w:r w:rsidRPr="009B427C">
        <w:t>The</w:t>
      </w:r>
      <w:r w:rsidRPr="00303379">
        <w:t xml:space="preserve"> integration of QKD and PQC should preserve the security properties of each individual technology</w:t>
      </w:r>
      <w:r w:rsidRPr="009B427C">
        <w:t xml:space="preserve"> under clearly defined assumptions.</w:t>
      </w:r>
      <w:r w:rsidRPr="00303379">
        <w:t xml:space="preserve"> It is essential that the integration does not weaken the security of either QKD or PQC, nor introduce additional vulnerabilities. </w:t>
      </w:r>
      <w:r w:rsidRPr="009B427C">
        <w:t>The overall security claim of the combined system should be explicitly stated and supported by analysis of the key-combining method, authentication mechanism, implementation assumptions, and operational environment.</w:t>
      </w:r>
    </w:p>
    <w:p w14:paraId="049556E0" w14:textId="77777777" w:rsidR="00093D64" w:rsidRPr="00A564CF" w:rsidRDefault="00093D64" w:rsidP="005B798D">
      <w:pPr>
        <w:pStyle w:val="Heading2"/>
        <w:rPr>
          <w:rFonts w:eastAsia="SimSun"/>
        </w:rPr>
      </w:pPr>
      <w:bookmarkStart w:id="151" w:name="_Toc256000027"/>
      <w:bookmarkStart w:id="152" w:name="_Toc238199015"/>
      <w:bookmarkStart w:id="153" w:name="_Toc243546272"/>
      <w:r w:rsidRPr="00A564CF">
        <w:rPr>
          <w:rFonts w:eastAsia="SimSun" w:hint="eastAsia"/>
          <w:bCs/>
        </w:rPr>
        <w:t>8.2</w:t>
      </w:r>
      <w:r w:rsidRPr="00A564CF">
        <w:rPr>
          <w:rFonts w:eastAsia="SimSun" w:hint="eastAsia"/>
          <w:bCs/>
        </w:rPr>
        <w:tab/>
      </w:r>
      <w:r w:rsidRPr="00A564CF">
        <w:rPr>
          <w:rFonts w:eastAsia="SimSun"/>
        </w:rPr>
        <w:t>Authentication</w:t>
      </w:r>
      <w:bookmarkEnd w:id="151"/>
      <w:bookmarkEnd w:id="152"/>
      <w:bookmarkEnd w:id="153"/>
    </w:p>
    <w:p w14:paraId="703276DC" w14:textId="77777777" w:rsidR="00093D64" w:rsidRPr="001806F7" w:rsidRDefault="00093D64" w:rsidP="00093D64">
      <w:pPr>
        <w:rPr>
          <w:lang w:val="en-US"/>
        </w:rPr>
      </w:pPr>
      <w:r w:rsidRPr="00303379">
        <w:t xml:space="preserve">From an authentication perspective, it is important to recognize that QKD does not inherently provide </w:t>
      </w:r>
      <w:r w:rsidRPr="000B3791">
        <w:t xml:space="preserve">entity </w:t>
      </w:r>
      <w:r w:rsidRPr="00303379">
        <w:t>authentication</w:t>
      </w:r>
      <w:r w:rsidRPr="000B3791">
        <w:t>.</w:t>
      </w:r>
      <w:r w:rsidRPr="00303379">
        <w:t xml:space="preserve"> Therefore, QKD</w:t>
      </w:r>
      <w:r w:rsidRPr="000B3791">
        <w:t>-</w:t>
      </w:r>
      <w:r w:rsidRPr="00303379">
        <w:t>based systems depend on external mechanisms for identity verification</w:t>
      </w:r>
      <w:r w:rsidRPr="000B3791">
        <w:t xml:space="preserve"> and protection against man-in-the-middle attacks.</w:t>
      </w:r>
      <w:r w:rsidRPr="00303379">
        <w:t xml:space="preserve"> In this context, PQC</w:t>
      </w:r>
      <w:r w:rsidRPr="000B3791">
        <w:t>-</w:t>
      </w:r>
      <w:r w:rsidRPr="00303379">
        <w:t xml:space="preserve">based authentication mechanisms, such as </w:t>
      </w:r>
      <w:r w:rsidRPr="000B3791">
        <w:t>quantum-resistant digital signatures and PQC-enabled PKI</w:t>
      </w:r>
      <w:r w:rsidRPr="00303379">
        <w:t xml:space="preserve">, may be employed to </w:t>
      </w:r>
      <w:r w:rsidRPr="000B3791">
        <w:t>support</w:t>
      </w:r>
      <w:r w:rsidRPr="00303379">
        <w:t xml:space="preserve"> quantum</w:t>
      </w:r>
      <w:r w:rsidRPr="000B3791">
        <w:t>-</w:t>
      </w:r>
      <w:r w:rsidRPr="00303379">
        <w:t>safe authentication</w:t>
      </w:r>
      <w:r w:rsidRPr="000B3791">
        <w:t xml:space="preserve"> and to protect against</w:t>
      </w:r>
      <w:r w:rsidRPr="00303379">
        <w:t xml:space="preserve"> impersonation and unauthorized key injection.</w:t>
      </w:r>
    </w:p>
    <w:p w14:paraId="5B06CB8F" w14:textId="5A0CAB25" w:rsidR="00093D64" w:rsidRPr="00A564CF" w:rsidRDefault="00093D64" w:rsidP="005B798D">
      <w:pPr>
        <w:pStyle w:val="Heading2"/>
        <w:rPr>
          <w:rFonts w:eastAsia="SimSun"/>
        </w:rPr>
      </w:pPr>
      <w:bookmarkStart w:id="154" w:name="_Toc256000028"/>
      <w:bookmarkStart w:id="155" w:name="_Toc238199016"/>
      <w:bookmarkStart w:id="156" w:name="_Toc243546273"/>
      <w:r w:rsidRPr="00A564CF">
        <w:rPr>
          <w:rFonts w:eastAsia="SimSun" w:hint="eastAsia"/>
          <w:bCs/>
        </w:rPr>
        <w:lastRenderedPageBreak/>
        <w:t>8.3</w:t>
      </w:r>
      <w:r w:rsidRPr="00A564CF">
        <w:rPr>
          <w:rFonts w:eastAsia="SimSun" w:hint="eastAsia"/>
          <w:bCs/>
        </w:rPr>
        <w:tab/>
      </w:r>
      <w:r w:rsidRPr="00A564CF">
        <w:rPr>
          <w:rFonts w:eastAsia="SimSun"/>
        </w:rPr>
        <w:t xml:space="preserve">Protection of </w:t>
      </w:r>
      <w:r w:rsidR="002D5095">
        <w:rPr>
          <w:rFonts w:eastAsia="SimSun"/>
        </w:rPr>
        <w:t>k</w:t>
      </w:r>
      <w:r w:rsidRPr="00A564CF">
        <w:rPr>
          <w:rFonts w:eastAsia="SimSun"/>
        </w:rPr>
        <w:t xml:space="preserve">ey </w:t>
      </w:r>
      <w:r w:rsidR="002D5095">
        <w:rPr>
          <w:rFonts w:eastAsia="SimSun"/>
        </w:rPr>
        <w:t>f</w:t>
      </w:r>
      <w:r w:rsidRPr="00A564CF">
        <w:rPr>
          <w:rFonts w:eastAsia="SimSun"/>
        </w:rPr>
        <w:t xml:space="preserve">orwarding and </w:t>
      </w:r>
      <w:r w:rsidR="002D5095">
        <w:rPr>
          <w:rFonts w:eastAsia="SimSun"/>
        </w:rPr>
        <w:t>t</w:t>
      </w:r>
      <w:r w:rsidRPr="00A564CF">
        <w:rPr>
          <w:rFonts w:eastAsia="SimSun" w:hint="eastAsia"/>
        </w:rPr>
        <w:t>rusted</w:t>
      </w:r>
      <w:r w:rsidRPr="00A564CF">
        <w:rPr>
          <w:rFonts w:eastAsia="SimSun"/>
        </w:rPr>
        <w:t xml:space="preserve"> </w:t>
      </w:r>
      <w:r w:rsidR="002D5095">
        <w:rPr>
          <w:rFonts w:eastAsia="SimSun"/>
        </w:rPr>
        <w:t>n</w:t>
      </w:r>
      <w:r w:rsidRPr="00A564CF">
        <w:rPr>
          <w:rFonts w:eastAsia="SimSun"/>
        </w:rPr>
        <w:t>odes</w:t>
      </w:r>
      <w:bookmarkEnd w:id="154"/>
      <w:bookmarkEnd w:id="155"/>
      <w:bookmarkEnd w:id="156"/>
    </w:p>
    <w:p w14:paraId="2EBC0DAF" w14:textId="77777777" w:rsidR="00093D64" w:rsidRPr="001806F7" w:rsidRDefault="00093D64" w:rsidP="00093D64">
      <w:pPr>
        <w:rPr>
          <w:lang w:val="en-US"/>
        </w:rPr>
      </w:pPr>
      <w:r w:rsidRPr="00303379">
        <w:t xml:space="preserve">In practical deployments, QKD systems often rely on trusted nodes and key </w:t>
      </w:r>
      <w:r w:rsidRPr="0057110E">
        <w:t>relay</w:t>
      </w:r>
      <w:r w:rsidRPr="00303379">
        <w:t xml:space="preserve"> mechanisms. This introduces additional security considerations, including the need to </w:t>
      </w:r>
      <w:r w:rsidRPr="0057110E">
        <w:t>protect</w:t>
      </w:r>
      <w:r w:rsidRPr="00303379">
        <w:t xml:space="preserve"> key material at intermediate nodes and </w:t>
      </w:r>
      <w:r w:rsidRPr="0057110E">
        <w:t>to clarify whether</w:t>
      </w:r>
      <w:r w:rsidRPr="00303379">
        <w:t xml:space="preserve"> end</w:t>
      </w:r>
      <w:r w:rsidRPr="0057110E">
        <w:t>-</w:t>
      </w:r>
      <w:r w:rsidRPr="00303379">
        <w:t>to</w:t>
      </w:r>
      <w:r w:rsidRPr="0057110E">
        <w:t>-</w:t>
      </w:r>
      <w:r w:rsidRPr="00303379">
        <w:t xml:space="preserve">end protection is </w:t>
      </w:r>
      <w:r w:rsidRPr="0057110E">
        <w:t>provided by QKD alone, by</w:t>
      </w:r>
      <w:r w:rsidRPr="00303379">
        <w:t xml:space="preserve"> PQC</w:t>
      </w:r>
      <w:r w:rsidRPr="0057110E">
        <w:t xml:space="preserve"> mechanisms, or by a hybrid construction. PQC-</w:t>
      </w:r>
      <w:r w:rsidRPr="00303379">
        <w:t xml:space="preserve">based encryption and authentication mechanisms may be </w:t>
      </w:r>
      <w:r w:rsidRPr="0057110E">
        <w:t>used</w:t>
      </w:r>
      <w:r w:rsidRPr="00303379">
        <w:t xml:space="preserve"> to enhance </w:t>
      </w:r>
      <w:r w:rsidRPr="0057110E">
        <w:t xml:space="preserve">protection of </w:t>
      </w:r>
      <w:r w:rsidRPr="00303379">
        <w:t xml:space="preserve">key </w:t>
      </w:r>
      <w:r w:rsidRPr="0057110E">
        <w:t>forwarding and to limit</w:t>
      </w:r>
      <w:r w:rsidRPr="00303379">
        <w:t xml:space="preserve"> the impact of potential node </w:t>
      </w:r>
      <w:r w:rsidRPr="0057110E">
        <w:t>compromise</w:t>
      </w:r>
      <w:r w:rsidRPr="00303379">
        <w:t xml:space="preserve"> on the overall system.</w:t>
      </w:r>
    </w:p>
    <w:p w14:paraId="7F65B927" w14:textId="52F201EB" w:rsidR="00093D64" w:rsidRPr="00A564CF" w:rsidRDefault="00093D64" w:rsidP="005B798D">
      <w:pPr>
        <w:pStyle w:val="Heading2"/>
        <w:rPr>
          <w:rFonts w:eastAsia="SimSun"/>
        </w:rPr>
      </w:pPr>
      <w:bookmarkStart w:id="157" w:name="_Toc256000029"/>
      <w:bookmarkStart w:id="158" w:name="_Toc238199017"/>
      <w:bookmarkStart w:id="159" w:name="_Toc243546274"/>
      <w:r w:rsidRPr="00A564CF">
        <w:rPr>
          <w:rFonts w:eastAsia="SimSun" w:hint="eastAsia"/>
          <w:bCs/>
        </w:rPr>
        <w:t>8.4</w:t>
      </w:r>
      <w:r w:rsidRPr="00A564CF">
        <w:rPr>
          <w:rFonts w:eastAsia="SimSun" w:hint="eastAsia"/>
          <w:bCs/>
        </w:rPr>
        <w:tab/>
      </w:r>
      <w:r w:rsidRPr="00A564CF">
        <w:rPr>
          <w:rFonts w:eastAsia="SimSun"/>
        </w:rPr>
        <w:t xml:space="preserve">Security aspects of </w:t>
      </w:r>
      <w:r w:rsidR="003C01DA">
        <w:rPr>
          <w:rFonts w:eastAsia="SimSun"/>
        </w:rPr>
        <w:t>h</w:t>
      </w:r>
      <w:r w:rsidRPr="00A564CF">
        <w:rPr>
          <w:rFonts w:eastAsia="SimSun"/>
        </w:rPr>
        <w:t xml:space="preserve">ybrid </w:t>
      </w:r>
      <w:r w:rsidR="003C01DA">
        <w:rPr>
          <w:rFonts w:eastAsia="SimSun"/>
        </w:rPr>
        <w:t>a</w:t>
      </w:r>
      <w:r w:rsidRPr="00A564CF">
        <w:rPr>
          <w:rFonts w:eastAsia="SimSun"/>
        </w:rPr>
        <w:t>rchitectures</w:t>
      </w:r>
      <w:bookmarkEnd w:id="157"/>
      <w:bookmarkEnd w:id="158"/>
      <w:bookmarkEnd w:id="159"/>
    </w:p>
    <w:p w14:paraId="7C7D116A" w14:textId="77777777" w:rsidR="00093D64" w:rsidRPr="00303379" w:rsidRDefault="00093D64" w:rsidP="00093D64">
      <w:r w:rsidRPr="0061117D">
        <w:t>H</w:t>
      </w:r>
      <w:r w:rsidRPr="00303379">
        <w:t>ybrid QKD</w:t>
      </w:r>
      <w:r w:rsidRPr="00303379">
        <w:noBreakHyphen/>
        <w:t xml:space="preserve">PQC architectures introduce additional complexity that </w:t>
      </w:r>
      <w:r>
        <w:rPr>
          <w:rFonts w:eastAsia="Malgun Gothic"/>
          <w:lang w:eastAsia="ko-KR"/>
        </w:rPr>
        <w:t>needs</w:t>
      </w:r>
      <w:r w:rsidRPr="00303379">
        <w:t xml:space="preserve"> careful analysis. This includes interactions between QKD and PQC components, potential attack surfaces introduced by their integration, and operational as well as management</w:t>
      </w:r>
      <w:r w:rsidRPr="00303379">
        <w:noBreakHyphen/>
        <w:t>related risks. A comprehensive security analysis is therefore needed to ensure the robustness of such hybrid systems.</w:t>
      </w:r>
    </w:p>
    <w:p w14:paraId="65120046" w14:textId="77777777" w:rsidR="00093D64" w:rsidRPr="000E06B4" w:rsidRDefault="00093D64" w:rsidP="005B798D">
      <w:pPr>
        <w:pStyle w:val="Heading1"/>
        <w:rPr>
          <w:rFonts w:eastAsia="SimSun"/>
        </w:rPr>
      </w:pPr>
      <w:bookmarkStart w:id="160" w:name="_Toc238199018"/>
      <w:bookmarkStart w:id="161" w:name="_Toc256000030"/>
      <w:bookmarkStart w:id="162" w:name="_Toc243546275"/>
      <w:r w:rsidRPr="000E06B4">
        <w:rPr>
          <w:rFonts w:eastAsia="SimSun" w:hint="eastAsia"/>
        </w:rPr>
        <w:t>9</w:t>
      </w:r>
      <w:r w:rsidRPr="000E06B4">
        <w:rPr>
          <w:rFonts w:eastAsia="SimSun" w:hint="eastAsia"/>
        </w:rPr>
        <w:tab/>
      </w:r>
      <w:r w:rsidRPr="000E06B4">
        <w:rPr>
          <w:rFonts w:eastAsia="SimSun"/>
        </w:rPr>
        <w:t>Coordination with other SDOs</w:t>
      </w:r>
      <w:bookmarkEnd w:id="160"/>
      <w:bookmarkEnd w:id="162"/>
    </w:p>
    <w:bookmarkEnd w:id="161"/>
    <w:p w14:paraId="7EA16580" w14:textId="77777777" w:rsidR="00093D64" w:rsidRPr="001806F7" w:rsidRDefault="00093D64" w:rsidP="00093D64">
      <w:pPr>
        <w:rPr>
          <w:lang w:val="en-US"/>
        </w:rPr>
      </w:pPr>
      <w:r w:rsidRPr="00303379">
        <w:t>Protocols such as TLS and IKEv2 are standardized within the IETF. As a result, security mechanisms involving these protocols should remain aligned with existing IETF specifications. ITU</w:t>
      </w:r>
      <w:r w:rsidRPr="00B86ABB">
        <w:t>-</w:t>
      </w:r>
      <w:r w:rsidRPr="00303379">
        <w:t xml:space="preserve">T should, as far as possible, maintain alignment with </w:t>
      </w:r>
      <w:r w:rsidRPr="00B86ABB">
        <w:t>relevant</w:t>
      </w:r>
      <w:r w:rsidRPr="00303379">
        <w:t xml:space="preserve"> specifications while avoiding conflicts or overlaps in protocol </w:t>
      </w:r>
      <w:r w:rsidRPr="00B86ABB">
        <w:t>behaviour.</w:t>
      </w:r>
      <w:r w:rsidRPr="00303379">
        <w:t xml:space="preserve"> Close coordination with the IETF and other standards development organizations (SDOs</w:t>
      </w:r>
      <w:r w:rsidRPr="00B86ABB">
        <w:t>), including</w:t>
      </w:r>
      <w:r w:rsidRPr="00303379">
        <w:t xml:space="preserve"> through liaison activities </w:t>
      </w:r>
      <w:r w:rsidRPr="00B86ABB">
        <w:t xml:space="preserve">where appropriate, </w:t>
      </w:r>
      <w:r w:rsidRPr="00303379">
        <w:t>is therefore essential.</w:t>
      </w:r>
    </w:p>
    <w:p w14:paraId="10BFEB2B" w14:textId="77777777" w:rsidR="00093D64" w:rsidRPr="00A564CF" w:rsidRDefault="00093D64" w:rsidP="005B798D">
      <w:pPr>
        <w:pStyle w:val="Heading1"/>
        <w:rPr>
          <w:rFonts w:eastAsia="Arial Unicode MS"/>
        </w:rPr>
      </w:pPr>
      <w:bookmarkStart w:id="163" w:name="_Toc256000031"/>
      <w:bookmarkStart w:id="164" w:name="_Toc238199019"/>
      <w:bookmarkStart w:id="165" w:name="_Toc243546276"/>
      <w:r w:rsidRPr="00A564CF">
        <w:rPr>
          <w:rFonts w:eastAsia="Arial Unicode MS" w:hint="eastAsia"/>
        </w:rPr>
        <w:t>10</w:t>
      </w:r>
      <w:r w:rsidRPr="00A564CF">
        <w:rPr>
          <w:rFonts w:eastAsia="Arial Unicode MS" w:hint="eastAsia"/>
        </w:rPr>
        <w:tab/>
      </w:r>
      <w:r w:rsidRPr="00A564CF">
        <w:rPr>
          <w:rFonts w:eastAsia="Arial Unicode MS"/>
        </w:rPr>
        <w:t>Role of SG17</w:t>
      </w:r>
      <w:bookmarkEnd w:id="163"/>
      <w:bookmarkEnd w:id="164"/>
      <w:bookmarkEnd w:id="165"/>
    </w:p>
    <w:p w14:paraId="2DAD9A47" w14:textId="77777777" w:rsidR="00093D64" w:rsidRPr="00303379" w:rsidRDefault="00093D64" w:rsidP="00093D64">
      <w:r w:rsidRPr="00303379">
        <w:t>Within ITU</w:t>
      </w:r>
      <w:r w:rsidRPr="00303379">
        <w:noBreakHyphen/>
        <w:t>T, SG17 is well positioned to address security aspects of QKD</w:t>
      </w:r>
      <w:r w:rsidRPr="00303379">
        <w:noBreakHyphen/>
        <w:t>PQC integration. This includes the development of security requirements, threat models, and risk analysis, as well as authentication and trust frameworks and security considerations for hybrid key management.</w:t>
      </w:r>
    </w:p>
    <w:p w14:paraId="78045E78" w14:textId="77777777" w:rsidR="00093D64" w:rsidRPr="00CD18D9" w:rsidRDefault="00093D64" w:rsidP="005B798D">
      <w:pPr>
        <w:pStyle w:val="Heading1"/>
        <w:rPr>
          <w:rFonts w:eastAsia="Malgun Gothic"/>
          <w:bCs/>
          <w:lang w:val="en-US" w:eastAsia="ko-KR"/>
        </w:rPr>
      </w:pPr>
      <w:bookmarkStart w:id="166" w:name="_Toc256000032"/>
      <w:bookmarkStart w:id="167" w:name="_Toc238199020"/>
      <w:bookmarkStart w:id="168" w:name="_Toc243546277"/>
      <w:r w:rsidRPr="00CD18D9">
        <w:rPr>
          <w:rFonts w:eastAsia="Malgun Gothic" w:hint="eastAsia"/>
          <w:bCs/>
          <w:lang w:val="en-US" w:eastAsia="ko-KR"/>
        </w:rPr>
        <w:t>11</w:t>
      </w:r>
      <w:r w:rsidRPr="00CD18D9">
        <w:rPr>
          <w:rFonts w:eastAsia="Malgun Gothic" w:hint="eastAsia"/>
          <w:bCs/>
          <w:lang w:val="en-US" w:eastAsia="ko-KR"/>
        </w:rPr>
        <w:tab/>
      </w:r>
      <w:r w:rsidRPr="00A564CF">
        <w:rPr>
          <w:rFonts w:eastAsia="Arial Unicode MS" w:hint="eastAsia"/>
        </w:rPr>
        <w:t>Implications</w:t>
      </w:r>
      <w:bookmarkEnd w:id="166"/>
      <w:bookmarkEnd w:id="167"/>
      <w:bookmarkEnd w:id="168"/>
    </w:p>
    <w:p w14:paraId="5AA92923" w14:textId="77777777" w:rsidR="00093D64" w:rsidRPr="0061117D" w:rsidRDefault="00093D64" w:rsidP="00093D64">
      <w:r w:rsidRPr="0061117D">
        <w:t>The integration of QKD and PQC presents both opportunities and challenges from a security perspective.</w:t>
      </w:r>
    </w:p>
    <w:p w14:paraId="269C142F" w14:textId="77777777" w:rsidR="00093D64" w:rsidRPr="0061117D" w:rsidRDefault="00093D64" w:rsidP="00093D64">
      <w:r w:rsidRPr="0061117D">
        <w:t>To ensure secure deployment:</w:t>
      </w:r>
    </w:p>
    <w:p w14:paraId="4CBF1B33" w14:textId="2CCD53EE" w:rsidR="00093D64" w:rsidRPr="0061117D" w:rsidRDefault="005B798D" w:rsidP="005B798D">
      <w:pPr>
        <w:pStyle w:val="enumlev1"/>
      </w:pPr>
      <w:r w:rsidRPr="005B798D">
        <w:rPr>
          <w:rFonts w:eastAsia="Batang"/>
        </w:rPr>
        <w:t>–</w:t>
      </w:r>
      <w:r w:rsidR="00093D64" w:rsidRPr="0061117D">
        <w:rPr>
          <w:rFonts w:eastAsia="Batang"/>
        </w:rPr>
        <w:tab/>
      </w:r>
      <w:r w:rsidR="00093D64" w:rsidRPr="0061117D">
        <w:t xml:space="preserve">Clear separation of roles between QKD(N) and PQC should be maintained. </w:t>
      </w:r>
    </w:p>
    <w:p w14:paraId="5A836258" w14:textId="5B27702F" w:rsidR="00093D64" w:rsidRPr="0061117D" w:rsidRDefault="005B798D" w:rsidP="005B798D">
      <w:pPr>
        <w:pStyle w:val="enumlev1"/>
      </w:pPr>
      <w:r w:rsidRPr="005B798D">
        <w:rPr>
          <w:rFonts w:eastAsia="Batang"/>
        </w:rPr>
        <w:t>–</w:t>
      </w:r>
      <w:r w:rsidR="00093D64" w:rsidRPr="0061117D">
        <w:rPr>
          <w:rFonts w:eastAsia="Batang"/>
        </w:rPr>
        <w:tab/>
      </w:r>
      <w:r w:rsidR="00093D64" w:rsidRPr="0061117D">
        <w:t xml:space="preserve">Security requirements for hybrid systems should be explicitly defined. </w:t>
      </w:r>
    </w:p>
    <w:p w14:paraId="7D60BC9B" w14:textId="278F0829" w:rsidR="00093D64" w:rsidRPr="0061117D" w:rsidRDefault="005B798D" w:rsidP="005B798D">
      <w:pPr>
        <w:pStyle w:val="enumlev1"/>
      </w:pPr>
      <w:r w:rsidRPr="005B798D">
        <w:rPr>
          <w:rFonts w:eastAsia="Batang"/>
        </w:rPr>
        <w:t>–</w:t>
      </w:r>
      <w:r w:rsidR="00093D64" w:rsidRPr="0061117D">
        <w:rPr>
          <w:rFonts w:eastAsia="Batang"/>
        </w:rPr>
        <w:tab/>
      </w:r>
      <w:r w:rsidR="00093D64" w:rsidRPr="0061117D">
        <w:t xml:space="preserve">Integration should not weaken existing security guarantees. </w:t>
      </w:r>
    </w:p>
    <w:p w14:paraId="03308311" w14:textId="60E1E406" w:rsidR="00093D64" w:rsidRPr="0061117D" w:rsidRDefault="005B798D" w:rsidP="005B798D">
      <w:pPr>
        <w:pStyle w:val="enumlev1"/>
      </w:pPr>
      <w:r w:rsidRPr="005B798D">
        <w:rPr>
          <w:rFonts w:eastAsia="Batang"/>
        </w:rPr>
        <w:t>–</w:t>
      </w:r>
      <w:r w:rsidR="00093D64" w:rsidRPr="0061117D">
        <w:rPr>
          <w:rFonts w:eastAsia="Batang"/>
        </w:rPr>
        <w:tab/>
      </w:r>
      <w:r w:rsidR="00093D64" w:rsidRPr="0061117D">
        <w:t>Coordination</w:t>
      </w:r>
      <w:r w:rsidR="00093D64" w:rsidRPr="005D1D11">
        <w:rPr>
          <w:lang w:val="en-US"/>
        </w:rPr>
        <w:t xml:space="preserve"> </w:t>
      </w:r>
      <w:r w:rsidR="00093D64" w:rsidRPr="0061117D">
        <w:t xml:space="preserve">with </w:t>
      </w:r>
      <w:r w:rsidR="00093D64" w:rsidRPr="00303379">
        <w:t xml:space="preserve">the </w:t>
      </w:r>
      <w:r w:rsidR="00093D64" w:rsidRPr="0061117D">
        <w:t>IETF and other relevant organizations is essential.</w:t>
      </w:r>
    </w:p>
    <w:p w14:paraId="7720E748" w14:textId="77777777" w:rsidR="00093D64" w:rsidRPr="001806F7" w:rsidRDefault="00093D64" w:rsidP="00093D64">
      <w:pPr>
        <w:rPr>
          <w:lang w:val="en-US"/>
        </w:rPr>
      </w:pPr>
      <w:r w:rsidRPr="0061117D">
        <w:t>SG17 may play a key role in defining the security framework</w:t>
      </w:r>
      <w:r w:rsidRPr="00B20539">
        <w:t>, threat model, authentication considerations, and key-management requirements</w:t>
      </w:r>
      <w:r w:rsidRPr="0061117D">
        <w:t xml:space="preserve"> for such integration.</w:t>
      </w:r>
    </w:p>
    <w:p w14:paraId="27BF4BCD" w14:textId="77777777" w:rsidR="00093D64" w:rsidRDefault="00093D64" w:rsidP="005B798D">
      <w:r>
        <w:br w:type="page"/>
      </w:r>
    </w:p>
    <w:p w14:paraId="5512E847" w14:textId="30D9BB38" w:rsidR="00093D64" w:rsidRPr="005A20A8" w:rsidRDefault="00093D64" w:rsidP="005B798D">
      <w:pPr>
        <w:pStyle w:val="AppendixNoTitle0"/>
        <w:rPr>
          <w:lang w:val="en-US"/>
        </w:rPr>
      </w:pPr>
      <w:bookmarkStart w:id="169" w:name="_Toc256000033"/>
      <w:bookmarkStart w:id="170" w:name="_Toc238199021"/>
      <w:bookmarkStart w:id="171" w:name="_Toc243546278"/>
      <w:r w:rsidRPr="005A20A8">
        <w:rPr>
          <w:rFonts w:eastAsia="MS Mincho"/>
          <w:szCs w:val="28"/>
          <w:lang w:val="en-US" w:eastAsia="ja-JP"/>
        </w:rPr>
        <w:lastRenderedPageBreak/>
        <w:t>Annex A</w:t>
      </w:r>
      <w:bookmarkStart w:id="172" w:name="_Toc256000034"/>
      <w:bookmarkEnd w:id="169"/>
      <w:r w:rsidR="005B798D">
        <w:rPr>
          <w:lang w:val="en-US"/>
        </w:rPr>
        <w:br/>
      </w:r>
      <w:r w:rsidR="005B798D">
        <w:rPr>
          <w:lang w:val="en-US"/>
        </w:rPr>
        <w:br/>
      </w:r>
      <w:r w:rsidRPr="002E048C">
        <w:rPr>
          <w:lang w:val="en-US"/>
        </w:rPr>
        <w:t xml:space="preserve">PQC </w:t>
      </w:r>
      <w:r>
        <w:rPr>
          <w:lang w:val="en-US"/>
        </w:rPr>
        <w:t>a</w:t>
      </w:r>
      <w:r w:rsidRPr="002E048C">
        <w:rPr>
          <w:lang w:val="en-US"/>
        </w:rPr>
        <w:t>uthentication</w:t>
      </w:r>
      <w:bookmarkEnd w:id="170"/>
      <w:bookmarkEnd w:id="171"/>
      <w:bookmarkEnd w:id="172"/>
    </w:p>
    <w:p w14:paraId="5165D55E" w14:textId="2BF00F5D" w:rsidR="00093D64" w:rsidRPr="00F026A0" w:rsidRDefault="00093D64" w:rsidP="005B798D">
      <w:pPr>
        <w:pStyle w:val="Heading2"/>
      </w:pPr>
      <w:bookmarkStart w:id="173" w:name="_Toc256000035"/>
      <w:bookmarkStart w:id="174" w:name="_Toc228187613"/>
      <w:bookmarkStart w:id="175" w:name="_Toc238199022"/>
      <w:bookmarkStart w:id="176" w:name="_Toc243546279"/>
      <w:r w:rsidRPr="00F026A0">
        <w:t>A.1</w:t>
      </w:r>
      <w:r w:rsidRPr="00F026A0">
        <w:tab/>
        <w:t xml:space="preserve">Overview of PQC </w:t>
      </w:r>
      <w:r>
        <w:t>a</w:t>
      </w:r>
      <w:r w:rsidRPr="00F026A0">
        <w:t>uthentication</w:t>
      </w:r>
      <w:bookmarkEnd w:id="173"/>
      <w:bookmarkEnd w:id="174"/>
      <w:bookmarkEnd w:id="175"/>
      <w:bookmarkEnd w:id="176"/>
    </w:p>
    <w:p w14:paraId="4AB74E5D" w14:textId="77777777" w:rsidR="00093D64" w:rsidRPr="001806F7" w:rsidRDefault="00093D64" w:rsidP="00093D64">
      <w:pPr>
        <w:rPr>
          <w:lang w:val="en-US"/>
        </w:rPr>
      </w:pPr>
      <w:r w:rsidRPr="00F026A0">
        <w:t>Post</w:t>
      </w:r>
      <w:r w:rsidRPr="00DB33F7">
        <w:t>-quantum cryptography</w:t>
      </w:r>
      <w:r w:rsidRPr="00F026A0">
        <w:t xml:space="preserve"> (PQC) authentication refers to authentication mechanisms that employ cryptographic algorithms designed to remain secure against attacks by quantum computers. </w:t>
      </w:r>
      <w:r w:rsidRPr="00DB33F7">
        <w:t>In contrast</w:t>
      </w:r>
      <w:r w:rsidRPr="00F026A0">
        <w:t xml:space="preserve"> </w:t>
      </w:r>
      <w:r>
        <w:t>with</w:t>
      </w:r>
      <w:r w:rsidRPr="00F026A0">
        <w:t xml:space="preserve"> classical public</w:t>
      </w:r>
      <w:r w:rsidRPr="00DB33F7">
        <w:t>-</w:t>
      </w:r>
      <w:r w:rsidRPr="00F026A0">
        <w:t>key authentication mechanisms based on RSA or elliptic</w:t>
      </w:r>
      <w:r w:rsidRPr="00DB33F7">
        <w:t>-</w:t>
      </w:r>
      <w:r w:rsidRPr="00F026A0">
        <w:t>curve cryptography (ECC), PQC authentication relies on mathematical problems for which no efficient quantum algorithms are currently known. PQC authentication primarily provides entity authentication, message authentication, and integrity protection through quantum</w:t>
      </w:r>
      <w:r w:rsidRPr="00DB33F7">
        <w:t>-</w:t>
      </w:r>
      <w:r w:rsidRPr="00F026A0">
        <w:t>resistant digital signatures and related cryptographic primitives. It plays a critical role in establishing trust relationships in quantum</w:t>
      </w:r>
      <w:r w:rsidRPr="00DB33F7">
        <w:t>-</w:t>
      </w:r>
      <w:r w:rsidRPr="00F026A0">
        <w:t>safe communication systems, including hybrid architectures that combine QKD and PQC.</w:t>
      </w:r>
    </w:p>
    <w:p w14:paraId="7546301B" w14:textId="0CBCA166" w:rsidR="00093D64" w:rsidRPr="00F026A0" w:rsidRDefault="00093D64" w:rsidP="005B798D">
      <w:pPr>
        <w:pStyle w:val="Heading2"/>
      </w:pPr>
      <w:bookmarkStart w:id="177" w:name="_Toc256000036"/>
      <w:bookmarkStart w:id="178" w:name="_Toc228187614"/>
      <w:bookmarkStart w:id="179" w:name="_Toc238199023"/>
      <w:bookmarkStart w:id="180" w:name="_Toc243546280"/>
      <w:r w:rsidRPr="00F026A0">
        <w:t>A.2</w:t>
      </w:r>
      <w:r w:rsidRPr="00F026A0">
        <w:tab/>
        <w:t xml:space="preserve">Motivation for PQC </w:t>
      </w:r>
      <w:r>
        <w:t>a</w:t>
      </w:r>
      <w:r w:rsidRPr="00F026A0">
        <w:t>uthentication</w:t>
      </w:r>
      <w:bookmarkEnd w:id="177"/>
      <w:bookmarkEnd w:id="178"/>
      <w:bookmarkEnd w:id="179"/>
      <w:bookmarkEnd w:id="180"/>
    </w:p>
    <w:p w14:paraId="20B07259" w14:textId="04B276F4" w:rsidR="00093D64" w:rsidRPr="001806F7" w:rsidRDefault="00093D64" w:rsidP="00093D64">
      <w:pPr>
        <w:rPr>
          <w:lang w:val="en-US"/>
        </w:rPr>
      </w:pPr>
      <w:r w:rsidRPr="00F026A0">
        <w:t>Authentication mechanisms based on RSA and ECC are vulnerable to large</w:t>
      </w:r>
      <w:r w:rsidRPr="00022DAB">
        <w:t>-</w:t>
      </w:r>
      <w:r w:rsidRPr="00F026A0">
        <w:t>scale quantum computers due to Shor</w:t>
      </w:r>
      <w:r w:rsidR="005B798D">
        <w:t>'</w:t>
      </w:r>
      <w:r w:rsidRPr="00F026A0">
        <w:t xml:space="preserve">s algorithm, which can efficiently </w:t>
      </w:r>
      <w:r w:rsidRPr="00022DAB">
        <w:t>solve the underlying mathematical problems.</w:t>
      </w:r>
      <w:r w:rsidRPr="00F026A0">
        <w:t xml:space="preserve"> This creates a risk not only for future communications, but also for long</w:t>
      </w:r>
      <w:r w:rsidRPr="00022DAB">
        <w:t>-</w:t>
      </w:r>
      <w:r w:rsidRPr="00F026A0">
        <w:t>term credentials such as certificates, device identities, firmware signatures, and trust anchors that may be captured today and exploited later</w:t>
      </w:r>
      <w:r>
        <w:t>.</w:t>
      </w:r>
      <w:r w:rsidRPr="00F026A0">
        <w:t xml:space="preserve"> </w:t>
      </w:r>
      <w:r w:rsidRPr="00022DAB">
        <w:t xml:space="preserve">This risk is commonly referred to as </w:t>
      </w:r>
      <w:r w:rsidR="005B798D">
        <w:t>"</w:t>
      </w:r>
      <w:r w:rsidRPr="00022DAB">
        <w:t>harvest</w:t>
      </w:r>
      <w:r w:rsidRPr="00F026A0">
        <w:t xml:space="preserve"> now, decrypt later</w:t>
      </w:r>
      <w:r w:rsidR="001B75A0">
        <w:t>"</w:t>
      </w:r>
      <w:r w:rsidRPr="00022DAB">
        <w:t xml:space="preserve"> or, in the case of authentication artefacts, </w:t>
      </w:r>
      <w:r w:rsidR="001B75A0">
        <w:t>"</w:t>
      </w:r>
      <w:r w:rsidRPr="00022DAB">
        <w:t>harvest now, forge later</w:t>
      </w:r>
      <w:r w:rsidR="001B75A0">
        <w:t>"</w:t>
      </w:r>
      <w:r w:rsidRPr="00022DAB">
        <w:t>.</w:t>
      </w:r>
      <w:r w:rsidRPr="00F026A0">
        <w:t xml:space="preserve"> PQC authentication is therefore required to preserve the long</w:t>
      </w:r>
      <w:r w:rsidRPr="00022DAB">
        <w:t>-</w:t>
      </w:r>
      <w:r w:rsidRPr="00F026A0">
        <w:t>term security and trustworthiness of communication infrastructures, particularly for systems with long service lifetimes, critical infrastructure, and regulatory or compliance requirements. In hybrid quantum</w:t>
      </w:r>
      <w:r w:rsidRPr="00022DAB">
        <w:t>-</w:t>
      </w:r>
      <w:r w:rsidRPr="00F026A0">
        <w:t xml:space="preserve">safe communications, PQC authentication is essential to securely bind identities, protect control </w:t>
      </w:r>
      <w:r w:rsidRPr="00022DAB">
        <w:t>signalling</w:t>
      </w:r>
      <w:r w:rsidRPr="00F026A0">
        <w:t>, and authenticate key management operations.</w:t>
      </w:r>
    </w:p>
    <w:p w14:paraId="2C1F8199" w14:textId="3D5ACBF7" w:rsidR="00093D64" w:rsidRPr="00F026A0" w:rsidRDefault="00093D64" w:rsidP="00804751">
      <w:pPr>
        <w:pStyle w:val="Heading2"/>
      </w:pPr>
      <w:bookmarkStart w:id="181" w:name="_Toc256000037"/>
      <w:bookmarkStart w:id="182" w:name="_Toc228187615"/>
      <w:bookmarkStart w:id="183" w:name="_Toc238199024"/>
      <w:bookmarkStart w:id="184" w:name="_Toc243546281"/>
      <w:r w:rsidRPr="00F026A0">
        <w:t>A.3</w:t>
      </w:r>
      <w:r w:rsidRPr="00F026A0">
        <w:tab/>
        <w:t xml:space="preserve">Representative PQC </w:t>
      </w:r>
      <w:r>
        <w:t>a</w:t>
      </w:r>
      <w:r w:rsidRPr="00F026A0">
        <w:t xml:space="preserve">uthentication </w:t>
      </w:r>
      <w:r>
        <w:t>a</w:t>
      </w:r>
      <w:r w:rsidRPr="00F026A0">
        <w:t>lgorithms</w:t>
      </w:r>
      <w:bookmarkEnd w:id="181"/>
      <w:bookmarkEnd w:id="182"/>
      <w:bookmarkEnd w:id="183"/>
      <w:bookmarkEnd w:id="184"/>
    </w:p>
    <w:p w14:paraId="4FBB8613" w14:textId="77777777" w:rsidR="00093D64" w:rsidRPr="001806F7" w:rsidRDefault="00093D64" w:rsidP="00804751">
      <w:r w:rsidRPr="00F026A0">
        <w:t>PQC authentication is mainly realized using quantum</w:t>
      </w:r>
      <w:r w:rsidRPr="00F026A0">
        <w:noBreakHyphen/>
        <w:t>resistant digital signature schemes. Representative algorithms include lattice</w:t>
      </w:r>
      <w:r w:rsidRPr="00F026A0">
        <w:noBreakHyphen/>
        <w:t>based, hash</w:t>
      </w:r>
      <w:r w:rsidRPr="00F026A0">
        <w:noBreakHyphen/>
        <w:t>based, and other constructions. Lattice</w:t>
      </w:r>
      <w:r w:rsidRPr="00F026A0">
        <w:noBreakHyphen/>
        <w:t>based digital signature schemes provide a practical balance between security, performance, and implementation cost, and are suitable for protocols such as TLS, IPsec, and software signing. Hash</w:t>
      </w:r>
      <w:r w:rsidRPr="00F026A0">
        <w:noBreakHyphen/>
        <w:t>based signature schemes offer strong security assurances based on well</w:t>
      </w:r>
      <w:r w:rsidRPr="00F026A0">
        <w:noBreakHyphen/>
        <w:t>studied hash functions, at the cost of larger signature sizes. These signature algorithms can be used in a variety of authentication contexts, including certificate</w:t>
      </w:r>
      <w:r w:rsidRPr="00F026A0">
        <w:noBreakHyphen/>
        <w:t>based authentication, device authentication, and code signing.</w:t>
      </w:r>
      <w:bookmarkStart w:id="185" w:name="_Toc228187617"/>
    </w:p>
    <w:p w14:paraId="68136948" w14:textId="540E6C8D" w:rsidR="00093D64" w:rsidRPr="00F026A0" w:rsidRDefault="00093D64" w:rsidP="00804751">
      <w:pPr>
        <w:pStyle w:val="Heading2"/>
      </w:pPr>
      <w:bookmarkStart w:id="186" w:name="_Toc256000038"/>
      <w:bookmarkStart w:id="187" w:name="_Toc238199025"/>
      <w:bookmarkStart w:id="188" w:name="_Toc243546282"/>
      <w:r w:rsidRPr="00F026A0">
        <w:t>A.4</w:t>
      </w:r>
      <w:r w:rsidRPr="00F026A0">
        <w:tab/>
        <w:t xml:space="preserve">Use of PQC </w:t>
      </w:r>
      <w:r>
        <w:t>a</w:t>
      </w:r>
      <w:r w:rsidRPr="00F026A0">
        <w:t xml:space="preserve">uthentication in </w:t>
      </w:r>
      <w:r>
        <w:t>p</w:t>
      </w:r>
      <w:r w:rsidRPr="00F026A0">
        <w:t xml:space="preserve">ractical </w:t>
      </w:r>
      <w:r>
        <w:t>s</w:t>
      </w:r>
      <w:r w:rsidRPr="00F026A0">
        <w:t>ystems</w:t>
      </w:r>
      <w:bookmarkEnd w:id="185"/>
      <w:bookmarkEnd w:id="186"/>
      <w:bookmarkEnd w:id="187"/>
      <w:bookmarkEnd w:id="188"/>
    </w:p>
    <w:p w14:paraId="4BBADBF4" w14:textId="77777777" w:rsidR="00093D64" w:rsidRPr="00AC7388" w:rsidRDefault="00093D64" w:rsidP="00804751">
      <w:r w:rsidRPr="00AC7388">
        <w:t>PQC authentication can be deployed in various practical systems to provide quantum</w:t>
      </w:r>
      <w:r w:rsidRPr="00AC7388">
        <w:noBreakHyphen/>
        <w:t>resistant trust establishment and long</w:t>
      </w:r>
      <w:r w:rsidRPr="00AC7388">
        <w:noBreakHyphen/>
        <w:t>term security. Typical application areas include secure transport protocols, device and IoT authentication, and software or firmware signing.</w:t>
      </w:r>
    </w:p>
    <w:p w14:paraId="5A94EF96" w14:textId="0638DAAF" w:rsidR="00093D64" w:rsidRPr="00AC7388" w:rsidRDefault="00093D64" w:rsidP="00804751">
      <w:pPr>
        <w:pStyle w:val="Heading3"/>
      </w:pPr>
      <w:bookmarkStart w:id="189" w:name="_Toc256000039"/>
      <w:bookmarkStart w:id="190" w:name="_Toc228187618"/>
      <w:r w:rsidRPr="00AC7388">
        <w:t>A.4.1</w:t>
      </w:r>
      <w:r w:rsidRPr="00AC7388">
        <w:tab/>
        <w:t>Use in TLS / HTTPS</w:t>
      </w:r>
      <w:bookmarkEnd w:id="189"/>
      <w:bookmarkEnd w:id="190"/>
    </w:p>
    <w:p w14:paraId="1EB8466E" w14:textId="4471ED79" w:rsidR="00093D64" w:rsidRPr="00AC7388" w:rsidRDefault="00093D64" w:rsidP="00804751">
      <w:r w:rsidRPr="00AC7388">
        <w:t xml:space="preserve">In </w:t>
      </w:r>
      <w:r w:rsidR="00585C9B">
        <w:t>t</w:t>
      </w:r>
      <w:r w:rsidRPr="00AC7388">
        <w:t xml:space="preserve">ransport </w:t>
      </w:r>
      <w:r w:rsidR="00585C9B">
        <w:t>l</w:t>
      </w:r>
      <w:r w:rsidRPr="00AC7388">
        <w:t xml:space="preserve">ayer </w:t>
      </w:r>
      <w:r w:rsidR="00585C9B">
        <w:t>s</w:t>
      </w:r>
      <w:r w:rsidRPr="00AC7388">
        <w:t xml:space="preserve">ecurity (TLS) and HTTPS, PQC authentication can be applied to server and client authentication by replacing or augmenting classical digital signatures in </w:t>
      </w:r>
      <w:r w:rsidR="003A208C">
        <w:t xml:space="preserve">ITU-T </w:t>
      </w:r>
      <w:r w:rsidRPr="00AC7388">
        <w:t>X.509 certificates with PQC</w:t>
      </w:r>
      <w:r w:rsidRPr="00AC7388">
        <w:noBreakHyphen/>
        <w:t xml:space="preserve">based digital signature algorithms. For example, a TLS server may use a certificate signed with a PQC digital signature algorithm to prove its identity to a client during the TLS handshake. During the migration phase, hybrid authentication approaches are commonly adopted, where both a classical signature algorithm (such as ECDSA) and a PQC signature algorithm are used in parallel within certificates or protocol messages. This enables compatibility with legacy implementations while providing protection against future quantum adversaries. In such deployments, PQC </w:t>
      </w:r>
      <w:r w:rsidRPr="00AC7388">
        <w:lastRenderedPageBreak/>
        <w:t>authentication is typically combined with PQC or hybrid key establishment mechanisms to achieve end</w:t>
      </w:r>
      <w:r w:rsidRPr="00AC7388">
        <w:noBreakHyphen/>
        <w:t>to</w:t>
      </w:r>
      <w:r w:rsidRPr="00AC7388">
        <w:noBreakHyphen/>
        <w:t>end quantum</w:t>
      </w:r>
      <w:r w:rsidRPr="00AC7388">
        <w:noBreakHyphen/>
        <w:t>safe secure communication.</w:t>
      </w:r>
    </w:p>
    <w:p w14:paraId="1E72A3E2" w14:textId="48B9F959" w:rsidR="00093D64" w:rsidRPr="00AC7388" w:rsidRDefault="00093D64" w:rsidP="00804751">
      <w:pPr>
        <w:pStyle w:val="Heading3"/>
      </w:pPr>
      <w:bookmarkStart w:id="191" w:name="_Toc256000040"/>
      <w:bookmarkStart w:id="192" w:name="_Toc228187619"/>
      <w:r w:rsidRPr="00AC7388">
        <w:t>A.4.2</w:t>
      </w:r>
      <w:r w:rsidR="00804751">
        <w:tab/>
      </w:r>
      <w:r w:rsidRPr="00AC7388">
        <w:tab/>
        <w:t xml:space="preserve">Use in </w:t>
      </w:r>
      <w:r>
        <w:t>d</w:t>
      </w:r>
      <w:r w:rsidRPr="00AC7388">
        <w:t xml:space="preserve">evice and IoT </w:t>
      </w:r>
      <w:r>
        <w:t>a</w:t>
      </w:r>
      <w:r w:rsidRPr="00AC7388">
        <w:t>uthentication</w:t>
      </w:r>
      <w:bookmarkEnd w:id="191"/>
      <w:bookmarkEnd w:id="192"/>
    </w:p>
    <w:p w14:paraId="2F05D83D" w14:textId="77777777" w:rsidR="00093D64" w:rsidRPr="00AC7388" w:rsidRDefault="00093D64" w:rsidP="00804751">
      <w:r w:rsidRPr="00AC7388">
        <w:t>PQC authentication is particularly relevant for device and IoT environments, where devices often have long operational lifetimes and limited opportunities for cryptographic upgrades. PQC digital signatures can be used to establish secure device identities, authenticate devices during network onboarding, and protect device</w:t>
      </w:r>
      <w:r w:rsidRPr="00AC7388">
        <w:noBreakHyphen/>
        <w:t>to</w:t>
      </w:r>
      <w:r w:rsidRPr="00AC7388">
        <w:noBreakHyphen/>
        <w:t>device or device</w:t>
      </w:r>
      <w:r w:rsidRPr="00AC7388">
        <w:noBreakHyphen/>
        <w:t>to</w:t>
      </w:r>
      <w:r w:rsidRPr="00AC7388">
        <w:noBreakHyphen/>
        <w:t>cloud communications. For example, a device may be provisioned at manufacturing time with a PQC public</w:t>
      </w:r>
      <w:r w:rsidRPr="00AC7388">
        <w:noBreakHyphen/>
        <w:t>private key pair and a corresponding PQC</w:t>
      </w:r>
      <w:r w:rsidRPr="00AC7388">
        <w:noBreakHyphen/>
        <w:t>signed certificate or credential. During authentication, the device proves possession of the private key using a PQC signature, allowing the verifier to authenticate the device in a quantum</w:t>
      </w:r>
      <w:r w:rsidRPr="00AC7388">
        <w:noBreakHyphen/>
        <w:t>resistant manner. In hybrid architectures, PQC authentication can be combined with classical credentials to ensure interoperability and gradual migration.</w:t>
      </w:r>
    </w:p>
    <w:p w14:paraId="0E456C69" w14:textId="0F00509F" w:rsidR="00093D64" w:rsidRPr="00AC7388" w:rsidRDefault="00093D64" w:rsidP="00804751">
      <w:pPr>
        <w:pStyle w:val="Heading3"/>
      </w:pPr>
      <w:bookmarkStart w:id="193" w:name="_Toc256000041"/>
      <w:bookmarkStart w:id="194" w:name="_Toc228187620"/>
      <w:r w:rsidRPr="00AC7388">
        <w:t>A.4.3</w:t>
      </w:r>
      <w:r w:rsidRPr="00AC7388">
        <w:tab/>
        <w:t xml:space="preserve">Use in </w:t>
      </w:r>
      <w:r>
        <w:t>s</w:t>
      </w:r>
      <w:r w:rsidRPr="00AC7388">
        <w:t xml:space="preserve">oftware and </w:t>
      </w:r>
      <w:r>
        <w:t>f</w:t>
      </w:r>
      <w:r w:rsidRPr="00AC7388">
        <w:t xml:space="preserve">irmware </w:t>
      </w:r>
      <w:r>
        <w:t>s</w:t>
      </w:r>
      <w:r w:rsidRPr="00AC7388">
        <w:t>igning</w:t>
      </w:r>
      <w:bookmarkEnd w:id="193"/>
      <w:bookmarkEnd w:id="194"/>
    </w:p>
    <w:p w14:paraId="185CC03A" w14:textId="77777777" w:rsidR="00093D64" w:rsidRPr="00AC7388" w:rsidRDefault="00093D64" w:rsidP="00804751">
      <w:r w:rsidRPr="00AC7388">
        <w:t>Software and firmware signing is a critical use case for PQC authentication, as signed software artifacts may remain valid and trusted for many years. PQC digital signature algorithms can be used to sign software updates, firmware images, and configuration files to ensure authenticity and integrity over their entire lifecycle. This prevents adversaries from forging valid signatures in the future using quantum computers. In practical deployments, PQC</w:t>
      </w:r>
      <w:r w:rsidRPr="00AC7388">
        <w:noBreakHyphen/>
        <w:t>signed software or firmware can be verified by operating systems, bootloaders, or embedded devices before installation or execution. Hybrid signing approaches, where both classical and PQC signatures are applied to the same software artifact, are often used during the transition period to maintain compatibility with existing verification mechanisms while introducing quantum</w:t>
      </w:r>
      <w:r w:rsidRPr="00AC7388">
        <w:noBreakHyphen/>
        <w:t>resistant assurance.</w:t>
      </w:r>
    </w:p>
    <w:p w14:paraId="394740DF" w14:textId="2BD6FA01" w:rsidR="00093D64" w:rsidRPr="00F026A0" w:rsidRDefault="00093D64" w:rsidP="00804751">
      <w:pPr>
        <w:pStyle w:val="Heading2"/>
      </w:pPr>
      <w:bookmarkStart w:id="195" w:name="_Toc256000042"/>
      <w:bookmarkStart w:id="196" w:name="_Toc228187621"/>
      <w:bookmarkStart w:id="197" w:name="_Toc238199026"/>
      <w:bookmarkStart w:id="198" w:name="_Toc243546283"/>
      <w:r w:rsidRPr="00F026A0">
        <w:t>A.5</w:t>
      </w:r>
      <w:r w:rsidRPr="00F026A0">
        <w:tab/>
        <w:t xml:space="preserve">Hybrid </w:t>
      </w:r>
      <w:r>
        <w:t>a</w:t>
      </w:r>
      <w:r w:rsidRPr="00F026A0">
        <w:t xml:space="preserve">uthentication </w:t>
      </w:r>
      <w:r>
        <w:t>a</w:t>
      </w:r>
      <w:r w:rsidRPr="00F026A0">
        <w:t>pproaches</w:t>
      </w:r>
      <w:bookmarkEnd w:id="195"/>
      <w:bookmarkEnd w:id="196"/>
      <w:bookmarkEnd w:id="197"/>
      <w:bookmarkEnd w:id="198"/>
    </w:p>
    <w:p w14:paraId="7D906FA5" w14:textId="77777777" w:rsidR="00093D64" w:rsidRPr="00F026A0" w:rsidRDefault="00093D64" w:rsidP="00804751">
      <w:r w:rsidRPr="00F026A0">
        <w:t>Given the ongoing transition toward PQC, hybrid authentication approaches are widely regarded as a practical and risk</w:t>
      </w:r>
      <w:r w:rsidRPr="00F026A0">
        <w:noBreakHyphen/>
        <w:t>mitigating solution. Hybrid authentication combines classical authentication algorithms (e.g., RSA or ECDSA) with PQC authentication algorithms within a single protocol or trust framework. This ensures security against both classical and quantum adversaries, even if weaknesses are later discovered in one class of algorithms. Hybrid authentication can be realized through parallel signatures, composite certificates, or protocol extensions that support multiple authentication algorithms. Such approaches are particularly relevant for large</w:t>
      </w:r>
      <w:r w:rsidRPr="00F026A0">
        <w:noBreakHyphen/>
        <w:t>scale deployments and for maintaining backward compatibility during migration.</w:t>
      </w:r>
    </w:p>
    <w:p w14:paraId="2917F578" w14:textId="628F3AED" w:rsidR="00093D64" w:rsidRPr="00F026A0" w:rsidRDefault="00093D64" w:rsidP="00804751">
      <w:pPr>
        <w:pStyle w:val="Heading2"/>
      </w:pPr>
      <w:bookmarkStart w:id="199" w:name="_Toc256000043"/>
      <w:bookmarkStart w:id="200" w:name="_Toc228187622"/>
      <w:bookmarkStart w:id="201" w:name="_Toc238199027"/>
      <w:bookmarkStart w:id="202" w:name="_Toc243546284"/>
      <w:r w:rsidRPr="00F026A0">
        <w:t>A.6</w:t>
      </w:r>
      <w:r w:rsidRPr="00F026A0">
        <w:tab/>
      </w:r>
      <w:r>
        <w:t>T</w:t>
      </w:r>
      <w:r w:rsidRPr="00F026A0">
        <w:t xml:space="preserve">echnical and </w:t>
      </w:r>
      <w:r>
        <w:t>o</w:t>
      </w:r>
      <w:r w:rsidRPr="00F026A0">
        <w:t xml:space="preserve">perational </w:t>
      </w:r>
      <w:r>
        <w:t>c</w:t>
      </w:r>
      <w:r w:rsidRPr="00F026A0">
        <w:t>onsiderations</w:t>
      </w:r>
      <w:bookmarkEnd w:id="199"/>
      <w:bookmarkEnd w:id="200"/>
      <w:bookmarkEnd w:id="201"/>
      <w:bookmarkEnd w:id="202"/>
    </w:p>
    <w:p w14:paraId="1730BF0F" w14:textId="61A4389A" w:rsidR="00093D64" w:rsidRPr="001806F7" w:rsidRDefault="00093D64" w:rsidP="00093D64">
      <w:pPr>
        <w:rPr>
          <w:lang w:val="en-US"/>
        </w:rPr>
      </w:pPr>
      <w:r w:rsidRPr="00F026A0">
        <w:t>The deployment of PQC authentication introduces several technical and operational challenges. PQC public keys and signatures are generally larger than their classical counterparts, which may affect bandwidth usage, latency, and storage requirements. Efficient and secure implementation, including resistance to side</w:t>
      </w:r>
      <w:r w:rsidRPr="000E06B4">
        <w:t>-</w:t>
      </w:r>
      <w:r w:rsidRPr="00F026A0">
        <w:t>channel attacks, remains a critical consideration</w:t>
      </w:r>
      <w:r w:rsidRPr="00AA45F7">
        <w:t xml:space="preserve"> </w:t>
      </w:r>
      <w:r>
        <w:t>[</w:t>
      </w:r>
      <w:r w:rsidRPr="000E06B4">
        <w:t>b-</w:t>
      </w:r>
      <w:r w:rsidRPr="00464A54">
        <w:t>SC</w:t>
      </w:r>
      <w:r w:rsidR="005F6572">
        <w:t xml:space="preserve"> </w:t>
      </w:r>
      <w:r w:rsidRPr="00464A54">
        <w:t>27 Journal</w:t>
      </w:r>
      <w:r>
        <w:t>].</w:t>
      </w:r>
      <w:r w:rsidRPr="00F026A0">
        <w:t xml:space="preserve"> Integration with existing PKI infrastructures, hardware security modules, and management systems may require updates or extensions. Operational aspects such as algorithm agility, certificate lifecycle management, and interoperability across different vendors and networks </w:t>
      </w:r>
      <w:r w:rsidRPr="000E06B4">
        <w:t>should</w:t>
      </w:r>
      <w:r w:rsidRPr="00F026A0">
        <w:t xml:space="preserve"> also be addressed to ensure robust and scalable adoption of PQC authentication.</w:t>
      </w:r>
    </w:p>
    <w:p w14:paraId="441E5A59" w14:textId="77777777" w:rsidR="00093D64" w:rsidRDefault="00093D64" w:rsidP="00804751">
      <w:pPr>
        <w:rPr>
          <w:sz w:val="28"/>
        </w:rPr>
      </w:pPr>
      <w:r>
        <w:br w:type="page"/>
      </w:r>
    </w:p>
    <w:p w14:paraId="5B7CCF23" w14:textId="77777777" w:rsidR="00093D64" w:rsidRDefault="00093D64" w:rsidP="00093D64">
      <w:pPr>
        <w:pStyle w:val="AnnexNoTitle0"/>
      </w:pPr>
      <w:bookmarkStart w:id="203" w:name="_Toc238199028"/>
      <w:bookmarkStart w:id="204" w:name="_Toc243546285"/>
      <w:r>
        <w:lastRenderedPageBreak/>
        <w:t>Bibliography</w:t>
      </w:r>
      <w:bookmarkEnd w:id="203"/>
      <w:bookmarkEnd w:id="204"/>
    </w:p>
    <w:p w14:paraId="3B388A9B" w14:textId="76CA9B37" w:rsidR="00D22E86" w:rsidRPr="003A208C" w:rsidRDefault="003A208C" w:rsidP="00D22E86">
      <w:pPr>
        <w:pStyle w:val="Reftext"/>
        <w:tabs>
          <w:tab w:val="clear" w:pos="1588"/>
          <w:tab w:val="clear" w:pos="1985"/>
          <w:tab w:val="left" w:pos="3119"/>
          <w:tab w:val="left" w:pos="4536"/>
        </w:tabs>
        <w:ind w:left="3119" w:hanging="3119"/>
        <w:rPr>
          <w:lang w:eastAsia="zh-CN"/>
        </w:rPr>
      </w:pPr>
      <w:r>
        <w:rPr>
          <w:lang w:eastAsia="zh-CN"/>
        </w:rPr>
        <w:t>[</w:t>
      </w:r>
      <w:hyperlink r:id="rId22" w:history="1">
        <w:r>
          <w:rPr>
            <w:rStyle w:val="Hyperlink"/>
          </w:rPr>
          <w:t>b-ITU-T X.1712</w:t>
        </w:r>
      </w:hyperlink>
      <w:r>
        <w:rPr>
          <w:lang w:eastAsia="zh-CN"/>
        </w:rPr>
        <w:t>]</w:t>
      </w:r>
      <w:r>
        <w:rPr>
          <w:lang w:eastAsia="zh-CN"/>
        </w:rPr>
        <w:tab/>
        <w:t xml:space="preserve">Recommendation ITU-T X.1712 (2021), </w:t>
      </w:r>
      <w:r>
        <w:rPr>
          <w:i/>
          <w:lang w:eastAsia="zh-CN"/>
        </w:rPr>
        <w:t>Security requirements and measures for quantum key distribution networks – key management.</w:t>
      </w:r>
    </w:p>
    <w:p w14:paraId="032A3EC5" w14:textId="54D8DD96" w:rsidR="00D22E86" w:rsidRPr="003A208C" w:rsidRDefault="003A208C" w:rsidP="00D22E86">
      <w:pPr>
        <w:pStyle w:val="Reftext"/>
        <w:tabs>
          <w:tab w:val="clear" w:pos="1588"/>
          <w:tab w:val="clear" w:pos="1985"/>
          <w:tab w:val="left" w:pos="3119"/>
          <w:tab w:val="left" w:pos="4536"/>
        </w:tabs>
        <w:ind w:left="3119" w:hanging="3119"/>
        <w:rPr>
          <w:lang w:eastAsia="zh-CN"/>
        </w:rPr>
      </w:pPr>
      <w:r>
        <w:rPr>
          <w:lang w:eastAsia="zh-CN"/>
        </w:rPr>
        <w:t>[</w:t>
      </w:r>
      <w:hyperlink r:id="rId23" w:history="1">
        <w:r>
          <w:rPr>
            <w:rStyle w:val="Hyperlink"/>
          </w:rPr>
          <w:t>b-ITU-T X.1714</w:t>
        </w:r>
      </w:hyperlink>
      <w:r>
        <w:rPr>
          <w:lang w:eastAsia="zh-CN"/>
        </w:rPr>
        <w:t>]</w:t>
      </w:r>
      <w:r>
        <w:rPr>
          <w:lang w:eastAsia="zh-CN"/>
        </w:rPr>
        <w:tab/>
        <w:t xml:space="preserve">Recommendation ITU-T X.1714 (2020), </w:t>
      </w:r>
      <w:r>
        <w:rPr>
          <w:i/>
          <w:lang w:eastAsia="zh-CN"/>
        </w:rPr>
        <w:t>Key combination and confidential key supply for quantum key distribution networks.</w:t>
      </w:r>
    </w:p>
    <w:p w14:paraId="29EEB024" w14:textId="020ED7E0" w:rsidR="00D22E86" w:rsidRPr="00D22E86" w:rsidRDefault="00D22E86" w:rsidP="00D22E86">
      <w:pPr>
        <w:pStyle w:val="Reftext"/>
        <w:tabs>
          <w:tab w:val="clear" w:pos="1588"/>
          <w:tab w:val="clear" w:pos="1985"/>
          <w:tab w:val="left" w:pos="3119"/>
          <w:tab w:val="left" w:pos="4536"/>
        </w:tabs>
        <w:ind w:left="3119" w:hanging="3119"/>
        <w:rPr>
          <w:lang w:eastAsia="zh-CN"/>
        </w:rPr>
      </w:pPr>
      <w:r w:rsidRPr="00FD0FF7">
        <w:t>[</w:t>
      </w:r>
      <w:hyperlink r:id="rId24" w:history="1">
        <w:r w:rsidRPr="00016459">
          <w:rPr>
            <w:rStyle w:val="Hyperlink"/>
          </w:rPr>
          <w:t>b-ITU-T Y Supp. 79</w:t>
        </w:r>
      </w:hyperlink>
      <w:r w:rsidRPr="00FD0FF7">
        <w:t>]</w:t>
      </w:r>
      <w:r>
        <w:tab/>
      </w:r>
      <w:r w:rsidR="00AB5F49">
        <w:t xml:space="preserve">Supplement 79 to ITU-T Y-series Recommendations (2023), </w:t>
      </w:r>
      <w:r w:rsidRPr="005D6D97">
        <w:t>ITU</w:t>
      </w:r>
      <w:r w:rsidR="00A473CF">
        <w:noBreakHyphen/>
      </w:r>
      <w:r w:rsidRPr="005D6D97">
        <w:t xml:space="preserve">T Y.3800 series – Quantum key distribution networks – </w:t>
      </w:r>
      <w:r w:rsidRPr="001806F7">
        <w:rPr>
          <w:i/>
          <w:iCs/>
        </w:rPr>
        <w:t>Role in end-to-end cryptographic services with non-quantum cryptography</w:t>
      </w:r>
      <w:r>
        <w:t>.</w:t>
      </w:r>
    </w:p>
    <w:p w14:paraId="44E818A7" w14:textId="37A0F57B" w:rsidR="00D22E86" w:rsidRPr="003A208C" w:rsidRDefault="003A208C" w:rsidP="00D22E86">
      <w:pPr>
        <w:pStyle w:val="Reftext"/>
        <w:tabs>
          <w:tab w:val="clear" w:pos="1588"/>
          <w:tab w:val="clear" w:pos="1985"/>
          <w:tab w:val="left" w:pos="3119"/>
          <w:tab w:val="left" w:pos="4536"/>
        </w:tabs>
        <w:ind w:left="3119" w:hanging="3119"/>
        <w:rPr>
          <w:iCs/>
          <w:lang w:eastAsia="zh-CN"/>
        </w:rPr>
      </w:pPr>
      <w:r>
        <w:rPr>
          <w:iCs/>
          <w:lang w:eastAsia="zh-CN"/>
        </w:rPr>
        <w:t>[</w:t>
      </w:r>
      <w:hyperlink r:id="rId25" w:history="1">
        <w:r>
          <w:rPr>
            <w:rStyle w:val="Hyperlink"/>
          </w:rPr>
          <w:t>b-ITU-T Y.3800</w:t>
        </w:r>
      </w:hyperlink>
      <w:r>
        <w:rPr>
          <w:iCs/>
          <w:lang w:eastAsia="zh-CN"/>
        </w:rPr>
        <w:t>]</w:t>
      </w:r>
      <w:r>
        <w:rPr>
          <w:iCs/>
          <w:lang w:eastAsia="zh-CN"/>
        </w:rPr>
        <w:tab/>
        <w:t xml:space="preserve">Recommendation ITU-T Y.3800 (2019), </w:t>
      </w:r>
      <w:r>
        <w:rPr>
          <w:i/>
          <w:iCs/>
          <w:lang w:eastAsia="zh-CN"/>
        </w:rPr>
        <w:t>Overview on networks supporting quantum key distribution.</w:t>
      </w:r>
    </w:p>
    <w:p w14:paraId="1706A97B" w14:textId="090A5191" w:rsidR="00D22E86" w:rsidRPr="003A208C" w:rsidRDefault="003A208C" w:rsidP="00D22E86">
      <w:pPr>
        <w:pStyle w:val="Reftext"/>
        <w:tabs>
          <w:tab w:val="clear" w:pos="1588"/>
          <w:tab w:val="clear" w:pos="1985"/>
          <w:tab w:val="left" w:pos="3119"/>
          <w:tab w:val="left" w:pos="4536"/>
        </w:tabs>
        <w:ind w:left="3119" w:hanging="3119"/>
        <w:rPr>
          <w:i/>
        </w:rPr>
      </w:pPr>
      <w:r>
        <w:t>[</w:t>
      </w:r>
      <w:hyperlink r:id="rId26" w:history="1">
        <w:r>
          <w:rPr>
            <w:rStyle w:val="Hyperlink"/>
          </w:rPr>
          <w:t>b-ITU-T Y.3826</w:t>
        </w:r>
      </w:hyperlink>
      <w:r>
        <w:t>]</w:t>
      </w:r>
      <w:r>
        <w:tab/>
        <w:t xml:space="preserve">Recommendation ITU-T Y.3826 (2024), </w:t>
      </w:r>
      <w:r>
        <w:rPr>
          <w:i/>
        </w:rPr>
        <w:t>Integration of quantum key distribution network and user network supporting end-to-end modern cryptography services – Framework.</w:t>
      </w:r>
    </w:p>
    <w:p w14:paraId="75A09791" w14:textId="3E953670" w:rsidR="00D22E86" w:rsidRDefault="00D22E86" w:rsidP="00D22E86">
      <w:pPr>
        <w:pStyle w:val="Reftext"/>
        <w:tabs>
          <w:tab w:val="clear" w:pos="1588"/>
          <w:tab w:val="clear" w:pos="1985"/>
          <w:tab w:val="left" w:pos="3119"/>
          <w:tab w:val="left" w:pos="4536"/>
        </w:tabs>
        <w:ind w:left="3119" w:hanging="3119"/>
      </w:pPr>
      <w:r w:rsidRPr="0060137E">
        <w:t>[</w:t>
      </w:r>
      <w:hyperlink r:id="rId27" w:history="1">
        <w:r w:rsidRPr="003A208C">
          <w:rPr>
            <w:rStyle w:val="Hyperlink"/>
          </w:rPr>
          <w:t>b-ITU-T Y.3828</w:t>
        </w:r>
      </w:hyperlink>
      <w:r w:rsidRPr="0060137E">
        <w:t>]</w:t>
      </w:r>
      <w:r w:rsidRPr="0060137E">
        <w:tab/>
      </w:r>
      <w:r w:rsidRPr="00E938B4">
        <w:rPr>
          <w:lang w:eastAsia="zh-CN"/>
        </w:rPr>
        <w:t xml:space="preserve">Recommendation ITU-T </w:t>
      </w:r>
      <w:r>
        <w:rPr>
          <w:lang w:eastAsia="zh-CN"/>
        </w:rPr>
        <w:t>Y</w:t>
      </w:r>
      <w:r w:rsidRPr="00E938B4">
        <w:rPr>
          <w:lang w:eastAsia="zh-CN"/>
        </w:rPr>
        <w:t>.</w:t>
      </w:r>
      <w:r>
        <w:rPr>
          <w:lang w:eastAsia="zh-CN"/>
        </w:rPr>
        <w:t>3828</w:t>
      </w:r>
      <w:r w:rsidRPr="00E938B4">
        <w:rPr>
          <w:lang w:eastAsia="zh-CN"/>
        </w:rPr>
        <w:t xml:space="preserve"> (202</w:t>
      </w:r>
      <w:r>
        <w:rPr>
          <w:lang w:eastAsia="zh-CN"/>
        </w:rPr>
        <w:t>5</w:t>
      </w:r>
      <w:r w:rsidRPr="00E938B4">
        <w:rPr>
          <w:lang w:eastAsia="zh-CN"/>
        </w:rPr>
        <w:t>),</w:t>
      </w:r>
      <w:r>
        <w:t xml:space="preserve"> </w:t>
      </w:r>
      <w:r w:rsidRPr="0061117D">
        <w:rPr>
          <w:i/>
          <w:iCs/>
        </w:rPr>
        <w:t xml:space="preserve">Integration of quantum key distribution network and user network supporting end-to-end modern cryptography services – Requirements for </w:t>
      </w:r>
      <w:proofErr w:type="gramStart"/>
      <w:r w:rsidRPr="0061117D">
        <w:rPr>
          <w:i/>
          <w:iCs/>
        </w:rPr>
        <w:t xml:space="preserve">quality of </w:t>
      </w:r>
      <w:r w:rsidR="00016459">
        <w:rPr>
          <w:i/>
          <w:iCs/>
        </w:rPr>
        <w:t>s</w:t>
      </w:r>
      <w:r w:rsidRPr="0061117D">
        <w:rPr>
          <w:i/>
          <w:iCs/>
        </w:rPr>
        <w:t>ervice</w:t>
      </w:r>
      <w:proofErr w:type="gramEnd"/>
      <w:r w:rsidRPr="0061117D">
        <w:rPr>
          <w:i/>
          <w:iCs/>
        </w:rPr>
        <w:t xml:space="preserve"> assurance</w:t>
      </w:r>
      <w:r>
        <w:t>.</w:t>
      </w:r>
    </w:p>
    <w:p w14:paraId="0E6385E8" w14:textId="5399903B" w:rsidR="00EC0DD4" w:rsidRPr="00D22E86" w:rsidRDefault="00EC0DD4" w:rsidP="00EC0DD4">
      <w:pPr>
        <w:pStyle w:val="Reftext"/>
        <w:tabs>
          <w:tab w:val="clear" w:pos="1588"/>
          <w:tab w:val="clear" w:pos="1985"/>
          <w:tab w:val="left" w:pos="3119"/>
          <w:tab w:val="left" w:pos="4536"/>
        </w:tabs>
        <w:ind w:left="3119" w:hanging="3119"/>
        <w:rPr>
          <w:lang w:eastAsia="zh-CN"/>
        </w:rPr>
      </w:pPr>
      <w:r>
        <w:t>[</w:t>
      </w:r>
      <w:hyperlink r:id="rId28" w:history="1">
        <w:r w:rsidRPr="003A208C">
          <w:rPr>
            <w:rStyle w:val="Hyperlink"/>
          </w:rPr>
          <w:t>b-ITU-T XSTR-HYB-QKD</w:t>
        </w:r>
      </w:hyperlink>
      <w:r w:rsidRPr="00307B01">
        <w:t>]</w:t>
      </w:r>
      <w:r w:rsidRPr="00E938B4">
        <w:tab/>
      </w:r>
      <w:r>
        <w:t>Technical</w:t>
      </w:r>
      <w:r>
        <w:rPr>
          <w:lang w:eastAsia="zh-CN"/>
        </w:rPr>
        <w:t xml:space="preserve"> Report </w:t>
      </w:r>
      <w:r w:rsidRPr="00E938B4">
        <w:rPr>
          <w:lang w:eastAsia="zh-CN"/>
        </w:rPr>
        <w:t xml:space="preserve">ITU-T </w:t>
      </w:r>
      <w:r>
        <w:rPr>
          <w:lang w:eastAsia="zh-CN"/>
        </w:rPr>
        <w:t>XSTR-HYB-QKD</w:t>
      </w:r>
      <w:r w:rsidRPr="00E938B4">
        <w:rPr>
          <w:lang w:eastAsia="zh-CN"/>
        </w:rPr>
        <w:t xml:space="preserve"> (202</w:t>
      </w:r>
      <w:r>
        <w:rPr>
          <w:lang w:eastAsia="zh-CN"/>
        </w:rPr>
        <w:t>2</w:t>
      </w:r>
      <w:r w:rsidRPr="00E938B4">
        <w:rPr>
          <w:lang w:eastAsia="zh-CN"/>
        </w:rPr>
        <w:t>),</w:t>
      </w:r>
      <w:r>
        <w:rPr>
          <w:lang w:eastAsia="zh-CN"/>
        </w:rPr>
        <w:t xml:space="preserve"> </w:t>
      </w:r>
      <w:r w:rsidRPr="00464A54">
        <w:rPr>
          <w:i/>
          <w:iCs/>
          <w:lang w:eastAsia="zh-CN"/>
        </w:rPr>
        <w:t>Overview of hybrid approaches for key exchange with quantum key distribution</w:t>
      </w:r>
      <w:r>
        <w:rPr>
          <w:lang w:eastAsia="zh-CN"/>
        </w:rPr>
        <w:t>.</w:t>
      </w:r>
    </w:p>
    <w:p w14:paraId="116589EA" w14:textId="7CC52F3A" w:rsidR="00D22E86" w:rsidRPr="001B7D70" w:rsidRDefault="00D22E86" w:rsidP="00D22E86">
      <w:pPr>
        <w:pStyle w:val="Reftext"/>
        <w:tabs>
          <w:tab w:val="clear" w:pos="1588"/>
          <w:tab w:val="clear" w:pos="1985"/>
          <w:tab w:val="left" w:pos="3119"/>
          <w:tab w:val="left" w:pos="4536"/>
        </w:tabs>
        <w:spacing w:before="240"/>
        <w:ind w:left="3119" w:hanging="3119"/>
        <w:rPr>
          <w:rFonts w:eastAsia="MS Mincho"/>
          <w:iCs/>
        </w:rPr>
      </w:pPr>
      <w:r>
        <w:rPr>
          <w:rFonts w:eastAsia="SimSun"/>
          <w:lang w:eastAsia="zh-CN"/>
        </w:rPr>
        <w:t>[b-</w:t>
      </w:r>
      <w:r w:rsidRPr="002E7D4D">
        <w:rPr>
          <w:rFonts w:eastAsia="SimSun"/>
          <w:lang w:eastAsia="zh-CN"/>
        </w:rPr>
        <w:t xml:space="preserve">ETSI GR QKD 007] </w:t>
      </w:r>
      <w:r w:rsidRPr="002E7D4D">
        <w:rPr>
          <w:rFonts w:eastAsia="SimSun"/>
          <w:lang w:eastAsia="zh-CN"/>
        </w:rPr>
        <w:tab/>
        <w:t xml:space="preserve">ETSI GR QKD 007 </w:t>
      </w:r>
      <w:r w:rsidR="00FC427B">
        <w:rPr>
          <w:rFonts w:eastAsia="SimSun"/>
          <w:lang w:eastAsia="zh-CN"/>
        </w:rPr>
        <w:t xml:space="preserve">V1.2.1 </w:t>
      </w:r>
      <w:r w:rsidRPr="002E7D4D">
        <w:rPr>
          <w:rFonts w:eastAsia="SimSun"/>
          <w:lang w:eastAsia="zh-CN"/>
        </w:rPr>
        <w:t>(20</w:t>
      </w:r>
      <w:r>
        <w:rPr>
          <w:rFonts w:eastAsia="MS Mincho" w:hint="eastAsia"/>
          <w:lang w:eastAsia="ja-JP"/>
        </w:rPr>
        <w:t>26</w:t>
      </w:r>
      <w:r w:rsidRPr="002E7D4D">
        <w:rPr>
          <w:rFonts w:eastAsia="SimSun"/>
          <w:lang w:eastAsia="zh-CN"/>
        </w:rPr>
        <w:t xml:space="preserve">), </w:t>
      </w:r>
      <w:r w:rsidRPr="002E7D4D">
        <w:rPr>
          <w:rFonts w:eastAsia="SimSun"/>
          <w:i/>
          <w:lang w:eastAsia="zh-CN"/>
        </w:rPr>
        <w:t>Quantum Key Distribution</w:t>
      </w:r>
      <w:r w:rsidRPr="002E7D4D">
        <w:rPr>
          <w:rFonts w:eastAsia="MS Mincho"/>
          <w:i/>
        </w:rPr>
        <w:t xml:space="preserve"> (QKD)</w:t>
      </w:r>
      <w:r w:rsidRPr="002E7D4D">
        <w:rPr>
          <w:rFonts w:eastAsia="SimSun"/>
          <w:i/>
          <w:lang w:eastAsia="zh-CN"/>
        </w:rPr>
        <w:t>;</w:t>
      </w:r>
      <w:r>
        <w:rPr>
          <w:rFonts w:eastAsia="MS Mincho" w:hint="eastAsia"/>
          <w:i/>
          <w:lang w:eastAsia="ja-JP"/>
        </w:rPr>
        <w:t xml:space="preserve"> </w:t>
      </w:r>
      <w:r w:rsidRPr="002E7D4D">
        <w:rPr>
          <w:rFonts w:eastAsia="SimSun"/>
          <w:i/>
          <w:lang w:eastAsia="zh-CN"/>
        </w:rPr>
        <w:t>Vocabulary</w:t>
      </w:r>
      <w:r w:rsidRPr="002E7D4D">
        <w:rPr>
          <w:rFonts w:eastAsia="MS Mincho"/>
          <w:i/>
        </w:rPr>
        <w:t>.</w:t>
      </w:r>
      <w:r w:rsidR="00C850C0">
        <w:rPr>
          <w:rFonts w:eastAsia="MS Mincho"/>
          <w:i/>
        </w:rPr>
        <w:t xml:space="preserve"> </w:t>
      </w:r>
      <w:r w:rsidR="00C850C0">
        <w:rPr>
          <w:rFonts w:eastAsia="MS Mincho"/>
          <w:iCs/>
        </w:rPr>
        <w:t>&lt;</w:t>
      </w:r>
      <w:hyperlink r:id="rId29" w:history="1">
        <w:r w:rsidR="00C850C0" w:rsidRPr="001B7D70">
          <w:rPr>
            <w:rStyle w:val="Hyperlink"/>
            <w:rFonts w:ascii="Arial" w:eastAsia="MS Mincho" w:hAnsi="Arial" w:cs="Arial"/>
            <w:sz w:val="16"/>
            <w:szCs w:val="16"/>
          </w:rPr>
          <w:t>https://www.etsi.org/deliver/etsi_gr/QKD/001_099/007/01.02.01_60/gr_QKD007v010201p.pdf</w:t>
        </w:r>
      </w:hyperlink>
      <w:r w:rsidR="00C850C0">
        <w:rPr>
          <w:rFonts w:eastAsia="MS Mincho"/>
          <w:iCs/>
        </w:rPr>
        <w:t>&gt;</w:t>
      </w:r>
    </w:p>
    <w:p w14:paraId="7F689937" w14:textId="0A3B6561" w:rsidR="00D22E86" w:rsidRPr="00870B3D" w:rsidRDefault="00D22E86" w:rsidP="00D22E86">
      <w:pPr>
        <w:pStyle w:val="Reftext"/>
        <w:tabs>
          <w:tab w:val="clear" w:pos="1588"/>
          <w:tab w:val="clear" w:pos="1985"/>
          <w:tab w:val="left" w:pos="3119"/>
          <w:tab w:val="left" w:pos="4536"/>
        </w:tabs>
        <w:ind w:left="3119" w:hanging="3119"/>
        <w:rPr>
          <w:lang w:eastAsia="zh-CN"/>
        </w:rPr>
      </w:pPr>
      <w:r w:rsidRPr="00891FC2">
        <w:rPr>
          <w:lang w:val="de-AT"/>
        </w:rPr>
        <w:t>[b-Geitz]</w:t>
      </w:r>
      <w:r w:rsidR="00DD79A0">
        <w:rPr>
          <w:lang w:val="de-AT"/>
        </w:rPr>
        <w:tab/>
      </w:r>
      <w:r w:rsidRPr="00891FC2">
        <w:rPr>
          <w:lang w:val="de-AT"/>
        </w:rPr>
        <w:tab/>
        <w:t>Geitz, M., Döring, R., &amp; Braun, R</w:t>
      </w:r>
      <w:r w:rsidR="00EE21EC">
        <w:rPr>
          <w:lang w:val="de-AT"/>
        </w:rPr>
        <w:t>-</w:t>
      </w:r>
      <w:r w:rsidRPr="00891FC2">
        <w:rPr>
          <w:lang w:val="de-AT"/>
        </w:rPr>
        <w:t>P. (2023)</w:t>
      </w:r>
      <w:r w:rsidR="00EE21EC">
        <w:rPr>
          <w:lang w:val="de-AT"/>
        </w:rPr>
        <w:t>,</w:t>
      </w:r>
      <w:r w:rsidRPr="00891FC2">
        <w:rPr>
          <w:lang w:val="de-AT"/>
        </w:rPr>
        <w:t xml:space="preserve"> </w:t>
      </w:r>
      <w:r w:rsidRPr="001806F7">
        <w:rPr>
          <w:i/>
        </w:rPr>
        <w:t xml:space="preserve">Hybrid QKD &amp; PQC protocols implemented in the Berlin OpenQKD testbed. </w:t>
      </w:r>
      <w:r w:rsidRPr="001B7D70">
        <w:rPr>
          <w:iCs/>
        </w:rPr>
        <w:t>IEEE.</w:t>
      </w:r>
      <w:r w:rsidR="00AE6CC7">
        <w:rPr>
          <w:iCs/>
        </w:rPr>
        <w:t xml:space="preserve"> &lt;</w:t>
      </w:r>
      <w:hyperlink r:id="rId30" w:history="1">
        <w:r w:rsidR="00AE6CC7" w:rsidRPr="001B7D70">
          <w:rPr>
            <w:rStyle w:val="Hyperlink"/>
            <w:rFonts w:ascii="Arial" w:hAnsi="Arial" w:cs="Arial"/>
            <w:sz w:val="16"/>
            <w:szCs w:val="16"/>
          </w:rPr>
          <w:t>https://ieeexplore.ieee.org/document/10372894</w:t>
        </w:r>
      </w:hyperlink>
      <w:r w:rsidR="00AE6CC7">
        <w:rPr>
          <w:iCs/>
        </w:rPr>
        <w:t>&gt;</w:t>
      </w:r>
    </w:p>
    <w:p w14:paraId="6ACAD08F" w14:textId="7A643645" w:rsidR="00D22E86" w:rsidRPr="002D6AA2" w:rsidRDefault="00D22E86" w:rsidP="00D22E86">
      <w:pPr>
        <w:pStyle w:val="Reftext"/>
        <w:tabs>
          <w:tab w:val="clear" w:pos="1588"/>
          <w:tab w:val="clear" w:pos="1985"/>
          <w:tab w:val="left" w:pos="3119"/>
          <w:tab w:val="left" w:pos="4536"/>
        </w:tabs>
        <w:ind w:left="3119" w:hanging="3119"/>
        <w:rPr>
          <w:lang w:eastAsia="zh-CN"/>
        </w:rPr>
      </w:pPr>
      <w:r>
        <w:rPr>
          <w:lang w:eastAsia="zh-CN"/>
        </w:rPr>
        <w:t>[b-</w:t>
      </w:r>
      <w:r w:rsidRPr="003C4554">
        <w:rPr>
          <w:lang w:eastAsia="zh-CN"/>
        </w:rPr>
        <w:t>IETF RFC 7296]</w:t>
      </w:r>
      <w:r>
        <w:rPr>
          <w:lang w:eastAsia="zh-CN"/>
        </w:rPr>
        <w:tab/>
      </w:r>
      <w:r w:rsidRPr="003C4554">
        <w:rPr>
          <w:lang w:eastAsia="zh-CN"/>
        </w:rPr>
        <w:t xml:space="preserve">IETF Standard RFC 7296 (2014), </w:t>
      </w:r>
      <w:r w:rsidRPr="00464A54">
        <w:rPr>
          <w:i/>
          <w:iCs/>
          <w:lang w:eastAsia="zh-CN"/>
        </w:rPr>
        <w:t>Internet Key Exchange Protocol Version 2 (IKEv2).</w:t>
      </w:r>
      <w:r w:rsidR="002D6AA2">
        <w:rPr>
          <w:i/>
          <w:iCs/>
          <w:lang w:eastAsia="zh-CN"/>
        </w:rPr>
        <w:t xml:space="preserve"> </w:t>
      </w:r>
      <w:r w:rsidR="001B7D70">
        <w:rPr>
          <w:i/>
          <w:iCs/>
          <w:lang w:eastAsia="zh-CN"/>
        </w:rPr>
        <w:br/>
      </w:r>
      <w:r w:rsidR="002D6AA2">
        <w:rPr>
          <w:lang w:eastAsia="zh-CN"/>
        </w:rPr>
        <w:t>&lt;</w:t>
      </w:r>
      <w:hyperlink r:id="rId31" w:history="1">
        <w:r w:rsidR="002D6AA2" w:rsidRPr="001B7D70">
          <w:rPr>
            <w:rStyle w:val="Hyperlink"/>
            <w:rFonts w:ascii="Arial" w:hAnsi="Arial" w:cs="Arial"/>
            <w:sz w:val="16"/>
            <w:szCs w:val="16"/>
          </w:rPr>
          <w:t>https://www.rfc-editor.org/info/rfc7296/</w:t>
        </w:r>
      </w:hyperlink>
      <w:r w:rsidR="002D6AA2">
        <w:rPr>
          <w:lang w:eastAsia="zh-CN"/>
        </w:rPr>
        <w:t>&gt;</w:t>
      </w:r>
    </w:p>
    <w:p w14:paraId="01AFE847" w14:textId="45CF659D" w:rsidR="00D22E86" w:rsidRPr="002E2064" w:rsidRDefault="00D22E86" w:rsidP="00D22E86">
      <w:pPr>
        <w:pStyle w:val="Reftext"/>
        <w:tabs>
          <w:tab w:val="clear" w:pos="1588"/>
          <w:tab w:val="clear" w:pos="1985"/>
          <w:tab w:val="left" w:pos="3119"/>
          <w:tab w:val="left" w:pos="4536"/>
        </w:tabs>
        <w:ind w:left="3119" w:hanging="3119"/>
        <w:rPr>
          <w:lang w:eastAsia="zh-CN"/>
        </w:rPr>
      </w:pPr>
      <w:r>
        <w:rPr>
          <w:lang w:eastAsia="zh-CN"/>
        </w:rPr>
        <w:t>[b-</w:t>
      </w:r>
      <w:r w:rsidRPr="00996B10">
        <w:rPr>
          <w:lang w:eastAsia="zh-CN"/>
        </w:rPr>
        <w:t>IETF RFC 8784]</w:t>
      </w:r>
      <w:r w:rsidRPr="00996B10">
        <w:rPr>
          <w:lang w:eastAsia="zh-CN"/>
        </w:rPr>
        <w:tab/>
        <w:t xml:space="preserve">IETF Standard RFC 8784 (2020), </w:t>
      </w:r>
      <w:r w:rsidRPr="00464A54">
        <w:rPr>
          <w:i/>
          <w:iCs/>
          <w:lang w:eastAsia="zh-CN"/>
        </w:rPr>
        <w:t>Mixing Preshared Keys in the Internet Key Exchange Protocol Version 2 (IKEv2) for Post-quantum Security.</w:t>
      </w:r>
      <w:r w:rsidR="002E2064">
        <w:rPr>
          <w:i/>
          <w:iCs/>
          <w:lang w:eastAsia="zh-CN"/>
        </w:rPr>
        <w:t xml:space="preserve"> </w:t>
      </w:r>
      <w:r w:rsidR="001B7D70">
        <w:rPr>
          <w:i/>
          <w:iCs/>
          <w:lang w:eastAsia="zh-CN"/>
        </w:rPr>
        <w:br/>
      </w:r>
      <w:r w:rsidR="002E2064">
        <w:rPr>
          <w:lang w:eastAsia="zh-CN"/>
        </w:rPr>
        <w:t>&lt;</w:t>
      </w:r>
      <w:hyperlink r:id="rId32" w:history="1">
        <w:r w:rsidR="002E2064" w:rsidRPr="001B7D70">
          <w:rPr>
            <w:rStyle w:val="Hyperlink"/>
            <w:rFonts w:ascii="Arial" w:hAnsi="Arial" w:cs="Arial"/>
            <w:sz w:val="16"/>
            <w:szCs w:val="16"/>
          </w:rPr>
          <w:t>https://www.rfc-editor.org/info/rfc8784/</w:t>
        </w:r>
      </w:hyperlink>
      <w:r w:rsidR="002E2064">
        <w:rPr>
          <w:lang w:eastAsia="zh-CN"/>
        </w:rPr>
        <w:t>&gt;</w:t>
      </w:r>
    </w:p>
    <w:p w14:paraId="546E95AD" w14:textId="5239F0DE" w:rsidR="00D22E86" w:rsidRPr="00D22E86" w:rsidRDefault="00D22E86" w:rsidP="00D22E86">
      <w:pPr>
        <w:pStyle w:val="Reftext"/>
        <w:tabs>
          <w:tab w:val="clear" w:pos="1588"/>
          <w:tab w:val="clear" w:pos="1985"/>
          <w:tab w:val="left" w:pos="3119"/>
          <w:tab w:val="left" w:pos="4536"/>
        </w:tabs>
        <w:ind w:left="3119" w:hanging="3119"/>
      </w:pPr>
      <w:r>
        <w:t>[b-</w:t>
      </w:r>
      <w:r w:rsidRPr="00464A54">
        <w:t>SC</w:t>
      </w:r>
      <w:r w:rsidR="0079620A">
        <w:t xml:space="preserve"> </w:t>
      </w:r>
      <w:r w:rsidRPr="00464A54">
        <w:t>27 Journal</w:t>
      </w:r>
      <w:r>
        <w:t>]</w:t>
      </w:r>
      <w:r>
        <w:tab/>
        <w:t>JTC</w:t>
      </w:r>
      <w:r w:rsidR="00A76AFB">
        <w:t xml:space="preserve"> </w:t>
      </w:r>
      <w:r>
        <w:t>1/</w:t>
      </w:r>
      <w:r w:rsidRPr="00464A54">
        <w:t>SC</w:t>
      </w:r>
      <w:r w:rsidR="00A76AFB">
        <w:t xml:space="preserve"> </w:t>
      </w:r>
      <w:r w:rsidRPr="00464A54">
        <w:t xml:space="preserve">27 </w:t>
      </w:r>
      <w:r w:rsidR="00A76AFB">
        <w:t xml:space="preserve">Journal (2024), </w:t>
      </w:r>
      <w:r w:rsidR="00A76AFB" w:rsidRPr="001B7D70">
        <w:rPr>
          <w:i/>
          <w:iCs/>
        </w:rPr>
        <w:t>Technology, Security and Privacy</w:t>
      </w:r>
      <w:r w:rsidR="00A76AFB">
        <w:t xml:space="preserve">. </w:t>
      </w:r>
      <w:r w:rsidRPr="00464A54">
        <w:t>Vol</w:t>
      </w:r>
      <w:r w:rsidR="002D62D7">
        <w:t>ume</w:t>
      </w:r>
      <w:r w:rsidRPr="00464A54">
        <w:t xml:space="preserve"> 4</w:t>
      </w:r>
      <w:r w:rsidR="002D62D7">
        <w:t>,</w:t>
      </w:r>
      <w:r w:rsidRPr="00464A54">
        <w:t xml:space="preserve"> Issue 2</w:t>
      </w:r>
      <w:r>
        <w:t>.</w:t>
      </w:r>
      <w:r w:rsidR="00A5599F">
        <w:t xml:space="preserve"> &lt;</w:t>
      </w:r>
      <w:hyperlink r:id="rId33" w:history="1">
        <w:r w:rsidR="00180A04" w:rsidRPr="001B7D70">
          <w:rPr>
            <w:rStyle w:val="Hyperlink"/>
            <w:rFonts w:ascii="Arial" w:hAnsi="Arial" w:cs="Arial"/>
            <w:sz w:val="16"/>
            <w:szCs w:val="16"/>
          </w:rPr>
          <w:t>https://committee.iso.org/files/live/sites/jtc1sc27/files/resources/SC27%20Journal%20Vol%204%20Issue%202%20%28rev2%29.pdf?utm_source=chatgpt.com</w:t>
        </w:r>
      </w:hyperlink>
      <w:r w:rsidR="00A5599F">
        <w:t>&gt;</w:t>
      </w:r>
    </w:p>
    <w:p w14:paraId="06DE2891" w14:textId="6487638E" w:rsidR="00D22E86" w:rsidRPr="00D22E86" w:rsidRDefault="00D22E86" w:rsidP="00D22E86">
      <w:pPr>
        <w:pStyle w:val="Reftext"/>
        <w:tabs>
          <w:tab w:val="clear" w:pos="1588"/>
          <w:tab w:val="clear" w:pos="1985"/>
          <w:tab w:val="left" w:pos="3119"/>
          <w:tab w:val="left" w:pos="4536"/>
        </w:tabs>
        <w:ind w:left="3119" w:hanging="3119"/>
        <w:rPr>
          <w:szCs w:val="24"/>
          <w:lang w:eastAsia="zh-CN"/>
        </w:rPr>
      </w:pPr>
      <w:r>
        <w:rPr>
          <w:szCs w:val="24"/>
          <w:lang w:eastAsia="zh-CN"/>
        </w:rPr>
        <w:t>[b-NIST FIPS 203</w:t>
      </w:r>
      <w:r w:rsidRPr="00996B10">
        <w:rPr>
          <w:szCs w:val="24"/>
          <w:lang w:eastAsia="zh-CN"/>
        </w:rPr>
        <w:t>]</w:t>
      </w:r>
      <w:r w:rsidRPr="00996B10">
        <w:rPr>
          <w:szCs w:val="24"/>
          <w:lang w:eastAsia="zh-CN"/>
        </w:rPr>
        <w:tab/>
      </w:r>
      <w:r w:rsidRPr="001D6B07">
        <w:rPr>
          <w:szCs w:val="24"/>
          <w:lang w:eastAsia="zh-CN"/>
        </w:rPr>
        <w:t>FIPS 203</w:t>
      </w:r>
      <w:r w:rsidR="001E6E76">
        <w:rPr>
          <w:szCs w:val="24"/>
          <w:lang w:eastAsia="zh-CN"/>
        </w:rPr>
        <w:t xml:space="preserve"> (2024),</w:t>
      </w:r>
      <w:r w:rsidRPr="001D6B07">
        <w:rPr>
          <w:szCs w:val="24"/>
          <w:lang w:eastAsia="zh-CN"/>
        </w:rPr>
        <w:t xml:space="preserve"> </w:t>
      </w:r>
      <w:r w:rsidRPr="00464A54">
        <w:rPr>
          <w:i/>
          <w:iCs/>
          <w:szCs w:val="24"/>
          <w:lang w:eastAsia="zh-CN"/>
        </w:rPr>
        <w:t>Module</w:t>
      </w:r>
      <w:r w:rsidR="00122960">
        <w:rPr>
          <w:i/>
          <w:iCs/>
          <w:szCs w:val="24"/>
          <w:lang w:eastAsia="zh-CN"/>
        </w:rPr>
        <w:t>-</w:t>
      </w:r>
      <w:r w:rsidRPr="00464A54">
        <w:rPr>
          <w:i/>
          <w:iCs/>
          <w:szCs w:val="24"/>
          <w:lang w:eastAsia="zh-CN"/>
        </w:rPr>
        <w:t>Lattice</w:t>
      </w:r>
      <w:r w:rsidR="00122960">
        <w:rPr>
          <w:i/>
          <w:iCs/>
          <w:szCs w:val="24"/>
          <w:lang w:eastAsia="zh-CN"/>
        </w:rPr>
        <w:t>-</w:t>
      </w:r>
      <w:r w:rsidRPr="00464A54">
        <w:rPr>
          <w:i/>
          <w:iCs/>
          <w:szCs w:val="24"/>
          <w:lang w:eastAsia="zh-CN"/>
        </w:rPr>
        <w:t>Based Key</w:t>
      </w:r>
      <w:r w:rsidR="00122960">
        <w:rPr>
          <w:i/>
          <w:iCs/>
          <w:szCs w:val="24"/>
          <w:lang w:eastAsia="zh-CN"/>
        </w:rPr>
        <w:t>-</w:t>
      </w:r>
      <w:r w:rsidRPr="00464A54">
        <w:rPr>
          <w:i/>
          <w:iCs/>
          <w:szCs w:val="24"/>
          <w:lang w:eastAsia="zh-CN"/>
        </w:rPr>
        <w:t>Encapsulation Mechanism</w:t>
      </w:r>
      <w:r w:rsidR="00122960">
        <w:rPr>
          <w:i/>
          <w:iCs/>
          <w:szCs w:val="24"/>
          <w:lang w:eastAsia="zh-CN"/>
        </w:rPr>
        <w:t xml:space="preserve"> Standard</w:t>
      </w:r>
      <w:r>
        <w:rPr>
          <w:szCs w:val="24"/>
          <w:lang w:eastAsia="zh-CN"/>
        </w:rPr>
        <w:t>.</w:t>
      </w:r>
      <w:r w:rsidR="000F1DCC">
        <w:rPr>
          <w:szCs w:val="24"/>
          <w:lang w:eastAsia="zh-CN"/>
        </w:rPr>
        <w:t xml:space="preserve"> </w:t>
      </w:r>
      <w:r w:rsidR="001B7D70">
        <w:rPr>
          <w:szCs w:val="24"/>
          <w:lang w:eastAsia="zh-CN"/>
        </w:rPr>
        <w:br/>
      </w:r>
      <w:r w:rsidR="000F1DCC">
        <w:rPr>
          <w:szCs w:val="24"/>
          <w:lang w:eastAsia="zh-CN"/>
        </w:rPr>
        <w:t>&lt;</w:t>
      </w:r>
      <w:hyperlink r:id="rId34" w:history="1">
        <w:r w:rsidR="000F1DCC" w:rsidRPr="001B7D70">
          <w:rPr>
            <w:rStyle w:val="Hyperlink"/>
            <w:rFonts w:ascii="Arial" w:hAnsi="Arial" w:cs="Arial"/>
            <w:sz w:val="16"/>
            <w:szCs w:val="16"/>
          </w:rPr>
          <w:t>https://csrc.nist.gov/pubs/fips/203/final</w:t>
        </w:r>
      </w:hyperlink>
      <w:r w:rsidR="000F1DCC">
        <w:rPr>
          <w:szCs w:val="24"/>
          <w:lang w:eastAsia="zh-CN"/>
        </w:rPr>
        <w:t>&gt;</w:t>
      </w:r>
    </w:p>
    <w:p w14:paraId="13C6F016" w14:textId="1A369D0E" w:rsidR="00D22E86" w:rsidRPr="00D22E86" w:rsidRDefault="00D22E86" w:rsidP="00D22E86">
      <w:pPr>
        <w:pStyle w:val="Reftext"/>
        <w:tabs>
          <w:tab w:val="clear" w:pos="1588"/>
          <w:tab w:val="clear" w:pos="1985"/>
          <w:tab w:val="left" w:pos="3119"/>
          <w:tab w:val="left" w:pos="4536"/>
        </w:tabs>
        <w:ind w:left="3119" w:hanging="3119"/>
        <w:rPr>
          <w:szCs w:val="24"/>
          <w:lang w:eastAsia="zh-CN"/>
        </w:rPr>
      </w:pPr>
      <w:r>
        <w:rPr>
          <w:szCs w:val="24"/>
          <w:lang w:eastAsia="zh-CN"/>
        </w:rPr>
        <w:t>[b-NIST FIPS 204</w:t>
      </w:r>
      <w:r w:rsidRPr="00996B10">
        <w:rPr>
          <w:szCs w:val="24"/>
          <w:lang w:eastAsia="zh-CN"/>
        </w:rPr>
        <w:t>]</w:t>
      </w:r>
      <w:r w:rsidRPr="00996B10">
        <w:rPr>
          <w:szCs w:val="24"/>
          <w:lang w:eastAsia="zh-CN"/>
        </w:rPr>
        <w:tab/>
      </w:r>
      <w:r w:rsidRPr="001D6B07">
        <w:rPr>
          <w:szCs w:val="24"/>
          <w:lang w:eastAsia="zh-CN"/>
        </w:rPr>
        <w:t>FIPS 204</w:t>
      </w:r>
      <w:r w:rsidR="00653864">
        <w:rPr>
          <w:szCs w:val="24"/>
          <w:lang w:eastAsia="zh-CN"/>
        </w:rPr>
        <w:t xml:space="preserve"> (2026),</w:t>
      </w:r>
      <w:r w:rsidRPr="001D6B07">
        <w:rPr>
          <w:szCs w:val="24"/>
          <w:lang w:eastAsia="zh-CN"/>
        </w:rPr>
        <w:t xml:space="preserve"> </w:t>
      </w:r>
      <w:r w:rsidRPr="00464A54">
        <w:rPr>
          <w:i/>
          <w:iCs/>
          <w:szCs w:val="24"/>
          <w:lang w:eastAsia="zh-CN"/>
        </w:rPr>
        <w:t>Module</w:t>
      </w:r>
      <w:r w:rsidR="00443CB3">
        <w:rPr>
          <w:i/>
          <w:iCs/>
          <w:szCs w:val="24"/>
          <w:lang w:eastAsia="zh-CN"/>
        </w:rPr>
        <w:t>-</w:t>
      </w:r>
      <w:r w:rsidRPr="00464A54">
        <w:rPr>
          <w:i/>
          <w:iCs/>
          <w:szCs w:val="24"/>
          <w:lang w:eastAsia="zh-CN"/>
        </w:rPr>
        <w:t>Lattice</w:t>
      </w:r>
      <w:r w:rsidR="00443CB3">
        <w:rPr>
          <w:i/>
          <w:iCs/>
          <w:szCs w:val="24"/>
          <w:lang w:eastAsia="zh-CN"/>
        </w:rPr>
        <w:t>-</w:t>
      </w:r>
      <w:r w:rsidRPr="00464A54">
        <w:rPr>
          <w:i/>
          <w:iCs/>
          <w:szCs w:val="24"/>
          <w:lang w:eastAsia="zh-CN"/>
        </w:rPr>
        <w:t xml:space="preserve">Based Digital Signature </w:t>
      </w:r>
      <w:r w:rsidR="00443CB3">
        <w:rPr>
          <w:i/>
          <w:iCs/>
          <w:szCs w:val="24"/>
          <w:lang w:eastAsia="zh-CN"/>
        </w:rPr>
        <w:t>Standard</w:t>
      </w:r>
      <w:r>
        <w:rPr>
          <w:szCs w:val="24"/>
          <w:lang w:eastAsia="zh-CN"/>
        </w:rPr>
        <w:t>.</w:t>
      </w:r>
      <w:r w:rsidR="00635499">
        <w:rPr>
          <w:szCs w:val="24"/>
          <w:lang w:eastAsia="zh-CN"/>
        </w:rPr>
        <w:t xml:space="preserve"> </w:t>
      </w:r>
      <w:r w:rsidR="001B7D70">
        <w:rPr>
          <w:szCs w:val="24"/>
          <w:lang w:eastAsia="zh-CN"/>
        </w:rPr>
        <w:br/>
      </w:r>
      <w:r w:rsidR="00635499">
        <w:rPr>
          <w:szCs w:val="24"/>
          <w:lang w:eastAsia="zh-CN"/>
        </w:rPr>
        <w:t>&lt;</w:t>
      </w:r>
      <w:hyperlink r:id="rId35" w:history="1">
        <w:r w:rsidR="00635499" w:rsidRPr="001B7D70">
          <w:rPr>
            <w:rStyle w:val="Hyperlink"/>
            <w:rFonts w:ascii="Arial" w:hAnsi="Arial" w:cs="Arial"/>
            <w:sz w:val="16"/>
            <w:szCs w:val="16"/>
          </w:rPr>
          <w:t>https://csrc.nist.gov/pubs/fips/204/final</w:t>
        </w:r>
      </w:hyperlink>
      <w:r w:rsidR="00635499">
        <w:rPr>
          <w:szCs w:val="24"/>
          <w:lang w:eastAsia="zh-CN"/>
        </w:rPr>
        <w:t>&gt;</w:t>
      </w:r>
    </w:p>
    <w:p w14:paraId="51F53250" w14:textId="668BDE4E" w:rsidR="00D22E86" w:rsidRPr="00D22E86" w:rsidRDefault="00D22E86" w:rsidP="00D22E86">
      <w:pPr>
        <w:pStyle w:val="Reftext"/>
        <w:tabs>
          <w:tab w:val="clear" w:pos="1588"/>
          <w:tab w:val="clear" w:pos="1985"/>
          <w:tab w:val="left" w:pos="3119"/>
          <w:tab w:val="left" w:pos="4536"/>
        </w:tabs>
        <w:ind w:left="3119" w:hanging="3119"/>
        <w:rPr>
          <w:szCs w:val="24"/>
          <w:lang w:eastAsia="zh-CN"/>
        </w:rPr>
      </w:pPr>
      <w:r>
        <w:rPr>
          <w:szCs w:val="24"/>
          <w:lang w:eastAsia="zh-CN"/>
        </w:rPr>
        <w:lastRenderedPageBreak/>
        <w:t>[b-NIST FIPS 205</w:t>
      </w:r>
      <w:r w:rsidRPr="00996B10">
        <w:rPr>
          <w:szCs w:val="24"/>
          <w:lang w:eastAsia="zh-CN"/>
        </w:rPr>
        <w:t>]</w:t>
      </w:r>
      <w:r w:rsidRPr="00996B10">
        <w:rPr>
          <w:szCs w:val="24"/>
          <w:lang w:eastAsia="zh-CN"/>
        </w:rPr>
        <w:tab/>
      </w:r>
      <w:r w:rsidRPr="001D6B07">
        <w:rPr>
          <w:szCs w:val="24"/>
          <w:lang w:eastAsia="zh-CN"/>
        </w:rPr>
        <w:t>FIPS 205</w:t>
      </w:r>
      <w:r w:rsidR="003E0B29">
        <w:rPr>
          <w:szCs w:val="24"/>
          <w:lang w:eastAsia="zh-CN"/>
        </w:rPr>
        <w:t xml:space="preserve"> (2024),</w:t>
      </w:r>
      <w:r w:rsidRPr="001D6B07">
        <w:rPr>
          <w:szCs w:val="24"/>
          <w:lang w:eastAsia="zh-CN"/>
        </w:rPr>
        <w:t xml:space="preserve"> </w:t>
      </w:r>
      <w:r w:rsidRPr="00464A54">
        <w:rPr>
          <w:i/>
          <w:iCs/>
          <w:szCs w:val="24"/>
          <w:lang w:eastAsia="zh-CN"/>
        </w:rPr>
        <w:t>Stateless Hash</w:t>
      </w:r>
      <w:r w:rsidR="009B14DF">
        <w:rPr>
          <w:i/>
          <w:iCs/>
          <w:szCs w:val="24"/>
          <w:lang w:eastAsia="zh-CN"/>
        </w:rPr>
        <w:t>-</w:t>
      </w:r>
      <w:r w:rsidRPr="00464A54">
        <w:rPr>
          <w:i/>
          <w:iCs/>
          <w:szCs w:val="24"/>
          <w:lang w:eastAsia="zh-CN"/>
        </w:rPr>
        <w:t xml:space="preserve">Based Digital Signature </w:t>
      </w:r>
      <w:r w:rsidR="009B14DF">
        <w:rPr>
          <w:i/>
          <w:iCs/>
          <w:szCs w:val="24"/>
          <w:lang w:eastAsia="zh-CN"/>
        </w:rPr>
        <w:t>Standard</w:t>
      </w:r>
      <w:r>
        <w:rPr>
          <w:szCs w:val="24"/>
          <w:lang w:eastAsia="zh-CN"/>
        </w:rPr>
        <w:t>.</w:t>
      </w:r>
      <w:r w:rsidR="00B67224">
        <w:rPr>
          <w:szCs w:val="24"/>
          <w:lang w:eastAsia="zh-CN"/>
        </w:rPr>
        <w:t xml:space="preserve"> </w:t>
      </w:r>
      <w:r w:rsidR="001B7D70">
        <w:rPr>
          <w:szCs w:val="24"/>
          <w:lang w:eastAsia="zh-CN"/>
        </w:rPr>
        <w:br/>
      </w:r>
      <w:r w:rsidR="00B67224">
        <w:rPr>
          <w:szCs w:val="24"/>
          <w:lang w:eastAsia="zh-CN"/>
        </w:rPr>
        <w:t>&lt;</w:t>
      </w:r>
      <w:hyperlink r:id="rId36" w:history="1">
        <w:r w:rsidR="00B67224" w:rsidRPr="001B7D70">
          <w:rPr>
            <w:rStyle w:val="Hyperlink"/>
            <w:rFonts w:ascii="Arial" w:hAnsi="Arial" w:cs="Arial"/>
            <w:sz w:val="16"/>
            <w:szCs w:val="16"/>
          </w:rPr>
          <w:t>https://csrc.nist.gov/pubs/fips/205/final</w:t>
        </w:r>
      </w:hyperlink>
      <w:r w:rsidR="00B67224">
        <w:rPr>
          <w:szCs w:val="24"/>
          <w:lang w:eastAsia="zh-CN"/>
        </w:rPr>
        <w:t>&gt;</w:t>
      </w:r>
    </w:p>
    <w:p w14:paraId="46981B5A" w14:textId="6F1371A8" w:rsidR="00D22E86" w:rsidRDefault="00D22E86" w:rsidP="00D22E86">
      <w:pPr>
        <w:pStyle w:val="Reftext"/>
        <w:tabs>
          <w:tab w:val="clear" w:pos="1588"/>
          <w:tab w:val="clear" w:pos="1985"/>
          <w:tab w:val="left" w:pos="3119"/>
          <w:tab w:val="left" w:pos="4536"/>
        </w:tabs>
        <w:ind w:left="3119" w:hanging="3119"/>
      </w:pPr>
      <w:r>
        <w:t>[b-</w:t>
      </w:r>
      <w:r w:rsidRPr="000930A1">
        <w:t>NIST I</w:t>
      </w:r>
      <w:r>
        <w:t>R</w:t>
      </w:r>
      <w:r w:rsidRPr="000930A1">
        <w:t xml:space="preserve"> 8545</w:t>
      </w:r>
      <w:r>
        <w:t>]</w:t>
      </w:r>
      <w:r>
        <w:tab/>
      </w:r>
      <w:r w:rsidR="003827B4">
        <w:t xml:space="preserve">NIST IR 8545 (2025), </w:t>
      </w:r>
      <w:r w:rsidRPr="000930A1">
        <w:t>Status Report on the Fourth Round of the NIST Post-Quantum Cryptography Standardization Process</w:t>
      </w:r>
      <w:r>
        <w:t>.</w:t>
      </w:r>
      <w:r w:rsidR="007579EC">
        <w:t xml:space="preserve"> &lt;</w:t>
      </w:r>
      <w:hyperlink r:id="rId37" w:history="1">
        <w:r w:rsidR="007579EC" w:rsidRPr="001B7D70">
          <w:rPr>
            <w:rStyle w:val="Hyperlink"/>
            <w:rFonts w:ascii="Arial" w:hAnsi="Arial" w:cs="Arial"/>
            <w:sz w:val="16"/>
            <w:szCs w:val="16"/>
          </w:rPr>
          <w:t>https://csrc.nist.gov/pubs/ir/8545/final</w:t>
        </w:r>
      </w:hyperlink>
      <w:r w:rsidR="007579EC">
        <w:t>&gt;</w:t>
      </w:r>
    </w:p>
    <w:p w14:paraId="545E21F0" w14:textId="2EE6293F" w:rsidR="00D22E86" w:rsidRPr="0061117D" w:rsidRDefault="00D22E86" w:rsidP="00D22E86">
      <w:pPr>
        <w:pStyle w:val="Reftext"/>
        <w:tabs>
          <w:tab w:val="clear" w:pos="1588"/>
          <w:tab w:val="clear" w:pos="1985"/>
          <w:tab w:val="left" w:pos="3119"/>
          <w:tab w:val="left" w:pos="4536"/>
        </w:tabs>
        <w:ind w:left="3119" w:hanging="3119"/>
        <w:rPr>
          <w:lang w:val="en-US"/>
        </w:rPr>
      </w:pPr>
      <w:r>
        <w:t>[b-QED-C2022]</w:t>
      </w:r>
      <w:r>
        <w:tab/>
        <w:t>QED-C</w:t>
      </w:r>
      <w:r w:rsidR="00B93C8E">
        <w:t xml:space="preserve"> (2022)</w:t>
      </w:r>
      <w:r w:rsidR="00BB6FFB">
        <w:t>,</w:t>
      </w:r>
      <w:r w:rsidRPr="005C2B26">
        <w:rPr>
          <w:i/>
          <w:iCs/>
        </w:rPr>
        <w:t xml:space="preserve"> </w:t>
      </w:r>
      <w:r>
        <w:rPr>
          <w:i/>
          <w:iCs/>
        </w:rPr>
        <w:t xml:space="preserve">A Guide to </w:t>
      </w:r>
      <w:r w:rsidR="00D3506E">
        <w:rPr>
          <w:i/>
          <w:iCs/>
        </w:rPr>
        <w:t xml:space="preserve">a </w:t>
      </w:r>
      <w:r>
        <w:rPr>
          <w:i/>
          <w:iCs/>
        </w:rPr>
        <w:t>Quantum-Safe Organization</w:t>
      </w:r>
      <w:r>
        <w:t>.</w:t>
      </w:r>
      <w:r w:rsidR="00620D10">
        <w:t xml:space="preserve"> &lt;</w:t>
      </w:r>
      <w:hyperlink r:id="rId38" w:history="1">
        <w:r w:rsidR="00620D10" w:rsidRPr="001B7D70">
          <w:rPr>
            <w:rStyle w:val="Hyperlink"/>
            <w:rFonts w:ascii="Arial" w:hAnsi="Arial" w:cs="Arial"/>
            <w:sz w:val="16"/>
            <w:szCs w:val="16"/>
          </w:rPr>
          <w:t>https://quantumconsortium.org/publication/a-guide-to-a-quantum-safe-organization/</w:t>
        </w:r>
      </w:hyperlink>
      <w:r w:rsidR="00620D10">
        <w:t>&gt;</w:t>
      </w:r>
    </w:p>
    <w:p w14:paraId="3A48D0A6" w14:textId="248CB830" w:rsidR="00D22E86" w:rsidRPr="0061117D" w:rsidRDefault="00D22E86" w:rsidP="00D22E86">
      <w:pPr>
        <w:pStyle w:val="Reftext"/>
        <w:tabs>
          <w:tab w:val="clear" w:pos="1588"/>
          <w:tab w:val="clear" w:pos="1985"/>
          <w:tab w:val="left" w:pos="3119"/>
          <w:tab w:val="left" w:pos="4536"/>
        </w:tabs>
        <w:ind w:left="3119" w:hanging="3119"/>
      </w:pPr>
      <w:r w:rsidRPr="00BF0254">
        <w:t>[</w:t>
      </w:r>
      <w:r w:rsidRPr="007751A5">
        <w:t>b-QED-C2024</w:t>
      </w:r>
      <w:r w:rsidRPr="00BF0254">
        <w:t>]</w:t>
      </w:r>
      <w:r>
        <w:tab/>
      </w:r>
      <w:r w:rsidRPr="007751A5">
        <w:t>QED-C</w:t>
      </w:r>
      <w:r w:rsidR="00C04BFB">
        <w:t xml:space="preserve"> (2024),</w:t>
      </w:r>
      <w:r w:rsidRPr="007751A5">
        <w:t xml:space="preserve"> </w:t>
      </w:r>
      <w:r w:rsidR="00690FA4" w:rsidRPr="001B7D70">
        <w:rPr>
          <w:i/>
          <w:iCs/>
        </w:rPr>
        <w:t>QKD:</w:t>
      </w:r>
      <w:r w:rsidR="00690FA4">
        <w:t xml:space="preserve"> </w:t>
      </w:r>
      <w:r w:rsidRPr="0061117D">
        <w:rPr>
          <w:i/>
          <w:iCs/>
        </w:rPr>
        <w:t>Part of a Defense-In-Depth Security Strategy</w:t>
      </w:r>
      <w:r>
        <w:t>.</w:t>
      </w:r>
      <w:r w:rsidR="007D26BE">
        <w:t xml:space="preserve"> </w:t>
      </w:r>
      <w:r w:rsidR="001B7D70">
        <w:br/>
      </w:r>
      <w:r w:rsidR="007D26BE">
        <w:t>&lt;</w:t>
      </w:r>
      <w:hyperlink r:id="rId39" w:history="1">
        <w:r w:rsidR="007D26BE" w:rsidRPr="001B7D70">
          <w:rPr>
            <w:rStyle w:val="Hyperlink"/>
            <w:rFonts w:ascii="Arial" w:hAnsi="Arial" w:cs="Arial"/>
            <w:sz w:val="16"/>
            <w:szCs w:val="16"/>
          </w:rPr>
          <w:t>https://quantumconsortium.org/publication/qkd-part-of-a-defense-in-depth-security-strategy/</w:t>
        </w:r>
      </w:hyperlink>
      <w:r w:rsidR="007D26BE">
        <w:t>&gt;</w:t>
      </w:r>
    </w:p>
    <w:p w14:paraId="18356BC6" w14:textId="77777777" w:rsidR="00D22E86" w:rsidRDefault="00D22E86" w:rsidP="00D22E86">
      <w:pPr>
        <w:pStyle w:val="Reftext"/>
        <w:tabs>
          <w:tab w:val="clear" w:pos="1588"/>
          <w:tab w:val="clear" w:pos="1985"/>
          <w:tab w:val="left" w:pos="3119"/>
          <w:tab w:val="left" w:pos="4536"/>
        </w:tabs>
        <w:ind w:left="3119" w:hanging="3119"/>
        <w:rPr>
          <w:i/>
          <w:iCs/>
        </w:rPr>
      </w:pPr>
    </w:p>
    <w:p w14:paraId="548D426B" w14:textId="77777777" w:rsidR="00093D64" w:rsidRPr="002B534E" w:rsidRDefault="00093D64" w:rsidP="00093D64">
      <w:pPr>
        <w:jc w:val="center"/>
      </w:pPr>
      <w:r>
        <w:t>___________</w:t>
      </w:r>
    </w:p>
    <w:sectPr w:rsidR="00093D64" w:rsidRPr="002B534E" w:rsidSect="00804351">
      <w:footerReference w:type="default" r:id="rId40"/>
      <w:headerReference w:type="first" r:id="rId41"/>
      <w:type w:val="oddPage"/>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012F8" w14:textId="77777777" w:rsidR="00454ACC" w:rsidRDefault="00454ACC" w:rsidP="00FD0FF7">
      <w:pPr>
        <w:spacing w:before="0"/>
      </w:pPr>
      <w:r>
        <w:separator/>
      </w:r>
    </w:p>
  </w:endnote>
  <w:endnote w:type="continuationSeparator" w:id="0">
    <w:p w14:paraId="37759948" w14:textId="77777777" w:rsidR="00454ACC" w:rsidRDefault="00454ACC" w:rsidP="00FD0FF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
    <w:altName w:val="Yu Gothic"/>
    <w:charset w:val="80"/>
    <w:family w:val="auto"/>
    <w:pitch w:val="default"/>
    <w:sig w:usb0="00000000" w:usb1="00000000" w:usb2="00000010" w:usb3="00000000" w:csb0="0002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incho">
    <w:altName w:val="明朝"/>
    <w:panose1 w:val="02020609040305080305"/>
    <w:charset w:val="80"/>
    <w:family w:val="roman"/>
    <w:pitch w:val="fixed"/>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4A0C" w14:textId="77777777" w:rsidR="00093D64" w:rsidRDefault="00093D64" w:rsidP="00CE6FB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AAB8" w14:textId="6D7425E7" w:rsidR="00093D64" w:rsidRPr="008F0E27" w:rsidRDefault="00093D64"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Pr>
        <w:b/>
        <w:bCs/>
      </w:rPr>
      <w:t>XSTR.</w:t>
    </w:r>
    <w:r w:rsidR="00804351">
      <w:rPr>
        <w:b/>
        <w:bCs/>
        <w:caps w:val="0"/>
      </w:rPr>
      <w:t xml:space="preserve">hyb-qsafe </w:t>
    </w:r>
    <w:r>
      <w:rPr>
        <w:b/>
        <w:bCs/>
      </w:rPr>
      <w:t>(2026-06)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353C" w14:textId="5545E199" w:rsidR="00093D64" w:rsidRPr="008F0E27" w:rsidRDefault="00093D64" w:rsidP="008F0E27">
    <w:pPr>
      <w:pStyle w:val="Footer"/>
      <w:tabs>
        <w:tab w:val="clear" w:pos="5954"/>
        <w:tab w:val="right" w:pos="8789"/>
      </w:tabs>
      <w:jc w:val="right"/>
      <w:rPr>
        <w:b/>
        <w:bCs/>
      </w:rPr>
    </w:pPr>
    <w:r w:rsidRPr="00926B6C">
      <w:rPr>
        <w:b/>
        <w:bCs/>
      </w:rPr>
      <w:tab/>
    </w:r>
    <w:r>
      <w:rPr>
        <w:b/>
        <w:bCs/>
      </w:rPr>
      <w:t>XSTR.</w:t>
    </w:r>
    <w:r w:rsidR="00804351">
      <w:rPr>
        <w:b/>
        <w:bCs/>
        <w:caps w:val="0"/>
      </w:rPr>
      <w:t xml:space="preserve">hyb-qsafe </w:t>
    </w:r>
    <w:r>
      <w:rPr>
        <w:b/>
        <w:bCs/>
      </w:rPr>
      <w:t>(2026-06)</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9BAE" w14:textId="34586A1A" w:rsidR="002A7E53" w:rsidRPr="008F0E27" w:rsidRDefault="002A7E53" w:rsidP="008F0E27">
    <w:pPr>
      <w:pStyle w:val="Footer"/>
      <w:tabs>
        <w:tab w:val="clear" w:pos="5954"/>
        <w:tab w:val="right" w:pos="8789"/>
      </w:tabs>
      <w:jc w:val="right"/>
      <w:rPr>
        <w:b/>
        <w:bCs/>
      </w:rPr>
    </w:pPr>
    <w:r w:rsidRPr="00926B6C">
      <w:rPr>
        <w:b/>
        <w:bCs/>
      </w:rPr>
      <w:tab/>
    </w:r>
    <w:r>
      <w:rPr>
        <w:b/>
        <w:bCs/>
      </w:rPr>
      <w:t>XSTR.</w:t>
    </w:r>
    <w:r w:rsidR="00804351">
      <w:rPr>
        <w:b/>
        <w:bCs/>
        <w:caps w:val="0"/>
      </w:rPr>
      <w:t xml:space="preserve">hyb-qsafe </w:t>
    </w:r>
    <w:r>
      <w:rPr>
        <w:b/>
        <w:bCs/>
      </w:rPr>
      <w:t>(2026-06)</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6DCC6" w14:textId="77777777" w:rsidR="00454ACC" w:rsidRDefault="00454ACC" w:rsidP="00FD0FF7">
      <w:pPr>
        <w:spacing w:before="0"/>
      </w:pPr>
      <w:r>
        <w:separator/>
      </w:r>
    </w:p>
  </w:footnote>
  <w:footnote w:type="continuationSeparator" w:id="0">
    <w:p w14:paraId="48921467" w14:textId="77777777" w:rsidR="00454ACC" w:rsidRDefault="00454ACC" w:rsidP="00FD0FF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85FDC" w14:textId="77777777" w:rsidR="00093D64" w:rsidRDefault="00093D6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B0C4" w14:textId="77777777" w:rsidR="00093D64" w:rsidRDefault="00093D64"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BE04" w14:textId="77777777" w:rsidR="00093D64" w:rsidRDefault="00093D64">
    <w:pPr>
      <w:pStyle w:val="Header"/>
      <w:ind w:right="360" w:firstLine="36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6B95" w14:textId="7C23C436" w:rsidR="00EF64A1" w:rsidRDefault="00EF64A1">
    <w:pPr>
      <w:pStyle w:val="Header"/>
    </w:pPr>
    <w:r>
      <w:t>XSTR</w:t>
    </w:r>
    <w:r w:rsidRPr="00AA0268">
      <w:t>.</w:t>
    </w:r>
    <w:r>
      <w:t>hyb-qsafe</w:t>
    </w:r>
    <w:r w:rsidRPr="00EF64A1">
      <w:t xml:space="preserve"> -pre-and-pub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BED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9EBA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92276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928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96B0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CD7C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EC57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9858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E2E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A14CC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A8AAEC"/>
    <w:lvl w:ilvl="0">
      <w:start w:val="1"/>
      <w:numFmt w:val="decimal"/>
      <w:lvlText w:val="%1"/>
      <w:lvlJc w:val="left"/>
      <w:pPr>
        <w:tabs>
          <w:tab w:val="num" w:pos="432"/>
        </w:tabs>
        <w:ind w:left="432" w:hanging="432"/>
      </w:pPr>
      <w:rPr>
        <w:rFonts w:hint="eastAsia"/>
        <w:b/>
      </w:rPr>
    </w:lvl>
    <w:lvl w:ilvl="1">
      <w:start w:val="1"/>
      <w:numFmt w:val="decimal"/>
      <w:lvlText w:val="%1.%2"/>
      <w:lvlJc w:val="left"/>
      <w:pPr>
        <w:tabs>
          <w:tab w:val="num" w:pos="576"/>
        </w:tabs>
        <w:ind w:left="576" w:hanging="576"/>
      </w:pPr>
      <w:rPr>
        <w:rFonts w:hint="eastAsia"/>
        <w:b/>
        <w:bCs/>
      </w:rPr>
    </w:lvl>
    <w:lvl w:ilvl="2">
      <w:start w:val="1"/>
      <w:numFmt w:val="decimal"/>
      <w:lvlText w:val="%1.%2.%3"/>
      <w:lvlJc w:val="left"/>
      <w:pPr>
        <w:tabs>
          <w:tab w:val="num" w:pos="720"/>
        </w:tabs>
        <w:ind w:left="720" w:hanging="720"/>
      </w:pPr>
      <w:rPr>
        <w:rFonts w:hint="eastAsia"/>
        <w:b/>
        <w:bCs/>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1" w15:restartNumberingAfterBreak="0">
    <w:nsid w:val="0081139E"/>
    <w:multiLevelType w:val="hybridMultilevel"/>
    <w:tmpl w:val="A2E0E250"/>
    <w:lvl w:ilvl="0" w:tplc="C2188F7C">
      <w:start w:val="1"/>
      <w:numFmt w:val="decimal"/>
      <w:lvlText w:val="(%1)"/>
      <w:lvlJc w:val="left"/>
      <w:pPr>
        <w:ind w:left="360" w:hanging="360"/>
      </w:pPr>
      <w:rPr>
        <w:rFonts w:hint="default"/>
      </w:rPr>
    </w:lvl>
    <w:lvl w:ilvl="1" w:tplc="34980D1A" w:tentative="1">
      <w:start w:val="1"/>
      <w:numFmt w:val="lowerLetter"/>
      <w:lvlText w:val="%2."/>
      <w:lvlJc w:val="left"/>
      <w:pPr>
        <w:ind w:left="1080" w:hanging="360"/>
      </w:pPr>
    </w:lvl>
    <w:lvl w:ilvl="2" w:tplc="09520D9C" w:tentative="1">
      <w:start w:val="1"/>
      <w:numFmt w:val="lowerRoman"/>
      <w:lvlText w:val="%3."/>
      <w:lvlJc w:val="right"/>
      <w:pPr>
        <w:ind w:left="1800" w:hanging="180"/>
      </w:pPr>
    </w:lvl>
    <w:lvl w:ilvl="3" w:tplc="7668F12C" w:tentative="1">
      <w:start w:val="1"/>
      <w:numFmt w:val="decimal"/>
      <w:lvlText w:val="%4."/>
      <w:lvlJc w:val="left"/>
      <w:pPr>
        <w:ind w:left="2520" w:hanging="360"/>
      </w:pPr>
    </w:lvl>
    <w:lvl w:ilvl="4" w:tplc="C1AC6DCE" w:tentative="1">
      <w:start w:val="1"/>
      <w:numFmt w:val="lowerLetter"/>
      <w:lvlText w:val="%5."/>
      <w:lvlJc w:val="left"/>
      <w:pPr>
        <w:ind w:left="3240" w:hanging="360"/>
      </w:pPr>
    </w:lvl>
    <w:lvl w:ilvl="5" w:tplc="EB360CFE" w:tentative="1">
      <w:start w:val="1"/>
      <w:numFmt w:val="lowerRoman"/>
      <w:lvlText w:val="%6."/>
      <w:lvlJc w:val="right"/>
      <w:pPr>
        <w:ind w:left="3960" w:hanging="180"/>
      </w:pPr>
    </w:lvl>
    <w:lvl w:ilvl="6" w:tplc="BC84C3A0" w:tentative="1">
      <w:start w:val="1"/>
      <w:numFmt w:val="decimal"/>
      <w:lvlText w:val="%7."/>
      <w:lvlJc w:val="left"/>
      <w:pPr>
        <w:ind w:left="4680" w:hanging="360"/>
      </w:pPr>
    </w:lvl>
    <w:lvl w:ilvl="7" w:tplc="631C8264" w:tentative="1">
      <w:start w:val="1"/>
      <w:numFmt w:val="lowerLetter"/>
      <w:lvlText w:val="%8."/>
      <w:lvlJc w:val="left"/>
      <w:pPr>
        <w:ind w:left="5400" w:hanging="360"/>
      </w:pPr>
    </w:lvl>
    <w:lvl w:ilvl="8" w:tplc="9DAC54B0" w:tentative="1">
      <w:start w:val="1"/>
      <w:numFmt w:val="lowerRoman"/>
      <w:lvlText w:val="%9."/>
      <w:lvlJc w:val="right"/>
      <w:pPr>
        <w:ind w:left="6120" w:hanging="180"/>
      </w:pPr>
    </w:lvl>
  </w:abstractNum>
  <w:abstractNum w:abstractNumId="12" w15:restartNumberingAfterBreak="0">
    <w:nsid w:val="0C972BAC"/>
    <w:multiLevelType w:val="hybridMultilevel"/>
    <w:tmpl w:val="258CBF8E"/>
    <w:lvl w:ilvl="0" w:tplc="BC604B38">
      <w:start w:val="8"/>
      <w:numFmt w:val="bullet"/>
      <w:lvlText w:val="-"/>
      <w:lvlJc w:val="left"/>
      <w:pPr>
        <w:ind w:left="720" w:hanging="360"/>
      </w:pPr>
      <w:rPr>
        <w:rFonts w:ascii="Times New Roman" w:eastAsia="Batang" w:hAnsi="Times New Roman" w:cs="Times New Roman" w:hint="default"/>
      </w:rPr>
    </w:lvl>
    <w:lvl w:ilvl="1" w:tplc="BC604B38">
      <w:start w:val="8"/>
      <w:numFmt w:val="bullet"/>
      <w:lvlText w:val="-"/>
      <w:lvlJc w:val="left"/>
      <w:pPr>
        <w:ind w:left="1440" w:hanging="360"/>
      </w:pPr>
      <w:rPr>
        <w:rFonts w:ascii="Times New Roman" w:eastAsia="Batang"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9508C5"/>
    <w:multiLevelType w:val="multilevel"/>
    <w:tmpl w:val="45B8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9A4FDD"/>
    <w:multiLevelType w:val="hybridMultilevel"/>
    <w:tmpl w:val="5002D336"/>
    <w:lvl w:ilvl="0" w:tplc="91421566">
      <w:start w:val="1"/>
      <w:numFmt w:val="decimal"/>
      <w:lvlText w:val="(%1)"/>
      <w:lvlJc w:val="left"/>
      <w:pPr>
        <w:ind w:left="360" w:hanging="360"/>
      </w:pPr>
      <w:rPr>
        <w:rFonts w:hint="default"/>
      </w:rPr>
    </w:lvl>
    <w:lvl w:ilvl="1" w:tplc="2E20D9E6" w:tentative="1">
      <w:start w:val="1"/>
      <w:numFmt w:val="lowerLetter"/>
      <w:lvlText w:val="%2."/>
      <w:lvlJc w:val="left"/>
      <w:pPr>
        <w:ind w:left="1080" w:hanging="360"/>
      </w:pPr>
    </w:lvl>
    <w:lvl w:ilvl="2" w:tplc="006EC78A" w:tentative="1">
      <w:start w:val="1"/>
      <w:numFmt w:val="lowerRoman"/>
      <w:lvlText w:val="%3."/>
      <w:lvlJc w:val="right"/>
      <w:pPr>
        <w:ind w:left="1800" w:hanging="180"/>
      </w:pPr>
    </w:lvl>
    <w:lvl w:ilvl="3" w:tplc="789444E2" w:tentative="1">
      <w:start w:val="1"/>
      <w:numFmt w:val="decimal"/>
      <w:lvlText w:val="%4."/>
      <w:lvlJc w:val="left"/>
      <w:pPr>
        <w:ind w:left="2520" w:hanging="360"/>
      </w:pPr>
    </w:lvl>
    <w:lvl w:ilvl="4" w:tplc="02501F4A" w:tentative="1">
      <w:start w:val="1"/>
      <w:numFmt w:val="lowerLetter"/>
      <w:lvlText w:val="%5."/>
      <w:lvlJc w:val="left"/>
      <w:pPr>
        <w:ind w:left="3240" w:hanging="360"/>
      </w:pPr>
    </w:lvl>
    <w:lvl w:ilvl="5" w:tplc="C262E56C" w:tentative="1">
      <w:start w:val="1"/>
      <w:numFmt w:val="lowerRoman"/>
      <w:lvlText w:val="%6."/>
      <w:lvlJc w:val="right"/>
      <w:pPr>
        <w:ind w:left="3960" w:hanging="180"/>
      </w:pPr>
    </w:lvl>
    <w:lvl w:ilvl="6" w:tplc="ECEE29D8" w:tentative="1">
      <w:start w:val="1"/>
      <w:numFmt w:val="decimal"/>
      <w:lvlText w:val="%7."/>
      <w:lvlJc w:val="left"/>
      <w:pPr>
        <w:ind w:left="4680" w:hanging="360"/>
      </w:pPr>
    </w:lvl>
    <w:lvl w:ilvl="7" w:tplc="A9B624CC" w:tentative="1">
      <w:start w:val="1"/>
      <w:numFmt w:val="lowerLetter"/>
      <w:lvlText w:val="%8."/>
      <w:lvlJc w:val="left"/>
      <w:pPr>
        <w:ind w:left="5400" w:hanging="360"/>
      </w:pPr>
    </w:lvl>
    <w:lvl w:ilvl="8" w:tplc="F01C1936" w:tentative="1">
      <w:start w:val="1"/>
      <w:numFmt w:val="lowerRoman"/>
      <w:lvlText w:val="%9."/>
      <w:lvlJc w:val="right"/>
      <w:pPr>
        <w:ind w:left="6120" w:hanging="180"/>
      </w:pPr>
    </w:lvl>
  </w:abstractNum>
  <w:abstractNum w:abstractNumId="15" w15:restartNumberingAfterBreak="0">
    <w:nsid w:val="23D01F84"/>
    <w:multiLevelType w:val="multilevel"/>
    <w:tmpl w:val="650C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A535DF"/>
    <w:multiLevelType w:val="multilevel"/>
    <w:tmpl w:val="08DEA084"/>
    <w:lvl w:ilvl="0">
      <w:start w:val="1"/>
      <w:numFmt w:val="decimal"/>
      <w:lvlText w:val="A.%1."/>
      <w:lvlJc w:val="left"/>
      <w:pPr>
        <w:ind w:left="360" w:hanging="360"/>
      </w:pPr>
      <w:rPr>
        <w:rFonts w:hint="default"/>
      </w:rPr>
    </w:lvl>
    <w:lvl w:ilvl="1">
      <w:start w:val="1"/>
      <w:numFmt w:val="decimal"/>
      <w:lvlText w:val="A.%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5F2180"/>
    <w:multiLevelType w:val="multilevel"/>
    <w:tmpl w:val="BDD8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FB32BA"/>
    <w:multiLevelType w:val="multilevel"/>
    <w:tmpl w:val="74EE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090CB2"/>
    <w:multiLevelType w:val="hybridMultilevel"/>
    <w:tmpl w:val="5A2CAC1A"/>
    <w:lvl w:ilvl="0" w:tplc="7304CAD0">
      <w:start w:val="8"/>
      <w:numFmt w:val="bullet"/>
      <w:lvlText w:val="-"/>
      <w:lvlJc w:val="left"/>
      <w:pPr>
        <w:ind w:left="360" w:hanging="360"/>
      </w:pPr>
      <w:rPr>
        <w:rFonts w:ascii="Times New Roman" w:eastAsia="Batang" w:hAnsi="Times New Roman" w:cs="Times New Roman" w:hint="default"/>
      </w:rPr>
    </w:lvl>
    <w:lvl w:ilvl="1" w:tplc="11400888">
      <w:start w:val="1"/>
      <w:numFmt w:val="bullet"/>
      <w:lvlText w:val="o"/>
      <w:lvlJc w:val="left"/>
      <w:pPr>
        <w:ind w:left="1080" w:hanging="360"/>
      </w:pPr>
      <w:rPr>
        <w:rFonts w:ascii="Courier New" w:hAnsi="Courier New" w:cs="Courier New" w:hint="default"/>
      </w:rPr>
    </w:lvl>
    <w:lvl w:ilvl="2" w:tplc="AA6A37E8" w:tentative="1">
      <w:start w:val="1"/>
      <w:numFmt w:val="bullet"/>
      <w:lvlText w:val=""/>
      <w:lvlJc w:val="left"/>
      <w:pPr>
        <w:ind w:left="1800" w:hanging="360"/>
      </w:pPr>
      <w:rPr>
        <w:rFonts w:ascii="Wingdings" w:hAnsi="Wingdings" w:hint="default"/>
      </w:rPr>
    </w:lvl>
    <w:lvl w:ilvl="3" w:tplc="067ACA82" w:tentative="1">
      <w:start w:val="1"/>
      <w:numFmt w:val="bullet"/>
      <w:lvlText w:val=""/>
      <w:lvlJc w:val="left"/>
      <w:pPr>
        <w:ind w:left="2520" w:hanging="360"/>
      </w:pPr>
      <w:rPr>
        <w:rFonts w:ascii="Symbol" w:hAnsi="Symbol" w:hint="default"/>
      </w:rPr>
    </w:lvl>
    <w:lvl w:ilvl="4" w:tplc="666EF4A4" w:tentative="1">
      <w:start w:val="1"/>
      <w:numFmt w:val="bullet"/>
      <w:lvlText w:val="o"/>
      <w:lvlJc w:val="left"/>
      <w:pPr>
        <w:ind w:left="3240" w:hanging="360"/>
      </w:pPr>
      <w:rPr>
        <w:rFonts w:ascii="Courier New" w:hAnsi="Courier New" w:cs="Courier New" w:hint="default"/>
      </w:rPr>
    </w:lvl>
    <w:lvl w:ilvl="5" w:tplc="DF6CC6BE" w:tentative="1">
      <w:start w:val="1"/>
      <w:numFmt w:val="bullet"/>
      <w:lvlText w:val=""/>
      <w:lvlJc w:val="left"/>
      <w:pPr>
        <w:ind w:left="3960" w:hanging="360"/>
      </w:pPr>
      <w:rPr>
        <w:rFonts w:ascii="Wingdings" w:hAnsi="Wingdings" w:hint="default"/>
      </w:rPr>
    </w:lvl>
    <w:lvl w:ilvl="6" w:tplc="E7CE86A0" w:tentative="1">
      <w:start w:val="1"/>
      <w:numFmt w:val="bullet"/>
      <w:lvlText w:val=""/>
      <w:lvlJc w:val="left"/>
      <w:pPr>
        <w:ind w:left="4680" w:hanging="360"/>
      </w:pPr>
      <w:rPr>
        <w:rFonts w:ascii="Symbol" w:hAnsi="Symbol" w:hint="default"/>
      </w:rPr>
    </w:lvl>
    <w:lvl w:ilvl="7" w:tplc="2E4C782A" w:tentative="1">
      <w:start w:val="1"/>
      <w:numFmt w:val="bullet"/>
      <w:lvlText w:val="o"/>
      <w:lvlJc w:val="left"/>
      <w:pPr>
        <w:ind w:left="5400" w:hanging="360"/>
      </w:pPr>
      <w:rPr>
        <w:rFonts w:ascii="Courier New" w:hAnsi="Courier New" w:cs="Courier New" w:hint="default"/>
      </w:rPr>
    </w:lvl>
    <w:lvl w:ilvl="8" w:tplc="644A086E" w:tentative="1">
      <w:start w:val="1"/>
      <w:numFmt w:val="bullet"/>
      <w:lvlText w:val=""/>
      <w:lvlJc w:val="left"/>
      <w:pPr>
        <w:ind w:left="6120" w:hanging="360"/>
      </w:pPr>
      <w:rPr>
        <w:rFonts w:ascii="Wingdings" w:hAnsi="Wingdings" w:hint="default"/>
      </w:rPr>
    </w:lvl>
  </w:abstractNum>
  <w:abstractNum w:abstractNumId="20" w15:restartNumberingAfterBreak="0">
    <w:nsid w:val="59E9768C"/>
    <w:multiLevelType w:val="hybridMultilevel"/>
    <w:tmpl w:val="684C8826"/>
    <w:lvl w:ilvl="0" w:tplc="BC604B38">
      <w:start w:val="8"/>
      <w:numFmt w:val="bullet"/>
      <w:lvlText w:val="-"/>
      <w:lvlJc w:val="left"/>
      <w:pPr>
        <w:ind w:left="360" w:hanging="360"/>
      </w:pPr>
      <w:rPr>
        <w:rFonts w:ascii="Times New Roman" w:eastAsia="Batang" w:hAnsi="Times New Roman" w:cs="Times New Roman" w:hint="default"/>
      </w:rPr>
    </w:lvl>
    <w:lvl w:ilvl="1" w:tplc="02E66DC4" w:tentative="1">
      <w:start w:val="1"/>
      <w:numFmt w:val="bullet"/>
      <w:lvlText w:val="o"/>
      <w:lvlJc w:val="left"/>
      <w:pPr>
        <w:ind w:left="1080" w:hanging="360"/>
      </w:pPr>
      <w:rPr>
        <w:rFonts w:ascii="Courier New" w:hAnsi="Courier New" w:cs="Courier New" w:hint="default"/>
      </w:rPr>
    </w:lvl>
    <w:lvl w:ilvl="2" w:tplc="524EC956" w:tentative="1">
      <w:start w:val="1"/>
      <w:numFmt w:val="bullet"/>
      <w:lvlText w:val=""/>
      <w:lvlJc w:val="left"/>
      <w:pPr>
        <w:ind w:left="1800" w:hanging="360"/>
      </w:pPr>
      <w:rPr>
        <w:rFonts w:ascii="Wingdings" w:hAnsi="Wingdings" w:hint="default"/>
      </w:rPr>
    </w:lvl>
    <w:lvl w:ilvl="3" w:tplc="9804548C" w:tentative="1">
      <w:start w:val="1"/>
      <w:numFmt w:val="bullet"/>
      <w:lvlText w:val=""/>
      <w:lvlJc w:val="left"/>
      <w:pPr>
        <w:ind w:left="2520" w:hanging="360"/>
      </w:pPr>
      <w:rPr>
        <w:rFonts w:ascii="Symbol" w:hAnsi="Symbol" w:hint="default"/>
      </w:rPr>
    </w:lvl>
    <w:lvl w:ilvl="4" w:tplc="134EEE8C" w:tentative="1">
      <w:start w:val="1"/>
      <w:numFmt w:val="bullet"/>
      <w:lvlText w:val="o"/>
      <w:lvlJc w:val="left"/>
      <w:pPr>
        <w:ind w:left="3240" w:hanging="360"/>
      </w:pPr>
      <w:rPr>
        <w:rFonts w:ascii="Courier New" w:hAnsi="Courier New" w:cs="Courier New" w:hint="default"/>
      </w:rPr>
    </w:lvl>
    <w:lvl w:ilvl="5" w:tplc="19ECD970" w:tentative="1">
      <w:start w:val="1"/>
      <w:numFmt w:val="bullet"/>
      <w:lvlText w:val=""/>
      <w:lvlJc w:val="left"/>
      <w:pPr>
        <w:ind w:left="3960" w:hanging="360"/>
      </w:pPr>
      <w:rPr>
        <w:rFonts w:ascii="Wingdings" w:hAnsi="Wingdings" w:hint="default"/>
      </w:rPr>
    </w:lvl>
    <w:lvl w:ilvl="6" w:tplc="20689020" w:tentative="1">
      <w:start w:val="1"/>
      <w:numFmt w:val="bullet"/>
      <w:lvlText w:val=""/>
      <w:lvlJc w:val="left"/>
      <w:pPr>
        <w:ind w:left="4680" w:hanging="360"/>
      </w:pPr>
      <w:rPr>
        <w:rFonts w:ascii="Symbol" w:hAnsi="Symbol" w:hint="default"/>
      </w:rPr>
    </w:lvl>
    <w:lvl w:ilvl="7" w:tplc="7EB6B21C" w:tentative="1">
      <w:start w:val="1"/>
      <w:numFmt w:val="bullet"/>
      <w:lvlText w:val="o"/>
      <w:lvlJc w:val="left"/>
      <w:pPr>
        <w:ind w:left="5400" w:hanging="360"/>
      </w:pPr>
      <w:rPr>
        <w:rFonts w:ascii="Courier New" w:hAnsi="Courier New" w:cs="Courier New" w:hint="default"/>
      </w:rPr>
    </w:lvl>
    <w:lvl w:ilvl="8" w:tplc="6D8AE52A" w:tentative="1">
      <w:start w:val="1"/>
      <w:numFmt w:val="bullet"/>
      <w:lvlText w:val=""/>
      <w:lvlJc w:val="left"/>
      <w:pPr>
        <w:ind w:left="6120" w:hanging="360"/>
      </w:pPr>
      <w:rPr>
        <w:rFonts w:ascii="Wingdings" w:hAnsi="Wingdings" w:hint="default"/>
      </w:rPr>
    </w:lvl>
  </w:abstractNum>
  <w:abstractNum w:abstractNumId="21" w15:restartNumberingAfterBreak="0">
    <w:nsid w:val="5ACF12EA"/>
    <w:multiLevelType w:val="multilevel"/>
    <w:tmpl w:val="BB64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A2717E"/>
    <w:multiLevelType w:val="multilevel"/>
    <w:tmpl w:val="22185BE6"/>
    <w:styleLink w:val="CurrentList1"/>
    <w:lvl w:ilvl="0">
      <w:start w:val="1"/>
      <w:numFmt w:val="decimal"/>
      <w:lvlText w:val="%1."/>
      <w:lvlJc w:val="left"/>
      <w:pPr>
        <w:ind w:left="360" w:hanging="360"/>
      </w:pPr>
      <w:rPr>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758F35A4"/>
    <w:multiLevelType w:val="hybridMultilevel"/>
    <w:tmpl w:val="0766281C"/>
    <w:lvl w:ilvl="0" w:tplc="BC604B38">
      <w:start w:val="8"/>
      <w:numFmt w:val="bullet"/>
      <w:lvlText w:val="-"/>
      <w:lvlJc w:val="left"/>
      <w:pPr>
        <w:ind w:left="720" w:hanging="360"/>
      </w:pPr>
      <w:rPr>
        <w:rFonts w:ascii="Times New Roman" w:eastAsia="Batang"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E91A25"/>
    <w:multiLevelType w:val="multilevel"/>
    <w:tmpl w:val="57224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7FFC4A13"/>
    <w:multiLevelType w:val="hybridMultilevel"/>
    <w:tmpl w:val="EDD83E5C"/>
    <w:lvl w:ilvl="0" w:tplc="7E6A4486">
      <w:start w:val="8"/>
      <w:numFmt w:val="bullet"/>
      <w:lvlText w:val="-"/>
      <w:lvlJc w:val="left"/>
      <w:pPr>
        <w:ind w:left="360" w:hanging="360"/>
      </w:pPr>
      <w:rPr>
        <w:rFonts w:ascii="Times New Roman" w:eastAsia="Batang" w:hAnsi="Times New Roman" w:cs="Times New Roman" w:hint="default"/>
      </w:rPr>
    </w:lvl>
    <w:lvl w:ilvl="1" w:tplc="31482304" w:tentative="1">
      <w:start w:val="1"/>
      <w:numFmt w:val="bullet"/>
      <w:lvlText w:val="o"/>
      <w:lvlJc w:val="left"/>
      <w:pPr>
        <w:ind w:left="1080" w:hanging="360"/>
      </w:pPr>
      <w:rPr>
        <w:rFonts w:ascii="Courier New" w:hAnsi="Courier New" w:cs="Courier New" w:hint="default"/>
      </w:rPr>
    </w:lvl>
    <w:lvl w:ilvl="2" w:tplc="BE2ADC9A" w:tentative="1">
      <w:start w:val="1"/>
      <w:numFmt w:val="bullet"/>
      <w:lvlText w:val=""/>
      <w:lvlJc w:val="left"/>
      <w:pPr>
        <w:ind w:left="1800" w:hanging="360"/>
      </w:pPr>
      <w:rPr>
        <w:rFonts w:ascii="Wingdings" w:hAnsi="Wingdings" w:hint="default"/>
      </w:rPr>
    </w:lvl>
    <w:lvl w:ilvl="3" w:tplc="B75A83A6" w:tentative="1">
      <w:start w:val="1"/>
      <w:numFmt w:val="bullet"/>
      <w:lvlText w:val=""/>
      <w:lvlJc w:val="left"/>
      <w:pPr>
        <w:ind w:left="2520" w:hanging="360"/>
      </w:pPr>
      <w:rPr>
        <w:rFonts w:ascii="Symbol" w:hAnsi="Symbol" w:hint="default"/>
      </w:rPr>
    </w:lvl>
    <w:lvl w:ilvl="4" w:tplc="026AE4DC" w:tentative="1">
      <w:start w:val="1"/>
      <w:numFmt w:val="bullet"/>
      <w:lvlText w:val="o"/>
      <w:lvlJc w:val="left"/>
      <w:pPr>
        <w:ind w:left="3240" w:hanging="360"/>
      </w:pPr>
      <w:rPr>
        <w:rFonts w:ascii="Courier New" w:hAnsi="Courier New" w:cs="Courier New" w:hint="default"/>
      </w:rPr>
    </w:lvl>
    <w:lvl w:ilvl="5" w:tplc="89FAB562" w:tentative="1">
      <w:start w:val="1"/>
      <w:numFmt w:val="bullet"/>
      <w:lvlText w:val=""/>
      <w:lvlJc w:val="left"/>
      <w:pPr>
        <w:ind w:left="3960" w:hanging="360"/>
      </w:pPr>
      <w:rPr>
        <w:rFonts w:ascii="Wingdings" w:hAnsi="Wingdings" w:hint="default"/>
      </w:rPr>
    </w:lvl>
    <w:lvl w:ilvl="6" w:tplc="063441C8" w:tentative="1">
      <w:start w:val="1"/>
      <w:numFmt w:val="bullet"/>
      <w:lvlText w:val=""/>
      <w:lvlJc w:val="left"/>
      <w:pPr>
        <w:ind w:left="4680" w:hanging="360"/>
      </w:pPr>
      <w:rPr>
        <w:rFonts w:ascii="Symbol" w:hAnsi="Symbol" w:hint="default"/>
      </w:rPr>
    </w:lvl>
    <w:lvl w:ilvl="7" w:tplc="185A8744" w:tentative="1">
      <w:start w:val="1"/>
      <w:numFmt w:val="bullet"/>
      <w:lvlText w:val="o"/>
      <w:lvlJc w:val="left"/>
      <w:pPr>
        <w:ind w:left="5400" w:hanging="360"/>
      </w:pPr>
      <w:rPr>
        <w:rFonts w:ascii="Courier New" w:hAnsi="Courier New" w:cs="Courier New" w:hint="default"/>
      </w:rPr>
    </w:lvl>
    <w:lvl w:ilvl="8" w:tplc="9A66C186" w:tentative="1">
      <w:start w:val="1"/>
      <w:numFmt w:val="bullet"/>
      <w:lvlText w:val=""/>
      <w:lvlJc w:val="left"/>
      <w:pPr>
        <w:ind w:left="6120" w:hanging="360"/>
      </w:pPr>
      <w:rPr>
        <w:rFonts w:ascii="Wingdings" w:hAnsi="Wingdings" w:hint="default"/>
      </w:rPr>
    </w:lvl>
  </w:abstractNum>
  <w:num w:numId="1" w16cid:durableId="660547563">
    <w:abstractNumId w:val="9"/>
  </w:num>
  <w:num w:numId="2" w16cid:durableId="146678101">
    <w:abstractNumId w:val="7"/>
  </w:num>
  <w:num w:numId="3" w16cid:durableId="1157112851">
    <w:abstractNumId w:val="6"/>
  </w:num>
  <w:num w:numId="4" w16cid:durableId="126897211">
    <w:abstractNumId w:val="5"/>
  </w:num>
  <w:num w:numId="5" w16cid:durableId="194393886">
    <w:abstractNumId w:val="4"/>
  </w:num>
  <w:num w:numId="6" w16cid:durableId="1284339882">
    <w:abstractNumId w:val="8"/>
  </w:num>
  <w:num w:numId="7" w16cid:durableId="49232994">
    <w:abstractNumId w:val="3"/>
  </w:num>
  <w:num w:numId="8" w16cid:durableId="755127041">
    <w:abstractNumId w:val="2"/>
  </w:num>
  <w:num w:numId="9" w16cid:durableId="168984297">
    <w:abstractNumId w:val="1"/>
  </w:num>
  <w:num w:numId="10" w16cid:durableId="610287702">
    <w:abstractNumId w:val="0"/>
  </w:num>
  <w:num w:numId="11" w16cid:durableId="1949776129">
    <w:abstractNumId w:val="22"/>
  </w:num>
  <w:num w:numId="12" w16cid:durableId="679158110">
    <w:abstractNumId w:val="10"/>
  </w:num>
  <w:num w:numId="13" w16cid:durableId="1872761660">
    <w:abstractNumId w:val="14"/>
  </w:num>
  <w:num w:numId="14" w16cid:durableId="1595555085">
    <w:abstractNumId w:val="20"/>
  </w:num>
  <w:num w:numId="15" w16cid:durableId="592586885">
    <w:abstractNumId w:val="19"/>
  </w:num>
  <w:num w:numId="16" w16cid:durableId="48113780">
    <w:abstractNumId w:val="25"/>
  </w:num>
  <w:num w:numId="17" w16cid:durableId="724720398">
    <w:abstractNumId w:val="24"/>
  </w:num>
  <w:num w:numId="18" w16cid:durableId="123087533">
    <w:abstractNumId w:val="16"/>
  </w:num>
  <w:num w:numId="19" w16cid:durableId="1307009735">
    <w:abstractNumId w:val="15"/>
  </w:num>
  <w:num w:numId="20" w16cid:durableId="1638609957">
    <w:abstractNumId w:val="18"/>
  </w:num>
  <w:num w:numId="21" w16cid:durableId="1887788595">
    <w:abstractNumId w:val="21"/>
  </w:num>
  <w:num w:numId="22" w16cid:durableId="923300912">
    <w:abstractNumId w:val="11"/>
  </w:num>
  <w:num w:numId="23" w16cid:durableId="218169872">
    <w:abstractNumId w:val="13"/>
  </w:num>
  <w:num w:numId="24" w16cid:durableId="1311132390">
    <w:abstractNumId w:val="17"/>
  </w:num>
  <w:num w:numId="25" w16cid:durableId="1805808387">
    <w:abstractNumId w:val="12"/>
  </w:num>
  <w:num w:numId="26" w16cid:durableId="1040284236">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00"/>
    <w:rsid w:val="00002D3F"/>
    <w:rsid w:val="00011EB6"/>
    <w:rsid w:val="0001375B"/>
    <w:rsid w:val="00013E3E"/>
    <w:rsid w:val="000145C6"/>
    <w:rsid w:val="00016459"/>
    <w:rsid w:val="00017BF3"/>
    <w:rsid w:val="000217B1"/>
    <w:rsid w:val="00022DAB"/>
    <w:rsid w:val="00023407"/>
    <w:rsid w:val="00023D9A"/>
    <w:rsid w:val="0002441E"/>
    <w:rsid w:val="000246CB"/>
    <w:rsid w:val="00027141"/>
    <w:rsid w:val="000307AF"/>
    <w:rsid w:val="0003184B"/>
    <w:rsid w:val="00031AB5"/>
    <w:rsid w:val="00031CDC"/>
    <w:rsid w:val="0003509B"/>
    <w:rsid w:val="000350E4"/>
    <w:rsid w:val="00035150"/>
    <w:rsid w:val="00035269"/>
    <w:rsid w:val="000355DE"/>
    <w:rsid w:val="00035E4B"/>
    <w:rsid w:val="00036034"/>
    <w:rsid w:val="0004253F"/>
    <w:rsid w:val="0004263C"/>
    <w:rsid w:val="00045814"/>
    <w:rsid w:val="00050B81"/>
    <w:rsid w:val="00052B8D"/>
    <w:rsid w:val="00057000"/>
    <w:rsid w:val="00057DD4"/>
    <w:rsid w:val="00060674"/>
    <w:rsid w:val="00062098"/>
    <w:rsid w:val="000640E0"/>
    <w:rsid w:val="00066CD6"/>
    <w:rsid w:val="000673E8"/>
    <w:rsid w:val="00071263"/>
    <w:rsid w:val="0007293B"/>
    <w:rsid w:val="00072A4E"/>
    <w:rsid w:val="000734BA"/>
    <w:rsid w:val="00073917"/>
    <w:rsid w:val="000743D5"/>
    <w:rsid w:val="00075CD4"/>
    <w:rsid w:val="00075DEC"/>
    <w:rsid w:val="00076404"/>
    <w:rsid w:val="000767EB"/>
    <w:rsid w:val="00076CF8"/>
    <w:rsid w:val="000801EC"/>
    <w:rsid w:val="00080AE0"/>
    <w:rsid w:val="00080F58"/>
    <w:rsid w:val="000879A8"/>
    <w:rsid w:val="0009278B"/>
    <w:rsid w:val="000930A1"/>
    <w:rsid w:val="00093D64"/>
    <w:rsid w:val="00093D80"/>
    <w:rsid w:val="0009400D"/>
    <w:rsid w:val="000963B9"/>
    <w:rsid w:val="000972FB"/>
    <w:rsid w:val="000A1764"/>
    <w:rsid w:val="000A2111"/>
    <w:rsid w:val="000A2A8C"/>
    <w:rsid w:val="000A3367"/>
    <w:rsid w:val="000A3EAA"/>
    <w:rsid w:val="000A5CA2"/>
    <w:rsid w:val="000A6E4D"/>
    <w:rsid w:val="000A7533"/>
    <w:rsid w:val="000B2E83"/>
    <w:rsid w:val="000B3791"/>
    <w:rsid w:val="000B49BE"/>
    <w:rsid w:val="000B7F2F"/>
    <w:rsid w:val="000C219D"/>
    <w:rsid w:val="000C4C6C"/>
    <w:rsid w:val="000C65C8"/>
    <w:rsid w:val="000C6A88"/>
    <w:rsid w:val="000C722F"/>
    <w:rsid w:val="000D2BAE"/>
    <w:rsid w:val="000D5D25"/>
    <w:rsid w:val="000E06B4"/>
    <w:rsid w:val="000E1736"/>
    <w:rsid w:val="000E191F"/>
    <w:rsid w:val="000E1FD5"/>
    <w:rsid w:val="000E23FD"/>
    <w:rsid w:val="000E2DAE"/>
    <w:rsid w:val="000E4DDA"/>
    <w:rsid w:val="000E6A3A"/>
    <w:rsid w:val="000F1B42"/>
    <w:rsid w:val="000F1DCC"/>
    <w:rsid w:val="000F2976"/>
    <w:rsid w:val="000F3F98"/>
    <w:rsid w:val="000F5124"/>
    <w:rsid w:val="000F5B83"/>
    <w:rsid w:val="000F695D"/>
    <w:rsid w:val="00101257"/>
    <w:rsid w:val="00106429"/>
    <w:rsid w:val="00110BD3"/>
    <w:rsid w:val="00111783"/>
    <w:rsid w:val="00111E62"/>
    <w:rsid w:val="001123BA"/>
    <w:rsid w:val="0011414F"/>
    <w:rsid w:val="001147B8"/>
    <w:rsid w:val="00122960"/>
    <w:rsid w:val="00122FE6"/>
    <w:rsid w:val="00123198"/>
    <w:rsid w:val="00124BE8"/>
    <w:rsid w:val="00125432"/>
    <w:rsid w:val="001275F4"/>
    <w:rsid w:val="00131A82"/>
    <w:rsid w:val="00131D15"/>
    <w:rsid w:val="00131FC0"/>
    <w:rsid w:val="00134423"/>
    <w:rsid w:val="00137F40"/>
    <w:rsid w:val="00141D79"/>
    <w:rsid w:val="00144238"/>
    <w:rsid w:val="001460E7"/>
    <w:rsid w:val="00147672"/>
    <w:rsid w:val="00151E8A"/>
    <w:rsid w:val="00153441"/>
    <w:rsid w:val="001536DF"/>
    <w:rsid w:val="00153BE8"/>
    <w:rsid w:val="00154B99"/>
    <w:rsid w:val="0015522D"/>
    <w:rsid w:val="001559D6"/>
    <w:rsid w:val="00156BB8"/>
    <w:rsid w:val="00161854"/>
    <w:rsid w:val="00164367"/>
    <w:rsid w:val="00164F44"/>
    <w:rsid w:val="00165942"/>
    <w:rsid w:val="00170180"/>
    <w:rsid w:val="00174DED"/>
    <w:rsid w:val="001801D3"/>
    <w:rsid w:val="001806F7"/>
    <w:rsid w:val="001808ED"/>
    <w:rsid w:val="00180A04"/>
    <w:rsid w:val="00180E2A"/>
    <w:rsid w:val="00181C20"/>
    <w:rsid w:val="0018371D"/>
    <w:rsid w:val="0018401F"/>
    <w:rsid w:val="001871EC"/>
    <w:rsid w:val="00191F21"/>
    <w:rsid w:val="0019212E"/>
    <w:rsid w:val="00193891"/>
    <w:rsid w:val="001941B8"/>
    <w:rsid w:val="00194E70"/>
    <w:rsid w:val="00196C55"/>
    <w:rsid w:val="00197D06"/>
    <w:rsid w:val="001A1829"/>
    <w:rsid w:val="001A3B9D"/>
    <w:rsid w:val="001A573A"/>
    <w:rsid w:val="001A670F"/>
    <w:rsid w:val="001A7192"/>
    <w:rsid w:val="001B0EE1"/>
    <w:rsid w:val="001B4B37"/>
    <w:rsid w:val="001B55FA"/>
    <w:rsid w:val="001B5FB0"/>
    <w:rsid w:val="001B75A0"/>
    <w:rsid w:val="001B7D70"/>
    <w:rsid w:val="001C262C"/>
    <w:rsid w:val="001C314A"/>
    <w:rsid w:val="001C5DB5"/>
    <w:rsid w:val="001C62B8"/>
    <w:rsid w:val="001D142D"/>
    <w:rsid w:val="001D397E"/>
    <w:rsid w:val="001D5B24"/>
    <w:rsid w:val="001D64C0"/>
    <w:rsid w:val="001D6B07"/>
    <w:rsid w:val="001D75A4"/>
    <w:rsid w:val="001E242A"/>
    <w:rsid w:val="001E278A"/>
    <w:rsid w:val="001E36A5"/>
    <w:rsid w:val="001E448A"/>
    <w:rsid w:val="001E60AE"/>
    <w:rsid w:val="001E6E76"/>
    <w:rsid w:val="001E7B0E"/>
    <w:rsid w:val="001F104E"/>
    <w:rsid w:val="001F141D"/>
    <w:rsid w:val="001F1A0E"/>
    <w:rsid w:val="001F2793"/>
    <w:rsid w:val="001F2D97"/>
    <w:rsid w:val="001F412F"/>
    <w:rsid w:val="001F558F"/>
    <w:rsid w:val="001F785B"/>
    <w:rsid w:val="00200A06"/>
    <w:rsid w:val="00202BA1"/>
    <w:rsid w:val="00202BC9"/>
    <w:rsid w:val="002053B5"/>
    <w:rsid w:val="002116EC"/>
    <w:rsid w:val="00213112"/>
    <w:rsid w:val="00222873"/>
    <w:rsid w:val="0022340F"/>
    <w:rsid w:val="00225A25"/>
    <w:rsid w:val="00226503"/>
    <w:rsid w:val="002317DE"/>
    <w:rsid w:val="002319D8"/>
    <w:rsid w:val="00235272"/>
    <w:rsid w:val="00235A6D"/>
    <w:rsid w:val="00235EEF"/>
    <w:rsid w:val="00235F55"/>
    <w:rsid w:val="00236616"/>
    <w:rsid w:val="002373F9"/>
    <w:rsid w:val="0024081D"/>
    <w:rsid w:val="002418AB"/>
    <w:rsid w:val="0024576D"/>
    <w:rsid w:val="0024660E"/>
    <w:rsid w:val="00246DD1"/>
    <w:rsid w:val="002511D6"/>
    <w:rsid w:val="002534C9"/>
    <w:rsid w:val="00253E78"/>
    <w:rsid w:val="00254B4E"/>
    <w:rsid w:val="00255C81"/>
    <w:rsid w:val="002622FA"/>
    <w:rsid w:val="0026241C"/>
    <w:rsid w:val="00262BF7"/>
    <w:rsid w:val="00262DFD"/>
    <w:rsid w:val="00263518"/>
    <w:rsid w:val="00263FC7"/>
    <w:rsid w:val="00265870"/>
    <w:rsid w:val="002705D1"/>
    <w:rsid w:val="002705F9"/>
    <w:rsid w:val="00270BA9"/>
    <w:rsid w:val="00273960"/>
    <w:rsid w:val="00275268"/>
    <w:rsid w:val="00275DFE"/>
    <w:rsid w:val="0027654E"/>
    <w:rsid w:val="002772FF"/>
    <w:rsid w:val="00277326"/>
    <w:rsid w:val="00277A9E"/>
    <w:rsid w:val="00281A1A"/>
    <w:rsid w:val="00281CBA"/>
    <w:rsid w:val="00282D12"/>
    <w:rsid w:val="00283D37"/>
    <w:rsid w:val="002849C7"/>
    <w:rsid w:val="002849E8"/>
    <w:rsid w:val="00284E93"/>
    <w:rsid w:val="00290188"/>
    <w:rsid w:val="0029144F"/>
    <w:rsid w:val="002927B0"/>
    <w:rsid w:val="00292E07"/>
    <w:rsid w:val="00293621"/>
    <w:rsid w:val="0029419D"/>
    <w:rsid w:val="00294BE1"/>
    <w:rsid w:val="00295D0C"/>
    <w:rsid w:val="002A401B"/>
    <w:rsid w:val="002A6381"/>
    <w:rsid w:val="002A7E53"/>
    <w:rsid w:val="002B3431"/>
    <w:rsid w:val="002B3C3D"/>
    <w:rsid w:val="002B41B0"/>
    <w:rsid w:val="002B4344"/>
    <w:rsid w:val="002B43D3"/>
    <w:rsid w:val="002B58FB"/>
    <w:rsid w:val="002C0373"/>
    <w:rsid w:val="002C26C0"/>
    <w:rsid w:val="002C36BE"/>
    <w:rsid w:val="002C6301"/>
    <w:rsid w:val="002C7306"/>
    <w:rsid w:val="002C7406"/>
    <w:rsid w:val="002D02F1"/>
    <w:rsid w:val="002D066B"/>
    <w:rsid w:val="002D389F"/>
    <w:rsid w:val="002D4405"/>
    <w:rsid w:val="002D4D84"/>
    <w:rsid w:val="002D5095"/>
    <w:rsid w:val="002D5719"/>
    <w:rsid w:val="002D57E3"/>
    <w:rsid w:val="002D62D7"/>
    <w:rsid w:val="002D6AA2"/>
    <w:rsid w:val="002D7BEA"/>
    <w:rsid w:val="002E048C"/>
    <w:rsid w:val="002E0773"/>
    <w:rsid w:val="002E16C6"/>
    <w:rsid w:val="002E2064"/>
    <w:rsid w:val="002E208F"/>
    <w:rsid w:val="002E2555"/>
    <w:rsid w:val="002E28F4"/>
    <w:rsid w:val="002E384E"/>
    <w:rsid w:val="002E4722"/>
    <w:rsid w:val="002E62A9"/>
    <w:rsid w:val="002E62B2"/>
    <w:rsid w:val="002E7534"/>
    <w:rsid w:val="002E79CB"/>
    <w:rsid w:val="002E7D4D"/>
    <w:rsid w:val="002F27B2"/>
    <w:rsid w:val="002F2E6E"/>
    <w:rsid w:val="002F4974"/>
    <w:rsid w:val="002F5A94"/>
    <w:rsid w:val="002F7879"/>
    <w:rsid w:val="002F7F55"/>
    <w:rsid w:val="0030022F"/>
    <w:rsid w:val="00302F2B"/>
    <w:rsid w:val="00303379"/>
    <w:rsid w:val="003043B8"/>
    <w:rsid w:val="0030713D"/>
    <w:rsid w:val="0030745F"/>
    <w:rsid w:val="00307B01"/>
    <w:rsid w:val="003105AD"/>
    <w:rsid w:val="00311DE1"/>
    <w:rsid w:val="00313ED3"/>
    <w:rsid w:val="00314630"/>
    <w:rsid w:val="00314F66"/>
    <w:rsid w:val="0032090A"/>
    <w:rsid w:val="00321CDE"/>
    <w:rsid w:val="00321DE1"/>
    <w:rsid w:val="00324C60"/>
    <w:rsid w:val="003253BA"/>
    <w:rsid w:val="00325814"/>
    <w:rsid w:val="003277D3"/>
    <w:rsid w:val="00330A18"/>
    <w:rsid w:val="00332445"/>
    <w:rsid w:val="0033257B"/>
    <w:rsid w:val="00333E15"/>
    <w:rsid w:val="003362F2"/>
    <w:rsid w:val="003363FC"/>
    <w:rsid w:val="00337277"/>
    <w:rsid w:val="00340BE4"/>
    <w:rsid w:val="003435CD"/>
    <w:rsid w:val="0034515F"/>
    <w:rsid w:val="003461FE"/>
    <w:rsid w:val="00350DAB"/>
    <w:rsid w:val="00351183"/>
    <w:rsid w:val="00351677"/>
    <w:rsid w:val="00352721"/>
    <w:rsid w:val="003548A0"/>
    <w:rsid w:val="00355FAD"/>
    <w:rsid w:val="00356203"/>
    <w:rsid w:val="003647BC"/>
    <w:rsid w:val="0036651C"/>
    <w:rsid w:val="00370282"/>
    <w:rsid w:val="00370A33"/>
    <w:rsid w:val="00372CF3"/>
    <w:rsid w:val="00372EC8"/>
    <w:rsid w:val="0037415F"/>
    <w:rsid w:val="00375561"/>
    <w:rsid w:val="003827B4"/>
    <w:rsid w:val="00383B54"/>
    <w:rsid w:val="00385809"/>
    <w:rsid w:val="0038601E"/>
    <w:rsid w:val="0038715D"/>
    <w:rsid w:val="00387679"/>
    <w:rsid w:val="0039074F"/>
    <w:rsid w:val="00392D26"/>
    <w:rsid w:val="00394DBF"/>
    <w:rsid w:val="00396B56"/>
    <w:rsid w:val="003A01DA"/>
    <w:rsid w:val="003A0AF0"/>
    <w:rsid w:val="003A103A"/>
    <w:rsid w:val="003A1A5B"/>
    <w:rsid w:val="003A208C"/>
    <w:rsid w:val="003A38D6"/>
    <w:rsid w:val="003A43EF"/>
    <w:rsid w:val="003A4BFF"/>
    <w:rsid w:val="003B24FC"/>
    <w:rsid w:val="003B479E"/>
    <w:rsid w:val="003B4A48"/>
    <w:rsid w:val="003B4B74"/>
    <w:rsid w:val="003B61FB"/>
    <w:rsid w:val="003B644F"/>
    <w:rsid w:val="003C01DA"/>
    <w:rsid w:val="003C0664"/>
    <w:rsid w:val="003C0851"/>
    <w:rsid w:val="003C1BAE"/>
    <w:rsid w:val="003C24B4"/>
    <w:rsid w:val="003C37D9"/>
    <w:rsid w:val="003C4554"/>
    <w:rsid w:val="003C46BB"/>
    <w:rsid w:val="003C7733"/>
    <w:rsid w:val="003D291C"/>
    <w:rsid w:val="003E0B29"/>
    <w:rsid w:val="003E0C0B"/>
    <w:rsid w:val="003E35F5"/>
    <w:rsid w:val="003E6305"/>
    <w:rsid w:val="003E6445"/>
    <w:rsid w:val="003F099D"/>
    <w:rsid w:val="003F15C1"/>
    <w:rsid w:val="003F2682"/>
    <w:rsid w:val="003F2BED"/>
    <w:rsid w:val="003F44FC"/>
    <w:rsid w:val="003F672A"/>
    <w:rsid w:val="003F717B"/>
    <w:rsid w:val="003F71E8"/>
    <w:rsid w:val="004001C3"/>
    <w:rsid w:val="00403E4B"/>
    <w:rsid w:val="00404032"/>
    <w:rsid w:val="0040687C"/>
    <w:rsid w:val="004143E6"/>
    <w:rsid w:val="004146A6"/>
    <w:rsid w:val="00416C63"/>
    <w:rsid w:val="00416F14"/>
    <w:rsid w:val="00424D67"/>
    <w:rsid w:val="00425933"/>
    <w:rsid w:val="00427C61"/>
    <w:rsid w:val="00431438"/>
    <w:rsid w:val="0043363F"/>
    <w:rsid w:val="004365CC"/>
    <w:rsid w:val="0043779A"/>
    <w:rsid w:val="0044274C"/>
    <w:rsid w:val="00443878"/>
    <w:rsid w:val="00443CB3"/>
    <w:rsid w:val="0044599C"/>
    <w:rsid w:val="004459E1"/>
    <w:rsid w:val="004469B3"/>
    <w:rsid w:val="004510F1"/>
    <w:rsid w:val="004529A5"/>
    <w:rsid w:val="00453BAA"/>
    <w:rsid w:val="00454ACC"/>
    <w:rsid w:val="00454C78"/>
    <w:rsid w:val="0045512D"/>
    <w:rsid w:val="00461E09"/>
    <w:rsid w:val="004640C4"/>
    <w:rsid w:val="00464A54"/>
    <w:rsid w:val="00464E40"/>
    <w:rsid w:val="00470EFE"/>
    <w:rsid w:val="004712CA"/>
    <w:rsid w:val="00473140"/>
    <w:rsid w:val="0047422E"/>
    <w:rsid w:val="004758AF"/>
    <w:rsid w:val="0047596F"/>
    <w:rsid w:val="004772F2"/>
    <w:rsid w:val="00480A33"/>
    <w:rsid w:val="0048294D"/>
    <w:rsid w:val="004830B4"/>
    <w:rsid w:val="00484960"/>
    <w:rsid w:val="0048530B"/>
    <w:rsid w:val="00485E63"/>
    <w:rsid w:val="004876A5"/>
    <w:rsid w:val="00491FF4"/>
    <w:rsid w:val="0049280A"/>
    <w:rsid w:val="00494840"/>
    <w:rsid w:val="004A5FCA"/>
    <w:rsid w:val="004A6117"/>
    <w:rsid w:val="004B138D"/>
    <w:rsid w:val="004B170C"/>
    <w:rsid w:val="004B604E"/>
    <w:rsid w:val="004B6178"/>
    <w:rsid w:val="004B68F7"/>
    <w:rsid w:val="004B7CE2"/>
    <w:rsid w:val="004C0673"/>
    <w:rsid w:val="004C0F8D"/>
    <w:rsid w:val="004C59BC"/>
    <w:rsid w:val="004C65DA"/>
    <w:rsid w:val="004C6B75"/>
    <w:rsid w:val="004C7D0F"/>
    <w:rsid w:val="004D19BD"/>
    <w:rsid w:val="004D3DAB"/>
    <w:rsid w:val="004D4CAF"/>
    <w:rsid w:val="004D6071"/>
    <w:rsid w:val="004D6BE2"/>
    <w:rsid w:val="004D6BEB"/>
    <w:rsid w:val="004D6F34"/>
    <w:rsid w:val="004D7588"/>
    <w:rsid w:val="004E0BC0"/>
    <w:rsid w:val="004E2ACC"/>
    <w:rsid w:val="004E3B3F"/>
    <w:rsid w:val="004E5035"/>
    <w:rsid w:val="004E5F02"/>
    <w:rsid w:val="004E778D"/>
    <w:rsid w:val="004F3816"/>
    <w:rsid w:val="004F5EB8"/>
    <w:rsid w:val="00501ABA"/>
    <w:rsid w:val="00503618"/>
    <w:rsid w:val="005041E7"/>
    <w:rsid w:val="00510432"/>
    <w:rsid w:val="00510920"/>
    <w:rsid w:val="0051199B"/>
    <w:rsid w:val="00512750"/>
    <w:rsid w:val="00512F6A"/>
    <w:rsid w:val="005164D0"/>
    <w:rsid w:val="0051654D"/>
    <w:rsid w:val="00516589"/>
    <w:rsid w:val="0051677C"/>
    <w:rsid w:val="005204E1"/>
    <w:rsid w:val="00520F18"/>
    <w:rsid w:val="00521787"/>
    <w:rsid w:val="00522C61"/>
    <w:rsid w:val="00525B22"/>
    <w:rsid w:val="00526527"/>
    <w:rsid w:val="00534A0C"/>
    <w:rsid w:val="005350DE"/>
    <w:rsid w:val="0054083A"/>
    <w:rsid w:val="00541E8F"/>
    <w:rsid w:val="005477FD"/>
    <w:rsid w:val="00550DB4"/>
    <w:rsid w:val="00552CA3"/>
    <w:rsid w:val="00552E7F"/>
    <w:rsid w:val="00553C45"/>
    <w:rsid w:val="00556B6A"/>
    <w:rsid w:val="0055713E"/>
    <w:rsid w:val="00561163"/>
    <w:rsid w:val="00562605"/>
    <w:rsid w:val="0056481F"/>
    <w:rsid w:val="00566EDA"/>
    <w:rsid w:val="00567BB0"/>
    <w:rsid w:val="00570678"/>
    <w:rsid w:val="00570DA7"/>
    <w:rsid w:val="0057110E"/>
    <w:rsid w:val="00572654"/>
    <w:rsid w:val="00573951"/>
    <w:rsid w:val="00575CF2"/>
    <w:rsid w:val="00577B10"/>
    <w:rsid w:val="00582F2C"/>
    <w:rsid w:val="00585C9B"/>
    <w:rsid w:val="005861D7"/>
    <w:rsid w:val="005867FC"/>
    <w:rsid w:val="00592698"/>
    <w:rsid w:val="0059371A"/>
    <w:rsid w:val="00593AE3"/>
    <w:rsid w:val="00594CD4"/>
    <w:rsid w:val="00596E8A"/>
    <w:rsid w:val="005A1B3B"/>
    <w:rsid w:val="005A20A8"/>
    <w:rsid w:val="005A337C"/>
    <w:rsid w:val="005A3501"/>
    <w:rsid w:val="005A4D72"/>
    <w:rsid w:val="005A50CA"/>
    <w:rsid w:val="005A64AC"/>
    <w:rsid w:val="005A6BB4"/>
    <w:rsid w:val="005A7704"/>
    <w:rsid w:val="005A775B"/>
    <w:rsid w:val="005B1E57"/>
    <w:rsid w:val="005B45F2"/>
    <w:rsid w:val="005B4CB4"/>
    <w:rsid w:val="005B5629"/>
    <w:rsid w:val="005B798D"/>
    <w:rsid w:val="005C0300"/>
    <w:rsid w:val="005C03F4"/>
    <w:rsid w:val="005C0EC7"/>
    <w:rsid w:val="005C1B2E"/>
    <w:rsid w:val="005C1CC3"/>
    <w:rsid w:val="005C2B26"/>
    <w:rsid w:val="005C3543"/>
    <w:rsid w:val="005C4F27"/>
    <w:rsid w:val="005C6CDA"/>
    <w:rsid w:val="005C6E66"/>
    <w:rsid w:val="005D0252"/>
    <w:rsid w:val="005D0FF6"/>
    <w:rsid w:val="005D1D11"/>
    <w:rsid w:val="005D2B71"/>
    <w:rsid w:val="005D6D97"/>
    <w:rsid w:val="005D6F13"/>
    <w:rsid w:val="005E0D49"/>
    <w:rsid w:val="005E4E99"/>
    <w:rsid w:val="005E55C3"/>
    <w:rsid w:val="005E7071"/>
    <w:rsid w:val="005E7258"/>
    <w:rsid w:val="005E736D"/>
    <w:rsid w:val="005F109C"/>
    <w:rsid w:val="005F3D99"/>
    <w:rsid w:val="005F4180"/>
    <w:rsid w:val="005F4B6A"/>
    <w:rsid w:val="005F6572"/>
    <w:rsid w:val="0060137E"/>
    <w:rsid w:val="006023C6"/>
    <w:rsid w:val="006030FF"/>
    <w:rsid w:val="006039D9"/>
    <w:rsid w:val="00603E07"/>
    <w:rsid w:val="00610699"/>
    <w:rsid w:val="0061117D"/>
    <w:rsid w:val="00612E5E"/>
    <w:rsid w:val="00613CAB"/>
    <w:rsid w:val="00615687"/>
    <w:rsid w:val="00615A0A"/>
    <w:rsid w:val="00615B3A"/>
    <w:rsid w:val="00617B8F"/>
    <w:rsid w:val="00620D10"/>
    <w:rsid w:val="00621A25"/>
    <w:rsid w:val="006235DB"/>
    <w:rsid w:val="00623E12"/>
    <w:rsid w:val="0062470C"/>
    <w:rsid w:val="00625427"/>
    <w:rsid w:val="006264C9"/>
    <w:rsid w:val="006265C6"/>
    <w:rsid w:val="00626FE3"/>
    <w:rsid w:val="00630C09"/>
    <w:rsid w:val="006333D4"/>
    <w:rsid w:val="00635499"/>
    <w:rsid w:val="0063673A"/>
    <w:rsid w:val="006369B2"/>
    <w:rsid w:val="00637DDC"/>
    <w:rsid w:val="006401ED"/>
    <w:rsid w:val="0064241D"/>
    <w:rsid w:val="006467AC"/>
    <w:rsid w:val="00646F63"/>
    <w:rsid w:val="006500B0"/>
    <w:rsid w:val="00651DDB"/>
    <w:rsid w:val="00652C03"/>
    <w:rsid w:val="00653864"/>
    <w:rsid w:val="0065476A"/>
    <w:rsid w:val="006562E6"/>
    <w:rsid w:val="006570B0"/>
    <w:rsid w:val="00657201"/>
    <w:rsid w:val="0065763A"/>
    <w:rsid w:val="00657F5A"/>
    <w:rsid w:val="006611AB"/>
    <w:rsid w:val="00661260"/>
    <w:rsid w:val="006648E6"/>
    <w:rsid w:val="006671DC"/>
    <w:rsid w:val="00670DEB"/>
    <w:rsid w:val="00673CE5"/>
    <w:rsid w:val="0067639E"/>
    <w:rsid w:val="00676CB0"/>
    <w:rsid w:val="00676D6C"/>
    <w:rsid w:val="00680468"/>
    <w:rsid w:val="00682D0C"/>
    <w:rsid w:val="00685DC4"/>
    <w:rsid w:val="00687A1C"/>
    <w:rsid w:val="00690FA4"/>
    <w:rsid w:val="00691B89"/>
    <w:rsid w:val="0069210B"/>
    <w:rsid w:val="00692EEF"/>
    <w:rsid w:val="0069379E"/>
    <w:rsid w:val="006A079F"/>
    <w:rsid w:val="006A23F8"/>
    <w:rsid w:val="006A30A9"/>
    <w:rsid w:val="006A3955"/>
    <w:rsid w:val="006A4055"/>
    <w:rsid w:val="006A4678"/>
    <w:rsid w:val="006A488E"/>
    <w:rsid w:val="006A5427"/>
    <w:rsid w:val="006A6FA6"/>
    <w:rsid w:val="006B1898"/>
    <w:rsid w:val="006B1C7B"/>
    <w:rsid w:val="006B41C0"/>
    <w:rsid w:val="006B5E57"/>
    <w:rsid w:val="006B718D"/>
    <w:rsid w:val="006B7C5E"/>
    <w:rsid w:val="006C0E00"/>
    <w:rsid w:val="006C14C6"/>
    <w:rsid w:val="006C262E"/>
    <w:rsid w:val="006C5641"/>
    <w:rsid w:val="006C7957"/>
    <w:rsid w:val="006D012E"/>
    <w:rsid w:val="006D1089"/>
    <w:rsid w:val="006D43BE"/>
    <w:rsid w:val="006D5F43"/>
    <w:rsid w:val="006D7355"/>
    <w:rsid w:val="006D797E"/>
    <w:rsid w:val="006D7BA3"/>
    <w:rsid w:val="006E250B"/>
    <w:rsid w:val="006E2596"/>
    <w:rsid w:val="006E2BB9"/>
    <w:rsid w:val="006E6137"/>
    <w:rsid w:val="006E79D7"/>
    <w:rsid w:val="006F04EC"/>
    <w:rsid w:val="006F1605"/>
    <w:rsid w:val="006F58AA"/>
    <w:rsid w:val="006F6A86"/>
    <w:rsid w:val="00701913"/>
    <w:rsid w:val="00701C95"/>
    <w:rsid w:val="007043C5"/>
    <w:rsid w:val="00705177"/>
    <w:rsid w:val="007070C6"/>
    <w:rsid w:val="007075A9"/>
    <w:rsid w:val="00707B4F"/>
    <w:rsid w:val="007112A4"/>
    <w:rsid w:val="00712995"/>
    <w:rsid w:val="007200B0"/>
    <w:rsid w:val="00723240"/>
    <w:rsid w:val="0072478F"/>
    <w:rsid w:val="00724EEB"/>
    <w:rsid w:val="007252B3"/>
    <w:rsid w:val="00725A7F"/>
    <w:rsid w:val="007262A7"/>
    <w:rsid w:val="007270B5"/>
    <w:rsid w:val="007276A0"/>
    <w:rsid w:val="00727FB9"/>
    <w:rsid w:val="007305C0"/>
    <w:rsid w:val="00730B62"/>
    <w:rsid w:val="00731135"/>
    <w:rsid w:val="007322BA"/>
    <w:rsid w:val="007324AF"/>
    <w:rsid w:val="00733235"/>
    <w:rsid w:val="0073356A"/>
    <w:rsid w:val="007337B1"/>
    <w:rsid w:val="00734F34"/>
    <w:rsid w:val="007363A3"/>
    <w:rsid w:val="0073683C"/>
    <w:rsid w:val="007404FA"/>
    <w:rsid w:val="0074064F"/>
    <w:rsid w:val="007409B4"/>
    <w:rsid w:val="00745DC2"/>
    <w:rsid w:val="0074687E"/>
    <w:rsid w:val="007479CB"/>
    <w:rsid w:val="00751194"/>
    <w:rsid w:val="0075525E"/>
    <w:rsid w:val="007579EC"/>
    <w:rsid w:val="00760A9C"/>
    <w:rsid w:val="00760D61"/>
    <w:rsid w:val="00761360"/>
    <w:rsid w:val="0076233F"/>
    <w:rsid w:val="00763DAA"/>
    <w:rsid w:val="00764304"/>
    <w:rsid w:val="00764DC0"/>
    <w:rsid w:val="00765AC6"/>
    <w:rsid w:val="00765CDF"/>
    <w:rsid w:val="00766B97"/>
    <w:rsid w:val="00767493"/>
    <w:rsid w:val="0077283D"/>
    <w:rsid w:val="007751A5"/>
    <w:rsid w:val="00776256"/>
    <w:rsid w:val="00776324"/>
    <w:rsid w:val="00782053"/>
    <w:rsid w:val="007820A7"/>
    <w:rsid w:val="0078232D"/>
    <w:rsid w:val="007826B0"/>
    <w:rsid w:val="00783FA4"/>
    <w:rsid w:val="0078495B"/>
    <w:rsid w:val="007876DB"/>
    <w:rsid w:val="007903F8"/>
    <w:rsid w:val="00792578"/>
    <w:rsid w:val="0079359B"/>
    <w:rsid w:val="007937E9"/>
    <w:rsid w:val="00794D7B"/>
    <w:rsid w:val="00794F4F"/>
    <w:rsid w:val="0079620A"/>
    <w:rsid w:val="007974BE"/>
    <w:rsid w:val="007A0916"/>
    <w:rsid w:val="007A0DFD"/>
    <w:rsid w:val="007A1130"/>
    <w:rsid w:val="007A1A31"/>
    <w:rsid w:val="007A4C62"/>
    <w:rsid w:val="007A5796"/>
    <w:rsid w:val="007A7C84"/>
    <w:rsid w:val="007A7D6C"/>
    <w:rsid w:val="007B0B09"/>
    <w:rsid w:val="007B181F"/>
    <w:rsid w:val="007B207C"/>
    <w:rsid w:val="007B4BED"/>
    <w:rsid w:val="007B6BEA"/>
    <w:rsid w:val="007B7DE6"/>
    <w:rsid w:val="007C2D0D"/>
    <w:rsid w:val="007C3871"/>
    <w:rsid w:val="007C7122"/>
    <w:rsid w:val="007C712F"/>
    <w:rsid w:val="007D04F3"/>
    <w:rsid w:val="007D26BE"/>
    <w:rsid w:val="007D3F11"/>
    <w:rsid w:val="007D40F8"/>
    <w:rsid w:val="007D5300"/>
    <w:rsid w:val="007D53BA"/>
    <w:rsid w:val="007D7E4D"/>
    <w:rsid w:val="007E0A02"/>
    <w:rsid w:val="007E3A39"/>
    <w:rsid w:val="007F0662"/>
    <w:rsid w:val="007F12AD"/>
    <w:rsid w:val="007F1869"/>
    <w:rsid w:val="007F2C45"/>
    <w:rsid w:val="007F2D31"/>
    <w:rsid w:val="007F301B"/>
    <w:rsid w:val="007F30F5"/>
    <w:rsid w:val="007F39F9"/>
    <w:rsid w:val="007F4FA2"/>
    <w:rsid w:val="007F5602"/>
    <w:rsid w:val="007F664D"/>
    <w:rsid w:val="007F6665"/>
    <w:rsid w:val="007F6C9D"/>
    <w:rsid w:val="007F734E"/>
    <w:rsid w:val="007F7BEC"/>
    <w:rsid w:val="00804351"/>
    <w:rsid w:val="00804751"/>
    <w:rsid w:val="00804DF5"/>
    <w:rsid w:val="00804EF6"/>
    <w:rsid w:val="00805065"/>
    <w:rsid w:val="008053E7"/>
    <w:rsid w:val="00805470"/>
    <w:rsid w:val="00810C4A"/>
    <w:rsid w:val="00813A75"/>
    <w:rsid w:val="00816348"/>
    <w:rsid w:val="00816907"/>
    <w:rsid w:val="008200E8"/>
    <w:rsid w:val="0082093C"/>
    <w:rsid w:val="00821E4A"/>
    <w:rsid w:val="00822609"/>
    <w:rsid w:val="0082349C"/>
    <w:rsid w:val="00824C07"/>
    <w:rsid w:val="00825041"/>
    <w:rsid w:val="00825724"/>
    <w:rsid w:val="00830343"/>
    <w:rsid w:val="00835657"/>
    <w:rsid w:val="00840084"/>
    <w:rsid w:val="00840B54"/>
    <w:rsid w:val="00842137"/>
    <w:rsid w:val="00842E1A"/>
    <w:rsid w:val="008436BA"/>
    <w:rsid w:val="008441C5"/>
    <w:rsid w:val="008443FD"/>
    <w:rsid w:val="0084487F"/>
    <w:rsid w:val="0084705E"/>
    <w:rsid w:val="00850DE8"/>
    <w:rsid w:val="0085175C"/>
    <w:rsid w:val="00851A9B"/>
    <w:rsid w:val="00852536"/>
    <w:rsid w:val="00855057"/>
    <w:rsid w:val="008553D1"/>
    <w:rsid w:val="0085698C"/>
    <w:rsid w:val="00857689"/>
    <w:rsid w:val="00860339"/>
    <w:rsid w:val="00861742"/>
    <w:rsid w:val="0086197B"/>
    <w:rsid w:val="00863B22"/>
    <w:rsid w:val="00870520"/>
    <w:rsid w:val="00870B3D"/>
    <w:rsid w:val="008718F1"/>
    <w:rsid w:val="00872473"/>
    <w:rsid w:val="008744BE"/>
    <w:rsid w:val="00880698"/>
    <w:rsid w:val="008815DD"/>
    <w:rsid w:val="00882BFF"/>
    <w:rsid w:val="00883CBD"/>
    <w:rsid w:val="00885144"/>
    <w:rsid w:val="0088664F"/>
    <w:rsid w:val="00886A62"/>
    <w:rsid w:val="00887ED8"/>
    <w:rsid w:val="008900F4"/>
    <w:rsid w:val="0089088E"/>
    <w:rsid w:val="00891FC2"/>
    <w:rsid w:val="00892297"/>
    <w:rsid w:val="00892411"/>
    <w:rsid w:val="00892805"/>
    <w:rsid w:val="00892BB4"/>
    <w:rsid w:val="00892C3C"/>
    <w:rsid w:val="00892C70"/>
    <w:rsid w:val="00892E83"/>
    <w:rsid w:val="0089682C"/>
    <w:rsid w:val="008A16AE"/>
    <w:rsid w:val="008A26A1"/>
    <w:rsid w:val="008A3040"/>
    <w:rsid w:val="008A44B1"/>
    <w:rsid w:val="008A5815"/>
    <w:rsid w:val="008B04E4"/>
    <w:rsid w:val="008B0DDE"/>
    <w:rsid w:val="008B4715"/>
    <w:rsid w:val="008B7EEF"/>
    <w:rsid w:val="008C0DFA"/>
    <w:rsid w:val="008C3308"/>
    <w:rsid w:val="008C333D"/>
    <w:rsid w:val="008D0A15"/>
    <w:rsid w:val="008D17D7"/>
    <w:rsid w:val="008D1D86"/>
    <w:rsid w:val="008D599B"/>
    <w:rsid w:val="008D64BE"/>
    <w:rsid w:val="008E0172"/>
    <w:rsid w:val="008F17EE"/>
    <w:rsid w:val="008F19A9"/>
    <w:rsid w:val="008F40EB"/>
    <w:rsid w:val="008F4C11"/>
    <w:rsid w:val="008F5465"/>
    <w:rsid w:val="008F7104"/>
    <w:rsid w:val="00900DC3"/>
    <w:rsid w:val="00907E74"/>
    <w:rsid w:val="009117ED"/>
    <w:rsid w:val="00912036"/>
    <w:rsid w:val="00912338"/>
    <w:rsid w:val="0091273F"/>
    <w:rsid w:val="009131CE"/>
    <w:rsid w:val="00913330"/>
    <w:rsid w:val="00913715"/>
    <w:rsid w:val="00913F50"/>
    <w:rsid w:val="00915414"/>
    <w:rsid w:val="009163B4"/>
    <w:rsid w:val="00916D97"/>
    <w:rsid w:val="00916FF8"/>
    <w:rsid w:val="00921732"/>
    <w:rsid w:val="0092224C"/>
    <w:rsid w:val="00922866"/>
    <w:rsid w:val="009240A3"/>
    <w:rsid w:val="009241E1"/>
    <w:rsid w:val="00924700"/>
    <w:rsid w:val="0092636D"/>
    <w:rsid w:val="00927D30"/>
    <w:rsid w:val="00930F49"/>
    <w:rsid w:val="00930F6B"/>
    <w:rsid w:val="009406B5"/>
    <w:rsid w:val="00940DC6"/>
    <w:rsid w:val="009434AA"/>
    <w:rsid w:val="00943CDC"/>
    <w:rsid w:val="00944E79"/>
    <w:rsid w:val="00946166"/>
    <w:rsid w:val="0095099F"/>
    <w:rsid w:val="0095404E"/>
    <w:rsid w:val="009544EE"/>
    <w:rsid w:val="00957C59"/>
    <w:rsid w:val="0096490F"/>
    <w:rsid w:val="009656FC"/>
    <w:rsid w:val="00965FC9"/>
    <w:rsid w:val="009672BC"/>
    <w:rsid w:val="009709F7"/>
    <w:rsid w:val="00972052"/>
    <w:rsid w:val="0097222C"/>
    <w:rsid w:val="00973ABA"/>
    <w:rsid w:val="009747C5"/>
    <w:rsid w:val="00975D16"/>
    <w:rsid w:val="00980764"/>
    <w:rsid w:val="00981CAE"/>
    <w:rsid w:val="00982387"/>
    <w:rsid w:val="00983164"/>
    <w:rsid w:val="009835BE"/>
    <w:rsid w:val="00992520"/>
    <w:rsid w:val="009963AC"/>
    <w:rsid w:val="00996B10"/>
    <w:rsid w:val="00996E08"/>
    <w:rsid w:val="009972EF"/>
    <w:rsid w:val="009972FF"/>
    <w:rsid w:val="00997CF4"/>
    <w:rsid w:val="009A261D"/>
    <w:rsid w:val="009A632B"/>
    <w:rsid w:val="009A71C6"/>
    <w:rsid w:val="009A7903"/>
    <w:rsid w:val="009B107F"/>
    <w:rsid w:val="009B14DF"/>
    <w:rsid w:val="009B25AB"/>
    <w:rsid w:val="009B33F5"/>
    <w:rsid w:val="009B427C"/>
    <w:rsid w:val="009B4600"/>
    <w:rsid w:val="009B515C"/>
    <w:rsid w:val="009B6892"/>
    <w:rsid w:val="009B7834"/>
    <w:rsid w:val="009C2492"/>
    <w:rsid w:val="009C3D83"/>
    <w:rsid w:val="009C6EAA"/>
    <w:rsid w:val="009C7490"/>
    <w:rsid w:val="009D01B0"/>
    <w:rsid w:val="009D0CBF"/>
    <w:rsid w:val="009D17EB"/>
    <w:rsid w:val="009D1A11"/>
    <w:rsid w:val="009D3EE4"/>
    <w:rsid w:val="009D6126"/>
    <w:rsid w:val="009D65FA"/>
    <w:rsid w:val="009D7B7D"/>
    <w:rsid w:val="009E32CC"/>
    <w:rsid w:val="009E33E0"/>
    <w:rsid w:val="009E52F4"/>
    <w:rsid w:val="009E6045"/>
    <w:rsid w:val="009E766E"/>
    <w:rsid w:val="009F09D3"/>
    <w:rsid w:val="009F0B3F"/>
    <w:rsid w:val="009F1347"/>
    <w:rsid w:val="009F19EA"/>
    <w:rsid w:val="009F2A34"/>
    <w:rsid w:val="009F4C5D"/>
    <w:rsid w:val="009F715E"/>
    <w:rsid w:val="00A00388"/>
    <w:rsid w:val="00A00F31"/>
    <w:rsid w:val="00A011ED"/>
    <w:rsid w:val="00A05359"/>
    <w:rsid w:val="00A05E99"/>
    <w:rsid w:val="00A06D63"/>
    <w:rsid w:val="00A078CF"/>
    <w:rsid w:val="00A10DBB"/>
    <w:rsid w:val="00A110E4"/>
    <w:rsid w:val="00A13B2B"/>
    <w:rsid w:val="00A14B2D"/>
    <w:rsid w:val="00A15E17"/>
    <w:rsid w:val="00A20218"/>
    <w:rsid w:val="00A20A05"/>
    <w:rsid w:val="00A20BA4"/>
    <w:rsid w:val="00A2256E"/>
    <w:rsid w:val="00A22E06"/>
    <w:rsid w:val="00A24563"/>
    <w:rsid w:val="00A25397"/>
    <w:rsid w:val="00A25503"/>
    <w:rsid w:val="00A26D59"/>
    <w:rsid w:val="00A273CE"/>
    <w:rsid w:val="00A30172"/>
    <w:rsid w:val="00A30C9C"/>
    <w:rsid w:val="00A32B44"/>
    <w:rsid w:val="00A3326D"/>
    <w:rsid w:val="00A333EC"/>
    <w:rsid w:val="00A353E4"/>
    <w:rsid w:val="00A35EF0"/>
    <w:rsid w:val="00A4013E"/>
    <w:rsid w:val="00A4133F"/>
    <w:rsid w:val="00A427CD"/>
    <w:rsid w:val="00A42C4F"/>
    <w:rsid w:val="00A432F7"/>
    <w:rsid w:val="00A443C6"/>
    <w:rsid w:val="00A452C2"/>
    <w:rsid w:val="00A4600B"/>
    <w:rsid w:val="00A464B5"/>
    <w:rsid w:val="00A473CF"/>
    <w:rsid w:val="00A47DFB"/>
    <w:rsid w:val="00A5007E"/>
    <w:rsid w:val="00A50EE1"/>
    <w:rsid w:val="00A532F1"/>
    <w:rsid w:val="00A53480"/>
    <w:rsid w:val="00A5357C"/>
    <w:rsid w:val="00A5599F"/>
    <w:rsid w:val="00A564CF"/>
    <w:rsid w:val="00A60985"/>
    <w:rsid w:val="00A63F80"/>
    <w:rsid w:val="00A6613A"/>
    <w:rsid w:val="00A679D3"/>
    <w:rsid w:val="00A67A81"/>
    <w:rsid w:val="00A728A3"/>
    <w:rsid w:val="00A730A6"/>
    <w:rsid w:val="00A73DB0"/>
    <w:rsid w:val="00A75AFF"/>
    <w:rsid w:val="00A75B9F"/>
    <w:rsid w:val="00A76AFB"/>
    <w:rsid w:val="00A81BC6"/>
    <w:rsid w:val="00A82343"/>
    <w:rsid w:val="00A83044"/>
    <w:rsid w:val="00A873AC"/>
    <w:rsid w:val="00A87FF7"/>
    <w:rsid w:val="00A90552"/>
    <w:rsid w:val="00A9095A"/>
    <w:rsid w:val="00A92CBF"/>
    <w:rsid w:val="00A93448"/>
    <w:rsid w:val="00A971A0"/>
    <w:rsid w:val="00AA0063"/>
    <w:rsid w:val="00AA0268"/>
    <w:rsid w:val="00AA1F22"/>
    <w:rsid w:val="00AA2F49"/>
    <w:rsid w:val="00AA45F7"/>
    <w:rsid w:val="00AA7C9A"/>
    <w:rsid w:val="00AA7D69"/>
    <w:rsid w:val="00AA7D91"/>
    <w:rsid w:val="00AA7EE5"/>
    <w:rsid w:val="00AB0630"/>
    <w:rsid w:val="00AB0670"/>
    <w:rsid w:val="00AB108A"/>
    <w:rsid w:val="00AB16B9"/>
    <w:rsid w:val="00AB23BA"/>
    <w:rsid w:val="00AB29BB"/>
    <w:rsid w:val="00AB3A85"/>
    <w:rsid w:val="00AB5F49"/>
    <w:rsid w:val="00AB7964"/>
    <w:rsid w:val="00AB7F5D"/>
    <w:rsid w:val="00AC01DD"/>
    <w:rsid w:val="00AC1C4D"/>
    <w:rsid w:val="00AC3D26"/>
    <w:rsid w:val="00AC575E"/>
    <w:rsid w:val="00AC7388"/>
    <w:rsid w:val="00AD07CF"/>
    <w:rsid w:val="00AD1583"/>
    <w:rsid w:val="00AD1FC3"/>
    <w:rsid w:val="00AD266F"/>
    <w:rsid w:val="00AD4091"/>
    <w:rsid w:val="00AD770A"/>
    <w:rsid w:val="00AE254D"/>
    <w:rsid w:val="00AE28FD"/>
    <w:rsid w:val="00AE2C5B"/>
    <w:rsid w:val="00AE443D"/>
    <w:rsid w:val="00AE6CC7"/>
    <w:rsid w:val="00AE73A9"/>
    <w:rsid w:val="00AF1017"/>
    <w:rsid w:val="00AF1BD8"/>
    <w:rsid w:val="00AF37CA"/>
    <w:rsid w:val="00AF3B21"/>
    <w:rsid w:val="00AF43A3"/>
    <w:rsid w:val="00AF4510"/>
    <w:rsid w:val="00AF4E4F"/>
    <w:rsid w:val="00AF595C"/>
    <w:rsid w:val="00AF78AD"/>
    <w:rsid w:val="00B00B83"/>
    <w:rsid w:val="00B03282"/>
    <w:rsid w:val="00B05821"/>
    <w:rsid w:val="00B05850"/>
    <w:rsid w:val="00B0697B"/>
    <w:rsid w:val="00B06AAA"/>
    <w:rsid w:val="00B1110B"/>
    <w:rsid w:val="00B11DEC"/>
    <w:rsid w:val="00B14015"/>
    <w:rsid w:val="00B15964"/>
    <w:rsid w:val="00B17684"/>
    <w:rsid w:val="00B20539"/>
    <w:rsid w:val="00B209AD"/>
    <w:rsid w:val="00B26C28"/>
    <w:rsid w:val="00B32710"/>
    <w:rsid w:val="00B33CAB"/>
    <w:rsid w:val="00B342B6"/>
    <w:rsid w:val="00B36B31"/>
    <w:rsid w:val="00B43331"/>
    <w:rsid w:val="00B453F5"/>
    <w:rsid w:val="00B45702"/>
    <w:rsid w:val="00B45956"/>
    <w:rsid w:val="00B46BF2"/>
    <w:rsid w:val="00B47B07"/>
    <w:rsid w:val="00B5089E"/>
    <w:rsid w:val="00B50E78"/>
    <w:rsid w:val="00B51B7B"/>
    <w:rsid w:val="00B53D1B"/>
    <w:rsid w:val="00B54CD7"/>
    <w:rsid w:val="00B54F74"/>
    <w:rsid w:val="00B55F4F"/>
    <w:rsid w:val="00B60E60"/>
    <w:rsid w:val="00B61691"/>
    <w:rsid w:val="00B62460"/>
    <w:rsid w:val="00B62678"/>
    <w:rsid w:val="00B6477D"/>
    <w:rsid w:val="00B67224"/>
    <w:rsid w:val="00B70ABE"/>
    <w:rsid w:val="00B718A5"/>
    <w:rsid w:val="00B71C86"/>
    <w:rsid w:val="00B7574F"/>
    <w:rsid w:val="00B824A8"/>
    <w:rsid w:val="00B82E7B"/>
    <w:rsid w:val="00B84565"/>
    <w:rsid w:val="00B86457"/>
    <w:rsid w:val="00B86787"/>
    <w:rsid w:val="00B86ABB"/>
    <w:rsid w:val="00B90094"/>
    <w:rsid w:val="00B916FB"/>
    <w:rsid w:val="00B92176"/>
    <w:rsid w:val="00B937DE"/>
    <w:rsid w:val="00B93C8E"/>
    <w:rsid w:val="00B93FF7"/>
    <w:rsid w:val="00B976CC"/>
    <w:rsid w:val="00BA0B53"/>
    <w:rsid w:val="00BA180D"/>
    <w:rsid w:val="00BA2625"/>
    <w:rsid w:val="00BA70EF"/>
    <w:rsid w:val="00BB12D6"/>
    <w:rsid w:val="00BB3F92"/>
    <w:rsid w:val="00BB618E"/>
    <w:rsid w:val="00BB6F72"/>
    <w:rsid w:val="00BB6FFB"/>
    <w:rsid w:val="00BB756E"/>
    <w:rsid w:val="00BB7664"/>
    <w:rsid w:val="00BC0CB9"/>
    <w:rsid w:val="00BC3246"/>
    <w:rsid w:val="00BC53B5"/>
    <w:rsid w:val="00BC65D0"/>
    <w:rsid w:val="00BD1533"/>
    <w:rsid w:val="00BD3930"/>
    <w:rsid w:val="00BD4980"/>
    <w:rsid w:val="00BE4E10"/>
    <w:rsid w:val="00BE5762"/>
    <w:rsid w:val="00BF0254"/>
    <w:rsid w:val="00BF0260"/>
    <w:rsid w:val="00BF0378"/>
    <w:rsid w:val="00BF161C"/>
    <w:rsid w:val="00BF195C"/>
    <w:rsid w:val="00BF2CE5"/>
    <w:rsid w:val="00BF549F"/>
    <w:rsid w:val="00BF60C8"/>
    <w:rsid w:val="00BF7B77"/>
    <w:rsid w:val="00C0061A"/>
    <w:rsid w:val="00C01A29"/>
    <w:rsid w:val="00C01F17"/>
    <w:rsid w:val="00C03F43"/>
    <w:rsid w:val="00C04BFB"/>
    <w:rsid w:val="00C06095"/>
    <w:rsid w:val="00C10AFC"/>
    <w:rsid w:val="00C10FD8"/>
    <w:rsid w:val="00C12A06"/>
    <w:rsid w:val="00C1379C"/>
    <w:rsid w:val="00C137FD"/>
    <w:rsid w:val="00C216BF"/>
    <w:rsid w:val="00C2540C"/>
    <w:rsid w:val="00C25FD2"/>
    <w:rsid w:val="00C275B9"/>
    <w:rsid w:val="00C27745"/>
    <w:rsid w:val="00C30B6B"/>
    <w:rsid w:val="00C312AC"/>
    <w:rsid w:val="00C31425"/>
    <w:rsid w:val="00C32806"/>
    <w:rsid w:val="00C32AF2"/>
    <w:rsid w:val="00C32B21"/>
    <w:rsid w:val="00C347DE"/>
    <w:rsid w:val="00C3578A"/>
    <w:rsid w:val="00C37D2E"/>
    <w:rsid w:val="00C40B7E"/>
    <w:rsid w:val="00C42125"/>
    <w:rsid w:val="00C4394C"/>
    <w:rsid w:val="00C452C6"/>
    <w:rsid w:val="00C46B50"/>
    <w:rsid w:val="00C47AA3"/>
    <w:rsid w:val="00C47B45"/>
    <w:rsid w:val="00C47C60"/>
    <w:rsid w:val="00C50423"/>
    <w:rsid w:val="00C57F63"/>
    <w:rsid w:val="00C61D35"/>
    <w:rsid w:val="00C62334"/>
    <w:rsid w:val="00C62814"/>
    <w:rsid w:val="00C702D7"/>
    <w:rsid w:val="00C707AC"/>
    <w:rsid w:val="00C70818"/>
    <w:rsid w:val="00C72367"/>
    <w:rsid w:val="00C73707"/>
    <w:rsid w:val="00C7414B"/>
    <w:rsid w:val="00C74601"/>
    <w:rsid w:val="00C74937"/>
    <w:rsid w:val="00C76623"/>
    <w:rsid w:val="00C83B03"/>
    <w:rsid w:val="00C850C0"/>
    <w:rsid w:val="00C87B1C"/>
    <w:rsid w:val="00C87E86"/>
    <w:rsid w:val="00C9045D"/>
    <w:rsid w:val="00C90E6B"/>
    <w:rsid w:val="00C91CA9"/>
    <w:rsid w:val="00C93065"/>
    <w:rsid w:val="00C9460E"/>
    <w:rsid w:val="00C947CF"/>
    <w:rsid w:val="00C947F7"/>
    <w:rsid w:val="00C95705"/>
    <w:rsid w:val="00C96266"/>
    <w:rsid w:val="00CA1AF9"/>
    <w:rsid w:val="00CA1F32"/>
    <w:rsid w:val="00CA349F"/>
    <w:rsid w:val="00CA3581"/>
    <w:rsid w:val="00CA4C42"/>
    <w:rsid w:val="00CA5053"/>
    <w:rsid w:val="00CA766F"/>
    <w:rsid w:val="00CB3E7F"/>
    <w:rsid w:val="00CB5CDF"/>
    <w:rsid w:val="00CC0497"/>
    <w:rsid w:val="00CC25F6"/>
    <w:rsid w:val="00CC3990"/>
    <w:rsid w:val="00CC7320"/>
    <w:rsid w:val="00CD0B82"/>
    <w:rsid w:val="00CD18D9"/>
    <w:rsid w:val="00CD1F69"/>
    <w:rsid w:val="00CD3902"/>
    <w:rsid w:val="00CD722F"/>
    <w:rsid w:val="00CE0AA7"/>
    <w:rsid w:val="00CE184F"/>
    <w:rsid w:val="00CE2FB5"/>
    <w:rsid w:val="00CE4796"/>
    <w:rsid w:val="00CF0D02"/>
    <w:rsid w:val="00D012C1"/>
    <w:rsid w:val="00D01F22"/>
    <w:rsid w:val="00D02989"/>
    <w:rsid w:val="00D03328"/>
    <w:rsid w:val="00D04024"/>
    <w:rsid w:val="00D046E9"/>
    <w:rsid w:val="00D0482E"/>
    <w:rsid w:val="00D05771"/>
    <w:rsid w:val="00D0734F"/>
    <w:rsid w:val="00D143B6"/>
    <w:rsid w:val="00D159F4"/>
    <w:rsid w:val="00D17822"/>
    <w:rsid w:val="00D21736"/>
    <w:rsid w:val="00D222E4"/>
    <w:rsid w:val="00D22E86"/>
    <w:rsid w:val="00D22FCD"/>
    <w:rsid w:val="00D23B06"/>
    <w:rsid w:val="00D267BF"/>
    <w:rsid w:val="00D26882"/>
    <w:rsid w:val="00D307E6"/>
    <w:rsid w:val="00D3488B"/>
    <w:rsid w:val="00D3506E"/>
    <w:rsid w:val="00D37302"/>
    <w:rsid w:val="00D4083D"/>
    <w:rsid w:val="00D41874"/>
    <w:rsid w:val="00D421B6"/>
    <w:rsid w:val="00D42C74"/>
    <w:rsid w:val="00D4463A"/>
    <w:rsid w:val="00D53313"/>
    <w:rsid w:val="00D540AC"/>
    <w:rsid w:val="00D548F7"/>
    <w:rsid w:val="00D55982"/>
    <w:rsid w:val="00D5713F"/>
    <w:rsid w:val="00D57FD6"/>
    <w:rsid w:val="00D610F3"/>
    <w:rsid w:val="00D64DB0"/>
    <w:rsid w:val="00D66202"/>
    <w:rsid w:val="00D66A56"/>
    <w:rsid w:val="00D6785B"/>
    <w:rsid w:val="00D70A20"/>
    <w:rsid w:val="00D7478A"/>
    <w:rsid w:val="00D76066"/>
    <w:rsid w:val="00D80AFD"/>
    <w:rsid w:val="00D812F4"/>
    <w:rsid w:val="00D82E09"/>
    <w:rsid w:val="00D84DD3"/>
    <w:rsid w:val="00D85163"/>
    <w:rsid w:val="00D87B98"/>
    <w:rsid w:val="00D912DE"/>
    <w:rsid w:val="00D91BAB"/>
    <w:rsid w:val="00D929D8"/>
    <w:rsid w:val="00D9619F"/>
    <w:rsid w:val="00D96FCF"/>
    <w:rsid w:val="00DA14AC"/>
    <w:rsid w:val="00DA1D33"/>
    <w:rsid w:val="00DA3188"/>
    <w:rsid w:val="00DA3754"/>
    <w:rsid w:val="00DA7AE3"/>
    <w:rsid w:val="00DB1236"/>
    <w:rsid w:val="00DB33F7"/>
    <w:rsid w:val="00DB38A7"/>
    <w:rsid w:val="00DB44DA"/>
    <w:rsid w:val="00DB6A6A"/>
    <w:rsid w:val="00DB7B90"/>
    <w:rsid w:val="00DC00BB"/>
    <w:rsid w:val="00DC2037"/>
    <w:rsid w:val="00DC2D11"/>
    <w:rsid w:val="00DC7B19"/>
    <w:rsid w:val="00DD0809"/>
    <w:rsid w:val="00DD0A2C"/>
    <w:rsid w:val="00DD10BA"/>
    <w:rsid w:val="00DD19A0"/>
    <w:rsid w:val="00DD3A46"/>
    <w:rsid w:val="00DD4CC2"/>
    <w:rsid w:val="00DD661F"/>
    <w:rsid w:val="00DD6F83"/>
    <w:rsid w:val="00DD71E6"/>
    <w:rsid w:val="00DD79A0"/>
    <w:rsid w:val="00DE2541"/>
    <w:rsid w:val="00DE3062"/>
    <w:rsid w:val="00DE76C5"/>
    <w:rsid w:val="00DF0109"/>
    <w:rsid w:val="00DF1597"/>
    <w:rsid w:val="00DF1976"/>
    <w:rsid w:val="00DF245D"/>
    <w:rsid w:val="00DF729A"/>
    <w:rsid w:val="00DF7996"/>
    <w:rsid w:val="00E0357F"/>
    <w:rsid w:val="00E11396"/>
    <w:rsid w:val="00E11E74"/>
    <w:rsid w:val="00E1273A"/>
    <w:rsid w:val="00E1406C"/>
    <w:rsid w:val="00E146E8"/>
    <w:rsid w:val="00E15BFE"/>
    <w:rsid w:val="00E16410"/>
    <w:rsid w:val="00E169E1"/>
    <w:rsid w:val="00E16D54"/>
    <w:rsid w:val="00E17285"/>
    <w:rsid w:val="00E17D0D"/>
    <w:rsid w:val="00E204DD"/>
    <w:rsid w:val="00E236D2"/>
    <w:rsid w:val="00E23CB5"/>
    <w:rsid w:val="00E23E56"/>
    <w:rsid w:val="00E34147"/>
    <w:rsid w:val="00E34173"/>
    <w:rsid w:val="00E35A1E"/>
    <w:rsid w:val="00E4383E"/>
    <w:rsid w:val="00E46335"/>
    <w:rsid w:val="00E46A28"/>
    <w:rsid w:val="00E478CB"/>
    <w:rsid w:val="00E47CE3"/>
    <w:rsid w:val="00E50C37"/>
    <w:rsid w:val="00E5117A"/>
    <w:rsid w:val="00E51E59"/>
    <w:rsid w:val="00E52741"/>
    <w:rsid w:val="00E5278C"/>
    <w:rsid w:val="00E52872"/>
    <w:rsid w:val="00E53C24"/>
    <w:rsid w:val="00E541E7"/>
    <w:rsid w:val="00E54E37"/>
    <w:rsid w:val="00E56035"/>
    <w:rsid w:val="00E56BF8"/>
    <w:rsid w:val="00E62E87"/>
    <w:rsid w:val="00E658EB"/>
    <w:rsid w:val="00E668E0"/>
    <w:rsid w:val="00E735BF"/>
    <w:rsid w:val="00E737AB"/>
    <w:rsid w:val="00E74FC3"/>
    <w:rsid w:val="00E8191C"/>
    <w:rsid w:val="00E8253B"/>
    <w:rsid w:val="00E93141"/>
    <w:rsid w:val="00E938B4"/>
    <w:rsid w:val="00E947C2"/>
    <w:rsid w:val="00E95A3A"/>
    <w:rsid w:val="00E966E5"/>
    <w:rsid w:val="00E96B79"/>
    <w:rsid w:val="00E972E1"/>
    <w:rsid w:val="00EA1EE0"/>
    <w:rsid w:val="00EA2914"/>
    <w:rsid w:val="00EA52B8"/>
    <w:rsid w:val="00EA5718"/>
    <w:rsid w:val="00EA6E11"/>
    <w:rsid w:val="00EA6E5F"/>
    <w:rsid w:val="00EA7882"/>
    <w:rsid w:val="00EB058D"/>
    <w:rsid w:val="00EB098E"/>
    <w:rsid w:val="00EB0C38"/>
    <w:rsid w:val="00EB444D"/>
    <w:rsid w:val="00EB44B1"/>
    <w:rsid w:val="00EB469E"/>
    <w:rsid w:val="00EB7269"/>
    <w:rsid w:val="00EB7732"/>
    <w:rsid w:val="00EC07B5"/>
    <w:rsid w:val="00EC0DD4"/>
    <w:rsid w:val="00EC27A5"/>
    <w:rsid w:val="00EC4092"/>
    <w:rsid w:val="00EC6115"/>
    <w:rsid w:val="00EC756A"/>
    <w:rsid w:val="00ED2A94"/>
    <w:rsid w:val="00ED5F00"/>
    <w:rsid w:val="00ED6D1A"/>
    <w:rsid w:val="00EE1DCC"/>
    <w:rsid w:val="00EE21EC"/>
    <w:rsid w:val="00EE57E0"/>
    <w:rsid w:val="00EE7167"/>
    <w:rsid w:val="00EF027D"/>
    <w:rsid w:val="00EF0FB8"/>
    <w:rsid w:val="00EF21B1"/>
    <w:rsid w:val="00EF64A1"/>
    <w:rsid w:val="00EF6F6B"/>
    <w:rsid w:val="00EF7449"/>
    <w:rsid w:val="00F00EFD"/>
    <w:rsid w:val="00F01E82"/>
    <w:rsid w:val="00F02294"/>
    <w:rsid w:val="00F026A0"/>
    <w:rsid w:val="00F03EA0"/>
    <w:rsid w:val="00F075D9"/>
    <w:rsid w:val="00F078A8"/>
    <w:rsid w:val="00F10534"/>
    <w:rsid w:val="00F10A1A"/>
    <w:rsid w:val="00F113A2"/>
    <w:rsid w:val="00F11CD1"/>
    <w:rsid w:val="00F1311A"/>
    <w:rsid w:val="00F15F13"/>
    <w:rsid w:val="00F1621F"/>
    <w:rsid w:val="00F162FD"/>
    <w:rsid w:val="00F17CD3"/>
    <w:rsid w:val="00F203BB"/>
    <w:rsid w:val="00F21A73"/>
    <w:rsid w:val="00F2355E"/>
    <w:rsid w:val="00F23EF4"/>
    <w:rsid w:val="00F25066"/>
    <w:rsid w:val="00F2620E"/>
    <w:rsid w:val="00F267D5"/>
    <w:rsid w:val="00F3480A"/>
    <w:rsid w:val="00F35F57"/>
    <w:rsid w:val="00F36497"/>
    <w:rsid w:val="00F40B83"/>
    <w:rsid w:val="00F414F2"/>
    <w:rsid w:val="00F41553"/>
    <w:rsid w:val="00F41C00"/>
    <w:rsid w:val="00F433F4"/>
    <w:rsid w:val="00F43A2E"/>
    <w:rsid w:val="00F452FA"/>
    <w:rsid w:val="00F45D65"/>
    <w:rsid w:val="00F47BD2"/>
    <w:rsid w:val="00F50467"/>
    <w:rsid w:val="00F52498"/>
    <w:rsid w:val="00F53263"/>
    <w:rsid w:val="00F540A6"/>
    <w:rsid w:val="00F55402"/>
    <w:rsid w:val="00F5657D"/>
    <w:rsid w:val="00F5693F"/>
    <w:rsid w:val="00F57AC3"/>
    <w:rsid w:val="00F60347"/>
    <w:rsid w:val="00F60F9B"/>
    <w:rsid w:val="00F63FBD"/>
    <w:rsid w:val="00F65717"/>
    <w:rsid w:val="00F673D4"/>
    <w:rsid w:val="00F70513"/>
    <w:rsid w:val="00F70937"/>
    <w:rsid w:val="00F72C99"/>
    <w:rsid w:val="00F72D33"/>
    <w:rsid w:val="00F76168"/>
    <w:rsid w:val="00F85232"/>
    <w:rsid w:val="00F85393"/>
    <w:rsid w:val="00F855CC"/>
    <w:rsid w:val="00F85DDF"/>
    <w:rsid w:val="00F86979"/>
    <w:rsid w:val="00F87B7C"/>
    <w:rsid w:val="00F90CF9"/>
    <w:rsid w:val="00F90EEB"/>
    <w:rsid w:val="00F915C8"/>
    <w:rsid w:val="00F92DBD"/>
    <w:rsid w:val="00F95828"/>
    <w:rsid w:val="00F95E2B"/>
    <w:rsid w:val="00FA0F87"/>
    <w:rsid w:val="00FA2E6D"/>
    <w:rsid w:val="00FA3D1A"/>
    <w:rsid w:val="00FA75F5"/>
    <w:rsid w:val="00FB2833"/>
    <w:rsid w:val="00FB65BC"/>
    <w:rsid w:val="00FB7AB6"/>
    <w:rsid w:val="00FC1D0C"/>
    <w:rsid w:val="00FC1E53"/>
    <w:rsid w:val="00FC2A2A"/>
    <w:rsid w:val="00FC35DC"/>
    <w:rsid w:val="00FC371E"/>
    <w:rsid w:val="00FC427B"/>
    <w:rsid w:val="00FC4C72"/>
    <w:rsid w:val="00FC5280"/>
    <w:rsid w:val="00FC6408"/>
    <w:rsid w:val="00FC65C7"/>
    <w:rsid w:val="00FD00B0"/>
    <w:rsid w:val="00FD0AD4"/>
    <w:rsid w:val="00FD0FF7"/>
    <w:rsid w:val="00FD5B43"/>
    <w:rsid w:val="00FE07A8"/>
    <w:rsid w:val="00FE1A6F"/>
    <w:rsid w:val="00FE29C5"/>
    <w:rsid w:val="00FE5C04"/>
    <w:rsid w:val="00FE5CC7"/>
    <w:rsid w:val="00FE621E"/>
    <w:rsid w:val="00FE71B4"/>
    <w:rsid w:val="00FF266D"/>
    <w:rsid w:val="00FF339F"/>
    <w:rsid w:val="00FF36E8"/>
    <w:rsid w:val="00FF4546"/>
    <w:rsid w:val="00FF4CAE"/>
    <w:rsid w:val="00FF53CA"/>
    <w:rsid w:val="00FF6B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5C6B"/>
  <w15:chartTrackingRefBased/>
  <w15:docId w15:val="{507786D5-136D-499A-8277-4116C58F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qFormat="1"/>
    <w:lsdException w:name="index 3" w:semiHidden="1" w:uiPriority="0"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EE5"/>
    <w:pPr>
      <w:tabs>
        <w:tab w:val="left" w:pos="794"/>
        <w:tab w:val="left" w:pos="1191"/>
        <w:tab w:val="left" w:pos="1588"/>
        <w:tab w:val="left" w:pos="1985"/>
      </w:tabs>
      <w:overflowPunct w:val="0"/>
      <w:autoSpaceDE w:val="0"/>
      <w:autoSpaceDN w:val="0"/>
      <w:adjustRightInd w:val="0"/>
      <w:spacing w:before="120" w:after="0" w:line="240" w:lineRule="auto"/>
      <w:jc w:val="both"/>
      <w:textAlignment w:val="baseline"/>
    </w:pPr>
    <w:rPr>
      <w:rFonts w:ascii="Times New Roman" w:eastAsia="Times New Roman" w:hAnsi="Times New Roman" w:cs="Times New Roman"/>
      <w:sz w:val="24"/>
      <w:szCs w:val="20"/>
      <w:lang w:val="en-GB" w:eastAsia="en-US"/>
    </w:rPr>
  </w:style>
  <w:style w:type="paragraph" w:styleId="Heading1">
    <w:name w:val="heading 1"/>
    <w:basedOn w:val="Normal"/>
    <w:next w:val="Normal"/>
    <w:link w:val="Heading1Char"/>
    <w:qFormat/>
    <w:rsid w:val="00AA7EE5"/>
    <w:pPr>
      <w:keepNext/>
      <w:keepLines/>
      <w:spacing w:before="360"/>
      <w:ind w:left="794" w:hanging="794"/>
      <w:jc w:val="left"/>
      <w:outlineLvl w:val="0"/>
    </w:pPr>
    <w:rPr>
      <w:b/>
    </w:rPr>
  </w:style>
  <w:style w:type="paragraph" w:styleId="Heading2">
    <w:name w:val="heading 2"/>
    <w:basedOn w:val="Heading1"/>
    <w:next w:val="Normal"/>
    <w:link w:val="Heading2Char"/>
    <w:qFormat/>
    <w:rsid w:val="00AA7EE5"/>
    <w:pPr>
      <w:spacing w:before="240"/>
      <w:outlineLvl w:val="1"/>
    </w:pPr>
  </w:style>
  <w:style w:type="paragraph" w:styleId="Heading3">
    <w:name w:val="heading 3"/>
    <w:basedOn w:val="Heading1"/>
    <w:next w:val="Normal"/>
    <w:link w:val="Heading3Char"/>
    <w:qFormat/>
    <w:rsid w:val="00AA7EE5"/>
    <w:pPr>
      <w:spacing w:before="160"/>
      <w:outlineLvl w:val="2"/>
    </w:pPr>
  </w:style>
  <w:style w:type="paragraph" w:styleId="Heading4">
    <w:name w:val="heading 4"/>
    <w:basedOn w:val="Heading3"/>
    <w:next w:val="Normal"/>
    <w:link w:val="Heading4Char"/>
    <w:qFormat/>
    <w:rsid w:val="00AA7EE5"/>
    <w:pPr>
      <w:tabs>
        <w:tab w:val="clear" w:pos="794"/>
        <w:tab w:val="left" w:pos="1021"/>
      </w:tabs>
      <w:ind w:left="1021" w:hanging="1021"/>
      <w:outlineLvl w:val="3"/>
    </w:pPr>
  </w:style>
  <w:style w:type="paragraph" w:styleId="Heading5">
    <w:name w:val="heading 5"/>
    <w:basedOn w:val="Heading4"/>
    <w:next w:val="Normal"/>
    <w:link w:val="Heading5Char"/>
    <w:qFormat/>
    <w:rsid w:val="00AA7EE5"/>
    <w:pPr>
      <w:outlineLvl w:val="4"/>
    </w:pPr>
  </w:style>
  <w:style w:type="paragraph" w:styleId="Heading6">
    <w:name w:val="heading 6"/>
    <w:basedOn w:val="Heading4"/>
    <w:next w:val="Normal"/>
    <w:link w:val="Heading6Char"/>
    <w:qFormat/>
    <w:rsid w:val="00AA7EE5"/>
    <w:pPr>
      <w:tabs>
        <w:tab w:val="clear" w:pos="1021"/>
        <w:tab w:val="clear" w:pos="1191"/>
      </w:tabs>
      <w:ind w:left="1588" w:hanging="1588"/>
      <w:outlineLvl w:val="5"/>
    </w:pPr>
  </w:style>
  <w:style w:type="paragraph" w:styleId="Heading7">
    <w:name w:val="heading 7"/>
    <w:basedOn w:val="Heading6"/>
    <w:next w:val="Normal"/>
    <w:link w:val="Heading7Char"/>
    <w:qFormat/>
    <w:rsid w:val="00AA7EE5"/>
    <w:pPr>
      <w:outlineLvl w:val="6"/>
    </w:pPr>
  </w:style>
  <w:style w:type="paragraph" w:styleId="Heading8">
    <w:name w:val="heading 8"/>
    <w:basedOn w:val="Heading6"/>
    <w:next w:val="Normal"/>
    <w:link w:val="Heading8Char"/>
    <w:qFormat/>
    <w:rsid w:val="00AA7EE5"/>
    <w:pPr>
      <w:outlineLvl w:val="7"/>
    </w:pPr>
  </w:style>
  <w:style w:type="paragraph" w:styleId="Heading9">
    <w:name w:val="heading 9"/>
    <w:basedOn w:val="Heading6"/>
    <w:next w:val="Normal"/>
    <w:link w:val="Heading9Char"/>
    <w:qFormat/>
    <w:rsid w:val="00AA7EE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A25503"/>
    <w:rPr>
      <w:rFonts w:ascii="Times New Roman" w:hAnsi="Times New Roman"/>
      <w:color w:val="808080"/>
    </w:rPr>
  </w:style>
  <w:style w:type="paragraph" w:customStyle="1" w:styleId="AnnexNotitle">
    <w:name w:val="Annex_No &amp; title"/>
    <w:basedOn w:val="Normal"/>
    <w:next w:val="Normal"/>
    <w:rsid w:val="00AA7EE5"/>
    <w:pPr>
      <w:keepNext/>
      <w:keepLines/>
      <w:spacing w:before="480"/>
      <w:jc w:val="center"/>
    </w:pPr>
    <w:rPr>
      <w:b/>
      <w:sz w:val="28"/>
    </w:rPr>
  </w:style>
  <w:style w:type="paragraph" w:customStyle="1" w:styleId="AppendixNotitle">
    <w:name w:val="Appendix_No &amp; title"/>
    <w:basedOn w:val="AnnexNotitle"/>
    <w:next w:val="Normal"/>
    <w:rsid w:val="00AA7EE5"/>
  </w:style>
  <w:style w:type="paragraph" w:customStyle="1" w:styleId="CorrectionSeparatorBegin">
    <w:name w:val="Correction Separator Begin"/>
    <w:basedOn w:val="Normal"/>
    <w:rsid w:val="00FD0FF7"/>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rsid w:val="00FD0FF7"/>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AA7EE5"/>
    <w:pPr>
      <w:keepNext/>
      <w:keepLines/>
      <w:spacing w:before="240" w:after="120"/>
      <w:jc w:val="center"/>
    </w:pPr>
  </w:style>
  <w:style w:type="paragraph" w:customStyle="1" w:styleId="FigureNotitle0">
    <w:name w:val="Figure_No &amp; title"/>
    <w:basedOn w:val="Normal"/>
    <w:next w:val="Normal"/>
    <w:qFormat/>
    <w:rsid w:val="00AA7EE5"/>
    <w:pPr>
      <w:keepLines/>
      <w:spacing w:before="240" w:after="120"/>
      <w:jc w:val="center"/>
    </w:pPr>
    <w:rPr>
      <w:b/>
    </w:rPr>
  </w:style>
  <w:style w:type="paragraph" w:customStyle="1" w:styleId="Formal">
    <w:name w:val="Formal"/>
    <w:basedOn w:val="ASN1"/>
    <w:rsid w:val="00AA7EE5"/>
    <w:rPr>
      <w:b w:val="0"/>
    </w:rPr>
  </w:style>
  <w:style w:type="paragraph" w:customStyle="1" w:styleId="Headingb">
    <w:name w:val="Heading_b"/>
    <w:basedOn w:val="Normal"/>
    <w:next w:val="Normal"/>
    <w:rsid w:val="00AA7EE5"/>
    <w:pPr>
      <w:keepNext/>
      <w:spacing w:before="160"/>
      <w:jc w:val="left"/>
    </w:pPr>
    <w:rPr>
      <w:b/>
    </w:rPr>
  </w:style>
  <w:style w:type="paragraph" w:customStyle="1" w:styleId="Headingi">
    <w:name w:val="Heading_i"/>
    <w:basedOn w:val="Normal"/>
    <w:next w:val="Normal"/>
    <w:rsid w:val="00AA7EE5"/>
    <w:pPr>
      <w:keepNext/>
      <w:spacing w:before="160"/>
      <w:jc w:val="left"/>
    </w:pPr>
    <w:rPr>
      <w:i/>
    </w:rPr>
  </w:style>
  <w:style w:type="paragraph" w:customStyle="1" w:styleId="Headingib">
    <w:name w:val="Heading_ib"/>
    <w:basedOn w:val="Headingi"/>
    <w:next w:val="Normal"/>
    <w:qFormat/>
    <w:rsid w:val="00FD0FF7"/>
    <w:rPr>
      <w:b/>
      <w:bCs/>
    </w:rPr>
  </w:style>
  <w:style w:type="paragraph" w:customStyle="1" w:styleId="Normalbeforetable">
    <w:name w:val="Normal before table"/>
    <w:basedOn w:val="Normal"/>
    <w:qFormat/>
    <w:rsid w:val="00FD0FF7"/>
    <w:pPr>
      <w:keepNext/>
      <w:spacing w:after="120"/>
    </w:pPr>
    <w:rPr>
      <w:rFonts w:eastAsia="????"/>
    </w:rPr>
  </w:style>
  <w:style w:type="paragraph" w:customStyle="1" w:styleId="RecNo">
    <w:name w:val="Rec_No"/>
    <w:basedOn w:val="Normal"/>
    <w:next w:val="Rectitle"/>
    <w:rsid w:val="00AA7EE5"/>
    <w:pPr>
      <w:keepNext/>
      <w:keepLines/>
      <w:spacing w:before="0"/>
      <w:jc w:val="left"/>
    </w:pPr>
    <w:rPr>
      <w:b/>
      <w:sz w:val="28"/>
    </w:rPr>
  </w:style>
  <w:style w:type="paragraph" w:customStyle="1" w:styleId="Rectitle">
    <w:name w:val="Rec_title"/>
    <w:basedOn w:val="Normal"/>
    <w:next w:val="Normalaftertitle"/>
    <w:rsid w:val="00AA7EE5"/>
    <w:pPr>
      <w:keepNext/>
      <w:keepLines/>
      <w:spacing w:before="360"/>
      <w:jc w:val="center"/>
    </w:pPr>
    <w:rPr>
      <w:b/>
      <w:sz w:val="28"/>
    </w:rPr>
  </w:style>
  <w:style w:type="paragraph" w:customStyle="1" w:styleId="Reftext">
    <w:name w:val="Ref_text"/>
    <w:basedOn w:val="Normal"/>
    <w:link w:val="ReftextChar"/>
    <w:rsid w:val="00AA7EE5"/>
    <w:pPr>
      <w:ind w:left="794" w:hanging="794"/>
      <w:jc w:val="left"/>
    </w:pPr>
  </w:style>
  <w:style w:type="paragraph" w:customStyle="1" w:styleId="Tablehead">
    <w:name w:val="Table_head"/>
    <w:basedOn w:val="Normal"/>
    <w:next w:val="Tabletext"/>
    <w:rsid w:val="00AA7EE5"/>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A7EE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AA7EE5"/>
    <w:pPr>
      <w:keepNext/>
      <w:keepLines/>
      <w:spacing w:before="360" w:after="120"/>
      <w:jc w:val="center"/>
    </w:pPr>
    <w:rPr>
      <w:b/>
    </w:rPr>
  </w:style>
  <w:style w:type="paragraph" w:customStyle="1" w:styleId="Tabletext">
    <w:name w:val="Table_text"/>
    <w:basedOn w:val="Normal"/>
    <w:rsid w:val="00AA7EE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styleId="TableofFigures">
    <w:name w:val="table of figures"/>
    <w:basedOn w:val="Normal"/>
    <w:next w:val="Normal"/>
    <w:uiPriority w:val="99"/>
    <w:qFormat/>
    <w:rsid w:val="00FD0FF7"/>
    <w:pPr>
      <w:tabs>
        <w:tab w:val="right" w:leader="dot" w:pos="9639"/>
      </w:tabs>
    </w:pPr>
    <w:rPr>
      <w:rFonts w:eastAsia="MS Mincho"/>
    </w:rPr>
  </w:style>
  <w:style w:type="paragraph" w:styleId="TOC1">
    <w:name w:val="toc 1"/>
    <w:basedOn w:val="Normal"/>
    <w:uiPriority w:val="39"/>
    <w:rsid w:val="00AA7EE5"/>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2">
    <w:name w:val="toc 2"/>
    <w:basedOn w:val="TOC1"/>
    <w:uiPriority w:val="39"/>
    <w:rsid w:val="00AA7EE5"/>
    <w:pPr>
      <w:spacing w:before="80"/>
      <w:ind w:left="1531" w:hanging="851"/>
    </w:pPr>
  </w:style>
  <w:style w:type="paragraph" w:styleId="TOC3">
    <w:name w:val="toc 3"/>
    <w:basedOn w:val="TOC2"/>
    <w:rsid w:val="00AA7EE5"/>
  </w:style>
  <w:style w:type="character" w:styleId="Hyperlink">
    <w:name w:val="Hyperlink"/>
    <w:basedOn w:val="DefaultParagraphFont"/>
    <w:rsid w:val="00AA7EE5"/>
    <w:rPr>
      <w:color w:val="0000FF"/>
      <w:u w:val="single"/>
    </w:rPr>
  </w:style>
  <w:style w:type="character" w:customStyle="1" w:styleId="Heading1Char">
    <w:name w:val="Heading 1 Char"/>
    <w:link w:val="Heading1"/>
    <w:rsid w:val="00AA7EE5"/>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qFormat/>
    <w:rsid w:val="00A25503"/>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qFormat/>
    <w:rsid w:val="00A25503"/>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A25503"/>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A25503"/>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qFormat/>
    <w:rsid w:val="00A25503"/>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qFormat/>
    <w:rsid w:val="00A25503"/>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qFormat/>
    <w:rsid w:val="00A25503"/>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qFormat/>
    <w:rsid w:val="00A25503"/>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unhideWhenUsed/>
    <w:qFormat/>
    <w:rsid w:val="00FD0FF7"/>
    <w:pPr>
      <w:spacing w:before="0" w:after="200"/>
    </w:pPr>
    <w:rPr>
      <w:i/>
      <w:iCs/>
      <w:color w:val="44546A" w:themeColor="text2"/>
      <w:sz w:val="18"/>
      <w:szCs w:val="18"/>
    </w:rPr>
  </w:style>
  <w:style w:type="paragraph" w:styleId="Footer">
    <w:name w:val="footer"/>
    <w:basedOn w:val="Normal"/>
    <w:link w:val="FooterChar"/>
    <w:rsid w:val="00AA7EE5"/>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qFormat/>
    <w:rsid w:val="00F00EFD"/>
    <w:rPr>
      <w:rFonts w:ascii="Times New Roman" w:eastAsia="Times New Roman" w:hAnsi="Times New Roman" w:cs="Times New Roman"/>
      <w:caps/>
      <w:noProof/>
      <w:sz w:val="16"/>
      <w:szCs w:val="20"/>
      <w:lang w:val="en-GB" w:eastAsia="en-US"/>
    </w:rPr>
  </w:style>
  <w:style w:type="character" w:styleId="Emphasis">
    <w:name w:val="Emphasis"/>
    <w:basedOn w:val="DefaultParagraphFont"/>
    <w:uiPriority w:val="20"/>
    <w:qFormat/>
    <w:rsid w:val="00FD0FF7"/>
    <w:rPr>
      <w:i/>
      <w:iCs/>
    </w:rPr>
  </w:style>
  <w:style w:type="paragraph" w:styleId="Quote">
    <w:name w:val="Quote"/>
    <w:basedOn w:val="Normal"/>
    <w:next w:val="Normal"/>
    <w:link w:val="QuoteChar"/>
    <w:uiPriority w:val="29"/>
    <w:rsid w:val="00FD0FF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sid w:val="00A25503"/>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link w:val="enumlev1Char"/>
    <w:rsid w:val="00AA7EE5"/>
    <w:pPr>
      <w:spacing w:before="80"/>
      <w:ind w:left="794" w:hanging="794"/>
    </w:pPr>
  </w:style>
  <w:style w:type="paragraph" w:customStyle="1" w:styleId="enumlev2">
    <w:name w:val="enumlev2"/>
    <w:basedOn w:val="enumlev1"/>
    <w:rsid w:val="00AA7EE5"/>
    <w:pPr>
      <w:ind w:left="1191" w:hanging="397"/>
    </w:pPr>
  </w:style>
  <w:style w:type="paragraph" w:customStyle="1" w:styleId="enumlev3">
    <w:name w:val="enumlev3"/>
    <w:basedOn w:val="enumlev2"/>
    <w:rsid w:val="00AA7EE5"/>
    <w:pPr>
      <w:ind w:left="1588"/>
    </w:pPr>
  </w:style>
  <w:style w:type="character" w:customStyle="1" w:styleId="ReftextArial9pt">
    <w:name w:val="Ref_text Arial 9 pt"/>
    <w:qFormat/>
    <w:rsid w:val="00510920"/>
    <w:rPr>
      <w:rFonts w:ascii="Arial" w:hAnsi="Arial" w:cs="Arial"/>
      <w:sz w:val="18"/>
      <w:szCs w:val="18"/>
    </w:rPr>
  </w:style>
  <w:style w:type="paragraph" w:customStyle="1" w:styleId="Title4">
    <w:name w:val="Title 4"/>
    <w:basedOn w:val="Title3"/>
    <w:next w:val="Heading1"/>
    <w:rsid w:val="00AA7EE5"/>
    <w:rPr>
      <w:b/>
    </w:rPr>
  </w:style>
  <w:style w:type="paragraph" w:customStyle="1" w:styleId="Note">
    <w:name w:val="Note"/>
    <w:basedOn w:val="Normal"/>
    <w:link w:val="NoteChar"/>
    <w:rsid w:val="00AA7EE5"/>
    <w:pPr>
      <w:spacing w:before="80"/>
    </w:pPr>
    <w:rPr>
      <w:sz w:val="22"/>
    </w:rPr>
  </w:style>
  <w:style w:type="paragraph" w:styleId="FootnoteText">
    <w:name w:val="footnote text"/>
    <w:basedOn w:val="Note"/>
    <w:link w:val="FootnoteTextChar"/>
    <w:semiHidden/>
    <w:rsid w:val="00AA7EE5"/>
    <w:pPr>
      <w:keepLines/>
      <w:tabs>
        <w:tab w:val="left" w:pos="255"/>
      </w:tabs>
      <w:ind w:left="255" w:hanging="255"/>
    </w:pPr>
  </w:style>
  <w:style w:type="character" w:customStyle="1" w:styleId="FootnoteTextChar">
    <w:name w:val="Footnote Text Char"/>
    <w:basedOn w:val="DefaultParagraphFont"/>
    <w:link w:val="FootnoteText"/>
    <w:semiHidden/>
    <w:qFormat/>
    <w:rsid w:val="00510920"/>
    <w:rPr>
      <w:rFonts w:ascii="Times New Roman" w:eastAsia="Times New Roman" w:hAnsi="Times New Roman" w:cs="Times New Roman"/>
      <w:szCs w:val="20"/>
      <w:lang w:val="en-GB" w:eastAsia="en-US"/>
    </w:rPr>
  </w:style>
  <w:style w:type="character" w:styleId="FootnoteReference">
    <w:name w:val="footnote reference"/>
    <w:basedOn w:val="DefaultParagraphFont"/>
    <w:semiHidden/>
    <w:rsid w:val="00AA7EE5"/>
    <w:rPr>
      <w:position w:val="6"/>
      <w:sz w:val="18"/>
    </w:rPr>
  </w:style>
  <w:style w:type="paragraph" w:styleId="BalloonText">
    <w:name w:val="Balloon Text"/>
    <w:basedOn w:val="Normal"/>
    <w:link w:val="BalloonTextChar"/>
    <w:rsid w:val="00AA7EE5"/>
    <w:pPr>
      <w:spacing w:before="0"/>
    </w:pPr>
    <w:rPr>
      <w:rFonts w:ascii="Tahoma" w:hAnsi="Tahoma" w:cs="Tahoma"/>
      <w:sz w:val="16"/>
      <w:szCs w:val="16"/>
    </w:rPr>
  </w:style>
  <w:style w:type="character" w:customStyle="1" w:styleId="BalloonTextChar">
    <w:name w:val="Balloon Text Char"/>
    <w:basedOn w:val="DefaultParagraphFont"/>
    <w:link w:val="BalloonText"/>
    <w:rsid w:val="00AA7EE5"/>
    <w:rPr>
      <w:rFonts w:ascii="Tahoma" w:eastAsia="Times New Roman" w:hAnsi="Tahoma" w:cs="Tahoma"/>
      <w:sz w:val="16"/>
      <w:szCs w:val="16"/>
      <w:lang w:val="en-GB" w:eastAsia="en-US"/>
    </w:rPr>
  </w:style>
  <w:style w:type="paragraph" w:styleId="Bibliography">
    <w:name w:val="Bibliography"/>
    <w:basedOn w:val="Normal"/>
    <w:next w:val="Normal"/>
    <w:uiPriority w:val="37"/>
    <w:semiHidden/>
    <w:unhideWhenUsed/>
    <w:rsid w:val="00510920"/>
  </w:style>
  <w:style w:type="paragraph" w:styleId="BlockText">
    <w:name w:val="Block Text"/>
    <w:basedOn w:val="Normal"/>
    <w:uiPriority w:val="99"/>
    <w:semiHidden/>
    <w:unhideWhenUsed/>
    <w:qFormat/>
    <w:rsid w:val="0051092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BodyText">
    <w:name w:val="Body Text"/>
    <w:basedOn w:val="Normal"/>
    <w:link w:val="BodyTextChar"/>
    <w:uiPriority w:val="1"/>
    <w:qFormat/>
    <w:rsid w:val="00AA7EE5"/>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AA7EE5"/>
    <w:rPr>
      <w:rFonts w:ascii="Avenir Next W1G Medium" w:eastAsia="Avenir Next W1G Medium" w:hAnsi="Avenir Next W1G Medium" w:cs="Avenir Next W1G Medium"/>
      <w:b/>
      <w:bCs/>
      <w:sz w:val="48"/>
      <w:szCs w:val="48"/>
      <w:lang w:eastAsia="en-US"/>
    </w:rPr>
  </w:style>
  <w:style w:type="paragraph" w:styleId="BodyText2">
    <w:name w:val="Body Text 2"/>
    <w:basedOn w:val="Normal"/>
    <w:link w:val="BodyText2Char"/>
    <w:uiPriority w:val="99"/>
    <w:semiHidden/>
    <w:unhideWhenUsed/>
    <w:qFormat/>
    <w:rsid w:val="00510920"/>
    <w:pPr>
      <w:spacing w:after="120" w:line="480" w:lineRule="auto"/>
    </w:pPr>
  </w:style>
  <w:style w:type="character" w:customStyle="1" w:styleId="BodyText2Char">
    <w:name w:val="Body Text 2 Char"/>
    <w:basedOn w:val="DefaultParagraphFont"/>
    <w:link w:val="BodyText2"/>
    <w:uiPriority w:val="99"/>
    <w:semiHidden/>
    <w:qFormat/>
    <w:rsid w:val="00510920"/>
    <w:rPr>
      <w:rFonts w:ascii="Times New Roman" w:hAnsi="Times New Roman" w:cs="Times New Roman"/>
      <w:sz w:val="24"/>
      <w:szCs w:val="24"/>
      <w:lang w:val="en-GB" w:eastAsia="ja-JP"/>
    </w:rPr>
  </w:style>
  <w:style w:type="paragraph" w:styleId="BodyText3">
    <w:name w:val="Body Text 3"/>
    <w:basedOn w:val="Normal"/>
    <w:link w:val="BodyText3Char"/>
    <w:uiPriority w:val="99"/>
    <w:semiHidden/>
    <w:unhideWhenUsed/>
    <w:qFormat/>
    <w:rsid w:val="00510920"/>
    <w:pPr>
      <w:spacing w:after="120"/>
    </w:pPr>
    <w:rPr>
      <w:sz w:val="16"/>
      <w:szCs w:val="16"/>
    </w:rPr>
  </w:style>
  <w:style w:type="character" w:customStyle="1" w:styleId="BodyText3Char">
    <w:name w:val="Body Text 3 Char"/>
    <w:basedOn w:val="DefaultParagraphFont"/>
    <w:link w:val="BodyText3"/>
    <w:uiPriority w:val="99"/>
    <w:semiHidden/>
    <w:rsid w:val="00510920"/>
    <w:rPr>
      <w:rFonts w:ascii="Times New Roman" w:hAnsi="Times New Roman" w:cs="Times New Roman"/>
      <w:sz w:val="16"/>
      <w:szCs w:val="16"/>
      <w:lang w:val="en-GB" w:eastAsia="ja-JP"/>
    </w:rPr>
  </w:style>
  <w:style w:type="paragraph" w:styleId="BodyTextFirstIndent">
    <w:name w:val="Body Text First Indent"/>
    <w:basedOn w:val="BodyText"/>
    <w:link w:val="BodyTextFirstIndentChar"/>
    <w:uiPriority w:val="99"/>
    <w:semiHidden/>
    <w:unhideWhenUsed/>
    <w:rsid w:val="00510920"/>
    <w:pPr>
      <w:ind w:firstLine="360"/>
    </w:pPr>
  </w:style>
  <w:style w:type="character" w:customStyle="1" w:styleId="BodyTextFirstIndentChar">
    <w:name w:val="Body Text First Indent Char"/>
    <w:basedOn w:val="BodyTextChar"/>
    <w:link w:val="BodyTextFirstIndent"/>
    <w:uiPriority w:val="99"/>
    <w:semiHidden/>
    <w:qFormat/>
    <w:rsid w:val="00510920"/>
    <w:rPr>
      <w:rFonts w:ascii="Times New Roman" w:eastAsia="Avenir Next W1G Medium" w:hAnsi="Times New Roman" w:cs="Times New Roman"/>
      <w:b/>
      <w:bCs/>
      <w:sz w:val="24"/>
      <w:szCs w:val="24"/>
      <w:lang w:val="en-GB" w:eastAsia="ja-JP"/>
    </w:rPr>
  </w:style>
  <w:style w:type="paragraph" w:styleId="BodyTextIndent">
    <w:name w:val="Body Text Indent"/>
    <w:basedOn w:val="Normal"/>
    <w:link w:val="BodyTextIndentChar"/>
    <w:uiPriority w:val="99"/>
    <w:semiHidden/>
    <w:unhideWhenUsed/>
    <w:qFormat/>
    <w:rsid w:val="00510920"/>
    <w:pPr>
      <w:spacing w:after="120"/>
      <w:ind w:left="360"/>
    </w:pPr>
  </w:style>
  <w:style w:type="character" w:customStyle="1" w:styleId="BodyTextIndentChar">
    <w:name w:val="Body Text Indent Char"/>
    <w:basedOn w:val="DefaultParagraphFont"/>
    <w:link w:val="BodyTextIndent"/>
    <w:uiPriority w:val="99"/>
    <w:semiHidden/>
    <w:qFormat/>
    <w:rsid w:val="00510920"/>
    <w:rPr>
      <w:rFonts w:ascii="Times New Roman" w:hAnsi="Times New Roman"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qFormat/>
    <w:rsid w:val="00510920"/>
    <w:pPr>
      <w:spacing w:after="0"/>
      <w:ind w:firstLine="360"/>
    </w:pPr>
  </w:style>
  <w:style w:type="character" w:customStyle="1" w:styleId="BodyTextFirstIndent2Char">
    <w:name w:val="Body Text First Indent 2 Char"/>
    <w:basedOn w:val="BodyTextIndentChar"/>
    <w:link w:val="BodyTextFirstIndent2"/>
    <w:uiPriority w:val="99"/>
    <w:semiHidden/>
    <w:qFormat/>
    <w:rsid w:val="00510920"/>
    <w:rPr>
      <w:rFonts w:ascii="Times New Roman" w:hAnsi="Times New Roman" w:cs="Times New Roman"/>
      <w:sz w:val="24"/>
      <w:szCs w:val="24"/>
      <w:lang w:val="en-GB" w:eastAsia="ja-JP"/>
    </w:rPr>
  </w:style>
  <w:style w:type="paragraph" w:styleId="BodyTextIndent2">
    <w:name w:val="Body Text Indent 2"/>
    <w:basedOn w:val="Normal"/>
    <w:link w:val="BodyTextIndent2Char"/>
    <w:uiPriority w:val="99"/>
    <w:semiHidden/>
    <w:unhideWhenUsed/>
    <w:qFormat/>
    <w:rsid w:val="00510920"/>
    <w:pPr>
      <w:spacing w:after="120" w:line="480" w:lineRule="auto"/>
      <w:ind w:left="360"/>
    </w:pPr>
  </w:style>
  <w:style w:type="character" w:customStyle="1" w:styleId="BodyTextIndent2Char">
    <w:name w:val="Body Text Indent 2 Char"/>
    <w:basedOn w:val="DefaultParagraphFont"/>
    <w:link w:val="BodyTextIndent2"/>
    <w:uiPriority w:val="99"/>
    <w:semiHidden/>
    <w:qFormat/>
    <w:rsid w:val="00510920"/>
    <w:rPr>
      <w:rFonts w:ascii="Times New Roman" w:hAnsi="Times New Roman" w:cs="Times New Roman"/>
      <w:sz w:val="24"/>
      <w:szCs w:val="24"/>
      <w:lang w:val="en-GB" w:eastAsia="ja-JP"/>
    </w:rPr>
  </w:style>
  <w:style w:type="paragraph" w:styleId="BodyTextIndent3">
    <w:name w:val="Body Text Indent 3"/>
    <w:basedOn w:val="Normal"/>
    <w:link w:val="BodyTextIndent3Char"/>
    <w:uiPriority w:val="99"/>
    <w:semiHidden/>
    <w:unhideWhenUsed/>
    <w:qFormat/>
    <w:rsid w:val="00510920"/>
    <w:pPr>
      <w:spacing w:after="120"/>
      <w:ind w:left="360"/>
    </w:pPr>
    <w:rPr>
      <w:sz w:val="16"/>
      <w:szCs w:val="16"/>
    </w:rPr>
  </w:style>
  <w:style w:type="character" w:customStyle="1" w:styleId="BodyTextIndent3Char">
    <w:name w:val="Body Text Indent 3 Char"/>
    <w:basedOn w:val="DefaultParagraphFont"/>
    <w:link w:val="BodyTextIndent3"/>
    <w:uiPriority w:val="99"/>
    <w:semiHidden/>
    <w:qFormat/>
    <w:rsid w:val="00510920"/>
    <w:rPr>
      <w:rFonts w:ascii="Times New Roman" w:hAnsi="Times New Roman" w:cs="Times New Roman"/>
      <w:sz w:val="16"/>
      <w:szCs w:val="16"/>
      <w:lang w:val="en-GB" w:eastAsia="ja-JP"/>
    </w:rPr>
  </w:style>
  <w:style w:type="character" w:styleId="BookTitle">
    <w:name w:val="Book Title"/>
    <w:basedOn w:val="DefaultParagraphFont"/>
    <w:uiPriority w:val="33"/>
    <w:rsid w:val="00510920"/>
    <w:rPr>
      <w:b/>
      <w:bCs/>
      <w:i/>
      <w:iCs/>
      <w:spacing w:val="5"/>
    </w:rPr>
  </w:style>
  <w:style w:type="paragraph" w:styleId="Closing">
    <w:name w:val="Closing"/>
    <w:basedOn w:val="Normal"/>
    <w:link w:val="ClosingChar"/>
    <w:uiPriority w:val="99"/>
    <w:semiHidden/>
    <w:unhideWhenUsed/>
    <w:qFormat/>
    <w:rsid w:val="00510920"/>
    <w:pPr>
      <w:spacing w:before="0"/>
      <w:ind w:left="4320"/>
    </w:pPr>
  </w:style>
  <w:style w:type="character" w:customStyle="1" w:styleId="ClosingChar">
    <w:name w:val="Closing Char"/>
    <w:basedOn w:val="DefaultParagraphFont"/>
    <w:link w:val="Closing"/>
    <w:uiPriority w:val="99"/>
    <w:semiHidden/>
    <w:qFormat/>
    <w:rsid w:val="00510920"/>
    <w:rPr>
      <w:rFonts w:ascii="Times New Roman" w:hAnsi="Times New Roman" w:cs="Times New Roman"/>
      <w:sz w:val="24"/>
      <w:szCs w:val="24"/>
      <w:lang w:val="en-GB" w:eastAsia="ja-JP"/>
    </w:rPr>
  </w:style>
  <w:style w:type="character" w:styleId="CommentReference">
    <w:name w:val="annotation reference"/>
    <w:basedOn w:val="DefaultParagraphFont"/>
    <w:semiHidden/>
    <w:rsid w:val="00AA7EE5"/>
    <w:rPr>
      <w:sz w:val="16"/>
      <w:szCs w:val="16"/>
    </w:rPr>
  </w:style>
  <w:style w:type="paragraph" w:styleId="CommentText">
    <w:name w:val="annotation text"/>
    <w:basedOn w:val="Normal"/>
    <w:link w:val="CommentTextChar"/>
    <w:rsid w:val="00AA7EE5"/>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
    <w:name w:val="Comment Text Char"/>
    <w:basedOn w:val="DefaultParagraphFont"/>
    <w:link w:val="CommentText"/>
    <w:qFormat/>
    <w:rsid w:val="00510920"/>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qFormat/>
    <w:rsid w:val="00FD0FF7"/>
    <w:rPr>
      <w:b/>
      <w:bCs/>
    </w:rPr>
  </w:style>
  <w:style w:type="character" w:customStyle="1" w:styleId="CommentSubjectChar">
    <w:name w:val="Comment Subject Char"/>
    <w:basedOn w:val="CommentTextChar"/>
    <w:link w:val="CommentSubject"/>
    <w:uiPriority w:val="99"/>
    <w:semiHidden/>
    <w:rsid w:val="00510920"/>
    <w:rPr>
      <w:rFonts w:ascii="Times New Roman" w:eastAsia="Times New Roman" w:hAnsi="Times New Roman" w:cs="Times New Roman"/>
      <w:b/>
      <w:bCs/>
      <w:sz w:val="20"/>
      <w:szCs w:val="20"/>
      <w:lang w:val="en-GB" w:eastAsia="ja-JP"/>
    </w:rPr>
  </w:style>
  <w:style w:type="paragraph" w:styleId="Date">
    <w:name w:val="Date"/>
    <w:basedOn w:val="Normal"/>
    <w:next w:val="Normal"/>
    <w:link w:val="DateChar"/>
    <w:uiPriority w:val="99"/>
    <w:semiHidden/>
    <w:unhideWhenUsed/>
    <w:qFormat/>
    <w:rsid w:val="00510920"/>
  </w:style>
  <w:style w:type="character" w:customStyle="1" w:styleId="DateChar">
    <w:name w:val="Date Char"/>
    <w:basedOn w:val="DefaultParagraphFont"/>
    <w:link w:val="Date"/>
    <w:uiPriority w:val="99"/>
    <w:semiHidden/>
    <w:qFormat/>
    <w:rsid w:val="00510920"/>
    <w:rPr>
      <w:rFonts w:ascii="Times New Roman" w:hAnsi="Times New Roman" w:cs="Times New Roman"/>
      <w:sz w:val="24"/>
      <w:szCs w:val="24"/>
      <w:lang w:val="en-GB" w:eastAsia="ja-JP"/>
    </w:rPr>
  </w:style>
  <w:style w:type="paragraph" w:styleId="DocumentMap">
    <w:name w:val="Document Map"/>
    <w:basedOn w:val="Normal"/>
    <w:link w:val="DocumentMapChar"/>
    <w:uiPriority w:val="99"/>
    <w:semiHidden/>
    <w:unhideWhenUsed/>
    <w:qFormat/>
    <w:rsid w:val="00510920"/>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qFormat/>
    <w:rsid w:val="00510920"/>
    <w:rPr>
      <w:rFonts w:ascii="Segoe UI" w:hAnsi="Segoe UI" w:cs="Segoe UI"/>
      <w:sz w:val="16"/>
      <w:szCs w:val="16"/>
      <w:lang w:val="en-GB" w:eastAsia="ja-JP"/>
    </w:rPr>
  </w:style>
  <w:style w:type="paragraph" w:styleId="E-mailSignature">
    <w:name w:val="E-mail Signature"/>
    <w:basedOn w:val="Normal"/>
    <w:link w:val="E-mailSignatureChar"/>
    <w:uiPriority w:val="99"/>
    <w:semiHidden/>
    <w:unhideWhenUsed/>
    <w:qFormat/>
    <w:rsid w:val="00510920"/>
    <w:pPr>
      <w:spacing w:before="0"/>
    </w:pPr>
  </w:style>
  <w:style w:type="character" w:customStyle="1" w:styleId="E-mailSignatureChar">
    <w:name w:val="E-mail Signature Char"/>
    <w:basedOn w:val="DefaultParagraphFont"/>
    <w:link w:val="E-mailSignature"/>
    <w:uiPriority w:val="99"/>
    <w:semiHidden/>
    <w:rsid w:val="00510920"/>
    <w:rPr>
      <w:rFonts w:ascii="Times New Roman" w:hAnsi="Times New Roman" w:cs="Times New Roman"/>
      <w:sz w:val="24"/>
      <w:szCs w:val="24"/>
      <w:lang w:val="en-GB" w:eastAsia="ja-JP"/>
    </w:rPr>
  </w:style>
  <w:style w:type="character" w:styleId="EndnoteReference">
    <w:name w:val="endnote reference"/>
    <w:basedOn w:val="DefaultParagraphFont"/>
    <w:uiPriority w:val="99"/>
    <w:semiHidden/>
    <w:unhideWhenUsed/>
    <w:rsid w:val="00510920"/>
    <w:rPr>
      <w:vertAlign w:val="superscript"/>
    </w:rPr>
  </w:style>
  <w:style w:type="paragraph" w:styleId="EndnoteText">
    <w:name w:val="endnote text"/>
    <w:basedOn w:val="Normal"/>
    <w:link w:val="EndnoteTextChar"/>
    <w:uiPriority w:val="99"/>
    <w:semiHidden/>
    <w:unhideWhenUsed/>
    <w:qFormat/>
    <w:rsid w:val="00510920"/>
    <w:pPr>
      <w:spacing w:before="0"/>
    </w:pPr>
    <w:rPr>
      <w:sz w:val="20"/>
    </w:rPr>
  </w:style>
  <w:style w:type="character" w:customStyle="1" w:styleId="EndnoteTextChar">
    <w:name w:val="Endnote Text Char"/>
    <w:basedOn w:val="DefaultParagraphFont"/>
    <w:link w:val="EndnoteText"/>
    <w:uiPriority w:val="99"/>
    <w:semiHidden/>
    <w:qFormat/>
    <w:rsid w:val="00510920"/>
    <w:rPr>
      <w:rFonts w:ascii="Times New Roman" w:hAnsi="Times New Roman" w:cs="Times New Roman"/>
      <w:sz w:val="20"/>
      <w:szCs w:val="20"/>
      <w:lang w:val="en-GB" w:eastAsia="ja-JP"/>
    </w:rPr>
  </w:style>
  <w:style w:type="paragraph" w:styleId="EnvelopeAddress">
    <w:name w:val="envelope address"/>
    <w:basedOn w:val="Normal"/>
    <w:uiPriority w:val="99"/>
    <w:semiHidden/>
    <w:unhideWhenUsed/>
    <w:qFormat/>
    <w:rsid w:val="00510920"/>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qFormat/>
    <w:rsid w:val="00510920"/>
    <w:pPr>
      <w:spacing w:before="0"/>
    </w:pPr>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qFormat/>
    <w:rsid w:val="00510920"/>
    <w:rPr>
      <w:color w:val="954F72" w:themeColor="followedHyperlink"/>
      <w:u w:val="single"/>
    </w:rPr>
  </w:style>
  <w:style w:type="character" w:styleId="Hashtag">
    <w:name w:val="Hashtag"/>
    <w:basedOn w:val="DefaultParagraphFont"/>
    <w:uiPriority w:val="99"/>
    <w:semiHidden/>
    <w:unhideWhenUsed/>
    <w:rsid w:val="00510920"/>
    <w:rPr>
      <w:color w:val="2B579A"/>
      <w:shd w:val="clear" w:color="auto" w:fill="E1DFDD"/>
    </w:rPr>
  </w:style>
  <w:style w:type="character" w:styleId="HTMLAcronym">
    <w:name w:val="HTML Acronym"/>
    <w:basedOn w:val="DefaultParagraphFont"/>
    <w:uiPriority w:val="99"/>
    <w:semiHidden/>
    <w:unhideWhenUsed/>
    <w:qFormat/>
    <w:rsid w:val="00510920"/>
  </w:style>
  <w:style w:type="paragraph" w:styleId="HTMLAddress">
    <w:name w:val="HTML Address"/>
    <w:basedOn w:val="Normal"/>
    <w:link w:val="HTMLAddressChar"/>
    <w:uiPriority w:val="99"/>
    <w:semiHidden/>
    <w:unhideWhenUsed/>
    <w:qFormat/>
    <w:rsid w:val="00510920"/>
    <w:pPr>
      <w:spacing w:before="0"/>
    </w:pPr>
    <w:rPr>
      <w:i/>
      <w:iCs/>
    </w:rPr>
  </w:style>
  <w:style w:type="character" w:customStyle="1" w:styleId="HTMLAddressChar">
    <w:name w:val="HTML Address Char"/>
    <w:basedOn w:val="DefaultParagraphFont"/>
    <w:link w:val="HTMLAddress"/>
    <w:uiPriority w:val="99"/>
    <w:semiHidden/>
    <w:qFormat/>
    <w:rsid w:val="00510920"/>
    <w:rPr>
      <w:rFonts w:ascii="Times New Roman" w:hAnsi="Times New Roman" w:cs="Times New Roman"/>
      <w:i/>
      <w:iCs/>
      <w:sz w:val="24"/>
      <w:szCs w:val="24"/>
      <w:lang w:val="en-GB" w:eastAsia="ja-JP"/>
    </w:rPr>
  </w:style>
  <w:style w:type="character" w:styleId="HTMLCite">
    <w:name w:val="HTML Cite"/>
    <w:basedOn w:val="DefaultParagraphFont"/>
    <w:uiPriority w:val="99"/>
    <w:semiHidden/>
    <w:unhideWhenUsed/>
    <w:qFormat/>
    <w:rsid w:val="00510920"/>
    <w:rPr>
      <w:i/>
      <w:iCs/>
    </w:rPr>
  </w:style>
  <w:style w:type="character" w:styleId="HTMLCode">
    <w:name w:val="HTML Code"/>
    <w:basedOn w:val="DefaultParagraphFont"/>
    <w:uiPriority w:val="99"/>
    <w:semiHidden/>
    <w:unhideWhenUsed/>
    <w:qFormat/>
    <w:rsid w:val="00510920"/>
    <w:rPr>
      <w:rFonts w:ascii="Consolas" w:hAnsi="Consolas"/>
      <w:sz w:val="20"/>
      <w:szCs w:val="20"/>
    </w:rPr>
  </w:style>
  <w:style w:type="character" w:styleId="HTMLDefinition">
    <w:name w:val="HTML Definition"/>
    <w:basedOn w:val="DefaultParagraphFont"/>
    <w:uiPriority w:val="99"/>
    <w:semiHidden/>
    <w:unhideWhenUsed/>
    <w:qFormat/>
    <w:rsid w:val="00510920"/>
    <w:rPr>
      <w:i/>
      <w:iCs/>
    </w:rPr>
  </w:style>
  <w:style w:type="character" w:styleId="HTMLKeyboard">
    <w:name w:val="HTML Keyboard"/>
    <w:basedOn w:val="DefaultParagraphFont"/>
    <w:uiPriority w:val="99"/>
    <w:semiHidden/>
    <w:unhideWhenUsed/>
    <w:rsid w:val="00510920"/>
    <w:rPr>
      <w:rFonts w:ascii="Consolas" w:hAnsi="Consolas"/>
      <w:sz w:val="20"/>
      <w:szCs w:val="20"/>
    </w:rPr>
  </w:style>
  <w:style w:type="paragraph" w:styleId="HTMLPreformatted">
    <w:name w:val="HTML Preformatted"/>
    <w:basedOn w:val="Normal"/>
    <w:link w:val="HTMLPreformattedChar"/>
    <w:uiPriority w:val="99"/>
    <w:semiHidden/>
    <w:unhideWhenUsed/>
    <w:qFormat/>
    <w:rsid w:val="00510920"/>
    <w:pPr>
      <w:spacing w:before="0"/>
    </w:pPr>
    <w:rPr>
      <w:rFonts w:ascii="Consolas" w:hAnsi="Consolas"/>
      <w:sz w:val="20"/>
    </w:rPr>
  </w:style>
  <w:style w:type="character" w:customStyle="1" w:styleId="HTMLPreformattedChar">
    <w:name w:val="HTML Preformatted Char"/>
    <w:basedOn w:val="DefaultParagraphFont"/>
    <w:link w:val="HTMLPreformatted"/>
    <w:uiPriority w:val="99"/>
    <w:semiHidden/>
    <w:qFormat/>
    <w:rsid w:val="00510920"/>
    <w:rPr>
      <w:rFonts w:ascii="Consolas" w:hAnsi="Consolas" w:cs="Times New Roman"/>
      <w:sz w:val="20"/>
      <w:szCs w:val="20"/>
      <w:lang w:val="en-GB" w:eastAsia="ja-JP"/>
    </w:rPr>
  </w:style>
  <w:style w:type="character" w:styleId="HTMLSample">
    <w:name w:val="HTML Sample"/>
    <w:basedOn w:val="DefaultParagraphFont"/>
    <w:uiPriority w:val="99"/>
    <w:semiHidden/>
    <w:unhideWhenUsed/>
    <w:rsid w:val="00510920"/>
    <w:rPr>
      <w:rFonts w:ascii="Consolas" w:hAnsi="Consolas"/>
      <w:sz w:val="24"/>
      <w:szCs w:val="24"/>
    </w:rPr>
  </w:style>
  <w:style w:type="character" w:styleId="HTMLTypewriter">
    <w:name w:val="HTML Typewriter"/>
    <w:basedOn w:val="DefaultParagraphFont"/>
    <w:uiPriority w:val="99"/>
    <w:semiHidden/>
    <w:unhideWhenUsed/>
    <w:qFormat/>
    <w:rsid w:val="00510920"/>
    <w:rPr>
      <w:rFonts w:ascii="Consolas" w:hAnsi="Consolas"/>
      <w:sz w:val="20"/>
      <w:szCs w:val="20"/>
    </w:rPr>
  </w:style>
  <w:style w:type="character" w:styleId="HTMLVariable">
    <w:name w:val="HTML Variable"/>
    <w:basedOn w:val="DefaultParagraphFont"/>
    <w:uiPriority w:val="99"/>
    <w:semiHidden/>
    <w:unhideWhenUsed/>
    <w:qFormat/>
    <w:rsid w:val="00510920"/>
    <w:rPr>
      <w:i/>
      <w:iCs/>
    </w:rPr>
  </w:style>
  <w:style w:type="paragraph" w:styleId="Index1">
    <w:name w:val="index 1"/>
    <w:basedOn w:val="Normal"/>
    <w:next w:val="Normal"/>
    <w:semiHidden/>
    <w:rsid w:val="00AA7EE5"/>
    <w:pPr>
      <w:jc w:val="left"/>
    </w:pPr>
  </w:style>
  <w:style w:type="paragraph" w:styleId="Index2">
    <w:name w:val="index 2"/>
    <w:basedOn w:val="Normal"/>
    <w:next w:val="Normal"/>
    <w:semiHidden/>
    <w:rsid w:val="00AA7EE5"/>
    <w:pPr>
      <w:ind w:left="284"/>
      <w:jc w:val="left"/>
    </w:pPr>
  </w:style>
  <w:style w:type="paragraph" w:styleId="Index3">
    <w:name w:val="index 3"/>
    <w:basedOn w:val="Normal"/>
    <w:next w:val="Normal"/>
    <w:semiHidden/>
    <w:rsid w:val="00AA7EE5"/>
    <w:pPr>
      <w:ind w:left="567"/>
      <w:jc w:val="left"/>
    </w:pPr>
  </w:style>
  <w:style w:type="paragraph" w:styleId="Index4">
    <w:name w:val="index 4"/>
    <w:basedOn w:val="Normal"/>
    <w:next w:val="Normal"/>
    <w:autoRedefine/>
    <w:uiPriority w:val="99"/>
    <w:semiHidden/>
    <w:unhideWhenUsed/>
    <w:qFormat/>
    <w:rsid w:val="00510920"/>
    <w:pPr>
      <w:spacing w:before="0"/>
      <w:ind w:left="960" w:hanging="240"/>
    </w:pPr>
  </w:style>
  <w:style w:type="paragraph" w:styleId="Index5">
    <w:name w:val="index 5"/>
    <w:basedOn w:val="Normal"/>
    <w:next w:val="Normal"/>
    <w:autoRedefine/>
    <w:uiPriority w:val="99"/>
    <w:semiHidden/>
    <w:unhideWhenUsed/>
    <w:qFormat/>
    <w:rsid w:val="00510920"/>
    <w:pPr>
      <w:spacing w:before="0"/>
      <w:ind w:left="1200" w:hanging="240"/>
    </w:pPr>
  </w:style>
  <w:style w:type="paragraph" w:styleId="Index6">
    <w:name w:val="index 6"/>
    <w:basedOn w:val="Normal"/>
    <w:next w:val="Normal"/>
    <w:autoRedefine/>
    <w:uiPriority w:val="99"/>
    <w:semiHidden/>
    <w:unhideWhenUsed/>
    <w:qFormat/>
    <w:rsid w:val="00510920"/>
    <w:pPr>
      <w:spacing w:before="0"/>
      <w:ind w:left="1440" w:hanging="240"/>
    </w:pPr>
  </w:style>
  <w:style w:type="paragraph" w:styleId="Index7">
    <w:name w:val="index 7"/>
    <w:basedOn w:val="Normal"/>
    <w:next w:val="Normal"/>
    <w:autoRedefine/>
    <w:uiPriority w:val="99"/>
    <w:semiHidden/>
    <w:unhideWhenUsed/>
    <w:qFormat/>
    <w:rsid w:val="00510920"/>
    <w:pPr>
      <w:spacing w:before="0"/>
      <w:ind w:left="1680" w:hanging="240"/>
    </w:pPr>
  </w:style>
  <w:style w:type="paragraph" w:styleId="Index8">
    <w:name w:val="index 8"/>
    <w:basedOn w:val="Normal"/>
    <w:next w:val="Normal"/>
    <w:autoRedefine/>
    <w:uiPriority w:val="99"/>
    <w:semiHidden/>
    <w:unhideWhenUsed/>
    <w:qFormat/>
    <w:rsid w:val="00510920"/>
    <w:pPr>
      <w:spacing w:before="0"/>
      <w:ind w:left="1920" w:hanging="240"/>
    </w:pPr>
  </w:style>
  <w:style w:type="paragraph" w:styleId="Index9">
    <w:name w:val="index 9"/>
    <w:basedOn w:val="Normal"/>
    <w:next w:val="Normal"/>
    <w:autoRedefine/>
    <w:uiPriority w:val="99"/>
    <w:semiHidden/>
    <w:unhideWhenUsed/>
    <w:rsid w:val="00510920"/>
    <w:pPr>
      <w:spacing w:before="0"/>
      <w:ind w:left="2160" w:hanging="240"/>
    </w:pPr>
  </w:style>
  <w:style w:type="paragraph" w:styleId="IndexHeading">
    <w:name w:val="index heading"/>
    <w:basedOn w:val="Normal"/>
    <w:next w:val="Index1"/>
    <w:uiPriority w:val="99"/>
    <w:semiHidden/>
    <w:unhideWhenUsed/>
    <w:qFormat/>
    <w:rsid w:val="00510920"/>
    <w:rPr>
      <w:rFonts w:asciiTheme="majorHAnsi" w:eastAsiaTheme="majorEastAsia" w:hAnsiTheme="majorHAnsi" w:cstheme="majorBidi"/>
      <w:b/>
      <w:bCs/>
    </w:rPr>
  </w:style>
  <w:style w:type="character" w:styleId="IntenseEmphasis">
    <w:name w:val="Intense Emphasis"/>
    <w:basedOn w:val="DefaultParagraphFont"/>
    <w:uiPriority w:val="21"/>
    <w:rsid w:val="00510920"/>
    <w:rPr>
      <w:i/>
      <w:iCs/>
      <w:color w:val="5B9BD5" w:themeColor="accent1"/>
    </w:rPr>
  </w:style>
  <w:style w:type="paragraph" w:styleId="IntenseQuote">
    <w:name w:val="Intense Quote"/>
    <w:basedOn w:val="Normal"/>
    <w:next w:val="Normal"/>
    <w:link w:val="IntenseQuoteChar"/>
    <w:uiPriority w:val="30"/>
    <w:qFormat/>
    <w:rsid w:val="005109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qFormat/>
    <w:rsid w:val="00510920"/>
    <w:rPr>
      <w:rFonts w:ascii="Times New Roman" w:hAnsi="Times New Roman" w:cs="Times New Roman"/>
      <w:i/>
      <w:iCs/>
      <w:color w:val="5B9BD5" w:themeColor="accent1"/>
      <w:sz w:val="24"/>
      <w:szCs w:val="24"/>
      <w:lang w:val="en-GB" w:eastAsia="ja-JP"/>
    </w:rPr>
  </w:style>
  <w:style w:type="character" w:styleId="IntenseReference">
    <w:name w:val="Intense Reference"/>
    <w:basedOn w:val="DefaultParagraphFont"/>
    <w:uiPriority w:val="32"/>
    <w:rsid w:val="00510920"/>
    <w:rPr>
      <w:b/>
      <w:bCs/>
      <w:smallCaps/>
      <w:color w:val="5B9BD5" w:themeColor="accent1"/>
      <w:spacing w:val="5"/>
    </w:rPr>
  </w:style>
  <w:style w:type="character" w:styleId="LineNumber">
    <w:name w:val="line number"/>
    <w:basedOn w:val="DefaultParagraphFont"/>
    <w:uiPriority w:val="99"/>
    <w:semiHidden/>
    <w:unhideWhenUsed/>
    <w:qFormat/>
    <w:rsid w:val="00510920"/>
  </w:style>
  <w:style w:type="paragraph" w:styleId="List">
    <w:name w:val="List"/>
    <w:basedOn w:val="Normal"/>
    <w:uiPriority w:val="99"/>
    <w:semiHidden/>
    <w:unhideWhenUsed/>
    <w:rsid w:val="00510920"/>
    <w:pPr>
      <w:ind w:left="360" w:hanging="360"/>
      <w:contextualSpacing/>
    </w:pPr>
  </w:style>
  <w:style w:type="paragraph" w:styleId="List2">
    <w:name w:val="List 2"/>
    <w:basedOn w:val="Normal"/>
    <w:uiPriority w:val="99"/>
    <w:semiHidden/>
    <w:unhideWhenUsed/>
    <w:qFormat/>
    <w:rsid w:val="00510920"/>
    <w:pPr>
      <w:ind w:left="720" w:hanging="360"/>
      <w:contextualSpacing/>
    </w:pPr>
  </w:style>
  <w:style w:type="paragraph" w:styleId="List3">
    <w:name w:val="List 3"/>
    <w:basedOn w:val="Normal"/>
    <w:uiPriority w:val="99"/>
    <w:semiHidden/>
    <w:unhideWhenUsed/>
    <w:qFormat/>
    <w:rsid w:val="00510920"/>
    <w:pPr>
      <w:ind w:left="1080" w:hanging="360"/>
      <w:contextualSpacing/>
    </w:pPr>
  </w:style>
  <w:style w:type="paragraph" w:styleId="List4">
    <w:name w:val="List 4"/>
    <w:basedOn w:val="Normal"/>
    <w:uiPriority w:val="99"/>
    <w:semiHidden/>
    <w:unhideWhenUsed/>
    <w:qFormat/>
    <w:rsid w:val="00510920"/>
    <w:pPr>
      <w:ind w:left="1440" w:hanging="360"/>
      <w:contextualSpacing/>
    </w:pPr>
  </w:style>
  <w:style w:type="paragraph" w:styleId="List5">
    <w:name w:val="List 5"/>
    <w:basedOn w:val="Normal"/>
    <w:uiPriority w:val="99"/>
    <w:semiHidden/>
    <w:unhideWhenUsed/>
    <w:qFormat/>
    <w:rsid w:val="00510920"/>
    <w:pPr>
      <w:ind w:left="1800" w:hanging="360"/>
      <w:contextualSpacing/>
    </w:pPr>
  </w:style>
  <w:style w:type="paragraph" w:styleId="ListBullet">
    <w:name w:val="List Bullet"/>
    <w:basedOn w:val="Normal"/>
    <w:uiPriority w:val="99"/>
    <w:unhideWhenUsed/>
    <w:qFormat/>
    <w:rsid w:val="00510920"/>
    <w:pPr>
      <w:numPr>
        <w:numId w:val="1"/>
      </w:numPr>
      <w:contextualSpacing/>
    </w:pPr>
  </w:style>
  <w:style w:type="paragraph" w:styleId="ListBullet2">
    <w:name w:val="List Bullet 2"/>
    <w:basedOn w:val="Normal"/>
    <w:uiPriority w:val="99"/>
    <w:semiHidden/>
    <w:unhideWhenUsed/>
    <w:qFormat/>
    <w:rsid w:val="00510920"/>
    <w:pPr>
      <w:numPr>
        <w:numId w:val="2"/>
      </w:numPr>
      <w:contextualSpacing/>
    </w:pPr>
  </w:style>
  <w:style w:type="paragraph" w:styleId="ListBullet3">
    <w:name w:val="List Bullet 3"/>
    <w:basedOn w:val="Normal"/>
    <w:uiPriority w:val="99"/>
    <w:semiHidden/>
    <w:unhideWhenUsed/>
    <w:qFormat/>
    <w:rsid w:val="00510920"/>
    <w:pPr>
      <w:numPr>
        <w:numId w:val="3"/>
      </w:numPr>
      <w:contextualSpacing/>
    </w:pPr>
  </w:style>
  <w:style w:type="paragraph" w:styleId="ListBullet4">
    <w:name w:val="List Bullet 4"/>
    <w:basedOn w:val="Normal"/>
    <w:uiPriority w:val="99"/>
    <w:semiHidden/>
    <w:unhideWhenUsed/>
    <w:qFormat/>
    <w:rsid w:val="00510920"/>
    <w:pPr>
      <w:numPr>
        <w:numId w:val="4"/>
      </w:numPr>
      <w:contextualSpacing/>
    </w:pPr>
  </w:style>
  <w:style w:type="paragraph" w:styleId="ListBullet5">
    <w:name w:val="List Bullet 5"/>
    <w:basedOn w:val="Normal"/>
    <w:uiPriority w:val="99"/>
    <w:semiHidden/>
    <w:unhideWhenUsed/>
    <w:qFormat/>
    <w:rsid w:val="00510920"/>
    <w:pPr>
      <w:numPr>
        <w:numId w:val="5"/>
      </w:numPr>
      <w:contextualSpacing/>
    </w:pPr>
  </w:style>
  <w:style w:type="paragraph" w:styleId="ListContinue">
    <w:name w:val="List Continue"/>
    <w:basedOn w:val="Normal"/>
    <w:uiPriority w:val="99"/>
    <w:semiHidden/>
    <w:unhideWhenUsed/>
    <w:qFormat/>
    <w:rsid w:val="00510920"/>
    <w:pPr>
      <w:spacing w:after="120"/>
      <w:ind w:left="360"/>
      <w:contextualSpacing/>
    </w:pPr>
  </w:style>
  <w:style w:type="paragraph" w:styleId="ListContinue2">
    <w:name w:val="List Continue 2"/>
    <w:basedOn w:val="Normal"/>
    <w:uiPriority w:val="99"/>
    <w:semiHidden/>
    <w:unhideWhenUsed/>
    <w:qFormat/>
    <w:rsid w:val="00510920"/>
    <w:pPr>
      <w:spacing w:after="120"/>
      <w:ind w:left="720"/>
      <w:contextualSpacing/>
    </w:pPr>
  </w:style>
  <w:style w:type="paragraph" w:styleId="ListContinue3">
    <w:name w:val="List Continue 3"/>
    <w:basedOn w:val="Normal"/>
    <w:uiPriority w:val="99"/>
    <w:semiHidden/>
    <w:unhideWhenUsed/>
    <w:qFormat/>
    <w:rsid w:val="00510920"/>
    <w:pPr>
      <w:spacing w:after="120"/>
      <w:ind w:left="1080"/>
      <w:contextualSpacing/>
    </w:pPr>
  </w:style>
  <w:style w:type="paragraph" w:styleId="ListContinue4">
    <w:name w:val="List Continue 4"/>
    <w:basedOn w:val="Normal"/>
    <w:uiPriority w:val="99"/>
    <w:semiHidden/>
    <w:unhideWhenUsed/>
    <w:qFormat/>
    <w:rsid w:val="00510920"/>
    <w:pPr>
      <w:spacing w:after="120"/>
      <w:ind w:left="1440"/>
      <w:contextualSpacing/>
    </w:pPr>
  </w:style>
  <w:style w:type="paragraph" w:styleId="ListContinue5">
    <w:name w:val="List Continue 5"/>
    <w:basedOn w:val="Normal"/>
    <w:uiPriority w:val="99"/>
    <w:semiHidden/>
    <w:unhideWhenUsed/>
    <w:qFormat/>
    <w:rsid w:val="00510920"/>
    <w:pPr>
      <w:spacing w:after="120"/>
      <w:ind w:left="1800"/>
      <w:contextualSpacing/>
    </w:pPr>
  </w:style>
  <w:style w:type="paragraph" w:styleId="ListNumber">
    <w:name w:val="List Number"/>
    <w:basedOn w:val="Normal"/>
    <w:uiPriority w:val="99"/>
    <w:semiHidden/>
    <w:unhideWhenUsed/>
    <w:qFormat/>
    <w:rsid w:val="00510920"/>
    <w:pPr>
      <w:numPr>
        <w:numId w:val="6"/>
      </w:numPr>
      <w:contextualSpacing/>
    </w:pPr>
  </w:style>
  <w:style w:type="paragraph" w:styleId="ListNumber2">
    <w:name w:val="List Number 2"/>
    <w:basedOn w:val="Normal"/>
    <w:uiPriority w:val="99"/>
    <w:semiHidden/>
    <w:unhideWhenUsed/>
    <w:qFormat/>
    <w:rsid w:val="00510920"/>
    <w:pPr>
      <w:numPr>
        <w:numId w:val="7"/>
      </w:numPr>
      <w:contextualSpacing/>
    </w:pPr>
  </w:style>
  <w:style w:type="paragraph" w:styleId="ListNumber3">
    <w:name w:val="List Number 3"/>
    <w:basedOn w:val="Normal"/>
    <w:uiPriority w:val="99"/>
    <w:semiHidden/>
    <w:unhideWhenUsed/>
    <w:qFormat/>
    <w:rsid w:val="00510920"/>
    <w:pPr>
      <w:numPr>
        <w:numId w:val="8"/>
      </w:numPr>
      <w:contextualSpacing/>
    </w:pPr>
  </w:style>
  <w:style w:type="paragraph" w:styleId="ListNumber4">
    <w:name w:val="List Number 4"/>
    <w:basedOn w:val="Normal"/>
    <w:uiPriority w:val="99"/>
    <w:semiHidden/>
    <w:unhideWhenUsed/>
    <w:qFormat/>
    <w:rsid w:val="00510920"/>
    <w:pPr>
      <w:numPr>
        <w:numId w:val="9"/>
      </w:numPr>
      <w:contextualSpacing/>
    </w:pPr>
  </w:style>
  <w:style w:type="paragraph" w:styleId="ListNumber5">
    <w:name w:val="List Number 5"/>
    <w:basedOn w:val="Normal"/>
    <w:uiPriority w:val="99"/>
    <w:semiHidden/>
    <w:unhideWhenUsed/>
    <w:rsid w:val="00510920"/>
    <w:pPr>
      <w:numPr>
        <w:numId w:val="10"/>
      </w:numPr>
      <w:contextualSpacing/>
    </w:pPr>
  </w:style>
  <w:style w:type="paragraph" w:styleId="ListParagraph">
    <w:name w:val="List Paragraph"/>
    <w:basedOn w:val="Normal"/>
    <w:link w:val="ListParagraphChar"/>
    <w:qFormat/>
    <w:rsid w:val="00FD0FF7"/>
    <w:pPr>
      <w:ind w:left="720"/>
      <w:contextualSpacing/>
    </w:pPr>
  </w:style>
  <w:style w:type="paragraph" w:styleId="MacroText">
    <w:name w:val="macro"/>
    <w:link w:val="MacroTextChar"/>
    <w:uiPriority w:val="99"/>
    <w:semiHidden/>
    <w:unhideWhenUsed/>
    <w:qFormat/>
    <w:rsid w:val="00510920"/>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Times New Roman"/>
      <w:sz w:val="20"/>
      <w:szCs w:val="20"/>
      <w:lang w:val="en-GB" w:eastAsia="ja-JP"/>
    </w:rPr>
  </w:style>
  <w:style w:type="character" w:customStyle="1" w:styleId="MacroTextChar">
    <w:name w:val="Macro Text Char"/>
    <w:basedOn w:val="DefaultParagraphFont"/>
    <w:link w:val="MacroText"/>
    <w:uiPriority w:val="99"/>
    <w:semiHidden/>
    <w:qFormat/>
    <w:rsid w:val="00510920"/>
    <w:rPr>
      <w:rFonts w:ascii="Consolas" w:hAnsi="Consolas" w:cs="Times New Roman"/>
      <w:sz w:val="20"/>
      <w:szCs w:val="20"/>
      <w:lang w:val="en-GB" w:eastAsia="ja-JP"/>
    </w:rPr>
  </w:style>
  <w:style w:type="character" w:styleId="Mention">
    <w:name w:val="Mention"/>
    <w:basedOn w:val="DefaultParagraphFont"/>
    <w:uiPriority w:val="99"/>
    <w:semiHidden/>
    <w:unhideWhenUsed/>
    <w:rsid w:val="00510920"/>
    <w:rPr>
      <w:color w:val="2B579A"/>
      <w:shd w:val="clear" w:color="auto" w:fill="E1DFDD"/>
    </w:rPr>
  </w:style>
  <w:style w:type="paragraph" w:styleId="MessageHeader">
    <w:name w:val="Message Header"/>
    <w:basedOn w:val="Normal"/>
    <w:link w:val="MessageHeaderChar"/>
    <w:uiPriority w:val="99"/>
    <w:semiHidden/>
    <w:unhideWhenUsed/>
    <w:qFormat/>
    <w:rsid w:val="00510920"/>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qFormat/>
    <w:rsid w:val="00510920"/>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sid w:val="00510920"/>
    <w:pPr>
      <w:spacing w:after="0" w:line="240" w:lineRule="auto"/>
    </w:pPr>
    <w:rPr>
      <w:rFonts w:ascii="Times New Roman" w:hAnsi="Times New Roman" w:cs="Times New Roman"/>
      <w:sz w:val="24"/>
      <w:szCs w:val="24"/>
      <w:lang w:val="en-GB" w:eastAsia="ja-JP"/>
    </w:rPr>
  </w:style>
  <w:style w:type="paragraph" w:styleId="NormalWeb">
    <w:name w:val="Normal (Web)"/>
    <w:basedOn w:val="Normal"/>
    <w:uiPriority w:val="99"/>
    <w:unhideWhenUsed/>
    <w:qFormat/>
    <w:rsid w:val="00FD0FF7"/>
  </w:style>
  <w:style w:type="paragraph" w:styleId="NormalIndent">
    <w:name w:val="Normal Indent"/>
    <w:basedOn w:val="Normal"/>
    <w:uiPriority w:val="99"/>
    <w:semiHidden/>
    <w:unhideWhenUsed/>
    <w:qFormat/>
    <w:rsid w:val="00510920"/>
    <w:pPr>
      <w:ind w:left="720"/>
    </w:pPr>
  </w:style>
  <w:style w:type="paragraph" w:styleId="NoteHeading">
    <w:name w:val="Note Heading"/>
    <w:basedOn w:val="Normal"/>
    <w:next w:val="Normal"/>
    <w:link w:val="NoteHeadingChar"/>
    <w:uiPriority w:val="99"/>
    <w:semiHidden/>
    <w:unhideWhenUsed/>
    <w:qFormat/>
    <w:rsid w:val="00510920"/>
    <w:pPr>
      <w:spacing w:before="0"/>
    </w:pPr>
  </w:style>
  <w:style w:type="character" w:customStyle="1" w:styleId="NoteHeadingChar">
    <w:name w:val="Note Heading Char"/>
    <w:basedOn w:val="DefaultParagraphFont"/>
    <w:link w:val="NoteHeading"/>
    <w:uiPriority w:val="99"/>
    <w:semiHidden/>
    <w:qFormat/>
    <w:rsid w:val="00510920"/>
    <w:rPr>
      <w:rFonts w:ascii="Times New Roman" w:hAnsi="Times New Roman" w:cs="Times New Roman"/>
      <w:sz w:val="24"/>
      <w:szCs w:val="24"/>
      <w:lang w:val="en-GB" w:eastAsia="ja-JP"/>
    </w:rPr>
  </w:style>
  <w:style w:type="character" w:styleId="PageNumber">
    <w:name w:val="page number"/>
    <w:basedOn w:val="DefaultParagraphFont"/>
    <w:rsid w:val="00AA7EE5"/>
  </w:style>
  <w:style w:type="paragraph" w:styleId="PlainText">
    <w:name w:val="Plain Text"/>
    <w:basedOn w:val="Normal"/>
    <w:link w:val="PlainTextChar"/>
    <w:uiPriority w:val="99"/>
    <w:unhideWhenUsed/>
    <w:qFormat/>
    <w:rsid w:val="00FD0FF7"/>
    <w:pPr>
      <w:spacing w:before="0"/>
    </w:pPr>
    <w:rPr>
      <w:rFonts w:ascii="Consolas" w:hAnsi="Consolas"/>
      <w:sz w:val="21"/>
      <w:szCs w:val="21"/>
    </w:rPr>
  </w:style>
  <w:style w:type="character" w:customStyle="1" w:styleId="PlainTextChar">
    <w:name w:val="Plain Text Char"/>
    <w:basedOn w:val="DefaultParagraphFont"/>
    <w:link w:val="PlainText"/>
    <w:uiPriority w:val="99"/>
    <w:qFormat/>
    <w:rsid w:val="00510920"/>
    <w:rPr>
      <w:rFonts w:ascii="Consolas" w:hAnsi="Consolas" w:cs="Times New Roman"/>
      <w:sz w:val="21"/>
      <w:szCs w:val="21"/>
      <w:lang w:val="en-GB" w:eastAsia="ja-JP"/>
    </w:rPr>
  </w:style>
  <w:style w:type="paragraph" w:styleId="Salutation">
    <w:name w:val="Salutation"/>
    <w:basedOn w:val="Normal"/>
    <w:next w:val="Normal"/>
    <w:link w:val="SalutationChar"/>
    <w:uiPriority w:val="99"/>
    <w:semiHidden/>
    <w:unhideWhenUsed/>
    <w:qFormat/>
    <w:rsid w:val="00510920"/>
  </w:style>
  <w:style w:type="character" w:customStyle="1" w:styleId="SalutationChar">
    <w:name w:val="Salutation Char"/>
    <w:basedOn w:val="DefaultParagraphFont"/>
    <w:link w:val="Salutation"/>
    <w:uiPriority w:val="99"/>
    <w:semiHidden/>
    <w:qFormat/>
    <w:rsid w:val="00510920"/>
    <w:rPr>
      <w:rFonts w:ascii="Times New Roman" w:hAnsi="Times New Roman" w:cs="Times New Roman"/>
      <w:sz w:val="24"/>
      <w:szCs w:val="24"/>
      <w:lang w:val="en-GB" w:eastAsia="ja-JP"/>
    </w:rPr>
  </w:style>
  <w:style w:type="paragraph" w:styleId="Signature">
    <w:name w:val="Signature"/>
    <w:basedOn w:val="Normal"/>
    <w:link w:val="SignatureChar"/>
    <w:uiPriority w:val="99"/>
    <w:semiHidden/>
    <w:unhideWhenUsed/>
    <w:qFormat/>
    <w:rsid w:val="00510920"/>
    <w:pPr>
      <w:spacing w:before="0"/>
      <w:ind w:left="4320"/>
    </w:pPr>
  </w:style>
  <w:style w:type="character" w:customStyle="1" w:styleId="SignatureChar">
    <w:name w:val="Signature Char"/>
    <w:basedOn w:val="DefaultParagraphFont"/>
    <w:link w:val="Signature"/>
    <w:uiPriority w:val="99"/>
    <w:semiHidden/>
    <w:qFormat/>
    <w:rsid w:val="00510920"/>
    <w:rPr>
      <w:rFonts w:ascii="Times New Roman" w:hAnsi="Times New Roman" w:cs="Times New Roman"/>
      <w:sz w:val="24"/>
      <w:szCs w:val="24"/>
      <w:lang w:val="en-GB" w:eastAsia="ja-JP"/>
    </w:rPr>
  </w:style>
  <w:style w:type="character" w:styleId="SmartHyperlink">
    <w:name w:val="Smart Hyperlink"/>
    <w:basedOn w:val="DefaultParagraphFont"/>
    <w:uiPriority w:val="99"/>
    <w:semiHidden/>
    <w:unhideWhenUsed/>
    <w:rsid w:val="00510920"/>
    <w:rPr>
      <w:u w:val="dotted"/>
    </w:rPr>
  </w:style>
  <w:style w:type="character" w:styleId="SmartLink">
    <w:name w:val="Smart Link"/>
    <w:basedOn w:val="DefaultParagraphFont"/>
    <w:uiPriority w:val="99"/>
    <w:semiHidden/>
    <w:unhideWhenUsed/>
    <w:rsid w:val="00510920"/>
    <w:rPr>
      <w:color w:val="0000FF"/>
      <w:u w:val="single"/>
      <w:shd w:val="clear" w:color="auto" w:fill="F3F2F1"/>
    </w:rPr>
  </w:style>
  <w:style w:type="character" w:styleId="Strong">
    <w:name w:val="Strong"/>
    <w:basedOn w:val="DefaultParagraphFont"/>
    <w:uiPriority w:val="22"/>
    <w:qFormat/>
    <w:rsid w:val="00FD0FF7"/>
    <w:rPr>
      <w:b/>
      <w:bCs/>
    </w:rPr>
  </w:style>
  <w:style w:type="paragraph" w:styleId="Subtitle">
    <w:name w:val="Subtitle"/>
    <w:basedOn w:val="Normal"/>
    <w:next w:val="Normal"/>
    <w:link w:val="SubtitleChar"/>
    <w:uiPriority w:val="11"/>
    <w:qFormat/>
    <w:rsid w:val="00FD0FF7"/>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qFormat/>
    <w:rsid w:val="00510920"/>
    <w:rPr>
      <w:color w:val="5A5A5A" w:themeColor="text1" w:themeTint="A5"/>
      <w:spacing w:val="15"/>
      <w:lang w:val="en-GB" w:eastAsia="ja-JP"/>
    </w:rPr>
  </w:style>
  <w:style w:type="character" w:styleId="SubtleEmphasis">
    <w:name w:val="Subtle Emphasis"/>
    <w:basedOn w:val="DefaultParagraphFont"/>
    <w:uiPriority w:val="19"/>
    <w:rsid w:val="00510920"/>
    <w:rPr>
      <w:i/>
      <w:iCs/>
      <w:color w:val="404040" w:themeColor="text1" w:themeTint="BF"/>
    </w:rPr>
  </w:style>
  <w:style w:type="character" w:styleId="SubtleReference">
    <w:name w:val="Subtle Reference"/>
    <w:basedOn w:val="DefaultParagraphFont"/>
    <w:uiPriority w:val="31"/>
    <w:rsid w:val="00510920"/>
    <w:rPr>
      <w:smallCaps/>
      <w:color w:val="5A5A5A" w:themeColor="text1" w:themeTint="A5"/>
    </w:rPr>
  </w:style>
  <w:style w:type="paragraph" w:styleId="TableofAuthorities">
    <w:name w:val="table of authorities"/>
    <w:basedOn w:val="Normal"/>
    <w:next w:val="Normal"/>
    <w:uiPriority w:val="99"/>
    <w:semiHidden/>
    <w:unhideWhenUsed/>
    <w:qFormat/>
    <w:rsid w:val="00510920"/>
    <w:pPr>
      <w:ind w:left="240" w:hanging="240"/>
    </w:pPr>
  </w:style>
  <w:style w:type="paragraph" w:styleId="Title">
    <w:name w:val="Title"/>
    <w:basedOn w:val="Normal"/>
    <w:next w:val="Normal"/>
    <w:link w:val="TitleChar"/>
    <w:uiPriority w:val="10"/>
    <w:qFormat/>
    <w:rsid w:val="00510920"/>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510920"/>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qFormat/>
    <w:rsid w:val="00510920"/>
    <w:rPr>
      <w:rFonts w:asciiTheme="majorHAnsi" w:eastAsiaTheme="majorEastAsia" w:hAnsiTheme="majorHAnsi" w:cstheme="majorBidi"/>
      <w:b/>
      <w:bCs/>
    </w:rPr>
  </w:style>
  <w:style w:type="paragraph" w:styleId="TOC4">
    <w:name w:val="toc 4"/>
    <w:basedOn w:val="TOC3"/>
    <w:semiHidden/>
    <w:rsid w:val="00AA7EE5"/>
  </w:style>
  <w:style w:type="paragraph" w:styleId="TOC5">
    <w:name w:val="toc 5"/>
    <w:basedOn w:val="TOC4"/>
    <w:semiHidden/>
    <w:rsid w:val="00AA7EE5"/>
  </w:style>
  <w:style w:type="paragraph" w:styleId="TOC6">
    <w:name w:val="toc 6"/>
    <w:basedOn w:val="TOC4"/>
    <w:semiHidden/>
    <w:rsid w:val="00AA7EE5"/>
  </w:style>
  <w:style w:type="paragraph" w:styleId="TOC7">
    <w:name w:val="toc 7"/>
    <w:basedOn w:val="TOC4"/>
    <w:semiHidden/>
    <w:rsid w:val="00AA7EE5"/>
  </w:style>
  <w:style w:type="paragraph" w:styleId="TOC8">
    <w:name w:val="toc 8"/>
    <w:basedOn w:val="TOC4"/>
    <w:semiHidden/>
    <w:rsid w:val="00AA7EE5"/>
  </w:style>
  <w:style w:type="paragraph" w:styleId="TOC9">
    <w:name w:val="toc 9"/>
    <w:basedOn w:val="TOC3"/>
    <w:semiHidden/>
    <w:rsid w:val="00AA7EE5"/>
  </w:style>
  <w:style w:type="paragraph" w:styleId="TOCHeading">
    <w:name w:val="TOC Heading"/>
    <w:basedOn w:val="Heading1"/>
    <w:next w:val="Normal"/>
    <w:uiPriority w:val="39"/>
    <w:unhideWhenUsed/>
    <w:qFormat/>
    <w:rsid w:val="00FD0FF7"/>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character" w:styleId="UnresolvedMention">
    <w:name w:val="Unresolved Mention"/>
    <w:basedOn w:val="DefaultParagraphFont"/>
    <w:uiPriority w:val="99"/>
    <w:semiHidden/>
    <w:unhideWhenUsed/>
    <w:rsid w:val="00AA7EE5"/>
    <w:rPr>
      <w:color w:val="605E5C"/>
      <w:shd w:val="clear" w:color="auto" w:fill="E1DFDD"/>
    </w:rPr>
  </w:style>
  <w:style w:type="table" w:styleId="TableGrid">
    <w:name w:val="Table Grid"/>
    <w:basedOn w:val="TableNormal"/>
    <w:rsid w:val="00AA7EE5"/>
    <w:pPr>
      <w:spacing w:after="0" w:line="240" w:lineRule="auto"/>
    </w:pPr>
    <w:rPr>
      <w:rFonts w:ascii="CG Times" w:eastAsia="Times New Roman" w:hAnsi="CG 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书目1"/>
    <w:basedOn w:val="Normal"/>
    <w:next w:val="Normal"/>
    <w:uiPriority w:val="37"/>
    <w:semiHidden/>
    <w:unhideWhenUsed/>
    <w:qFormat/>
    <w:rsid w:val="00EA6E11"/>
  </w:style>
  <w:style w:type="character" w:customStyle="1" w:styleId="10">
    <w:name w:val="书籍标题1"/>
    <w:basedOn w:val="DefaultParagraphFont"/>
    <w:uiPriority w:val="33"/>
    <w:qFormat/>
    <w:rsid w:val="00EA6E11"/>
    <w:rPr>
      <w:b/>
      <w:bCs/>
      <w:i/>
      <w:iCs/>
      <w:spacing w:val="5"/>
    </w:rPr>
  </w:style>
  <w:style w:type="character" w:customStyle="1" w:styleId="11">
    <w:name w:val="ハッシュタグ1"/>
    <w:basedOn w:val="DefaultParagraphFont"/>
    <w:uiPriority w:val="99"/>
    <w:semiHidden/>
    <w:unhideWhenUsed/>
    <w:qFormat/>
    <w:rsid w:val="00EA6E11"/>
    <w:rPr>
      <w:color w:val="2B579A"/>
      <w:shd w:val="clear" w:color="auto" w:fill="E1DFDD"/>
    </w:rPr>
  </w:style>
  <w:style w:type="character" w:customStyle="1" w:styleId="12">
    <w:name w:val="明显强调1"/>
    <w:basedOn w:val="DefaultParagraphFont"/>
    <w:uiPriority w:val="21"/>
    <w:qFormat/>
    <w:rsid w:val="00EA6E11"/>
    <w:rPr>
      <w:i/>
      <w:iCs/>
      <w:color w:val="5B9BD5" w:themeColor="accent1"/>
    </w:rPr>
  </w:style>
  <w:style w:type="character" w:customStyle="1" w:styleId="13">
    <w:name w:val="明显参考1"/>
    <w:basedOn w:val="DefaultParagraphFont"/>
    <w:uiPriority w:val="32"/>
    <w:rsid w:val="00EA6E11"/>
    <w:rPr>
      <w:b/>
      <w:bCs/>
      <w:smallCaps/>
      <w:color w:val="5B9BD5" w:themeColor="accent1"/>
      <w:spacing w:val="5"/>
    </w:rPr>
  </w:style>
  <w:style w:type="character" w:customStyle="1" w:styleId="14">
    <w:name w:val="メンション1"/>
    <w:basedOn w:val="DefaultParagraphFont"/>
    <w:uiPriority w:val="99"/>
    <w:semiHidden/>
    <w:unhideWhenUsed/>
    <w:qFormat/>
    <w:rsid w:val="00EA6E11"/>
    <w:rPr>
      <w:color w:val="2B579A"/>
      <w:shd w:val="clear" w:color="auto" w:fill="E1DFDD"/>
    </w:rPr>
  </w:style>
  <w:style w:type="character" w:customStyle="1" w:styleId="15">
    <w:name w:val="スマート ハイパーリンク1"/>
    <w:basedOn w:val="DefaultParagraphFont"/>
    <w:uiPriority w:val="99"/>
    <w:semiHidden/>
    <w:unhideWhenUsed/>
    <w:qFormat/>
    <w:rsid w:val="00EA6E11"/>
    <w:rPr>
      <w:u w:val="dotted"/>
    </w:rPr>
  </w:style>
  <w:style w:type="character" w:customStyle="1" w:styleId="16">
    <w:name w:val="スマート リンク1"/>
    <w:basedOn w:val="DefaultParagraphFont"/>
    <w:uiPriority w:val="99"/>
    <w:semiHidden/>
    <w:unhideWhenUsed/>
    <w:qFormat/>
    <w:rsid w:val="00EA6E11"/>
    <w:rPr>
      <w:color w:val="0000FF"/>
      <w:u w:val="single"/>
      <w:shd w:val="clear" w:color="auto" w:fill="F3F2F1"/>
    </w:rPr>
  </w:style>
  <w:style w:type="character" w:customStyle="1" w:styleId="17">
    <w:name w:val="不明显强调1"/>
    <w:basedOn w:val="DefaultParagraphFont"/>
    <w:uiPriority w:val="19"/>
    <w:qFormat/>
    <w:rsid w:val="00EA6E11"/>
    <w:rPr>
      <w:i/>
      <w:iCs/>
      <w:color w:val="404040" w:themeColor="text1" w:themeTint="BF"/>
    </w:rPr>
  </w:style>
  <w:style w:type="character" w:customStyle="1" w:styleId="18">
    <w:name w:val="不明显参考1"/>
    <w:basedOn w:val="DefaultParagraphFont"/>
    <w:uiPriority w:val="31"/>
    <w:qFormat/>
    <w:rsid w:val="00EA6E11"/>
    <w:rPr>
      <w:smallCaps/>
      <w:color w:val="595959" w:themeColor="text1" w:themeTint="A6"/>
    </w:rPr>
  </w:style>
  <w:style w:type="paragraph" w:customStyle="1" w:styleId="TOC10">
    <w:name w:val="TOC 标题1"/>
    <w:basedOn w:val="Heading1"/>
    <w:next w:val="Normal"/>
    <w:uiPriority w:val="39"/>
    <w:semiHidden/>
    <w:unhideWhenUsed/>
    <w:rsid w:val="00EA6E11"/>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character" w:customStyle="1" w:styleId="19">
    <w:name w:val="未解決のメンション1"/>
    <w:basedOn w:val="DefaultParagraphFont"/>
    <w:uiPriority w:val="99"/>
    <w:semiHidden/>
    <w:unhideWhenUsed/>
    <w:qFormat/>
    <w:rsid w:val="00EA6E11"/>
    <w:rPr>
      <w:color w:val="605E5C"/>
      <w:shd w:val="clear" w:color="auto" w:fill="E1DFDD"/>
    </w:rPr>
  </w:style>
  <w:style w:type="paragraph" w:customStyle="1" w:styleId="toc0">
    <w:name w:val="toc 0"/>
    <w:basedOn w:val="Normal"/>
    <w:next w:val="TOC1"/>
    <w:rsid w:val="00AA7EE5"/>
    <w:pPr>
      <w:keepLines/>
      <w:tabs>
        <w:tab w:val="clear" w:pos="794"/>
        <w:tab w:val="clear" w:pos="1191"/>
        <w:tab w:val="clear" w:pos="1588"/>
        <w:tab w:val="clear" w:pos="1985"/>
        <w:tab w:val="right" w:pos="9639"/>
      </w:tabs>
      <w:jc w:val="left"/>
    </w:pPr>
    <w:rPr>
      <w:b/>
    </w:rPr>
  </w:style>
  <w:style w:type="character" w:customStyle="1" w:styleId="150">
    <w:name w:val="15"/>
    <w:basedOn w:val="DefaultParagraphFont"/>
    <w:qFormat/>
    <w:rsid w:val="00EA6E11"/>
    <w:rPr>
      <w:rFonts w:ascii="Times New Roman" w:hAnsi="Times New Roman" w:cs="Times New Roman" w:hint="default"/>
      <w:color w:val="0000FF"/>
      <w:u w:val="single"/>
    </w:rPr>
  </w:style>
  <w:style w:type="character" w:customStyle="1" w:styleId="160">
    <w:name w:val="16"/>
    <w:basedOn w:val="DefaultParagraphFont"/>
    <w:qFormat/>
    <w:rsid w:val="00EA6E11"/>
    <w:rPr>
      <w:rFonts w:ascii="Calibri" w:hAnsi="Calibri" w:cs="Calibri" w:hint="default"/>
      <w:color w:val="0000FF"/>
      <w:u w:val="single"/>
    </w:rPr>
  </w:style>
  <w:style w:type="paragraph" w:customStyle="1" w:styleId="FigureNoTitle">
    <w:name w:val="Figure_NoTitle"/>
    <w:basedOn w:val="Normal"/>
    <w:next w:val="Normalaftertitle"/>
    <w:rsid w:val="00AA7EE5"/>
    <w:pPr>
      <w:keepLines/>
      <w:spacing w:before="240" w:after="120"/>
      <w:jc w:val="center"/>
    </w:pPr>
    <w:rPr>
      <w:b/>
    </w:rPr>
  </w:style>
  <w:style w:type="paragraph" w:customStyle="1" w:styleId="1a">
    <w:name w:val="列出段落1"/>
    <w:basedOn w:val="Normal"/>
    <w:qFormat/>
    <w:rsid w:val="00EA6E11"/>
    <w:pPr>
      <w:spacing w:after="100" w:afterAutospacing="1"/>
      <w:ind w:leftChars="400" w:left="800"/>
    </w:pPr>
    <w:rPr>
      <w:rFonts w:eastAsia="SimSun"/>
      <w:lang w:val="en-US" w:eastAsia="zh-CN"/>
    </w:rPr>
  </w:style>
  <w:style w:type="paragraph" w:customStyle="1" w:styleId="1b">
    <w:name w:val="リスト段落1"/>
    <w:basedOn w:val="Normal"/>
    <w:rsid w:val="00EA6E11"/>
    <w:pPr>
      <w:ind w:left="720"/>
      <w:contextualSpacing/>
    </w:pPr>
    <w:rPr>
      <w:rFonts w:eastAsia="SimSun"/>
      <w:lang w:val="en-US" w:eastAsia="zh-CN"/>
    </w:rPr>
  </w:style>
  <w:style w:type="character" w:customStyle="1" w:styleId="ListParagraphChar">
    <w:name w:val="List Paragraph Char"/>
    <w:link w:val="ListParagraph"/>
    <w:qFormat/>
    <w:locked/>
    <w:rsid w:val="00EA6E11"/>
    <w:rPr>
      <w:rFonts w:ascii="Times New Roman" w:hAnsi="Times New Roman" w:cs="Times New Roman"/>
      <w:sz w:val="24"/>
      <w:szCs w:val="24"/>
      <w:lang w:val="en-GB" w:eastAsia="ja-JP"/>
    </w:rPr>
  </w:style>
  <w:style w:type="character" w:customStyle="1" w:styleId="enumlev1Char">
    <w:name w:val="enumlev1 Char"/>
    <w:link w:val="enumlev1"/>
    <w:qFormat/>
    <w:rsid w:val="00EA6E11"/>
    <w:rPr>
      <w:rFonts w:ascii="Times New Roman" w:eastAsia="Times New Roman" w:hAnsi="Times New Roman" w:cs="Times New Roman"/>
      <w:sz w:val="24"/>
      <w:szCs w:val="20"/>
      <w:lang w:val="en-GB" w:eastAsia="en-US"/>
    </w:rPr>
  </w:style>
  <w:style w:type="paragraph" w:customStyle="1" w:styleId="AppendixNoTitle0">
    <w:name w:val="Appendix_NoTitle"/>
    <w:basedOn w:val="AnnexNoTitle0"/>
    <w:next w:val="Normalaftertitle"/>
    <w:rsid w:val="00AA7EE5"/>
  </w:style>
  <w:style w:type="character" w:customStyle="1" w:styleId="ReftextChar">
    <w:name w:val="Ref_text Char"/>
    <w:link w:val="Reftext"/>
    <w:qFormat/>
    <w:rsid w:val="00EA6E11"/>
    <w:rPr>
      <w:rFonts w:ascii="Times New Roman" w:eastAsia="Times New Roman" w:hAnsi="Times New Roman" w:cs="Times New Roman"/>
      <w:sz w:val="24"/>
      <w:szCs w:val="20"/>
      <w:lang w:val="en-GB" w:eastAsia="en-US"/>
    </w:rPr>
  </w:style>
  <w:style w:type="character" w:customStyle="1" w:styleId="NoteChar">
    <w:name w:val="Note Char"/>
    <w:link w:val="Note"/>
    <w:locked/>
    <w:rsid w:val="00EA6E11"/>
    <w:rPr>
      <w:rFonts w:ascii="Times New Roman" w:eastAsia="Times New Roman" w:hAnsi="Times New Roman" w:cs="Times New Roman"/>
      <w:szCs w:val="20"/>
      <w:lang w:val="en-GB" w:eastAsia="en-US"/>
    </w:rPr>
  </w:style>
  <w:style w:type="paragraph" w:customStyle="1" w:styleId="FooterQP">
    <w:name w:val="Footer_QP"/>
    <w:basedOn w:val="Normal"/>
    <w:rsid w:val="00AA7EE5"/>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AnnexNoTitle0">
    <w:name w:val="Annex_NoTitle"/>
    <w:basedOn w:val="Normal"/>
    <w:next w:val="Normalaftertitle"/>
    <w:rsid w:val="00AA7EE5"/>
    <w:pPr>
      <w:keepNext/>
      <w:keepLines/>
      <w:spacing w:before="720"/>
      <w:jc w:val="center"/>
      <w:outlineLvl w:val="0"/>
    </w:pPr>
    <w:rPr>
      <w:b/>
      <w:sz w:val="28"/>
    </w:rPr>
  </w:style>
  <w:style w:type="paragraph" w:styleId="Revision">
    <w:name w:val="Revision"/>
    <w:hidden/>
    <w:uiPriority w:val="99"/>
    <w:unhideWhenUsed/>
    <w:rsid w:val="00FD0FF7"/>
    <w:pPr>
      <w:spacing w:after="0" w:line="240" w:lineRule="auto"/>
    </w:pPr>
    <w:rPr>
      <w:rFonts w:ascii="Times New Roman" w:hAnsi="Times New Roman" w:cs="Times New Roman"/>
      <w:sz w:val="24"/>
      <w:szCs w:val="24"/>
      <w:lang w:val="en-GB" w:eastAsia="ja-JP"/>
    </w:rPr>
  </w:style>
  <w:style w:type="numbering" w:customStyle="1" w:styleId="CurrentList1">
    <w:name w:val="Current List1"/>
    <w:uiPriority w:val="99"/>
    <w:rsid w:val="00676D6C"/>
    <w:pPr>
      <w:numPr>
        <w:numId w:val="11"/>
      </w:numPr>
    </w:pPr>
  </w:style>
  <w:style w:type="paragraph" w:customStyle="1" w:styleId="Heading1Centered">
    <w:name w:val="Heading 1 Centered"/>
    <w:basedOn w:val="Heading1"/>
    <w:rsid w:val="00FD0FF7"/>
    <w:pPr>
      <w:tabs>
        <w:tab w:val="left" w:pos="1134"/>
        <w:tab w:val="left" w:pos="1871"/>
        <w:tab w:val="left" w:pos="2268"/>
      </w:tabs>
      <w:ind w:left="0" w:firstLine="0"/>
      <w:jc w:val="center"/>
    </w:pPr>
    <w:rPr>
      <w:bCs/>
    </w:rPr>
  </w:style>
  <w:style w:type="paragraph" w:customStyle="1" w:styleId="Normalaftertitle">
    <w:name w:val="Normal_after_title"/>
    <w:basedOn w:val="Normal"/>
    <w:next w:val="Normal"/>
    <w:rsid w:val="00AA7EE5"/>
    <w:pPr>
      <w:spacing w:before="360"/>
    </w:pPr>
  </w:style>
  <w:style w:type="table" w:customStyle="1" w:styleId="TableNormal1">
    <w:name w:val="Table Normal1"/>
    <w:uiPriority w:val="2"/>
    <w:semiHidden/>
    <w:unhideWhenUsed/>
    <w:qFormat/>
    <w:rsid w:val="00FD0FF7"/>
    <w:pPr>
      <w:widowControl w:val="0"/>
      <w:spacing w:after="0" w:line="240" w:lineRule="auto"/>
    </w:pPr>
    <w:rPr>
      <w:rFonts w:ascii="Calibri" w:eastAsia="SimSun" w:hAnsi="Calibri" w:cs="Arial"/>
      <w:lang w:eastAsia="en-US"/>
    </w:rPr>
    <w:tblPr>
      <w:tblInd w:w="0" w:type="dxa"/>
      <w:tblCellMar>
        <w:top w:w="0" w:type="dxa"/>
        <w:left w:w="0" w:type="dxa"/>
        <w:bottom w:w="0" w:type="dxa"/>
        <w:right w:w="0" w:type="dxa"/>
      </w:tblCellMar>
    </w:tblPr>
  </w:style>
  <w:style w:type="table" w:customStyle="1" w:styleId="21">
    <w:name w:val="標準の表 21"/>
    <w:basedOn w:val="TableNormal"/>
    <w:uiPriority w:val="42"/>
    <w:rsid w:val="00FD0FF7"/>
    <w:pPr>
      <w:spacing w:after="0" w:line="240" w:lineRule="auto"/>
    </w:pPr>
    <w:rPr>
      <w:rFonts w:ascii="Calibri" w:eastAsia="SimSun" w:hAnsi="Calibri" w:cs="Arial"/>
      <w:kern w:val="2"/>
      <w:sz w:val="21"/>
      <w:lang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nnexref">
    <w:name w:val="Annex_ref"/>
    <w:basedOn w:val="Normal"/>
    <w:next w:val="Normal"/>
    <w:rsid w:val="00FD0FF7"/>
    <w:pPr>
      <w:keepNext/>
      <w:keepLines/>
      <w:spacing w:after="280"/>
      <w:jc w:val="center"/>
    </w:pPr>
  </w:style>
  <w:style w:type="paragraph" w:customStyle="1" w:styleId="AppendixNo">
    <w:name w:val="Appendix_No"/>
    <w:basedOn w:val="Normal"/>
    <w:next w:val="Annexref"/>
    <w:rsid w:val="00FD0FF7"/>
    <w:pPr>
      <w:keepNext/>
      <w:keepLines/>
      <w:spacing w:before="480" w:after="80"/>
      <w:jc w:val="center"/>
    </w:pPr>
    <w:rPr>
      <w:caps/>
      <w:sz w:val="28"/>
    </w:rPr>
  </w:style>
  <w:style w:type="paragraph" w:customStyle="1" w:styleId="Default">
    <w:name w:val="Default"/>
    <w:rsid w:val="00AA7EE5"/>
    <w:pPr>
      <w:autoSpaceDE w:val="0"/>
      <w:autoSpaceDN w:val="0"/>
      <w:adjustRightInd w:val="0"/>
      <w:spacing w:after="0" w:line="240" w:lineRule="auto"/>
    </w:pPr>
    <w:rPr>
      <w:rFonts w:ascii="Times New Roman" w:eastAsia="Times New Roman" w:hAnsi="Times New Roman" w:cs="Times New Roman"/>
      <w:color w:val="000000"/>
      <w:sz w:val="24"/>
      <w:szCs w:val="24"/>
      <w:lang w:val="en-GB"/>
    </w:rPr>
  </w:style>
  <w:style w:type="paragraph" w:customStyle="1" w:styleId="Resdate">
    <w:name w:val="Res_date"/>
    <w:basedOn w:val="Recdate"/>
    <w:next w:val="Normalaftertitle"/>
    <w:rsid w:val="00AA7EE5"/>
  </w:style>
  <w:style w:type="paragraph" w:customStyle="1" w:styleId="Docnumber">
    <w:name w:val="Docnumber"/>
    <w:basedOn w:val="Normal"/>
    <w:link w:val="DocnumberChar"/>
    <w:qFormat/>
    <w:rsid w:val="003A39E0"/>
    <w:pPr>
      <w:jc w:val="right"/>
    </w:pPr>
    <w:rPr>
      <w:rFonts w:eastAsia="SimSun"/>
      <w:b/>
      <w:sz w:val="32"/>
    </w:rPr>
  </w:style>
  <w:style w:type="character" w:customStyle="1" w:styleId="DocnumberChar">
    <w:name w:val="Docnumber Char"/>
    <w:link w:val="Docnumber"/>
    <w:qFormat/>
    <w:rsid w:val="003A39E0"/>
    <w:rPr>
      <w:rFonts w:ascii="Times New Roman" w:eastAsia="SimSun" w:hAnsi="Times New Roman" w:cs="Times New Roman"/>
      <w:b/>
      <w:sz w:val="32"/>
      <w:szCs w:val="20"/>
      <w:lang w:val="en-GB" w:eastAsia="en-US"/>
    </w:rPr>
  </w:style>
  <w:style w:type="paragraph" w:styleId="Header">
    <w:name w:val="header"/>
    <w:basedOn w:val="Normal"/>
    <w:link w:val="HeaderChar"/>
    <w:rsid w:val="00AA7EE5"/>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5832BD"/>
    <w:rPr>
      <w:rFonts w:ascii="Times New Roman" w:eastAsia="Times New Roman" w:hAnsi="Times New Roman" w:cs="Times New Roman"/>
      <w:sz w:val="18"/>
      <w:szCs w:val="20"/>
      <w:lang w:val="en-GB" w:eastAsia="en-US"/>
    </w:rPr>
  </w:style>
  <w:style w:type="paragraph" w:customStyle="1" w:styleId="TSBHeaderQuestion">
    <w:name w:val="TSBHeaderQuestion"/>
    <w:basedOn w:val="Normal"/>
    <w:rsid w:val="004F54C8"/>
    <w:rPr>
      <w:rFonts w:eastAsia="SimSun"/>
    </w:rPr>
  </w:style>
  <w:style w:type="paragraph" w:customStyle="1" w:styleId="TSBHeaderRight14">
    <w:name w:val="TSBHeaderRight14"/>
    <w:basedOn w:val="Normal"/>
    <w:rsid w:val="004F54C8"/>
    <w:pPr>
      <w:jc w:val="right"/>
    </w:pPr>
    <w:rPr>
      <w:rFonts w:eastAsia="SimSun"/>
      <w:b/>
      <w:bCs/>
      <w:sz w:val="28"/>
      <w:szCs w:val="28"/>
    </w:rPr>
  </w:style>
  <w:style w:type="paragraph" w:customStyle="1" w:styleId="TSBHeaderSource">
    <w:name w:val="TSBHeaderSource"/>
    <w:basedOn w:val="Normal"/>
    <w:rsid w:val="004F54C8"/>
    <w:rPr>
      <w:rFonts w:eastAsia="SimSun"/>
    </w:rPr>
  </w:style>
  <w:style w:type="paragraph" w:customStyle="1" w:styleId="TSBHeaderSummary">
    <w:name w:val="TSBHeaderSummary"/>
    <w:basedOn w:val="Normal"/>
    <w:rsid w:val="004F54C8"/>
    <w:rPr>
      <w:rFonts w:eastAsia="SimSun"/>
    </w:rPr>
  </w:style>
  <w:style w:type="paragraph" w:customStyle="1" w:styleId="TSBHeaderTitle">
    <w:name w:val="TSBHeaderTitle"/>
    <w:basedOn w:val="Normal"/>
    <w:rsid w:val="004F54C8"/>
    <w:rPr>
      <w:rFonts w:eastAsia="SimSun"/>
    </w:rPr>
  </w:style>
  <w:style w:type="paragraph" w:customStyle="1" w:styleId="VenueDate">
    <w:name w:val="VenueDate"/>
    <w:basedOn w:val="Normal"/>
    <w:rsid w:val="004F54C8"/>
    <w:pPr>
      <w:jc w:val="right"/>
    </w:pPr>
    <w:rPr>
      <w:rFonts w:eastAsia="SimSun"/>
    </w:rPr>
  </w:style>
  <w:style w:type="table" w:styleId="GridTable4-Accent1">
    <w:name w:val="Grid Table 4 Accent 1"/>
    <w:basedOn w:val="TableNormal"/>
    <w:uiPriority w:val="49"/>
    <w:rsid w:val="000E06B4"/>
    <w:pPr>
      <w:spacing w:after="0" w:line="240" w:lineRule="auto"/>
    </w:pPr>
    <w:rPr>
      <w:kern w:val="2"/>
      <w:sz w:val="24"/>
      <w:szCs w:val="24"/>
      <w14:ligatures w14:val="standardContextual"/>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style>
  <w:style w:type="character" w:customStyle="1" w:styleId="Appdef">
    <w:name w:val="App_def"/>
    <w:basedOn w:val="DefaultParagraphFont"/>
    <w:rsid w:val="00AA7EE5"/>
    <w:rPr>
      <w:rFonts w:ascii="Times New Roman" w:hAnsi="Times New Roman"/>
      <w:b/>
    </w:rPr>
  </w:style>
  <w:style w:type="character" w:customStyle="1" w:styleId="Appref">
    <w:name w:val="App_ref"/>
    <w:basedOn w:val="DefaultParagraphFont"/>
    <w:rsid w:val="00AA7EE5"/>
  </w:style>
  <w:style w:type="character" w:customStyle="1" w:styleId="Artdef">
    <w:name w:val="Art_def"/>
    <w:basedOn w:val="DefaultParagraphFont"/>
    <w:rsid w:val="00AA7EE5"/>
    <w:rPr>
      <w:rFonts w:ascii="Times New Roman" w:hAnsi="Times New Roman"/>
      <w:b/>
    </w:rPr>
  </w:style>
  <w:style w:type="paragraph" w:customStyle="1" w:styleId="Artheading">
    <w:name w:val="Art_heading"/>
    <w:basedOn w:val="Normal"/>
    <w:next w:val="Normalaftertitle"/>
    <w:rsid w:val="00AA7EE5"/>
    <w:pPr>
      <w:spacing w:before="480"/>
      <w:jc w:val="center"/>
    </w:pPr>
    <w:rPr>
      <w:b/>
      <w:sz w:val="28"/>
    </w:rPr>
  </w:style>
  <w:style w:type="paragraph" w:customStyle="1" w:styleId="ArtNo">
    <w:name w:val="Art_No"/>
    <w:basedOn w:val="Normal"/>
    <w:next w:val="Normal"/>
    <w:rsid w:val="00AA7EE5"/>
    <w:pPr>
      <w:keepNext/>
      <w:keepLines/>
      <w:spacing w:before="480"/>
      <w:jc w:val="center"/>
    </w:pPr>
    <w:rPr>
      <w:caps/>
      <w:sz w:val="28"/>
    </w:rPr>
  </w:style>
  <w:style w:type="character" w:customStyle="1" w:styleId="Artref">
    <w:name w:val="Art_ref"/>
    <w:basedOn w:val="DefaultParagraphFont"/>
    <w:rsid w:val="00AA7EE5"/>
  </w:style>
  <w:style w:type="paragraph" w:customStyle="1" w:styleId="Arttitle">
    <w:name w:val="Art_title"/>
    <w:basedOn w:val="Normal"/>
    <w:next w:val="Normalaftertitle"/>
    <w:rsid w:val="00AA7EE5"/>
    <w:pPr>
      <w:keepNext/>
      <w:keepLines/>
      <w:spacing w:before="240"/>
      <w:jc w:val="center"/>
    </w:pPr>
    <w:rPr>
      <w:b/>
      <w:sz w:val="28"/>
    </w:rPr>
  </w:style>
  <w:style w:type="paragraph" w:customStyle="1" w:styleId="ASN1">
    <w:name w:val="ASN.1"/>
    <w:rsid w:val="00AA7EE5"/>
    <w:pPr>
      <w:tabs>
        <w:tab w:val="left" w:pos="567"/>
        <w:tab w:val="left" w:pos="1134"/>
        <w:tab w:val="left" w:pos="1701"/>
        <w:tab w:val="left" w:pos="2268"/>
        <w:tab w:val="left" w:pos="2835"/>
        <w:tab w:val="left" w:pos="3402"/>
        <w:tab w:val="left" w:pos="3969"/>
        <w:tab w:val="left" w:pos="4536"/>
        <w:tab w:val="left" w:pos="5103"/>
        <w:tab w:val="left" w:pos="5670"/>
      </w:tabs>
      <w:spacing w:after="0" w:line="240" w:lineRule="auto"/>
    </w:pPr>
    <w:rPr>
      <w:rFonts w:ascii="Courier New" w:eastAsia="Times New Roman" w:hAnsi="Courier New" w:cs="Times New Roman"/>
      <w:b/>
      <w:noProof/>
      <w:sz w:val="20"/>
      <w:szCs w:val="20"/>
      <w:lang w:val="en-GB" w:eastAsia="en-US"/>
    </w:rPr>
  </w:style>
  <w:style w:type="paragraph" w:customStyle="1" w:styleId="Call">
    <w:name w:val="Call"/>
    <w:basedOn w:val="Normal"/>
    <w:next w:val="Normal"/>
    <w:rsid w:val="00AA7EE5"/>
    <w:pPr>
      <w:keepNext/>
      <w:keepLines/>
      <w:spacing w:before="160"/>
      <w:ind w:left="794"/>
      <w:jc w:val="left"/>
    </w:pPr>
    <w:rPr>
      <w:i/>
    </w:rPr>
  </w:style>
  <w:style w:type="paragraph" w:customStyle="1" w:styleId="ChapNo">
    <w:name w:val="Chap_No"/>
    <w:basedOn w:val="Normal"/>
    <w:next w:val="Normal"/>
    <w:rsid w:val="00AA7EE5"/>
    <w:pPr>
      <w:keepNext/>
      <w:keepLines/>
      <w:spacing w:before="480"/>
      <w:jc w:val="center"/>
    </w:pPr>
    <w:rPr>
      <w:b/>
      <w:caps/>
      <w:sz w:val="28"/>
    </w:rPr>
  </w:style>
  <w:style w:type="paragraph" w:customStyle="1" w:styleId="Chaptitle">
    <w:name w:val="Chap_title"/>
    <w:basedOn w:val="Normal"/>
    <w:next w:val="Normalaftertitle"/>
    <w:rsid w:val="00AA7EE5"/>
    <w:pPr>
      <w:keepNext/>
      <w:keepLines/>
      <w:spacing w:before="240"/>
      <w:jc w:val="center"/>
    </w:pPr>
    <w:rPr>
      <w:b/>
      <w:sz w:val="28"/>
    </w:rPr>
  </w:style>
  <w:style w:type="paragraph" w:customStyle="1" w:styleId="Equation">
    <w:name w:val="Equation"/>
    <w:basedOn w:val="Normal"/>
    <w:rsid w:val="00AA7EE5"/>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AA7EE5"/>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AA7EE5"/>
    <w:pPr>
      <w:keepNext/>
      <w:keepLines/>
      <w:tabs>
        <w:tab w:val="clear" w:pos="794"/>
        <w:tab w:val="clear" w:pos="1191"/>
        <w:tab w:val="clear" w:pos="1588"/>
        <w:tab w:val="clear" w:pos="1985"/>
      </w:tabs>
      <w:spacing w:before="20" w:after="20"/>
      <w:jc w:val="left"/>
    </w:pPr>
    <w:rPr>
      <w:sz w:val="18"/>
    </w:rPr>
  </w:style>
  <w:style w:type="paragraph" w:customStyle="1" w:styleId="Figurewithouttitle">
    <w:name w:val="Figure_without_title"/>
    <w:basedOn w:val="Normal"/>
    <w:next w:val="Normalaftertitle"/>
    <w:rsid w:val="00AA7EE5"/>
    <w:pPr>
      <w:keepLines/>
      <w:spacing w:before="240" w:after="120"/>
      <w:jc w:val="center"/>
    </w:pPr>
  </w:style>
  <w:style w:type="paragraph" w:customStyle="1" w:styleId="FirstFooter">
    <w:name w:val="FirstFooter"/>
    <w:basedOn w:val="Footer"/>
    <w:rsid w:val="00AA7EE5"/>
    <w:pPr>
      <w:tabs>
        <w:tab w:val="clear" w:pos="5954"/>
        <w:tab w:val="clear" w:pos="9639"/>
      </w:tabs>
      <w:overflowPunct/>
      <w:autoSpaceDE/>
      <w:autoSpaceDN/>
      <w:adjustRightInd/>
      <w:spacing w:before="40"/>
      <w:jc w:val="left"/>
      <w:textAlignment w:val="auto"/>
    </w:pPr>
    <w:rPr>
      <w:caps w:val="0"/>
      <w:noProof w:val="0"/>
    </w:rPr>
  </w:style>
  <w:style w:type="paragraph" w:customStyle="1" w:styleId="PartNo">
    <w:name w:val="Part_No"/>
    <w:basedOn w:val="Normal"/>
    <w:next w:val="Normal"/>
    <w:rsid w:val="00AA7EE5"/>
    <w:pPr>
      <w:keepNext/>
      <w:keepLines/>
      <w:spacing w:before="480" w:after="80"/>
      <w:jc w:val="center"/>
    </w:pPr>
    <w:rPr>
      <w:caps/>
      <w:sz w:val="28"/>
    </w:rPr>
  </w:style>
  <w:style w:type="paragraph" w:customStyle="1" w:styleId="Partref">
    <w:name w:val="Part_ref"/>
    <w:basedOn w:val="Normal"/>
    <w:next w:val="Normal"/>
    <w:rsid w:val="00AA7EE5"/>
    <w:pPr>
      <w:keepNext/>
      <w:keepLines/>
      <w:spacing w:before="280"/>
      <w:jc w:val="center"/>
    </w:pPr>
  </w:style>
  <w:style w:type="paragraph" w:customStyle="1" w:styleId="Parttitle">
    <w:name w:val="Part_title"/>
    <w:basedOn w:val="Normal"/>
    <w:next w:val="Normalaftertitle"/>
    <w:rsid w:val="00AA7EE5"/>
    <w:pPr>
      <w:keepNext/>
      <w:keepLines/>
      <w:spacing w:before="240" w:after="280"/>
      <w:jc w:val="center"/>
    </w:pPr>
    <w:rPr>
      <w:b/>
      <w:sz w:val="28"/>
    </w:rPr>
  </w:style>
  <w:style w:type="paragraph" w:customStyle="1" w:styleId="Recdate">
    <w:name w:val="Rec_date"/>
    <w:basedOn w:val="Normal"/>
    <w:next w:val="Normalaftertitle"/>
    <w:rsid w:val="00AA7EE5"/>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AA7EE5"/>
  </w:style>
  <w:style w:type="paragraph" w:customStyle="1" w:styleId="QuestionNo">
    <w:name w:val="Question_No"/>
    <w:basedOn w:val="RecNo"/>
    <w:next w:val="Normal"/>
    <w:rsid w:val="00AA7EE5"/>
  </w:style>
  <w:style w:type="paragraph" w:customStyle="1" w:styleId="Recref">
    <w:name w:val="Rec_ref"/>
    <w:basedOn w:val="Normal"/>
    <w:next w:val="Recdate"/>
    <w:rsid w:val="00AA7EE5"/>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AA7EE5"/>
  </w:style>
  <w:style w:type="paragraph" w:customStyle="1" w:styleId="Questiontitle">
    <w:name w:val="Question_title"/>
    <w:basedOn w:val="Rectitle"/>
    <w:next w:val="Questionref"/>
    <w:rsid w:val="00AA7EE5"/>
  </w:style>
  <w:style w:type="paragraph" w:customStyle="1" w:styleId="Reftitle">
    <w:name w:val="Ref_title"/>
    <w:basedOn w:val="Normal"/>
    <w:next w:val="Reftext"/>
    <w:rsid w:val="00AA7EE5"/>
    <w:pPr>
      <w:spacing w:before="480"/>
      <w:jc w:val="center"/>
    </w:pPr>
    <w:rPr>
      <w:b/>
    </w:rPr>
  </w:style>
  <w:style w:type="paragraph" w:customStyle="1" w:styleId="Repdate">
    <w:name w:val="Rep_date"/>
    <w:basedOn w:val="Recdate"/>
    <w:next w:val="Normalaftertitle"/>
    <w:rsid w:val="00AA7EE5"/>
  </w:style>
  <w:style w:type="paragraph" w:customStyle="1" w:styleId="RepNo">
    <w:name w:val="Rep_No"/>
    <w:basedOn w:val="RecNo"/>
    <w:next w:val="Normal"/>
    <w:rsid w:val="00AA7EE5"/>
  </w:style>
  <w:style w:type="paragraph" w:customStyle="1" w:styleId="Repref">
    <w:name w:val="Rep_ref"/>
    <w:basedOn w:val="Recref"/>
    <w:next w:val="Repdate"/>
    <w:rsid w:val="00AA7EE5"/>
  </w:style>
  <w:style w:type="paragraph" w:customStyle="1" w:styleId="Reptitle">
    <w:name w:val="Rep_title"/>
    <w:basedOn w:val="Rectitle"/>
    <w:next w:val="Repref"/>
    <w:rsid w:val="00AA7EE5"/>
  </w:style>
  <w:style w:type="character" w:customStyle="1" w:styleId="Resdef">
    <w:name w:val="Res_def"/>
    <w:basedOn w:val="DefaultParagraphFont"/>
    <w:rsid w:val="00AA7EE5"/>
    <w:rPr>
      <w:rFonts w:ascii="Times New Roman" w:hAnsi="Times New Roman"/>
      <w:b/>
    </w:rPr>
  </w:style>
  <w:style w:type="paragraph" w:customStyle="1" w:styleId="ResNo">
    <w:name w:val="Res_No"/>
    <w:basedOn w:val="RecNo"/>
    <w:next w:val="Normal"/>
    <w:rsid w:val="00AA7EE5"/>
  </w:style>
  <w:style w:type="paragraph" w:customStyle="1" w:styleId="Resref">
    <w:name w:val="Res_ref"/>
    <w:basedOn w:val="Recref"/>
    <w:next w:val="Resdate"/>
    <w:rsid w:val="00AA7EE5"/>
  </w:style>
  <w:style w:type="paragraph" w:customStyle="1" w:styleId="Restitle">
    <w:name w:val="Res_title"/>
    <w:basedOn w:val="Rectitle"/>
    <w:next w:val="Resref"/>
    <w:rsid w:val="00AA7EE5"/>
  </w:style>
  <w:style w:type="paragraph" w:customStyle="1" w:styleId="Section1">
    <w:name w:val="Section_1"/>
    <w:basedOn w:val="Normal"/>
    <w:next w:val="Normal"/>
    <w:rsid w:val="00AA7EE5"/>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AA7EE5"/>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AA7EE5"/>
    <w:pPr>
      <w:keepNext/>
      <w:keepLines/>
      <w:spacing w:before="480" w:after="80"/>
      <w:jc w:val="center"/>
    </w:pPr>
    <w:rPr>
      <w:caps/>
      <w:sz w:val="28"/>
    </w:rPr>
  </w:style>
  <w:style w:type="paragraph" w:customStyle="1" w:styleId="Sectiontitle">
    <w:name w:val="Section_title"/>
    <w:basedOn w:val="Normal"/>
    <w:next w:val="Normalaftertitle"/>
    <w:rsid w:val="00AA7EE5"/>
    <w:pPr>
      <w:keepNext/>
      <w:keepLines/>
      <w:spacing w:before="480" w:after="280"/>
      <w:jc w:val="center"/>
    </w:pPr>
    <w:rPr>
      <w:b/>
      <w:sz w:val="28"/>
    </w:rPr>
  </w:style>
  <w:style w:type="paragraph" w:customStyle="1" w:styleId="Source">
    <w:name w:val="Source"/>
    <w:basedOn w:val="Normal"/>
    <w:next w:val="Normalaftertitle"/>
    <w:rsid w:val="00AA7EE5"/>
    <w:pPr>
      <w:spacing w:before="840" w:after="200"/>
      <w:jc w:val="center"/>
    </w:pPr>
    <w:rPr>
      <w:b/>
      <w:sz w:val="28"/>
    </w:rPr>
  </w:style>
  <w:style w:type="paragraph" w:customStyle="1" w:styleId="SpecialFooter">
    <w:name w:val="Special Footer"/>
    <w:basedOn w:val="Footer"/>
    <w:rsid w:val="00AA7EE5"/>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AA7EE5"/>
    <w:rPr>
      <w:b/>
      <w:color w:val="auto"/>
    </w:rPr>
  </w:style>
  <w:style w:type="paragraph" w:customStyle="1" w:styleId="TableNoTitle0">
    <w:name w:val="Table_NoTitle"/>
    <w:basedOn w:val="Normal"/>
    <w:next w:val="Tablehead"/>
    <w:rsid w:val="00AA7EE5"/>
    <w:pPr>
      <w:keepNext/>
      <w:keepLines/>
      <w:spacing w:before="360" w:after="120"/>
      <w:jc w:val="center"/>
    </w:pPr>
    <w:rPr>
      <w:b/>
    </w:rPr>
  </w:style>
  <w:style w:type="paragraph" w:customStyle="1" w:styleId="Title1">
    <w:name w:val="Title 1"/>
    <w:basedOn w:val="Source"/>
    <w:next w:val="Normal"/>
    <w:rsid w:val="00AA7EE5"/>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AA7EE5"/>
  </w:style>
  <w:style w:type="paragraph" w:customStyle="1" w:styleId="Title3">
    <w:name w:val="Title 3"/>
    <w:basedOn w:val="Title2"/>
    <w:next w:val="Title4"/>
    <w:rsid w:val="00AA7EE5"/>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handle.itu.int/11.1002/1000/16134" TargetMode="External"/><Relationship Id="rId39" Type="http://schemas.openxmlformats.org/officeDocument/2006/relationships/hyperlink" Target="https://quantumconsortium.org/publication/qkd-part-of-a-defense-in-depth-security-strategy/" TargetMode="External"/><Relationship Id="rId21" Type="http://schemas.openxmlformats.org/officeDocument/2006/relationships/image" Target="media/image4.jpeg"/><Relationship Id="rId34" Type="http://schemas.openxmlformats.org/officeDocument/2006/relationships/hyperlink" Target="https://csrc.nist.gov/pubs/fips/203/final"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hyperlink" Target="https://www.etsi.org/deliver/etsi_gr/QKD/001_099/007/01.02.01_60/gr_QKD007v010201p.pdf"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andle.itu.int/11.1002/1000/15785" TargetMode="External"/><Relationship Id="rId32" Type="http://schemas.openxmlformats.org/officeDocument/2006/relationships/hyperlink" Target="https://www.rfc-editor.org/info/rfc8784/" TargetMode="External"/><Relationship Id="rId37" Type="http://schemas.openxmlformats.org/officeDocument/2006/relationships/hyperlink" Target="https://csrc.nist.gov/pubs/ir/8545/final" TargetMode="External"/><Relationship Id="rId40"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handle.itu.int/11.1002/1000/14453" TargetMode="External"/><Relationship Id="rId28" Type="http://schemas.openxmlformats.org/officeDocument/2006/relationships/hyperlink" Target="http://handle.itu.int/11.1002/pub/81d4da6b-en" TargetMode="External"/><Relationship Id="rId36" Type="http://schemas.openxmlformats.org/officeDocument/2006/relationships/hyperlink" Target="https://csrc.nist.gov/pubs/fips/205/final" TargetMode="Externa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yperlink" Target="https://www.rfc-editor.org/info/rfc729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handle.itu.int/11.1002/1000/14805" TargetMode="External"/><Relationship Id="rId27" Type="http://schemas.openxmlformats.org/officeDocument/2006/relationships/hyperlink" Target="https://handle.itu.int/11.1002/1000/16298" TargetMode="External"/><Relationship Id="rId30" Type="http://schemas.openxmlformats.org/officeDocument/2006/relationships/hyperlink" Target="https://ieeexplore.ieee.org/document/10372894" TargetMode="External"/><Relationship Id="rId35" Type="http://schemas.openxmlformats.org/officeDocument/2006/relationships/hyperlink" Target="https://csrc.nist.gov/pubs/fips/204/final"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handle.itu.int/11.1002/1000/13990" TargetMode="External"/><Relationship Id="rId33" Type="http://schemas.openxmlformats.org/officeDocument/2006/relationships/hyperlink" Target="https://committee.iso.org/files/live/sites/jtc1sc27/files/resources/SC27%20Journal%20Vol%204%20Issue%202%20%28rev2%29.pdf?utm_source=chatgpt.com" TargetMode="External"/><Relationship Id="rId38" Type="http://schemas.openxmlformats.org/officeDocument/2006/relationships/hyperlink" Target="https://quantumconsortium.org/publication/a-guide-to-a-quantum-safe-organiz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nga\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107D6-D43A-524F-B373-E6D13BE761FA}">
  <ds:schemaRefs>
    <ds:schemaRef ds:uri="http://schemas.openxmlformats.org/officeDocument/2006/bibliography"/>
  </ds:schemaRefs>
</ds:datastoreItem>
</file>

<file path=customXml/itemProps2.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40DDFB-D929-400E-B1C3-9A0139BB5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F72BB8-607F-4740-BC8A-0445B5E6F97E}">
  <ds:schemaRefs>
    <ds:schemaRef ds:uri="http://schemas.microsoft.com/sharepoint/v3/contenttype/forms"/>
  </ds:schemaRefs>
</ds:datastoreItem>
</file>

<file path=customXml/itemProps5.xml><?xml version="1.0" encoding="utf-8"?>
<ds:datastoreItem xmlns:ds="http://schemas.openxmlformats.org/officeDocument/2006/customXml" ds:itemID="{33751D69-C054-4D4D-81C3-C6AE3340C6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T-TUT-REPORT-E.dotm</Template>
  <TotalTime>8</TotalTime>
  <Pages>17</Pages>
  <Words>5825</Words>
  <Characters>35358</Characters>
  <Application>Microsoft Office Word</Application>
  <DocSecurity>0</DocSecurity>
  <Lines>570</Lines>
  <Paragraphs>236</Paragraphs>
  <ScaleCrop>false</ScaleCrop>
  <HeadingPairs>
    <vt:vector size="2" baseType="variant">
      <vt:variant>
        <vt:lpstr>Title</vt:lpstr>
      </vt:variant>
      <vt:variant>
        <vt:i4>1</vt:i4>
      </vt:variant>
    </vt:vector>
  </HeadingPairs>
  <TitlesOfParts>
    <vt:vector size="1" baseType="lpstr">
      <vt:lpstr>ITU-T Technical Report XSTR.hyb-qsafe (06/2026) Overview of key management of hybrid approaches for quantum-safe communications</vt:lpstr>
    </vt:vector>
  </TitlesOfParts>
  <Manager/>
  <Company/>
  <LinksUpToDate>false</LinksUpToDate>
  <CharactersWithSpaces>40947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XSTR.hyb-qsafe (06/2026) Overview of key management of hybrid approaches for quantum-safe communications</dc:title>
  <dc:subject>XSTR.hyb-qsafe -</dc:subject>
  <dc:creator>ITU-T </dc:creator>
  <cp:keywords>Hybrid approaches, key management, PQC (post-quantum cryptography), QKD (quantum key distribution), QKDN (QKD network), quantum-safe communications</cp:keywords>
  <dc:description/>
  <cp:lastModifiedBy>Gachet, Christelle</cp:lastModifiedBy>
  <cp:revision>6</cp:revision>
  <dcterms:created xsi:type="dcterms:W3CDTF">2026-10-21T16:50:00Z</dcterms:created>
  <dcterms:modified xsi:type="dcterms:W3CDTF">2026-10-22T05:23:00Z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author">
    <vt:lpwstr>Editors</vt:lpwstr>
  </property>
  <property fmtid="{D5CDD505-2E9C-101B-9397-08002B2CF9AE}" pid="4" name="Docbluepink">
    <vt:lpwstr>15/17</vt:lpwstr>
  </property>
  <property fmtid="{D5CDD505-2E9C-101B-9397-08002B2CF9AE}" pid="5" name="Docdate">
    <vt:lpwstr/>
  </property>
  <property fmtid="{D5CDD505-2E9C-101B-9397-08002B2CF9AE}" pid="6" name="Docdest">
    <vt:lpwstr>Virtual, 20-30 April 2021</vt:lpwstr>
  </property>
  <property fmtid="{D5CDD505-2E9C-101B-9397-08002B2CF9AE}" pid="7" name="Docnum">
    <vt:lpwstr>SG17-TD3675</vt:lpwstr>
  </property>
  <property fmtid="{D5CDD505-2E9C-101B-9397-08002B2CF9AE}" pid="8" name="Docorlang">
    <vt:lpwstr/>
  </property>
  <property fmtid="{D5CDD505-2E9C-101B-9397-08002B2CF9AE}" pid="9" name="FileDirRef">
    <vt:lpwstr>mtgctd/My MTG Template doc</vt:lpwstr>
  </property>
  <property fmtid="{D5CDD505-2E9C-101B-9397-08002B2CF9AE}" pid="10" name="FileLeafRef">
    <vt:lpwstr>mtgdoc_template.docx</vt:lpwstr>
  </property>
  <property fmtid="{D5CDD505-2E9C-101B-9397-08002B2CF9AE}" pid="11" name="FSObjType">
    <vt:lpwstr>0</vt:lpwstr>
  </property>
  <property fmtid="{D5CDD505-2E9C-101B-9397-08002B2CF9AE}" pid="12" name="Order">
    <vt:r8>500</vt:r8>
  </property>
  <property fmtid="{D5CDD505-2E9C-101B-9397-08002B2CF9AE}" pid="13" name="Question">
    <vt:lpwstr/>
  </property>
  <property fmtid="{D5CDD505-2E9C-101B-9397-08002B2CF9AE}" pid="14" name="Questions">
    <vt:lpwstr/>
  </property>
  <property fmtid="{D5CDD505-2E9C-101B-9397-08002B2CF9AE}" pid="15" name="SourceC">
    <vt:lpwstr/>
  </property>
  <property fmtid="{D5CDD505-2E9C-101B-9397-08002B2CF9AE}" pid="16" name="ShortName">
    <vt:lpwstr>SG17-C**</vt:lpwstr>
  </property>
  <property fmtid="{D5CDD505-2E9C-101B-9397-08002B2CF9AE}" pid="17" name="IsRevision">
    <vt:bool>false</vt:bool>
  </property>
  <property fmtid="{D5CDD505-2E9C-101B-9397-08002B2CF9AE}" pid="18" name="Purpose1">
    <vt:lpwstr>Other</vt:lpwstr>
  </property>
  <property fmtid="{D5CDD505-2E9C-101B-9397-08002B2CF9AE}" pid="19" name="Abstract">
    <vt:lpwstr>This contribution proposes editorial revisions for the draft XSTR.hyb-qsafe: Overview of key management of hybrid approaches for quantum-safe communications.</vt:lpwstr>
  </property>
  <property fmtid="{D5CDD505-2E9C-101B-9397-08002B2CF9AE}" pid="20" name="QuestionText">
    <vt:lpwstr>Q15/17</vt:lpwstr>
  </property>
  <property fmtid="{D5CDD505-2E9C-101B-9397-08002B2CF9AE}" pid="21" name="SgText">
    <vt:lpwstr>Study Group 17</vt:lpwstr>
  </property>
  <property fmtid="{D5CDD505-2E9C-101B-9397-08002B2CF9AE}" pid="22" name="IsAttachment">
    <vt:bool>false</vt:bool>
  </property>
  <property fmtid="{D5CDD505-2E9C-101B-9397-08002B2CF9AE}" pid="23" name="DocumentSource">
    <vt:lpwstr>National Institute of Information and Communications Technology (NICT), NEC Corporation, Toshiba Corporation</vt:lpwstr>
  </property>
  <property fmtid="{D5CDD505-2E9C-101B-9397-08002B2CF9AE}" pid="24" name="IsTooLateSubmitted">
    <vt:bool>false</vt:bool>
  </property>
  <property fmtid="{D5CDD505-2E9C-101B-9397-08002B2CF9AE}" pid="25" name="IsReservedDoc">
    <vt:bool>false</vt:bool>
  </property>
  <property fmtid="{D5CDD505-2E9C-101B-9397-08002B2CF9AE}" pid="26" name="IsUpdated">
    <vt:bool>false</vt:bool>
  </property>
  <property fmtid="{D5CDD505-2E9C-101B-9397-08002B2CF9AE}" pid="27" name="DocTypeText">
    <vt:lpwstr>RAPPORTEUR GROUP MEETING − C</vt:lpwstr>
  </property>
  <property fmtid="{D5CDD505-2E9C-101B-9397-08002B2CF9AE}" pid="28" name="IsLastVersion">
    <vt:bool>true</vt:bool>
  </property>
  <property fmtid="{D5CDD505-2E9C-101B-9397-08002B2CF9AE}" pid="29" name="Language">
    <vt:lpwstr>English</vt:lpwstr>
  </property>
  <property fmtid="{D5CDD505-2E9C-101B-9397-08002B2CF9AE}" pid="30" name="Typist">
    <vt:lpwstr>Yonga</vt:lpwstr>
  </property>
  <property fmtid="{D5CDD505-2E9C-101B-9397-08002B2CF9AE}" pid="31" name="Date completed">
    <vt:lpwstr>Friday, August 21, 2026</vt:lpwstr>
  </property>
</Properties>
</file>