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23" w:type="dxa"/>
        <w:tblLayout w:type="fixed"/>
        <w:tblLook w:val="04A0" w:firstRow="1" w:lastRow="0" w:firstColumn="1" w:lastColumn="0" w:noHBand="0" w:noVBand="1"/>
      </w:tblPr>
      <w:tblGrid>
        <w:gridCol w:w="1471"/>
        <w:gridCol w:w="11"/>
        <w:gridCol w:w="2615"/>
        <w:gridCol w:w="2105"/>
        <w:gridCol w:w="4121"/>
      </w:tblGrid>
      <w:tr w:rsidR="00B7680E" w:rsidRPr="00525762" w14:paraId="2FD9EFE9" w14:textId="77777777" w:rsidTr="00D83FA6">
        <w:trPr>
          <w:trHeight w:hRule="exact" w:val="1513"/>
        </w:trPr>
        <w:tc>
          <w:tcPr>
            <w:tcW w:w="1481" w:type="dxa"/>
            <w:gridSpan w:val="2"/>
          </w:tcPr>
          <w:p w14:paraId="4020256B" w14:textId="77777777" w:rsidR="00B7680E" w:rsidRPr="00525762" w:rsidRDefault="00B7680E" w:rsidP="00D83FA6">
            <w:pPr>
              <w:jc w:val="left"/>
            </w:pPr>
            <w:bookmarkStart w:id="0" w:name="dtableau"/>
            <w:bookmarkStart w:id="1" w:name="dpurpose" w:colFirst="1" w:colLast="1"/>
            <w:bookmarkStart w:id="2" w:name="_Hlk63666954"/>
          </w:p>
          <w:p w14:paraId="2C485CB4" w14:textId="77777777" w:rsidR="00B7680E" w:rsidRPr="00525762" w:rsidRDefault="00B7680E" w:rsidP="00D83FA6">
            <w:pPr>
              <w:spacing w:before="0"/>
              <w:rPr>
                <w:b/>
                <w:sz w:val="16"/>
              </w:rPr>
            </w:pPr>
          </w:p>
        </w:tc>
        <w:tc>
          <w:tcPr>
            <w:tcW w:w="8841" w:type="dxa"/>
            <w:gridSpan w:val="3"/>
          </w:tcPr>
          <w:p w14:paraId="6F193ABB" w14:textId="77777777" w:rsidR="00B7680E" w:rsidRPr="00525762" w:rsidRDefault="00B7680E" w:rsidP="00D83FA6"/>
          <w:p w14:paraId="35EF13DE" w14:textId="77777777" w:rsidR="00B7680E" w:rsidRPr="00525762" w:rsidRDefault="00B7680E" w:rsidP="00D83FA6">
            <w:pPr>
              <w:spacing w:before="284"/>
              <w:rPr>
                <w:rFonts w:ascii="Arial" w:hAnsi="Arial" w:cs="Arial"/>
                <w:b/>
                <w:bCs/>
                <w:sz w:val="18"/>
              </w:rPr>
            </w:pPr>
            <w:r w:rsidRPr="00525762">
              <w:rPr>
                <w:rFonts w:ascii="Arial" w:hAnsi="Arial" w:cs="Arial"/>
                <w:b/>
                <w:bCs/>
                <w:color w:val="808080"/>
                <w:spacing w:val="100"/>
              </w:rPr>
              <w:t>International Telecommunication Union</w:t>
            </w:r>
          </w:p>
        </w:tc>
      </w:tr>
      <w:tr w:rsidR="00B7680E" w:rsidRPr="00525762" w14:paraId="45E5C4A5" w14:textId="77777777" w:rsidTr="00D83FA6">
        <w:trPr>
          <w:trHeight w:hRule="exact" w:val="1058"/>
        </w:trPr>
        <w:tc>
          <w:tcPr>
            <w:tcW w:w="1481" w:type="dxa"/>
            <w:gridSpan w:val="2"/>
          </w:tcPr>
          <w:p w14:paraId="56D58354" w14:textId="77777777" w:rsidR="00B7680E" w:rsidRPr="00525762" w:rsidRDefault="00B7680E" w:rsidP="00D83FA6">
            <w:pPr>
              <w:spacing w:before="0"/>
            </w:pPr>
          </w:p>
        </w:tc>
        <w:tc>
          <w:tcPr>
            <w:tcW w:w="8841" w:type="dxa"/>
            <w:gridSpan w:val="3"/>
          </w:tcPr>
          <w:p w14:paraId="581C0482" w14:textId="77777777" w:rsidR="00B7680E" w:rsidRPr="00525762" w:rsidRDefault="00B7680E" w:rsidP="00D83FA6"/>
        </w:tc>
      </w:tr>
      <w:tr w:rsidR="00B7680E" w:rsidRPr="00525762" w14:paraId="7B2BF4F7" w14:textId="77777777" w:rsidTr="00D83FA6">
        <w:tblPrEx>
          <w:tblCellMar>
            <w:left w:w="85" w:type="dxa"/>
            <w:right w:w="85" w:type="dxa"/>
          </w:tblCellMar>
        </w:tblPrEx>
        <w:trPr>
          <w:gridBefore w:val="2"/>
          <w:wBefore w:w="1482" w:type="dxa"/>
          <w:trHeight w:val="1005"/>
        </w:trPr>
        <w:tc>
          <w:tcPr>
            <w:tcW w:w="2615" w:type="dxa"/>
          </w:tcPr>
          <w:p w14:paraId="1AB5CA7B" w14:textId="77777777" w:rsidR="00B7680E" w:rsidRPr="00525762" w:rsidRDefault="00B7680E" w:rsidP="00D83FA6">
            <w:pPr>
              <w:rPr>
                <w:b/>
                <w:sz w:val="18"/>
              </w:rPr>
            </w:pPr>
            <w:bookmarkStart w:id="3" w:name="dnume" w:colFirst="1" w:colLast="1"/>
            <w:r w:rsidRPr="00525762">
              <w:rPr>
                <w:rFonts w:ascii="Arial" w:hAnsi="Arial"/>
                <w:b/>
                <w:spacing w:val="40"/>
                <w:sz w:val="72"/>
              </w:rPr>
              <w:t>ITU-T</w:t>
            </w:r>
          </w:p>
        </w:tc>
        <w:tc>
          <w:tcPr>
            <w:tcW w:w="6226" w:type="dxa"/>
            <w:gridSpan w:val="2"/>
          </w:tcPr>
          <w:p w14:paraId="4B2590AC" w14:textId="77777777" w:rsidR="00B7680E" w:rsidRPr="00525762" w:rsidRDefault="00B7680E" w:rsidP="00D83FA6">
            <w:pPr>
              <w:spacing w:before="240"/>
              <w:jc w:val="right"/>
              <w:rPr>
                <w:rFonts w:ascii="Arial" w:hAnsi="Arial" w:cs="Arial"/>
                <w:b/>
                <w:sz w:val="60"/>
              </w:rPr>
            </w:pPr>
            <w:r w:rsidRPr="00525762">
              <w:rPr>
                <w:rFonts w:ascii="Arial" w:hAnsi="Arial"/>
                <w:b/>
                <w:sz w:val="60"/>
              </w:rPr>
              <w:t xml:space="preserve">Technical </w:t>
            </w:r>
            <w:bookmarkStart w:id="4" w:name="_GoBack"/>
            <w:r w:rsidRPr="00525762">
              <w:rPr>
                <w:rFonts w:ascii="Arial" w:hAnsi="Arial"/>
                <w:b/>
                <w:sz w:val="60"/>
              </w:rPr>
              <w:t>Paper</w:t>
            </w:r>
            <w:bookmarkEnd w:id="4"/>
          </w:p>
        </w:tc>
      </w:tr>
      <w:tr w:rsidR="00B7680E" w:rsidRPr="00525762" w14:paraId="73B91056" w14:textId="77777777" w:rsidTr="00D83FA6">
        <w:tblPrEx>
          <w:tblCellMar>
            <w:left w:w="85" w:type="dxa"/>
            <w:right w:w="85" w:type="dxa"/>
          </w:tblCellMar>
        </w:tblPrEx>
        <w:trPr>
          <w:gridBefore w:val="2"/>
          <w:wBefore w:w="1482" w:type="dxa"/>
          <w:trHeight w:val="1039"/>
        </w:trPr>
        <w:tc>
          <w:tcPr>
            <w:tcW w:w="4720" w:type="dxa"/>
            <w:gridSpan w:val="2"/>
          </w:tcPr>
          <w:p w14:paraId="6061A9CE" w14:textId="77777777" w:rsidR="00B7680E" w:rsidRPr="00525762" w:rsidRDefault="00B7680E" w:rsidP="00D83FA6">
            <w:pPr>
              <w:jc w:val="left"/>
              <w:rPr>
                <w:rFonts w:asciiTheme="minorBidi" w:hAnsiTheme="minorBidi" w:cstheme="minorBidi"/>
              </w:rPr>
            </w:pPr>
            <w:bookmarkStart w:id="5" w:name="ddatee" w:colFirst="1" w:colLast="1"/>
            <w:bookmarkEnd w:id="3"/>
            <w:r w:rsidRPr="00525762">
              <w:rPr>
                <w:rFonts w:asciiTheme="minorBidi" w:hAnsiTheme="minorBidi" w:cstheme="minorBidi"/>
              </w:rPr>
              <w:t>TELECOMMUNICATION</w:t>
            </w:r>
            <w:r w:rsidRPr="00525762">
              <w:rPr>
                <w:rFonts w:asciiTheme="minorBidi" w:hAnsiTheme="minorBidi" w:cstheme="minorBidi"/>
              </w:rPr>
              <w:br/>
              <w:t>STANDARDIZATION SECTOR</w:t>
            </w:r>
            <w:r w:rsidRPr="00525762">
              <w:rPr>
                <w:rFonts w:asciiTheme="minorBidi" w:hAnsiTheme="minorBidi" w:cstheme="minorBidi"/>
              </w:rPr>
              <w:br/>
              <w:t>OF ITU</w:t>
            </w:r>
          </w:p>
        </w:tc>
        <w:tc>
          <w:tcPr>
            <w:tcW w:w="4120" w:type="dxa"/>
          </w:tcPr>
          <w:p w14:paraId="1DBC2A44" w14:textId="77777777" w:rsidR="00B7680E" w:rsidRPr="00525762" w:rsidRDefault="00B7680E" w:rsidP="00D83FA6">
            <w:pPr>
              <w:spacing w:before="284"/>
            </w:pPr>
          </w:p>
          <w:p w14:paraId="56AE31CB" w14:textId="4BD2157E" w:rsidR="00B7680E" w:rsidRPr="00525762" w:rsidRDefault="00B7680E" w:rsidP="00D83FA6">
            <w:pPr>
              <w:wordWrap w:val="0"/>
              <w:spacing w:before="284"/>
              <w:jc w:val="right"/>
              <w:rPr>
                <w:rFonts w:ascii="Arial" w:hAnsi="Arial"/>
                <w:sz w:val="28"/>
              </w:rPr>
            </w:pPr>
            <w:r w:rsidRPr="000F2BEE">
              <w:rPr>
                <w:rFonts w:ascii="Arial" w:hAnsi="Arial"/>
                <w:sz w:val="28"/>
              </w:rPr>
              <w:t>(2</w:t>
            </w:r>
            <w:r w:rsidR="00984938">
              <w:rPr>
                <w:rFonts w:ascii="Arial" w:hAnsi="Arial"/>
                <w:sz w:val="28"/>
              </w:rPr>
              <w:t>8</w:t>
            </w:r>
            <w:r w:rsidRPr="000F2BEE">
              <w:rPr>
                <w:rFonts w:ascii="Arial" w:hAnsi="Arial"/>
                <w:sz w:val="28"/>
              </w:rPr>
              <w:t xml:space="preserve"> </w:t>
            </w:r>
            <w:r w:rsidR="00984938">
              <w:rPr>
                <w:rFonts w:ascii="Arial" w:hAnsi="Arial"/>
                <w:sz w:val="28"/>
              </w:rPr>
              <w:t>Jan</w:t>
            </w:r>
            <w:r w:rsidR="00292A33">
              <w:rPr>
                <w:rFonts w:ascii="Arial" w:hAnsi="Arial"/>
                <w:sz w:val="28"/>
              </w:rPr>
              <w:t>uary</w:t>
            </w:r>
            <w:r w:rsidRPr="000F2BEE">
              <w:rPr>
                <w:rFonts w:ascii="Arial" w:hAnsi="Arial"/>
                <w:sz w:val="28"/>
              </w:rPr>
              <w:t xml:space="preserve"> 202</w:t>
            </w:r>
            <w:r w:rsidR="00292A33">
              <w:rPr>
                <w:rFonts w:ascii="Arial" w:hAnsi="Arial"/>
                <w:sz w:val="28"/>
              </w:rPr>
              <w:t>2</w:t>
            </w:r>
            <w:r w:rsidRPr="000F2BEE">
              <w:rPr>
                <w:rFonts w:ascii="Arial" w:hAnsi="Arial"/>
                <w:sz w:val="28"/>
              </w:rPr>
              <w:t>)</w:t>
            </w:r>
          </w:p>
        </w:tc>
      </w:tr>
      <w:tr w:rsidR="00B7680E" w:rsidRPr="00525762" w14:paraId="26006273" w14:textId="77777777" w:rsidTr="00D83FA6">
        <w:trPr>
          <w:cantSplit/>
          <w:trHeight w:hRule="exact" w:val="3632"/>
        </w:trPr>
        <w:tc>
          <w:tcPr>
            <w:tcW w:w="1471" w:type="dxa"/>
          </w:tcPr>
          <w:p w14:paraId="1DB49A0C" w14:textId="77777777" w:rsidR="00B7680E" w:rsidRPr="00525762" w:rsidRDefault="00B7680E" w:rsidP="00D83FA6">
            <w:pPr>
              <w:tabs>
                <w:tab w:val="right" w:pos="9639"/>
              </w:tabs>
              <w:rPr>
                <w:rFonts w:ascii="Arial" w:hAnsi="Arial"/>
                <w:sz w:val="18"/>
              </w:rPr>
            </w:pPr>
            <w:bookmarkStart w:id="6" w:name="dsece" w:colFirst="1" w:colLast="1"/>
            <w:bookmarkEnd w:id="5"/>
          </w:p>
        </w:tc>
        <w:tc>
          <w:tcPr>
            <w:tcW w:w="8851" w:type="dxa"/>
            <w:gridSpan w:val="4"/>
            <w:tcBorders>
              <w:bottom w:val="single" w:sz="12" w:space="0" w:color="auto"/>
            </w:tcBorders>
            <w:vAlign w:val="bottom"/>
          </w:tcPr>
          <w:p w14:paraId="348679EE" w14:textId="77777777" w:rsidR="00B7680E" w:rsidRPr="00525762" w:rsidRDefault="00B7680E" w:rsidP="00D83FA6">
            <w:pPr>
              <w:tabs>
                <w:tab w:val="right" w:pos="9639"/>
              </w:tabs>
              <w:rPr>
                <w:rFonts w:ascii="Arial" w:hAnsi="Arial"/>
                <w:sz w:val="32"/>
              </w:rPr>
            </w:pPr>
          </w:p>
        </w:tc>
      </w:tr>
      <w:tr w:rsidR="00B7680E" w:rsidRPr="00525762" w14:paraId="1B7F3443" w14:textId="77777777" w:rsidTr="00D83FA6">
        <w:trPr>
          <w:cantSplit/>
          <w:trHeight w:hRule="exact" w:val="4844"/>
        </w:trPr>
        <w:tc>
          <w:tcPr>
            <w:tcW w:w="1471" w:type="dxa"/>
          </w:tcPr>
          <w:p w14:paraId="77CD9816" w14:textId="77777777" w:rsidR="00B7680E" w:rsidRPr="00525762" w:rsidRDefault="00B7680E" w:rsidP="00D83FA6">
            <w:pPr>
              <w:tabs>
                <w:tab w:val="right" w:pos="9639"/>
              </w:tabs>
              <w:rPr>
                <w:rFonts w:ascii="Arial" w:hAnsi="Arial"/>
                <w:sz w:val="18"/>
              </w:rPr>
            </w:pPr>
            <w:bookmarkStart w:id="7" w:name="c1tite" w:colFirst="1" w:colLast="1"/>
            <w:bookmarkEnd w:id="6"/>
          </w:p>
        </w:tc>
        <w:tc>
          <w:tcPr>
            <w:tcW w:w="8851" w:type="dxa"/>
            <w:gridSpan w:val="4"/>
          </w:tcPr>
          <w:p w14:paraId="09CB5CA5" w14:textId="75130B2F" w:rsidR="00AF19BC" w:rsidRDefault="00AF19BC" w:rsidP="00D83FA6">
            <w:pPr>
              <w:tabs>
                <w:tab w:val="right" w:pos="9639"/>
              </w:tabs>
              <w:jc w:val="left"/>
              <w:rPr>
                <w:rFonts w:ascii="Arial" w:hAnsi="Arial" w:cs="Arial"/>
                <w:b/>
                <w:bCs/>
                <w:sz w:val="36"/>
              </w:rPr>
            </w:pPr>
            <w:r w:rsidRPr="00AF19BC">
              <w:rPr>
                <w:rFonts w:ascii="Arial" w:hAnsi="Arial" w:cs="Arial"/>
                <w:b/>
                <w:bCs/>
                <w:sz w:val="36"/>
              </w:rPr>
              <w:t>FSTP-SLD-UC</w:t>
            </w:r>
            <w:r>
              <w:rPr>
                <w:rFonts w:ascii="Arial" w:hAnsi="Arial" w:cs="Arial"/>
                <w:b/>
                <w:bCs/>
                <w:sz w:val="36"/>
              </w:rPr>
              <w:t xml:space="preserve"> </w:t>
            </w:r>
          </w:p>
          <w:p w14:paraId="25507AAE" w14:textId="3068D7D4" w:rsidR="00B7680E" w:rsidRPr="00525762" w:rsidRDefault="00AF19BC" w:rsidP="00D83FA6">
            <w:pPr>
              <w:tabs>
                <w:tab w:val="right" w:pos="9639"/>
              </w:tabs>
              <w:jc w:val="left"/>
              <w:rPr>
                <w:rFonts w:ascii="Arial" w:hAnsi="Arial" w:cs="Arial"/>
                <w:b/>
                <w:bCs/>
                <w:sz w:val="36"/>
              </w:rPr>
            </w:pPr>
            <w:r w:rsidRPr="00AF19BC">
              <w:rPr>
                <w:rFonts w:ascii="Arial" w:hAnsi="Arial" w:cs="Arial"/>
                <w:b/>
                <w:bCs/>
                <w:sz w:val="36"/>
              </w:rPr>
              <w:t>Gap analysis: Use cases of safe listening devices</w:t>
            </w:r>
          </w:p>
        </w:tc>
      </w:tr>
      <w:bookmarkEnd w:id="7"/>
      <w:tr w:rsidR="00B7680E" w:rsidRPr="00525762" w14:paraId="01B581BC" w14:textId="77777777" w:rsidTr="00D83FA6">
        <w:trPr>
          <w:cantSplit/>
          <w:trHeight w:hRule="exact" w:val="1513"/>
        </w:trPr>
        <w:tc>
          <w:tcPr>
            <w:tcW w:w="1471" w:type="dxa"/>
          </w:tcPr>
          <w:p w14:paraId="7A04BA04" w14:textId="77777777" w:rsidR="00B7680E" w:rsidRPr="00525762" w:rsidRDefault="00B7680E" w:rsidP="00D83FA6">
            <w:pPr>
              <w:tabs>
                <w:tab w:val="right" w:pos="9639"/>
              </w:tabs>
              <w:rPr>
                <w:rFonts w:ascii="Arial" w:hAnsi="Arial"/>
                <w:sz w:val="18"/>
              </w:rPr>
            </w:pPr>
          </w:p>
        </w:tc>
        <w:tc>
          <w:tcPr>
            <w:tcW w:w="8851" w:type="dxa"/>
            <w:gridSpan w:val="4"/>
            <w:vAlign w:val="bottom"/>
          </w:tcPr>
          <w:p w14:paraId="226116D4" w14:textId="77777777" w:rsidR="00B7680E" w:rsidRPr="00525762" w:rsidRDefault="00B7680E" w:rsidP="00D83FA6">
            <w:pPr>
              <w:tabs>
                <w:tab w:val="right" w:pos="9639"/>
              </w:tabs>
              <w:spacing w:before="60"/>
              <w:jc w:val="right"/>
              <w:rPr>
                <w:rFonts w:ascii="Arial" w:hAnsi="Arial" w:cs="Arial"/>
                <w:sz w:val="32"/>
              </w:rPr>
            </w:pPr>
            <w:bookmarkStart w:id="8" w:name="dnum2e"/>
            <w:bookmarkEnd w:id="8"/>
          </w:p>
        </w:tc>
      </w:tr>
    </w:tbl>
    <w:p w14:paraId="2B3EBE0C" w14:textId="77777777" w:rsidR="00B7680E" w:rsidRPr="00525762" w:rsidRDefault="00B7680E" w:rsidP="00B7680E">
      <w:pPr>
        <w:spacing w:after="120"/>
        <w:jc w:val="center"/>
        <w:sectPr w:rsidR="00B7680E" w:rsidRPr="00525762" w:rsidSect="00D83FA6">
          <w:footerReference w:type="even" r:id="rId11"/>
          <w:headerReference w:type="first" r:id="rId12"/>
          <w:footerReference w:type="first" r:id="rId13"/>
          <w:pgSz w:w="11907" w:h="16840"/>
          <w:pgMar w:top="1089" w:right="1089" w:bottom="720" w:left="1089" w:header="720" w:footer="720" w:gutter="0"/>
          <w:cols w:space="720"/>
          <w:titlePg/>
          <w:docGrid w:linePitch="326"/>
        </w:sectPr>
      </w:pPr>
    </w:p>
    <w:p w14:paraId="210DA768" w14:textId="77777777" w:rsidR="00B7680E" w:rsidRPr="000F2BEE" w:rsidRDefault="00B7680E" w:rsidP="00B7680E">
      <w:pPr>
        <w:keepNext/>
        <w:spacing w:before="160"/>
        <w:jc w:val="left"/>
        <w:rPr>
          <w:rFonts w:eastAsia="MS Mincho"/>
          <w:b/>
          <w:lang w:eastAsia="ja-JP"/>
        </w:rPr>
      </w:pPr>
      <w:bookmarkStart w:id="9" w:name="_Toc44995568"/>
      <w:r w:rsidRPr="000F2BEE">
        <w:rPr>
          <w:rFonts w:eastAsia="MS Mincho"/>
          <w:b/>
          <w:lang w:eastAsia="ja-JP"/>
        </w:rPr>
        <w:lastRenderedPageBreak/>
        <w:t>Summary</w:t>
      </w:r>
    </w:p>
    <w:bookmarkEnd w:id="9"/>
    <w:p w14:paraId="107AEB31" w14:textId="639E2AA3" w:rsidR="00E34C7D" w:rsidRDefault="00E34C7D" w:rsidP="00E34C7D">
      <w:r>
        <w:t xml:space="preserve">This </w:t>
      </w:r>
      <w:r w:rsidR="00CF1FF8">
        <w:t>T</w:t>
      </w:r>
      <w:r>
        <w:t xml:space="preserve">echnical </w:t>
      </w:r>
      <w:r w:rsidR="00CF1FF8">
        <w:t>P</w:t>
      </w:r>
      <w:r>
        <w:t xml:space="preserve">aper reports on new </w:t>
      </w:r>
      <w:r w:rsidR="005944D4">
        <w:t>u</w:t>
      </w:r>
      <w:r>
        <w:t xml:space="preserve">se cases not covered in </w:t>
      </w:r>
      <w:r w:rsidR="00CF1FF8">
        <w:t xml:space="preserve">Recommendation </w:t>
      </w:r>
      <w:r>
        <w:t>ITU-T H.870 (2022) "Guideline on safe listening devices/systems" and explores how users can be given a consistent hearing safeguarding message in accordance with the spirit of this standard.</w:t>
      </w:r>
    </w:p>
    <w:p w14:paraId="569D7D28" w14:textId="5CA2E5BB" w:rsidR="00E34C7D" w:rsidRDefault="00E34C7D" w:rsidP="00E34C7D">
      <w:r>
        <w:t>Wireless headsets are being used in a variety of configurations with other devices. ITU/WHO safe-listening standard first edition (</w:t>
      </w:r>
      <w:r w:rsidR="00CF1FF8">
        <w:t xml:space="preserve">Recommendation </w:t>
      </w:r>
      <w:r>
        <w:t>ITU-T H.870 1st edition) has explicitly addressed their use with portable music playing devices such as the smartphone handset.</w:t>
      </w:r>
    </w:p>
    <w:p w14:paraId="675F600D" w14:textId="673BA691" w:rsidR="00B7680E" w:rsidRDefault="00E34C7D" w:rsidP="00E34C7D">
      <w:pPr>
        <w:tabs>
          <w:tab w:val="clear" w:pos="794"/>
          <w:tab w:val="clear" w:pos="1191"/>
          <w:tab w:val="clear" w:pos="1588"/>
          <w:tab w:val="clear" w:pos="1985"/>
        </w:tabs>
        <w:overflowPunct/>
        <w:autoSpaceDE/>
        <w:autoSpaceDN/>
        <w:adjustRightInd/>
        <w:textAlignment w:val="auto"/>
      </w:pPr>
      <w:r>
        <w:t xml:space="preserve">This </w:t>
      </w:r>
      <w:r w:rsidR="00CF1FF8">
        <w:t>Technical Paper</w:t>
      </w:r>
      <w:r>
        <w:t xml:space="preserve"> considers other use cases and explores how users can be given a consistent hearing safeguarding message in accordance with the spirit of this standard.</w:t>
      </w:r>
    </w:p>
    <w:p w14:paraId="24D1AF66" w14:textId="77777777" w:rsidR="00184B2D" w:rsidRDefault="00184B2D" w:rsidP="00184B2D">
      <w:pPr>
        <w:tabs>
          <w:tab w:val="left" w:pos="720"/>
        </w:tabs>
        <w:overflowPunct/>
        <w:autoSpaceDE/>
        <w:adjustRightInd/>
        <w:jc w:val="left"/>
        <w:rPr>
          <w:rFonts w:eastAsia="MS Mincho"/>
          <w:b/>
          <w:bCs/>
          <w:lang w:eastAsia="zh-CN" w:bidi="ar-DZ"/>
        </w:rPr>
      </w:pPr>
    </w:p>
    <w:p w14:paraId="11EC4379" w14:textId="490A2246" w:rsidR="00184B2D" w:rsidRDefault="00184B2D" w:rsidP="00184B2D">
      <w:pPr>
        <w:tabs>
          <w:tab w:val="left" w:pos="720"/>
        </w:tabs>
        <w:overflowPunct/>
        <w:autoSpaceDE/>
        <w:adjustRightInd/>
        <w:jc w:val="left"/>
        <w:rPr>
          <w:rFonts w:eastAsia="MS Mincho"/>
          <w:b/>
          <w:bCs/>
          <w:lang w:eastAsia="zh-CN" w:bidi="ar-DZ"/>
        </w:rPr>
      </w:pPr>
      <w:r>
        <w:rPr>
          <w:rFonts w:eastAsia="MS Mincho"/>
          <w:b/>
          <w:bCs/>
          <w:lang w:eastAsia="zh-CN" w:bidi="ar-DZ"/>
        </w:rPr>
        <w:t>Note</w:t>
      </w:r>
    </w:p>
    <w:p w14:paraId="792B4189" w14:textId="2FE523AB" w:rsidR="00366CF5" w:rsidRPr="000F2BEE" w:rsidRDefault="00184B2D" w:rsidP="00130CD0">
      <w:pPr>
        <w:pStyle w:val="Note"/>
        <w:rPr>
          <w:rFonts w:eastAsia="MS Mincho"/>
          <w:lang w:eastAsia="zh-CN" w:bidi="ar-DZ"/>
        </w:rPr>
      </w:pPr>
      <w:r>
        <w:rPr>
          <w:lang w:val="en-US"/>
        </w:rPr>
        <w:t>This is an informative ITU-T publication. Mandatory provisions, such as those found in ITU-T Recommendations, are outside the scope of this publication. This publication should only be referenced bibliographically in ITU-T Recommendations.</w:t>
      </w:r>
    </w:p>
    <w:p w14:paraId="50F4BFF8" w14:textId="77777777" w:rsidR="00B7680E" w:rsidRPr="000F2BEE" w:rsidRDefault="00B7680E" w:rsidP="00B7680E">
      <w:pPr>
        <w:tabs>
          <w:tab w:val="clear" w:pos="794"/>
          <w:tab w:val="clear" w:pos="1191"/>
          <w:tab w:val="clear" w:pos="1588"/>
          <w:tab w:val="clear" w:pos="1985"/>
        </w:tabs>
        <w:overflowPunct/>
        <w:autoSpaceDE/>
        <w:autoSpaceDN/>
        <w:adjustRightInd/>
        <w:jc w:val="left"/>
        <w:textAlignment w:val="auto"/>
        <w:rPr>
          <w:rFonts w:eastAsia="MS Mincho"/>
          <w:lang w:eastAsia="zh-CN" w:bidi="ar-DZ"/>
        </w:rPr>
      </w:pPr>
    </w:p>
    <w:p w14:paraId="5875607D" w14:textId="77777777" w:rsidR="00B7680E" w:rsidRPr="000F2BEE" w:rsidRDefault="00B7680E" w:rsidP="00B7680E">
      <w:pPr>
        <w:keepNext/>
        <w:spacing w:before="160"/>
        <w:jc w:val="left"/>
        <w:rPr>
          <w:rFonts w:eastAsia="MS Mincho"/>
          <w:b/>
          <w:lang w:eastAsia="ja-JP"/>
        </w:rPr>
      </w:pPr>
      <w:r w:rsidRPr="000F2BEE">
        <w:rPr>
          <w:rFonts w:eastAsia="MS Mincho"/>
          <w:b/>
          <w:lang w:eastAsia="ja-JP"/>
        </w:rPr>
        <w:t>Keywords</w:t>
      </w:r>
    </w:p>
    <w:p w14:paraId="2A037B9F" w14:textId="52DEA98D" w:rsidR="00B7680E" w:rsidRPr="000F2BEE" w:rsidRDefault="00984938" w:rsidP="00B7680E">
      <w:pPr>
        <w:tabs>
          <w:tab w:val="clear" w:pos="794"/>
          <w:tab w:val="clear" w:pos="1191"/>
          <w:tab w:val="clear" w:pos="1588"/>
          <w:tab w:val="clear" w:pos="1985"/>
        </w:tabs>
        <w:overflowPunct/>
        <w:autoSpaceDE/>
        <w:autoSpaceDN/>
        <w:adjustRightInd/>
        <w:jc w:val="left"/>
        <w:textAlignment w:val="auto"/>
        <w:rPr>
          <w:rFonts w:eastAsia="MS Mincho"/>
          <w:lang w:eastAsia="zh-CN" w:bidi="ar-DZ"/>
        </w:rPr>
      </w:pPr>
      <w:r w:rsidRPr="001F5DB2">
        <w:t>Headsets</w:t>
      </w:r>
      <w:r>
        <w:t xml:space="preserve">, </w:t>
      </w:r>
      <w:r w:rsidRPr="001F5DB2">
        <w:t>personal audio systems, personal music player,</w:t>
      </w:r>
      <w:r>
        <w:t xml:space="preserve"> </w:t>
      </w:r>
      <w:r w:rsidRPr="001F5DB2">
        <w:t>safe</w:t>
      </w:r>
      <w:r w:rsidR="005944D4">
        <w:t xml:space="preserve"> </w:t>
      </w:r>
      <w:r w:rsidRPr="001F5DB2">
        <w:t>listening</w:t>
      </w:r>
    </w:p>
    <w:p w14:paraId="62AA3EED" w14:textId="77777777" w:rsidR="00B7680E" w:rsidRPr="000F2BEE" w:rsidRDefault="00B7680E" w:rsidP="00B7680E">
      <w:pPr>
        <w:tabs>
          <w:tab w:val="clear" w:pos="794"/>
          <w:tab w:val="clear" w:pos="1191"/>
          <w:tab w:val="clear" w:pos="1588"/>
          <w:tab w:val="clear" w:pos="1985"/>
        </w:tabs>
        <w:overflowPunct/>
        <w:autoSpaceDE/>
        <w:autoSpaceDN/>
        <w:adjustRightInd/>
        <w:jc w:val="left"/>
        <w:textAlignment w:val="auto"/>
        <w:rPr>
          <w:rFonts w:eastAsia="MS Mincho"/>
          <w:lang w:eastAsia="zh-CN" w:bidi="ar-DZ"/>
        </w:rPr>
      </w:pPr>
    </w:p>
    <w:p w14:paraId="383D04D5" w14:textId="77777777" w:rsidR="00B7680E" w:rsidRPr="000F2BEE" w:rsidRDefault="00B7680E" w:rsidP="00B7680E">
      <w:pPr>
        <w:keepNext/>
        <w:spacing w:before="160"/>
        <w:jc w:val="left"/>
        <w:rPr>
          <w:rFonts w:eastAsia="MS Mincho"/>
          <w:b/>
          <w:lang w:eastAsia="ja-JP"/>
        </w:rPr>
      </w:pPr>
      <w:r w:rsidRPr="000F2BEE">
        <w:rPr>
          <w:rFonts w:eastAsia="MS Mincho"/>
          <w:b/>
          <w:lang w:eastAsia="ja-JP"/>
        </w:rPr>
        <w:t>Change Log</w:t>
      </w:r>
    </w:p>
    <w:p w14:paraId="17EF2717" w14:textId="3CA7F05D" w:rsidR="00B7680E" w:rsidRPr="00525762" w:rsidRDefault="00984938" w:rsidP="00B7680E">
      <w:r>
        <w:t xml:space="preserve">This document contains Version 1 of </w:t>
      </w:r>
      <w:r>
        <w:rPr>
          <w:noProof/>
        </w:rPr>
        <w:t xml:space="preserve">Technical Paper ITU-T FSTP-SLD-UC </w:t>
      </w:r>
      <w:r>
        <w:t>"</w:t>
      </w:r>
      <w:r>
        <w:rPr>
          <w:noProof/>
        </w:rPr>
        <w:t>Gap analysis: Use cases of safe listening devices</w:t>
      </w:r>
      <w:r>
        <w:t xml:space="preserve">" approved at the ITU-T Study Group 16 meeting </w:t>
      </w:r>
      <w:r w:rsidRPr="00E01F16">
        <w:t xml:space="preserve">held </w:t>
      </w:r>
      <w:r>
        <w:t>online</w:t>
      </w:r>
      <w:r w:rsidRPr="00E01F16">
        <w:t>, 17</w:t>
      </w:r>
      <w:r w:rsidR="00CF1FF8">
        <w:noBreakHyphen/>
      </w:r>
      <w:r w:rsidRPr="00E01F16">
        <w:t>28</w:t>
      </w:r>
      <w:r w:rsidR="00CF1FF8">
        <w:t> </w:t>
      </w:r>
      <w:r w:rsidRPr="00E01F16">
        <w:t>January 2022.</w:t>
      </w:r>
    </w:p>
    <w:p w14:paraId="4CBB4A50" w14:textId="77777777" w:rsidR="00B7680E" w:rsidRDefault="00B7680E" w:rsidP="00B7680E"/>
    <w:p w14:paraId="481EB84D" w14:textId="77777777" w:rsidR="00B7680E" w:rsidRPr="00525762" w:rsidRDefault="00B7680E" w:rsidP="00B7680E"/>
    <w:tbl>
      <w:tblPr>
        <w:tblW w:w="9923" w:type="dxa"/>
        <w:jc w:val="center"/>
        <w:tblLayout w:type="fixed"/>
        <w:tblCellMar>
          <w:left w:w="57" w:type="dxa"/>
          <w:right w:w="57" w:type="dxa"/>
        </w:tblCellMar>
        <w:tblLook w:val="04A0" w:firstRow="1" w:lastRow="0" w:firstColumn="1" w:lastColumn="0" w:noHBand="0" w:noVBand="1"/>
      </w:tblPr>
      <w:tblGrid>
        <w:gridCol w:w="1617"/>
        <w:gridCol w:w="3770"/>
        <w:gridCol w:w="4536"/>
      </w:tblGrid>
      <w:tr w:rsidR="00B7680E" w:rsidRPr="00525762" w14:paraId="61277956" w14:textId="77777777" w:rsidTr="00D83FA6">
        <w:trPr>
          <w:cantSplit/>
          <w:trHeight w:val="204"/>
          <w:jc w:val="center"/>
        </w:trPr>
        <w:tc>
          <w:tcPr>
            <w:tcW w:w="1617" w:type="dxa"/>
          </w:tcPr>
          <w:p w14:paraId="5D91489F" w14:textId="77777777" w:rsidR="00B7680E" w:rsidRPr="00525762" w:rsidRDefault="00B7680E" w:rsidP="00D83FA6">
            <w:pPr>
              <w:rPr>
                <w:b/>
                <w:bCs/>
              </w:rPr>
            </w:pPr>
            <w:r w:rsidRPr="00525762">
              <w:rPr>
                <w:b/>
                <w:bCs/>
              </w:rPr>
              <w:t>Editor</w:t>
            </w:r>
            <w:r w:rsidRPr="00F67DCC">
              <w:t>:</w:t>
            </w:r>
          </w:p>
        </w:tc>
        <w:tc>
          <w:tcPr>
            <w:tcW w:w="3770" w:type="dxa"/>
          </w:tcPr>
          <w:p w14:paraId="299BF61F" w14:textId="4FEC6D49" w:rsidR="00B7680E" w:rsidRPr="00525762" w:rsidRDefault="00986B4B" w:rsidP="00D83FA6">
            <w:pPr>
              <w:jc w:val="left"/>
            </w:pPr>
            <w:sdt>
              <w:sdtPr>
                <w:alias w:val="ContactNameOrgCountry"/>
                <w:tag w:val="ContactNameOrgCountry"/>
                <w:id w:val="-570431109"/>
                <w:placeholder>
                  <w:docPart w:val="92DA020F79FC43C88B02765023BAE0D7"/>
                </w:placeholder>
                <w:text w:multiLine="1"/>
              </w:sdtPr>
              <w:sdtEndPr/>
              <w:sdtContent>
                <w:r w:rsidR="002F0972">
                  <w:t>Stephen Wheatley</w:t>
                </w:r>
                <w:r w:rsidR="002F0972">
                  <w:br/>
                  <w:t>HearAngel</w:t>
                </w:r>
                <w:r w:rsidR="002F0972">
                  <w:br/>
                  <w:t>UK</w:t>
                </w:r>
              </w:sdtContent>
            </w:sdt>
          </w:p>
        </w:tc>
        <w:tc>
          <w:tcPr>
            <w:tcW w:w="4536" w:type="dxa"/>
          </w:tcPr>
          <w:p w14:paraId="5F3DCE7D" w14:textId="450B1AD1" w:rsidR="00B7680E" w:rsidRPr="00525762" w:rsidRDefault="002F0972" w:rsidP="00D83FA6">
            <w:pPr>
              <w:jc w:val="left"/>
            </w:pPr>
            <w:r w:rsidRPr="00BD101C">
              <w:rPr>
                <w:lang w:val="fr-CH"/>
              </w:rPr>
              <w:t xml:space="preserve">E-mail: </w:t>
            </w:r>
            <w:hyperlink r:id="rId14" w:history="1">
              <w:r w:rsidRPr="00BD101C">
                <w:rPr>
                  <w:rStyle w:val="Hyperlink"/>
                  <w:lang w:val="fr-CH"/>
                </w:rPr>
                <w:t>sw@hearangel.com</w:t>
              </w:r>
            </w:hyperlink>
            <w:r w:rsidR="00B7680E" w:rsidRPr="00525762">
              <w:t xml:space="preserve"> </w:t>
            </w:r>
          </w:p>
        </w:tc>
      </w:tr>
      <w:tr w:rsidR="002F0972" w:rsidRPr="00525762" w14:paraId="3587B259" w14:textId="77777777" w:rsidTr="00D83FA6">
        <w:trPr>
          <w:cantSplit/>
          <w:trHeight w:val="204"/>
          <w:jc w:val="center"/>
        </w:trPr>
        <w:tc>
          <w:tcPr>
            <w:tcW w:w="1617" w:type="dxa"/>
          </w:tcPr>
          <w:p w14:paraId="7A30E658" w14:textId="77777777" w:rsidR="002F0972" w:rsidRPr="00525762" w:rsidRDefault="002F0972" w:rsidP="00D83FA6">
            <w:pPr>
              <w:rPr>
                <w:b/>
                <w:bCs/>
              </w:rPr>
            </w:pPr>
          </w:p>
        </w:tc>
        <w:tc>
          <w:tcPr>
            <w:tcW w:w="3770" w:type="dxa"/>
          </w:tcPr>
          <w:p w14:paraId="4101B27C" w14:textId="31D1DCDF" w:rsidR="002F0972" w:rsidRDefault="002F0972" w:rsidP="00D83FA6">
            <w:pPr>
              <w:jc w:val="left"/>
            </w:pPr>
            <w:r>
              <w:t>Richard Glover</w:t>
            </w:r>
            <w:r>
              <w:br/>
              <w:t>HearAngel</w:t>
            </w:r>
            <w:r>
              <w:br/>
              <w:t>UK</w:t>
            </w:r>
          </w:p>
        </w:tc>
        <w:tc>
          <w:tcPr>
            <w:tcW w:w="4536" w:type="dxa"/>
          </w:tcPr>
          <w:p w14:paraId="792903E7" w14:textId="258D69E8" w:rsidR="002F0972" w:rsidRPr="00BD101C" w:rsidRDefault="002F0972" w:rsidP="00D83FA6">
            <w:pPr>
              <w:jc w:val="left"/>
              <w:rPr>
                <w:lang w:val="fr-CH"/>
              </w:rPr>
            </w:pPr>
            <w:r w:rsidRPr="00BD101C">
              <w:rPr>
                <w:lang w:val="fr-CH"/>
              </w:rPr>
              <w:t xml:space="preserve">E-mail: </w:t>
            </w:r>
            <w:hyperlink r:id="rId15" w:history="1">
              <w:r w:rsidRPr="00BD101C">
                <w:rPr>
                  <w:rStyle w:val="Hyperlink"/>
                  <w:lang w:val="fr-CH"/>
                </w:rPr>
                <w:t>rg@hearangel.com</w:t>
              </w:r>
            </w:hyperlink>
          </w:p>
        </w:tc>
      </w:tr>
      <w:tr w:rsidR="002F0972" w:rsidRPr="00525762" w14:paraId="72240EF2" w14:textId="77777777" w:rsidTr="00D83FA6">
        <w:trPr>
          <w:cantSplit/>
          <w:trHeight w:val="204"/>
          <w:jc w:val="center"/>
        </w:trPr>
        <w:tc>
          <w:tcPr>
            <w:tcW w:w="1617" w:type="dxa"/>
          </w:tcPr>
          <w:p w14:paraId="6D766AD1" w14:textId="77777777" w:rsidR="002F0972" w:rsidRPr="00525762" w:rsidRDefault="002F0972" w:rsidP="00D83FA6">
            <w:pPr>
              <w:rPr>
                <w:b/>
                <w:bCs/>
              </w:rPr>
            </w:pPr>
          </w:p>
        </w:tc>
        <w:tc>
          <w:tcPr>
            <w:tcW w:w="3770" w:type="dxa"/>
          </w:tcPr>
          <w:p w14:paraId="72ECBD46" w14:textId="37BD9795" w:rsidR="002F0972" w:rsidRDefault="002F0972" w:rsidP="00D83FA6">
            <w:pPr>
              <w:jc w:val="left"/>
            </w:pPr>
            <w:r>
              <w:t>Masahito Kawamori</w:t>
            </w:r>
            <w:r>
              <w:br/>
              <w:t>Keio University</w:t>
            </w:r>
            <w:r>
              <w:br/>
              <w:t>Japan</w:t>
            </w:r>
          </w:p>
        </w:tc>
        <w:tc>
          <w:tcPr>
            <w:tcW w:w="4536" w:type="dxa"/>
          </w:tcPr>
          <w:p w14:paraId="7F260F40" w14:textId="1C1EAA8C" w:rsidR="002F0972" w:rsidRPr="00BD101C" w:rsidRDefault="002F0972" w:rsidP="00D83FA6">
            <w:pPr>
              <w:jc w:val="left"/>
              <w:rPr>
                <w:lang w:val="fr-CH"/>
              </w:rPr>
            </w:pPr>
            <w:r w:rsidRPr="00BD101C">
              <w:rPr>
                <w:lang w:val="fr-CH"/>
              </w:rPr>
              <w:t xml:space="preserve">E-mail: </w:t>
            </w:r>
            <w:hyperlink r:id="rId16" w:history="1">
              <w:r w:rsidRPr="00BD101C">
                <w:rPr>
                  <w:rStyle w:val="Hyperlink"/>
                  <w:lang w:val="fr-CH"/>
                </w:rPr>
                <w:t>kawamori@sfc.wide.ad.jp</w:t>
              </w:r>
            </w:hyperlink>
          </w:p>
        </w:tc>
      </w:tr>
    </w:tbl>
    <w:p w14:paraId="4266AF9C" w14:textId="77777777" w:rsidR="00B7680E" w:rsidRPr="00525762" w:rsidRDefault="00B7680E" w:rsidP="00B7680E"/>
    <w:p w14:paraId="786BC591" w14:textId="77777777" w:rsidR="00B7680E" w:rsidRPr="00525762" w:rsidRDefault="00B7680E" w:rsidP="00B7680E">
      <w:r w:rsidRPr="00525762">
        <w:br w:type="page"/>
      </w:r>
    </w:p>
    <w:p w14:paraId="598739F8" w14:textId="77777777" w:rsidR="00B7680E" w:rsidRPr="00525762" w:rsidRDefault="00B7680E" w:rsidP="00B7680E">
      <w:pPr>
        <w:keepNext/>
        <w:jc w:val="center"/>
        <w:rPr>
          <w:b/>
          <w:bCs/>
        </w:rPr>
      </w:pPr>
      <w:r>
        <w:rPr>
          <w:b/>
          <w:bCs/>
        </w:rPr>
        <w:lastRenderedPageBreak/>
        <w:t xml:space="preserve">Table of </w:t>
      </w:r>
      <w:r w:rsidRPr="00525762">
        <w:rPr>
          <w:b/>
          <w:bCs/>
        </w:rPr>
        <w:t>Contents</w:t>
      </w:r>
    </w:p>
    <w:p w14:paraId="2803F52A" w14:textId="62476336" w:rsidR="00CB37AF" w:rsidRDefault="00CB37AF" w:rsidP="00CB37AF">
      <w:pPr>
        <w:pStyle w:val="toc0"/>
        <w:ind w:right="992"/>
        <w:rPr>
          <w:noProof/>
        </w:rPr>
      </w:pPr>
      <w:r>
        <w:tab/>
        <w:t>Page</w:t>
      </w:r>
    </w:p>
    <w:p w14:paraId="3AE10188" w14:textId="494E60D7" w:rsidR="00CB37AF" w:rsidRDefault="00CB37AF" w:rsidP="00CB37AF">
      <w:pPr>
        <w:pStyle w:val="TOC1"/>
        <w:ind w:right="992"/>
        <w:rPr>
          <w:rFonts w:asciiTheme="minorHAnsi" w:eastAsiaTheme="minorEastAsia" w:hAnsiTheme="minorHAnsi" w:cstheme="minorBidi"/>
          <w:noProof/>
          <w:sz w:val="22"/>
          <w:szCs w:val="22"/>
          <w:lang w:eastAsia="en-GB"/>
        </w:rPr>
      </w:pPr>
      <w:r>
        <w:rPr>
          <w:noProof/>
        </w:rPr>
        <w:t>1</w:t>
      </w:r>
      <w:r>
        <w:rPr>
          <w:rFonts w:asciiTheme="minorHAnsi" w:eastAsiaTheme="minorEastAsia" w:hAnsiTheme="minorHAnsi" w:cstheme="minorBidi"/>
          <w:noProof/>
          <w:sz w:val="22"/>
          <w:szCs w:val="22"/>
          <w:lang w:eastAsia="en-GB"/>
        </w:rPr>
        <w:tab/>
      </w:r>
      <w:r w:rsidRPr="00CB37AF">
        <w:rPr>
          <w:noProof/>
        </w:rPr>
        <w:t>Scope</w:t>
      </w:r>
      <w:r>
        <w:rPr>
          <w:noProof/>
        </w:rPr>
        <w:tab/>
      </w:r>
      <w:r>
        <w:rPr>
          <w:noProof/>
        </w:rPr>
        <w:tab/>
      </w:r>
      <w:r w:rsidRPr="00CB37AF">
        <w:rPr>
          <w:noProof/>
        </w:rPr>
        <w:t>1</w:t>
      </w:r>
    </w:p>
    <w:p w14:paraId="65049DDD" w14:textId="3510ECD4" w:rsidR="00CB37AF" w:rsidRDefault="00CB37AF" w:rsidP="00CB37AF">
      <w:pPr>
        <w:pStyle w:val="TOC1"/>
        <w:ind w:right="992"/>
        <w:rPr>
          <w:rFonts w:asciiTheme="minorHAnsi" w:eastAsiaTheme="minorEastAsia" w:hAnsiTheme="minorHAnsi" w:cstheme="minorBidi"/>
          <w:noProof/>
          <w:sz w:val="22"/>
          <w:szCs w:val="22"/>
          <w:lang w:eastAsia="en-GB"/>
        </w:rPr>
      </w:pPr>
      <w:r>
        <w:rPr>
          <w:noProof/>
        </w:rPr>
        <w:t>2</w:t>
      </w:r>
      <w:r>
        <w:rPr>
          <w:rFonts w:asciiTheme="minorHAnsi" w:eastAsiaTheme="minorEastAsia" w:hAnsiTheme="minorHAnsi" w:cstheme="minorBidi"/>
          <w:noProof/>
          <w:sz w:val="22"/>
          <w:szCs w:val="22"/>
          <w:lang w:eastAsia="en-GB"/>
        </w:rPr>
        <w:tab/>
      </w:r>
      <w:r w:rsidRPr="00CB37AF">
        <w:rPr>
          <w:noProof/>
        </w:rPr>
        <w:t>References</w:t>
      </w:r>
      <w:r>
        <w:rPr>
          <w:noProof/>
        </w:rPr>
        <w:tab/>
      </w:r>
      <w:r>
        <w:rPr>
          <w:noProof/>
        </w:rPr>
        <w:tab/>
      </w:r>
      <w:r w:rsidRPr="00CB37AF">
        <w:rPr>
          <w:noProof/>
        </w:rPr>
        <w:t>1</w:t>
      </w:r>
    </w:p>
    <w:p w14:paraId="7D2910DB" w14:textId="4BA4D736" w:rsidR="00CB37AF" w:rsidRDefault="00CB37AF" w:rsidP="00CB37AF">
      <w:pPr>
        <w:pStyle w:val="TOC1"/>
        <w:ind w:right="992"/>
        <w:rPr>
          <w:rFonts w:asciiTheme="minorHAnsi" w:eastAsiaTheme="minorEastAsia" w:hAnsiTheme="minorHAnsi" w:cstheme="minorBidi"/>
          <w:noProof/>
          <w:sz w:val="22"/>
          <w:szCs w:val="22"/>
          <w:lang w:eastAsia="en-GB"/>
        </w:rPr>
      </w:pPr>
      <w:r>
        <w:rPr>
          <w:noProof/>
        </w:rPr>
        <w:t>3</w:t>
      </w:r>
      <w:r>
        <w:rPr>
          <w:rFonts w:asciiTheme="minorHAnsi" w:eastAsiaTheme="minorEastAsia" w:hAnsiTheme="minorHAnsi" w:cstheme="minorBidi"/>
          <w:noProof/>
          <w:sz w:val="22"/>
          <w:szCs w:val="22"/>
          <w:lang w:eastAsia="en-GB"/>
        </w:rPr>
        <w:tab/>
      </w:r>
      <w:r w:rsidRPr="00CB37AF">
        <w:rPr>
          <w:noProof/>
        </w:rPr>
        <w:t>Definitions</w:t>
      </w:r>
      <w:r>
        <w:rPr>
          <w:noProof/>
        </w:rPr>
        <w:tab/>
      </w:r>
      <w:r>
        <w:rPr>
          <w:noProof/>
        </w:rPr>
        <w:tab/>
      </w:r>
      <w:r w:rsidRPr="00CB37AF">
        <w:rPr>
          <w:noProof/>
        </w:rPr>
        <w:t>1</w:t>
      </w:r>
    </w:p>
    <w:p w14:paraId="2B789F24" w14:textId="125E3612" w:rsidR="00CB37AF" w:rsidRDefault="00CB37AF" w:rsidP="00CB37AF">
      <w:pPr>
        <w:pStyle w:val="TOC2"/>
        <w:ind w:right="99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 xml:space="preserve">Terms defined </w:t>
      </w:r>
      <w:r w:rsidRPr="00CB37AF">
        <w:rPr>
          <w:noProof/>
        </w:rPr>
        <w:t>elsewhere</w:t>
      </w:r>
      <w:r>
        <w:rPr>
          <w:noProof/>
        </w:rPr>
        <w:tab/>
      </w:r>
      <w:r>
        <w:rPr>
          <w:noProof/>
        </w:rPr>
        <w:tab/>
      </w:r>
      <w:r w:rsidRPr="00CB37AF">
        <w:rPr>
          <w:noProof/>
        </w:rPr>
        <w:t>1</w:t>
      </w:r>
    </w:p>
    <w:p w14:paraId="4D7DEC0A" w14:textId="3872F34F" w:rsidR="00CB37AF" w:rsidRDefault="00CB37AF" w:rsidP="00CB37AF">
      <w:pPr>
        <w:pStyle w:val="TOC2"/>
        <w:ind w:right="99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 xml:space="preserve">Terms defined in this Technical </w:t>
      </w:r>
      <w:r w:rsidRPr="00CB37AF">
        <w:rPr>
          <w:noProof/>
        </w:rPr>
        <w:t>Paper</w:t>
      </w:r>
      <w:r>
        <w:rPr>
          <w:noProof/>
        </w:rPr>
        <w:tab/>
      </w:r>
      <w:r>
        <w:rPr>
          <w:noProof/>
        </w:rPr>
        <w:tab/>
      </w:r>
      <w:r w:rsidRPr="00CB37AF">
        <w:rPr>
          <w:noProof/>
        </w:rPr>
        <w:t>1</w:t>
      </w:r>
    </w:p>
    <w:p w14:paraId="72D50BCE" w14:textId="4DCE2740" w:rsidR="00CB37AF" w:rsidRDefault="00CB37AF" w:rsidP="00CB37AF">
      <w:pPr>
        <w:pStyle w:val="TOC1"/>
        <w:ind w:right="992"/>
        <w:rPr>
          <w:rFonts w:asciiTheme="minorHAnsi" w:eastAsiaTheme="minorEastAsia" w:hAnsiTheme="minorHAnsi" w:cstheme="minorBidi"/>
          <w:noProof/>
          <w:sz w:val="22"/>
          <w:szCs w:val="22"/>
          <w:lang w:eastAsia="en-GB"/>
        </w:rPr>
      </w:pPr>
      <w:r>
        <w:rPr>
          <w:noProof/>
        </w:rPr>
        <w:t>4</w:t>
      </w:r>
      <w:r>
        <w:rPr>
          <w:rFonts w:asciiTheme="minorHAnsi" w:eastAsiaTheme="minorEastAsia" w:hAnsiTheme="minorHAnsi" w:cstheme="minorBidi"/>
          <w:noProof/>
          <w:sz w:val="22"/>
          <w:szCs w:val="22"/>
          <w:lang w:eastAsia="en-GB"/>
        </w:rPr>
        <w:tab/>
      </w:r>
      <w:r>
        <w:rPr>
          <w:noProof/>
        </w:rPr>
        <w:t xml:space="preserve">Abbreviations and </w:t>
      </w:r>
      <w:r w:rsidRPr="00CB37AF">
        <w:rPr>
          <w:noProof/>
        </w:rPr>
        <w:t>acronyms</w:t>
      </w:r>
      <w:r>
        <w:rPr>
          <w:noProof/>
        </w:rPr>
        <w:tab/>
      </w:r>
      <w:r>
        <w:rPr>
          <w:noProof/>
        </w:rPr>
        <w:tab/>
      </w:r>
      <w:r w:rsidRPr="00CB37AF">
        <w:rPr>
          <w:noProof/>
        </w:rPr>
        <w:t>2</w:t>
      </w:r>
    </w:p>
    <w:p w14:paraId="7232C54F" w14:textId="2D26314A" w:rsidR="00CB37AF" w:rsidRDefault="00CB37AF" w:rsidP="00CB37AF">
      <w:pPr>
        <w:pStyle w:val="TOC1"/>
        <w:ind w:right="992"/>
        <w:rPr>
          <w:rFonts w:asciiTheme="minorHAnsi" w:eastAsiaTheme="minorEastAsia" w:hAnsiTheme="minorHAnsi" w:cstheme="minorBidi"/>
          <w:noProof/>
          <w:sz w:val="22"/>
          <w:szCs w:val="22"/>
          <w:lang w:eastAsia="en-GB"/>
        </w:rPr>
      </w:pPr>
      <w:r>
        <w:rPr>
          <w:noProof/>
        </w:rPr>
        <w:t>5</w:t>
      </w:r>
      <w:r>
        <w:rPr>
          <w:rFonts w:asciiTheme="minorHAnsi" w:eastAsiaTheme="minorEastAsia" w:hAnsiTheme="minorHAnsi" w:cstheme="minorBidi"/>
          <w:noProof/>
          <w:sz w:val="22"/>
          <w:szCs w:val="22"/>
          <w:lang w:eastAsia="en-GB"/>
        </w:rPr>
        <w:tab/>
      </w:r>
      <w:r w:rsidRPr="00CB37AF">
        <w:rPr>
          <w:noProof/>
        </w:rPr>
        <w:t>Background</w:t>
      </w:r>
      <w:r>
        <w:rPr>
          <w:noProof/>
        </w:rPr>
        <w:tab/>
      </w:r>
      <w:r>
        <w:rPr>
          <w:noProof/>
        </w:rPr>
        <w:tab/>
      </w:r>
      <w:r w:rsidRPr="00CB37AF">
        <w:rPr>
          <w:noProof/>
        </w:rPr>
        <w:t>2</w:t>
      </w:r>
    </w:p>
    <w:p w14:paraId="20C8620F" w14:textId="10EBA0A9" w:rsidR="00CB37AF" w:rsidRDefault="00CB37AF" w:rsidP="00CB37AF">
      <w:pPr>
        <w:pStyle w:val="TOC2"/>
        <w:ind w:right="992"/>
        <w:rPr>
          <w:rFonts w:asciiTheme="minorHAnsi" w:eastAsiaTheme="minorEastAsia" w:hAnsiTheme="minorHAnsi" w:cstheme="minorBidi"/>
          <w:noProof/>
          <w:sz w:val="22"/>
          <w:szCs w:val="22"/>
          <w:lang w:eastAsia="en-GB"/>
        </w:rPr>
      </w:pPr>
      <w:r>
        <w:rPr>
          <w:noProof/>
        </w:rPr>
        <w:t>5.1</w:t>
      </w:r>
      <w:r>
        <w:rPr>
          <w:rFonts w:asciiTheme="minorHAnsi" w:eastAsiaTheme="minorEastAsia" w:hAnsiTheme="minorHAnsi" w:cstheme="minorBidi"/>
          <w:noProof/>
          <w:sz w:val="22"/>
          <w:szCs w:val="22"/>
          <w:lang w:eastAsia="en-GB"/>
        </w:rPr>
        <w:tab/>
      </w:r>
      <w:r w:rsidRPr="00CB37AF">
        <w:rPr>
          <w:noProof/>
        </w:rPr>
        <w:t>Issue</w:t>
      </w:r>
      <w:r>
        <w:rPr>
          <w:noProof/>
        </w:rPr>
        <w:tab/>
      </w:r>
      <w:r>
        <w:rPr>
          <w:noProof/>
        </w:rPr>
        <w:tab/>
      </w:r>
      <w:r w:rsidRPr="00CB37AF">
        <w:rPr>
          <w:noProof/>
        </w:rPr>
        <w:t>2</w:t>
      </w:r>
    </w:p>
    <w:p w14:paraId="4266A4C1" w14:textId="5F4DE1FB" w:rsidR="00CB37AF" w:rsidRDefault="00CB37AF" w:rsidP="00CB37AF">
      <w:pPr>
        <w:pStyle w:val="TOC2"/>
        <w:ind w:right="99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sidRPr="00CB37AF">
        <w:rPr>
          <w:noProof/>
        </w:rPr>
        <w:t>Consideration</w:t>
      </w:r>
      <w:r>
        <w:rPr>
          <w:noProof/>
        </w:rPr>
        <w:tab/>
      </w:r>
      <w:r>
        <w:rPr>
          <w:noProof/>
        </w:rPr>
        <w:tab/>
      </w:r>
      <w:r w:rsidRPr="00CB37AF">
        <w:rPr>
          <w:noProof/>
        </w:rPr>
        <w:t>3</w:t>
      </w:r>
    </w:p>
    <w:p w14:paraId="76CB48A4" w14:textId="4AFB57FD" w:rsidR="00CB37AF" w:rsidRDefault="00CB37AF" w:rsidP="00CB37AF">
      <w:pPr>
        <w:pStyle w:val="TOC1"/>
        <w:ind w:right="992"/>
        <w:rPr>
          <w:rFonts w:asciiTheme="minorHAnsi" w:eastAsiaTheme="minorEastAsia" w:hAnsiTheme="minorHAnsi" w:cstheme="minorBidi"/>
          <w:noProof/>
          <w:sz w:val="22"/>
          <w:szCs w:val="22"/>
          <w:lang w:eastAsia="en-GB"/>
        </w:rPr>
      </w:pPr>
      <w:r>
        <w:rPr>
          <w:noProof/>
        </w:rPr>
        <w:t>6</w:t>
      </w:r>
      <w:r>
        <w:rPr>
          <w:rFonts w:asciiTheme="minorHAnsi" w:eastAsiaTheme="minorEastAsia" w:hAnsiTheme="minorHAnsi" w:cstheme="minorBidi"/>
          <w:noProof/>
          <w:sz w:val="22"/>
          <w:szCs w:val="22"/>
          <w:lang w:eastAsia="en-GB"/>
        </w:rPr>
        <w:tab/>
      </w:r>
      <w:r>
        <w:rPr>
          <w:noProof/>
        </w:rPr>
        <w:t xml:space="preserve">Use </w:t>
      </w:r>
      <w:r w:rsidRPr="00CB37AF">
        <w:rPr>
          <w:noProof/>
        </w:rPr>
        <w:t>cases</w:t>
      </w:r>
      <w:r>
        <w:rPr>
          <w:noProof/>
        </w:rPr>
        <w:tab/>
      </w:r>
      <w:r>
        <w:rPr>
          <w:noProof/>
        </w:rPr>
        <w:tab/>
      </w:r>
      <w:r w:rsidRPr="00CB37AF">
        <w:rPr>
          <w:noProof/>
        </w:rPr>
        <w:t>3</w:t>
      </w:r>
    </w:p>
    <w:p w14:paraId="6FAEB52F" w14:textId="71136DFD" w:rsidR="00CB37AF" w:rsidRDefault="00CB37AF" w:rsidP="00CB37AF">
      <w:pPr>
        <w:pStyle w:val="TOC1"/>
        <w:ind w:right="992"/>
        <w:rPr>
          <w:rFonts w:asciiTheme="minorHAnsi" w:eastAsiaTheme="minorEastAsia" w:hAnsiTheme="minorHAnsi" w:cstheme="minorBidi"/>
          <w:noProof/>
          <w:sz w:val="22"/>
          <w:szCs w:val="22"/>
          <w:lang w:eastAsia="en-GB"/>
        </w:rPr>
      </w:pPr>
      <w:r>
        <w:rPr>
          <w:noProof/>
        </w:rPr>
        <w:t xml:space="preserve">Annex A – Use </w:t>
      </w:r>
      <w:r w:rsidRPr="00CB37AF">
        <w:rPr>
          <w:noProof/>
        </w:rPr>
        <w:t>cases</w:t>
      </w:r>
      <w:r>
        <w:rPr>
          <w:noProof/>
        </w:rPr>
        <w:tab/>
      </w:r>
      <w:r>
        <w:rPr>
          <w:noProof/>
        </w:rPr>
        <w:tab/>
      </w:r>
      <w:r w:rsidRPr="00CB37AF">
        <w:rPr>
          <w:noProof/>
        </w:rPr>
        <w:t>4</w:t>
      </w:r>
    </w:p>
    <w:p w14:paraId="43F317F7" w14:textId="00A26543" w:rsidR="00B7680E" w:rsidRDefault="00B7680E" w:rsidP="00CB37AF"/>
    <w:p w14:paraId="0DFC62A5" w14:textId="77777777" w:rsidR="00CB37AF" w:rsidRDefault="00CB37AF" w:rsidP="00491C7E"/>
    <w:p w14:paraId="69F20A64" w14:textId="77777777" w:rsidR="00491C7E" w:rsidRDefault="00491C7E" w:rsidP="00EE3B41"/>
    <w:p w14:paraId="75049A6A" w14:textId="77777777" w:rsidR="00EE3B41" w:rsidRDefault="00EE3B41" w:rsidP="00B7680E"/>
    <w:p w14:paraId="5FEB2CA7" w14:textId="77777777" w:rsidR="00B7680E" w:rsidRDefault="00B7680E" w:rsidP="00B7680E"/>
    <w:p w14:paraId="56A7EE30" w14:textId="77777777" w:rsidR="00B7680E" w:rsidRPr="00525762" w:rsidRDefault="00B7680E" w:rsidP="00B7680E"/>
    <w:p w14:paraId="03698C85" w14:textId="77777777" w:rsidR="00B7680E" w:rsidRPr="00525762" w:rsidRDefault="00B7680E" w:rsidP="00B7680E">
      <w:pPr>
        <w:sectPr w:rsidR="00B7680E" w:rsidRPr="00525762" w:rsidSect="00D83FA6">
          <w:headerReference w:type="even" r:id="rId17"/>
          <w:headerReference w:type="default" r:id="rId18"/>
          <w:footerReference w:type="default" r:id="rId19"/>
          <w:headerReference w:type="first" r:id="rId20"/>
          <w:footerReference w:type="first" r:id="rId21"/>
          <w:pgSz w:w="11907" w:h="16840" w:code="9"/>
          <w:pgMar w:top="1134" w:right="1134" w:bottom="1134" w:left="1134" w:header="567" w:footer="567" w:gutter="0"/>
          <w:pgNumType w:fmt="lowerRoman"/>
          <w:cols w:space="720"/>
          <w:docGrid w:linePitch="326"/>
        </w:sectPr>
      </w:pPr>
    </w:p>
    <w:p w14:paraId="03407F12" w14:textId="1034D932" w:rsidR="00B7680E" w:rsidRDefault="00B7680E" w:rsidP="00B7680E">
      <w:pPr>
        <w:pStyle w:val="RecNo"/>
      </w:pPr>
      <w:r w:rsidRPr="00792257">
        <w:t xml:space="preserve">Technical Paper ITU-T </w:t>
      </w:r>
      <w:r w:rsidR="00AF19BC">
        <w:rPr>
          <w:noProof/>
        </w:rPr>
        <w:t>FSTP-SLD-UC</w:t>
      </w:r>
    </w:p>
    <w:p w14:paraId="5C578438" w14:textId="16D022AF" w:rsidR="00B7680E" w:rsidRPr="007777D2" w:rsidRDefault="00AF19BC" w:rsidP="00B7680E">
      <w:pPr>
        <w:pStyle w:val="Rectitle"/>
      </w:pPr>
      <w:r>
        <w:rPr>
          <w:noProof/>
        </w:rPr>
        <w:t>Gap analysis: Use cases of safe listening devices</w:t>
      </w:r>
    </w:p>
    <w:p w14:paraId="05A357D2" w14:textId="32E0DC4B" w:rsidR="00EA49AC" w:rsidRDefault="0032747B" w:rsidP="00366CF5">
      <w:pPr>
        <w:pStyle w:val="Heading1"/>
      </w:pPr>
      <w:bookmarkStart w:id="10" w:name="_Toc63771986"/>
      <w:bookmarkStart w:id="11" w:name="_Toc93914589"/>
      <w:bookmarkStart w:id="12" w:name="_Toc95410159"/>
      <w:bookmarkStart w:id="13" w:name="_Toc96524116"/>
      <w:bookmarkStart w:id="14" w:name="_Toc96524845"/>
      <w:bookmarkStart w:id="15" w:name="_Toc99356565"/>
      <w:bookmarkEnd w:id="0"/>
      <w:bookmarkEnd w:id="1"/>
      <w:bookmarkEnd w:id="2"/>
      <w:r>
        <w:t>1</w:t>
      </w:r>
      <w:r>
        <w:tab/>
      </w:r>
      <w:r w:rsidR="00EA49AC">
        <w:t>Scope</w:t>
      </w:r>
      <w:bookmarkEnd w:id="10"/>
      <w:bookmarkEnd w:id="11"/>
      <w:bookmarkEnd w:id="12"/>
      <w:bookmarkEnd w:id="13"/>
      <w:bookmarkEnd w:id="14"/>
      <w:bookmarkEnd w:id="15"/>
    </w:p>
    <w:p w14:paraId="666CD466" w14:textId="61AA7BDF" w:rsidR="00EA49AC" w:rsidRPr="00382DF0" w:rsidRDefault="00EA49AC" w:rsidP="00EA49AC">
      <w:r>
        <w:t xml:space="preserve">This </w:t>
      </w:r>
      <w:r w:rsidR="00FC3D6D">
        <w:t xml:space="preserve">Technical Paper </w:t>
      </w:r>
      <w:r>
        <w:t xml:space="preserve">considers new </w:t>
      </w:r>
      <w:r w:rsidR="000A4AC0">
        <w:t>u</w:t>
      </w:r>
      <w:r w:rsidR="00B276E3">
        <w:t>se case</w:t>
      </w:r>
      <w:r>
        <w:t xml:space="preserve">s not covered in the first version of </w:t>
      </w:r>
      <w:r w:rsidR="00FC3D6D">
        <w:t>[ITU-T H.870]</w:t>
      </w:r>
      <w:r>
        <w:t xml:space="preserve"> and explores how users can be given a consistent hearing safeguarding message in accordance with the spirit of this standard. </w:t>
      </w:r>
      <w:r w:rsidRPr="00382DF0">
        <w:t xml:space="preserve">This is intended to be a gap analysis for the current version of </w:t>
      </w:r>
      <w:r w:rsidR="00FC3D6D">
        <w:t>[ITU</w:t>
      </w:r>
      <w:r w:rsidR="00FC3D6D">
        <w:noBreakHyphen/>
        <w:t>T H.870]</w:t>
      </w:r>
      <w:r w:rsidRPr="00382DF0">
        <w:t xml:space="preserve"> against market trends.</w:t>
      </w:r>
    </w:p>
    <w:p w14:paraId="781D4756" w14:textId="0B96CA70" w:rsidR="00EA49AC" w:rsidRPr="00382DF0" w:rsidRDefault="0032747B" w:rsidP="00EE3B41">
      <w:pPr>
        <w:pStyle w:val="Heading1"/>
      </w:pPr>
      <w:bookmarkStart w:id="16" w:name="_Toc63771987"/>
      <w:bookmarkStart w:id="17" w:name="_Toc93914590"/>
      <w:bookmarkStart w:id="18" w:name="_Toc95410160"/>
      <w:bookmarkStart w:id="19" w:name="_Toc96524117"/>
      <w:bookmarkStart w:id="20" w:name="_Toc96524846"/>
      <w:bookmarkStart w:id="21" w:name="_Toc99356566"/>
      <w:r w:rsidRPr="00382DF0">
        <w:t>2</w:t>
      </w:r>
      <w:r w:rsidRPr="00382DF0">
        <w:tab/>
      </w:r>
      <w:r w:rsidR="00EA49AC" w:rsidRPr="00382DF0">
        <w:t>References</w:t>
      </w:r>
      <w:bookmarkEnd w:id="16"/>
      <w:bookmarkEnd w:id="17"/>
      <w:bookmarkEnd w:id="18"/>
      <w:bookmarkEnd w:id="19"/>
      <w:bookmarkEnd w:id="20"/>
      <w:bookmarkEnd w:id="21"/>
    </w:p>
    <w:p w14:paraId="164698DE" w14:textId="645F0B9A" w:rsidR="00EA49AC" w:rsidRPr="00382DF0" w:rsidRDefault="008109E2" w:rsidP="00551E49">
      <w:pPr>
        <w:pStyle w:val="Reftext"/>
        <w:tabs>
          <w:tab w:val="clear" w:pos="794"/>
          <w:tab w:val="clear" w:pos="1191"/>
        </w:tabs>
        <w:ind w:left="1588" w:hanging="1588"/>
      </w:pPr>
      <w:r>
        <w:t>[ITU-T H.870]</w:t>
      </w:r>
      <w:r>
        <w:tab/>
      </w:r>
      <w:r w:rsidR="00FC3D6D">
        <w:t xml:space="preserve">Recommendation </w:t>
      </w:r>
      <w:r w:rsidR="00EA49AC" w:rsidRPr="00382DF0">
        <w:t xml:space="preserve">ITU-T H.870 </w:t>
      </w:r>
      <w:r w:rsidR="00AC0940">
        <w:t>(2022)</w:t>
      </w:r>
      <w:r w:rsidR="00C167FC">
        <w:t>,</w:t>
      </w:r>
      <w:r w:rsidR="00AC0940">
        <w:t xml:space="preserve"> </w:t>
      </w:r>
      <w:r w:rsidR="00EA49AC" w:rsidRPr="00CF4C93">
        <w:rPr>
          <w:i/>
          <w:iCs/>
        </w:rPr>
        <w:t>Guideline</w:t>
      </w:r>
      <w:r w:rsidR="000A4AC0">
        <w:rPr>
          <w:i/>
          <w:iCs/>
        </w:rPr>
        <w:t>s for</w:t>
      </w:r>
      <w:r w:rsidR="00EA49AC" w:rsidRPr="00CF4C93">
        <w:rPr>
          <w:i/>
          <w:iCs/>
        </w:rPr>
        <w:t xml:space="preserve"> </w:t>
      </w:r>
      <w:r w:rsidR="002F0B64" w:rsidRPr="00CF4C93">
        <w:rPr>
          <w:i/>
          <w:iCs/>
        </w:rPr>
        <w:t xml:space="preserve">safe </w:t>
      </w:r>
      <w:r w:rsidR="00EA49AC" w:rsidRPr="00CF4C93">
        <w:rPr>
          <w:i/>
          <w:iCs/>
        </w:rPr>
        <w:t>listening devices/systems</w:t>
      </w:r>
      <w:r w:rsidR="00EA49AC" w:rsidRPr="00382DF0">
        <w:t>.</w:t>
      </w:r>
    </w:p>
    <w:p w14:paraId="53F76DBE" w14:textId="359B05A6" w:rsidR="00EA49AC" w:rsidRDefault="00C167FC" w:rsidP="00551E49">
      <w:pPr>
        <w:pStyle w:val="Reftext"/>
        <w:tabs>
          <w:tab w:val="clear" w:pos="794"/>
          <w:tab w:val="clear" w:pos="1191"/>
        </w:tabs>
        <w:ind w:left="1588" w:hanging="1588"/>
      </w:pPr>
      <w:r>
        <w:t>[</w:t>
      </w:r>
      <w:r w:rsidRPr="00382DF0">
        <w:t>IEC</w:t>
      </w:r>
      <w:r>
        <w:t xml:space="preserve"> 62368-1]</w:t>
      </w:r>
      <w:r>
        <w:tab/>
      </w:r>
      <w:r w:rsidR="00EA49AC" w:rsidRPr="00382DF0">
        <w:t>IEC</w:t>
      </w:r>
      <w:r w:rsidR="00EA49AC">
        <w:t xml:space="preserve"> 62368-1:2018</w:t>
      </w:r>
      <w:r>
        <w:t>,</w:t>
      </w:r>
      <w:r w:rsidR="00EA49AC">
        <w:t xml:space="preserve"> </w:t>
      </w:r>
      <w:r w:rsidR="00EA49AC" w:rsidRPr="00CF4C93">
        <w:rPr>
          <w:i/>
          <w:iCs/>
        </w:rPr>
        <w:t>Audio/video, information and communication technology equipment – Part 1: Safety requirements</w:t>
      </w:r>
      <w:r w:rsidR="00EA49AC" w:rsidRPr="002D3A69">
        <w:t>.</w:t>
      </w:r>
    </w:p>
    <w:p w14:paraId="4B3AA19B" w14:textId="77777777" w:rsidR="00CF4C93" w:rsidRPr="00835292" w:rsidRDefault="00CF4C93" w:rsidP="00551E49">
      <w:pPr>
        <w:pStyle w:val="Reftext"/>
        <w:tabs>
          <w:tab w:val="clear" w:pos="794"/>
          <w:tab w:val="clear" w:pos="1191"/>
        </w:tabs>
        <w:ind w:left="1588" w:hanging="1588"/>
      </w:pPr>
      <w:bookmarkStart w:id="22" w:name="_Toc63771988"/>
      <w:bookmarkStart w:id="23" w:name="_Toc93914591"/>
      <w:bookmarkStart w:id="24" w:name="_Toc95410161"/>
      <w:r w:rsidRPr="00835292">
        <w:t>[EN 50332-3]</w:t>
      </w:r>
      <w:r w:rsidRPr="00835292">
        <w:tab/>
        <w:t xml:space="preserve">CENELEC EN 50332-3 (2017), </w:t>
      </w:r>
      <w:r w:rsidRPr="00835292">
        <w:rPr>
          <w:i/>
          <w:iCs/>
        </w:rPr>
        <w:t>Sound system equipment: Headphones and earphones associated with personal music players – Maximum sound pressure level measurement methodology – Part 3: Measurement method for sound dose management</w:t>
      </w:r>
      <w:r w:rsidRPr="00835292">
        <w:t>.</w:t>
      </w:r>
    </w:p>
    <w:p w14:paraId="43901EB2" w14:textId="2D4CFADF" w:rsidR="00CF4C93" w:rsidRDefault="00CF4C93" w:rsidP="00551E49">
      <w:pPr>
        <w:pStyle w:val="Reftext"/>
        <w:tabs>
          <w:tab w:val="clear" w:pos="794"/>
          <w:tab w:val="clear" w:pos="1191"/>
        </w:tabs>
        <w:ind w:left="1588" w:hanging="1588"/>
      </w:pPr>
      <w:r>
        <w:t>[Bluetooth]</w:t>
      </w:r>
      <w:r>
        <w:tab/>
        <w:t xml:space="preserve">Bluetooth SIG, </w:t>
      </w:r>
      <w:r w:rsidRPr="00530AC9">
        <w:rPr>
          <w:i/>
          <w:iCs/>
        </w:rPr>
        <w:t>Bluetooth Core Specification Version 5.2, Feature Overview</w:t>
      </w:r>
      <w:r>
        <w:t>, 9 December 2020.</w:t>
      </w:r>
      <w:r w:rsidR="00387DA2">
        <w:br/>
        <w:t>&lt;</w:t>
      </w:r>
      <w:hyperlink r:id="rId22" w:history="1">
        <w:r w:rsidRPr="004057BD">
          <w:rPr>
            <w:rStyle w:val="Hyperlink"/>
            <w:sz w:val="22"/>
            <w:szCs w:val="22"/>
          </w:rPr>
          <w:t>https://www.bluetooth.com/wp-content/uploads/2020/01/Bluetooth_5.2_Feature_Overview.pdf</w:t>
        </w:r>
      </w:hyperlink>
      <w:r w:rsidRPr="004057BD">
        <w:rPr>
          <w:sz w:val="22"/>
          <w:szCs w:val="22"/>
        </w:rPr>
        <w:t xml:space="preserve"> </w:t>
      </w:r>
      <w:r w:rsidR="00387DA2">
        <w:rPr>
          <w:sz w:val="22"/>
          <w:szCs w:val="22"/>
        </w:rPr>
        <w:t>&gt;</w:t>
      </w:r>
    </w:p>
    <w:p w14:paraId="5639E352" w14:textId="75801A4B" w:rsidR="00EA49AC" w:rsidRDefault="0032747B" w:rsidP="006827A7">
      <w:pPr>
        <w:pStyle w:val="Heading1"/>
      </w:pPr>
      <w:bookmarkStart w:id="25" w:name="_Toc96524118"/>
      <w:bookmarkStart w:id="26" w:name="_Toc96524847"/>
      <w:bookmarkStart w:id="27" w:name="_Toc99356567"/>
      <w:r>
        <w:t>3</w:t>
      </w:r>
      <w:r>
        <w:tab/>
      </w:r>
      <w:r w:rsidR="00FC3D6D">
        <w:t>D</w:t>
      </w:r>
      <w:r w:rsidR="00EA49AC">
        <w:t>efinitions</w:t>
      </w:r>
      <w:bookmarkEnd w:id="22"/>
      <w:bookmarkEnd w:id="23"/>
      <w:bookmarkEnd w:id="24"/>
      <w:bookmarkEnd w:id="25"/>
      <w:bookmarkEnd w:id="26"/>
      <w:bookmarkEnd w:id="27"/>
    </w:p>
    <w:p w14:paraId="05D29DB4" w14:textId="45A2C2A2" w:rsidR="00EA49AC" w:rsidRDefault="0032747B" w:rsidP="006827A7">
      <w:pPr>
        <w:pStyle w:val="Heading2"/>
      </w:pPr>
      <w:bookmarkStart w:id="28" w:name="_Toc63771989"/>
      <w:bookmarkStart w:id="29" w:name="_Toc93914592"/>
      <w:bookmarkStart w:id="30" w:name="_Toc95410162"/>
      <w:bookmarkStart w:id="31" w:name="_Toc96524119"/>
      <w:bookmarkStart w:id="32" w:name="_Toc96524848"/>
      <w:bookmarkStart w:id="33" w:name="_Toc99356568"/>
      <w:r>
        <w:t>3.1</w:t>
      </w:r>
      <w:r>
        <w:tab/>
      </w:r>
      <w:r w:rsidR="00EA49AC">
        <w:t>Terms defined elsewhere</w:t>
      </w:r>
      <w:bookmarkEnd w:id="28"/>
      <w:bookmarkEnd w:id="29"/>
      <w:bookmarkEnd w:id="30"/>
      <w:bookmarkEnd w:id="31"/>
      <w:bookmarkEnd w:id="32"/>
      <w:bookmarkEnd w:id="33"/>
    </w:p>
    <w:p w14:paraId="7BF8BEDB" w14:textId="1CE5F2C7" w:rsidR="00EA49AC" w:rsidRDefault="00EA49AC" w:rsidP="00EA49AC">
      <w:r>
        <w:t xml:space="preserve">This Technical </w:t>
      </w:r>
      <w:r w:rsidR="00E01F16">
        <w:t>Paper</w:t>
      </w:r>
      <w:r>
        <w:t xml:space="preserve"> uses the following terms defined elsewhere:</w:t>
      </w:r>
    </w:p>
    <w:p w14:paraId="1E7C9326" w14:textId="77777777" w:rsidR="001F3E8B" w:rsidRDefault="001500B5" w:rsidP="001F3E8B">
      <w:pPr>
        <w:tabs>
          <w:tab w:val="left" w:pos="851"/>
        </w:tabs>
      </w:pPr>
      <w:r w:rsidRPr="00D64A0B">
        <w:rPr>
          <w:b/>
        </w:rPr>
        <w:t>3.1.1</w:t>
      </w:r>
      <w:r w:rsidRPr="00D64A0B">
        <w:rPr>
          <w:b/>
        </w:rPr>
        <w:tab/>
      </w:r>
      <w:r w:rsidR="001F3E8B">
        <w:rPr>
          <w:b/>
        </w:rPr>
        <w:t xml:space="preserve">calculated sound dose </w:t>
      </w:r>
      <w:r w:rsidR="001F3E8B">
        <w:t>[IEC 62368-1]: One week rolling estimate of sound exposure expressed in percent of the maximum regarded as safe.</w:t>
      </w:r>
    </w:p>
    <w:p w14:paraId="2C25DF2A" w14:textId="2FAFE51E" w:rsidR="001F3E8B" w:rsidRDefault="001F3E8B" w:rsidP="001F3E8B">
      <w:pPr>
        <w:pStyle w:val="Note"/>
      </w:pPr>
      <w:r>
        <w:t xml:space="preserve">NOTE – See </w:t>
      </w:r>
      <w:r w:rsidR="00FC3D6D">
        <w:t xml:space="preserve">clause </w:t>
      </w:r>
      <w:r>
        <w:t>B.4 of [EN 50332-3] for additional information.</w:t>
      </w:r>
    </w:p>
    <w:p w14:paraId="76813DC8" w14:textId="3CC1384B" w:rsidR="001F3E8B" w:rsidRDefault="001500B5" w:rsidP="001500B5">
      <w:pPr>
        <w:tabs>
          <w:tab w:val="left" w:pos="851"/>
        </w:tabs>
        <w:rPr>
          <w:b/>
        </w:rPr>
      </w:pPr>
      <w:r w:rsidRPr="00D64A0B">
        <w:rPr>
          <w:b/>
        </w:rPr>
        <w:t>3.1.2</w:t>
      </w:r>
      <w:r w:rsidRPr="00D64A0B">
        <w:rPr>
          <w:b/>
        </w:rPr>
        <w:tab/>
      </w:r>
      <w:r w:rsidR="001F3E8B" w:rsidRPr="00FA2D6D">
        <w:rPr>
          <w:b/>
        </w:rPr>
        <w:t>personal audio device</w:t>
      </w:r>
      <w:r w:rsidR="001F3E8B">
        <w:rPr>
          <w:b/>
        </w:rPr>
        <w:t xml:space="preserve"> </w:t>
      </w:r>
      <w:r w:rsidR="001F3E8B" w:rsidRPr="001F3E8B">
        <w:rPr>
          <w:bCs/>
        </w:rPr>
        <w:t>[</w:t>
      </w:r>
      <w:r w:rsidR="00FC3D6D">
        <w:rPr>
          <w:bCs/>
        </w:rPr>
        <w:t xml:space="preserve">ITU-T </w:t>
      </w:r>
      <w:r w:rsidR="001F3E8B" w:rsidRPr="001F3E8B">
        <w:rPr>
          <w:bCs/>
        </w:rPr>
        <w:t>H.870]:</w:t>
      </w:r>
      <w:r w:rsidR="001F3E8B">
        <w:rPr>
          <w:b/>
        </w:rPr>
        <w:t xml:space="preserve"> </w:t>
      </w:r>
      <w:r w:rsidR="001F3E8B">
        <w:t>A portable device designed to be worn on the body or fit in the</w:t>
      </w:r>
      <w:r w:rsidR="001F3E8B">
        <w:rPr>
          <w:rFonts w:hint="eastAsia"/>
        </w:rPr>
        <w:t xml:space="preserve"> </w:t>
      </w:r>
      <w:r w:rsidR="001F3E8B">
        <w:t>clothing pocket. It is designed to allow the user to listen to various forms of media. An example of a personal audio device is a personal media player (PMP).</w:t>
      </w:r>
    </w:p>
    <w:p w14:paraId="6A89287D" w14:textId="6C1BCE69" w:rsidR="001F3E8B" w:rsidRDefault="001500B5" w:rsidP="001500B5">
      <w:pPr>
        <w:tabs>
          <w:tab w:val="left" w:pos="851"/>
        </w:tabs>
        <w:rPr>
          <w:b/>
        </w:rPr>
      </w:pPr>
      <w:r w:rsidRPr="001F5DB2">
        <w:rPr>
          <w:b/>
        </w:rPr>
        <w:t>3.1.3</w:t>
      </w:r>
      <w:r w:rsidRPr="001F5DB2">
        <w:rPr>
          <w:b/>
        </w:rPr>
        <w:tab/>
      </w:r>
      <w:r w:rsidR="001F3E8B" w:rsidRPr="00FA2D6D">
        <w:rPr>
          <w:b/>
        </w:rPr>
        <w:t>personal audio</w:t>
      </w:r>
      <w:r w:rsidR="001F3E8B" w:rsidRPr="00845A0F">
        <w:rPr>
          <w:b/>
        </w:rPr>
        <w:t xml:space="preserve"> system (PAS)</w:t>
      </w:r>
      <w:r w:rsidR="001F3E8B">
        <w:rPr>
          <w:b/>
        </w:rPr>
        <w:t xml:space="preserve"> </w:t>
      </w:r>
      <w:r w:rsidR="001F3E8B" w:rsidRPr="001F3E8B">
        <w:rPr>
          <w:bCs/>
        </w:rPr>
        <w:t>[</w:t>
      </w:r>
      <w:r w:rsidR="00FC3D6D">
        <w:rPr>
          <w:bCs/>
        </w:rPr>
        <w:t xml:space="preserve">ITU-T </w:t>
      </w:r>
      <w:r w:rsidR="001F3E8B" w:rsidRPr="001F3E8B">
        <w:rPr>
          <w:bCs/>
        </w:rPr>
        <w:t>H.870]:</w:t>
      </w:r>
      <w:r w:rsidR="001F3E8B">
        <w:rPr>
          <w:b/>
        </w:rPr>
        <w:t xml:space="preserve"> </w:t>
      </w:r>
      <w:r w:rsidR="001F3E8B" w:rsidRPr="00845A0F">
        <w:t>A system of a personal audio device and a listening device</w:t>
      </w:r>
      <w:r w:rsidR="001F3E8B">
        <w:t>.</w:t>
      </w:r>
    </w:p>
    <w:p w14:paraId="4DFCCFE6" w14:textId="7F52C49A" w:rsidR="0020532D" w:rsidRDefault="0020532D" w:rsidP="001F3E8B">
      <w:pPr>
        <w:tabs>
          <w:tab w:val="left" w:pos="851"/>
        </w:tabs>
      </w:pPr>
      <w:r>
        <w:rPr>
          <w:b/>
        </w:rPr>
        <w:t>3.1.4</w:t>
      </w:r>
      <w:r>
        <w:rPr>
          <w:b/>
        </w:rPr>
        <w:tab/>
      </w:r>
      <w:r w:rsidR="001F3E8B" w:rsidRPr="001F5DB2">
        <w:rPr>
          <w:b/>
        </w:rPr>
        <w:t>safe listening device</w:t>
      </w:r>
      <w:r w:rsidR="001F3E8B" w:rsidRPr="00845A0F">
        <w:rPr>
          <w:b/>
        </w:rPr>
        <w:t xml:space="preserve"> </w:t>
      </w:r>
      <w:r w:rsidR="001F3E8B" w:rsidRPr="001F3E8B">
        <w:rPr>
          <w:bCs/>
        </w:rPr>
        <w:t>[</w:t>
      </w:r>
      <w:r w:rsidR="00FC3D6D">
        <w:rPr>
          <w:bCs/>
        </w:rPr>
        <w:t xml:space="preserve">ITU-T </w:t>
      </w:r>
      <w:r w:rsidR="001F3E8B" w:rsidRPr="001F3E8B">
        <w:rPr>
          <w:bCs/>
        </w:rPr>
        <w:t>H.870]:</w:t>
      </w:r>
      <w:r w:rsidR="001F3E8B" w:rsidRPr="00205D2B">
        <w:rPr>
          <w:bCs/>
        </w:rPr>
        <w:t xml:space="preserve"> A personal audio device/system that meets the requirements and</w:t>
      </w:r>
      <w:r w:rsidR="001F3E8B" w:rsidRPr="00D46AC7">
        <w:rPr>
          <w:bCs/>
        </w:rPr>
        <w:t xml:space="preserve"> criteria to minimize the users' risk of acquiring hearing loss, (as a consequence of its use) can</w:t>
      </w:r>
      <w:r w:rsidR="001F3E8B" w:rsidRPr="00AC0C7C">
        <w:rPr>
          <w:bCs/>
        </w:rPr>
        <w:t xml:space="preserve"> possibly be termed as a safe listening device. It could include music players (MP3 players, </w:t>
      </w:r>
      <w:r w:rsidR="001F3E8B" w:rsidRPr="003F070E">
        <w:rPr>
          <w:bCs/>
        </w:rPr>
        <w:t>smartphones and personal music players), together with a transducer that converts the electric signal into audio (e.g., earphones and headphones).</w:t>
      </w:r>
    </w:p>
    <w:p w14:paraId="410D2BA3" w14:textId="40D7D02D" w:rsidR="00EA49AC" w:rsidRDefault="0032747B" w:rsidP="00F1485A">
      <w:pPr>
        <w:pStyle w:val="Heading2"/>
      </w:pPr>
      <w:bookmarkStart w:id="34" w:name="_Toc63771990"/>
      <w:bookmarkStart w:id="35" w:name="_Toc93914593"/>
      <w:bookmarkStart w:id="36" w:name="_Toc95410163"/>
      <w:bookmarkStart w:id="37" w:name="_Toc96524120"/>
      <w:bookmarkStart w:id="38" w:name="_Toc96524849"/>
      <w:bookmarkStart w:id="39" w:name="_Toc99356569"/>
      <w:r>
        <w:t>3.2</w:t>
      </w:r>
      <w:r>
        <w:tab/>
      </w:r>
      <w:r w:rsidR="00EA49AC">
        <w:t xml:space="preserve">Terms defined </w:t>
      </w:r>
      <w:bookmarkEnd w:id="34"/>
      <w:bookmarkEnd w:id="35"/>
      <w:bookmarkEnd w:id="36"/>
      <w:bookmarkEnd w:id="37"/>
      <w:r w:rsidR="00FC3D6D">
        <w:t>in this Technical Paper</w:t>
      </w:r>
      <w:bookmarkEnd w:id="38"/>
      <w:bookmarkEnd w:id="39"/>
    </w:p>
    <w:p w14:paraId="314FDB57" w14:textId="3AC27A79" w:rsidR="00EA49AC" w:rsidRDefault="00EA49AC" w:rsidP="00EA49AC">
      <w:r>
        <w:t xml:space="preserve">This Technical </w:t>
      </w:r>
      <w:r w:rsidR="00E01F16">
        <w:t>Paper</w:t>
      </w:r>
      <w:r>
        <w:t xml:space="preserve"> defines the following terms:</w:t>
      </w:r>
    </w:p>
    <w:p w14:paraId="5F9E76B7" w14:textId="6C58629D" w:rsidR="00EA49AC" w:rsidRPr="001F5DB2" w:rsidRDefault="001500B5" w:rsidP="00F1485A">
      <w:pPr>
        <w:rPr>
          <w:b/>
        </w:rPr>
      </w:pPr>
      <w:r w:rsidRPr="001F5DB2">
        <w:rPr>
          <w:b/>
        </w:rPr>
        <w:t>3.2.1</w:t>
      </w:r>
      <w:r w:rsidRPr="001F5DB2">
        <w:rPr>
          <w:b/>
        </w:rPr>
        <w:tab/>
      </w:r>
      <w:r w:rsidR="00F1485A" w:rsidRPr="00FA2D6D">
        <w:rPr>
          <w:b/>
        </w:rPr>
        <w:t>h</w:t>
      </w:r>
      <w:r w:rsidR="00EA49AC" w:rsidRPr="00FA2D6D">
        <w:rPr>
          <w:b/>
        </w:rPr>
        <w:t>eadsets</w:t>
      </w:r>
      <w:r w:rsidR="00EA49AC" w:rsidRPr="00F1485A">
        <w:rPr>
          <w:bCs/>
        </w:rPr>
        <w:t>:</w:t>
      </w:r>
      <w:r w:rsidR="002F0B64" w:rsidRPr="00F1485A">
        <w:rPr>
          <w:bCs/>
        </w:rPr>
        <w:t xml:space="preserve"> </w:t>
      </w:r>
      <w:r w:rsidR="00EA49AC">
        <w:t>A</w:t>
      </w:r>
      <w:r w:rsidR="00EA49AC" w:rsidRPr="00205D2B">
        <w:t xml:space="preserve"> </w:t>
      </w:r>
      <w:r w:rsidR="00EA49AC" w:rsidRPr="00845A0F">
        <w:t>general</w:t>
      </w:r>
      <w:r w:rsidR="00EA49AC" w:rsidRPr="00205D2B">
        <w:t xml:space="preserve"> term used to include headphones, headsets, earpieces, ear buds and </w:t>
      </w:r>
      <w:r w:rsidR="005118C5" w:rsidRPr="00205D2B">
        <w:t xml:space="preserve">true wireless stereo </w:t>
      </w:r>
      <w:r w:rsidR="00EA49AC" w:rsidRPr="00205D2B">
        <w:t>(</w:t>
      </w:r>
      <w:r w:rsidR="005118C5" w:rsidRPr="00205D2B">
        <w:t>TWS</w:t>
      </w:r>
      <w:r w:rsidR="00EA49AC" w:rsidRPr="00205D2B">
        <w:t>). Handsets is a single term used for smartphone handsets or mobiles</w:t>
      </w:r>
      <w:r w:rsidR="00FC3D6D">
        <w:t>.</w:t>
      </w:r>
    </w:p>
    <w:p w14:paraId="0E762627" w14:textId="5E4E35DD" w:rsidR="00EA49AC" w:rsidRPr="001F5DB2" w:rsidRDefault="001500B5" w:rsidP="00F63C62">
      <w:pPr>
        <w:tabs>
          <w:tab w:val="left" w:pos="851"/>
        </w:tabs>
        <w:rPr>
          <w:b/>
        </w:rPr>
      </w:pPr>
      <w:r w:rsidRPr="001F5DB2">
        <w:rPr>
          <w:b/>
        </w:rPr>
        <w:t>3.2.2</w:t>
      </w:r>
      <w:r w:rsidRPr="001F5DB2">
        <w:rPr>
          <w:b/>
        </w:rPr>
        <w:tab/>
      </w:r>
      <w:r w:rsidR="00F1485A" w:rsidRPr="001F5DB2">
        <w:rPr>
          <w:b/>
        </w:rPr>
        <w:t>t</w:t>
      </w:r>
      <w:r w:rsidR="00EA49AC" w:rsidRPr="001F5DB2">
        <w:rPr>
          <w:b/>
        </w:rPr>
        <w:t>rue wireless stereo</w:t>
      </w:r>
      <w:r w:rsidR="00EA49AC" w:rsidRPr="00F1485A">
        <w:rPr>
          <w:bCs/>
        </w:rPr>
        <w:t>:</w:t>
      </w:r>
      <w:r w:rsidR="002F0B64" w:rsidRPr="00F1485A">
        <w:rPr>
          <w:bCs/>
        </w:rPr>
        <w:t xml:space="preserve"> </w:t>
      </w:r>
      <w:r w:rsidR="00EA49AC" w:rsidRPr="00845A0F">
        <w:t>A technology which allows one to pair two audio devices via Bluetooth, enabling the transmission of the left channel and the right channel separately.</w:t>
      </w:r>
    </w:p>
    <w:p w14:paraId="65A26362" w14:textId="0FDE45C8" w:rsidR="00EA49AC" w:rsidRDefault="0032747B" w:rsidP="00F1485A">
      <w:pPr>
        <w:pStyle w:val="Heading1"/>
      </w:pPr>
      <w:bookmarkStart w:id="40" w:name="_Toc63771991"/>
      <w:bookmarkStart w:id="41" w:name="_Toc93914594"/>
      <w:bookmarkStart w:id="42" w:name="_Toc95410164"/>
      <w:bookmarkStart w:id="43" w:name="_Toc96524121"/>
      <w:bookmarkStart w:id="44" w:name="_Toc96524850"/>
      <w:bookmarkStart w:id="45" w:name="_Toc99356570"/>
      <w:r>
        <w:t>4</w:t>
      </w:r>
      <w:r>
        <w:tab/>
      </w:r>
      <w:r w:rsidR="00EA49AC">
        <w:t>Abbreviations</w:t>
      </w:r>
      <w:bookmarkEnd w:id="40"/>
      <w:bookmarkEnd w:id="41"/>
      <w:bookmarkEnd w:id="42"/>
      <w:bookmarkEnd w:id="43"/>
      <w:r w:rsidR="00FC3D6D">
        <w:t xml:space="preserve"> and acronyms</w:t>
      </w:r>
      <w:bookmarkEnd w:id="44"/>
      <w:bookmarkEnd w:id="45"/>
    </w:p>
    <w:p w14:paraId="5D27B4F7" w14:textId="6DDE78A6" w:rsidR="00FC3D6D" w:rsidRPr="00FC3D6D" w:rsidRDefault="00FC3D6D" w:rsidP="00FC3D6D">
      <w:r>
        <w:t>This Technical Paper uses the following abbreviations and acronyms:</w:t>
      </w:r>
    </w:p>
    <w:p w14:paraId="235956A3" w14:textId="52DC1637" w:rsidR="002A1F5B" w:rsidRDefault="002A1F5B" w:rsidP="002A1F5B">
      <w:pPr>
        <w:tabs>
          <w:tab w:val="clear" w:pos="794"/>
        </w:tabs>
      </w:pPr>
      <w:r>
        <w:t>CSD</w:t>
      </w:r>
      <w:r>
        <w:tab/>
        <w:t xml:space="preserve">Calculated </w:t>
      </w:r>
      <w:r w:rsidR="005118C5">
        <w:t>S</w:t>
      </w:r>
      <w:r>
        <w:t xml:space="preserve">ound </w:t>
      </w:r>
      <w:r w:rsidR="005118C5">
        <w:t>D</w:t>
      </w:r>
      <w:r>
        <w:t>ose</w:t>
      </w:r>
    </w:p>
    <w:p w14:paraId="355D77DE" w14:textId="08818882" w:rsidR="002A1F5B" w:rsidRDefault="002A1F5B" w:rsidP="002A1F5B">
      <w:pPr>
        <w:tabs>
          <w:tab w:val="clear" w:pos="794"/>
        </w:tabs>
      </w:pPr>
      <w:r>
        <w:rPr>
          <w:rFonts w:hint="eastAsia"/>
        </w:rPr>
        <w:t>P</w:t>
      </w:r>
      <w:r>
        <w:t>AD</w:t>
      </w:r>
      <w:r>
        <w:tab/>
      </w:r>
      <w:r>
        <w:rPr>
          <w:rFonts w:hint="eastAsia"/>
        </w:rPr>
        <w:t>P</w:t>
      </w:r>
      <w:r>
        <w:t xml:space="preserve">ersonal </w:t>
      </w:r>
      <w:r w:rsidR="005118C5">
        <w:t>A</w:t>
      </w:r>
      <w:r>
        <w:t xml:space="preserve">udio </w:t>
      </w:r>
      <w:r w:rsidR="005118C5">
        <w:t>D</w:t>
      </w:r>
      <w:r>
        <w:t>evice</w:t>
      </w:r>
    </w:p>
    <w:p w14:paraId="5DCC5285" w14:textId="037AAC8F" w:rsidR="002A1F5B" w:rsidRDefault="002A1F5B" w:rsidP="002A1F5B">
      <w:pPr>
        <w:tabs>
          <w:tab w:val="clear" w:pos="794"/>
        </w:tabs>
      </w:pPr>
      <w:r>
        <w:rPr>
          <w:rFonts w:hint="eastAsia"/>
        </w:rPr>
        <w:t>P</w:t>
      </w:r>
      <w:r>
        <w:t>AS</w:t>
      </w:r>
      <w:r>
        <w:tab/>
      </w:r>
      <w:r>
        <w:rPr>
          <w:rFonts w:hint="eastAsia"/>
        </w:rPr>
        <w:t>P</w:t>
      </w:r>
      <w:r>
        <w:t xml:space="preserve">ersonal </w:t>
      </w:r>
      <w:r w:rsidR="005118C5">
        <w:t>A</w:t>
      </w:r>
      <w:r>
        <w:t xml:space="preserve">udio </w:t>
      </w:r>
      <w:r w:rsidR="005118C5">
        <w:t>S</w:t>
      </w:r>
      <w:r>
        <w:t>ystem</w:t>
      </w:r>
    </w:p>
    <w:p w14:paraId="02868E1D" w14:textId="27153783" w:rsidR="002A1F5B" w:rsidRDefault="002A1F5B" w:rsidP="002A1F5B">
      <w:pPr>
        <w:tabs>
          <w:tab w:val="clear" w:pos="794"/>
        </w:tabs>
      </w:pPr>
      <w:r>
        <w:rPr>
          <w:rFonts w:hint="eastAsia"/>
        </w:rPr>
        <w:t>P</w:t>
      </w:r>
      <w:r>
        <w:t>MP</w:t>
      </w:r>
      <w:r>
        <w:tab/>
      </w:r>
      <w:r>
        <w:rPr>
          <w:rFonts w:hint="eastAsia"/>
        </w:rPr>
        <w:t>P</w:t>
      </w:r>
      <w:r>
        <w:t xml:space="preserve">ersonal </w:t>
      </w:r>
      <w:r w:rsidR="005118C5">
        <w:t>M</w:t>
      </w:r>
      <w:r>
        <w:t xml:space="preserve">usic </w:t>
      </w:r>
      <w:r w:rsidR="005118C5">
        <w:t>P</w:t>
      </w:r>
      <w:r>
        <w:t>layer</w:t>
      </w:r>
    </w:p>
    <w:p w14:paraId="7F06A12F" w14:textId="2A74EB60" w:rsidR="002A1F5B" w:rsidRDefault="002A1F5B" w:rsidP="002A1F5B">
      <w:pPr>
        <w:tabs>
          <w:tab w:val="clear" w:pos="794"/>
        </w:tabs>
      </w:pPr>
      <w:r>
        <w:t xml:space="preserve">TWS </w:t>
      </w:r>
      <w:r>
        <w:tab/>
        <w:t xml:space="preserve">True </w:t>
      </w:r>
      <w:r w:rsidR="005118C5">
        <w:t>W</w:t>
      </w:r>
      <w:r>
        <w:t xml:space="preserve">ireless </w:t>
      </w:r>
      <w:r w:rsidR="005118C5">
        <w:t>S</w:t>
      </w:r>
      <w:r>
        <w:t>tereo</w:t>
      </w:r>
    </w:p>
    <w:p w14:paraId="745DEC36" w14:textId="67ED29B0" w:rsidR="00EA49AC" w:rsidRDefault="0032747B" w:rsidP="002A1F5B">
      <w:pPr>
        <w:pStyle w:val="Heading1"/>
      </w:pPr>
      <w:bookmarkStart w:id="46" w:name="_rghc8p28att6" w:colFirst="0" w:colLast="0"/>
      <w:bookmarkStart w:id="47" w:name="_Toc63771992"/>
      <w:bookmarkStart w:id="48" w:name="_Toc93914595"/>
      <w:bookmarkStart w:id="49" w:name="_Toc95410165"/>
      <w:bookmarkStart w:id="50" w:name="_Toc96524122"/>
      <w:bookmarkStart w:id="51" w:name="_Toc96524851"/>
      <w:bookmarkStart w:id="52" w:name="_Toc99356571"/>
      <w:bookmarkEnd w:id="46"/>
      <w:r>
        <w:t>5</w:t>
      </w:r>
      <w:r>
        <w:tab/>
      </w:r>
      <w:r w:rsidR="00EA49AC">
        <w:t>Background</w:t>
      </w:r>
      <w:bookmarkEnd w:id="47"/>
      <w:bookmarkEnd w:id="48"/>
      <w:bookmarkEnd w:id="49"/>
      <w:bookmarkEnd w:id="50"/>
      <w:bookmarkEnd w:id="51"/>
      <w:bookmarkEnd w:id="52"/>
    </w:p>
    <w:p w14:paraId="523BD6E4" w14:textId="485E6247" w:rsidR="00EA49AC" w:rsidRDefault="0032747B" w:rsidP="002A1F5B">
      <w:pPr>
        <w:pStyle w:val="Heading2"/>
      </w:pPr>
      <w:bookmarkStart w:id="53" w:name="_mui2oe6r8hww" w:colFirst="0" w:colLast="0"/>
      <w:bookmarkStart w:id="54" w:name="_Toc63771993"/>
      <w:bookmarkStart w:id="55" w:name="_Toc93914596"/>
      <w:bookmarkStart w:id="56" w:name="_Toc95410166"/>
      <w:bookmarkStart w:id="57" w:name="_Toc96524123"/>
      <w:bookmarkStart w:id="58" w:name="_Toc96524852"/>
      <w:bookmarkStart w:id="59" w:name="_Toc99356572"/>
      <w:bookmarkEnd w:id="53"/>
      <w:r>
        <w:t>5.1</w:t>
      </w:r>
      <w:r>
        <w:tab/>
      </w:r>
      <w:r w:rsidR="00EA49AC">
        <w:t>Issue</w:t>
      </w:r>
      <w:bookmarkEnd w:id="54"/>
      <w:bookmarkEnd w:id="55"/>
      <w:bookmarkEnd w:id="56"/>
      <w:bookmarkEnd w:id="57"/>
      <w:bookmarkEnd w:id="58"/>
      <w:bookmarkEnd w:id="59"/>
    </w:p>
    <w:p w14:paraId="45CE19A3" w14:textId="62769305" w:rsidR="00740FF7" w:rsidRDefault="00EA49AC" w:rsidP="00EA49AC">
      <w:r>
        <w:t xml:space="preserve">Current technology developments and some recent product entries to the market mean that headsets are no longer simply the </w:t>
      </w:r>
      <w:r w:rsidR="00AC0940">
        <w:t>"</w:t>
      </w:r>
      <w:r>
        <w:t>listening devices</w:t>
      </w:r>
      <w:r w:rsidR="00AC0940">
        <w:t>"</w:t>
      </w:r>
      <w:r>
        <w:t xml:space="preserve"> defined in </w:t>
      </w:r>
      <w:r w:rsidR="000350D2">
        <w:t>[</w:t>
      </w:r>
      <w:r w:rsidR="00B276E3">
        <w:t xml:space="preserve">ITU-T </w:t>
      </w:r>
      <w:r>
        <w:t>H.870</w:t>
      </w:r>
      <w:r w:rsidR="000350D2">
        <w:t>]</w:t>
      </w:r>
      <w:r>
        <w:t xml:space="preserve"> and </w:t>
      </w:r>
      <w:r w:rsidR="000350D2">
        <w:t>[</w:t>
      </w:r>
      <w:r>
        <w:t>IEC</w:t>
      </w:r>
      <w:r w:rsidR="00B276E3">
        <w:t> </w:t>
      </w:r>
      <w:r>
        <w:t>62368</w:t>
      </w:r>
      <w:r w:rsidR="00B276E3">
        <w:noBreakHyphen/>
      </w:r>
      <w:r>
        <w:t>1</w:t>
      </w:r>
      <w:r w:rsidR="000350D2">
        <w:t>]</w:t>
      </w:r>
      <w:r>
        <w:t xml:space="preserve"> standards.</w:t>
      </w:r>
    </w:p>
    <w:p w14:paraId="1DB25F09" w14:textId="79F31C27" w:rsidR="00740FF7" w:rsidRDefault="00EA49AC" w:rsidP="00EA49AC">
      <w:r>
        <w:t xml:space="preserve">Some headsets are obviously portable music players in themselves, matching the definition in </w:t>
      </w:r>
      <w:r w:rsidR="000350D2">
        <w:t>[ITU-T H.870]</w:t>
      </w:r>
      <w:r>
        <w:t xml:space="preserve"> of a personal audio system (PAS) and in </w:t>
      </w:r>
      <w:r w:rsidR="000350D2">
        <w:t>[</w:t>
      </w:r>
      <w:r>
        <w:t>IEC 62368-1</w:t>
      </w:r>
      <w:r w:rsidR="000350D2">
        <w:t>]</w:t>
      </w:r>
      <w:r>
        <w:t xml:space="preserve"> 10.6.2.1 of </w:t>
      </w:r>
      <w:r w:rsidR="00AC0940">
        <w:t>"</w:t>
      </w:r>
      <w:r>
        <w:t>equipment provided as a package (player with its listening device)</w:t>
      </w:r>
      <w:r w:rsidR="00AC0940">
        <w:t>"</w:t>
      </w:r>
      <w:r>
        <w:t>.</w:t>
      </w:r>
    </w:p>
    <w:p w14:paraId="6C31EAE5" w14:textId="5A41B97B" w:rsidR="00740FF7" w:rsidRDefault="00EA49AC" w:rsidP="008A4CBE">
      <w:r>
        <w:t xml:space="preserve">All wireless headsets effectively stream media content from other devices in normal operation, thereby coming under the </w:t>
      </w:r>
      <w:r w:rsidR="005118C5">
        <w:t xml:space="preserve">clause </w:t>
      </w:r>
      <w:r>
        <w:t xml:space="preserve">6.2 description of a personal audio system (PAS) </w:t>
      </w:r>
      <w:r w:rsidR="008A4CBE">
        <w:t>of [</w:t>
      </w:r>
      <w:r w:rsidR="00300F36">
        <w:t>ITU</w:t>
      </w:r>
      <w:r w:rsidR="00130CD0">
        <w:noBreakHyphen/>
      </w:r>
      <w:r w:rsidR="00300F36">
        <w:t>T</w:t>
      </w:r>
      <w:r w:rsidR="00130CD0">
        <w:t> </w:t>
      </w:r>
      <w:r w:rsidR="008A4CBE">
        <w:t xml:space="preserve">H.870] </w:t>
      </w:r>
      <w:r>
        <w:t xml:space="preserve">where its </w:t>
      </w:r>
      <w:r w:rsidR="00AC0940">
        <w:t>"</w:t>
      </w:r>
      <w:r>
        <w:t>source can either be stored or retrieved remotely</w:t>
      </w:r>
      <w:r w:rsidR="00AC0940">
        <w:t>"</w:t>
      </w:r>
      <w:r>
        <w:t>.</w:t>
      </w:r>
    </w:p>
    <w:p w14:paraId="78683945" w14:textId="26757F2C" w:rsidR="00EA49AC" w:rsidRDefault="00EA49AC" w:rsidP="00EA49AC">
      <w:r>
        <w:t xml:space="preserve">All wireless headsets are able to be connected to a variety of remote sources, of which only some will be within the definition of personal media/music player (PMP </w:t>
      </w:r>
      <w:r w:rsidR="0042268C">
        <w:t>[</w:t>
      </w:r>
      <w:r>
        <w:t>IEC 62368-1</w:t>
      </w:r>
      <w:r w:rsidR="0042268C">
        <w:t>]</w:t>
      </w:r>
      <w:r>
        <w:t>) and personal audio device (PAD</w:t>
      </w:r>
      <w:r w:rsidR="0042268C">
        <w:t xml:space="preserve"> [ITU-T</w:t>
      </w:r>
      <w:r>
        <w:t xml:space="preserve"> H.870</w:t>
      </w:r>
      <w:r w:rsidR="0042268C">
        <w:t>]</w:t>
      </w:r>
      <w:r w:rsidR="00130CD0">
        <w:t>)</w:t>
      </w:r>
      <w:r>
        <w:t>. There is a high risk of a person using multiple sources</w:t>
      </w:r>
      <w:r w:rsidR="005118C5">
        <w:t>,</w:t>
      </w:r>
      <w:r>
        <w:t xml:space="preserve"> in turn being misled by any PAD/PMP with a protection scheme mandated by these standards.</w:t>
      </w:r>
    </w:p>
    <w:p w14:paraId="5169FD95" w14:textId="7FB4A96C" w:rsidR="00EA49AC" w:rsidRDefault="00EA49AC" w:rsidP="00EA49AC">
      <w:r>
        <w:t>Some playing devices are able to stream to multiple sources, especially through the new Bluetooth 5.2 profiles</w:t>
      </w:r>
      <w:r w:rsidR="00530AC9">
        <w:t xml:space="preserve"> [Bluetooth]</w:t>
      </w:r>
      <w:r>
        <w:t>. A single protection scheme within the playing device is unlikely to be able to account for differing connection</w:t>
      </w:r>
      <w:r w:rsidR="005118C5">
        <w:t>s</w:t>
      </w:r>
      <w:r>
        <w:t xml:space="preserve"> or listening periods and multiple volume</w:t>
      </w:r>
      <w:r w:rsidR="005118C5">
        <w:t>s</w:t>
      </w:r>
      <w:r>
        <w:t xml:space="preserve"> or enhancement settings in the headset. This again leads to misleading information, with any guidance or protection being based on erroneous data.</w:t>
      </w:r>
    </w:p>
    <w:p w14:paraId="6A321E29" w14:textId="6E98BA31" w:rsidR="00EA49AC" w:rsidRDefault="00EA49AC" w:rsidP="00EA49AC">
      <w:r>
        <w:t xml:space="preserve">Any scheme intending to protect hearing has to avoid both false negatives (failures to inform, warn or protect) and false positives (premature informing, warning or protecting), resulting in loss of trust or frustration. It is of </w:t>
      </w:r>
      <w:r w:rsidR="005118C5">
        <w:t xml:space="preserve">the </w:t>
      </w:r>
      <w:r>
        <w:t>utmost importance to ensure standards for safe hearing avoid confusion and establish confidence through clear and consistent messaging and intervention.</w:t>
      </w:r>
    </w:p>
    <w:p w14:paraId="328D5075" w14:textId="2A41007D" w:rsidR="00740FF7" w:rsidRDefault="00EA49AC" w:rsidP="00EA49AC">
      <w:r>
        <w:t>Any consumer purchasing a PAS/PMP/PAD or wireless headset that claims to comply with these standards needs to be able to trust the product delivers hearing safeguarding in all current and anticipated listening scenarios; they should not be given a false feeling of safety.</w:t>
      </w:r>
    </w:p>
    <w:p w14:paraId="7984B8BF" w14:textId="77777777" w:rsidR="00AD3A71" w:rsidRDefault="00AD3A71" w:rsidP="00EA49AC">
      <w:bookmarkStart w:id="60" w:name="_9spv8rviwkkh" w:colFirst="0" w:colLast="0"/>
      <w:bookmarkStart w:id="61" w:name="_Toc63771994"/>
      <w:bookmarkEnd w:id="60"/>
      <w:r>
        <w:t xml:space="preserve">An additional consideration is that headphones and portable devices are not the only sources contributing towards user's exposure to sound. </w:t>
      </w:r>
      <w:r w:rsidRPr="006C27F7">
        <w:t xml:space="preserve">A laptop or tablet connected to headphones can be a major </w:t>
      </w:r>
      <w:r>
        <w:t>calculated sound dose (CSD)</w:t>
      </w:r>
      <w:r w:rsidRPr="006C27F7">
        <w:t xml:space="preserve"> contributor</w:t>
      </w:r>
      <w:r>
        <w:t>; a</w:t>
      </w:r>
      <w:r w:rsidRPr="006C27F7">
        <w:t xml:space="preserve"> car audio system is a likely significant contributor as a listening device, given the hours people spend in them seeking entertainment as they drive and the desire to listen louder than road noise.</w:t>
      </w:r>
    </w:p>
    <w:p w14:paraId="31826F9E" w14:textId="0F97A9EB" w:rsidR="00EA49AC" w:rsidRDefault="0032747B" w:rsidP="00A32FA7">
      <w:pPr>
        <w:pStyle w:val="Heading2"/>
      </w:pPr>
      <w:bookmarkStart w:id="62" w:name="_Toc93914597"/>
      <w:bookmarkStart w:id="63" w:name="_Toc95410167"/>
      <w:bookmarkStart w:id="64" w:name="_Toc96524124"/>
      <w:bookmarkStart w:id="65" w:name="_Toc96524853"/>
      <w:bookmarkStart w:id="66" w:name="_Toc99356573"/>
      <w:r>
        <w:t>5.2</w:t>
      </w:r>
      <w:r>
        <w:tab/>
      </w:r>
      <w:r w:rsidR="00EA49AC">
        <w:t>Consideration</w:t>
      </w:r>
      <w:bookmarkEnd w:id="61"/>
      <w:bookmarkEnd w:id="62"/>
      <w:bookmarkEnd w:id="63"/>
      <w:bookmarkEnd w:id="64"/>
      <w:bookmarkEnd w:id="65"/>
      <w:bookmarkEnd w:id="66"/>
    </w:p>
    <w:p w14:paraId="7400D54A" w14:textId="1CB733CC" w:rsidR="00EA49AC" w:rsidRDefault="00EA49AC" w:rsidP="00EA49AC">
      <w:r>
        <w:t xml:space="preserve">Those engaged in the development of standards for hearing safeguarding continue to ensure due consideration is given to the range of </w:t>
      </w:r>
      <w:r w:rsidR="005118C5">
        <w:t>u</w:t>
      </w:r>
      <w:r w:rsidR="00B276E3">
        <w:t>se case</w:t>
      </w:r>
      <w:r>
        <w:t>s presented by present and upcoming products</w:t>
      </w:r>
      <w:r w:rsidR="002179CD">
        <w:t>; and w</w:t>
      </w:r>
      <w:r>
        <w:t xml:space="preserve">here necessary, that they adapt the definitions and clauses embodied within the standards to meet the needs of consumers. For example, recent </w:t>
      </w:r>
      <w:r w:rsidR="002B4729">
        <w:t xml:space="preserve">ITU-T </w:t>
      </w:r>
      <w:r>
        <w:t xml:space="preserve">H.870 discussions have moved to include wireless headsets capable of playing local or streamed content within the concept of PAS. This arose from both the existing definitions within the standard and consideration of new </w:t>
      </w:r>
      <w:r w:rsidR="002179CD">
        <w:t>u</w:t>
      </w:r>
      <w:r w:rsidR="00B276E3">
        <w:t>se case</w:t>
      </w:r>
      <w:r>
        <w:t>s.</w:t>
      </w:r>
    </w:p>
    <w:p w14:paraId="5F03705E" w14:textId="04C722AF" w:rsidR="00EA49AC" w:rsidRDefault="00EA49AC" w:rsidP="00EA49AC">
      <w:r>
        <w:t xml:space="preserve">In particular the wireless headphone, being the energy source of sound delivered to the user and typically able to alter the level of delivery, should more clearly be encompassed within definitions of PAS </w:t>
      </w:r>
      <w:r w:rsidR="002B4729">
        <w:t xml:space="preserve">[ITU-T </w:t>
      </w:r>
      <w:r>
        <w:t>H.870</w:t>
      </w:r>
      <w:r w:rsidR="002B4729">
        <w:t>]</w:t>
      </w:r>
      <w:r>
        <w:t xml:space="preserve"> or PMP-with-listening-device </w:t>
      </w:r>
      <w:r w:rsidR="002B4729">
        <w:t>[</w:t>
      </w:r>
      <w:r>
        <w:t>IEC</w:t>
      </w:r>
      <w:r w:rsidR="002B4729">
        <w:t xml:space="preserve"> </w:t>
      </w:r>
      <w:r>
        <w:t>62368-1</w:t>
      </w:r>
      <w:r w:rsidR="002B4729">
        <w:t>]</w:t>
      </w:r>
      <w:r>
        <w:t>.</w:t>
      </w:r>
    </w:p>
    <w:p w14:paraId="21FAA2FD" w14:textId="10C02760" w:rsidR="00EA49AC" w:rsidRDefault="0032747B" w:rsidP="00EE3B41">
      <w:pPr>
        <w:pStyle w:val="Heading1"/>
      </w:pPr>
      <w:bookmarkStart w:id="67" w:name="_anv7timb1hc5" w:colFirst="0" w:colLast="0"/>
      <w:bookmarkStart w:id="68" w:name="_Toc63771995"/>
      <w:bookmarkStart w:id="69" w:name="_Toc93914598"/>
      <w:bookmarkStart w:id="70" w:name="_Toc95410168"/>
      <w:bookmarkStart w:id="71" w:name="_Toc96524125"/>
      <w:bookmarkStart w:id="72" w:name="_Toc96524854"/>
      <w:bookmarkStart w:id="73" w:name="_Toc99356574"/>
      <w:bookmarkEnd w:id="67"/>
      <w:r>
        <w:t>6</w:t>
      </w:r>
      <w:r>
        <w:tab/>
      </w:r>
      <w:r w:rsidR="00B276E3">
        <w:t>Use case</w:t>
      </w:r>
      <w:r w:rsidR="002E5354">
        <w:t>s</w:t>
      </w:r>
      <w:bookmarkEnd w:id="68"/>
      <w:bookmarkEnd w:id="69"/>
      <w:bookmarkEnd w:id="70"/>
      <w:bookmarkEnd w:id="71"/>
      <w:bookmarkEnd w:id="72"/>
      <w:bookmarkEnd w:id="73"/>
    </w:p>
    <w:p w14:paraId="274B7969" w14:textId="3F160DFC" w:rsidR="00EA49AC" w:rsidRDefault="00EA49AC" w:rsidP="00EA49AC">
      <w:r>
        <w:t xml:space="preserve">A set of </w:t>
      </w:r>
      <w:r w:rsidR="004C7D47">
        <w:t>u</w:t>
      </w:r>
      <w:r w:rsidR="00B276E3">
        <w:t>se case</w:t>
      </w:r>
      <w:r>
        <w:t>s are appended which have been compiled to explore the ways in which hearing safeguarding both is and is not being made available to users:</w:t>
      </w:r>
    </w:p>
    <w:p w14:paraId="157D7F26" w14:textId="642FD38D" w:rsidR="00EA49AC" w:rsidRDefault="0032747B" w:rsidP="00A32FA7">
      <w:pPr>
        <w:pStyle w:val="enumlev1"/>
      </w:pPr>
      <w:r>
        <w:t>–</w:t>
      </w:r>
      <w:r>
        <w:tab/>
      </w:r>
      <w:r w:rsidR="00EA49AC">
        <w:t xml:space="preserve">One PMP/PAD to </w:t>
      </w:r>
      <w:r w:rsidR="004C7D47">
        <w:t>m</w:t>
      </w:r>
      <w:r w:rsidR="00EA49AC">
        <w:t xml:space="preserve">any </w:t>
      </w:r>
      <w:r w:rsidR="004C7D47">
        <w:t>w</w:t>
      </w:r>
      <w:r w:rsidR="00EA49AC">
        <w:t xml:space="preserve">ireless </w:t>
      </w:r>
      <w:r w:rsidR="004C7D47">
        <w:t>h</w:t>
      </w:r>
      <w:r w:rsidR="00EA49AC">
        <w:t>eadsets</w:t>
      </w:r>
    </w:p>
    <w:p w14:paraId="1BF3A781" w14:textId="19D3C116" w:rsidR="00DA7595" w:rsidRDefault="0032747B" w:rsidP="00A32FA7">
      <w:pPr>
        <w:pStyle w:val="enumlev1"/>
      </w:pPr>
      <w:r>
        <w:t>–</w:t>
      </w:r>
      <w:r>
        <w:tab/>
      </w:r>
      <w:r w:rsidR="00DA7595">
        <w:t xml:space="preserve">Wireless </w:t>
      </w:r>
      <w:r w:rsidR="004C7D47">
        <w:t>h</w:t>
      </w:r>
      <w:r w:rsidR="00DA7595">
        <w:t xml:space="preserve">eadsets and non PMP/PAD sources </w:t>
      </w:r>
    </w:p>
    <w:p w14:paraId="0A838BA8" w14:textId="14F69672" w:rsidR="00EA49AC" w:rsidRDefault="0032747B" w:rsidP="00A32FA7">
      <w:pPr>
        <w:pStyle w:val="enumlev1"/>
      </w:pPr>
      <w:r>
        <w:t>–</w:t>
      </w:r>
      <w:r>
        <w:tab/>
      </w:r>
      <w:r w:rsidR="00EA49AC">
        <w:t xml:space="preserve">Wireless </w:t>
      </w:r>
      <w:r w:rsidR="004C7D47">
        <w:t>h</w:t>
      </w:r>
      <w:r w:rsidR="00EA49AC">
        <w:t xml:space="preserve">eadsets </w:t>
      </w:r>
      <w:r w:rsidR="004C7D47">
        <w:t>s</w:t>
      </w:r>
      <w:r w:rsidR="00EA49AC">
        <w:t xml:space="preserve">treaming from </w:t>
      </w:r>
      <w:r w:rsidR="004C7D47">
        <w:t>w</w:t>
      </w:r>
      <w:r w:rsidR="00EA49AC">
        <w:t>atches</w:t>
      </w:r>
    </w:p>
    <w:p w14:paraId="73915E01" w14:textId="6A8AE253" w:rsidR="00EA49AC" w:rsidRDefault="0032747B" w:rsidP="00A32FA7">
      <w:pPr>
        <w:pStyle w:val="enumlev1"/>
      </w:pPr>
      <w:r>
        <w:t>–</w:t>
      </w:r>
      <w:r>
        <w:tab/>
      </w:r>
      <w:r w:rsidR="00EA49AC">
        <w:t xml:space="preserve">Wireless </w:t>
      </w:r>
      <w:r w:rsidR="004C7D47">
        <w:t>h</w:t>
      </w:r>
      <w:r w:rsidR="00EA49AC">
        <w:t xml:space="preserve">eadsets with </w:t>
      </w:r>
      <w:r w:rsidR="004C7D47">
        <w:t>m</w:t>
      </w:r>
      <w:r w:rsidR="00EA49AC">
        <w:t xml:space="preserve">edia </w:t>
      </w:r>
      <w:r w:rsidR="004C7D47">
        <w:t>s</w:t>
      </w:r>
      <w:r w:rsidR="00EA49AC">
        <w:t>torage</w:t>
      </w:r>
    </w:p>
    <w:p w14:paraId="14F93E49" w14:textId="4AFCF066" w:rsidR="00EA49AC" w:rsidRDefault="0032747B" w:rsidP="00A32FA7">
      <w:pPr>
        <w:pStyle w:val="enumlev1"/>
      </w:pPr>
      <w:r>
        <w:t>–</w:t>
      </w:r>
      <w:r>
        <w:tab/>
      </w:r>
      <w:r w:rsidR="00EA49AC">
        <w:t>Bluetooth DAC</w:t>
      </w:r>
    </w:p>
    <w:p w14:paraId="38D724D3" w14:textId="6D197D3D" w:rsidR="00EA49AC" w:rsidRDefault="0032747B" w:rsidP="00A32FA7">
      <w:pPr>
        <w:pStyle w:val="enumlev1"/>
      </w:pPr>
      <w:r>
        <w:t>–</w:t>
      </w:r>
      <w:r>
        <w:tab/>
      </w:r>
      <w:r w:rsidR="00EA49AC">
        <w:t>Sound personali</w:t>
      </w:r>
      <w:r w:rsidR="004C7D47">
        <w:t>z</w:t>
      </w:r>
      <w:r w:rsidR="00EA49AC">
        <w:t>ation</w:t>
      </w:r>
    </w:p>
    <w:p w14:paraId="30AC963C" w14:textId="0871A9AB" w:rsidR="00EA49AC" w:rsidRDefault="0032747B" w:rsidP="00A32FA7">
      <w:pPr>
        <w:pStyle w:val="enumlev1"/>
      </w:pPr>
      <w:r>
        <w:t>–</w:t>
      </w:r>
      <w:r>
        <w:tab/>
      </w:r>
      <w:r w:rsidR="00EA49AC">
        <w:t>Analogue amplification</w:t>
      </w:r>
    </w:p>
    <w:p w14:paraId="680C3EA1" w14:textId="0AE1832A" w:rsidR="00EA49AC" w:rsidRDefault="0032747B" w:rsidP="00A32FA7">
      <w:pPr>
        <w:pStyle w:val="enumlev1"/>
      </w:pPr>
      <w:r>
        <w:t>–</w:t>
      </w:r>
      <w:r>
        <w:tab/>
      </w:r>
      <w:r w:rsidR="00EA49AC">
        <w:t>Protection system conflict</w:t>
      </w:r>
    </w:p>
    <w:p w14:paraId="38CBA797" w14:textId="073517E7" w:rsidR="00EA49AC" w:rsidRDefault="00DA7595" w:rsidP="00EA49AC">
      <w:r>
        <w:t>The d</w:t>
      </w:r>
      <w:r w:rsidR="00EA49AC">
        <w:t>etailed description of each</w:t>
      </w:r>
      <w:r w:rsidR="004C7D47">
        <w:t xml:space="preserve"> of the above</w:t>
      </w:r>
      <w:r w:rsidR="00EA49AC">
        <w:t xml:space="preserve"> is </w:t>
      </w:r>
      <w:r>
        <w:t xml:space="preserve">found </w:t>
      </w:r>
      <w:r w:rsidR="00EA49AC">
        <w:t xml:space="preserve">in Annex </w:t>
      </w:r>
      <w:r>
        <w:t>A</w:t>
      </w:r>
      <w:r w:rsidR="00EA49AC">
        <w:t>.</w:t>
      </w:r>
    </w:p>
    <w:p w14:paraId="3061A467" w14:textId="77777777" w:rsidR="00B276E3" w:rsidRDefault="00B276E3" w:rsidP="00B276E3"/>
    <w:p w14:paraId="77E9246B" w14:textId="2F6E2A83" w:rsidR="00EA49AC" w:rsidRPr="00B276E3" w:rsidRDefault="00EA49AC" w:rsidP="00B276E3">
      <w:r w:rsidRPr="00B276E3">
        <w:br w:type="page"/>
      </w:r>
    </w:p>
    <w:p w14:paraId="46271189" w14:textId="5B49C40F" w:rsidR="00EA49AC" w:rsidRPr="00205D2B" w:rsidRDefault="00EA49AC" w:rsidP="00A32FA7">
      <w:pPr>
        <w:pStyle w:val="AnnexNoTitle0"/>
        <w:rPr>
          <w:highlight w:val="yellow"/>
        </w:rPr>
      </w:pPr>
      <w:bookmarkStart w:id="74" w:name="_mbxn7ph7257y" w:colFirst="0" w:colLast="0"/>
      <w:bookmarkStart w:id="75" w:name="_Toc93914599"/>
      <w:bookmarkStart w:id="76" w:name="_Toc96524126"/>
      <w:bookmarkStart w:id="77" w:name="_Toc96524855"/>
      <w:bookmarkStart w:id="78" w:name="_Toc99356575"/>
      <w:bookmarkEnd w:id="74"/>
      <w:r w:rsidRPr="00205D2B">
        <w:t xml:space="preserve">Annex </w:t>
      </w:r>
      <w:r>
        <w:t>A</w:t>
      </w:r>
      <w:r w:rsidR="00A32FA7">
        <w:br/>
      </w:r>
      <w:r w:rsidR="00463685">
        <w:br/>
      </w:r>
      <w:r w:rsidR="00B276E3">
        <w:t>Use case</w:t>
      </w:r>
      <w:r w:rsidR="002F0B64" w:rsidRPr="00205D2B">
        <w:t>s</w:t>
      </w:r>
      <w:bookmarkEnd w:id="75"/>
      <w:bookmarkEnd w:id="76"/>
      <w:bookmarkEnd w:id="77"/>
      <w:bookmarkEnd w:id="78"/>
    </w:p>
    <w:p w14:paraId="63D88790" w14:textId="6A284874" w:rsidR="00EA49AC" w:rsidRPr="002F0B64" w:rsidRDefault="00EA49AC" w:rsidP="002F0B64"/>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
        <w:gridCol w:w="1517"/>
        <w:gridCol w:w="1243"/>
        <w:gridCol w:w="968"/>
        <w:gridCol w:w="5162"/>
      </w:tblGrid>
      <w:tr w:rsidR="00EA49AC" w:rsidRPr="0081017C" w14:paraId="1D607197" w14:textId="77777777" w:rsidTr="00A32FA7">
        <w:trPr>
          <w:jc w:val="center"/>
        </w:trPr>
        <w:tc>
          <w:tcPr>
            <w:tcW w:w="4593" w:type="dxa"/>
            <w:gridSpan w:val="4"/>
          </w:tcPr>
          <w:p w14:paraId="04D59481" w14:textId="78C9FA87" w:rsidR="00EA49AC" w:rsidRPr="0081017C" w:rsidRDefault="00B276E3">
            <w:pPr>
              <w:pStyle w:val="Tablehead"/>
            </w:pPr>
            <w:r w:rsidRPr="0081017C">
              <w:t>Use case</w:t>
            </w:r>
            <w:r w:rsidR="00EA49AC" w:rsidRPr="0081017C">
              <w:t xml:space="preserve">s – Conflicted </w:t>
            </w:r>
            <w:r w:rsidR="004C7D47">
              <w:t>h</w:t>
            </w:r>
            <w:r w:rsidR="00EA49AC" w:rsidRPr="0081017C">
              <w:t xml:space="preserve">earing </w:t>
            </w:r>
            <w:r w:rsidR="004C7D47">
              <w:t>s</w:t>
            </w:r>
            <w:r w:rsidR="00EA49AC" w:rsidRPr="0081017C">
              <w:t>afeguarding</w:t>
            </w:r>
          </w:p>
        </w:tc>
        <w:tc>
          <w:tcPr>
            <w:tcW w:w="5324" w:type="dxa"/>
            <w:vMerge w:val="restart"/>
          </w:tcPr>
          <w:p w14:paraId="10AECFA4" w14:textId="49E032A4" w:rsidR="00EA49AC" w:rsidRPr="0081017C" w:rsidRDefault="00EA49AC">
            <w:pPr>
              <w:pStyle w:val="Tablehead"/>
            </w:pPr>
            <w:bookmarkStart w:id="79" w:name="_Toc95410286"/>
            <w:r w:rsidRPr="0081017C">
              <w:t xml:space="preserve">One PMP/PAD to </w:t>
            </w:r>
            <w:r w:rsidR="009159F9">
              <w:t>m</w:t>
            </w:r>
            <w:r w:rsidRPr="0081017C">
              <w:t xml:space="preserve">any </w:t>
            </w:r>
            <w:r w:rsidR="009159F9">
              <w:t>w</w:t>
            </w:r>
            <w:r w:rsidRPr="0081017C">
              <w:t xml:space="preserve">ireless </w:t>
            </w:r>
            <w:r w:rsidR="009159F9">
              <w:t>h</w:t>
            </w:r>
            <w:r w:rsidRPr="0081017C">
              <w:t>eadsets</w:t>
            </w:r>
            <w:bookmarkEnd w:id="79"/>
            <w:r w:rsidRPr="0081017C">
              <w:t xml:space="preserve"> </w:t>
            </w:r>
          </w:p>
        </w:tc>
      </w:tr>
      <w:tr w:rsidR="00F00669" w:rsidRPr="0081017C" w14:paraId="2A878229" w14:textId="77777777" w:rsidTr="00A32FA7">
        <w:trPr>
          <w:jc w:val="center"/>
        </w:trPr>
        <w:tc>
          <w:tcPr>
            <w:tcW w:w="766" w:type="dxa"/>
          </w:tcPr>
          <w:p w14:paraId="17F26B60" w14:textId="77777777" w:rsidR="00F00669" w:rsidRPr="00315DBF" w:rsidRDefault="00F00669" w:rsidP="00A32FA7">
            <w:pPr>
              <w:pStyle w:val="Tablehead"/>
              <w:rPr>
                <w:rFonts w:eastAsia="Verdana"/>
                <w:bCs/>
              </w:rPr>
            </w:pPr>
            <w:r w:rsidRPr="00315DBF">
              <w:rPr>
                <w:rFonts w:eastAsia="Verdana"/>
                <w:bCs/>
              </w:rPr>
              <w:t>Date</w:t>
            </w:r>
          </w:p>
        </w:tc>
        <w:tc>
          <w:tcPr>
            <w:tcW w:w="1559" w:type="dxa"/>
          </w:tcPr>
          <w:p w14:paraId="4A0DFA39" w14:textId="77777777" w:rsidR="00F00669" w:rsidRPr="00A32FA7" w:rsidRDefault="00F00669" w:rsidP="00A32FA7">
            <w:pPr>
              <w:pStyle w:val="Tablehead"/>
              <w:rPr>
                <w:rFonts w:eastAsia="Verdana"/>
                <w:b w:val="0"/>
                <w:bCs/>
              </w:rPr>
            </w:pPr>
            <w:r w:rsidRPr="00A32FA7">
              <w:rPr>
                <w:rFonts w:eastAsia="Verdana"/>
                <w:b w:val="0"/>
                <w:bCs/>
              </w:rPr>
              <w:t>June 2020</w:t>
            </w:r>
          </w:p>
        </w:tc>
        <w:tc>
          <w:tcPr>
            <w:tcW w:w="1276" w:type="dxa"/>
          </w:tcPr>
          <w:p w14:paraId="154526F7" w14:textId="1C4EF546" w:rsidR="00F00669" w:rsidRPr="00315DBF" w:rsidRDefault="00F00669" w:rsidP="00A32FA7">
            <w:pPr>
              <w:pStyle w:val="Tablehead"/>
              <w:rPr>
                <w:rFonts w:eastAsia="Verdana"/>
                <w:bCs/>
              </w:rPr>
            </w:pPr>
            <w:r w:rsidRPr="00315DBF">
              <w:rPr>
                <w:rFonts w:eastAsia="Verdana"/>
                <w:bCs/>
              </w:rPr>
              <w:t>Use case</w:t>
            </w:r>
          </w:p>
        </w:tc>
        <w:tc>
          <w:tcPr>
            <w:tcW w:w="992" w:type="dxa"/>
          </w:tcPr>
          <w:p w14:paraId="18F4856F" w14:textId="366EC195" w:rsidR="00F00669" w:rsidRPr="0081017C" w:rsidRDefault="007461B6" w:rsidP="00A32FA7">
            <w:pPr>
              <w:pStyle w:val="Tablehead"/>
              <w:rPr>
                <w:rFonts w:eastAsia="Verdana"/>
              </w:rPr>
            </w:pPr>
            <w:r>
              <w:rPr>
                <w:rFonts w:eastAsia="Verdana"/>
                <w:noProof/>
              </w:rPr>
              <w:t>1</w:t>
            </w:r>
          </w:p>
        </w:tc>
        <w:tc>
          <w:tcPr>
            <w:tcW w:w="5324" w:type="dxa"/>
            <w:vMerge/>
          </w:tcPr>
          <w:p w14:paraId="77AFB389" w14:textId="77777777" w:rsidR="00F00669" w:rsidRPr="0081017C" w:rsidRDefault="00F00669" w:rsidP="00A32FA7">
            <w:pPr>
              <w:pStyle w:val="Tablehead"/>
              <w:rPr>
                <w:rFonts w:eastAsia="Verdana"/>
              </w:rPr>
            </w:pPr>
          </w:p>
        </w:tc>
      </w:tr>
      <w:tr w:rsidR="00EA49AC" w:rsidRPr="0081017C" w14:paraId="3DF28411" w14:textId="77777777" w:rsidTr="00A32FA7">
        <w:trPr>
          <w:jc w:val="center"/>
        </w:trPr>
        <w:tc>
          <w:tcPr>
            <w:tcW w:w="9917" w:type="dxa"/>
            <w:gridSpan w:val="5"/>
          </w:tcPr>
          <w:p w14:paraId="4B816452" w14:textId="423D9F29" w:rsidR="00EA49AC" w:rsidRPr="0001133F" w:rsidRDefault="00EA49AC" w:rsidP="0001133F">
            <w:pPr>
              <w:pStyle w:val="Tabletext"/>
              <w:rPr>
                <w:rFonts w:eastAsia="Verdana"/>
                <w:b/>
                <w:bCs/>
              </w:rPr>
            </w:pPr>
            <w:r w:rsidRPr="0001133F">
              <w:rPr>
                <w:rFonts w:eastAsia="Verdana"/>
                <w:b/>
                <w:bCs/>
              </w:rPr>
              <w:t>Description:</w:t>
            </w:r>
          </w:p>
        </w:tc>
      </w:tr>
      <w:tr w:rsidR="0001133F" w:rsidRPr="0081017C" w14:paraId="5D90DC94" w14:textId="77777777" w:rsidTr="00A32FA7">
        <w:trPr>
          <w:jc w:val="center"/>
        </w:trPr>
        <w:tc>
          <w:tcPr>
            <w:tcW w:w="9917" w:type="dxa"/>
            <w:gridSpan w:val="5"/>
          </w:tcPr>
          <w:p w14:paraId="196DC324" w14:textId="77777777" w:rsidR="0001133F" w:rsidRPr="0081017C" w:rsidRDefault="0001133F" w:rsidP="0001133F">
            <w:pPr>
              <w:pStyle w:val="Tabletext"/>
              <w:rPr>
                <w:rFonts w:eastAsia="Verdana"/>
              </w:rPr>
            </w:pPr>
            <w:r w:rsidRPr="0081017C">
              <w:rPr>
                <w:rFonts w:eastAsia="Verdana"/>
              </w:rPr>
              <w:t>A PMP/PAD with the ability to simultaneously stream to multiple listening devices, making PMP/PAD-based hearing protection less effective.</w:t>
            </w:r>
          </w:p>
          <w:p w14:paraId="00126A9E" w14:textId="22E404FC" w:rsidR="0001133F" w:rsidRPr="0081017C" w:rsidRDefault="0001133F" w:rsidP="0001133F">
            <w:pPr>
              <w:pStyle w:val="Tabletext"/>
              <w:rPr>
                <w:rFonts w:eastAsia="Verdana"/>
              </w:rPr>
            </w:pPr>
            <w:r w:rsidRPr="0081017C">
              <w:rPr>
                <w:rFonts w:eastAsia="Verdana"/>
              </w:rPr>
              <w:t>This is likely to become more common as Bluetooth 5.2 protocols introduce more advanced communication possibilities such as streaming to multiple devices and audio sharing.</w:t>
            </w:r>
          </w:p>
        </w:tc>
      </w:tr>
      <w:tr w:rsidR="00E1381E" w:rsidRPr="0081017C" w14:paraId="2719FACA" w14:textId="77777777" w:rsidTr="00A32FA7">
        <w:trPr>
          <w:jc w:val="center"/>
        </w:trPr>
        <w:tc>
          <w:tcPr>
            <w:tcW w:w="9917" w:type="dxa"/>
            <w:gridSpan w:val="5"/>
          </w:tcPr>
          <w:p w14:paraId="6D210717" w14:textId="686CBD85" w:rsidR="00E1381E" w:rsidRPr="00E1381E" w:rsidRDefault="00E1381E" w:rsidP="00E1381E">
            <w:pPr>
              <w:pStyle w:val="Tabletext"/>
              <w:rPr>
                <w:rFonts w:eastAsia="Verdana"/>
                <w:b/>
                <w:bCs/>
              </w:rPr>
            </w:pPr>
            <w:r w:rsidRPr="00E1381E">
              <w:rPr>
                <w:rFonts w:eastAsia="Verdana"/>
                <w:b/>
                <w:bCs/>
              </w:rPr>
              <w:t>Issues</w:t>
            </w:r>
            <w:r w:rsidR="00E7251B">
              <w:rPr>
                <w:rFonts w:eastAsia="Verdana"/>
                <w:b/>
                <w:bCs/>
              </w:rPr>
              <w:t>/gaps</w:t>
            </w:r>
            <w:r w:rsidRPr="00E1381E">
              <w:rPr>
                <w:rFonts w:eastAsia="Verdana"/>
                <w:b/>
                <w:bCs/>
              </w:rPr>
              <w:t>:</w:t>
            </w:r>
          </w:p>
        </w:tc>
      </w:tr>
      <w:tr w:rsidR="00E1381E" w:rsidRPr="0081017C" w14:paraId="7B2923AB" w14:textId="77777777" w:rsidTr="00A32FA7">
        <w:trPr>
          <w:jc w:val="center"/>
        </w:trPr>
        <w:tc>
          <w:tcPr>
            <w:tcW w:w="9917" w:type="dxa"/>
            <w:gridSpan w:val="5"/>
          </w:tcPr>
          <w:p w14:paraId="400867CF" w14:textId="77777777" w:rsidR="0001133F" w:rsidRPr="0081017C" w:rsidRDefault="0001133F" w:rsidP="0001133F">
            <w:pPr>
              <w:pStyle w:val="Tabletext"/>
              <w:rPr>
                <w:rFonts w:eastAsia="Verdana"/>
              </w:rPr>
            </w:pPr>
            <w:r w:rsidRPr="0081017C">
              <w:rPr>
                <w:rFonts w:eastAsia="Verdana"/>
              </w:rPr>
              <w:t>Present regulatory standards recommend dose-based assessment of the media content reaching the user's ears, envisage the protection being incorporated within the PMP/PAD, and it being connected to a single listening device with known or assumed characteristics. Streaming to multiple headsets introduces uncertainty:</w:t>
            </w:r>
          </w:p>
          <w:p w14:paraId="4D9477A5" w14:textId="3967191C" w:rsidR="0001133F" w:rsidRPr="0081017C" w:rsidRDefault="0001133F" w:rsidP="00EF305C">
            <w:pPr>
              <w:pStyle w:val="Tabletext"/>
              <w:ind w:left="284" w:hanging="284"/>
              <w:rPr>
                <w:rFonts w:eastAsia="Verdana"/>
              </w:rPr>
            </w:pPr>
            <w:r w:rsidRPr="0081017C">
              <w:rPr>
                <w:rFonts w:eastAsia="Verdana"/>
              </w:rPr>
              <w:t>1</w:t>
            </w:r>
            <w:r w:rsidR="00A32FA7">
              <w:rPr>
                <w:rFonts w:eastAsia="Verdana"/>
              </w:rPr>
              <w:t>)</w:t>
            </w:r>
            <w:r w:rsidR="002078A4">
              <w:rPr>
                <w:rFonts w:eastAsia="Verdana"/>
              </w:rPr>
              <w:tab/>
            </w:r>
            <w:r w:rsidRPr="0081017C">
              <w:rPr>
                <w:rFonts w:eastAsia="Verdana"/>
              </w:rPr>
              <w:t>The headsets may have differing characteristics such as sensitivity, volume setting or sound enhancement mode; the single protection function, with its warnings and possible control, may over or under-protect each user.</w:t>
            </w:r>
          </w:p>
          <w:p w14:paraId="5B0F74D1" w14:textId="433B1493" w:rsidR="0001133F" w:rsidRPr="0081017C" w:rsidRDefault="0001133F" w:rsidP="00EF305C">
            <w:pPr>
              <w:pStyle w:val="Tabletext"/>
              <w:ind w:left="284" w:hanging="284"/>
              <w:rPr>
                <w:rFonts w:eastAsia="Verdana"/>
              </w:rPr>
            </w:pPr>
            <w:r w:rsidRPr="0081017C">
              <w:rPr>
                <w:rFonts w:eastAsia="Verdana"/>
              </w:rPr>
              <w:t>2</w:t>
            </w:r>
            <w:r w:rsidR="00A32FA7">
              <w:rPr>
                <w:rFonts w:eastAsia="Verdana"/>
              </w:rPr>
              <w:t>)</w:t>
            </w:r>
            <w:r w:rsidR="002078A4">
              <w:rPr>
                <w:rFonts w:eastAsia="Verdana"/>
              </w:rPr>
              <w:tab/>
            </w:r>
            <w:r w:rsidRPr="0081017C">
              <w:rPr>
                <w:rFonts w:eastAsia="Verdana"/>
              </w:rPr>
              <w:t>The users may be listening to the streamed content at differing but overlapping periods; this again leads to errors in the issuance of warnings etc.</w:t>
            </w:r>
          </w:p>
          <w:p w14:paraId="7ED3678D" w14:textId="6555F398" w:rsidR="0001133F" w:rsidRPr="0081017C" w:rsidRDefault="0001133F" w:rsidP="00EF305C">
            <w:pPr>
              <w:pStyle w:val="Tabletext"/>
              <w:ind w:left="284" w:hanging="284"/>
              <w:rPr>
                <w:rFonts w:eastAsia="Verdana"/>
              </w:rPr>
            </w:pPr>
            <w:r w:rsidRPr="0081017C">
              <w:rPr>
                <w:rFonts w:eastAsia="Verdana"/>
              </w:rPr>
              <w:t>3</w:t>
            </w:r>
            <w:r w:rsidR="00D66723">
              <w:rPr>
                <w:rFonts w:eastAsia="Verdana"/>
              </w:rPr>
              <w:t>)</w:t>
            </w:r>
            <w:r w:rsidR="002078A4">
              <w:rPr>
                <w:rFonts w:eastAsia="Verdana"/>
              </w:rPr>
              <w:tab/>
            </w:r>
            <w:r w:rsidRPr="0081017C">
              <w:rPr>
                <w:rFonts w:eastAsia="Verdana"/>
              </w:rPr>
              <w:t>Users may be able to defeat PMP/PAD protection through a BT-connected dongle acting as a headset with 'known' low sensitivity.</w:t>
            </w:r>
          </w:p>
          <w:p w14:paraId="045C66C9" w14:textId="2D6EF9F8" w:rsidR="0001133F" w:rsidRPr="0081017C" w:rsidRDefault="0001133F" w:rsidP="00EF305C">
            <w:pPr>
              <w:pStyle w:val="Tabletext"/>
              <w:ind w:left="284" w:hanging="284"/>
              <w:rPr>
                <w:rFonts w:eastAsia="Verdana"/>
              </w:rPr>
            </w:pPr>
            <w:r w:rsidRPr="0081017C">
              <w:rPr>
                <w:rFonts w:eastAsia="Verdana"/>
              </w:rPr>
              <w:t>4</w:t>
            </w:r>
            <w:r w:rsidR="00D66723">
              <w:rPr>
                <w:rFonts w:eastAsia="Verdana"/>
              </w:rPr>
              <w:t>)</w:t>
            </w:r>
            <w:r w:rsidR="002078A4">
              <w:rPr>
                <w:rFonts w:eastAsia="Verdana"/>
              </w:rPr>
              <w:tab/>
            </w:r>
            <w:r w:rsidRPr="0081017C">
              <w:rPr>
                <w:rFonts w:eastAsia="Verdana"/>
              </w:rPr>
              <w:t>One of the users may be a child</w:t>
            </w:r>
          </w:p>
          <w:p w14:paraId="41F8A6F0" w14:textId="420FFAAB" w:rsidR="00E1381E" w:rsidRPr="0081017C" w:rsidRDefault="0001133F">
            <w:pPr>
              <w:pStyle w:val="Tabletext"/>
              <w:rPr>
                <w:rFonts w:eastAsia="Verdana"/>
              </w:rPr>
            </w:pPr>
            <w:r w:rsidRPr="0081017C">
              <w:rPr>
                <w:rFonts w:eastAsia="Verdana"/>
              </w:rPr>
              <w:t xml:space="preserve">Without action, this </w:t>
            </w:r>
            <w:r w:rsidR="009D02AF">
              <w:rPr>
                <w:rFonts w:eastAsia="Verdana"/>
              </w:rPr>
              <w:t>u</w:t>
            </w:r>
            <w:r w:rsidRPr="0081017C">
              <w:rPr>
                <w:rFonts w:eastAsia="Verdana"/>
              </w:rPr>
              <w:t xml:space="preserve">se case will fall outside of the spirit and intention of both </w:t>
            </w:r>
            <w:r w:rsidR="009D02AF">
              <w:rPr>
                <w:rFonts w:eastAsia="Verdana"/>
              </w:rPr>
              <w:t>[</w:t>
            </w:r>
            <w:r w:rsidRPr="0081017C">
              <w:rPr>
                <w:rFonts w:eastAsia="Verdana"/>
              </w:rPr>
              <w:t>IEC 62368</w:t>
            </w:r>
            <w:r w:rsidR="0042268C">
              <w:rPr>
                <w:rFonts w:eastAsia="Verdana"/>
              </w:rPr>
              <w:t>-1</w:t>
            </w:r>
            <w:r w:rsidR="009D02AF">
              <w:rPr>
                <w:rFonts w:eastAsia="Verdana"/>
              </w:rPr>
              <w:t>]</w:t>
            </w:r>
            <w:r w:rsidRPr="0081017C">
              <w:rPr>
                <w:rFonts w:eastAsia="Verdana"/>
              </w:rPr>
              <w:t xml:space="preserve"> and </w:t>
            </w:r>
            <w:r w:rsidR="009D02AF">
              <w:rPr>
                <w:rFonts w:eastAsia="Verdana"/>
              </w:rPr>
              <w:t>[</w:t>
            </w:r>
            <w:r w:rsidRPr="0081017C">
              <w:rPr>
                <w:rFonts w:eastAsia="Verdana"/>
              </w:rPr>
              <w:t>ITU</w:t>
            </w:r>
            <w:r w:rsidR="00130CD0">
              <w:rPr>
                <w:rFonts w:eastAsia="Verdana"/>
              </w:rPr>
              <w:noBreakHyphen/>
              <w:t>T </w:t>
            </w:r>
            <w:r w:rsidRPr="0081017C">
              <w:rPr>
                <w:rFonts w:eastAsia="Verdana"/>
              </w:rPr>
              <w:t>H.870</w:t>
            </w:r>
            <w:r w:rsidR="009D02AF">
              <w:rPr>
                <w:rFonts w:eastAsia="Verdana"/>
              </w:rPr>
              <w:t>]</w:t>
            </w:r>
            <w:r w:rsidRPr="0081017C">
              <w:rPr>
                <w:rFonts w:eastAsia="Verdana"/>
              </w:rPr>
              <w:t>.</w:t>
            </w:r>
          </w:p>
        </w:tc>
      </w:tr>
      <w:tr w:rsidR="00E1381E" w:rsidRPr="0081017C" w14:paraId="15618ACA" w14:textId="77777777" w:rsidTr="00A32FA7">
        <w:trPr>
          <w:jc w:val="center"/>
        </w:trPr>
        <w:tc>
          <w:tcPr>
            <w:tcW w:w="9917" w:type="dxa"/>
            <w:gridSpan w:val="5"/>
          </w:tcPr>
          <w:p w14:paraId="3980985A" w14:textId="751D18BD" w:rsidR="00E1381E" w:rsidRPr="00E1381E" w:rsidRDefault="00E1381E">
            <w:pPr>
              <w:pStyle w:val="Tabletext"/>
              <w:rPr>
                <w:rFonts w:eastAsia="Verdana"/>
                <w:b/>
                <w:bCs/>
              </w:rPr>
            </w:pPr>
            <w:r w:rsidRPr="00E1381E">
              <w:rPr>
                <w:rFonts w:eastAsia="Verdana"/>
                <w:b/>
                <w:bCs/>
              </w:rPr>
              <w:t xml:space="preserve">Possible </w:t>
            </w:r>
            <w:r w:rsidR="009D02AF">
              <w:rPr>
                <w:rFonts w:eastAsia="Verdana"/>
                <w:b/>
                <w:bCs/>
              </w:rPr>
              <w:t>o</w:t>
            </w:r>
            <w:r w:rsidRPr="00E1381E">
              <w:rPr>
                <w:rFonts w:eastAsia="Verdana"/>
                <w:b/>
                <w:bCs/>
              </w:rPr>
              <w:t>ptions:</w:t>
            </w:r>
          </w:p>
        </w:tc>
      </w:tr>
      <w:tr w:rsidR="00E1381E" w:rsidRPr="0081017C" w14:paraId="5652AA03" w14:textId="77777777" w:rsidTr="00A32FA7">
        <w:trPr>
          <w:jc w:val="center"/>
        </w:trPr>
        <w:tc>
          <w:tcPr>
            <w:tcW w:w="9917" w:type="dxa"/>
            <w:gridSpan w:val="5"/>
          </w:tcPr>
          <w:p w14:paraId="0AA09D25" w14:textId="09E03F87" w:rsidR="00E1381E" w:rsidRPr="0081017C" w:rsidRDefault="002078A4" w:rsidP="002078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Verdana"/>
              </w:rPr>
            </w:pPr>
            <w:r>
              <w:rPr>
                <w:rFonts w:eastAsia="Verdana"/>
              </w:rPr>
              <w:t>1</w:t>
            </w:r>
            <w:r w:rsidR="00D66723">
              <w:rPr>
                <w:rFonts w:eastAsia="Verdana"/>
              </w:rPr>
              <w:t>)</w:t>
            </w:r>
            <w:r w:rsidRPr="0081017C">
              <w:rPr>
                <w:rFonts w:eastAsia="Verdana"/>
              </w:rPr>
              <w:tab/>
            </w:r>
            <w:r w:rsidR="00E1381E" w:rsidRPr="0081017C">
              <w:rPr>
                <w:rFonts w:eastAsia="Verdana"/>
              </w:rPr>
              <w:t>Ignore as being a fringe population</w:t>
            </w:r>
            <w:r w:rsidR="009D02AF">
              <w:rPr>
                <w:rFonts w:eastAsia="Verdana"/>
              </w:rPr>
              <w:t>.</w:t>
            </w:r>
          </w:p>
          <w:p w14:paraId="4EB95D32" w14:textId="3774387A" w:rsidR="00E1381E" w:rsidRPr="0081017C" w:rsidRDefault="002078A4" w:rsidP="002078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Verdana"/>
              </w:rPr>
            </w:pPr>
            <w:r>
              <w:rPr>
                <w:rFonts w:eastAsia="Verdana"/>
              </w:rPr>
              <w:t>2</w:t>
            </w:r>
            <w:r w:rsidR="00D66723">
              <w:rPr>
                <w:rFonts w:eastAsia="Verdana"/>
              </w:rPr>
              <w:t>)</w:t>
            </w:r>
            <w:r w:rsidRPr="0081017C">
              <w:rPr>
                <w:rFonts w:eastAsia="Verdana"/>
              </w:rPr>
              <w:tab/>
            </w:r>
            <w:r w:rsidR="00E1381E" w:rsidRPr="0081017C">
              <w:rPr>
                <w:rFonts w:eastAsia="Verdana"/>
              </w:rPr>
              <w:t>Prohibit such use</w:t>
            </w:r>
            <w:r w:rsidR="009D02AF">
              <w:rPr>
                <w:rFonts w:eastAsia="Verdana"/>
              </w:rPr>
              <w:t>.</w:t>
            </w:r>
          </w:p>
          <w:p w14:paraId="5A386ED8" w14:textId="04D34202" w:rsidR="00E1381E" w:rsidRPr="00E1381E" w:rsidRDefault="002078A4" w:rsidP="002078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Verdana"/>
                <w:b/>
                <w:bCs/>
              </w:rPr>
            </w:pPr>
            <w:r>
              <w:rPr>
                <w:rFonts w:eastAsia="Verdana"/>
                <w:bCs/>
              </w:rPr>
              <w:t>3</w:t>
            </w:r>
            <w:r w:rsidR="00D66723">
              <w:rPr>
                <w:rFonts w:eastAsia="Verdana"/>
                <w:bCs/>
              </w:rPr>
              <w:t>)</w:t>
            </w:r>
            <w:r w:rsidRPr="00E1381E">
              <w:rPr>
                <w:rFonts w:eastAsia="Verdana"/>
                <w:bCs/>
              </w:rPr>
              <w:tab/>
            </w:r>
            <w:r w:rsidR="00E1381E" w:rsidRPr="0081017C">
              <w:rPr>
                <w:rFonts w:eastAsia="Verdana"/>
              </w:rPr>
              <w:t>Parallel PMP/PAD protection channels</w:t>
            </w:r>
            <w:r w:rsidR="009D02AF">
              <w:rPr>
                <w:rFonts w:eastAsia="Verdana"/>
              </w:rPr>
              <w:t>.</w:t>
            </w:r>
          </w:p>
          <w:p w14:paraId="3BB97F3A" w14:textId="78C6DD21" w:rsidR="00E1381E" w:rsidRPr="00E1381E" w:rsidRDefault="002078A4" w:rsidP="002078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Verdana"/>
                <w:b/>
                <w:bCs/>
              </w:rPr>
            </w:pPr>
            <w:r>
              <w:rPr>
                <w:rFonts w:eastAsia="Verdana"/>
                <w:bCs/>
              </w:rPr>
              <w:t>4</w:t>
            </w:r>
            <w:r w:rsidR="00D66723">
              <w:rPr>
                <w:rFonts w:eastAsia="Verdana"/>
                <w:bCs/>
              </w:rPr>
              <w:t>)</w:t>
            </w:r>
            <w:r w:rsidRPr="00E1381E">
              <w:rPr>
                <w:rFonts w:eastAsia="Verdana"/>
                <w:bCs/>
              </w:rPr>
              <w:tab/>
            </w:r>
            <w:r w:rsidR="00E1381E" w:rsidRPr="0081017C">
              <w:rPr>
                <w:rFonts w:eastAsia="Verdana"/>
              </w:rPr>
              <w:t>Include wireless headsets within 'PMP with headset', or 'headset incorporating a PMP/PAD' so as to require them to incorporate appropriate protection. Existing wording of both standards can be interpreted in this way; minor changes would remove ambiguity.</w:t>
            </w:r>
          </w:p>
        </w:tc>
      </w:tr>
    </w:tbl>
    <w:p w14:paraId="2593AC50" w14:textId="77777777" w:rsidR="00BD3235" w:rsidRPr="00205D2B" w:rsidRDefault="00BD3235" w:rsidP="00BD3235"/>
    <w:p w14:paraId="634E0122" w14:textId="77777777" w:rsidR="00EA49AC" w:rsidRPr="00205D2B" w:rsidRDefault="00EA49AC" w:rsidP="00EA49AC">
      <w:pPr>
        <w:rPr>
          <w:highlight w:val="yellow"/>
        </w:rPr>
      </w:pPr>
      <w:r w:rsidRPr="00205D2B">
        <w:br w:type="page"/>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
        <w:gridCol w:w="1517"/>
        <w:gridCol w:w="1243"/>
        <w:gridCol w:w="968"/>
        <w:gridCol w:w="5162"/>
      </w:tblGrid>
      <w:tr w:rsidR="009506A0" w:rsidRPr="0081017C" w14:paraId="6746F38E" w14:textId="77777777" w:rsidTr="00DD2C7B">
        <w:trPr>
          <w:jc w:val="center"/>
        </w:trPr>
        <w:tc>
          <w:tcPr>
            <w:tcW w:w="4593" w:type="dxa"/>
            <w:gridSpan w:val="4"/>
          </w:tcPr>
          <w:p w14:paraId="7CE63CFF" w14:textId="6FB08BB1" w:rsidR="009506A0" w:rsidRPr="0081017C" w:rsidRDefault="009506A0">
            <w:pPr>
              <w:pStyle w:val="Tablehead"/>
            </w:pPr>
            <w:r w:rsidRPr="0081017C">
              <w:t xml:space="preserve">Use cases – Conflicted </w:t>
            </w:r>
            <w:r w:rsidR="009D02AF">
              <w:t>h</w:t>
            </w:r>
            <w:r w:rsidRPr="0081017C">
              <w:t xml:space="preserve">earing </w:t>
            </w:r>
            <w:r w:rsidR="009D02AF">
              <w:t>s</w:t>
            </w:r>
            <w:r w:rsidRPr="0081017C">
              <w:t>afeguarding</w:t>
            </w:r>
          </w:p>
        </w:tc>
        <w:tc>
          <w:tcPr>
            <w:tcW w:w="5324" w:type="dxa"/>
            <w:vMerge w:val="restart"/>
          </w:tcPr>
          <w:p w14:paraId="27BF0C48" w14:textId="001A0751" w:rsidR="009506A0" w:rsidRPr="0081017C" w:rsidRDefault="007461B6">
            <w:pPr>
              <w:pStyle w:val="Tablehead"/>
            </w:pPr>
            <w:bookmarkStart w:id="80" w:name="_Toc95410287"/>
            <w:r>
              <w:rPr>
                <w:noProof/>
              </w:rPr>
              <w:t xml:space="preserve">Wireless </w:t>
            </w:r>
            <w:r w:rsidR="009D02AF">
              <w:rPr>
                <w:noProof/>
              </w:rPr>
              <w:t>h</w:t>
            </w:r>
            <w:r>
              <w:rPr>
                <w:noProof/>
              </w:rPr>
              <w:t xml:space="preserve">eadsets and </w:t>
            </w:r>
            <w:r w:rsidR="009D02AF">
              <w:rPr>
                <w:noProof/>
              </w:rPr>
              <w:t>n</w:t>
            </w:r>
            <w:r>
              <w:rPr>
                <w:noProof/>
              </w:rPr>
              <w:t>on</w:t>
            </w:r>
            <w:r w:rsidR="009D02AF">
              <w:rPr>
                <w:noProof/>
              </w:rPr>
              <w:t>-</w:t>
            </w:r>
            <w:r>
              <w:rPr>
                <w:noProof/>
              </w:rPr>
              <w:t xml:space="preserve">PMP/PAD </w:t>
            </w:r>
            <w:r w:rsidR="009D02AF">
              <w:rPr>
                <w:noProof/>
              </w:rPr>
              <w:t>s</w:t>
            </w:r>
            <w:r>
              <w:rPr>
                <w:noProof/>
              </w:rPr>
              <w:t>ources</w:t>
            </w:r>
            <w:bookmarkEnd w:id="80"/>
          </w:p>
        </w:tc>
      </w:tr>
      <w:tr w:rsidR="00BD3235" w:rsidRPr="0081017C" w14:paraId="55C79E82" w14:textId="77777777" w:rsidTr="00DD2C7B">
        <w:trPr>
          <w:jc w:val="center"/>
        </w:trPr>
        <w:tc>
          <w:tcPr>
            <w:tcW w:w="766" w:type="dxa"/>
          </w:tcPr>
          <w:p w14:paraId="27FA80C7" w14:textId="77777777" w:rsidR="00BD3235" w:rsidRPr="00315DBF" w:rsidRDefault="00BD3235" w:rsidP="00DD2C7B">
            <w:pPr>
              <w:pStyle w:val="Tablehead"/>
              <w:rPr>
                <w:rFonts w:eastAsia="Verdana"/>
                <w:bCs/>
              </w:rPr>
            </w:pPr>
            <w:r w:rsidRPr="00315DBF">
              <w:rPr>
                <w:rFonts w:eastAsia="Verdana"/>
                <w:bCs/>
              </w:rPr>
              <w:t>Date</w:t>
            </w:r>
          </w:p>
        </w:tc>
        <w:tc>
          <w:tcPr>
            <w:tcW w:w="1559" w:type="dxa"/>
          </w:tcPr>
          <w:p w14:paraId="502B253D" w14:textId="77777777" w:rsidR="00BD3235" w:rsidRPr="00DD2C7B" w:rsidRDefault="00BD3235" w:rsidP="00DD2C7B">
            <w:pPr>
              <w:pStyle w:val="Tablehead"/>
              <w:rPr>
                <w:rFonts w:eastAsia="Verdana"/>
                <w:b w:val="0"/>
                <w:bCs/>
              </w:rPr>
            </w:pPr>
            <w:r w:rsidRPr="00DD2C7B">
              <w:rPr>
                <w:rFonts w:eastAsia="Verdana"/>
                <w:b w:val="0"/>
                <w:bCs/>
              </w:rPr>
              <w:t>June 2020</w:t>
            </w:r>
          </w:p>
        </w:tc>
        <w:tc>
          <w:tcPr>
            <w:tcW w:w="1276" w:type="dxa"/>
          </w:tcPr>
          <w:p w14:paraId="224071EC" w14:textId="77777777" w:rsidR="00BD3235" w:rsidRPr="00315DBF" w:rsidRDefault="00BD3235" w:rsidP="00DD2C7B">
            <w:pPr>
              <w:pStyle w:val="Tablehead"/>
              <w:rPr>
                <w:rFonts w:eastAsia="Verdana"/>
                <w:bCs/>
              </w:rPr>
            </w:pPr>
            <w:r w:rsidRPr="00315DBF">
              <w:rPr>
                <w:rFonts w:eastAsia="Verdana"/>
                <w:bCs/>
              </w:rPr>
              <w:t>Use case</w:t>
            </w:r>
          </w:p>
        </w:tc>
        <w:tc>
          <w:tcPr>
            <w:tcW w:w="992" w:type="dxa"/>
          </w:tcPr>
          <w:p w14:paraId="1D5F3FA1" w14:textId="5A225E73" w:rsidR="00BD3235" w:rsidRPr="0081017C" w:rsidRDefault="007461B6" w:rsidP="00DD2C7B">
            <w:pPr>
              <w:pStyle w:val="Tablehead"/>
              <w:rPr>
                <w:rFonts w:eastAsia="Verdana"/>
              </w:rPr>
            </w:pPr>
            <w:r>
              <w:rPr>
                <w:rFonts w:eastAsia="Verdana"/>
                <w:noProof/>
              </w:rPr>
              <w:t>2</w:t>
            </w:r>
          </w:p>
        </w:tc>
        <w:tc>
          <w:tcPr>
            <w:tcW w:w="5324" w:type="dxa"/>
            <w:vMerge/>
          </w:tcPr>
          <w:p w14:paraId="6A18D59C" w14:textId="77777777" w:rsidR="00BD3235" w:rsidRPr="0081017C" w:rsidRDefault="00BD3235" w:rsidP="00DD2C7B">
            <w:pPr>
              <w:pStyle w:val="Tablehead"/>
              <w:rPr>
                <w:rFonts w:eastAsia="Verdana"/>
              </w:rPr>
            </w:pPr>
          </w:p>
        </w:tc>
      </w:tr>
      <w:tr w:rsidR="00BD3235" w:rsidRPr="0081017C" w14:paraId="5E1AE95B" w14:textId="77777777" w:rsidTr="00DD2C7B">
        <w:trPr>
          <w:jc w:val="center"/>
        </w:trPr>
        <w:tc>
          <w:tcPr>
            <w:tcW w:w="9917" w:type="dxa"/>
            <w:gridSpan w:val="5"/>
          </w:tcPr>
          <w:p w14:paraId="6618BD16" w14:textId="77777777" w:rsidR="00BD3235" w:rsidRPr="0001133F" w:rsidRDefault="00BD3235" w:rsidP="00D83FA6">
            <w:pPr>
              <w:pStyle w:val="Tabletext"/>
              <w:rPr>
                <w:rFonts w:eastAsia="Verdana"/>
                <w:b/>
                <w:bCs/>
              </w:rPr>
            </w:pPr>
            <w:r w:rsidRPr="0001133F">
              <w:rPr>
                <w:rFonts w:eastAsia="Verdana"/>
                <w:b/>
                <w:bCs/>
              </w:rPr>
              <w:t>Description:</w:t>
            </w:r>
          </w:p>
        </w:tc>
      </w:tr>
      <w:tr w:rsidR="00BD3235" w:rsidRPr="0081017C" w14:paraId="7ADDA067" w14:textId="77777777" w:rsidTr="00DD2C7B">
        <w:trPr>
          <w:jc w:val="center"/>
        </w:trPr>
        <w:tc>
          <w:tcPr>
            <w:tcW w:w="9917" w:type="dxa"/>
            <w:gridSpan w:val="5"/>
          </w:tcPr>
          <w:p w14:paraId="49772545" w14:textId="3B6A50A4" w:rsidR="00BD3235" w:rsidRPr="0081017C" w:rsidRDefault="00607166">
            <w:pPr>
              <w:pStyle w:val="Tabletext"/>
              <w:rPr>
                <w:rFonts w:eastAsia="Verdana"/>
              </w:rPr>
            </w:pPr>
            <w:r w:rsidRPr="00607166">
              <w:rPr>
                <w:rFonts w:eastAsia="Verdana"/>
              </w:rPr>
              <w:t xml:space="preserve">There are many sources, not currently designated as PMP/PADs (for example tablets, Kindles, laptops, PCs, gaming consoles, </w:t>
            </w:r>
            <w:r w:rsidR="009D02AF">
              <w:rPr>
                <w:rFonts w:eastAsia="Verdana"/>
              </w:rPr>
              <w:t>i</w:t>
            </w:r>
            <w:r w:rsidRPr="00607166">
              <w:rPr>
                <w:rFonts w:eastAsia="Verdana"/>
              </w:rPr>
              <w:t>n</w:t>
            </w:r>
            <w:r w:rsidR="009D02AF">
              <w:rPr>
                <w:rFonts w:eastAsia="Verdana"/>
              </w:rPr>
              <w:t>-c</w:t>
            </w:r>
            <w:r w:rsidRPr="00607166">
              <w:rPr>
                <w:rFonts w:eastAsia="Verdana"/>
              </w:rPr>
              <w:t xml:space="preserve">ar </w:t>
            </w:r>
            <w:r w:rsidR="009D02AF">
              <w:rPr>
                <w:rFonts w:eastAsia="Verdana"/>
              </w:rPr>
              <w:t>a</w:t>
            </w:r>
            <w:r w:rsidRPr="00607166">
              <w:rPr>
                <w:rFonts w:eastAsia="Verdana"/>
              </w:rPr>
              <w:t>udio). These can deliver content to wireless headsets but are not required to incorporate protection for safe listening. This is an increasingly complex area as with the possibilities of portable handsets being directly linked with another portable device (e.g., Microsoft's 'Your Phone') and headsets being connected to either.</w:t>
            </w:r>
          </w:p>
        </w:tc>
      </w:tr>
      <w:tr w:rsidR="00BD3235" w:rsidRPr="0081017C" w14:paraId="24F8AE5E" w14:textId="77777777" w:rsidTr="00DD2C7B">
        <w:trPr>
          <w:jc w:val="center"/>
        </w:trPr>
        <w:tc>
          <w:tcPr>
            <w:tcW w:w="9917" w:type="dxa"/>
            <w:gridSpan w:val="5"/>
          </w:tcPr>
          <w:p w14:paraId="235F958B" w14:textId="2BA2A6A4" w:rsidR="00BD3235" w:rsidRPr="00E1381E" w:rsidRDefault="00BD3235" w:rsidP="00D83FA6">
            <w:pPr>
              <w:pStyle w:val="Tabletext"/>
              <w:rPr>
                <w:rFonts w:eastAsia="Verdana"/>
                <w:b/>
                <w:bCs/>
              </w:rPr>
            </w:pPr>
            <w:r w:rsidRPr="00E1381E">
              <w:rPr>
                <w:rFonts w:eastAsia="Verdana"/>
                <w:b/>
                <w:bCs/>
              </w:rPr>
              <w:t>Issues</w:t>
            </w:r>
            <w:r w:rsidR="00EA5BF8">
              <w:rPr>
                <w:rFonts w:eastAsia="Verdana"/>
                <w:b/>
                <w:bCs/>
              </w:rPr>
              <w:t>/gaps</w:t>
            </w:r>
            <w:r w:rsidRPr="00E1381E">
              <w:rPr>
                <w:rFonts w:eastAsia="Verdana"/>
                <w:b/>
                <w:bCs/>
              </w:rPr>
              <w:t>:</w:t>
            </w:r>
          </w:p>
        </w:tc>
      </w:tr>
      <w:tr w:rsidR="00BD3235" w:rsidRPr="0081017C" w14:paraId="6465D581" w14:textId="77777777" w:rsidTr="00DD2C7B">
        <w:trPr>
          <w:jc w:val="center"/>
        </w:trPr>
        <w:tc>
          <w:tcPr>
            <w:tcW w:w="9917" w:type="dxa"/>
            <w:gridSpan w:val="5"/>
          </w:tcPr>
          <w:p w14:paraId="72EE15AD" w14:textId="78A46729" w:rsidR="00607166" w:rsidRPr="00607166" w:rsidRDefault="00F61277" w:rsidP="00F6127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Verdana"/>
              </w:rPr>
            </w:pPr>
            <w:r w:rsidRPr="00607166">
              <w:rPr>
                <w:rFonts w:eastAsia="Verdana"/>
              </w:rPr>
              <w:t>1</w:t>
            </w:r>
            <w:r w:rsidR="00DD2C7B">
              <w:rPr>
                <w:rFonts w:eastAsia="Verdana"/>
              </w:rPr>
              <w:t>)</w:t>
            </w:r>
            <w:r w:rsidRPr="00607166">
              <w:rPr>
                <w:rFonts w:eastAsia="Verdana"/>
              </w:rPr>
              <w:tab/>
            </w:r>
            <w:r w:rsidR="00607166" w:rsidRPr="00607166">
              <w:rPr>
                <w:rFonts w:eastAsia="Verdana"/>
              </w:rPr>
              <w:t xml:space="preserve">Those using wireless headsets with multiple sources, some PMP/PAD and others not, will suffer from </w:t>
            </w:r>
            <w:r w:rsidR="009D02AF">
              <w:rPr>
                <w:rFonts w:eastAsia="Verdana"/>
              </w:rPr>
              <w:t>two</w:t>
            </w:r>
            <w:r w:rsidR="00607166" w:rsidRPr="00607166">
              <w:rPr>
                <w:rFonts w:eastAsia="Verdana"/>
              </w:rPr>
              <w:t xml:space="preserve"> factors. Any dose-based assessment of their hearing exposure on a PMP/PAD will understate it. Users becoming used to PMP/PAD protection can become reliant on it and risk over-exposure when their same headset is used on sources without protection.</w:t>
            </w:r>
          </w:p>
          <w:p w14:paraId="6E010CC2" w14:textId="0D02299E" w:rsidR="00607166" w:rsidRPr="00607166" w:rsidRDefault="00F61277" w:rsidP="00F6127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Verdana"/>
              </w:rPr>
            </w:pPr>
            <w:r w:rsidRPr="00607166">
              <w:rPr>
                <w:rFonts w:eastAsia="Verdana"/>
              </w:rPr>
              <w:t>2</w:t>
            </w:r>
            <w:r w:rsidR="00DD2C7B">
              <w:rPr>
                <w:rFonts w:eastAsia="Verdana"/>
              </w:rPr>
              <w:t>)</w:t>
            </w:r>
            <w:r w:rsidRPr="00607166">
              <w:rPr>
                <w:rFonts w:eastAsia="Verdana"/>
              </w:rPr>
              <w:tab/>
            </w:r>
            <w:r w:rsidR="00607166" w:rsidRPr="00607166">
              <w:rPr>
                <w:rFonts w:eastAsia="Verdana"/>
              </w:rPr>
              <w:t>The regulations target portable players, giving an indication of portability as being body-worn or pocketable whilst moving about freely. However, there is a whole range of relatively portable devices that do not fit in the arbitrary definition of 'pockets', such as tablets and laptops, which are often used during travel or in coffee bars etc.</w:t>
            </w:r>
          </w:p>
          <w:p w14:paraId="734620D1" w14:textId="33BE6E3F" w:rsidR="00BD3235" w:rsidRPr="0081017C" w:rsidRDefault="00EA5BF8" w:rsidP="00607166">
            <w:pPr>
              <w:pStyle w:val="Tabletext"/>
              <w:rPr>
                <w:rFonts w:eastAsia="Verdana"/>
              </w:rPr>
            </w:pPr>
            <w:r w:rsidRPr="00607166">
              <w:rPr>
                <w:rFonts w:eastAsia="Verdana"/>
              </w:rPr>
              <w:t>NOTE</w:t>
            </w:r>
            <w:r>
              <w:rPr>
                <w:rFonts w:eastAsia="Verdana"/>
              </w:rPr>
              <w:t xml:space="preserve"> – </w:t>
            </w:r>
            <w:r w:rsidR="00607166" w:rsidRPr="00607166">
              <w:rPr>
                <w:rFonts w:eastAsia="Verdana"/>
              </w:rPr>
              <w:t>The definition of PAS within the standard includes playing devices which are streaming from an external source. Although not explicitly included, a wireless headset does fall within this description.</w:t>
            </w:r>
          </w:p>
        </w:tc>
      </w:tr>
      <w:tr w:rsidR="00BD3235" w:rsidRPr="0081017C" w14:paraId="2C31E36C" w14:textId="77777777" w:rsidTr="00DD2C7B">
        <w:trPr>
          <w:jc w:val="center"/>
        </w:trPr>
        <w:tc>
          <w:tcPr>
            <w:tcW w:w="9917" w:type="dxa"/>
            <w:gridSpan w:val="5"/>
          </w:tcPr>
          <w:p w14:paraId="31BC9F24" w14:textId="561689F4" w:rsidR="00BD3235" w:rsidRPr="00E1381E" w:rsidRDefault="00BD3235">
            <w:pPr>
              <w:pStyle w:val="Tabletext"/>
              <w:rPr>
                <w:rFonts w:eastAsia="Verdana"/>
                <w:b/>
                <w:bCs/>
              </w:rPr>
            </w:pPr>
            <w:r w:rsidRPr="00E1381E">
              <w:rPr>
                <w:rFonts w:eastAsia="Verdana"/>
                <w:b/>
                <w:bCs/>
              </w:rPr>
              <w:t xml:space="preserve">Possible </w:t>
            </w:r>
            <w:r w:rsidR="009D02AF">
              <w:rPr>
                <w:rFonts w:eastAsia="Verdana"/>
                <w:b/>
                <w:bCs/>
              </w:rPr>
              <w:t>o</w:t>
            </w:r>
            <w:r w:rsidRPr="00E1381E">
              <w:rPr>
                <w:rFonts w:eastAsia="Verdana"/>
                <w:b/>
                <w:bCs/>
              </w:rPr>
              <w:t>ptions:</w:t>
            </w:r>
          </w:p>
        </w:tc>
      </w:tr>
      <w:tr w:rsidR="00BD3235" w:rsidRPr="00E7251B" w14:paraId="27E533E3" w14:textId="77777777" w:rsidTr="00DD2C7B">
        <w:trPr>
          <w:jc w:val="center"/>
        </w:trPr>
        <w:tc>
          <w:tcPr>
            <w:tcW w:w="9917" w:type="dxa"/>
            <w:gridSpan w:val="5"/>
          </w:tcPr>
          <w:p w14:paraId="023D7104" w14:textId="42AAFEE9" w:rsidR="00EA5BF8" w:rsidRPr="00E7251B" w:rsidRDefault="00EA5BF8" w:rsidP="00EA5BF8">
            <w:pPr>
              <w:pStyle w:val="Tabletext"/>
              <w:ind w:left="284" w:hanging="284"/>
            </w:pPr>
            <w:r w:rsidRPr="00E7251B">
              <w:t>1</w:t>
            </w:r>
            <w:r w:rsidR="00DD2C7B">
              <w:t>)</w:t>
            </w:r>
            <w:r w:rsidRPr="00E7251B">
              <w:tab/>
              <w:t>Ignore as being a fringe population.</w:t>
            </w:r>
          </w:p>
          <w:p w14:paraId="0A254E52" w14:textId="2A6A47F2" w:rsidR="00EA5BF8" w:rsidRPr="00E7251B" w:rsidRDefault="00EA5BF8" w:rsidP="00EA5BF8">
            <w:pPr>
              <w:pStyle w:val="Tabletext"/>
              <w:ind w:left="284" w:hanging="284"/>
            </w:pPr>
            <w:r w:rsidRPr="00E7251B">
              <w:t>2</w:t>
            </w:r>
            <w:r w:rsidR="00DD2C7B">
              <w:t>)</w:t>
            </w:r>
            <w:r w:rsidRPr="00E7251B">
              <w:tab/>
              <w:t>Extend the definition of portability to include these devices (tablets, laptops etc) and thereby require incorporation of safe hearing protection.</w:t>
            </w:r>
          </w:p>
          <w:p w14:paraId="10EE7AAF" w14:textId="5ED46750" w:rsidR="00BD3235" w:rsidRPr="00E7251B" w:rsidRDefault="00EA5BF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Verdana"/>
              </w:rPr>
            </w:pPr>
            <w:r w:rsidRPr="00E7251B">
              <w:t>3</w:t>
            </w:r>
            <w:r w:rsidR="00DD2C7B">
              <w:t>)</w:t>
            </w:r>
            <w:r w:rsidRPr="00E7251B">
              <w:tab/>
              <w:t xml:space="preserve">Ensure all wireless headsets are designated as PAS </w:t>
            </w:r>
            <w:r w:rsidR="009D02AF">
              <w:t>[ITU-T</w:t>
            </w:r>
            <w:r w:rsidRPr="00E7251B">
              <w:t>H.870</w:t>
            </w:r>
            <w:r w:rsidR="009D02AF">
              <w:t>]</w:t>
            </w:r>
            <w:r w:rsidRPr="00E7251B">
              <w:t xml:space="preserve"> or as incorporating a PMP </w:t>
            </w:r>
            <w:r w:rsidR="009D02AF">
              <w:t>[</w:t>
            </w:r>
            <w:r w:rsidRPr="00E7251B">
              <w:t>IEC</w:t>
            </w:r>
            <w:r w:rsidR="00130CD0">
              <w:t> </w:t>
            </w:r>
            <w:r w:rsidRPr="00E7251B">
              <w:t>62368</w:t>
            </w:r>
            <w:r w:rsidR="0042268C">
              <w:t>-1</w:t>
            </w:r>
            <w:r w:rsidR="009D02AF">
              <w:t>]</w:t>
            </w:r>
            <w:r w:rsidRPr="00E7251B">
              <w:t>, due to their ability to play streamed content and being portable; this would require them to incorporate safe listening protection.</w:t>
            </w:r>
          </w:p>
        </w:tc>
      </w:tr>
    </w:tbl>
    <w:p w14:paraId="1F045AAB" w14:textId="77777777" w:rsidR="00BD3235" w:rsidRPr="00AB258E" w:rsidRDefault="00BD3235" w:rsidP="00BD3235"/>
    <w:p w14:paraId="5E11E4A3" w14:textId="77777777" w:rsidR="00EA49AC" w:rsidRPr="00205D2B" w:rsidRDefault="00EA49AC" w:rsidP="00EA49AC">
      <w:pPr>
        <w:rPr>
          <w:highlight w:val="yellow"/>
        </w:rPr>
      </w:pPr>
      <w:r w:rsidRPr="00205D2B">
        <w:br w:type="page"/>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
        <w:gridCol w:w="1517"/>
        <w:gridCol w:w="1243"/>
        <w:gridCol w:w="968"/>
        <w:gridCol w:w="5162"/>
      </w:tblGrid>
      <w:tr w:rsidR="00BD3235" w:rsidRPr="0081017C" w14:paraId="7B55280A" w14:textId="77777777" w:rsidTr="00C11072">
        <w:trPr>
          <w:jc w:val="center"/>
        </w:trPr>
        <w:tc>
          <w:tcPr>
            <w:tcW w:w="4593" w:type="dxa"/>
            <w:gridSpan w:val="4"/>
          </w:tcPr>
          <w:p w14:paraId="256AEA0B" w14:textId="0DDEE0AC" w:rsidR="00BD3235" w:rsidRPr="0081017C" w:rsidRDefault="00BD3235">
            <w:pPr>
              <w:pStyle w:val="Tablehead"/>
            </w:pPr>
            <w:r w:rsidRPr="0081017C">
              <w:t xml:space="preserve">Use cases – Conflicted </w:t>
            </w:r>
            <w:r w:rsidR="009D02AF">
              <w:t>h</w:t>
            </w:r>
            <w:r w:rsidRPr="0081017C">
              <w:t xml:space="preserve">earing </w:t>
            </w:r>
            <w:r w:rsidR="009D02AF">
              <w:t>s</w:t>
            </w:r>
            <w:r w:rsidRPr="0081017C">
              <w:t>afeguarding</w:t>
            </w:r>
          </w:p>
        </w:tc>
        <w:tc>
          <w:tcPr>
            <w:tcW w:w="5324" w:type="dxa"/>
            <w:vMerge w:val="restart"/>
          </w:tcPr>
          <w:p w14:paraId="11A17D6B" w14:textId="1ABB9E70" w:rsidR="00BD3235" w:rsidRPr="0081017C" w:rsidRDefault="007461B6">
            <w:pPr>
              <w:pStyle w:val="Tablehead"/>
            </w:pPr>
            <w:bookmarkStart w:id="81" w:name="_Toc95410288"/>
            <w:r>
              <w:rPr>
                <w:noProof/>
              </w:rPr>
              <w:t xml:space="preserve">Wireless </w:t>
            </w:r>
            <w:r w:rsidR="009D02AF">
              <w:rPr>
                <w:noProof/>
              </w:rPr>
              <w:t>h</w:t>
            </w:r>
            <w:r>
              <w:rPr>
                <w:noProof/>
              </w:rPr>
              <w:t xml:space="preserve">eadsets </w:t>
            </w:r>
            <w:r w:rsidR="009D02AF">
              <w:rPr>
                <w:noProof/>
              </w:rPr>
              <w:t>s</w:t>
            </w:r>
            <w:r>
              <w:rPr>
                <w:noProof/>
              </w:rPr>
              <w:t xml:space="preserve">treaming from </w:t>
            </w:r>
            <w:r w:rsidR="009D02AF">
              <w:rPr>
                <w:noProof/>
              </w:rPr>
              <w:t>w</w:t>
            </w:r>
            <w:r>
              <w:rPr>
                <w:noProof/>
              </w:rPr>
              <w:t>atches</w:t>
            </w:r>
            <w:bookmarkEnd w:id="81"/>
          </w:p>
        </w:tc>
      </w:tr>
      <w:tr w:rsidR="00BD3235" w:rsidRPr="0081017C" w14:paraId="14E5B23D" w14:textId="77777777" w:rsidTr="00C11072">
        <w:trPr>
          <w:jc w:val="center"/>
        </w:trPr>
        <w:tc>
          <w:tcPr>
            <w:tcW w:w="766" w:type="dxa"/>
          </w:tcPr>
          <w:p w14:paraId="0CEE145A" w14:textId="77777777" w:rsidR="00BD3235" w:rsidRPr="00315DBF" w:rsidRDefault="00BD3235" w:rsidP="00C11072">
            <w:pPr>
              <w:pStyle w:val="Tablehead"/>
              <w:rPr>
                <w:rFonts w:eastAsia="Verdana"/>
                <w:bCs/>
              </w:rPr>
            </w:pPr>
            <w:r w:rsidRPr="00315DBF">
              <w:rPr>
                <w:rFonts w:eastAsia="Verdana"/>
                <w:bCs/>
              </w:rPr>
              <w:t>Date</w:t>
            </w:r>
          </w:p>
        </w:tc>
        <w:tc>
          <w:tcPr>
            <w:tcW w:w="1559" w:type="dxa"/>
          </w:tcPr>
          <w:p w14:paraId="248F78F8" w14:textId="77777777" w:rsidR="00BD3235" w:rsidRPr="00C11072" w:rsidRDefault="00BD3235" w:rsidP="00C11072">
            <w:pPr>
              <w:pStyle w:val="Tablehead"/>
              <w:rPr>
                <w:rFonts w:eastAsia="Verdana"/>
                <w:b w:val="0"/>
                <w:bCs/>
              </w:rPr>
            </w:pPr>
            <w:r w:rsidRPr="00C11072">
              <w:rPr>
                <w:rFonts w:eastAsia="Verdana"/>
                <w:b w:val="0"/>
                <w:bCs/>
              </w:rPr>
              <w:t>June 2020</w:t>
            </w:r>
          </w:p>
        </w:tc>
        <w:tc>
          <w:tcPr>
            <w:tcW w:w="1276" w:type="dxa"/>
          </w:tcPr>
          <w:p w14:paraId="2F208561" w14:textId="77777777" w:rsidR="00BD3235" w:rsidRPr="00315DBF" w:rsidRDefault="00BD3235" w:rsidP="00C11072">
            <w:pPr>
              <w:pStyle w:val="Tablehead"/>
              <w:rPr>
                <w:rFonts w:eastAsia="Verdana"/>
                <w:bCs/>
              </w:rPr>
            </w:pPr>
            <w:r w:rsidRPr="00315DBF">
              <w:rPr>
                <w:rFonts w:eastAsia="Verdana"/>
                <w:bCs/>
              </w:rPr>
              <w:t>Use case</w:t>
            </w:r>
          </w:p>
        </w:tc>
        <w:tc>
          <w:tcPr>
            <w:tcW w:w="992" w:type="dxa"/>
          </w:tcPr>
          <w:p w14:paraId="0DA9B86D" w14:textId="5DF64FF2" w:rsidR="00BD3235" w:rsidRPr="0081017C" w:rsidRDefault="007461B6" w:rsidP="00C11072">
            <w:pPr>
              <w:pStyle w:val="Tablehead"/>
              <w:rPr>
                <w:rFonts w:eastAsia="Verdana"/>
              </w:rPr>
            </w:pPr>
            <w:r>
              <w:rPr>
                <w:rFonts w:eastAsia="Verdana"/>
                <w:noProof/>
              </w:rPr>
              <w:t>3</w:t>
            </w:r>
          </w:p>
        </w:tc>
        <w:tc>
          <w:tcPr>
            <w:tcW w:w="5324" w:type="dxa"/>
            <w:vMerge/>
          </w:tcPr>
          <w:p w14:paraId="4314ED70" w14:textId="77777777" w:rsidR="00BD3235" w:rsidRPr="0081017C" w:rsidRDefault="00BD3235" w:rsidP="00C11072">
            <w:pPr>
              <w:pStyle w:val="Tablehead"/>
              <w:rPr>
                <w:rFonts w:eastAsia="Verdana"/>
              </w:rPr>
            </w:pPr>
          </w:p>
        </w:tc>
      </w:tr>
      <w:tr w:rsidR="00BD3235" w:rsidRPr="0081017C" w14:paraId="7C452A6D" w14:textId="77777777" w:rsidTr="00C11072">
        <w:trPr>
          <w:jc w:val="center"/>
        </w:trPr>
        <w:tc>
          <w:tcPr>
            <w:tcW w:w="9917" w:type="dxa"/>
            <w:gridSpan w:val="5"/>
          </w:tcPr>
          <w:p w14:paraId="4AF38BC0" w14:textId="77777777" w:rsidR="00BD3235" w:rsidRPr="0001133F" w:rsidRDefault="00BD3235" w:rsidP="00D83FA6">
            <w:pPr>
              <w:pStyle w:val="Tabletext"/>
              <w:rPr>
                <w:rFonts w:eastAsia="Verdana"/>
                <w:b/>
                <w:bCs/>
              </w:rPr>
            </w:pPr>
            <w:r w:rsidRPr="0001133F">
              <w:rPr>
                <w:rFonts w:eastAsia="Verdana"/>
                <w:b/>
                <w:bCs/>
              </w:rPr>
              <w:t>Description:</w:t>
            </w:r>
          </w:p>
        </w:tc>
      </w:tr>
      <w:tr w:rsidR="00BD3235" w:rsidRPr="0081017C" w14:paraId="44CD6728" w14:textId="77777777" w:rsidTr="00C11072">
        <w:trPr>
          <w:jc w:val="center"/>
        </w:trPr>
        <w:tc>
          <w:tcPr>
            <w:tcW w:w="9917" w:type="dxa"/>
            <w:gridSpan w:val="5"/>
          </w:tcPr>
          <w:p w14:paraId="04798419" w14:textId="39B6302B" w:rsidR="00BD3235" w:rsidRPr="0081017C" w:rsidRDefault="00483AA6" w:rsidP="00D83FA6">
            <w:pPr>
              <w:pStyle w:val="Tabletext"/>
              <w:rPr>
                <w:rFonts w:eastAsia="Verdana"/>
              </w:rPr>
            </w:pPr>
            <w:r w:rsidRPr="00483AA6">
              <w:rPr>
                <w:rFonts w:eastAsia="Verdana"/>
              </w:rPr>
              <w:t>Some models of watches (from Garmin, Xiaomi, Fitbit, Fenix, Polar, amongst other brands) have the ability to stream content via Bluetooth to wireless headset</w:t>
            </w:r>
            <w:r w:rsidR="005A3439">
              <w:rPr>
                <w:rFonts w:eastAsia="Verdana"/>
              </w:rPr>
              <w:t>s</w:t>
            </w:r>
            <w:r w:rsidRPr="00483AA6">
              <w:rPr>
                <w:rFonts w:eastAsia="Verdana"/>
              </w:rPr>
              <w:t>.</w:t>
            </w:r>
          </w:p>
        </w:tc>
      </w:tr>
      <w:tr w:rsidR="00E7251B" w:rsidRPr="0081017C" w14:paraId="41B5F547" w14:textId="77777777" w:rsidTr="00C11072">
        <w:trPr>
          <w:jc w:val="center"/>
        </w:trPr>
        <w:tc>
          <w:tcPr>
            <w:tcW w:w="9917" w:type="dxa"/>
            <w:gridSpan w:val="5"/>
          </w:tcPr>
          <w:p w14:paraId="16FB4C97" w14:textId="01A21A28" w:rsidR="00E7251B" w:rsidRPr="00E1381E" w:rsidRDefault="00E7251B" w:rsidP="00E7251B">
            <w:pPr>
              <w:pStyle w:val="Tabletext"/>
              <w:rPr>
                <w:rFonts w:eastAsia="Verdana"/>
                <w:b/>
                <w:bCs/>
              </w:rPr>
            </w:pPr>
            <w:r w:rsidRPr="00E1381E">
              <w:rPr>
                <w:rFonts w:eastAsia="Verdana"/>
                <w:b/>
                <w:bCs/>
              </w:rPr>
              <w:t>Issues</w:t>
            </w:r>
            <w:r>
              <w:rPr>
                <w:rFonts w:eastAsia="Verdana"/>
                <w:b/>
                <w:bCs/>
              </w:rPr>
              <w:t>/gaps</w:t>
            </w:r>
            <w:r w:rsidRPr="00E1381E">
              <w:rPr>
                <w:rFonts w:eastAsia="Verdana"/>
                <w:b/>
                <w:bCs/>
              </w:rPr>
              <w:t>:</w:t>
            </w:r>
          </w:p>
        </w:tc>
      </w:tr>
      <w:tr w:rsidR="00BD3235" w:rsidRPr="0081017C" w14:paraId="26AF4D66" w14:textId="77777777" w:rsidTr="00C11072">
        <w:trPr>
          <w:jc w:val="center"/>
        </w:trPr>
        <w:tc>
          <w:tcPr>
            <w:tcW w:w="9917" w:type="dxa"/>
            <w:gridSpan w:val="5"/>
          </w:tcPr>
          <w:p w14:paraId="2518FA38" w14:textId="51788CBB" w:rsidR="00483AA6" w:rsidRPr="00483AA6" w:rsidRDefault="00483AA6" w:rsidP="00483AA6">
            <w:pPr>
              <w:pStyle w:val="Tabletext"/>
              <w:rPr>
                <w:rFonts w:eastAsia="Verdana"/>
              </w:rPr>
            </w:pPr>
            <w:r w:rsidRPr="00483AA6">
              <w:rPr>
                <w:rFonts w:eastAsia="Verdana"/>
              </w:rPr>
              <w:t>Present regulatory standards recommend dose-based assessment of the media content reaching the user's ears and assume one PMP/PAD being connected to one headset; a single dose-based monitoring combined with available knowledge of headset characteristics provides suitable protection.</w:t>
            </w:r>
          </w:p>
          <w:p w14:paraId="7C8F7603" w14:textId="2C341A87" w:rsidR="00BD3235" w:rsidRPr="0081017C" w:rsidRDefault="00483AA6" w:rsidP="00483AA6">
            <w:pPr>
              <w:pStyle w:val="Tabletext"/>
              <w:rPr>
                <w:rFonts w:eastAsia="Verdana"/>
              </w:rPr>
            </w:pPr>
            <w:r w:rsidRPr="00483AA6">
              <w:rPr>
                <w:rFonts w:eastAsia="Verdana"/>
              </w:rPr>
              <w:t>Such watches are not clearly classified as a PMP/PAD; users are at risk.</w:t>
            </w:r>
          </w:p>
        </w:tc>
      </w:tr>
      <w:tr w:rsidR="00BD3235" w:rsidRPr="0081017C" w14:paraId="5C2A1D51" w14:textId="77777777" w:rsidTr="00C11072">
        <w:trPr>
          <w:jc w:val="center"/>
        </w:trPr>
        <w:tc>
          <w:tcPr>
            <w:tcW w:w="9917" w:type="dxa"/>
            <w:gridSpan w:val="5"/>
          </w:tcPr>
          <w:p w14:paraId="2E3902B8" w14:textId="112F0D45" w:rsidR="00BD3235" w:rsidRPr="00E1381E" w:rsidRDefault="00BD3235">
            <w:pPr>
              <w:pStyle w:val="Tabletext"/>
              <w:rPr>
                <w:rFonts w:eastAsia="Verdana"/>
                <w:b/>
                <w:bCs/>
              </w:rPr>
            </w:pPr>
            <w:r w:rsidRPr="00E1381E">
              <w:rPr>
                <w:rFonts w:eastAsia="Verdana"/>
                <w:b/>
                <w:bCs/>
              </w:rPr>
              <w:t xml:space="preserve">Possible </w:t>
            </w:r>
            <w:r w:rsidR="005A3439">
              <w:rPr>
                <w:rFonts w:eastAsia="Verdana"/>
                <w:b/>
                <w:bCs/>
              </w:rPr>
              <w:t>o</w:t>
            </w:r>
            <w:r w:rsidRPr="00E1381E">
              <w:rPr>
                <w:rFonts w:eastAsia="Verdana"/>
                <w:b/>
                <w:bCs/>
              </w:rPr>
              <w:t>ptions:</w:t>
            </w:r>
          </w:p>
        </w:tc>
      </w:tr>
      <w:tr w:rsidR="00BD3235" w:rsidRPr="0081017C" w14:paraId="40AB6AF2" w14:textId="77777777" w:rsidTr="00C11072">
        <w:trPr>
          <w:jc w:val="center"/>
        </w:trPr>
        <w:tc>
          <w:tcPr>
            <w:tcW w:w="9917" w:type="dxa"/>
            <w:gridSpan w:val="5"/>
          </w:tcPr>
          <w:p w14:paraId="343C66AC" w14:textId="0963F356" w:rsidR="00607166" w:rsidRPr="00607166" w:rsidRDefault="00607166" w:rsidP="00607166">
            <w:pPr>
              <w:pStyle w:val="Tabletext"/>
              <w:ind w:left="284" w:hanging="284"/>
              <w:rPr>
                <w:rFonts w:eastAsia="Verdana"/>
              </w:rPr>
            </w:pPr>
            <w:r w:rsidRPr="00607166">
              <w:rPr>
                <w:rFonts w:eastAsia="Verdana"/>
              </w:rPr>
              <w:t>1</w:t>
            </w:r>
            <w:r w:rsidR="00C11072">
              <w:rPr>
                <w:rFonts w:eastAsia="Verdana"/>
              </w:rPr>
              <w:t>)</w:t>
            </w:r>
            <w:r w:rsidRPr="00607166">
              <w:rPr>
                <w:rFonts w:eastAsia="Verdana"/>
              </w:rPr>
              <w:tab/>
              <w:t>Ignore as being a fringe population.</w:t>
            </w:r>
          </w:p>
          <w:p w14:paraId="0C3B9321" w14:textId="3484E571" w:rsidR="00607166" w:rsidRPr="00607166" w:rsidRDefault="00607166" w:rsidP="00607166">
            <w:pPr>
              <w:pStyle w:val="Tabletext"/>
              <w:ind w:left="284" w:hanging="284"/>
              <w:rPr>
                <w:rFonts w:eastAsia="Verdana"/>
              </w:rPr>
            </w:pPr>
            <w:r w:rsidRPr="00607166">
              <w:rPr>
                <w:rFonts w:eastAsia="Verdana"/>
              </w:rPr>
              <w:t>2</w:t>
            </w:r>
            <w:r w:rsidR="00C11072">
              <w:rPr>
                <w:rFonts w:eastAsia="Verdana"/>
              </w:rPr>
              <w:t>)</w:t>
            </w:r>
            <w:r w:rsidRPr="00607166">
              <w:rPr>
                <w:rFonts w:eastAsia="Verdana"/>
              </w:rPr>
              <w:tab/>
              <w:t>Ensure such devices are clearly covered by the definitions of portable music players etc.</w:t>
            </w:r>
          </w:p>
          <w:p w14:paraId="56B38969" w14:textId="431EF1B1" w:rsidR="00BD3235" w:rsidRPr="00607166" w:rsidRDefault="0060716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Verdana"/>
              </w:rPr>
            </w:pPr>
            <w:r w:rsidRPr="00607166">
              <w:rPr>
                <w:rFonts w:eastAsia="Verdana"/>
              </w:rPr>
              <w:t>3</w:t>
            </w:r>
            <w:r w:rsidR="00C11072">
              <w:rPr>
                <w:rFonts w:eastAsia="Verdana"/>
              </w:rPr>
              <w:t>)</w:t>
            </w:r>
            <w:r w:rsidRPr="00607166">
              <w:rPr>
                <w:rFonts w:eastAsia="Verdana"/>
              </w:rPr>
              <w:tab/>
              <w:t xml:space="preserve">Ensure all wireless headsets are designated as PAS </w:t>
            </w:r>
            <w:r w:rsidR="005A3439">
              <w:rPr>
                <w:rFonts w:eastAsia="Verdana"/>
              </w:rPr>
              <w:t xml:space="preserve">[ITU-T </w:t>
            </w:r>
            <w:r w:rsidRPr="00607166">
              <w:rPr>
                <w:rFonts w:eastAsia="Verdana"/>
              </w:rPr>
              <w:t>H.870</w:t>
            </w:r>
            <w:r w:rsidR="005A3439">
              <w:rPr>
                <w:rFonts w:eastAsia="Verdana"/>
              </w:rPr>
              <w:t>]</w:t>
            </w:r>
            <w:r w:rsidRPr="00607166">
              <w:rPr>
                <w:rFonts w:eastAsia="Verdana"/>
              </w:rPr>
              <w:t xml:space="preserve"> or as incorporating a PMP </w:t>
            </w:r>
            <w:r w:rsidR="005A3439">
              <w:rPr>
                <w:rFonts w:eastAsia="Verdana"/>
              </w:rPr>
              <w:t>[</w:t>
            </w:r>
            <w:r w:rsidRPr="00607166">
              <w:rPr>
                <w:rFonts w:eastAsia="Verdana"/>
              </w:rPr>
              <w:t>IEC</w:t>
            </w:r>
            <w:r w:rsidR="00130CD0">
              <w:rPr>
                <w:rFonts w:eastAsia="Verdana"/>
              </w:rPr>
              <w:t> </w:t>
            </w:r>
            <w:r w:rsidRPr="00607166">
              <w:rPr>
                <w:rFonts w:eastAsia="Verdana"/>
              </w:rPr>
              <w:t>62368</w:t>
            </w:r>
            <w:r w:rsidR="0042268C">
              <w:rPr>
                <w:rFonts w:eastAsia="Verdana"/>
              </w:rPr>
              <w:t>-1</w:t>
            </w:r>
            <w:r w:rsidR="005A3439">
              <w:rPr>
                <w:rFonts w:eastAsia="Verdana"/>
              </w:rPr>
              <w:t>]</w:t>
            </w:r>
            <w:r w:rsidRPr="00607166">
              <w:rPr>
                <w:rFonts w:eastAsia="Verdana"/>
              </w:rPr>
              <w:t>, due to their ability to play streamed content and being portable; this would require them to incorporate safe listening protection.</w:t>
            </w:r>
          </w:p>
        </w:tc>
      </w:tr>
    </w:tbl>
    <w:p w14:paraId="0B328BAD" w14:textId="77777777" w:rsidR="00BD3235" w:rsidRPr="00AB258E" w:rsidRDefault="00BD3235" w:rsidP="00BD3235"/>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
        <w:gridCol w:w="1517"/>
        <w:gridCol w:w="1243"/>
        <w:gridCol w:w="968"/>
        <w:gridCol w:w="5162"/>
      </w:tblGrid>
      <w:tr w:rsidR="00032B9D" w:rsidRPr="0081017C" w14:paraId="0CB3DF8C" w14:textId="77777777" w:rsidTr="00822065">
        <w:trPr>
          <w:jc w:val="center"/>
        </w:trPr>
        <w:tc>
          <w:tcPr>
            <w:tcW w:w="4593" w:type="dxa"/>
            <w:gridSpan w:val="4"/>
          </w:tcPr>
          <w:p w14:paraId="67BD3301" w14:textId="2ABA3BA5" w:rsidR="00032B9D" w:rsidRPr="0081017C" w:rsidRDefault="00032B9D">
            <w:pPr>
              <w:pStyle w:val="Tablehead"/>
            </w:pPr>
            <w:r w:rsidRPr="0081017C">
              <w:t xml:space="preserve">Use cases – Conflicted </w:t>
            </w:r>
            <w:r w:rsidR="005A3439">
              <w:t>h</w:t>
            </w:r>
            <w:r w:rsidRPr="0081017C">
              <w:t xml:space="preserve">earing </w:t>
            </w:r>
            <w:r w:rsidR="005A3439">
              <w:t>s</w:t>
            </w:r>
            <w:r w:rsidRPr="0081017C">
              <w:t>afeguarding</w:t>
            </w:r>
          </w:p>
        </w:tc>
        <w:tc>
          <w:tcPr>
            <w:tcW w:w="5324" w:type="dxa"/>
            <w:vMerge w:val="restart"/>
          </w:tcPr>
          <w:p w14:paraId="605A8BD9" w14:textId="7FB4B8E1" w:rsidR="00032B9D" w:rsidRPr="0081017C" w:rsidRDefault="007461B6">
            <w:pPr>
              <w:pStyle w:val="Tablehead"/>
            </w:pPr>
            <w:bookmarkStart w:id="82" w:name="_Toc95410289"/>
            <w:r>
              <w:rPr>
                <w:noProof/>
              </w:rPr>
              <w:t xml:space="preserve">Wireless </w:t>
            </w:r>
            <w:r w:rsidR="005A3439">
              <w:rPr>
                <w:noProof/>
              </w:rPr>
              <w:t>h</w:t>
            </w:r>
            <w:r>
              <w:rPr>
                <w:noProof/>
              </w:rPr>
              <w:t xml:space="preserve">eadsets with </w:t>
            </w:r>
            <w:r w:rsidR="005A3439">
              <w:rPr>
                <w:noProof/>
              </w:rPr>
              <w:t>m</w:t>
            </w:r>
            <w:r>
              <w:rPr>
                <w:noProof/>
              </w:rPr>
              <w:t xml:space="preserve">edia </w:t>
            </w:r>
            <w:r w:rsidR="005A3439">
              <w:rPr>
                <w:noProof/>
              </w:rPr>
              <w:t>s</w:t>
            </w:r>
            <w:r>
              <w:rPr>
                <w:noProof/>
              </w:rPr>
              <w:t>torage</w:t>
            </w:r>
            <w:bookmarkEnd w:id="82"/>
          </w:p>
        </w:tc>
      </w:tr>
      <w:tr w:rsidR="00032B9D" w:rsidRPr="0081017C" w14:paraId="537AD24F" w14:textId="77777777" w:rsidTr="00822065">
        <w:trPr>
          <w:jc w:val="center"/>
        </w:trPr>
        <w:tc>
          <w:tcPr>
            <w:tcW w:w="766" w:type="dxa"/>
          </w:tcPr>
          <w:p w14:paraId="6B93BDEC" w14:textId="77777777" w:rsidR="00032B9D" w:rsidRPr="00315DBF" w:rsidRDefault="00032B9D" w:rsidP="00822065">
            <w:pPr>
              <w:pStyle w:val="Tablehead"/>
              <w:rPr>
                <w:rFonts w:eastAsia="Verdana"/>
                <w:bCs/>
              </w:rPr>
            </w:pPr>
            <w:r w:rsidRPr="00315DBF">
              <w:rPr>
                <w:rFonts w:eastAsia="Verdana"/>
                <w:bCs/>
              </w:rPr>
              <w:t>Date</w:t>
            </w:r>
          </w:p>
        </w:tc>
        <w:tc>
          <w:tcPr>
            <w:tcW w:w="1559" w:type="dxa"/>
          </w:tcPr>
          <w:p w14:paraId="1DE9EC31" w14:textId="77777777" w:rsidR="00032B9D" w:rsidRPr="00822065" w:rsidRDefault="00032B9D" w:rsidP="00822065">
            <w:pPr>
              <w:pStyle w:val="Tablehead"/>
              <w:rPr>
                <w:rFonts w:eastAsia="Verdana"/>
                <w:b w:val="0"/>
                <w:bCs/>
              </w:rPr>
            </w:pPr>
            <w:r w:rsidRPr="00822065">
              <w:rPr>
                <w:rFonts w:eastAsia="Verdana"/>
                <w:b w:val="0"/>
                <w:bCs/>
              </w:rPr>
              <w:t>June 2020</w:t>
            </w:r>
          </w:p>
        </w:tc>
        <w:tc>
          <w:tcPr>
            <w:tcW w:w="1276" w:type="dxa"/>
          </w:tcPr>
          <w:p w14:paraId="3216C52E" w14:textId="77777777" w:rsidR="00032B9D" w:rsidRPr="00315DBF" w:rsidRDefault="00032B9D" w:rsidP="00822065">
            <w:pPr>
              <w:pStyle w:val="Tablehead"/>
              <w:rPr>
                <w:rFonts w:eastAsia="Verdana"/>
                <w:bCs/>
              </w:rPr>
            </w:pPr>
            <w:r w:rsidRPr="00315DBF">
              <w:rPr>
                <w:rFonts w:eastAsia="Verdana"/>
                <w:bCs/>
              </w:rPr>
              <w:t>Use case</w:t>
            </w:r>
          </w:p>
        </w:tc>
        <w:tc>
          <w:tcPr>
            <w:tcW w:w="992" w:type="dxa"/>
          </w:tcPr>
          <w:p w14:paraId="2E974416" w14:textId="6838B122" w:rsidR="00032B9D" w:rsidRPr="0081017C" w:rsidRDefault="007461B6" w:rsidP="00822065">
            <w:pPr>
              <w:pStyle w:val="Tablehead"/>
              <w:rPr>
                <w:rFonts w:eastAsia="Verdana"/>
              </w:rPr>
            </w:pPr>
            <w:r>
              <w:rPr>
                <w:rFonts w:eastAsia="Verdana"/>
                <w:noProof/>
              </w:rPr>
              <w:t>4</w:t>
            </w:r>
          </w:p>
        </w:tc>
        <w:tc>
          <w:tcPr>
            <w:tcW w:w="5324" w:type="dxa"/>
            <w:vMerge/>
          </w:tcPr>
          <w:p w14:paraId="7C1BD9AE" w14:textId="77777777" w:rsidR="00032B9D" w:rsidRPr="0081017C" w:rsidRDefault="00032B9D" w:rsidP="00822065">
            <w:pPr>
              <w:pStyle w:val="Tablehead"/>
              <w:rPr>
                <w:rFonts w:eastAsia="Verdana"/>
              </w:rPr>
            </w:pPr>
          </w:p>
        </w:tc>
      </w:tr>
      <w:tr w:rsidR="00032B9D" w:rsidRPr="0081017C" w14:paraId="04DD445C" w14:textId="77777777" w:rsidTr="00822065">
        <w:trPr>
          <w:jc w:val="center"/>
        </w:trPr>
        <w:tc>
          <w:tcPr>
            <w:tcW w:w="9917" w:type="dxa"/>
            <w:gridSpan w:val="5"/>
          </w:tcPr>
          <w:p w14:paraId="29E30255" w14:textId="77777777" w:rsidR="00032B9D" w:rsidRPr="0001133F" w:rsidRDefault="00032B9D" w:rsidP="00D83FA6">
            <w:pPr>
              <w:pStyle w:val="Tabletext"/>
              <w:rPr>
                <w:rFonts w:eastAsia="Verdana"/>
                <w:b/>
                <w:bCs/>
              </w:rPr>
            </w:pPr>
            <w:r w:rsidRPr="0001133F">
              <w:rPr>
                <w:rFonts w:eastAsia="Verdana"/>
                <w:b/>
                <w:bCs/>
              </w:rPr>
              <w:t>Description:</w:t>
            </w:r>
          </w:p>
        </w:tc>
      </w:tr>
      <w:tr w:rsidR="00032B9D" w:rsidRPr="0081017C" w14:paraId="4A168562" w14:textId="77777777" w:rsidTr="00822065">
        <w:trPr>
          <w:jc w:val="center"/>
        </w:trPr>
        <w:tc>
          <w:tcPr>
            <w:tcW w:w="9917" w:type="dxa"/>
            <w:gridSpan w:val="5"/>
          </w:tcPr>
          <w:p w14:paraId="379429DB" w14:textId="33991673" w:rsidR="00032B9D" w:rsidRPr="00483AA6" w:rsidRDefault="00483AA6" w:rsidP="00D83FA6">
            <w:pPr>
              <w:pStyle w:val="Tabletext"/>
              <w:rPr>
                <w:rFonts w:eastAsia="Verdana"/>
              </w:rPr>
            </w:pPr>
            <w:r w:rsidRPr="00483AA6">
              <w:rPr>
                <w:rFonts w:eastAsia="Verdana"/>
              </w:rPr>
              <w:t>A number of headset manufacturers (including Aftershocks, JBL, Samsung, Sony, amongst others) produce wireless headsets with the ability to store MP3 or MP4 formatted programme material.</w:t>
            </w:r>
          </w:p>
        </w:tc>
      </w:tr>
      <w:tr w:rsidR="00E7251B" w:rsidRPr="0081017C" w14:paraId="11D26D09" w14:textId="77777777" w:rsidTr="00822065">
        <w:trPr>
          <w:jc w:val="center"/>
        </w:trPr>
        <w:tc>
          <w:tcPr>
            <w:tcW w:w="9917" w:type="dxa"/>
            <w:gridSpan w:val="5"/>
          </w:tcPr>
          <w:p w14:paraId="5D07DDBC" w14:textId="439DD3BA" w:rsidR="00E7251B" w:rsidRPr="00E1381E" w:rsidRDefault="00E7251B" w:rsidP="00E7251B">
            <w:pPr>
              <w:pStyle w:val="Tabletext"/>
              <w:rPr>
                <w:rFonts w:eastAsia="Verdana"/>
                <w:b/>
                <w:bCs/>
              </w:rPr>
            </w:pPr>
            <w:r w:rsidRPr="00E1381E">
              <w:rPr>
                <w:rFonts w:eastAsia="Verdana"/>
                <w:b/>
                <w:bCs/>
              </w:rPr>
              <w:t>Issues</w:t>
            </w:r>
            <w:r>
              <w:rPr>
                <w:rFonts w:eastAsia="Verdana"/>
                <w:b/>
                <w:bCs/>
              </w:rPr>
              <w:t>/gaps</w:t>
            </w:r>
            <w:r w:rsidRPr="00E1381E">
              <w:rPr>
                <w:rFonts w:eastAsia="Verdana"/>
                <w:b/>
                <w:bCs/>
              </w:rPr>
              <w:t>:</w:t>
            </w:r>
          </w:p>
        </w:tc>
      </w:tr>
      <w:tr w:rsidR="00032B9D" w:rsidRPr="0081017C" w14:paraId="323D90BB" w14:textId="77777777" w:rsidTr="00822065">
        <w:trPr>
          <w:jc w:val="center"/>
        </w:trPr>
        <w:tc>
          <w:tcPr>
            <w:tcW w:w="9917" w:type="dxa"/>
            <w:gridSpan w:val="5"/>
          </w:tcPr>
          <w:p w14:paraId="5647F9A5" w14:textId="77777777" w:rsidR="00483AA6" w:rsidRPr="00483AA6" w:rsidRDefault="00483AA6" w:rsidP="00483AA6">
            <w:pPr>
              <w:pStyle w:val="Tabletext"/>
              <w:rPr>
                <w:rFonts w:eastAsia="Verdana"/>
              </w:rPr>
            </w:pPr>
            <w:r w:rsidRPr="00483AA6">
              <w:rPr>
                <w:rFonts w:eastAsia="Verdana"/>
              </w:rPr>
              <w:t>Present regulatory standards recommend dose-based assessment of the media content reaching the user's ears, and assume one listening device being connected to one PMP/PAD; single dose-based monitoring combined with available knowledge of listening device characteristics provides suitable protection.</w:t>
            </w:r>
          </w:p>
          <w:p w14:paraId="3328DBC5" w14:textId="77777777" w:rsidR="00483AA6" w:rsidRPr="00483AA6" w:rsidRDefault="00483AA6" w:rsidP="00483AA6">
            <w:pPr>
              <w:pStyle w:val="Tabletext"/>
              <w:rPr>
                <w:rFonts w:eastAsia="Verdana"/>
              </w:rPr>
            </w:pPr>
            <w:r w:rsidRPr="00483AA6">
              <w:rPr>
                <w:rFonts w:eastAsia="Verdana"/>
              </w:rPr>
              <w:t>Such headsets are not clearly classified as a PMP/PAD or PAS; users are at risk.</w:t>
            </w:r>
          </w:p>
          <w:p w14:paraId="7C63C8B3" w14:textId="62F7462E" w:rsidR="00483AA6" w:rsidRPr="00483AA6" w:rsidRDefault="00483AA6" w:rsidP="00483AA6">
            <w:pPr>
              <w:pStyle w:val="Tabletext"/>
              <w:rPr>
                <w:rFonts w:eastAsia="Verdana"/>
              </w:rPr>
            </w:pPr>
            <w:r w:rsidRPr="00483AA6">
              <w:rPr>
                <w:rFonts w:eastAsia="Verdana"/>
              </w:rPr>
              <w:t>NOTE</w:t>
            </w:r>
            <w:r>
              <w:rPr>
                <w:rFonts w:eastAsia="Verdana"/>
              </w:rPr>
              <w:t xml:space="preserve"> 1 –</w:t>
            </w:r>
            <w:r w:rsidRPr="00483AA6">
              <w:rPr>
                <w:rFonts w:eastAsia="Verdana"/>
              </w:rPr>
              <w:t xml:space="preserve"> </w:t>
            </w:r>
            <w:r w:rsidR="00D81135">
              <w:rPr>
                <w:rFonts w:eastAsia="Verdana"/>
              </w:rPr>
              <w:t>[</w:t>
            </w:r>
            <w:r w:rsidRPr="00483AA6">
              <w:rPr>
                <w:rFonts w:eastAsia="Verdana"/>
              </w:rPr>
              <w:t>IEC 62368-1</w:t>
            </w:r>
            <w:r w:rsidR="00D81135">
              <w:rPr>
                <w:rFonts w:eastAsia="Verdana"/>
              </w:rPr>
              <w:t>]</w:t>
            </w:r>
            <w:r w:rsidRPr="00483AA6">
              <w:rPr>
                <w:rFonts w:eastAsia="Verdana"/>
              </w:rPr>
              <w:t xml:space="preserve"> defines PMP as portable music player</w:t>
            </w:r>
            <w:r w:rsidR="005A3439">
              <w:rPr>
                <w:rFonts w:eastAsia="Verdana"/>
              </w:rPr>
              <w:t>; it</w:t>
            </w:r>
            <w:r w:rsidRPr="00483AA6">
              <w:rPr>
                <w:rFonts w:eastAsia="Verdana"/>
              </w:rPr>
              <w:t xml:space="preserve"> is designed to allow the user to listen to audio content and has a player that can be body worn (of a size suitable to be carried in a clothing pocket)</w:t>
            </w:r>
            <w:r w:rsidR="005A3439">
              <w:rPr>
                <w:rFonts w:eastAsia="Verdana"/>
              </w:rPr>
              <w:t>,</w:t>
            </w:r>
            <w:r w:rsidRPr="00483AA6">
              <w:rPr>
                <w:rFonts w:eastAsia="Verdana"/>
              </w:rPr>
              <w:t xml:space="preserve"> and is intended for the user to walk around with while in continuous use (for example, on a street, in a subway, at an airport, etc.). This implies the wireless headset of this </w:t>
            </w:r>
            <w:r w:rsidR="005A3439">
              <w:rPr>
                <w:rFonts w:eastAsia="Verdana"/>
              </w:rPr>
              <w:t>u</w:t>
            </w:r>
            <w:r w:rsidRPr="00483AA6">
              <w:rPr>
                <w:rFonts w:eastAsia="Verdana"/>
              </w:rPr>
              <w:t>se case has an embedded PMP which needs to comply with either option 1 or 2 of the regulation.</w:t>
            </w:r>
          </w:p>
          <w:p w14:paraId="50ADAFC9" w14:textId="434C450D" w:rsidR="00032B9D" w:rsidRPr="0081017C" w:rsidRDefault="00483AA6" w:rsidP="00483AA6">
            <w:pPr>
              <w:pStyle w:val="Tabletext"/>
              <w:rPr>
                <w:rFonts w:eastAsia="Verdana"/>
              </w:rPr>
            </w:pPr>
            <w:r w:rsidRPr="00483AA6">
              <w:rPr>
                <w:rFonts w:eastAsia="Verdana"/>
              </w:rPr>
              <w:t>NOTE</w:t>
            </w:r>
            <w:r>
              <w:rPr>
                <w:rFonts w:eastAsia="Verdana"/>
              </w:rPr>
              <w:t xml:space="preserve"> 2 –</w:t>
            </w:r>
            <w:r w:rsidRPr="00483AA6">
              <w:rPr>
                <w:rFonts w:eastAsia="Verdana"/>
              </w:rPr>
              <w:t xml:space="preserve"> </w:t>
            </w:r>
            <w:r w:rsidR="00D81135">
              <w:rPr>
                <w:rFonts w:eastAsia="Verdana"/>
              </w:rPr>
              <w:t xml:space="preserve">[ITU-T </w:t>
            </w:r>
            <w:r w:rsidRPr="00483AA6">
              <w:rPr>
                <w:rFonts w:eastAsia="Verdana"/>
              </w:rPr>
              <w:t>H.870</w:t>
            </w:r>
            <w:r w:rsidR="00D81135">
              <w:rPr>
                <w:rFonts w:eastAsia="Verdana"/>
              </w:rPr>
              <w:t>]</w:t>
            </w:r>
            <w:r w:rsidRPr="00483AA6">
              <w:rPr>
                <w:rFonts w:eastAsia="Verdana"/>
              </w:rPr>
              <w:t xml:space="preserve"> is more explicit in its description of PAS (a PAD + listening device) as being able to play either from locally stored content or stream from an external source.</w:t>
            </w:r>
          </w:p>
        </w:tc>
      </w:tr>
      <w:tr w:rsidR="00032B9D" w:rsidRPr="0081017C" w14:paraId="5D6DAB80" w14:textId="77777777" w:rsidTr="00822065">
        <w:trPr>
          <w:jc w:val="center"/>
        </w:trPr>
        <w:tc>
          <w:tcPr>
            <w:tcW w:w="9917" w:type="dxa"/>
            <w:gridSpan w:val="5"/>
          </w:tcPr>
          <w:p w14:paraId="7EE6202F" w14:textId="6001E49A" w:rsidR="00032B9D" w:rsidRPr="00E1381E" w:rsidRDefault="00032B9D" w:rsidP="00D83FA6">
            <w:pPr>
              <w:pStyle w:val="Tabletext"/>
              <w:rPr>
                <w:rFonts w:eastAsia="Verdana"/>
                <w:b/>
                <w:bCs/>
              </w:rPr>
            </w:pPr>
            <w:r w:rsidRPr="00E1381E">
              <w:rPr>
                <w:rFonts w:eastAsia="Verdana"/>
                <w:b/>
                <w:bCs/>
              </w:rPr>
              <w:t xml:space="preserve">Possible </w:t>
            </w:r>
            <w:r w:rsidR="005A3439">
              <w:rPr>
                <w:rFonts w:eastAsia="Verdana"/>
                <w:b/>
                <w:bCs/>
              </w:rPr>
              <w:t>o</w:t>
            </w:r>
            <w:r w:rsidRPr="00E1381E">
              <w:rPr>
                <w:rFonts w:eastAsia="Verdana"/>
                <w:b/>
                <w:bCs/>
              </w:rPr>
              <w:t>ptions:</w:t>
            </w:r>
          </w:p>
        </w:tc>
      </w:tr>
      <w:tr w:rsidR="00032B9D" w:rsidRPr="00483AA6" w14:paraId="20357009" w14:textId="77777777" w:rsidTr="00822065">
        <w:trPr>
          <w:jc w:val="center"/>
        </w:trPr>
        <w:tc>
          <w:tcPr>
            <w:tcW w:w="9917" w:type="dxa"/>
            <w:gridSpan w:val="5"/>
          </w:tcPr>
          <w:p w14:paraId="67DEE11D" w14:textId="30AF1D87" w:rsidR="00483AA6" w:rsidRPr="00483AA6" w:rsidRDefault="00483AA6" w:rsidP="00483AA6">
            <w:pPr>
              <w:pStyle w:val="Tabletext"/>
              <w:ind w:left="284" w:hanging="284"/>
              <w:rPr>
                <w:rFonts w:eastAsia="Verdana"/>
              </w:rPr>
            </w:pPr>
            <w:r w:rsidRPr="00483AA6">
              <w:rPr>
                <w:rFonts w:eastAsia="Verdana"/>
              </w:rPr>
              <w:t>1</w:t>
            </w:r>
            <w:r w:rsidR="00822065">
              <w:rPr>
                <w:rFonts w:eastAsia="Verdana"/>
              </w:rPr>
              <w:t>)</w:t>
            </w:r>
            <w:r w:rsidRPr="00483AA6">
              <w:rPr>
                <w:rFonts w:eastAsia="Verdana"/>
              </w:rPr>
              <w:tab/>
              <w:t>Ignore as being a fringe population.</w:t>
            </w:r>
          </w:p>
          <w:p w14:paraId="5359343A" w14:textId="3429B4A9" w:rsidR="00032B9D" w:rsidRPr="00483AA6" w:rsidRDefault="00483A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Verdana"/>
              </w:rPr>
            </w:pPr>
            <w:r w:rsidRPr="00483AA6">
              <w:rPr>
                <w:rFonts w:eastAsia="Verdana"/>
              </w:rPr>
              <w:t>2</w:t>
            </w:r>
            <w:r w:rsidR="00822065">
              <w:rPr>
                <w:rFonts w:eastAsia="Verdana"/>
              </w:rPr>
              <w:t>)</w:t>
            </w:r>
            <w:r w:rsidRPr="00483AA6">
              <w:rPr>
                <w:rFonts w:eastAsia="Verdana"/>
              </w:rPr>
              <w:tab/>
              <w:t xml:space="preserve">Ensure all such wireless headsets are designated as PAS </w:t>
            </w:r>
            <w:r w:rsidR="005A3439">
              <w:rPr>
                <w:rFonts w:eastAsia="Verdana"/>
              </w:rPr>
              <w:t xml:space="preserve">[ITU-T </w:t>
            </w:r>
            <w:r w:rsidRPr="00483AA6">
              <w:rPr>
                <w:rFonts w:eastAsia="Verdana"/>
              </w:rPr>
              <w:t>H.870</w:t>
            </w:r>
            <w:r w:rsidR="005A3439">
              <w:rPr>
                <w:rFonts w:eastAsia="Verdana"/>
              </w:rPr>
              <w:t>]</w:t>
            </w:r>
            <w:r w:rsidRPr="00483AA6">
              <w:rPr>
                <w:rFonts w:eastAsia="Verdana"/>
              </w:rPr>
              <w:t xml:space="preserve"> or as incorporating a PMP </w:t>
            </w:r>
            <w:r w:rsidR="002B4729">
              <w:rPr>
                <w:rFonts w:eastAsia="Verdana"/>
              </w:rPr>
              <w:t>[</w:t>
            </w:r>
            <w:r w:rsidRPr="00483AA6">
              <w:rPr>
                <w:rFonts w:eastAsia="Verdana"/>
              </w:rPr>
              <w:t>IEC</w:t>
            </w:r>
            <w:r w:rsidR="002B4729">
              <w:rPr>
                <w:rFonts w:eastAsia="Verdana"/>
              </w:rPr>
              <w:t> </w:t>
            </w:r>
            <w:r w:rsidRPr="00483AA6">
              <w:rPr>
                <w:rFonts w:eastAsia="Verdana"/>
              </w:rPr>
              <w:t>62368</w:t>
            </w:r>
            <w:r w:rsidR="0042268C">
              <w:rPr>
                <w:rFonts w:eastAsia="Verdana"/>
              </w:rPr>
              <w:t>-1</w:t>
            </w:r>
            <w:r w:rsidR="002B4729">
              <w:rPr>
                <w:rFonts w:eastAsia="Verdana"/>
              </w:rPr>
              <w:t>]</w:t>
            </w:r>
            <w:r w:rsidRPr="00483AA6">
              <w:rPr>
                <w:rFonts w:eastAsia="Verdana"/>
              </w:rPr>
              <w:t>, due to their ability to play streamed content and being portable; this would require them to incorporate safe listening protection.</w:t>
            </w:r>
          </w:p>
        </w:tc>
      </w:tr>
    </w:tbl>
    <w:p w14:paraId="3D17D061" w14:textId="77777777" w:rsidR="00032B9D" w:rsidRPr="00AB258E" w:rsidRDefault="00032B9D" w:rsidP="00032B9D"/>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
        <w:gridCol w:w="1517"/>
        <w:gridCol w:w="1243"/>
        <w:gridCol w:w="968"/>
        <w:gridCol w:w="5162"/>
      </w:tblGrid>
      <w:tr w:rsidR="00BD3235" w:rsidRPr="0081017C" w14:paraId="183AA172" w14:textId="77777777" w:rsidTr="00925893">
        <w:trPr>
          <w:jc w:val="center"/>
        </w:trPr>
        <w:tc>
          <w:tcPr>
            <w:tcW w:w="4593" w:type="dxa"/>
            <w:gridSpan w:val="4"/>
          </w:tcPr>
          <w:p w14:paraId="17438835" w14:textId="2B0E35F3" w:rsidR="00BD3235" w:rsidRPr="0081017C" w:rsidRDefault="00BD3235">
            <w:pPr>
              <w:pStyle w:val="Tablehead"/>
            </w:pPr>
            <w:r w:rsidRPr="0081017C">
              <w:t xml:space="preserve">Use cases – Conflicted </w:t>
            </w:r>
            <w:r w:rsidR="005A3439">
              <w:t>h</w:t>
            </w:r>
            <w:r w:rsidRPr="0081017C">
              <w:t xml:space="preserve">earing </w:t>
            </w:r>
            <w:r w:rsidR="005A3439">
              <w:t>s</w:t>
            </w:r>
            <w:r w:rsidRPr="0081017C">
              <w:t>afeguarding</w:t>
            </w:r>
          </w:p>
        </w:tc>
        <w:tc>
          <w:tcPr>
            <w:tcW w:w="5324" w:type="dxa"/>
            <w:vMerge w:val="restart"/>
          </w:tcPr>
          <w:p w14:paraId="14CD04B7" w14:textId="118562EA" w:rsidR="00BD3235" w:rsidRPr="0081017C" w:rsidRDefault="00673F85" w:rsidP="00925893">
            <w:pPr>
              <w:pStyle w:val="Tablehead"/>
            </w:pPr>
            <w:bookmarkStart w:id="83" w:name="_Toc95410290"/>
            <w:r w:rsidRPr="00673F85">
              <w:t>Bluetooth DAC</w:t>
            </w:r>
            <w:bookmarkEnd w:id="83"/>
          </w:p>
        </w:tc>
      </w:tr>
      <w:tr w:rsidR="00BD3235" w:rsidRPr="0081017C" w14:paraId="46A2A6F9" w14:textId="77777777" w:rsidTr="00925893">
        <w:trPr>
          <w:jc w:val="center"/>
        </w:trPr>
        <w:tc>
          <w:tcPr>
            <w:tcW w:w="766" w:type="dxa"/>
          </w:tcPr>
          <w:p w14:paraId="1C505866" w14:textId="77777777" w:rsidR="00BD3235" w:rsidRPr="00315DBF" w:rsidRDefault="00BD3235" w:rsidP="00925893">
            <w:pPr>
              <w:pStyle w:val="Tablehead"/>
              <w:rPr>
                <w:rFonts w:eastAsia="Verdana"/>
                <w:bCs/>
              </w:rPr>
            </w:pPr>
            <w:r w:rsidRPr="00315DBF">
              <w:rPr>
                <w:rFonts w:eastAsia="Verdana"/>
                <w:bCs/>
              </w:rPr>
              <w:t>Date</w:t>
            </w:r>
          </w:p>
        </w:tc>
        <w:tc>
          <w:tcPr>
            <w:tcW w:w="1559" w:type="dxa"/>
          </w:tcPr>
          <w:p w14:paraId="515C0D8E" w14:textId="77777777" w:rsidR="00BD3235" w:rsidRPr="00925893" w:rsidRDefault="00BD3235" w:rsidP="00925893">
            <w:pPr>
              <w:pStyle w:val="Tablehead"/>
              <w:rPr>
                <w:rFonts w:eastAsia="Verdana"/>
                <w:b w:val="0"/>
                <w:bCs/>
              </w:rPr>
            </w:pPr>
            <w:r w:rsidRPr="00925893">
              <w:rPr>
                <w:rFonts w:eastAsia="Verdana"/>
                <w:b w:val="0"/>
                <w:bCs/>
              </w:rPr>
              <w:t>June 2020</w:t>
            </w:r>
          </w:p>
        </w:tc>
        <w:tc>
          <w:tcPr>
            <w:tcW w:w="1276" w:type="dxa"/>
          </w:tcPr>
          <w:p w14:paraId="5380EBE2" w14:textId="77777777" w:rsidR="00BD3235" w:rsidRPr="00315DBF" w:rsidRDefault="00BD3235" w:rsidP="00925893">
            <w:pPr>
              <w:pStyle w:val="Tablehead"/>
              <w:rPr>
                <w:rFonts w:eastAsia="Verdana"/>
                <w:bCs/>
              </w:rPr>
            </w:pPr>
            <w:r w:rsidRPr="00315DBF">
              <w:rPr>
                <w:rFonts w:eastAsia="Verdana"/>
                <w:bCs/>
              </w:rPr>
              <w:t>Use case</w:t>
            </w:r>
          </w:p>
        </w:tc>
        <w:tc>
          <w:tcPr>
            <w:tcW w:w="992" w:type="dxa"/>
          </w:tcPr>
          <w:p w14:paraId="13E61B24" w14:textId="59BB3DEF" w:rsidR="00BD3235" w:rsidRPr="0081017C" w:rsidRDefault="007461B6" w:rsidP="00925893">
            <w:pPr>
              <w:pStyle w:val="Tablehead"/>
              <w:rPr>
                <w:rFonts w:eastAsia="Verdana"/>
              </w:rPr>
            </w:pPr>
            <w:r>
              <w:rPr>
                <w:rFonts w:eastAsia="Verdana"/>
                <w:noProof/>
              </w:rPr>
              <w:t>5</w:t>
            </w:r>
          </w:p>
        </w:tc>
        <w:tc>
          <w:tcPr>
            <w:tcW w:w="5324" w:type="dxa"/>
            <w:vMerge/>
          </w:tcPr>
          <w:p w14:paraId="7DABE5FA" w14:textId="77777777" w:rsidR="00BD3235" w:rsidRPr="0081017C" w:rsidRDefault="00BD3235" w:rsidP="00925893">
            <w:pPr>
              <w:pStyle w:val="Tablehead"/>
              <w:rPr>
                <w:rFonts w:eastAsia="Verdana"/>
              </w:rPr>
            </w:pPr>
          </w:p>
        </w:tc>
      </w:tr>
      <w:tr w:rsidR="00BD3235" w:rsidRPr="0081017C" w14:paraId="5439FCFC" w14:textId="77777777" w:rsidTr="00925893">
        <w:trPr>
          <w:jc w:val="center"/>
        </w:trPr>
        <w:tc>
          <w:tcPr>
            <w:tcW w:w="9917" w:type="dxa"/>
            <w:gridSpan w:val="5"/>
          </w:tcPr>
          <w:p w14:paraId="68EC81BC" w14:textId="77777777" w:rsidR="00BD3235" w:rsidRPr="0001133F" w:rsidRDefault="00BD3235" w:rsidP="00160797">
            <w:pPr>
              <w:pStyle w:val="Tabletext"/>
              <w:keepNext/>
              <w:rPr>
                <w:rFonts w:eastAsia="Verdana"/>
                <w:b/>
                <w:bCs/>
              </w:rPr>
            </w:pPr>
            <w:r w:rsidRPr="0001133F">
              <w:rPr>
                <w:rFonts w:eastAsia="Verdana"/>
                <w:b/>
                <w:bCs/>
              </w:rPr>
              <w:t>Description:</w:t>
            </w:r>
          </w:p>
        </w:tc>
      </w:tr>
      <w:tr w:rsidR="00BD3235" w:rsidRPr="0081017C" w14:paraId="76FA6EA1" w14:textId="77777777" w:rsidTr="00925893">
        <w:trPr>
          <w:jc w:val="center"/>
        </w:trPr>
        <w:tc>
          <w:tcPr>
            <w:tcW w:w="9917" w:type="dxa"/>
            <w:gridSpan w:val="5"/>
          </w:tcPr>
          <w:p w14:paraId="4FAB3AC5" w14:textId="0BB043BC" w:rsidR="00BD3235" w:rsidRPr="0081017C" w:rsidRDefault="006C120C" w:rsidP="00160797">
            <w:pPr>
              <w:pStyle w:val="Tabletext"/>
              <w:keepNext/>
              <w:rPr>
                <w:rFonts w:eastAsia="Verdana"/>
              </w:rPr>
            </w:pPr>
            <w:r w:rsidRPr="006C120C">
              <w:rPr>
                <w:rFonts w:eastAsia="Verdana"/>
              </w:rPr>
              <w:t>Products exist in the form of a portable Bluetooth device with integral DAC that drives analogue headsets. There is no limit to the DAC dongle's drive levels and hence even a 62368-sensitivity-contrained headset can produce damaging outputs.</w:t>
            </w:r>
          </w:p>
        </w:tc>
      </w:tr>
      <w:tr w:rsidR="00E7251B" w:rsidRPr="0081017C" w14:paraId="5A9C11A6" w14:textId="77777777" w:rsidTr="00925893">
        <w:trPr>
          <w:jc w:val="center"/>
        </w:trPr>
        <w:tc>
          <w:tcPr>
            <w:tcW w:w="9917" w:type="dxa"/>
            <w:gridSpan w:val="5"/>
          </w:tcPr>
          <w:p w14:paraId="0073193E" w14:textId="4E75FED4" w:rsidR="00E7251B" w:rsidRPr="00E1381E" w:rsidRDefault="00E7251B" w:rsidP="00160797">
            <w:pPr>
              <w:pStyle w:val="Tabletext"/>
              <w:keepNext/>
              <w:rPr>
                <w:rFonts w:eastAsia="Verdana"/>
                <w:b/>
                <w:bCs/>
              </w:rPr>
            </w:pPr>
            <w:r w:rsidRPr="00E1381E">
              <w:rPr>
                <w:rFonts w:eastAsia="Verdana"/>
                <w:b/>
                <w:bCs/>
              </w:rPr>
              <w:t>Issues</w:t>
            </w:r>
            <w:r>
              <w:rPr>
                <w:rFonts w:eastAsia="Verdana"/>
                <w:b/>
                <w:bCs/>
              </w:rPr>
              <w:t>/gaps</w:t>
            </w:r>
            <w:r w:rsidRPr="00E1381E">
              <w:rPr>
                <w:rFonts w:eastAsia="Verdana"/>
                <w:b/>
                <w:bCs/>
              </w:rPr>
              <w:t>:</w:t>
            </w:r>
          </w:p>
        </w:tc>
      </w:tr>
      <w:tr w:rsidR="00BD3235" w:rsidRPr="0081017C" w14:paraId="2073114F" w14:textId="77777777" w:rsidTr="00925893">
        <w:trPr>
          <w:jc w:val="center"/>
        </w:trPr>
        <w:tc>
          <w:tcPr>
            <w:tcW w:w="9917" w:type="dxa"/>
            <w:gridSpan w:val="5"/>
          </w:tcPr>
          <w:p w14:paraId="305DFB01" w14:textId="18CB14CD" w:rsidR="00BD3235" w:rsidRPr="0081017C" w:rsidRDefault="008953D2" w:rsidP="008953D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Verdana"/>
              </w:rPr>
            </w:pPr>
            <w:r w:rsidRPr="0081017C">
              <w:rPr>
                <w:rFonts w:eastAsia="Verdana"/>
              </w:rPr>
              <w:t>1</w:t>
            </w:r>
            <w:r w:rsidR="00D86BAE">
              <w:rPr>
                <w:rFonts w:eastAsia="Verdana"/>
              </w:rPr>
              <w:t>)</w:t>
            </w:r>
            <w:r w:rsidRPr="0081017C">
              <w:rPr>
                <w:rFonts w:eastAsia="Verdana"/>
              </w:rPr>
              <w:tab/>
            </w:r>
            <w:r w:rsidR="006C120C" w:rsidRPr="006C120C">
              <w:rPr>
                <w:rFonts w:eastAsia="Verdana"/>
              </w:rPr>
              <w:t>Present regulatory standards recommend dose-based assessment of the media content reaching the user's ears. They specifically exclude situations where external amplifiers are used.</w:t>
            </w:r>
          </w:p>
        </w:tc>
      </w:tr>
      <w:tr w:rsidR="00BD3235" w:rsidRPr="0081017C" w14:paraId="362AF654" w14:textId="77777777" w:rsidTr="00925893">
        <w:trPr>
          <w:jc w:val="center"/>
        </w:trPr>
        <w:tc>
          <w:tcPr>
            <w:tcW w:w="9917" w:type="dxa"/>
            <w:gridSpan w:val="5"/>
          </w:tcPr>
          <w:p w14:paraId="796BC329" w14:textId="5B386485" w:rsidR="00BD3235" w:rsidRPr="00E1381E" w:rsidRDefault="00BD3235" w:rsidP="00D83FA6">
            <w:pPr>
              <w:pStyle w:val="Tabletext"/>
              <w:rPr>
                <w:rFonts w:eastAsia="Verdana"/>
                <w:b/>
                <w:bCs/>
              </w:rPr>
            </w:pPr>
            <w:r w:rsidRPr="00E1381E">
              <w:rPr>
                <w:rFonts w:eastAsia="Verdana"/>
                <w:b/>
                <w:bCs/>
              </w:rPr>
              <w:t xml:space="preserve">Possible </w:t>
            </w:r>
            <w:r w:rsidR="00F25C71">
              <w:rPr>
                <w:rFonts w:eastAsia="Verdana"/>
                <w:b/>
                <w:bCs/>
              </w:rPr>
              <w:t>o</w:t>
            </w:r>
            <w:r w:rsidRPr="00E1381E">
              <w:rPr>
                <w:rFonts w:eastAsia="Verdana"/>
                <w:b/>
                <w:bCs/>
              </w:rPr>
              <w:t>ptions:</w:t>
            </w:r>
          </w:p>
        </w:tc>
      </w:tr>
      <w:tr w:rsidR="00BD3235" w:rsidRPr="0081017C" w14:paraId="0231D7AB" w14:textId="77777777" w:rsidTr="00925893">
        <w:trPr>
          <w:jc w:val="center"/>
        </w:trPr>
        <w:tc>
          <w:tcPr>
            <w:tcW w:w="9917" w:type="dxa"/>
            <w:gridSpan w:val="5"/>
          </w:tcPr>
          <w:p w14:paraId="044F0212" w14:textId="3CA573BC" w:rsidR="00673F85" w:rsidRPr="00673F85" w:rsidRDefault="00673F85" w:rsidP="00673F85">
            <w:pPr>
              <w:pStyle w:val="Tabletext"/>
              <w:ind w:left="284" w:hanging="284"/>
              <w:rPr>
                <w:rFonts w:eastAsia="Verdana"/>
                <w:bCs/>
              </w:rPr>
            </w:pPr>
            <w:r w:rsidRPr="00673F85">
              <w:rPr>
                <w:rFonts w:eastAsia="Verdana"/>
                <w:bCs/>
              </w:rPr>
              <w:t>1</w:t>
            </w:r>
            <w:r w:rsidR="00D86BAE">
              <w:rPr>
                <w:rFonts w:eastAsia="Verdana"/>
                <w:bCs/>
              </w:rPr>
              <w:t>)</w:t>
            </w:r>
            <w:r w:rsidRPr="00673F85">
              <w:rPr>
                <w:rFonts w:eastAsia="Verdana"/>
                <w:bCs/>
              </w:rPr>
              <w:tab/>
              <w:t>Ignore as being a fringe population.</w:t>
            </w:r>
          </w:p>
          <w:p w14:paraId="2938C6DD" w14:textId="167A18AE" w:rsidR="00BD3235" w:rsidRPr="00673F85" w:rsidRDefault="00673F85">
            <w:pPr>
              <w:pStyle w:val="Tabletext"/>
              <w:ind w:left="284" w:hanging="284"/>
              <w:rPr>
                <w:rFonts w:eastAsia="Verdana"/>
                <w:bCs/>
              </w:rPr>
            </w:pPr>
            <w:r w:rsidRPr="00673F85">
              <w:rPr>
                <w:rFonts w:eastAsia="Verdana"/>
                <w:bCs/>
              </w:rPr>
              <w:t>2</w:t>
            </w:r>
            <w:r w:rsidR="00D86BAE">
              <w:rPr>
                <w:rFonts w:eastAsia="Verdana"/>
                <w:bCs/>
              </w:rPr>
              <w:t>)</w:t>
            </w:r>
            <w:r w:rsidRPr="00673F85">
              <w:rPr>
                <w:rFonts w:eastAsia="Verdana"/>
                <w:bCs/>
              </w:rPr>
              <w:tab/>
              <w:t xml:space="preserve">Ensure all such devices are designated as PAS </w:t>
            </w:r>
            <w:r w:rsidR="00F25C71">
              <w:rPr>
                <w:rFonts w:eastAsia="Verdana"/>
                <w:bCs/>
              </w:rPr>
              <w:t xml:space="preserve">[ITU-T </w:t>
            </w:r>
            <w:r w:rsidRPr="00673F85">
              <w:rPr>
                <w:rFonts w:eastAsia="Verdana"/>
                <w:bCs/>
              </w:rPr>
              <w:t>H.870</w:t>
            </w:r>
            <w:r w:rsidR="00F25C71">
              <w:rPr>
                <w:rFonts w:eastAsia="Verdana"/>
                <w:bCs/>
              </w:rPr>
              <w:t>]</w:t>
            </w:r>
            <w:r w:rsidRPr="00673F85">
              <w:rPr>
                <w:rFonts w:eastAsia="Verdana"/>
                <w:bCs/>
              </w:rPr>
              <w:t xml:space="preserve"> or as PMP </w:t>
            </w:r>
            <w:r w:rsidR="00F25C71">
              <w:rPr>
                <w:rFonts w:eastAsia="Verdana"/>
                <w:bCs/>
              </w:rPr>
              <w:t>[</w:t>
            </w:r>
            <w:r w:rsidRPr="00673F85">
              <w:rPr>
                <w:rFonts w:eastAsia="Verdana"/>
                <w:bCs/>
              </w:rPr>
              <w:t>IEC 62368</w:t>
            </w:r>
            <w:r w:rsidR="0042268C">
              <w:rPr>
                <w:rFonts w:eastAsia="Verdana"/>
                <w:bCs/>
              </w:rPr>
              <w:t>-1</w:t>
            </w:r>
            <w:r w:rsidR="00F25C71">
              <w:rPr>
                <w:rFonts w:eastAsia="Verdana"/>
                <w:bCs/>
              </w:rPr>
              <w:t>]</w:t>
            </w:r>
            <w:r w:rsidRPr="00673F85">
              <w:rPr>
                <w:rFonts w:eastAsia="Verdana"/>
                <w:bCs/>
              </w:rPr>
              <w:t>, requiring them to incorporate safe listening protection.</w:t>
            </w:r>
          </w:p>
        </w:tc>
      </w:tr>
    </w:tbl>
    <w:p w14:paraId="4D2B6442" w14:textId="77777777" w:rsidR="00BD3235" w:rsidRPr="00AB258E" w:rsidRDefault="00BD3235" w:rsidP="00BD3235"/>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
        <w:gridCol w:w="1517"/>
        <w:gridCol w:w="1243"/>
        <w:gridCol w:w="968"/>
        <w:gridCol w:w="5162"/>
      </w:tblGrid>
      <w:tr w:rsidR="002E2B86" w:rsidRPr="0081017C" w14:paraId="20DD5271" w14:textId="77777777" w:rsidTr="00D86BAE">
        <w:trPr>
          <w:jc w:val="center"/>
        </w:trPr>
        <w:tc>
          <w:tcPr>
            <w:tcW w:w="4593" w:type="dxa"/>
            <w:gridSpan w:val="4"/>
          </w:tcPr>
          <w:p w14:paraId="4156E72C" w14:textId="6CD3E4FC" w:rsidR="002E2B86" w:rsidRPr="0081017C" w:rsidRDefault="002E2B86">
            <w:pPr>
              <w:pStyle w:val="Tablehead"/>
            </w:pPr>
            <w:r w:rsidRPr="0081017C">
              <w:t xml:space="preserve">Use cases – Conflicted </w:t>
            </w:r>
            <w:r w:rsidR="00F25C71">
              <w:t>h</w:t>
            </w:r>
            <w:r w:rsidRPr="0081017C">
              <w:t xml:space="preserve">earing </w:t>
            </w:r>
            <w:r w:rsidR="00F25C71">
              <w:t>s</w:t>
            </w:r>
            <w:r w:rsidRPr="0081017C">
              <w:t>afeguarding</w:t>
            </w:r>
          </w:p>
        </w:tc>
        <w:tc>
          <w:tcPr>
            <w:tcW w:w="5324" w:type="dxa"/>
            <w:vMerge w:val="restart"/>
          </w:tcPr>
          <w:p w14:paraId="3DEF5003" w14:textId="007B5251" w:rsidR="002E2B86" w:rsidRPr="0081017C" w:rsidRDefault="007461B6">
            <w:pPr>
              <w:pStyle w:val="Tablehead"/>
            </w:pPr>
            <w:bookmarkStart w:id="84" w:name="_Toc95410291"/>
            <w:r>
              <w:rPr>
                <w:noProof/>
              </w:rPr>
              <w:t xml:space="preserve">Sound </w:t>
            </w:r>
            <w:r w:rsidR="00B25144">
              <w:rPr>
                <w:noProof/>
              </w:rPr>
              <w:t>p</w:t>
            </w:r>
            <w:r>
              <w:rPr>
                <w:noProof/>
              </w:rPr>
              <w:t>ersonali</w:t>
            </w:r>
            <w:r w:rsidR="00B25144">
              <w:rPr>
                <w:noProof/>
              </w:rPr>
              <w:t>z</w:t>
            </w:r>
            <w:r>
              <w:rPr>
                <w:noProof/>
              </w:rPr>
              <w:t>ation</w:t>
            </w:r>
            <w:bookmarkEnd w:id="84"/>
          </w:p>
        </w:tc>
      </w:tr>
      <w:tr w:rsidR="002E2B86" w:rsidRPr="0081017C" w14:paraId="5D3F65DD" w14:textId="77777777" w:rsidTr="00D86BAE">
        <w:trPr>
          <w:jc w:val="center"/>
        </w:trPr>
        <w:tc>
          <w:tcPr>
            <w:tcW w:w="766" w:type="dxa"/>
          </w:tcPr>
          <w:p w14:paraId="65B07A3D" w14:textId="77777777" w:rsidR="002E2B86" w:rsidRPr="00315DBF" w:rsidRDefault="002E2B86" w:rsidP="00D86BAE">
            <w:pPr>
              <w:pStyle w:val="Tablehead"/>
              <w:rPr>
                <w:rFonts w:eastAsia="Verdana"/>
                <w:bCs/>
              </w:rPr>
            </w:pPr>
            <w:r w:rsidRPr="00315DBF">
              <w:rPr>
                <w:rFonts w:eastAsia="Verdana"/>
                <w:bCs/>
              </w:rPr>
              <w:t>Date</w:t>
            </w:r>
          </w:p>
        </w:tc>
        <w:tc>
          <w:tcPr>
            <w:tcW w:w="1559" w:type="dxa"/>
          </w:tcPr>
          <w:p w14:paraId="3E4E510C" w14:textId="77777777" w:rsidR="002E2B86" w:rsidRPr="00D86BAE" w:rsidRDefault="002E2B86" w:rsidP="00D86BAE">
            <w:pPr>
              <w:pStyle w:val="Tablehead"/>
              <w:rPr>
                <w:rFonts w:eastAsia="Verdana"/>
                <w:b w:val="0"/>
                <w:bCs/>
              </w:rPr>
            </w:pPr>
            <w:r w:rsidRPr="00D86BAE">
              <w:rPr>
                <w:rFonts w:eastAsia="Verdana"/>
                <w:b w:val="0"/>
                <w:bCs/>
              </w:rPr>
              <w:t>June 2020</w:t>
            </w:r>
          </w:p>
        </w:tc>
        <w:tc>
          <w:tcPr>
            <w:tcW w:w="1276" w:type="dxa"/>
          </w:tcPr>
          <w:p w14:paraId="5D881FDC" w14:textId="77777777" w:rsidR="002E2B86" w:rsidRPr="00315DBF" w:rsidRDefault="002E2B86" w:rsidP="00D86BAE">
            <w:pPr>
              <w:pStyle w:val="Tablehead"/>
              <w:rPr>
                <w:rFonts w:eastAsia="Verdana"/>
                <w:bCs/>
              </w:rPr>
            </w:pPr>
            <w:r w:rsidRPr="00315DBF">
              <w:rPr>
                <w:rFonts w:eastAsia="Verdana"/>
                <w:bCs/>
              </w:rPr>
              <w:t>Use case</w:t>
            </w:r>
          </w:p>
        </w:tc>
        <w:tc>
          <w:tcPr>
            <w:tcW w:w="992" w:type="dxa"/>
          </w:tcPr>
          <w:p w14:paraId="4A3B2758" w14:textId="5FF3B14B" w:rsidR="002E2B86" w:rsidRPr="0081017C" w:rsidRDefault="007461B6" w:rsidP="00D86BAE">
            <w:pPr>
              <w:pStyle w:val="Tablehead"/>
              <w:rPr>
                <w:rFonts w:eastAsia="Verdana"/>
              </w:rPr>
            </w:pPr>
            <w:r>
              <w:rPr>
                <w:rFonts w:eastAsia="Verdana"/>
                <w:noProof/>
              </w:rPr>
              <w:t>6</w:t>
            </w:r>
          </w:p>
        </w:tc>
        <w:tc>
          <w:tcPr>
            <w:tcW w:w="5324" w:type="dxa"/>
            <w:vMerge/>
          </w:tcPr>
          <w:p w14:paraId="5A612E70" w14:textId="77777777" w:rsidR="002E2B86" w:rsidRPr="0081017C" w:rsidRDefault="002E2B86" w:rsidP="00D86BAE">
            <w:pPr>
              <w:pStyle w:val="Tablehead"/>
              <w:rPr>
                <w:rFonts w:eastAsia="Verdana"/>
              </w:rPr>
            </w:pPr>
          </w:p>
        </w:tc>
      </w:tr>
      <w:tr w:rsidR="002E2B86" w:rsidRPr="0081017C" w14:paraId="2D9B5A69" w14:textId="77777777" w:rsidTr="00D86BAE">
        <w:trPr>
          <w:jc w:val="center"/>
        </w:trPr>
        <w:tc>
          <w:tcPr>
            <w:tcW w:w="9917" w:type="dxa"/>
            <w:gridSpan w:val="5"/>
          </w:tcPr>
          <w:p w14:paraId="6433ADB1" w14:textId="77777777" w:rsidR="002E2B86" w:rsidRPr="0001133F" w:rsidRDefault="002E2B86" w:rsidP="00D83FA6">
            <w:pPr>
              <w:pStyle w:val="Tabletext"/>
              <w:rPr>
                <w:rFonts w:eastAsia="Verdana"/>
                <w:b/>
                <w:bCs/>
              </w:rPr>
            </w:pPr>
            <w:r w:rsidRPr="0001133F">
              <w:rPr>
                <w:rFonts w:eastAsia="Verdana"/>
                <w:b/>
                <w:bCs/>
              </w:rPr>
              <w:t>Description:</w:t>
            </w:r>
          </w:p>
        </w:tc>
      </w:tr>
      <w:tr w:rsidR="002E2B86" w:rsidRPr="0081017C" w14:paraId="55DFA598" w14:textId="77777777" w:rsidTr="00D86BAE">
        <w:trPr>
          <w:jc w:val="center"/>
        </w:trPr>
        <w:tc>
          <w:tcPr>
            <w:tcW w:w="9917" w:type="dxa"/>
            <w:gridSpan w:val="5"/>
          </w:tcPr>
          <w:p w14:paraId="3BE83254" w14:textId="3A485768" w:rsidR="002E2B86" w:rsidRPr="0081017C" w:rsidRDefault="00673F85" w:rsidP="00673F85">
            <w:pPr>
              <w:pStyle w:val="Tabletext"/>
              <w:rPr>
                <w:rFonts w:eastAsia="Verdana"/>
              </w:rPr>
            </w:pPr>
            <w:r w:rsidRPr="00673F85">
              <w:rPr>
                <w:rFonts w:eastAsia="Verdana"/>
              </w:rPr>
              <w:t>Apps and in-built mobile handset features are able to use the handset's equali</w:t>
            </w:r>
            <w:r w:rsidR="00B25144">
              <w:rPr>
                <w:rFonts w:eastAsia="Verdana"/>
              </w:rPr>
              <w:t>z</w:t>
            </w:r>
            <w:r w:rsidRPr="00673F85">
              <w:rPr>
                <w:rFonts w:eastAsia="Verdana"/>
              </w:rPr>
              <w:t>ation and other capabilities to manipulate the sound for greater clarity. Many techniques are possible.</w:t>
            </w:r>
          </w:p>
        </w:tc>
      </w:tr>
      <w:tr w:rsidR="00E7251B" w:rsidRPr="0081017C" w14:paraId="6580F8EC" w14:textId="77777777" w:rsidTr="00D86BAE">
        <w:trPr>
          <w:jc w:val="center"/>
        </w:trPr>
        <w:tc>
          <w:tcPr>
            <w:tcW w:w="9917" w:type="dxa"/>
            <w:gridSpan w:val="5"/>
          </w:tcPr>
          <w:p w14:paraId="7FE09354" w14:textId="4636A09A" w:rsidR="00E7251B" w:rsidRPr="00E1381E" w:rsidRDefault="00E7251B" w:rsidP="00E7251B">
            <w:pPr>
              <w:pStyle w:val="Tabletext"/>
              <w:rPr>
                <w:rFonts w:eastAsia="Verdana"/>
                <w:b/>
                <w:bCs/>
              </w:rPr>
            </w:pPr>
            <w:r w:rsidRPr="00E1381E">
              <w:rPr>
                <w:rFonts w:eastAsia="Verdana"/>
                <w:b/>
                <w:bCs/>
              </w:rPr>
              <w:t>Issues</w:t>
            </w:r>
            <w:r>
              <w:rPr>
                <w:rFonts w:eastAsia="Verdana"/>
                <w:b/>
                <w:bCs/>
              </w:rPr>
              <w:t>/gaps</w:t>
            </w:r>
            <w:r w:rsidRPr="00E1381E">
              <w:rPr>
                <w:rFonts w:eastAsia="Verdana"/>
                <w:b/>
                <w:bCs/>
              </w:rPr>
              <w:t>:</w:t>
            </w:r>
          </w:p>
        </w:tc>
      </w:tr>
      <w:tr w:rsidR="002E2B86" w:rsidRPr="0081017C" w14:paraId="161D0137" w14:textId="77777777" w:rsidTr="00D86BAE">
        <w:trPr>
          <w:jc w:val="center"/>
        </w:trPr>
        <w:tc>
          <w:tcPr>
            <w:tcW w:w="9917" w:type="dxa"/>
            <w:gridSpan w:val="5"/>
          </w:tcPr>
          <w:p w14:paraId="2EA2066F" w14:textId="05C8E2FB" w:rsidR="00673F85" w:rsidRPr="00673F85" w:rsidRDefault="008953D2" w:rsidP="008953D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Verdana"/>
              </w:rPr>
            </w:pPr>
            <w:r w:rsidRPr="00673F85">
              <w:rPr>
                <w:rFonts w:eastAsia="Verdana"/>
              </w:rPr>
              <w:t>1</w:t>
            </w:r>
            <w:r w:rsidR="00D86BAE">
              <w:rPr>
                <w:rFonts w:eastAsia="Verdana"/>
              </w:rPr>
              <w:t>)</w:t>
            </w:r>
            <w:r w:rsidRPr="00673F85">
              <w:rPr>
                <w:rFonts w:eastAsia="Verdana"/>
              </w:rPr>
              <w:tab/>
            </w:r>
            <w:r w:rsidR="00673F85" w:rsidRPr="00673F85">
              <w:rPr>
                <w:rFonts w:eastAsia="Verdana"/>
              </w:rPr>
              <w:t>Where protection within the handset is being relied on, this becomes unreliable unless the effects of such enhancement</w:t>
            </w:r>
            <w:r w:rsidR="00B25144">
              <w:rPr>
                <w:rFonts w:eastAsia="Verdana"/>
              </w:rPr>
              <w:t>s</w:t>
            </w:r>
            <w:r w:rsidR="00673F85" w:rsidRPr="00673F85">
              <w:rPr>
                <w:rFonts w:eastAsia="Verdana"/>
              </w:rPr>
              <w:t xml:space="preserve"> on </w:t>
            </w:r>
            <w:r w:rsidR="00B25144">
              <w:rPr>
                <w:rFonts w:eastAsia="Verdana"/>
              </w:rPr>
              <w:t xml:space="preserve">a </w:t>
            </w:r>
            <w:r w:rsidR="00673F85" w:rsidRPr="00673F85">
              <w:rPr>
                <w:rFonts w:eastAsia="Verdana"/>
              </w:rPr>
              <w:t>user's hearing dose is accounted for.</w:t>
            </w:r>
          </w:p>
          <w:p w14:paraId="06D68CF9" w14:textId="6AA39B2F" w:rsidR="00673F85" w:rsidRPr="00673F85" w:rsidRDefault="008953D2" w:rsidP="008953D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Verdana"/>
              </w:rPr>
            </w:pPr>
            <w:r w:rsidRPr="00673F85">
              <w:rPr>
                <w:rFonts w:eastAsia="Verdana"/>
              </w:rPr>
              <w:t>2</w:t>
            </w:r>
            <w:r w:rsidR="00D86BAE">
              <w:rPr>
                <w:rFonts w:eastAsia="Verdana"/>
              </w:rPr>
              <w:t>)</w:t>
            </w:r>
            <w:r w:rsidRPr="00673F85">
              <w:rPr>
                <w:rFonts w:eastAsia="Verdana"/>
              </w:rPr>
              <w:tab/>
            </w:r>
            <w:r w:rsidR="00673F85" w:rsidRPr="00673F85">
              <w:rPr>
                <w:rFonts w:eastAsia="Verdana"/>
              </w:rPr>
              <w:t>Where the protection method is only referenced to a standard test signal (PSN), media with differing characteristics may be assessed erroneously, even if auto-level adjustments are incorporated into the enhancement implementation.</w:t>
            </w:r>
          </w:p>
          <w:p w14:paraId="1FDA55DF" w14:textId="044E09E0" w:rsidR="002E2B86" w:rsidRPr="0081017C" w:rsidRDefault="008953D2" w:rsidP="008953D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Verdana"/>
              </w:rPr>
            </w:pPr>
            <w:r w:rsidRPr="0081017C">
              <w:rPr>
                <w:rFonts w:eastAsia="Verdana"/>
              </w:rPr>
              <w:t>3</w:t>
            </w:r>
            <w:r w:rsidR="00D86BAE">
              <w:rPr>
                <w:rFonts w:eastAsia="Verdana"/>
              </w:rPr>
              <w:t>)</w:t>
            </w:r>
            <w:r w:rsidRPr="0081017C">
              <w:rPr>
                <w:rFonts w:eastAsia="Verdana"/>
              </w:rPr>
              <w:tab/>
            </w:r>
            <w:r w:rsidR="00673F85" w:rsidRPr="00673F85">
              <w:rPr>
                <w:rFonts w:eastAsia="Verdana"/>
              </w:rPr>
              <w:t>Where headsets permit sound-personali</w:t>
            </w:r>
            <w:r w:rsidR="00B25144">
              <w:rPr>
                <w:rFonts w:eastAsia="Verdana"/>
              </w:rPr>
              <w:t>z</w:t>
            </w:r>
            <w:r w:rsidR="00673F85" w:rsidRPr="00673F85">
              <w:rPr>
                <w:rFonts w:eastAsia="Verdana"/>
              </w:rPr>
              <w:t>ation profiles to be downloaded as semi-permanent configurations for use with other media sources, including when self-playing, unless these are taken into account by the handset's protection, misleading indications and protection will occur.</w:t>
            </w:r>
          </w:p>
        </w:tc>
      </w:tr>
      <w:tr w:rsidR="002E2B86" w:rsidRPr="0081017C" w14:paraId="12CEF282" w14:textId="77777777" w:rsidTr="00D86BAE">
        <w:trPr>
          <w:jc w:val="center"/>
        </w:trPr>
        <w:tc>
          <w:tcPr>
            <w:tcW w:w="9917" w:type="dxa"/>
            <w:gridSpan w:val="5"/>
          </w:tcPr>
          <w:p w14:paraId="71C44D1B" w14:textId="40DD88BA" w:rsidR="002E2B86" w:rsidRPr="00E1381E" w:rsidRDefault="002E2B86">
            <w:pPr>
              <w:pStyle w:val="Tabletext"/>
              <w:rPr>
                <w:rFonts w:eastAsia="Verdana"/>
                <w:b/>
                <w:bCs/>
              </w:rPr>
            </w:pPr>
            <w:r w:rsidRPr="00E1381E">
              <w:rPr>
                <w:rFonts w:eastAsia="Verdana"/>
                <w:b/>
                <w:bCs/>
              </w:rPr>
              <w:t xml:space="preserve">Possible </w:t>
            </w:r>
            <w:r w:rsidR="00B25144">
              <w:rPr>
                <w:rFonts w:eastAsia="Verdana"/>
                <w:b/>
                <w:bCs/>
              </w:rPr>
              <w:t>o</w:t>
            </w:r>
            <w:r w:rsidRPr="00E1381E">
              <w:rPr>
                <w:rFonts w:eastAsia="Verdana"/>
                <w:b/>
                <w:bCs/>
              </w:rPr>
              <w:t>ptions:</w:t>
            </w:r>
          </w:p>
        </w:tc>
      </w:tr>
      <w:tr w:rsidR="002E2B86" w:rsidRPr="00673F85" w14:paraId="575F883C" w14:textId="77777777" w:rsidTr="00D86BAE">
        <w:trPr>
          <w:jc w:val="center"/>
        </w:trPr>
        <w:tc>
          <w:tcPr>
            <w:tcW w:w="9917" w:type="dxa"/>
            <w:gridSpan w:val="5"/>
          </w:tcPr>
          <w:p w14:paraId="0F5890D1" w14:textId="004119BD" w:rsidR="00673F85" w:rsidRPr="00673F85" w:rsidRDefault="00673F85" w:rsidP="00673F85">
            <w:pPr>
              <w:pStyle w:val="Tabletext"/>
              <w:ind w:left="284" w:hanging="284"/>
            </w:pPr>
            <w:r w:rsidRPr="00673F85">
              <w:t>1</w:t>
            </w:r>
            <w:r w:rsidR="00D86BAE">
              <w:t>)</w:t>
            </w:r>
            <w:r w:rsidRPr="00673F85">
              <w:tab/>
              <w:t>Ignore as being a fringe population.</w:t>
            </w:r>
          </w:p>
          <w:p w14:paraId="53B84CB5" w14:textId="0DD323CF" w:rsidR="00673F85" w:rsidRPr="00673F85" w:rsidRDefault="00673F85" w:rsidP="00673F85">
            <w:pPr>
              <w:pStyle w:val="Tabletext"/>
              <w:ind w:left="284" w:hanging="284"/>
            </w:pPr>
            <w:r w:rsidRPr="00673F85">
              <w:t>2</w:t>
            </w:r>
            <w:r w:rsidR="00D86BAE">
              <w:t>)</w:t>
            </w:r>
            <w:r w:rsidRPr="00673F85">
              <w:tab/>
              <w:t>Ensure all such functions are clearly to be included within the definitions of maximum user settings within the standards. For example, sound personali</w:t>
            </w:r>
            <w:r w:rsidR="00B25144">
              <w:t>z</w:t>
            </w:r>
            <w:r w:rsidRPr="00673F85">
              <w:t>ation is to be applied without altering the contribution to hearing dose.</w:t>
            </w:r>
          </w:p>
          <w:p w14:paraId="283A15B5" w14:textId="4E7ECD5B" w:rsidR="002E2B86" w:rsidRPr="00673F85" w:rsidRDefault="00673F8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Verdana"/>
              </w:rPr>
            </w:pPr>
            <w:r w:rsidRPr="00673F85">
              <w:t>3</w:t>
            </w:r>
            <w:r w:rsidR="00D86BAE">
              <w:t>)</w:t>
            </w:r>
            <w:r w:rsidRPr="00673F85">
              <w:tab/>
              <w:t xml:space="preserve">Ensure all wireless headsets are designated as PAS </w:t>
            </w:r>
            <w:r w:rsidR="00B25144">
              <w:t xml:space="preserve">[ITU-T </w:t>
            </w:r>
            <w:r w:rsidRPr="00673F85">
              <w:t>H.870</w:t>
            </w:r>
            <w:r w:rsidR="00B25144">
              <w:t>]</w:t>
            </w:r>
            <w:r w:rsidRPr="00673F85">
              <w:t xml:space="preserve"> or as incorporating a PMP </w:t>
            </w:r>
            <w:r w:rsidR="00B25144">
              <w:t>[</w:t>
            </w:r>
            <w:r w:rsidRPr="00673F85">
              <w:t>IEC</w:t>
            </w:r>
            <w:r w:rsidR="00F05603">
              <w:t> </w:t>
            </w:r>
            <w:r w:rsidRPr="00673F85">
              <w:t>62368</w:t>
            </w:r>
            <w:r w:rsidR="0042268C">
              <w:t>-1</w:t>
            </w:r>
            <w:r w:rsidR="00B25144">
              <w:t>]</w:t>
            </w:r>
            <w:r w:rsidRPr="00673F85">
              <w:t>, due to their ability to play streamed content and being portable; this would require them to incorporate safe listening protection.</w:t>
            </w:r>
          </w:p>
        </w:tc>
      </w:tr>
    </w:tbl>
    <w:p w14:paraId="06FA4A94" w14:textId="77777777" w:rsidR="002E2B86" w:rsidRPr="00AB258E" w:rsidRDefault="002E2B86" w:rsidP="002E2B86"/>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
        <w:gridCol w:w="1517"/>
        <w:gridCol w:w="1243"/>
        <w:gridCol w:w="968"/>
        <w:gridCol w:w="5162"/>
      </w:tblGrid>
      <w:tr w:rsidR="002E2B86" w:rsidRPr="0081017C" w14:paraId="3BF9A0E2" w14:textId="77777777" w:rsidTr="00D86BAE">
        <w:trPr>
          <w:jc w:val="center"/>
        </w:trPr>
        <w:tc>
          <w:tcPr>
            <w:tcW w:w="4593" w:type="dxa"/>
            <w:gridSpan w:val="4"/>
          </w:tcPr>
          <w:p w14:paraId="36655B15" w14:textId="7E07F0A4" w:rsidR="002E2B86" w:rsidRPr="0081017C" w:rsidRDefault="002E2B86">
            <w:pPr>
              <w:pStyle w:val="Tablehead"/>
            </w:pPr>
            <w:r w:rsidRPr="0081017C">
              <w:t xml:space="preserve">Use cases – Conflicted </w:t>
            </w:r>
            <w:r w:rsidR="00B25144">
              <w:t>h</w:t>
            </w:r>
            <w:r w:rsidRPr="0081017C">
              <w:t xml:space="preserve">earing </w:t>
            </w:r>
            <w:r w:rsidR="00B25144">
              <w:t>s</w:t>
            </w:r>
            <w:r w:rsidRPr="0081017C">
              <w:t>afeguarding</w:t>
            </w:r>
          </w:p>
        </w:tc>
        <w:tc>
          <w:tcPr>
            <w:tcW w:w="5324" w:type="dxa"/>
            <w:vMerge w:val="restart"/>
          </w:tcPr>
          <w:p w14:paraId="6963FD4F" w14:textId="11A7C6EE" w:rsidR="002E2B86" w:rsidRPr="0081017C" w:rsidRDefault="007461B6">
            <w:pPr>
              <w:pStyle w:val="Tablehead"/>
            </w:pPr>
            <w:bookmarkStart w:id="85" w:name="_Toc95410292"/>
            <w:r>
              <w:rPr>
                <w:noProof/>
              </w:rPr>
              <w:t xml:space="preserve">Analogue </w:t>
            </w:r>
            <w:r w:rsidR="00D83FA6">
              <w:rPr>
                <w:noProof/>
              </w:rPr>
              <w:t>a</w:t>
            </w:r>
            <w:r>
              <w:rPr>
                <w:noProof/>
              </w:rPr>
              <w:t>mplification</w:t>
            </w:r>
            <w:bookmarkEnd w:id="85"/>
          </w:p>
        </w:tc>
      </w:tr>
      <w:tr w:rsidR="002E2B86" w:rsidRPr="0081017C" w14:paraId="31E30623" w14:textId="77777777" w:rsidTr="00D86BAE">
        <w:trPr>
          <w:jc w:val="center"/>
        </w:trPr>
        <w:tc>
          <w:tcPr>
            <w:tcW w:w="766" w:type="dxa"/>
          </w:tcPr>
          <w:p w14:paraId="729DC821" w14:textId="77777777" w:rsidR="002E2B86" w:rsidRPr="00315DBF" w:rsidRDefault="002E2B86" w:rsidP="00D86BAE">
            <w:pPr>
              <w:pStyle w:val="Tablehead"/>
              <w:rPr>
                <w:rFonts w:eastAsia="Verdana"/>
                <w:bCs/>
              </w:rPr>
            </w:pPr>
            <w:r w:rsidRPr="00315DBF">
              <w:rPr>
                <w:rFonts w:eastAsia="Verdana"/>
                <w:bCs/>
              </w:rPr>
              <w:t>Date</w:t>
            </w:r>
          </w:p>
        </w:tc>
        <w:tc>
          <w:tcPr>
            <w:tcW w:w="1559" w:type="dxa"/>
          </w:tcPr>
          <w:p w14:paraId="2A138583" w14:textId="77777777" w:rsidR="002E2B86" w:rsidRPr="00D86BAE" w:rsidRDefault="002E2B86" w:rsidP="00D86BAE">
            <w:pPr>
              <w:pStyle w:val="Tablehead"/>
              <w:rPr>
                <w:rFonts w:eastAsia="Verdana"/>
                <w:b w:val="0"/>
                <w:bCs/>
              </w:rPr>
            </w:pPr>
            <w:r w:rsidRPr="00D86BAE">
              <w:rPr>
                <w:rFonts w:eastAsia="Verdana"/>
                <w:b w:val="0"/>
                <w:bCs/>
              </w:rPr>
              <w:t>June 2020</w:t>
            </w:r>
          </w:p>
        </w:tc>
        <w:tc>
          <w:tcPr>
            <w:tcW w:w="1276" w:type="dxa"/>
          </w:tcPr>
          <w:p w14:paraId="49F5BF3E" w14:textId="77777777" w:rsidR="002E2B86" w:rsidRPr="00315DBF" w:rsidRDefault="002E2B86" w:rsidP="00D86BAE">
            <w:pPr>
              <w:pStyle w:val="Tablehead"/>
              <w:rPr>
                <w:rFonts w:eastAsia="Verdana"/>
                <w:bCs/>
              </w:rPr>
            </w:pPr>
            <w:r w:rsidRPr="00315DBF">
              <w:rPr>
                <w:rFonts w:eastAsia="Verdana"/>
                <w:bCs/>
              </w:rPr>
              <w:t>Use case</w:t>
            </w:r>
          </w:p>
        </w:tc>
        <w:tc>
          <w:tcPr>
            <w:tcW w:w="992" w:type="dxa"/>
          </w:tcPr>
          <w:p w14:paraId="73B68064" w14:textId="2598FC72" w:rsidR="002E2B86" w:rsidRPr="0081017C" w:rsidRDefault="007461B6" w:rsidP="00D86BAE">
            <w:pPr>
              <w:pStyle w:val="Tablehead"/>
              <w:rPr>
                <w:rFonts w:eastAsia="Verdana"/>
              </w:rPr>
            </w:pPr>
            <w:r>
              <w:rPr>
                <w:rFonts w:eastAsia="Verdana"/>
                <w:noProof/>
              </w:rPr>
              <w:t>7</w:t>
            </w:r>
          </w:p>
        </w:tc>
        <w:tc>
          <w:tcPr>
            <w:tcW w:w="5324" w:type="dxa"/>
            <w:vMerge/>
          </w:tcPr>
          <w:p w14:paraId="3B68787C" w14:textId="77777777" w:rsidR="002E2B86" w:rsidRPr="0081017C" w:rsidRDefault="002E2B86" w:rsidP="00D86BAE">
            <w:pPr>
              <w:pStyle w:val="Tablehead"/>
              <w:rPr>
                <w:rFonts w:eastAsia="Verdana"/>
              </w:rPr>
            </w:pPr>
          </w:p>
        </w:tc>
      </w:tr>
      <w:tr w:rsidR="002E2B86" w:rsidRPr="0081017C" w14:paraId="60C76932" w14:textId="77777777" w:rsidTr="00D86BAE">
        <w:trPr>
          <w:jc w:val="center"/>
        </w:trPr>
        <w:tc>
          <w:tcPr>
            <w:tcW w:w="9917" w:type="dxa"/>
            <w:gridSpan w:val="5"/>
          </w:tcPr>
          <w:p w14:paraId="6D6F456D" w14:textId="77777777" w:rsidR="002E2B86" w:rsidRPr="0001133F" w:rsidRDefault="002E2B86" w:rsidP="00160797">
            <w:pPr>
              <w:pStyle w:val="Tabletext"/>
              <w:keepNext/>
              <w:rPr>
                <w:rFonts w:eastAsia="Verdana"/>
                <w:b/>
                <w:bCs/>
              </w:rPr>
            </w:pPr>
            <w:r w:rsidRPr="0001133F">
              <w:rPr>
                <w:rFonts w:eastAsia="Verdana"/>
                <w:b/>
                <w:bCs/>
              </w:rPr>
              <w:t>Description:</w:t>
            </w:r>
          </w:p>
        </w:tc>
      </w:tr>
      <w:tr w:rsidR="002E2B86" w:rsidRPr="0081017C" w14:paraId="060CB935" w14:textId="77777777" w:rsidTr="00D86BAE">
        <w:trPr>
          <w:jc w:val="center"/>
        </w:trPr>
        <w:tc>
          <w:tcPr>
            <w:tcW w:w="9917" w:type="dxa"/>
            <w:gridSpan w:val="5"/>
          </w:tcPr>
          <w:p w14:paraId="5D1B9414" w14:textId="45032FE9" w:rsidR="002E2B86" w:rsidRPr="00314C93" w:rsidRDefault="00314C93">
            <w:pPr>
              <w:pStyle w:val="Tabletext"/>
              <w:keepNext/>
              <w:rPr>
                <w:rFonts w:eastAsia="Verdana"/>
              </w:rPr>
            </w:pPr>
            <w:r w:rsidRPr="00314C93">
              <w:t xml:space="preserve">For portable devices with output connectors, portable booster amplifiers can be inserted to generate significantly high audio levels than permitted under </w:t>
            </w:r>
            <w:r w:rsidR="00D83FA6">
              <w:t xml:space="preserve">[ITU-T </w:t>
            </w:r>
            <w:r w:rsidRPr="00314C93">
              <w:t>H.870</w:t>
            </w:r>
            <w:r w:rsidR="00D83FA6">
              <w:t>]</w:t>
            </w:r>
            <w:r w:rsidRPr="00314C93">
              <w:t xml:space="preserve"> or </w:t>
            </w:r>
            <w:r w:rsidR="00D83FA6">
              <w:t xml:space="preserve">[IEC </w:t>
            </w:r>
            <w:r w:rsidRPr="00314C93">
              <w:t>62368</w:t>
            </w:r>
            <w:r w:rsidR="0042268C">
              <w:t>-1</w:t>
            </w:r>
            <w:r w:rsidR="00D83FA6">
              <w:t>]</w:t>
            </w:r>
            <w:r w:rsidRPr="00314C93">
              <w:t>. The regulations specifically absent themselves from this scenario.</w:t>
            </w:r>
          </w:p>
        </w:tc>
      </w:tr>
      <w:tr w:rsidR="00E7251B" w:rsidRPr="0081017C" w14:paraId="2D02F313" w14:textId="77777777" w:rsidTr="00D86BAE">
        <w:trPr>
          <w:jc w:val="center"/>
        </w:trPr>
        <w:tc>
          <w:tcPr>
            <w:tcW w:w="9917" w:type="dxa"/>
            <w:gridSpan w:val="5"/>
          </w:tcPr>
          <w:p w14:paraId="3129D5FC" w14:textId="6A9ACCD6" w:rsidR="00E7251B" w:rsidRPr="00E1381E" w:rsidRDefault="00E7251B" w:rsidP="00160797">
            <w:pPr>
              <w:pStyle w:val="Tabletext"/>
              <w:keepNext/>
              <w:rPr>
                <w:rFonts w:eastAsia="Verdana"/>
                <w:b/>
                <w:bCs/>
              </w:rPr>
            </w:pPr>
            <w:r w:rsidRPr="00E1381E">
              <w:rPr>
                <w:rFonts w:eastAsia="Verdana"/>
                <w:b/>
                <w:bCs/>
              </w:rPr>
              <w:t>Issues</w:t>
            </w:r>
            <w:r>
              <w:rPr>
                <w:rFonts w:eastAsia="Verdana"/>
                <w:b/>
                <w:bCs/>
              </w:rPr>
              <w:t>/gaps</w:t>
            </w:r>
            <w:r w:rsidRPr="00E1381E">
              <w:rPr>
                <w:rFonts w:eastAsia="Verdana"/>
                <w:b/>
                <w:bCs/>
              </w:rPr>
              <w:t>:</w:t>
            </w:r>
          </w:p>
        </w:tc>
      </w:tr>
      <w:tr w:rsidR="002E2B86" w:rsidRPr="0081017C" w14:paraId="1251EA1E" w14:textId="77777777" w:rsidTr="00D86BAE">
        <w:trPr>
          <w:jc w:val="center"/>
        </w:trPr>
        <w:tc>
          <w:tcPr>
            <w:tcW w:w="9917" w:type="dxa"/>
            <w:gridSpan w:val="5"/>
          </w:tcPr>
          <w:p w14:paraId="6533E12A" w14:textId="3C18C796" w:rsidR="002E2B86" w:rsidRPr="0081017C" w:rsidRDefault="00E7251B" w:rsidP="00160797">
            <w:pPr>
              <w:pStyle w:val="Tabletext"/>
              <w:keepNext/>
              <w:rPr>
                <w:rFonts w:eastAsia="Verdana"/>
              </w:rPr>
            </w:pPr>
            <w:r>
              <w:rPr>
                <w:rFonts w:eastAsia="Verdana"/>
              </w:rPr>
              <w:t>N/A</w:t>
            </w:r>
          </w:p>
        </w:tc>
      </w:tr>
      <w:tr w:rsidR="002E2B86" w:rsidRPr="0081017C" w14:paraId="7120C9CD" w14:textId="77777777" w:rsidTr="00D86BAE">
        <w:trPr>
          <w:jc w:val="center"/>
        </w:trPr>
        <w:tc>
          <w:tcPr>
            <w:tcW w:w="9917" w:type="dxa"/>
            <w:gridSpan w:val="5"/>
          </w:tcPr>
          <w:p w14:paraId="6B8F3CEA" w14:textId="2651E785" w:rsidR="002E2B86" w:rsidRPr="00E1381E" w:rsidRDefault="002E2B86" w:rsidP="00160797">
            <w:pPr>
              <w:pStyle w:val="Tabletext"/>
              <w:keepNext/>
              <w:rPr>
                <w:rFonts w:eastAsia="Verdana"/>
                <w:b/>
                <w:bCs/>
              </w:rPr>
            </w:pPr>
            <w:r w:rsidRPr="00E1381E">
              <w:rPr>
                <w:rFonts w:eastAsia="Verdana"/>
                <w:b/>
                <w:bCs/>
              </w:rPr>
              <w:t xml:space="preserve">Possible </w:t>
            </w:r>
            <w:r w:rsidR="00D83FA6">
              <w:rPr>
                <w:rFonts w:eastAsia="Verdana"/>
                <w:b/>
                <w:bCs/>
              </w:rPr>
              <w:t>o</w:t>
            </w:r>
            <w:r w:rsidRPr="00E1381E">
              <w:rPr>
                <w:rFonts w:eastAsia="Verdana"/>
                <w:b/>
                <w:bCs/>
              </w:rPr>
              <w:t>ptions:</w:t>
            </w:r>
          </w:p>
        </w:tc>
      </w:tr>
      <w:tr w:rsidR="002E2B86" w:rsidRPr="0081017C" w14:paraId="73FFF8AA" w14:textId="77777777" w:rsidTr="00D86BAE">
        <w:trPr>
          <w:jc w:val="center"/>
        </w:trPr>
        <w:tc>
          <w:tcPr>
            <w:tcW w:w="9917" w:type="dxa"/>
            <w:gridSpan w:val="5"/>
          </w:tcPr>
          <w:p w14:paraId="43FBB9A3" w14:textId="32574FF3" w:rsidR="00314C93" w:rsidRPr="00FD762F" w:rsidRDefault="00314C93" w:rsidP="00FD76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06" w:hanging="306"/>
            </w:pPr>
            <w:r w:rsidRPr="00FD762F">
              <w:t>1</w:t>
            </w:r>
            <w:r w:rsidR="00307B04">
              <w:t>)</w:t>
            </w:r>
            <w:r w:rsidRPr="00FD762F">
              <w:tab/>
              <w:t>Ignore as being a fringe population.</w:t>
            </w:r>
          </w:p>
          <w:p w14:paraId="11EAB3CA" w14:textId="7198E8DC" w:rsidR="002E2B86" w:rsidRPr="00FD762F" w:rsidRDefault="00314C9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06" w:hanging="306"/>
            </w:pPr>
            <w:r w:rsidRPr="00FD762F">
              <w:t>2</w:t>
            </w:r>
            <w:r w:rsidR="00307B04">
              <w:t>)</w:t>
            </w:r>
            <w:r w:rsidRPr="00FD762F">
              <w:tab/>
              <w:t xml:space="preserve">Ensure all such devices are designated as PAS </w:t>
            </w:r>
            <w:r w:rsidR="00D83FA6">
              <w:t>[ITU-T</w:t>
            </w:r>
            <w:r w:rsidR="00F05603">
              <w:t xml:space="preserve"> </w:t>
            </w:r>
            <w:r w:rsidRPr="00FD762F">
              <w:t>H.870</w:t>
            </w:r>
            <w:r w:rsidR="00D83FA6">
              <w:t>]</w:t>
            </w:r>
            <w:r w:rsidRPr="00FD762F">
              <w:t xml:space="preserve"> or as PMP </w:t>
            </w:r>
            <w:r w:rsidR="0042268C">
              <w:t>[</w:t>
            </w:r>
            <w:r w:rsidRPr="00FD762F">
              <w:t>IEC 62368</w:t>
            </w:r>
            <w:r w:rsidR="0042268C">
              <w:t>-1]</w:t>
            </w:r>
            <w:r w:rsidRPr="00FD762F">
              <w:t>, requiring them to incorporate safe listening protection.</w:t>
            </w:r>
          </w:p>
        </w:tc>
      </w:tr>
    </w:tbl>
    <w:p w14:paraId="3DF37902" w14:textId="77777777" w:rsidR="002E2B86" w:rsidRPr="00AB258E" w:rsidRDefault="002E2B86" w:rsidP="002E2B86"/>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
        <w:gridCol w:w="1517"/>
        <w:gridCol w:w="1243"/>
        <w:gridCol w:w="968"/>
        <w:gridCol w:w="5162"/>
      </w:tblGrid>
      <w:tr w:rsidR="005D1E10" w:rsidRPr="0081017C" w14:paraId="2BA2C9F1" w14:textId="77777777" w:rsidTr="00F36994">
        <w:trPr>
          <w:jc w:val="center"/>
        </w:trPr>
        <w:tc>
          <w:tcPr>
            <w:tcW w:w="4593" w:type="dxa"/>
            <w:gridSpan w:val="4"/>
          </w:tcPr>
          <w:p w14:paraId="249D6239" w14:textId="0FAA7469" w:rsidR="005D1E10" w:rsidRPr="0081017C" w:rsidRDefault="005D1E10">
            <w:pPr>
              <w:pStyle w:val="Tablehead"/>
            </w:pPr>
            <w:r w:rsidRPr="0081017C">
              <w:t xml:space="preserve">Use cases – Conflicted </w:t>
            </w:r>
            <w:r w:rsidR="00D83FA6">
              <w:t>h</w:t>
            </w:r>
            <w:r w:rsidRPr="0081017C">
              <w:t xml:space="preserve">earing </w:t>
            </w:r>
            <w:r w:rsidR="00D83FA6">
              <w:t>s</w:t>
            </w:r>
            <w:r w:rsidRPr="0081017C">
              <w:t>afeguarding</w:t>
            </w:r>
          </w:p>
        </w:tc>
        <w:tc>
          <w:tcPr>
            <w:tcW w:w="5324" w:type="dxa"/>
            <w:vMerge w:val="restart"/>
          </w:tcPr>
          <w:p w14:paraId="44CDF0FC" w14:textId="53317934" w:rsidR="005D1E10" w:rsidRPr="0081017C" w:rsidRDefault="007461B6" w:rsidP="00F36994">
            <w:pPr>
              <w:pStyle w:val="Tablehead"/>
            </w:pPr>
            <w:bookmarkStart w:id="86" w:name="_Toc95410293"/>
            <w:r>
              <w:rPr>
                <w:noProof/>
              </w:rPr>
              <w:t>Protection system conflict</w:t>
            </w:r>
            <w:bookmarkEnd w:id="86"/>
          </w:p>
        </w:tc>
      </w:tr>
      <w:tr w:rsidR="005D1E10" w:rsidRPr="0081017C" w14:paraId="304DFFCF" w14:textId="77777777" w:rsidTr="00F36994">
        <w:trPr>
          <w:jc w:val="center"/>
        </w:trPr>
        <w:tc>
          <w:tcPr>
            <w:tcW w:w="766" w:type="dxa"/>
          </w:tcPr>
          <w:p w14:paraId="1F29E697" w14:textId="77777777" w:rsidR="005D1E10" w:rsidRPr="00315DBF" w:rsidRDefault="005D1E10" w:rsidP="00F36994">
            <w:pPr>
              <w:pStyle w:val="Tablehead"/>
              <w:rPr>
                <w:rFonts w:eastAsia="Verdana"/>
                <w:bCs/>
              </w:rPr>
            </w:pPr>
            <w:r w:rsidRPr="00315DBF">
              <w:rPr>
                <w:rFonts w:eastAsia="Verdana"/>
                <w:bCs/>
              </w:rPr>
              <w:t>Date</w:t>
            </w:r>
          </w:p>
        </w:tc>
        <w:tc>
          <w:tcPr>
            <w:tcW w:w="1559" w:type="dxa"/>
          </w:tcPr>
          <w:p w14:paraId="257FDFA3" w14:textId="77777777" w:rsidR="005D1E10" w:rsidRPr="00F36994" w:rsidRDefault="005D1E10" w:rsidP="00F36994">
            <w:pPr>
              <w:pStyle w:val="Tablehead"/>
              <w:rPr>
                <w:rFonts w:eastAsia="Verdana"/>
                <w:b w:val="0"/>
                <w:bCs/>
              </w:rPr>
            </w:pPr>
            <w:r w:rsidRPr="00F36994">
              <w:rPr>
                <w:rFonts w:eastAsia="Verdana"/>
                <w:b w:val="0"/>
                <w:bCs/>
              </w:rPr>
              <w:t>June 2020</w:t>
            </w:r>
          </w:p>
        </w:tc>
        <w:tc>
          <w:tcPr>
            <w:tcW w:w="1276" w:type="dxa"/>
          </w:tcPr>
          <w:p w14:paraId="35B32D35" w14:textId="77777777" w:rsidR="005D1E10" w:rsidRPr="00315DBF" w:rsidRDefault="005D1E10" w:rsidP="00F36994">
            <w:pPr>
              <w:pStyle w:val="Tablehead"/>
              <w:rPr>
                <w:rFonts w:eastAsia="Verdana"/>
                <w:bCs/>
              </w:rPr>
            </w:pPr>
            <w:r w:rsidRPr="00315DBF">
              <w:rPr>
                <w:rFonts w:eastAsia="Verdana"/>
                <w:bCs/>
              </w:rPr>
              <w:t>Use case</w:t>
            </w:r>
          </w:p>
        </w:tc>
        <w:tc>
          <w:tcPr>
            <w:tcW w:w="992" w:type="dxa"/>
          </w:tcPr>
          <w:p w14:paraId="35DA1E8D" w14:textId="60A3BFB3" w:rsidR="005D1E10" w:rsidRPr="0081017C" w:rsidRDefault="007461B6" w:rsidP="00F36994">
            <w:pPr>
              <w:pStyle w:val="Tablehead"/>
              <w:rPr>
                <w:rFonts w:eastAsia="Verdana"/>
              </w:rPr>
            </w:pPr>
            <w:r>
              <w:rPr>
                <w:rFonts w:eastAsia="Verdana"/>
                <w:noProof/>
              </w:rPr>
              <w:t>8</w:t>
            </w:r>
          </w:p>
        </w:tc>
        <w:tc>
          <w:tcPr>
            <w:tcW w:w="5324" w:type="dxa"/>
            <w:vMerge/>
          </w:tcPr>
          <w:p w14:paraId="0BD2C7F7" w14:textId="77777777" w:rsidR="005D1E10" w:rsidRPr="0081017C" w:rsidRDefault="005D1E10" w:rsidP="00F36994">
            <w:pPr>
              <w:pStyle w:val="Tablehead"/>
              <w:rPr>
                <w:rFonts w:eastAsia="Verdana"/>
              </w:rPr>
            </w:pPr>
          </w:p>
        </w:tc>
      </w:tr>
      <w:tr w:rsidR="005D1E10" w:rsidRPr="0081017C" w14:paraId="40732CFC" w14:textId="77777777" w:rsidTr="00F36994">
        <w:trPr>
          <w:jc w:val="center"/>
        </w:trPr>
        <w:tc>
          <w:tcPr>
            <w:tcW w:w="9917" w:type="dxa"/>
            <w:gridSpan w:val="5"/>
          </w:tcPr>
          <w:p w14:paraId="3B5B8111" w14:textId="77777777" w:rsidR="005D1E10" w:rsidRPr="0001133F" w:rsidRDefault="005D1E10" w:rsidP="00D83FA6">
            <w:pPr>
              <w:pStyle w:val="Tabletext"/>
              <w:rPr>
                <w:rFonts w:eastAsia="Verdana"/>
                <w:b/>
                <w:bCs/>
              </w:rPr>
            </w:pPr>
            <w:r w:rsidRPr="0001133F">
              <w:rPr>
                <w:rFonts w:eastAsia="Verdana"/>
                <w:b/>
                <w:bCs/>
              </w:rPr>
              <w:t>Description:</w:t>
            </w:r>
          </w:p>
        </w:tc>
      </w:tr>
      <w:tr w:rsidR="005D1E10" w:rsidRPr="0081017C" w14:paraId="77EC8328" w14:textId="77777777" w:rsidTr="00F36994">
        <w:trPr>
          <w:jc w:val="center"/>
        </w:trPr>
        <w:tc>
          <w:tcPr>
            <w:tcW w:w="9917" w:type="dxa"/>
            <w:gridSpan w:val="5"/>
          </w:tcPr>
          <w:p w14:paraId="1D91A826" w14:textId="69835004" w:rsidR="005D1E10" w:rsidRPr="007461B6" w:rsidRDefault="007461B6" w:rsidP="007461B6">
            <w:pPr>
              <w:rPr>
                <w:rFonts w:eastAsia="Verdana"/>
                <w:sz w:val="22"/>
              </w:rPr>
            </w:pPr>
            <w:r w:rsidRPr="007461B6">
              <w:rPr>
                <w:rFonts w:eastAsia="Verdana"/>
                <w:sz w:val="22"/>
              </w:rPr>
              <w:t>Where dose-monitoring handsets may be connected to dose-capable headsets.</w:t>
            </w:r>
          </w:p>
        </w:tc>
      </w:tr>
      <w:tr w:rsidR="00E7251B" w:rsidRPr="0081017C" w14:paraId="442D4AA1" w14:textId="77777777" w:rsidTr="00F36994">
        <w:trPr>
          <w:jc w:val="center"/>
        </w:trPr>
        <w:tc>
          <w:tcPr>
            <w:tcW w:w="9917" w:type="dxa"/>
            <w:gridSpan w:val="5"/>
          </w:tcPr>
          <w:p w14:paraId="47708F11" w14:textId="15D011E7" w:rsidR="00E7251B" w:rsidRPr="00E1381E" w:rsidRDefault="00E7251B" w:rsidP="00E7251B">
            <w:pPr>
              <w:pStyle w:val="Tabletext"/>
              <w:rPr>
                <w:rFonts w:eastAsia="Verdana"/>
                <w:b/>
                <w:bCs/>
              </w:rPr>
            </w:pPr>
            <w:r w:rsidRPr="00E1381E">
              <w:rPr>
                <w:rFonts w:eastAsia="Verdana"/>
                <w:b/>
                <w:bCs/>
              </w:rPr>
              <w:t>Issues</w:t>
            </w:r>
            <w:r>
              <w:rPr>
                <w:rFonts w:eastAsia="Verdana"/>
                <w:b/>
                <w:bCs/>
              </w:rPr>
              <w:t>/gaps</w:t>
            </w:r>
            <w:r w:rsidRPr="00E1381E">
              <w:rPr>
                <w:rFonts w:eastAsia="Verdana"/>
                <w:b/>
                <w:bCs/>
              </w:rPr>
              <w:t>:</w:t>
            </w:r>
          </w:p>
        </w:tc>
      </w:tr>
      <w:tr w:rsidR="005D1E10" w:rsidRPr="0081017C" w14:paraId="2153FA02" w14:textId="77777777" w:rsidTr="00F36994">
        <w:trPr>
          <w:jc w:val="center"/>
        </w:trPr>
        <w:tc>
          <w:tcPr>
            <w:tcW w:w="9917" w:type="dxa"/>
            <w:gridSpan w:val="5"/>
          </w:tcPr>
          <w:p w14:paraId="1894D8F5" w14:textId="1940AC20" w:rsidR="005D1E10" w:rsidRPr="007461B6" w:rsidRDefault="007461B6" w:rsidP="00D83FA6">
            <w:pPr>
              <w:pStyle w:val="Tabletext"/>
              <w:rPr>
                <w:rFonts w:eastAsia="Verdana"/>
              </w:rPr>
            </w:pPr>
            <w:r w:rsidRPr="007461B6">
              <w:rPr>
                <w:rFonts w:eastAsia="Verdana"/>
              </w:rPr>
              <w:t xml:space="preserve">Potential conflicts between </w:t>
            </w:r>
            <w:r w:rsidR="00D83FA6">
              <w:rPr>
                <w:rFonts w:eastAsia="Verdana"/>
              </w:rPr>
              <w:t>two</w:t>
            </w:r>
            <w:r w:rsidRPr="007461B6">
              <w:rPr>
                <w:rFonts w:eastAsia="Verdana"/>
              </w:rPr>
              <w:t xml:space="preserve"> systems attempting the same protection scheme.</w:t>
            </w:r>
          </w:p>
        </w:tc>
      </w:tr>
      <w:tr w:rsidR="005D1E10" w:rsidRPr="0081017C" w14:paraId="1209101F" w14:textId="77777777" w:rsidTr="00F36994">
        <w:trPr>
          <w:jc w:val="center"/>
        </w:trPr>
        <w:tc>
          <w:tcPr>
            <w:tcW w:w="9917" w:type="dxa"/>
            <w:gridSpan w:val="5"/>
          </w:tcPr>
          <w:p w14:paraId="2DAAF1C0" w14:textId="61180224" w:rsidR="005D1E10" w:rsidRPr="00E1381E" w:rsidRDefault="005D1E10">
            <w:pPr>
              <w:pStyle w:val="Tabletext"/>
              <w:rPr>
                <w:rFonts w:eastAsia="Verdana"/>
                <w:b/>
                <w:bCs/>
              </w:rPr>
            </w:pPr>
            <w:r w:rsidRPr="00E1381E">
              <w:rPr>
                <w:rFonts w:eastAsia="Verdana"/>
                <w:b/>
                <w:bCs/>
              </w:rPr>
              <w:t xml:space="preserve">Possible </w:t>
            </w:r>
            <w:r w:rsidR="00D83FA6">
              <w:rPr>
                <w:rFonts w:eastAsia="Verdana"/>
                <w:b/>
                <w:bCs/>
              </w:rPr>
              <w:t>o</w:t>
            </w:r>
            <w:r w:rsidRPr="00E1381E">
              <w:rPr>
                <w:rFonts w:eastAsia="Verdana"/>
                <w:b/>
                <w:bCs/>
              </w:rPr>
              <w:t>ptions:</w:t>
            </w:r>
          </w:p>
        </w:tc>
      </w:tr>
      <w:tr w:rsidR="005D1E10" w:rsidRPr="0081017C" w14:paraId="4C17DBFB" w14:textId="77777777" w:rsidTr="00F36994">
        <w:trPr>
          <w:jc w:val="center"/>
        </w:trPr>
        <w:tc>
          <w:tcPr>
            <w:tcW w:w="9917" w:type="dxa"/>
            <w:gridSpan w:val="5"/>
          </w:tcPr>
          <w:p w14:paraId="104A58D4" w14:textId="461D563E" w:rsidR="002078A4" w:rsidRPr="00314C93" w:rsidRDefault="002078A4" w:rsidP="00314C9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06" w:hanging="306"/>
            </w:pPr>
            <w:r w:rsidRPr="00314C93">
              <w:t>1</w:t>
            </w:r>
            <w:r w:rsidR="00F36994">
              <w:t>)</w:t>
            </w:r>
            <w:r w:rsidRPr="00314C93">
              <w:tab/>
              <w:t>Ignore as being too far off or a fringe problem.</w:t>
            </w:r>
          </w:p>
          <w:p w14:paraId="00BC1FAD" w14:textId="1AE4BCE2" w:rsidR="005D1E10" w:rsidRPr="00E1381E" w:rsidRDefault="002078A4" w:rsidP="00314C9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06" w:hanging="306"/>
              <w:rPr>
                <w:rFonts w:eastAsia="Verdana"/>
                <w:b/>
                <w:bCs/>
              </w:rPr>
            </w:pPr>
            <w:r w:rsidRPr="00314C93">
              <w:t>2</w:t>
            </w:r>
            <w:r w:rsidR="00F36994">
              <w:t>)</w:t>
            </w:r>
            <w:r w:rsidRPr="00314C93">
              <w:tab/>
              <w:t>Introduce a clause requiring such scenarios need to be resolved through suitable negotiation between devices.</w:t>
            </w:r>
          </w:p>
        </w:tc>
      </w:tr>
    </w:tbl>
    <w:p w14:paraId="4A5F0580" w14:textId="542EE42C" w:rsidR="005D1E10" w:rsidRDefault="005D1E10" w:rsidP="005D1E10"/>
    <w:p w14:paraId="25F43D0F" w14:textId="77777777" w:rsidR="00F36994" w:rsidRPr="00AB258E" w:rsidRDefault="00F36994" w:rsidP="005D1E10"/>
    <w:p w14:paraId="5BA1D941" w14:textId="553DC0BC" w:rsidR="00F11195" w:rsidRPr="00EA49AC" w:rsidRDefault="00331C59" w:rsidP="00331C59">
      <w:pPr>
        <w:jc w:val="center"/>
      </w:pPr>
      <w:r>
        <w:t>_______________</w:t>
      </w:r>
    </w:p>
    <w:sectPr w:rsidR="00F11195" w:rsidRPr="00EA49AC" w:rsidSect="00CF1FF8">
      <w:footerReference w:type="first" r:id="rId23"/>
      <w:type w:val="oddPage"/>
      <w:pgSz w:w="11907" w:h="16840" w:code="9"/>
      <w:pgMar w:top="1134" w:right="1134" w:bottom="1134" w:left="1134" w:header="567" w:footer="567" w:gutter="0"/>
      <w:pgNumType w:start="1"/>
      <w:cols w:space="720" w:equalWidth="0">
        <w:col w:w="9360"/>
      </w:cols>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0506B" w16cex:dateUtc="2022-03-31T14: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238FE" w14:textId="77777777" w:rsidR="00D83FA6" w:rsidRDefault="00D83FA6">
      <w:pPr>
        <w:spacing w:before="0"/>
      </w:pPr>
      <w:r>
        <w:separator/>
      </w:r>
    </w:p>
  </w:endnote>
  <w:endnote w:type="continuationSeparator" w:id="0">
    <w:p w14:paraId="1C108390" w14:textId="77777777" w:rsidR="00D83FA6" w:rsidRDefault="00D83FA6">
      <w:pPr>
        <w:spacing w:before="0"/>
      </w:pPr>
      <w:r>
        <w:continuationSeparator/>
      </w:r>
    </w:p>
  </w:endnote>
  <w:endnote w:type="continuationNotice" w:id="1">
    <w:p w14:paraId="066EBF2F" w14:textId="77777777" w:rsidR="00D83FA6" w:rsidRDefault="00D83FA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8B304" w14:textId="31FE8CA1" w:rsidR="00D83FA6" w:rsidRPr="003444F3" w:rsidRDefault="00D83FA6" w:rsidP="00D83FA6">
    <w:pPr>
      <w:pStyle w:val="FooterQP"/>
      <w:rPr>
        <w:szCs w:val="22"/>
      </w:rPr>
    </w:pPr>
    <w:r w:rsidRPr="003444F3">
      <w:rPr>
        <w:b w:val="0"/>
        <w:bCs/>
      </w:rPr>
      <w:fldChar w:fldCharType="begin"/>
    </w:r>
    <w:r w:rsidRPr="003444F3">
      <w:rPr>
        <w:b w:val="0"/>
        <w:bCs/>
      </w:rPr>
      <w:instrText xml:space="preserve"> PAGE </w:instrText>
    </w:r>
    <w:r w:rsidRPr="003444F3">
      <w:rPr>
        <w:b w:val="0"/>
        <w:bCs/>
      </w:rPr>
      <w:fldChar w:fldCharType="separate"/>
    </w:r>
    <w:r w:rsidR="0042268C">
      <w:rPr>
        <w:b w:val="0"/>
        <w:bCs/>
        <w:noProof/>
      </w:rPr>
      <w:t>ii</w:t>
    </w:r>
    <w:r w:rsidRPr="003444F3">
      <w:rPr>
        <w:b w:val="0"/>
        <w:bCs/>
      </w:rPr>
      <w:fldChar w:fldCharType="end"/>
    </w:r>
    <w:r w:rsidRPr="00884774">
      <w:tab/>
    </w:r>
    <w:r w:rsidRPr="00292A33">
      <w:t>FSTP-SLD-UC</w:t>
    </w:r>
    <w:r w:rsidRPr="00292A33">
      <w:rPr>
        <w:lang w:val="en-US"/>
      </w:rPr>
      <w:t xml:space="preserve"> </w:t>
    </w:r>
    <w:r>
      <w:rPr>
        <w:lang w:val="en-US"/>
      </w:rPr>
      <w:t>(</w:t>
    </w:r>
    <w:r w:rsidRPr="000F2BEE">
      <w:rPr>
        <w:szCs w:val="22"/>
        <w:lang w:val="en-US"/>
      </w:rPr>
      <w:t>202</w:t>
    </w:r>
    <w:r>
      <w:rPr>
        <w:szCs w:val="22"/>
        <w:lang w:val="en-US"/>
      </w:rPr>
      <w:t>2</w:t>
    </w:r>
    <w:r w:rsidRPr="000F2BEE">
      <w:rPr>
        <w:szCs w:val="22"/>
        <w:lang w:val="en-US"/>
      </w:rPr>
      <w:t>-</w:t>
    </w:r>
    <w:r>
      <w:rPr>
        <w:szCs w:val="22"/>
        <w:lang w:val="en-US"/>
      </w:rPr>
      <w:t>01</w:t>
    </w:r>
    <w:r w:rsidRPr="000F2BEE">
      <w:rPr>
        <w:szCs w:val="22"/>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8E608" w14:textId="77777777" w:rsidR="00D83FA6" w:rsidRDefault="00D83FA6">
    <w:pPr>
      <w:pStyle w:val="Footer"/>
      <w:tabs>
        <w:tab w:val="left" w:pos="5245"/>
      </w:tabs>
    </w:pPr>
    <w:r>
      <w:rPr>
        <w:lang w:val="en-US"/>
      </w:rPr>
      <w:drawing>
        <wp:anchor distT="0" distB="0" distL="114300" distR="114300" simplePos="0" relativeHeight="251659264" behindDoc="0" locked="0" layoutInCell="1" allowOverlap="1" wp14:anchorId="6C30CA4D" wp14:editId="26CDDD6A">
          <wp:simplePos x="0" y="0"/>
          <wp:positionH relativeFrom="column">
            <wp:posOffset>5697953</wp:posOffset>
          </wp:positionH>
          <wp:positionV relativeFrom="paragraph">
            <wp:posOffset>-904044</wp:posOffset>
          </wp:positionV>
          <wp:extent cx="765044" cy="86704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765044" cy="867049"/>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EE540" w14:textId="2A041F15" w:rsidR="00D83FA6" w:rsidRPr="00752DD3" w:rsidRDefault="00D83FA6" w:rsidP="00D83FA6">
    <w:pPr>
      <w:pStyle w:val="FooterQP"/>
    </w:pPr>
    <w:r>
      <w:tab/>
    </w:r>
    <w:r>
      <w:tab/>
    </w:r>
    <w:r w:rsidRPr="00292A33">
      <w:t>FSTP-SLD-UC</w:t>
    </w:r>
    <w:r w:rsidRPr="00292A33">
      <w:rPr>
        <w:lang w:val="en-US"/>
      </w:rPr>
      <w:t xml:space="preserve"> </w:t>
    </w:r>
    <w:r>
      <w:rPr>
        <w:lang w:val="en-US"/>
      </w:rPr>
      <w:t>(</w:t>
    </w:r>
    <w:r w:rsidRPr="000F2BEE">
      <w:rPr>
        <w:szCs w:val="22"/>
        <w:lang w:val="en-US"/>
      </w:rPr>
      <w:t>202</w:t>
    </w:r>
    <w:r>
      <w:rPr>
        <w:szCs w:val="22"/>
        <w:lang w:val="en-US"/>
      </w:rPr>
      <w:t>2</w:t>
    </w:r>
    <w:r w:rsidRPr="000F2BEE">
      <w:rPr>
        <w:szCs w:val="22"/>
        <w:lang w:val="en-US"/>
      </w:rPr>
      <w:t>-</w:t>
    </w:r>
    <w:r>
      <w:rPr>
        <w:szCs w:val="22"/>
        <w:lang w:val="en-US"/>
      </w:rPr>
      <w:t>01</w:t>
    </w:r>
    <w:r w:rsidRPr="000F2BEE">
      <w:rPr>
        <w:szCs w:val="22"/>
        <w:lang w:val="en-US"/>
      </w:rPr>
      <w:t>)</w:t>
    </w:r>
    <w:r w:rsidRPr="00752DD3">
      <w:tab/>
    </w:r>
    <w:r w:rsidRPr="003444F3">
      <w:rPr>
        <w:rStyle w:val="PageNumber"/>
        <w:rFonts w:eastAsiaTheme="minorHAnsi"/>
        <w:b w:val="0"/>
        <w:bCs/>
      </w:rPr>
      <w:fldChar w:fldCharType="begin"/>
    </w:r>
    <w:r w:rsidRPr="003444F3">
      <w:rPr>
        <w:rStyle w:val="PageNumber"/>
        <w:rFonts w:eastAsiaTheme="minorHAnsi"/>
        <w:b w:val="0"/>
        <w:bCs/>
      </w:rPr>
      <w:instrText xml:space="preserve"> PAGE </w:instrText>
    </w:r>
    <w:r w:rsidRPr="003444F3">
      <w:rPr>
        <w:rStyle w:val="PageNumber"/>
        <w:rFonts w:eastAsiaTheme="minorHAnsi"/>
        <w:b w:val="0"/>
        <w:bCs/>
      </w:rPr>
      <w:fldChar w:fldCharType="separate"/>
    </w:r>
    <w:r w:rsidR="0042268C">
      <w:rPr>
        <w:rStyle w:val="PageNumber"/>
        <w:rFonts w:eastAsiaTheme="minorHAnsi"/>
        <w:b w:val="0"/>
        <w:bCs/>
        <w:noProof/>
      </w:rPr>
      <w:t>1</w:t>
    </w:r>
    <w:r w:rsidRPr="003444F3">
      <w:rPr>
        <w:rStyle w:val="PageNumber"/>
        <w:rFonts w:eastAsiaTheme="minorHAnsi"/>
        <w:b w:val="0"/>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A9FC4" w14:textId="77777777" w:rsidR="00D83FA6" w:rsidRDefault="00D83FA6">
    <w:pPr>
      <w:pStyle w:val="Footer"/>
      <w:jc w:val="right"/>
      <w:rPr>
        <w:b/>
        <w:sz w:val="20"/>
      </w:rPr>
    </w:pPr>
    <w:r>
      <w:rPr>
        <w:b/>
        <w:sz w:val="20"/>
      </w:rPr>
      <w:fldChar w:fldCharType="begin"/>
    </w:r>
    <w:r>
      <w:rPr>
        <w:b/>
        <w:sz w:val="20"/>
      </w:rPr>
      <w:instrText xml:space="preserve"> REF TPAcro \h  \* MERGEFORMAT </w:instrText>
    </w:r>
    <w:r>
      <w:rPr>
        <w:b/>
        <w:sz w:val="20"/>
      </w:rPr>
    </w:r>
    <w:r>
      <w:rPr>
        <w:b/>
        <w:sz w:val="20"/>
      </w:rPr>
      <w:fldChar w:fldCharType="separate"/>
    </w:r>
    <w:r w:rsidRPr="002172E6">
      <w:rPr>
        <w:b/>
        <w:sz w:val="20"/>
      </w:rPr>
      <w:t>FSTP</w:t>
    </w:r>
    <w:r>
      <w:rPr>
        <w:rFonts w:ascii="Arial" w:hAnsi="Arial" w:cs="Arial"/>
        <w:b/>
        <w:bCs/>
        <w:sz w:val="36"/>
      </w:rPr>
      <w:t>.</w:t>
    </w:r>
    <w:r w:rsidRPr="00525762">
      <w:rPr>
        <w:rFonts w:ascii="Arial" w:hAnsi="Arial" w:cs="Arial" w:hint="eastAsia"/>
        <w:b/>
        <w:bCs/>
        <w:sz w:val="36"/>
      </w:rPr>
      <w:t>SS-</w:t>
    </w:r>
    <w:r w:rsidRPr="00525762">
      <w:rPr>
        <w:rFonts w:ascii="Arial" w:hAnsi="Arial" w:cs="Arial"/>
        <w:b/>
        <w:bCs/>
        <w:sz w:val="36"/>
      </w:rPr>
      <w:t>OTA</w:t>
    </w:r>
    <w:r>
      <w:rPr>
        <w:b/>
        <w:sz w:val="20"/>
      </w:rPr>
      <w:fldChar w:fldCharType="end"/>
    </w:r>
    <w:r>
      <w:rPr>
        <w:b/>
        <w:sz w:val="20"/>
      </w:rPr>
      <w:t xml:space="preserve"> (2019-04)</w:t>
    </w:r>
    <w:r>
      <w:rPr>
        <w:b/>
        <w:sz w:val="20"/>
      </w:rPr>
      <w:tab/>
    </w:r>
    <w:r>
      <w:rPr>
        <w:sz w:val="20"/>
      </w:rPr>
      <w:fldChar w:fldCharType="begin"/>
    </w:r>
    <w:r>
      <w:rPr>
        <w:sz w:val="20"/>
      </w:rPr>
      <w:instrText xml:space="preserve"> PAGE </w:instrText>
    </w:r>
    <w:r>
      <w:rPr>
        <w:sz w:val="20"/>
      </w:rPr>
      <w:fldChar w:fldCharType="separate"/>
    </w:r>
    <w:r>
      <w:rPr>
        <w:sz w:val="20"/>
      </w:rPr>
      <w:t>i</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50D35" w14:textId="77777777" w:rsidR="00D83FA6" w:rsidRDefault="00D83FA6">
    <w:pPr>
      <w:pBdr>
        <w:top w:val="nil"/>
        <w:left w:val="nil"/>
        <w:bottom w:val="nil"/>
        <w:right w:val="nil"/>
        <w:between w:val="nil"/>
      </w:pBdr>
      <w:tabs>
        <w:tab w:val="center" w:pos="4320"/>
        <w:tab w:val="right" w:pos="8640"/>
      </w:tabs>
      <w:jc w:val="right"/>
      <w:rPr>
        <w:b/>
        <w:color w:val="000000"/>
        <w:sz w:val="20"/>
      </w:rPr>
    </w:pPr>
    <w:r>
      <w:rPr>
        <w:b/>
        <w:color w:val="000000"/>
        <w:sz w:val="20"/>
      </w:rPr>
      <w:t xml:space="preserve">FSTP-FNTP (2006-11) </w:t>
    </w:r>
    <w:r>
      <w:rPr>
        <w:b/>
        <w:color w:val="000000"/>
        <w:sz w:val="20"/>
      </w:rPr>
      <w:tab/>
    </w:r>
    <w:r>
      <w:rPr>
        <w:rFonts w:ascii="Times" w:eastAsia="Times" w:hAnsi="Times" w:cs="Times"/>
        <w:b/>
        <w:smallCaps/>
        <w:color w:val="000000"/>
        <w:sz w:val="20"/>
      </w:rPr>
      <w:fldChar w:fldCharType="begin"/>
    </w:r>
    <w:r>
      <w:rPr>
        <w:rFonts w:ascii="Times" w:eastAsia="Times" w:hAnsi="Times" w:cs="Times"/>
        <w:b/>
        <w:smallCaps/>
        <w:color w:val="000000"/>
        <w:sz w:val="20"/>
      </w:rPr>
      <w:instrText>PAGE</w:instrText>
    </w:r>
    <w:r>
      <w:rPr>
        <w:rFonts w:ascii="Times" w:eastAsia="Times" w:hAnsi="Times" w:cs="Times"/>
        <w:b/>
        <w:smallCaps/>
        <w:color w:val="000000"/>
        <w:sz w:val="20"/>
      </w:rPr>
      <w:fldChar w:fldCharType="end"/>
    </w:r>
  </w:p>
  <w:p w14:paraId="0478721D" w14:textId="77777777" w:rsidR="00D83FA6" w:rsidRDefault="00D83FA6">
    <w:pPr>
      <w:widowControl w:val="0"/>
      <w:pBdr>
        <w:top w:val="nil"/>
        <w:left w:val="nil"/>
        <w:bottom w:val="nil"/>
        <w:right w:val="nil"/>
        <w:between w:val="nil"/>
      </w:pBdr>
      <w:spacing w:before="0" w:line="276" w:lineRule="auto"/>
      <w:rPr>
        <w:b/>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C2F64" w14:textId="77777777" w:rsidR="00D83FA6" w:rsidRDefault="00D83FA6">
      <w:pPr>
        <w:spacing w:before="0"/>
      </w:pPr>
      <w:r>
        <w:separator/>
      </w:r>
    </w:p>
  </w:footnote>
  <w:footnote w:type="continuationSeparator" w:id="0">
    <w:p w14:paraId="1D4CCE7D" w14:textId="77777777" w:rsidR="00D83FA6" w:rsidRDefault="00D83FA6">
      <w:pPr>
        <w:spacing w:before="0"/>
      </w:pPr>
      <w:r>
        <w:continuationSeparator/>
      </w:r>
    </w:p>
  </w:footnote>
  <w:footnote w:type="continuationNotice" w:id="1">
    <w:p w14:paraId="07266C15" w14:textId="77777777" w:rsidR="00D83FA6" w:rsidRDefault="00D83FA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6EBC8" w14:textId="77777777" w:rsidR="00D83FA6" w:rsidRDefault="00D83FA6">
    <w:pPr>
      <w:pStyle w:val="Header"/>
    </w:pPr>
    <w:r>
      <w:rPr>
        <w:noProof/>
        <w:lang w:val="en-US"/>
      </w:rPr>
      <w:drawing>
        <wp:anchor distT="0" distB="0" distL="114300" distR="114300" simplePos="0" relativeHeight="251660288" behindDoc="0" locked="0" layoutInCell="1" allowOverlap="1" wp14:anchorId="59113B98" wp14:editId="05280ABE">
          <wp:simplePos x="0" y="0"/>
          <wp:positionH relativeFrom="column">
            <wp:posOffset>-762000</wp:posOffset>
          </wp:positionH>
          <wp:positionV relativeFrom="paragraph">
            <wp:posOffset>-492760</wp:posOffset>
          </wp:positionV>
          <wp:extent cx="1569720" cy="10771505"/>
          <wp:effectExtent l="0" t="0" r="0" b="0"/>
          <wp:wrapNone/>
          <wp:docPr id="2" name="Picture 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69720" cy="1077150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04C4B" w14:textId="77777777" w:rsidR="00D83FA6" w:rsidRDefault="00D83F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A9D17" w14:textId="77777777" w:rsidR="00D83FA6" w:rsidRDefault="00D83F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689E9" w14:textId="77777777" w:rsidR="00D83FA6" w:rsidRDefault="00D83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38A39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DB45CA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A8E9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D4077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3D65F0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42311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E8794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B800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9811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C25A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905ED"/>
    <w:multiLevelType w:val="hybridMultilevel"/>
    <w:tmpl w:val="20687E68"/>
    <w:lvl w:ilvl="0" w:tplc="3F3C5FB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DE3F42"/>
    <w:multiLevelType w:val="hybridMultilevel"/>
    <w:tmpl w:val="F43AD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5DE4802"/>
    <w:multiLevelType w:val="hybridMultilevel"/>
    <w:tmpl w:val="F43AD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6330F4C"/>
    <w:multiLevelType w:val="hybridMultilevel"/>
    <w:tmpl w:val="F43AD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79764B6"/>
    <w:multiLevelType w:val="hybridMultilevel"/>
    <w:tmpl w:val="E084C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253E14"/>
    <w:multiLevelType w:val="multilevel"/>
    <w:tmpl w:val="A28EC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BEF5091"/>
    <w:multiLevelType w:val="hybridMultilevel"/>
    <w:tmpl w:val="16A88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953CDE"/>
    <w:multiLevelType w:val="multilevel"/>
    <w:tmpl w:val="8C1A531E"/>
    <w:lvl w:ilvl="0">
      <w:start w:val="1"/>
      <w:numFmt w:val="decimal"/>
      <w:lvlText w:val="[%1]"/>
      <w:lvlJc w:val="left"/>
      <w:pPr>
        <w:ind w:left="57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CD37119"/>
    <w:multiLevelType w:val="hybridMultilevel"/>
    <w:tmpl w:val="F43AD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2734E8C"/>
    <w:multiLevelType w:val="multilevel"/>
    <w:tmpl w:val="3F20F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E0D763F"/>
    <w:multiLevelType w:val="hybridMultilevel"/>
    <w:tmpl w:val="F43AD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6F1DE7"/>
    <w:multiLevelType w:val="hybridMultilevel"/>
    <w:tmpl w:val="A3D6D834"/>
    <w:lvl w:ilvl="0" w:tplc="D6CCDE8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3F196CB3"/>
    <w:multiLevelType w:val="hybridMultilevel"/>
    <w:tmpl w:val="F43AD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B67D9D"/>
    <w:multiLevelType w:val="hybridMultilevel"/>
    <w:tmpl w:val="90544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791B7D"/>
    <w:multiLevelType w:val="hybridMultilevel"/>
    <w:tmpl w:val="631466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80320B"/>
    <w:multiLevelType w:val="hybridMultilevel"/>
    <w:tmpl w:val="05E8CE14"/>
    <w:lvl w:ilvl="0" w:tplc="3F3C5FB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CD072D"/>
    <w:multiLevelType w:val="multilevel"/>
    <w:tmpl w:val="DCB467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BE32736"/>
    <w:multiLevelType w:val="hybridMultilevel"/>
    <w:tmpl w:val="E084C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4CC7A38"/>
    <w:multiLevelType w:val="hybridMultilevel"/>
    <w:tmpl w:val="FF1C693C"/>
    <w:lvl w:ilvl="0" w:tplc="3F3C5FB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01323A"/>
    <w:multiLevelType w:val="hybridMultilevel"/>
    <w:tmpl w:val="F43AD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187843"/>
    <w:multiLevelType w:val="hybridMultilevel"/>
    <w:tmpl w:val="D3E6A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20"/>
  </w:num>
  <w:num w:numId="3">
    <w:abstractNumId w:val="18"/>
  </w:num>
  <w:num w:numId="4">
    <w:abstractNumId w:val="16"/>
  </w:num>
  <w:num w:numId="5">
    <w:abstractNumId w:val="15"/>
  </w:num>
  <w:num w:numId="6">
    <w:abstractNumId w:val="28"/>
  </w:num>
  <w:num w:numId="7">
    <w:abstractNumId w:val="25"/>
  </w:num>
  <w:num w:numId="8">
    <w:abstractNumId w:val="32"/>
  </w:num>
  <w:num w:numId="9">
    <w:abstractNumId w:val="11"/>
  </w:num>
  <w:num w:numId="10">
    <w:abstractNumId w:val="31"/>
  </w:num>
  <w:num w:numId="11">
    <w:abstractNumId w:val="19"/>
  </w:num>
  <w:num w:numId="12">
    <w:abstractNumId w:val="14"/>
  </w:num>
  <w:num w:numId="13">
    <w:abstractNumId w:val="13"/>
  </w:num>
  <w:num w:numId="14">
    <w:abstractNumId w:val="23"/>
  </w:num>
  <w:num w:numId="15">
    <w:abstractNumId w:val="21"/>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9"/>
  </w:num>
  <w:num w:numId="28">
    <w:abstractNumId w:val="12"/>
  </w:num>
  <w:num w:numId="29">
    <w:abstractNumId w:val="22"/>
  </w:num>
  <w:num w:numId="30">
    <w:abstractNumId w:val="10"/>
  </w:num>
  <w:num w:numId="31">
    <w:abstractNumId w:val="30"/>
  </w:num>
  <w:num w:numId="32">
    <w:abstractNumId w:val="26"/>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enforcement="0"/>
  <w:defaultTabStop w:val="567"/>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195"/>
    <w:rsid w:val="00006CC9"/>
    <w:rsid w:val="0001133F"/>
    <w:rsid w:val="000205F5"/>
    <w:rsid w:val="00021C64"/>
    <w:rsid w:val="00032B9D"/>
    <w:rsid w:val="0003339F"/>
    <w:rsid w:val="000350D2"/>
    <w:rsid w:val="00042899"/>
    <w:rsid w:val="00056379"/>
    <w:rsid w:val="000635FD"/>
    <w:rsid w:val="000A206E"/>
    <w:rsid w:val="000A4AC0"/>
    <w:rsid w:val="000C05FA"/>
    <w:rsid w:val="000C2334"/>
    <w:rsid w:val="000C2E1A"/>
    <w:rsid w:val="00103040"/>
    <w:rsid w:val="00107F79"/>
    <w:rsid w:val="001128EF"/>
    <w:rsid w:val="00121D5E"/>
    <w:rsid w:val="00130CD0"/>
    <w:rsid w:val="00147017"/>
    <w:rsid w:val="001500B5"/>
    <w:rsid w:val="00160797"/>
    <w:rsid w:val="00184B2D"/>
    <w:rsid w:val="00185B84"/>
    <w:rsid w:val="001A55B4"/>
    <w:rsid w:val="001C2EB5"/>
    <w:rsid w:val="001C3F8F"/>
    <w:rsid w:val="001D5E0E"/>
    <w:rsid w:val="001E0C24"/>
    <w:rsid w:val="001F0140"/>
    <w:rsid w:val="001F3E8B"/>
    <w:rsid w:val="0020532D"/>
    <w:rsid w:val="00205D2B"/>
    <w:rsid w:val="002078A4"/>
    <w:rsid w:val="002179CD"/>
    <w:rsid w:val="00251761"/>
    <w:rsid w:val="002525B6"/>
    <w:rsid w:val="00292A33"/>
    <w:rsid w:val="002A1F5B"/>
    <w:rsid w:val="002A4A71"/>
    <w:rsid w:val="002A5F88"/>
    <w:rsid w:val="002B4729"/>
    <w:rsid w:val="002D3A69"/>
    <w:rsid w:val="002E2B86"/>
    <w:rsid w:val="002E48D6"/>
    <w:rsid w:val="002E5354"/>
    <w:rsid w:val="002F0972"/>
    <w:rsid w:val="002F0B64"/>
    <w:rsid w:val="002F436A"/>
    <w:rsid w:val="00300F36"/>
    <w:rsid w:val="00306A1D"/>
    <w:rsid w:val="00307B04"/>
    <w:rsid w:val="00310E55"/>
    <w:rsid w:val="00314C93"/>
    <w:rsid w:val="00315DBF"/>
    <w:rsid w:val="00321FDB"/>
    <w:rsid w:val="0032747B"/>
    <w:rsid w:val="00331C59"/>
    <w:rsid w:val="003350E8"/>
    <w:rsid w:val="00347B8B"/>
    <w:rsid w:val="00366CF5"/>
    <w:rsid w:val="00382DF0"/>
    <w:rsid w:val="00387DA2"/>
    <w:rsid w:val="003A6FF7"/>
    <w:rsid w:val="003D130F"/>
    <w:rsid w:val="003D3315"/>
    <w:rsid w:val="003F070E"/>
    <w:rsid w:val="003F2126"/>
    <w:rsid w:val="004057BD"/>
    <w:rsid w:val="0042268C"/>
    <w:rsid w:val="004238EB"/>
    <w:rsid w:val="00445690"/>
    <w:rsid w:val="00452D65"/>
    <w:rsid w:val="00463685"/>
    <w:rsid w:val="00483AA6"/>
    <w:rsid w:val="00490A1A"/>
    <w:rsid w:val="00491C7E"/>
    <w:rsid w:val="004C327A"/>
    <w:rsid w:val="004C5F19"/>
    <w:rsid w:val="004C7D47"/>
    <w:rsid w:val="004D5BD1"/>
    <w:rsid w:val="004E2CFF"/>
    <w:rsid w:val="004E3125"/>
    <w:rsid w:val="005048CF"/>
    <w:rsid w:val="005118C5"/>
    <w:rsid w:val="0051496D"/>
    <w:rsid w:val="0051554C"/>
    <w:rsid w:val="00530AC9"/>
    <w:rsid w:val="00544009"/>
    <w:rsid w:val="00546272"/>
    <w:rsid w:val="00547B7A"/>
    <w:rsid w:val="00551E49"/>
    <w:rsid w:val="00557BA6"/>
    <w:rsid w:val="00571254"/>
    <w:rsid w:val="00593494"/>
    <w:rsid w:val="005944D4"/>
    <w:rsid w:val="005A3439"/>
    <w:rsid w:val="005A71DF"/>
    <w:rsid w:val="005B1075"/>
    <w:rsid w:val="005C4D7A"/>
    <w:rsid w:val="005D1E10"/>
    <w:rsid w:val="005D2230"/>
    <w:rsid w:val="00607166"/>
    <w:rsid w:val="0063441A"/>
    <w:rsid w:val="0064642A"/>
    <w:rsid w:val="006512E9"/>
    <w:rsid w:val="00651D17"/>
    <w:rsid w:val="00655D39"/>
    <w:rsid w:val="00657910"/>
    <w:rsid w:val="00673F85"/>
    <w:rsid w:val="006827A7"/>
    <w:rsid w:val="006A062F"/>
    <w:rsid w:val="006B5BB8"/>
    <w:rsid w:val="006C120C"/>
    <w:rsid w:val="006C27F7"/>
    <w:rsid w:val="006D1C38"/>
    <w:rsid w:val="00710E7C"/>
    <w:rsid w:val="007275DD"/>
    <w:rsid w:val="007327BD"/>
    <w:rsid w:val="0074038C"/>
    <w:rsid w:val="00740FF7"/>
    <w:rsid w:val="007454B5"/>
    <w:rsid w:val="007461B6"/>
    <w:rsid w:val="00767177"/>
    <w:rsid w:val="007B7E9A"/>
    <w:rsid w:val="007C6C0B"/>
    <w:rsid w:val="007D294E"/>
    <w:rsid w:val="007D6FB8"/>
    <w:rsid w:val="007D7FEA"/>
    <w:rsid w:val="007E17EB"/>
    <w:rsid w:val="007F42D2"/>
    <w:rsid w:val="007F5CE9"/>
    <w:rsid w:val="0081017C"/>
    <w:rsid w:val="008109E2"/>
    <w:rsid w:val="00822065"/>
    <w:rsid w:val="00824C96"/>
    <w:rsid w:val="008343A6"/>
    <w:rsid w:val="00840403"/>
    <w:rsid w:val="0084471B"/>
    <w:rsid w:val="00845A0F"/>
    <w:rsid w:val="00865360"/>
    <w:rsid w:val="0086797E"/>
    <w:rsid w:val="008953D2"/>
    <w:rsid w:val="008A4CBE"/>
    <w:rsid w:val="008A528E"/>
    <w:rsid w:val="008A5EFB"/>
    <w:rsid w:val="008D56D7"/>
    <w:rsid w:val="008E44C3"/>
    <w:rsid w:val="00900F1F"/>
    <w:rsid w:val="00907EEC"/>
    <w:rsid w:val="009159F9"/>
    <w:rsid w:val="00925893"/>
    <w:rsid w:val="00931118"/>
    <w:rsid w:val="009506A0"/>
    <w:rsid w:val="00960900"/>
    <w:rsid w:val="00967F86"/>
    <w:rsid w:val="0097587E"/>
    <w:rsid w:val="00977856"/>
    <w:rsid w:val="00984938"/>
    <w:rsid w:val="00986B4B"/>
    <w:rsid w:val="009A262A"/>
    <w:rsid w:val="009B0137"/>
    <w:rsid w:val="009D02AF"/>
    <w:rsid w:val="009D1E69"/>
    <w:rsid w:val="009E0C1E"/>
    <w:rsid w:val="00A076E6"/>
    <w:rsid w:val="00A2344E"/>
    <w:rsid w:val="00A26888"/>
    <w:rsid w:val="00A32FA7"/>
    <w:rsid w:val="00A61715"/>
    <w:rsid w:val="00A634A3"/>
    <w:rsid w:val="00A9140C"/>
    <w:rsid w:val="00AA601F"/>
    <w:rsid w:val="00AB0989"/>
    <w:rsid w:val="00AC0940"/>
    <w:rsid w:val="00AC0C7C"/>
    <w:rsid w:val="00AD3A71"/>
    <w:rsid w:val="00AF19BC"/>
    <w:rsid w:val="00AF3E0B"/>
    <w:rsid w:val="00B25144"/>
    <w:rsid w:val="00B276E3"/>
    <w:rsid w:val="00B71DA8"/>
    <w:rsid w:val="00B745B3"/>
    <w:rsid w:val="00B7680E"/>
    <w:rsid w:val="00B92798"/>
    <w:rsid w:val="00BC06CD"/>
    <w:rsid w:val="00BD101C"/>
    <w:rsid w:val="00BD3235"/>
    <w:rsid w:val="00BE22F0"/>
    <w:rsid w:val="00BE4EAF"/>
    <w:rsid w:val="00C11072"/>
    <w:rsid w:val="00C15E0D"/>
    <w:rsid w:val="00C167FC"/>
    <w:rsid w:val="00C259A6"/>
    <w:rsid w:val="00C312E3"/>
    <w:rsid w:val="00C70B80"/>
    <w:rsid w:val="00C84234"/>
    <w:rsid w:val="00C97556"/>
    <w:rsid w:val="00CB37AF"/>
    <w:rsid w:val="00CE3233"/>
    <w:rsid w:val="00CF1FF8"/>
    <w:rsid w:val="00CF4C93"/>
    <w:rsid w:val="00D0082C"/>
    <w:rsid w:val="00D11D78"/>
    <w:rsid w:val="00D14F09"/>
    <w:rsid w:val="00D20DCA"/>
    <w:rsid w:val="00D4445D"/>
    <w:rsid w:val="00D46AC7"/>
    <w:rsid w:val="00D51D68"/>
    <w:rsid w:val="00D56415"/>
    <w:rsid w:val="00D66723"/>
    <w:rsid w:val="00D71DCE"/>
    <w:rsid w:val="00D72E33"/>
    <w:rsid w:val="00D81135"/>
    <w:rsid w:val="00D83FA6"/>
    <w:rsid w:val="00D84276"/>
    <w:rsid w:val="00D86BAE"/>
    <w:rsid w:val="00D9524C"/>
    <w:rsid w:val="00DA4982"/>
    <w:rsid w:val="00DA7595"/>
    <w:rsid w:val="00DC4D5A"/>
    <w:rsid w:val="00DD28A4"/>
    <w:rsid w:val="00DD2C7B"/>
    <w:rsid w:val="00DE589D"/>
    <w:rsid w:val="00E01F16"/>
    <w:rsid w:val="00E03C61"/>
    <w:rsid w:val="00E1381E"/>
    <w:rsid w:val="00E34C7D"/>
    <w:rsid w:val="00E37054"/>
    <w:rsid w:val="00E7251B"/>
    <w:rsid w:val="00E80B64"/>
    <w:rsid w:val="00E94A37"/>
    <w:rsid w:val="00EA49AC"/>
    <w:rsid w:val="00EA5BF8"/>
    <w:rsid w:val="00EE03CA"/>
    <w:rsid w:val="00EE3B41"/>
    <w:rsid w:val="00EF305C"/>
    <w:rsid w:val="00EF6F35"/>
    <w:rsid w:val="00F00669"/>
    <w:rsid w:val="00F05603"/>
    <w:rsid w:val="00F11195"/>
    <w:rsid w:val="00F1485A"/>
    <w:rsid w:val="00F17E4E"/>
    <w:rsid w:val="00F25C71"/>
    <w:rsid w:val="00F36994"/>
    <w:rsid w:val="00F426F7"/>
    <w:rsid w:val="00F61277"/>
    <w:rsid w:val="00F63C62"/>
    <w:rsid w:val="00F6704C"/>
    <w:rsid w:val="00F82331"/>
    <w:rsid w:val="00F91B23"/>
    <w:rsid w:val="00FA2D6D"/>
    <w:rsid w:val="00FB693A"/>
    <w:rsid w:val="00FC3D6D"/>
    <w:rsid w:val="00FC71BC"/>
    <w:rsid w:val="00FD762F"/>
    <w:rsid w:val="00FE22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22963"/>
  <w15:docId w15:val="{E2AC7D82-E225-43F2-889A-0391A253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GB" w:eastAsia="en-GB"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47B"/>
    <w:pPr>
      <w:tabs>
        <w:tab w:val="left" w:pos="794"/>
        <w:tab w:val="left" w:pos="1191"/>
        <w:tab w:val="left" w:pos="1588"/>
        <w:tab w:val="left" w:pos="1985"/>
      </w:tabs>
      <w:overflowPunct w:val="0"/>
      <w:autoSpaceDE w:val="0"/>
      <w:autoSpaceDN w:val="0"/>
      <w:adjustRightInd w:val="0"/>
      <w:jc w:val="both"/>
      <w:textAlignment w:val="baseline"/>
    </w:pPr>
    <w:rPr>
      <w:rFonts w:eastAsia="Times New Roman"/>
      <w:szCs w:val="20"/>
      <w:lang w:eastAsia="en-US"/>
    </w:rPr>
  </w:style>
  <w:style w:type="paragraph" w:styleId="Heading1">
    <w:name w:val="heading 1"/>
    <w:basedOn w:val="Normal"/>
    <w:next w:val="Normal"/>
    <w:link w:val="Heading1Char"/>
    <w:qFormat/>
    <w:rsid w:val="0032747B"/>
    <w:pPr>
      <w:keepNext/>
      <w:keepLines/>
      <w:spacing w:before="360"/>
      <w:ind w:left="794" w:hanging="794"/>
      <w:jc w:val="left"/>
      <w:outlineLvl w:val="0"/>
    </w:pPr>
    <w:rPr>
      <w:b/>
    </w:rPr>
  </w:style>
  <w:style w:type="paragraph" w:styleId="Heading2">
    <w:name w:val="heading 2"/>
    <w:basedOn w:val="Heading1"/>
    <w:next w:val="Normal"/>
    <w:link w:val="Heading2Char"/>
    <w:qFormat/>
    <w:rsid w:val="0032747B"/>
    <w:pPr>
      <w:spacing w:before="240"/>
      <w:outlineLvl w:val="1"/>
    </w:pPr>
  </w:style>
  <w:style w:type="paragraph" w:styleId="Heading3">
    <w:name w:val="heading 3"/>
    <w:basedOn w:val="Heading1"/>
    <w:next w:val="Normal"/>
    <w:link w:val="Heading3Char"/>
    <w:qFormat/>
    <w:rsid w:val="0032747B"/>
    <w:pPr>
      <w:spacing w:before="160"/>
      <w:outlineLvl w:val="2"/>
    </w:pPr>
  </w:style>
  <w:style w:type="paragraph" w:styleId="Heading4">
    <w:name w:val="heading 4"/>
    <w:basedOn w:val="Heading3"/>
    <w:next w:val="Normal"/>
    <w:link w:val="Heading4Char"/>
    <w:qFormat/>
    <w:rsid w:val="0032747B"/>
    <w:pPr>
      <w:tabs>
        <w:tab w:val="clear" w:pos="794"/>
        <w:tab w:val="left" w:pos="1021"/>
      </w:tabs>
      <w:ind w:left="1021" w:hanging="1021"/>
      <w:outlineLvl w:val="3"/>
    </w:pPr>
  </w:style>
  <w:style w:type="paragraph" w:styleId="Heading5">
    <w:name w:val="heading 5"/>
    <w:basedOn w:val="Heading4"/>
    <w:next w:val="Normal"/>
    <w:link w:val="Heading5Char"/>
    <w:qFormat/>
    <w:rsid w:val="0032747B"/>
    <w:pPr>
      <w:outlineLvl w:val="4"/>
    </w:pPr>
  </w:style>
  <w:style w:type="paragraph" w:styleId="Heading6">
    <w:name w:val="heading 6"/>
    <w:basedOn w:val="Heading4"/>
    <w:next w:val="Normal"/>
    <w:link w:val="Heading6Char"/>
    <w:qFormat/>
    <w:rsid w:val="0032747B"/>
    <w:pPr>
      <w:tabs>
        <w:tab w:val="clear" w:pos="1021"/>
        <w:tab w:val="clear" w:pos="1191"/>
      </w:tabs>
      <w:ind w:left="1588" w:hanging="1588"/>
      <w:outlineLvl w:val="5"/>
    </w:pPr>
  </w:style>
  <w:style w:type="paragraph" w:styleId="Heading7">
    <w:name w:val="heading 7"/>
    <w:basedOn w:val="Heading6"/>
    <w:next w:val="Normal"/>
    <w:link w:val="Heading7Char"/>
    <w:qFormat/>
    <w:rsid w:val="0032747B"/>
    <w:pPr>
      <w:outlineLvl w:val="6"/>
    </w:pPr>
  </w:style>
  <w:style w:type="paragraph" w:styleId="Heading8">
    <w:name w:val="heading 8"/>
    <w:basedOn w:val="Heading6"/>
    <w:next w:val="Normal"/>
    <w:link w:val="Heading8Char"/>
    <w:qFormat/>
    <w:rsid w:val="0032747B"/>
    <w:pPr>
      <w:outlineLvl w:val="7"/>
    </w:pPr>
  </w:style>
  <w:style w:type="paragraph" w:styleId="Heading9">
    <w:name w:val="heading 9"/>
    <w:basedOn w:val="Heading6"/>
    <w:next w:val="Normal"/>
    <w:link w:val="Heading9Char"/>
    <w:qFormat/>
    <w:rsid w:val="003274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pPr>
      <w:keepNext/>
      <w:keepLines/>
      <w:spacing w:before="480" w:after="120"/>
    </w:pPr>
    <w:rPr>
      <w:b/>
      <w:sz w:val="72"/>
      <w:szCs w:val="72"/>
    </w:rPr>
  </w:style>
  <w:style w:type="paragraph" w:styleId="Subtitle">
    <w:name w:val="Subtitle"/>
    <w:basedOn w:val="Normal"/>
    <w:next w:val="Normal"/>
    <w:link w:val="SubtitleChar"/>
    <w:uiPriority w:val="1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57" w:type="dxa"/>
        <w:right w:w="57"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57" w:type="dxa"/>
        <w:right w:w="57" w:type="dxa"/>
      </w:tblCellMar>
    </w:tblPr>
  </w:style>
  <w:style w:type="table" w:customStyle="1" w:styleId="a8">
    <w:basedOn w:val="TableNormal"/>
    <w:tblPr>
      <w:tblStyleRowBandSize w:val="1"/>
      <w:tblStyleColBandSize w:val="1"/>
      <w:tblCellMar>
        <w:left w:w="57" w:type="dxa"/>
        <w:right w:w="57" w:type="dxa"/>
      </w:tblCellMar>
    </w:tblPr>
  </w:style>
  <w:style w:type="table" w:customStyle="1" w:styleId="a9">
    <w:basedOn w:val="TableNormal"/>
    <w:tblPr>
      <w:tblStyleRowBandSize w:val="1"/>
      <w:tblStyleColBandSize w:val="1"/>
      <w:tblCellMar>
        <w:left w:w="57" w:type="dxa"/>
        <w:right w:w="57" w:type="dxa"/>
      </w:tblCellMar>
    </w:tblPr>
  </w:style>
  <w:style w:type="table" w:customStyle="1" w:styleId="aa">
    <w:basedOn w:val="TableNormal"/>
    <w:tblPr>
      <w:tblStyleRowBandSize w:val="1"/>
      <w:tblStyleColBandSize w:val="1"/>
      <w:tblCellMar>
        <w:left w:w="57" w:type="dxa"/>
        <w:right w:w="57" w:type="dxa"/>
      </w:tblCellMar>
    </w:tblPr>
  </w:style>
  <w:style w:type="paragraph" w:styleId="ListParagraph">
    <w:name w:val="List Paragraph"/>
    <w:basedOn w:val="Normal"/>
    <w:uiPriority w:val="34"/>
    <w:rsid w:val="009E0C1E"/>
    <w:pPr>
      <w:ind w:left="720"/>
      <w:contextualSpacing/>
    </w:pPr>
  </w:style>
  <w:style w:type="paragraph" w:styleId="BalloonText">
    <w:name w:val="Balloon Text"/>
    <w:basedOn w:val="Normal"/>
    <w:link w:val="BalloonTextChar"/>
    <w:rsid w:val="0032747B"/>
    <w:pPr>
      <w:spacing w:before="0"/>
    </w:pPr>
    <w:rPr>
      <w:rFonts w:ascii="Tahoma" w:hAnsi="Tahoma" w:cs="Tahoma"/>
      <w:sz w:val="16"/>
      <w:szCs w:val="16"/>
    </w:rPr>
  </w:style>
  <w:style w:type="character" w:customStyle="1" w:styleId="BalloonTextChar">
    <w:name w:val="Balloon Text Char"/>
    <w:basedOn w:val="DefaultParagraphFont"/>
    <w:link w:val="BalloonText"/>
    <w:rsid w:val="0032747B"/>
    <w:rPr>
      <w:rFonts w:ascii="Tahoma" w:eastAsia="Times New Roman" w:hAnsi="Tahoma" w:cs="Tahoma"/>
      <w:sz w:val="16"/>
      <w:szCs w:val="16"/>
      <w:lang w:eastAsia="en-US"/>
    </w:rPr>
  </w:style>
  <w:style w:type="character" w:styleId="PlaceholderText">
    <w:name w:val="Placeholder Text"/>
    <w:basedOn w:val="DefaultParagraphFont"/>
    <w:uiPriority w:val="99"/>
    <w:semiHidden/>
    <w:rsid w:val="002E48D6"/>
    <w:rPr>
      <w:rFonts w:ascii="Times New Roman" w:hAnsi="Times New Roman"/>
      <w:color w:val="808080"/>
    </w:rPr>
  </w:style>
  <w:style w:type="paragraph" w:customStyle="1" w:styleId="Docnumber">
    <w:name w:val="Docnumber"/>
    <w:basedOn w:val="Normal"/>
    <w:link w:val="DocnumberChar"/>
    <w:rsid w:val="002E48D6"/>
    <w:pPr>
      <w:jc w:val="right"/>
    </w:pPr>
    <w:rPr>
      <w:rFonts w:eastAsia="SimSun"/>
      <w:b/>
      <w:sz w:val="32"/>
    </w:rPr>
  </w:style>
  <w:style w:type="character" w:customStyle="1" w:styleId="DocnumberChar">
    <w:name w:val="Docnumber Char"/>
    <w:link w:val="Docnumber"/>
    <w:rsid w:val="002E48D6"/>
    <w:rPr>
      <w:rFonts w:eastAsia="SimSun"/>
      <w:b/>
      <w:sz w:val="32"/>
      <w:szCs w:val="20"/>
      <w:lang w:eastAsia="en-US"/>
    </w:rPr>
  </w:style>
  <w:style w:type="character" w:styleId="Hyperlink">
    <w:name w:val="Hyperlink"/>
    <w:basedOn w:val="DefaultParagraphFont"/>
    <w:uiPriority w:val="99"/>
    <w:rsid w:val="0032747B"/>
    <w:rPr>
      <w:color w:val="0000FF"/>
      <w:u w:val="single"/>
    </w:rPr>
  </w:style>
  <w:style w:type="character" w:customStyle="1" w:styleId="UnresolvedMention1">
    <w:name w:val="Unresolved Mention1"/>
    <w:basedOn w:val="DefaultParagraphFont"/>
    <w:uiPriority w:val="99"/>
    <w:semiHidden/>
    <w:unhideWhenUsed/>
    <w:rsid w:val="002E48D6"/>
    <w:rPr>
      <w:color w:val="605E5C"/>
      <w:shd w:val="clear" w:color="auto" w:fill="E1DFDD"/>
    </w:rPr>
  </w:style>
  <w:style w:type="paragraph" w:styleId="Header">
    <w:name w:val="header"/>
    <w:basedOn w:val="Normal"/>
    <w:link w:val="HeaderChar"/>
    <w:rsid w:val="0032747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D9524C"/>
    <w:rPr>
      <w:rFonts w:eastAsia="Times New Roman"/>
      <w:sz w:val="18"/>
      <w:szCs w:val="20"/>
      <w:lang w:eastAsia="en-US"/>
    </w:rPr>
  </w:style>
  <w:style w:type="paragraph" w:styleId="Footer">
    <w:name w:val="footer"/>
    <w:basedOn w:val="Normal"/>
    <w:link w:val="FooterChar"/>
    <w:rsid w:val="0032747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qFormat/>
    <w:rsid w:val="008D56D7"/>
    <w:rPr>
      <w:rFonts w:eastAsia="Times New Roman"/>
      <w:caps/>
      <w:noProof/>
      <w:sz w:val="16"/>
      <w:szCs w:val="20"/>
      <w:lang w:eastAsia="en-US"/>
    </w:rPr>
  </w:style>
  <w:style w:type="paragraph" w:styleId="TOC1">
    <w:name w:val="toc 1"/>
    <w:basedOn w:val="Normal"/>
    <w:uiPriority w:val="39"/>
    <w:rsid w:val="0032747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32747B"/>
    <w:pPr>
      <w:spacing w:before="80"/>
      <w:ind w:left="1531" w:hanging="851"/>
    </w:pPr>
  </w:style>
  <w:style w:type="paragraph" w:customStyle="1" w:styleId="AnnexNotitle">
    <w:name w:val="Annex_No &amp; title"/>
    <w:basedOn w:val="Normal"/>
    <w:next w:val="Normal"/>
    <w:rsid w:val="00D9524C"/>
    <w:pPr>
      <w:keepNext/>
      <w:keepLines/>
      <w:spacing w:before="480"/>
      <w:jc w:val="center"/>
    </w:pPr>
    <w:rPr>
      <w:b/>
      <w:sz w:val="28"/>
    </w:rPr>
  </w:style>
  <w:style w:type="paragraph" w:customStyle="1" w:styleId="AppendixNotitle">
    <w:name w:val="Appendix_No &amp; title"/>
    <w:basedOn w:val="AnnexNotitle"/>
    <w:next w:val="Normal"/>
    <w:rsid w:val="00D9524C"/>
  </w:style>
  <w:style w:type="paragraph" w:customStyle="1" w:styleId="CorrectionSeparatorBegin">
    <w:name w:val="Correction Separator Begin"/>
    <w:basedOn w:val="Normal"/>
    <w:rsid w:val="00D9524C"/>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D9524C"/>
    <w:pPr>
      <w:pBdr>
        <w:top w:val="single" w:sz="12" w:space="1" w:color="auto"/>
      </w:pBdr>
      <w:spacing w:before="240" w:after="240"/>
      <w:ind w:left="1440" w:right="1440"/>
      <w:jc w:val="center"/>
    </w:pPr>
    <w:rPr>
      <w:b/>
      <w:i/>
      <w:sz w:val="20"/>
      <w:lang w:val="en-US"/>
    </w:rPr>
  </w:style>
  <w:style w:type="paragraph" w:customStyle="1" w:styleId="Formal">
    <w:name w:val="Formal"/>
    <w:basedOn w:val="ASN1"/>
    <w:rsid w:val="0032747B"/>
    <w:rPr>
      <w:b w:val="0"/>
    </w:rPr>
  </w:style>
  <w:style w:type="paragraph" w:customStyle="1" w:styleId="Figure">
    <w:name w:val="Figure"/>
    <w:basedOn w:val="Normal"/>
    <w:next w:val="Normal"/>
    <w:rsid w:val="0032747B"/>
    <w:pPr>
      <w:keepNext/>
      <w:keepLines/>
      <w:spacing w:before="240" w:after="120"/>
      <w:jc w:val="center"/>
    </w:pPr>
  </w:style>
  <w:style w:type="paragraph" w:customStyle="1" w:styleId="FigureNotitle">
    <w:name w:val="Figure_No &amp; title"/>
    <w:basedOn w:val="Normal"/>
    <w:next w:val="Normal"/>
    <w:qFormat/>
    <w:rsid w:val="00D9524C"/>
    <w:pPr>
      <w:keepLines/>
      <w:spacing w:before="240" w:after="120"/>
      <w:jc w:val="center"/>
    </w:pPr>
    <w:rPr>
      <w:b/>
    </w:rPr>
  </w:style>
  <w:style w:type="paragraph" w:customStyle="1" w:styleId="Headingb">
    <w:name w:val="Heading_b"/>
    <w:basedOn w:val="Normal"/>
    <w:next w:val="Normal"/>
    <w:rsid w:val="0032747B"/>
    <w:pPr>
      <w:keepNext/>
      <w:spacing w:before="160"/>
      <w:jc w:val="left"/>
    </w:pPr>
    <w:rPr>
      <w:b/>
    </w:rPr>
  </w:style>
  <w:style w:type="paragraph" w:customStyle="1" w:styleId="Headingi">
    <w:name w:val="Heading_i"/>
    <w:basedOn w:val="Normal"/>
    <w:next w:val="Normal"/>
    <w:rsid w:val="0032747B"/>
    <w:pPr>
      <w:keepNext/>
      <w:spacing w:before="160"/>
      <w:jc w:val="left"/>
    </w:pPr>
    <w:rPr>
      <w:i/>
    </w:rPr>
  </w:style>
  <w:style w:type="paragraph" w:customStyle="1" w:styleId="Headingib">
    <w:name w:val="Heading_ib"/>
    <w:basedOn w:val="Headingi"/>
    <w:next w:val="Normal"/>
    <w:qFormat/>
    <w:rsid w:val="00D9524C"/>
    <w:rPr>
      <w:b/>
      <w:bCs/>
    </w:rPr>
  </w:style>
  <w:style w:type="paragraph" w:customStyle="1" w:styleId="Normalbeforetable">
    <w:name w:val="Normal before table"/>
    <w:basedOn w:val="Normal"/>
    <w:rsid w:val="00D9524C"/>
    <w:pPr>
      <w:keepNext/>
      <w:spacing w:after="120"/>
    </w:pPr>
    <w:rPr>
      <w:rFonts w:eastAsia="????"/>
    </w:rPr>
  </w:style>
  <w:style w:type="paragraph" w:customStyle="1" w:styleId="RecNo">
    <w:name w:val="Rec_No"/>
    <w:basedOn w:val="Normal"/>
    <w:next w:val="Rectitle"/>
    <w:rsid w:val="0032747B"/>
    <w:pPr>
      <w:keepNext/>
      <w:keepLines/>
      <w:spacing w:before="0"/>
      <w:jc w:val="left"/>
    </w:pPr>
    <w:rPr>
      <w:b/>
      <w:sz w:val="28"/>
    </w:rPr>
  </w:style>
  <w:style w:type="paragraph" w:customStyle="1" w:styleId="Rectitle">
    <w:name w:val="Rec_title"/>
    <w:basedOn w:val="Normal"/>
    <w:next w:val="Normalaftertitle"/>
    <w:rsid w:val="0032747B"/>
    <w:pPr>
      <w:keepNext/>
      <w:keepLines/>
      <w:spacing w:before="360"/>
      <w:jc w:val="center"/>
    </w:pPr>
    <w:rPr>
      <w:b/>
      <w:sz w:val="28"/>
    </w:rPr>
  </w:style>
  <w:style w:type="paragraph" w:customStyle="1" w:styleId="Reftext">
    <w:name w:val="Ref_text"/>
    <w:basedOn w:val="Normal"/>
    <w:rsid w:val="0032747B"/>
    <w:pPr>
      <w:ind w:left="794" w:hanging="794"/>
      <w:jc w:val="left"/>
    </w:pPr>
  </w:style>
  <w:style w:type="character" w:customStyle="1" w:styleId="ReftextArial9pt">
    <w:name w:val="Ref_text Arial 9 pt"/>
    <w:rsid w:val="00D9524C"/>
    <w:rPr>
      <w:rFonts w:ascii="Arial" w:hAnsi="Arial" w:cs="Arial"/>
      <w:sz w:val="18"/>
      <w:szCs w:val="18"/>
    </w:rPr>
  </w:style>
  <w:style w:type="paragraph" w:customStyle="1" w:styleId="Tablehead">
    <w:name w:val="Table_head"/>
    <w:basedOn w:val="Normal"/>
    <w:next w:val="Tabletext"/>
    <w:rsid w:val="0032747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2747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Normal"/>
    <w:qFormat/>
    <w:rsid w:val="00D9524C"/>
    <w:pPr>
      <w:keepNext/>
      <w:keepLines/>
      <w:spacing w:before="360" w:after="120"/>
      <w:jc w:val="center"/>
    </w:pPr>
    <w:rPr>
      <w:b/>
    </w:rPr>
  </w:style>
  <w:style w:type="paragraph" w:customStyle="1" w:styleId="Tabletext">
    <w:name w:val="Table_text"/>
    <w:basedOn w:val="Normal"/>
    <w:rsid w:val="0032747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styleId="TableofFigures">
    <w:name w:val="table of figures"/>
    <w:basedOn w:val="Normal"/>
    <w:next w:val="Normal"/>
    <w:uiPriority w:val="99"/>
    <w:rsid w:val="00D9524C"/>
    <w:pPr>
      <w:tabs>
        <w:tab w:val="right" w:leader="dot" w:pos="9639"/>
      </w:tabs>
    </w:pPr>
    <w:rPr>
      <w:rFonts w:eastAsia="MS Mincho"/>
    </w:rPr>
  </w:style>
  <w:style w:type="paragraph" w:customStyle="1" w:styleId="Title4">
    <w:name w:val="Title 4"/>
    <w:basedOn w:val="Title3"/>
    <w:next w:val="Heading1"/>
    <w:rsid w:val="0032747B"/>
    <w:rPr>
      <w:b/>
    </w:rPr>
  </w:style>
  <w:style w:type="paragraph" w:styleId="TOC3">
    <w:name w:val="toc 3"/>
    <w:basedOn w:val="TOC2"/>
    <w:rsid w:val="0032747B"/>
  </w:style>
  <w:style w:type="paragraph" w:customStyle="1" w:styleId="Note">
    <w:name w:val="Note"/>
    <w:basedOn w:val="Normal"/>
    <w:rsid w:val="0032747B"/>
    <w:pPr>
      <w:spacing w:before="80"/>
    </w:pPr>
    <w:rPr>
      <w:sz w:val="22"/>
    </w:rPr>
  </w:style>
  <w:style w:type="character" w:customStyle="1" w:styleId="Heading7Char">
    <w:name w:val="Heading 7 Char"/>
    <w:basedOn w:val="DefaultParagraphFont"/>
    <w:link w:val="Heading7"/>
    <w:rsid w:val="00AC0C7C"/>
    <w:rPr>
      <w:rFonts w:eastAsia="Times New Roman"/>
      <w:b/>
      <w:szCs w:val="20"/>
      <w:lang w:eastAsia="en-US"/>
    </w:rPr>
  </w:style>
  <w:style w:type="character" w:customStyle="1" w:styleId="Heading8Char">
    <w:name w:val="Heading 8 Char"/>
    <w:basedOn w:val="DefaultParagraphFont"/>
    <w:link w:val="Heading8"/>
    <w:rsid w:val="00AC0C7C"/>
    <w:rPr>
      <w:rFonts w:eastAsia="Times New Roman"/>
      <w:b/>
      <w:szCs w:val="20"/>
      <w:lang w:eastAsia="en-US"/>
    </w:rPr>
  </w:style>
  <w:style w:type="character" w:customStyle="1" w:styleId="Heading9Char">
    <w:name w:val="Heading 9 Char"/>
    <w:basedOn w:val="DefaultParagraphFont"/>
    <w:link w:val="Heading9"/>
    <w:rsid w:val="00AC0C7C"/>
    <w:rPr>
      <w:rFonts w:eastAsia="Times New Roman"/>
      <w:b/>
      <w:szCs w:val="20"/>
      <w:lang w:eastAsia="en-US"/>
    </w:rPr>
  </w:style>
  <w:style w:type="paragraph" w:styleId="Caption">
    <w:name w:val="caption"/>
    <w:basedOn w:val="Normal"/>
    <w:next w:val="Normal"/>
    <w:uiPriority w:val="35"/>
    <w:semiHidden/>
    <w:unhideWhenUsed/>
    <w:rsid w:val="00AC0C7C"/>
    <w:pPr>
      <w:spacing w:before="0" w:after="200"/>
    </w:pPr>
    <w:rPr>
      <w:i/>
      <w:iCs/>
      <w:color w:val="1F497D" w:themeColor="text2"/>
      <w:sz w:val="18"/>
      <w:szCs w:val="18"/>
    </w:rPr>
  </w:style>
  <w:style w:type="paragraph" w:styleId="FootnoteText">
    <w:name w:val="footnote text"/>
    <w:basedOn w:val="Note"/>
    <w:link w:val="FootnoteTextChar"/>
    <w:semiHidden/>
    <w:rsid w:val="0032747B"/>
    <w:pPr>
      <w:keepLines/>
      <w:tabs>
        <w:tab w:val="left" w:pos="255"/>
      </w:tabs>
      <w:ind w:left="255" w:hanging="255"/>
    </w:pPr>
  </w:style>
  <w:style w:type="character" w:customStyle="1" w:styleId="FootnoteTextChar">
    <w:name w:val="Footnote Text Char"/>
    <w:basedOn w:val="DefaultParagraphFont"/>
    <w:link w:val="FootnoteText"/>
    <w:semiHidden/>
    <w:rsid w:val="00AC0C7C"/>
    <w:rPr>
      <w:rFonts w:eastAsia="Times New Roman"/>
      <w:sz w:val="22"/>
      <w:szCs w:val="20"/>
      <w:lang w:eastAsia="en-US"/>
    </w:rPr>
  </w:style>
  <w:style w:type="character" w:styleId="FootnoteReference">
    <w:name w:val="footnote reference"/>
    <w:basedOn w:val="DefaultParagraphFont"/>
    <w:semiHidden/>
    <w:rsid w:val="0032747B"/>
    <w:rPr>
      <w:position w:val="6"/>
      <w:sz w:val="18"/>
    </w:rPr>
  </w:style>
  <w:style w:type="paragraph" w:styleId="Bibliography">
    <w:name w:val="Bibliography"/>
    <w:basedOn w:val="Normal"/>
    <w:next w:val="Normal"/>
    <w:uiPriority w:val="37"/>
    <w:semiHidden/>
    <w:unhideWhenUsed/>
    <w:rsid w:val="00AC0C7C"/>
  </w:style>
  <w:style w:type="paragraph" w:styleId="BlockText">
    <w:name w:val="Block Text"/>
    <w:basedOn w:val="Normal"/>
    <w:uiPriority w:val="99"/>
    <w:semiHidden/>
    <w:unhideWhenUsed/>
    <w:rsid w:val="00AC0C7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iPriority w:val="99"/>
    <w:semiHidden/>
    <w:unhideWhenUsed/>
    <w:rsid w:val="00AC0C7C"/>
    <w:pPr>
      <w:spacing w:after="120"/>
    </w:pPr>
  </w:style>
  <w:style w:type="character" w:customStyle="1" w:styleId="BodyTextChar">
    <w:name w:val="Body Text Char"/>
    <w:basedOn w:val="DefaultParagraphFont"/>
    <w:link w:val="BodyText"/>
    <w:uiPriority w:val="99"/>
    <w:semiHidden/>
    <w:rsid w:val="00AC0C7C"/>
    <w:rPr>
      <w:rFonts w:eastAsiaTheme="minorHAnsi"/>
      <w:lang w:eastAsia="ja-JP"/>
    </w:rPr>
  </w:style>
  <w:style w:type="paragraph" w:styleId="BodyText2">
    <w:name w:val="Body Text 2"/>
    <w:basedOn w:val="Normal"/>
    <w:link w:val="BodyText2Char"/>
    <w:uiPriority w:val="99"/>
    <w:semiHidden/>
    <w:unhideWhenUsed/>
    <w:rsid w:val="00AC0C7C"/>
    <w:pPr>
      <w:spacing w:after="120" w:line="480" w:lineRule="auto"/>
    </w:pPr>
  </w:style>
  <w:style w:type="character" w:customStyle="1" w:styleId="BodyText2Char">
    <w:name w:val="Body Text 2 Char"/>
    <w:basedOn w:val="DefaultParagraphFont"/>
    <w:link w:val="BodyText2"/>
    <w:uiPriority w:val="99"/>
    <w:semiHidden/>
    <w:rsid w:val="00AC0C7C"/>
    <w:rPr>
      <w:rFonts w:eastAsiaTheme="minorHAnsi"/>
      <w:lang w:eastAsia="ja-JP"/>
    </w:rPr>
  </w:style>
  <w:style w:type="paragraph" w:styleId="BodyText3">
    <w:name w:val="Body Text 3"/>
    <w:basedOn w:val="Normal"/>
    <w:link w:val="BodyText3Char"/>
    <w:uiPriority w:val="99"/>
    <w:semiHidden/>
    <w:unhideWhenUsed/>
    <w:rsid w:val="00AC0C7C"/>
    <w:pPr>
      <w:spacing w:after="120"/>
    </w:pPr>
    <w:rPr>
      <w:sz w:val="16"/>
      <w:szCs w:val="16"/>
    </w:rPr>
  </w:style>
  <w:style w:type="character" w:customStyle="1" w:styleId="BodyText3Char">
    <w:name w:val="Body Text 3 Char"/>
    <w:basedOn w:val="DefaultParagraphFont"/>
    <w:link w:val="BodyText3"/>
    <w:uiPriority w:val="99"/>
    <w:semiHidden/>
    <w:rsid w:val="00AC0C7C"/>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AC0C7C"/>
    <w:pPr>
      <w:spacing w:after="0"/>
      <w:ind w:firstLine="360"/>
    </w:pPr>
  </w:style>
  <w:style w:type="character" w:customStyle="1" w:styleId="BodyTextFirstIndentChar">
    <w:name w:val="Body Text First Indent Char"/>
    <w:basedOn w:val="BodyTextChar"/>
    <w:link w:val="BodyTextFirstIndent"/>
    <w:uiPriority w:val="99"/>
    <w:semiHidden/>
    <w:rsid w:val="00AC0C7C"/>
    <w:rPr>
      <w:rFonts w:eastAsiaTheme="minorHAnsi"/>
      <w:lang w:eastAsia="ja-JP"/>
    </w:rPr>
  </w:style>
  <w:style w:type="paragraph" w:styleId="BodyTextIndent">
    <w:name w:val="Body Text Indent"/>
    <w:basedOn w:val="Normal"/>
    <w:link w:val="BodyTextIndentChar"/>
    <w:uiPriority w:val="99"/>
    <w:semiHidden/>
    <w:unhideWhenUsed/>
    <w:rsid w:val="00AC0C7C"/>
    <w:pPr>
      <w:spacing w:after="120"/>
      <w:ind w:left="360"/>
    </w:pPr>
  </w:style>
  <w:style w:type="character" w:customStyle="1" w:styleId="BodyTextIndentChar">
    <w:name w:val="Body Text Indent Char"/>
    <w:basedOn w:val="DefaultParagraphFont"/>
    <w:link w:val="BodyTextIndent"/>
    <w:uiPriority w:val="99"/>
    <w:semiHidden/>
    <w:rsid w:val="00AC0C7C"/>
    <w:rPr>
      <w:rFonts w:eastAsiaTheme="minorHAnsi"/>
      <w:lang w:eastAsia="ja-JP"/>
    </w:rPr>
  </w:style>
  <w:style w:type="paragraph" w:styleId="BodyTextFirstIndent2">
    <w:name w:val="Body Text First Indent 2"/>
    <w:basedOn w:val="BodyTextIndent"/>
    <w:link w:val="BodyTextFirstIndent2Char"/>
    <w:uiPriority w:val="99"/>
    <w:semiHidden/>
    <w:unhideWhenUsed/>
    <w:rsid w:val="00AC0C7C"/>
    <w:pPr>
      <w:spacing w:after="0"/>
      <w:ind w:firstLine="360"/>
    </w:pPr>
  </w:style>
  <w:style w:type="character" w:customStyle="1" w:styleId="BodyTextFirstIndent2Char">
    <w:name w:val="Body Text First Indent 2 Char"/>
    <w:basedOn w:val="BodyTextIndentChar"/>
    <w:link w:val="BodyTextFirstIndent2"/>
    <w:uiPriority w:val="99"/>
    <w:semiHidden/>
    <w:rsid w:val="00AC0C7C"/>
    <w:rPr>
      <w:rFonts w:eastAsiaTheme="minorHAnsi"/>
      <w:lang w:eastAsia="ja-JP"/>
    </w:rPr>
  </w:style>
  <w:style w:type="paragraph" w:styleId="BodyTextIndent2">
    <w:name w:val="Body Text Indent 2"/>
    <w:basedOn w:val="Normal"/>
    <w:link w:val="BodyTextIndent2Char"/>
    <w:uiPriority w:val="99"/>
    <w:semiHidden/>
    <w:unhideWhenUsed/>
    <w:rsid w:val="00AC0C7C"/>
    <w:pPr>
      <w:spacing w:after="120" w:line="480" w:lineRule="auto"/>
      <w:ind w:left="360"/>
    </w:pPr>
  </w:style>
  <w:style w:type="character" w:customStyle="1" w:styleId="BodyTextIndent2Char">
    <w:name w:val="Body Text Indent 2 Char"/>
    <w:basedOn w:val="DefaultParagraphFont"/>
    <w:link w:val="BodyTextIndent2"/>
    <w:uiPriority w:val="99"/>
    <w:semiHidden/>
    <w:rsid w:val="00AC0C7C"/>
    <w:rPr>
      <w:rFonts w:eastAsiaTheme="minorHAnsi"/>
      <w:lang w:eastAsia="ja-JP"/>
    </w:rPr>
  </w:style>
  <w:style w:type="paragraph" w:styleId="BodyTextIndent3">
    <w:name w:val="Body Text Indent 3"/>
    <w:basedOn w:val="Normal"/>
    <w:link w:val="BodyTextIndent3Char"/>
    <w:uiPriority w:val="99"/>
    <w:semiHidden/>
    <w:unhideWhenUsed/>
    <w:rsid w:val="00AC0C7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C0C7C"/>
    <w:rPr>
      <w:rFonts w:eastAsiaTheme="minorHAnsi"/>
      <w:sz w:val="16"/>
      <w:szCs w:val="16"/>
      <w:lang w:eastAsia="ja-JP"/>
    </w:rPr>
  </w:style>
  <w:style w:type="character" w:styleId="BookTitle">
    <w:name w:val="Book Title"/>
    <w:basedOn w:val="DefaultParagraphFont"/>
    <w:uiPriority w:val="33"/>
    <w:rsid w:val="00AC0C7C"/>
    <w:rPr>
      <w:b/>
      <w:bCs/>
      <w:i/>
      <w:iCs/>
      <w:spacing w:val="5"/>
    </w:rPr>
  </w:style>
  <w:style w:type="paragraph" w:styleId="Closing">
    <w:name w:val="Closing"/>
    <w:basedOn w:val="Normal"/>
    <w:link w:val="ClosingChar"/>
    <w:uiPriority w:val="99"/>
    <w:semiHidden/>
    <w:unhideWhenUsed/>
    <w:rsid w:val="00AC0C7C"/>
    <w:pPr>
      <w:spacing w:before="0"/>
      <w:ind w:left="4320"/>
    </w:pPr>
  </w:style>
  <w:style w:type="character" w:customStyle="1" w:styleId="ClosingChar">
    <w:name w:val="Closing Char"/>
    <w:basedOn w:val="DefaultParagraphFont"/>
    <w:link w:val="Closing"/>
    <w:uiPriority w:val="99"/>
    <w:semiHidden/>
    <w:rsid w:val="00AC0C7C"/>
    <w:rPr>
      <w:rFonts w:eastAsiaTheme="minorHAnsi"/>
      <w:lang w:eastAsia="ja-JP"/>
    </w:rPr>
  </w:style>
  <w:style w:type="character" w:styleId="CommentReference">
    <w:name w:val="annotation reference"/>
    <w:basedOn w:val="DefaultParagraphFont"/>
    <w:semiHidden/>
    <w:rsid w:val="0032747B"/>
    <w:rPr>
      <w:sz w:val="16"/>
      <w:szCs w:val="16"/>
    </w:rPr>
  </w:style>
  <w:style w:type="paragraph" w:styleId="CommentText">
    <w:name w:val="annotation text"/>
    <w:basedOn w:val="Normal"/>
    <w:link w:val="CommentTextChar"/>
    <w:semiHidden/>
    <w:rsid w:val="0032747B"/>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semiHidden/>
    <w:rsid w:val="00AC0C7C"/>
    <w:rPr>
      <w:rFonts w:eastAsia="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AC0C7C"/>
    <w:rPr>
      <w:b/>
      <w:bCs/>
    </w:rPr>
  </w:style>
  <w:style w:type="character" w:customStyle="1" w:styleId="CommentSubjectChar">
    <w:name w:val="Comment Subject Char"/>
    <w:basedOn w:val="CommentTextChar"/>
    <w:link w:val="CommentSubject"/>
    <w:uiPriority w:val="99"/>
    <w:semiHidden/>
    <w:rsid w:val="00AC0C7C"/>
    <w:rPr>
      <w:rFonts w:eastAsiaTheme="minorHAnsi"/>
      <w:b/>
      <w:bCs/>
      <w:sz w:val="20"/>
      <w:szCs w:val="20"/>
      <w:lang w:val="en-US" w:eastAsia="ja-JP"/>
    </w:rPr>
  </w:style>
  <w:style w:type="paragraph" w:styleId="Date">
    <w:name w:val="Date"/>
    <w:basedOn w:val="Normal"/>
    <w:next w:val="Normal"/>
    <w:link w:val="DateChar"/>
    <w:uiPriority w:val="99"/>
    <w:semiHidden/>
    <w:unhideWhenUsed/>
    <w:rsid w:val="00AC0C7C"/>
  </w:style>
  <w:style w:type="character" w:customStyle="1" w:styleId="DateChar">
    <w:name w:val="Date Char"/>
    <w:basedOn w:val="DefaultParagraphFont"/>
    <w:link w:val="Date"/>
    <w:uiPriority w:val="99"/>
    <w:semiHidden/>
    <w:rsid w:val="00AC0C7C"/>
    <w:rPr>
      <w:rFonts w:eastAsiaTheme="minorHAnsi"/>
      <w:lang w:eastAsia="ja-JP"/>
    </w:rPr>
  </w:style>
  <w:style w:type="paragraph" w:styleId="DocumentMap">
    <w:name w:val="Document Map"/>
    <w:basedOn w:val="Normal"/>
    <w:link w:val="DocumentMapChar"/>
    <w:uiPriority w:val="99"/>
    <w:semiHidden/>
    <w:unhideWhenUsed/>
    <w:rsid w:val="00AC0C7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C0C7C"/>
    <w:rPr>
      <w:rFonts w:ascii="Segoe UI" w:eastAsiaTheme="minorHAnsi" w:hAnsi="Segoe UI" w:cs="Segoe UI"/>
      <w:sz w:val="16"/>
      <w:szCs w:val="16"/>
      <w:lang w:eastAsia="ja-JP"/>
    </w:rPr>
  </w:style>
  <w:style w:type="paragraph" w:styleId="E-mailSignature">
    <w:name w:val="E-mail Signature"/>
    <w:basedOn w:val="Normal"/>
    <w:link w:val="E-mailSignatureChar"/>
    <w:uiPriority w:val="99"/>
    <w:semiHidden/>
    <w:unhideWhenUsed/>
    <w:rsid w:val="00AC0C7C"/>
    <w:pPr>
      <w:spacing w:before="0"/>
    </w:pPr>
  </w:style>
  <w:style w:type="character" w:customStyle="1" w:styleId="E-mailSignatureChar">
    <w:name w:val="E-mail Signature Char"/>
    <w:basedOn w:val="DefaultParagraphFont"/>
    <w:link w:val="E-mailSignature"/>
    <w:uiPriority w:val="99"/>
    <w:semiHidden/>
    <w:rsid w:val="00AC0C7C"/>
    <w:rPr>
      <w:rFonts w:eastAsiaTheme="minorHAnsi"/>
      <w:lang w:eastAsia="ja-JP"/>
    </w:rPr>
  </w:style>
  <w:style w:type="character" w:styleId="Emphasis">
    <w:name w:val="Emphasis"/>
    <w:basedOn w:val="DefaultParagraphFont"/>
    <w:uiPriority w:val="20"/>
    <w:rsid w:val="00AC0C7C"/>
    <w:rPr>
      <w:i/>
      <w:iCs/>
    </w:rPr>
  </w:style>
  <w:style w:type="character" w:styleId="EndnoteReference">
    <w:name w:val="endnote reference"/>
    <w:basedOn w:val="DefaultParagraphFont"/>
    <w:uiPriority w:val="99"/>
    <w:semiHidden/>
    <w:unhideWhenUsed/>
    <w:rsid w:val="00AC0C7C"/>
    <w:rPr>
      <w:vertAlign w:val="superscript"/>
    </w:rPr>
  </w:style>
  <w:style w:type="paragraph" w:styleId="EndnoteText">
    <w:name w:val="endnote text"/>
    <w:basedOn w:val="Normal"/>
    <w:link w:val="EndnoteTextChar"/>
    <w:uiPriority w:val="99"/>
    <w:semiHidden/>
    <w:unhideWhenUsed/>
    <w:rsid w:val="00AC0C7C"/>
    <w:pPr>
      <w:spacing w:before="0"/>
    </w:pPr>
    <w:rPr>
      <w:sz w:val="20"/>
    </w:rPr>
  </w:style>
  <w:style w:type="character" w:customStyle="1" w:styleId="EndnoteTextChar">
    <w:name w:val="Endnote Text Char"/>
    <w:basedOn w:val="DefaultParagraphFont"/>
    <w:link w:val="EndnoteText"/>
    <w:uiPriority w:val="99"/>
    <w:semiHidden/>
    <w:rsid w:val="00AC0C7C"/>
    <w:rPr>
      <w:rFonts w:eastAsiaTheme="minorHAnsi"/>
      <w:sz w:val="20"/>
      <w:szCs w:val="20"/>
      <w:lang w:eastAsia="ja-JP"/>
    </w:rPr>
  </w:style>
  <w:style w:type="paragraph" w:styleId="EnvelopeAddress">
    <w:name w:val="envelope address"/>
    <w:basedOn w:val="Normal"/>
    <w:uiPriority w:val="99"/>
    <w:semiHidden/>
    <w:unhideWhenUsed/>
    <w:rsid w:val="00AC0C7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AC0C7C"/>
    <w:pPr>
      <w:spacing w:before="0"/>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AC0C7C"/>
    <w:rPr>
      <w:color w:val="800080" w:themeColor="followedHyperlink"/>
      <w:u w:val="single"/>
    </w:rPr>
  </w:style>
  <w:style w:type="character" w:customStyle="1" w:styleId="Hashtag1">
    <w:name w:val="Hashtag1"/>
    <w:basedOn w:val="DefaultParagraphFont"/>
    <w:uiPriority w:val="99"/>
    <w:semiHidden/>
    <w:unhideWhenUsed/>
    <w:rsid w:val="00AC0C7C"/>
    <w:rPr>
      <w:color w:val="2B579A"/>
      <w:shd w:val="clear" w:color="auto" w:fill="E1DFDD"/>
    </w:rPr>
  </w:style>
  <w:style w:type="character" w:styleId="HTMLAcronym">
    <w:name w:val="HTML Acronym"/>
    <w:basedOn w:val="DefaultParagraphFont"/>
    <w:uiPriority w:val="99"/>
    <w:semiHidden/>
    <w:unhideWhenUsed/>
    <w:rsid w:val="00AC0C7C"/>
  </w:style>
  <w:style w:type="paragraph" w:styleId="HTMLAddress">
    <w:name w:val="HTML Address"/>
    <w:basedOn w:val="Normal"/>
    <w:link w:val="HTMLAddressChar"/>
    <w:uiPriority w:val="99"/>
    <w:semiHidden/>
    <w:unhideWhenUsed/>
    <w:rsid w:val="00AC0C7C"/>
    <w:pPr>
      <w:spacing w:before="0"/>
    </w:pPr>
    <w:rPr>
      <w:i/>
      <w:iCs/>
    </w:rPr>
  </w:style>
  <w:style w:type="character" w:customStyle="1" w:styleId="HTMLAddressChar">
    <w:name w:val="HTML Address Char"/>
    <w:basedOn w:val="DefaultParagraphFont"/>
    <w:link w:val="HTMLAddress"/>
    <w:uiPriority w:val="99"/>
    <w:semiHidden/>
    <w:rsid w:val="00AC0C7C"/>
    <w:rPr>
      <w:rFonts w:eastAsiaTheme="minorHAnsi"/>
      <w:i/>
      <w:iCs/>
      <w:lang w:eastAsia="ja-JP"/>
    </w:rPr>
  </w:style>
  <w:style w:type="character" w:styleId="HTMLCite">
    <w:name w:val="HTML Cite"/>
    <w:basedOn w:val="DefaultParagraphFont"/>
    <w:uiPriority w:val="99"/>
    <w:semiHidden/>
    <w:unhideWhenUsed/>
    <w:rsid w:val="00AC0C7C"/>
    <w:rPr>
      <w:i/>
      <w:iCs/>
    </w:rPr>
  </w:style>
  <w:style w:type="character" w:styleId="HTMLCode">
    <w:name w:val="HTML Code"/>
    <w:basedOn w:val="DefaultParagraphFont"/>
    <w:uiPriority w:val="99"/>
    <w:semiHidden/>
    <w:unhideWhenUsed/>
    <w:rsid w:val="00AC0C7C"/>
    <w:rPr>
      <w:rFonts w:ascii="Consolas" w:hAnsi="Consolas"/>
      <w:sz w:val="20"/>
      <w:szCs w:val="20"/>
    </w:rPr>
  </w:style>
  <w:style w:type="character" w:styleId="HTMLDefinition">
    <w:name w:val="HTML Definition"/>
    <w:basedOn w:val="DefaultParagraphFont"/>
    <w:uiPriority w:val="99"/>
    <w:semiHidden/>
    <w:unhideWhenUsed/>
    <w:rsid w:val="00AC0C7C"/>
    <w:rPr>
      <w:i/>
      <w:iCs/>
    </w:rPr>
  </w:style>
  <w:style w:type="character" w:styleId="HTMLKeyboard">
    <w:name w:val="HTML Keyboard"/>
    <w:basedOn w:val="DefaultParagraphFont"/>
    <w:uiPriority w:val="99"/>
    <w:semiHidden/>
    <w:unhideWhenUsed/>
    <w:rsid w:val="00AC0C7C"/>
    <w:rPr>
      <w:rFonts w:ascii="Consolas" w:hAnsi="Consolas"/>
      <w:sz w:val="20"/>
      <w:szCs w:val="20"/>
    </w:rPr>
  </w:style>
  <w:style w:type="paragraph" w:styleId="HTMLPreformatted">
    <w:name w:val="HTML Preformatted"/>
    <w:basedOn w:val="Normal"/>
    <w:link w:val="HTMLPreformattedChar"/>
    <w:uiPriority w:val="99"/>
    <w:semiHidden/>
    <w:unhideWhenUsed/>
    <w:rsid w:val="00AC0C7C"/>
    <w:pPr>
      <w:spacing w:before="0"/>
    </w:pPr>
    <w:rPr>
      <w:rFonts w:ascii="Consolas" w:hAnsi="Consolas"/>
      <w:sz w:val="20"/>
    </w:rPr>
  </w:style>
  <w:style w:type="character" w:customStyle="1" w:styleId="HTMLPreformattedChar">
    <w:name w:val="HTML Preformatted Char"/>
    <w:basedOn w:val="DefaultParagraphFont"/>
    <w:link w:val="HTMLPreformatted"/>
    <w:uiPriority w:val="99"/>
    <w:semiHidden/>
    <w:rsid w:val="00AC0C7C"/>
    <w:rPr>
      <w:rFonts w:ascii="Consolas" w:eastAsiaTheme="minorHAnsi" w:hAnsi="Consolas"/>
      <w:sz w:val="20"/>
      <w:szCs w:val="20"/>
      <w:lang w:eastAsia="ja-JP"/>
    </w:rPr>
  </w:style>
  <w:style w:type="character" w:styleId="HTMLSample">
    <w:name w:val="HTML Sample"/>
    <w:basedOn w:val="DefaultParagraphFont"/>
    <w:uiPriority w:val="99"/>
    <w:semiHidden/>
    <w:unhideWhenUsed/>
    <w:rsid w:val="00AC0C7C"/>
    <w:rPr>
      <w:rFonts w:ascii="Consolas" w:hAnsi="Consolas"/>
      <w:sz w:val="24"/>
      <w:szCs w:val="24"/>
    </w:rPr>
  </w:style>
  <w:style w:type="character" w:styleId="HTMLTypewriter">
    <w:name w:val="HTML Typewriter"/>
    <w:basedOn w:val="DefaultParagraphFont"/>
    <w:uiPriority w:val="99"/>
    <w:semiHidden/>
    <w:unhideWhenUsed/>
    <w:rsid w:val="00AC0C7C"/>
    <w:rPr>
      <w:rFonts w:ascii="Consolas" w:hAnsi="Consolas"/>
      <w:sz w:val="20"/>
      <w:szCs w:val="20"/>
    </w:rPr>
  </w:style>
  <w:style w:type="character" w:styleId="HTMLVariable">
    <w:name w:val="HTML Variable"/>
    <w:basedOn w:val="DefaultParagraphFont"/>
    <w:uiPriority w:val="99"/>
    <w:semiHidden/>
    <w:unhideWhenUsed/>
    <w:rsid w:val="00AC0C7C"/>
    <w:rPr>
      <w:i/>
      <w:iCs/>
    </w:rPr>
  </w:style>
  <w:style w:type="paragraph" w:styleId="Index1">
    <w:name w:val="index 1"/>
    <w:basedOn w:val="Normal"/>
    <w:next w:val="Normal"/>
    <w:semiHidden/>
    <w:rsid w:val="0032747B"/>
    <w:pPr>
      <w:jc w:val="left"/>
    </w:pPr>
  </w:style>
  <w:style w:type="paragraph" w:styleId="Index2">
    <w:name w:val="index 2"/>
    <w:basedOn w:val="Normal"/>
    <w:next w:val="Normal"/>
    <w:semiHidden/>
    <w:rsid w:val="0032747B"/>
    <w:pPr>
      <w:ind w:left="284"/>
      <w:jc w:val="left"/>
    </w:pPr>
  </w:style>
  <w:style w:type="paragraph" w:styleId="Index3">
    <w:name w:val="index 3"/>
    <w:basedOn w:val="Normal"/>
    <w:next w:val="Normal"/>
    <w:semiHidden/>
    <w:rsid w:val="0032747B"/>
    <w:pPr>
      <w:ind w:left="567"/>
      <w:jc w:val="left"/>
    </w:pPr>
  </w:style>
  <w:style w:type="paragraph" w:styleId="Index4">
    <w:name w:val="index 4"/>
    <w:basedOn w:val="Normal"/>
    <w:next w:val="Normal"/>
    <w:autoRedefine/>
    <w:uiPriority w:val="99"/>
    <w:semiHidden/>
    <w:unhideWhenUsed/>
    <w:rsid w:val="00AC0C7C"/>
    <w:pPr>
      <w:spacing w:before="0"/>
      <w:ind w:left="960" w:hanging="240"/>
    </w:pPr>
  </w:style>
  <w:style w:type="paragraph" w:styleId="Index5">
    <w:name w:val="index 5"/>
    <w:basedOn w:val="Normal"/>
    <w:next w:val="Normal"/>
    <w:autoRedefine/>
    <w:uiPriority w:val="99"/>
    <w:semiHidden/>
    <w:unhideWhenUsed/>
    <w:rsid w:val="00AC0C7C"/>
    <w:pPr>
      <w:spacing w:before="0"/>
      <w:ind w:left="1200" w:hanging="240"/>
    </w:pPr>
  </w:style>
  <w:style w:type="paragraph" w:styleId="Index6">
    <w:name w:val="index 6"/>
    <w:basedOn w:val="Normal"/>
    <w:next w:val="Normal"/>
    <w:autoRedefine/>
    <w:uiPriority w:val="99"/>
    <w:semiHidden/>
    <w:unhideWhenUsed/>
    <w:rsid w:val="00AC0C7C"/>
    <w:pPr>
      <w:spacing w:before="0"/>
      <w:ind w:left="1440" w:hanging="240"/>
    </w:pPr>
  </w:style>
  <w:style w:type="paragraph" w:styleId="Index7">
    <w:name w:val="index 7"/>
    <w:basedOn w:val="Normal"/>
    <w:next w:val="Normal"/>
    <w:autoRedefine/>
    <w:uiPriority w:val="99"/>
    <w:semiHidden/>
    <w:unhideWhenUsed/>
    <w:rsid w:val="00AC0C7C"/>
    <w:pPr>
      <w:spacing w:before="0"/>
      <w:ind w:left="1680" w:hanging="240"/>
    </w:pPr>
  </w:style>
  <w:style w:type="paragraph" w:styleId="Index8">
    <w:name w:val="index 8"/>
    <w:basedOn w:val="Normal"/>
    <w:next w:val="Normal"/>
    <w:autoRedefine/>
    <w:uiPriority w:val="99"/>
    <w:semiHidden/>
    <w:unhideWhenUsed/>
    <w:rsid w:val="00AC0C7C"/>
    <w:pPr>
      <w:spacing w:before="0"/>
      <w:ind w:left="1920" w:hanging="240"/>
    </w:pPr>
  </w:style>
  <w:style w:type="paragraph" w:styleId="Index9">
    <w:name w:val="index 9"/>
    <w:basedOn w:val="Normal"/>
    <w:next w:val="Normal"/>
    <w:autoRedefine/>
    <w:uiPriority w:val="99"/>
    <w:semiHidden/>
    <w:unhideWhenUsed/>
    <w:rsid w:val="00AC0C7C"/>
    <w:pPr>
      <w:spacing w:before="0"/>
      <w:ind w:left="2160" w:hanging="240"/>
    </w:pPr>
  </w:style>
  <w:style w:type="paragraph" w:styleId="IndexHeading">
    <w:name w:val="index heading"/>
    <w:basedOn w:val="Normal"/>
    <w:next w:val="Index1"/>
    <w:uiPriority w:val="99"/>
    <w:semiHidden/>
    <w:unhideWhenUsed/>
    <w:rsid w:val="00AC0C7C"/>
    <w:rPr>
      <w:rFonts w:asciiTheme="majorHAnsi" w:eastAsiaTheme="majorEastAsia" w:hAnsiTheme="majorHAnsi" w:cstheme="majorBidi"/>
      <w:b/>
      <w:bCs/>
    </w:rPr>
  </w:style>
  <w:style w:type="character" w:styleId="IntenseEmphasis">
    <w:name w:val="Intense Emphasis"/>
    <w:basedOn w:val="DefaultParagraphFont"/>
    <w:uiPriority w:val="21"/>
    <w:rsid w:val="00AC0C7C"/>
    <w:rPr>
      <w:i/>
      <w:iCs/>
      <w:color w:val="4F81BD" w:themeColor="accent1"/>
    </w:rPr>
  </w:style>
  <w:style w:type="paragraph" w:styleId="IntenseQuote">
    <w:name w:val="Intense Quote"/>
    <w:basedOn w:val="Normal"/>
    <w:next w:val="Normal"/>
    <w:link w:val="IntenseQuoteChar"/>
    <w:uiPriority w:val="30"/>
    <w:rsid w:val="00AC0C7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C0C7C"/>
    <w:rPr>
      <w:rFonts w:eastAsiaTheme="minorHAnsi"/>
      <w:i/>
      <w:iCs/>
      <w:color w:val="4F81BD" w:themeColor="accent1"/>
      <w:lang w:eastAsia="ja-JP"/>
    </w:rPr>
  </w:style>
  <w:style w:type="character" w:styleId="IntenseReference">
    <w:name w:val="Intense Reference"/>
    <w:basedOn w:val="DefaultParagraphFont"/>
    <w:uiPriority w:val="32"/>
    <w:rsid w:val="00AC0C7C"/>
    <w:rPr>
      <w:b/>
      <w:bCs/>
      <w:smallCaps/>
      <w:color w:val="4F81BD" w:themeColor="accent1"/>
      <w:spacing w:val="5"/>
    </w:rPr>
  </w:style>
  <w:style w:type="character" w:styleId="LineNumber">
    <w:name w:val="line number"/>
    <w:basedOn w:val="DefaultParagraphFont"/>
    <w:uiPriority w:val="99"/>
    <w:semiHidden/>
    <w:unhideWhenUsed/>
    <w:rsid w:val="00AC0C7C"/>
  </w:style>
  <w:style w:type="paragraph" w:styleId="List">
    <w:name w:val="List"/>
    <w:basedOn w:val="Normal"/>
    <w:uiPriority w:val="99"/>
    <w:semiHidden/>
    <w:unhideWhenUsed/>
    <w:rsid w:val="00AC0C7C"/>
    <w:pPr>
      <w:ind w:left="360" w:hanging="360"/>
      <w:contextualSpacing/>
    </w:pPr>
  </w:style>
  <w:style w:type="paragraph" w:styleId="List2">
    <w:name w:val="List 2"/>
    <w:basedOn w:val="Normal"/>
    <w:uiPriority w:val="99"/>
    <w:semiHidden/>
    <w:unhideWhenUsed/>
    <w:rsid w:val="00AC0C7C"/>
    <w:pPr>
      <w:ind w:left="720" w:hanging="360"/>
      <w:contextualSpacing/>
    </w:pPr>
  </w:style>
  <w:style w:type="paragraph" w:styleId="List3">
    <w:name w:val="List 3"/>
    <w:basedOn w:val="Normal"/>
    <w:uiPriority w:val="99"/>
    <w:semiHidden/>
    <w:unhideWhenUsed/>
    <w:rsid w:val="00AC0C7C"/>
    <w:pPr>
      <w:ind w:left="1080" w:hanging="360"/>
      <w:contextualSpacing/>
    </w:pPr>
  </w:style>
  <w:style w:type="paragraph" w:styleId="List4">
    <w:name w:val="List 4"/>
    <w:basedOn w:val="Normal"/>
    <w:uiPriority w:val="99"/>
    <w:semiHidden/>
    <w:unhideWhenUsed/>
    <w:rsid w:val="00AC0C7C"/>
    <w:pPr>
      <w:ind w:left="1440" w:hanging="360"/>
      <w:contextualSpacing/>
    </w:pPr>
  </w:style>
  <w:style w:type="paragraph" w:styleId="List5">
    <w:name w:val="List 5"/>
    <w:basedOn w:val="Normal"/>
    <w:uiPriority w:val="99"/>
    <w:semiHidden/>
    <w:unhideWhenUsed/>
    <w:rsid w:val="00AC0C7C"/>
    <w:pPr>
      <w:ind w:left="1800" w:hanging="360"/>
      <w:contextualSpacing/>
    </w:pPr>
  </w:style>
  <w:style w:type="paragraph" w:styleId="ListBullet">
    <w:name w:val="List Bullet"/>
    <w:basedOn w:val="Normal"/>
    <w:uiPriority w:val="99"/>
    <w:semiHidden/>
    <w:unhideWhenUsed/>
    <w:rsid w:val="00AC0C7C"/>
    <w:pPr>
      <w:numPr>
        <w:numId w:val="17"/>
      </w:numPr>
      <w:contextualSpacing/>
    </w:pPr>
  </w:style>
  <w:style w:type="paragraph" w:styleId="ListBullet2">
    <w:name w:val="List Bullet 2"/>
    <w:basedOn w:val="Normal"/>
    <w:uiPriority w:val="99"/>
    <w:semiHidden/>
    <w:unhideWhenUsed/>
    <w:rsid w:val="00AC0C7C"/>
    <w:pPr>
      <w:numPr>
        <w:numId w:val="18"/>
      </w:numPr>
      <w:contextualSpacing/>
    </w:pPr>
  </w:style>
  <w:style w:type="paragraph" w:styleId="ListBullet3">
    <w:name w:val="List Bullet 3"/>
    <w:basedOn w:val="Normal"/>
    <w:uiPriority w:val="99"/>
    <w:semiHidden/>
    <w:unhideWhenUsed/>
    <w:rsid w:val="00AC0C7C"/>
    <w:pPr>
      <w:numPr>
        <w:numId w:val="19"/>
      </w:numPr>
      <w:contextualSpacing/>
    </w:pPr>
  </w:style>
  <w:style w:type="paragraph" w:styleId="ListBullet4">
    <w:name w:val="List Bullet 4"/>
    <w:basedOn w:val="Normal"/>
    <w:uiPriority w:val="99"/>
    <w:semiHidden/>
    <w:unhideWhenUsed/>
    <w:rsid w:val="00AC0C7C"/>
    <w:pPr>
      <w:numPr>
        <w:numId w:val="20"/>
      </w:numPr>
      <w:contextualSpacing/>
    </w:pPr>
  </w:style>
  <w:style w:type="paragraph" w:styleId="ListBullet5">
    <w:name w:val="List Bullet 5"/>
    <w:basedOn w:val="Normal"/>
    <w:uiPriority w:val="99"/>
    <w:semiHidden/>
    <w:unhideWhenUsed/>
    <w:rsid w:val="00AC0C7C"/>
    <w:pPr>
      <w:numPr>
        <w:numId w:val="21"/>
      </w:numPr>
      <w:contextualSpacing/>
    </w:pPr>
  </w:style>
  <w:style w:type="paragraph" w:styleId="ListContinue">
    <w:name w:val="List Continue"/>
    <w:basedOn w:val="Normal"/>
    <w:uiPriority w:val="99"/>
    <w:semiHidden/>
    <w:unhideWhenUsed/>
    <w:rsid w:val="00AC0C7C"/>
    <w:pPr>
      <w:spacing w:after="120"/>
      <w:ind w:left="360"/>
      <w:contextualSpacing/>
    </w:pPr>
  </w:style>
  <w:style w:type="paragraph" w:styleId="ListContinue2">
    <w:name w:val="List Continue 2"/>
    <w:basedOn w:val="Normal"/>
    <w:uiPriority w:val="99"/>
    <w:semiHidden/>
    <w:unhideWhenUsed/>
    <w:rsid w:val="00AC0C7C"/>
    <w:pPr>
      <w:spacing w:after="120"/>
      <w:ind w:left="720"/>
      <w:contextualSpacing/>
    </w:pPr>
  </w:style>
  <w:style w:type="paragraph" w:styleId="ListContinue3">
    <w:name w:val="List Continue 3"/>
    <w:basedOn w:val="Normal"/>
    <w:uiPriority w:val="99"/>
    <w:semiHidden/>
    <w:unhideWhenUsed/>
    <w:rsid w:val="00AC0C7C"/>
    <w:pPr>
      <w:spacing w:after="120"/>
      <w:ind w:left="1080"/>
      <w:contextualSpacing/>
    </w:pPr>
  </w:style>
  <w:style w:type="paragraph" w:styleId="ListContinue4">
    <w:name w:val="List Continue 4"/>
    <w:basedOn w:val="Normal"/>
    <w:uiPriority w:val="99"/>
    <w:semiHidden/>
    <w:unhideWhenUsed/>
    <w:rsid w:val="00AC0C7C"/>
    <w:pPr>
      <w:spacing w:after="120"/>
      <w:ind w:left="1440"/>
      <w:contextualSpacing/>
    </w:pPr>
  </w:style>
  <w:style w:type="paragraph" w:styleId="ListContinue5">
    <w:name w:val="List Continue 5"/>
    <w:basedOn w:val="Normal"/>
    <w:uiPriority w:val="99"/>
    <w:semiHidden/>
    <w:unhideWhenUsed/>
    <w:rsid w:val="00AC0C7C"/>
    <w:pPr>
      <w:spacing w:after="120"/>
      <w:ind w:left="1800"/>
      <w:contextualSpacing/>
    </w:pPr>
  </w:style>
  <w:style w:type="paragraph" w:styleId="ListNumber">
    <w:name w:val="List Number"/>
    <w:basedOn w:val="Normal"/>
    <w:uiPriority w:val="99"/>
    <w:semiHidden/>
    <w:unhideWhenUsed/>
    <w:rsid w:val="00AC0C7C"/>
    <w:pPr>
      <w:numPr>
        <w:numId w:val="22"/>
      </w:numPr>
      <w:contextualSpacing/>
    </w:pPr>
  </w:style>
  <w:style w:type="paragraph" w:styleId="ListNumber2">
    <w:name w:val="List Number 2"/>
    <w:basedOn w:val="Normal"/>
    <w:uiPriority w:val="99"/>
    <w:semiHidden/>
    <w:unhideWhenUsed/>
    <w:rsid w:val="00AC0C7C"/>
    <w:pPr>
      <w:numPr>
        <w:numId w:val="23"/>
      </w:numPr>
      <w:contextualSpacing/>
    </w:pPr>
  </w:style>
  <w:style w:type="paragraph" w:styleId="ListNumber3">
    <w:name w:val="List Number 3"/>
    <w:basedOn w:val="Normal"/>
    <w:uiPriority w:val="99"/>
    <w:semiHidden/>
    <w:unhideWhenUsed/>
    <w:rsid w:val="00AC0C7C"/>
    <w:pPr>
      <w:numPr>
        <w:numId w:val="24"/>
      </w:numPr>
      <w:contextualSpacing/>
    </w:pPr>
  </w:style>
  <w:style w:type="paragraph" w:styleId="ListNumber4">
    <w:name w:val="List Number 4"/>
    <w:basedOn w:val="Normal"/>
    <w:uiPriority w:val="99"/>
    <w:semiHidden/>
    <w:unhideWhenUsed/>
    <w:rsid w:val="00AC0C7C"/>
    <w:pPr>
      <w:numPr>
        <w:numId w:val="25"/>
      </w:numPr>
      <w:contextualSpacing/>
    </w:pPr>
  </w:style>
  <w:style w:type="paragraph" w:styleId="ListNumber5">
    <w:name w:val="List Number 5"/>
    <w:basedOn w:val="Normal"/>
    <w:uiPriority w:val="99"/>
    <w:semiHidden/>
    <w:unhideWhenUsed/>
    <w:rsid w:val="00AC0C7C"/>
    <w:pPr>
      <w:numPr>
        <w:numId w:val="26"/>
      </w:numPr>
      <w:contextualSpacing/>
    </w:pPr>
  </w:style>
  <w:style w:type="paragraph" w:styleId="MacroText">
    <w:name w:val="macro"/>
    <w:link w:val="MacroTextChar"/>
    <w:uiPriority w:val="99"/>
    <w:semiHidden/>
    <w:unhideWhenUsed/>
    <w:rsid w:val="00AC0C7C"/>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sz w:val="20"/>
      <w:szCs w:val="20"/>
      <w:lang w:eastAsia="ja-JP"/>
    </w:rPr>
  </w:style>
  <w:style w:type="character" w:customStyle="1" w:styleId="MacroTextChar">
    <w:name w:val="Macro Text Char"/>
    <w:basedOn w:val="DefaultParagraphFont"/>
    <w:link w:val="MacroText"/>
    <w:uiPriority w:val="99"/>
    <w:semiHidden/>
    <w:rsid w:val="00AC0C7C"/>
    <w:rPr>
      <w:rFonts w:ascii="Consolas" w:eastAsiaTheme="minorHAnsi" w:hAnsi="Consolas"/>
      <w:sz w:val="20"/>
      <w:szCs w:val="20"/>
      <w:lang w:eastAsia="ja-JP"/>
    </w:rPr>
  </w:style>
  <w:style w:type="character" w:customStyle="1" w:styleId="Mention1">
    <w:name w:val="Mention1"/>
    <w:basedOn w:val="DefaultParagraphFont"/>
    <w:uiPriority w:val="99"/>
    <w:semiHidden/>
    <w:unhideWhenUsed/>
    <w:rsid w:val="00AC0C7C"/>
    <w:rPr>
      <w:color w:val="2B579A"/>
      <w:shd w:val="clear" w:color="auto" w:fill="E1DFDD"/>
    </w:rPr>
  </w:style>
  <w:style w:type="paragraph" w:styleId="MessageHeader">
    <w:name w:val="Message Header"/>
    <w:basedOn w:val="Normal"/>
    <w:link w:val="MessageHeaderChar"/>
    <w:uiPriority w:val="99"/>
    <w:semiHidden/>
    <w:unhideWhenUsed/>
    <w:rsid w:val="00AC0C7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AC0C7C"/>
    <w:rPr>
      <w:rFonts w:asciiTheme="majorHAnsi" w:eastAsiaTheme="majorEastAsia" w:hAnsiTheme="majorHAnsi" w:cstheme="majorBidi"/>
      <w:shd w:val="pct20" w:color="auto" w:fill="auto"/>
      <w:lang w:eastAsia="ja-JP"/>
    </w:rPr>
  </w:style>
  <w:style w:type="paragraph" w:styleId="NoSpacing">
    <w:name w:val="No Spacing"/>
    <w:uiPriority w:val="1"/>
    <w:rsid w:val="00AC0C7C"/>
    <w:pPr>
      <w:spacing w:before="0"/>
    </w:pPr>
    <w:rPr>
      <w:rFonts w:eastAsiaTheme="minorHAnsi"/>
      <w:lang w:eastAsia="ja-JP"/>
    </w:rPr>
  </w:style>
  <w:style w:type="paragraph" w:styleId="NormalWeb">
    <w:name w:val="Normal (Web)"/>
    <w:basedOn w:val="Normal"/>
    <w:uiPriority w:val="99"/>
    <w:semiHidden/>
    <w:unhideWhenUsed/>
    <w:rsid w:val="00AC0C7C"/>
  </w:style>
  <w:style w:type="paragraph" w:styleId="NormalIndent">
    <w:name w:val="Normal Indent"/>
    <w:basedOn w:val="Normal"/>
    <w:uiPriority w:val="99"/>
    <w:semiHidden/>
    <w:unhideWhenUsed/>
    <w:rsid w:val="00AC0C7C"/>
    <w:pPr>
      <w:ind w:left="720"/>
    </w:pPr>
  </w:style>
  <w:style w:type="paragraph" w:styleId="NoteHeading">
    <w:name w:val="Note Heading"/>
    <w:basedOn w:val="Normal"/>
    <w:next w:val="Normal"/>
    <w:link w:val="NoteHeadingChar"/>
    <w:uiPriority w:val="99"/>
    <w:semiHidden/>
    <w:unhideWhenUsed/>
    <w:rsid w:val="00AC0C7C"/>
    <w:pPr>
      <w:spacing w:before="0"/>
    </w:pPr>
  </w:style>
  <w:style w:type="character" w:customStyle="1" w:styleId="NoteHeadingChar">
    <w:name w:val="Note Heading Char"/>
    <w:basedOn w:val="DefaultParagraphFont"/>
    <w:link w:val="NoteHeading"/>
    <w:uiPriority w:val="99"/>
    <w:semiHidden/>
    <w:rsid w:val="00AC0C7C"/>
    <w:rPr>
      <w:rFonts w:eastAsiaTheme="minorHAnsi"/>
      <w:lang w:eastAsia="ja-JP"/>
    </w:rPr>
  </w:style>
  <w:style w:type="character" w:styleId="PageNumber">
    <w:name w:val="page number"/>
    <w:basedOn w:val="DefaultParagraphFont"/>
    <w:rsid w:val="0032747B"/>
  </w:style>
  <w:style w:type="paragraph" w:styleId="PlainText">
    <w:name w:val="Plain Text"/>
    <w:basedOn w:val="Normal"/>
    <w:link w:val="PlainTextChar"/>
    <w:uiPriority w:val="99"/>
    <w:semiHidden/>
    <w:unhideWhenUsed/>
    <w:rsid w:val="00AC0C7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AC0C7C"/>
    <w:rPr>
      <w:rFonts w:ascii="Consolas" w:eastAsiaTheme="minorHAnsi" w:hAnsi="Consolas"/>
      <w:sz w:val="21"/>
      <w:szCs w:val="21"/>
      <w:lang w:eastAsia="ja-JP"/>
    </w:rPr>
  </w:style>
  <w:style w:type="paragraph" w:styleId="Quote">
    <w:name w:val="Quote"/>
    <w:basedOn w:val="Normal"/>
    <w:next w:val="Normal"/>
    <w:link w:val="QuoteChar"/>
    <w:uiPriority w:val="29"/>
    <w:rsid w:val="00AC0C7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C0C7C"/>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AC0C7C"/>
  </w:style>
  <w:style w:type="character" w:customStyle="1" w:styleId="SalutationChar">
    <w:name w:val="Salutation Char"/>
    <w:basedOn w:val="DefaultParagraphFont"/>
    <w:link w:val="Salutation"/>
    <w:uiPriority w:val="99"/>
    <w:semiHidden/>
    <w:rsid w:val="00AC0C7C"/>
    <w:rPr>
      <w:rFonts w:eastAsiaTheme="minorHAnsi"/>
      <w:lang w:eastAsia="ja-JP"/>
    </w:rPr>
  </w:style>
  <w:style w:type="paragraph" w:styleId="Signature">
    <w:name w:val="Signature"/>
    <w:basedOn w:val="Normal"/>
    <w:link w:val="SignatureChar"/>
    <w:uiPriority w:val="99"/>
    <w:semiHidden/>
    <w:unhideWhenUsed/>
    <w:rsid w:val="00AC0C7C"/>
    <w:pPr>
      <w:spacing w:before="0"/>
      <w:ind w:left="4320"/>
    </w:pPr>
  </w:style>
  <w:style w:type="character" w:customStyle="1" w:styleId="SignatureChar">
    <w:name w:val="Signature Char"/>
    <w:basedOn w:val="DefaultParagraphFont"/>
    <w:link w:val="Signature"/>
    <w:uiPriority w:val="99"/>
    <w:semiHidden/>
    <w:rsid w:val="00AC0C7C"/>
    <w:rPr>
      <w:rFonts w:eastAsiaTheme="minorHAnsi"/>
      <w:lang w:eastAsia="ja-JP"/>
    </w:rPr>
  </w:style>
  <w:style w:type="character" w:customStyle="1" w:styleId="SmartHyperlink1">
    <w:name w:val="Smart Hyperlink1"/>
    <w:basedOn w:val="DefaultParagraphFont"/>
    <w:uiPriority w:val="99"/>
    <w:semiHidden/>
    <w:unhideWhenUsed/>
    <w:rsid w:val="00AC0C7C"/>
    <w:rPr>
      <w:u w:val="dotted"/>
    </w:rPr>
  </w:style>
  <w:style w:type="character" w:customStyle="1" w:styleId="SmartLink1">
    <w:name w:val="SmartLink1"/>
    <w:basedOn w:val="DefaultParagraphFont"/>
    <w:uiPriority w:val="99"/>
    <w:semiHidden/>
    <w:unhideWhenUsed/>
    <w:rsid w:val="00AC0C7C"/>
    <w:rPr>
      <w:color w:val="0000FF"/>
      <w:u w:val="single"/>
      <w:shd w:val="clear" w:color="auto" w:fill="F3F2F1"/>
    </w:rPr>
  </w:style>
  <w:style w:type="character" w:styleId="Strong">
    <w:name w:val="Strong"/>
    <w:basedOn w:val="DefaultParagraphFont"/>
    <w:uiPriority w:val="22"/>
    <w:rsid w:val="00AC0C7C"/>
    <w:rPr>
      <w:b/>
      <w:bCs/>
    </w:rPr>
  </w:style>
  <w:style w:type="character" w:styleId="SubtleEmphasis">
    <w:name w:val="Subtle Emphasis"/>
    <w:basedOn w:val="DefaultParagraphFont"/>
    <w:uiPriority w:val="19"/>
    <w:rsid w:val="00AC0C7C"/>
    <w:rPr>
      <w:i/>
      <w:iCs/>
      <w:color w:val="404040" w:themeColor="text1" w:themeTint="BF"/>
    </w:rPr>
  </w:style>
  <w:style w:type="character" w:styleId="SubtleReference">
    <w:name w:val="Subtle Reference"/>
    <w:basedOn w:val="DefaultParagraphFont"/>
    <w:uiPriority w:val="31"/>
    <w:rsid w:val="00AC0C7C"/>
    <w:rPr>
      <w:smallCaps/>
      <w:color w:val="5A5A5A" w:themeColor="text1" w:themeTint="A5"/>
    </w:rPr>
  </w:style>
  <w:style w:type="paragraph" w:styleId="TableofAuthorities">
    <w:name w:val="table of authorities"/>
    <w:basedOn w:val="Normal"/>
    <w:next w:val="Normal"/>
    <w:uiPriority w:val="99"/>
    <w:semiHidden/>
    <w:unhideWhenUsed/>
    <w:rsid w:val="00AC0C7C"/>
    <w:pPr>
      <w:ind w:left="240" w:hanging="240"/>
    </w:pPr>
  </w:style>
  <w:style w:type="paragraph" w:styleId="TOAHeading">
    <w:name w:val="toa heading"/>
    <w:basedOn w:val="Normal"/>
    <w:next w:val="Normal"/>
    <w:uiPriority w:val="99"/>
    <w:semiHidden/>
    <w:unhideWhenUsed/>
    <w:rsid w:val="00AC0C7C"/>
    <w:rPr>
      <w:rFonts w:asciiTheme="majorHAnsi" w:eastAsiaTheme="majorEastAsia" w:hAnsiTheme="majorHAnsi" w:cstheme="majorBidi"/>
      <w:b/>
      <w:bCs/>
    </w:rPr>
  </w:style>
  <w:style w:type="paragraph" w:styleId="TOC4">
    <w:name w:val="toc 4"/>
    <w:basedOn w:val="TOC3"/>
    <w:semiHidden/>
    <w:rsid w:val="0032747B"/>
  </w:style>
  <w:style w:type="paragraph" w:styleId="TOC5">
    <w:name w:val="toc 5"/>
    <w:basedOn w:val="TOC4"/>
    <w:semiHidden/>
    <w:rsid w:val="0032747B"/>
  </w:style>
  <w:style w:type="paragraph" w:styleId="TOC6">
    <w:name w:val="toc 6"/>
    <w:basedOn w:val="TOC4"/>
    <w:semiHidden/>
    <w:rsid w:val="0032747B"/>
  </w:style>
  <w:style w:type="paragraph" w:styleId="TOC7">
    <w:name w:val="toc 7"/>
    <w:basedOn w:val="TOC4"/>
    <w:semiHidden/>
    <w:rsid w:val="0032747B"/>
  </w:style>
  <w:style w:type="paragraph" w:styleId="TOC8">
    <w:name w:val="toc 8"/>
    <w:basedOn w:val="TOC4"/>
    <w:semiHidden/>
    <w:rsid w:val="0032747B"/>
  </w:style>
  <w:style w:type="paragraph" w:styleId="TOC9">
    <w:name w:val="toc 9"/>
    <w:basedOn w:val="TOC3"/>
    <w:semiHidden/>
    <w:rsid w:val="0032747B"/>
  </w:style>
  <w:style w:type="paragraph" w:styleId="TOCHeading">
    <w:name w:val="TOC Heading"/>
    <w:basedOn w:val="Heading1"/>
    <w:next w:val="Normal"/>
    <w:uiPriority w:val="39"/>
    <w:semiHidden/>
    <w:unhideWhenUsed/>
    <w:rsid w:val="00AC0C7C"/>
    <w:pPr>
      <w:ind w:left="0" w:firstLine="0"/>
      <w:outlineLvl w:val="9"/>
    </w:pPr>
    <w:rPr>
      <w:rFonts w:asciiTheme="majorHAnsi" w:eastAsiaTheme="majorEastAsia" w:hAnsiTheme="majorHAnsi" w:cstheme="majorBidi"/>
      <w:b w:val="0"/>
      <w:color w:val="365F91" w:themeColor="accent1" w:themeShade="BF"/>
      <w:sz w:val="32"/>
      <w:szCs w:val="32"/>
    </w:rPr>
  </w:style>
  <w:style w:type="table" w:styleId="TableGrid">
    <w:name w:val="Table Grid"/>
    <w:basedOn w:val="TableNormal"/>
    <w:uiPriority w:val="39"/>
    <w:rsid w:val="00AC0C7C"/>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F070E"/>
    <w:rPr>
      <w:rFonts w:eastAsia="Times New Roman"/>
      <w:b/>
      <w:szCs w:val="20"/>
      <w:lang w:eastAsia="en-US"/>
    </w:rPr>
  </w:style>
  <w:style w:type="paragraph" w:customStyle="1" w:styleId="toc0">
    <w:name w:val="toc 0"/>
    <w:basedOn w:val="Normal"/>
    <w:next w:val="TOC1"/>
    <w:rsid w:val="0032747B"/>
    <w:pPr>
      <w:keepLines/>
      <w:tabs>
        <w:tab w:val="clear" w:pos="794"/>
        <w:tab w:val="clear" w:pos="1191"/>
        <w:tab w:val="clear" w:pos="1588"/>
        <w:tab w:val="clear" w:pos="1985"/>
        <w:tab w:val="right" w:pos="9639"/>
      </w:tabs>
      <w:jc w:val="left"/>
    </w:pPr>
    <w:rPr>
      <w:b/>
    </w:rPr>
  </w:style>
  <w:style w:type="character" w:customStyle="1" w:styleId="Heading2Char">
    <w:name w:val="Heading 2 Char"/>
    <w:basedOn w:val="DefaultParagraphFont"/>
    <w:link w:val="Heading2"/>
    <w:rsid w:val="00EA49AC"/>
    <w:rPr>
      <w:rFonts w:eastAsia="Times New Roman"/>
      <w:b/>
      <w:szCs w:val="20"/>
      <w:lang w:eastAsia="en-US"/>
    </w:rPr>
  </w:style>
  <w:style w:type="character" w:customStyle="1" w:styleId="Heading3Char">
    <w:name w:val="Heading 3 Char"/>
    <w:basedOn w:val="DefaultParagraphFont"/>
    <w:link w:val="Heading3"/>
    <w:rsid w:val="00EA49AC"/>
    <w:rPr>
      <w:rFonts w:eastAsia="Times New Roman"/>
      <w:b/>
      <w:szCs w:val="20"/>
      <w:lang w:eastAsia="en-US"/>
    </w:rPr>
  </w:style>
  <w:style w:type="character" w:customStyle="1" w:styleId="Heading4Char">
    <w:name w:val="Heading 4 Char"/>
    <w:basedOn w:val="DefaultParagraphFont"/>
    <w:link w:val="Heading4"/>
    <w:rsid w:val="00EA49AC"/>
    <w:rPr>
      <w:rFonts w:eastAsia="Times New Roman"/>
      <w:b/>
      <w:szCs w:val="20"/>
      <w:lang w:eastAsia="en-US"/>
    </w:rPr>
  </w:style>
  <w:style w:type="character" w:customStyle="1" w:styleId="Heading5Char">
    <w:name w:val="Heading 5 Char"/>
    <w:basedOn w:val="DefaultParagraphFont"/>
    <w:link w:val="Heading5"/>
    <w:rsid w:val="00EA49AC"/>
    <w:rPr>
      <w:rFonts w:eastAsia="Times New Roman"/>
      <w:b/>
      <w:szCs w:val="20"/>
      <w:lang w:eastAsia="en-US"/>
    </w:rPr>
  </w:style>
  <w:style w:type="character" w:customStyle="1" w:styleId="Heading6Char">
    <w:name w:val="Heading 6 Char"/>
    <w:basedOn w:val="DefaultParagraphFont"/>
    <w:link w:val="Heading6"/>
    <w:rsid w:val="00EA49AC"/>
    <w:rPr>
      <w:rFonts w:eastAsia="Times New Roman"/>
      <w:b/>
      <w:szCs w:val="20"/>
      <w:lang w:eastAsia="en-US"/>
    </w:rPr>
  </w:style>
  <w:style w:type="character" w:customStyle="1" w:styleId="TitleChar">
    <w:name w:val="Title Char"/>
    <w:basedOn w:val="DefaultParagraphFont"/>
    <w:link w:val="Title"/>
    <w:uiPriority w:val="10"/>
    <w:rsid w:val="00EA49AC"/>
    <w:rPr>
      <w:rFonts w:eastAsiaTheme="minorHAnsi"/>
      <w:b/>
      <w:sz w:val="72"/>
      <w:szCs w:val="72"/>
      <w:lang w:eastAsia="ja-JP"/>
    </w:rPr>
  </w:style>
  <w:style w:type="character" w:customStyle="1" w:styleId="SubtitleChar">
    <w:name w:val="Subtitle Char"/>
    <w:basedOn w:val="DefaultParagraphFont"/>
    <w:link w:val="Subtitle"/>
    <w:uiPriority w:val="11"/>
    <w:rsid w:val="00EA49AC"/>
    <w:rPr>
      <w:rFonts w:ascii="Georgia" w:eastAsia="Georgia" w:hAnsi="Georgia" w:cs="Georgia"/>
      <w:i/>
      <w:color w:val="666666"/>
      <w:sz w:val="48"/>
      <w:szCs w:val="48"/>
      <w:lang w:eastAsia="ja-JP"/>
    </w:rPr>
  </w:style>
  <w:style w:type="paragraph" w:customStyle="1" w:styleId="References">
    <w:name w:val="References"/>
    <w:basedOn w:val="Normal"/>
    <w:rsid w:val="00EA49AC"/>
    <w:pPr>
      <w:widowControl w:val="0"/>
      <w:numPr>
        <w:numId w:val="28"/>
      </w:numPr>
    </w:pPr>
    <w:rPr>
      <w:lang w:eastAsia="zh-CN"/>
    </w:rPr>
  </w:style>
  <w:style w:type="paragraph" w:customStyle="1" w:styleId="UCclass">
    <w:name w:val="UCclass"/>
    <w:basedOn w:val="Tablehead"/>
    <w:rsid w:val="005B1075"/>
    <w:rPr>
      <w:rFonts w:eastAsia="Verdana"/>
    </w:rPr>
  </w:style>
  <w:style w:type="paragraph" w:customStyle="1" w:styleId="UCname">
    <w:name w:val="UCname"/>
    <w:basedOn w:val="Tablehead"/>
    <w:rsid w:val="005B1075"/>
    <w:rPr>
      <w:rFonts w:eastAsia="Verdana"/>
    </w:rPr>
  </w:style>
  <w:style w:type="paragraph" w:customStyle="1" w:styleId="AnnexNoTitle0">
    <w:name w:val="Annex_NoTitle"/>
    <w:basedOn w:val="Normal"/>
    <w:next w:val="Normal"/>
    <w:rsid w:val="0032747B"/>
    <w:pPr>
      <w:keepNext/>
      <w:keepLines/>
      <w:spacing w:before="720"/>
      <w:jc w:val="center"/>
      <w:outlineLvl w:val="0"/>
    </w:pPr>
    <w:rPr>
      <w:b/>
      <w:sz w:val="28"/>
    </w:rPr>
  </w:style>
  <w:style w:type="character" w:customStyle="1" w:styleId="Appdef">
    <w:name w:val="App_def"/>
    <w:basedOn w:val="DefaultParagraphFont"/>
    <w:rsid w:val="0032747B"/>
    <w:rPr>
      <w:rFonts w:ascii="Times New Roman" w:hAnsi="Times New Roman"/>
      <w:b/>
    </w:rPr>
  </w:style>
  <w:style w:type="character" w:customStyle="1" w:styleId="Appref">
    <w:name w:val="App_ref"/>
    <w:basedOn w:val="DefaultParagraphFont"/>
    <w:rsid w:val="0032747B"/>
  </w:style>
  <w:style w:type="paragraph" w:customStyle="1" w:styleId="AppendixNoTitle0">
    <w:name w:val="Appendix_NoTitle"/>
    <w:basedOn w:val="AnnexNoTitle0"/>
    <w:next w:val="Normal"/>
    <w:rsid w:val="0032747B"/>
  </w:style>
  <w:style w:type="character" w:customStyle="1" w:styleId="Artdef">
    <w:name w:val="Art_def"/>
    <w:basedOn w:val="DefaultParagraphFont"/>
    <w:rsid w:val="0032747B"/>
    <w:rPr>
      <w:rFonts w:ascii="Times New Roman" w:hAnsi="Times New Roman"/>
      <w:b/>
    </w:rPr>
  </w:style>
  <w:style w:type="paragraph" w:customStyle="1" w:styleId="Artheading">
    <w:name w:val="Art_heading"/>
    <w:basedOn w:val="Normal"/>
    <w:next w:val="Normal"/>
    <w:rsid w:val="0032747B"/>
    <w:pPr>
      <w:spacing w:before="480"/>
      <w:jc w:val="center"/>
    </w:pPr>
    <w:rPr>
      <w:b/>
      <w:sz w:val="28"/>
    </w:rPr>
  </w:style>
  <w:style w:type="paragraph" w:customStyle="1" w:styleId="ArtNo">
    <w:name w:val="Art_No"/>
    <w:basedOn w:val="Normal"/>
    <w:next w:val="Normal"/>
    <w:rsid w:val="0032747B"/>
    <w:pPr>
      <w:keepNext/>
      <w:keepLines/>
      <w:spacing w:before="480"/>
      <w:jc w:val="center"/>
    </w:pPr>
    <w:rPr>
      <w:caps/>
      <w:sz w:val="28"/>
    </w:rPr>
  </w:style>
  <w:style w:type="character" w:customStyle="1" w:styleId="Artref">
    <w:name w:val="Art_ref"/>
    <w:basedOn w:val="DefaultParagraphFont"/>
    <w:rsid w:val="0032747B"/>
  </w:style>
  <w:style w:type="paragraph" w:customStyle="1" w:styleId="Arttitle">
    <w:name w:val="Art_title"/>
    <w:basedOn w:val="Normal"/>
    <w:next w:val="Normal"/>
    <w:rsid w:val="0032747B"/>
    <w:pPr>
      <w:keepNext/>
      <w:keepLines/>
      <w:spacing w:before="240"/>
      <w:jc w:val="center"/>
    </w:pPr>
    <w:rPr>
      <w:b/>
      <w:sz w:val="28"/>
    </w:rPr>
  </w:style>
  <w:style w:type="paragraph" w:customStyle="1" w:styleId="ASN1">
    <w:name w:val="ASN.1"/>
    <w:rsid w:val="0032747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b/>
      <w:noProof/>
      <w:sz w:val="20"/>
      <w:szCs w:val="20"/>
      <w:lang w:eastAsia="en-US"/>
    </w:rPr>
  </w:style>
  <w:style w:type="paragraph" w:customStyle="1" w:styleId="Call">
    <w:name w:val="Call"/>
    <w:basedOn w:val="Normal"/>
    <w:next w:val="Normal"/>
    <w:rsid w:val="0032747B"/>
    <w:pPr>
      <w:keepNext/>
      <w:keepLines/>
      <w:spacing w:before="160"/>
      <w:ind w:left="794"/>
      <w:jc w:val="left"/>
    </w:pPr>
    <w:rPr>
      <w:i/>
    </w:rPr>
  </w:style>
  <w:style w:type="paragraph" w:customStyle="1" w:styleId="ChapNo">
    <w:name w:val="Chap_No"/>
    <w:basedOn w:val="Normal"/>
    <w:next w:val="Normal"/>
    <w:rsid w:val="0032747B"/>
    <w:pPr>
      <w:keepNext/>
      <w:keepLines/>
      <w:spacing w:before="480"/>
      <w:jc w:val="center"/>
    </w:pPr>
    <w:rPr>
      <w:b/>
      <w:caps/>
      <w:sz w:val="28"/>
    </w:rPr>
  </w:style>
  <w:style w:type="paragraph" w:customStyle="1" w:styleId="Chaptitle">
    <w:name w:val="Chap_title"/>
    <w:basedOn w:val="Normal"/>
    <w:next w:val="Normal"/>
    <w:rsid w:val="0032747B"/>
    <w:pPr>
      <w:keepNext/>
      <w:keepLines/>
      <w:spacing w:before="240"/>
      <w:jc w:val="center"/>
    </w:pPr>
    <w:rPr>
      <w:b/>
      <w:sz w:val="28"/>
    </w:rPr>
  </w:style>
  <w:style w:type="paragraph" w:customStyle="1" w:styleId="enumlev1">
    <w:name w:val="enumlev1"/>
    <w:basedOn w:val="Normal"/>
    <w:rsid w:val="0032747B"/>
    <w:pPr>
      <w:spacing w:before="80"/>
      <w:ind w:left="794" w:hanging="794"/>
    </w:pPr>
  </w:style>
  <w:style w:type="paragraph" w:customStyle="1" w:styleId="enumlev2">
    <w:name w:val="enumlev2"/>
    <w:basedOn w:val="enumlev1"/>
    <w:rsid w:val="0032747B"/>
    <w:pPr>
      <w:ind w:left="1191" w:hanging="397"/>
    </w:pPr>
  </w:style>
  <w:style w:type="paragraph" w:customStyle="1" w:styleId="enumlev3">
    <w:name w:val="enumlev3"/>
    <w:basedOn w:val="enumlev2"/>
    <w:rsid w:val="0032747B"/>
    <w:pPr>
      <w:ind w:left="1588"/>
    </w:pPr>
  </w:style>
  <w:style w:type="paragraph" w:customStyle="1" w:styleId="Equation">
    <w:name w:val="Equation"/>
    <w:basedOn w:val="Normal"/>
    <w:rsid w:val="0032747B"/>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32747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2747B"/>
    <w:pPr>
      <w:keepNext/>
      <w:keepLines/>
      <w:tabs>
        <w:tab w:val="clear" w:pos="794"/>
        <w:tab w:val="clear" w:pos="1191"/>
        <w:tab w:val="clear" w:pos="1588"/>
        <w:tab w:val="clear" w:pos="1985"/>
      </w:tabs>
      <w:spacing w:before="20" w:after="20"/>
      <w:jc w:val="left"/>
    </w:pPr>
    <w:rPr>
      <w:sz w:val="18"/>
    </w:rPr>
  </w:style>
  <w:style w:type="paragraph" w:customStyle="1" w:styleId="FigureNoTitle0">
    <w:name w:val="Figure_NoTitle"/>
    <w:basedOn w:val="Normal"/>
    <w:next w:val="Normal"/>
    <w:rsid w:val="0032747B"/>
    <w:pPr>
      <w:keepLines/>
      <w:spacing w:before="240" w:after="120"/>
      <w:jc w:val="center"/>
    </w:pPr>
    <w:rPr>
      <w:b/>
    </w:rPr>
  </w:style>
  <w:style w:type="paragraph" w:customStyle="1" w:styleId="Figurewithouttitle">
    <w:name w:val="Figure_without_title"/>
    <w:basedOn w:val="Normal"/>
    <w:next w:val="Normal"/>
    <w:rsid w:val="0032747B"/>
    <w:pPr>
      <w:keepLines/>
      <w:spacing w:before="240" w:after="120"/>
      <w:jc w:val="center"/>
    </w:pPr>
  </w:style>
  <w:style w:type="paragraph" w:customStyle="1" w:styleId="FirstFooter">
    <w:name w:val="FirstFooter"/>
    <w:basedOn w:val="Footer"/>
    <w:rsid w:val="0032747B"/>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32747B"/>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Normalaftertitle">
    <w:name w:val="Normal_after_title"/>
    <w:basedOn w:val="Normal"/>
    <w:next w:val="Normal"/>
    <w:rsid w:val="0032747B"/>
    <w:pPr>
      <w:spacing w:before="360"/>
    </w:pPr>
  </w:style>
  <w:style w:type="paragraph" w:customStyle="1" w:styleId="PartNo">
    <w:name w:val="Part_No"/>
    <w:basedOn w:val="Normal"/>
    <w:next w:val="Normal"/>
    <w:rsid w:val="0032747B"/>
    <w:pPr>
      <w:keepNext/>
      <w:keepLines/>
      <w:spacing w:before="480" w:after="80"/>
      <w:jc w:val="center"/>
    </w:pPr>
    <w:rPr>
      <w:caps/>
      <w:sz w:val="28"/>
    </w:rPr>
  </w:style>
  <w:style w:type="paragraph" w:customStyle="1" w:styleId="Partref">
    <w:name w:val="Part_ref"/>
    <w:basedOn w:val="Normal"/>
    <w:next w:val="Normal"/>
    <w:rsid w:val="0032747B"/>
    <w:pPr>
      <w:keepNext/>
      <w:keepLines/>
      <w:spacing w:before="280"/>
      <w:jc w:val="center"/>
    </w:pPr>
  </w:style>
  <w:style w:type="paragraph" w:customStyle="1" w:styleId="Parttitle">
    <w:name w:val="Part_title"/>
    <w:basedOn w:val="Normal"/>
    <w:next w:val="Normalaftertitle"/>
    <w:rsid w:val="0032747B"/>
    <w:pPr>
      <w:keepNext/>
      <w:keepLines/>
      <w:spacing w:before="240" w:after="280"/>
      <w:jc w:val="center"/>
    </w:pPr>
    <w:rPr>
      <w:b/>
      <w:sz w:val="28"/>
    </w:rPr>
  </w:style>
  <w:style w:type="paragraph" w:customStyle="1" w:styleId="Recdate">
    <w:name w:val="Rec_date"/>
    <w:basedOn w:val="Normal"/>
    <w:next w:val="Normalaftertitle"/>
    <w:rsid w:val="0032747B"/>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2747B"/>
  </w:style>
  <w:style w:type="paragraph" w:customStyle="1" w:styleId="QuestionNo">
    <w:name w:val="Question_No"/>
    <w:basedOn w:val="RecNo"/>
    <w:next w:val="Normal"/>
    <w:rsid w:val="0032747B"/>
  </w:style>
  <w:style w:type="paragraph" w:customStyle="1" w:styleId="Recref">
    <w:name w:val="Rec_ref"/>
    <w:basedOn w:val="Normal"/>
    <w:next w:val="Recdate"/>
    <w:rsid w:val="0032747B"/>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32747B"/>
  </w:style>
  <w:style w:type="paragraph" w:customStyle="1" w:styleId="Questiontitle">
    <w:name w:val="Question_title"/>
    <w:basedOn w:val="Rectitle"/>
    <w:next w:val="Questionref"/>
    <w:rsid w:val="0032747B"/>
  </w:style>
  <w:style w:type="paragraph" w:customStyle="1" w:styleId="Reftitle">
    <w:name w:val="Ref_title"/>
    <w:basedOn w:val="Normal"/>
    <w:next w:val="Reftext"/>
    <w:rsid w:val="0032747B"/>
    <w:pPr>
      <w:spacing w:before="480"/>
      <w:jc w:val="center"/>
    </w:pPr>
    <w:rPr>
      <w:b/>
    </w:rPr>
  </w:style>
  <w:style w:type="paragraph" w:customStyle="1" w:styleId="Repdate">
    <w:name w:val="Rep_date"/>
    <w:basedOn w:val="Recdate"/>
    <w:next w:val="Normalaftertitle"/>
    <w:rsid w:val="0032747B"/>
  </w:style>
  <w:style w:type="paragraph" w:customStyle="1" w:styleId="RepNo">
    <w:name w:val="Rep_No"/>
    <w:basedOn w:val="RecNo"/>
    <w:next w:val="Normal"/>
    <w:rsid w:val="0032747B"/>
  </w:style>
  <w:style w:type="paragraph" w:customStyle="1" w:styleId="Repref">
    <w:name w:val="Rep_ref"/>
    <w:basedOn w:val="Recref"/>
    <w:next w:val="Repdate"/>
    <w:rsid w:val="0032747B"/>
  </w:style>
  <w:style w:type="paragraph" w:customStyle="1" w:styleId="Reptitle">
    <w:name w:val="Rep_title"/>
    <w:basedOn w:val="Rectitle"/>
    <w:next w:val="Repref"/>
    <w:rsid w:val="0032747B"/>
  </w:style>
  <w:style w:type="paragraph" w:customStyle="1" w:styleId="Resdate">
    <w:name w:val="Res_date"/>
    <w:basedOn w:val="Recdate"/>
    <w:next w:val="Normalaftertitle"/>
    <w:rsid w:val="0032747B"/>
  </w:style>
  <w:style w:type="character" w:customStyle="1" w:styleId="Resdef">
    <w:name w:val="Res_def"/>
    <w:basedOn w:val="DefaultParagraphFont"/>
    <w:rsid w:val="0032747B"/>
    <w:rPr>
      <w:rFonts w:ascii="Times New Roman" w:hAnsi="Times New Roman"/>
      <w:b/>
    </w:rPr>
  </w:style>
  <w:style w:type="paragraph" w:customStyle="1" w:styleId="ResNo">
    <w:name w:val="Res_No"/>
    <w:basedOn w:val="RecNo"/>
    <w:next w:val="Normal"/>
    <w:rsid w:val="0032747B"/>
  </w:style>
  <w:style w:type="paragraph" w:customStyle="1" w:styleId="Resref">
    <w:name w:val="Res_ref"/>
    <w:basedOn w:val="Recref"/>
    <w:next w:val="Resdate"/>
    <w:rsid w:val="0032747B"/>
  </w:style>
  <w:style w:type="paragraph" w:customStyle="1" w:styleId="Restitle">
    <w:name w:val="Res_title"/>
    <w:basedOn w:val="Rectitle"/>
    <w:next w:val="Resref"/>
    <w:rsid w:val="0032747B"/>
  </w:style>
  <w:style w:type="paragraph" w:customStyle="1" w:styleId="Section1">
    <w:name w:val="Section_1"/>
    <w:basedOn w:val="Normal"/>
    <w:next w:val="Normal"/>
    <w:rsid w:val="0032747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2747B"/>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32747B"/>
    <w:pPr>
      <w:keepNext/>
      <w:keepLines/>
      <w:spacing w:before="480" w:after="80"/>
      <w:jc w:val="center"/>
    </w:pPr>
    <w:rPr>
      <w:caps/>
      <w:sz w:val="28"/>
    </w:rPr>
  </w:style>
  <w:style w:type="paragraph" w:customStyle="1" w:styleId="Sectiontitle">
    <w:name w:val="Section_title"/>
    <w:basedOn w:val="Normal"/>
    <w:next w:val="Normalaftertitle"/>
    <w:rsid w:val="0032747B"/>
    <w:pPr>
      <w:keepNext/>
      <w:keepLines/>
      <w:spacing w:before="480" w:after="280"/>
      <w:jc w:val="center"/>
    </w:pPr>
    <w:rPr>
      <w:b/>
      <w:sz w:val="28"/>
    </w:rPr>
  </w:style>
  <w:style w:type="paragraph" w:customStyle="1" w:styleId="Source">
    <w:name w:val="Source"/>
    <w:basedOn w:val="Normal"/>
    <w:next w:val="Normalaftertitle"/>
    <w:rsid w:val="0032747B"/>
    <w:pPr>
      <w:spacing w:before="840" w:after="200"/>
      <w:jc w:val="center"/>
    </w:pPr>
    <w:rPr>
      <w:b/>
      <w:sz w:val="28"/>
    </w:rPr>
  </w:style>
  <w:style w:type="paragraph" w:customStyle="1" w:styleId="SpecialFooter">
    <w:name w:val="Special Footer"/>
    <w:basedOn w:val="Footer"/>
    <w:rsid w:val="0032747B"/>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32747B"/>
    <w:rPr>
      <w:b/>
      <w:color w:val="auto"/>
    </w:rPr>
  </w:style>
  <w:style w:type="paragraph" w:customStyle="1" w:styleId="TableNoTitle0">
    <w:name w:val="Table_NoTitle"/>
    <w:basedOn w:val="Normal"/>
    <w:next w:val="Tablehead"/>
    <w:rsid w:val="0032747B"/>
    <w:pPr>
      <w:keepNext/>
      <w:keepLines/>
      <w:spacing w:before="360" w:after="120"/>
      <w:jc w:val="center"/>
    </w:pPr>
    <w:rPr>
      <w:b/>
    </w:rPr>
  </w:style>
  <w:style w:type="paragraph" w:customStyle="1" w:styleId="Title1">
    <w:name w:val="Title 1"/>
    <w:basedOn w:val="Source"/>
    <w:next w:val="Normal"/>
    <w:rsid w:val="0032747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32747B"/>
  </w:style>
  <w:style w:type="paragraph" w:customStyle="1" w:styleId="Title3">
    <w:name w:val="Title 3"/>
    <w:basedOn w:val="Title2"/>
    <w:next w:val="Title4"/>
    <w:rsid w:val="0032747B"/>
    <w:rPr>
      <w:caps w:val="0"/>
    </w:rPr>
  </w:style>
  <w:style w:type="paragraph" w:styleId="Revision">
    <w:name w:val="Revision"/>
    <w:hidden/>
    <w:uiPriority w:val="99"/>
    <w:semiHidden/>
    <w:rsid w:val="00986B4B"/>
    <w:pPr>
      <w:spacing w:before="0"/>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4054">
      <w:bodyDiv w:val="1"/>
      <w:marLeft w:val="0"/>
      <w:marRight w:val="0"/>
      <w:marTop w:val="0"/>
      <w:marBottom w:val="0"/>
      <w:divBdr>
        <w:top w:val="none" w:sz="0" w:space="0" w:color="auto"/>
        <w:left w:val="none" w:sz="0" w:space="0" w:color="auto"/>
        <w:bottom w:val="none" w:sz="0" w:space="0" w:color="auto"/>
        <w:right w:val="none" w:sz="0" w:space="0" w:color="auto"/>
      </w:divBdr>
    </w:div>
    <w:div w:id="164515516">
      <w:bodyDiv w:val="1"/>
      <w:marLeft w:val="0"/>
      <w:marRight w:val="0"/>
      <w:marTop w:val="0"/>
      <w:marBottom w:val="0"/>
      <w:divBdr>
        <w:top w:val="none" w:sz="0" w:space="0" w:color="auto"/>
        <w:left w:val="none" w:sz="0" w:space="0" w:color="auto"/>
        <w:bottom w:val="none" w:sz="0" w:space="0" w:color="auto"/>
        <w:right w:val="none" w:sz="0" w:space="0" w:color="auto"/>
      </w:divBdr>
      <w:divsChild>
        <w:div w:id="861167423">
          <w:marLeft w:val="0"/>
          <w:marRight w:val="0"/>
          <w:marTop w:val="0"/>
          <w:marBottom w:val="0"/>
          <w:divBdr>
            <w:top w:val="none" w:sz="0" w:space="0" w:color="auto"/>
            <w:left w:val="none" w:sz="0" w:space="0" w:color="auto"/>
            <w:bottom w:val="none" w:sz="0" w:space="0" w:color="auto"/>
            <w:right w:val="none" w:sz="0" w:space="0" w:color="auto"/>
          </w:divBdr>
        </w:div>
      </w:divsChild>
    </w:div>
    <w:div w:id="353115724">
      <w:bodyDiv w:val="1"/>
      <w:marLeft w:val="0"/>
      <w:marRight w:val="0"/>
      <w:marTop w:val="0"/>
      <w:marBottom w:val="0"/>
      <w:divBdr>
        <w:top w:val="none" w:sz="0" w:space="0" w:color="auto"/>
        <w:left w:val="none" w:sz="0" w:space="0" w:color="auto"/>
        <w:bottom w:val="none" w:sz="0" w:space="0" w:color="auto"/>
        <w:right w:val="none" w:sz="0" w:space="0" w:color="auto"/>
      </w:divBdr>
      <w:divsChild>
        <w:div w:id="1055620799">
          <w:marLeft w:val="0"/>
          <w:marRight w:val="0"/>
          <w:marTop w:val="0"/>
          <w:marBottom w:val="0"/>
          <w:divBdr>
            <w:top w:val="none" w:sz="0" w:space="0" w:color="auto"/>
            <w:left w:val="none" w:sz="0" w:space="0" w:color="auto"/>
            <w:bottom w:val="none" w:sz="0" w:space="0" w:color="auto"/>
            <w:right w:val="none" w:sz="0" w:space="0" w:color="auto"/>
          </w:divBdr>
        </w:div>
      </w:divsChild>
    </w:div>
    <w:div w:id="1468628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kawamori@sfc.wide.ad.jp"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g@hearangel.com"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w@hearangel.com" TargetMode="External"/><Relationship Id="rId22" Type="http://schemas.openxmlformats.org/officeDocument/2006/relationships/hyperlink" Target="https://www.bluetooth.com/wp-content/uploads/2020/01/Bluetooth_5.2_Feature_Overview.pdf" TargetMode="External"/><Relationship Id="rId27"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2" Type="http://schemas.openxmlformats.org/officeDocument/2006/relationships/hyperlink" Target="https://zh.wikipedia.org/zh-tw/IT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DA020F79FC43C88B02765023BAE0D7"/>
        <w:category>
          <w:name w:val="General"/>
          <w:gallery w:val="placeholder"/>
        </w:category>
        <w:types>
          <w:type w:val="bbPlcHdr"/>
        </w:types>
        <w:behaviors>
          <w:behavior w:val="content"/>
        </w:behaviors>
        <w:guid w:val="{D26767F7-3919-4686-A391-2553CCCAE72E}"/>
      </w:docPartPr>
      <w:docPartBody>
        <w:p w:rsidR="00496EAF" w:rsidRDefault="0008134F" w:rsidP="0008134F">
          <w:pPr>
            <w:pStyle w:val="92DA020F79FC43C88B02765023BAE0D7"/>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34F"/>
    <w:rsid w:val="0008134F"/>
    <w:rsid w:val="00496EAF"/>
    <w:rsid w:val="00816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134F"/>
    <w:rPr>
      <w:rFonts w:ascii="Times New Roman" w:hAnsi="Times New Roman"/>
      <w:color w:val="808080"/>
    </w:rPr>
  </w:style>
  <w:style w:type="paragraph" w:customStyle="1" w:styleId="92DA020F79FC43C88B02765023BAE0D7">
    <w:name w:val="92DA020F79FC43C88B02765023BAE0D7"/>
    <w:rsid w:val="000813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D44D6-97D2-46EC-8417-3D1EDF55FB89}">
  <ds:schemaRefs>
    <ds:schemaRef ds:uri="http://schemas.microsoft.com/sharepoint/v3/contenttype/forms"/>
  </ds:schemaRefs>
</ds:datastoreItem>
</file>

<file path=customXml/itemProps2.xml><?xml version="1.0" encoding="utf-8"?>
<ds:datastoreItem xmlns:ds="http://schemas.openxmlformats.org/officeDocument/2006/customXml" ds:itemID="{CBD98F44-4167-4487-A56A-809B0E4CA76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d1600e8-004f-4c6f-afe8-0c63f3945779"/>
    <ds:schemaRef ds:uri="http://purl.org/dc/elements/1.1/"/>
    <ds:schemaRef ds:uri="6048f16a-77ac-4327-be06-b0beb1ce50d8"/>
    <ds:schemaRef ds:uri="http://www.w3.org/XML/1998/namespace"/>
    <ds:schemaRef ds:uri="http://purl.org/dc/dcmitype/"/>
  </ds:schemaRefs>
</ds:datastoreItem>
</file>

<file path=customXml/itemProps3.xml><?xml version="1.0" encoding="utf-8"?>
<ds:datastoreItem xmlns:ds="http://schemas.openxmlformats.org/officeDocument/2006/customXml" ds:itemID="{2F400A31-AE46-4F43-ACAC-9BD72B76A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C27F45-D97A-491E-801A-A4B912B1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390</TotalTime>
  <Pages>12</Pages>
  <Words>2682</Words>
  <Characters>16257</Characters>
  <Application>Microsoft Office Word</Application>
  <DocSecurity>0</DocSecurity>
  <Lines>416</Lines>
  <Paragraphs>286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ITU-T Rec. Technical Paper (28 January 2022) FSTP-SLD-UC  Gap analysis: Use cases of safe listening devices </vt:lpstr>
      <vt:lpstr>FSTR-SLD-UC "Gap analysis: Use cases of safe listening devices" (New): Output draft (e-meeting, 10 March 2021)</vt:lpstr>
    </vt:vector>
  </TitlesOfParts>
  <Manager>ITU-T</Manager>
  <Company>International Telecommunication Union (ITU)</Company>
  <LinksUpToDate>false</LinksUpToDate>
  <CharactersWithSpaces>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Technical Paper (28 January 2022) FSTP-SLD-UC  Gap analysis: Use cases of safe listening devices </dc:title>
  <dc:subject>-</dc:subject>
  <dc:creator>ITU-T Study Group 16</dc:creator>
  <cp:keywords>.Technical Paper,,Technical Paper</cp:keywords>
  <dc:description>Gachetc, 23/02/2022, ITU51013811</dc:description>
  <cp:lastModifiedBy>Gachet, Christelle</cp:lastModifiedBy>
  <cp:revision>119</cp:revision>
  <dcterms:created xsi:type="dcterms:W3CDTF">2022-01-24T05:56:00Z</dcterms:created>
  <dcterms:modified xsi:type="dcterms:W3CDTF">2022-03-31T14:25:00Z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SG16-TD564/PLEN</vt:lpwstr>
  </property>
  <property fmtid="{D5CDD505-2E9C-101B-9397-08002B2CF9AE}" pid="3" name="Docdate">
    <vt:lpwstr/>
  </property>
  <property fmtid="{D5CDD505-2E9C-101B-9397-08002B2CF9AE}" pid="4" name="Docorlang">
    <vt:lpwstr/>
  </property>
  <property fmtid="{D5CDD505-2E9C-101B-9397-08002B2CF9AE}" pid="5" name="Docbluepink">
    <vt:lpwstr>28/16</vt:lpwstr>
  </property>
  <property fmtid="{D5CDD505-2E9C-101B-9397-08002B2CF9AE}" pid="6" name="Docdest">
    <vt:lpwstr>Online, 17-28 January 2022</vt:lpwstr>
  </property>
  <property fmtid="{D5CDD505-2E9C-101B-9397-08002B2CF9AE}" pid="7" name="Docauthor">
    <vt:lpwstr>Editor FSTR-SLD-UC</vt:lpwstr>
  </property>
  <property fmtid="{D5CDD505-2E9C-101B-9397-08002B2CF9AE}" pid="8" name="ContentTypeId">
    <vt:lpwstr>0x010100D089D8AEFAC1A247B7216C0DD884D876</vt:lpwstr>
  </property>
  <property fmtid="{D5CDD505-2E9C-101B-9397-08002B2CF9AE}" pid="9" name="SourceC">
    <vt:lpwstr/>
  </property>
  <property fmtid="{D5CDD505-2E9C-101B-9397-08002B2CF9AE}" pid="10" name="Questions">
    <vt:lpwstr>940;#Q28/16|47d67362-4a82-42f6-a8eb-f833557c45fb</vt:lpwstr>
  </property>
  <property fmtid="{D5CDD505-2E9C-101B-9397-08002B2CF9AE}" pid="11" name="Language">
    <vt:lpwstr>English</vt:lpwstr>
  </property>
  <property fmtid="{D5CDD505-2E9C-101B-9397-08002B2CF9AE}" pid="12" name="Typist">
    <vt:lpwstr>Gachetc</vt:lpwstr>
  </property>
  <property fmtid="{D5CDD505-2E9C-101B-9397-08002B2CF9AE}" pid="13" name="Date completed">
    <vt:lpwstr>23 February 2022</vt:lpwstr>
  </property>
</Properties>
</file>