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20" w:firstRow="1" w:lastRow="0" w:firstColumn="0" w:lastColumn="0" w:noHBand="0" w:noVBand="0"/>
      </w:tblPr>
      <w:tblGrid>
        <w:gridCol w:w="817"/>
        <w:gridCol w:w="4253"/>
        <w:gridCol w:w="5670"/>
      </w:tblGrid>
      <w:tr w:rsidR="0043521E" w:rsidRPr="006F3E3B" w14:paraId="7A6261AB" w14:textId="77777777" w:rsidTr="00090B94">
        <w:trPr>
          <w:trHeight w:hRule="exact" w:val="992"/>
        </w:trPr>
        <w:tc>
          <w:tcPr>
            <w:tcW w:w="5070" w:type="dxa"/>
            <w:gridSpan w:val="2"/>
          </w:tcPr>
          <w:bookmarkStart w:id="0" w:name="_Toc44995568"/>
          <w:p w14:paraId="5BC34077" w14:textId="77777777" w:rsidR="0043521E" w:rsidRPr="00957911" w:rsidRDefault="0043521E" w:rsidP="00E177D1">
            <w:pPr>
              <w:spacing w:before="0"/>
              <w:rPr>
                <w:rFonts w:ascii="Arial" w:eastAsia="Avenir Next W1G Medium" w:hAnsi="Arial" w:cs="Arial"/>
                <w:szCs w:val="24"/>
              </w:rPr>
            </w:pPr>
            <w:r w:rsidRPr="00934B4E">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36736118" wp14:editId="13B20FAA">
                      <wp:simplePos x="0" y="0"/>
                      <wp:positionH relativeFrom="page">
                        <wp:posOffset>-381000</wp:posOffset>
                      </wp:positionH>
                      <wp:positionV relativeFrom="page">
                        <wp:posOffset>317500</wp:posOffset>
                      </wp:positionV>
                      <wp:extent cx="7772400" cy="229870"/>
                      <wp:effectExtent l="0" t="5080" r="0" b="3175"/>
                      <wp:wrapNone/>
                      <wp:docPr id="2" name="docshapegroup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a:extLst>
                                  <a:ext uri="{C183D7F6-B498-43B3-948B-1728B52AA6E4}">
                                    <adec:decorative xmlns:adec="http://schemas.microsoft.com/office/drawing/2017/decorative" val="1"/>
                                  </a:ext>
                                </a:extLst>
                              </wps:cNvPr>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A3D28" id="docshapegroup7" o:spid="_x0000_s1026" alt="&quot;&quot;" style="position:absolute;margin-left:-30pt;margin-top:2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alt="&quot;&quot;"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6C8D0E16" w14:textId="77777777" w:rsidR="0043521E" w:rsidRPr="00957911" w:rsidRDefault="0043521E" w:rsidP="00E177D1">
            <w:pPr>
              <w:spacing w:before="0"/>
              <w:jc w:val="right"/>
              <w:rPr>
                <w:rFonts w:ascii="Arial" w:eastAsia="Avenir Next W1G Medium" w:hAnsi="Arial" w:cs="Arial"/>
                <w:szCs w:val="24"/>
              </w:rPr>
            </w:pPr>
            <w:r w:rsidRPr="00957911">
              <w:rPr>
                <w:rFonts w:ascii="Arial" w:eastAsia="Avenir Next W1G Medium" w:hAnsi="Arial" w:cs="Arial"/>
                <w:szCs w:val="24"/>
              </w:rPr>
              <w:t>Standardization Sector</w:t>
            </w:r>
          </w:p>
        </w:tc>
      </w:tr>
      <w:tr w:rsidR="0043521E" w:rsidRPr="006C28C2" w14:paraId="48F3AAF9" w14:textId="77777777" w:rsidTr="00090B94">
        <w:tblPrEx>
          <w:tblCellMar>
            <w:left w:w="85" w:type="dxa"/>
            <w:right w:w="85" w:type="dxa"/>
          </w:tblCellMar>
        </w:tblPrEx>
        <w:trPr>
          <w:gridBefore w:val="1"/>
          <w:wBefore w:w="817" w:type="dxa"/>
          <w:trHeight w:val="709"/>
        </w:trPr>
        <w:tc>
          <w:tcPr>
            <w:tcW w:w="9923" w:type="dxa"/>
            <w:gridSpan w:val="2"/>
          </w:tcPr>
          <w:p w14:paraId="2B49CABE" w14:textId="77777777" w:rsidR="0043521E" w:rsidRPr="00934B4E" w:rsidRDefault="0043521E" w:rsidP="00E177D1">
            <w:pPr>
              <w:pStyle w:val="BodyText"/>
              <w:spacing w:before="440"/>
              <w:rPr>
                <w:rFonts w:ascii="Arial" w:hAnsi="Arial" w:cs="Arial"/>
                <w:spacing w:val="-6"/>
                <w:sz w:val="44"/>
                <w:szCs w:val="44"/>
                <w:lang w:val="en-GB"/>
              </w:rPr>
            </w:pPr>
            <w:bookmarkStart w:id="1" w:name="dnume"/>
            <w:r w:rsidRPr="00934B4E">
              <w:rPr>
                <w:rFonts w:ascii="Arial" w:hAnsi="Arial" w:cs="Arial"/>
                <w:spacing w:val="-6"/>
                <w:sz w:val="44"/>
                <w:szCs w:val="44"/>
                <w:lang w:val="en-GB"/>
              </w:rPr>
              <w:t xml:space="preserve">ITU-T Technical </w:t>
            </w:r>
            <w:r>
              <w:rPr>
                <w:rFonts w:ascii="Arial" w:hAnsi="Arial" w:cs="Arial"/>
                <w:spacing w:val="-6"/>
                <w:sz w:val="44"/>
                <w:szCs w:val="44"/>
                <w:lang w:val="en-GB"/>
              </w:rPr>
              <w:t>Report</w:t>
            </w:r>
          </w:p>
        </w:tc>
      </w:tr>
      <w:tr w:rsidR="0043521E" w:rsidRPr="00934B4E" w14:paraId="6F491DD3" w14:textId="77777777" w:rsidTr="00090B94">
        <w:tblPrEx>
          <w:tblCellMar>
            <w:left w:w="85" w:type="dxa"/>
            <w:right w:w="85" w:type="dxa"/>
          </w:tblCellMar>
        </w:tblPrEx>
        <w:trPr>
          <w:gridBefore w:val="1"/>
          <w:wBefore w:w="817" w:type="dxa"/>
          <w:trHeight w:val="129"/>
        </w:trPr>
        <w:tc>
          <w:tcPr>
            <w:tcW w:w="9923" w:type="dxa"/>
            <w:gridSpan w:val="2"/>
          </w:tcPr>
          <w:p w14:paraId="46F2E507" w14:textId="77777777" w:rsidR="0043521E" w:rsidRPr="00934B4E" w:rsidRDefault="0043521E" w:rsidP="00E177D1">
            <w:pPr>
              <w:pStyle w:val="BodyText"/>
              <w:spacing w:before="120" w:after="240"/>
              <w:jc w:val="right"/>
              <w:rPr>
                <w:rFonts w:ascii="Arial" w:hAnsi="Arial" w:cs="Arial"/>
                <w:spacing w:val="-6"/>
                <w:sz w:val="28"/>
                <w:szCs w:val="28"/>
                <w:lang w:val="en-GB"/>
              </w:rPr>
            </w:pPr>
            <w:bookmarkStart w:id="2" w:name="dnume2"/>
            <w:bookmarkEnd w:id="1"/>
            <w:r>
              <w:rPr>
                <w:rFonts w:ascii="Arial" w:hAnsi="Arial" w:cs="Arial"/>
                <w:spacing w:val="-6"/>
                <w:sz w:val="28"/>
                <w:szCs w:val="28"/>
                <w:lang w:val="en-GB"/>
              </w:rPr>
              <w:t>(</w:t>
            </w:r>
            <w:r>
              <w:rPr>
                <w:rFonts w:ascii="Arial" w:eastAsiaTheme="minorEastAsia" w:hAnsi="Arial" w:cs="Arial" w:hint="eastAsia"/>
                <w:spacing w:val="-6"/>
                <w:sz w:val="28"/>
                <w:szCs w:val="28"/>
                <w:lang w:val="en-GB" w:eastAsia="zh-CN"/>
              </w:rPr>
              <w:t>11</w:t>
            </w:r>
            <w:r>
              <w:rPr>
                <w:rFonts w:ascii="Arial" w:hAnsi="Arial" w:cs="Arial"/>
                <w:spacing w:val="-6"/>
                <w:sz w:val="28"/>
                <w:szCs w:val="28"/>
                <w:lang w:val="en-GB"/>
              </w:rPr>
              <w:t>/202</w:t>
            </w:r>
            <w:r>
              <w:rPr>
                <w:rFonts w:ascii="Arial" w:eastAsiaTheme="minorEastAsia" w:hAnsi="Arial" w:cs="Arial" w:hint="eastAsia"/>
                <w:spacing w:val="-6"/>
                <w:sz w:val="28"/>
                <w:szCs w:val="28"/>
                <w:lang w:val="en-GB" w:eastAsia="zh-CN"/>
              </w:rPr>
              <w:t>5</w:t>
            </w:r>
            <w:r>
              <w:rPr>
                <w:rFonts w:ascii="Arial" w:hAnsi="Arial" w:cs="Arial"/>
                <w:spacing w:val="-6"/>
                <w:sz w:val="28"/>
                <w:szCs w:val="28"/>
                <w:lang w:val="en-GB"/>
              </w:rPr>
              <w:t>)</w:t>
            </w:r>
          </w:p>
        </w:tc>
      </w:tr>
      <w:tr w:rsidR="0043521E" w:rsidRPr="006F3E3B" w14:paraId="164831F4" w14:textId="77777777" w:rsidTr="00090B94">
        <w:trPr>
          <w:trHeight w:val="80"/>
        </w:trPr>
        <w:tc>
          <w:tcPr>
            <w:tcW w:w="817" w:type="dxa"/>
          </w:tcPr>
          <w:p w14:paraId="630A1126" w14:textId="77777777" w:rsidR="0043521E" w:rsidRPr="006F3E3B" w:rsidRDefault="0043521E" w:rsidP="00E177D1">
            <w:pPr>
              <w:tabs>
                <w:tab w:val="right" w:pos="9639"/>
              </w:tabs>
              <w:rPr>
                <w:rFonts w:ascii="Arial" w:hAnsi="Arial" w:cs="Arial"/>
                <w:sz w:val="18"/>
              </w:rPr>
            </w:pPr>
            <w:bookmarkStart w:id="3" w:name="dsece" w:colFirst="1" w:colLast="1"/>
            <w:bookmarkEnd w:id="2"/>
          </w:p>
        </w:tc>
        <w:tc>
          <w:tcPr>
            <w:tcW w:w="9923" w:type="dxa"/>
            <w:gridSpan w:val="2"/>
            <w:tcBorders>
              <w:bottom w:val="single" w:sz="8" w:space="0" w:color="auto"/>
            </w:tcBorders>
          </w:tcPr>
          <w:p w14:paraId="1440D56B" w14:textId="4448F0D9" w:rsidR="0043521E" w:rsidRPr="00934B4E" w:rsidRDefault="0043521E" w:rsidP="00E177D1">
            <w:pPr>
              <w:widowControl w:val="0"/>
              <w:tabs>
                <w:tab w:val="clear" w:pos="794"/>
                <w:tab w:val="clear" w:pos="1191"/>
                <w:tab w:val="clear" w:pos="1588"/>
                <w:tab w:val="clear" w:pos="1985"/>
              </w:tabs>
              <w:overflowPunct/>
              <w:adjustRightInd/>
              <w:spacing w:before="276" w:line="175" w:lineRule="auto"/>
              <w:jc w:val="left"/>
              <w:textAlignment w:val="auto"/>
              <w:rPr>
                <w:rFonts w:ascii="Arial" w:hAnsi="Arial" w:cs="Arial"/>
                <w:b/>
                <w:bCs/>
                <w:sz w:val="48"/>
                <w:szCs w:val="48"/>
              </w:rPr>
            </w:pPr>
            <w:r w:rsidRPr="001E37D7">
              <w:rPr>
                <w:rFonts w:ascii="Arial" w:hAnsi="Arial" w:cs="Arial"/>
                <w:b/>
                <w:bCs/>
                <w:sz w:val="48"/>
                <w:szCs w:val="48"/>
              </w:rPr>
              <w:t>DSTR</w:t>
            </w:r>
            <w:r w:rsidR="006E53C0">
              <w:rPr>
                <w:rFonts w:ascii="Arial" w:hAnsi="Arial" w:cs="Arial"/>
                <w:b/>
                <w:bCs/>
                <w:sz w:val="48"/>
                <w:szCs w:val="48"/>
              </w:rPr>
              <w:t>-</w:t>
            </w:r>
            <w:proofErr w:type="spellStart"/>
            <w:r w:rsidRPr="001E37D7">
              <w:rPr>
                <w:rFonts w:ascii="Arial" w:hAnsi="Arial" w:cs="Arial"/>
                <w:b/>
                <w:bCs/>
                <w:sz w:val="48"/>
                <w:szCs w:val="48"/>
              </w:rPr>
              <w:t>OTTReporting</w:t>
            </w:r>
            <w:proofErr w:type="spellEnd"/>
          </w:p>
        </w:tc>
      </w:tr>
      <w:tr w:rsidR="0043521E" w:rsidRPr="006F3E3B" w14:paraId="03D87E1A" w14:textId="77777777" w:rsidTr="00090B94">
        <w:trPr>
          <w:trHeight w:val="743"/>
        </w:trPr>
        <w:tc>
          <w:tcPr>
            <w:tcW w:w="817" w:type="dxa"/>
          </w:tcPr>
          <w:p w14:paraId="6AB12D70" w14:textId="77777777" w:rsidR="0043521E" w:rsidRPr="006F3E3B" w:rsidRDefault="0043521E" w:rsidP="00E177D1">
            <w:pPr>
              <w:tabs>
                <w:tab w:val="right" w:pos="9639"/>
              </w:tabs>
              <w:rPr>
                <w:rFonts w:ascii="Arial" w:hAnsi="Arial" w:cs="Arial"/>
                <w:sz w:val="48"/>
                <w:szCs w:val="48"/>
              </w:rPr>
            </w:pPr>
            <w:bookmarkStart w:id="4" w:name="c1tite" w:colFirst="1" w:colLast="1"/>
            <w:bookmarkEnd w:id="3"/>
          </w:p>
        </w:tc>
        <w:tc>
          <w:tcPr>
            <w:tcW w:w="9923" w:type="dxa"/>
            <w:gridSpan w:val="2"/>
            <w:tcBorders>
              <w:top w:val="single" w:sz="8" w:space="0" w:color="auto"/>
            </w:tcBorders>
          </w:tcPr>
          <w:p w14:paraId="2A290CB0" w14:textId="77777777" w:rsidR="0043521E" w:rsidRPr="00934B4E" w:rsidRDefault="0043521E" w:rsidP="00E177D1">
            <w:pPr>
              <w:pStyle w:val="BodyText"/>
              <w:spacing w:before="440" w:line="192" w:lineRule="auto"/>
              <w:rPr>
                <w:rFonts w:ascii="Arial" w:hAnsi="Arial" w:cs="Arial"/>
                <w:spacing w:val="-6"/>
                <w:sz w:val="44"/>
                <w:szCs w:val="44"/>
                <w:lang w:val="en-GB"/>
              </w:rPr>
            </w:pPr>
            <w:r>
              <w:rPr>
                <w:rFonts w:ascii="Arial" w:hAnsi="Arial" w:cs="Arial"/>
                <w:spacing w:val="-6"/>
                <w:sz w:val="44"/>
                <w:szCs w:val="44"/>
                <w:lang w:val="en-GB"/>
              </w:rPr>
              <w:t>Establishing international reporting standards for OTT applications</w:t>
            </w: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43521E" w:rsidRPr="006F3E3B" w14:paraId="533DA069" w14:textId="77777777" w:rsidTr="00E177D1">
        <w:tc>
          <w:tcPr>
            <w:tcW w:w="5070" w:type="dxa"/>
            <w:vAlign w:val="center"/>
          </w:tcPr>
          <w:bookmarkEnd w:id="4"/>
          <w:p w14:paraId="236A6DD5" w14:textId="77777777" w:rsidR="0043521E" w:rsidRPr="00957911" w:rsidRDefault="0043521E" w:rsidP="00E177D1">
            <w:pPr>
              <w:jc w:val="left"/>
              <w:rPr>
                <w:rFonts w:ascii="Arial" w:hAnsi="Arial" w:cs="Arial"/>
                <w:sz w:val="32"/>
                <w:szCs w:val="32"/>
              </w:rPr>
            </w:pPr>
            <w:proofErr w:type="spellStart"/>
            <w:r w:rsidRPr="00957911">
              <w:rPr>
                <w:rFonts w:ascii="Arial" w:hAnsi="Arial" w:cs="Arial"/>
                <w:b/>
                <w:color w:val="009CD6"/>
                <w:spacing w:val="-4"/>
                <w:sz w:val="32"/>
                <w:szCs w:val="32"/>
              </w:rPr>
              <w:t>ITU</w:t>
            </w:r>
            <w:r w:rsidRPr="00957911">
              <w:rPr>
                <w:rFonts w:ascii="Arial" w:hAnsi="Arial" w:cs="Arial"/>
                <w:b/>
                <w:color w:val="292829"/>
                <w:spacing w:val="-4"/>
                <w:sz w:val="32"/>
                <w:szCs w:val="32"/>
              </w:rPr>
              <w:t>Publications</w:t>
            </w:r>
            <w:proofErr w:type="spellEnd"/>
          </w:p>
        </w:tc>
        <w:tc>
          <w:tcPr>
            <w:tcW w:w="5669" w:type="dxa"/>
            <w:vAlign w:val="center"/>
          </w:tcPr>
          <w:p w14:paraId="45045BAC" w14:textId="77777777" w:rsidR="0043521E" w:rsidRPr="00957911" w:rsidRDefault="0043521E" w:rsidP="00E177D1">
            <w:pPr>
              <w:jc w:val="right"/>
              <w:rPr>
                <w:rFonts w:ascii="Arial" w:hAnsi="Arial" w:cs="Arial"/>
                <w:szCs w:val="24"/>
              </w:rPr>
            </w:pPr>
            <w:r w:rsidRPr="00957911">
              <w:rPr>
                <w:rFonts w:ascii="Arial" w:eastAsia="Avenir Next W1G Medium" w:hAnsi="Arial" w:cs="Arial"/>
                <w:b/>
                <w:spacing w:val="-4"/>
                <w:szCs w:val="24"/>
                <w:lang w:val="en-US"/>
              </w:rPr>
              <w:t>International Telecommunication Union</w:t>
            </w:r>
          </w:p>
        </w:tc>
      </w:tr>
    </w:tbl>
    <w:p w14:paraId="7E3FCE8E" w14:textId="328343C3" w:rsidR="0043521E" w:rsidRPr="00741F7E" w:rsidRDefault="0043521E" w:rsidP="0043521E">
      <w:pPr>
        <w:pStyle w:val="Default"/>
        <w:rPr>
          <w:rFonts w:eastAsiaTheme="minorEastAsia"/>
        </w:rPr>
      </w:pPr>
      <w:r>
        <w:rPr>
          <w:noProof/>
        </w:rPr>
        <w:drawing>
          <wp:anchor distT="0" distB="0" distL="0" distR="0" simplePos="0" relativeHeight="251659264" behindDoc="1" locked="0" layoutInCell="1" allowOverlap="1" wp14:anchorId="2B845D6E" wp14:editId="0EC48122">
            <wp:simplePos x="0" y="0"/>
            <wp:positionH relativeFrom="page">
              <wp:posOffset>6355080</wp:posOffset>
            </wp:positionH>
            <wp:positionV relativeFrom="page">
              <wp:posOffset>9591675</wp:posOffset>
            </wp:positionV>
            <wp:extent cx="737870" cy="813435"/>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5" w:name="c2tope"/>
      <w:bookmarkEnd w:id="5"/>
    </w:p>
    <w:p w14:paraId="70E42BCC" w14:textId="77777777" w:rsidR="0043521E" w:rsidRPr="002B534E" w:rsidRDefault="0043521E" w:rsidP="0043521E">
      <w:pPr>
        <w:spacing w:before="80"/>
        <w:jc w:val="left"/>
        <w:rPr>
          <w:i/>
          <w:sz w:val="20"/>
        </w:rPr>
      </w:pPr>
    </w:p>
    <w:p w14:paraId="7C712804" w14:textId="77777777" w:rsidR="0043521E" w:rsidRPr="002B534E" w:rsidRDefault="0043521E" w:rsidP="0043521E">
      <w:pPr>
        <w:jc w:val="left"/>
        <w:sectPr w:rsidR="0043521E" w:rsidRPr="002B534E" w:rsidSect="0043521E">
          <w:headerReference w:type="even" r:id="rId12"/>
          <w:headerReference w:type="default" r:id="rId13"/>
          <w:footerReference w:type="even" r:id="rId14"/>
          <w:footerReference w:type="default" r:id="rId15"/>
          <w:headerReference w:type="first" r:id="rId16"/>
          <w:footerReference w:type="first" r:id="rId17"/>
          <w:pgSz w:w="11907" w:h="16840" w:code="9"/>
          <w:pgMar w:top="1038" w:right="601" w:bottom="1860" w:left="618" w:header="567" w:footer="284" w:gutter="0"/>
          <w:pgNumType w:start="1"/>
          <w:cols w:space="720"/>
          <w:docGrid w:linePitch="326"/>
        </w:sectPr>
      </w:pPr>
    </w:p>
    <w:tbl>
      <w:tblPr>
        <w:tblW w:w="0" w:type="auto"/>
        <w:tblLayout w:type="fixed"/>
        <w:tblLook w:val="0020" w:firstRow="1" w:lastRow="0" w:firstColumn="0" w:lastColumn="0" w:noHBand="0" w:noVBand="0"/>
      </w:tblPr>
      <w:tblGrid>
        <w:gridCol w:w="9945"/>
      </w:tblGrid>
      <w:tr w:rsidR="0043521E" w:rsidRPr="002B534E" w14:paraId="6D2C22C7" w14:textId="77777777" w:rsidTr="00090B94">
        <w:tc>
          <w:tcPr>
            <w:tcW w:w="9945" w:type="dxa"/>
          </w:tcPr>
          <w:p w14:paraId="1C192BD9" w14:textId="727A7001" w:rsidR="0043521E" w:rsidRPr="006910CF" w:rsidRDefault="0043521E" w:rsidP="00E177D1">
            <w:pPr>
              <w:pStyle w:val="RecNo"/>
            </w:pPr>
            <w:bookmarkStart w:id="6" w:name="irecnoe"/>
            <w:bookmarkEnd w:id="6"/>
            <w:r w:rsidRPr="006910CF">
              <w:lastRenderedPageBreak/>
              <w:t>Technical Report ITU-T DSTR</w:t>
            </w:r>
            <w:r w:rsidR="00090B94">
              <w:t>-</w:t>
            </w:r>
            <w:proofErr w:type="spellStart"/>
            <w:r w:rsidRPr="006910CF">
              <w:t>OTTReporting</w:t>
            </w:r>
            <w:proofErr w:type="spellEnd"/>
          </w:p>
          <w:p w14:paraId="0CB3EA31" w14:textId="77777777" w:rsidR="0043521E" w:rsidRPr="002B534E" w:rsidRDefault="0043521E" w:rsidP="00E177D1">
            <w:pPr>
              <w:pStyle w:val="Rectitle"/>
            </w:pPr>
            <w:r w:rsidRPr="006910CF">
              <w:t>Establishing international reporting standards for OTT applications</w:t>
            </w:r>
          </w:p>
        </w:tc>
      </w:tr>
    </w:tbl>
    <w:p w14:paraId="513F2959" w14:textId="77777777" w:rsidR="0043521E" w:rsidRPr="002B534E" w:rsidRDefault="0043521E" w:rsidP="0043521E"/>
    <w:p w14:paraId="7F221B50" w14:textId="77777777" w:rsidR="0043521E" w:rsidRPr="002B534E" w:rsidRDefault="0043521E" w:rsidP="0043521E"/>
    <w:tbl>
      <w:tblPr>
        <w:tblW w:w="0" w:type="auto"/>
        <w:tblLayout w:type="fixed"/>
        <w:tblLook w:val="0020" w:firstRow="1" w:lastRow="0" w:firstColumn="0" w:lastColumn="0" w:noHBand="0" w:noVBand="0"/>
      </w:tblPr>
      <w:tblGrid>
        <w:gridCol w:w="9945"/>
      </w:tblGrid>
      <w:tr w:rsidR="0043521E" w:rsidRPr="002B534E" w14:paraId="0417B617" w14:textId="77777777" w:rsidTr="00090B94">
        <w:tc>
          <w:tcPr>
            <w:tcW w:w="9945" w:type="dxa"/>
          </w:tcPr>
          <w:p w14:paraId="5A7EC00D" w14:textId="77777777" w:rsidR="0043521E" w:rsidRPr="002B534E" w:rsidRDefault="0043521E" w:rsidP="00E177D1">
            <w:pPr>
              <w:pStyle w:val="Headingb"/>
            </w:pPr>
            <w:bookmarkStart w:id="7" w:name="isume"/>
            <w:r w:rsidRPr="002B534E">
              <w:t>Summary</w:t>
            </w:r>
          </w:p>
          <w:p w14:paraId="6D4E708C" w14:textId="450A4372" w:rsidR="00935911" w:rsidRDefault="0043521E" w:rsidP="00E177D1">
            <w:r w:rsidRPr="006910CF">
              <w:t xml:space="preserve">This Technical Report is intended to provide suggested guidelines and reporting standards for OTT applications for partnering with telecommunications services regulators internationally. The primary focus of the report is to explore the possible harmonization of reporting standards for OTT applications internationally and provide various guidelines on the indicators, definitions and data template formats that may be effective for reporting on dominant or modal OTT applications both domestically and internationally. </w:t>
            </w:r>
          </w:p>
          <w:p w14:paraId="4B9A9374" w14:textId="60325CB2" w:rsidR="0043521E" w:rsidRPr="002B534E" w:rsidRDefault="0043521E" w:rsidP="00E177D1">
            <w:r w:rsidRPr="006910CF">
              <w:t xml:space="preserve">The Technical Report also provides case studies to </w:t>
            </w:r>
            <w:r w:rsidR="00935911">
              <w:t xml:space="preserve">the </w:t>
            </w:r>
            <w:r w:rsidRPr="006910CF">
              <w:t xml:space="preserve">current regulatory frameworks for data reporting for OTTs, with the objective of gaining insights into </w:t>
            </w:r>
            <w:proofErr w:type="gramStart"/>
            <w:r w:rsidRPr="006910CF">
              <w:t>a number of</w:t>
            </w:r>
            <w:proofErr w:type="gramEnd"/>
            <w:r w:rsidRPr="006910CF">
              <w:t xml:space="preserve"> jurisdictions</w:t>
            </w:r>
            <w:r w:rsidR="00580392" w:rsidRPr="00580392">
              <w:t>'</w:t>
            </w:r>
            <w:r w:rsidRPr="006910CF">
              <w:t xml:space="preserve"> policy perspectives on this topic.</w:t>
            </w:r>
            <w:bookmarkEnd w:id="7"/>
          </w:p>
        </w:tc>
      </w:tr>
    </w:tbl>
    <w:p w14:paraId="1CB147E1" w14:textId="77777777" w:rsidR="0043521E" w:rsidRPr="002B534E" w:rsidRDefault="0043521E" w:rsidP="0043521E"/>
    <w:p w14:paraId="581F4D11" w14:textId="77777777" w:rsidR="0043521E" w:rsidRPr="002B534E" w:rsidRDefault="0043521E" w:rsidP="0043521E"/>
    <w:tbl>
      <w:tblPr>
        <w:tblW w:w="9945" w:type="dxa"/>
        <w:tblLayout w:type="fixed"/>
        <w:tblLook w:val="0020" w:firstRow="1" w:lastRow="0" w:firstColumn="0" w:lastColumn="0" w:noHBand="0" w:noVBand="0"/>
      </w:tblPr>
      <w:tblGrid>
        <w:gridCol w:w="9945"/>
      </w:tblGrid>
      <w:tr w:rsidR="0043521E" w:rsidRPr="002B534E" w14:paraId="2264D085" w14:textId="77777777" w:rsidTr="00090B94">
        <w:tc>
          <w:tcPr>
            <w:tcW w:w="9945" w:type="dxa"/>
          </w:tcPr>
          <w:p w14:paraId="43DC6635" w14:textId="77777777" w:rsidR="0043521E" w:rsidRPr="002B534E" w:rsidRDefault="0043521E" w:rsidP="00E177D1">
            <w:pPr>
              <w:pStyle w:val="Headingb"/>
            </w:pPr>
            <w:bookmarkStart w:id="8" w:name="ikeye"/>
            <w:r w:rsidRPr="002B534E">
              <w:t>Keywords</w:t>
            </w:r>
          </w:p>
          <w:p w14:paraId="7949E1B5" w14:textId="59A76289" w:rsidR="0043521E" w:rsidRPr="002B534E" w:rsidRDefault="000C5E5A" w:rsidP="00E177D1">
            <w:pPr>
              <w:rPr>
                <w:bCs/>
              </w:rPr>
            </w:pPr>
            <w:r w:rsidRPr="000C5E5A">
              <w:t xml:space="preserve">Data </w:t>
            </w:r>
            <w:r w:rsidR="004617FD">
              <w:t>reporting</w:t>
            </w:r>
            <w:r w:rsidRPr="000C5E5A">
              <w:t xml:space="preserve">, OTT applications, </w:t>
            </w:r>
            <w:r>
              <w:rPr>
                <w:rFonts w:eastAsiaTheme="minorEastAsia" w:hint="eastAsia"/>
                <w:lang w:eastAsia="zh-CN"/>
              </w:rPr>
              <w:t>r</w:t>
            </w:r>
            <w:r w:rsidRPr="000C5E5A">
              <w:t xml:space="preserve">egulatory </w:t>
            </w:r>
            <w:r w:rsidR="008B1028">
              <w:t>challenges</w:t>
            </w:r>
            <w:r w:rsidRPr="000C5E5A">
              <w:t xml:space="preserve">, </w:t>
            </w:r>
            <w:r>
              <w:rPr>
                <w:rFonts w:eastAsiaTheme="minorEastAsia" w:hint="eastAsia"/>
                <w:lang w:eastAsia="zh-CN"/>
              </w:rPr>
              <w:t>r</w:t>
            </w:r>
            <w:r w:rsidRPr="000C5E5A">
              <w:t xml:space="preserve">eporting </w:t>
            </w:r>
            <w:r>
              <w:rPr>
                <w:rFonts w:eastAsiaTheme="minorEastAsia" w:hint="eastAsia"/>
                <w:lang w:eastAsia="zh-CN"/>
              </w:rPr>
              <w:t>s</w:t>
            </w:r>
            <w:r w:rsidRPr="000C5E5A">
              <w:t>tandards</w:t>
            </w:r>
            <w:bookmarkEnd w:id="8"/>
            <w:r w:rsidR="005A0CB4">
              <w:t>.</w:t>
            </w:r>
          </w:p>
        </w:tc>
      </w:tr>
    </w:tbl>
    <w:p w14:paraId="10A04A39" w14:textId="77777777" w:rsidR="0043521E" w:rsidRDefault="0043521E" w:rsidP="0043521E">
      <w:pPr>
        <w:pStyle w:val="Headingb"/>
      </w:pPr>
    </w:p>
    <w:p w14:paraId="704C2041" w14:textId="77777777" w:rsidR="0043521E" w:rsidRPr="0076675B" w:rsidRDefault="0043521E" w:rsidP="0043521E">
      <w:pPr>
        <w:pStyle w:val="Headingb"/>
        <w:rPr>
          <w:bCs/>
          <w:sz w:val="22"/>
          <w:lang w:val="en-US"/>
        </w:rPr>
      </w:pPr>
      <w:r w:rsidRPr="0076675B">
        <w:t>Note</w:t>
      </w:r>
      <w:r w:rsidRPr="0016115F">
        <w:rPr>
          <w:b w:val="0"/>
          <w:bCs/>
          <w:sz w:val="22"/>
          <w:lang w:val="en-US"/>
        </w:rPr>
        <w:t xml:space="preserve"> </w:t>
      </w:r>
    </w:p>
    <w:p w14:paraId="337E5C9E" w14:textId="77777777" w:rsidR="0043521E" w:rsidRDefault="0043521E" w:rsidP="0043521E">
      <w:r w:rsidRPr="00075625">
        <w:rPr>
          <w:sz w:val="22"/>
          <w:lang w:val="en-US"/>
        </w:rPr>
        <w:t>This is an informative ITU-T publication. Mandatory provisions, such as those found in ITU-T Recommendations, are outside the scope of this publication. This publication should only be referenced bibliographically in ITU-T Recommendations</w:t>
      </w:r>
      <w:r>
        <w:rPr>
          <w:sz w:val="22"/>
          <w:lang w:val="en-US"/>
        </w:rPr>
        <w:t>.</w:t>
      </w:r>
    </w:p>
    <w:p w14:paraId="11B3EEBF" w14:textId="77777777" w:rsidR="0043521E" w:rsidRDefault="0043521E" w:rsidP="0043521E"/>
    <w:p w14:paraId="3EDAC498" w14:textId="77777777" w:rsidR="0043521E" w:rsidRPr="002B534E" w:rsidRDefault="0043521E" w:rsidP="0043521E">
      <w:pPr>
        <w:pStyle w:val="Headingb"/>
        <w:jc w:val="both"/>
      </w:pPr>
      <w:r>
        <w:t>Change Log</w:t>
      </w:r>
    </w:p>
    <w:p w14:paraId="69B4BF54" w14:textId="7D293742" w:rsidR="0043521E" w:rsidRDefault="0043521E" w:rsidP="0043521E">
      <w:r w:rsidRPr="006910CF">
        <w:t>This document contains Version 1.0 of the ITU-T Technical Report DSTR</w:t>
      </w:r>
      <w:r w:rsidR="00090B94">
        <w:t>-</w:t>
      </w:r>
      <w:proofErr w:type="spellStart"/>
      <w:r w:rsidRPr="006910CF">
        <w:t>OTTReporting</w:t>
      </w:r>
      <w:proofErr w:type="spellEnd"/>
      <w:r w:rsidRPr="006910CF">
        <w:t xml:space="preserve"> on "Establishing </w:t>
      </w:r>
      <w:r w:rsidR="0066635F" w:rsidRPr="006910CF">
        <w:t>international reporting standard</w:t>
      </w:r>
      <w:r w:rsidRPr="006910CF">
        <w:t xml:space="preserve">s for OTT </w:t>
      </w:r>
      <w:r w:rsidR="0066635F">
        <w:t>a</w:t>
      </w:r>
      <w:r w:rsidRPr="006910CF">
        <w:t>pplications" approved at the ITU-T Study Group 3 meeting held in Geneva, 7 November 2025.</w:t>
      </w:r>
    </w:p>
    <w:p w14:paraId="561CD7A0" w14:textId="77777777" w:rsidR="0043521E" w:rsidRDefault="0043521E" w:rsidP="0043521E"/>
    <w:p w14:paraId="2B88F45C" w14:textId="77777777" w:rsidR="0043521E" w:rsidRDefault="0043521E" w:rsidP="0043521E"/>
    <w:tbl>
      <w:tblPr>
        <w:tblW w:w="5000" w:type="pct"/>
        <w:jc w:val="center"/>
        <w:tblCellMar>
          <w:left w:w="57" w:type="dxa"/>
          <w:right w:w="57" w:type="dxa"/>
        </w:tblCellMar>
        <w:tblLook w:val="0020" w:firstRow="1" w:lastRow="0" w:firstColumn="0" w:lastColumn="0" w:noHBand="0" w:noVBand="0"/>
      </w:tblPr>
      <w:tblGrid>
        <w:gridCol w:w="1571"/>
        <w:gridCol w:w="4268"/>
        <w:gridCol w:w="3800"/>
      </w:tblGrid>
      <w:tr w:rsidR="0043521E" w:rsidRPr="00F02EAD" w14:paraId="22E159EC" w14:textId="77777777" w:rsidTr="00090B94">
        <w:trPr>
          <w:cantSplit/>
          <w:trHeight w:val="204"/>
          <w:jc w:val="center"/>
        </w:trPr>
        <w:tc>
          <w:tcPr>
            <w:tcW w:w="815" w:type="pct"/>
          </w:tcPr>
          <w:p w14:paraId="40134217" w14:textId="77777777" w:rsidR="0043521E" w:rsidRPr="005A0CB4" w:rsidRDefault="0043521E" w:rsidP="00E177D1">
            <w:pPr>
              <w:rPr>
                <w:b/>
                <w:bCs/>
                <w:sz w:val="22"/>
                <w:szCs w:val="22"/>
              </w:rPr>
            </w:pPr>
            <w:r w:rsidRPr="005A0CB4">
              <w:rPr>
                <w:b/>
                <w:bCs/>
                <w:sz w:val="22"/>
                <w:szCs w:val="22"/>
              </w:rPr>
              <w:t>Editor</w:t>
            </w:r>
            <w:r w:rsidRPr="005A0CB4">
              <w:rPr>
                <w:sz w:val="22"/>
                <w:szCs w:val="22"/>
              </w:rPr>
              <w:t>:</w:t>
            </w:r>
          </w:p>
        </w:tc>
        <w:tc>
          <w:tcPr>
            <w:tcW w:w="2214" w:type="pct"/>
          </w:tcPr>
          <w:p w14:paraId="3DDB4FF0" w14:textId="77777777" w:rsidR="0043521E" w:rsidRPr="005A0CB4" w:rsidRDefault="0043521E" w:rsidP="00E177D1">
            <w:pPr>
              <w:jc w:val="left"/>
              <w:rPr>
                <w:sz w:val="22"/>
                <w:szCs w:val="22"/>
              </w:rPr>
            </w:pPr>
            <w:r w:rsidRPr="005A0CB4">
              <w:rPr>
                <w:sz w:val="22"/>
                <w:szCs w:val="22"/>
              </w:rPr>
              <w:t>Annie Baldeo</w:t>
            </w:r>
            <w:r w:rsidRPr="005A0CB4">
              <w:rPr>
                <w:sz w:val="22"/>
                <w:szCs w:val="22"/>
              </w:rPr>
              <w:br/>
              <w:t>Telecommunications Authority of Trinidad and Tobago (TATT)</w:t>
            </w:r>
            <w:r w:rsidRPr="005A0CB4">
              <w:rPr>
                <w:sz w:val="22"/>
                <w:szCs w:val="22"/>
              </w:rPr>
              <w:br/>
              <w:t>Trinidad and Tobago</w:t>
            </w:r>
          </w:p>
        </w:tc>
        <w:tc>
          <w:tcPr>
            <w:tcW w:w="1971" w:type="pct"/>
          </w:tcPr>
          <w:p w14:paraId="21966D07" w14:textId="77777777" w:rsidR="0043521E" w:rsidRPr="005A0CB4" w:rsidRDefault="0043521E" w:rsidP="00E177D1">
            <w:pPr>
              <w:tabs>
                <w:tab w:val="clear" w:pos="794"/>
                <w:tab w:val="clear" w:pos="1191"/>
                <w:tab w:val="left" w:pos="911"/>
              </w:tabs>
              <w:jc w:val="left"/>
              <w:rPr>
                <w:sz w:val="22"/>
                <w:szCs w:val="22"/>
                <w:lang w:val="it-IT"/>
              </w:rPr>
            </w:pPr>
            <w:r w:rsidRPr="005A0CB4">
              <w:rPr>
                <w:sz w:val="22"/>
                <w:szCs w:val="22"/>
                <w:lang w:val="pt-BR"/>
              </w:rPr>
              <w:t xml:space="preserve">E-mail: </w:t>
            </w:r>
            <w:r>
              <w:fldChar w:fldCharType="begin"/>
            </w:r>
            <w:r w:rsidRPr="00F02EAD">
              <w:rPr>
                <w:lang w:val="it-IT"/>
              </w:rPr>
              <w:instrText>HYPERLINK "mailto:abaldeo@tatt.org.tt"</w:instrText>
            </w:r>
            <w:r>
              <w:fldChar w:fldCharType="separate"/>
            </w:r>
            <w:r w:rsidRPr="005A0CB4">
              <w:rPr>
                <w:rStyle w:val="Hyperlink"/>
                <w:sz w:val="22"/>
                <w:szCs w:val="22"/>
                <w:lang w:val="pt-BR"/>
              </w:rPr>
              <w:t>abaldeo@tatt.org.tt</w:t>
            </w:r>
            <w:r>
              <w:fldChar w:fldCharType="end"/>
            </w:r>
          </w:p>
        </w:tc>
      </w:tr>
    </w:tbl>
    <w:p w14:paraId="3A4364F0" w14:textId="77777777" w:rsidR="0043521E" w:rsidRPr="006910CF" w:rsidRDefault="0043521E" w:rsidP="0043521E">
      <w:pPr>
        <w:jc w:val="center"/>
        <w:rPr>
          <w:sz w:val="22"/>
          <w:lang w:val="it-IT"/>
        </w:rPr>
      </w:pPr>
    </w:p>
    <w:p w14:paraId="4684197D" w14:textId="77777777" w:rsidR="0043521E" w:rsidRDefault="0043521E" w:rsidP="0043521E">
      <w:pPr>
        <w:jc w:val="center"/>
        <w:rPr>
          <w:rFonts w:eastAsiaTheme="minorEastAsia"/>
          <w:sz w:val="22"/>
          <w:lang w:val="it-IT" w:eastAsia="zh-CN"/>
        </w:rPr>
      </w:pPr>
    </w:p>
    <w:p w14:paraId="0F61F4C6" w14:textId="77777777" w:rsidR="000C5E5A" w:rsidRPr="000C5E5A" w:rsidRDefault="000C5E5A" w:rsidP="0043521E">
      <w:pPr>
        <w:jc w:val="center"/>
        <w:rPr>
          <w:rFonts w:eastAsiaTheme="minorEastAsia"/>
          <w:sz w:val="22"/>
          <w:lang w:val="it-IT" w:eastAsia="zh-CN"/>
        </w:rPr>
      </w:pPr>
    </w:p>
    <w:p w14:paraId="54D2A321" w14:textId="057C1636" w:rsidR="0043521E" w:rsidRDefault="0043521E" w:rsidP="0043521E">
      <w:pPr>
        <w:jc w:val="center"/>
        <w:rPr>
          <w:sz w:val="22"/>
        </w:rPr>
      </w:pPr>
      <w:r>
        <w:rPr>
          <w:sz w:val="22"/>
        </w:rPr>
        <w:sym w:font="Symbol" w:char="F0E3"/>
      </w:r>
      <w:r>
        <w:rPr>
          <w:sz w:val="22"/>
        </w:rPr>
        <w:t> ITU </w:t>
      </w:r>
      <w:bookmarkStart w:id="9" w:name="iiannee"/>
      <w:bookmarkEnd w:id="9"/>
      <w:r>
        <w:rPr>
          <w:sz w:val="22"/>
        </w:rPr>
        <w:t>202</w:t>
      </w:r>
      <w:r w:rsidR="00923E0C">
        <w:rPr>
          <w:sz w:val="22"/>
        </w:rPr>
        <w:t>6</w:t>
      </w:r>
    </w:p>
    <w:p w14:paraId="2FC91736" w14:textId="77777777" w:rsidR="0043521E" w:rsidRDefault="0043521E" w:rsidP="0043521E">
      <w:pPr>
        <w:rPr>
          <w:sz w:val="22"/>
        </w:rPr>
      </w:pPr>
      <w:r>
        <w:rPr>
          <w:sz w:val="22"/>
        </w:rPr>
        <w:t>All rights reserved. No part of this publication may be reproduced, by any means whatsoever, without the prior written permission of ITU.</w:t>
      </w:r>
    </w:p>
    <w:p w14:paraId="508C2D83" w14:textId="77777777" w:rsidR="0043521E" w:rsidRPr="002B534E" w:rsidRDefault="0043521E" w:rsidP="0043521E"/>
    <w:p w14:paraId="2CBACB97" w14:textId="77777777" w:rsidR="0043521E" w:rsidRPr="002B534E" w:rsidRDefault="0043521E" w:rsidP="0043521E">
      <w:pPr>
        <w:jc w:val="center"/>
        <w:rPr>
          <w:b/>
        </w:rPr>
      </w:pPr>
      <w:r w:rsidRPr="002B534E">
        <w:rPr>
          <w:b/>
        </w:rPr>
        <w:br w:type="page"/>
      </w:r>
      <w:r w:rsidRPr="002B534E">
        <w:rPr>
          <w:b/>
        </w:rPr>
        <w:lastRenderedPageBreak/>
        <w:t>Table of Contents</w:t>
      </w:r>
    </w:p>
    <w:p w14:paraId="135394F4" w14:textId="6BA15B94" w:rsidR="009D05B3" w:rsidRDefault="009D05B3" w:rsidP="009D05B3">
      <w:pPr>
        <w:pStyle w:val="toc0"/>
        <w:ind w:right="992"/>
        <w:rPr>
          <w:noProof/>
        </w:rPr>
      </w:pPr>
      <w:r>
        <w:tab/>
        <w:t>Page</w:t>
      </w:r>
    </w:p>
    <w:p w14:paraId="08860EA4" w14:textId="46573CBE" w:rsidR="009D05B3" w:rsidRDefault="009D05B3" w:rsidP="009D05B3">
      <w:pPr>
        <w:pStyle w:val="TOC1"/>
        <w:ind w:right="992"/>
        <w:rPr>
          <w:rFonts w:asciiTheme="minorHAnsi" w:eastAsiaTheme="minorEastAsia" w:hAnsiTheme="minorHAnsi" w:cstheme="minorBidi"/>
          <w:noProof/>
          <w:kern w:val="2"/>
          <w:szCs w:val="24"/>
          <w:lang w:eastAsia="en-GB"/>
          <w14:ligatures w14:val="standardContextual"/>
        </w:rPr>
      </w:pPr>
      <w:r w:rsidRPr="00D17B70">
        <w:rPr>
          <w:rFonts w:eastAsiaTheme="minorEastAsia"/>
          <w:noProof/>
        </w:rPr>
        <w:t>1</w:t>
      </w:r>
      <w:r>
        <w:rPr>
          <w:rFonts w:asciiTheme="minorHAnsi" w:eastAsiaTheme="minorEastAsia" w:hAnsiTheme="minorHAnsi" w:cstheme="minorBidi"/>
          <w:noProof/>
          <w:kern w:val="2"/>
          <w:szCs w:val="24"/>
          <w:lang w:eastAsia="en-GB"/>
          <w14:ligatures w14:val="standardContextual"/>
        </w:rPr>
        <w:tab/>
      </w:r>
      <w:r w:rsidRPr="009D05B3">
        <w:rPr>
          <w:noProof/>
        </w:rPr>
        <w:t>Scope</w:t>
      </w:r>
      <w:r>
        <w:rPr>
          <w:noProof/>
        </w:rPr>
        <w:tab/>
      </w:r>
      <w:r>
        <w:rPr>
          <w:noProof/>
        </w:rPr>
        <w:tab/>
      </w:r>
      <w:r w:rsidRPr="009D05B3">
        <w:rPr>
          <w:noProof/>
        </w:rPr>
        <w:t>1</w:t>
      </w:r>
    </w:p>
    <w:p w14:paraId="19EC4D52" w14:textId="2E88C830" w:rsidR="009D05B3" w:rsidRDefault="009D05B3" w:rsidP="009D05B3">
      <w:pPr>
        <w:pStyle w:val="TOC1"/>
        <w:ind w:right="992"/>
        <w:rPr>
          <w:rFonts w:asciiTheme="minorHAnsi" w:eastAsiaTheme="minorEastAsia" w:hAnsiTheme="minorHAnsi" w:cstheme="minorBidi"/>
          <w:noProof/>
          <w:kern w:val="2"/>
          <w:szCs w:val="24"/>
          <w:lang w:eastAsia="en-GB"/>
          <w14:ligatures w14:val="standardContextual"/>
        </w:rPr>
      </w:pPr>
      <w:r w:rsidRPr="00D17B70">
        <w:rPr>
          <w:rFonts w:eastAsiaTheme="minorEastAsia"/>
          <w:noProof/>
        </w:rPr>
        <w:t>2</w:t>
      </w:r>
      <w:r>
        <w:rPr>
          <w:rFonts w:asciiTheme="minorHAnsi" w:eastAsiaTheme="minorEastAsia" w:hAnsiTheme="minorHAnsi" w:cstheme="minorBidi"/>
          <w:noProof/>
          <w:kern w:val="2"/>
          <w:szCs w:val="24"/>
          <w:lang w:eastAsia="en-GB"/>
          <w14:ligatures w14:val="standardContextual"/>
        </w:rPr>
        <w:tab/>
      </w:r>
      <w:r w:rsidRPr="009D05B3">
        <w:rPr>
          <w:noProof/>
        </w:rPr>
        <w:t>References</w:t>
      </w:r>
      <w:r>
        <w:rPr>
          <w:noProof/>
        </w:rPr>
        <w:tab/>
      </w:r>
      <w:r>
        <w:rPr>
          <w:noProof/>
        </w:rPr>
        <w:tab/>
      </w:r>
      <w:r w:rsidRPr="009D05B3">
        <w:rPr>
          <w:noProof/>
        </w:rPr>
        <w:t>1</w:t>
      </w:r>
    </w:p>
    <w:p w14:paraId="195F0EEB" w14:textId="778452C7" w:rsidR="009D05B3" w:rsidRDefault="009D05B3" w:rsidP="009D05B3">
      <w:pPr>
        <w:pStyle w:val="TOC1"/>
        <w:ind w:right="992"/>
        <w:rPr>
          <w:rFonts w:asciiTheme="minorHAnsi" w:eastAsiaTheme="minorEastAsia" w:hAnsiTheme="minorHAnsi" w:cstheme="minorBidi"/>
          <w:noProof/>
          <w:kern w:val="2"/>
          <w:szCs w:val="24"/>
          <w:lang w:eastAsia="en-GB"/>
          <w14:ligatures w14:val="standardContextual"/>
        </w:rPr>
      </w:pPr>
      <w:r w:rsidRPr="00D17B70">
        <w:rPr>
          <w:rFonts w:eastAsiaTheme="minorEastAsia"/>
          <w:noProof/>
        </w:rPr>
        <w:t>3</w:t>
      </w:r>
      <w:r>
        <w:rPr>
          <w:rFonts w:asciiTheme="minorHAnsi" w:eastAsiaTheme="minorEastAsia" w:hAnsiTheme="minorHAnsi" w:cstheme="minorBidi"/>
          <w:noProof/>
          <w:kern w:val="2"/>
          <w:szCs w:val="24"/>
          <w:lang w:eastAsia="en-GB"/>
          <w14:ligatures w14:val="standardContextual"/>
        </w:rPr>
        <w:tab/>
      </w:r>
      <w:r w:rsidRPr="009D05B3">
        <w:rPr>
          <w:noProof/>
        </w:rPr>
        <w:t>Definitions</w:t>
      </w:r>
      <w:r>
        <w:rPr>
          <w:noProof/>
        </w:rPr>
        <w:tab/>
      </w:r>
      <w:r>
        <w:rPr>
          <w:noProof/>
        </w:rPr>
        <w:tab/>
      </w:r>
      <w:r w:rsidRPr="009D05B3">
        <w:rPr>
          <w:noProof/>
        </w:rPr>
        <w:t>1</w:t>
      </w:r>
    </w:p>
    <w:p w14:paraId="6ECC15D3" w14:textId="735EA5E6" w:rsidR="009D05B3" w:rsidRDefault="009D05B3" w:rsidP="009D05B3">
      <w:pPr>
        <w:pStyle w:val="TOC2"/>
        <w:ind w:right="992"/>
        <w:rPr>
          <w:rFonts w:asciiTheme="minorHAnsi" w:eastAsiaTheme="minorEastAsia" w:hAnsiTheme="minorHAnsi" w:cstheme="minorBidi"/>
          <w:noProof/>
          <w:kern w:val="2"/>
          <w:szCs w:val="24"/>
          <w:lang w:eastAsia="en-GB"/>
          <w14:ligatures w14:val="standardContextual"/>
        </w:rPr>
      </w:pPr>
      <w:r w:rsidRPr="00D17B70">
        <w:rPr>
          <w:rFonts w:eastAsiaTheme="minorEastAsia"/>
          <w:noProof/>
        </w:rPr>
        <w:t>3.1</w:t>
      </w:r>
      <w:r>
        <w:rPr>
          <w:rFonts w:asciiTheme="minorHAnsi" w:eastAsiaTheme="minorEastAsia" w:hAnsiTheme="minorHAnsi" w:cstheme="minorBidi"/>
          <w:noProof/>
          <w:kern w:val="2"/>
          <w:szCs w:val="24"/>
          <w:lang w:eastAsia="en-GB"/>
          <w14:ligatures w14:val="standardContextual"/>
        </w:rPr>
        <w:tab/>
      </w:r>
      <w:r>
        <w:rPr>
          <w:noProof/>
        </w:rPr>
        <w:t xml:space="preserve">Terms defined </w:t>
      </w:r>
      <w:r w:rsidRPr="009D05B3">
        <w:rPr>
          <w:noProof/>
        </w:rPr>
        <w:t>elsewhere</w:t>
      </w:r>
      <w:r>
        <w:rPr>
          <w:noProof/>
        </w:rPr>
        <w:tab/>
      </w:r>
      <w:r>
        <w:rPr>
          <w:noProof/>
        </w:rPr>
        <w:tab/>
      </w:r>
      <w:r w:rsidRPr="009D05B3">
        <w:rPr>
          <w:noProof/>
        </w:rPr>
        <w:t>1</w:t>
      </w:r>
    </w:p>
    <w:p w14:paraId="266E324B" w14:textId="234DDBC6" w:rsidR="009D05B3" w:rsidRDefault="009D05B3" w:rsidP="009D05B3">
      <w:pPr>
        <w:pStyle w:val="TOC2"/>
        <w:ind w:right="992"/>
        <w:rPr>
          <w:rFonts w:asciiTheme="minorHAnsi" w:eastAsiaTheme="minorEastAsia" w:hAnsiTheme="minorHAnsi" w:cstheme="minorBidi"/>
          <w:noProof/>
          <w:kern w:val="2"/>
          <w:szCs w:val="24"/>
          <w:lang w:eastAsia="en-GB"/>
          <w14:ligatures w14:val="standardContextual"/>
        </w:rPr>
      </w:pPr>
      <w:r w:rsidRPr="00D17B70">
        <w:rPr>
          <w:rFonts w:eastAsiaTheme="minorEastAsia"/>
          <w:noProof/>
        </w:rPr>
        <w:t>3.2</w:t>
      </w:r>
      <w:r>
        <w:rPr>
          <w:rFonts w:asciiTheme="minorHAnsi" w:eastAsiaTheme="minorEastAsia" w:hAnsiTheme="minorHAnsi" w:cstheme="minorBidi"/>
          <w:noProof/>
          <w:kern w:val="2"/>
          <w:szCs w:val="24"/>
          <w:lang w:eastAsia="en-GB"/>
          <w14:ligatures w14:val="standardContextual"/>
        </w:rPr>
        <w:tab/>
      </w:r>
      <w:r>
        <w:rPr>
          <w:noProof/>
        </w:rPr>
        <w:t xml:space="preserve">Terms defined in this Technical </w:t>
      </w:r>
      <w:r w:rsidRPr="009D05B3">
        <w:rPr>
          <w:noProof/>
        </w:rPr>
        <w:t>Report</w:t>
      </w:r>
      <w:r>
        <w:rPr>
          <w:noProof/>
        </w:rPr>
        <w:tab/>
      </w:r>
      <w:r>
        <w:rPr>
          <w:noProof/>
        </w:rPr>
        <w:tab/>
      </w:r>
      <w:r w:rsidRPr="009D05B3">
        <w:rPr>
          <w:noProof/>
        </w:rPr>
        <w:t>1</w:t>
      </w:r>
    </w:p>
    <w:p w14:paraId="6C8C3DC9" w14:textId="124811F7" w:rsidR="009D05B3" w:rsidRDefault="009D05B3" w:rsidP="009D05B3">
      <w:pPr>
        <w:pStyle w:val="TOC1"/>
        <w:ind w:right="992"/>
        <w:rPr>
          <w:rFonts w:asciiTheme="minorHAnsi" w:eastAsiaTheme="minorEastAsia" w:hAnsiTheme="minorHAnsi" w:cstheme="minorBidi"/>
          <w:noProof/>
          <w:kern w:val="2"/>
          <w:szCs w:val="24"/>
          <w:lang w:eastAsia="en-GB"/>
          <w14:ligatures w14:val="standardContextual"/>
        </w:rPr>
      </w:pPr>
      <w:r w:rsidRPr="00D17B70">
        <w:rPr>
          <w:rFonts w:eastAsiaTheme="minorEastAsia"/>
          <w:noProof/>
        </w:rPr>
        <w:t>4</w:t>
      </w:r>
      <w:r>
        <w:rPr>
          <w:rFonts w:asciiTheme="minorHAnsi" w:eastAsiaTheme="minorEastAsia" w:hAnsiTheme="minorHAnsi" w:cstheme="minorBidi"/>
          <w:noProof/>
          <w:kern w:val="2"/>
          <w:szCs w:val="24"/>
          <w:lang w:eastAsia="en-GB"/>
          <w14:ligatures w14:val="standardContextual"/>
        </w:rPr>
        <w:tab/>
      </w:r>
      <w:r>
        <w:rPr>
          <w:noProof/>
        </w:rPr>
        <w:t xml:space="preserve">Abbreviations and </w:t>
      </w:r>
      <w:r w:rsidRPr="009D05B3">
        <w:rPr>
          <w:noProof/>
        </w:rPr>
        <w:t>acronyms</w:t>
      </w:r>
      <w:r>
        <w:rPr>
          <w:noProof/>
        </w:rPr>
        <w:tab/>
      </w:r>
      <w:r>
        <w:rPr>
          <w:noProof/>
        </w:rPr>
        <w:tab/>
      </w:r>
      <w:r w:rsidRPr="009D05B3">
        <w:rPr>
          <w:noProof/>
        </w:rPr>
        <w:t>1</w:t>
      </w:r>
    </w:p>
    <w:p w14:paraId="5B2B405A" w14:textId="45390801" w:rsidR="009D05B3" w:rsidRDefault="009D05B3" w:rsidP="009D05B3">
      <w:pPr>
        <w:pStyle w:val="TOC1"/>
        <w:ind w:right="992"/>
        <w:rPr>
          <w:rFonts w:asciiTheme="minorHAnsi" w:eastAsiaTheme="minorEastAsia" w:hAnsiTheme="minorHAnsi" w:cstheme="minorBidi"/>
          <w:noProof/>
          <w:kern w:val="2"/>
          <w:szCs w:val="24"/>
          <w:lang w:eastAsia="en-GB"/>
          <w14:ligatures w14:val="standardContextual"/>
        </w:rPr>
      </w:pPr>
      <w:r w:rsidRPr="00D17B70">
        <w:rPr>
          <w:rFonts w:eastAsiaTheme="minorEastAsia"/>
          <w:noProof/>
        </w:rPr>
        <w:t>5</w:t>
      </w:r>
      <w:r>
        <w:rPr>
          <w:rFonts w:asciiTheme="minorHAnsi" w:eastAsiaTheme="minorEastAsia" w:hAnsiTheme="minorHAnsi" w:cstheme="minorBidi"/>
          <w:noProof/>
          <w:kern w:val="2"/>
          <w:szCs w:val="24"/>
          <w:lang w:eastAsia="en-GB"/>
          <w14:ligatures w14:val="standardContextual"/>
        </w:rPr>
        <w:tab/>
      </w:r>
      <w:r w:rsidRPr="009D05B3">
        <w:rPr>
          <w:noProof/>
        </w:rPr>
        <w:t>Introduction</w:t>
      </w:r>
      <w:r>
        <w:rPr>
          <w:noProof/>
        </w:rPr>
        <w:tab/>
      </w:r>
      <w:r>
        <w:rPr>
          <w:noProof/>
        </w:rPr>
        <w:tab/>
      </w:r>
      <w:r w:rsidRPr="009D05B3">
        <w:rPr>
          <w:noProof/>
        </w:rPr>
        <w:t>2</w:t>
      </w:r>
    </w:p>
    <w:p w14:paraId="2550B21C" w14:textId="6551DABA" w:rsidR="009D05B3" w:rsidRDefault="009D05B3" w:rsidP="009D05B3">
      <w:pPr>
        <w:pStyle w:val="TOC2"/>
        <w:ind w:right="992"/>
        <w:rPr>
          <w:rFonts w:asciiTheme="minorHAnsi" w:eastAsiaTheme="minorEastAsia" w:hAnsiTheme="minorHAnsi" w:cstheme="minorBidi"/>
          <w:noProof/>
          <w:kern w:val="2"/>
          <w:szCs w:val="24"/>
          <w:lang w:eastAsia="en-GB"/>
          <w14:ligatures w14:val="standardContextual"/>
        </w:rPr>
      </w:pPr>
      <w:r w:rsidRPr="00D17B70">
        <w:rPr>
          <w:rFonts w:eastAsiaTheme="minorEastAsia"/>
          <w:noProof/>
        </w:rPr>
        <w:t>5.1</w:t>
      </w:r>
      <w:r>
        <w:rPr>
          <w:rFonts w:asciiTheme="minorHAnsi" w:eastAsiaTheme="minorEastAsia" w:hAnsiTheme="minorHAnsi" w:cstheme="minorBidi"/>
          <w:noProof/>
          <w:kern w:val="2"/>
          <w:szCs w:val="24"/>
          <w:lang w:eastAsia="en-GB"/>
          <w14:ligatures w14:val="standardContextual"/>
        </w:rPr>
        <w:tab/>
      </w:r>
      <w:r>
        <w:rPr>
          <w:noProof/>
        </w:rPr>
        <w:t xml:space="preserve">Challenges and competition </w:t>
      </w:r>
      <w:r w:rsidRPr="009D05B3">
        <w:rPr>
          <w:noProof/>
        </w:rPr>
        <w:t>concerns</w:t>
      </w:r>
      <w:r>
        <w:rPr>
          <w:noProof/>
        </w:rPr>
        <w:tab/>
      </w:r>
      <w:r>
        <w:rPr>
          <w:noProof/>
        </w:rPr>
        <w:tab/>
      </w:r>
      <w:r w:rsidRPr="009D05B3">
        <w:rPr>
          <w:noProof/>
        </w:rPr>
        <w:t>3</w:t>
      </w:r>
    </w:p>
    <w:p w14:paraId="23CDA7DA" w14:textId="10D7A614" w:rsidR="009D05B3" w:rsidRDefault="009D05B3" w:rsidP="009D05B3">
      <w:pPr>
        <w:pStyle w:val="TOC2"/>
        <w:ind w:right="992"/>
        <w:rPr>
          <w:rFonts w:asciiTheme="minorHAnsi" w:eastAsiaTheme="minorEastAsia" w:hAnsiTheme="minorHAnsi" w:cstheme="minorBidi"/>
          <w:noProof/>
          <w:kern w:val="2"/>
          <w:szCs w:val="24"/>
          <w:lang w:eastAsia="en-GB"/>
          <w14:ligatures w14:val="standardContextual"/>
        </w:rPr>
      </w:pPr>
      <w:r w:rsidRPr="00D17B70">
        <w:rPr>
          <w:rFonts w:eastAsiaTheme="minorEastAsia"/>
          <w:noProof/>
        </w:rPr>
        <w:t>5.2</w:t>
      </w:r>
      <w:r>
        <w:rPr>
          <w:rFonts w:asciiTheme="minorHAnsi" w:eastAsiaTheme="minorEastAsia" w:hAnsiTheme="minorHAnsi" w:cstheme="minorBidi"/>
          <w:noProof/>
          <w:kern w:val="2"/>
          <w:szCs w:val="24"/>
          <w:lang w:eastAsia="en-GB"/>
          <w14:ligatures w14:val="standardContextual"/>
        </w:rPr>
        <w:tab/>
      </w:r>
      <w:r>
        <w:rPr>
          <w:noProof/>
        </w:rPr>
        <w:t xml:space="preserve">Towards the development of reporting standards for OTT </w:t>
      </w:r>
      <w:r w:rsidRPr="009D05B3">
        <w:rPr>
          <w:noProof/>
        </w:rPr>
        <w:t>services</w:t>
      </w:r>
      <w:r>
        <w:rPr>
          <w:noProof/>
        </w:rPr>
        <w:tab/>
      </w:r>
      <w:r>
        <w:rPr>
          <w:noProof/>
        </w:rPr>
        <w:tab/>
      </w:r>
      <w:r w:rsidRPr="009D05B3">
        <w:rPr>
          <w:noProof/>
        </w:rPr>
        <w:t>5</w:t>
      </w:r>
    </w:p>
    <w:p w14:paraId="23AD1B35" w14:textId="2FBCA452" w:rsidR="009D05B3" w:rsidRDefault="009D05B3" w:rsidP="009D05B3">
      <w:pPr>
        <w:pStyle w:val="TOC1"/>
        <w:ind w:right="992"/>
        <w:rPr>
          <w:rFonts w:asciiTheme="minorHAnsi" w:eastAsiaTheme="minorEastAsia" w:hAnsiTheme="minorHAnsi" w:cstheme="minorBidi"/>
          <w:noProof/>
          <w:kern w:val="2"/>
          <w:szCs w:val="24"/>
          <w:lang w:eastAsia="en-GB"/>
          <w14:ligatures w14:val="standardContextual"/>
        </w:rPr>
      </w:pPr>
      <w:r w:rsidRPr="00D17B70">
        <w:rPr>
          <w:rFonts w:eastAsiaTheme="minorEastAsia"/>
          <w:noProof/>
        </w:rPr>
        <w:t>6</w:t>
      </w:r>
      <w:r>
        <w:rPr>
          <w:rFonts w:asciiTheme="minorHAnsi" w:eastAsiaTheme="minorEastAsia" w:hAnsiTheme="minorHAnsi" w:cstheme="minorBidi"/>
          <w:noProof/>
          <w:kern w:val="2"/>
          <w:szCs w:val="24"/>
          <w:lang w:eastAsia="en-GB"/>
          <w14:ligatures w14:val="standardContextual"/>
        </w:rPr>
        <w:tab/>
      </w:r>
      <w:r>
        <w:rPr>
          <w:noProof/>
        </w:rPr>
        <w:t xml:space="preserve">Existing guidelines and reporting </w:t>
      </w:r>
      <w:r w:rsidRPr="009D05B3">
        <w:rPr>
          <w:noProof/>
        </w:rPr>
        <w:t>standards</w:t>
      </w:r>
      <w:r>
        <w:rPr>
          <w:noProof/>
        </w:rPr>
        <w:tab/>
      </w:r>
      <w:r>
        <w:rPr>
          <w:noProof/>
        </w:rPr>
        <w:tab/>
      </w:r>
      <w:r w:rsidRPr="009D05B3">
        <w:rPr>
          <w:noProof/>
        </w:rPr>
        <w:t>5</w:t>
      </w:r>
    </w:p>
    <w:p w14:paraId="42F97EE5" w14:textId="79922839" w:rsidR="009D05B3" w:rsidRDefault="009D05B3" w:rsidP="009D05B3">
      <w:pPr>
        <w:pStyle w:val="TOC2"/>
        <w:ind w:right="992"/>
        <w:rPr>
          <w:rFonts w:asciiTheme="minorHAnsi" w:eastAsiaTheme="minorEastAsia" w:hAnsiTheme="minorHAnsi" w:cstheme="minorBidi"/>
          <w:noProof/>
          <w:kern w:val="2"/>
          <w:szCs w:val="24"/>
          <w:lang w:eastAsia="en-GB"/>
          <w14:ligatures w14:val="standardContextual"/>
        </w:rPr>
      </w:pPr>
      <w:r w:rsidRPr="00D17B70">
        <w:rPr>
          <w:rFonts w:eastAsiaTheme="minorEastAsia"/>
          <w:noProof/>
        </w:rPr>
        <w:t>6.1</w:t>
      </w:r>
      <w:r>
        <w:rPr>
          <w:rFonts w:asciiTheme="minorHAnsi" w:eastAsiaTheme="minorEastAsia" w:hAnsiTheme="minorHAnsi" w:cstheme="minorBidi"/>
          <w:noProof/>
          <w:kern w:val="2"/>
          <w:szCs w:val="24"/>
          <w:lang w:eastAsia="en-GB"/>
          <w14:ligatures w14:val="standardContextual"/>
        </w:rPr>
        <w:tab/>
      </w:r>
      <w:r>
        <w:rPr>
          <w:noProof/>
        </w:rPr>
        <w:t>Body of European regulators for electronic communications (BEREC)</w:t>
      </w:r>
      <w:r>
        <w:rPr>
          <w:noProof/>
        </w:rPr>
        <w:tab/>
      </w:r>
      <w:r>
        <w:rPr>
          <w:noProof/>
        </w:rPr>
        <w:tab/>
        <w:t>6</w:t>
      </w:r>
    </w:p>
    <w:p w14:paraId="7885EB55" w14:textId="50C6C65A" w:rsidR="009D05B3" w:rsidRDefault="009D05B3" w:rsidP="009D05B3">
      <w:pPr>
        <w:pStyle w:val="TOC2"/>
        <w:ind w:right="992"/>
        <w:rPr>
          <w:rFonts w:asciiTheme="minorHAnsi" w:eastAsiaTheme="minorEastAsia" w:hAnsiTheme="minorHAnsi" w:cstheme="minorBidi"/>
          <w:noProof/>
          <w:kern w:val="2"/>
          <w:szCs w:val="24"/>
          <w:lang w:eastAsia="en-GB"/>
          <w14:ligatures w14:val="standardContextual"/>
        </w:rPr>
      </w:pPr>
      <w:r w:rsidRPr="00D17B70">
        <w:rPr>
          <w:rFonts w:eastAsiaTheme="minorEastAsia"/>
          <w:noProof/>
        </w:rPr>
        <w:t>6.2</w:t>
      </w:r>
      <w:r>
        <w:rPr>
          <w:rFonts w:asciiTheme="minorHAnsi" w:eastAsiaTheme="minorEastAsia" w:hAnsiTheme="minorHAnsi" w:cstheme="minorBidi"/>
          <w:noProof/>
          <w:kern w:val="2"/>
          <w:szCs w:val="24"/>
          <w:lang w:eastAsia="en-GB"/>
          <w14:ligatures w14:val="standardContextual"/>
        </w:rPr>
        <w:tab/>
      </w:r>
      <w:r w:rsidRPr="009D05B3">
        <w:rPr>
          <w:noProof/>
        </w:rPr>
        <w:t>Canada</w:t>
      </w:r>
      <w:r>
        <w:rPr>
          <w:noProof/>
        </w:rPr>
        <w:tab/>
      </w:r>
      <w:r>
        <w:rPr>
          <w:noProof/>
        </w:rPr>
        <w:tab/>
      </w:r>
      <w:r w:rsidRPr="009D05B3">
        <w:rPr>
          <w:noProof/>
        </w:rPr>
        <w:t>7</w:t>
      </w:r>
    </w:p>
    <w:p w14:paraId="44A21B68" w14:textId="2865DC6B" w:rsidR="009D05B3" w:rsidRDefault="009D05B3" w:rsidP="009D05B3">
      <w:pPr>
        <w:pStyle w:val="TOC1"/>
        <w:ind w:right="992"/>
        <w:rPr>
          <w:rFonts w:asciiTheme="minorHAnsi" w:eastAsiaTheme="minorEastAsia" w:hAnsiTheme="minorHAnsi" w:cstheme="minorBidi"/>
          <w:noProof/>
          <w:kern w:val="2"/>
          <w:szCs w:val="24"/>
          <w:lang w:eastAsia="en-GB"/>
          <w14:ligatures w14:val="standardContextual"/>
        </w:rPr>
      </w:pPr>
      <w:r w:rsidRPr="00D17B70">
        <w:rPr>
          <w:rFonts w:eastAsiaTheme="minorEastAsia"/>
          <w:noProof/>
        </w:rPr>
        <w:t>7</w:t>
      </w:r>
      <w:r>
        <w:rPr>
          <w:rFonts w:asciiTheme="minorHAnsi" w:eastAsiaTheme="minorEastAsia" w:hAnsiTheme="minorHAnsi" w:cstheme="minorBidi"/>
          <w:noProof/>
          <w:kern w:val="2"/>
          <w:szCs w:val="24"/>
          <w:lang w:eastAsia="en-GB"/>
          <w14:ligatures w14:val="standardContextual"/>
        </w:rPr>
        <w:tab/>
      </w:r>
      <w:r>
        <w:rPr>
          <w:noProof/>
        </w:rPr>
        <w:t xml:space="preserve">Proposed indicators, definitions and data template formats for </w:t>
      </w:r>
      <w:r w:rsidRPr="009D05B3">
        <w:rPr>
          <w:noProof/>
        </w:rPr>
        <w:t>reporting</w:t>
      </w:r>
      <w:r>
        <w:rPr>
          <w:noProof/>
        </w:rPr>
        <w:tab/>
      </w:r>
      <w:r>
        <w:rPr>
          <w:noProof/>
        </w:rPr>
        <w:tab/>
      </w:r>
      <w:r w:rsidRPr="009D05B3">
        <w:rPr>
          <w:noProof/>
        </w:rPr>
        <w:t>8</w:t>
      </w:r>
    </w:p>
    <w:p w14:paraId="1A02449E" w14:textId="5EB08380" w:rsidR="009D05B3" w:rsidRDefault="009D05B3" w:rsidP="009D05B3">
      <w:pPr>
        <w:pStyle w:val="TOC1"/>
        <w:ind w:right="992"/>
        <w:rPr>
          <w:rFonts w:asciiTheme="minorHAnsi" w:eastAsiaTheme="minorEastAsia" w:hAnsiTheme="minorHAnsi" w:cstheme="minorBidi"/>
          <w:noProof/>
          <w:kern w:val="2"/>
          <w:szCs w:val="24"/>
          <w:lang w:eastAsia="en-GB"/>
          <w14:ligatures w14:val="standardContextual"/>
        </w:rPr>
      </w:pPr>
      <w:r w:rsidRPr="00D17B70">
        <w:rPr>
          <w:rFonts w:eastAsiaTheme="minorEastAsia"/>
          <w:noProof/>
        </w:rPr>
        <w:t>8</w:t>
      </w:r>
      <w:r>
        <w:rPr>
          <w:rFonts w:asciiTheme="minorHAnsi" w:eastAsiaTheme="minorEastAsia" w:hAnsiTheme="minorHAnsi" w:cstheme="minorBidi"/>
          <w:noProof/>
          <w:kern w:val="2"/>
          <w:szCs w:val="24"/>
          <w:lang w:eastAsia="en-GB"/>
          <w14:ligatures w14:val="standardContextual"/>
        </w:rPr>
        <w:tab/>
      </w:r>
      <w:r>
        <w:rPr>
          <w:noProof/>
        </w:rPr>
        <w:t xml:space="preserve">Concluding </w:t>
      </w:r>
      <w:r w:rsidRPr="009D05B3">
        <w:rPr>
          <w:noProof/>
        </w:rPr>
        <w:t>remarks</w:t>
      </w:r>
      <w:r>
        <w:rPr>
          <w:noProof/>
        </w:rPr>
        <w:tab/>
      </w:r>
      <w:r>
        <w:rPr>
          <w:noProof/>
        </w:rPr>
        <w:tab/>
      </w:r>
      <w:r w:rsidRPr="009D05B3">
        <w:rPr>
          <w:noProof/>
        </w:rPr>
        <w:t>9</w:t>
      </w:r>
    </w:p>
    <w:p w14:paraId="640F2116" w14:textId="06B96CAB" w:rsidR="009D05B3" w:rsidRDefault="009D05B3" w:rsidP="009D05B3">
      <w:pPr>
        <w:pStyle w:val="TOC1"/>
        <w:ind w:right="992"/>
        <w:rPr>
          <w:rFonts w:asciiTheme="minorHAnsi" w:eastAsiaTheme="minorEastAsia" w:hAnsiTheme="minorHAnsi" w:cstheme="minorBidi"/>
          <w:noProof/>
          <w:kern w:val="2"/>
          <w:szCs w:val="24"/>
          <w:lang w:eastAsia="en-GB"/>
          <w14:ligatures w14:val="standardContextual"/>
        </w:rPr>
      </w:pPr>
      <w:r>
        <w:rPr>
          <w:noProof/>
        </w:rPr>
        <w:t xml:space="preserve">Annex A – Example of the proposed data template for reporting by OTT </w:t>
      </w:r>
      <w:r w:rsidRPr="009D05B3">
        <w:rPr>
          <w:noProof/>
        </w:rPr>
        <w:t>applications</w:t>
      </w:r>
      <w:r>
        <w:rPr>
          <w:noProof/>
        </w:rPr>
        <w:tab/>
      </w:r>
      <w:r>
        <w:rPr>
          <w:noProof/>
        </w:rPr>
        <w:tab/>
      </w:r>
      <w:r w:rsidRPr="009D05B3">
        <w:rPr>
          <w:noProof/>
        </w:rPr>
        <w:t>10</w:t>
      </w:r>
    </w:p>
    <w:p w14:paraId="337531F8" w14:textId="0E58476D" w:rsidR="009D05B3" w:rsidRDefault="009D05B3" w:rsidP="009D05B3">
      <w:pPr>
        <w:pStyle w:val="TOC1"/>
        <w:ind w:right="992"/>
        <w:rPr>
          <w:rFonts w:asciiTheme="minorHAnsi" w:eastAsiaTheme="minorEastAsia" w:hAnsiTheme="minorHAnsi" w:cstheme="minorBidi"/>
          <w:noProof/>
          <w:kern w:val="2"/>
          <w:szCs w:val="24"/>
          <w:lang w:eastAsia="en-GB"/>
          <w14:ligatures w14:val="standardContextual"/>
        </w:rPr>
      </w:pPr>
      <w:r>
        <w:rPr>
          <w:noProof/>
        </w:rPr>
        <w:t xml:space="preserve">Annex B </w:t>
      </w:r>
      <w:r>
        <w:rPr>
          <w:noProof/>
        </w:rPr>
        <w:t>–</w:t>
      </w:r>
      <w:r>
        <w:rPr>
          <w:noProof/>
        </w:rPr>
        <w:t xml:space="preserve"> Empirical cases on OTT (Policy perspectives)</w:t>
      </w:r>
      <w:r>
        <w:rPr>
          <w:noProof/>
        </w:rPr>
        <w:tab/>
      </w:r>
      <w:r>
        <w:rPr>
          <w:noProof/>
        </w:rPr>
        <w:tab/>
        <w:t>13</w:t>
      </w:r>
    </w:p>
    <w:p w14:paraId="320ABCEE" w14:textId="36D31368" w:rsidR="009D05B3" w:rsidRDefault="009D05B3" w:rsidP="009D05B3">
      <w:pPr>
        <w:pStyle w:val="TOC2"/>
        <w:ind w:right="992"/>
        <w:rPr>
          <w:rFonts w:asciiTheme="minorHAnsi" w:eastAsiaTheme="minorEastAsia" w:hAnsiTheme="minorHAnsi" w:cstheme="minorBidi"/>
          <w:noProof/>
          <w:kern w:val="2"/>
          <w:szCs w:val="24"/>
          <w:lang w:eastAsia="en-GB"/>
          <w14:ligatures w14:val="standardContextual"/>
        </w:rPr>
      </w:pPr>
      <w:r>
        <w:rPr>
          <w:noProof/>
        </w:rPr>
        <w:t>B.1</w:t>
      </w:r>
      <w:r>
        <w:rPr>
          <w:rFonts w:asciiTheme="minorHAnsi" w:eastAsiaTheme="minorEastAsia" w:hAnsiTheme="minorHAnsi" w:cstheme="minorBidi"/>
          <w:noProof/>
          <w:kern w:val="2"/>
          <w:szCs w:val="24"/>
          <w:lang w:eastAsia="en-GB"/>
          <w14:ligatures w14:val="standardContextual"/>
        </w:rPr>
        <w:tab/>
      </w:r>
      <w:r>
        <w:rPr>
          <w:noProof/>
        </w:rPr>
        <w:t xml:space="preserve">Trinidad and </w:t>
      </w:r>
      <w:r w:rsidRPr="009D05B3">
        <w:rPr>
          <w:noProof/>
        </w:rPr>
        <w:t>Tobago</w:t>
      </w:r>
      <w:r>
        <w:rPr>
          <w:noProof/>
        </w:rPr>
        <w:tab/>
      </w:r>
      <w:r>
        <w:rPr>
          <w:noProof/>
        </w:rPr>
        <w:tab/>
      </w:r>
      <w:r w:rsidRPr="009D05B3">
        <w:rPr>
          <w:noProof/>
        </w:rPr>
        <w:t>13</w:t>
      </w:r>
    </w:p>
    <w:p w14:paraId="60FEB506" w14:textId="754A8768" w:rsidR="009D05B3" w:rsidRDefault="009D05B3" w:rsidP="009D05B3">
      <w:pPr>
        <w:pStyle w:val="TOC2"/>
        <w:ind w:right="992"/>
        <w:rPr>
          <w:rFonts w:asciiTheme="minorHAnsi" w:eastAsiaTheme="minorEastAsia" w:hAnsiTheme="minorHAnsi" w:cstheme="minorBidi"/>
          <w:noProof/>
          <w:kern w:val="2"/>
          <w:szCs w:val="24"/>
          <w:lang w:eastAsia="en-GB"/>
          <w14:ligatures w14:val="standardContextual"/>
        </w:rPr>
      </w:pPr>
      <w:r>
        <w:rPr>
          <w:noProof/>
        </w:rPr>
        <w:t>B.2</w:t>
      </w:r>
      <w:r>
        <w:rPr>
          <w:rFonts w:asciiTheme="minorHAnsi" w:eastAsiaTheme="minorEastAsia" w:hAnsiTheme="minorHAnsi" w:cstheme="minorBidi"/>
          <w:noProof/>
          <w:kern w:val="2"/>
          <w:szCs w:val="24"/>
          <w:lang w:eastAsia="en-GB"/>
          <w14:ligatures w14:val="standardContextual"/>
        </w:rPr>
        <w:tab/>
      </w:r>
      <w:r w:rsidRPr="009D05B3">
        <w:rPr>
          <w:noProof/>
        </w:rPr>
        <w:t>Bahamas</w:t>
      </w:r>
      <w:r>
        <w:rPr>
          <w:noProof/>
        </w:rPr>
        <w:tab/>
      </w:r>
      <w:r>
        <w:rPr>
          <w:noProof/>
        </w:rPr>
        <w:tab/>
      </w:r>
      <w:r w:rsidRPr="009D05B3">
        <w:rPr>
          <w:noProof/>
        </w:rPr>
        <w:t>13</w:t>
      </w:r>
    </w:p>
    <w:p w14:paraId="26739AB9" w14:textId="76853384" w:rsidR="009D05B3" w:rsidRDefault="009D05B3" w:rsidP="009D05B3">
      <w:pPr>
        <w:pStyle w:val="TOC2"/>
        <w:ind w:right="992"/>
        <w:rPr>
          <w:rFonts w:asciiTheme="minorHAnsi" w:eastAsiaTheme="minorEastAsia" w:hAnsiTheme="minorHAnsi" w:cstheme="minorBidi"/>
          <w:noProof/>
          <w:kern w:val="2"/>
          <w:szCs w:val="24"/>
          <w:lang w:eastAsia="en-GB"/>
          <w14:ligatures w14:val="standardContextual"/>
        </w:rPr>
      </w:pPr>
      <w:r>
        <w:rPr>
          <w:noProof/>
        </w:rPr>
        <w:t>B.3</w:t>
      </w:r>
      <w:r>
        <w:rPr>
          <w:rFonts w:asciiTheme="minorHAnsi" w:eastAsiaTheme="minorEastAsia" w:hAnsiTheme="minorHAnsi" w:cstheme="minorBidi"/>
          <w:noProof/>
          <w:kern w:val="2"/>
          <w:szCs w:val="24"/>
          <w:lang w:eastAsia="en-GB"/>
          <w14:ligatures w14:val="standardContextual"/>
        </w:rPr>
        <w:tab/>
      </w:r>
      <w:r>
        <w:rPr>
          <w:noProof/>
        </w:rPr>
        <w:t xml:space="preserve">Eastern Caribbean </w:t>
      </w:r>
      <w:r w:rsidRPr="009D05B3">
        <w:rPr>
          <w:noProof/>
        </w:rPr>
        <w:t>countries</w:t>
      </w:r>
      <w:r>
        <w:rPr>
          <w:noProof/>
        </w:rPr>
        <w:tab/>
      </w:r>
      <w:r>
        <w:rPr>
          <w:noProof/>
        </w:rPr>
        <w:tab/>
      </w:r>
      <w:r w:rsidRPr="009D05B3">
        <w:rPr>
          <w:noProof/>
        </w:rPr>
        <w:t>14</w:t>
      </w:r>
    </w:p>
    <w:p w14:paraId="3C036221" w14:textId="5C57C23F" w:rsidR="009D05B3" w:rsidRDefault="009D05B3" w:rsidP="009D05B3">
      <w:pPr>
        <w:pStyle w:val="TOC2"/>
        <w:ind w:right="992"/>
        <w:rPr>
          <w:rFonts w:asciiTheme="minorHAnsi" w:eastAsiaTheme="minorEastAsia" w:hAnsiTheme="minorHAnsi" w:cstheme="minorBidi"/>
          <w:noProof/>
          <w:kern w:val="2"/>
          <w:szCs w:val="24"/>
          <w:lang w:eastAsia="en-GB"/>
          <w14:ligatures w14:val="standardContextual"/>
        </w:rPr>
      </w:pPr>
      <w:r>
        <w:rPr>
          <w:noProof/>
        </w:rPr>
        <w:t>B.4</w:t>
      </w:r>
      <w:r>
        <w:rPr>
          <w:rFonts w:asciiTheme="minorHAnsi" w:eastAsiaTheme="minorEastAsia" w:hAnsiTheme="minorHAnsi" w:cstheme="minorBidi"/>
          <w:noProof/>
          <w:kern w:val="2"/>
          <w:szCs w:val="24"/>
          <w:lang w:eastAsia="en-GB"/>
          <w14:ligatures w14:val="standardContextual"/>
        </w:rPr>
        <w:tab/>
      </w:r>
      <w:r w:rsidRPr="009D05B3">
        <w:rPr>
          <w:noProof/>
        </w:rPr>
        <w:t>Brazil</w:t>
      </w:r>
      <w:r>
        <w:rPr>
          <w:noProof/>
        </w:rPr>
        <w:tab/>
      </w:r>
      <w:r>
        <w:rPr>
          <w:noProof/>
        </w:rPr>
        <w:tab/>
      </w:r>
      <w:r w:rsidRPr="009D05B3">
        <w:rPr>
          <w:noProof/>
        </w:rPr>
        <w:t>14</w:t>
      </w:r>
    </w:p>
    <w:p w14:paraId="68D86B4B" w14:textId="62D3B92D" w:rsidR="009D05B3" w:rsidRDefault="009D05B3" w:rsidP="009D05B3">
      <w:pPr>
        <w:pStyle w:val="TOC2"/>
        <w:ind w:right="992"/>
        <w:rPr>
          <w:rFonts w:asciiTheme="minorHAnsi" w:eastAsiaTheme="minorEastAsia" w:hAnsiTheme="minorHAnsi" w:cstheme="minorBidi"/>
          <w:noProof/>
          <w:kern w:val="2"/>
          <w:szCs w:val="24"/>
          <w:lang w:eastAsia="en-GB"/>
          <w14:ligatures w14:val="standardContextual"/>
        </w:rPr>
      </w:pPr>
      <w:r>
        <w:rPr>
          <w:noProof/>
        </w:rPr>
        <w:t>B.5</w:t>
      </w:r>
      <w:r>
        <w:rPr>
          <w:rFonts w:asciiTheme="minorHAnsi" w:eastAsiaTheme="minorEastAsia" w:hAnsiTheme="minorHAnsi" w:cstheme="minorBidi"/>
          <w:noProof/>
          <w:kern w:val="2"/>
          <w:szCs w:val="24"/>
          <w:lang w:eastAsia="en-GB"/>
          <w14:ligatures w14:val="standardContextual"/>
        </w:rPr>
        <w:tab/>
      </w:r>
      <w:r>
        <w:rPr>
          <w:noProof/>
        </w:rPr>
        <w:t xml:space="preserve">The European </w:t>
      </w:r>
      <w:r w:rsidRPr="009D05B3">
        <w:rPr>
          <w:noProof/>
        </w:rPr>
        <w:t>Union</w:t>
      </w:r>
      <w:r>
        <w:rPr>
          <w:noProof/>
        </w:rPr>
        <w:tab/>
      </w:r>
      <w:r>
        <w:rPr>
          <w:noProof/>
        </w:rPr>
        <w:tab/>
      </w:r>
      <w:r w:rsidRPr="009D05B3">
        <w:rPr>
          <w:noProof/>
        </w:rPr>
        <w:t>14</w:t>
      </w:r>
    </w:p>
    <w:p w14:paraId="51991E3F" w14:textId="1A406A34" w:rsidR="009D05B3" w:rsidRDefault="009D05B3" w:rsidP="009D05B3">
      <w:pPr>
        <w:pStyle w:val="TOC2"/>
        <w:ind w:right="992"/>
        <w:rPr>
          <w:rFonts w:asciiTheme="minorHAnsi" w:eastAsiaTheme="minorEastAsia" w:hAnsiTheme="minorHAnsi" w:cstheme="minorBidi"/>
          <w:noProof/>
          <w:kern w:val="2"/>
          <w:szCs w:val="24"/>
          <w:lang w:eastAsia="en-GB"/>
          <w14:ligatures w14:val="standardContextual"/>
        </w:rPr>
      </w:pPr>
      <w:r>
        <w:rPr>
          <w:noProof/>
        </w:rPr>
        <w:t>B.6</w:t>
      </w:r>
      <w:r>
        <w:rPr>
          <w:rFonts w:asciiTheme="minorHAnsi" w:eastAsiaTheme="minorEastAsia" w:hAnsiTheme="minorHAnsi" w:cstheme="minorBidi"/>
          <w:noProof/>
          <w:kern w:val="2"/>
          <w:szCs w:val="24"/>
          <w:lang w:eastAsia="en-GB"/>
          <w14:ligatures w14:val="standardContextual"/>
        </w:rPr>
        <w:tab/>
      </w:r>
      <w:r>
        <w:rPr>
          <w:noProof/>
        </w:rPr>
        <w:t>United Kingdom (UK)</w:t>
      </w:r>
      <w:r>
        <w:rPr>
          <w:noProof/>
        </w:rPr>
        <w:tab/>
      </w:r>
      <w:r>
        <w:rPr>
          <w:noProof/>
        </w:rPr>
        <w:tab/>
        <w:t>15</w:t>
      </w:r>
    </w:p>
    <w:p w14:paraId="7A2A3658" w14:textId="2327B671" w:rsidR="009D05B3" w:rsidRDefault="009D05B3" w:rsidP="009D05B3">
      <w:pPr>
        <w:pStyle w:val="TOC2"/>
        <w:ind w:right="992"/>
        <w:rPr>
          <w:rFonts w:asciiTheme="minorHAnsi" w:eastAsiaTheme="minorEastAsia" w:hAnsiTheme="minorHAnsi" w:cstheme="minorBidi"/>
          <w:noProof/>
          <w:kern w:val="2"/>
          <w:szCs w:val="24"/>
          <w:lang w:eastAsia="en-GB"/>
          <w14:ligatures w14:val="standardContextual"/>
        </w:rPr>
      </w:pPr>
      <w:r>
        <w:rPr>
          <w:noProof/>
        </w:rPr>
        <w:t>B.7</w:t>
      </w:r>
      <w:r>
        <w:rPr>
          <w:rFonts w:asciiTheme="minorHAnsi" w:eastAsiaTheme="minorEastAsia" w:hAnsiTheme="minorHAnsi" w:cstheme="minorBidi"/>
          <w:noProof/>
          <w:kern w:val="2"/>
          <w:szCs w:val="24"/>
          <w:lang w:eastAsia="en-GB"/>
          <w14:ligatures w14:val="standardContextual"/>
        </w:rPr>
        <w:tab/>
      </w:r>
      <w:r w:rsidRPr="009D05B3">
        <w:rPr>
          <w:noProof/>
        </w:rPr>
        <w:t>India</w:t>
      </w:r>
      <w:r>
        <w:rPr>
          <w:noProof/>
        </w:rPr>
        <w:tab/>
      </w:r>
      <w:r>
        <w:rPr>
          <w:noProof/>
        </w:rPr>
        <w:tab/>
      </w:r>
      <w:r w:rsidRPr="009D05B3">
        <w:rPr>
          <w:noProof/>
        </w:rPr>
        <w:t>16</w:t>
      </w:r>
    </w:p>
    <w:p w14:paraId="4073B78B" w14:textId="571B150F" w:rsidR="009D05B3" w:rsidRDefault="009D05B3" w:rsidP="009D05B3">
      <w:pPr>
        <w:pStyle w:val="TOC2"/>
        <w:ind w:right="992"/>
        <w:rPr>
          <w:rFonts w:asciiTheme="minorHAnsi" w:eastAsiaTheme="minorEastAsia" w:hAnsiTheme="minorHAnsi" w:cstheme="minorBidi"/>
          <w:noProof/>
          <w:kern w:val="2"/>
          <w:szCs w:val="24"/>
          <w:lang w:eastAsia="en-GB"/>
          <w14:ligatures w14:val="standardContextual"/>
        </w:rPr>
      </w:pPr>
      <w:r>
        <w:rPr>
          <w:noProof/>
        </w:rPr>
        <w:t>B.8</w:t>
      </w:r>
      <w:r>
        <w:rPr>
          <w:rFonts w:asciiTheme="minorHAnsi" w:eastAsiaTheme="minorEastAsia" w:hAnsiTheme="minorHAnsi" w:cstheme="minorBidi"/>
          <w:noProof/>
          <w:kern w:val="2"/>
          <w:szCs w:val="24"/>
          <w:lang w:eastAsia="en-GB"/>
          <w14:ligatures w14:val="standardContextual"/>
        </w:rPr>
        <w:tab/>
      </w:r>
      <w:r w:rsidRPr="009D05B3">
        <w:rPr>
          <w:noProof/>
        </w:rPr>
        <w:t>Zimbabwe</w:t>
      </w:r>
      <w:r>
        <w:rPr>
          <w:noProof/>
        </w:rPr>
        <w:tab/>
      </w:r>
      <w:r>
        <w:rPr>
          <w:noProof/>
        </w:rPr>
        <w:tab/>
      </w:r>
      <w:r w:rsidRPr="009D05B3">
        <w:rPr>
          <w:noProof/>
        </w:rPr>
        <w:t>16</w:t>
      </w:r>
    </w:p>
    <w:p w14:paraId="325526CA" w14:textId="2EBDB44D" w:rsidR="009D05B3" w:rsidRDefault="009D05B3" w:rsidP="009D05B3">
      <w:pPr>
        <w:pStyle w:val="TOC2"/>
        <w:ind w:right="992"/>
        <w:rPr>
          <w:rFonts w:asciiTheme="minorHAnsi" w:eastAsiaTheme="minorEastAsia" w:hAnsiTheme="minorHAnsi" w:cstheme="minorBidi"/>
          <w:noProof/>
          <w:kern w:val="2"/>
          <w:szCs w:val="24"/>
          <w:lang w:eastAsia="en-GB"/>
          <w14:ligatures w14:val="standardContextual"/>
        </w:rPr>
      </w:pPr>
      <w:r>
        <w:rPr>
          <w:noProof/>
        </w:rPr>
        <w:t>B.9</w:t>
      </w:r>
      <w:r>
        <w:rPr>
          <w:rFonts w:asciiTheme="minorHAnsi" w:eastAsiaTheme="minorEastAsia" w:hAnsiTheme="minorHAnsi" w:cstheme="minorBidi"/>
          <w:noProof/>
          <w:kern w:val="2"/>
          <w:szCs w:val="24"/>
          <w:lang w:eastAsia="en-GB"/>
          <w14:ligatures w14:val="standardContextual"/>
        </w:rPr>
        <w:tab/>
      </w:r>
      <w:r w:rsidRPr="009D05B3">
        <w:rPr>
          <w:noProof/>
        </w:rPr>
        <w:t>Bahrain</w:t>
      </w:r>
      <w:r>
        <w:rPr>
          <w:noProof/>
        </w:rPr>
        <w:tab/>
      </w:r>
      <w:r>
        <w:rPr>
          <w:noProof/>
        </w:rPr>
        <w:tab/>
      </w:r>
      <w:r w:rsidRPr="009D05B3">
        <w:rPr>
          <w:noProof/>
        </w:rPr>
        <w:t>16</w:t>
      </w:r>
    </w:p>
    <w:p w14:paraId="07BDDE51" w14:textId="2BE32072" w:rsidR="009D05B3" w:rsidRDefault="009D05B3" w:rsidP="009D05B3">
      <w:pPr>
        <w:pStyle w:val="TOC1"/>
        <w:ind w:right="992"/>
        <w:rPr>
          <w:rFonts w:asciiTheme="minorHAnsi" w:eastAsiaTheme="minorEastAsia" w:hAnsiTheme="minorHAnsi" w:cstheme="minorBidi"/>
          <w:noProof/>
          <w:kern w:val="2"/>
          <w:szCs w:val="24"/>
          <w:lang w:eastAsia="en-GB"/>
          <w14:ligatures w14:val="standardContextual"/>
        </w:rPr>
      </w:pPr>
      <w:r w:rsidRPr="009D05B3">
        <w:rPr>
          <w:noProof/>
        </w:rPr>
        <w:t>Bibliography</w:t>
      </w:r>
      <w:r>
        <w:rPr>
          <w:noProof/>
        </w:rPr>
        <w:tab/>
      </w:r>
      <w:r>
        <w:rPr>
          <w:noProof/>
        </w:rPr>
        <w:tab/>
      </w:r>
      <w:r w:rsidRPr="009D05B3">
        <w:rPr>
          <w:noProof/>
        </w:rPr>
        <w:t>17</w:t>
      </w:r>
    </w:p>
    <w:p w14:paraId="2DE14676" w14:textId="25AA061E" w:rsidR="00D51580" w:rsidRDefault="00D51580" w:rsidP="009D05B3"/>
    <w:p w14:paraId="4F6E44AB" w14:textId="77777777" w:rsidR="009D05B3" w:rsidRDefault="009D05B3" w:rsidP="0043521E"/>
    <w:p w14:paraId="0059A5A1" w14:textId="77777777" w:rsidR="00D51580" w:rsidRPr="002B534E" w:rsidRDefault="00D51580" w:rsidP="0043521E"/>
    <w:p w14:paraId="56F0B8F6" w14:textId="77777777" w:rsidR="0043521E" w:rsidRPr="002B534E" w:rsidRDefault="0043521E" w:rsidP="0043521E">
      <w:pPr>
        <w:rPr>
          <w:b/>
          <w:bCs/>
        </w:rPr>
        <w:sectPr w:rsidR="0043521E" w:rsidRPr="002B534E" w:rsidSect="000C5E5A">
          <w:headerReference w:type="default" r:id="rId18"/>
          <w:footerReference w:type="even" r:id="rId19"/>
          <w:footerReference w:type="default" r:id="rId20"/>
          <w:type w:val="oddPage"/>
          <w:pgSz w:w="11907" w:h="16834"/>
          <w:pgMar w:top="1134" w:right="1134" w:bottom="1134" w:left="1134" w:header="567" w:footer="567" w:gutter="0"/>
          <w:paperSrc w:first="15" w:other="15"/>
          <w:pgNumType w:fmt="lowerRoman" w:start="1"/>
          <w:cols w:space="720"/>
          <w:docGrid w:linePitch="326"/>
        </w:sectPr>
      </w:pPr>
    </w:p>
    <w:p w14:paraId="6BF48FE1" w14:textId="71F686B2" w:rsidR="0043521E" w:rsidRPr="006910CF" w:rsidRDefault="0043521E" w:rsidP="0043521E">
      <w:pPr>
        <w:pStyle w:val="RecNo"/>
      </w:pPr>
      <w:bookmarkStart w:id="10" w:name="p1rectexte"/>
      <w:bookmarkEnd w:id="10"/>
      <w:r w:rsidRPr="006910CF">
        <w:lastRenderedPageBreak/>
        <w:t>Technical Report ITU-T DSTR</w:t>
      </w:r>
      <w:r w:rsidR="00D25891">
        <w:t>-</w:t>
      </w:r>
      <w:proofErr w:type="spellStart"/>
      <w:r w:rsidRPr="006910CF">
        <w:t>OTTReporting</w:t>
      </w:r>
      <w:proofErr w:type="spellEnd"/>
    </w:p>
    <w:p w14:paraId="204094C4" w14:textId="77777777" w:rsidR="0043521E" w:rsidRPr="00CE55A5" w:rsidRDefault="0043521E" w:rsidP="0043521E">
      <w:pPr>
        <w:pStyle w:val="Rectitle"/>
      </w:pPr>
      <w:r>
        <w:rPr>
          <w:bCs/>
        </w:rPr>
        <w:t>Establishing international reporting standards for OTT applications</w:t>
      </w:r>
    </w:p>
    <w:p w14:paraId="29DEA254" w14:textId="04B6E2D0" w:rsidR="00741F7E" w:rsidRPr="00741F7E" w:rsidRDefault="00741F7E" w:rsidP="00741F7E">
      <w:pPr>
        <w:pStyle w:val="Heading1"/>
      </w:pPr>
      <w:bookmarkStart w:id="11" w:name="_Toc401158818"/>
      <w:bookmarkStart w:id="12" w:name="_Toc213830506"/>
      <w:bookmarkStart w:id="13" w:name="_Toc214976380"/>
      <w:bookmarkStart w:id="14" w:name="_Toc229984635"/>
      <w:r w:rsidRPr="00741F7E">
        <w:rPr>
          <w:rFonts w:eastAsiaTheme="minorEastAsia" w:hint="eastAsia"/>
        </w:rPr>
        <w:t>1</w:t>
      </w:r>
      <w:r w:rsidRPr="00741F7E">
        <w:rPr>
          <w:rFonts w:eastAsiaTheme="minorEastAsia"/>
        </w:rPr>
        <w:tab/>
      </w:r>
      <w:r w:rsidRPr="00741F7E">
        <w:t>Scope</w:t>
      </w:r>
      <w:bookmarkEnd w:id="11"/>
      <w:bookmarkEnd w:id="12"/>
      <w:bookmarkEnd w:id="13"/>
      <w:bookmarkEnd w:id="14"/>
    </w:p>
    <w:p w14:paraId="5D064209" w14:textId="0B8EC870" w:rsidR="00741F7E" w:rsidRPr="006567DB" w:rsidRDefault="00741F7E" w:rsidP="00741F7E">
      <w:pPr>
        <w:rPr>
          <w:lang w:eastAsia="ja-JP" w:bidi="ar-DZ"/>
        </w:rPr>
      </w:pPr>
      <w:r w:rsidRPr="006567DB">
        <w:rPr>
          <w:lang w:eastAsia="ja-JP" w:bidi="ar-DZ"/>
        </w:rPr>
        <w:t xml:space="preserve">The scope of this Technical Report is to </w:t>
      </w:r>
      <w:r>
        <w:rPr>
          <w:lang w:eastAsia="ja-JP" w:bidi="ar-DZ"/>
        </w:rPr>
        <w:t xml:space="preserve">provide suggested </w:t>
      </w:r>
      <w:r w:rsidRPr="006567DB">
        <w:rPr>
          <w:lang w:eastAsia="ja-JP" w:bidi="ar-DZ"/>
        </w:rPr>
        <w:t xml:space="preserve">guidelines and reporting standards for </w:t>
      </w:r>
      <w:r w:rsidR="004E1ED7">
        <w:rPr>
          <w:rFonts w:eastAsiaTheme="minorEastAsia"/>
        </w:rPr>
        <w:t>o</w:t>
      </w:r>
      <w:r w:rsidR="004E1ED7" w:rsidRPr="0030748E">
        <w:rPr>
          <w:rFonts w:eastAsiaTheme="minorEastAsia"/>
        </w:rPr>
        <w:t xml:space="preserve">ver the </w:t>
      </w:r>
      <w:r w:rsidR="004E1ED7">
        <w:rPr>
          <w:rFonts w:eastAsiaTheme="minorEastAsia"/>
        </w:rPr>
        <w:t>t</w:t>
      </w:r>
      <w:r w:rsidR="004E1ED7" w:rsidRPr="0030748E">
        <w:rPr>
          <w:rFonts w:eastAsiaTheme="minorEastAsia"/>
        </w:rPr>
        <w:t>op</w:t>
      </w:r>
      <w:r w:rsidR="004E1ED7" w:rsidRPr="006567DB">
        <w:rPr>
          <w:lang w:eastAsia="ja-JP" w:bidi="ar-DZ"/>
        </w:rPr>
        <w:t xml:space="preserve"> </w:t>
      </w:r>
      <w:r w:rsidR="004E1ED7">
        <w:rPr>
          <w:lang w:eastAsia="ja-JP" w:bidi="ar-DZ"/>
        </w:rPr>
        <w:t>(</w:t>
      </w:r>
      <w:r w:rsidRPr="006567DB">
        <w:rPr>
          <w:lang w:eastAsia="ja-JP" w:bidi="ar-DZ"/>
        </w:rPr>
        <w:t>OTT</w:t>
      </w:r>
      <w:r w:rsidR="004E1ED7">
        <w:rPr>
          <w:lang w:eastAsia="ja-JP" w:bidi="ar-DZ"/>
        </w:rPr>
        <w:t>)</w:t>
      </w:r>
      <w:r w:rsidRPr="006567DB">
        <w:rPr>
          <w:lang w:eastAsia="ja-JP" w:bidi="ar-DZ"/>
        </w:rPr>
        <w:t xml:space="preserve"> applications providers, focusing specifically on the indicators, definitions, and data template formats </w:t>
      </w:r>
      <w:r>
        <w:rPr>
          <w:lang w:eastAsia="ja-JP" w:bidi="ar-DZ"/>
        </w:rPr>
        <w:t xml:space="preserve">that may be </w:t>
      </w:r>
      <w:r w:rsidRPr="006567DB">
        <w:rPr>
          <w:lang w:eastAsia="ja-JP" w:bidi="ar-DZ"/>
        </w:rPr>
        <w:t xml:space="preserve">necessary for the precise reporting and documentation of pertinent data to aid </w:t>
      </w:r>
      <w:r>
        <w:rPr>
          <w:lang w:eastAsia="ja-JP" w:bidi="ar-DZ"/>
        </w:rPr>
        <w:t xml:space="preserve">regulatory agencies </w:t>
      </w:r>
      <w:r w:rsidRPr="006567DB">
        <w:rPr>
          <w:lang w:eastAsia="ja-JP" w:bidi="ar-DZ"/>
        </w:rPr>
        <w:t>in evaluating the telecommunications and broadcasting industries.</w:t>
      </w:r>
    </w:p>
    <w:p w14:paraId="54204516" w14:textId="777DCCA5" w:rsidR="00741F7E" w:rsidRPr="00D80D8D" w:rsidRDefault="00741F7E" w:rsidP="00D80D8D">
      <w:pPr>
        <w:pStyle w:val="Heading1"/>
      </w:pPr>
      <w:bookmarkStart w:id="15" w:name="_Toc401158819"/>
      <w:bookmarkStart w:id="16" w:name="_Toc213830507"/>
      <w:bookmarkStart w:id="17" w:name="_Toc214976381"/>
      <w:bookmarkStart w:id="18" w:name="_Toc229984636"/>
      <w:r w:rsidRPr="00D80D8D">
        <w:rPr>
          <w:rFonts w:eastAsiaTheme="minorEastAsia" w:hint="eastAsia"/>
        </w:rPr>
        <w:t>2</w:t>
      </w:r>
      <w:r w:rsidRPr="00D80D8D">
        <w:rPr>
          <w:rFonts w:eastAsiaTheme="minorEastAsia"/>
        </w:rPr>
        <w:tab/>
      </w:r>
      <w:r w:rsidRPr="00D80D8D">
        <w:t>References</w:t>
      </w:r>
      <w:bookmarkEnd w:id="15"/>
      <w:bookmarkEnd w:id="16"/>
      <w:bookmarkEnd w:id="17"/>
      <w:bookmarkEnd w:id="18"/>
    </w:p>
    <w:p w14:paraId="75073375" w14:textId="3001A3AD" w:rsidR="00741F7E" w:rsidRPr="00923E0C" w:rsidRDefault="00923E0C" w:rsidP="005A0CB4">
      <w:pPr>
        <w:pStyle w:val="Reftext"/>
        <w:tabs>
          <w:tab w:val="clear" w:pos="1191"/>
          <w:tab w:val="clear" w:pos="1588"/>
        </w:tabs>
        <w:ind w:left="1985" w:hanging="1985"/>
        <w:rPr>
          <w:iCs/>
        </w:rPr>
      </w:pPr>
      <w:bookmarkStart w:id="19" w:name="_Toc401158820"/>
      <w:r>
        <w:rPr>
          <w:iCs/>
        </w:rPr>
        <w:t>[</w:t>
      </w:r>
      <w:hyperlink r:id="rId21" w:history="1">
        <w:r>
          <w:rPr>
            <w:rStyle w:val="Hyperlink"/>
          </w:rPr>
          <w:t>ITU-T D.262</w:t>
        </w:r>
      </w:hyperlink>
      <w:r>
        <w:rPr>
          <w:iCs/>
        </w:rPr>
        <w:t>]</w:t>
      </w:r>
      <w:r>
        <w:rPr>
          <w:iCs/>
        </w:rPr>
        <w:tab/>
        <w:t xml:space="preserve">Recommendation ITU-T D.262 (2019), </w:t>
      </w:r>
      <w:r>
        <w:rPr>
          <w:i/>
          <w:iCs/>
        </w:rPr>
        <w:t>Collaborative framework for OTTs.</w:t>
      </w:r>
    </w:p>
    <w:p w14:paraId="304E00DF" w14:textId="63712B0A" w:rsidR="00741F7E" w:rsidRPr="00923E0C" w:rsidRDefault="00923E0C" w:rsidP="005A0CB4">
      <w:pPr>
        <w:pStyle w:val="Reftext"/>
        <w:tabs>
          <w:tab w:val="clear" w:pos="1191"/>
          <w:tab w:val="clear" w:pos="1588"/>
        </w:tabs>
        <w:ind w:left="1985" w:hanging="1985"/>
        <w:rPr>
          <w:iCs/>
        </w:rPr>
      </w:pPr>
      <w:r>
        <w:rPr>
          <w:iCs/>
        </w:rPr>
        <w:t>[</w:t>
      </w:r>
      <w:hyperlink r:id="rId22" w:history="1">
        <w:r>
          <w:rPr>
            <w:rStyle w:val="Hyperlink"/>
          </w:rPr>
          <w:t>ITU-T D.1101</w:t>
        </w:r>
      </w:hyperlink>
      <w:r>
        <w:rPr>
          <w:iCs/>
        </w:rPr>
        <w:t>]</w:t>
      </w:r>
      <w:r>
        <w:rPr>
          <w:iCs/>
        </w:rPr>
        <w:tab/>
        <w:t xml:space="preserve">Recommendation ITU-T D.1101 (2020), </w:t>
      </w:r>
      <w:r>
        <w:rPr>
          <w:i/>
          <w:iCs/>
        </w:rPr>
        <w:t>Enabling environment for voluntary commercial arrangements between telecommunication network operators and OTT providers.</w:t>
      </w:r>
    </w:p>
    <w:p w14:paraId="3B843E1C" w14:textId="7B3A6C85" w:rsidR="00741F7E" w:rsidRPr="00923E0C" w:rsidRDefault="00923E0C" w:rsidP="005A0CB4">
      <w:pPr>
        <w:pStyle w:val="Reftext"/>
        <w:tabs>
          <w:tab w:val="clear" w:pos="1191"/>
          <w:tab w:val="clear" w:pos="1588"/>
        </w:tabs>
        <w:ind w:left="1985" w:hanging="1985"/>
        <w:rPr>
          <w:iCs/>
        </w:rPr>
      </w:pPr>
      <w:r>
        <w:rPr>
          <w:iCs/>
        </w:rPr>
        <w:t>[</w:t>
      </w:r>
      <w:hyperlink r:id="rId23" w:history="1">
        <w:r>
          <w:rPr>
            <w:rStyle w:val="Hyperlink"/>
          </w:rPr>
          <w:t>ITU-T D.1102</w:t>
        </w:r>
      </w:hyperlink>
      <w:r>
        <w:rPr>
          <w:iCs/>
        </w:rPr>
        <w:t>]</w:t>
      </w:r>
      <w:r>
        <w:rPr>
          <w:iCs/>
        </w:rPr>
        <w:tab/>
        <w:t xml:space="preserve">Recommendation ITU-T D.1102 (2021), </w:t>
      </w:r>
      <w:r>
        <w:rPr>
          <w:i/>
          <w:iCs/>
        </w:rPr>
        <w:t>Customer redress and consumer protection mechanisms for OTTs.</w:t>
      </w:r>
    </w:p>
    <w:p w14:paraId="5B4F7C81" w14:textId="0F53250E" w:rsidR="00741F7E" w:rsidRPr="0030748E" w:rsidRDefault="0030748E" w:rsidP="005A0CB4">
      <w:pPr>
        <w:pStyle w:val="Reftext"/>
        <w:tabs>
          <w:tab w:val="clear" w:pos="794"/>
          <w:tab w:val="clear" w:pos="1191"/>
          <w:tab w:val="clear" w:pos="1588"/>
        </w:tabs>
        <w:ind w:left="1985" w:hanging="1985"/>
      </w:pPr>
      <w:r w:rsidRPr="0030748E">
        <w:t>[</w:t>
      </w:r>
      <w:hyperlink r:id="rId24" w:history="1">
        <w:r w:rsidR="00FB51FA" w:rsidRPr="00923E0C">
          <w:rPr>
            <w:rStyle w:val="Hyperlink"/>
            <w:lang w:eastAsia="ja-JP" w:bidi="ar-DZ"/>
          </w:rPr>
          <w:t>ITU-T TR</w:t>
        </w:r>
      </w:hyperlink>
      <w:r w:rsidRPr="0030748E">
        <w:t>]</w:t>
      </w:r>
      <w:r w:rsidRPr="0030748E">
        <w:tab/>
      </w:r>
      <w:r w:rsidR="00741F7E" w:rsidRPr="00D4200D">
        <w:t xml:space="preserve">ITU Technical Report </w:t>
      </w:r>
      <w:r w:rsidR="000701DD">
        <w:t>(2017),</w:t>
      </w:r>
      <w:r w:rsidR="00741F7E" w:rsidRPr="00D4200D">
        <w:t xml:space="preserve"> </w:t>
      </w:r>
      <w:r w:rsidR="00741F7E" w:rsidRPr="00F71292">
        <w:rPr>
          <w:i/>
          <w:iCs/>
        </w:rPr>
        <w:t>Economic impact of OTTs</w:t>
      </w:r>
      <w:r w:rsidR="005A0CB4">
        <w:t>.</w:t>
      </w:r>
    </w:p>
    <w:p w14:paraId="136853E2" w14:textId="0EDA73B0" w:rsidR="00741F7E" w:rsidRPr="00D80D8D" w:rsidRDefault="00741F7E" w:rsidP="00D80D8D">
      <w:pPr>
        <w:pStyle w:val="Heading1"/>
      </w:pPr>
      <w:bookmarkStart w:id="20" w:name="_Toc213830508"/>
      <w:bookmarkStart w:id="21" w:name="_Toc214976382"/>
      <w:bookmarkStart w:id="22" w:name="_Toc229984637"/>
      <w:r w:rsidRPr="00D80D8D">
        <w:rPr>
          <w:rFonts w:eastAsiaTheme="minorEastAsia" w:hint="eastAsia"/>
        </w:rPr>
        <w:t>3</w:t>
      </w:r>
      <w:r w:rsidRPr="00D80D8D">
        <w:rPr>
          <w:rFonts w:eastAsiaTheme="minorEastAsia"/>
        </w:rPr>
        <w:tab/>
      </w:r>
      <w:r w:rsidR="005A0CB4">
        <w:t>D</w:t>
      </w:r>
      <w:r w:rsidRPr="00D80D8D">
        <w:t>efinitions</w:t>
      </w:r>
      <w:bookmarkEnd w:id="19"/>
      <w:bookmarkEnd w:id="20"/>
      <w:bookmarkEnd w:id="21"/>
      <w:bookmarkEnd w:id="22"/>
    </w:p>
    <w:p w14:paraId="2466B19C" w14:textId="49329D8E" w:rsidR="00741F7E" w:rsidRPr="00D80D8D" w:rsidRDefault="00741F7E" w:rsidP="00D80D8D">
      <w:pPr>
        <w:pStyle w:val="Heading2"/>
      </w:pPr>
      <w:bookmarkStart w:id="23" w:name="_Toc401158821"/>
      <w:bookmarkStart w:id="24" w:name="_Toc213830509"/>
      <w:bookmarkStart w:id="25" w:name="_Toc214976383"/>
      <w:bookmarkStart w:id="26" w:name="_Toc229984638"/>
      <w:r w:rsidRPr="0030748E">
        <w:rPr>
          <w:rFonts w:eastAsiaTheme="minorEastAsia" w:hint="eastAsia"/>
        </w:rPr>
        <w:t>3.1</w:t>
      </w:r>
      <w:r w:rsidR="00D80D8D" w:rsidRPr="0030748E">
        <w:rPr>
          <w:rFonts w:eastAsiaTheme="minorEastAsia"/>
        </w:rPr>
        <w:tab/>
      </w:r>
      <w:r w:rsidRPr="00D80D8D">
        <w:t>Terms defined elsewhere</w:t>
      </w:r>
      <w:bookmarkEnd w:id="23"/>
      <w:bookmarkEnd w:id="24"/>
      <w:bookmarkEnd w:id="25"/>
      <w:bookmarkEnd w:id="26"/>
    </w:p>
    <w:p w14:paraId="12B88378" w14:textId="6D94D95D" w:rsidR="00741F7E" w:rsidRDefault="00741F7E" w:rsidP="00741F7E">
      <w:r w:rsidRPr="0078001F">
        <w:t xml:space="preserve">This </w:t>
      </w:r>
      <w:r>
        <w:t>Technical Report</w:t>
      </w:r>
      <w:r w:rsidRPr="0078001F">
        <w:t xml:space="preserve"> uses the following term defined elsewhere</w:t>
      </w:r>
      <w:r>
        <w:t>:</w:t>
      </w:r>
    </w:p>
    <w:p w14:paraId="4B98453F" w14:textId="5C37CB40" w:rsidR="00741F7E" w:rsidRDefault="00741F7E" w:rsidP="00741F7E">
      <w:r w:rsidRPr="009638B5">
        <w:rPr>
          <w:b/>
          <w:bCs/>
          <w:szCs w:val="24"/>
        </w:rPr>
        <w:t>3.1.</w:t>
      </w:r>
      <w:r w:rsidRPr="009638B5">
        <w:rPr>
          <w:b/>
          <w:bCs/>
          <w:noProof/>
          <w:szCs w:val="24"/>
        </w:rPr>
        <w:t>1</w:t>
      </w:r>
      <w:r w:rsidRPr="009638B5">
        <w:rPr>
          <w:b/>
          <w:bCs/>
          <w:szCs w:val="24"/>
        </w:rPr>
        <w:tab/>
      </w:r>
      <w:r w:rsidR="005A0CB4" w:rsidRPr="009638B5">
        <w:rPr>
          <w:b/>
          <w:bCs/>
          <w:szCs w:val="24"/>
        </w:rPr>
        <w:t xml:space="preserve">over-the-top </w:t>
      </w:r>
      <w:r w:rsidRPr="009638B5">
        <w:rPr>
          <w:b/>
          <w:bCs/>
          <w:szCs w:val="24"/>
        </w:rPr>
        <w:t>(OTT)</w:t>
      </w:r>
      <w:r w:rsidRPr="009638B5">
        <w:rPr>
          <w:szCs w:val="24"/>
        </w:rPr>
        <w:t xml:space="preserve"> [ITU-T D.262]: An application accessed and delivered over the public</w:t>
      </w:r>
      <w:r>
        <w:t xml:space="preserve"> Internet that may be a direct technical/functional substitute for traditional international telecommunication services</w:t>
      </w:r>
      <w:r w:rsidRPr="00C971D5">
        <w:t>.</w:t>
      </w:r>
    </w:p>
    <w:p w14:paraId="2BA553A3" w14:textId="77777777" w:rsidR="00741F7E" w:rsidRDefault="00741F7E" w:rsidP="0030748E">
      <w:pPr>
        <w:pStyle w:val="Note"/>
      </w:pPr>
      <w:r w:rsidRPr="00BC127A">
        <w:rPr>
          <w:lang w:eastAsia="ja-JP" w:bidi="ar-DZ"/>
        </w:rPr>
        <w:t>NOTE – The definition of OTT is a matter of national sovereignty and may vary among Member States.</w:t>
      </w:r>
    </w:p>
    <w:p w14:paraId="00864E37" w14:textId="50A72CA4" w:rsidR="00741F7E" w:rsidRPr="0030748E" w:rsidRDefault="00741F7E" w:rsidP="0030748E">
      <w:pPr>
        <w:pStyle w:val="Heading2"/>
      </w:pPr>
      <w:bookmarkStart w:id="27" w:name="_Toc192793869"/>
      <w:bookmarkStart w:id="28" w:name="_Toc192794062"/>
      <w:bookmarkStart w:id="29" w:name="_Toc401158822"/>
      <w:bookmarkStart w:id="30" w:name="_Toc213830510"/>
      <w:bookmarkStart w:id="31" w:name="_Toc214976384"/>
      <w:bookmarkStart w:id="32" w:name="_Toc229984639"/>
      <w:bookmarkEnd w:id="27"/>
      <w:bookmarkEnd w:id="28"/>
      <w:r w:rsidRPr="0030748E">
        <w:rPr>
          <w:rFonts w:eastAsiaTheme="minorEastAsia" w:hint="eastAsia"/>
        </w:rPr>
        <w:t>3.2</w:t>
      </w:r>
      <w:r w:rsidRPr="0030748E">
        <w:rPr>
          <w:rFonts w:eastAsiaTheme="minorEastAsia"/>
        </w:rPr>
        <w:tab/>
      </w:r>
      <w:r w:rsidRPr="0030748E">
        <w:t xml:space="preserve">Terms defined </w:t>
      </w:r>
      <w:bookmarkEnd w:id="29"/>
      <w:bookmarkEnd w:id="30"/>
      <w:bookmarkEnd w:id="31"/>
      <w:r w:rsidR="005A0CB4">
        <w:t>in this Technical Report</w:t>
      </w:r>
      <w:bookmarkEnd w:id="32"/>
    </w:p>
    <w:p w14:paraId="3B7337B9" w14:textId="77777777" w:rsidR="00741F7E" w:rsidRPr="00C37C20" w:rsidRDefault="00741F7E" w:rsidP="00741F7E">
      <w:pPr>
        <w:spacing w:line="276" w:lineRule="auto"/>
        <w:contextualSpacing/>
      </w:pPr>
      <w:bookmarkStart w:id="33" w:name="_Toc401158823"/>
      <w:r w:rsidRPr="00C37C20">
        <w:t>None.</w:t>
      </w:r>
    </w:p>
    <w:p w14:paraId="56D5B09E" w14:textId="272FD150" w:rsidR="0030748E" w:rsidRPr="0030748E" w:rsidRDefault="00741F7E" w:rsidP="0030748E">
      <w:pPr>
        <w:pStyle w:val="Heading1"/>
        <w:rPr>
          <w:rFonts w:eastAsiaTheme="minorEastAsia"/>
          <w:lang w:eastAsia="zh-CN"/>
        </w:rPr>
      </w:pPr>
      <w:bookmarkStart w:id="34" w:name="_Toc213830511"/>
      <w:bookmarkStart w:id="35" w:name="_Toc214976385"/>
      <w:bookmarkStart w:id="36" w:name="_Toc229984640"/>
      <w:r w:rsidRPr="0030748E">
        <w:rPr>
          <w:rFonts w:eastAsiaTheme="minorEastAsia" w:hint="eastAsia"/>
        </w:rPr>
        <w:t>4</w:t>
      </w:r>
      <w:r w:rsidRPr="0030748E">
        <w:rPr>
          <w:rFonts w:eastAsiaTheme="minorEastAsia"/>
        </w:rPr>
        <w:tab/>
      </w:r>
      <w:r w:rsidRPr="0030748E">
        <w:t>Abbreviations</w:t>
      </w:r>
      <w:bookmarkStart w:id="37" w:name="_Hlk214961582"/>
      <w:bookmarkStart w:id="38" w:name="_Toc213830512"/>
      <w:bookmarkEnd w:id="33"/>
      <w:bookmarkEnd w:id="34"/>
      <w:bookmarkEnd w:id="35"/>
      <w:r w:rsidR="005A0CB4">
        <w:t xml:space="preserve"> and acron</w:t>
      </w:r>
      <w:r w:rsidR="00712BAC">
        <w:t>y</w:t>
      </w:r>
      <w:r w:rsidR="005A0CB4">
        <w:t>m</w:t>
      </w:r>
      <w:r w:rsidR="00712BAC">
        <w:t>s</w:t>
      </w:r>
      <w:bookmarkEnd w:id="36"/>
    </w:p>
    <w:p w14:paraId="65647776" w14:textId="5A47DB9B" w:rsidR="00785CF2" w:rsidRDefault="00785CF2" w:rsidP="0030748E">
      <w:pPr>
        <w:tabs>
          <w:tab w:val="clear" w:pos="794"/>
        </w:tabs>
        <w:rPr>
          <w:rFonts w:eastAsiaTheme="minorEastAsia"/>
        </w:rPr>
      </w:pPr>
      <w:r>
        <w:rPr>
          <w:lang w:bidi="ar-DZ"/>
        </w:rPr>
        <w:t>This Technical Report uses the following abbreviations and acronyms:</w:t>
      </w:r>
    </w:p>
    <w:p w14:paraId="3554C680" w14:textId="28C9EBB6" w:rsidR="0030748E" w:rsidRPr="0030748E" w:rsidRDefault="0030748E" w:rsidP="0030748E">
      <w:pPr>
        <w:tabs>
          <w:tab w:val="clear" w:pos="794"/>
        </w:tabs>
        <w:rPr>
          <w:rFonts w:eastAsiaTheme="minorEastAsia"/>
        </w:rPr>
      </w:pPr>
      <w:r w:rsidRPr="0030748E">
        <w:rPr>
          <w:rFonts w:eastAsiaTheme="minorEastAsia"/>
        </w:rPr>
        <w:t>ANATEL</w:t>
      </w:r>
      <w:r w:rsidRPr="0030748E">
        <w:rPr>
          <w:rFonts w:eastAsiaTheme="minorEastAsia"/>
        </w:rPr>
        <w:tab/>
        <w:t>National Telecommunications Agency</w:t>
      </w:r>
    </w:p>
    <w:p w14:paraId="104FF478" w14:textId="77777777" w:rsidR="0030748E" w:rsidRPr="0030748E" w:rsidRDefault="0030748E" w:rsidP="0030748E">
      <w:pPr>
        <w:tabs>
          <w:tab w:val="clear" w:pos="794"/>
        </w:tabs>
        <w:rPr>
          <w:rFonts w:eastAsiaTheme="minorEastAsia"/>
        </w:rPr>
      </w:pPr>
      <w:r w:rsidRPr="0030748E">
        <w:rPr>
          <w:rFonts w:eastAsiaTheme="minorEastAsia"/>
        </w:rPr>
        <w:t>BEREC</w:t>
      </w:r>
      <w:r w:rsidRPr="0030748E">
        <w:rPr>
          <w:rFonts w:eastAsiaTheme="minorEastAsia"/>
        </w:rPr>
        <w:tab/>
      </w:r>
      <w:r w:rsidRPr="0030748E">
        <w:rPr>
          <w:lang w:bidi="ar-DZ"/>
        </w:rPr>
        <w:t>Body</w:t>
      </w:r>
      <w:r w:rsidRPr="0030748E">
        <w:rPr>
          <w:rFonts w:eastAsiaTheme="minorEastAsia"/>
        </w:rPr>
        <w:t xml:space="preserve"> of European Regulators for Electronic Communications</w:t>
      </w:r>
    </w:p>
    <w:p w14:paraId="6683DAEA" w14:textId="112CBEBF" w:rsidR="0030748E" w:rsidRPr="0030748E" w:rsidRDefault="0030748E" w:rsidP="0030748E">
      <w:pPr>
        <w:tabs>
          <w:tab w:val="clear" w:pos="794"/>
        </w:tabs>
        <w:rPr>
          <w:rFonts w:eastAsiaTheme="minorEastAsia"/>
        </w:rPr>
      </w:pPr>
      <w:r w:rsidRPr="0030748E">
        <w:rPr>
          <w:rFonts w:eastAsiaTheme="minorEastAsia"/>
        </w:rPr>
        <w:t>CRTC</w:t>
      </w:r>
      <w:r w:rsidRPr="0030748E">
        <w:rPr>
          <w:rFonts w:eastAsiaTheme="minorEastAsia"/>
        </w:rPr>
        <w:tab/>
      </w:r>
      <w:r w:rsidRPr="0030748E">
        <w:rPr>
          <w:lang w:bidi="ar-DZ"/>
        </w:rPr>
        <w:t>Canadian</w:t>
      </w:r>
      <w:r w:rsidRPr="0030748E">
        <w:rPr>
          <w:rFonts w:eastAsiaTheme="minorEastAsia"/>
        </w:rPr>
        <w:t xml:space="preserve"> Radio-television and Telecommunications Commission</w:t>
      </w:r>
    </w:p>
    <w:p w14:paraId="6B722E3A" w14:textId="77777777" w:rsidR="0030748E" w:rsidRPr="0030748E" w:rsidRDefault="0030748E" w:rsidP="0030748E">
      <w:pPr>
        <w:tabs>
          <w:tab w:val="clear" w:pos="794"/>
        </w:tabs>
        <w:rPr>
          <w:rFonts w:eastAsiaTheme="minorEastAsia"/>
        </w:rPr>
      </w:pPr>
      <w:r w:rsidRPr="0030748E">
        <w:rPr>
          <w:rFonts w:eastAsiaTheme="minorEastAsia"/>
        </w:rPr>
        <w:t>EC</w:t>
      </w:r>
      <w:r w:rsidRPr="0030748E">
        <w:rPr>
          <w:rFonts w:eastAsiaTheme="minorEastAsia"/>
        </w:rPr>
        <w:tab/>
      </w:r>
      <w:r w:rsidRPr="0030748E">
        <w:rPr>
          <w:lang w:bidi="ar-DZ"/>
        </w:rPr>
        <w:t>European</w:t>
      </w:r>
      <w:r w:rsidRPr="0030748E">
        <w:rPr>
          <w:rFonts w:eastAsiaTheme="minorEastAsia"/>
        </w:rPr>
        <w:t xml:space="preserve"> Commission</w:t>
      </w:r>
    </w:p>
    <w:p w14:paraId="16646481" w14:textId="77777777" w:rsidR="0030748E" w:rsidRPr="0030748E" w:rsidRDefault="0030748E" w:rsidP="0030748E">
      <w:pPr>
        <w:tabs>
          <w:tab w:val="clear" w:pos="794"/>
        </w:tabs>
        <w:rPr>
          <w:rFonts w:eastAsiaTheme="minorEastAsia"/>
        </w:rPr>
      </w:pPr>
      <w:r w:rsidRPr="0030748E">
        <w:rPr>
          <w:rFonts w:eastAsiaTheme="minorEastAsia"/>
        </w:rPr>
        <w:t>ECS</w:t>
      </w:r>
      <w:r w:rsidRPr="0030748E">
        <w:rPr>
          <w:rFonts w:eastAsiaTheme="minorEastAsia"/>
        </w:rPr>
        <w:tab/>
      </w:r>
      <w:r w:rsidRPr="0030748E">
        <w:rPr>
          <w:lang w:bidi="ar-DZ"/>
        </w:rPr>
        <w:t>Electronic</w:t>
      </w:r>
      <w:r w:rsidRPr="0030748E">
        <w:rPr>
          <w:rFonts w:eastAsiaTheme="minorEastAsia"/>
        </w:rPr>
        <w:t xml:space="preserve"> Communications Service</w:t>
      </w:r>
    </w:p>
    <w:p w14:paraId="24705F0A" w14:textId="77777777" w:rsidR="0030748E" w:rsidRPr="0030748E" w:rsidRDefault="0030748E" w:rsidP="0030748E">
      <w:pPr>
        <w:tabs>
          <w:tab w:val="clear" w:pos="794"/>
        </w:tabs>
        <w:rPr>
          <w:rFonts w:eastAsiaTheme="minorEastAsia"/>
        </w:rPr>
      </w:pPr>
      <w:r w:rsidRPr="0030748E">
        <w:rPr>
          <w:rFonts w:eastAsiaTheme="minorEastAsia"/>
        </w:rPr>
        <w:t>ECTEL</w:t>
      </w:r>
      <w:r w:rsidRPr="0030748E">
        <w:rPr>
          <w:rFonts w:eastAsiaTheme="minorEastAsia"/>
        </w:rPr>
        <w:tab/>
      </w:r>
      <w:r w:rsidRPr="0030748E">
        <w:rPr>
          <w:lang w:bidi="ar-DZ"/>
        </w:rPr>
        <w:t>Eastern</w:t>
      </w:r>
      <w:r w:rsidRPr="0030748E">
        <w:rPr>
          <w:rFonts w:eastAsiaTheme="minorEastAsia"/>
        </w:rPr>
        <w:t xml:space="preserve"> Caribbean Telecommunications Authority</w:t>
      </w:r>
    </w:p>
    <w:p w14:paraId="05FAC2A0" w14:textId="77777777" w:rsidR="0030748E" w:rsidRPr="0030748E" w:rsidRDefault="0030748E" w:rsidP="0030748E">
      <w:pPr>
        <w:tabs>
          <w:tab w:val="clear" w:pos="794"/>
        </w:tabs>
        <w:rPr>
          <w:rFonts w:eastAsiaTheme="minorEastAsia"/>
        </w:rPr>
      </w:pPr>
      <w:r w:rsidRPr="0030748E">
        <w:rPr>
          <w:rFonts w:eastAsiaTheme="minorEastAsia"/>
        </w:rPr>
        <w:t>EECC</w:t>
      </w:r>
      <w:r w:rsidRPr="0030748E">
        <w:rPr>
          <w:rFonts w:eastAsiaTheme="minorEastAsia"/>
        </w:rPr>
        <w:tab/>
      </w:r>
      <w:r w:rsidRPr="0030748E">
        <w:rPr>
          <w:lang w:bidi="ar-DZ"/>
        </w:rPr>
        <w:t>European</w:t>
      </w:r>
      <w:r w:rsidRPr="0030748E">
        <w:rPr>
          <w:rFonts w:eastAsiaTheme="minorEastAsia"/>
        </w:rPr>
        <w:t xml:space="preserve"> Electronic Communications Code </w:t>
      </w:r>
    </w:p>
    <w:p w14:paraId="00092C40" w14:textId="77777777" w:rsidR="0030748E" w:rsidRPr="0030748E" w:rsidRDefault="0030748E" w:rsidP="0030748E">
      <w:pPr>
        <w:tabs>
          <w:tab w:val="clear" w:pos="794"/>
        </w:tabs>
        <w:rPr>
          <w:rFonts w:eastAsiaTheme="minorEastAsia"/>
        </w:rPr>
      </w:pPr>
      <w:r w:rsidRPr="0030748E">
        <w:rPr>
          <w:rFonts w:eastAsiaTheme="minorEastAsia"/>
        </w:rPr>
        <w:t>EST</w:t>
      </w:r>
      <w:r w:rsidRPr="0030748E">
        <w:rPr>
          <w:rFonts w:eastAsiaTheme="minorEastAsia"/>
        </w:rPr>
        <w:tab/>
      </w:r>
      <w:r w:rsidRPr="0030748E">
        <w:rPr>
          <w:lang w:bidi="ar-DZ"/>
        </w:rPr>
        <w:t>Electronic</w:t>
      </w:r>
      <w:r w:rsidRPr="0030748E">
        <w:rPr>
          <w:rFonts w:eastAsiaTheme="minorEastAsia"/>
        </w:rPr>
        <w:t xml:space="preserve"> Sell-Through</w:t>
      </w:r>
    </w:p>
    <w:p w14:paraId="7AF34898" w14:textId="77777777" w:rsidR="0030748E" w:rsidRPr="0030748E" w:rsidRDefault="0030748E" w:rsidP="0030748E">
      <w:pPr>
        <w:tabs>
          <w:tab w:val="clear" w:pos="794"/>
        </w:tabs>
        <w:rPr>
          <w:rFonts w:eastAsiaTheme="minorEastAsia"/>
        </w:rPr>
      </w:pPr>
      <w:r w:rsidRPr="0030748E">
        <w:rPr>
          <w:rFonts w:eastAsiaTheme="minorEastAsia"/>
        </w:rPr>
        <w:t>EU</w:t>
      </w:r>
      <w:r w:rsidRPr="0030748E">
        <w:rPr>
          <w:rFonts w:eastAsiaTheme="minorEastAsia"/>
        </w:rPr>
        <w:tab/>
      </w:r>
      <w:r w:rsidRPr="0030748E">
        <w:rPr>
          <w:lang w:bidi="ar-DZ"/>
        </w:rPr>
        <w:t>European</w:t>
      </w:r>
      <w:r w:rsidRPr="0030748E">
        <w:rPr>
          <w:rFonts w:eastAsiaTheme="minorEastAsia"/>
        </w:rPr>
        <w:t xml:space="preserve"> Union</w:t>
      </w:r>
    </w:p>
    <w:p w14:paraId="6234FC02" w14:textId="77777777" w:rsidR="0030748E" w:rsidRPr="0030748E" w:rsidRDefault="0030748E" w:rsidP="0030748E">
      <w:pPr>
        <w:tabs>
          <w:tab w:val="clear" w:pos="794"/>
        </w:tabs>
        <w:rPr>
          <w:rFonts w:eastAsiaTheme="minorEastAsia"/>
        </w:rPr>
      </w:pPr>
      <w:r w:rsidRPr="0030748E">
        <w:rPr>
          <w:rFonts w:eastAsiaTheme="minorEastAsia"/>
        </w:rPr>
        <w:lastRenderedPageBreak/>
        <w:t>FCC</w:t>
      </w:r>
      <w:r w:rsidRPr="0030748E">
        <w:rPr>
          <w:rFonts w:eastAsiaTheme="minorEastAsia"/>
        </w:rPr>
        <w:tab/>
      </w:r>
      <w:r w:rsidRPr="0030748E">
        <w:rPr>
          <w:lang w:bidi="ar-DZ"/>
        </w:rPr>
        <w:t>Federal</w:t>
      </w:r>
      <w:r w:rsidRPr="0030748E">
        <w:rPr>
          <w:rFonts w:eastAsiaTheme="minorEastAsia"/>
        </w:rPr>
        <w:t xml:space="preserve"> Communications Commission</w:t>
      </w:r>
    </w:p>
    <w:p w14:paraId="25B4CBE5" w14:textId="77777777" w:rsidR="0030748E" w:rsidRPr="0030748E" w:rsidRDefault="0030748E" w:rsidP="0030748E">
      <w:pPr>
        <w:tabs>
          <w:tab w:val="clear" w:pos="794"/>
        </w:tabs>
        <w:rPr>
          <w:rFonts w:eastAsiaTheme="minorEastAsia"/>
        </w:rPr>
      </w:pPr>
      <w:r w:rsidRPr="0030748E">
        <w:rPr>
          <w:rFonts w:eastAsiaTheme="minorEastAsia"/>
        </w:rPr>
        <w:t>IAS</w:t>
      </w:r>
      <w:r w:rsidRPr="0030748E">
        <w:rPr>
          <w:rFonts w:eastAsiaTheme="minorEastAsia"/>
        </w:rPr>
        <w:tab/>
      </w:r>
      <w:r w:rsidRPr="0030748E">
        <w:rPr>
          <w:lang w:bidi="ar-DZ"/>
        </w:rPr>
        <w:t>Internet</w:t>
      </w:r>
      <w:r w:rsidRPr="0030748E">
        <w:rPr>
          <w:rFonts w:eastAsiaTheme="minorEastAsia"/>
        </w:rPr>
        <w:t xml:space="preserve"> Access Service</w:t>
      </w:r>
    </w:p>
    <w:p w14:paraId="23FECAA3" w14:textId="6E1BBCA6" w:rsidR="0030748E" w:rsidRPr="0030748E" w:rsidRDefault="0030748E" w:rsidP="0030748E">
      <w:pPr>
        <w:tabs>
          <w:tab w:val="clear" w:pos="794"/>
        </w:tabs>
        <w:rPr>
          <w:rFonts w:eastAsiaTheme="minorEastAsia"/>
        </w:rPr>
      </w:pPr>
      <w:r w:rsidRPr="0030748E">
        <w:rPr>
          <w:rFonts w:eastAsiaTheme="minorEastAsia"/>
        </w:rPr>
        <w:t>ITU</w:t>
      </w:r>
      <w:r w:rsidRPr="0030748E">
        <w:rPr>
          <w:rFonts w:eastAsiaTheme="minorEastAsia"/>
        </w:rPr>
        <w:tab/>
      </w:r>
      <w:r w:rsidRPr="0030748E">
        <w:rPr>
          <w:lang w:bidi="ar-DZ"/>
        </w:rPr>
        <w:t>International</w:t>
      </w:r>
      <w:r w:rsidRPr="0030748E">
        <w:rPr>
          <w:rFonts w:eastAsiaTheme="minorEastAsia"/>
        </w:rPr>
        <w:t xml:space="preserve"> Telecommunication Union</w:t>
      </w:r>
    </w:p>
    <w:p w14:paraId="127AE4F8" w14:textId="77777777" w:rsidR="0030748E" w:rsidRPr="0030748E" w:rsidRDefault="0030748E" w:rsidP="0030748E">
      <w:pPr>
        <w:tabs>
          <w:tab w:val="clear" w:pos="794"/>
        </w:tabs>
        <w:rPr>
          <w:rFonts w:eastAsiaTheme="minorEastAsia"/>
        </w:rPr>
      </w:pPr>
      <w:r w:rsidRPr="0030748E">
        <w:rPr>
          <w:rFonts w:eastAsiaTheme="minorEastAsia"/>
        </w:rPr>
        <w:t>NI-CIS</w:t>
      </w:r>
      <w:r w:rsidRPr="0030748E">
        <w:rPr>
          <w:rFonts w:eastAsiaTheme="minorEastAsia"/>
        </w:rPr>
        <w:tab/>
      </w:r>
      <w:r w:rsidRPr="0030748E">
        <w:rPr>
          <w:lang w:bidi="ar-DZ"/>
        </w:rPr>
        <w:t>Number</w:t>
      </w:r>
      <w:r w:rsidRPr="0030748E">
        <w:rPr>
          <w:rFonts w:eastAsiaTheme="minorEastAsia"/>
        </w:rPr>
        <w:t xml:space="preserve">-Independent Interpersonal Communications Services </w:t>
      </w:r>
    </w:p>
    <w:p w14:paraId="0FAEC8CD" w14:textId="77777777" w:rsidR="0030748E" w:rsidRPr="0030748E" w:rsidRDefault="0030748E" w:rsidP="0030748E">
      <w:pPr>
        <w:tabs>
          <w:tab w:val="clear" w:pos="794"/>
        </w:tabs>
        <w:rPr>
          <w:rFonts w:eastAsiaTheme="minorEastAsia"/>
        </w:rPr>
      </w:pPr>
      <w:r w:rsidRPr="0030748E">
        <w:rPr>
          <w:rFonts w:eastAsiaTheme="minorEastAsia"/>
        </w:rPr>
        <w:t>NRA</w:t>
      </w:r>
      <w:r w:rsidRPr="0030748E">
        <w:rPr>
          <w:rFonts w:eastAsiaTheme="minorEastAsia"/>
        </w:rPr>
        <w:tab/>
      </w:r>
      <w:r w:rsidRPr="0030748E">
        <w:rPr>
          <w:lang w:bidi="ar-DZ"/>
        </w:rPr>
        <w:t>National</w:t>
      </w:r>
      <w:r w:rsidRPr="0030748E">
        <w:rPr>
          <w:rFonts w:eastAsiaTheme="minorEastAsia"/>
        </w:rPr>
        <w:t xml:space="preserve"> Regulatory Agency</w:t>
      </w:r>
    </w:p>
    <w:p w14:paraId="3F5A231F" w14:textId="77777777" w:rsidR="0030748E" w:rsidRPr="0030748E" w:rsidRDefault="0030748E" w:rsidP="0030748E">
      <w:pPr>
        <w:tabs>
          <w:tab w:val="clear" w:pos="794"/>
        </w:tabs>
        <w:rPr>
          <w:rFonts w:eastAsiaTheme="minorEastAsia"/>
        </w:rPr>
      </w:pPr>
      <w:r w:rsidRPr="0030748E">
        <w:rPr>
          <w:rFonts w:eastAsiaTheme="minorEastAsia"/>
        </w:rPr>
        <w:t>NTRC</w:t>
      </w:r>
      <w:r w:rsidRPr="0030748E">
        <w:rPr>
          <w:rFonts w:eastAsiaTheme="minorEastAsia"/>
        </w:rPr>
        <w:tab/>
      </w:r>
      <w:r w:rsidRPr="0030748E">
        <w:rPr>
          <w:lang w:bidi="ar-DZ"/>
        </w:rPr>
        <w:t>National</w:t>
      </w:r>
      <w:r w:rsidRPr="0030748E">
        <w:rPr>
          <w:rFonts w:eastAsiaTheme="minorEastAsia"/>
        </w:rPr>
        <w:t xml:space="preserve"> Telecommunications Regulatory Commissions</w:t>
      </w:r>
    </w:p>
    <w:p w14:paraId="70486090" w14:textId="77777777" w:rsidR="0030748E" w:rsidRPr="0030748E" w:rsidRDefault="0030748E" w:rsidP="0030748E">
      <w:pPr>
        <w:tabs>
          <w:tab w:val="clear" w:pos="794"/>
        </w:tabs>
        <w:rPr>
          <w:rFonts w:eastAsiaTheme="minorEastAsia"/>
        </w:rPr>
      </w:pPr>
      <w:r w:rsidRPr="0030748E">
        <w:rPr>
          <w:rFonts w:eastAsiaTheme="minorEastAsia"/>
        </w:rPr>
        <w:t>Ofcom</w:t>
      </w:r>
      <w:r w:rsidRPr="0030748E">
        <w:rPr>
          <w:rFonts w:eastAsiaTheme="minorEastAsia"/>
        </w:rPr>
        <w:tab/>
      </w:r>
      <w:r w:rsidRPr="0030748E">
        <w:rPr>
          <w:lang w:bidi="ar-DZ"/>
        </w:rPr>
        <w:t>Office</w:t>
      </w:r>
      <w:r w:rsidRPr="0030748E">
        <w:rPr>
          <w:rFonts w:eastAsiaTheme="minorEastAsia"/>
        </w:rPr>
        <w:t xml:space="preserve"> of Communications</w:t>
      </w:r>
    </w:p>
    <w:p w14:paraId="23AD5858" w14:textId="77777777" w:rsidR="0030748E" w:rsidRPr="0030748E" w:rsidRDefault="0030748E" w:rsidP="0030748E">
      <w:pPr>
        <w:tabs>
          <w:tab w:val="clear" w:pos="794"/>
        </w:tabs>
        <w:rPr>
          <w:rFonts w:eastAsiaTheme="minorEastAsia"/>
        </w:rPr>
      </w:pPr>
      <w:r w:rsidRPr="0030748E">
        <w:rPr>
          <w:rFonts w:eastAsiaTheme="minorEastAsia"/>
        </w:rPr>
        <w:t>OTT</w:t>
      </w:r>
      <w:r w:rsidRPr="0030748E">
        <w:rPr>
          <w:rFonts w:eastAsiaTheme="minorEastAsia"/>
        </w:rPr>
        <w:tab/>
        <w:t>Over the Top</w:t>
      </w:r>
    </w:p>
    <w:p w14:paraId="752EBDB2" w14:textId="77777777" w:rsidR="0030748E" w:rsidRPr="0030748E" w:rsidRDefault="0030748E" w:rsidP="0030748E">
      <w:pPr>
        <w:tabs>
          <w:tab w:val="clear" w:pos="794"/>
        </w:tabs>
        <w:rPr>
          <w:rFonts w:eastAsiaTheme="minorEastAsia"/>
        </w:rPr>
      </w:pPr>
      <w:r w:rsidRPr="0030748E">
        <w:rPr>
          <w:rFonts w:eastAsiaTheme="minorEastAsia"/>
        </w:rPr>
        <w:t>SMS</w:t>
      </w:r>
      <w:r w:rsidRPr="0030748E">
        <w:rPr>
          <w:rFonts w:eastAsiaTheme="minorEastAsia"/>
        </w:rPr>
        <w:tab/>
      </w:r>
      <w:r w:rsidRPr="0030748E">
        <w:rPr>
          <w:lang w:bidi="ar-DZ"/>
        </w:rPr>
        <w:t>Short</w:t>
      </w:r>
      <w:r w:rsidRPr="0030748E">
        <w:rPr>
          <w:rFonts w:eastAsiaTheme="minorEastAsia"/>
        </w:rPr>
        <w:t xml:space="preserve"> Message Service</w:t>
      </w:r>
    </w:p>
    <w:p w14:paraId="1D305BB7" w14:textId="77777777" w:rsidR="0030748E" w:rsidRPr="0030748E" w:rsidRDefault="0030748E" w:rsidP="0030748E">
      <w:pPr>
        <w:tabs>
          <w:tab w:val="clear" w:pos="794"/>
        </w:tabs>
        <w:rPr>
          <w:rFonts w:eastAsiaTheme="minorEastAsia"/>
        </w:rPr>
      </w:pPr>
      <w:r w:rsidRPr="0030748E">
        <w:rPr>
          <w:rFonts w:eastAsiaTheme="minorEastAsia"/>
        </w:rPr>
        <w:t>SVOD</w:t>
      </w:r>
      <w:r w:rsidRPr="0030748E">
        <w:rPr>
          <w:rFonts w:eastAsiaTheme="minorEastAsia"/>
        </w:rPr>
        <w:tab/>
      </w:r>
      <w:r w:rsidRPr="0030748E">
        <w:rPr>
          <w:lang w:bidi="ar-DZ"/>
        </w:rPr>
        <w:t>Subscription</w:t>
      </w:r>
      <w:r w:rsidRPr="0030748E">
        <w:rPr>
          <w:rFonts w:eastAsiaTheme="minorEastAsia"/>
        </w:rPr>
        <w:t xml:space="preserve"> Video on Demand Services</w:t>
      </w:r>
    </w:p>
    <w:p w14:paraId="633B2D4E" w14:textId="77777777" w:rsidR="0030748E" w:rsidRPr="0030748E" w:rsidRDefault="0030748E" w:rsidP="0030748E">
      <w:pPr>
        <w:tabs>
          <w:tab w:val="clear" w:pos="794"/>
        </w:tabs>
        <w:rPr>
          <w:rFonts w:eastAsiaTheme="minorEastAsia"/>
        </w:rPr>
      </w:pPr>
      <w:r w:rsidRPr="0030748E">
        <w:rPr>
          <w:rFonts w:eastAsiaTheme="minorEastAsia"/>
        </w:rPr>
        <w:t>TATT</w:t>
      </w:r>
      <w:r w:rsidRPr="0030748E">
        <w:rPr>
          <w:rFonts w:eastAsiaTheme="minorEastAsia"/>
        </w:rPr>
        <w:tab/>
      </w:r>
      <w:r w:rsidRPr="0030748E">
        <w:rPr>
          <w:lang w:bidi="ar-DZ"/>
        </w:rPr>
        <w:t>Telecommunications</w:t>
      </w:r>
      <w:r w:rsidRPr="0030748E">
        <w:rPr>
          <w:rFonts w:eastAsiaTheme="minorEastAsia"/>
        </w:rPr>
        <w:t xml:space="preserve"> Authority of Trinidad and Tobago</w:t>
      </w:r>
    </w:p>
    <w:p w14:paraId="70460185" w14:textId="77777777" w:rsidR="0030748E" w:rsidRPr="0030748E" w:rsidRDefault="0030748E" w:rsidP="0030748E">
      <w:pPr>
        <w:tabs>
          <w:tab w:val="clear" w:pos="794"/>
        </w:tabs>
        <w:rPr>
          <w:rFonts w:eastAsiaTheme="minorEastAsia"/>
        </w:rPr>
      </w:pPr>
      <w:r w:rsidRPr="0030748E">
        <w:rPr>
          <w:rFonts w:eastAsiaTheme="minorEastAsia"/>
        </w:rPr>
        <w:t>TRAI</w:t>
      </w:r>
      <w:r w:rsidRPr="0030748E">
        <w:rPr>
          <w:rFonts w:eastAsiaTheme="minorEastAsia"/>
        </w:rPr>
        <w:tab/>
      </w:r>
      <w:r w:rsidRPr="0030748E">
        <w:rPr>
          <w:lang w:bidi="ar-DZ"/>
        </w:rPr>
        <w:t>Telecom</w:t>
      </w:r>
      <w:r w:rsidRPr="0030748E">
        <w:rPr>
          <w:rFonts w:eastAsiaTheme="minorEastAsia"/>
        </w:rPr>
        <w:t xml:space="preserve"> Regulatory Authority of India </w:t>
      </w:r>
    </w:p>
    <w:p w14:paraId="48B532A4" w14:textId="77777777" w:rsidR="0030748E" w:rsidRPr="0030748E" w:rsidRDefault="0030748E" w:rsidP="0030748E">
      <w:pPr>
        <w:tabs>
          <w:tab w:val="clear" w:pos="794"/>
        </w:tabs>
        <w:rPr>
          <w:rFonts w:eastAsiaTheme="minorEastAsia"/>
        </w:rPr>
      </w:pPr>
      <w:r w:rsidRPr="0030748E">
        <w:rPr>
          <w:rFonts w:eastAsiaTheme="minorEastAsia"/>
        </w:rPr>
        <w:t>TVOD</w:t>
      </w:r>
      <w:r w:rsidRPr="0030748E">
        <w:rPr>
          <w:rFonts w:eastAsiaTheme="minorEastAsia"/>
        </w:rPr>
        <w:tab/>
      </w:r>
      <w:r w:rsidRPr="0030748E">
        <w:rPr>
          <w:lang w:bidi="ar-DZ"/>
        </w:rPr>
        <w:t>Transactional</w:t>
      </w:r>
      <w:r w:rsidRPr="0030748E">
        <w:rPr>
          <w:rFonts w:eastAsiaTheme="minorEastAsia"/>
        </w:rPr>
        <w:t xml:space="preserve"> Video on Demand Services</w:t>
      </w:r>
    </w:p>
    <w:p w14:paraId="6A64A9FF" w14:textId="77777777" w:rsidR="0030748E" w:rsidRPr="0030748E" w:rsidRDefault="0030748E" w:rsidP="0030748E">
      <w:pPr>
        <w:tabs>
          <w:tab w:val="clear" w:pos="794"/>
        </w:tabs>
        <w:rPr>
          <w:rFonts w:eastAsiaTheme="minorEastAsia"/>
        </w:rPr>
      </w:pPr>
      <w:r w:rsidRPr="0030748E">
        <w:rPr>
          <w:rFonts w:eastAsiaTheme="minorEastAsia"/>
        </w:rPr>
        <w:t>UK</w:t>
      </w:r>
      <w:r w:rsidRPr="0030748E">
        <w:rPr>
          <w:rFonts w:eastAsiaTheme="minorEastAsia"/>
        </w:rPr>
        <w:tab/>
      </w:r>
      <w:r w:rsidRPr="0030748E">
        <w:rPr>
          <w:lang w:bidi="ar-DZ"/>
        </w:rPr>
        <w:t>United</w:t>
      </w:r>
      <w:r w:rsidRPr="0030748E">
        <w:rPr>
          <w:rFonts w:eastAsiaTheme="minorEastAsia"/>
        </w:rPr>
        <w:t xml:space="preserve"> Kingdom</w:t>
      </w:r>
    </w:p>
    <w:p w14:paraId="32DA9579" w14:textId="77777777" w:rsidR="0030748E" w:rsidRPr="0030748E" w:rsidRDefault="0030748E" w:rsidP="0030748E">
      <w:pPr>
        <w:tabs>
          <w:tab w:val="clear" w:pos="794"/>
        </w:tabs>
        <w:rPr>
          <w:rFonts w:eastAsiaTheme="minorEastAsia"/>
        </w:rPr>
      </w:pPr>
      <w:r w:rsidRPr="0030748E">
        <w:rPr>
          <w:rFonts w:eastAsiaTheme="minorEastAsia"/>
        </w:rPr>
        <w:t>URCA</w:t>
      </w:r>
      <w:r w:rsidRPr="0030748E">
        <w:rPr>
          <w:rFonts w:eastAsiaTheme="minorEastAsia"/>
        </w:rPr>
        <w:tab/>
      </w:r>
      <w:r w:rsidRPr="0030748E">
        <w:rPr>
          <w:lang w:bidi="ar-DZ"/>
        </w:rPr>
        <w:t>Utilities</w:t>
      </w:r>
      <w:r w:rsidRPr="0030748E">
        <w:rPr>
          <w:rFonts w:eastAsiaTheme="minorEastAsia"/>
        </w:rPr>
        <w:t xml:space="preserve"> Regulation &amp; Competition Authority</w:t>
      </w:r>
    </w:p>
    <w:p w14:paraId="06A503C6" w14:textId="77777777" w:rsidR="0030748E" w:rsidRPr="0030748E" w:rsidRDefault="0030748E" w:rsidP="0030748E">
      <w:pPr>
        <w:tabs>
          <w:tab w:val="clear" w:pos="794"/>
        </w:tabs>
        <w:rPr>
          <w:rFonts w:eastAsiaTheme="minorEastAsia"/>
        </w:rPr>
      </w:pPr>
      <w:r w:rsidRPr="0030748E">
        <w:rPr>
          <w:rFonts w:eastAsiaTheme="minorEastAsia"/>
        </w:rPr>
        <w:t>US</w:t>
      </w:r>
      <w:r w:rsidRPr="0030748E">
        <w:rPr>
          <w:rFonts w:eastAsiaTheme="minorEastAsia"/>
        </w:rPr>
        <w:tab/>
      </w:r>
      <w:r w:rsidRPr="0030748E">
        <w:rPr>
          <w:lang w:bidi="ar-DZ"/>
        </w:rPr>
        <w:t>United</w:t>
      </w:r>
      <w:r w:rsidRPr="0030748E">
        <w:rPr>
          <w:rFonts w:eastAsiaTheme="minorEastAsia"/>
        </w:rPr>
        <w:t xml:space="preserve"> States of America</w:t>
      </w:r>
    </w:p>
    <w:p w14:paraId="038E7AFB" w14:textId="77777777" w:rsidR="0030748E" w:rsidRPr="0030748E" w:rsidRDefault="0030748E" w:rsidP="0030748E">
      <w:pPr>
        <w:tabs>
          <w:tab w:val="clear" w:pos="794"/>
        </w:tabs>
        <w:rPr>
          <w:rFonts w:eastAsiaTheme="minorEastAsia"/>
        </w:rPr>
      </w:pPr>
      <w:r w:rsidRPr="0030748E">
        <w:rPr>
          <w:rFonts w:eastAsiaTheme="minorEastAsia"/>
        </w:rPr>
        <w:t>VOD</w:t>
      </w:r>
      <w:r w:rsidRPr="0030748E">
        <w:rPr>
          <w:rFonts w:eastAsiaTheme="minorEastAsia"/>
        </w:rPr>
        <w:tab/>
        <w:t>Video on Demand</w:t>
      </w:r>
    </w:p>
    <w:p w14:paraId="0C109D91" w14:textId="77777777" w:rsidR="0030748E" w:rsidRPr="0030748E" w:rsidRDefault="0030748E" w:rsidP="0030748E">
      <w:pPr>
        <w:tabs>
          <w:tab w:val="clear" w:pos="794"/>
        </w:tabs>
        <w:rPr>
          <w:rFonts w:eastAsiaTheme="minorEastAsia"/>
        </w:rPr>
      </w:pPr>
      <w:r w:rsidRPr="0030748E">
        <w:rPr>
          <w:rFonts w:eastAsiaTheme="minorEastAsia"/>
        </w:rPr>
        <w:t>VoIP</w:t>
      </w:r>
      <w:r w:rsidRPr="0030748E">
        <w:rPr>
          <w:rFonts w:eastAsiaTheme="minorEastAsia"/>
        </w:rPr>
        <w:tab/>
      </w:r>
      <w:r w:rsidRPr="0030748E">
        <w:rPr>
          <w:lang w:bidi="ar-DZ"/>
        </w:rPr>
        <w:t>Voice</w:t>
      </w:r>
      <w:r w:rsidRPr="0030748E">
        <w:rPr>
          <w:rFonts w:eastAsiaTheme="minorEastAsia"/>
        </w:rPr>
        <w:t xml:space="preserve"> over Internet Protocol</w:t>
      </w:r>
    </w:p>
    <w:p w14:paraId="747987DC" w14:textId="77777777" w:rsidR="0030748E" w:rsidRPr="0030748E" w:rsidRDefault="0030748E" w:rsidP="0030748E">
      <w:pPr>
        <w:tabs>
          <w:tab w:val="clear" w:pos="794"/>
        </w:tabs>
        <w:rPr>
          <w:rFonts w:eastAsiaTheme="minorEastAsia"/>
        </w:rPr>
      </w:pPr>
      <w:r w:rsidRPr="0030748E">
        <w:rPr>
          <w:rFonts w:eastAsiaTheme="minorEastAsia"/>
        </w:rPr>
        <w:t>VSS</w:t>
      </w:r>
      <w:r w:rsidRPr="0030748E">
        <w:rPr>
          <w:rFonts w:eastAsiaTheme="minorEastAsia"/>
        </w:rPr>
        <w:tab/>
        <w:t>Video Streaming Services</w:t>
      </w:r>
    </w:p>
    <w:p w14:paraId="2ADD03FD" w14:textId="2EC5883C" w:rsidR="00741F7E" w:rsidRPr="0030748E" w:rsidRDefault="00741F7E" w:rsidP="0030748E">
      <w:pPr>
        <w:pStyle w:val="Heading1"/>
        <w:rPr>
          <w:rFonts w:eastAsiaTheme="minorEastAsia"/>
          <w:lang w:eastAsia="zh-CN"/>
        </w:rPr>
      </w:pPr>
      <w:bookmarkStart w:id="39" w:name="_Toc214976386"/>
      <w:bookmarkStart w:id="40" w:name="_Toc229984641"/>
      <w:bookmarkEnd w:id="37"/>
      <w:r w:rsidRPr="0030748E">
        <w:rPr>
          <w:rFonts w:eastAsiaTheme="minorEastAsia" w:hint="eastAsia"/>
        </w:rPr>
        <w:t>5</w:t>
      </w:r>
      <w:r w:rsidRPr="0030748E">
        <w:rPr>
          <w:rFonts w:eastAsiaTheme="minorEastAsia"/>
        </w:rPr>
        <w:tab/>
      </w:r>
      <w:r w:rsidRPr="0030748E">
        <w:t>Introduction</w:t>
      </w:r>
      <w:bookmarkEnd w:id="38"/>
      <w:bookmarkEnd w:id="39"/>
      <w:bookmarkEnd w:id="40"/>
    </w:p>
    <w:p w14:paraId="7BEEDC78" w14:textId="77777777" w:rsidR="00741F7E" w:rsidRDefault="00741F7E" w:rsidP="00741F7E">
      <w:pPr>
        <w:rPr>
          <w:lang w:eastAsia="ja-JP" w:bidi="ar-DZ"/>
        </w:rPr>
      </w:pPr>
      <w:r>
        <w:rPr>
          <w:lang w:eastAsia="ja-JP" w:bidi="ar-DZ"/>
        </w:rPr>
        <w:t>Creating and facilitating conditions which foster</w:t>
      </w:r>
      <w:r w:rsidRPr="001C3CF5">
        <w:rPr>
          <w:lang w:eastAsia="ja-JP" w:bidi="ar-DZ"/>
        </w:rPr>
        <w:t xml:space="preserve"> innovati</w:t>
      </w:r>
      <w:r>
        <w:rPr>
          <w:lang w:eastAsia="ja-JP" w:bidi="ar-DZ"/>
        </w:rPr>
        <w:t xml:space="preserve">on and </w:t>
      </w:r>
      <w:r w:rsidRPr="001C3CF5">
        <w:rPr>
          <w:lang w:eastAsia="ja-JP" w:bidi="ar-DZ"/>
        </w:rPr>
        <w:t>sustainable competition</w:t>
      </w:r>
      <w:r>
        <w:rPr>
          <w:lang w:eastAsia="ja-JP" w:bidi="ar-DZ"/>
        </w:rPr>
        <w:t xml:space="preserve"> remains of paramount importance to </w:t>
      </w:r>
      <w:r w:rsidRPr="001C3CF5">
        <w:rPr>
          <w:lang w:eastAsia="ja-JP" w:bidi="ar-DZ"/>
        </w:rPr>
        <w:t xml:space="preserve">telecommunications and broadcasting regulators globally. Unchecked market </w:t>
      </w:r>
      <w:r>
        <w:rPr>
          <w:lang w:eastAsia="ja-JP" w:bidi="ar-DZ"/>
        </w:rPr>
        <w:t>influence</w:t>
      </w:r>
      <w:r w:rsidRPr="001C3CF5">
        <w:rPr>
          <w:lang w:eastAsia="ja-JP" w:bidi="ar-DZ"/>
        </w:rPr>
        <w:t xml:space="preserve"> has been shown to enable large operators to limit innovation and new entrants in their respective industries. As such, regulators are </w:t>
      </w:r>
      <w:r>
        <w:rPr>
          <w:lang w:eastAsia="ja-JP" w:bidi="ar-DZ"/>
        </w:rPr>
        <w:t>proactively assessing new strategies</w:t>
      </w:r>
      <w:r w:rsidRPr="001C3CF5">
        <w:rPr>
          <w:lang w:eastAsia="ja-JP" w:bidi="ar-DZ"/>
        </w:rPr>
        <w:t xml:space="preserve"> </w:t>
      </w:r>
      <w:r>
        <w:rPr>
          <w:lang w:eastAsia="ja-JP" w:bidi="ar-DZ"/>
        </w:rPr>
        <w:t xml:space="preserve">and routinely conducting market studies </w:t>
      </w:r>
      <w:r w:rsidRPr="001C3CF5">
        <w:rPr>
          <w:lang w:eastAsia="ja-JP" w:bidi="ar-DZ"/>
        </w:rPr>
        <w:t xml:space="preserve">to ensure that the market remains competitive. </w:t>
      </w:r>
    </w:p>
    <w:p w14:paraId="158CE673" w14:textId="77777777" w:rsidR="00741F7E" w:rsidRPr="001C3CF5" w:rsidRDefault="00741F7E" w:rsidP="00741F7E">
      <w:pPr>
        <w:rPr>
          <w:lang w:eastAsia="ja-JP" w:bidi="ar-DZ"/>
        </w:rPr>
      </w:pPr>
      <w:r>
        <w:rPr>
          <w:lang w:eastAsia="ja-JP" w:bidi="ar-DZ"/>
        </w:rPr>
        <w:t>T</w:t>
      </w:r>
      <w:r w:rsidRPr="001C3CF5">
        <w:rPr>
          <w:lang w:eastAsia="ja-JP" w:bidi="ar-DZ"/>
        </w:rPr>
        <w:t xml:space="preserve">he growing </w:t>
      </w:r>
      <w:r>
        <w:rPr>
          <w:lang w:eastAsia="ja-JP" w:bidi="ar-DZ"/>
        </w:rPr>
        <w:t>demand for</w:t>
      </w:r>
      <w:r w:rsidRPr="001C3CF5">
        <w:rPr>
          <w:lang w:eastAsia="ja-JP" w:bidi="ar-DZ"/>
        </w:rPr>
        <w:t xml:space="preserve"> OTT </w:t>
      </w:r>
      <w:r>
        <w:rPr>
          <w:lang w:eastAsia="ja-JP" w:bidi="ar-DZ"/>
        </w:rPr>
        <w:t>applications</w:t>
      </w:r>
      <w:r w:rsidRPr="001C3CF5">
        <w:rPr>
          <w:lang w:eastAsia="ja-JP" w:bidi="ar-DZ"/>
        </w:rPr>
        <w:t xml:space="preserve"> and </w:t>
      </w:r>
      <w:r>
        <w:rPr>
          <w:lang w:eastAsia="ja-JP" w:bidi="ar-DZ"/>
        </w:rPr>
        <w:t xml:space="preserve">its impact on telecommunications markets globally </w:t>
      </w:r>
      <w:r w:rsidRPr="001C3CF5">
        <w:rPr>
          <w:lang w:eastAsia="ja-JP" w:bidi="ar-DZ"/>
        </w:rPr>
        <w:t>has garnered the attention of many regulators worldwide</w:t>
      </w:r>
      <w:r>
        <w:rPr>
          <w:lang w:eastAsia="ja-JP" w:bidi="ar-DZ"/>
        </w:rPr>
        <w:t xml:space="preserve"> over the years and</w:t>
      </w:r>
      <w:r w:rsidRPr="001C3CF5">
        <w:rPr>
          <w:lang w:eastAsia="ja-JP" w:bidi="ar-DZ"/>
        </w:rPr>
        <w:t xml:space="preserve"> has reshaped several aspects of the telecommunications and broadcasting industr</w:t>
      </w:r>
      <w:r>
        <w:rPr>
          <w:lang w:eastAsia="ja-JP" w:bidi="ar-DZ"/>
        </w:rPr>
        <w:t>y</w:t>
      </w:r>
      <w:r w:rsidRPr="001C3CF5">
        <w:rPr>
          <w:lang w:eastAsia="ja-JP" w:bidi="ar-DZ"/>
        </w:rPr>
        <w:t xml:space="preserve">. </w:t>
      </w:r>
      <w:r>
        <w:rPr>
          <w:lang w:eastAsia="ja-JP" w:bidi="ar-DZ"/>
        </w:rPr>
        <w:t>T</w:t>
      </w:r>
      <w:r w:rsidRPr="008815A5">
        <w:rPr>
          <w:lang w:eastAsia="ja-JP" w:bidi="ar-DZ"/>
        </w:rPr>
        <w:t xml:space="preserve">he </w:t>
      </w:r>
      <w:r>
        <w:rPr>
          <w:lang w:eastAsia="ja-JP" w:bidi="ar-DZ"/>
        </w:rPr>
        <w:t xml:space="preserve">collective </w:t>
      </w:r>
      <w:r w:rsidRPr="008815A5">
        <w:rPr>
          <w:lang w:eastAsia="ja-JP" w:bidi="ar-DZ"/>
        </w:rPr>
        <w:t xml:space="preserve">growth of OTT </w:t>
      </w:r>
      <w:r>
        <w:rPr>
          <w:lang w:eastAsia="ja-JP" w:bidi="ar-DZ"/>
        </w:rPr>
        <w:t xml:space="preserve">applications </w:t>
      </w:r>
      <w:r w:rsidRPr="008815A5">
        <w:rPr>
          <w:lang w:eastAsia="ja-JP" w:bidi="ar-DZ"/>
        </w:rPr>
        <w:t xml:space="preserve">globally, </w:t>
      </w:r>
      <w:r>
        <w:rPr>
          <w:lang w:eastAsia="ja-JP" w:bidi="ar-DZ"/>
        </w:rPr>
        <w:t xml:space="preserve">added to </w:t>
      </w:r>
      <w:r w:rsidRPr="008815A5">
        <w:rPr>
          <w:lang w:eastAsia="ja-JP" w:bidi="ar-DZ"/>
        </w:rPr>
        <w:t xml:space="preserve">sustained technological advances of 5G networks and its associated plethora of digital communication devices </w:t>
      </w:r>
      <w:r>
        <w:rPr>
          <w:lang w:eastAsia="ja-JP" w:bidi="ar-DZ"/>
        </w:rPr>
        <w:t>hold the potential to further pressure traditional telecommunication services</w:t>
      </w:r>
      <w:r w:rsidRPr="008815A5">
        <w:rPr>
          <w:lang w:eastAsia="ja-JP" w:bidi="ar-DZ"/>
        </w:rPr>
        <w:t xml:space="preserve"> networks. </w:t>
      </w:r>
      <w:r>
        <w:rPr>
          <w:lang w:eastAsia="ja-JP" w:bidi="ar-DZ"/>
        </w:rPr>
        <w:t xml:space="preserve">Therefore, </w:t>
      </w:r>
      <w:r w:rsidRPr="008815A5">
        <w:rPr>
          <w:lang w:eastAsia="ja-JP" w:bidi="ar-DZ"/>
        </w:rPr>
        <w:t xml:space="preserve">regulators </w:t>
      </w:r>
      <w:r>
        <w:rPr>
          <w:lang w:eastAsia="ja-JP" w:bidi="ar-DZ"/>
        </w:rPr>
        <w:t xml:space="preserve">must become increasingly equipped and informed on the usage and uptake of OTT applications, </w:t>
      </w:r>
      <w:r w:rsidRPr="008815A5">
        <w:rPr>
          <w:lang w:eastAsia="ja-JP" w:bidi="ar-DZ"/>
        </w:rPr>
        <w:t xml:space="preserve">to provide </w:t>
      </w:r>
      <w:r>
        <w:rPr>
          <w:lang w:eastAsia="ja-JP" w:bidi="ar-DZ"/>
        </w:rPr>
        <w:t xml:space="preserve">effective </w:t>
      </w:r>
      <w:r w:rsidRPr="008815A5">
        <w:rPr>
          <w:lang w:eastAsia="ja-JP" w:bidi="ar-DZ"/>
        </w:rPr>
        <w:t xml:space="preserve">regulatory oversight to </w:t>
      </w:r>
      <w:r>
        <w:rPr>
          <w:lang w:eastAsia="ja-JP" w:bidi="ar-DZ"/>
        </w:rPr>
        <w:t>the evolving telecommunications and broadcasting landscape.</w:t>
      </w:r>
    </w:p>
    <w:p w14:paraId="5971912F" w14:textId="7F4591D3" w:rsidR="00741F7E" w:rsidRPr="001C3CF5" w:rsidRDefault="00741F7E" w:rsidP="00741F7E">
      <w:pPr>
        <w:rPr>
          <w:lang w:eastAsia="ja-JP" w:bidi="ar-DZ"/>
        </w:rPr>
      </w:pPr>
      <w:r>
        <w:rPr>
          <w:lang w:eastAsia="ja-JP" w:bidi="ar-DZ"/>
        </w:rPr>
        <w:t>Accordingly, t</w:t>
      </w:r>
      <w:r w:rsidRPr="001C3CF5">
        <w:rPr>
          <w:lang w:eastAsia="ja-JP" w:bidi="ar-DZ"/>
        </w:rPr>
        <w:t>he ITU has conducted extensive research on the topic of OTTs under both the ITU-T and ITU-D as follows</w:t>
      </w:r>
      <w:r w:rsidRPr="001C3CF5">
        <w:rPr>
          <w:i/>
          <w:iCs/>
          <w:lang w:eastAsia="ja-JP" w:bidi="ar-DZ"/>
        </w:rPr>
        <w:t>, inter alia:</w:t>
      </w:r>
      <w:r w:rsidRPr="001C3CF5">
        <w:rPr>
          <w:lang w:eastAsia="ja-JP" w:bidi="ar-DZ"/>
        </w:rPr>
        <w:t xml:space="preserve"> </w:t>
      </w:r>
    </w:p>
    <w:p w14:paraId="74DB95E2" w14:textId="7FD4084D" w:rsidR="00741F7E" w:rsidRPr="001C3CF5" w:rsidRDefault="0030748E" w:rsidP="0030748E">
      <w:pPr>
        <w:pStyle w:val="enumlev1"/>
        <w:rPr>
          <w:lang w:eastAsia="ja-JP" w:bidi="ar-DZ"/>
        </w:rPr>
      </w:pPr>
      <w:proofErr w:type="spellStart"/>
      <w:r w:rsidRPr="001C3CF5">
        <w:rPr>
          <w:lang w:eastAsia="ja-JP" w:bidi="ar-DZ"/>
        </w:rPr>
        <w:t>i</w:t>
      </w:r>
      <w:proofErr w:type="spellEnd"/>
      <w:r w:rsidRPr="001C3CF5">
        <w:rPr>
          <w:lang w:eastAsia="ja-JP" w:bidi="ar-DZ"/>
        </w:rPr>
        <w:t>.</w:t>
      </w:r>
      <w:r w:rsidRPr="001C3CF5">
        <w:rPr>
          <w:lang w:eastAsia="ja-JP" w:bidi="ar-DZ"/>
        </w:rPr>
        <w:tab/>
      </w:r>
      <w:r w:rsidR="00741F7E" w:rsidRPr="001C3CF5">
        <w:rPr>
          <w:lang w:eastAsia="ja-JP" w:bidi="ar-DZ"/>
        </w:rPr>
        <w:t>ITU</w:t>
      </w:r>
      <w:r w:rsidR="00741F7E">
        <w:rPr>
          <w:lang w:eastAsia="ja-JP" w:bidi="ar-DZ"/>
        </w:rPr>
        <w:t>-</w:t>
      </w:r>
      <w:r w:rsidR="00741F7E" w:rsidRPr="001C3CF5">
        <w:rPr>
          <w:lang w:eastAsia="ja-JP" w:bidi="ar-DZ"/>
        </w:rPr>
        <w:t>T</w:t>
      </w:r>
    </w:p>
    <w:p w14:paraId="2711E8D4" w14:textId="34E24CDA" w:rsidR="00741F7E" w:rsidRPr="001C3CF5" w:rsidRDefault="00785CF2" w:rsidP="0030748E">
      <w:pPr>
        <w:pStyle w:val="enumlev2"/>
        <w:rPr>
          <w:lang w:eastAsia="ja-JP" w:bidi="ar-DZ"/>
        </w:rPr>
      </w:pPr>
      <w:r w:rsidRPr="00785CF2">
        <w:t>•</w:t>
      </w:r>
      <w:r w:rsidRPr="00785CF2">
        <w:tab/>
      </w:r>
      <w:r w:rsidR="00741F7E" w:rsidRPr="001C3CF5">
        <w:rPr>
          <w:lang w:eastAsia="ja-JP" w:bidi="ar-DZ"/>
        </w:rPr>
        <w:t>ITU</w:t>
      </w:r>
      <w:r w:rsidR="00741F7E">
        <w:rPr>
          <w:lang w:eastAsia="ja-JP" w:bidi="ar-DZ"/>
        </w:rPr>
        <w:t>-T</w:t>
      </w:r>
      <w:r w:rsidR="00741F7E" w:rsidRPr="001C3CF5">
        <w:rPr>
          <w:lang w:eastAsia="ja-JP" w:bidi="ar-DZ"/>
        </w:rPr>
        <w:t xml:space="preserve"> Technical Report (TR) (2017): Economic impact of OTTs</w:t>
      </w:r>
    </w:p>
    <w:p w14:paraId="751DCBE1" w14:textId="1E87A327" w:rsidR="00741F7E" w:rsidRPr="001C3CF5" w:rsidRDefault="00785CF2" w:rsidP="0030748E">
      <w:pPr>
        <w:pStyle w:val="enumlev2"/>
        <w:rPr>
          <w:lang w:eastAsia="ja-JP" w:bidi="ar-DZ"/>
        </w:rPr>
      </w:pPr>
      <w:r w:rsidRPr="00785CF2">
        <w:t>•</w:t>
      </w:r>
      <w:r w:rsidRPr="00785CF2">
        <w:tab/>
      </w:r>
      <w:r w:rsidR="00741F7E" w:rsidRPr="001C3CF5">
        <w:rPr>
          <w:lang w:eastAsia="ja-JP" w:bidi="ar-DZ"/>
        </w:rPr>
        <w:t>Recommendation ITU-T D.262 (2019/05): Collaborative framework for OTTs</w:t>
      </w:r>
    </w:p>
    <w:p w14:paraId="13235FCA" w14:textId="5327B372" w:rsidR="00741F7E" w:rsidRPr="001C3CF5" w:rsidRDefault="00785CF2" w:rsidP="0030748E">
      <w:pPr>
        <w:pStyle w:val="enumlev2"/>
        <w:rPr>
          <w:lang w:eastAsia="ja-JP" w:bidi="ar-DZ"/>
        </w:rPr>
      </w:pPr>
      <w:r w:rsidRPr="00785CF2">
        <w:t>•</w:t>
      </w:r>
      <w:r w:rsidRPr="00785CF2">
        <w:tab/>
      </w:r>
      <w:r w:rsidR="00741F7E" w:rsidRPr="001C3CF5">
        <w:rPr>
          <w:lang w:eastAsia="ja-JP" w:bidi="ar-DZ"/>
        </w:rPr>
        <w:t>Recommendation ITU-T D.1101 (2020/08): Enabling environment for voluntary commercial arrangements between telecommunication network operators and OTT providers</w:t>
      </w:r>
    </w:p>
    <w:p w14:paraId="4F1E9555" w14:textId="5CE480C0" w:rsidR="00741F7E" w:rsidRPr="008B54FA" w:rsidRDefault="00785CF2" w:rsidP="0030748E">
      <w:pPr>
        <w:pStyle w:val="enumlev2"/>
        <w:rPr>
          <w:lang w:eastAsia="ja-JP" w:bidi="ar-DZ"/>
        </w:rPr>
      </w:pPr>
      <w:r w:rsidRPr="00785CF2">
        <w:lastRenderedPageBreak/>
        <w:t>•</w:t>
      </w:r>
      <w:r w:rsidRPr="00785CF2">
        <w:tab/>
      </w:r>
      <w:r w:rsidR="00741F7E" w:rsidRPr="001C3CF5">
        <w:rPr>
          <w:lang w:eastAsia="ja-JP" w:bidi="ar-DZ"/>
        </w:rPr>
        <w:t>Recommendation ITU-T D.1102 (2021/12): Customer redress and consumer protection mechanisms for OTTs</w:t>
      </w:r>
    </w:p>
    <w:p w14:paraId="6353CC9F" w14:textId="0B638C16" w:rsidR="00741F7E" w:rsidRPr="001C3CF5" w:rsidRDefault="0030748E" w:rsidP="0030748E">
      <w:pPr>
        <w:pStyle w:val="enumlev1"/>
        <w:rPr>
          <w:lang w:eastAsia="ja-JP" w:bidi="ar-DZ"/>
        </w:rPr>
      </w:pPr>
      <w:r w:rsidRPr="001C3CF5">
        <w:rPr>
          <w:lang w:eastAsia="ja-JP" w:bidi="ar-DZ"/>
        </w:rPr>
        <w:t>ii.</w:t>
      </w:r>
      <w:r w:rsidRPr="001C3CF5">
        <w:rPr>
          <w:lang w:eastAsia="ja-JP" w:bidi="ar-DZ"/>
        </w:rPr>
        <w:tab/>
      </w:r>
      <w:r w:rsidR="00741F7E" w:rsidRPr="001C3CF5">
        <w:rPr>
          <w:lang w:eastAsia="ja-JP" w:bidi="ar-DZ"/>
        </w:rPr>
        <w:t>ITU</w:t>
      </w:r>
      <w:r w:rsidR="00741F7E">
        <w:rPr>
          <w:lang w:eastAsia="ja-JP" w:bidi="ar-DZ"/>
        </w:rPr>
        <w:t>-</w:t>
      </w:r>
      <w:r w:rsidR="00741F7E" w:rsidRPr="001C3CF5">
        <w:rPr>
          <w:lang w:eastAsia="ja-JP" w:bidi="ar-DZ"/>
        </w:rPr>
        <w:t xml:space="preserve">D </w:t>
      </w:r>
    </w:p>
    <w:p w14:paraId="20DDDB70" w14:textId="4A9D7C80" w:rsidR="00741F7E" w:rsidRPr="008B54FA" w:rsidRDefault="00785CF2" w:rsidP="0030748E">
      <w:pPr>
        <w:pStyle w:val="enumlev2"/>
        <w:rPr>
          <w:lang w:eastAsia="ja-JP" w:bidi="ar-DZ"/>
        </w:rPr>
      </w:pPr>
      <w:r w:rsidRPr="00785CF2">
        <w:t>•</w:t>
      </w:r>
      <w:r w:rsidRPr="00785CF2">
        <w:tab/>
      </w:r>
      <w:r w:rsidR="00741F7E" w:rsidRPr="001C3CF5">
        <w:rPr>
          <w:lang w:eastAsia="ja-JP" w:bidi="ar-DZ"/>
        </w:rPr>
        <w:t>ITU</w:t>
      </w:r>
      <w:r w:rsidR="00741F7E">
        <w:rPr>
          <w:lang w:eastAsia="ja-JP" w:bidi="ar-DZ"/>
        </w:rPr>
        <w:t>-</w:t>
      </w:r>
      <w:r w:rsidR="00741F7E" w:rsidRPr="001C3CF5">
        <w:rPr>
          <w:lang w:eastAsia="ja-JP" w:bidi="ar-DZ"/>
        </w:rPr>
        <w:t>D Study Group Paper for the Study Period 2018</w:t>
      </w:r>
      <w:r w:rsidR="00B54C9F">
        <w:rPr>
          <w:lang w:eastAsia="ja-JP" w:bidi="ar-DZ"/>
        </w:rPr>
        <w:t>-</w:t>
      </w:r>
      <w:r w:rsidR="00741F7E" w:rsidRPr="001C3CF5">
        <w:rPr>
          <w:lang w:eastAsia="ja-JP" w:bidi="ar-DZ"/>
        </w:rPr>
        <w:t>2021: Economic impact of OTTs on national telecommunication/ICT markets</w:t>
      </w:r>
    </w:p>
    <w:p w14:paraId="7A380BD6" w14:textId="67969CA8" w:rsidR="00741F7E" w:rsidRDefault="00FB51FA" w:rsidP="00741F7E">
      <w:pPr>
        <w:rPr>
          <w:lang w:eastAsia="ja-JP" w:bidi="ar-DZ"/>
        </w:rPr>
      </w:pPr>
      <w:r>
        <w:rPr>
          <w:lang w:eastAsia="ja-JP" w:bidi="ar-DZ"/>
        </w:rPr>
        <w:t>[</w:t>
      </w:r>
      <w:r w:rsidR="00741F7E" w:rsidRPr="001C3CF5">
        <w:rPr>
          <w:lang w:eastAsia="ja-JP" w:bidi="ar-DZ"/>
        </w:rPr>
        <w:t>ITU-T TR</w:t>
      </w:r>
      <w:r>
        <w:rPr>
          <w:lang w:eastAsia="ja-JP" w:bidi="ar-DZ"/>
        </w:rPr>
        <w:t>]</w:t>
      </w:r>
      <w:r w:rsidR="00741F7E" w:rsidRPr="001C3CF5">
        <w:rPr>
          <w:lang w:eastAsia="ja-JP" w:bidi="ar-DZ"/>
        </w:rPr>
        <w:t xml:space="preserve"> (2017) comprehensively delved into the nuanced realm of OTT </w:t>
      </w:r>
      <w:r w:rsidR="00741F7E">
        <w:rPr>
          <w:lang w:eastAsia="ja-JP" w:bidi="ar-DZ"/>
        </w:rPr>
        <w:t>applications</w:t>
      </w:r>
      <w:r w:rsidR="00741F7E" w:rsidRPr="001C3CF5">
        <w:rPr>
          <w:lang w:eastAsia="ja-JP" w:bidi="ar-DZ"/>
        </w:rPr>
        <w:t xml:space="preserve"> and its impact and identified those services that are more closely relevant to regulators in the telecommunications and broadcasting industry such as OTT </w:t>
      </w:r>
      <w:r w:rsidR="00741F7E">
        <w:rPr>
          <w:lang w:eastAsia="ja-JP" w:bidi="ar-DZ"/>
        </w:rPr>
        <w:t>applications</w:t>
      </w:r>
      <w:r w:rsidR="00741F7E" w:rsidRPr="001C3CF5">
        <w:rPr>
          <w:lang w:eastAsia="ja-JP" w:bidi="ar-DZ"/>
        </w:rPr>
        <w:t xml:space="preserve"> (voice, video &amp; messaging</w:t>
      </w:r>
      <w:r w:rsidR="00741F7E">
        <w:rPr>
          <w:lang w:eastAsia="ja-JP" w:bidi="ar-DZ"/>
        </w:rPr>
        <w:t xml:space="preserve">, </w:t>
      </w:r>
      <w:r w:rsidR="00741F7E" w:rsidRPr="001C3CF5">
        <w:rPr>
          <w:lang w:eastAsia="ja-JP" w:bidi="ar-DZ"/>
        </w:rPr>
        <w:t>broadcast linear video</w:t>
      </w:r>
      <w:r w:rsidR="00CD740A">
        <w:rPr>
          <w:lang w:eastAsia="ja-JP" w:bidi="ar-DZ"/>
        </w:rPr>
        <w:t>,</w:t>
      </w:r>
      <w:r w:rsidR="00741F7E" w:rsidRPr="001C3CF5">
        <w:rPr>
          <w:lang w:eastAsia="ja-JP" w:bidi="ar-DZ"/>
        </w:rPr>
        <w:t xml:space="preserve"> </w:t>
      </w:r>
      <w:r w:rsidR="00CD740A">
        <w:rPr>
          <w:lang w:eastAsia="ja-JP" w:bidi="ar-DZ"/>
        </w:rPr>
        <w:t>and</w:t>
      </w:r>
      <w:r w:rsidR="00741F7E" w:rsidRPr="001C3CF5">
        <w:rPr>
          <w:lang w:eastAsia="ja-JP" w:bidi="ar-DZ"/>
        </w:rPr>
        <w:t xml:space="preserve"> video on demand). </w:t>
      </w:r>
    </w:p>
    <w:p w14:paraId="532AFAC4" w14:textId="07C7A141" w:rsidR="00741F7E" w:rsidRPr="001C3CF5" w:rsidRDefault="00741F7E" w:rsidP="00741F7E">
      <w:pPr>
        <w:rPr>
          <w:lang w:eastAsia="ja-JP" w:bidi="ar-DZ"/>
        </w:rPr>
      </w:pPr>
      <w:r w:rsidRPr="001C3CF5">
        <w:rPr>
          <w:lang w:eastAsia="ja-JP" w:bidi="ar-DZ"/>
        </w:rPr>
        <w:t xml:space="preserve">The working definition outlined in </w:t>
      </w:r>
      <w:r w:rsidR="00FB51FA">
        <w:rPr>
          <w:lang w:eastAsia="ja-JP" w:bidi="ar-DZ"/>
        </w:rPr>
        <w:t>[</w:t>
      </w:r>
      <w:r w:rsidRPr="001C3CF5">
        <w:rPr>
          <w:lang w:eastAsia="ja-JP" w:bidi="ar-DZ"/>
        </w:rPr>
        <w:t>ITU</w:t>
      </w:r>
      <w:r w:rsidR="00FB51FA">
        <w:rPr>
          <w:lang w:eastAsia="ja-JP" w:bidi="ar-DZ"/>
        </w:rPr>
        <w:t>-T</w:t>
      </w:r>
      <w:r w:rsidRPr="001C3CF5">
        <w:rPr>
          <w:lang w:eastAsia="ja-JP" w:bidi="ar-DZ"/>
        </w:rPr>
        <w:t xml:space="preserve"> TR</w:t>
      </w:r>
      <w:r w:rsidR="00FB51FA">
        <w:rPr>
          <w:lang w:eastAsia="ja-JP" w:bidi="ar-DZ"/>
        </w:rPr>
        <w:t>]</w:t>
      </w:r>
      <w:r w:rsidRPr="001C3CF5">
        <w:rPr>
          <w:vertAlign w:val="superscript"/>
          <w:lang w:eastAsia="ja-JP" w:bidi="ar-DZ"/>
        </w:rPr>
        <w:footnoteReference w:id="2"/>
      </w:r>
      <w:r w:rsidRPr="001C3CF5">
        <w:rPr>
          <w:lang w:eastAsia="ja-JP" w:bidi="ar-DZ"/>
        </w:rPr>
        <w:t xml:space="preserve"> and later defined in </w:t>
      </w:r>
      <w:r w:rsidR="00FB51FA">
        <w:rPr>
          <w:lang w:eastAsia="ja-JP" w:bidi="ar-DZ"/>
        </w:rPr>
        <w:t>[</w:t>
      </w:r>
      <w:r w:rsidRPr="001C3CF5">
        <w:rPr>
          <w:lang w:eastAsia="ja-JP" w:bidi="ar-DZ"/>
        </w:rPr>
        <w:t>ITU</w:t>
      </w:r>
      <w:r w:rsidR="0030748E">
        <w:rPr>
          <w:lang w:eastAsia="ja-JP" w:bidi="ar-DZ"/>
        </w:rPr>
        <w:noBreakHyphen/>
      </w:r>
      <w:r w:rsidRPr="001C3CF5">
        <w:rPr>
          <w:lang w:eastAsia="ja-JP" w:bidi="ar-DZ"/>
        </w:rPr>
        <w:t>T</w:t>
      </w:r>
      <w:r w:rsidR="0030748E">
        <w:rPr>
          <w:lang w:eastAsia="ja-JP" w:bidi="ar-DZ"/>
        </w:rPr>
        <w:t> </w:t>
      </w:r>
      <w:r w:rsidRPr="001C3CF5">
        <w:rPr>
          <w:lang w:eastAsia="ja-JP" w:bidi="ar-DZ"/>
        </w:rPr>
        <w:t>D.262</w:t>
      </w:r>
      <w:r w:rsidR="00FB51FA">
        <w:rPr>
          <w:lang w:eastAsia="ja-JP" w:bidi="ar-DZ"/>
        </w:rPr>
        <w:t>]</w:t>
      </w:r>
      <w:r w:rsidRPr="001C3CF5">
        <w:rPr>
          <w:lang w:eastAsia="ja-JP" w:bidi="ar-DZ"/>
        </w:rPr>
        <w:t xml:space="preserve"> continues to hold as the working definition of interest, that is:</w:t>
      </w:r>
    </w:p>
    <w:p w14:paraId="32E30BF1" w14:textId="6C3582DD" w:rsidR="00741F7E" w:rsidRDefault="00580392" w:rsidP="009B5A95">
      <w:pPr>
        <w:ind w:left="567"/>
        <w:rPr>
          <w:i/>
          <w:iCs/>
          <w:lang w:eastAsia="ja-JP" w:bidi="ar-DZ"/>
        </w:rPr>
      </w:pPr>
      <w:r w:rsidRPr="00580392">
        <w:rPr>
          <w:i/>
          <w:iCs/>
          <w:lang w:eastAsia="ja-JP" w:bidi="ar-DZ"/>
        </w:rPr>
        <w:t>"</w:t>
      </w:r>
      <w:r w:rsidR="00741F7E" w:rsidRPr="001C3CF5">
        <w:rPr>
          <w:i/>
          <w:iCs/>
          <w:lang w:eastAsia="ja-JP" w:bidi="ar-DZ"/>
        </w:rPr>
        <w:t>over-the-top (OTT): An application accessed and delivered over the public Internet that may be a direct technical/functional substitute for</w:t>
      </w:r>
      <w:r w:rsidR="00741F7E">
        <w:rPr>
          <w:i/>
          <w:iCs/>
          <w:lang w:eastAsia="ja-JP" w:bidi="ar-DZ"/>
        </w:rPr>
        <w:t xml:space="preserve"> </w:t>
      </w:r>
      <w:r w:rsidR="00741F7E" w:rsidRPr="001C3CF5">
        <w:rPr>
          <w:i/>
          <w:iCs/>
          <w:lang w:eastAsia="ja-JP" w:bidi="ar-DZ"/>
        </w:rPr>
        <w:t>traditional international telecommunication services</w:t>
      </w:r>
      <w:r w:rsidR="00741F7E">
        <w:rPr>
          <w:i/>
          <w:iCs/>
          <w:lang w:eastAsia="ja-JP" w:bidi="ar-DZ"/>
        </w:rPr>
        <w:t>.</w:t>
      </w:r>
    </w:p>
    <w:p w14:paraId="36B313F7" w14:textId="10820060" w:rsidR="009B5A95" w:rsidRDefault="00741F7E" w:rsidP="009B5A95">
      <w:pPr>
        <w:ind w:left="567"/>
        <w:rPr>
          <w:i/>
          <w:iCs/>
          <w:lang w:eastAsia="ja-JP" w:bidi="ar-DZ"/>
        </w:rPr>
      </w:pPr>
      <w:r>
        <w:rPr>
          <w:i/>
          <w:iCs/>
          <w:lang w:eastAsia="ja-JP" w:bidi="ar-DZ"/>
        </w:rPr>
        <w:t>NOTE – The definition of OTT is a matter of national sovereignty and may vary among Member States.</w:t>
      </w:r>
      <w:r w:rsidR="00580392" w:rsidRPr="00580392">
        <w:rPr>
          <w:i/>
          <w:iCs/>
          <w:lang w:eastAsia="ja-JP" w:bidi="ar-DZ"/>
        </w:rPr>
        <w:t>"</w:t>
      </w:r>
    </w:p>
    <w:p w14:paraId="08C14E34" w14:textId="77777777" w:rsidR="00741F7E" w:rsidRPr="001C3CF5" w:rsidRDefault="00741F7E" w:rsidP="00741F7E">
      <w:pPr>
        <w:rPr>
          <w:lang w:eastAsia="ja-JP" w:bidi="ar-DZ"/>
        </w:rPr>
      </w:pPr>
      <w:r w:rsidRPr="001C3CF5">
        <w:rPr>
          <w:lang w:eastAsia="ja-JP" w:bidi="ar-DZ"/>
        </w:rPr>
        <w:t>Within the context of this definition</w:t>
      </w:r>
      <w:r>
        <w:rPr>
          <w:lang w:eastAsia="ja-JP" w:bidi="ar-DZ"/>
        </w:rPr>
        <w:t>,</w:t>
      </w:r>
      <w:r w:rsidRPr="001C3CF5">
        <w:rPr>
          <w:lang w:eastAsia="ja-JP" w:bidi="ar-DZ"/>
        </w:rPr>
        <w:t xml:space="preserve"> </w:t>
      </w:r>
      <w:proofErr w:type="gramStart"/>
      <w:r w:rsidRPr="001C3CF5">
        <w:rPr>
          <w:lang w:eastAsia="ja-JP" w:bidi="ar-DZ"/>
        </w:rPr>
        <w:t>a number of</w:t>
      </w:r>
      <w:proofErr w:type="gramEnd"/>
      <w:r w:rsidRPr="001C3CF5">
        <w:rPr>
          <w:lang w:eastAsia="ja-JP" w:bidi="ar-DZ"/>
        </w:rPr>
        <w:t xml:space="preserve"> policy/regulatory challenges </w:t>
      </w:r>
      <w:r>
        <w:rPr>
          <w:lang w:eastAsia="ja-JP" w:bidi="ar-DZ"/>
        </w:rPr>
        <w:t xml:space="preserve">may </w:t>
      </w:r>
      <w:r w:rsidRPr="001C3CF5">
        <w:rPr>
          <w:lang w:eastAsia="ja-JP" w:bidi="ar-DZ"/>
        </w:rPr>
        <w:t>arise</w:t>
      </w:r>
      <w:r>
        <w:rPr>
          <w:lang w:eastAsia="ja-JP" w:bidi="ar-DZ"/>
        </w:rPr>
        <w:t>,</w:t>
      </w:r>
      <w:r w:rsidRPr="001C3CF5">
        <w:rPr>
          <w:lang w:eastAsia="ja-JP" w:bidi="ar-DZ"/>
        </w:rPr>
        <w:t xml:space="preserve"> as </w:t>
      </w:r>
      <w:r>
        <w:rPr>
          <w:lang w:eastAsia="ja-JP" w:bidi="ar-DZ"/>
        </w:rPr>
        <w:t xml:space="preserve">some </w:t>
      </w:r>
      <w:r w:rsidRPr="001C3CF5">
        <w:rPr>
          <w:lang w:eastAsia="ja-JP" w:bidi="ar-DZ"/>
        </w:rPr>
        <w:t xml:space="preserve">OTT </w:t>
      </w:r>
      <w:r>
        <w:rPr>
          <w:lang w:eastAsia="ja-JP" w:bidi="ar-DZ"/>
        </w:rPr>
        <w:t>applications</w:t>
      </w:r>
      <w:r w:rsidRPr="001C3CF5">
        <w:rPr>
          <w:lang w:eastAsia="ja-JP" w:bidi="ar-DZ"/>
        </w:rPr>
        <w:t xml:space="preserve"> </w:t>
      </w:r>
      <w:r>
        <w:rPr>
          <w:lang w:eastAsia="ja-JP" w:bidi="ar-DZ"/>
        </w:rPr>
        <w:t>may be</w:t>
      </w:r>
      <w:r w:rsidRPr="001C3CF5">
        <w:rPr>
          <w:lang w:eastAsia="ja-JP" w:bidi="ar-DZ"/>
        </w:rPr>
        <w:t xml:space="preserve"> regarded as functional</w:t>
      </w:r>
      <w:r>
        <w:rPr>
          <w:lang w:eastAsia="ja-JP" w:bidi="ar-DZ"/>
        </w:rPr>
        <w:t>ly</w:t>
      </w:r>
      <w:r w:rsidRPr="001C3CF5">
        <w:rPr>
          <w:lang w:eastAsia="ja-JP" w:bidi="ar-DZ"/>
        </w:rPr>
        <w:t xml:space="preserve"> </w:t>
      </w:r>
      <w:r>
        <w:rPr>
          <w:lang w:eastAsia="ja-JP" w:bidi="ar-DZ"/>
        </w:rPr>
        <w:t xml:space="preserve">equivalent to </w:t>
      </w:r>
      <w:r w:rsidRPr="001C3CF5">
        <w:rPr>
          <w:lang w:eastAsia="ja-JP" w:bidi="ar-DZ"/>
        </w:rPr>
        <w:t>traditional telecommunications</w:t>
      </w:r>
      <w:r>
        <w:rPr>
          <w:lang w:eastAsia="ja-JP" w:bidi="ar-DZ"/>
        </w:rPr>
        <w:t xml:space="preserve"> services</w:t>
      </w:r>
      <w:r w:rsidRPr="001C3CF5">
        <w:rPr>
          <w:lang w:eastAsia="ja-JP" w:bidi="ar-DZ"/>
        </w:rPr>
        <w:t>, hence changing the market dynamics</w:t>
      </w:r>
      <w:r>
        <w:rPr>
          <w:lang w:eastAsia="ja-JP" w:bidi="ar-DZ"/>
        </w:rPr>
        <w:t>,</w:t>
      </w:r>
      <w:r w:rsidRPr="001C3CF5">
        <w:rPr>
          <w:lang w:eastAsia="ja-JP" w:bidi="ar-DZ"/>
        </w:rPr>
        <w:t xml:space="preserve"> and </w:t>
      </w:r>
      <w:r>
        <w:rPr>
          <w:lang w:eastAsia="ja-JP" w:bidi="ar-DZ"/>
        </w:rPr>
        <w:t xml:space="preserve">potentially </w:t>
      </w:r>
      <w:r w:rsidRPr="001C3CF5">
        <w:rPr>
          <w:lang w:eastAsia="ja-JP" w:bidi="ar-DZ"/>
        </w:rPr>
        <w:t xml:space="preserve">creating a competitive constraint in the industry. </w:t>
      </w:r>
      <w:r>
        <w:t>Uniform and harmonized r</w:t>
      </w:r>
      <w:r w:rsidRPr="003F0F50">
        <w:t xml:space="preserve">eporting </w:t>
      </w:r>
      <w:r>
        <w:t>s</w:t>
      </w:r>
      <w:r w:rsidRPr="003F0F50">
        <w:t xml:space="preserve">tandards for OTT </w:t>
      </w:r>
      <w:r>
        <w:t>a</w:t>
      </w:r>
      <w:r w:rsidRPr="003F0F50">
        <w:t xml:space="preserve">pplications </w:t>
      </w:r>
      <w:r>
        <w:t xml:space="preserve">may </w:t>
      </w:r>
      <w:r w:rsidRPr="003F0F50">
        <w:t xml:space="preserve">provide an important opportunity to </w:t>
      </w:r>
      <w:r>
        <w:t xml:space="preserve">advance </w:t>
      </w:r>
      <w:r w:rsidRPr="003F0F50">
        <w:t>data collection and evidence-based</w:t>
      </w:r>
      <w:r>
        <w:t xml:space="preserve"> regulation</w:t>
      </w:r>
      <w:r w:rsidRPr="003F0F50">
        <w:t xml:space="preserve"> in </w:t>
      </w:r>
      <w:r>
        <w:t>new tele</w:t>
      </w:r>
      <w:r w:rsidRPr="003F0F50">
        <w:t>communications services globally</w:t>
      </w:r>
      <w:r>
        <w:t xml:space="preserve"> by identifying and resolving reporting gaps, leaving no jurisdiction behind in the international information society. </w:t>
      </w:r>
    </w:p>
    <w:p w14:paraId="7AE1CD3F" w14:textId="6175BDF1" w:rsidR="00741F7E" w:rsidRPr="001C3CF5" w:rsidRDefault="00741F7E" w:rsidP="00741F7E">
      <w:pPr>
        <w:rPr>
          <w:lang w:eastAsia="ja-JP" w:bidi="ar-DZ"/>
        </w:rPr>
      </w:pPr>
      <w:proofErr w:type="gramStart"/>
      <w:r w:rsidRPr="001C3CF5">
        <w:rPr>
          <w:lang w:eastAsia="ja-JP" w:bidi="ar-DZ"/>
        </w:rPr>
        <w:t>In order for</w:t>
      </w:r>
      <w:proofErr w:type="gramEnd"/>
      <w:r w:rsidRPr="001C3CF5">
        <w:rPr>
          <w:lang w:eastAsia="ja-JP" w:bidi="ar-DZ"/>
        </w:rPr>
        <w:t xml:space="preserve"> regulators to accurately assess the potential competitive effects that have arisen with the evolution of OTT </w:t>
      </w:r>
      <w:r>
        <w:rPr>
          <w:lang w:eastAsia="ja-JP" w:bidi="ar-DZ"/>
        </w:rPr>
        <w:t>applications</w:t>
      </w:r>
      <w:r w:rsidRPr="001C3CF5">
        <w:rPr>
          <w:lang w:eastAsia="ja-JP" w:bidi="ar-DZ"/>
        </w:rPr>
        <w:t xml:space="preserve">, relevant OTT data needs to be accessible. However, </w:t>
      </w:r>
      <w:r>
        <w:rPr>
          <w:lang w:eastAsia="ja-JP" w:bidi="ar-DZ"/>
        </w:rPr>
        <w:t xml:space="preserve">some </w:t>
      </w:r>
      <w:r w:rsidRPr="001C3CF5">
        <w:rPr>
          <w:lang w:eastAsia="ja-JP" w:bidi="ar-DZ"/>
        </w:rPr>
        <w:t>regulatory bodies have repeatedly highlighted the</w:t>
      </w:r>
      <w:r>
        <w:rPr>
          <w:lang w:eastAsia="ja-JP" w:bidi="ar-DZ"/>
        </w:rPr>
        <w:t>ir</w:t>
      </w:r>
      <w:r w:rsidRPr="001C3CF5">
        <w:rPr>
          <w:lang w:eastAsia="ja-JP" w:bidi="ar-DZ"/>
        </w:rPr>
        <w:t xml:space="preserve"> inability to acquire information and datasets from large OTT providers to </w:t>
      </w:r>
      <w:r w:rsidR="00FB51FA" w:rsidRPr="001C3CF5">
        <w:rPr>
          <w:lang w:eastAsia="ja-JP" w:bidi="ar-DZ"/>
        </w:rPr>
        <w:t>analyse</w:t>
      </w:r>
      <w:r w:rsidRPr="001C3CF5">
        <w:rPr>
          <w:lang w:eastAsia="ja-JP" w:bidi="ar-DZ"/>
        </w:rPr>
        <w:t xml:space="preserve"> and develop market studies. Given the shortfall in the availability of OTT data, regulators may become increasingly underinformed and underequipped to provide regulatory oversight to the complete range of </w:t>
      </w:r>
      <w:r>
        <w:rPr>
          <w:lang w:eastAsia="ja-JP" w:bidi="ar-DZ"/>
        </w:rPr>
        <w:t>new telecommunications services</w:t>
      </w:r>
      <w:r w:rsidRPr="001C3CF5">
        <w:rPr>
          <w:lang w:eastAsia="ja-JP" w:bidi="ar-DZ"/>
        </w:rPr>
        <w:t xml:space="preserve"> in its jurisdictions. </w:t>
      </w:r>
    </w:p>
    <w:p w14:paraId="438BD81B" w14:textId="77777777" w:rsidR="00741F7E" w:rsidRPr="001C3CF5" w:rsidRDefault="00741F7E" w:rsidP="00741F7E">
      <w:pPr>
        <w:rPr>
          <w:lang w:eastAsia="ja-JP" w:bidi="ar-DZ"/>
        </w:rPr>
      </w:pPr>
      <w:r w:rsidRPr="001C3CF5">
        <w:rPr>
          <w:lang w:eastAsia="ja-JP" w:bidi="ar-DZ"/>
        </w:rPr>
        <w:t xml:space="preserve">Therefore, it may be </w:t>
      </w:r>
      <w:r>
        <w:rPr>
          <w:lang w:eastAsia="ja-JP" w:bidi="ar-DZ"/>
        </w:rPr>
        <w:t xml:space="preserve">beneficial </w:t>
      </w:r>
      <w:r w:rsidRPr="001C3CF5">
        <w:rPr>
          <w:lang w:eastAsia="ja-JP" w:bidi="ar-DZ"/>
        </w:rPr>
        <w:t>for OTT providers to partner in the data gathering work of telecommunications regulators which will facilitate the efficient operation of the evolving industry. Through the development of international guidelines and standards of reporting for OTT providers, there will be an enhancement in information symmetry, currently required in the regulation of the telecommunications and broadcasting industr</w:t>
      </w:r>
      <w:r>
        <w:rPr>
          <w:lang w:eastAsia="ja-JP" w:bidi="ar-DZ"/>
        </w:rPr>
        <w:t>y.</w:t>
      </w:r>
    </w:p>
    <w:p w14:paraId="66EE6523" w14:textId="69E56541" w:rsidR="00741F7E" w:rsidRPr="0030748E" w:rsidRDefault="00F508BE" w:rsidP="0030748E">
      <w:pPr>
        <w:pStyle w:val="Heading2"/>
      </w:pPr>
      <w:bookmarkStart w:id="41" w:name="_Hlk151531467"/>
      <w:bookmarkStart w:id="42" w:name="_Toc213830513"/>
      <w:bookmarkStart w:id="43" w:name="_Toc214976387"/>
      <w:bookmarkStart w:id="44" w:name="_Toc229984642"/>
      <w:r w:rsidRPr="0030748E">
        <w:rPr>
          <w:rFonts w:eastAsiaTheme="minorEastAsia" w:hint="eastAsia"/>
        </w:rPr>
        <w:t>5.1</w:t>
      </w:r>
      <w:r w:rsidRPr="0030748E">
        <w:rPr>
          <w:rFonts w:eastAsiaTheme="minorEastAsia"/>
        </w:rPr>
        <w:tab/>
      </w:r>
      <w:r w:rsidR="00741F7E" w:rsidRPr="0030748E">
        <w:t xml:space="preserve">Challenges </w:t>
      </w:r>
      <w:r w:rsidR="00FB51FA">
        <w:t>and</w:t>
      </w:r>
      <w:r w:rsidR="00741F7E" w:rsidRPr="0030748E">
        <w:t xml:space="preserve"> </w:t>
      </w:r>
      <w:r w:rsidR="00067308">
        <w:t>c</w:t>
      </w:r>
      <w:r w:rsidR="00741F7E" w:rsidRPr="0030748E">
        <w:t xml:space="preserve">ompetition </w:t>
      </w:r>
      <w:r w:rsidR="00067308">
        <w:t>c</w:t>
      </w:r>
      <w:r w:rsidR="00741F7E" w:rsidRPr="0030748E">
        <w:t>oncerns</w:t>
      </w:r>
      <w:bookmarkEnd w:id="41"/>
      <w:bookmarkEnd w:id="42"/>
      <w:bookmarkEnd w:id="43"/>
      <w:bookmarkEnd w:id="44"/>
    </w:p>
    <w:p w14:paraId="62AAEE0B" w14:textId="4166D9A9" w:rsidR="00741F7E" w:rsidRPr="008B54FA" w:rsidRDefault="00741F7E" w:rsidP="00741F7E">
      <w:pPr>
        <w:rPr>
          <w:lang w:eastAsia="ja-JP" w:bidi="ar-DZ"/>
        </w:rPr>
      </w:pPr>
      <w:r>
        <w:rPr>
          <w:lang w:eastAsia="ja-JP" w:bidi="ar-DZ"/>
        </w:rPr>
        <w:t>Telecommunications r</w:t>
      </w:r>
      <w:r w:rsidRPr="001C3CF5">
        <w:rPr>
          <w:lang w:eastAsia="ja-JP" w:bidi="ar-DZ"/>
        </w:rPr>
        <w:t>egulators undertake a myriad of market studies to maintain fair and sustainable competition within their jurisdictions</w:t>
      </w:r>
      <w:r>
        <w:rPr>
          <w:lang w:eastAsia="ja-JP" w:bidi="ar-DZ"/>
        </w:rPr>
        <w:t>, such as</w:t>
      </w:r>
      <w:r w:rsidRPr="001C3CF5">
        <w:rPr>
          <w:lang w:eastAsia="ja-JP" w:bidi="ar-DZ"/>
        </w:rPr>
        <w:t xml:space="preserve"> dominance determinations, market definition evaluations, mergers and acquisitions reports, economic tests and other market reports</w:t>
      </w:r>
      <w:r w:rsidRPr="001C3CF5">
        <w:rPr>
          <w:i/>
          <w:iCs/>
          <w:lang w:eastAsia="ja-JP" w:bidi="ar-DZ"/>
        </w:rPr>
        <w:t>.</w:t>
      </w:r>
      <w:r w:rsidRPr="001C3CF5">
        <w:rPr>
          <w:lang w:eastAsia="ja-JP" w:bidi="ar-DZ"/>
        </w:rPr>
        <w:t xml:space="preserve"> Traditional telecommunications network operators are obligated to meet routine data reporting requirements, </w:t>
      </w:r>
      <w:r w:rsidRPr="001C3CF5">
        <w:rPr>
          <w:lang w:eastAsia="ja-JP" w:bidi="ar-DZ"/>
        </w:rPr>
        <w:lastRenderedPageBreak/>
        <w:t xml:space="preserve">whereas OTT providers may not necessarily be obligated to uphold standardized national reporting requirements. </w:t>
      </w:r>
      <w:r>
        <w:rPr>
          <w:lang w:eastAsia="ja-JP" w:bidi="ar-DZ"/>
        </w:rPr>
        <w:t>T</w:t>
      </w:r>
      <w:r w:rsidRPr="001C3CF5">
        <w:rPr>
          <w:lang w:eastAsia="ja-JP" w:bidi="ar-DZ"/>
        </w:rPr>
        <w:t xml:space="preserve">hese differences in reporting may present several </w:t>
      </w:r>
      <w:r>
        <w:rPr>
          <w:lang w:eastAsia="ja-JP" w:bidi="ar-DZ"/>
        </w:rPr>
        <w:t xml:space="preserve">potential </w:t>
      </w:r>
      <w:r w:rsidRPr="001C3CF5">
        <w:rPr>
          <w:lang w:eastAsia="ja-JP" w:bidi="ar-DZ"/>
        </w:rPr>
        <w:t xml:space="preserve">regulatory challenges, including </w:t>
      </w:r>
      <w:r w:rsidRPr="001C3CF5">
        <w:rPr>
          <w:i/>
          <w:iCs/>
          <w:lang w:eastAsia="ja-JP" w:bidi="ar-DZ"/>
        </w:rPr>
        <w:t>inter alia</w:t>
      </w:r>
      <w:r w:rsidRPr="001C3CF5">
        <w:rPr>
          <w:lang w:eastAsia="ja-JP" w:bidi="ar-DZ"/>
        </w:rPr>
        <w:t xml:space="preserve">: </w:t>
      </w:r>
    </w:p>
    <w:p w14:paraId="527AFF46" w14:textId="3C980978" w:rsidR="00741F7E" w:rsidRPr="0030748E" w:rsidRDefault="0030748E" w:rsidP="0030748E">
      <w:proofErr w:type="spellStart"/>
      <w:r w:rsidRPr="001C3CF5">
        <w:rPr>
          <w:b/>
          <w:bCs/>
          <w:lang w:eastAsia="ja-JP" w:bidi="ar-DZ"/>
        </w:rPr>
        <w:t>i</w:t>
      </w:r>
      <w:proofErr w:type="spellEnd"/>
      <w:r w:rsidRPr="001C3CF5">
        <w:rPr>
          <w:b/>
          <w:bCs/>
          <w:lang w:eastAsia="ja-JP" w:bidi="ar-DZ"/>
        </w:rPr>
        <w:t>)</w:t>
      </w:r>
      <w:r w:rsidRPr="001C3CF5">
        <w:rPr>
          <w:b/>
          <w:bCs/>
          <w:lang w:eastAsia="ja-JP" w:bidi="ar-DZ"/>
        </w:rPr>
        <w:tab/>
      </w:r>
      <w:r w:rsidR="00741F7E" w:rsidRPr="001C3CF5">
        <w:rPr>
          <w:b/>
          <w:bCs/>
          <w:lang w:eastAsia="ja-JP" w:bidi="ar-DZ"/>
        </w:rPr>
        <w:t xml:space="preserve">Protracted </w:t>
      </w:r>
      <w:r w:rsidR="00C04B79">
        <w:rPr>
          <w:b/>
          <w:bCs/>
          <w:lang w:eastAsia="ja-JP" w:bidi="ar-DZ"/>
        </w:rPr>
        <w:t>d</w:t>
      </w:r>
      <w:r w:rsidR="00741F7E" w:rsidRPr="001C3CF5">
        <w:rPr>
          <w:b/>
          <w:bCs/>
          <w:lang w:eastAsia="ja-JP" w:bidi="ar-DZ"/>
        </w:rPr>
        <w:t xml:space="preserve">elays in </w:t>
      </w:r>
      <w:r w:rsidR="00C04B79">
        <w:rPr>
          <w:b/>
          <w:bCs/>
          <w:lang w:eastAsia="ja-JP" w:bidi="ar-DZ"/>
        </w:rPr>
        <w:t>d</w:t>
      </w:r>
      <w:r w:rsidR="00741F7E" w:rsidRPr="001C3CF5">
        <w:rPr>
          <w:b/>
          <w:bCs/>
          <w:lang w:eastAsia="ja-JP" w:bidi="ar-DZ"/>
        </w:rPr>
        <w:t xml:space="preserve">ata </w:t>
      </w:r>
      <w:r w:rsidR="00C04B79">
        <w:rPr>
          <w:b/>
          <w:bCs/>
          <w:lang w:eastAsia="ja-JP" w:bidi="ar-DZ"/>
        </w:rPr>
        <w:t>g</w:t>
      </w:r>
      <w:r w:rsidR="00741F7E" w:rsidRPr="001C3CF5">
        <w:rPr>
          <w:b/>
          <w:bCs/>
          <w:lang w:eastAsia="ja-JP" w:bidi="ar-DZ"/>
        </w:rPr>
        <w:t xml:space="preserve">athering </w:t>
      </w:r>
    </w:p>
    <w:p w14:paraId="53A0141E" w14:textId="209192F6" w:rsidR="00741F7E" w:rsidRPr="001C3CF5" w:rsidRDefault="00741F7E" w:rsidP="00741F7E">
      <w:pPr>
        <w:rPr>
          <w:lang w:eastAsia="ja-JP" w:bidi="ar-DZ"/>
        </w:rPr>
      </w:pPr>
      <w:r>
        <w:rPr>
          <w:lang w:eastAsia="ja-JP" w:bidi="ar-DZ"/>
        </w:rPr>
        <w:t>Some t</w:t>
      </w:r>
      <w:r w:rsidRPr="001C3CF5">
        <w:rPr>
          <w:lang w:eastAsia="ja-JP" w:bidi="ar-DZ"/>
        </w:rPr>
        <w:t xml:space="preserve">elecommunications regulators have noted appreciable delays in attempts to gain market data </w:t>
      </w:r>
      <w:r>
        <w:rPr>
          <w:lang w:eastAsia="ja-JP" w:bidi="ar-DZ"/>
        </w:rPr>
        <w:t>related to</w:t>
      </w:r>
      <w:r w:rsidRPr="001C3CF5">
        <w:rPr>
          <w:lang w:eastAsia="ja-JP" w:bidi="ar-DZ"/>
        </w:rPr>
        <w:t xml:space="preserve"> </w:t>
      </w:r>
      <w:r>
        <w:rPr>
          <w:lang w:eastAsia="ja-JP" w:bidi="ar-DZ"/>
        </w:rPr>
        <w:t xml:space="preserve">OTTs </w:t>
      </w:r>
      <w:r w:rsidRPr="001C3CF5">
        <w:rPr>
          <w:lang w:eastAsia="ja-JP" w:bidi="ar-DZ"/>
        </w:rPr>
        <w:t>for competition and anti-trust assessments.</w:t>
      </w:r>
      <w:r>
        <w:rPr>
          <w:lang w:eastAsia="ja-JP" w:bidi="ar-DZ"/>
        </w:rPr>
        <w:t xml:space="preserve"> Some c</w:t>
      </w:r>
      <w:r w:rsidRPr="001C3CF5">
        <w:rPr>
          <w:lang w:eastAsia="ja-JP" w:bidi="ar-DZ"/>
        </w:rPr>
        <w:t xml:space="preserve">ountries have also noted protracted delays in gathering national information from </w:t>
      </w:r>
      <w:r>
        <w:rPr>
          <w:lang w:eastAsia="ja-JP" w:bidi="ar-DZ"/>
        </w:rPr>
        <w:t xml:space="preserve">OTTs. For example, in the case of </w:t>
      </w:r>
      <w:r w:rsidR="0006137D">
        <w:rPr>
          <w:lang w:eastAsia="ja-JP" w:bidi="ar-DZ"/>
        </w:rPr>
        <w:t xml:space="preserve">the Republic of </w:t>
      </w:r>
      <w:r>
        <w:rPr>
          <w:lang w:eastAsia="ja-JP" w:bidi="ar-DZ"/>
        </w:rPr>
        <w:t>Trinidad and Tobago the telecommunications regulator has experienced delays in the data gathering process when conducting market assessments (such as in the market definition assessments that were conducted during the 2023 to 2024 period</w:t>
      </w:r>
      <w:r>
        <w:rPr>
          <w:rStyle w:val="FootnoteReference"/>
          <w:lang w:eastAsia="ja-JP" w:bidi="ar-DZ"/>
        </w:rPr>
        <w:footnoteReference w:id="3"/>
      </w:r>
      <w:r>
        <w:rPr>
          <w:lang w:eastAsia="ja-JP" w:bidi="ar-DZ"/>
        </w:rPr>
        <w:t xml:space="preserve">). </w:t>
      </w:r>
    </w:p>
    <w:p w14:paraId="3F30AE1F" w14:textId="2FB01E2E" w:rsidR="00741F7E" w:rsidRPr="001C3CF5" w:rsidRDefault="0030748E" w:rsidP="0030748E">
      <w:pPr>
        <w:rPr>
          <w:b/>
          <w:bCs/>
          <w:lang w:eastAsia="ja-JP" w:bidi="ar-DZ"/>
        </w:rPr>
      </w:pPr>
      <w:r w:rsidRPr="001C3CF5">
        <w:rPr>
          <w:b/>
          <w:bCs/>
          <w:lang w:eastAsia="ja-JP" w:bidi="ar-DZ"/>
        </w:rPr>
        <w:t>ii)</w:t>
      </w:r>
      <w:r w:rsidRPr="001C3CF5">
        <w:rPr>
          <w:b/>
          <w:bCs/>
          <w:lang w:eastAsia="ja-JP" w:bidi="ar-DZ"/>
        </w:rPr>
        <w:tab/>
      </w:r>
      <w:r w:rsidR="00741F7E" w:rsidRPr="001C3CF5">
        <w:rPr>
          <w:b/>
          <w:bCs/>
          <w:lang w:eastAsia="ja-JP" w:bidi="ar-DZ"/>
        </w:rPr>
        <w:t xml:space="preserve">Regulatory </w:t>
      </w:r>
      <w:r w:rsidR="00BF457B">
        <w:rPr>
          <w:b/>
          <w:bCs/>
          <w:lang w:eastAsia="ja-JP" w:bidi="ar-DZ"/>
        </w:rPr>
        <w:t>i</w:t>
      </w:r>
      <w:r w:rsidR="00741F7E" w:rsidRPr="001C3CF5">
        <w:rPr>
          <w:b/>
          <w:bCs/>
          <w:lang w:eastAsia="ja-JP" w:bidi="ar-DZ"/>
        </w:rPr>
        <w:t xml:space="preserve">nfringement </w:t>
      </w:r>
    </w:p>
    <w:p w14:paraId="4994B254" w14:textId="77777777" w:rsidR="00741F7E" w:rsidRPr="008B54FA" w:rsidRDefault="00741F7E" w:rsidP="00741F7E">
      <w:pPr>
        <w:rPr>
          <w:lang w:eastAsia="ja-JP" w:bidi="ar-DZ"/>
        </w:rPr>
      </w:pPr>
      <w:r w:rsidRPr="001C3CF5">
        <w:rPr>
          <w:lang w:eastAsia="ja-JP" w:bidi="ar-DZ"/>
        </w:rPr>
        <w:t xml:space="preserve">The absence of consumer data in </w:t>
      </w:r>
      <w:r>
        <w:rPr>
          <w:lang w:eastAsia="ja-JP" w:bidi="ar-DZ"/>
        </w:rPr>
        <w:t>OTTs</w:t>
      </w:r>
      <w:r w:rsidRPr="001C3CF5">
        <w:rPr>
          <w:lang w:eastAsia="ja-JP" w:bidi="ar-DZ"/>
        </w:rPr>
        <w:t xml:space="preserve"> can engender regulatory hindrances and risk. These obstacles include inter alia, widening information asymmetry, market distortions, regulatory uncertainty, and customer vulnerability regarding quality of service and redress.</w:t>
      </w:r>
    </w:p>
    <w:p w14:paraId="688A1CE6" w14:textId="7BA921E7" w:rsidR="00741F7E" w:rsidRPr="001C3CF5" w:rsidRDefault="0030748E" w:rsidP="0030748E">
      <w:pPr>
        <w:rPr>
          <w:b/>
          <w:bCs/>
          <w:lang w:eastAsia="ja-JP" w:bidi="ar-DZ"/>
        </w:rPr>
      </w:pPr>
      <w:r w:rsidRPr="001C3CF5">
        <w:rPr>
          <w:b/>
          <w:bCs/>
          <w:lang w:eastAsia="ja-JP" w:bidi="ar-DZ"/>
        </w:rPr>
        <w:t>iii)</w:t>
      </w:r>
      <w:r w:rsidRPr="001C3CF5">
        <w:rPr>
          <w:b/>
          <w:bCs/>
          <w:lang w:eastAsia="ja-JP" w:bidi="ar-DZ"/>
        </w:rPr>
        <w:tab/>
      </w:r>
      <w:r w:rsidR="00741F7E" w:rsidRPr="001C3CF5">
        <w:rPr>
          <w:b/>
          <w:bCs/>
          <w:lang w:eastAsia="ja-JP" w:bidi="ar-DZ"/>
        </w:rPr>
        <w:t xml:space="preserve">Escalating </w:t>
      </w:r>
      <w:r w:rsidR="00211C3B">
        <w:rPr>
          <w:b/>
          <w:bCs/>
          <w:lang w:eastAsia="ja-JP" w:bidi="ar-DZ"/>
        </w:rPr>
        <w:t>c</w:t>
      </w:r>
      <w:r w:rsidR="00741F7E" w:rsidRPr="001C3CF5">
        <w:rPr>
          <w:b/>
          <w:bCs/>
          <w:lang w:eastAsia="ja-JP" w:bidi="ar-DZ"/>
        </w:rPr>
        <w:t xml:space="preserve">osts of </w:t>
      </w:r>
      <w:r w:rsidR="00211C3B">
        <w:rPr>
          <w:b/>
          <w:bCs/>
          <w:lang w:eastAsia="ja-JP" w:bidi="ar-DZ"/>
        </w:rPr>
        <w:t>m</w:t>
      </w:r>
      <w:r w:rsidR="00741F7E" w:rsidRPr="001C3CF5">
        <w:rPr>
          <w:b/>
          <w:bCs/>
          <w:lang w:eastAsia="ja-JP" w:bidi="ar-DZ"/>
        </w:rPr>
        <w:t xml:space="preserve">arket </w:t>
      </w:r>
      <w:r w:rsidR="00211C3B">
        <w:rPr>
          <w:b/>
          <w:bCs/>
          <w:lang w:eastAsia="ja-JP" w:bidi="ar-DZ"/>
        </w:rPr>
        <w:t>s</w:t>
      </w:r>
      <w:r w:rsidR="00741F7E" w:rsidRPr="001C3CF5">
        <w:rPr>
          <w:b/>
          <w:bCs/>
          <w:lang w:eastAsia="ja-JP" w:bidi="ar-DZ"/>
        </w:rPr>
        <w:t>tudies</w:t>
      </w:r>
    </w:p>
    <w:p w14:paraId="1583A256" w14:textId="2DC7146A" w:rsidR="00741F7E" w:rsidRPr="008B54FA" w:rsidRDefault="00741F7E" w:rsidP="00741F7E">
      <w:pPr>
        <w:rPr>
          <w:lang w:eastAsia="ja-JP" w:bidi="ar-DZ"/>
        </w:rPr>
      </w:pPr>
      <w:r w:rsidRPr="001C3CF5">
        <w:rPr>
          <w:lang w:eastAsia="ja-JP" w:bidi="ar-DZ"/>
        </w:rPr>
        <w:t xml:space="preserve">To perform required regulatory assessments, costly customer surveys have been undertaken. In some cases, market studies have remained incomplete, rulings delayed and market correction woefully protracted, due to the absence of OTT datasets. </w:t>
      </w:r>
      <w:r>
        <w:rPr>
          <w:lang w:eastAsia="ja-JP" w:bidi="ar-DZ"/>
        </w:rPr>
        <w:t>For example,</w:t>
      </w:r>
      <w:r w:rsidRPr="00392E0F">
        <w:rPr>
          <w:lang w:eastAsia="ja-JP" w:bidi="ar-DZ"/>
        </w:rPr>
        <w:t xml:space="preserve"> </w:t>
      </w:r>
      <w:r>
        <w:rPr>
          <w:lang w:eastAsia="ja-JP" w:bidi="ar-DZ"/>
        </w:rPr>
        <w:t xml:space="preserve">the Telecommunications Authority of Trinidad and Tobago </w:t>
      </w:r>
      <w:r w:rsidR="008856C8">
        <w:rPr>
          <w:lang w:eastAsia="ja-JP" w:bidi="ar-DZ"/>
        </w:rPr>
        <w:t xml:space="preserve">(TATT) </w:t>
      </w:r>
      <w:r w:rsidRPr="00392E0F">
        <w:rPr>
          <w:lang w:eastAsia="ja-JP" w:bidi="ar-DZ"/>
        </w:rPr>
        <w:t>in defining its retail mobile and fixed markets</w:t>
      </w:r>
      <w:r>
        <w:rPr>
          <w:lang w:eastAsia="ja-JP" w:bidi="ar-DZ"/>
        </w:rPr>
        <w:t xml:space="preserve"> resorted to </w:t>
      </w:r>
      <w:r w:rsidRPr="00392E0F">
        <w:rPr>
          <w:lang w:eastAsia="ja-JP" w:bidi="ar-DZ"/>
        </w:rPr>
        <w:t>conduct</w:t>
      </w:r>
      <w:r>
        <w:rPr>
          <w:lang w:eastAsia="ja-JP" w:bidi="ar-DZ"/>
        </w:rPr>
        <w:t>ing</w:t>
      </w:r>
      <w:r w:rsidRPr="00392E0F">
        <w:rPr>
          <w:lang w:eastAsia="ja-JP" w:bidi="ar-DZ"/>
        </w:rPr>
        <w:t xml:space="preserve"> consumer surveys to gather data</w:t>
      </w:r>
      <w:r>
        <w:rPr>
          <w:lang w:eastAsia="ja-JP" w:bidi="ar-DZ"/>
        </w:rPr>
        <w:t>/information</w:t>
      </w:r>
      <w:r w:rsidRPr="00392E0F">
        <w:rPr>
          <w:lang w:eastAsia="ja-JP" w:bidi="ar-DZ"/>
        </w:rPr>
        <w:t xml:space="preserve"> on OTT adoption and usage</w:t>
      </w:r>
      <w:r>
        <w:rPr>
          <w:lang w:eastAsia="ja-JP" w:bidi="ar-DZ"/>
        </w:rPr>
        <w:t xml:space="preserve"> in the absence of OTT data</w:t>
      </w:r>
      <w:r w:rsidR="00CB0782">
        <w:rPr>
          <w:lang w:eastAsia="ja-JP" w:bidi="ar-DZ"/>
        </w:rPr>
        <w:t xml:space="preserve"> [</w:t>
      </w:r>
      <w:r w:rsidR="00CB0782">
        <w:t>b-</w:t>
      </w:r>
      <w:r w:rsidR="00CB0782" w:rsidRPr="000C5E5A">
        <w:rPr>
          <w:rFonts w:eastAsiaTheme="minorEastAsia"/>
          <w:lang w:eastAsia="zh-CN"/>
        </w:rPr>
        <w:t>TATT</w:t>
      </w:r>
      <w:r w:rsidR="00CB0782">
        <w:rPr>
          <w:rFonts w:eastAsiaTheme="minorEastAsia"/>
          <w:lang w:eastAsia="zh-CN"/>
        </w:rPr>
        <w:t xml:space="preserve">-2023]. </w:t>
      </w:r>
      <w:r>
        <w:rPr>
          <w:lang w:eastAsia="ja-JP" w:bidi="ar-DZ"/>
        </w:rPr>
        <w:t xml:space="preserve">This approach was also employed by the Bahamas </w:t>
      </w:r>
      <w:r w:rsidRPr="00913B34">
        <w:rPr>
          <w:lang w:eastAsia="ja-JP" w:bidi="ar-DZ"/>
        </w:rPr>
        <w:t xml:space="preserve">Utilities Regulation and Competition Authority </w:t>
      </w:r>
      <w:r>
        <w:rPr>
          <w:lang w:eastAsia="ja-JP" w:bidi="ar-DZ"/>
        </w:rPr>
        <w:t>in its review of the domestic retail mobile market</w:t>
      </w:r>
      <w:r w:rsidR="00C34E3A" w:rsidRPr="00C34E3A">
        <w:rPr>
          <w:lang w:bidi="ar-DZ"/>
        </w:rPr>
        <w:t xml:space="preserve"> </w:t>
      </w:r>
      <w:r w:rsidR="00367F13">
        <w:rPr>
          <w:lang w:bidi="ar-DZ"/>
        </w:rPr>
        <w:t>u</w:t>
      </w:r>
      <w:r w:rsidR="00C34E3A" w:rsidRPr="0030748E">
        <w:rPr>
          <w:lang w:bidi="ar-DZ"/>
        </w:rPr>
        <w:t>tilities</w:t>
      </w:r>
      <w:r w:rsidR="00C34E3A" w:rsidRPr="0030748E">
        <w:rPr>
          <w:rFonts w:eastAsiaTheme="minorEastAsia"/>
        </w:rPr>
        <w:t xml:space="preserve"> </w:t>
      </w:r>
      <w:r w:rsidR="00367F13">
        <w:rPr>
          <w:rFonts w:eastAsiaTheme="minorEastAsia"/>
        </w:rPr>
        <w:t>r</w:t>
      </w:r>
      <w:r w:rsidR="00C34E3A" w:rsidRPr="0030748E">
        <w:rPr>
          <w:rFonts w:eastAsiaTheme="minorEastAsia"/>
        </w:rPr>
        <w:t xml:space="preserve">egulation &amp; </w:t>
      </w:r>
      <w:r w:rsidR="00367F13">
        <w:rPr>
          <w:rFonts w:eastAsiaTheme="minorEastAsia"/>
        </w:rPr>
        <w:t>c</w:t>
      </w:r>
      <w:r w:rsidR="00C34E3A" w:rsidRPr="0030748E">
        <w:rPr>
          <w:rFonts w:eastAsiaTheme="minorEastAsia"/>
        </w:rPr>
        <w:t xml:space="preserve">ompetition </w:t>
      </w:r>
      <w:r w:rsidR="000A2467">
        <w:rPr>
          <w:rFonts w:eastAsiaTheme="minorEastAsia"/>
        </w:rPr>
        <w:t>a</w:t>
      </w:r>
      <w:r w:rsidR="00C34E3A" w:rsidRPr="0030748E">
        <w:rPr>
          <w:rFonts w:eastAsiaTheme="minorEastAsia"/>
        </w:rPr>
        <w:t>uthorit</w:t>
      </w:r>
      <w:r w:rsidR="00C34E3A">
        <w:rPr>
          <w:lang w:eastAsia="ja-JP" w:bidi="ar-DZ"/>
        </w:rPr>
        <w:t>y</w:t>
      </w:r>
      <w:r w:rsidR="0083718B">
        <w:rPr>
          <w:lang w:eastAsia="ja-JP" w:bidi="ar-DZ"/>
        </w:rPr>
        <w:t>. [</w:t>
      </w:r>
      <w:r w:rsidR="0083718B">
        <w:rPr>
          <w:rFonts w:eastAsiaTheme="minorEastAsia"/>
          <w:lang w:eastAsia="zh-CN"/>
        </w:rPr>
        <w:t>b-</w:t>
      </w:r>
      <w:r w:rsidR="0083718B" w:rsidRPr="006E12D8">
        <w:rPr>
          <w:rFonts w:eastAsiaTheme="minorEastAsia"/>
          <w:lang w:eastAsia="zh-CN"/>
        </w:rPr>
        <w:t>URCA</w:t>
      </w:r>
      <w:r w:rsidR="0083718B">
        <w:rPr>
          <w:rFonts w:eastAsiaTheme="minorEastAsia"/>
          <w:lang w:eastAsia="zh-CN"/>
        </w:rPr>
        <w:t>-2022].</w:t>
      </w:r>
    </w:p>
    <w:p w14:paraId="75F77D9A" w14:textId="10C4CA2A" w:rsidR="00741F7E" w:rsidRPr="001C3CF5" w:rsidRDefault="0030748E" w:rsidP="0030748E">
      <w:pPr>
        <w:rPr>
          <w:b/>
          <w:bCs/>
          <w:lang w:eastAsia="ja-JP" w:bidi="ar-DZ"/>
        </w:rPr>
      </w:pPr>
      <w:r w:rsidRPr="001C3CF5">
        <w:rPr>
          <w:b/>
          <w:bCs/>
          <w:lang w:eastAsia="ja-JP" w:bidi="ar-DZ"/>
        </w:rPr>
        <w:t>iv)</w:t>
      </w:r>
      <w:r w:rsidRPr="001C3CF5">
        <w:rPr>
          <w:b/>
          <w:bCs/>
          <w:lang w:eastAsia="ja-JP" w:bidi="ar-DZ"/>
        </w:rPr>
        <w:tab/>
      </w:r>
      <w:r w:rsidR="00741F7E" w:rsidRPr="003F0F50">
        <w:rPr>
          <w:b/>
          <w:bCs/>
          <w:lang w:eastAsia="ja-JP" w:bidi="ar-DZ"/>
        </w:rPr>
        <w:t xml:space="preserve">Data </w:t>
      </w:r>
      <w:r w:rsidR="009012F4">
        <w:rPr>
          <w:b/>
          <w:bCs/>
          <w:lang w:eastAsia="ja-JP" w:bidi="ar-DZ"/>
        </w:rPr>
        <w:t>g</w:t>
      </w:r>
      <w:r w:rsidR="00741F7E" w:rsidRPr="003F0F50">
        <w:rPr>
          <w:b/>
          <w:bCs/>
          <w:lang w:eastAsia="ja-JP" w:bidi="ar-DZ"/>
        </w:rPr>
        <w:t>aps</w:t>
      </w:r>
      <w:r w:rsidR="00741F7E">
        <w:rPr>
          <w:b/>
          <w:bCs/>
          <w:lang w:eastAsia="ja-JP" w:bidi="ar-DZ"/>
        </w:rPr>
        <w:t xml:space="preserve"> in </w:t>
      </w:r>
      <w:r w:rsidR="009012F4">
        <w:rPr>
          <w:b/>
          <w:bCs/>
          <w:lang w:eastAsia="ja-JP" w:bidi="ar-DZ"/>
        </w:rPr>
        <w:t>r</w:t>
      </w:r>
      <w:r w:rsidR="00741F7E" w:rsidRPr="001C3CF5">
        <w:rPr>
          <w:b/>
          <w:bCs/>
          <w:lang w:eastAsia="ja-JP" w:bidi="ar-DZ"/>
        </w:rPr>
        <w:t xml:space="preserve">egulatory </w:t>
      </w:r>
      <w:r w:rsidR="009012F4">
        <w:rPr>
          <w:b/>
          <w:bCs/>
          <w:lang w:eastAsia="ja-JP" w:bidi="ar-DZ"/>
        </w:rPr>
        <w:t>t</w:t>
      </w:r>
      <w:r w:rsidR="00741F7E" w:rsidRPr="001C3CF5">
        <w:rPr>
          <w:b/>
          <w:bCs/>
          <w:lang w:eastAsia="ja-JP" w:bidi="ar-DZ"/>
        </w:rPr>
        <w:t xml:space="preserve">oolkit </w:t>
      </w:r>
    </w:p>
    <w:p w14:paraId="329A7E46" w14:textId="70C4B2AF" w:rsidR="00741F7E" w:rsidRPr="001C3CF5" w:rsidRDefault="00741F7E" w:rsidP="00741F7E">
      <w:pPr>
        <w:rPr>
          <w:lang w:eastAsia="ja-JP" w:bidi="ar-DZ"/>
        </w:rPr>
      </w:pPr>
      <w:r w:rsidRPr="001C3CF5">
        <w:rPr>
          <w:lang w:eastAsia="ja-JP" w:bidi="ar-DZ"/>
        </w:rPr>
        <w:t xml:space="preserve">The absence of periodic and routine submission of </w:t>
      </w:r>
      <w:r>
        <w:rPr>
          <w:lang w:eastAsia="ja-JP" w:bidi="ar-DZ"/>
        </w:rPr>
        <w:t>OTTs</w:t>
      </w:r>
      <w:r w:rsidRPr="001C3CF5">
        <w:rPr>
          <w:lang w:eastAsia="ja-JP" w:bidi="ar-DZ"/>
        </w:rPr>
        <w:t xml:space="preserve"> datasets</w:t>
      </w:r>
      <w:r>
        <w:rPr>
          <w:lang w:eastAsia="ja-JP" w:bidi="ar-DZ"/>
        </w:rPr>
        <w:t xml:space="preserve"> may</w:t>
      </w:r>
      <w:r w:rsidRPr="001C3CF5">
        <w:rPr>
          <w:lang w:eastAsia="ja-JP" w:bidi="ar-DZ"/>
        </w:rPr>
        <w:t xml:space="preserve"> also compromise </w:t>
      </w:r>
      <w:r>
        <w:rPr>
          <w:lang w:eastAsia="ja-JP" w:bidi="ar-DZ"/>
        </w:rPr>
        <w:t xml:space="preserve">some </w:t>
      </w:r>
      <w:r w:rsidRPr="001C3CF5">
        <w:rPr>
          <w:lang w:eastAsia="ja-JP" w:bidi="ar-DZ"/>
        </w:rPr>
        <w:t>regulators</w:t>
      </w:r>
      <w:r w:rsidR="00580392" w:rsidRPr="00580392">
        <w:rPr>
          <w:lang w:eastAsia="ja-JP" w:bidi="ar-DZ"/>
        </w:rPr>
        <w:t>'</w:t>
      </w:r>
      <w:r w:rsidRPr="001C3CF5">
        <w:rPr>
          <w:lang w:eastAsia="ja-JP" w:bidi="ar-DZ"/>
        </w:rPr>
        <w:t xml:space="preserve"> ability to employ quantitative tools including econometric modelling in competition studies. </w:t>
      </w:r>
      <w:r w:rsidRPr="008F66C2">
        <w:rPr>
          <w:lang w:eastAsia="ja-JP" w:bidi="ar-DZ"/>
        </w:rPr>
        <w:t>OTT subscriber data may provide an invaluable complement to operator datasets</w:t>
      </w:r>
      <w:r w:rsidRPr="001C3CF5">
        <w:rPr>
          <w:lang w:eastAsia="ja-JP" w:bidi="ar-DZ"/>
        </w:rPr>
        <w:t xml:space="preserve">. </w:t>
      </w:r>
      <w:r>
        <w:rPr>
          <w:lang w:eastAsia="ja-JP" w:bidi="ar-DZ"/>
        </w:rPr>
        <w:t xml:space="preserve">Some regulators consider </w:t>
      </w:r>
      <w:r w:rsidRPr="001C3CF5">
        <w:rPr>
          <w:lang w:eastAsia="ja-JP" w:bidi="ar-DZ"/>
        </w:rPr>
        <w:t>OTT traffic</w:t>
      </w:r>
      <w:r>
        <w:rPr>
          <w:lang w:eastAsia="ja-JP" w:bidi="ar-DZ"/>
        </w:rPr>
        <w:t xml:space="preserve"> </w:t>
      </w:r>
      <w:r w:rsidRPr="001C3CF5">
        <w:rPr>
          <w:lang w:eastAsia="ja-JP" w:bidi="ar-DZ"/>
        </w:rPr>
        <w:t>an important dataset for perform</w:t>
      </w:r>
      <w:r>
        <w:rPr>
          <w:lang w:eastAsia="ja-JP" w:bidi="ar-DZ"/>
        </w:rPr>
        <w:t>ing</w:t>
      </w:r>
      <w:r w:rsidRPr="001C3CF5">
        <w:rPr>
          <w:lang w:eastAsia="ja-JP" w:bidi="ar-DZ"/>
        </w:rPr>
        <w:t xml:space="preserve"> market determinations and economic sensitivity tests. However, the absence of relevant data including timeseries information on OTT traffic generated by domestic consumers, can encroach on econometric modelling efficiency and generate bias.</w:t>
      </w:r>
    </w:p>
    <w:p w14:paraId="6BEB0AAF" w14:textId="6EF7407B" w:rsidR="00741F7E" w:rsidRDefault="00741F7E" w:rsidP="00741F7E">
      <w:r>
        <w:t xml:space="preserve">At the same time, in looking to standardize industry data collection, regulators should consider the burden reporting requirements may present, particularly when mechanisms to track the requested data may not be built into the targeted services. Any effort to replicate reporting that was common in traditional telephony may not reflect the market realities of OTT applications. For example, because traditional telephony was monetized on a per-minute basis, operators already had mechanisms to meter traffic, and reporting such data involved negligible additional costs. Conversely, OTT applications, which are typically not metered, may not have such built-in need. Similarly, since traditional telecommunications services were often tariffed, and often depend on cost justifications, detailed accounting data was core to the ability to justify a tariff. </w:t>
      </w:r>
      <w:r w:rsidR="00AC2A02">
        <w:t>I</w:t>
      </w:r>
      <w:r>
        <w:t>nterconnection involved formal, contractual relationships between operators, determining costs and prices for both regulators and operators requir</w:t>
      </w:r>
      <w:r w:rsidR="00E55C6C">
        <w:t>ing</w:t>
      </w:r>
      <w:r>
        <w:t xml:space="preserve"> significant investment in measurement, as did the complex models that were often used to set interconnection rates. Some of these factors may not necessarily be relevant to the market dynamics surrounding OTT applications, which depend on the dynamic, highly competitive informal arrangements that make up the global Internet. </w:t>
      </w:r>
    </w:p>
    <w:p w14:paraId="3305D1D0" w14:textId="21F2FE27" w:rsidR="00741F7E" w:rsidRDefault="00741F7E" w:rsidP="00741F7E">
      <w:r>
        <w:lastRenderedPageBreak/>
        <w:t>Notwithstanding, w</w:t>
      </w:r>
      <w:r w:rsidRPr="00F267CB">
        <w:t xml:space="preserve">hile it is important to consider the potential burden </w:t>
      </w:r>
      <w:r>
        <w:t xml:space="preserve">that </w:t>
      </w:r>
      <w:r w:rsidRPr="00F267CB">
        <w:t>reporting requirements</w:t>
      </w:r>
      <w:r>
        <w:t xml:space="preserve"> may have on OTTs,</w:t>
      </w:r>
      <w:r w:rsidRPr="00F267CB">
        <w:t xml:space="preserve"> the collection of </w:t>
      </w:r>
      <w:r>
        <w:t xml:space="preserve">key </w:t>
      </w:r>
      <w:r w:rsidRPr="00F267CB">
        <w:t>data</w:t>
      </w:r>
      <w:r>
        <w:t xml:space="preserve">sets </w:t>
      </w:r>
      <w:r w:rsidRPr="00F267CB">
        <w:t>from OTT</w:t>
      </w:r>
      <w:r>
        <w:t>s</w:t>
      </w:r>
      <w:r w:rsidRPr="00F267CB">
        <w:t xml:space="preserve"> </w:t>
      </w:r>
      <w:r>
        <w:t>remains</w:t>
      </w:r>
      <w:r w:rsidRPr="00F267CB">
        <w:t xml:space="preserve"> essential </w:t>
      </w:r>
      <w:r>
        <w:t>to gaining market insights and</w:t>
      </w:r>
      <w:r w:rsidRPr="00F267CB">
        <w:t xml:space="preserve"> </w:t>
      </w:r>
      <w:r>
        <w:t xml:space="preserve">making </w:t>
      </w:r>
      <w:r w:rsidRPr="00F267CB">
        <w:t>informed regulatory decision</w:t>
      </w:r>
      <w:r>
        <w:t>s</w:t>
      </w:r>
      <w:r w:rsidRPr="00F267CB">
        <w:t>.</w:t>
      </w:r>
      <w:r>
        <w:t xml:space="preserve"> Notably, OTTs do collect valuable data for advertising, marketing and research and development purposes. Some of these datasets may include the number of subscribers to its platforms and consumer uptake and usage behavio</w:t>
      </w:r>
      <w:r w:rsidR="00D7089C">
        <w:t>u</w:t>
      </w:r>
      <w:r>
        <w:t>r statistics. These datasets can be formalized into a workable format for regulators to use in their assessments. Therefore,</w:t>
      </w:r>
      <w:r w:rsidRPr="00F267CB">
        <w:t xml:space="preserve"> reporting mechanisms may need to be </w:t>
      </w:r>
      <w:r>
        <w:t>tailored</w:t>
      </w:r>
      <w:r w:rsidRPr="00F267CB">
        <w:t xml:space="preserve"> to the unique characteristics of OTT services</w:t>
      </w:r>
      <w:r>
        <w:t xml:space="preserve"> as </w:t>
      </w:r>
      <w:r w:rsidRPr="00F267CB">
        <w:t>the importance of data</w:t>
      </w:r>
      <w:r>
        <w:t xml:space="preserve"> </w:t>
      </w:r>
      <w:r w:rsidRPr="00F267CB">
        <w:t xml:space="preserve">driven regulation remains critical in fostering a sustainable and competitive </w:t>
      </w:r>
      <w:r>
        <w:t xml:space="preserve">telecommunications industry. </w:t>
      </w:r>
    </w:p>
    <w:p w14:paraId="014EE452" w14:textId="4F03D745" w:rsidR="00741F7E" w:rsidRPr="0030748E" w:rsidRDefault="0030748E" w:rsidP="0030748E">
      <w:pPr>
        <w:rPr>
          <w:b/>
          <w:bCs/>
          <w:lang w:eastAsia="ja-JP" w:bidi="ar-DZ"/>
        </w:rPr>
      </w:pPr>
      <w:r w:rsidRPr="00C37C20">
        <w:rPr>
          <w:b/>
          <w:bCs/>
          <w:lang w:eastAsia="ja-JP" w:bidi="ar-DZ"/>
        </w:rPr>
        <w:t>v)</w:t>
      </w:r>
      <w:r w:rsidRPr="00C37C20">
        <w:rPr>
          <w:b/>
          <w:bCs/>
          <w:lang w:eastAsia="ja-JP" w:bidi="ar-DZ"/>
        </w:rPr>
        <w:tab/>
      </w:r>
      <w:r w:rsidR="00741F7E" w:rsidRPr="0030748E">
        <w:rPr>
          <w:b/>
          <w:bCs/>
          <w:lang w:eastAsia="ja-JP" w:bidi="ar-DZ"/>
        </w:rPr>
        <w:t>Competition</w:t>
      </w:r>
    </w:p>
    <w:p w14:paraId="4A99C367" w14:textId="77777777" w:rsidR="00741F7E" w:rsidRPr="001C3CF5" w:rsidRDefault="00741F7E" w:rsidP="00741F7E">
      <w:pPr>
        <w:rPr>
          <w:lang w:eastAsia="ja-JP" w:bidi="ar-DZ"/>
        </w:rPr>
      </w:pPr>
      <w:r>
        <w:rPr>
          <w:lang w:eastAsia="ja-JP" w:bidi="ar-DZ"/>
        </w:rPr>
        <w:t>I</w:t>
      </w:r>
      <w:r w:rsidRPr="00D34296">
        <w:rPr>
          <w:lang w:eastAsia="ja-JP" w:bidi="ar-DZ"/>
        </w:rPr>
        <w:t xml:space="preserve">t is important to </w:t>
      </w:r>
      <w:r>
        <w:rPr>
          <w:lang w:eastAsia="ja-JP" w:bidi="ar-DZ"/>
        </w:rPr>
        <w:t>note</w:t>
      </w:r>
      <w:r w:rsidRPr="00D34296">
        <w:rPr>
          <w:lang w:eastAsia="ja-JP" w:bidi="ar-DZ"/>
        </w:rPr>
        <w:t xml:space="preserve"> that the telecommunication/ICT sector is generally subject to sector </w:t>
      </w:r>
      <w:r>
        <w:rPr>
          <w:lang w:eastAsia="ja-JP" w:bidi="ar-DZ"/>
        </w:rPr>
        <w:t xml:space="preserve">competition </w:t>
      </w:r>
      <w:r w:rsidRPr="00D34296">
        <w:rPr>
          <w:lang w:eastAsia="ja-JP" w:bidi="ar-DZ"/>
        </w:rPr>
        <w:t>regulation (</w:t>
      </w:r>
      <w:r>
        <w:rPr>
          <w:lang w:eastAsia="ja-JP" w:bidi="ar-DZ"/>
        </w:rPr>
        <w:t xml:space="preserve">e.g., </w:t>
      </w:r>
      <w:r w:rsidRPr="00D34296">
        <w:rPr>
          <w:lang w:eastAsia="ja-JP" w:bidi="ar-DZ"/>
        </w:rPr>
        <w:t xml:space="preserve">ex-ante and dominant operator regulation, particularly on access and interconnection), as well as </w:t>
      </w:r>
      <w:r>
        <w:rPr>
          <w:lang w:eastAsia="ja-JP" w:bidi="ar-DZ"/>
        </w:rPr>
        <w:t xml:space="preserve">general </w:t>
      </w:r>
      <w:r w:rsidRPr="00D34296">
        <w:rPr>
          <w:lang w:eastAsia="ja-JP" w:bidi="ar-DZ"/>
        </w:rPr>
        <w:t>competition law</w:t>
      </w:r>
      <w:r>
        <w:rPr>
          <w:lang w:eastAsia="ja-JP" w:bidi="ar-DZ"/>
        </w:rPr>
        <w:t xml:space="preserve">. Holistic market data is a key factor in effective competition regulation in dynamic markets such as the telecommunications/ICT sector. The absence or the availability of insufficient data from OTT providers compromises effective competition regulation in the market. This is because </w:t>
      </w:r>
      <w:r w:rsidRPr="00D34296">
        <w:rPr>
          <w:lang w:eastAsia="ja-JP" w:bidi="ar-DZ"/>
        </w:rPr>
        <w:t>direct regulatory intervention,</w:t>
      </w:r>
      <w:r>
        <w:rPr>
          <w:lang w:eastAsia="ja-JP" w:bidi="ar-DZ"/>
        </w:rPr>
        <w:t xml:space="preserve"> that is</w:t>
      </w:r>
      <w:r w:rsidRPr="00D34296">
        <w:rPr>
          <w:lang w:eastAsia="ja-JP" w:bidi="ar-DZ"/>
        </w:rPr>
        <w:t xml:space="preserve"> not supported by clear data, can distort the incentive structure of firms (for example, by distorting the incentives to invest) and harm consumers and typically result</w:t>
      </w:r>
      <w:r>
        <w:rPr>
          <w:lang w:eastAsia="ja-JP" w:bidi="ar-DZ"/>
        </w:rPr>
        <w:t xml:space="preserve">ing </w:t>
      </w:r>
      <w:r w:rsidRPr="00D34296">
        <w:rPr>
          <w:lang w:eastAsia="ja-JP" w:bidi="ar-DZ"/>
        </w:rPr>
        <w:t>in welfare loss.</w:t>
      </w:r>
      <w:r>
        <w:rPr>
          <w:lang w:eastAsia="ja-JP" w:bidi="ar-DZ"/>
        </w:rPr>
        <w:t xml:space="preserve"> </w:t>
      </w:r>
      <w:r w:rsidRPr="00D34296">
        <w:rPr>
          <w:lang w:eastAsia="ja-JP" w:bidi="ar-DZ"/>
        </w:rPr>
        <w:t>At the same time, generally applicable competition rules, should be applicable to all service providers −</w:t>
      </w:r>
      <w:r>
        <w:rPr>
          <w:lang w:eastAsia="ja-JP" w:bidi="ar-DZ"/>
        </w:rPr>
        <w:t xml:space="preserve"> traditional</w:t>
      </w:r>
      <w:r w:rsidRPr="00D34296">
        <w:rPr>
          <w:lang w:eastAsia="ja-JP" w:bidi="ar-DZ"/>
        </w:rPr>
        <w:t xml:space="preserve"> operators and </w:t>
      </w:r>
      <w:r>
        <w:rPr>
          <w:lang w:eastAsia="ja-JP" w:bidi="ar-DZ"/>
        </w:rPr>
        <w:t>app-based service providers</w:t>
      </w:r>
      <w:r>
        <w:rPr>
          <w:rStyle w:val="FootnoteReference"/>
          <w:lang w:eastAsia="ja-JP" w:bidi="ar-DZ"/>
        </w:rPr>
        <w:footnoteReference w:id="4"/>
      </w:r>
      <w:r>
        <w:rPr>
          <w:lang w:eastAsia="ja-JP" w:bidi="ar-DZ"/>
        </w:rPr>
        <w:t>.</w:t>
      </w:r>
    </w:p>
    <w:p w14:paraId="07EA274E" w14:textId="237D939D" w:rsidR="00741F7E" w:rsidRPr="0030748E" w:rsidRDefault="00F508BE" w:rsidP="0030748E">
      <w:pPr>
        <w:pStyle w:val="Heading2"/>
      </w:pPr>
      <w:bookmarkStart w:id="45" w:name="_Toc213830514"/>
      <w:bookmarkStart w:id="46" w:name="_Toc214976388"/>
      <w:bookmarkStart w:id="47" w:name="_Toc229984643"/>
      <w:r w:rsidRPr="0030748E">
        <w:rPr>
          <w:rFonts w:eastAsiaTheme="minorEastAsia" w:hint="eastAsia"/>
        </w:rPr>
        <w:t>5.2</w:t>
      </w:r>
      <w:r w:rsidRPr="0030748E">
        <w:rPr>
          <w:rFonts w:eastAsiaTheme="minorEastAsia"/>
        </w:rPr>
        <w:tab/>
      </w:r>
      <w:r w:rsidR="00741F7E" w:rsidRPr="0030748E">
        <w:t xml:space="preserve">Towards the </w:t>
      </w:r>
      <w:r w:rsidR="000761AD">
        <w:t>d</w:t>
      </w:r>
      <w:r w:rsidR="00741F7E" w:rsidRPr="0030748E">
        <w:t xml:space="preserve">evelopment of </w:t>
      </w:r>
      <w:r w:rsidR="000761AD">
        <w:t>r</w:t>
      </w:r>
      <w:r w:rsidR="00741F7E" w:rsidRPr="0030748E">
        <w:t xml:space="preserve">eporting </w:t>
      </w:r>
      <w:r w:rsidR="000761AD">
        <w:t>s</w:t>
      </w:r>
      <w:r w:rsidR="00741F7E" w:rsidRPr="0030748E">
        <w:t xml:space="preserve">tandards for OTT </w:t>
      </w:r>
      <w:r w:rsidR="000761AD">
        <w:t>s</w:t>
      </w:r>
      <w:r w:rsidR="00741F7E" w:rsidRPr="0030748E">
        <w:t>ervices</w:t>
      </w:r>
      <w:bookmarkEnd w:id="45"/>
      <w:bookmarkEnd w:id="46"/>
      <w:bookmarkEnd w:id="47"/>
      <w:r w:rsidR="00741F7E" w:rsidRPr="0030748E">
        <w:t xml:space="preserve"> </w:t>
      </w:r>
    </w:p>
    <w:p w14:paraId="3CF294F5" w14:textId="0FD14E8B" w:rsidR="00741F7E" w:rsidRDefault="00741F7E" w:rsidP="00741F7E">
      <w:pPr>
        <w:rPr>
          <w:lang w:eastAsia="ja-JP" w:bidi="ar-DZ"/>
        </w:rPr>
      </w:pPr>
      <w:r w:rsidRPr="00851AFC">
        <w:rPr>
          <w:lang w:eastAsia="ja-JP" w:bidi="ar-DZ"/>
        </w:rPr>
        <w:t>Accordingly, while OTT</w:t>
      </w:r>
      <w:r>
        <w:rPr>
          <w:lang w:eastAsia="ja-JP" w:bidi="ar-DZ"/>
        </w:rPr>
        <w:t>s</w:t>
      </w:r>
      <w:r w:rsidRPr="00851AFC">
        <w:rPr>
          <w:lang w:eastAsia="ja-JP" w:bidi="ar-DZ"/>
        </w:rPr>
        <w:t xml:space="preserve"> are not subject to the same regulatory framework</w:t>
      </w:r>
      <w:r>
        <w:rPr>
          <w:lang w:eastAsia="ja-JP" w:bidi="ar-DZ"/>
        </w:rPr>
        <w:t>s</w:t>
      </w:r>
      <w:r w:rsidRPr="00851AFC">
        <w:rPr>
          <w:lang w:eastAsia="ja-JP" w:bidi="ar-DZ"/>
        </w:rPr>
        <w:t xml:space="preserve"> as telecommunications operators, they </w:t>
      </w:r>
      <w:r>
        <w:rPr>
          <w:lang w:eastAsia="ja-JP" w:bidi="ar-DZ"/>
        </w:rPr>
        <w:t xml:space="preserve">appear to </w:t>
      </w:r>
      <w:r w:rsidRPr="00851AFC">
        <w:rPr>
          <w:lang w:eastAsia="ja-JP" w:bidi="ar-DZ"/>
        </w:rPr>
        <w:t xml:space="preserve">serve as potential substitutes for traditional services </w:t>
      </w:r>
      <w:r>
        <w:rPr>
          <w:lang w:eastAsia="ja-JP" w:bidi="ar-DZ"/>
        </w:rPr>
        <w:t xml:space="preserve">(such as providing </w:t>
      </w:r>
      <w:r w:rsidRPr="00851AFC">
        <w:rPr>
          <w:lang w:eastAsia="ja-JP" w:bidi="ar-DZ"/>
        </w:rPr>
        <w:t>calls and messaging</w:t>
      </w:r>
      <w:r>
        <w:rPr>
          <w:lang w:eastAsia="ja-JP" w:bidi="ar-DZ"/>
        </w:rPr>
        <w:t>)</w:t>
      </w:r>
      <w:r w:rsidRPr="00851AFC">
        <w:rPr>
          <w:lang w:eastAsia="ja-JP" w:bidi="ar-DZ"/>
        </w:rPr>
        <w:t xml:space="preserve">. </w:t>
      </w:r>
      <w:r>
        <w:rPr>
          <w:lang w:eastAsia="ja-JP" w:bidi="ar-DZ"/>
        </w:rPr>
        <w:t>Therefore, a</w:t>
      </w:r>
      <w:r w:rsidRPr="00851AFC">
        <w:rPr>
          <w:lang w:eastAsia="ja-JP" w:bidi="ar-DZ"/>
        </w:rPr>
        <w:t xml:space="preserve">s their adoption and usage grow regulators may benefit from </w:t>
      </w:r>
      <w:r>
        <w:rPr>
          <w:lang w:eastAsia="ja-JP" w:bidi="ar-DZ"/>
        </w:rPr>
        <w:t xml:space="preserve">directly </w:t>
      </w:r>
      <w:r w:rsidRPr="00851AFC">
        <w:rPr>
          <w:lang w:eastAsia="ja-JP" w:bidi="ar-DZ"/>
        </w:rPr>
        <w:t xml:space="preserve">collecting and </w:t>
      </w:r>
      <w:r w:rsidR="003E51C2" w:rsidRPr="00851AFC">
        <w:rPr>
          <w:lang w:eastAsia="ja-JP" w:bidi="ar-DZ"/>
        </w:rPr>
        <w:t>analysing</w:t>
      </w:r>
      <w:r w:rsidRPr="00851AFC">
        <w:rPr>
          <w:lang w:eastAsia="ja-JP" w:bidi="ar-DZ"/>
        </w:rPr>
        <w:t xml:space="preserve"> OTT data to enhance market assessments that </w:t>
      </w:r>
      <w:r>
        <w:rPr>
          <w:lang w:eastAsia="ja-JP" w:bidi="ar-DZ"/>
        </w:rPr>
        <w:t xml:space="preserve">accurately </w:t>
      </w:r>
      <w:r w:rsidRPr="00851AFC">
        <w:rPr>
          <w:lang w:eastAsia="ja-JP" w:bidi="ar-DZ"/>
        </w:rPr>
        <w:t xml:space="preserve">reflect </w:t>
      </w:r>
      <w:r>
        <w:rPr>
          <w:lang w:eastAsia="ja-JP" w:bidi="ar-DZ"/>
        </w:rPr>
        <w:t xml:space="preserve">the </w:t>
      </w:r>
      <w:r w:rsidRPr="00851AFC">
        <w:rPr>
          <w:lang w:eastAsia="ja-JP" w:bidi="ar-DZ"/>
        </w:rPr>
        <w:t xml:space="preserve">evolving industry. </w:t>
      </w:r>
    </w:p>
    <w:p w14:paraId="414948A1" w14:textId="77777777" w:rsidR="00741F7E" w:rsidRDefault="00741F7E" w:rsidP="00741F7E">
      <w:pPr>
        <w:rPr>
          <w:lang w:eastAsia="ja-JP" w:bidi="ar-DZ"/>
        </w:rPr>
      </w:pPr>
      <w:r w:rsidRPr="006A16A5">
        <w:rPr>
          <w:lang w:eastAsia="ja-JP" w:bidi="ar-DZ"/>
        </w:rPr>
        <w:t xml:space="preserve">However, </w:t>
      </w:r>
      <w:r>
        <w:rPr>
          <w:lang w:eastAsia="ja-JP" w:bidi="ar-DZ"/>
        </w:rPr>
        <w:t>d</w:t>
      </w:r>
      <w:r w:rsidRPr="00AE7724">
        <w:rPr>
          <w:lang w:eastAsia="ja-JP" w:bidi="ar-DZ"/>
        </w:rPr>
        <w:t>eveloping</w:t>
      </w:r>
      <w:r w:rsidRPr="001C3CF5">
        <w:rPr>
          <w:lang w:eastAsia="ja-JP" w:bidi="ar-DZ"/>
        </w:rPr>
        <w:t xml:space="preserve"> countries are often under-equipped to gather </w:t>
      </w:r>
      <w:r>
        <w:rPr>
          <w:lang w:eastAsia="ja-JP" w:bidi="ar-DZ"/>
        </w:rPr>
        <w:t xml:space="preserve">the </w:t>
      </w:r>
      <w:r w:rsidRPr="001C3CF5">
        <w:rPr>
          <w:lang w:eastAsia="ja-JP" w:bidi="ar-DZ"/>
        </w:rPr>
        <w:t xml:space="preserve">data </w:t>
      </w:r>
      <w:r>
        <w:rPr>
          <w:lang w:eastAsia="ja-JP" w:bidi="ar-DZ"/>
        </w:rPr>
        <w:t>needed for</w:t>
      </w:r>
      <w:r w:rsidRPr="001C3CF5">
        <w:rPr>
          <w:lang w:eastAsia="ja-JP" w:bidi="ar-DZ"/>
        </w:rPr>
        <w:t xml:space="preserve"> market studies </w:t>
      </w:r>
      <w:r>
        <w:rPr>
          <w:lang w:eastAsia="ja-JP" w:bidi="ar-DZ"/>
        </w:rPr>
        <w:t xml:space="preserve">which can hinder </w:t>
      </w:r>
      <w:r w:rsidRPr="001C3CF5">
        <w:rPr>
          <w:lang w:eastAsia="ja-JP" w:bidi="ar-DZ"/>
        </w:rPr>
        <w:t xml:space="preserve">evidence-based </w:t>
      </w:r>
      <w:r>
        <w:rPr>
          <w:lang w:eastAsia="ja-JP" w:bidi="ar-DZ"/>
        </w:rPr>
        <w:t xml:space="preserve">assessments and regulation. </w:t>
      </w:r>
      <w:r w:rsidRPr="00E31CAF">
        <w:rPr>
          <w:lang w:eastAsia="ja-JP" w:bidi="ar-DZ"/>
        </w:rPr>
        <w:t>Inadequate data collection may also contribute to disparities in market intelligence, potentially affecting the transition toward</w:t>
      </w:r>
      <w:r>
        <w:rPr>
          <w:lang w:eastAsia="ja-JP" w:bidi="ar-DZ"/>
        </w:rPr>
        <w:t>s</w:t>
      </w:r>
      <w:r w:rsidRPr="00E31CAF">
        <w:rPr>
          <w:lang w:eastAsia="ja-JP" w:bidi="ar-DZ"/>
        </w:rPr>
        <w:t xml:space="preserve"> an information society.</w:t>
      </w:r>
      <w:r w:rsidRPr="00AE7724">
        <w:t xml:space="preserve"> </w:t>
      </w:r>
      <w:r>
        <w:t>Hence, t</w:t>
      </w:r>
      <w:r w:rsidRPr="00AE7724">
        <w:rPr>
          <w:lang w:eastAsia="ja-JP" w:bidi="ar-DZ"/>
        </w:rPr>
        <w:t xml:space="preserve">o facilitate a quantitative or evidence-based approach to regulation </w:t>
      </w:r>
      <w:r>
        <w:rPr>
          <w:lang w:eastAsia="ja-JP" w:bidi="ar-DZ"/>
        </w:rPr>
        <w:t xml:space="preserve">it may be necessary to collect </w:t>
      </w:r>
      <w:r w:rsidRPr="00AE7724">
        <w:rPr>
          <w:lang w:eastAsia="ja-JP" w:bidi="ar-DZ"/>
        </w:rPr>
        <w:t xml:space="preserve">time-series data from all service providers (OTTs and telecoms) and consumers to inform, inter alia, critical anti-trust rulings, auctions, and pricing. </w:t>
      </w:r>
    </w:p>
    <w:p w14:paraId="33742939" w14:textId="77777777" w:rsidR="00741F7E" w:rsidRPr="001941D9" w:rsidRDefault="00741F7E" w:rsidP="00741F7E">
      <w:pPr>
        <w:rPr>
          <w:lang w:eastAsia="ja-JP" w:bidi="ar-DZ"/>
        </w:rPr>
      </w:pPr>
      <w:r>
        <w:rPr>
          <w:lang w:eastAsia="ja-JP" w:bidi="ar-DZ"/>
        </w:rPr>
        <w:t>Therefore, a possible approach to addressing this issue is to consider identifying the minimum data required from OTTs and seek standardized relationships with OTTs</w:t>
      </w:r>
      <w:r w:rsidRPr="001C3CF5">
        <w:rPr>
          <w:lang w:eastAsia="ja-JP" w:bidi="ar-DZ"/>
        </w:rPr>
        <w:t xml:space="preserve"> </w:t>
      </w:r>
      <w:r>
        <w:rPr>
          <w:lang w:eastAsia="ja-JP" w:bidi="ar-DZ"/>
        </w:rPr>
        <w:t>to gather such data</w:t>
      </w:r>
      <w:r w:rsidRPr="001C3CF5">
        <w:rPr>
          <w:lang w:eastAsia="ja-JP" w:bidi="ar-DZ"/>
        </w:rPr>
        <w:t xml:space="preserve">. Consequently, partnering with </w:t>
      </w:r>
      <w:r>
        <w:rPr>
          <w:lang w:eastAsia="ja-JP" w:bidi="ar-DZ"/>
        </w:rPr>
        <w:t>OTTs</w:t>
      </w:r>
      <w:r w:rsidRPr="001C3CF5">
        <w:rPr>
          <w:lang w:eastAsia="ja-JP" w:bidi="ar-DZ"/>
        </w:rPr>
        <w:t xml:space="preserve"> for periodic submission of </w:t>
      </w:r>
      <w:r>
        <w:rPr>
          <w:lang w:eastAsia="ja-JP" w:bidi="ar-DZ"/>
        </w:rPr>
        <w:t>data</w:t>
      </w:r>
      <w:r w:rsidRPr="001C3CF5">
        <w:rPr>
          <w:lang w:eastAsia="ja-JP" w:bidi="ar-DZ"/>
        </w:rPr>
        <w:t xml:space="preserve"> </w:t>
      </w:r>
      <w:r>
        <w:rPr>
          <w:lang w:eastAsia="ja-JP" w:bidi="ar-DZ"/>
        </w:rPr>
        <w:t>could</w:t>
      </w:r>
      <w:r w:rsidRPr="001C3CF5">
        <w:rPr>
          <w:lang w:eastAsia="ja-JP" w:bidi="ar-DZ"/>
        </w:rPr>
        <w:t xml:space="preserve"> </w:t>
      </w:r>
      <w:r>
        <w:rPr>
          <w:lang w:eastAsia="ja-JP" w:bidi="ar-DZ"/>
        </w:rPr>
        <w:t xml:space="preserve">potentially </w:t>
      </w:r>
      <w:r w:rsidRPr="001C3CF5">
        <w:rPr>
          <w:lang w:eastAsia="ja-JP" w:bidi="ar-DZ"/>
        </w:rPr>
        <w:t xml:space="preserve">improve quantitative evidence-based regulatory decision making and assist </w:t>
      </w:r>
      <w:r>
        <w:rPr>
          <w:lang w:eastAsia="ja-JP" w:bidi="ar-DZ"/>
        </w:rPr>
        <w:t xml:space="preserve">in complementing the </w:t>
      </w:r>
      <w:r w:rsidRPr="001C3CF5">
        <w:rPr>
          <w:lang w:eastAsia="ja-JP" w:bidi="ar-DZ"/>
        </w:rPr>
        <w:t xml:space="preserve">data gathered from traditional telecommunications services operators. </w:t>
      </w:r>
      <w:r>
        <w:rPr>
          <w:lang w:eastAsia="ja-JP" w:bidi="ar-DZ"/>
        </w:rPr>
        <w:t>Given the global trends</w:t>
      </w:r>
      <w:r w:rsidRPr="001C3CF5">
        <w:rPr>
          <w:lang w:eastAsia="ja-JP" w:bidi="ar-DZ"/>
        </w:rPr>
        <w:t xml:space="preserve">, it may be considered reasonable for </w:t>
      </w:r>
      <w:r>
        <w:rPr>
          <w:lang w:eastAsia="ja-JP" w:bidi="ar-DZ"/>
        </w:rPr>
        <w:t xml:space="preserve">regulators and </w:t>
      </w:r>
      <w:r w:rsidRPr="001C3CF5">
        <w:rPr>
          <w:lang w:eastAsia="ja-JP" w:bidi="ar-DZ"/>
        </w:rPr>
        <w:t xml:space="preserve">OTT providers to </w:t>
      </w:r>
      <w:r>
        <w:rPr>
          <w:lang w:eastAsia="ja-JP" w:bidi="ar-DZ"/>
        </w:rPr>
        <w:t>amicably engage and collaborate so that mutually beneficial relations to data sharing can be achieved.</w:t>
      </w:r>
    </w:p>
    <w:p w14:paraId="0A5E364B" w14:textId="6EB7915C" w:rsidR="00741F7E" w:rsidRPr="0030748E" w:rsidRDefault="00F508BE" w:rsidP="0030748E">
      <w:pPr>
        <w:pStyle w:val="Heading1"/>
      </w:pPr>
      <w:bookmarkStart w:id="48" w:name="_Toc213830515"/>
      <w:bookmarkStart w:id="49" w:name="_Toc214976389"/>
      <w:bookmarkStart w:id="50" w:name="_Toc229984644"/>
      <w:r w:rsidRPr="0030748E">
        <w:rPr>
          <w:rFonts w:eastAsiaTheme="minorEastAsia" w:hint="eastAsia"/>
        </w:rPr>
        <w:t>6</w:t>
      </w:r>
      <w:r w:rsidRPr="0030748E">
        <w:rPr>
          <w:rFonts w:eastAsiaTheme="minorEastAsia"/>
        </w:rPr>
        <w:tab/>
      </w:r>
      <w:r w:rsidR="00741F7E" w:rsidRPr="0030748E">
        <w:t xml:space="preserve">Existing </w:t>
      </w:r>
      <w:r w:rsidR="00C22429">
        <w:t>g</w:t>
      </w:r>
      <w:r w:rsidR="00741F7E" w:rsidRPr="0030748E">
        <w:t xml:space="preserve">uidelines and </w:t>
      </w:r>
      <w:r w:rsidR="00C22429">
        <w:t>r</w:t>
      </w:r>
      <w:r w:rsidR="00741F7E" w:rsidRPr="0030748E">
        <w:t xml:space="preserve">eporting </w:t>
      </w:r>
      <w:r w:rsidR="00C22429">
        <w:t>s</w:t>
      </w:r>
      <w:r w:rsidR="00741F7E" w:rsidRPr="0030748E">
        <w:t>tandards</w:t>
      </w:r>
      <w:bookmarkEnd w:id="48"/>
      <w:bookmarkEnd w:id="49"/>
      <w:bookmarkEnd w:id="50"/>
      <w:r w:rsidR="00741F7E" w:rsidRPr="0030748E">
        <w:t xml:space="preserve"> </w:t>
      </w:r>
    </w:p>
    <w:p w14:paraId="5B5592C4" w14:textId="77777777" w:rsidR="00741F7E" w:rsidRPr="00E33E6A" w:rsidRDefault="00741F7E" w:rsidP="00741F7E">
      <w:pPr>
        <w:rPr>
          <w:lang w:eastAsia="ja-JP" w:bidi="ar-DZ"/>
        </w:rPr>
      </w:pPr>
      <w:r>
        <w:rPr>
          <w:lang w:eastAsia="ja-JP" w:bidi="ar-DZ"/>
        </w:rPr>
        <w:t>T</w:t>
      </w:r>
      <w:r w:rsidRPr="00E33E6A">
        <w:rPr>
          <w:lang w:eastAsia="ja-JP" w:bidi="ar-DZ"/>
        </w:rPr>
        <w:t>here has been some work in selected jurisdictions to establish data reporting standards for OTT service providers. This is discussed below:</w:t>
      </w:r>
    </w:p>
    <w:p w14:paraId="7CEC59E4" w14:textId="01B79791" w:rsidR="00741F7E" w:rsidRPr="0030748E" w:rsidRDefault="00F508BE" w:rsidP="0030748E">
      <w:pPr>
        <w:pStyle w:val="Heading2"/>
      </w:pPr>
      <w:bookmarkStart w:id="51" w:name="_Toc151981815"/>
      <w:bookmarkStart w:id="52" w:name="_Hlk151558825"/>
      <w:bookmarkStart w:id="53" w:name="_Toc213830516"/>
      <w:bookmarkStart w:id="54" w:name="_Toc214976390"/>
      <w:bookmarkStart w:id="55" w:name="_Toc229984645"/>
      <w:r w:rsidRPr="0030748E">
        <w:rPr>
          <w:rFonts w:eastAsiaTheme="minorEastAsia" w:hint="eastAsia"/>
        </w:rPr>
        <w:lastRenderedPageBreak/>
        <w:t>6.1</w:t>
      </w:r>
      <w:r w:rsidRPr="0030748E">
        <w:rPr>
          <w:rFonts w:eastAsiaTheme="minorEastAsia"/>
        </w:rPr>
        <w:tab/>
      </w:r>
      <w:r w:rsidR="00741F7E" w:rsidRPr="0030748E">
        <w:t xml:space="preserve">Body of European </w:t>
      </w:r>
      <w:r w:rsidR="003D32C2">
        <w:t>r</w:t>
      </w:r>
      <w:r w:rsidR="00741F7E" w:rsidRPr="0030748E">
        <w:t xml:space="preserve">egulators for </w:t>
      </w:r>
      <w:r w:rsidR="003D32C2">
        <w:t>e</w:t>
      </w:r>
      <w:r w:rsidR="00741F7E" w:rsidRPr="0030748E">
        <w:t xml:space="preserve">lectronic </w:t>
      </w:r>
      <w:r w:rsidR="003D32C2">
        <w:t>c</w:t>
      </w:r>
      <w:r w:rsidR="00741F7E" w:rsidRPr="0030748E">
        <w:t>ommunications (BEREC</w:t>
      </w:r>
      <w:bookmarkEnd w:id="51"/>
      <w:bookmarkEnd w:id="52"/>
      <w:r w:rsidR="00741F7E" w:rsidRPr="0030748E">
        <w:t>)</w:t>
      </w:r>
      <w:bookmarkEnd w:id="53"/>
      <w:bookmarkEnd w:id="54"/>
      <w:bookmarkEnd w:id="55"/>
    </w:p>
    <w:p w14:paraId="1241873A" w14:textId="374CC4ED" w:rsidR="00741F7E" w:rsidRDefault="00741F7E" w:rsidP="00741F7E">
      <w:pPr>
        <w:rPr>
          <w:lang w:eastAsia="ja-JP" w:bidi="ar-DZ"/>
        </w:rPr>
      </w:pPr>
      <w:r w:rsidRPr="00E33E6A">
        <w:rPr>
          <w:lang w:eastAsia="ja-JP" w:bidi="ar-DZ"/>
        </w:rPr>
        <w:t xml:space="preserve">BEREC has conducted extensive work to provide new definitions for interpersonal communications services to fulfil the objectives of the EECC and initiate the process to identify and define harmonised metrics which are of interest to many European </w:t>
      </w:r>
      <w:r w:rsidR="00936DE3" w:rsidRPr="0030748E">
        <w:rPr>
          <w:lang w:bidi="ar-DZ"/>
        </w:rPr>
        <w:t>National</w:t>
      </w:r>
      <w:r w:rsidR="00936DE3" w:rsidRPr="0030748E">
        <w:rPr>
          <w:rFonts w:eastAsiaTheme="minorEastAsia"/>
        </w:rPr>
        <w:t xml:space="preserve"> Regulatory Agenc</w:t>
      </w:r>
      <w:r w:rsidR="00E55C6C">
        <w:rPr>
          <w:rFonts w:eastAsiaTheme="minorEastAsia"/>
        </w:rPr>
        <w:t>ies</w:t>
      </w:r>
      <w:r w:rsidR="00936DE3" w:rsidRPr="00E33E6A">
        <w:rPr>
          <w:lang w:eastAsia="ja-JP" w:bidi="ar-DZ"/>
        </w:rPr>
        <w:t xml:space="preserve"> </w:t>
      </w:r>
      <w:r w:rsidR="00936DE3">
        <w:rPr>
          <w:lang w:eastAsia="ja-JP" w:bidi="ar-DZ"/>
        </w:rPr>
        <w:t>(</w:t>
      </w:r>
      <w:r w:rsidRPr="00E33E6A">
        <w:rPr>
          <w:lang w:eastAsia="ja-JP" w:bidi="ar-DZ"/>
        </w:rPr>
        <w:t>NRAs</w:t>
      </w:r>
      <w:r w:rsidR="00936DE3">
        <w:rPr>
          <w:lang w:eastAsia="ja-JP" w:bidi="ar-DZ"/>
        </w:rPr>
        <w:t>)</w:t>
      </w:r>
      <w:r w:rsidRPr="00E33E6A">
        <w:rPr>
          <w:lang w:eastAsia="ja-JP" w:bidi="ar-DZ"/>
        </w:rPr>
        <w:t xml:space="preserve">. The final report was published in September 2021, whereby BEREC noted that the intention of its report was neither to impose on NRAs the obligation to collect data from OTT providers, nor to instruct NRAs on the scope, modalities, and frequency of such data collections. Rather, the report is intended to provide harmonized definitions of a limited number of indicators that may be necessary for NRAs to collect in the framework of their regulatory </w:t>
      </w:r>
      <w:r w:rsidR="00785CF2" w:rsidRPr="00785CF2">
        <w:rPr>
          <w:lang w:eastAsia="ja-JP" w:bidi="ar-DZ"/>
        </w:rPr>
        <w:t xml:space="preserve">mandate </w:t>
      </w:r>
      <w:r w:rsidR="003D608E">
        <w:rPr>
          <w:lang w:eastAsia="ja-JP" w:bidi="ar-DZ"/>
        </w:rPr>
        <w:t>[</w:t>
      </w:r>
      <w:r w:rsidR="003D608E">
        <w:t>b-</w:t>
      </w:r>
      <w:r w:rsidR="00785CF2" w:rsidRPr="00785CF2">
        <w:rPr>
          <w:lang w:eastAsia="ja-JP" w:bidi="ar-DZ"/>
        </w:rPr>
        <w:t>BEREC 2021</w:t>
      </w:r>
      <w:r w:rsidR="003D608E">
        <w:rPr>
          <w:lang w:eastAsia="ja-JP" w:bidi="ar-DZ"/>
        </w:rPr>
        <w:t>]</w:t>
      </w:r>
      <w:r>
        <w:rPr>
          <w:rStyle w:val="FootnoteReference"/>
          <w:lang w:eastAsia="ja-JP" w:bidi="ar-DZ"/>
        </w:rPr>
        <w:footnoteReference w:id="5"/>
      </w:r>
      <w:r w:rsidRPr="00E33E6A">
        <w:rPr>
          <w:lang w:eastAsia="ja-JP" w:bidi="ar-DZ"/>
        </w:rPr>
        <w:t xml:space="preserve">. </w:t>
      </w:r>
    </w:p>
    <w:p w14:paraId="76ED783C" w14:textId="574CC1FD" w:rsidR="00741F7E" w:rsidRPr="003E51C2" w:rsidRDefault="00741F7E" w:rsidP="00741F7E">
      <w:pPr>
        <w:rPr>
          <w:lang w:eastAsia="ja-JP" w:bidi="ar-DZ"/>
        </w:rPr>
      </w:pPr>
      <w:r w:rsidRPr="00E33E6A">
        <w:rPr>
          <w:lang w:eastAsia="ja-JP" w:bidi="ar-DZ"/>
        </w:rPr>
        <w:t>The indicators that were put forward in BEREC</w:t>
      </w:r>
      <w:r w:rsidR="00580392" w:rsidRPr="00580392">
        <w:rPr>
          <w:lang w:eastAsia="ja-JP" w:bidi="ar-DZ"/>
        </w:rPr>
        <w:t>'</w:t>
      </w:r>
      <w:r w:rsidRPr="00E33E6A">
        <w:rPr>
          <w:lang w:eastAsia="ja-JP" w:bidi="ar-DZ"/>
        </w:rPr>
        <w:t>s report fall under the categories (</w:t>
      </w:r>
      <w:proofErr w:type="spellStart"/>
      <w:r w:rsidRPr="00E33E6A">
        <w:rPr>
          <w:lang w:eastAsia="ja-JP" w:bidi="ar-DZ"/>
        </w:rPr>
        <w:t>i</w:t>
      </w:r>
      <w:proofErr w:type="spellEnd"/>
      <w:r w:rsidRPr="00E33E6A">
        <w:rPr>
          <w:lang w:eastAsia="ja-JP" w:bidi="ar-DZ"/>
        </w:rPr>
        <w:t xml:space="preserve">) Number-independent interpersonal communications services (NI-ICS) and (ii) Video-streaming services </w:t>
      </w:r>
      <w:r w:rsidRPr="003E51C2">
        <w:rPr>
          <w:lang w:eastAsia="ja-JP" w:bidi="ar-DZ"/>
        </w:rPr>
        <w:t xml:space="preserve">(VSS). Table 1 provides an extract of the metrics/indicators proposed by BEREC. </w:t>
      </w:r>
    </w:p>
    <w:p w14:paraId="0F2A9088" w14:textId="77777777" w:rsidR="00741F7E" w:rsidRPr="00E33E6A" w:rsidRDefault="00741F7E" w:rsidP="00741F7E">
      <w:pPr>
        <w:rPr>
          <w:lang w:eastAsia="ja-JP" w:bidi="ar-DZ"/>
        </w:rPr>
      </w:pPr>
      <w:r w:rsidRPr="00E33E6A">
        <w:rPr>
          <w:lang w:eastAsia="ja-JP" w:bidi="ar-DZ"/>
        </w:rPr>
        <w:t xml:space="preserve">BEREC </w:t>
      </w:r>
      <w:r>
        <w:rPr>
          <w:lang w:eastAsia="ja-JP" w:bidi="ar-DZ"/>
        </w:rPr>
        <w:t xml:space="preserve">further </w:t>
      </w:r>
      <w:r w:rsidRPr="00E33E6A">
        <w:rPr>
          <w:lang w:eastAsia="ja-JP" w:bidi="ar-DZ"/>
        </w:rPr>
        <w:t>recommended</w:t>
      </w:r>
      <w:r>
        <w:rPr>
          <w:lang w:eastAsia="ja-JP" w:bidi="ar-DZ"/>
        </w:rPr>
        <w:t xml:space="preserve">, given seasonality, </w:t>
      </w:r>
      <w:r w:rsidRPr="00E33E6A">
        <w:rPr>
          <w:lang w:eastAsia="ja-JP" w:bidi="ar-DZ"/>
        </w:rPr>
        <w:t>that NRAs collect the data on the above listed indicators as follows:</w:t>
      </w:r>
    </w:p>
    <w:p w14:paraId="6EF77943" w14:textId="24FEBFED" w:rsidR="00741F7E" w:rsidRPr="00D05921" w:rsidRDefault="00785CF2" w:rsidP="0030748E">
      <w:pPr>
        <w:pStyle w:val="enumlev1"/>
        <w:rPr>
          <w:lang w:eastAsia="ja-JP" w:bidi="ar-DZ"/>
        </w:rPr>
      </w:pPr>
      <w:r w:rsidRPr="00785CF2">
        <w:t>•</w:t>
      </w:r>
      <w:r w:rsidRPr="00785CF2">
        <w:tab/>
      </w:r>
      <w:r w:rsidR="00580392" w:rsidRPr="00580392">
        <w:rPr>
          <w:i/>
          <w:iCs/>
          <w:lang w:eastAsia="ja-JP" w:bidi="ar-DZ"/>
        </w:rPr>
        <w:t>"</w:t>
      </w:r>
      <w:r w:rsidR="00741F7E" w:rsidRPr="0030748E">
        <w:rPr>
          <w:i/>
          <w:iCs/>
          <w:lang w:eastAsia="ja-JP" w:bidi="ar-DZ"/>
        </w:rPr>
        <w:t>for active users/active business users that the data shall refer to the calendar months of: March, June, September and December.</w:t>
      </w:r>
    </w:p>
    <w:p w14:paraId="26F3E099" w14:textId="77BD6D48" w:rsidR="00741F7E" w:rsidRPr="00C23DFE" w:rsidRDefault="00785CF2" w:rsidP="0030748E">
      <w:pPr>
        <w:pStyle w:val="enumlev1"/>
        <w:rPr>
          <w:i/>
          <w:iCs/>
          <w:lang w:eastAsia="ja-JP" w:bidi="ar-DZ"/>
        </w:rPr>
      </w:pPr>
      <w:r w:rsidRPr="00785CF2">
        <w:t>•</w:t>
      </w:r>
      <w:r w:rsidRPr="00785CF2">
        <w:tab/>
      </w:r>
      <w:r w:rsidR="00741F7E" w:rsidRPr="00D05921">
        <w:rPr>
          <w:i/>
          <w:iCs/>
          <w:lang w:eastAsia="ja-JP" w:bidi="ar-DZ"/>
        </w:rPr>
        <w:t>for registered users/registered business users that data shall refer to the following dates: 31</w:t>
      </w:r>
      <w:r w:rsidR="00741F7E" w:rsidRPr="00D05921">
        <w:rPr>
          <w:i/>
          <w:iCs/>
          <w:vertAlign w:val="superscript"/>
          <w:lang w:eastAsia="ja-JP" w:bidi="ar-DZ"/>
        </w:rPr>
        <w:t>st</w:t>
      </w:r>
      <w:r w:rsidR="00741F7E" w:rsidRPr="00D05921">
        <w:rPr>
          <w:i/>
          <w:iCs/>
          <w:lang w:eastAsia="ja-JP" w:bidi="ar-DZ"/>
        </w:rPr>
        <w:t xml:space="preserve"> </w:t>
      </w:r>
      <w:proofErr w:type="gramStart"/>
      <w:r w:rsidR="00741F7E" w:rsidRPr="00C23DFE">
        <w:rPr>
          <w:i/>
          <w:iCs/>
          <w:lang w:eastAsia="ja-JP" w:bidi="ar-DZ"/>
        </w:rPr>
        <w:t>March,</w:t>
      </w:r>
      <w:proofErr w:type="gramEnd"/>
      <w:r w:rsidR="00741F7E" w:rsidRPr="00C23DFE">
        <w:rPr>
          <w:i/>
          <w:iCs/>
          <w:lang w:eastAsia="ja-JP" w:bidi="ar-DZ"/>
        </w:rPr>
        <w:t xml:space="preserve"> 30th </w:t>
      </w:r>
      <w:proofErr w:type="gramStart"/>
      <w:r w:rsidR="00741F7E" w:rsidRPr="00C23DFE">
        <w:rPr>
          <w:i/>
          <w:iCs/>
          <w:lang w:eastAsia="ja-JP" w:bidi="ar-DZ"/>
        </w:rPr>
        <w:t>June,</w:t>
      </w:r>
      <w:proofErr w:type="gramEnd"/>
      <w:r w:rsidR="00741F7E" w:rsidRPr="00C23DFE">
        <w:rPr>
          <w:i/>
          <w:iCs/>
          <w:lang w:eastAsia="ja-JP" w:bidi="ar-DZ"/>
        </w:rPr>
        <w:t xml:space="preserve"> 30th September and 31st December.</w:t>
      </w:r>
    </w:p>
    <w:p w14:paraId="74FC1EBA" w14:textId="7AD9B501" w:rsidR="00741F7E" w:rsidRPr="00C23DFE" w:rsidRDefault="00785CF2" w:rsidP="0030748E">
      <w:pPr>
        <w:pStyle w:val="enumlev1"/>
        <w:rPr>
          <w:i/>
          <w:iCs/>
          <w:lang w:eastAsia="ja-JP" w:bidi="ar-DZ"/>
        </w:rPr>
      </w:pPr>
      <w:r w:rsidRPr="00785CF2">
        <w:t>•</w:t>
      </w:r>
      <w:r w:rsidRPr="00785CF2">
        <w:tab/>
      </w:r>
      <w:r w:rsidR="00741F7E" w:rsidRPr="00D05921">
        <w:rPr>
          <w:i/>
          <w:iCs/>
          <w:lang w:eastAsia="ja-JP" w:bidi="ar-DZ"/>
        </w:rPr>
        <w:t>for usage data, that aggregate quarterly data, as of the 31</w:t>
      </w:r>
      <w:r w:rsidR="00741F7E" w:rsidRPr="00D05921">
        <w:rPr>
          <w:i/>
          <w:iCs/>
          <w:vertAlign w:val="superscript"/>
          <w:lang w:eastAsia="ja-JP" w:bidi="ar-DZ"/>
        </w:rPr>
        <w:t>st</w:t>
      </w:r>
      <w:r w:rsidR="00741F7E" w:rsidRPr="00D05921">
        <w:rPr>
          <w:i/>
          <w:iCs/>
          <w:lang w:eastAsia="ja-JP" w:bidi="ar-DZ"/>
        </w:rPr>
        <w:t xml:space="preserve"> of </w:t>
      </w:r>
      <w:proofErr w:type="gramStart"/>
      <w:r w:rsidR="00741F7E" w:rsidRPr="00D05921">
        <w:rPr>
          <w:i/>
          <w:iCs/>
          <w:lang w:eastAsia="ja-JP" w:bidi="ar-DZ"/>
        </w:rPr>
        <w:t>March,</w:t>
      </w:r>
      <w:proofErr w:type="gramEnd"/>
      <w:r w:rsidR="00741F7E" w:rsidRPr="00D05921">
        <w:rPr>
          <w:i/>
          <w:iCs/>
          <w:lang w:eastAsia="ja-JP" w:bidi="ar-DZ"/>
        </w:rPr>
        <w:t xml:space="preserve"> 30</w:t>
      </w:r>
      <w:r w:rsidR="00741F7E" w:rsidRPr="00D05921">
        <w:rPr>
          <w:i/>
          <w:iCs/>
          <w:vertAlign w:val="superscript"/>
          <w:lang w:eastAsia="ja-JP" w:bidi="ar-DZ"/>
        </w:rPr>
        <w:t>th</w:t>
      </w:r>
      <w:r w:rsidR="00741F7E" w:rsidRPr="00D05921">
        <w:rPr>
          <w:i/>
          <w:iCs/>
          <w:lang w:eastAsia="ja-JP" w:bidi="ar-DZ"/>
        </w:rPr>
        <w:t xml:space="preserve"> </w:t>
      </w:r>
      <w:proofErr w:type="gramStart"/>
      <w:r w:rsidR="00741F7E" w:rsidRPr="00D05921">
        <w:rPr>
          <w:i/>
          <w:iCs/>
          <w:lang w:eastAsia="ja-JP" w:bidi="ar-DZ"/>
        </w:rPr>
        <w:t>June,</w:t>
      </w:r>
      <w:proofErr w:type="gramEnd"/>
      <w:r w:rsidR="00741F7E" w:rsidRPr="00D05921">
        <w:rPr>
          <w:i/>
          <w:iCs/>
          <w:lang w:eastAsia="ja-JP" w:bidi="ar-DZ"/>
        </w:rPr>
        <w:t xml:space="preserve"> 30</w:t>
      </w:r>
      <w:r w:rsidR="00741F7E" w:rsidRPr="00D05921">
        <w:rPr>
          <w:i/>
          <w:iCs/>
          <w:vertAlign w:val="superscript"/>
          <w:lang w:eastAsia="ja-JP" w:bidi="ar-DZ"/>
        </w:rPr>
        <w:t>th</w:t>
      </w:r>
      <w:r w:rsidR="00C23DFE">
        <w:rPr>
          <w:i/>
          <w:iCs/>
          <w:vertAlign w:val="superscript"/>
          <w:lang w:eastAsia="ja-JP" w:bidi="ar-DZ"/>
        </w:rPr>
        <w:t> </w:t>
      </w:r>
      <w:r w:rsidR="00741F7E" w:rsidRPr="00C23DFE">
        <w:rPr>
          <w:i/>
          <w:iCs/>
          <w:lang w:eastAsia="ja-JP" w:bidi="ar-DZ"/>
        </w:rPr>
        <w:t xml:space="preserve">September and the </w:t>
      </w:r>
      <w:proofErr w:type="gramStart"/>
      <w:r w:rsidR="00741F7E" w:rsidRPr="00C23DFE">
        <w:rPr>
          <w:i/>
          <w:iCs/>
          <w:lang w:eastAsia="ja-JP" w:bidi="ar-DZ"/>
        </w:rPr>
        <w:t>31st</w:t>
      </w:r>
      <w:proofErr w:type="gramEnd"/>
      <w:r w:rsidR="00741F7E" w:rsidRPr="00C23DFE">
        <w:rPr>
          <w:i/>
          <w:iCs/>
          <w:lang w:eastAsia="ja-JP" w:bidi="ar-DZ"/>
        </w:rPr>
        <w:t xml:space="preserve"> December, should be sought.</w:t>
      </w:r>
      <w:r w:rsidR="00580392" w:rsidRPr="00C23DFE">
        <w:rPr>
          <w:i/>
          <w:iCs/>
          <w:lang w:eastAsia="ja-JP" w:bidi="ar-DZ"/>
        </w:rPr>
        <w:t>"</w:t>
      </w:r>
    </w:p>
    <w:tbl>
      <w:tblPr>
        <w:tblStyle w:val="TableGridLight"/>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785CF2" w:rsidRPr="002B6BD9" w14:paraId="4C275ED6" w14:textId="77777777" w:rsidTr="00785CF2">
        <w:trPr>
          <w:tblHeader/>
          <w:jc w:val="center"/>
        </w:trPr>
        <w:tc>
          <w:tcPr>
            <w:tcW w:w="5000" w:type="pct"/>
            <w:gridSpan w:val="2"/>
            <w:tcBorders>
              <w:top w:val="nil"/>
              <w:left w:val="nil"/>
              <w:right w:val="nil"/>
            </w:tcBorders>
          </w:tcPr>
          <w:p w14:paraId="419A010E" w14:textId="112A994A" w:rsidR="00785CF2" w:rsidRPr="008330DB" w:rsidRDefault="00785CF2" w:rsidP="00785CF2">
            <w:pPr>
              <w:pStyle w:val="TableNoTitle0"/>
              <w:rPr>
                <w:lang w:eastAsia="ja-JP" w:bidi="ar-DZ"/>
              </w:rPr>
            </w:pPr>
            <w:r w:rsidRPr="00785CF2">
              <w:rPr>
                <w:lang w:eastAsia="ja-JP" w:bidi="ar-DZ"/>
              </w:rPr>
              <w:t xml:space="preserve">Table 1 – BEREC's </w:t>
            </w:r>
            <w:r w:rsidR="009B410C">
              <w:rPr>
                <w:lang w:eastAsia="ja-JP" w:bidi="ar-DZ"/>
              </w:rPr>
              <w:t>p</w:t>
            </w:r>
            <w:r w:rsidRPr="00785CF2">
              <w:rPr>
                <w:lang w:eastAsia="ja-JP" w:bidi="ar-DZ"/>
              </w:rPr>
              <w:t xml:space="preserve">roposed </w:t>
            </w:r>
            <w:r w:rsidR="009B410C">
              <w:rPr>
                <w:lang w:eastAsia="ja-JP" w:bidi="ar-DZ"/>
              </w:rPr>
              <w:t>i</w:t>
            </w:r>
            <w:r w:rsidRPr="00785CF2">
              <w:rPr>
                <w:lang w:eastAsia="ja-JP" w:bidi="ar-DZ"/>
              </w:rPr>
              <w:t xml:space="preserve">ndicators for OTT </w:t>
            </w:r>
            <w:r w:rsidR="009B410C">
              <w:rPr>
                <w:lang w:eastAsia="ja-JP" w:bidi="ar-DZ"/>
              </w:rPr>
              <w:t>d</w:t>
            </w:r>
            <w:r w:rsidRPr="00785CF2">
              <w:rPr>
                <w:lang w:eastAsia="ja-JP" w:bidi="ar-DZ"/>
              </w:rPr>
              <w:t xml:space="preserve">ata </w:t>
            </w:r>
            <w:r w:rsidR="009B410C">
              <w:rPr>
                <w:lang w:eastAsia="ja-JP" w:bidi="ar-DZ"/>
              </w:rPr>
              <w:t>r</w:t>
            </w:r>
            <w:r w:rsidRPr="00785CF2">
              <w:rPr>
                <w:lang w:eastAsia="ja-JP" w:bidi="ar-DZ"/>
              </w:rPr>
              <w:t>eporting for the European NRAs</w:t>
            </w:r>
          </w:p>
        </w:tc>
      </w:tr>
      <w:tr w:rsidR="00741F7E" w:rsidRPr="002B6BD9" w14:paraId="35382ED9" w14:textId="77777777" w:rsidTr="0030748E">
        <w:trPr>
          <w:tblHeader/>
          <w:jc w:val="center"/>
        </w:trPr>
        <w:tc>
          <w:tcPr>
            <w:tcW w:w="2500" w:type="pct"/>
          </w:tcPr>
          <w:p w14:paraId="66964180" w14:textId="2A477491" w:rsidR="00741F7E" w:rsidRPr="008330DB" w:rsidRDefault="00741F7E" w:rsidP="0030748E">
            <w:pPr>
              <w:pStyle w:val="Tablehead"/>
              <w:rPr>
                <w:lang w:eastAsia="ja-JP" w:bidi="ar-DZ"/>
              </w:rPr>
            </w:pPr>
            <w:r w:rsidRPr="008330DB">
              <w:rPr>
                <w:lang w:eastAsia="ja-JP" w:bidi="ar-DZ"/>
              </w:rPr>
              <w:t xml:space="preserve">NI-ICS </w:t>
            </w:r>
            <w:r w:rsidR="009B410C">
              <w:rPr>
                <w:lang w:eastAsia="ja-JP" w:bidi="ar-DZ"/>
              </w:rPr>
              <w:t>i</w:t>
            </w:r>
            <w:r w:rsidRPr="008330DB">
              <w:rPr>
                <w:lang w:eastAsia="ja-JP" w:bidi="ar-DZ"/>
              </w:rPr>
              <w:t>ndicators</w:t>
            </w:r>
          </w:p>
        </w:tc>
        <w:tc>
          <w:tcPr>
            <w:tcW w:w="2500" w:type="pct"/>
          </w:tcPr>
          <w:p w14:paraId="2D5BC8EE" w14:textId="124F997F" w:rsidR="00741F7E" w:rsidRPr="008330DB" w:rsidRDefault="00741F7E" w:rsidP="0030748E">
            <w:pPr>
              <w:pStyle w:val="Tablehead"/>
              <w:rPr>
                <w:lang w:eastAsia="ja-JP" w:bidi="ar-DZ"/>
              </w:rPr>
            </w:pPr>
            <w:r w:rsidRPr="008330DB">
              <w:rPr>
                <w:lang w:eastAsia="ja-JP" w:bidi="ar-DZ"/>
              </w:rPr>
              <w:t xml:space="preserve">VSS </w:t>
            </w:r>
            <w:r w:rsidR="009B410C">
              <w:rPr>
                <w:lang w:eastAsia="ja-JP" w:bidi="ar-DZ"/>
              </w:rPr>
              <w:t>i</w:t>
            </w:r>
            <w:r w:rsidRPr="008330DB">
              <w:rPr>
                <w:lang w:eastAsia="ja-JP" w:bidi="ar-DZ"/>
              </w:rPr>
              <w:t>ndicators</w:t>
            </w:r>
          </w:p>
        </w:tc>
      </w:tr>
      <w:tr w:rsidR="00741F7E" w:rsidRPr="002B6BD9" w14:paraId="66A42FA9" w14:textId="77777777" w:rsidTr="0030748E">
        <w:trPr>
          <w:trHeight w:val="689"/>
          <w:jc w:val="center"/>
        </w:trPr>
        <w:tc>
          <w:tcPr>
            <w:tcW w:w="2500" w:type="pct"/>
          </w:tcPr>
          <w:p w14:paraId="476A133F" w14:textId="6945423B" w:rsidR="00741F7E" w:rsidRPr="0030748E" w:rsidRDefault="0030748E" w:rsidP="0030748E">
            <w:pPr>
              <w:pStyle w:val="Tabletext"/>
              <w:ind w:left="308" w:hanging="308"/>
              <w:rPr>
                <w:lang w:eastAsia="ja-JP" w:bidi="ar-DZ"/>
              </w:rPr>
            </w:pPr>
            <w:r w:rsidRPr="008330DB">
              <w:rPr>
                <w:lang w:eastAsia="ja-JP" w:bidi="ar-DZ"/>
              </w:rPr>
              <w:t>1.</w:t>
            </w:r>
            <w:r w:rsidRPr="008330DB">
              <w:rPr>
                <w:lang w:eastAsia="ja-JP" w:bidi="ar-DZ"/>
              </w:rPr>
              <w:tab/>
            </w:r>
            <w:r w:rsidR="00741F7E" w:rsidRPr="00E11AA2">
              <w:rPr>
                <w:b/>
                <w:bCs/>
                <w:lang w:eastAsia="ja-JP" w:bidi="ar-DZ"/>
              </w:rPr>
              <w:t xml:space="preserve">Number of </w:t>
            </w:r>
            <w:r w:rsidR="002418DB">
              <w:rPr>
                <w:b/>
                <w:bCs/>
                <w:lang w:eastAsia="ja-JP" w:bidi="ar-DZ"/>
              </w:rPr>
              <w:t>m</w:t>
            </w:r>
            <w:r w:rsidR="00741F7E" w:rsidRPr="00E11AA2">
              <w:rPr>
                <w:b/>
                <w:bCs/>
                <w:lang w:eastAsia="ja-JP" w:bidi="ar-DZ"/>
              </w:rPr>
              <w:t xml:space="preserve">onthly </w:t>
            </w:r>
            <w:r w:rsidR="002418DB">
              <w:rPr>
                <w:b/>
                <w:bCs/>
                <w:lang w:eastAsia="ja-JP" w:bidi="ar-DZ"/>
              </w:rPr>
              <w:t>a</w:t>
            </w:r>
            <w:r w:rsidR="00741F7E" w:rsidRPr="00E11AA2">
              <w:rPr>
                <w:b/>
                <w:bCs/>
                <w:lang w:eastAsia="ja-JP" w:bidi="ar-DZ"/>
              </w:rPr>
              <w:t xml:space="preserve">ctive </w:t>
            </w:r>
            <w:r w:rsidR="002418DB">
              <w:rPr>
                <w:b/>
                <w:bCs/>
                <w:lang w:eastAsia="ja-JP" w:bidi="ar-DZ"/>
              </w:rPr>
              <w:t>u</w:t>
            </w:r>
            <w:r w:rsidR="00741F7E" w:rsidRPr="00E11AA2">
              <w:rPr>
                <w:b/>
                <w:bCs/>
                <w:lang w:eastAsia="ja-JP" w:bidi="ar-DZ"/>
              </w:rPr>
              <w:t>sers</w:t>
            </w:r>
            <w:r w:rsidR="00741F7E" w:rsidRPr="0030748E">
              <w:rPr>
                <w:lang w:eastAsia="ja-JP" w:bidi="ar-DZ"/>
              </w:rPr>
              <w:t xml:space="preserve"> (MAU) who used the service in the last calendar month as of the date of measurement, by country of residence, </w:t>
            </w:r>
            <w:r w:rsidR="001C291A">
              <w:rPr>
                <w:lang w:eastAsia="ja-JP" w:bidi="ar-DZ"/>
              </w:rPr>
              <w:t xml:space="preserve">and </w:t>
            </w:r>
            <w:r w:rsidR="00741F7E" w:rsidRPr="0030748E">
              <w:rPr>
                <w:lang w:eastAsia="ja-JP" w:bidi="ar-DZ"/>
              </w:rPr>
              <w:t>by service. This metric refers to the users that cannot be qualified as business users.</w:t>
            </w:r>
          </w:p>
          <w:p w14:paraId="4B713E9D" w14:textId="7DAA0679" w:rsidR="00741F7E" w:rsidRPr="0030748E" w:rsidRDefault="0030748E" w:rsidP="0030748E">
            <w:pPr>
              <w:pStyle w:val="Tabletext"/>
              <w:ind w:left="308" w:hanging="308"/>
              <w:rPr>
                <w:lang w:eastAsia="ja-JP" w:bidi="ar-DZ"/>
              </w:rPr>
            </w:pPr>
            <w:r w:rsidRPr="008330DB">
              <w:rPr>
                <w:lang w:eastAsia="ja-JP" w:bidi="ar-DZ"/>
              </w:rPr>
              <w:t>2.</w:t>
            </w:r>
            <w:r w:rsidRPr="008330DB">
              <w:rPr>
                <w:lang w:eastAsia="ja-JP" w:bidi="ar-DZ"/>
              </w:rPr>
              <w:tab/>
            </w:r>
            <w:r w:rsidR="00741F7E" w:rsidRPr="00E11AA2">
              <w:rPr>
                <w:b/>
                <w:bCs/>
                <w:lang w:eastAsia="ja-JP" w:bidi="ar-DZ"/>
              </w:rPr>
              <w:t xml:space="preserve">Number of </w:t>
            </w:r>
            <w:r w:rsidR="002418DB">
              <w:rPr>
                <w:b/>
                <w:bCs/>
                <w:lang w:eastAsia="ja-JP" w:bidi="ar-DZ"/>
              </w:rPr>
              <w:t>m</w:t>
            </w:r>
            <w:r w:rsidR="00741F7E" w:rsidRPr="00E11AA2">
              <w:rPr>
                <w:b/>
                <w:bCs/>
                <w:lang w:eastAsia="ja-JP" w:bidi="ar-DZ"/>
              </w:rPr>
              <w:t xml:space="preserve">onthly </w:t>
            </w:r>
            <w:r w:rsidR="002418DB">
              <w:rPr>
                <w:b/>
                <w:bCs/>
                <w:lang w:eastAsia="ja-JP" w:bidi="ar-DZ"/>
              </w:rPr>
              <w:t>a</w:t>
            </w:r>
            <w:r w:rsidR="00741F7E" w:rsidRPr="00E11AA2">
              <w:rPr>
                <w:b/>
                <w:bCs/>
                <w:lang w:eastAsia="ja-JP" w:bidi="ar-DZ"/>
              </w:rPr>
              <w:t xml:space="preserve">ctive </w:t>
            </w:r>
            <w:r w:rsidR="002418DB">
              <w:rPr>
                <w:b/>
                <w:bCs/>
                <w:lang w:eastAsia="ja-JP" w:bidi="ar-DZ"/>
              </w:rPr>
              <w:t>b</w:t>
            </w:r>
            <w:r w:rsidR="00741F7E" w:rsidRPr="00E11AA2">
              <w:rPr>
                <w:b/>
                <w:bCs/>
                <w:lang w:eastAsia="ja-JP" w:bidi="ar-DZ"/>
              </w:rPr>
              <w:t xml:space="preserve">usiness </w:t>
            </w:r>
            <w:r w:rsidR="002418DB">
              <w:rPr>
                <w:b/>
                <w:bCs/>
                <w:lang w:eastAsia="ja-JP" w:bidi="ar-DZ"/>
              </w:rPr>
              <w:t>u</w:t>
            </w:r>
            <w:r w:rsidR="00741F7E" w:rsidRPr="00E11AA2">
              <w:rPr>
                <w:b/>
                <w:bCs/>
                <w:lang w:eastAsia="ja-JP" w:bidi="ar-DZ"/>
              </w:rPr>
              <w:t>sers</w:t>
            </w:r>
            <w:r w:rsidR="00741F7E" w:rsidRPr="0030748E">
              <w:rPr>
                <w:lang w:eastAsia="ja-JP" w:bidi="ar-DZ"/>
              </w:rPr>
              <w:t xml:space="preserve"> who used the service in the last calendar month as of the date of measurement, by country of service deployment, </w:t>
            </w:r>
            <w:r w:rsidR="001C291A">
              <w:rPr>
                <w:lang w:eastAsia="ja-JP" w:bidi="ar-DZ"/>
              </w:rPr>
              <w:t xml:space="preserve">and </w:t>
            </w:r>
            <w:r w:rsidR="00741F7E" w:rsidRPr="0030748E">
              <w:rPr>
                <w:lang w:eastAsia="ja-JP" w:bidi="ar-DZ"/>
              </w:rPr>
              <w:t>by service.</w:t>
            </w:r>
          </w:p>
          <w:p w14:paraId="527BE7FF" w14:textId="3C9DA633" w:rsidR="00741F7E" w:rsidRPr="0030748E" w:rsidRDefault="0030748E" w:rsidP="0030748E">
            <w:pPr>
              <w:pStyle w:val="Tabletext"/>
              <w:ind w:left="308" w:hanging="308"/>
              <w:rPr>
                <w:lang w:eastAsia="ja-JP" w:bidi="ar-DZ"/>
              </w:rPr>
            </w:pPr>
            <w:r w:rsidRPr="008330DB">
              <w:rPr>
                <w:lang w:eastAsia="ja-JP" w:bidi="ar-DZ"/>
              </w:rPr>
              <w:t>3.</w:t>
            </w:r>
            <w:r w:rsidRPr="008330DB">
              <w:rPr>
                <w:lang w:eastAsia="ja-JP" w:bidi="ar-DZ"/>
              </w:rPr>
              <w:tab/>
            </w:r>
            <w:r w:rsidR="00741F7E" w:rsidRPr="00E11AA2">
              <w:rPr>
                <w:b/>
                <w:bCs/>
                <w:lang w:eastAsia="ja-JP" w:bidi="ar-DZ"/>
              </w:rPr>
              <w:t xml:space="preserve">Number of </w:t>
            </w:r>
            <w:r w:rsidR="003F380E">
              <w:rPr>
                <w:b/>
                <w:bCs/>
                <w:lang w:eastAsia="ja-JP" w:bidi="ar-DZ"/>
              </w:rPr>
              <w:t>r</w:t>
            </w:r>
            <w:r w:rsidR="00741F7E" w:rsidRPr="00E11AA2">
              <w:rPr>
                <w:b/>
                <w:bCs/>
                <w:lang w:eastAsia="ja-JP" w:bidi="ar-DZ"/>
              </w:rPr>
              <w:t xml:space="preserve">egistered </w:t>
            </w:r>
            <w:r w:rsidR="003F380E">
              <w:rPr>
                <w:b/>
                <w:bCs/>
                <w:lang w:eastAsia="ja-JP" w:bidi="ar-DZ"/>
              </w:rPr>
              <w:t>u</w:t>
            </w:r>
            <w:r w:rsidR="00741F7E" w:rsidRPr="00E11AA2">
              <w:rPr>
                <w:b/>
                <w:bCs/>
                <w:lang w:eastAsia="ja-JP" w:bidi="ar-DZ"/>
              </w:rPr>
              <w:t>sers</w:t>
            </w:r>
            <w:r w:rsidR="00741F7E" w:rsidRPr="0030748E">
              <w:rPr>
                <w:lang w:eastAsia="ja-JP" w:bidi="ar-DZ"/>
              </w:rPr>
              <w:t>, who registered with a specific NI-ICS, by country of residence and by NI-ICS, at a specific date. This metric refers to the users that cannot be qualified as business users.</w:t>
            </w:r>
          </w:p>
          <w:p w14:paraId="76800F1B" w14:textId="6432B33A" w:rsidR="00741F7E" w:rsidRPr="0030748E" w:rsidRDefault="0030748E" w:rsidP="0030748E">
            <w:pPr>
              <w:pStyle w:val="Tabletext"/>
              <w:ind w:left="308" w:hanging="308"/>
              <w:rPr>
                <w:lang w:eastAsia="ja-JP" w:bidi="ar-DZ"/>
              </w:rPr>
            </w:pPr>
            <w:r w:rsidRPr="008330DB">
              <w:rPr>
                <w:lang w:eastAsia="ja-JP" w:bidi="ar-DZ"/>
              </w:rPr>
              <w:t>4.</w:t>
            </w:r>
            <w:r w:rsidRPr="008330DB">
              <w:rPr>
                <w:lang w:eastAsia="ja-JP" w:bidi="ar-DZ"/>
              </w:rPr>
              <w:tab/>
            </w:r>
            <w:r w:rsidR="00741F7E" w:rsidRPr="00E11AA2">
              <w:rPr>
                <w:b/>
                <w:bCs/>
                <w:lang w:eastAsia="ja-JP" w:bidi="ar-DZ"/>
              </w:rPr>
              <w:t xml:space="preserve">Number of </w:t>
            </w:r>
            <w:r w:rsidR="00463F32">
              <w:rPr>
                <w:b/>
                <w:bCs/>
                <w:lang w:eastAsia="ja-JP" w:bidi="ar-DZ"/>
              </w:rPr>
              <w:t>r</w:t>
            </w:r>
            <w:r w:rsidR="00741F7E" w:rsidRPr="00E11AA2">
              <w:rPr>
                <w:b/>
                <w:bCs/>
                <w:lang w:eastAsia="ja-JP" w:bidi="ar-DZ"/>
              </w:rPr>
              <w:t xml:space="preserve">egistered </w:t>
            </w:r>
            <w:r w:rsidR="00463F32">
              <w:rPr>
                <w:b/>
                <w:bCs/>
                <w:lang w:eastAsia="ja-JP" w:bidi="ar-DZ"/>
              </w:rPr>
              <w:t>b</w:t>
            </w:r>
            <w:r w:rsidR="00741F7E" w:rsidRPr="00E11AA2">
              <w:rPr>
                <w:b/>
                <w:bCs/>
                <w:lang w:eastAsia="ja-JP" w:bidi="ar-DZ"/>
              </w:rPr>
              <w:t xml:space="preserve">usiness </w:t>
            </w:r>
            <w:r w:rsidR="00463F32">
              <w:rPr>
                <w:b/>
                <w:bCs/>
                <w:lang w:eastAsia="ja-JP" w:bidi="ar-DZ"/>
              </w:rPr>
              <w:t>u</w:t>
            </w:r>
            <w:r w:rsidR="00741F7E" w:rsidRPr="00E11AA2">
              <w:rPr>
                <w:b/>
                <w:bCs/>
                <w:lang w:eastAsia="ja-JP" w:bidi="ar-DZ"/>
              </w:rPr>
              <w:t>sers</w:t>
            </w:r>
            <w:r w:rsidR="00741F7E" w:rsidRPr="0030748E">
              <w:rPr>
                <w:lang w:eastAsia="ja-JP" w:bidi="ar-DZ"/>
              </w:rPr>
              <w:t>, who registered with a specific NI-ICS, by country of residence and by NI-ICS, at a specific date.</w:t>
            </w:r>
          </w:p>
          <w:p w14:paraId="29D0671C" w14:textId="70FE6226" w:rsidR="00741F7E" w:rsidRPr="0030748E" w:rsidRDefault="0030748E" w:rsidP="0030748E">
            <w:pPr>
              <w:pStyle w:val="Tabletext"/>
              <w:ind w:left="308" w:hanging="308"/>
              <w:rPr>
                <w:lang w:eastAsia="ja-JP" w:bidi="ar-DZ"/>
              </w:rPr>
            </w:pPr>
            <w:r w:rsidRPr="008330DB">
              <w:rPr>
                <w:lang w:eastAsia="ja-JP" w:bidi="ar-DZ"/>
              </w:rPr>
              <w:t>5.</w:t>
            </w:r>
            <w:r w:rsidRPr="008330DB">
              <w:rPr>
                <w:lang w:eastAsia="ja-JP" w:bidi="ar-DZ"/>
              </w:rPr>
              <w:tab/>
            </w:r>
            <w:r w:rsidR="00741F7E" w:rsidRPr="00E11AA2">
              <w:rPr>
                <w:b/>
                <w:bCs/>
                <w:lang w:eastAsia="ja-JP" w:bidi="ar-DZ"/>
              </w:rPr>
              <w:t>The total number and minutes of voice calls made</w:t>
            </w:r>
            <w:r w:rsidR="00741F7E" w:rsidRPr="0030748E">
              <w:rPr>
                <w:lang w:eastAsia="ja-JP" w:bidi="ar-DZ"/>
              </w:rPr>
              <w:t xml:space="preserve"> by NI-ICS users towards other NI-ICS users, by country of residence of the caller, in a specific period.</w:t>
            </w:r>
          </w:p>
          <w:p w14:paraId="3B107104" w14:textId="17E1BE58" w:rsidR="00741F7E" w:rsidRPr="0030748E" w:rsidRDefault="0030748E" w:rsidP="0030748E">
            <w:pPr>
              <w:pStyle w:val="Tabletext"/>
              <w:ind w:left="308" w:hanging="308"/>
              <w:rPr>
                <w:lang w:eastAsia="ja-JP" w:bidi="ar-DZ"/>
              </w:rPr>
            </w:pPr>
            <w:r w:rsidRPr="008330DB">
              <w:rPr>
                <w:lang w:eastAsia="ja-JP" w:bidi="ar-DZ"/>
              </w:rPr>
              <w:lastRenderedPageBreak/>
              <w:t>6.</w:t>
            </w:r>
            <w:r w:rsidRPr="008330DB">
              <w:rPr>
                <w:lang w:eastAsia="ja-JP" w:bidi="ar-DZ"/>
              </w:rPr>
              <w:tab/>
            </w:r>
            <w:r w:rsidR="00741F7E" w:rsidRPr="00E11AA2">
              <w:rPr>
                <w:b/>
                <w:bCs/>
                <w:lang w:eastAsia="ja-JP" w:bidi="ar-DZ"/>
              </w:rPr>
              <w:t>The total number and minutes of video calls made</w:t>
            </w:r>
            <w:r w:rsidR="00741F7E" w:rsidRPr="0030748E">
              <w:rPr>
                <w:lang w:eastAsia="ja-JP" w:bidi="ar-DZ"/>
              </w:rPr>
              <w:t xml:space="preserve"> by NI-ICS users towards other NI-ICS users, by country of residence of the caller, in a specific period.</w:t>
            </w:r>
          </w:p>
          <w:p w14:paraId="00CC8A1D" w14:textId="6A303C68" w:rsidR="00741F7E" w:rsidRPr="0030748E" w:rsidRDefault="0030748E" w:rsidP="0030748E">
            <w:pPr>
              <w:pStyle w:val="Tabletext"/>
              <w:ind w:left="308" w:hanging="308"/>
              <w:rPr>
                <w:lang w:eastAsia="ja-JP" w:bidi="ar-DZ"/>
              </w:rPr>
            </w:pPr>
            <w:r w:rsidRPr="008330DB">
              <w:rPr>
                <w:lang w:eastAsia="ja-JP" w:bidi="ar-DZ"/>
              </w:rPr>
              <w:t>7.</w:t>
            </w:r>
            <w:r w:rsidRPr="008330DB">
              <w:rPr>
                <w:lang w:eastAsia="ja-JP" w:bidi="ar-DZ"/>
              </w:rPr>
              <w:tab/>
            </w:r>
            <w:r w:rsidR="00741F7E" w:rsidRPr="00E11AA2">
              <w:rPr>
                <w:b/>
                <w:bCs/>
                <w:lang w:eastAsia="ja-JP" w:bidi="ar-DZ"/>
              </w:rPr>
              <w:t>The total number of instant messages sent</w:t>
            </w:r>
            <w:r w:rsidR="00741F7E" w:rsidRPr="0030748E">
              <w:rPr>
                <w:lang w:eastAsia="ja-JP" w:bidi="ar-DZ"/>
              </w:rPr>
              <w:t xml:space="preserve"> by NI-ICS users towards other NI-ICS users, by country of residence of the sender, in a specific period.</w:t>
            </w:r>
          </w:p>
        </w:tc>
        <w:tc>
          <w:tcPr>
            <w:tcW w:w="2500" w:type="pct"/>
          </w:tcPr>
          <w:p w14:paraId="41DB1DFA" w14:textId="75B01AEF" w:rsidR="00741F7E" w:rsidRPr="0030748E" w:rsidRDefault="0030748E" w:rsidP="0030748E">
            <w:pPr>
              <w:pStyle w:val="Tabletext"/>
              <w:ind w:left="308" w:hanging="308"/>
              <w:rPr>
                <w:lang w:eastAsia="ja-JP" w:bidi="ar-DZ"/>
              </w:rPr>
            </w:pPr>
            <w:r w:rsidRPr="008330DB">
              <w:rPr>
                <w:lang w:eastAsia="ja-JP" w:bidi="ar-DZ"/>
              </w:rPr>
              <w:lastRenderedPageBreak/>
              <w:t>1.</w:t>
            </w:r>
            <w:r w:rsidRPr="008330DB">
              <w:rPr>
                <w:lang w:eastAsia="ja-JP" w:bidi="ar-DZ"/>
              </w:rPr>
              <w:tab/>
            </w:r>
            <w:r w:rsidR="00741F7E" w:rsidRPr="00E11AA2">
              <w:rPr>
                <w:b/>
                <w:bCs/>
                <w:lang w:eastAsia="ja-JP" w:bidi="ar-DZ"/>
              </w:rPr>
              <w:t xml:space="preserve">Number of registered users, who subscribed to a specific </w:t>
            </w:r>
            <w:r w:rsidR="00580392" w:rsidRPr="00E11AA2">
              <w:rPr>
                <w:b/>
                <w:bCs/>
                <w:lang w:eastAsia="ja-JP" w:bidi="ar-DZ"/>
              </w:rPr>
              <w:t>"</w:t>
            </w:r>
            <w:r w:rsidR="00741F7E" w:rsidRPr="00E11AA2">
              <w:rPr>
                <w:b/>
                <w:bCs/>
                <w:lang w:eastAsia="ja-JP" w:bidi="ar-DZ"/>
              </w:rPr>
              <w:t>subscription service</w:t>
            </w:r>
            <w:r w:rsidR="00580392" w:rsidRPr="00E11AA2">
              <w:rPr>
                <w:b/>
                <w:bCs/>
                <w:lang w:eastAsia="ja-JP" w:bidi="ar-DZ"/>
              </w:rPr>
              <w:t>"</w:t>
            </w:r>
            <w:r w:rsidR="00741F7E" w:rsidRPr="0030748E">
              <w:rPr>
                <w:lang w:eastAsia="ja-JP" w:bidi="ar-DZ"/>
              </w:rPr>
              <w:t xml:space="preserve"> by country of residence, at a specific date. Only for subscription </w:t>
            </w:r>
            <w:r w:rsidR="002949D9">
              <w:rPr>
                <w:lang w:eastAsia="ja-JP" w:bidi="ar-DZ"/>
              </w:rPr>
              <w:t xml:space="preserve">video on demand </w:t>
            </w:r>
            <w:r w:rsidR="00741F7E" w:rsidRPr="0030748E">
              <w:rPr>
                <w:lang w:eastAsia="ja-JP" w:bidi="ar-DZ"/>
              </w:rPr>
              <w:t>services (SVOD).</w:t>
            </w:r>
          </w:p>
          <w:p w14:paraId="0E19D671" w14:textId="5419F36D" w:rsidR="00741F7E" w:rsidRPr="0030748E" w:rsidRDefault="0030748E" w:rsidP="0030748E">
            <w:pPr>
              <w:pStyle w:val="Tabletext"/>
              <w:ind w:left="308" w:hanging="308"/>
              <w:rPr>
                <w:lang w:eastAsia="ja-JP" w:bidi="ar-DZ"/>
              </w:rPr>
            </w:pPr>
            <w:r w:rsidRPr="008330DB">
              <w:rPr>
                <w:lang w:eastAsia="ja-JP" w:bidi="ar-DZ"/>
              </w:rPr>
              <w:t>2.</w:t>
            </w:r>
            <w:r w:rsidRPr="008330DB">
              <w:rPr>
                <w:lang w:eastAsia="ja-JP" w:bidi="ar-DZ"/>
              </w:rPr>
              <w:tab/>
            </w:r>
            <w:r w:rsidR="00741F7E" w:rsidRPr="00E11AA2">
              <w:rPr>
                <w:b/>
                <w:bCs/>
                <w:lang w:eastAsia="ja-JP" w:bidi="ar-DZ"/>
              </w:rPr>
              <w:t xml:space="preserve">Number of </w:t>
            </w:r>
            <w:r w:rsidR="00580392" w:rsidRPr="00E11AA2">
              <w:rPr>
                <w:b/>
                <w:bCs/>
                <w:lang w:eastAsia="ja-JP" w:bidi="ar-DZ"/>
              </w:rPr>
              <w:t>"</w:t>
            </w:r>
            <w:r w:rsidR="00741F7E" w:rsidRPr="00E11AA2">
              <w:rPr>
                <w:b/>
                <w:bCs/>
                <w:lang w:eastAsia="ja-JP" w:bidi="ar-DZ"/>
              </w:rPr>
              <w:t>simultaneous streams</w:t>
            </w:r>
            <w:r w:rsidR="00580392" w:rsidRPr="00E11AA2">
              <w:rPr>
                <w:b/>
                <w:bCs/>
                <w:lang w:eastAsia="ja-JP" w:bidi="ar-DZ"/>
              </w:rPr>
              <w:t>"</w:t>
            </w:r>
            <w:r w:rsidR="00741F7E" w:rsidRPr="0030748E">
              <w:rPr>
                <w:lang w:eastAsia="ja-JP" w:bidi="ar-DZ"/>
              </w:rPr>
              <w:t xml:space="preserve"> that are marketed with </w:t>
            </w:r>
            <w:r w:rsidR="00580392" w:rsidRPr="00580392">
              <w:rPr>
                <w:lang w:eastAsia="ja-JP" w:bidi="ar-DZ"/>
              </w:rPr>
              <w:t>"</w:t>
            </w:r>
            <w:r w:rsidR="00741F7E" w:rsidRPr="0030748E">
              <w:rPr>
                <w:lang w:eastAsia="ja-JP" w:bidi="ar-DZ"/>
              </w:rPr>
              <w:t>subscription</w:t>
            </w:r>
            <w:r w:rsidR="00580392" w:rsidRPr="00580392">
              <w:rPr>
                <w:lang w:eastAsia="ja-JP" w:bidi="ar-DZ"/>
              </w:rPr>
              <w:t>"</w:t>
            </w:r>
            <w:r w:rsidR="00741F7E" w:rsidRPr="0030748E">
              <w:rPr>
                <w:lang w:eastAsia="ja-JP" w:bidi="ar-DZ"/>
              </w:rPr>
              <w:t xml:space="preserve"> services by country of residence at a specific date. Only for subscription </w:t>
            </w:r>
            <w:r w:rsidR="00CC487B">
              <w:rPr>
                <w:lang w:eastAsia="ja-JP" w:bidi="ar-DZ"/>
              </w:rPr>
              <w:t xml:space="preserve">video on demand </w:t>
            </w:r>
            <w:r w:rsidR="00741F7E" w:rsidRPr="0030748E">
              <w:rPr>
                <w:lang w:eastAsia="ja-JP" w:bidi="ar-DZ"/>
              </w:rPr>
              <w:t xml:space="preserve">services (SVOD). If one registration only provides for </w:t>
            </w:r>
            <w:r w:rsidR="007A3A70">
              <w:rPr>
                <w:lang w:eastAsia="ja-JP" w:bidi="ar-DZ"/>
              </w:rPr>
              <w:t>one</w:t>
            </w:r>
            <w:r w:rsidR="00741F7E" w:rsidRPr="0030748E">
              <w:rPr>
                <w:lang w:eastAsia="ja-JP" w:bidi="ar-DZ"/>
              </w:rPr>
              <w:t xml:space="preserve"> stream, it would count as </w:t>
            </w:r>
            <w:r w:rsidR="007A3A70">
              <w:rPr>
                <w:lang w:eastAsia="ja-JP" w:bidi="ar-DZ"/>
              </w:rPr>
              <w:t>one</w:t>
            </w:r>
            <w:r w:rsidR="00741F7E" w:rsidRPr="0030748E">
              <w:rPr>
                <w:lang w:eastAsia="ja-JP" w:bidi="ar-DZ"/>
              </w:rPr>
              <w:t xml:space="preserve">, but if it provides </w:t>
            </w:r>
            <w:r w:rsidR="007A3A70">
              <w:rPr>
                <w:lang w:eastAsia="ja-JP" w:bidi="ar-DZ"/>
              </w:rPr>
              <w:t>three</w:t>
            </w:r>
            <w:r w:rsidR="00741F7E" w:rsidRPr="0030748E">
              <w:rPr>
                <w:lang w:eastAsia="ja-JP" w:bidi="ar-DZ"/>
              </w:rPr>
              <w:t xml:space="preserve"> simultaneous streams, it w</w:t>
            </w:r>
            <w:r w:rsidR="009C2823">
              <w:rPr>
                <w:lang w:eastAsia="ja-JP" w:bidi="ar-DZ"/>
              </w:rPr>
              <w:t>i</w:t>
            </w:r>
            <w:r w:rsidR="00741F7E" w:rsidRPr="0030748E">
              <w:rPr>
                <w:lang w:eastAsia="ja-JP" w:bidi="ar-DZ"/>
              </w:rPr>
              <w:t>l</w:t>
            </w:r>
            <w:r w:rsidR="009C2823">
              <w:rPr>
                <w:lang w:eastAsia="ja-JP" w:bidi="ar-DZ"/>
              </w:rPr>
              <w:t>l</w:t>
            </w:r>
            <w:r w:rsidR="00741F7E" w:rsidRPr="0030748E">
              <w:rPr>
                <w:lang w:eastAsia="ja-JP" w:bidi="ar-DZ"/>
              </w:rPr>
              <w:t xml:space="preserve"> count as </w:t>
            </w:r>
            <w:r w:rsidR="007A3A70">
              <w:rPr>
                <w:lang w:eastAsia="ja-JP" w:bidi="ar-DZ"/>
              </w:rPr>
              <w:t>three</w:t>
            </w:r>
            <w:r w:rsidR="00741F7E" w:rsidRPr="0030748E">
              <w:rPr>
                <w:lang w:eastAsia="ja-JP" w:bidi="ar-DZ"/>
              </w:rPr>
              <w:t>.</w:t>
            </w:r>
          </w:p>
          <w:p w14:paraId="10446B18" w14:textId="49175020" w:rsidR="00741F7E" w:rsidRPr="0030748E" w:rsidRDefault="0030748E" w:rsidP="0030748E">
            <w:pPr>
              <w:pStyle w:val="Tabletext"/>
              <w:ind w:left="308" w:hanging="308"/>
              <w:rPr>
                <w:lang w:eastAsia="ja-JP" w:bidi="ar-DZ"/>
              </w:rPr>
            </w:pPr>
            <w:r w:rsidRPr="008330DB">
              <w:rPr>
                <w:lang w:eastAsia="ja-JP" w:bidi="ar-DZ"/>
              </w:rPr>
              <w:t>3.</w:t>
            </w:r>
            <w:r w:rsidRPr="008330DB">
              <w:rPr>
                <w:lang w:eastAsia="ja-JP" w:bidi="ar-DZ"/>
              </w:rPr>
              <w:tab/>
            </w:r>
            <w:r w:rsidR="00741F7E" w:rsidRPr="00E11AA2">
              <w:rPr>
                <w:b/>
                <w:bCs/>
                <w:lang w:eastAsia="ja-JP" w:bidi="ar-DZ"/>
              </w:rPr>
              <w:t>Number of content pieces sold</w:t>
            </w:r>
            <w:r w:rsidR="00741F7E" w:rsidRPr="0030748E">
              <w:rPr>
                <w:lang w:eastAsia="ja-JP" w:bidi="ar-DZ"/>
              </w:rPr>
              <w:t xml:space="preserve"> in a specific period, by country of residence of the user. Only for electronic sell-through (EST) and transactional </w:t>
            </w:r>
            <w:r w:rsidR="00A314AD">
              <w:rPr>
                <w:lang w:eastAsia="ja-JP" w:bidi="ar-DZ"/>
              </w:rPr>
              <w:t xml:space="preserve">video on demand </w:t>
            </w:r>
            <w:r w:rsidR="00741F7E" w:rsidRPr="0030748E">
              <w:rPr>
                <w:lang w:eastAsia="ja-JP" w:bidi="ar-DZ"/>
              </w:rPr>
              <w:t>services (TVOD).</w:t>
            </w:r>
          </w:p>
          <w:p w14:paraId="2BCD3A7B" w14:textId="4B45C9D6" w:rsidR="00741F7E" w:rsidRPr="0030748E" w:rsidRDefault="0030748E" w:rsidP="0030748E">
            <w:pPr>
              <w:pStyle w:val="Tabletext"/>
              <w:ind w:left="308" w:hanging="308"/>
              <w:rPr>
                <w:lang w:eastAsia="ja-JP" w:bidi="ar-DZ"/>
              </w:rPr>
            </w:pPr>
            <w:r w:rsidRPr="008330DB">
              <w:rPr>
                <w:lang w:eastAsia="ja-JP" w:bidi="ar-DZ"/>
              </w:rPr>
              <w:t>4.</w:t>
            </w:r>
            <w:r w:rsidRPr="008330DB">
              <w:rPr>
                <w:lang w:eastAsia="ja-JP" w:bidi="ar-DZ"/>
              </w:rPr>
              <w:tab/>
            </w:r>
            <w:r w:rsidR="00741F7E" w:rsidRPr="00E11AA2">
              <w:rPr>
                <w:b/>
                <w:bCs/>
                <w:lang w:eastAsia="ja-JP" w:bidi="ar-DZ"/>
              </w:rPr>
              <w:t>Number of registered users</w:t>
            </w:r>
            <w:r w:rsidR="00741F7E" w:rsidRPr="0030748E">
              <w:rPr>
                <w:lang w:eastAsia="ja-JP" w:bidi="ar-DZ"/>
              </w:rPr>
              <w:t xml:space="preserve"> at a specific date, by country of residence of the registered user. Only for electronic sell-through (EST) and transactional </w:t>
            </w:r>
            <w:r w:rsidR="0076343E">
              <w:rPr>
                <w:lang w:eastAsia="ja-JP" w:bidi="ar-DZ"/>
              </w:rPr>
              <w:t xml:space="preserve">video on demand </w:t>
            </w:r>
            <w:r w:rsidR="00741F7E" w:rsidRPr="0030748E">
              <w:rPr>
                <w:lang w:eastAsia="ja-JP" w:bidi="ar-DZ"/>
              </w:rPr>
              <w:t>services (TVOD)</w:t>
            </w:r>
          </w:p>
          <w:p w14:paraId="7B495473" w14:textId="03D75742" w:rsidR="00741F7E" w:rsidRPr="0030748E" w:rsidRDefault="0030748E" w:rsidP="0030748E">
            <w:pPr>
              <w:pStyle w:val="Tabletext"/>
              <w:ind w:left="308" w:hanging="308"/>
              <w:rPr>
                <w:lang w:eastAsia="ja-JP" w:bidi="ar-DZ"/>
              </w:rPr>
            </w:pPr>
            <w:r w:rsidRPr="008330DB">
              <w:rPr>
                <w:lang w:eastAsia="ja-JP" w:bidi="ar-DZ"/>
              </w:rPr>
              <w:t>5.</w:t>
            </w:r>
            <w:r w:rsidRPr="008330DB">
              <w:rPr>
                <w:lang w:eastAsia="ja-JP" w:bidi="ar-DZ"/>
              </w:rPr>
              <w:tab/>
            </w:r>
            <w:r w:rsidR="00741F7E" w:rsidRPr="00E11AA2">
              <w:rPr>
                <w:b/>
                <w:bCs/>
                <w:lang w:eastAsia="ja-JP" w:bidi="ar-DZ"/>
              </w:rPr>
              <w:t>Number of monthly active users at a specific date, who used the video-streaming service</w:t>
            </w:r>
            <w:r w:rsidR="00741F7E" w:rsidRPr="0030748E">
              <w:rPr>
                <w:lang w:eastAsia="ja-JP" w:bidi="ar-DZ"/>
              </w:rPr>
              <w:t xml:space="preserve"> at </w:t>
            </w:r>
            <w:r w:rsidR="00741F7E" w:rsidRPr="0030748E">
              <w:rPr>
                <w:lang w:eastAsia="ja-JP" w:bidi="ar-DZ"/>
              </w:rPr>
              <w:lastRenderedPageBreak/>
              <w:t xml:space="preserve">least once in the last calendar month as of the date of measurement, by country of residence and service. Only for subscription </w:t>
            </w:r>
            <w:r w:rsidR="00B61BE2">
              <w:rPr>
                <w:lang w:eastAsia="ja-JP" w:bidi="ar-DZ"/>
              </w:rPr>
              <w:t>video</w:t>
            </w:r>
            <w:r w:rsidR="00AF08CD">
              <w:rPr>
                <w:lang w:eastAsia="ja-JP" w:bidi="ar-DZ"/>
              </w:rPr>
              <w:t xml:space="preserve"> on demand </w:t>
            </w:r>
            <w:r w:rsidR="00741F7E" w:rsidRPr="0030748E">
              <w:rPr>
                <w:lang w:eastAsia="ja-JP" w:bidi="ar-DZ"/>
              </w:rPr>
              <w:t xml:space="preserve">services (SVOD) bundled with other non-entertainment services (other than </w:t>
            </w:r>
            <w:r w:rsidR="00936DE3" w:rsidRPr="0030748E">
              <w:rPr>
                <w:lang w:bidi="ar-DZ"/>
              </w:rPr>
              <w:t>Internet</w:t>
            </w:r>
            <w:r w:rsidR="00936DE3" w:rsidRPr="0030748E">
              <w:rPr>
                <w:rFonts w:eastAsiaTheme="minorEastAsia"/>
              </w:rPr>
              <w:t xml:space="preserve"> </w:t>
            </w:r>
            <w:r w:rsidR="00936DE3">
              <w:rPr>
                <w:rFonts w:eastAsiaTheme="minorEastAsia"/>
              </w:rPr>
              <w:t>a</w:t>
            </w:r>
            <w:r w:rsidR="00936DE3" w:rsidRPr="0030748E">
              <w:rPr>
                <w:rFonts w:eastAsiaTheme="minorEastAsia"/>
              </w:rPr>
              <w:t xml:space="preserve">ccess </w:t>
            </w:r>
            <w:r w:rsidR="00936DE3">
              <w:rPr>
                <w:rFonts w:eastAsiaTheme="minorEastAsia"/>
              </w:rPr>
              <w:t>s</w:t>
            </w:r>
            <w:r w:rsidR="00936DE3" w:rsidRPr="0030748E">
              <w:rPr>
                <w:rFonts w:eastAsiaTheme="minorEastAsia"/>
              </w:rPr>
              <w:t>ervice</w:t>
            </w:r>
            <w:r w:rsidR="00936DE3" w:rsidRPr="0030748E">
              <w:rPr>
                <w:lang w:eastAsia="ja-JP" w:bidi="ar-DZ"/>
              </w:rPr>
              <w:t xml:space="preserve"> </w:t>
            </w:r>
            <w:r w:rsidR="00936DE3">
              <w:rPr>
                <w:lang w:eastAsia="ja-JP" w:bidi="ar-DZ"/>
              </w:rPr>
              <w:t>(</w:t>
            </w:r>
            <w:r w:rsidR="00741F7E" w:rsidRPr="0030748E">
              <w:rPr>
                <w:lang w:eastAsia="ja-JP" w:bidi="ar-DZ"/>
              </w:rPr>
              <w:t>IAS</w:t>
            </w:r>
            <w:r w:rsidR="00936DE3">
              <w:rPr>
                <w:lang w:eastAsia="ja-JP" w:bidi="ar-DZ"/>
              </w:rPr>
              <w:t>)</w:t>
            </w:r>
            <w:r w:rsidR="00741F7E" w:rsidRPr="0030748E">
              <w:rPr>
                <w:lang w:eastAsia="ja-JP" w:bidi="ar-DZ"/>
              </w:rPr>
              <w:t>).</w:t>
            </w:r>
          </w:p>
          <w:p w14:paraId="4739C2D4" w14:textId="5FF8674E" w:rsidR="00741F7E" w:rsidRPr="0030748E" w:rsidRDefault="0030748E" w:rsidP="0030748E">
            <w:pPr>
              <w:pStyle w:val="Tabletext"/>
              <w:ind w:left="308" w:hanging="308"/>
              <w:rPr>
                <w:lang w:eastAsia="ja-JP" w:bidi="ar-DZ"/>
              </w:rPr>
            </w:pPr>
            <w:r w:rsidRPr="008330DB">
              <w:rPr>
                <w:lang w:eastAsia="ja-JP" w:bidi="ar-DZ"/>
              </w:rPr>
              <w:t>6.</w:t>
            </w:r>
            <w:r w:rsidRPr="008330DB">
              <w:rPr>
                <w:lang w:eastAsia="ja-JP" w:bidi="ar-DZ"/>
              </w:rPr>
              <w:tab/>
            </w:r>
            <w:r w:rsidR="00741F7E" w:rsidRPr="00E11AA2">
              <w:rPr>
                <w:b/>
                <w:bCs/>
                <w:lang w:eastAsia="ja-JP" w:bidi="ar-DZ"/>
              </w:rPr>
              <w:t>User-based revenue</w:t>
            </w:r>
            <w:r w:rsidR="00741F7E" w:rsidRPr="0030748E">
              <w:rPr>
                <w:lang w:eastAsia="ja-JP" w:bidi="ar-DZ"/>
              </w:rPr>
              <w:t xml:space="preserve"> from video-streaming services split by recurring fees (SVOD) and one-time purchases (electronic sell-through (EST) and transactional </w:t>
            </w:r>
            <w:r w:rsidR="00CE4A6A">
              <w:rPr>
                <w:lang w:eastAsia="ja-JP" w:bidi="ar-DZ"/>
              </w:rPr>
              <w:t xml:space="preserve">video on demand </w:t>
            </w:r>
            <w:r w:rsidR="00741F7E" w:rsidRPr="0030748E">
              <w:rPr>
                <w:lang w:eastAsia="ja-JP" w:bidi="ar-DZ"/>
              </w:rPr>
              <w:t>services TVOD), by country and service in a specific period.</w:t>
            </w:r>
          </w:p>
          <w:p w14:paraId="0DF40D05" w14:textId="5477C392" w:rsidR="00741F7E" w:rsidRPr="0030748E" w:rsidRDefault="0030748E" w:rsidP="0030748E">
            <w:pPr>
              <w:pStyle w:val="Tabletext"/>
              <w:ind w:left="308" w:hanging="308"/>
              <w:rPr>
                <w:lang w:eastAsia="ja-JP" w:bidi="ar-DZ"/>
              </w:rPr>
            </w:pPr>
            <w:r w:rsidRPr="008330DB">
              <w:rPr>
                <w:lang w:eastAsia="ja-JP" w:bidi="ar-DZ"/>
              </w:rPr>
              <w:t>7.</w:t>
            </w:r>
            <w:r w:rsidRPr="008330DB">
              <w:rPr>
                <w:lang w:eastAsia="ja-JP" w:bidi="ar-DZ"/>
              </w:rPr>
              <w:tab/>
            </w:r>
            <w:r w:rsidR="00741F7E" w:rsidRPr="00E11AA2">
              <w:rPr>
                <w:b/>
                <w:bCs/>
                <w:lang w:eastAsia="ja-JP" w:bidi="ar-DZ"/>
              </w:rPr>
              <w:t>Other direct user revenue</w:t>
            </w:r>
            <w:r w:rsidR="00741F7E" w:rsidRPr="0030748E">
              <w:rPr>
                <w:lang w:eastAsia="ja-JP" w:bidi="ar-DZ"/>
              </w:rPr>
              <w:t xml:space="preserve"> sources, by country and service, in a specific period.</w:t>
            </w:r>
          </w:p>
        </w:tc>
      </w:tr>
    </w:tbl>
    <w:p w14:paraId="43C56519" w14:textId="6CB5D305" w:rsidR="00741F7E" w:rsidRPr="0030748E" w:rsidRDefault="00F508BE" w:rsidP="0030748E">
      <w:pPr>
        <w:pStyle w:val="Heading2"/>
      </w:pPr>
      <w:bookmarkStart w:id="56" w:name="_Toc213830517"/>
      <w:bookmarkStart w:id="57" w:name="_Toc214976391"/>
      <w:bookmarkStart w:id="58" w:name="_Toc229984646"/>
      <w:r w:rsidRPr="0030748E">
        <w:rPr>
          <w:rFonts w:eastAsiaTheme="minorEastAsia" w:hint="eastAsia"/>
        </w:rPr>
        <w:lastRenderedPageBreak/>
        <w:t>6.2</w:t>
      </w:r>
      <w:r w:rsidRPr="0030748E">
        <w:rPr>
          <w:rFonts w:eastAsiaTheme="minorEastAsia"/>
        </w:rPr>
        <w:tab/>
      </w:r>
      <w:r w:rsidR="00741F7E" w:rsidRPr="0030748E">
        <w:t>Canada</w:t>
      </w:r>
      <w:bookmarkEnd w:id="56"/>
      <w:bookmarkEnd w:id="57"/>
      <w:bookmarkEnd w:id="58"/>
      <w:r w:rsidR="00741F7E" w:rsidRPr="0030748E">
        <w:t xml:space="preserve"> </w:t>
      </w:r>
    </w:p>
    <w:p w14:paraId="06C44FD8" w14:textId="64AF66B0" w:rsidR="00741F7E" w:rsidRDefault="00741F7E" w:rsidP="00741F7E">
      <w:pPr>
        <w:rPr>
          <w:lang w:eastAsia="ja-JP" w:bidi="ar-DZ"/>
        </w:rPr>
      </w:pPr>
      <w:r w:rsidRPr="00FC4680">
        <w:rPr>
          <w:lang w:eastAsia="ja-JP" w:bidi="ar-DZ"/>
        </w:rPr>
        <w:t xml:space="preserve">In February 2022, the Canadian </w:t>
      </w:r>
      <w:r w:rsidR="00B54AA9">
        <w:rPr>
          <w:lang w:eastAsia="ja-JP" w:bidi="ar-DZ"/>
        </w:rPr>
        <w:t>r</w:t>
      </w:r>
      <w:r w:rsidRPr="00FC4680">
        <w:rPr>
          <w:lang w:eastAsia="ja-JP" w:bidi="ar-DZ"/>
        </w:rPr>
        <w:t xml:space="preserve">adio-television and </w:t>
      </w:r>
      <w:r w:rsidR="00B54AA9">
        <w:rPr>
          <w:lang w:eastAsia="ja-JP" w:bidi="ar-DZ"/>
        </w:rPr>
        <w:t>t</w:t>
      </w:r>
      <w:r w:rsidRPr="00FC4680">
        <w:rPr>
          <w:lang w:eastAsia="ja-JP" w:bidi="ar-DZ"/>
        </w:rPr>
        <w:t xml:space="preserve">elecommunications </w:t>
      </w:r>
      <w:r w:rsidR="00B54AA9">
        <w:rPr>
          <w:lang w:eastAsia="ja-JP" w:bidi="ar-DZ"/>
        </w:rPr>
        <w:t>c</w:t>
      </w:r>
      <w:r w:rsidRPr="00FC4680">
        <w:rPr>
          <w:lang w:eastAsia="ja-JP" w:bidi="ar-DZ"/>
        </w:rPr>
        <w:t>ommission (CRTC) launched a</w:t>
      </w:r>
      <w:r>
        <w:rPr>
          <w:lang w:eastAsia="ja-JP" w:bidi="ar-DZ"/>
        </w:rPr>
        <w:t>n</w:t>
      </w:r>
      <w:r w:rsidRPr="00FC4680">
        <w:rPr>
          <w:lang w:eastAsia="ja-JP" w:bidi="ar-DZ"/>
        </w:rPr>
        <w:t xml:space="preserve"> </w:t>
      </w:r>
      <w:r w:rsidR="00E37938">
        <w:rPr>
          <w:lang w:eastAsia="ja-JP" w:bidi="ar-DZ"/>
        </w:rPr>
        <w:t>a</w:t>
      </w:r>
      <w:r w:rsidRPr="00FC4680">
        <w:rPr>
          <w:lang w:eastAsia="ja-JP" w:bidi="ar-DZ"/>
        </w:rPr>
        <w:t xml:space="preserve">nnual </w:t>
      </w:r>
      <w:r w:rsidR="00E37938">
        <w:rPr>
          <w:lang w:eastAsia="ja-JP" w:bidi="ar-DZ"/>
        </w:rPr>
        <w:t>d</w:t>
      </w:r>
      <w:r w:rsidRPr="00FC4680">
        <w:rPr>
          <w:lang w:eastAsia="ja-JP" w:bidi="ar-DZ"/>
        </w:rPr>
        <w:t xml:space="preserve">igital </w:t>
      </w:r>
      <w:r w:rsidR="00E37938">
        <w:rPr>
          <w:lang w:eastAsia="ja-JP" w:bidi="ar-DZ"/>
        </w:rPr>
        <w:t>m</w:t>
      </w:r>
      <w:r w:rsidRPr="00FC4680">
        <w:rPr>
          <w:lang w:eastAsia="ja-JP" w:bidi="ar-DZ"/>
        </w:rPr>
        <w:t xml:space="preserve">edia </w:t>
      </w:r>
      <w:r w:rsidR="00E37938">
        <w:rPr>
          <w:lang w:eastAsia="ja-JP" w:bidi="ar-DZ"/>
        </w:rPr>
        <w:t>s</w:t>
      </w:r>
      <w:r w:rsidRPr="00FC4680">
        <w:rPr>
          <w:lang w:eastAsia="ja-JP" w:bidi="ar-DZ"/>
        </w:rPr>
        <w:t xml:space="preserve">urvey </w:t>
      </w:r>
      <w:r>
        <w:rPr>
          <w:lang w:eastAsia="ja-JP" w:bidi="ar-DZ"/>
        </w:rPr>
        <w:t xml:space="preserve">which </w:t>
      </w:r>
      <w:r w:rsidRPr="00FC4680">
        <w:rPr>
          <w:lang w:eastAsia="ja-JP" w:bidi="ar-DZ"/>
        </w:rPr>
        <w:t>require</w:t>
      </w:r>
      <w:r>
        <w:rPr>
          <w:lang w:eastAsia="ja-JP" w:bidi="ar-DZ"/>
        </w:rPr>
        <w:t xml:space="preserve">d </w:t>
      </w:r>
      <w:r w:rsidRPr="00FC4680">
        <w:rPr>
          <w:lang w:eastAsia="ja-JP" w:bidi="ar-DZ"/>
        </w:rPr>
        <w:t xml:space="preserve">OTT </w:t>
      </w:r>
      <w:r>
        <w:rPr>
          <w:lang w:eastAsia="ja-JP" w:bidi="ar-DZ"/>
        </w:rPr>
        <w:t xml:space="preserve">media </w:t>
      </w:r>
      <w:r w:rsidRPr="00FC4680">
        <w:rPr>
          <w:lang w:eastAsia="ja-JP" w:bidi="ar-DZ"/>
        </w:rPr>
        <w:t xml:space="preserve">services </w:t>
      </w:r>
      <w:r>
        <w:rPr>
          <w:lang w:eastAsia="ja-JP" w:bidi="ar-DZ"/>
        </w:rPr>
        <w:t>(that fall under the category of audio services and audio-visual services</w:t>
      </w:r>
      <w:r>
        <w:rPr>
          <w:rStyle w:val="FootnoteReference"/>
          <w:lang w:eastAsia="ja-JP" w:bidi="ar-DZ"/>
        </w:rPr>
        <w:footnoteReference w:id="6"/>
      </w:r>
      <w:r>
        <w:rPr>
          <w:lang w:eastAsia="ja-JP" w:bidi="ar-DZ"/>
        </w:rPr>
        <w:t xml:space="preserve">) </w:t>
      </w:r>
      <w:r w:rsidRPr="00FC4680">
        <w:rPr>
          <w:lang w:eastAsia="ja-JP" w:bidi="ar-DZ"/>
        </w:rPr>
        <w:t xml:space="preserve">operating in Canada to provide basic information on their activities starting with a filing for the 2020-2021 broadcast </w:t>
      </w:r>
      <w:r w:rsidRPr="00E02760">
        <w:rPr>
          <w:lang w:eastAsia="ja-JP" w:bidi="ar-DZ"/>
        </w:rPr>
        <w:t>year</w:t>
      </w:r>
      <w:r w:rsidRPr="00E02760">
        <w:rPr>
          <w:vertAlign w:val="superscript"/>
          <w:lang w:eastAsia="ja-JP" w:bidi="ar-DZ"/>
        </w:rPr>
        <w:footnoteReference w:id="7"/>
      </w:r>
      <w:r w:rsidRPr="00E02760">
        <w:rPr>
          <w:lang w:eastAsia="ja-JP" w:bidi="ar-DZ"/>
        </w:rPr>
        <w:t>.</w:t>
      </w:r>
      <w:r w:rsidRPr="00FC4680">
        <w:rPr>
          <w:lang w:eastAsia="ja-JP" w:bidi="ar-DZ"/>
        </w:rPr>
        <w:t xml:space="preserve"> The CRTC anticipated that the collected data would at minimum permit the </w:t>
      </w:r>
      <w:r w:rsidR="001468CA">
        <w:rPr>
          <w:lang w:eastAsia="ja-JP" w:bidi="ar-DZ"/>
        </w:rPr>
        <w:t>c</w:t>
      </w:r>
      <w:r w:rsidRPr="00FC4680">
        <w:rPr>
          <w:lang w:eastAsia="ja-JP" w:bidi="ar-DZ"/>
        </w:rPr>
        <w:t xml:space="preserve">ommission to validate, if not improve upon, current revenue estimates obtained from third party sources, as well as the numbers of subscriptions data is expected to allow the </w:t>
      </w:r>
      <w:r w:rsidR="00B44608">
        <w:rPr>
          <w:lang w:eastAsia="ja-JP" w:bidi="ar-DZ"/>
        </w:rPr>
        <w:t>c</w:t>
      </w:r>
      <w:r w:rsidRPr="00FC4680">
        <w:rPr>
          <w:lang w:eastAsia="ja-JP" w:bidi="ar-DZ"/>
        </w:rPr>
        <w:t xml:space="preserve">ommission to better evaluate OTT reach </w:t>
      </w:r>
      <w:sdt>
        <w:sdtPr>
          <w:rPr>
            <w:lang w:eastAsia="ja-JP" w:bidi="ar-DZ"/>
          </w:rPr>
          <w:id w:val="808212170"/>
          <w:citation/>
        </w:sdtPr>
        <w:sdtEndPr/>
        <w:sdtContent>
          <w:r>
            <w:rPr>
              <w:noProof/>
              <w:lang w:eastAsia="ja-JP" w:bidi="ar-DZ"/>
            </w:rPr>
            <w:t>(CRTC, 2022)</w:t>
          </w:r>
        </w:sdtContent>
      </w:sdt>
      <w:r>
        <w:rPr>
          <w:rStyle w:val="FootnoteReference"/>
          <w:lang w:eastAsia="ja-JP" w:bidi="ar-DZ"/>
        </w:rPr>
        <w:footnoteReference w:id="8"/>
      </w:r>
      <w:r w:rsidRPr="00FC4680">
        <w:rPr>
          <w:lang w:eastAsia="ja-JP" w:bidi="ar-DZ"/>
        </w:rPr>
        <w:t xml:space="preserve">. </w:t>
      </w:r>
    </w:p>
    <w:p w14:paraId="3437CA31" w14:textId="5953CDFD" w:rsidR="00741F7E" w:rsidRDefault="00741F7E" w:rsidP="00741F7E">
      <w:pPr>
        <w:rPr>
          <w:lang w:eastAsia="ja-JP" w:bidi="ar-DZ"/>
        </w:rPr>
      </w:pPr>
      <w:r w:rsidRPr="00FC4680">
        <w:rPr>
          <w:lang w:eastAsia="ja-JP" w:bidi="ar-DZ"/>
        </w:rPr>
        <w:t xml:space="preserve">The </w:t>
      </w:r>
      <w:r>
        <w:rPr>
          <w:lang w:eastAsia="ja-JP" w:bidi="ar-DZ"/>
        </w:rPr>
        <w:t xml:space="preserve">data categories outlined in </w:t>
      </w:r>
      <w:r w:rsidRPr="00FC4680">
        <w:rPr>
          <w:lang w:eastAsia="ja-JP" w:bidi="ar-DZ"/>
        </w:rPr>
        <w:t xml:space="preserve">the </w:t>
      </w:r>
      <w:r w:rsidR="00B44608">
        <w:rPr>
          <w:lang w:eastAsia="ja-JP" w:bidi="ar-DZ"/>
        </w:rPr>
        <w:t>a</w:t>
      </w:r>
      <w:r w:rsidRPr="00FC4680">
        <w:rPr>
          <w:lang w:eastAsia="ja-JP" w:bidi="ar-DZ"/>
        </w:rPr>
        <w:t xml:space="preserve">nnual </w:t>
      </w:r>
      <w:r w:rsidR="00B44608">
        <w:rPr>
          <w:lang w:eastAsia="ja-JP" w:bidi="ar-DZ"/>
        </w:rPr>
        <w:t>d</w:t>
      </w:r>
      <w:r w:rsidRPr="00FC4680">
        <w:rPr>
          <w:lang w:eastAsia="ja-JP" w:bidi="ar-DZ"/>
        </w:rPr>
        <w:t xml:space="preserve">igital </w:t>
      </w:r>
      <w:r w:rsidR="00B44608">
        <w:rPr>
          <w:lang w:eastAsia="ja-JP" w:bidi="ar-DZ"/>
        </w:rPr>
        <w:t>m</w:t>
      </w:r>
      <w:r w:rsidRPr="00FC4680">
        <w:rPr>
          <w:lang w:eastAsia="ja-JP" w:bidi="ar-DZ"/>
        </w:rPr>
        <w:t xml:space="preserve">edia </w:t>
      </w:r>
      <w:r w:rsidR="00B44608">
        <w:rPr>
          <w:lang w:eastAsia="ja-JP" w:bidi="ar-DZ"/>
        </w:rPr>
        <w:t>s</w:t>
      </w:r>
      <w:r w:rsidRPr="00FC4680">
        <w:rPr>
          <w:lang w:eastAsia="ja-JP" w:bidi="ar-DZ"/>
        </w:rPr>
        <w:t>urvey published by the CRTC in the</w:t>
      </w:r>
      <w:r>
        <w:rPr>
          <w:lang w:eastAsia="ja-JP" w:bidi="ar-DZ"/>
        </w:rPr>
        <w:t xml:space="preserve"> </w:t>
      </w:r>
      <w:r w:rsidR="00B44608">
        <w:rPr>
          <w:lang w:eastAsia="ja-JP" w:bidi="ar-DZ"/>
        </w:rPr>
        <w:t>b</w:t>
      </w:r>
      <w:r w:rsidRPr="0003674A">
        <w:rPr>
          <w:lang w:eastAsia="ja-JP" w:bidi="ar-DZ"/>
        </w:rPr>
        <w:t xml:space="preserve">roadcasting </w:t>
      </w:r>
      <w:r w:rsidR="00B44608">
        <w:rPr>
          <w:lang w:eastAsia="ja-JP" w:bidi="ar-DZ"/>
        </w:rPr>
        <w:t>r</w:t>
      </w:r>
      <w:r w:rsidRPr="0003674A">
        <w:rPr>
          <w:lang w:eastAsia="ja-JP" w:bidi="ar-DZ"/>
        </w:rPr>
        <w:t xml:space="preserve">egulatory </w:t>
      </w:r>
      <w:r w:rsidR="00B44608">
        <w:rPr>
          <w:lang w:eastAsia="ja-JP" w:bidi="ar-DZ"/>
        </w:rPr>
        <w:t>p</w:t>
      </w:r>
      <w:r w:rsidRPr="0003674A">
        <w:rPr>
          <w:lang w:eastAsia="ja-JP" w:bidi="ar-DZ"/>
        </w:rPr>
        <w:t>olicy CRTC 2022-47</w:t>
      </w:r>
      <w:r>
        <w:rPr>
          <w:lang w:eastAsia="ja-JP" w:bidi="ar-DZ"/>
        </w:rPr>
        <w:t xml:space="preserve"> </w:t>
      </w:r>
      <w:sdt>
        <w:sdtPr>
          <w:rPr>
            <w:lang w:eastAsia="ja-JP" w:bidi="ar-DZ"/>
          </w:rPr>
          <w:id w:val="-1485317143"/>
          <w:citation/>
        </w:sdtPr>
        <w:sdtEndPr/>
        <w:sdtContent>
          <w:r>
            <w:rPr>
              <w:noProof/>
              <w:lang w:eastAsia="ja-JP" w:bidi="ar-DZ"/>
            </w:rPr>
            <w:t>(CTRC, 2022)</w:t>
          </w:r>
        </w:sdtContent>
      </w:sdt>
      <w:r>
        <w:rPr>
          <w:rStyle w:val="FootnoteReference"/>
          <w:lang w:eastAsia="ja-JP" w:bidi="ar-DZ"/>
        </w:rPr>
        <w:footnoteReference w:id="9"/>
      </w:r>
      <w:r w:rsidRPr="00FC4680">
        <w:rPr>
          <w:lang w:eastAsia="ja-JP" w:bidi="ar-DZ"/>
        </w:rPr>
        <w:t xml:space="preserve"> include</w:t>
      </w:r>
      <w:r>
        <w:rPr>
          <w:lang w:eastAsia="ja-JP" w:bidi="ar-DZ"/>
        </w:rPr>
        <w:t>d</w:t>
      </w:r>
      <w:r w:rsidRPr="00FC4680">
        <w:rPr>
          <w:lang w:eastAsia="ja-JP" w:bidi="ar-DZ"/>
        </w:rPr>
        <w:t xml:space="preserve"> indicators such as: revenues (subscription, advertising, transactional and other), expenses (programming and non-programming), number of subscriptions paying full prices, number of subscriptions paying discounted rates and total number of free subscriptions. </w:t>
      </w:r>
    </w:p>
    <w:p w14:paraId="5B548088" w14:textId="081F83ED" w:rsidR="00741F7E" w:rsidRDefault="00741F7E" w:rsidP="00741F7E">
      <w:pPr>
        <w:rPr>
          <w:lang w:eastAsia="ja-JP" w:bidi="ar-DZ"/>
        </w:rPr>
      </w:pPr>
      <w:r>
        <w:rPr>
          <w:lang w:eastAsia="ja-JP" w:bidi="ar-DZ"/>
        </w:rPr>
        <w:t xml:space="preserve">However, the CTRC with the issuance of the </w:t>
      </w:r>
      <w:r w:rsidR="00B44608">
        <w:rPr>
          <w:lang w:eastAsia="ja-JP" w:bidi="ar-DZ"/>
        </w:rPr>
        <w:t>b</w:t>
      </w:r>
      <w:r w:rsidRPr="00977220">
        <w:rPr>
          <w:lang w:eastAsia="ja-JP" w:bidi="ar-DZ"/>
        </w:rPr>
        <w:t xml:space="preserve">roadcasting </w:t>
      </w:r>
      <w:r w:rsidR="00B44608">
        <w:rPr>
          <w:lang w:eastAsia="ja-JP" w:bidi="ar-DZ"/>
        </w:rPr>
        <w:t>r</w:t>
      </w:r>
      <w:r w:rsidRPr="00977220">
        <w:rPr>
          <w:lang w:eastAsia="ja-JP" w:bidi="ar-DZ"/>
        </w:rPr>
        <w:t xml:space="preserve">egulatory </w:t>
      </w:r>
      <w:r w:rsidR="00B44608">
        <w:rPr>
          <w:lang w:eastAsia="ja-JP" w:bidi="ar-DZ"/>
        </w:rPr>
        <w:t>p</w:t>
      </w:r>
      <w:r w:rsidRPr="00977220">
        <w:rPr>
          <w:lang w:eastAsia="ja-JP" w:bidi="ar-DZ"/>
        </w:rPr>
        <w:t>olicy 2024-121</w:t>
      </w:r>
      <w:r>
        <w:rPr>
          <w:lang w:eastAsia="ja-JP" w:bidi="ar-DZ"/>
        </w:rPr>
        <w:t>-1 (issued in June 2024)</w:t>
      </w:r>
      <w:r>
        <w:rPr>
          <w:rStyle w:val="FootnoteReference"/>
          <w:lang w:eastAsia="ja-JP" w:bidi="ar-DZ"/>
        </w:rPr>
        <w:footnoteReference w:id="10"/>
      </w:r>
      <w:r>
        <w:rPr>
          <w:lang w:eastAsia="ja-JP" w:bidi="ar-DZ"/>
        </w:rPr>
        <w:t xml:space="preserve">, </w:t>
      </w:r>
      <w:r w:rsidRPr="00977220">
        <w:rPr>
          <w:lang w:eastAsia="ja-JP" w:bidi="ar-DZ"/>
        </w:rPr>
        <w:t xml:space="preserve">amended and integrated </w:t>
      </w:r>
      <w:r>
        <w:rPr>
          <w:lang w:eastAsia="ja-JP" w:bidi="ar-DZ"/>
        </w:rPr>
        <w:t xml:space="preserve">the </w:t>
      </w:r>
      <w:r w:rsidR="00B44608">
        <w:rPr>
          <w:lang w:eastAsia="ja-JP" w:bidi="ar-DZ"/>
        </w:rPr>
        <w:t>a</w:t>
      </w:r>
      <w:r>
        <w:rPr>
          <w:lang w:eastAsia="ja-JP" w:bidi="ar-DZ"/>
        </w:rPr>
        <w:t xml:space="preserve">nnual </w:t>
      </w:r>
      <w:r w:rsidR="00B44608">
        <w:rPr>
          <w:lang w:eastAsia="ja-JP" w:bidi="ar-DZ"/>
        </w:rPr>
        <w:t>d</w:t>
      </w:r>
      <w:r>
        <w:rPr>
          <w:lang w:eastAsia="ja-JP" w:bidi="ar-DZ"/>
        </w:rPr>
        <w:t xml:space="preserve">igital </w:t>
      </w:r>
      <w:r w:rsidR="00B44608">
        <w:rPr>
          <w:lang w:eastAsia="ja-JP" w:bidi="ar-DZ"/>
        </w:rPr>
        <w:t>m</w:t>
      </w:r>
      <w:r>
        <w:rPr>
          <w:lang w:eastAsia="ja-JP" w:bidi="ar-DZ"/>
        </w:rPr>
        <w:t xml:space="preserve">edia </w:t>
      </w:r>
      <w:r w:rsidR="00B44608">
        <w:rPr>
          <w:lang w:eastAsia="ja-JP" w:bidi="ar-DZ"/>
        </w:rPr>
        <w:t>s</w:t>
      </w:r>
      <w:r>
        <w:rPr>
          <w:lang w:eastAsia="ja-JP" w:bidi="ar-DZ"/>
        </w:rPr>
        <w:t xml:space="preserve">urvey into the </w:t>
      </w:r>
      <w:r w:rsidRPr="00977220">
        <w:rPr>
          <w:lang w:eastAsia="ja-JP" w:bidi="ar-DZ"/>
        </w:rPr>
        <w:t xml:space="preserve">broadcasting surveys </w:t>
      </w:r>
      <w:r>
        <w:rPr>
          <w:lang w:eastAsia="ja-JP" w:bidi="ar-DZ"/>
        </w:rPr>
        <w:t xml:space="preserve">from the </w:t>
      </w:r>
      <w:r w:rsidRPr="00977220">
        <w:rPr>
          <w:lang w:eastAsia="ja-JP" w:bidi="ar-DZ"/>
        </w:rPr>
        <w:t xml:space="preserve">fall </w:t>
      </w:r>
      <w:r>
        <w:rPr>
          <w:lang w:eastAsia="ja-JP" w:bidi="ar-DZ"/>
        </w:rPr>
        <w:t xml:space="preserve">of </w:t>
      </w:r>
      <w:r w:rsidRPr="00977220">
        <w:rPr>
          <w:lang w:eastAsia="ja-JP" w:bidi="ar-DZ"/>
        </w:rPr>
        <w:t>2024</w:t>
      </w:r>
      <w:r>
        <w:rPr>
          <w:lang w:eastAsia="ja-JP" w:bidi="ar-DZ"/>
        </w:rPr>
        <w:t xml:space="preserve">. This was done to reduce any duplication in data collection by the CTRC. </w:t>
      </w:r>
    </w:p>
    <w:p w14:paraId="53D3CD3A" w14:textId="177BD889" w:rsidR="00741F7E" w:rsidRPr="0030748E" w:rsidRDefault="00F508BE" w:rsidP="0030748E">
      <w:pPr>
        <w:pStyle w:val="Heading1"/>
      </w:pPr>
      <w:bookmarkStart w:id="59" w:name="_Toc213830518"/>
      <w:bookmarkStart w:id="60" w:name="_Toc214976392"/>
      <w:bookmarkStart w:id="61" w:name="_Toc229984647"/>
      <w:r w:rsidRPr="0030748E">
        <w:rPr>
          <w:rFonts w:eastAsiaTheme="minorEastAsia" w:hint="eastAsia"/>
        </w:rPr>
        <w:lastRenderedPageBreak/>
        <w:t>7</w:t>
      </w:r>
      <w:r w:rsidRPr="0030748E">
        <w:rPr>
          <w:rFonts w:eastAsiaTheme="minorEastAsia"/>
        </w:rPr>
        <w:tab/>
      </w:r>
      <w:r w:rsidR="00741F7E" w:rsidRPr="0030748E">
        <w:t xml:space="preserve">Proposed </w:t>
      </w:r>
      <w:r w:rsidR="00463F32">
        <w:t>i</w:t>
      </w:r>
      <w:r w:rsidR="00741F7E" w:rsidRPr="0030748E">
        <w:t xml:space="preserve">ndicators, </w:t>
      </w:r>
      <w:r w:rsidR="00463F32">
        <w:t>d</w:t>
      </w:r>
      <w:r w:rsidR="00741F7E" w:rsidRPr="0030748E">
        <w:t xml:space="preserve">efinitions </w:t>
      </w:r>
      <w:r w:rsidR="00844A12">
        <w:t>and</w:t>
      </w:r>
      <w:r w:rsidR="00741F7E" w:rsidRPr="0030748E">
        <w:t xml:space="preserve"> </w:t>
      </w:r>
      <w:r w:rsidR="00463F32">
        <w:t>d</w:t>
      </w:r>
      <w:r w:rsidR="00741F7E" w:rsidRPr="0030748E">
        <w:t xml:space="preserve">ata </w:t>
      </w:r>
      <w:r w:rsidR="00463F32">
        <w:t>t</w:t>
      </w:r>
      <w:r w:rsidR="00741F7E" w:rsidRPr="0030748E">
        <w:t xml:space="preserve">emplate </w:t>
      </w:r>
      <w:r w:rsidR="00463F32">
        <w:t>f</w:t>
      </w:r>
      <w:r w:rsidR="00741F7E" w:rsidRPr="0030748E">
        <w:t xml:space="preserve">ormats for </w:t>
      </w:r>
      <w:r w:rsidR="00463F32">
        <w:t>r</w:t>
      </w:r>
      <w:r w:rsidR="00741F7E" w:rsidRPr="0030748E">
        <w:t>eporting</w:t>
      </w:r>
      <w:bookmarkEnd w:id="59"/>
      <w:bookmarkEnd w:id="60"/>
      <w:bookmarkEnd w:id="61"/>
      <w:r w:rsidR="00741F7E" w:rsidRPr="0030748E">
        <w:t xml:space="preserve"> </w:t>
      </w:r>
    </w:p>
    <w:p w14:paraId="7F751284" w14:textId="77777777" w:rsidR="00741F7E" w:rsidRDefault="00741F7E" w:rsidP="00741F7E">
      <w:pPr>
        <w:rPr>
          <w:lang w:eastAsia="ja-JP" w:bidi="ar-DZ"/>
        </w:rPr>
      </w:pPr>
      <w:r w:rsidRPr="00B103E4">
        <w:rPr>
          <w:lang w:eastAsia="ja-JP" w:bidi="ar-DZ"/>
        </w:rPr>
        <w:t>Comprehensive datasets encompassing user metrics, service usage patterns, and OTT revenue</w:t>
      </w:r>
      <w:r>
        <w:rPr>
          <w:lang w:eastAsia="ja-JP" w:bidi="ar-DZ"/>
        </w:rPr>
        <w:t>s may</w:t>
      </w:r>
      <w:r w:rsidRPr="00B103E4">
        <w:rPr>
          <w:lang w:eastAsia="ja-JP" w:bidi="ar-DZ"/>
        </w:rPr>
        <w:t xml:space="preserve"> enable regulators to conduct in-depth analyses that go beyond the qualitative type assessments currently being undertaken. Regulators with this data c</w:t>
      </w:r>
      <w:r>
        <w:rPr>
          <w:lang w:eastAsia="ja-JP" w:bidi="ar-DZ"/>
        </w:rPr>
        <w:t xml:space="preserve">ould potentially </w:t>
      </w:r>
      <w:r w:rsidRPr="00B103E4">
        <w:rPr>
          <w:lang w:eastAsia="ja-JP" w:bidi="ar-DZ"/>
        </w:rPr>
        <w:t>discern not only the scale of market influence exerted by OTT</w:t>
      </w:r>
      <w:r>
        <w:rPr>
          <w:lang w:eastAsia="ja-JP" w:bidi="ar-DZ"/>
        </w:rPr>
        <w:t xml:space="preserve">s </w:t>
      </w:r>
      <w:r w:rsidRPr="00B103E4">
        <w:rPr>
          <w:lang w:eastAsia="ja-JP" w:bidi="ar-DZ"/>
        </w:rPr>
        <w:t>but also the specific mechanisms through which they gain traction</w:t>
      </w:r>
      <w:r>
        <w:rPr>
          <w:lang w:eastAsia="ja-JP" w:bidi="ar-DZ"/>
        </w:rPr>
        <w:t xml:space="preserve"> </w:t>
      </w:r>
      <w:r w:rsidRPr="003F28C3">
        <w:rPr>
          <w:lang w:eastAsia="ja-JP" w:bidi="ar-DZ"/>
        </w:rPr>
        <w:t>(that is whether through communication type services (voice/video calls or messaging) or through broadcasting (media) services)</w:t>
      </w:r>
      <w:r w:rsidRPr="00B103E4">
        <w:rPr>
          <w:lang w:eastAsia="ja-JP" w:bidi="ar-DZ"/>
        </w:rPr>
        <w:t xml:space="preserve">. In addition, regulators </w:t>
      </w:r>
      <w:r>
        <w:rPr>
          <w:lang w:eastAsia="ja-JP" w:bidi="ar-DZ"/>
        </w:rPr>
        <w:t xml:space="preserve">may </w:t>
      </w:r>
      <w:r w:rsidRPr="00B103E4">
        <w:rPr>
          <w:lang w:eastAsia="ja-JP" w:bidi="ar-DZ"/>
        </w:rPr>
        <w:t xml:space="preserve">be able to utilize more evidence-based decision making and formulate targeted policies that strike a balance </w:t>
      </w:r>
      <w:r>
        <w:rPr>
          <w:lang w:eastAsia="ja-JP" w:bidi="ar-DZ"/>
        </w:rPr>
        <w:t>among</w:t>
      </w:r>
      <w:r w:rsidRPr="00B103E4">
        <w:rPr>
          <w:lang w:eastAsia="ja-JP" w:bidi="ar-DZ"/>
        </w:rPr>
        <w:t xml:space="preserve"> </w:t>
      </w:r>
      <w:r>
        <w:rPr>
          <w:lang w:eastAsia="ja-JP" w:bidi="ar-DZ"/>
        </w:rPr>
        <w:t>all stakeholders involved</w:t>
      </w:r>
      <w:r w:rsidRPr="00B103E4">
        <w:rPr>
          <w:lang w:eastAsia="ja-JP" w:bidi="ar-DZ"/>
        </w:rPr>
        <w:t xml:space="preserve">. </w:t>
      </w:r>
    </w:p>
    <w:p w14:paraId="49545A19" w14:textId="3C4250CD" w:rsidR="00741F7E" w:rsidRPr="009158F4" w:rsidRDefault="00741F7E" w:rsidP="00741F7E">
      <w:pPr>
        <w:rPr>
          <w:lang w:eastAsia="ja-JP" w:bidi="ar-DZ"/>
        </w:rPr>
      </w:pPr>
      <w:r>
        <w:rPr>
          <w:lang w:eastAsia="ja-JP" w:bidi="ar-DZ"/>
        </w:rPr>
        <w:t xml:space="preserve">Therefore, this Technical Report proposes a possible standardized dataset on traffic, customer metrics, service type and revenues, of modal or dominant OTT applications that are prevalent in Member States internationally. </w:t>
      </w:r>
      <w:r w:rsidRPr="009158F4">
        <w:rPr>
          <w:lang w:eastAsia="ja-JP" w:bidi="ar-DZ"/>
        </w:rPr>
        <w:t>Establishing a standardized framework that aligns reporting practices among OTT</w:t>
      </w:r>
      <w:r>
        <w:rPr>
          <w:lang w:eastAsia="ja-JP" w:bidi="ar-DZ"/>
        </w:rPr>
        <w:t>s</w:t>
      </w:r>
      <w:r w:rsidRPr="009158F4">
        <w:rPr>
          <w:lang w:eastAsia="ja-JP" w:bidi="ar-DZ"/>
        </w:rPr>
        <w:t xml:space="preserve"> globally </w:t>
      </w:r>
      <w:r>
        <w:rPr>
          <w:lang w:eastAsia="ja-JP" w:bidi="ar-DZ"/>
        </w:rPr>
        <w:t>may</w:t>
      </w:r>
      <w:r w:rsidRPr="009158F4">
        <w:rPr>
          <w:lang w:eastAsia="ja-JP" w:bidi="ar-DZ"/>
        </w:rPr>
        <w:t xml:space="preserve"> facilitate meaningful cross-border analysis on the impact of OTTs on the </w:t>
      </w:r>
      <w:r w:rsidRPr="003E51C2">
        <w:rPr>
          <w:lang w:eastAsia="ja-JP" w:bidi="ar-DZ"/>
        </w:rPr>
        <w:t>telecommunications and broadcasting industry. Table 2 provides an example of</w:t>
      </w:r>
      <w:r w:rsidRPr="009158F4">
        <w:rPr>
          <w:lang w:eastAsia="ja-JP" w:bidi="ar-DZ"/>
        </w:rPr>
        <w:t xml:space="preserve"> twenty-seven (27) </w:t>
      </w:r>
      <w:r>
        <w:rPr>
          <w:lang w:eastAsia="ja-JP" w:bidi="ar-DZ"/>
        </w:rPr>
        <w:t xml:space="preserve">possible </w:t>
      </w:r>
      <w:r w:rsidRPr="009158F4">
        <w:rPr>
          <w:lang w:eastAsia="ja-JP" w:bidi="ar-DZ"/>
        </w:rPr>
        <w:t xml:space="preserve">indicators for consideration </w:t>
      </w:r>
      <w:r>
        <w:rPr>
          <w:lang w:eastAsia="ja-JP" w:bidi="ar-DZ"/>
        </w:rPr>
        <w:t xml:space="preserve">that could potentially </w:t>
      </w:r>
      <w:r w:rsidRPr="009158F4">
        <w:rPr>
          <w:lang w:eastAsia="ja-JP" w:bidi="ar-DZ"/>
        </w:rPr>
        <w:t xml:space="preserve">be captured on OTT </w:t>
      </w:r>
      <w:r>
        <w:rPr>
          <w:lang w:eastAsia="ja-JP" w:bidi="ar-DZ"/>
        </w:rPr>
        <w:t>applications</w:t>
      </w:r>
      <w:r w:rsidRPr="009158F4">
        <w:rPr>
          <w:lang w:eastAsia="ja-JP" w:bidi="ar-DZ"/>
        </w:rPr>
        <w:t xml:space="preserve">. </w:t>
      </w:r>
    </w:p>
    <w:tbl>
      <w:tblPr>
        <w:tblStyle w:val="PlainTable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543"/>
        <w:gridCol w:w="5098"/>
      </w:tblGrid>
      <w:tr w:rsidR="00785CF2" w:rsidRPr="006975CD" w14:paraId="631782D6" w14:textId="77777777" w:rsidTr="00785CF2">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9634" w:type="dxa"/>
            <w:gridSpan w:val="3"/>
            <w:tcBorders>
              <w:top w:val="nil"/>
              <w:left w:val="nil"/>
              <w:right w:val="nil"/>
            </w:tcBorders>
            <w:noWrap/>
          </w:tcPr>
          <w:p w14:paraId="52716409" w14:textId="626D1292" w:rsidR="00785CF2" w:rsidRPr="0030748E" w:rsidRDefault="00785CF2" w:rsidP="00785CF2">
            <w:pPr>
              <w:pStyle w:val="TableNoTitle0"/>
              <w:rPr>
                <w:b/>
                <w:bCs w:val="0"/>
              </w:rPr>
            </w:pPr>
            <w:r w:rsidRPr="00785CF2">
              <w:rPr>
                <w:b/>
                <w:bCs w:val="0"/>
              </w:rPr>
              <w:t xml:space="preserve">Table 2 – Example of </w:t>
            </w:r>
            <w:r w:rsidR="00C4678C">
              <w:rPr>
                <w:b/>
                <w:bCs w:val="0"/>
              </w:rPr>
              <w:t>p</w:t>
            </w:r>
            <w:r w:rsidRPr="00785CF2">
              <w:rPr>
                <w:b/>
                <w:bCs w:val="0"/>
              </w:rPr>
              <w:t xml:space="preserve">roposed </w:t>
            </w:r>
            <w:r w:rsidR="00C4678C">
              <w:rPr>
                <w:b/>
                <w:bCs w:val="0"/>
              </w:rPr>
              <w:t>i</w:t>
            </w:r>
            <w:r w:rsidRPr="00785CF2">
              <w:rPr>
                <w:b/>
                <w:bCs w:val="0"/>
              </w:rPr>
              <w:t xml:space="preserve">ndicators and </w:t>
            </w:r>
            <w:r w:rsidR="00C4678C">
              <w:rPr>
                <w:b/>
                <w:bCs w:val="0"/>
              </w:rPr>
              <w:t>d</w:t>
            </w:r>
            <w:r w:rsidRPr="00785CF2">
              <w:rPr>
                <w:b/>
                <w:bCs w:val="0"/>
              </w:rPr>
              <w:t xml:space="preserve">efinitions for OTT </w:t>
            </w:r>
            <w:r w:rsidR="00C4678C">
              <w:rPr>
                <w:b/>
                <w:bCs w:val="0"/>
              </w:rPr>
              <w:t>d</w:t>
            </w:r>
            <w:r w:rsidRPr="00785CF2">
              <w:rPr>
                <w:b/>
                <w:bCs w:val="0"/>
              </w:rPr>
              <w:t xml:space="preserve">ata </w:t>
            </w:r>
            <w:r w:rsidR="00C4678C">
              <w:rPr>
                <w:b/>
                <w:bCs w:val="0"/>
              </w:rPr>
              <w:t>r</w:t>
            </w:r>
            <w:r w:rsidRPr="00785CF2">
              <w:rPr>
                <w:b/>
                <w:bCs w:val="0"/>
              </w:rPr>
              <w:t>eporting</w:t>
            </w:r>
          </w:p>
        </w:tc>
      </w:tr>
      <w:tr w:rsidR="00741F7E" w:rsidRPr="006975CD" w14:paraId="2CE9EF7D" w14:textId="77777777" w:rsidTr="00E11AA2">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993" w:type="dxa"/>
            <w:tcBorders>
              <w:bottom w:val="none" w:sz="0" w:space="0" w:color="auto"/>
            </w:tcBorders>
            <w:noWrap/>
            <w:hideMark/>
          </w:tcPr>
          <w:p w14:paraId="66B34E8F" w14:textId="77777777" w:rsidR="00741F7E" w:rsidRPr="0030748E" w:rsidRDefault="00741F7E" w:rsidP="0030748E">
            <w:pPr>
              <w:pStyle w:val="Tablehead"/>
              <w:rPr>
                <w:b/>
                <w:bCs w:val="0"/>
              </w:rPr>
            </w:pPr>
            <w:r w:rsidRPr="0030748E">
              <w:rPr>
                <w:b/>
                <w:bCs w:val="0"/>
              </w:rPr>
              <w:t>No.</w:t>
            </w:r>
          </w:p>
        </w:tc>
        <w:tc>
          <w:tcPr>
            <w:tcW w:w="3543" w:type="dxa"/>
            <w:tcBorders>
              <w:bottom w:val="none" w:sz="0" w:space="0" w:color="auto"/>
            </w:tcBorders>
            <w:noWrap/>
            <w:hideMark/>
          </w:tcPr>
          <w:p w14:paraId="07D9B5C5" w14:textId="77777777" w:rsidR="00741F7E" w:rsidRPr="0030748E" w:rsidRDefault="00741F7E" w:rsidP="0030748E">
            <w:pPr>
              <w:pStyle w:val="Tablehead"/>
              <w:cnfStyle w:val="100000000000" w:firstRow="1" w:lastRow="0" w:firstColumn="0" w:lastColumn="0" w:oddVBand="0" w:evenVBand="0" w:oddHBand="0" w:evenHBand="0" w:firstRowFirstColumn="0" w:firstRowLastColumn="0" w:lastRowFirstColumn="0" w:lastRowLastColumn="0"/>
              <w:rPr>
                <w:b/>
                <w:bCs w:val="0"/>
              </w:rPr>
            </w:pPr>
            <w:r w:rsidRPr="0030748E">
              <w:rPr>
                <w:b/>
                <w:bCs w:val="0"/>
              </w:rPr>
              <w:t>Indicator</w:t>
            </w:r>
          </w:p>
        </w:tc>
        <w:tc>
          <w:tcPr>
            <w:tcW w:w="5098" w:type="dxa"/>
            <w:tcBorders>
              <w:bottom w:val="none" w:sz="0" w:space="0" w:color="auto"/>
            </w:tcBorders>
            <w:hideMark/>
          </w:tcPr>
          <w:p w14:paraId="461EF6AC" w14:textId="77777777" w:rsidR="00741F7E" w:rsidRPr="0030748E" w:rsidRDefault="00741F7E" w:rsidP="0030748E">
            <w:pPr>
              <w:pStyle w:val="Tablehead"/>
              <w:cnfStyle w:val="100000000000" w:firstRow="1" w:lastRow="0" w:firstColumn="0" w:lastColumn="0" w:oddVBand="0" w:evenVBand="0" w:oddHBand="0" w:evenHBand="0" w:firstRowFirstColumn="0" w:firstRowLastColumn="0" w:lastRowFirstColumn="0" w:lastRowLastColumn="0"/>
              <w:rPr>
                <w:b/>
                <w:bCs w:val="0"/>
              </w:rPr>
            </w:pPr>
            <w:r w:rsidRPr="0030748E">
              <w:rPr>
                <w:b/>
                <w:bCs w:val="0"/>
              </w:rPr>
              <w:t>Definition</w:t>
            </w:r>
          </w:p>
        </w:tc>
      </w:tr>
      <w:tr w:rsidR="00741F7E" w:rsidRPr="006975CD" w14:paraId="0C29C28D" w14:textId="77777777" w:rsidTr="00E11AA2">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bottom w:val="none" w:sz="0" w:space="0" w:color="auto"/>
            </w:tcBorders>
            <w:noWrap/>
            <w:hideMark/>
          </w:tcPr>
          <w:p w14:paraId="2595616F" w14:textId="77777777" w:rsidR="00741F7E" w:rsidRPr="00711C97" w:rsidRDefault="00741F7E" w:rsidP="0030748E">
            <w:pPr>
              <w:pStyle w:val="Tabletext"/>
              <w:jc w:val="center"/>
              <w:rPr>
                <w:lang w:eastAsia="ja-JP" w:bidi="ar-DZ"/>
              </w:rPr>
            </w:pPr>
            <w:r w:rsidRPr="00711C97">
              <w:rPr>
                <w:lang w:eastAsia="ja-JP" w:bidi="ar-DZ"/>
              </w:rPr>
              <w:t>1</w:t>
            </w:r>
          </w:p>
        </w:tc>
        <w:tc>
          <w:tcPr>
            <w:tcW w:w="3543" w:type="dxa"/>
            <w:tcBorders>
              <w:top w:val="none" w:sz="0" w:space="0" w:color="auto"/>
              <w:bottom w:val="none" w:sz="0" w:space="0" w:color="auto"/>
            </w:tcBorders>
            <w:noWrap/>
            <w:hideMark/>
          </w:tcPr>
          <w:p w14:paraId="6EC79CB0" w14:textId="0D6E446F"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 xml:space="preserve">OTT </w:t>
            </w:r>
            <w:r w:rsidR="006B1489">
              <w:rPr>
                <w:lang w:eastAsia="ja-JP" w:bidi="ar-DZ"/>
              </w:rPr>
              <w:t>a</w:t>
            </w:r>
            <w:r w:rsidRPr="00711C97">
              <w:rPr>
                <w:lang w:eastAsia="ja-JP" w:bidi="ar-DZ"/>
              </w:rPr>
              <w:t>pplication</w:t>
            </w:r>
          </w:p>
        </w:tc>
        <w:tc>
          <w:tcPr>
            <w:tcW w:w="5098" w:type="dxa"/>
            <w:tcBorders>
              <w:top w:val="none" w:sz="0" w:space="0" w:color="auto"/>
              <w:bottom w:val="none" w:sz="0" w:space="0" w:color="auto"/>
            </w:tcBorders>
            <w:hideMark/>
          </w:tcPr>
          <w:p w14:paraId="7AD30312" w14:textId="77777777"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 xml:space="preserve">The type of OTT application being reported on. </w:t>
            </w:r>
          </w:p>
        </w:tc>
      </w:tr>
      <w:tr w:rsidR="00741F7E" w:rsidRPr="006975CD" w14:paraId="4C590198" w14:textId="77777777" w:rsidTr="00E11AA2">
        <w:trPr>
          <w:cantSplit/>
          <w:trHeight w:val="340"/>
        </w:trPr>
        <w:tc>
          <w:tcPr>
            <w:cnfStyle w:val="001000000000" w:firstRow="0" w:lastRow="0" w:firstColumn="1" w:lastColumn="0" w:oddVBand="0" w:evenVBand="0" w:oddHBand="0" w:evenHBand="0" w:firstRowFirstColumn="0" w:firstRowLastColumn="0" w:lastRowFirstColumn="0" w:lastRowLastColumn="0"/>
            <w:tcW w:w="993" w:type="dxa"/>
            <w:noWrap/>
            <w:hideMark/>
          </w:tcPr>
          <w:p w14:paraId="39195C30" w14:textId="77777777" w:rsidR="00741F7E" w:rsidRPr="00711C97" w:rsidRDefault="00741F7E" w:rsidP="0030748E">
            <w:pPr>
              <w:pStyle w:val="Tabletext"/>
              <w:jc w:val="center"/>
              <w:rPr>
                <w:lang w:eastAsia="ja-JP" w:bidi="ar-DZ"/>
              </w:rPr>
            </w:pPr>
            <w:r w:rsidRPr="00711C97">
              <w:rPr>
                <w:lang w:eastAsia="ja-JP" w:bidi="ar-DZ"/>
              </w:rPr>
              <w:t>2</w:t>
            </w:r>
          </w:p>
        </w:tc>
        <w:tc>
          <w:tcPr>
            <w:tcW w:w="3543" w:type="dxa"/>
            <w:noWrap/>
            <w:hideMark/>
          </w:tcPr>
          <w:p w14:paraId="1CF2636C" w14:textId="00EDBB7E"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 xml:space="preserve">OTT </w:t>
            </w:r>
            <w:r w:rsidR="006B1489">
              <w:rPr>
                <w:lang w:eastAsia="ja-JP" w:bidi="ar-DZ"/>
              </w:rPr>
              <w:t>s</w:t>
            </w:r>
            <w:r w:rsidRPr="00711C97">
              <w:rPr>
                <w:lang w:eastAsia="ja-JP" w:bidi="ar-DZ"/>
              </w:rPr>
              <w:t>ubscriptions (</w:t>
            </w:r>
            <w:r w:rsidR="006B1489">
              <w:rPr>
                <w:lang w:eastAsia="ja-JP" w:bidi="ar-DZ"/>
              </w:rPr>
              <w:t>t</w:t>
            </w:r>
            <w:r w:rsidRPr="00711C97">
              <w:rPr>
                <w:lang w:eastAsia="ja-JP" w:bidi="ar-DZ"/>
              </w:rPr>
              <w:t>otal)</w:t>
            </w:r>
          </w:p>
        </w:tc>
        <w:tc>
          <w:tcPr>
            <w:tcW w:w="5098" w:type="dxa"/>
            <w:hideMark/>
          </w:tcPr>
          <w:p w14:paraId="19DCF2BD" w14:textId="77777777"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The total number of (active) subscriptions to the OTT application.</w:t>
            </w:r>
          </w:p>
        </w:tc>
      </w:tr>
      <w:tr w:rsidR="00741F7E" w:rsidRPr="006975CD" w14:paraId="23D27540" w14:textId="77777777" w:rsidTr="00E11AA2">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bottom w:val="none" w:sz="0" w:space="0" w:color="auto"/>
            </w:tcBorders>
            <w:noWrap/>
            <w:hideMark/>
          </w:tcPr>
          <w:p w14:paraId="0D9F0242" w14:textId="77777777" w:rsidR="00741F7E" w:rsidRPr="00711C97" w:rsidRDefault="00741F7E" w:rsidP="0030748E">
            <w:pPr>
              <w:pStyle w:val="Tabletext"/>
              <w:jc w:val="center"/>
              <w:rPr>
                <w:lang w:eastAsia="ja-JP" w:bidi="ar-DZ"/>
              </w:rPr>
            </w:pPr>
            <w:r w:rsidRPr="00711C97">
              <w:rPr>
                <w:lang w:eastAsia="ja-JP" w:bidi="ar-DZ"/>
              </w:rPr>
              <w:t>3</w:t>
            </w:r>
          </w:p>
        </w:tc>
        <w:tc>
          <w:tcPr>
            <w:tcW w:w="3543" w:type="dxa"/>
            <w:tcBorders>
              <w:top w:val="none" w:sz="0" w:space="0" w:color="auto"/>
              <w:bottom w:val="none" w:sz="0" w:space="0" w:color="auto"/>
            </w:tcBorders>
            <w:noWrap/>
            <w:hideMark/>
          </w:tcPr>
          <w:p w14:paraId="28264FE1" w14:textId="7971B59C"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 xml:space="preserve">OTT </w:t>
            </w:r>
            <w:r w:rsidR="006B1489">
              <w:rPr>
                <w:lang w:eastAsia="ja-JP" w:bidi="ar-DZ"/>
              </w:rPr>
              <w:t>s</w:t>
            </w:r>
            <w:r w:rsidRPr="00711C97">
              <w:rPr>
                <w:lang w:eastAsia="ja-JP" w:bidi="ar-DZ"/>
              </w:rPr>
              <w:t>ubscriptions (</w:t>
            </w:r>
            <w:r w:rsidR="006B1489">
              <w:rPr>
                <w:lang w:eastAsia="ja-JP" w:bidi="ar-DZ"/>
              </w:rPr>
              <w:t>b</w:t>
            </w:r>
            <w:r w:rsidRPr="00711C97">
              <w:rPr>
                <w:lang w:eastAsia="ja-JP" w:bidi="ar-DZ"/>
              </w:rPr>
              <w:t xml:space="preserve">usiness </w:t>
            </w:r>
            <w:r w:rsidR="006B1489">
              <w:rPr>
                <w:lang w:eastAsia="ja-JP" w:bidi="ar-DZ"/>
              </w:rPr>
              <w:t>a</w:t>
            </w:r>
            <w:r w:rsidRPr="00711C97">
              <w:rPr>
                <w:lang w:eastAsia="ja-JP" w:bidi="ar-DZ"/>
              </w:rPr>
              <w:t>ccounts)</w:t>
            </w:r>
          </w:p>
        </w:tc>
        <w:tc>
          <w:tcPr>
            <w:tcW w:w="5098" w:type="dxa"/>
            <w:tcBorders>
              <w:top w:val="none" w:sz="0" w:space="0" w:color="auto"/>
              <w:bottom w:val="none" w:sz="0" w:space="0" w:color="auto"/>
            </w:tcBorders>
            <w:hideMark/>
          </w:tcPr>
          <w:p w14:paraId="60D34387" w14:textId="77777777"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The total number of (active) subscriptions to the OTT application that are business accounts only.</w:t>
            </w:r>
          </w:p>
        </w:tc>
      </w:tr>
      <w:tr w:rsidR="00741F7E" w:rsidRPr="006975CD" w14:paraId="624F7954" w14:textId="77777777" w:rsidTr="00E11AA2">
        <w:trPr>
          <w:cantSplit/>
          <w:trHeight w:val="340"/>
        </w:trPr>
        <w:tc>
          <w:tcPr>
            <w:cnfStyle w:val="001000000000" w:firstRow="0" w:lastRow="0" w:firstColumn="1" w:lastColumn="0" w:oddVBand="0" w:evenVBand="0" w:oddHBand="0" w:evenHBand="0" w:firstRowFirstColumn="0" w:firstRowLastColumn="0" w:lastRowFirstColumn="0" w:lastRowLastColumn="0"/>
            <w:tcW w:w="993" w:type="dxa"/>
            <w:noWrap/>
            <w:hideMark/>
          </w:tcPr>
          <w:p w14:paraId="5BE8DE9B" w14:textId="77777777" w:rsidR="00741F7E" w:rsidRPr="00711C97" w:rsidRDefault="00741F7E" w:rsidP="0030748E">
            <w:pPr>
              <w:pStyle w:val="Tabletext"/>
              <w:jc w:val="center"/>
              <w:rPr>
                <w:lang w:eastAsia="ja-JP" w:bidi="ar-DZ"/>
              </w:rPr>
            </w:pPr>
            <w:r w:rsidRPr="00711C97">
              <w:rPr>
                <w:lang w:eastAsia="ja-JP" w:bidi="ar-DZ"/>
              </w:rPr>
              <w:t>4</w:t>
            </w:r>
          </w:p>
        </w:tc>
        <w:tc>
          <w:tcPr>
            <w:tcW w:w="3543" w:type="dxa"/>
            <w:noWrap/>
            <w:hideMark/>
          </w:tcPr>
          <w:p w14:paraId="0FB0CFA8" w14:textId="05F8B96F"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 xml:space="preserve">OTT </w:t>
            </w:r>
            <w:r w:rsidR="006B1489">
              <w:rPr>
                <w:lang w:eastAsia="ja-JP" w:bidi="ar-DZ"/>
              </w:rPr>
              <w:t>d</w:t>
            </w:r>
            <w:r w:rsidRPr="00711C97">
              <w:rPr>
                <w:lang w:eastAsia="ja-JP" w:bidi="ar-DZ"/>
              </w:rPr>
              <w:t>ownloads/</w:t>
            </w:r>
            <w:r w:rsidR="006B1489">
              <w:rPr>
                <w:lang w:eastAsia="ja-JP" w:bidi="ar-DZ"/>
              </w:rPr>
              <w:t>a</w:t>
            </w:r>
            <w:r w:rsidRPr="00711C97">
              <w:rPr>
                <w:lang w:eastAsia="ja-JP" w:bidi="ar-DZ"/>
              </w:rPr>
              <w:t>ccounts (</w:t>
            </w:r>
            <w:r w:rsidR="006B1489">
              <w:rPr>
                <w:lang w:eastAsia="ja-JP" w:bidi="ar-DZ"/>
              </w:rPr>
              <w:t>t</w:t>
            </w:r>
            <w:r w:rsidRPr="00711C97">
              <w:rPr>
                <w:lang w:eastAsia="ja-JP" w:bidi="ar-DZ"/>
              </w:rPr>
              <w:t>otal)</w:t>
            </w:r>
          </w:p>
        </w:tc>
        <w:tc>
          <w:tcPr>
            <w:tcW w:w="5098" w:type="dxa"/>
            <w:hideMark/>
          </w:tcPr>
          <w:p w14:paraId="0D1B105D" w14:textId="77777777"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The total number of downloads of the OTT application.</w:t>
            </w:r>
          </w:p>
        </w:tc>
      </w:tr>
      <w:tr w:rsidR="00741F7E" w:rsidRPr="006975CD" w14:paraId="45558249" w14:textId="77777777" w:rsidTr="00E11AA2">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bottom w:val="none" w:sz="0" w:space="0" w:color="auto"/>
            </w:tcBorders>
            <w:noWrap/>
            <w:hideMark/>
          </w:tcPr>
          <w:p w14:paraId="1DEE788A" w14:textId="77777777" w:rsidR="00741F7E" w:rsidRPr="00711C97" w:rsidRDefault="00741F7E" w:rsidP="0030748E">
            <w:pPr>
              <w:pStyle w:val="Tabletext"/>
              <w:jc w:val="center"/>
              <w:rPr>
                <w:lang w:eastAsia="ja-JP" w:bidi="ar-DZ"/>
              </w:rPr>
            </w:pPr>
            <w:r w:rsidRPr="00711C97">
              <w:rPr>
                <w:lang w:eastAsia="ja-JP" w:bidi="ar-DZ"/>
              </w:rPr>
              <w:t>5</w:t>
            </w:r>
          </w:p>
        </w:tc>
        <w:tc>
          <w:tcPr>
            <w:tcW w:w="3543" w:type="dxa"/>
            <w:tcBorders>
              <w:top w:val="none" w:sz="0" w:space="0" w:color="auto"/>
              <w:bottom w:val="none" w:sz="0" w:space="0" w:color="auto"/>
            </w:tcBorders>
            <w:noWrap/>
            <w:hideMark/>
          </w:tcPr>
          <w:p w14:paraId="6093049F" w14:textId="24A38AED"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 xml:space="preserve">OTT </w:t>
            </w:r>
            <w:r w:rsidR="006B1489">
              <w:rPr>
                <w:lang w:eastAsia="ja-JP" w:bidi="ar-DZ"/>
              </w:rPr>
              <w:t>v</w:t>
            </w:r>
            <w:r w:rsidRPr="00711C97">
              <w:rPr>
                <w:lang w:eastAsia="ja-JP" w:bidi="ar-DZ"/>
              </w:rPr>
              <w:t>oice (</w:t>
            </w:r>
            <w:r w:rsidR="006B1489">
              <w:rPr>
                <w:lang w:eastAsia="ja-JP" w:bidi="ar-DZ"/>
              </w:rPr>
              <w:t>m</w:t>
            </w:r>
            <w:r w:rsidRPr="00711C97">
              <w:rPr>
                <w:lang w:eastAsia="ja-JP" w:bidi="ar-DZ"/>
              </w:rPr>
              <w:t>inutes)</w:t>
            </w:r>
          </w:p>
        </w:tc>
        <w:tc>
          <w:tcPr>
            <w:tcW w:w="5098" w:type="dxa"/>
            <w:tcBorders>
              <w:top w:val="none" w:sz="0" w:space="0" w:color="auto"/>
              <w:bottom w:val="none" w:sz="0" w:space="0" w:color="auto"/>
            </w:tcBorders>
            <w:hideMark/>
          </w:tcPr>
          <w:p w14:paraId="03253456" w14:textId="338FEFFF"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The total number of voice traffic (in min</w:t>
            </w:r>
            <w:r w:rsidR="00096270">
              <w:rPr>
                <w:lang w:eastAsia="ja-JP" w:bidi="ar-DZ"/>
              </w:rPr>
              <w:t>ute</w:t>
            </w:r>
            <w:r w:rsidRPr="00711C97">
              <w:rPr>
                <w:lang w:eastAsia="ja-JP" w:bidi="ar-DZ"/>
              </w:rPr>
              <w:t>s) traversing over the OTT application.</w:t>
            </w:r>
          </w:p>
        </w:tc>
      </w:tr>
      <w:tr w:rsidR="00741F7E" w:rsidRPr="006975CD" w14:paraId="6E665B7D" w14:textId="77777777" w:rsidTr="00E11AA2">
        <w:trPr>
          <w:cantSplit/>
          <w:trHeight w:val="340"/>
        </w:trPr>
        <w:tc>
          <w:tcPr>
            <w:cnfStyle w:val="001000000000" w:firstRow="0" w:lastRow="0" w:firstColumn="1" w:lastColumn="0" w:oddVBand="0" w:evenVBand="0" w:oddHBand="0" w:evenHBand="0" w:firstRowFirstColumn="0" w:firstRowLastColumn="0" w:lastRowFirstColumn="0" w:lastRowLastColumn="0"/>
            <w:tcW w:w="993" w:type="dxa"/>
            <w:noWrap/>
            <w:hideMark/>
          </w:tcPr>
          <w:p w14:paraId="7C740974" w14:textId="77777777" w:rsidR="00741F7E" w:rsidRPr="00711C97" w:rsidRDefault="00741F7E" w:rsidP="0030748E">
            <w:pPr>
              <w:pStyle w:val="Tabletext"/>
              <w:jc w:val="center"/>
              <w:rPr>
                <w:lang w:eastAsia="ja-JP" w:bidi="ar-DZ"/>
              </w:rPr>
            </w:pPr>
            <w:r w:rsidRPr="00711C97">
              <w:rPr>
                <w:lang w:eastAsia="ja-JP" w:bidi="ar-DZ"/>
              </w:rPr>
              <w:t>6</w:t>
            </w:r>
          </w:p>
        </w:tc>
        <w:tc>
          <w:tcPr>
            <w:tcW w:w="3543" w:type="dxa"/>
            <w:noWrap/>
            <w:hideMark/>
          </w:tcPr>
          <w:p w14:paraId="0A9B9D4E" w14:textId="1E4A8959"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 xml:space="preserve">OTT </w:t>
            </w:r>
            <w:r w:rsidR="006B1489">
              <w:rPr>
                <w:lang w:eastAsia="ja-JP" w:bidi="ar-DZ"/>
              </w:rPr>
              <w:t>v</w:t>
            </w:r>
            <w:r w:rsidRPr="00711C97">
              <w:rPr>
                <w:lang w:eastAsia="ja-JP" w:bidi="ar-DZ"/>
              </w:rPr>
              <w:t>oice (</w:t>
            </w:r>
            <w:r w:rsidR="006B1489">
              <w:rPr>
                <w:lang w:eastAsia="ja-JP" w:bidi="ar-DZ"/>
              </w:rPr>
              <w:t>c</w:t>
            </w:r>
            <w:r w:rsidRPr="00711C97">
              <w:rPr>
                <w:lang w:eastAsia="ja-JP" w:bidi="ar-DZ"/>
              </w:rPr>
              <w:t>alls)</w:t>
            </w:r>
          </w:p>
        </w:tc>
        <w:tc>
          <w:tcPr>
            <w:tcW w:w="5098" w:type="dxa"/>
            <w:hideMark/>
          </w:tcPr>
          <w:p w14:paraId="0EEE7E0C" w14:textId="77777777"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The total number of voice calls executed on the OTT application.</w:t>
            </w:r>
          </w:p>
        </w:tc>
      </w:tr>
      <w:tr w:rsidR="00741F7E" w:rsidRPr="006975CD" w14:paraId="0785F7F1" w14:textId="77777777" w:rsidTr="00E11AA2">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bottom w:val="none" w:sz="0" w:space="0" w:color="auto"/>
            </w:tcBorders>
            <w:noWrap/>
            <w:hideMark/>
          </w:tcPr>
          <w:p w14:paraId="67D0AF09" w14:textId="77777777" w:rsidR="00741F7E" w:rsidRPr="00711C97" w:rsidRDefault="00741F7E" w:rsidP="0030748E">
            <w:pPr>
              <w:pStyle w:val="Tabletext"/>
              <w:jc w:val="center"/>
              <w:rPr>
                <w:lang w:eastAsia="ja-JP" w:bidi="ar-DZ"/>
              </w:rPr>
            </w:pPr>
            <w:r w:rsidRPr="00711C97">
              <w:rPr>
                <w:lang w:eastAsia="ja-JP" w:bidi="ar-DZ"/>
              </w:rPr>
              <w:t>7</w:t>
            </w:r>
          </w:p>
        </w:tc>
        <w:tc>
          <w:tcPr>
            <w:tcW w:w="3543" w:type="dxa"/>
            <w:tcBorders>
              <w:top w:val="none" w:sz="0" w:space="0" w:color="auto"/>
              <w:bottom w:val="none" w:sz="0" w:space="0" w:color="auto"/>
            </w:tcBorders>
            <w:noWrap/>
            <w:hideMark/>
          </w:tcPr>
          <w:p w14:paraId="4BD7EA60" w14:textId="681B8181"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 xml:space="preserve">OTT </w:t>
            </w:r>
            <w:r w:rsidR="00923E0C">
              <w:rPr>
                <w:lang w:eastAsia="ja-JP" w:bidi="ar-DZ"/>
              </w:rPr>
              <w:t>v</w:t>
            </w:r>
            <w:r w:rsidRPr="00711C97">
              <w:rPr>
                <w:lang w:eastAsia="ja-JP" w:bidi="ar-DZ"/>
              </w:rPr>
              <w:t>oice (</w:t>
            </w:r>
            <w:r w:rsidR="006B1489">
              <w:rPr>
                <w:lang w:eastAsia="ja-JP" w:bidi="ar-DZ"/>
              </w:rPr>
              <w:t>d</w:t>
            </w:r>
            <w:r w:rsidRPr="00711C97">
              <w:rPr>
                <w:lang w:eastAsia="ja-JP" w:bidi="ar-DZ"/>
              </w:rPr>
              <w:t xml:space="preserve">ata </w:t>
            </w:r>
            <w:r w:rsidR="006B1489">
              <w:rPr>
                <w:lang w:eastAsia="ja-JP" w:bidi="ar-DZ"/>
              </w:rPr>
              <w:t>c</w:t>
            </w:r>
            <w:r w:rsidRPr="00711C97">
              <w:rPr>
                <w:lang w:eastAsia="ja-JP" w:bidi="ar-DZ"/>
              </w:rPr>
              <w:t>onsumed) (GB/TB)</w:t>
            </w:r>
          </w:p>
        </w:tc>
        <w:tc>
          <w:tcPr>
            <w:tcW w:w="5098" w:type="dxa"/>
            <w:tcBorders>
              <w:top w:val="none" w:sz="0" w:space="0" w:color="auto"/>
              <w:bottom w:val="none" w:sz="0" w:space="0" w:color="auto"/>
            </w:tcBorders>
            <w:hideMark/>
          </w:tcPr>
          <w:p w14:paraId="35473340" w14:textId="77777777"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The total volume of data (in GB or TB) consumed for voice traffic on the OTT application.</w:t>
            </w:r>
          </w:p>
        </w:tc>
      </w:tr>
      <w:tr w:rsidR="00741F7E" w:rsidRPr="006975CD" w14:paraId="54A36BBC" w14:textId="77777777" w:rsidTr="00E11AA2">
        <w:trPr>
          <w:cantSplit/>
          <w:trHeight w:val="340"/>
        </w:trPr>
        <w:tc>
          <w:tcPr>
            <w:cnfStyle w:val="001000000000" w:firstRow="0" w:lastRow="0" w:firstColumn="1" w:lastColumn="0" w:oddVBand="0" w:evenVBand="0" w:oddHBand="0" w:evenHBand="0" w:firstRowFirstColumn="0" w:firstRowLastColumn="0" w:lastRowFirstColumn="0" w:lastRowLastColumn="0"/>
            <w:tcW w:w="993" w:type="dxa"/>
            <w:noWrap/>
            <w:hideMark/>
          </w:tcPr>
          <w:p w14:paraId="39859C49" w14:textId="77777777" w:rsidR="00741F7E" w:rsidRPr="00711C97" w:rsidRDefault="00741F7E" w:rsidP="0030748E">
            <w:pPr>
              <w:pStyle w:val="Tabletext"/>
              <w:jc w:val="center"/>
              <w:rPr>
                <w:lang w:eastAsia="ja-JP" w:bidi="ar-DZ"/>
              </w:rPr>
            </w:pPr>
            <w:r w:rsidRPr="00711C97">
              <w:rPr>
                <w:lang w:eastAsia="ja-JP" w:bidi="ar-DZ"/>
              </w:rPr>
              <w:t>8</w:t>
            </w:r>
          </w:p>
        </w:tc>
        <w:tc>
          <w:tcPr>
            <w:tcW w:w="3543" w:type="dxa"/>
            <w:noWrap/>
            <w:hideMark/>
          </w:tcPr>
          <w:p w14:paraId="55C97E26" w14:textId="08146378"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 xml:space="preserve">OTT </w:t>
            </w:r>
            <w:r w:rsidR="006B1489">
              <w:rPr>
                <w:lang w:eastAsia="ja-JP" w:bidi="ar-DZ"/>
              </w:rPr>
              <w:t>m</w:t>
            </w:r>
            <w:r w:rsidRPr="00711C97">
              <w:rPr>
                <w:lang w:eastAsia="ja-JP" w:bidi="ar-DZ"/>
              </w:rPr>
              <w:t>essaging (</w:t>
            </w:r>
            <w:r w:rsidR="006B1489">
              <w:rPr>
                <w:lang w:eastAsia="ja-JP" w:bidi="ar-DZ"/>
              </w:rPr>
              <w:t>t</w:t>
            </w:r>
            <w:r w:rsidRPr="00711C97">
              <w:rPr>
                <w:lang w:eastAsia="ja-JP" w:bidi="ar-DZ"/>
              </w:rPr>
              <w:t>otal)</w:t>
            </w:r>
          </w:p>
        </w:tc>
        <w:tc>
          <w:tcPr>
            <w:tcW w:w="5098" w:type="dxa"/>
            <w:hideMark/>
          </w:tcPr>
          <w:p w14:paraId="2DF96BA5" w14:textId="77777777"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 xml:space="preserve">The total number of text messages executed on the OTT application. </w:t>
            </w:r>
          </w:p>
        </w:tc>
      </w:tr>
      <w:tr w:rsidR="00741F7E" w:rsidRPr="006975CD" w14:paraId="0AE4674D" w14:textId="77777777" w:rsidTr="00E11AA2">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bottom w:val="none" w:sz="0" w:space="0" w:color="auto"/>
            </w:tcBorders>
            <w:noWrap/>
            <w:hideMark/>
          </w:tcPr>
          <w:p w14:paraId="1C69007D" w14:textId="77777777" w:rsidR="00741F7E" w:rsidRPr="00711C97" w:rsidRDefault="00741F7E" w:rsidP="0030748E">
            <w:pPr>
              <w:pStyle w:val="Tabletext"/>
              <w:jc w:val="center"/>
              <w:rPr>
                <w:lang w:eastAsia="ja-JP" w:bidi="ar-DZ"/>
              </w:rPr>
            </w:pPr>
            <w:r w:rsidRPr="00711C97">
              <w:rPr>
                <w:lang w:eastAsia="ja-JP" w:bidi="ar-DZ"/>
              </w:rPr>
              <w:t>9</w:t>
            </w:r>
          </w:p>
        </w:tc>
        <w:tc>
          <w:tcPr>
            <w:tcW w:w="3543" w:type="dxa"/>
            <w:tcBorders>
              <w:top w:val="none" w:sz="0" w:space="0" w:color="auto"/>
              <w:bottom w:val="none" w:sz="0" w:space="0" w:color="auto"/>
            </w:tcBorders>
            <w:noWrap/>
            <w:hideMark/>
          </w:tcPr>
          <w:p w14:paraId="03447230" w14:textId="60944CCA"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 xml:space="preserve">OTT </w:t>
            </w:r>
            <w:r w:rsidR="006B1489">
              <w:rPr>
                <w:lang w:eastAsia="ja-JP" w:bidi="ar-DZ"/>
              </w:rPr>
              <w:t>m</w:t>
            </w:r>
            <w:r w:rsidRPr="00711C97">
              <w:rPr>
                <w:lang w:eastAsia="ja-JP" w:bidi="ar-DZ"/>
              </w:rPr>
              <w:t>essaging (</w:t>
            </w:r>
            <w:r w:rsidR="006B1489">
              <w:rPr>
                <w:lang w:eastAsia="ja-JP" w:bidi="ar-DZ"/>
              </w:rPr>
              <w:t>d</w:t>
            </w:r>
            <w:r w:rsidRPr="00711C97">
              <w:rPr>
                <w:lang w:eastAsia="ja-JP" w:bidi="ar-DZ"/>
              </w:rPr>
              <w:t xml:space="preserve">ata </w:t>
            </w:r>
            <w:r w:rsidR="006B1489">
              <w:rPr>
                <w:lang w:eastAsia="ja-JP" w:bidi="ar-DZ"/>
              </w:rPr>
              <w:t>c</w:t>
            </w:r>
            <w:r w:rsidRPr="00711C97">
              <w:rPr>
                <w:lang w:eastAsia="ja-JP" w:bidi="ar-DZ"/>
              </w:rPr>
              <w:t>onsumed) (GB/TB)</w:t>
            </w:r>
          </w:p>
        </w:tc>
        <w:tc>
          <w:tcPr>
            <w:tcW w:w="5098" w:type="dxa"/>
            <w:tcBorders>
              <w:top w:val="none" w:sz="0" w:space="0" w:color="auto"/>
              <w:bottom w:val="none" w:sz="0" w:space="0" w:color="auto"/>
            </w:tcBorders>
            <w:hideMark/>
          </w:tcPr>
          <w:p w14:paraId="73DD4672" w14:textId="77777777"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The total volume of data (in GB or TB) consumed in the transmission of text messages on the OTT application.</w:t>
            </w:r>
          </w:p>
        </w:tc>
      </w:tr>
      <w:tr w:rsidR="00741F7E" w:rsidRPr="006975CD" w14:paraId="33A44134" w14:textId="77777777" w:rsidTr="00E11AA2">
        <w:trPr>
          <w:cantSplit/>
          <w:trHeight w:val="340"/>
        </w:trPr>
        <w:tc>
          <w:tcPr>
            <w:cnfStyle w:val="001000000000" w:firstRow="0" w:lastRow="0" w:firstColumn="1" w:lastColumn="0" w:oddVBand="0" w:evenVBand="0" w:oddHBand="0" w:evenHBand="0" w:firstRowFirstColumn="0" w:firstRowLastColumn="0" w:lastRowFirstColumn="0" w:lastRowLastColumn="0"/>
            <w:tcW w:w="993" w:type="dxa"/>
            <w:noWrap/>
            <w:hideMark/>
          </w:tcPr>
          <w:p w14:paraId="775B9DF5" w14:textId="77777777" w:rsidR="00741F7E" w:rsidRPr="00711C97" w:rsidRDefault="00741F7E" w:rsidP="0030748E">
            <w:pPr>
              <w:pStyle w:val="Tabletext"/>
              <w:jc w:val="center"/>
              <w:rPr>
                <w:lang w:eastAsia="ja-JP" w:bidi="ar-DZ"/>
              </w:rPr>
            </w:pPr>
            <w:r w:rsidRPr="00711C97">
              <w:rPr>
                <w:lang w:eastAsia="ja-JP" w:bidi="ar-DZ"/>
              </w:rPr>
              <w:t>10</w:t>
            </w:r>
          </w:p>
        </w:tc>
        <w:tc>
          <w:tcPr>
            <w:tcW w:w="3543" w:type="dxa"/>
            <w:noWrap/>
            <w:hideMark/>
          </w:tcPr>
          <w:p w14:paraId="10C7A78F" w14:textId="5695A2B0"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 xml:space="preserve">OTT </w:t>
            </w:r>
            <w:r w:rsidR="006B1489">
              <w:rPr>
                <w:lang w:eastAsia="ja-JP" w:bidi="ar-DZ"/>
              </w:rPr>
              <w:t>v</w:t>
            </w:r>
            <w:r w:rsidRPr="00711C97">
              <w:rPr>
                <w:lang w:eastAsia="ja-JP" w:bidi="ar-DZ"/>
              </w:rPr>
              <w:t>ideo (</w:t>
            </w:r>
            <w:r w:rsidR="006B1489">
              <w:rPr>
                <w:lang w:eastAsia="ja-JP" w:bidi="ar-DZ"/>
              </w:rPr>
              <w:t>n</w:t>
            </w:r>
            <w:r w:rsidRPr="00711C97">
              <w:rPr>
                <w:lang w:eastAsia="ja-JP" w:bidi="ar-DZ"/>
              </w:rPr>
              <w:t xml:space="preserve">umber of </w:t>
            </w:r>
            <w:r w:rsidR="006B1489">
              <w:rPr>
                <w:lang w:eastAsia="ja-JP" w:bidi="ar-DZ"/>
              </w:rPr>
              <w:t>c</w:t>
            </w:r>
            <w:r w:rsidRPr="00711C97">
              <w:rPr>
                <w:lang w:eastAsia="ja-JP" w:bidi="ar-DZ"/>
              </w:rPr>
              <w:t xml:space="preserve">alls) </w:t>
            </w:r>
          </w:p>
        </w:tc>
        <w:tc>
          <w:tcPr>
            <w:tcW w:w="5098" w:type="dxa"/>
            <w:hideMark/>
          </w:tcPr>
          <w:p w14:paraId="5673CD9F" w14:textId="77777777"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The total number of video calls executed on the OTT application.</w:t>
            </w:r>
          </w:p>
        </w:tc>
      </w:tr>
      <w:tr w:rsidR="00741F7E" w:rsidRPr="006975CD" w14:paraId="162A706C" w14:textId="77777777" w:rsidTr="00E11AA2">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bottom w:val="none" w:sz="0" w:space="0" w:color="auto"/>
            </w:tcBorders>
            <w:noWrap/>
            <w:hideMark/>
          </w:tcPr>
          <w:p w14:paraId="3F6625B5" w14:textId="77777777" w:rsidR="00741F7E" w:rsidRPr="00711C97" w:rsidRDefault="00741F7E" w:rsidP="0030748E">
            <w:pPr>
              <w:pStyle w:val="Tabletext"/>
              <w:jc w:val="center"/>
              <w:rPr>
                <w:lang w:eastAsia="ja-JP" w:bidi="ar-DZ"/>
              </w:rPr>
            </w:pPr>
            <w:r w:rsidRPr="00711C97">
              <w:rPr>
                <w:lang w:eastAsia="ja-JP" w:bidi="ar-DZ"/>
              </w:rPr>
              <w:t>11</w:t>
            </w:r>
          </w:p>
        </w:tc>
        <w:tc>
          <w:tcPr>
            <w:tcW w:w="3543" w:type="dxa"/>
            <w:tcBorders>
              <w:top w:val="none" w:sz="0" w:space="0" w:color="auto"/>
              <w:bottom w:val="none" w:sz="0" w:space="0" w:color="auto"/>
            </w:tcBorders>
            <w:noWrap/>
            <w:hideMark/>
          </w:tcPr>
          <w:p w14:paraId="4CC164F9" w14:textId="4AF3204B"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 xml:space="preserve">OTT </w:t>
            </w:r>
            <w:r w:rsidR="006B1489">
              <w:rPr>
                <w:lang w:eastAsia="ja-JP" w:bidi="ar-DZ"/>
              </w:rPr>
              <w:t>v</w:t>
            </w:r>
            <w:r w:rsidRPr="00711C97">
              <w:rPr>
                <w:lang w:eastAsia="ja-JP" w:bidi="ar-DZ"/>
              </w:rPr>
              <w:t>ideo (</w:t>
            </w:r>
            <w:r w:rsidR="006B1489">
              <w:rPr>
                <w:lang w:eastAsia="ja-JP" w:bidi="ar-DZ"/>
              </w:rPr>
              <w:t>c</w:t>
            </w:r>
            <w:r w:rsidRPr="00711C97">
              <w:rPr>
                <w:lang w:eastAsia="ja-JP" w:bidi="ar-DZ"/>
              </w:rPr>
              <w:t xml:space="preserve">alls) </w:t>
            </w:r>
            <w:r w:rsidR="001E079F">
              <w:rPr>
                <w:lang w:eastAsia="ja-JP" w:bidi="ar-DZ"/>
              </w:rPr>
              <w:t>–</w:t>
            </w:r>
            <w:r w:rsidRPr="00711C97">
              <w:rPr>
                <w:lang w:eastAsia="ja-JP" w:bidi="ar-DZ"/>
              </w:rPr>
              <w:t xml:space="preserve"> </w:t>
            </w:r>
            <w:r w:rsidR="006B1489">
              <w:rPr>
                <w:lang w:eastAsia="ja-JP" w:bidi="ar-DZ"/>
              </w:rPr>
              <w:t>d</w:t>
            </w:r>
            <w:r w:rsidRPr="00711C97">
              <w:rPr>
                <w:lang w:eastAsia="ja-JP" w:bidi="ar-DZ"/>
              </w:rPr>
              <w:t xml:space="preserve">ata </w:t>
            </w:r>
            <w:r w:rsidR="006B1489">
              <w:rPr>
                <w:lang w:eastAsia="ja-JP" w:bidi="ar-DZ"/>
              </w:rPr>
              <w:t>c</w:t>
            </w:r>
            <w:r w:rsidRPr="00711C97">
              <w:rPr>
                <w:lang w:eastAsia="ja-JP" w:bidi="ar-DZ"/>
              </w:rPr>
              <w:t>onsumed (GB/TB)</w:t>
            </w:r>
          </w:p>
        </w:tc>
        <w:tc>
          <w:tcPr>
            <w:tcW w:w="5098" w:type="dxa"/>
            <w:tcBorders>
              <w:top w:val="none" w:sz="0" w:space="0" w:color="auto"/>
              <w:bottom w:val="none" w:sz="0" w:space="0" w:color="auto"/>
            </w:tcBorders>
            <w:hideMark/>
          </w:tcPr>
          <w:p w14:paraId="324B8497" w14:textId="77777777"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The total volume of data (in GB or TB) consumed in the transmission of video calls on the OTT application.</w:t>
            </w:r>
          </w:p>
        </w:tc>
      </w:tr>
      <w:tr w:rsidR="00741F7E" w:rsidRPr="006975CD" w14:paraId="4335A581" w14:textId="77777777" w:rsidTr="00E11AA2">
        <w:trPr>
          <w:cantSplit/>
          <w:trHeight w:val="340"/>
        </w:trPr>
        <w:tc>
          <w:tcPr>
            <w:cnfStyle w:val="001000000000" w:firstRow="0" w:lastRow="0" w:firstColumn="1" w:lastColumn="0" w:oddVBand="0" w:evenVBand="0" w:oddHBand="0" w:evenHBand="0" w:firstRowFirstColumn="0" w:firstRowLastColumn="0" w:lastRowFirstColumn="0" w:lastRowLastColumn="0"/>
            <w:tcW w:w="993" w:type="dxa"/>
            <w:noWrap/>
            <w:hideMark/>
          </w:tcPr>
          <w:p w14:paraId="7527915C" w14:textId="77777777" w:rsidR="00741F7E" w:rsidRPr="00711C97" w:rsidRDefault="00741F7E" w:rsidP="0030748E">
            <w:pPr>
              <w:pStyle w:val="Tabletext"/>
              <w:jc w:val="center"/>
              <w:rPr>
                <w:lang w:eastAsia="ja-JP" w:bidi="ar-DZ"/>
              </w:rPr>
            </w:pPr>
            <w:r w:rsidRPr="00711C97">
              <w:rPr>
                <w:lang w:eastAsia="ja-JP" w:bidi="ar-DZ"/>
              </w:rPr>
              <w:t>12</w:t>
            </w:r>
          </w:p>
        </w:tc>
        <w:tc>
          <w:tcPr>
            <w:tcW w:w="3543" w:type="dxa"/>
            <w:noWrap/>
            <w:hideMark/>
          </w:tcPr>
          <w:p w14:paraId="0A00641F" w14:textId="12C1DF0E"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 xml:space="preserve">OTT </w:t>
            </w:r>
            <w:r w:rsidR="005A0118">
              <w:rPr>
                <w:lang w:eastAsia="ja-JP" w:bidi="ar-DZ"/>
              </w:rPr>
              <w:t>v</w:t>
            </w:r>
            <w:r w:rsidRPr="00711C97">
              <w:rPr>
                <w:lang w:eastAsia="ja-JP" w:bidi="ar-DZ"/>
              </w:rPr>
              <w:t>ideo (</w:t>
            </w:r>
            <w:r w:rsidR="001E1429">
              <w:rPr>
                <w:lang w:eastAsia="ja-JP" w:bidi="ar-DZ"/>
              </w:rPr>
              <w:t>n</w:t>
            </w:r>
            <w:r w:rsidRPr="00711C97">
              <w:rPr>
                <w:lang w:eastAsia="ja-JP" w:bidi="ar-DZ"/>
              </w:rPr>
              <w:t xml:space="preserve">umber of </w:t>
            </w:r>
            <w:r w:rsidR="001E1429">
              <w:rPr>
                <w:lang w:eastAsia="ja-JP" w:bidi="ar-DZ"/>
              </w:rPr>
              <w:t>m</w:t>
            </w:r>
            <w:r w:rsidRPr="00711C97">
              <w:rPr>
                <w:lang w:eastAsia="ja-JP" w:bidi="ar-DZ"/>
              </w:rPr>
              <w:t>essages)</w:t>
            </w:r>
          </w:p>
        </w:tc>
        <w:tc>
          <w:tcPr>
            <w:tcW w:w="5098" w:type="dxa"/>
            <w:hideMark/>
          </w:tcPr>
          <w:p w14:paraId="4C0DA9BD" w14:textId="77777777"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 xml:space="preserve">The total number of video messages executed on the OTT application. </w:t>
            </w:r>
          </w:p>
        </w:tc>
      </w:tr>
      <w:tr w:rsidR="00741F7E" w:rsidRPr="006975CD" w14:paraId="665B37B8" w14:textId="77777777" w:rsidTr="00E11AA2">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bottom w:val="none" w:sz="0" w:space="0" w:color="auto"/>
            </w:tcBorders>
            <w:noWrap/>
            <w:hideMark/>
          </w:tcPr>
          <w:p w14:paraId="7C1B2AA3" w14:textId="77777777" w:rsidR="00741F7E" w:rsidRPr="00711C97" w:rsidRDefault="00741F7E" w:rsidP="0030748E">
            <w:pPr>
              <w:pStyle w:val="Tabletext"/>
              <w:jc w:val="center"/>
              <w:rPr>
                <w:lang w:eastAsia="ja-JP" w:bidi="ar-DZ"/>
              </w:rPr>
            </w:pPr>
            <w:r w:rsidRPr="00711C97">
              <w:rPr>
                <w:lang w:eastAsia="ja-JP" w:bidi="ar-DZ"/>
              </w:rPr>
              <w:t>13</w:t>
            </w:r>
          </w:p>
        </w:tc>
        <w:tc>
          <w:tcPr>
            <w:tcW w:w="3543" w:type="dxa"/>
            <w:tcBorders>
              <w:top w:val="none" w:sz="0" w:space="0" w:color="auto"/>
              <w:bottom w:val="none" w:sz="0" w:space="0" w:color="auto"/>
            </w:tcBorders>
            <w:noWrap/>
            <w:hideMark/>
          </w:tcPr>
          <w:p w14:paraId="393FBB2E" w14:textId="7D84896E"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 xml:space="preserve">OTT </w:t>
            </w:r>
            <w:r w:rsidR="001E1429">
              <w:rPr>
                <w:lang w:eastAsia="ja-JP" w:bidi="ar-DZ"/>
              </w:rPr>
              <w:t>v</w:t>
            </w:r>
            <w:r w:rsidRPr="00711C97">
              <w:rPr>
                <w:lang w:eastAsia="ja-JP" w:bidi="ar-DZ"/>
              </w:rPr>
              <w:t>ideo (</w:t>
            </w:r>
            <w:r w:rsidR="001E1429">
              <w:rPr>
                <w:lang w:eastAsia="ja-JP" w:bidi="ar-DZ"/>
              </w:rPr>
              <w:t>m</w:t>
            </w:r>
            <w:r w:rsidRPr="00711C97">
              <w:rPr>
                <w:lang w:eastAsia="ja-JP" w:bidi="ar-DZ"/>
              </w:rPr>
              <w:t>essaging)</w:t>
            </w:r>
            <w:r w:rsidR="001E079F" w:rsidRPr="00711C97">
              <w:rPr>
                <w:lang w:eastAsia="ja-JP" w:bidi="ar-DZ"/>
              </w:rPr>
              <w:t xml:space="preserve"> </w:t>
            </w:r>
            <w:r w:rsidR="001E079F">
              <w:rPr>
                <w:lang w:eastAsia="ja-JP" w:bidi="ar-DZ"/>
              </w:rPr>
              <w:t>–</w:t>
            </w:r>
            <w:r w:rsidR="001E079F" w:rsidRPr="00711C97">
              <w:rPr>
                <w:lang w:eastAsia="ja-JP" w:bidi="ar-DZ"/>
              </w:rPr>
              <w:t xml:space="preserve"> </w:t>
            </w:r>
            <w:r w:rsidR="001E1429">
              <w:rPr>
                <w:lang w:eastAsia="ja-JP" w:bidi="ar-DZ"/>
              </w:rPr>
              <w:t>d</w:t>
            </w:r>
            <w:r w:rsidRPr="00711C97">
              <w:rPr>
                <w:lang w:eastAsia="ja-JP" w:bidi="ar-DZ"/>
              </w:rPr>
              <w:t xml:space="preserve">ata </w:t>
            </w:r>
            <w:r w:rsidR="001E1429">
              <w:rPr>
                <w:lang w:eastAsia="ja-JP" w:bidi="ar-DZ"/>
              </w:rPr>
              <w:t>c</w:t>
            </w:r>
            <w:r w:rsidRPr="00711C97">
              <w:rPr>
                <w:lang w:eastAsia="ja-JP" w:bidi="ar-DZ"/>
              </w:rPr>
              <w:t>onsumed (GB/TB)</w:t>
            </w:r>
          </w:p>
        </w:tc>
        <w:tc>
          <w:tcPr>
            <w:tcW w:w="5098" w:type="dxa"/>
            <w:tcBorders>
              <w:top w:val="none" w:sz="0" w:space="0" w:color="auto"/>
              <w:bottom w:val="none" w:sz="0" w:space="0" w:color="auto"/>
            </w:tcBorders>
            <w:hideMark/>
          </w:tcPr>
          <w:p w14:paraId="5CFCB93D" w14:textId="77777777"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The total volume of data (in GB or TB) consumed in the transmission of video messages on the OTT application.</w:t>
            </w:r>
          </w:p>
        </w:tc>
      </w:tr>
      <w:tr w:rsidR="00741F7E" w:rsidRPr="006975CD" w14:paraId="63E2F1F1" w14:textId="77777777" w:rsidTr="00E11AA2">
        <w:trPr>
          <w:cantSplit/>
          <w:trHeight w:val="340"/>
        </w:trPr>
        <w:tc>
          <w:tcPr>
            <w:cnfStyle w:val="001000000000" w:firstRow="0" w:lastRow="0" w:firstColumn="1" w:lastColumn="0" w:oddVBand="0" w:evenVBand="0" w:oddHBand="0" w:evenHBand="0" w:firstRowFirstColumn="0" w:firstRowLastColumn="0" w:lastRowFirstColumn="0" w:lastRowLastColumn="0"/>
            <w:tcW w:w="993" w:type="dxa"/>
            <w:noWrap/>
            <w:hideMark/>
          </w:tcPr>
          <w:p w14:paraId="54757086" w14:textId="77777777" w:rsidR="00741F7E" w:rsidRPr="00711C97" w:rsidRDefault="00741F7E" w:rsidP="0030748E">
            <w:pPr>
              <w:pStyle w:val="Tabletext"/>
              <w:jc w:val="center"/>
              <w:rPr>
                <w:lang w:eastAsia="ja-JP" w:bidi="ar-DZ"/>
              </w:rPr>
            </w:pPr>
            <w:r w:rsidRPr="00711C97">
              <w:rPr>
                <w:lang w:eastAsia="ja-JP" w:bidi="ar-DZ"/>
              </w:rPr>
              <w:t>14</w:t>
            </w:r>
          </w:p>
        </w:tc>
        <w:tc>
          <w:tcPr>
            <w:tcW w:w="3543" w:type="dxa"/>
            <w:noWrap/>
            <w:hideMark/>
          </w:tcPr>
          <w:p w14:paraId="386AA6FD" w14:textId="68BFD513"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 xml:space="preserve">OTT </w:t>
            </w:r>
            <w:r w:rsidR="001E1429">
              <w:rPr>
                <w:lang w:eastAsia="ja-JP" w:bidi="ar-DZ"/>
              </w:rPr>
              <w:t>v</w:t>
            </w:r>
            <w:r w:rsidRPr="00711C97">
              <w:rPr>
                <w:lang w:eastAsia="ja-JP" w:bidi="ar-DZ"/>
              </w:rPr>
              <w:t xml:space="preserve">ideo </w:t>
            </w:r>
            <w:r w:rsidR="001E1429">
              <w:rPr>
                <w:lang w:eastAsia="ja-JP" w:bidi="ar-DZ"/>
              </w:rPr>
              <w:t>d</w:t>
            </w:r>
            <w:r w:rsidRPr="00711C97">
              <w:rPr>
                <w:lang w:eastAsia="ja-JP" w:bidi="ar-DZ"/>
              </w:rPr>
              <w:t>ata (GB/TB) (</w:t>
            </w:r>
            <w:r w:rsidR="001E1429">
              <w:rPr>
                <w:lang w:eastAsia="ja-JP" w:bidi="ar-DZ"/>
              </w:rPr>
              <w:t>m</w:t>
            </w:r>
            <w:r w:rsidRPr="00711C97">
              <w:rPr>
                <w:lang w:eastAsia="ja-JP" w:bidi="ar-DZ"/>
              </w:rPr>
              <w:t>edia</w:t>
            </w:r>
            <w:r w:rsidR="001E079F" w:rsidRPr="00711C97">
              <w:rPr>
                <w:lang w:eastAsia="ja-JP" w:bidi="ar-DZ"/>
              </w:rPr>
              <w:t xml:space="preserve"> </w:t>
            </w:r>
            <w:r w:rsidR="001E079F">
              <w:rPr>
                <w:lang w:eastAsia="ja-JP" w:bidi="ar-DZ"/>
              </w:rPr>
              <w:t>–</w:t>
            </w:r>
            <w:r w:rsidR="001E079F" w:rsidRPr="00711C97">
              <w:rPr>
                <w:lang w:eastAsia="ja-JP" w:bidi="ar-DZ"/>
              </w:rPr>
              <w:t xml:space="preserve"> </w:t>
            </w:r>
            <w:r w:rsidR="001E1429">
              <w:rPr>
                <w:lang w:eastAsia="ja-JP" w:bidi="ar-DZ"/>
              </w:rPr>
              <w:t>b</w:t>
            </w:r>
            <w:r w:rsidRPr="00711C97">
              <w:rPr>
                <w:lang w:eastAsia="ja-JP" w:bidi="ar-DZ"/>
              </w:rPr>
              <w:t xml:space="preserve">roadcast (linear) video) </w:t>
            </w:r>
          </w:p>
        </w:tc>
        <w:tc>
          <w:tcPr>
            <w:tcW w:w="5098" w:type="dxa"/>
            <w:hideMark/>
          </w:tcPr>
          <w:p w14:paraId="6E94F75F" w14:textId="225E182A"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The total volume of data (in GB or TB) consumed in the streaming of broadcast (linear) video content via</w:t>
            </w:r>
            <w:r w:rsidR="00CE7981">
              <w:rPr>
                <w:lang w:eastAsia="ja-JP" w:bidi="ar-DZ"/>
              </w:rPr>
              <w:t xml:space="preserve"> the</w:t>
            </w:r>
            <w:r w:rsidRPr="00711C97">
              <w:rPr>
                <w:lang w:eastAsia="ja-JP" w:bidi="ar-DZ"/>
              </w:rPr>
              <w:t xml:space="preserve"> Internet </w:t>
            </w:r>
            <w:r w:rsidR="00CE7981">
              <w:rPr>
                <w:lang w:eastAsia="ja-JP" w:bidi="ar-DZ"/>
              </w:rPr>
              <w:t>p</w:t>
            </w:r>
            <w:r w:rsidRPr="00711C97">
              <w:rPr>
                <w:lang w:eastAsia="ja-JP" w:bidi="ar-DZ"/>
              </w:rPr>
              <w:t xml:space="preserve">rotocol </w:t>
            </w:r>
            <w:r w:rsidR="00CE7981">
              <w:rPr>
                <w:lang w:eastAsia="ja-JP" w:bidi="ar-DZ"/>
              </w:rPr>
              <w:t>television (</w:t>
            </w:r>
            <w:r w:rsidRPr="00711C97">
              <w:rPr>
                <w:lang w:eastAsia="ja-JP" w:bidi="ar-DZ"/>
              </w:rPr>
              <w:t>TV</w:t>
            </w:r>
            <w:r w:rsidR="00CE7981">
              <w:rPr>
                <w:lang w:eastAsia="ja-JP" w:bidi="ar-DZ"/>
              </w:rPr>
              <w:t>)</w:t>
            </w:r>
            <w:r w:rsidRPr="00711C97">
              <w:rPr>
                <w:lang w:eastAsia="ja-JP" w:bidi="ar-DZ"/>
              </w:rPr>
              <w:t xml:space="preserve">. </w:t>
            </w:r>
          </w:p>
        </w:tc>
      </w:tr>
      <w:tr w:rsidR="00741F7E" w:rsidRPr="006975CD" w14:paraId="00E30519" w14:textId="77777777" w:rsidTr="00E11AA2">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bottom w:val="none" w:sz="0" w:space="0" w:color="auto"/>
            </w:tcBorders>
            <w:noWrap/>
            <w:hideMark/>
          </w:tcPr>
          <w:p w14:paraId="1468A343" w14:textId="77777777" w:rsidR="00741F7E" w:rsidRPr="00711C97" w:rsidRDefault="00741F7E" w:rsidP="0030748E">
            <w:pPr>
              <w:pStyle w:val="Tabletext"/>
              <w:jc w:val="center"/>
              <w:rPr>
                <w:lang w:eastAsia="ja-JP" w:bidi="ar-DZ"/>
              </w:rPr>
            </w:pPr>
            <w:r w:rsidRPr="00711C97">
              <w:rPr>
                <w:lang w:eastAsia="ja-JP" w:bidi="ar-DZ"/>
              </w:rPr>
              <w:lastRenderedPageBreak/>
              <w:t>15</w:t>
            </w:r>
          </w:p>
        </w:tc>
        <w:tc>
          <w:tcPr>
            <w:tcW w:w="3543" w:type="dxa"/>
            <w:tcBorders>
              <w:top w:val="none" w:sz="0" w:space="0" w:color="auto"/>
              <w:bottom w:val="none" w:sz="0" w:space="0" w:color="auto"/>
            </w:tcBorders>
            <w:noWrap/>
            <w:hideMark/>
          </w:tcPr>
          <w:p w14:paraId="0D4C0CB9" w14:textId="36E58196"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 xml:space="preserve">OTT </w:t>
            </w:r>
            <w:r w:rsidR="001E1429">
              <w:rPr>
                <w:lang w:eastAsia="ja-JP" w:bidi="ar-DZ"/>
              </w:rPr>
              <w:t>v</w:t>
            </w:r>
            <w:r w:rsidRPr="00711C97">
              <w:rPr>
                <w:lang w:eastAsia="ja-JP" w:bidi="ar-DZ"/>
              </w:rPr>
              <w:t xml:space="preserve">ideo </w:t>
            </w:r>
            <w:r w:rsidR="001E1429">
              <w:rPr>
                <w:lang w:eastAsia="ja-JP" w:bidi="ar-DZ"/>
              </w:rPr>
              <w:t>d</w:t>
            </w:r>
            <w:r w:rsidRPr="00711C97">
              <w:rPr>
                <w:lang w:eastAsia="ja-JP" w:bidi="ar-DZ"/>
              </w:rPr>
              <w:t>ata (GB/TB) (</w:t>
            </w:r>
            <w:r w:rsidR="001E1429">
              <w:rPr>
                <w:lang w:eastAsia="ja-JP" w:bidi="ar-DZ"/>
              </w:rPr>
              <w:t>m</w:t>
            </w:r>
            <w:r w:rsidRPr="00711C97">
              <w:rPr>
                <w:lang w:eastAsia="ja-JP" w:bidi="ar-DZ"/>
              </w:rPr>
              <w:t>edia</w:t>
            </w:r>
            <w:r w:rsidR="001E079F" w:rsidRPr="00711C97">
              <w:rPr>
                <w:lang w:eastAsia="ja-JP" w:bidi="ar-DZ"/>
              </w:rPr>
              <w:t xml:space="preserve"> </w:t>
            </w:r>
            <w:r w:rsidR="001E079F">
              <w:rPr>
                <w:lang w:eastAsia="ja-JP" w:bidi="ar-DZ"/>
              </w:rPr>
              <w:t>–</w:t>
            </w:r>
            <w:r w:rsidR="001E079F" w:rsidRPr="00711C97">
              <w:rPr>
                <w:lang w:eastAsia="ja-JP" w:bidi="ar-DZ"/>
              </w:rPr>
              <w:t xml:space="preserve"> </w:t>
            </w:r>
            <w:r w:rsidR="001E1429">
              <w:rPr>
                <w:lang w:eastAsia="ja-JP" w:bidi="ar-DZ"/>
              </w:rPr>
              <w:t>v</w:t>
            </w:r>
            <w:r w:rsidRPr="00711C97">
              <w:rPr>
                <w:lang w:eastAsia="ja-JP" w:bidi="ar-DZ"/>
              </w:rPr>
              <w:t>ideo on demand)</w:t>
            </w:r>
          </w:p>
        </w:tc>
        <w:tc>
          <w:tcPr>
            <w:tcW w:w="5098" w:type="dxa"/>
            <w:tcBorders>
              <w:top w:val="none" w:sz="0" w:space="0" w:color="auto"/>
              <w:bottom w:val="none" w:sz="0" w:space="0" w:color="auto"/>
            </w:tcBorders>
            <w:hideMark/>
          </w:tcPr>
          <w:p w14:paraId="3990BE58" w14:textId="1DA92F89"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 xml:space="preserve">The total volume of data (in GB or TB) consumed in the streaming of video/media content on demand via the </w:t>
            </w:r>
            <w:r w:rsidR="000E6AB7">
              <w:rPr>
                <w:lang w:eastAsia="ja-JP" w:bidi="ar-DZ"/>
              </w:rPr>
              <w:t>I</w:t>
            </w:r>
            <w:r w:rsidRPr="00711C97">
              <w:rPr>
                <w:lang w:eastAsia="ja-JP" w:bidi="ar-DZ"/>
              </w:rPr>
              <w:t>nternet.</w:t>
            </w:r>
          </w:p>
        </w:tc>
      </w:tr>
      <w:tr w:rsidR="00741F7E" w:rsidRPr="006975CD" w14:paraId="4C516E1D" w14:textId="77777777" w:rsidTr="00E11AA2">
        <w:trPr>
          <w:cantSplit/>
          <w:trHeight w:val="340"/>
        </w:trPr>
        <w:tc>
          <w:tcPr>
            <w:cnfStyle w:val="001000000000" w:firstRow="0" w:lastRow="0" w:firstColumn="1" w:lastColumn="0" w:oddVBand="0" w:evenVBand="0" w:oddHBand="0" w:evenHBand="0" w:firstRowFirstColumn="0" w:firstRowLastColumn="0" w:lastRowFirstColumn="0" w:lastRowLastColumn="0"/>
            <w:tcW w:w="993" w:type="dxa"/>
            <w:noWrap/>
            <w:hideMark/>
          </w:tcPr>
          <w:p w14:paraId="20473C5E" w14:textId="77777777" w:rsidR="00741F7E" w:rsidRPr="00711C97" w:rsidRDefault="00741F7E" w:rsidP="0030748E">
            <w:pPr>
              <w:pStyle w:val="Tabletext"/>
              <w:jc w:val="center"/>
              <w:rPr>
                <w:lang w:eastAsia="ja-JP" w:bidi="ar-DZ"/>
              </w:rPr>
            </w:pPr>
            <w:r w:rsidRPr="00711C97">
              <w:rPr>
                <w:lang w:eastAsia="ja-JP" w:bidi="ar-DZ"/>
              </w:rPr>
              <w:t>16</w:t>
            </w:r>
          </w:p>
        </w:tc>
        <w:tc>
          <w:tcPr>
            <w:tcW w:w="3543" w:type="dxa"/>
            <w:noWrap/>
            <w:hideMark/>
          </w:tcPr>
          <w:p w14:paraId="67E3A309" w14:textId="29E91C3D"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 xml:space="preserve">OTT </w:t>
            </w:r>
            <w:r w:rsidR="001E1429">
              <w:rPr>
                <w:lang w:eastAsia="ja-JP" w:bidi="ar-DZ"/>
              </w:rPr>
              <w:t>d</w:t>
            </w:r>
            <w:r w:rsidRPr="00711C97">
              <w:rPr>
                <w:lang w:eastAsia="ja-JP" w:bidi="ar-DZ"/>
              </w:rPr>
              <w:t>ata consumption (</w:t>
            </w:r>
            <w:r w:rsidR="001E1429">
              <w:rPr>
                <w:lang w:eastAsia="ja-JP" w:bidi="ar-DZ"/>
              </w:rPr>
              <w:t>t</w:t>
            </w:r>
            <w:r w:rsidRPr="00711C97">
              <w:rPr>
                <w:lang w:eastAsia="ja-JP" w:bidi="ar-DZ"/>
              </w:rPr>
              <w:t>otal) (GB/TB)</w:t>
            </w:r>
          </w:p>
        </w:tc>
        <w:tc>
          <w:tcPr>
            <w:tcW w:w="5098" w:type="dxa"/>
            <w:hideMark/>
          </w:tcPr>
          <w:p w14:paraId="22F28127" w14:textId="1C837ACB"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The total volume of data consumed for all products/services (voice, messaging, video media</w:t>
            </w:r>
            <w:r w:rsidR="00354737">
              <w:rPr>
                <w:lang w:eastAsia="ja-JP" w:bidi="ar-DZ"/>
              </w:rPr>
              <w:t>,</w:t>
            </w:r>
            <w:r w:rsidRPr="00711C97">
              <w:rPr>
                <w:lang w:eastAsia="ja-JP" w:bidi="ar-DZ"/>
              </w:rPr>
              <w:t xml:space="preserve"> etc.) by the OTT application represented in GB or TB (aggregated). </w:t>
            </w:r>
          </w:p>
        </w:tc>
      </w:tr>
      <w:tr w:rsidR="00741F7E" w:rsidRPr="006975CD" w14:paraId="72E84A15" w14:textId="77777777" w:rsidTr="00E11AA2">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bottom w:val="none" w:sz="0" w:space="0" w:color="auto"/>
            </w:tcBorders>
            <w:noWrap/>
            <w:hideMark/>
          </w:tcPr>
          <w:p w14:paraId="6AFA2A2C" w14:textId="77777777" w:rsidR="00741F7E" w:rsidRPr="00711C97" w:rsidRDefault="00741F7E" w:rsidP="0030748E">
            <w:pPr>
              <w:pStyle w:val="Tabletext"/>
              <w:jc w:val="center"/>
              <w:rPr>
                <w:lang w:eastAsia="ja-JP" w:bidi="ar-DZ"/>
              </w:rPr>
            </w:pPr>
            <w:r w:rsidRPr="00711C97">
              <w:rPr>
                <w:lang w:eastAsia="ja-JP" w:bidi="ar-DZ"/>
              </w:rPr>
              <w:t>17</w:t>
            </w:r>
          </w:p>
        </w:tc>
        <w:tc>
          <w:tcPr>
            <w:tcW w:w="3543" w:type="dxa"/>
            <w:tcBorders>
              <w:top w:val="none" w:sz="0" w:space="0" w:color="auto"/>
              <w:bottom w:val="none" w:sz="0" w:space="0" w:color="auto"/>
            </w:tcBorders>
            <w:noWrap/>
            <w:hideMark/>
          </w:tcPr>
          <w:p w14:paraId="1A30B972" w14:textId="185D771C"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 xml:space="preserve">OTT </w:t>
            </w:r>
            <w:r w:rsidR="001E1429">
              <w:rPr>
                <w:lang w:eastAsia="ja-JP" w:bidi="ar-DZ"/>
              </w:rPr>
              <w:t>i</w:t>
            </w:r>
            <w:r w:rsidRPr="00711C97">
              <w:rPr>
                <w:lang w:eastAsia="ja-JP" w:bidi="ar-DZ"/>
              </w:rPr>
              <w:t xml:space="preserve">nvestment </w:t>
            </w:r>
            <w:r w:rsidR="001E1429">
              <w:rPr>
                <w:lang w:eastAsia="ja-JP" w:bidi="ar-DZ"/>
              </w:rPr>
              <w:t>e</w:t>
            </w:r>
            <w:r w:rsidRPr="00711C97">
              <w:rPr>
                <w:lang w:eastAsia="ja-JP" w:bidi="ar-DZ"/>
              </w:rPr>
              <w:t>xpenditure (USD per annum)</w:t>
            </w:r>
          </w:p>
        </w:tc>
        <w:tc>
          <w:tcPr>
            <w:tcW w:w="5098" w:type="dxa"/>
            <w:tcBorders>
              <w:top w:val="none" w:sz="0" w:space="0" w:color="auto"/>
              <w:bottom w:val="none" w:sz="0" w:space="0" w:color="auto"/>
            </w:tcBorders>
            <w:hideMark/>
          </w:tcPr>
          <w:p w14:paraId="5A470DC6" w14:textId="77777777"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The total value (in USD) of OTT provider's investment expenditure.</w:t>
            </w:r>
          </w:p>
        </w:tc>
      </w:tr>
      <w:tr w:rsidR="00741F7E" w:rsidRPr="006975CD" w14:paraId="6B764323" w14:textId="77777777" w:rsidTr="00E11AA2">
        <w:trPr>
          <w:cantSplit/>
          <w:trHeight w:val="340"/>
        </w:trPr>
        <w:tc>
          <w:tcPr>
            <w:cnfStyle w:val="001000000000" w:firstRow="0" w:lastRow="0" w:firstColumn="1" w:lastColumn="0" w:oddVBand="0" w:evenVBand="0" w:oddHBand="0" w:evenHBand="0" w:firstRowFirstColumn="0" w:firstRowLastColumn="0" w:lastRowFirstColumn="0" w:lastRowLastColumn="0"/>
            <w:tcW w:w="993" w:type="dxa"/>
            <w:noWrap/>
            <w:hideMark/>
          </w:tcPr>
          <w:p w14:paraId="546EE9B6" w14:textId="77777777" w:rsidR="00741F7E" w:rsidRPr="00711C97" w:rsidRDefault="00741F7E" w:rsidP="0030748E">
            <w:pPr>
              <w:pStyle w:val="Tabletext"/>
              <w:jc w:val="center"/>
              <w:rPr>
                <w:lang w:eastAsia="ja-JP" w:bidi="ar-DZ"/>
              </w:rPr>
            </w:pPr>
            <w:r w:rsidRPr="00711C97">
              <w:rPr>
                <w:lang w:eastAsia="ja-JP" w:bidi="ar-DZ"/>
              </w:rPr>
              <w:t>18</w:t>
            </w:r>
          </w:p>
        </w:tc>
        <w:tc>
          <w:tcPr>
            <w:tcW w:w="3543" w:type="dxa"/>
            <w:noWrap/>
            <w:hideMark/>
          </w:tcPr>
          <w:p w14:paraId="3E08BC1D" w14:textId="5FF1360A"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 xml:space="preserve">OTT </w:t>
            </w:r>
            <w:r w:rsidR="00ED54E4">
              <w:rPr>
                <w:lang w:eastAsia="ja-JP" w:bidi="ar-DZ"/>
              </w:rPr>
              <w:t>r</w:t>
            </w:r>
            <w:r w:rsidRPr="00711C97">
              <w:rPr>
                <w:lang w:eastAsia="ja-JP" w:bidi="ar-DZ"/>
              </w:rPr>
              <w:t>evenue (</w:t>
            </w:r>
            <w:r w:rsidR="00ED54E4">
              <w:rPr>
                <w:lang w:eastAsia="ja-JP" w:bidi="ar-DZ"/>
              </w:rPr>
              <w:t>v</w:t>
            </w:r>
            <w:r w:rsidRPr="00711C97">
              <w:rPr>
                <w:lang w:eastAsia="ja-JP" w:bidi="ar-DZ"/>
              </w:rPr>
              <w:t>oice calls) (USD)</w:t>
            </w:r>
          </w:p>
        </w:tc>
        <w:tc>
          <w:tcPr>
            <w:tcW w:w="5098" w:type="dxa"/>
            <w:hideMark/>
          </w:tcPr>
          <w:p w14:paraId="70258BEF" w14:textId="77777777"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The total value (in USD) of revenues earned from voice calls traversing over the OTT application.</w:t>
            </w:r>
          </w:p>
        </w:tc>
      </w:tr>
      <w:tr w:rsidR="00741F7E" w:rsidRPr="006975CD" w14:paraId="20007C0B" w14:textId="77777777" w:rsidTr="00E11AA2">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bottom w:val="none" w:sz="0" w:space="0" w:color="auto"/>
            </w:tcBorders>
            <w:noWrap/>
            <w:hideMark/>
          </w:tcPr>
          <w:p w14:paraId="32FA8489" w14:textId="77777777" w:rsidR="00741F7E" w:rsidRPr="00711C97" w:rsidRDefault="00741F7E" w:rsidP="0030748E">
            <w:pPr>
              <w:pStyle w:val="Tabletext"/>
              <w:jc w:val="center"/>
              <w:rPr>
                <w:lang w:eastAsia="ja-JP" w:bidi="ar-DZ"/>
              </w:rPr>
            </w:pPr>
            <w:r w:rsidRPr="00711C97">
              <w:rPr>
                <w:lang w:eastAsia="ja-JP" w:bidi="ar-DZ"/>
              </w:rPr>
              <w:t>19</w:t>
            </w:r>
          </w:p>
        </w:tc>
        <w:tc>
          <w:tcPr>
            <w:tcW w:w="3543" w:type="dxa"/>
            <w:tcBorders>
              <w:top w:val="none" w:sz="0" w:space="0" w:color="auto"/>
              <w:bottom w:val="none" w:sz="0" w:space="0" w:color="auto"/>
            </w:tcBorders>
            <w:noWrap/>
            <w:hideMark/>
          </w:tcPr>
          <w:p w14:paraId="4FBB481F" w14:textId="48503AA4"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 xml:space="preserve">OTT </w:t>
            </w:r>
            <w:r w:rsidR="003C0791">
              <w:rPr>
                <w:lang w:eastAsia="ja-JP" w:bidi="ar-DZ"/>
              </w:rPr>
              <w:t>r</w:t>
            </w:r>
            <w:r w:rsidRPr="00711C97">
              <w:rPr>
                <w:lang w:eastAsia="ja-JP" w:bidi="ar-DZ"/>
              </w:rPr>
              <w:t>evenue (</w:t>
            </w:r>
            <w:r w:rsidR="003C0791">
              <w:rPr>
                <w:lang w:eastAsia="ja-JP" w:bidi="ar-DZ"/>
              </w:rPr>
              <w:t>m</w:t>
            </w:r>
            <w:r w:rsidRPr="00711C97">
              <w:rPr>
                <w:lang w:eastAsia="ja-JP" w:bidi="ar-DZ"/>
              </w:rPr>
              <w:t>essaging</w:t>
            </w:r>
            <w:r w:rsidR="001E079F" w:rsidRPr="00711C97">
              <w:rPr>
                <w:lang w:eastAsia="ja-JP" w:bidi="ar-DZ"/>
              </w:rPr>
              <w:t xml:space="preserve"> </w:t>
            </w:r>
            <w:r w:rsidR="001E079F">
              <w:rPr>
                <w:lang w:eastAsia="ja-JP" w:bidi="ar-DZ"/>
              </w:rPr>
              <w:t>–</w:t>
            </w:r>
            <w:r w:rsidR="001E079F" w:rsidRPr="00711C97">
              <w:rPr>
                <w:lang w:eastAsia="ja-JP" w:bidi="ar-DZ"/>
              </w:rPr>
              <w:t xml:space="preserve"> </w:t>
            </w:r>
            <w:r w:rsidRPr="00711C97">
              <w:rPr>
                <w:lang w:eastAsia="ja-JP" w:bidi="ar-DZ"/>
              </w:rPr>
              <w:t>text and video) (USD)</w:t>
            </w:r>
          </w:p>
        </w:tc>
        <w:tc>
          <w:tcPr>
            <w:tcW w:w="5098" w:type="dxa"/>
            <w:tcBorders>
              <w:top w:val="none" w:sz="0" w:space="0" w:color="auto"/>
              <w:bottom w:val="none" w:sz="0" w:space="0" w:color="auto"/>
            </w:tcBorders>
            <w:hideMark/>
          </w:tcPr>
          <w:p w14:paraId="5ECAAA9F" w14:textId="77777777"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 xml:space="preserve">The total value (in USD) of revenues earned from text and video messaging executed on the OTT application. </w:t>
            </w:r>
          </w:p>
        </w:tc>
      </w:tr>
      <w:tr w:rsidR="00741F7E" w:rsidRPr="006975CD" w14:paraId="6A2208AD" w14:textId="77777777" w:rsidTr="00E11AA2">
        <w:trPr>
          <w:cantSplit/>
          <w:trHeight w:val="340"/>
        </w:trPr>
        <w:tc>
          <w:tcPr>
            <w:cnfStyle w:val="001000000000" w:firstRow="0" w:lastRow="0" w:firstColumn="1" w:lastColumn="0" w:oddVBand="0" w:evenVBand="0" w:oddHBand="0" w:evenHBand="0" w:firstRowFirstColumn="0" w:firstRowLastColumn="0" w:lastRowFirstColumn="0" w:lastRowLastColumn="0"/>
            <w:tcW w:w="993" w:type="dxa"/>
            <w:noWrap/>
            <w:hideMark/>
          </w:tcPr>
          <w:p w14:paraId="4DA36326" w14:textId="77777777" w:rsidR="00741F7E" w:rsidRPr="00711C97" w:rsidRDefault="00741F7E" w:rsidP="0030748E">
            <w:pPr>
              <w:pStyle w:val="Tabletext"/>
              <w:jc w:val="center"/>
              <w:rPr>
                <w:lang w:eastAsia="ja-JP" w:bidi="ar-DZ"/>
              </w:rPr>
            </w:pPr>
            <w:r w:rsidRPr="00711C97">
              <w:rPr>
                <w:lang w:eastAsia="ja-JP" w:bidi="ar-DZ"/>
              </w:rPr>
              <w:t>20</w:t>
            </w:r>
          </w:p>
        </w:tc>
        <w:tc>
          <w:tcPr>
            <w:tcW w:w="3543" w:type="dxa"/>
            <w:noWrap/>
            <w:hideMark/>
          </w:tcPr>
          <w:p w14:paraId="101F88A4" w14:textId="4C938A7A"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 xml:space="preserve">OTT </w:t>
            </w:r>
            <w:r w:rsidR="003C0791">
              <w:rPr>
                <w:lang w:eastAsia="ja-JP" w:bidi="ar-DZ"/>
              </w:rPr>
              <w:t>r</w:t>
            </w:r>
            <w:r w:rsidRPr="00711C97">
              <w:rPr>
                <w:lang w:eastAsia="ja-JP" w:bidi="ar-DZ"/>
              </w:rPr>
              <w:t>evenue (</w:t>
            </w:r>
            <w:r w:rsidR="003C0791">
              <w:rPr>
                <w:lang w:eastAsia="ja-JP" w:bidi="ar-DZ"/>
              </w:rPr>
              <w:t>v</w:t>
            </w:r>
            <w:r w:rsidRPr="00711C97">
              <w:rPr>
                <w:lang w:eastAsia="ja-JP" w:bidi="ar-DZ"/>
              </w:rPr>
              <w:t>ideo calls) (USD)</w:t>
            </w:r>
          </w:p>
        </w:tc>
        <w:tc>
          <w:tcPr>
            <w:tcW w:w="5098" w:type="dxa"/>
            <w:hideMark/>
          </w:tcPr>
          <w:p w14:paraId="24C9BB45" w14:textId="77777777"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 xml:space="preserve">The total value (in USD) of revenues earned from video calls executed on the OTT application. </w:t>
            </w:r>
          </w:p>
        </w:tc>
      </w:tr>
      <w:tr w:rsidR="00741F7E" w:rsidRPr="006975CD" w14:paraId="2B41E6B8" w14:textId="77777777" w:rsidTr="00E11AA2">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bottom w:val="none" w:sz="0" w:space="0" w:color="auto"/>
            </w:tcBorders>
            <w:noWrap/>
            <w:hideMark/>
          </w:tcPr>
          <w:p w14:paraId="36B3C10C" w14:textId="77777777" w:rsidR="00741F7E" w:rsidRPr="00711C97" w:rsidRDefault="00741F7E" w:rsidP="0030748E">
            <w:pPr>
              <w:pStyle w:val="Tabletext"/>
              <w:jc w:val="center"/>
              <w:rPr>
                <w:lang w:eastAsia="ja-JP" w:bidi="ar-DZ"/>
              </w:rPr>
            </w:pPr>
            <w:r w:rsidRPr="00711C97">
              <w:rPr>
                <w:lang w:eastAsia="ja-JP" w:bidi="ar-DZ"/>
              </w:rPr>
              <w:t>21</w:t>
            </w:r>
          </w:p>
        </w:tc>
        <w:tc>
          <w:tcPr>
            <w:tcW w:w="3543" w:type="dxa"/>
            <w:tcBorders>
              <w:top w:val="none" w:sz="0" w:space="0" w:color="auto"/>
              <w:bottom w:val="none" w:sz="0" w:space="0" w:color="auto"/>
            </w:tcBorders>
            <w:noWrap/>
            <w:hideMark/>
          </w:tcPr>
          <w:p w14:paraId="2901A7ED" w14:textId="75D24127"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 xml:space="preserve">OTT </w:t>
            </w:r>
            <w:r w:rsidR="003C0791">
              <w:rPr>
                <w:lang w:eastAsia="ja-JP" w:bidi="ar-DZ"/>
              </w:rPr>
              <w:t>r</w:t>
            </w:r>
            <w:r w:rsidRPr="00711C97">
              <w:rPr>
                <w:lang w:eastAsia="ja-JP" w:bidi="ar-DZ"/>
              </w:rPr>
              <w:t>evenue (</w:t>
            </w:r>
            <w:r w:rsidR="003C0791">
              <w:rPr>
                <w:lang w:eastAsia="ja-JP" w:bidi="ar-DZ"/>
              </w:rPr>
              <w:t>m</w:t>
            </w:r>
            <w:r w:rsidRPr="00711C97">
              <w:rPr>
                <w:lang w:eastAsia="ja-JP" w:bidi="ar-DZ"/>
              </w:rPr>
              <w:t>edia</w:t>
            </w:r>
            <w:r w:rsidR="001E079F" w:rsidRPr="00711C97">
              <w:rPr>
                <w:lang w:eastAsia="ja-JP" w:bidi="ar-DZ"/>
              </w:rPr>
              <w:t xml:space="preserve"> </w:t>
            </w:r>
            <w:r w:rsidR="001E079F">
              <w:rPr>
                <w:lang w:eastAsia="ja-JP" w:bidi="ar-DZ"/>
              </w:rPr>
              <w:t>–</w:t>
            </w:r>
            <w:r w:rsidR="001E079F" w:rsidRPr="00711C97">
              <w:rPr>
                <w:lang w:eastAsia="ja-JP" w:bidi="ar-DZ"/>
              </w:rPr>
              <w:t xml:space="preserve"> </w:t>
            </w:r>
            <w:r w:rsidR="003C0791">
              <w:rPr>
                <w:lang w:eastAsia="ja-JP" w:bidi="ar-DZ"/>
              </w:rPr>
              <w:t>b</w:t>
            </w:r>
            <w:r w:rsidRPr="00711C97">
              <w:rPr>
                <w:lang w:eastAsia="ja-JP" w:bidi="ar-DZ"/>
              </w:rPr>
              <w:t>roadcast (linear) video) (USD)</w:t>
            </w:r>
          </w:p>
        </w:tc>
        <w:tc>
          <w:tcPr>
            <w:tcW w:w="5098" w:type="dxa"/>
            <w:tcBorders>
              <w:top w:val="none" w:sz="0" w:space="0" w:color="auto"/>
              <w:bottom w:val="none" w:sz="0" w:space="0" w:color="auto"/>
            </w:tcBorders>
            <w:hideMark/>
          </w:tcPr>
          <w:p w14:paraId="3F93FC46" w14:textId="1E1A5C6C"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 xml:space="preserve">The total value (in USD) of revenues earned from media related to broadcast (linear) videos over the </w:t>
            </w:r>
            <w:r w:rsidR="00930E8F">
              <w:rPr>
                <w:lang w:eastAsia="ja-JP" w:bidi="ar-DZ"/>
              </w:rPr>
              <w:t>I</w:t>
            </w:r>
            <w:r w:rsidRPr="00711C97">
              <w:rPr>
                <w:lang w:eastAsia="ja-JP" w:bidi="ar-DZ"/>
              </w:rPr>
              <w:t xml:space="preserve">nternet on the OTT application. </w:t>
            </w:r>
          </w:p>
        </w:tc>
      </w:tr>
      <w:tr w:rsidR="00741F7E" w:rsidRPr="006975CD" w14:paraId="27965001" w14:textId="77777777" w:rsidTr="00E11AA2">
        <w:trPr>
          <w:cantSplit/>
          <w:trHeight w:val="340"/>
        </w:trPr>
        <w:tc>
          <w:tcPr>
            <w:cnfStyle w:val="001000000000" w:firstRow="0" w:lastRow="0" w:firstColumn="1" w:lastColumn="0" w:oddVBand="0" w:evenVBand="0" w:oddHBand="0" w:evenHBand="0" w:firstRowFirstColumn="0" w:firstRowLastColumn="0" w:lastRowFirstColumn="0" w:lastRowLastColumn="0"/>
            <w:tcW w:w="993" w:type="dxa"/>
            <w:noWrap/>
            <w:hideMark/>
          </w:tcPr>
          <w:p w14:paraId="1A3CD9CB" w14:textId="77777777" w:rsidR="00741F7E" w:rsidRPr="00711C97" w:rsidRDefault="00741F7E" w:rsidP="0030748E">
            <w:pPr>
              <w:pStyle w:val="Tabletext"/>
              <w:jc w:val="center"/>
              <w:rPr>
                <w:lang w:eastAsia="ja-JP" w:bidi="ar-DZ"/>
              </w:rPr>
            </w:pPr>
            <w:r w:rsidRPr="00711C97">
              <w:rPr>
                <w:lang w:eastAsia="ja-JP" w:bidi="ar-DZ"/>
              </w:rPr>
              <w:t>22</w:t>
            </w:r>
          </w:p>
        </w:tc>
        <w:tc>
          <w:tcPr>
            <w:tcW w:w="3543" w:type="dxa"/>
            <w:noWrap/>
            <w:hideMark/>
          </w:tcPr>
          <w:p w14:paraId="2B7BF606" w14:textId="5BF93EDD"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 xml:space="preserve">OTT </w:t>
            </w:r>
            <w:r w:rsidR="003C0791">
              <w:rPr>
                <w:lang w:eastAsia="ja-JP" w:bidi="ar-DZ"/>
              </w:rPr>
              <w:t>r</w:t>
            </w:r>
            <w:r w:rsidRPr="00711C97">
              <w:rPr>
                <w:lang w:eastAsia="ja-JP" w:bidi="ar-DZ"/>
              </w:rPr>
              <w:t>evenue (</w:t>
            </w:r>
            <w:r w:rsidR="003C0791">
              <w:rPr>
                <w:lang w:eastAsia="ja-JP" w:bidi="ar-DZ"/>
              </w:rPr>
              <w:t>m</w:t>
            </w:r>
            <w:r w:rsidRPr="00711C97">
              <w:rPr>
                <w:lang w:eastAsia="ja-JP" w:bidi="ar-DZ"/>
              </w:rPr>
              <w:t>edia</w:t>
            </w:r>
            <w:r w:rsidR="001E079F" w:rsidRPr="00711C97">
              <w:rPr>
                <w:lang w:eastAsia="ja-JP" w:bidi="ar-DZ"/>
              </w:rPr>
              <w:t xml:space="preserve"> </w:t>
            </w:r>
            <w:r w:rsidR="001E079F">
              <w:rPr>
                <w:lang w:eastAsia="ja-JP" w:bidi="ar-DZ"/>
              </w:rPr>
              <w:t>–</w:t>
            </w:r>
            <w:r w:rsidR="001E079F" w:rsidRPr="00711C97">
              <w:rPr>
                <w:lang w:eastAsia="ja-JP" w:bidi="ar-DZ"/>
              </w:rPr>
              <w:t xml:space="preserve"> </w:t>
            </w:r>
            <w:r w:rsidR="003C0791">
              <w:rPr>
                <w:lang w:eastAsia="ja-JP" w:bidi="ar-DZ"/>
              </w:rPr>
              <w:t>v</w:t>
            </w:r>
            <w:r w:rsidRPr="00711C97">
              <w:rPr>
                <w:lang w:eastAsia="ja-JP" w:bidi="ar-DZ"/>
              </w:rPr>
              <w:t>ideo on demand) (USD)</w:t>
            </w:r>
          </w:p>
        </w:tc>
        <w:tc>
          <w:tcPr>
            <w:tcW w:w="5098" w:type="dxa"/>
            <w:hideMark/>
          </w:tcPr>
          <w:p w14:paraId="4D99FD46" w14:textId="03ED949B"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 xml:space="preserve">The total value (in USD) of revenues earned from media related to video on demand </w:t>
            </w:r>
            <w:r w:rsidR="00985CEE">
              <w:rPr>
                <w:lang w:eastAsia="ja-JP" w:bidi="ar-DZ"/>
              </w:rPr>
              <w:t xml:space="preserve">(VOD) </w:t>
            </w:r>
            <w:r w:rsidRPr="00711C97">
              <w:rPr>
                <w:lang w:eastAsia="ja-JP" w:bidi="ar-DZ"/>
              </w:rPr>
              <w:t xml:space="preserve">over the </w:t>
            </w:r>
            <w:r w:rsidR="003C68C7">
              <w:rPr>
                <w:lang w:eastAsia="ja-JP" w:bidi="ar-DZ"/>
              </w:rPr>
              <w:t>I</w:t>
            </w:r>
            <w:r w:rsidRPr="00711C97">
              <w:rPr>
                <w:lang w:eastAsia="ja-JP" w:bidi="ar-DZ"/>
              </w:rPr>
              <w:t xml:space="preserve">nternet on the OTT application. </w:t>
            </w:r>
          </w:p>
        </w:tc>
      </w:tr>
      <w:tr w:rsidR="00741F7E" w:rsidRPr="006975CD" w14:paraId="78EB3584" w14:textId="77777777" w:rsidTr="00E11AA2">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bottom w:val="none" w:sz="0" w:space="0" w:color="auto"/>
            </w:tcBorders>
            <w:noWrap/>
          </w:tcPr>
          <w:p w14:paraId="4C880D94" w14:textId="77777777" w:rsidR="00741F7E" w:rsidRPr="00711C97" w:rsidRDefault="00741F7E" w:rsidP="0030748E">
            <w:pPr>
              <w:pStyle w:val="Tabletext"/>
              <w:jc w:val="center"/>
              <w:rPr>
                <w:lang w:eastAsia="ja-JP" w:bidi="ar-DZ"/>
              </w:rPr>
            </w:pPr>
            <w:r w:rsidRPr="00711C97">
              <w:rPr>
                <w:lang w:eastAsia="ja-JP" w:bidi="ar-DZ"/>
              </w:rPr>
              <w:t>23</w:t>
            </w:r>
          </w:p>
        </w:tc>
        <w:tc>
          <w:tcPr>
            <w:tcW w:w="3543" w:type="dxa"/>
            <w:tcBorders>
              <w:top w:val="none" w:sz="0" w:space="0" w:color="auto"/>
              <w:bottom w:val="none" w:sz="0" w:space="0" w:color="auto"/>
            </w:tcBorders>
            <w:noWrap/>
          </w:tcPr>
          <w:p w14:paraId="1A7DD117" w14:textId="4627AF0E"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 xml:space="preserve">OTT </w:t>
            </w:r>
            <w:r w:rsidR="003C0791">
              <w:rPr>
                <w:lang w:eastAsia="ja-JP" w:bidi="ar-DZ"/>
              </w:rPr>
              <w:t>r</w:t>
            </w:r>
            <w:r w:rsidRPr="00711C97">
              <w:rPr>
                <w:lang w:eastAsia="ja-JP" w:bidi="ar-DZ"/>
              </w:rPr>
              <w:t>evenue (</w:t>
            </w:r>
            <w:r w:rsidR="003C0791">
              <w:rPr>
                <w:lang w:eastAsia="ja-JP" w:bidi="ar-DZ"/>
              </w:rPr>
              <w:t>a</w:t>
            </w:r>
            <w:r w:rsidRPr="00711C97">
              <w:rPr>
                <w:lang w:eastAsia="ja-JP" w:bidi="ar-DZ"/>
              </w:rPr>
              <w:t xml:space="preserve">ll </w:t>
            </w:r>
            <w:r w:rsidR="003C0791">
              <w:rPr>
                <w:lang w:eastAsia="ja-JP" w:bidi="ar-DZ"/>
              </w:rPr>
              <w:t>s</w:t>
            </w:r>
            <w:r w:rsidRPr="00711C97">
              <w:rPr>
                <w:lang w:eastAsia="ja-JP" w:bidi="ar-DZ"/>
              </w:rPr>
              <w:t>ubscriptions) (USD)</w:t>
            </w:r>
          </w:p>
        </w:tc>
        <w:tc>
          <w:tcPr>
            <w:tcW w:w="5098" w:type="dxa"/>
            <w:tcBorders>
              <w:top w:val="none" w:sz="0" w:space="0" w:color="auto"/>
              <w:bottom w:val="none" w:sz="0" w:space="0" w:color="auto"/>
            </w:tcBorders>
          </w:tcPr>
          <w:p w14:paraId="67CB2F87" w14:textId="77777777"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 xml:space="preserve">The total value (in USD) of revenues earned from all subscriptions on the OTT application </w:t>
            </w:r>
          </w:p>
        </w:tc>
      </w:tr>
      <w:tr w:rsidR="00741F7E" w:rsidRPr="006975CD" w14:paraId="48F7C94F" w14:textId="77777777" w:rsidTr="00E11AA2">
        <w:trPr>
          <w:cantSplit/>
          <w:trHeight w:val="340"/>
        </w:trPr>
        <w:tc>
          <w:tcPr>
            <w:cnfStyle w:val="001000000000" w:firstRow="0" w:lastRow="0" w:firstColumn="1" w:lastColumn="0" w:oddVBand="0" w:evenVBand="0" w:oddHBand="0" w:evenHBand="0" w:firstRowFirstColumn="0" w:firstRowLastColumn="0" w:lastRowFirstColumn="0" w:lastRowLastColumn="0"/>
            <w:tcW w:w="993" w:type="dxa"/>
            <w:noWrap/>
            <w:hideMark/>
          </w:tcPr>
          <w:p w14:paraId="7271033C" w14:textId="77777777" w:rsidR="00741F7E" w:rsidRPr="00711C97" w:rsidRDefault="00741F7E" w:rsidP="0030748E">
            <w:pPr>
              <w:pStyle w:val="Tabletext"/>
              <w:jc w:val="center"/>
              <w:rPr>
                <w:lang w:eastAsia="ja-JP" w:bidi="ar-DZ"/>
              </w:rPr>
            </w:pPr>
            <w:r w:rsidRPr="00711C97">
              <w:rPr>
                <w:lang w:eastAsia="ja-JP" w:bidi="ar-DZ"/>
              </w:rPr>
              <w:t>24</w:t>
            </w:r>
          </w:p>
        </w:tc>
        <w:tc>
          <w:tcPr>
            <w:tcW w:w="3543" w:type="dxa"/>
            <w:noWrap/>
            <w:hideMark/>
          </w:tcPr>
          <w:p w14:paraId="7495FF6B" w14:textId="476F87DB"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 xml:space="preserve">OTT </w:t>
            </w:r>
            <w:r w:rsidR="003C0791">
              <w:rPr>
                <w:lang w:eastAsia="ja-JP" w:bidi="ar-DZ"/>
              </w:rPr>
              <w:t>r</w:t>
            </w:r>
            <w:r w:rsidRPr="00711C97">
              <w:rPr>
                <w:lang w:eastAsia="ja-JP" w:bidi="ar-DZ"/>
              </w:rPr>
              <w:t>evenue (</w:t>
            </w:r>
            <w:r w:rsidR="003C0791">
              <w:rPr>
                <w:lang w:eastAsia="ja-JP" w:bidi="ar-DZ"/>
              </w:rPr>
              <w:t>b</w:t>
            </w:r>
            <w:r w:rsidRPr="00711C97">
              <w:rPr>
                <w:lang w:eastAsia="ja-JP" w:bidi="ar-DZ"/>
              </w:rPr>
              <w:t xml:space="preserve">usiness </w:t>
            </w:r>
            <w:r w:rsidR="003C0791">
              <w:rPr>
                <w:lang w:eastAsia="ja-JP" w:bidi="ar-DZ"/>
              </w:rPr>
              <w:t>s</w:t>
            </w:r>
            <w:r w:rsidRPr="00711C97">
              <w:rPr>
                <w:lang w:eastAsia="ja-JP" w:bidi="ar-DZ"/>
              </w:rPr>
              <w:t>ubscriptions) (USD)</w:t>
            </w:r>
          </w:p>
        </w:tc>
        <w:tc>
          <w:tcPr>
            <w:tcW w:w="5098" w:type="dxa"/>
            <w:hideMark/>
          </w:tcPr>
          <w:p w14:paraId="397497FE" w14:textId="77777777"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 xml:space="preserve">The total value (in USD) of revenues earned from business subscriptions only on the OTT application. </w:t>
            </w:r>
          </w:p>
        </w:tc>
      </w:tr>
      <w:tr w:rsidR="00741F7E" w:rsidRPr="006975CD" w14:paraId="403A030A" w14:textId="77777777" w:rsidTr="00E11AA2">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bottom w:val="none" w:sz="0" w:space="0" w:color="auto"/>
            </w:tcBorders>
            <w:noWrap/>
          </w:tcPr>
          <w:p w14:paraId="64F2B3F6" w14:textId="77777777" w:rsidR="00741F7E" w:rsidRPr="00711C97" w:rsidRDefault="00741F7E" w:rsidP="0030748E">
            <w:pPr>
              <w:pStyle w:val="Tabletext"/>
              <w:jc w:val="center"/>
              <w:rPr>
                <w:lang w:eastAsia="ja-JP" w:bidi="ar-DZ"/>
              </w:rPr>
            </w:pPr>
            <w:r w:rsidRPr="00711C97">
              <w:rPr>
                <w:lang w:eastAsia="ja-JP" w:bidi="ar-DZ"/>
              </w:rPr>
              <w:t>25</w:t>
            </w:r>
          </w:p>
        </w:tc>
        <w:tc>
          <w:tcPr>
            <w:tcW w:w="3543" w:type="dxa"/>
            <w:tcBorders>
              <w:top w:val="none" w:sz="0" w:space="0" w:color="auto"/>
              <w:bottom w:val="none" w:sz="0" w:space="0" w:color="auto"/>
            </w:tcBorders>
            <w:noWrap/>
          </w:tcPr>
          <w:p w14:paraId="4DEEE385" w14:textId="6B5C35AD"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 xml:space="preserve">OTT </w:t>
            </w:r>
            <w:r w:rsidR="003C0791">
              <w:rPr>
                <w:lang w:eastAsia="ja-JP" w:bidi="ar-DZ"/>
              </w:rPr>
              <w:t>r</w:t>
            </w:r>
            <w:r w:rsidRPr="00711C97">
              <w:rPr>
                <w:lang w:eastAsia="ja-JP" w:bidi="ar-DZ"/>
              </w:rPr>
              <w:t>evenue (</w:t>
            </w:r>
            <w:r w:rsidR="003C0791">
              <w:rPr>
                <w:lang w:eastAsia="ja-JP" w:bidi="ar-DZ"/>
              </w:rPr>
              <w:t>a</w:t>
            </w:r>
            <w:r w:rsidRPr="00711C97">
              <w:rPr>
                <w:lang w:eastAsia="ja-JP" w:bidi="ar-DZ"/>
              </w:rPr>
              <w:t>dvertising) (USD)</w:t>
            </w:r>
          </w:p>
        </w:tc>
        <w:tc>
          <w:tcPr>
            <w:tcW w:w="5098" w:type="dxa"/>
            <w:tcBorders>
              <w:top w:val="none" w:sz="0" w:space="0" w:color="auto"/>
              <w:bottom w:val="none" w:sz="0" w:space="0" w:color="auto"/>
            </w:tcBorders>
          </w:tcPr>
          <w:p w14:paraId="609B4885" w14:textId="77777777"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 xml:space="preserve">The total value (in USD) of revenues earned from advertising on the OTT application. </w:t>
            </w:r>
          </w:p>
        </w:tc>
      </w:tr>
      <w:tr w:rsidR="00741F7E" w:rsidRPr="006975CD" w14:paraId="3E957857" w14:textId="77777777" w:rsidTr="00E11AA2">
        <w:trPr>
          <w:cantSplit/>
          <w:trHeight w:val="340"/>
        </w:trPr>
        <w:tc>
          <w:tcPr>
            <w:cnfStyle w:val="001000000000" w:firstRow="0" w:lastRow="0" w:firstColumn="1" w:lastColumn="0" w:oddVBand="0" w:evenVBand="0" w:oddHBand="0" w:evenHBand="0" w:firstRowFirstColumn="0" w:firstRowLastColumn="0" w:lastRowFirstColumn="0" w:lastRowLastColumn="0"/>
            <w:tcW w:w="993" w:type="dxa"/>
            <w:noWrap/>
          </w:tcPr>
          <w:p w14:paraId="0C935F9E" w14:textId="77777777" w:rsidR="00741F7E" w:rsidRPr="00711C97" w:rsidRDefault="00741F7E" w:rsidP="0030748E">
            <w:pPr>
              <w:pStyle w:val="Tabletext"/>
              <w:jc w:val="center"/>
              <w:rPr>
                <w:lang w:eastAsia="ja-JP" w:bidi="ar-DZ"/>
              </w:rPr>
            </w:pPr>
            <w:r w:rsidRPr="00711C97">
              <w:rPr>
                <w:lang w:eastAsia="ja-JP" w:bidi="ar-DZ"/>
              </w:rPr>
              <w:t>26</w:t>
            </w:r>
          </w:p>
        </w:tc>
        <w:tc>
          <w:tcPr>
            <w:tcW w:w="3543" w:type="dxa"/>
            <w:noWrap/>
          </w:tcPr>
          <w:p w14:paraId="0CC7E0BB" w14:textId="2832628B"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 xml:space="preserve">OTT </w:t>
            </w:r>
            <w:r w:rsidR="003C0791">
              <w:rPr>
                <w:lang w:eastAsia="ja-JP" w:bidi="ar-DZ"/>
              </w:rPr>
              <w:t>r</w:t>
            </w:r>
            <w:r w:rsidRPr="00711C97">
              <w:rPr>
                <w:lang w:eastAsia="ja-JP" w:bidi="ar-DZ"/>
              </w:rPr>
              <w:t>evenue (</w:t>
            </w:r>
            <w:r w:rsidR="003C0791">
              <w:rPr>
                <w:lang w:eastAsia="ja-JP" w:bidi="ar-DZ"/>
              </w:rPr>
              <w:t>t</w:t>
            </w:r>
            <w:r w:rsidRPr="00711C97">
              <w:rPr>
                <w:lang w:eastAsia="ja-JP" w:bidi="ar-DZ"/>
              </w:rPr>
              <w:t>ransactional) (USD)</w:t>
            </w:r>
          </w:p>
        </w:tc>
        <w:tc>
          <w:tcPr>
            <w:tcW w:w="5098" w:type="dxa"/>
          </w:tcPr>
          <w:p w14:paraId="6B051F7A" w14:textId="77777777" w:rsidR="00741F7E" w:rsidRPr="00711C97" w:rsidRDefault="00741F7E" w:rsidP="0030748E">
            <w:pPr>
              <w:pStyle w:val="Tabletext"/>
              <w:cnfStyle w:val="000000000000" w:firstRow="0" w:lastRow="0" w:firstColumn="0" w:lastColumn="0" w:oddVBand="0" w:evenVBand="0" w:oddHBand="0" w:evenHBand="0" w:firstRowFirstColumn="0" w:firstRowLastColumn="0" w:lastRowFirstColumn="0" w:lastRowLastColumn="0"/>
              <w:rPr>
                <w:lang w:eastAsia="ja-JP" w:bidi="ar-DZ"/>
              </w:rPr>
            </w:pPr>
            <w:r w:rsidRPr="00711C97">
              <w:rPr>
                <w:lang w:eastAsia="ja-JP" w:bidi="ar-DZ"/>
              </w:rPr>
              <w:t xml:space="preserve">The total value (in USD) of revenues earned from transactional operations. </w:t>
            </w:r>
          </w:p>
        </w:tc>
      </w:tr>
      <w:tr w:rsidR="00741F7E" w:rsidRPr="006975CD" w14:paraId="09C312D7" w14:textId="77777777" w:rsidTr="00E11AA2">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bottom w:val="none" w:sz="0" w:space="0" w:color="auto"/>
            </w:tcBorders>
            <w:noWrap/>
            <w:hideMark/>
          </w:tcPr>
          <w:p w14:paraId="0736868A" w14:textId="77777777" w:rsidR="00741F7E" w:rsidRPr="00711C97" w:rsidRDefault="00741F7E" w:rsidP="0030748E">
            <w:pPr>
              <w:pStyle w:val="Tabletext"/>
              <w:jc w:val="center"/>
              <w:rPr>
                <w:lang w:eastAsia="ja-JP" w:bidi="ar-DZ"/>
              </w:rPr>
            </w:pPr>
            <w:r w:rsidRPr="00711C97">
              <w:rPr>
                <w:lang w:eastAsia="ja-JP" w:bidi="ar-DZ"/>
              </w:rPr>
              <w:t>27</w:t>
            </w:r>
          </w:p>
        </w:tc>
        <w:tc>
          <w:tcPr>
            <w:tcW w:w="3543" w:type="dxa"/>
            <w:tcBorders>
              <w:top w:val="none" w:sz="0" w:space="0" w:color="auto"/>
              <w:bottom w:val="none" w:sz="0" w:space="0" w:color="auto"/>
            </w:tcBorders>
            <w:noWrap/>
            <w:hideMark/>
          </w:tcPr>
          <w:p w14:paraId="51D402F2" w14:textId="54AB8D14"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 xml:space="preserve">OTT </w:t>
            </w:r>
            <w:r w:rsidR="003C0791">
              <w:rPr>
                <w:lang w:eastAsia="ja-JP" w:bidi="ar-DZ"/>
              </w:rPr>
              <w:t>r</w:t>
            </w:r>
            <w:r w:rsidRPr="00711C97">
              <w:rPr>
                <w:lang w:eastAsia="ja-JP" w:bidi="ar-DZ"/>
              </w:rPr>
              <w:t>evenue (</w:t>
            </w:r>
            <w:r w:rsidR="003C0791">
              <w:rPr>
                <w:lang w:eastAsia="ja-JP" w:bidi="ar-DZ"/>
              </w:rPr>
              <w:t>o</w:t>
            </w:r>
            <w:r w:rsidRPr="00711C97">
              <w:rPr>
                <w:lang w:eastAsia="ja-JP" w:bidi="ar-DZ"/>
              </w:rPr>
              <w:t>ther sources</w:t>
            </w:r>
            <w:r w:rsidR="001E079F" w:rsidRPr="00711C97">
              <w:rPr>
                <w:lang w:eastAsia="ja-JP" w:bidi="ar-DZ"/>
              </w:rPr>
              <w:t xml:space="preserve"> </w:t>
            </w:r>
            <w:r w:rsidR="001E079F">
              <w:rPr>
                <w:lang w:eastAsia="ja-JP" w:bidi="ar-DZ"/>
              </w:rPr>
              <w:t>–</w:t>
            </w:r>
            <w:r w:rsidR="001E079F" w:rsidRPr="00711C97">
              <w:rPr>
                <w:lang w:eastAsia="ja-JP" w:bidi="ar-DZ"/>
              </w:rPr>
              <w:t xml:space="preserve"> </w:t>
            </w:r>
            <w:r w:rsidRPr="00711C97">
              <w:rPr>
                <w:lang w:eastAsia="ja-JP" w:bidi="ar-DZ"/>
              </w:rPr>
              <w:t>to specify) (USD)</w:t>
            </w:r>
          </w:p>
        </w:tc>
        <w:tc>
          <w:tcPr>
            <w:tcW w:w="5098" w:type="dxa"/>
            <w:tcBorders>
              <w:top w:val="none" w:sz="0" w:space="0" w:color="auto"/>
              <w:bottom w:val="none" w:sz="0" w:space="0" w:color="auto"/>
            </w:tcBorders>
            <w:hideMark/>
          </w:tcPr>
          <w:p w14:paraId="4D81DB33" w14:textId="77777777" w:rsidR="00741F7E" w:rsidRPr="00711C97" w:rsidRDefault="00741F7E" w:rsidP="0030748E">
            <w:pPr>
              <w:pStyle w:val="Tabletext"/>
              <w:cnfStyle w:val="000000100000" w:firstRow="0" w:lastRow="0" w:firstColumn="0" w:lastColumn="0" w:oddVBand="0" w:evenVBand="0" w:oddHBand="1" w:evenHBand="0" w:firstRowFirstColumn="0" w:firstRowLastColumn="0" w:lastRowFirstColumn="0" w:lastRowLastColumn="0"/>
              <w:rPr>
                <w:lang w:eastAsia="ja-JP" w:bidi="ar-DZ"/>
              </w:rPr>
            </w:pPr>
            <w:r w:rsidRPr="00711C97">
              <w:rPr>
                <w:lang w:eastAsia="ja-JP" w:bidi="ar-DZ"/>
              </w:rPr>
              <w:t xml:space="preserve">The total value (in USD) of revenues earned on the OTT application from other sources. The source must be specified in the data template. Additional columns can be added to specify each source individually. </w:t>
            </w:r>
          </w:p>
        </w:tc>
      </w:tr>
    </w:tbl>
    <w:p w14:paraId="1BB67762" w14:textId="77777777" w:rsidR="00741F7E" w:rsidRPr="003E51C2" w:rsidRDefault="00741F7E" w:rsidP="00741F7E">
      <w:pPr>
        <w:rPr>
          <w:lang w:eastAsia="ja-JP" w:bidi="ar-DZ"/>
        </w:rPr>
      </w:pPr>
      <w:r w:rsidRPr="003E51C2">
        <w:rPr>
          <w:lang w:eastAsia="ja-JP" w:bidi="ar-DZ"/>
        </w:rPr>
        <w:t>In addition, Annex A details an example of a proposed data template for reporting on these indicators.</w:t>
      </w:r>
    </w:p>
    <w:p w14:paraId="420EA3B2" w14:textId="54502210" w:rsidR="00741F7E" w:rsidRPr="0030748E" w:rsidRDefault="00F508BE" w:rsidP="0030748E">
      <w:pPr>
        <w:pStyle w:val="Heading1"/>
      </w:pPr>
      <w:bookmarkStart w:id="62" w:name="_Toc213830519"/>
      <w:bookmarkStart w:id="63" w:name="_Toc214976393"/>
      <w:bookmarkStart w:id="64" w:name="_Toc229984648"/>
      <w:r w:rsidRPr="0030748E">
        <w:rPr>
          <w:rFonts w:eastAsiaTheme="minorEastAsia" w:hint="eastAsia"/>
        </w:rPr>
        <w:t>8</w:t>
      </w:r>
      <w:r w:rsidRPr="0030748E">
        <w:rPr>
          <w:rFonts w:eastAsiaTheme="minorEastAsia"/>
        </w:rPr>
        <w:tab/>
      </w:r>
      <w:r w:rsidR="00741F7E" w:rsidRPr="0030748E">
        <w:t xml:space="preserve">Concluding </w:t>
      </w:r>
      <w:r w:rsidR="003C0791">
        <w:t>r</w:t>
      </w:r>
      <w:r w:rsidR="00741F7E" w:rsidRPr="0030748E">
        <w:t>emarks</w:t>
      </w:r>
      <w:bookmarkEnd w:id="62"/>
      <w:bookmarkEnd w:id="63"/>
      <w:bookmarkEnd w:id="64"/>
    </w:p>
    <w:p w14:paraId="46AACD3D" w14:textId="5DB162F8" w:rsidR="00741F7E" w:rsidRPr="00586636" w:rsidRDefault="00741F7E" w:rsidP="00741F7E">
      <w:pPr>
        <w:rPr>
          <w:lang w:eastAsia="ja-JP" w:bidi="ar-DZ"/>
        </w:rPr>
      </w:pPr>
      <w:r w:rsidRPr="00B103E4">
        <w:rPr>
          <w:lang w:eastAsia="ja-JP" w:bidi="ar-DZ"/>
        </w:rPr>
        <w:t>Regulatory agencies</w:t>
      </w:r>
      <w:r>
        <w:rPr>
          <w:lang w:eastAsia="ja-JP" w:bidi="ar-DZ"/>
        </w:rPr>
        <w:t>,</w:t>
      </w:r>
      <w:r w:rsidRPr="00B103E4">
        <w:rPr>
          <w:lang w:eastAsia="ja-JP" w:bidi="ar-DZ"/>
        </w:rPr>
        <w:t xml:space="preserve"> through market observations and consumer surveys</w:t>
      </w:r>
      <w:r>
        <w:rPr>
          <w:lang w:eastAsia="ja-JP" w:bidi="ar-DZ"/>
        </w:rPr>
        <w:t>,</w:t>
      </w:r>
      <w:r w:rsidRPr="00B103E4">
        <w:rPr>
          <w:lang w:eastAsia="ja-JP" w:bidi="ar-DZ"/>
        </w:rPr>
        <w:t xml:space="preserve"> have revealed that there is a growing demand and perceptible movement in consumer preferences towards OTT </w:t>
      </w:r>
      <w:r>
        <w:rPr>
          <w:lang w:eastAsia="ja-JP" w:bidi="ar-DZ"/>
        </w:rPr>
        <w:t>applications</w:t>
      </w:r>
      <w:r w:rsidRPr="00B103E4">
        <w:rPr>
          <w:lang w:eastAsia="ja-JP" w:bidi="ar-DZ"/>
        </w:rPr>
        <w:t xml:space="preserve">. However, the lack of reporting mechanisms for OTT </w:t>
      </w:r>
      <w:r>
        <w:rPr>
          <w:lang w:eastAsia="ja-JP" w:bidi="ar-DZ"/>
        </w:rPr>
        <w:t>applications</w:t>
      </w:r>
      <w:r w:rsidRPr="00B103E4">
        <w:rPr>
          <w:lang w:eastAsia="ja-JP" w:bidi="ar-DZ"/>
        </w:rPr>
        <w:t xml:space="preserve"> </w:t>
      </w:r>
      <w:r>
        <w:rPr>
          <w:lang w:eastAsia="ja-JP" w:bidi="ar-DZ"/>
        </w:rPr>
        <w:t xml:space="preserve">may </w:t>
      </w:r>
      <w:r w:rsidRPr="00B103E4">
        <w:rPr>
          <w:lang w:eastAsia="ja-JP" w:bidi="ar-DZ"/>
        </w:rPr>
        <w:t xml:space="preserve">inhibit regulators from </w:t>
      </w:r>
      <w:r>
        <w:rPr>
          <w:lang w:eastAsia="ja-JP" w:bidi="ar-DZ"/>
        </w:rPr>
        <w:t>transparently</w:t>
      </w:r>
      <w:r w:rsidRPr="00B103E4">
        <w:rPr>
          <w:lang w:eastAsia="ja-JP" w:bidi="ar-DZ"/>
        </w:rPr>
        <w:t xml:space="preserve"> quantifying their influence on the telecommunications and broadcasting industry. In this context, the availability of standardized data</w:t>
      </w:r>
      <w:r>
        <w:rPr>
          <w:lang w:eastAsia="ja-JP" w:bidi="ar-DZ"/>
        </w:rPr>
        <w:t xml:space="preserve"> </w:t>
      </w:r>
      <w:r w:rsidRPr="00D02378">
        <w:rPr>
          <w:lang w:eastAsia="ja-JP" w:bidi="ar-DZ"/>
        </w:rPr>
        <w:t>(encompassing user metrics, service usage patterns and revenue</w:t>
      </w:r>
      <w:r>
        <w:rPr>
          <w:lang w:eastAsia="ja-JP" w:bidi="ar-DZ"/>
        </w:rPr>
        <w:t>s</w:t>
      </w:r>
      <w:r w:rsidRPr="00D02378">
        <w:rPr>
          <w:lang w:eastAsia="ja-JP" w:bidi="ar-DZ"/>
        </w:rPr>
        <w:t>)</w:t>
      </w:r>
      <w:r w:rsidRPr="00D05921">
        <w:rPr>
          <w:i/>
          <w:iCs/>
          <w:lang w:eastAsia="ja-JP" w:bidi="ar-DZ"/>
        </w:rPr>
        <w:t xml:space="preserve"> </w:t>
      </w:r>
      <w:r w:rsidRPr="00B103E4">
        <w:rPr>
          <w:lang w:eastAsia="ja-JP" w:bidi="ar-DZ"/>
        </w:rPr>
        <w:t xml:space="preserve">from OTT providers </w:t>
      </w:r>
      <w:r>
        <w:rPr>
          <w:lang w:eastAsia="ja-JP" w:bidi="ar-DZ"/>
        </w:rPr>
        <w:t xml:space="preserve">could </w:t>
      </w:r>
      <w:r w:rsidRPr="00B103E4">
        <w:rPr>
          <w:lang w:eastAsia="ja-JP" w:bidi="ar-DZ"/>
        </w:rPr>
        <w:t>play a pivotal role in assessing market</w:t>
      </w:r>
      <w:r>
        <w:rPr>
          <w:lang w:eastAsia="ja-JP" w:bidi="ar-DZ"/>
        </w:rPr>
        <w:t xml:space="preserve"> performance, sustainability, and competition</w:t>
      </w:r>
      <w:r w:rsidRPr="00B103E4">
        <w:rPr>
          <w:lang w:eastAsia="ja-JP" w:bidi="ar-DZ"/>
        </w:rPr>
        <w:t>.</w:t>
      </w:r>
    </w:p>
    <w:p w14:paraId="7DA0D46E" w14:textId="77777777" w:rsidR="00741F7E" w:rsidRDefault="00741F7E" w:rsidP="00741F7E"/>
    <w:p w14:paraId="21907461" w14:textId="77777777" w:rsidR="0030748E" w:rsidRDefault="0030748E" w:rsidP="00741F7E">
      <w:pPr>
        <w:sectPr w:rsidR="0030748E" w:rsidSect="00D51580">
          <w:footerReference w:type="first" r:id="rId25"/>
          <w:type w:val="oddPage"/>
          <w:pgSz w:w="11907" w:h="16840" w:code="9"/>
          <w:pgMar w:top="1134" w:right="1134" w:bottom="1134" w:left="1134" w:header="567" w:footer="567" w:gutter="0"/>
          <w:pgNumType w:start="1"/>
          <w:cols w:space="720"/>
          <w:titlePg/>
          <w:docGrid w:linePitch="360"/>
        </w:sectPr>
      </w:pPr>
    </w:p>
    <w:p w14:paraId="3DCD7133" w14:textId="1F3B1705" w:rsidR="00741F7E" w:rsidRPr="00635EF3" w:rsidRDefault="00741F7E" w:rsidP="00635EF3">
      <w:pPr>
        <w:pStyle w:val="AnnexNoTitle0"/>
      </w:pPr>
      <w:bookmarkStart w:id="65" w:name="_Toc213830520"/>
      <w:bookmarkStart w:id="66" w:name="_Toc214976394"/>
      <w:bookmarkStart w:id="67" w:name="_Toc229984649"/>
      <w:r w:rsidRPr="00635EF3">
        <w:lastRenderedPageBreak/>
        <w:t xml:space="preserve">Annex </w:t>
      </w:r>
      <w:proofErr w:type="spellStart"/>
      <w:r w:rsidRPr="00635EF3">
        <w:t>A</w:t>
      </w:r>
      <w:proofErr w:type="spellEnd"/>
      <w:r w:rsidR="00635EF3" w:rsidRPr="00635EF3">
        <w:br/>
      </w:r>
      <w:r w:rsidR="00635EF3" w:rsidRPr="00635EF3">
        <w:br/>
      </w:r>
      <w:r w:rsidRPr="00635EF3">
        <w:t xml:space="preserve">Example of the </w:t>
      </w:r>
      <w:r w:rsidR="000D04F2">
        <w:t>p</w:t>
      </w:r>
      <w:r w:rsidRPr="00635EF3">
        <w:t xml:space="preserve">roposed </w:t>
      </w:r>
      <w:r w:rsidR="000D04F2">
        <w:t>d</w:t>
      </w:r>
      <w:r w:rsidRPr="00635EF3">
        <w:t xml:space="preserve">ata </w:t>
      </w:r>
      <w:r w:rsidR="00866CFA">
        <w:t>t</w:t>
      </w:r>
      <w:r w:rsidRPr="00635EF3">
        <w:t xml:space="preserve">emplate for </w:t>
      </w:r>
      <w:r w:rsidR="00866CFA">
        <w:t>r</w:t>
      </w:r>
      <w:r w:rsidRPr="00635EF3">
        <w:t xml:space="preserve">eporting by OTT </w:t>
      </w:r>
      <w:r w:rsidR="00866CFA">
        <w:t>a</w:t>
      </w:r>
      <w:r w:rsidRPr="00635EF3">
        <w:t>pplications</w:t>
      </w:r>
      <w:bookmarkEnd w:id="65"/>
      <w:bookmarkEnd w:id="66"/>
      <w:bookmarkEnd w:id="67"/>
    </w:p>
    <w:p w14:paraId="0D7C81B4" w14:textId="77777777" w:rsidR="00741F7E" w:rsidRDefault="00741F7E" w:rsidP="00741F7E">
      <w:pPr>
        <w:rPr>
          <w:b/>
          <w:bCs/>
          <w:szCs w:val="24"/>
        </w:rPr>
      </w:pPr>
    </w:p>
    <w:tbl>
      <w:tblPr>
        <w:tblStyle w:val="TableGrid"/>
        <w:tblW w:w="14459" w:type="dxa"/>
        <w:tblLayout w:type="fixed"/>
        <w:tblLook w:val="04A0" w:firstRow="1" w:lastRow="0" w:firstColumn="1" w:lastColumn="0" w:noHBand="0" w:noVBand="1"/>
      </w:tblPr>
      <w:tblGrid>
        <w:gridCol w:w="802"/>
        <w:gridCol w:w="1726"/>
        <w:gridCol w:w="1407"/>
        <w:gridCol w:w="1549"/>
        <w:gridCol w:w="1564"/>
        <w:gridCol w:w="1332"/>
        <w:gridCol w:w="937"/>
        <w:gridCol w:w="937"/>
        <w:gridCol w:w="1463"/>
        <w:gridCol w:w="1201"/>
        <w:gridCol w:w="1541"/>
      </w:tblGrid>
      <w:tr w:rsidR="00741F7E" w:rsidRPr="00E62551" w14:paraId="7556818C" w14:textId="77777777" w:rsidTr="00E62551">
        <w:trPr>
          <w:trHeight w:val="20"/>
        </w:trPr>
        <w:tc>
          <w:tcPr>
            <w:tcW w:w="808" w:type="dxa"/>
            <w:noWrap/>
            <w:hideMark/>
          </w:tcPr>
          <w:p w14:paraId="7C889780" w14:textId="77777777" w:rsidR="00741F7E" w:rsidRPr="00E62551" w:rsidRDefault="00741F7E" w:rsidP="00635EF3">
            <w:pPr>
              <w:pStyle w:val="Tablehead"/>
              <w:rPr>
                <w:sz w:val="20"/>
              </w:rPr>
            </w:pPr>
            <w:bookmarkStart w:id="68" w:name="_Hlk159497287"/>
            <w:r w:rsidRPr="00E62551">
              <w:rPr>
                <w:sz w:val="20"/>
              </w:rPr>
              <w:t>Year</w:t>
            </w:r>
          </w:p>
        </w:tc>
        <w:tc>
          <w:tcPr>
            <w:tcW w:w="1739" w:type="dxa"/>
            <w:noWrap/>
            <w:hideMark/>
          </w:tcPr>
          <w:p w14:paraId="1F2903C9" w14:textId="77777777" w:rsidR="00741F7E" w:rsidRPr="00E62551" w:rsidRDefault="00741F7E" w:rsidP="00635EF3">
            <w:pPr>
              <w:pStyle w:val="Tablehead"/>
              <w:rPr>
                <w:rFonts w:eastAsia="MS Mincho"/>
                <w:sz w:val="20"/>
              </w:rPr>
            </w:pPr>
            <w:r w:rsidRPr="00E62551">
              <w:rPr>
                <w:rFonts w:eastAsia="MS Mincho"/>
                <w:sz w:val="20"/>
              </w:rPr>
              <w:t>Country</w:t>
            </w:r>
          </w:p>
        </w:tc>
        <w:tc>
          <w:tcPr>
            <w:tcW w:w="1417" w:type="dxa"/>
            <w:noWrap/>
            <w:hideMark/>
          </w:tcPr>
          <w:p w14:paraId="0382FA49" w14:textId="77777777" w:rsidR="00741F7E" w:rsidRPr="00E62551" w:rsidRDefault="00741F7E" w:rsidP="00635EF3">
            <w:pPr>
              <w:pStyle w:val="Tablehead"/>
              <w:rPr>
                <w:rFonts w:eastAsia="MS Mincho"/>
                <w:sz w:val="20"/>
              </w:rPr>
            </w:pPr>
            <w:r w:rsidRPr="00E62551">
              <w:rPr>
                <w:rFonts w:eastAsia="MS Mincho"/>
                <w:sz w:val="20"/>
              </w:rPr>
              <w:t>1</w:t>
            </w:r>
          </w:p>
        </w:tc>
        <w:tc>
          <w:tcPr>
            <w:tcW w:w="1560" w:type="dxa"/>
            <w:noWrap/>
            <w:hideMark/>
          </w:tcPr>
          <w:p w14:paraId="52C861D7" w14:textId="77777777" w:rsidR="00741F7E" w:rsidRPr="00E62551" w:rsidRDefault="00741F7E" w:rsidP="00635EF3">
            <w:pPr>
              <w:pStyle w:val="Tablehead"/>
              <w:rPr>
                <w:rFonts w:eastAsia="MS Mincho"/>
                <w:sz w:val="20"/>
              </w:rPr>
            </w:pPr>
            <w:r w:rsidRPr="00E62551">
              <w:rPr>
                <w:rFonts w:eastAsia="MS Mincho"/>
                <w:sz w:val="20"/>
              </w:rPr>
              <w:t>2</w:t>
            </w:r>
          </w:p>
        </w:tc>
        <w:tc>
          <w:tcPr>
            <w:tcW w:w="1575" w:type="dxa"/>
            <w:noWrap/>
            <w:hideMark/>
          </w:tcPr>
          <w:p w14:paraId="6C5E4C18" w14:textId="77777777" w:rsidR="00741F7E" w:rsidRPr="00E62551" w:rsidRDefault="00741F7E" w:rsidP="00635EF3">
            <w:pPr>
              <w:pStyle w:val="Tablehead"/>
              <w:rPr>
                <w:rFonts w:eastAsia="MS Mincho"/>
                <w:sz w:val="20"/>
              </w:rPr>
            </w:pPr>
            <w:r w:rsidRPr="00E62551">
              <w:rPr>
                <w:rFonts w:eastAsia="MS Mincho"/>
                <w:sz w:val="20"/>
              </w:rPr>
              <w:t>3</w:t>
            </w:r>
          </w:p>
        </w:tc>
        <w:tc>
          <w:tcPr>
            <w:tcW w:w="1341" w:type="dxa"/>
            <w:noWrap/>
            <w:hideMark/>
          </w:tcPr>
          <w:p w14:paraId="789A307F" w14:textId="77777777" w:rsidR="00741F7E" w:rsidRPr="00E62551" w:rsidRDefault="00741F7E" w:rsidP="00635EF3">
            <w:pPr>
              <w:pStyle w:val="Tablehead"/>
              <w:rPr>
                <w:rFonts w:eastAsia="MS Mincho"/>
                <w:sz w:val="20"/>
              </w:rPr>
            </w:pPr>
            <w:r w:rsidRPr="00E62551">
              <w:rPr>
                <w:rFonts w:eastAsia="MS Mincho"/>
                <w:sz w:val="20"/>
              </w:rPr>
              <w:t>4</w:t>
            </w:r>
          </w:p>
        </w:tc>
        <w:tc>
          <w:tcPr>
            <w:tcW w:w="943" w:type="dxa"/>
            <w:noWrap/>
            <w:hideMark/>
          </w:tcPr>
          <w:p w14:paraId="4E437B09" w14:textId="77777777" w:rsidR="00741F7E" w:rsidRPr="00E62551" w:rsidRDefault="00741F7E" w:rsidP="00635EF3">
            <w:pPr>
              <w:pStyle w:val="Tablehead"/>
              <w:rPr>
                <w:rFonts w:eastAsia="MS Mincho"/>
                <w:sz w:val="20"/>
              </w:rPr>
            </w:pPr>
            <w:r w:rsidRPr="00E62551">
              <w:rPr>
                <w:rFonts w:eastAsia="MS Mincho"/>
                <w:sz w:val="20"/>
              </w:rPr>
              <w:t>5</w:t>
            </w:r>
          </w:p>
        </w:tc>
        <w:tc>
          <w:tcPr>
            <w:tcW w:w="943" w:type="dxa"/>
            <w:noWrap/>
            <w:hideMark/>
          </w:tcPr>
          <w:p w14:paraId="0DD3EEB3" w14:textId="77777777" w:rsidR="00741F7E" w:rsidRPr="00E62551" w:rsidRDefault="00741F7E" w:rsidP="00635EF3">
            <w:pPr>
              <w:pStyle w:val="Tablehead"/>
              <w:rPr>
                <w:rFonts w:eastAsia="MS Mincho"/>
                <w:sz w:val="20"/>
              </w:rPr>
            </w:pPr>
            <w:r w:rsidRPr="00E62551">
              <w:rPr>
                <w:rFonts w:eastAsia="MS Mincho"/>
                <w:sz w:val="20"/>
              </w:rPr>
              <w:t>6</w:t>
            </w:r>
          </w:p>
        </w:tc>
        <w:tc>
          <w:tcPr>
            <w:tcW w:w="1473" w:type="dxa"/>
            <w:noWrap/>
            <w:hideMark/>
          </w:tcPr>
          <w:p w14:paraId="1679081F" w14:textId="77777777" w:rsidR="00741F7E" w:rsidRPr="00E62551" w:rsidRDefault="00741F7E" w:rsidP="00635EF3">
            <w:pPr>
              <w:pStyle w:val="Tablehead"/>
              <w:rPr>
                <w:rFonts w:eastAsia="MS Mincho"/>
                <w:sz w:val="20"/>
              </w:rPr>
            </w:pPr>
            <w:r w:rsidRPr="00E62551">
              <w:rPr>
                <w:rFonts w:eastAsia="MS Mincho"/>
                <w:sz w:val="20"/>
              </w:rPr>
              <w:t>7</w:t>
            </w:r>
          </w:p>
        </w:tc>
        <w:tc>
          <w:tcPr>
            <w:tcW w:w="1209" w:type="dxa"/>
            <w:noWrap/>
            <w:hideMark/>
          </w:tcPr>
          <w:p w14:paraId="3C393E7D" w14:textId="77777777" w:rsidR="00741F7E" w:rsidRPr="00E62551" w:rsidRDefault="00741F7E" w:rsidP="00635EF3">
            <w:pPr>
              <w:pStyle w:val="Tablehead"/>
              <w:rPr>
                <w:rFonts w:eastAsia="MS Mincho"/>
                <w:sz w:val="20"/>
              </w:rPr>
            </w:pPr>
            <w:r w:rsidRPr="00E62551">
              <w:rPr>
                <w:rFonts w:eastAsia="MS Mincho"/>
                <w:sz w:val="20"/>
              </w:rPr>
              <w:t>8</w:t>
            </w:r>
          </w:p>
        </w:tc>
        <w:tc>
          <w:tcPr>
            <w:tcW w:w="1552" w:type="dxa"/>
            <w:noWrap/>
            <w:hideMark/>
          </w:tcPr>
          <w:p w14:paraId="7B1F2835" w14:textId="77777777" w:rsidR="00741F7E" w:rsidRPr="00E62551" w:rsidRDefault="00741F7E" w:rsidP="00635EF3">
            <w:pPr>
              <w:pStyle w:val="Tablehead"/>
              <w:rPr>
                <w:rFonts w:eastAsia="MS Mincho"/>
                <w:sz w:val="20"/>
              </w:rPr>
            </w:pPr>
            <w:r w:rsidRPr="00E62551">
              <w:rPr>
                <w:rFonts w:eastAsia="MS Mincho"/>
                <w:sz w:val="20"/>
              </w:rPr>
              <w:t>9</w:t>
            </w:r>
          </w:p>
        </w:tc>
      </w:tr>
      <w:tr w:rsidR="00741F7E" w:rsidRPr="00E62551" w14:paraId="5A9EB4F5" w14:textId="77777777" w:rsidTr="00E62551">
        <w:trPr>
          <w:trHeight w:val="20"/>
        </w:trPr>
        <w:tc>
          <w:tcPr>
            <w:tcW w:w="808" w:type="dxa"/>
            <w:noWrap/>
            <w:hideMark/>
          </w:tcPr>
          <w:p w14:paraId="12B4C149" w14:textId="77777777" w:rsidR="00741F7E" w:rsidRPr="00E62551" w:rsidRDefault="00741F7E" w:rsidP="00635EF3">
            <w:pPr>
              <w:pStyle w:val="Tablehead"/>
              <w:rPr>
                <w:rFonts w:eastAsia="MS Mincho"/>
                <w:sz w:val="20"/>
              </w:rPr>
            </w:pPr>
            <w:r w:rsidRPr="00E62551">
              <w:rPr>
                <w:rFonts w:eastAsia="MS Mincho"/>
                <w:sz w:val="20"/>
              </w:rPr>
              <w:t> </w:t>
            </w:r>
          </w:p>
        </w:tc>
        <w:tc>
          <w:tcPr>
            <w:tcW w:w="1739" w:type="dxa"/>
            <w:noWrap/>
            <w:hideMark/>
          </w:tcPr>
          <w:p w14:paraId="3B67D6E0" w14:textId="77777777" w:rsidR="00741F7E" w:rsidRPr="00E62551" w:rsidRDefault="00741F7E" w:rsidP="00635EF3">
            <w:pPr>
              <w:pStyle w:val="Tablehead"/>
              <w:rPr>
                <w:rFonts w:eastAsia="MS Mincho"/>
                <w:sz w:val="20"/>
              </w:rPr>
            </w:pPr>
            <w:r w:rsidRPr="00E62551">
              <w:rPr>
                <w:rFonts w:eastAsia="MS Mincho"/>
                <w:sz w:val="20"/>
              </w:rPr>
              <w:t>Indicator</w:t>
            </w:r>
          </w:p>
        </w:tc>
        <w:tc>
          <w:tcPr>
            <w:tcW w:w="1417" w:type="dxa"/>
            <w:noWrap/>
            <w:hideMark/>
          </w:tcPr>
          <w:p w14:paraId="19AB228C" w14:textId="38EEE78B" w:rsidR="00741F7E" w:rsidRPr="00E62551" w:rsidRDefault="00741F7E" w:rsidP="00635EF3">
            <w:pPr>
              <w:pStyle w:val="Tablehead"/>
              <w:rPr>
                <w:rFonts w:eastAsia="MS Mincho"/>
                <w:sz w:val="20"/>
              </w:rPr>
            </w:pPr>
            <w:r w:rsidRPr="00E62551">
              <w:rPr>
                <w:rFonts w:eastAsia="MS Mincho"/>
                <w:sz w:val="20"/>
              </w:rPr>
              <w:t xml:space="preserve">OTT </w:t>
            </w:r>
            <w:r w:rsidR="00643B67" w:rsidRPr="00E62551">
              <w:rPr>
                <w:rFonts w:eastAsia="MS Mincho"/>
                <w:sz w:val="20"/>
              </w:rPr>
              <w:t>a</w:t>
            </w:r>
            <w:r w:rsidRPr="00E62551">
              <w:rPr>
                <w:rFonts w:eastAsia="MS Mincho"/>
                <w:sz w:val="20"/>
              </w:rPr>
              <w:t>pplication</w:t>
            </w:r>
          </w:p>
        </w:tc>
        <w:tc>
          <w:tcPr>
            <w:tcW w:w="1560" w:type="dxa"/>
            <w:noWrap/>
            <w:hideMark/>
          </w:tcPr>
          <w:p w14:paraId="55592029" w14:textId="40359956" w:rsidR="00741F7E" w:rsidRPr="00E62551" w:rsidRDefault="00741F7E" w:rsidP="00635EF3">
            <w:pPr>
              <w:pStyle w:val="Tablehead"/>
              <w:rPr>
                <w:rFonts w:eastAsia="MS Mincho"/>
                <w:sz w:val="20"/>
              </w:rPr>
            </w:pPr>
            <w:r w:rsidRPr="00E62551">
              <w:rPr>
                <w:rFonts w:eastAsia="MS Mincho"/>
                <w:sz w:val="20"/>
              </w:rPr>
              <w:t xml:space="preserve">OTT </w:t>
            </w:r>
            <w:r w:rsidR="00643B67" w:rsidRPr="00E62551">
              <w:rPr>
                <w:rFonts w:eastAsia="MS Mincho"/>
                <w:sz w:val="20"/>
              </w:rPr>
              <w:t>s</w:t>
            </w:r>
            <w:r w:rsidRPr="00E62551">
              <w:rPr>
                <w:rFonts w:eastAsia="MS Mincho"/>
                <w:sz w:val="20"/>
              </w:rPr>
              <w:t>ubscriptions</w:t>
            </w:r>
          </w:p>
        </w:tc>
        <w:tc>
          <w:tcPr>
            <w:tcW w:w="1575" w:type="dxa"/>
            <w:noWrap/>
            <w:hideMark/>
          </w:tcPr>
          <w:p w14:paraId="5733B3CA" w14:textId="634849EA" w:rsidR="00741F7E" w:rsidRPr="00E62551" w:rsidRDefault="00741F7E" w:rsidP="00635EF3">
            <w:pPr>
              <w:pStyle w:val="Tablehead"/>
              <w:rPr>
                <w:rFonts w:eastAsia="MS Mincho"/>
                <w:sz w:val="20"/>
              </w:rPr>
            </w:pPr>
            <w:r w:rsidRPr="00E62551">
              <w:rPr>
                <w:rFonts w:eastAsia="MS Mincho"/>
                <w:sz w:val="20"/>
              </w:rPr>
              <w:t xml:space="preserve">OTT </w:t>
            </w:r>
            <w:r w:rsidR="00643B67" w:rsidRPr="00E62551">
              <w:rPr>
                <w:rFonts w:eastAsia="MS Mincho"/>
                <w:sz w:val="20"/>
              </w:rPr>
              <w:t>s</w:t>
            </w:r>
            <w:r w:rsidRPr="00E62551">
              <w:rPr>
                <w:rFonts w:eastAsia="MS Mincho"/>
                <w:sz w:val="20"/>
              </w:rPr>
              <w:t>ubscriptions</w:t>
            </w:r>
          </w:p>
        </w:tc>
        <w:tc>
          <w:tcPr>
            <w:tcW w:w="1341" w:type="dxa"/>
            <w:noWrap/>
            <w:hideMark/>
          </w:tcPr>
          <w:p w14:paraId="75851FA0" w14:textId="4B209ECF" w:rsidR="00741F7E" w:rsidRPr="00E62551" w:rsidRDefault="00741F7E" w:rsidP="00635EF3">
            <w:pPr>
              <w:pStyle w:val="Tablehead"/>
              <w:rPr>
                <w:rFonts w:eastAsia="MS Mincho"/>
                <w:sz w:val="20"/>
              </w:rPr>
            </w:pPr>
            <w:r w:rsidRPr="00E62551">
              <w:rPr>
                <w:rFonts w:eastAsia="MS Mincho"/>
                <w:sz w:val="20"/>
              </w:rPr>
              <w:t xml:space="preserve">OTT </w:t>
            </w:r>
            <w:r w:rsidR="00643B67" w:rsidRPr="00E62551">
              <w:rPr>
                <w:rFonts w:eastAsia="MS Mincho"/>
                <w:sz w:val="20"/>
              </w:rPr>
              <w:t>d</w:t>
            </w:r>
            <w:r w:rsidRPr="00E62551">
              <w:rPr>
                <w:rFonts w:eastAsia="MS Mincho"/>
                <w:sz w:val="20"/>
              </w:rPr>
              <w:t>ownloads/</w:t>
            </w:r>
            <w:r w:rsidR="00E62551">
              <w:rPr>
                <w:rFonts w:eastAsia="MS Mincho"/>
                <w:sz w:val="20"/>
              </w:rPr>
              <w:br/>
            </w:r>
            <w:r w:rsidR="00643B67" w:rsidRPr="00E62551">
              <w:rPr>
                <w:rFonts w:eastAsia="MS Mincho"/>
                <w:sz w:val="20"/>
              </w:rPr>
              <w:t>a</w:t>
            </w:r>
            <w:r w:rsidRPr="00E62551">
              <w:rPr>
                <w:rFonts w:eastAsia="MS Mincho"/>
                <w:sz w:val="20"/>
              </w:rPr>
              <w:t>ccounts</w:t>
            </w:r>
          </w:p>
        </w:tc>
        <w:tc>
          <w:tcPr>
            <w:tcW w:w="943" w:type="dxa"/>
            <w:noWrap/>
            <w:hideMark/>
          </w:tcPr>
          <w:p w14:paraId="0F1B35C3" w14:textId="028817EA" w:rsidR="00741F7E" w:rsidRPr="00E62551" w:rsidRDefault="00741F7E" w:rsidP="00635EF3">
            <w:pPr>
              <w:pStyle w:val="Tablehead"/>
              <w:rPr>
                <w:rFonts w:eastAsia="MS Mincho"/>
                <w:sz w:val="20"/>
              </w:rPr>
            </w:pPr>
            <w:r w:rsidRPr="00E62551">
              <w:rPr>
                <w:rFonts w:eastAsia="MS Mincho"/>
                <w:sz w:val="20"/>
              </w:rPr>
              <w:t xml:space="preserve">OTT </w:t>
            </w:r>
            <w:r w:rsidR="00643B67" w:rsidRPr="00E62551">
              <w:rPr>
                <w:rFonts w:eastAsia="MS Mincho"/>
                <w:sz w:val="20"/>
              </w:rPr>
              <w:t>v</w:t>
            </w:r>
            <w:r w:rsidRPr="00E62551">
              <w:rPr>
                <w:rFonts w:eastAsia="MS Mincho"/>
                <w:sz w:val="20"/>
              </w:rPr>
              <w:t>oice</w:t>
            </w:r>
          </w:p>
        </w:tc>
        <w:tc>
          <w:tcPr>
            <w:tcW w:w="943" w:type="dxa"/>
            <w:noWrap/>
            <w:hideMark/>
          </w:tcPr>
          <w:p w14:paraId="21EA3E67" w14:textId="3A0A119F" w:rsidR="00741F7E" w:rsidRPr="00E62551" w:rsidRDefault="00741F7E" w:rsidP="00635EF3">
            <w:pPr>
              <w:pStyle w:val="Tablehead"/>
              <w:rPr>
                <w:rFonts w:eastAsia="MS Mincho"/>
                <w:sz w:val="20"/>
              </w:rPr>
            </w:pPr>
            <w:r w:rsidRPr="00E62551">
              <w:rPr>
                <w:rFonts w:eastAsia="MS Mincho"/>
                <w:sz w:val="20"/>
              </w:rPr>
              <w:t xml:space="preserve">OTT </w:t>
            </w:r>
            <w:r w:rsidR="00643B67" w:rsidRPr="00E62551">
              <w:rPr>
                <w:rFonts w:eastAsia="MS Mincho"/>
                <w:sz w:val="20"/>
              </w:rPr>
              <w:t>v</w:t>
            </w:r>
            <w:r w:rsidRPr="00E62551">
              <w:rPr>
                <w:rFonts w:eastAsia="MS Mincho"/>
                <w:sz w:val="20"/>
              </w:rPr>
              <w:t>oice</w:t>
            </w:r>
          </w:p>
        </w:tc>
        <w:tc>
          <w:tcPr>
            <w:tcW w:w="1473" w:type="dxa"/>
            <w:noWrap/>
            <w:hideMark/>
          </w:tcPr>
          <w:p w14:paraId="3268B09D" w14:textId="2F52E1A6" w:rsidR="00741F7E" w:rsidRPr="00E62551" w:rsidRDefault="00741F7E" w:rsidP="00635EF3">
            <w:pPr>
              <w:pStyle w:val="Tablehead"/>
              <w:rPr>
                <w:rFonts w:eastAsia="MS Mincho"/>
                <w:sz w:val="20"/>
              </w:rPr>
            </w:pPr>
            <w:r w:rsidRPr="00E62551">
              <w:rPr>
                <w:rFonts w:eastAsia="MS Mincho"/>
                <w:sz w:val="20"/>
              </w:rPr>
              <w:t xml:space="preserve">OTT </w:t>
            </w:r>
            <w:r w:rsidR="00635EF3" w:rsidRPr="00E62551">
              <w:rPr>
                <w:rFonts w:eastAsia="MS Mincho"/>
                <w:sz w:val="20"/>
              </w:rPr>
              <w:br/>
            </w:r>
            <w:r w:rsidR="00643B67" w:rsidRPr="00E62551">
              <w:rPr>
                <w:rFonts w:eastAsia="MS Mincho"/>
                <w:sz w:val="20"/>
              </w:rPr>
              <w:t>v</w:t>
            </w:r>
            <w:r w:rsidRPr="00E62551">
              <w:rPr>
                <w:rFonts w:eastAsia="MS Mincho"/>
                <w:sz w:val="20"/>
              </w:rPr>
              <w:t>oice</w:t>
            </w:r>
          </w:p>
        </w:tc>
        <w:tc>
          <w:tcPr>
            <w:tcW w:w="1209" w:type="dxa"/>
            <w:noWrap/>
            <w:hideMark/>
          </w:tcPr>
          <w:p w14:paraId="754C3D8A" w14:textId="19A76277" w:rsidR="00741F7E" w:rsidRPr="00E62551" w:rsidRDefault="00741F7E" w:rsidP="00635EF3">
            <w:pPr>
              <w:pStyle w:val="Tablehead"/>
              <w:rPr>
                <w:rFonts w:eastAsia="MS Mincho"/>
                <w:sz w:val="20"/>
              </w:rPr>
            </w:pPr>
            <w:r w:rsidRPr="00E62551">
              <w:rPr>
                <w:rFonts w:eastAsia="MS Mincho"/>
                <w:sz w:val="20"/>
              </w:rPr>
              <w:t xml:space="preserve">OTT </w:t>
            </w:r>
            <w:r w:rsidR="00643B67" w:rsidRPr="00E62551">
              <w:rPr>
                <w:rFonts w:eastAsia="MS Mincho"/>
                <w:sz w:val="20"/>
              </w:rPr>
              <w:t>m</w:t>
            </w:r>
            <w:r w:rsidRPr="00E62551">
              <w:rPr>
                <w:rFonts w:eastAsia="MS Mincho"/>
                <w:sz w:val="20"/>
              </w:rPr>
              <w:t xml:space="preserve">essaging </w:t>
            </w:r>
          </w:p>
        </w:tc>
        <w:tc>
          <w:tcPr>
            <w:tcW w:w="1552" w:type="dxa"/>
            <w:noWrap/>
            <w:hideMark/>
          </w:tcPr>
          <w:p w14:paraId="08E1D46B" w14:textId="45793BCF" w:rsidR="00741F7E" w:rsidRPr="00E62551" w:rsidRDefault="00741F7E" w:rsidP="00635EF3">
            <w:pPr>
              <w:pStyle w:val="Tablehead"/>
              <w:rPr>
                <w:rFonts w:eastAsia="MS Mincho"/>
                <w:sz w:val="20"/>
              </w:rPr>
            </w:pPr>
            <w:r w:rsidRPr="00E62551">
              <w:rPr>
                <w:rFonts w:eastAsia="MS Mincho"/>
                <w:sz w:val="20"/>
              </w:rPr>
              <w:t xml:space="preserve">OTT </w:t>
            </w:r>
            <w:r w:rsidR="00643B67" w:rsidRPr="00E62551">
              <w:rPr>
                <w:rFonts w:eastAsia="MS Mincho"/>
                <w:sz w:val="20"/>
              </w:rPr>
              <w:t>m</w:t>
            </w:r>
            <w:r w:rsidRPr="00E62551">
              <w:rPr>
                <w:rFonts w:eastAsia="MS Mincho"/>
                <w:sz w:val="20"/>
              </w:rPr>
              <w:t xml:space="preserve">essaging </w:t>
            </w:r>
          </w:p>
        </w:tc>
      </w:tr>
      <w:tr w:rsidR="00741F7E" w:rsidRPr="00E62551" w14:paraId="213F6671" w14:textId="77777777" w:rsidTr="00E62551">
        <w:trPr>
          <w:trHeight w:val="20"/>
        </w:trPr>
        <w:tc>
          <w:tcPr>
            <w:tcW w:w="808" w:type="dxa"/>
            <w:noWrap/>
            <w:hideMark/>
          </w:tcPr>
          <w:p w14:paraId="1590FBAA" w14:textId="77777777" w:rsidR="00741F7E" w:rsidRPr="00E62551" w:rsidRDefault="00741F7E" w:rsidP="00635EF3">
            <w:pPr>
              <w:pStyle w:val="Tablehead"/>
              <w:rPr>
                <w:rFonts w:eastAsia="MS Mincho"/>
                <w:sz w:val="20"/>
              </w:rPr>
            </w:pPr>
            <w:r w:rsidRPr="00E62551">
              <w:rPr>
                <w:rFonts w:eastAsia="MS Mincho"/>
                <w:sz w:val="20"/>
              </w:rPr>
              <w:t> </w:t>
            </w:r>
          </w:p>
        </w:tc>
        <w:tc>
          <w:tcPr>
            <w:tcW w:w="1739" w:type="dxa"/>
            <w:noWrap/>
            <w:hideMark/>
          </w:tcPr>
          <w:p w14:paraId="7613685E" w14:textId="77777777" w:rsidR="00741F7E" w:rsidRPr="00E62551" w:rsidRDefault="00741F7E" w:rsidP="00635EF3">
            <w:pPr>
              <w:pStyle w:val="Tablehead"/>
              <w:rPr>
                <w:rFonts w:eastAsia="MS Mincho"/>
                <w:sz w:val="20"/>
              </w:rPr>
            </w:pPr>
            <w:r w:rsidRPr="00E62551">
              <w:rPr>
                <w:rFonts w:eastAsia="MS Mincho"/>
                <w:sz w:val="20"/>
              </w:rPr>
              <w:t>Description</w:t>
            </w:r>
          </w:p>
        </w:tc>
        <w:tc>
          <w:tcPr>
            <w:tcW w:w="1417" w:type="dxa"/>
            <w:noWrap/>
            <w:hideMark/>
          </w:tcPr>
          <w:p w14:paraId="6197E684" w14:textId="77777777" w:rsidR="00741F7E" w:rsidRPr="00E62551" w:rsidRDefault="00741F7E" w:rsidP="00635EF3">
            <w:pPr>
              <w:pStyle w:val="Tablehead"/>
              <w:rPr>
                <w:rFonts w:eastAsia="MS Mincho"/>
                <w:sz w:val="20"/>
              </w:rPr>
            </w:pPr>
            <w:r w:rsidRPr="00E62551">
              <w:rPr>
                <w:rFonts w:eastAsia="MS Mincho"/>
                <w:sz w:val="20"/>
              </w:rPr>
              <w:t> </w:t>
            </w:r>
          </w:p>
        </w:tc>
        <w:tc>
          <w:tcPr>
            <w:tcW w:w="1560" w:type="dxa"/>
            <w:noWrap/>
            <w:hideMark/>
          </w:tcPr>
          <w:p w14:paraId="1B734646" w14:textId="77777777" w:rsidR="00741F7E" w:rsidRPr="00E62551" w:rsidRDefault="00741F7E" w:rsidP="00635EF3">
            <w:pPr>
              <w:pStyle w:val="Tablehead"/>
              <w:rPr>
                <w:rFonts w:eastAsia="MS Mincho"/>
                <w:sz w:val="20"/>
              </w:rPr>
            </w:pPr>
            <w:r w:rsidRPr="00E62551">
              <w:rPr>
                <w:rFonts w:eastAsia="MS Mincho"/>
                <w:sz w:val="20"/>
              </w:rPr>
              <w:t>Total</w:t>
            </w:r>
          </w:p>
        </w:tc>
        <w:tc>
          <w:tcPr>
            <w:tcW w:w="1575" w:type="dxa"/>
            <w:noWrap/>
            <w:hideMark/>
          </w:tcPr>
          <w:p w14:paraId="305BA99F" w14:textId="56F8401A" w:rsidR="00741F7E" w:rsidRPr="00E62551" w:rsidRDefault="00741F7E" w:rsidP="00635EF3">
            <w:pPr>
              <w:pStyle w:val="Tablehead"/>
              <w:rPr>
                <w:rFonts w:eastAsia="MS Mincho"/>
                <w:sz w:val="20"/>
              </w:rPr>
            </w:pPr>
            <w:r w:rsidRPr="00E62551">
              <w:rPr>
                <w:rFonts w:eastAsia="MS Mincho"/>
                <w:sz w:val="20"/>
              </w:rPr>
              <w:t xml:space="preserve">Business </w:t>
            </w:r>
            <w:r w:rsidR="004C2F1A" w:rsidRPr="00E62551">
              <w:rPr>
                <w:rFonts w:eastAsia="MS Mincho"/>
                <w:sz w:val="20"/>
              </w:rPr>
              <w:t>a</w:t>
            </w:r>
            <w:r w:rsidRPr="00E62551">
              <w:rPr>
                <w:rFonts w:eastAsia="MS Mincho"/>
                <w:sz w:val="20"/>
              </w:rPr>
              <w:t>ccounts</w:t>
            </w:r>
          </w:p>
        </w:tc>
        <w:tc>
          <w:tcPr>
            <w:tcW w:w="1341" w:type="dxa"/>
            <w:noWrap/>
            <w:hideMark/>
          </w:tcPr>
          <w:p w14:paraId="47870976" w14:textId="77777777" w:rsidR="00741F7E" w:rsidRPr="00E62551" w:rsidRDefault="00741F7E" w:rsidP="00635EF3">
            <w:pPr>
              <w:pStyle w:val="Tablehead"/>
              <w:rPr>
                <w:rFonts w:eastAsia="MS Mincho"/>
                <w:sz w:val="20"/>
              </w:rPr>
            </w:pPr>
            <w:r w:rsidRPr="00E62551">
              <w:rPr>
                <w:rFonts w:eastAsia="MS Mincho"/>
                <w:sz w:val="20"/>
              </w:rPr>
              <w:t>Total</w:t>
            </w:r>
          </w:p>
        </w:tc>
        <w:tc>
          <w:tcPr>
            <w:tcW w:w="943" w:type="dxa"/>
            <w:noWrap/>
            <w:hideMark/>
          </w:tcPr>
          <w:p w14:paraId="2282BF66" w14:textId="33D43B51" w:rsidR="00741F7E" w:rsidRPr="00E62551" w:rsidRDefault="00741F7E" w:rsidP="00635EF3">
            <w:pPr>
              <w:pStyle w:val="Tablehead"/>
              <w:rPr>
                <w:rFonts w:eastAsia="MS Mincho"/>
                <w:sz w:val="20"/>
              </w:rPr>
            </w:pPr>
            <w:r w:rsidRPr="00E62551">
              <w:rPr>
                <w:rFonts w:eastAsia="MS Mincho"/>
                <w:sz w:val="20"/>
              </w:rPr>
              <w:t>Min</w:t>
            </w:r>
            <w:r w:rsidR="00712BAC" w:rsidRPr="00E62551">
              <w:rPr>
                <w:rFonts w:eastAsia="MS Mincho"/>
                <w:sz w:val="20"/>
              </w:rPr>
              <w:t>ute</w:t>
            </w:r>
            <w:r w:rsidRPr="00E62551">
              <w:rPr>
                <w:rFonts w:eastAsia="MS Mincho"/>
                <w:sz w:val="20"/>
              </w:rPr>
              <w:t>s</w:t>
            </w:r>
          </w:p>
        </w:tc>
        <w:tc>
          <w:tcPr>
            <w:tcW w:w="943" w:type="dxa"/>
            <w:noWrap/>
            <w:hideMark/>
          </w:tcPr>
          <w:p w14:paraId="0CF56321" w14:textId="77777777" w:rsidR="00741F7E" w:rsidRPr="00E62551" w:rsidRDefault="00741F7E" w:rsidP="00635EF3">
            <w:pPr>
              <w:pStyle w:val="Tablehead"/>
              <w:rPr>
                <w:rFonts w:eastAsia="MS Mincho"/>
                <w:sz w:val="20"/>
              </w:rPr>
            </w:pPr>
            <w:r w:rsidRPr="00E62551">
              <w:rPr>
                <w:rFonts w:eastAsia="MS Mincho"/>
                <w:sz w:val="20"/>
              </w:rPr>
              <w:t>Calls</w:t>
            </w:r>
          </w:p>
        </w:tc>
        <w:tc>
          <w:tcPr>
            <w:tcW w:w="1473" w:type="dxa"/>
            <w:noWrap/>
            <w:hideMark/>
          </w:tcPr>
          <w:p w14:paraId="3CE8AFDF" w14:textId="0CBFFF5D" w:rsidR="00741F7E" w:rsidRPr="00E62551" w:rsidRDefault="00741F7E" w:rsidP="00635EF3">
            <w:pPr>
              <w:pStyle w:val="Tablehead"/>
              <w:rPr>
                <w:rFonts w:eastAsia="MS Mincho"/>
                <w:sz w:val="20"/>
              </w:rPr>
            </w:pPr>
            <w:r w:rsidRPr="00E62551">
              <w:rPr>
                <w:rFonts w:eastAsia="MS Mincho"/>
                <w:sz w:val="20"/>
              </w:rPr>
              <w:t xml:space="preserve">Data </w:t>
            </w:r>
            <w:r w:rsidR="002732AE" w:rsidRPr="00E62551">
              <w:rPr>
                <w:rFonts w:eastAsia="MS Mincho"/>
                <w:sz w:val="20"/>
              </w:rPr>
              <w:t>c</w:t>
            </w:r>
            <w:r w:rsidRPr="00E62551">
              <w:rPr>
                <w:rFonts w:eastAsia="MS Mincho"/>
                <w:sz w:val="20"/>
              </w:rPr>
              <w:t>onsumed (GB/TB)</w:t>
            </w:r>
          </w:p>
        </w:tc>
        <w:tc>
          <w:tcPr>
            <w:tcW w:w="1209" w:type="dxa"/>
            <w:noWrap/>
            <w:hideMark/>
          </w:tcPr>
          <w:p w14:paraId="45AFD168" w14:textId="77777777" w:rsidR="00741F7E" w:rsidRPr="00E62551" w:rsidRDefault="00741F7E" w:rsidP="00635EF3">
            <w:pPr>
              <w:pStyle w:val="Tablehead"/>
              <w:rPr>
                <w:rFonts w:eastAsia="MS Mincho"/>
                <w:sz w:val="20"/>
              </w:rPr>
            </w:pPr>
            <w:r w:rsidRPr="00E62551">
              <w:rPr>
                <w:rFonts w:eastAsia="MS Mincho"/>
                <w:sz w:val="20"/>
              </w:rPr>
              <w:t>Total</w:t>
            </w:r>
          </w:p>
        </w:tc>
        <w:tc>
          <w:tcPr>
            <w:tcW w:w="1552" w:type="dxa"/>
            <w:noWrap/>
            <w:hideMark/>
          </w:tcPr>
          <w:p w14:paraId="050162FE" w14:textId="3CB44510" w:rsidR="00741F7E" w:rsidRPr="00E62551" w:rsidRDefault="00741F7E" w:rsidP="00635EF3">
            <w:pPr>
              <w:pStyle w:val="Tablehead"/>
              <w:rPr>
                <w:rFonts w:eastAsia="MS Mincho"/>
                <w:sz w:val="20"/>
              </w:rPr>
            </w:pPr>
            <w:r w:rsidRPr="00E62551">
              <w:rPr>
                <w:rFonts w:eastAsia="MS Mincho"/>
                <w:sz w:val="20"/>
              </w:rPr>
              <w:t xml:space="preserve">Data </w:t>
            </w:r>
            <w:r w:rsidR="00CF152C" w:rsidRPr="00E62551">
              <w:rPr>
                <w:rFonts w:eastAsia="MS Mincho"/>
                <w:sz w:val="20"/>
              </w:rPr>
              <w:t>c</w:t>
            </w:r>
            <w:r w:rsidRPr="00E62551">
              <w:rPr>
                <w:rFonts w:eastAsia="MS Mincho"/>
                <w:sz w:val="20"/>
              </w:rPr>
              <w:t>onsumed (GB/TB)</w:t>
            </w:r>
          </w:p>
        </w:tc>
      </w:tr>
      <w:tr w:rsidR="00741F7E" w:rsidRPr="00E62551" w14:paraId="6F6B610C" w14:textId="77777777" w:rsidTr="00E62551">
        <w:trPr>
          <w:trHeight w:val="20"/>
        </w:trPr>
        <w:tc>
          <w:tcPr>
            <w:tcW w:w="808" w:type="dxa"/>
            <w:noWrap/>
            <w:hideMark/>
          </w:tcPr>
          <w:p w14:paraId="1849D16C" w14:textId="77777777" w:rsidR="00741F7E" w:rsidRPr="00E62551" w:rsidRDefault="00741F7E" w:rsidP="00635EF3">
            <w:pPr>
              <w:pStyle w:val="Tabletext"/>
              <w:rPr>
                <w:rFonts w:eastAsia="MS Mincho"/>
                <w:sz w:val="20"/>
              </w:rPr>
            </w:pPr>
            <w:r w:rsidRPr="00E62551">
              <w:rPr>
                <w:rFonts w:eastAsia="MS Mincho"/>
                <w:sz w:val="20"/>
              </w:rPr>
              <w:t>2023</w:t>
            </w:r>
          </w:p>
        </w:tc>
        <w:tc>
          <w:tcPr>
            <w:tcW w:w="1739" w:type="dxa"/>
            <w:noWrap/>
            <w:hideMark/>
          </w:tcPr>
          <w:p w14:paraId="62F3E3F0" w14:textId="77777777" w:rsidR="00741F7E" w:rsidRPr="00E62551" w:rsidRDefault="00741F7E" w:rsidP="00635EF3">
            <w:pPr>
              <w:pStyle w:val="Tabletext"/>
              <w:rPr>
                <w:rFonts w:eastAsia="MS Mincho"/>
                <w:sz w:val="20"/>
              </w:rPr>
            </w:pPr>
            <w:r w:rsidRPr="00E62551">
              <w:rPr>
                <w:rFonts w:eastAsia="MS Mincho"/>
                <w:sz w:val="20"/>
              </w:rPr>
              <w:t>Trinidad and Tobago</w:t>
            </w:r>
          </w:p>
        </w:tc>
        <w:tc>
          <w:tcPr>
            <w:tcW w:w="1417" w:type="dxa"/>
            <w:noWrap/>
            <w:hideMark/>
          </w:tcPr>
          <w:p w14:paraId="417C67DF" w14:textId="77777777" w:rsidR="00741F7E" w:rsidRPr="00E62551" w:rsidRDefault="00741F7E" w:rsidP="00635EF3">
            <w:pPr>
              <w:pStyle w:val="Tabletext"/>
              <w:rPr>
                <w:sz w:val="20"/>
              </w:rPr>
            </w:pPr>
          </w:p>
        </w:tc>
        <w:tc>
          <w:tcPr>
            <w:tcW w:w="1560" w:type="dxa"/>
            <w:noWrap/>
            <w:hideMark/>
          </w:tcPr>
          <w:p w14:paraId="5CA9AF40" w14:textId="7B66AE21" w:rsidR="00741F7E" w:rsidRPr="00E62551" w:rsidRDefault="00741F7E" w:rsidP="00635EF3">
            <w:pPr>
              <w:pStyle w:val="Tabletext"/>
              <w:jc w:val="center"/>
              <w:rPr>
                <w:sz w:val="20"/>
              </w:rPr>
            </w:pPr>
            <w:proofErr w:type="spellStart"/>
            <w:r w:rsidRPr="00E62551">
              <w:rPr>
                <w:sz w:val="20"/>
              </w:rPr>
              <w:t>Xx</w:t>
            </w:r>
            <w:proofErr w:type="spellEnd"/>
          </w:p>
        </w:tc>
        <w:tc>
          <w:tcPr>
            <w:tcW w:w="1575" w:type="dxa"/>
            <w:noWrap/>
            <w:hideMark/>
          </w:tcPr>
          <w:p w14:paraId="74B510E6" w14:textId="2D333036" w:rsidR="00741F7E" w:rsidRPr="00E62551" w:rsidRDefault="00741F7E" w:rsidP="00635EF3">
            <w:pPr>
              <w:pStyle w:val="Tabletext"/>
              <w:jc w:val="center"/>
              <w:rPr>
                <w:sz w:val="20"/>
              </w:rPr>
            </w:pPr>
            <w:r w:rsidRPr="00E62551">
              <w:rPr>
                <w:sz w:val="20"/>
              </w:rPr>
              <w:t>xx</w:t>
            </w:r>
          </w:p>
        </w:tc>
        <w:tc>
          <w:tcPr>
            <w:tcW w:w="1341" w:type="dxa"/>
            <w:noWrap/>
            <w:hideMark/>
          </w:tcPr>
          <w:p w14:paraId="615641E9" w14:textId="1FCD43C9" w:rsidR="00741F7E" w:rsidRPr="00E62551" w:rsidRDefault="00741F7E" w:rsidP="00635EF3">
            <w:pPr>
              <w:pStyle w:val="Tabletext"/>
              <w:jc w:val="center"/>
              <w:rPr>
                <w:sz w:val="20"/>
              </w:rPr>
            </w:pPr>
            <w:r w:rsidRPr="00E62551">
              <w:rPr>
                <w:sz w:val="20"/>
              </w:rPr>
              <w:t>xx</w:t>
            </w:r>
          </w:p>
        </w:tc>
        <w:tc>
          <w:tcPr>
            <w:tcW w:w="943" w:type="dxa"/>
            <w:noWrap/>
            <w:hideMark/>
          </w:tcPr>
          <w:p w14:paraId="452B7950" w14:textId="20AE4A64" w:rsidR="00741F7E" w:rsidRPr="00E62551" w:rsidRDefault="00741F7E" w:rsidP="00635EF3">
            <w:pPr>
              <w:pStyle w:val="Tabletext"/>
              <w:jc w:val="center"/>
              <w:rPr>
                <w:sz w:val="20"/>
              </w:rPr>
            </w:pPr>
            <w:r w:rsidRPr="00E62551">
              <w:rPr>
                <w:sz w:val="20"/>
              </w:rPr>
              <w:t>xx</w:t>
            </w:r>
          </w:p>
        </w:tc>
        <w:tc>
          <w:tcPr>
            <w:tcW w:w="943" w:type="dxa"/>
            <w:noWrap/>
            <w:hideMark/>
          </w:tcPr>
          <w:p w14:paraId="2FD9BA98" w14:textId="5968A609" w:rsidR="00741F7E" w:rsidRPr="00E62551" w:rsidRDefault="00741F7E" w:rsidP="00635EF3">
            <w:pPr>
              <w:pStyle w:val="Tabletext"/>
              <w:jc w:val="center"/>
              <w:rPr>
                <w:sz w:val="20"/>
              </w:rPr>
            </w:pPr>
            <w:r w:rsidRPr="00E62551">
              <w:rPr>
                <w:sz w:val="20"/>
              </w:rPr>
              <w:t>xx</w:t>
            </w:r>
          </w:p>
        </w:tc>
        <w:tc>
          <w:tcPr>
            <w:tcW w:w="1473" w:type="dxa"/>
            <w:noWrap/>
            <w:hideMark/>
          </w:tcPr>
          <w:p w14:paraId="4ED82C77" w14:textId="1EB67A98" w:rsidR="00741F7E" w:rsidRPr="00E62551" w:rsidRDefault="00741F7E" w:rsidP="00635EF3">
            <w:pPr>
              <w:pStyle w:val="Tabletext"/>
              <w:jc w:val="center"/>
              <w:rPr>
                <w:sz w:val="20"/>
              </w:rPr>
            </w:pPr>
            <w:r w:rsidRPr="00E62551">
              <w:rPr>
                <w:sz w:val="20"/>
              </w:rPr>
              <w:t>xx</w:t>
            </w:r>
          </w:p>
        </w:tc>
        <w:tc>
          <w:tcPr>
            <w:tcW w:w="1209" w:type="dxa"/>
            <w:noWrap/>
            <w:hideMark/>
          </w:tcPr>
          <w:p w14:paraId="562EA380" w14:textId="5989CC18" w:rsidR="00741F7E" w:rsidRPr="00E62551" w:rsidRDefault="00741F7E" w:rsidP="00635EF3">
            <w:pPr>
              <w:pStyle w:val="Tabletext"/>
              <w:jc w:val="center"/>
              <w:rPr>
                <w:sz w:val="20"/>
              </w:rPr>
            </w:pPr>
            <w:r w:rsidRPr="00E62551">
              <w:rPr>
                <w:sz w:val="20"/>
              </w:rPr>
              <w:t>xx</w:t>
            </w:r>
          </w:p>
        </w:tc>
        <w:tc>
          <w:tcPr>
            <w:tcW w:w="1552" w:type="dxa"/>
            <w:noWrap/>
            <w:hideMark/>
          </w:tcPr>
          <w:p w14:paraId="56435046" w14:textId="16679B60" w:rsidR="00741F7E" w:rsidRPr="00E62551" w:rsidRDefault="00741F7E" w:rsidP="00635EF3">
            <w:pPr>
              <w:pStyle w:val="Tabletext"/>
              <w:jc w:val="center"/>
              <w:rPr>
                <w:sz w:val="20"/>
              </w:rPr>
            </w:pPr>
            <w:r w:rsidRPr="00E62551">
              <w:rPr>
                <w:sz w:val="20"/>
              </w:rPr>
              <w:t>xx</w:t>
            </w:r>
          </w:p>
        </w:tc>
      </w:tr>
      <w:tr w:rsidR="00741F7E" w:rsidRPr="00E62551" w14:paraId="2C073B37" w14:textId="77777777" w:rsidTr="00E62551">
        <w:trPr>
          <w:trHeight w:val="20"/>
        </w:trPr>
        <w:tc>
          <w:tcPr>
            <w:tcW w:w="808" w:type="dxa"/>
            <w:noWrap/>
            <w:hideMark/>
          </w:tcPr>
          <w:p w14:paraId="0576FE7A" w14:textId="77777777" w:rsidR="00741F7E" w:rsidRPr="00E62551" w:rsidRDefault="00741F7E" w:rsidP="00635EF3">
            <w:pPr>
              <w:pStyle w:val="Tabletext"/>
              <w:rPr>
                <w:sz w:val="20"/>
              </w:rPr>
            </w:pPr>
            <w:r w:rsidRPr="00E62551">
              <w:rPr>
                <w:sz w:val="20"/>
              </w:rPr>
              <w:t>2023</w:t>
            </w:r>
          </w:p>
        </w:tc>
        <w:tc>
          <w:tcPr>
            <w:tcW w:w="1739" w:type="dxa"/>
            <w:noWrap/>
            <w:hideMark/>
          </w:tcPr>
          <w:p w14:paraId="410D3E33" w14:textId="77777777" w:rsidR="00741F7E" w:rsidRPr="00E62551" w:rsidRDefault="00741F7E" w:rsidP="00635EF3">
            <w:pPr>
              <w:pStyle w:val="Tabletext"/>
              <w:rPr>
                <w:rFonts w:eastAsia="MS Mincho"/>
                <w:sz w:val="20"/>
              </w:rPr>
            </w:pPr>
            <w:r w:rsidRPr="00E62551">
              <w:rPr>
                <w:rFonts w:eastAsia="MS Mincho"/>
                <w:sz w:val="20"/>
              </w:rPr>
              <w:t>Trinidad and Tobago</w:t>
            </w:r>
          </w:p>
        </w:tc>
        <w:tc>
          <w:tcPr>
            <w:tcW w:w="1417" w:type="dxa"/>
            <w:noWrap/>
            <w:hideMark/>
          </w:tcPr>
          <w:p w14:paraId="341806FD" w14:textId="77777777" w:rsidR="00741F7E" w:rsidRPr="00E62551" w:rsidRDefault="00741F7E" w:rsidP="00635EF3">
            <w:pPr>
              <w:pStyle w:val="Tabletext"/>
              <w:rPr>
                <w:sz w:val="20"/>
              </w:rPr>
            </w:pPr>
          </w:p>
        </w:tc>
        <w:tc>
          <w:tcPr>
            <w:tcW w:w="1560" w:type="dxa"/>
            <w:noWrap/>
            <w:hideMark/>
          </w:tcPr>
          <w:p w14:paraId="18D0F74C" w14:textId="1FC05F82" w:rsidR="00741F7E" w:rsidRPr="00E62551" w:rsidRDefault="00741F7E" w:rsidP="00635EF3">
            <w:pPr>
              <w:pStyle w:val="Tabletext"/>
              <w:jc w:val="center"/>
              <w:rPr>
                <w:sz w:val="20"/>
              </w:rPr>
            </w:pPr>
            <w:proofErr w:type="spellStart"/>
            <w:r w:rsidRPr="00E62551">
              <w:rPr>
                <w:sz w:val="20"/>
              </w:rPr>
              <w:t>Xx</w:t>
            </w:r>
            <w:proofErr w:type="spellEnd"/>
          </w:p>
        </w:tc>
        <w:tc>
          <w:tcPr>
            <w:tcW w:w="1575" w:type="dxa"/>
            <w:noWrap/>
            <w:hideMark/>
          </w:tcPr>
          <w:p w14:paraId="23ABDADB" w14:textId="321CC975" w:rsidR="00741F7E" w:rsidRPr="00E62551" w:rsidRDefault="00741F7E" w:rsidP="00635EF3">
            <w:pPr>
              <w:pStyle w:val="Tabletext"/>
              <w:jc w:val="center"/>
              <w:rPr>
                <w:sz w:val="20"/>
              </w:rPr>
            </w:pPr>
            <w:r w:rsidRPr="00E62551">
              <w:rPr>
                <w:sz w:val="20"/>
              </w:rPr>
              <w:t>xx</w:t>
            </w:r>
          </w:p>
        </w:tc>
        <w:tc>
          <w:tcPr>
            <w:tcW w:w="1341" w:type="dxa"/>
            <w:noWrap/>
            <w:hideMark/>
          </w:tcPr>
          <w:p w14:paraId="12F7B889" w14:textId="15694F12" w:rsidR="00741F7E" w:rsidRPr="00E62551" w:rsidRDefault="00741F7E" w:rsidP="00635EF3">
            <w:pPr>
              <w:pStyle w:val="Tabletext"/>
              <w:jc w:val="center"/>
              <w:rPr>
                <w:sz w:val="20"/>
              </w:rPr>
            </w:pPr>
            <w:r w:rsidRPr="00E62551">
              <w:rPr>
                <w:sz w:val="20"/>
              </w:rPr>
              <w:t>xx</w:t>
            </w:r>
          </w:p>
        </w:tc>
        <w:tc>
          <w:tcPr>
            <w:tcW w:w="943" w:type="dxa"/>
            <w:noWrap/>
            <w:hideMark/>
          </w:tcPr>
          <w:p w14:paraId="446F235B" w14:textId="040B168C" w:rsidR="00741F7E" w:rsidRPr="00E62551" w:rsidRDefault="00741F7E" w:rsidP="00635EF3">
            <w:pPr>
              <w:pStyle w:val="Tabletext"/>
              <w:jc w:val="center"/>
              <w:rPr>
                <w:sz w:val="20"/>
              </w:rPr>
            </w:pPr>
            <w:r w:rsidRPr="00E62551">
              <w:rPr>
                <w:sz w:val="20"/>
              </w:rPr>
              <w:t>xx</w:t>
            </w:r>
          </w:p>
        </w:tc>
        <w:tc>
          <w:tcPr>
            <w:tcW w:w="943" w:type="dxa"/>
            <w:noWrap/>
            <w:hideMark/>
          </w:tcPr>
          <w:p w14:paraId="76AC2DC0" w14:textId="386CA465" w:rsidR="00741F7E" w:rsidRPr="00E62551" w:rsidRDefault="00741F7E" w:rsidP="00635EF3">
            <w:pPr>
              <w:pStyle w:val="Tabletext"/>
              <w:jc w:val="center"/>
              <w:rPr>
                <w:sz w:val="20"/>
              </w:rPr>
            </w:pPr>
            <w:r w:rsidRPr="00E62551">
              <w:rPr>
                <w:sz w:val="20"/>
              </w:rPr>
              <w:t>xx</w:t>
            </w:r>
          </w:p>
        </w:tc>
        <w:tc>
          <w:tcPr>
            <w:tcW w:w="1473" w:type="dxa"/>
            <w:noWrap/>
            <w:hideMark/>
          </w:tcPr>
          <w:p w14:paraId="46641AD5" w14:textId="3AEB7EA0" w:rsidR="00741F7E" w:rsidRPr="00E62551" w:rsidRDefault="00741F7E" w:rsidP="00635EF3">
            <w:pPr>
              <w:pStyle w:val="Tabletext"/>
              <w:jc w:val="center"/>
              <w:rPr>
                <w:sz w:val="20"/>
              </w:rPr>
            </w:pPr>
            <w:r w:rsidRPr="00E62551">
              <w:rPr>
                <w:sz w:val="20"/>
              </w:rPr>
              <w:t>xx</w:t>
            </w:r>
          </w:p>
        </w:tc>
        <w:tc>
          <w:tcPr>
            <w:tcW w:w="1209" w:type="dxa"/>
            <w:noWrap/>
            <w:hideMark/>
          </w:tcPr>
          <w:p w14:paraId="09662F6E" w14:textId="776581FC" w:rsidR="00741F7E" w:rsidRPr="00E62551" w:rsidRDefault="00741F7E" w:rsidP="00635EF3">
            <w:pPr>
              <w:pStyle w:val="Tabletext"/>
              <w:jc w:val="center"/>
              <w:rPr>
                <w:sz w:val="20"/>
              </w:rPr>
            </w:pPr>
            <w:r w:rsidRPr="00E62551">
              <w:rPr>
                <w:sz w:val="20"/>
              </w:rPr>
              <w:t>xx</w:t>
            </w:r>
          </w:p>
        </w:tc>
        <w:tc>
          <w:tcPr>
            <w:tcW w:w="1552" w:type="dxa"/>
            <w:noWrap/>
            <w:hideMark/>
          </w:tcPr>
          <w:p w14:paraId="30363E77" w14:textId="0C3893CA" w:rsidR="00741F7E" w:rsidRPr="00E62551" w:rsidRDefault="00741F7E" w:rsidP="00635EF3">
            <w:pPr>
              <w:pStyle w:val="Tabletext"/>
              <w:jc w:val="center"/>
              <w:rPr>
                <w:sz w:val="20"/>
              </w:rPr>
            </w:pPr>
            <w:r w:rsidRPr="00E62551">
              <w:rPr>
                <w:sz w:val="20"/>
              </w:rPr>
              <w:t>xx</w:t>
            </w:r>
          </w:p>
        </w:tc>
      </w:tr>
      <w:tr w:rsidR="00741F7E" w:rsidRPr="00E62551" w14:paraId="132477D0" w14:textId="77777777" w:rsidTr="00E62551">
        <w:trPr>
          <w:trHeight w:val="20"/>
        </w:trPr>
        <w:tc>
          <w:tcPr>
            <w:tcW w:w="808" w:type="dxa"/>
            <w:noWrap/>
            <w:hideMark/>
          </w:tcPr>
          <w:p w14:paraId="2C777A9C" w14:textId="77777777" w:rsidR="00741F7E" w:rsidRPr="00E62551" w:rsidRDefault="00741F7E" w:rsidP="00635EF3">
            <w:pPr>
              <w:pStyle w:val="Tabletext"/>
              <w:rPr>
                <w:sz w:val="20"/>
              </w:rPr>
            </w:pPr>
            <w:r w:rsidRPr="00E62551">
              <w:rPr>
                <w:sz w:val="20"/>
              </w:rPr>
              <w:t>2023</w:t>
            </w:r>
          </w:p>
        </w:tc>
        <w:tc>
          <w:tcPr>
            <w:tcW w:w="1739" w:type="dxa"/>
            <w:noWrap/>
            <w:hideMark/>
          </w:tcPr>
          <w:p w14:paraId="7EA76D0A" w14:textId="77777777" w:rsidR="00741F7E" w:rsidRPr="00E62551" w:rsidRDefault="00741F7E" w:rsidP="00635EF3">
            <w:pPr>
              <w:pStyle w:val="Tabletext"/>
              <w:rPr>
                <w:rFonts w:eastAsia="MS Mincho"/>
                <w:sz w:val="20"/>
              </w:rPr>
            </w:pPr>
            <w:r w:rsidRPr="00E62551">
              <w:rPr>
                <w:rFonts w:eastAsia="MS Mincho"/>
                <w:sz w:val="20"/>
              </w:rPr>
              <w:t>Trinidad and Tobago</w:t>
            </w:r>
          </w:p>
        </w:tc>
        <w:tc>
          <w:tcPr>
            <w:tcW w:w="1417" w:type="dxa"/>
            <w:noWrap/>
            <w:hideMark/>
          </w:tcPr>
          <w:p w14:paraId="780F0593" w14:textId="77777777" w:rsidR="00741F7E" w:rsidRPr="00E62551" w:rsidRDefault="00741F7E" w:rsidP="00635EF3">
            <w:pPr>
              <w:pStyle w:val="Tabletext"/>
              <w:rPr>
                <w:sz w:val="20"/>
              </w:rPr>
            </w:pPr>
          </w:p>
        </w:tc>
        <w:tc>
          <w:tcPr>
            <w:tcW w:w="1560" w:type="dxa"/>
            <w:noWrap/>
            <w:hideMark/>
          </w:tcPr>
          <w:p w14:paraId="7355DCCC" w14:textId="718A6DF1" w:rsidR="00741F7E" w:rsidRPr="00E62551" w:rsidRDefault="00741F7E" w:rsidP="00635EF3">
            <w:pPr>
              <w:pStyle w:val="Tabletext"/>
              <w:jc w:val="center"/>
              <w:rPr>
                <w:sz w:val="20"/>
              </w:rPr>
            </w:pPr>
            <w:proofErr w:type="spellStart"/>
            <w:r w:rsidRPr="00E62551">
              <w:rPr>
                <w:sz w:val="20"/>
              </w:rPr>
              <w:t>Xx</w:t>
            </w:r>
            <w:proofErr w:type="spellEnd"/>
          </w:p>
        </w:tc>
        <w:tc>
          <w:tcPr>
            <w:tcW w:w="1575" w:type="dxa"/>
            <w:noWrap/>
            <w:hideMark/>
          </w:tcPr>
          <w:p w14:paraId="40047CD0" w14:textId="66A8B447" w:rsidR="00741F7E" w:rsidRPr="00E62551" w:rsidRDefault="00741F7E" w:rsidP="00635EF3">
            <w:pPr>
              <w:pStyle w:val="Tabletext"/>
              <w:jc w:val="center"/>
              <w:rPr>
                <w:sz w:val="20"/>
              </w:rPr>
            </w:pPr>
            <w:r w:rsidRPr="00E62551">
              <w:rPr>
                <w:sz w:val="20"/>
              </w:rPr>
              <w:t>xx</w:t>
            </w:r>
          </w:p>
        </w:tc>
        <w:tc>
          <w:tcPr>
            <w:tcW w:w="1341" w:type="dxa"/>
            <w:noWrap/>
            <w:hideMark/>
          </w:tcPr>
          <w:p w14:paraId="07351766" w14:textId="71190033" w:rsidR="00741F7E" w:rsidRPr="00E62551" w:rsidRDefault="00741F7E" w:rsidP="00635EF3">
            <w:pPr>
              <w:pStyle w:val="Tabletext"/>
              <w:jc w:val="center"/>
              <w:rPr>
                <w:sz w:val="20"/>
              </w:rPr>
            </w:pPr>
            <w:r w:rsidRPr="00E62551">
              <w:rPr>
                <w:sz w:val="20"/>
              </w:rPr>
              <w:t>xx</w:t>
            </w:r>
          </w:p>
        </w:tc>
        <w:tc>
          <w:tcPr>
            <w:tcW w:w="943" w:type="dxa"/>
            <w:noWrap/>
            <w:hideMark/>
          </w:tcPr>
          <w:p w14:paraId="1ACF63BF" w14:textId="6729A0C2" w:rsidR="00741F7E" w:rsidRPr="00E62551" w:rsidRDefault="00741F7E" w:rsidP="00635EF3">
            <w:pPr>
              <w:pStyle w:val="Tabletext"/>
              <w:jc w:val="center"/>
              <w:rPr>
                <w:sz w:val="20"/>
              </w:rPr>
            </w:pPr>
            <w:r w:rsidRPr="00E62551">
              <w:rPr>
                <w:sz w:val="20"/>
              </w:rPr>
              <w:t>xx</w:t>
            </w:r>
          </w:p>
        </w:tc>
        <w:tc>
          <w:tcPr>
            <w:tcW w:w="943" w:type="dxa"/>
            <w:noWrap/>
            <w:hideMark/>
          </w:tcPr>
          <w:p w14:paraId="21325900" w14:textId="4309129C" w:rsidR="00741F7E" w:rsidRPr="00E62551" w:rsidRDefault="00741F7E" w:rsidP="00635EF3">
            <w:pPr>
              <w:pStyle w:val="Tabletext"/>
              <w:jc w:val="center"/>
              <w:rPr>
                <w:sz w:val="20"/>
              </w:rPr>
            </w:pPr>
            <w:r w:rsidRPr="00E62551">
              <w:rPr>
                <w:sz w:val="20"/>
              </w:rPr>
              <w:t>xx</w:t>
            </w:r>
          </w:p>
        </w:tc>
        <w:tc>
          <w:tcPr>
            <w:tcW w:w="1473" w:type="dxa"/>
            <w:noWrap/>
            <w:hideMark/>
          </w:tcPr>
          <w:p w14:paraId="238D1AD6" w14:textId="4E1BC63C" w:rsidR="00741F7E" w:rsidRPr="00E62551" w:rsidRDefault="00741F7E" w:rsidP="00635EF3">
            <w:pPr>
              <w:pStyle w:val="Tabletext"/>
              <w:jc w:val="center"/>
              <w:rPr>
                <w:sz w:val="20"/>
              </w:rPr>
            </w:pPr>
            <w:r w:rsidRPr="00E62551">
              <w:rPr>
                <w:sz w:val="20"/>
              </w:rPr>
              <w:t>xx</w:t>
            </w:r>
          </w:p>
        </w:tc>
        <w:tc>
          <w:tcPr>
            <w:tcW w:w="1209" w:type="dxa"/>
            <w:noWrap/>
            <w:hideMark/>
          </w:tcPr>
          <w:p w14:paraId="774B424E" w14:textId="1A90C44A" w:rsidR="00741F7E" w:rsidRPr="00E62551" w:rsidRDefault="00741F7E" w:rsidP="00635EF3">
            <w:pPr>
              <w:pStyle w:val="Tabletext"/>
              <w:jc w:val="center"/>
              <w:rPr>
                <w:sz w:val="20"/>
              </w:rPr>
            </w:pPr>
            <w:r w:rsidRPr="00E62551">
              <w:rPr>
                <w:sz w:val="20"/>
              </w:rPr>
              <w:t>xx</w:t>
            </w:r>
          </w:p>
        </w:tc>
        <w:tc>
          <w:tcPr>
            <w:tcW w:w="1552" w:type="dxa"/>
            <w:noWrap/>
            <w:hideMark/>
          </w:tcPr>
          <w:p w14:paraId="1D3B9DE1" w14:textId="3EC71237" w:rsidR="00741F7E" w:rsidRPr="00E62551" w:rsidRDefault="00741F7E" w:rsidP="00635EF3">
            <w:pPr>
              <w:pStyle w:val="Tabletext"/>
              <w:jc w:val="center"/>
              <w:rPr>
                <w:sz w:val="20"/>
              </w:rPr>
            </w:pPr>
            <w:r w:rsidRPr="00E62551">
              <w:rPr>
                <w:sz w:val="20"/>
              </w:rPr>
              <w:t>xx</w:t>
            </w:r>
          </w:p>
        </w:tc>
      </w:tr>
      <w:tr w:rsidR="00741F7E" w:rsidRPr="00E62551" w14:paraId="7625F555" w14:textId="77777777" w:rsidTr="00E62551">
        <w:trPr>
          <w:trHeight w:val="20"/>
        </w:trPr>
        <w:tc>
          <w:tcPr>
            <w:tcW w:w="808" w:type="dxa"/>
            <w:noWrap/>
            <w:hideMark/>
          </w:tcPr>
          <w:p w14:paraId="79152D71" w14:textId="77777777" w:rsidR="00741F7E" w:rsidRPr="00E62551" w:rsidRDefault="00741F7E" w:rsidP="00635EF3">
            <w:pPr>
              <w:pStyle w:val="Tabletext"/>
              <w:rPr>
                <w:sz w:val="20"/>
              </w:rPr>
            </w:pPr>
            <w:r w:rsidRPr="00E62551">
              <w:rPr>
                <w:sz w:val="20"/>
              </w:rPr>
              <w:t>2023</w:t>
            </w:r>
          </w:p>
        </w:tc>
        <w:tc>
          <w:tcPr>
            <w:tcW w:w="1739" w:type="dxa"/>
            <w:noWrap/>
            <w:hideMark/>
          </w:tcPr>
          <w:p w14:paraId="3C7D41CF" w14:textId="77777777" w:rsidR="00741F7E" w:rsidRPr="00E62551" w:rsidRDefault="00741F7E" w:rsidP="00635EF3">
            <w:pPr>
              <w:pStyle w:val="Tabletext"/>
              <w:rPr>
                <w:rFonts w:eastAsia="MS Mincho"/>
                <w:sz w:val="20"/>
              </w:rPr>
            </w:pPr>
            <w:r w:rsidRPr="00E62551">
              <w:rPr>
                <w:rFonts w:eastAsia="MS Mincho"/>
                <w:sz w:val="20"/>
              </w:rPr>
              <w:t>Trinidad and Tobago</w:t>
            </w:r>
          </w:p>
        </w:tc>
        <w:tc>
          <w:tcPr>
            <w:tcW w:w="1417" w:type="dxa"/>
            <w:noWrap/>
            <w:hideMark/>
          </w:tcPr>
          <w:p w14:paraId="2C52827C" w14:textId="77777777" w:rsidR="00741F7E" w:rsidRPr="00E62551" w:rsidRDefault="00741F7E" w:rsidP="00635EF3">
            <w:pPr>
              <w:pStyle w:val="Tabletext"/>
              <w:rPr>
                <w:sz w:val="20"/>
              </w:rPr>
            </w:pPr>
          </w:p>
        </w:tc>
        <w:tc>
          <w:tcPr>
            <w:tcW w:w="1560" w:type="dxa"/>
            <w:noWrap/>
            <w:hideMark/>
          </w:tcPr>
          <w:p w14:paraId="7464922E" w14:textId="76129ED2" w:rsidR="00741F7E" w:rsidRPr="00E62551" w:rsidRDefault="00741F7E" w:rsidP="00635EF3">
            <w:pPr>
              <w:pStyle w:val="Tabletext"/>
              <w:jc w:val="center"/>
              <w:rPr>
                <w:sz w:val="20"/>
              </w:rPr>
            </w:pPr>
            <w:proofErr w:type="spellStart"/>
            <w:r w:rsidRPr="00E62551">
              <w:rPr>
                <w:sz w:val="20"/>
              </w:rPr>
              <w:t>Xx</w:t>
            </w:r>
            <w:proofErr w:type="spellEnd"/>
          </w:p>
        </w:tc>
        <w:tc>
          <w:tcPr>
            <w:tcW w:w="1575" w:type="dxa"/>
            <w:noWrap/>
            <w:hideMark/>
          </w:tcPr>
          <w:p w14:paraId="5148E552" w14:textId="4363CC22" w:rsidR="00741F7E" w:rsidRPr="00E62551" w:rsidRDefault="00741F7E" w:rsidP="00635EF3">
            <w:pPr>
              <w:pStyle w:val="Tabletext"/>
              <w:jc w:val="center"/>
              <w:rPr>
                <w:sz w:val="20"/>
              </w:rPr>
            </w:pPr>
            <w:r w:rsidRPr="00E62551">
              <w:rPr>
                <w:sz w:val="20"/>
              </w:rPr>
              <w:t>xx</w:t>
            </w:r>
          </w:p>
        </w:tc>
        <w:tc>
          <w:tcPr>
            <w:tcW w:w="1341" w:type="dxa"/>
            <w:noWrap/>
            <w:hideMark/>
          </w:tcPr>
          <w:p w14:paraId="7492694E" w14:textId="669B1947" w:rsidR="00741F7E" w:rsidRPr="00E62551" w:rsidRDefault="00741F7E" w:rsidP="00635EF3">
            <w:pPr>
              <w:pStyle w:val="Tabletext"/>
              <w:jc w:val="center"/>
              <w:rPr>
                <w:sz w:val="20"/>
              </w:rPr>
            </w:pPr>
            <w:r w:rsidRPr="00E62551">
              <w:rPr>
                <w:sz w:val="20"/>
              </w:rPr>
              <w:t>xx</w:t>
            </w:r>
          </w:p>
        </w:tc>
        <w:tc>
          <w:tcPr>
            <w:tcW w:w="943" w:type="dxa"/>
            <w:noWrap/>
            <w:hideMark/>
          </w:tcPr>
          <w:p w14:paraId="2FDED278" w14:textId="6725AC55" w:rsidR="00741F7E" w:rsidRPr="00E62551" w:rsidRDefault="00741F7E" w:rsidP="00635EF3">
            <w:pPr>
              <w:pStyle w:val="Tabletext"/>
              <w:jc w:val="center"/>
              <w:rPr>
                <w:sz w:val="20"/>
              </w:rPr>
            </w:pPr>
            <w:r w:rsidRPr="00E62551">
              <w:rPr>
                <w:sz w:val="20"/>
              </w:rPr>
              <w:t>xx</w:t>
            </w:r>
          </w:p>
        </w:tc>
        <w:tc>
          <w:tcPr>
            <w:tcW w:w="943" w:type="dxa"/>
            <w:noWrap/>
            <w:hideMark/>
          </w:tcPr>
          <w:p w14:paraId="123D0643" w14:textId="2B51162B" w:rsidR="00741F7E" w:rsidRPr="00E62551" w:rsidRDefault="00741F7E" w:rsidP="00635EF3">
            <w:pPr>
              <w:pStyle w:val="Tabletext"/>
              <w:jc w:val="center"/>
              <w:rPr>
                <w:sz w:val="20"/>
              </w:rPr>
            </w:pPr>
            <w:r w:rsidRPr="00E62551">
              <w:rPr>
                <w:sz w:val="20"/>
              </w:rPr>
              <w:t>xx</w:t>
            </w:r>
          </w:p>
        </w:tc>
        <w:tc>
          <w:tcPr>
            <w:tcW w:w="1473" w:type="dxa"/>
            <w:noWrap/>
            <w:hideMark/>
          </w:tcPr>
          <w:p w14:paraId="4A25E273" w14:textId="60CC2891" w:rsidR="00741F7E" w:rsidRPr="00E62551" w:rsidRDefault="00741F7E" w:rsidP="00635EF3">
            <w:pPr>
              <w:pStyle w:val="Tabletext"/>
              <w:jc w:val="center"/>
              <w:rPr>
                <w:sz w:val="20"/>
              </w:rPr>
            </w:pPr>
            <w:r w:rsidRPr="00E62551">
              <w:rPr>
                <w:sz w:val="20"/>
              </w:rPr>
              <w:t>xx</w:t>
            </w:r>
          </w:p>
        </w:tc>
        <w:tc>
          <w:tcPr>
            <w:tcW w:w="1209" w:type="dxa"/>
            <w:noWrap/>
            <w:hideMark/>
          </w:tcPr>
          <w:p w14:paraId="2A6D32C4" w14:textId="133D1E51" w:rsidR="00741F7E" w:rsidRPr="00E62551" w:rsidRDefault="00741F7E" w:rsidP="00635EF3">
            <w:pPr>
              <w:pStyle w:val="Tabletext"/>
              <w:jc w:val="center"/>
              <w:rPr>
                <w:sz w:val="20"/>
              </w:rPr>
            </w:pPr>
            <w:r w:rsidRPr="00E62551">
              <w:rPr>
                <w:sz w:val="20"/>
              </w:rPr>
              <w:t>xx</w:t>
            </w:r>
          </w:p>
        </w:tc>
        <w:tc>
          <w:tcPr>
            <w:tcW w:w="1552" w:type="dxa"/>
            <w:noWrap/>
            <w:hideMark/>
          </w:tcPr>
          <w:p w14:paraId="3A414CA4" w14:textId="2AC0C286" w:rsidR="00741F7E" w:rsidRPr="00E62551" w:rsidRDefault="00741F7E" w:rsidP="00635EF3">
            <w:pPr>
              <w:pStyle w:val="Tabletext"/>
              <w:jc w:val="center"/>
              <w:rPr>
                <w:sz w:val="20"/>
              </w:rPr>
            </w:pPr>
            <w:r w:rsidRPr="00E62551">
              <w:rPr>
                <w:sz w:val="20"/>
              </w:rPr>
              <w:t>xx</w:t>
            </w:r>
          </w:p>
        </w:tc>
      </w:tr>
      <w:tr w:rsidR="00741F7E" w:rsidRPr="00E62551" w14:paraId="54D7901F" w14:textId="77777777" w:rsidTr="00E62551">
        <w:trPr>
          <w:trHeight w:val="20"/>
        </w:trPr>
        <w:tc>
          <w:tcPr>
            <w:tcW w:w="808" w:type="dxa"/>
            <w:noWrap/>
            <w:hideMark/>
          </w:tcPr>
          <w:p w14:paraId="2941C234" w14:textId="77777777" w:rsidR="00741F7E" w:rsidRPr="00E62551" w:rsidRDefault="00741F7E" w:rsidP="00635EF3">
            <w:pPr>
              <w:pStyle w:val="Tabletext"/>
              <w:rPr>
                <w:sz w:val="20"/>
              </w:rPr>
            </w:pPr>
            <w:r w:rsidRPr="00E62551">
              <w:rPr>
                <w:sz w:val="20"/>
              </w:rPr>
              <w:t>2023</w:t>
            </w:r>
          </w:p>
        </w:tc>
        <w:tc>
          <w:tcPr>
            <w:tcW w:w="1739" w:type="dxa"/>
            <w:noWrap/>
            <w:hideMark/>
          </w:tcPr>
          <w:p w14:paraId="5AC41656" w14:textId="77777777" w:rsidR="00741F7E" w:rsidRPr="00E62551" w:rsidRDefault="00741F7E" w:rsidP="00635EF3">
            <w:pPr>
              <w:pStyle w:val="Tabletext"/>
              <w:rPr>
                <w:rFonts w:eastAsia="MS Mincho"/>
                <w:sz w:val="20"/>
              </w:rPr>
            </w:pPr>
            <w:r w:rsidRPr="00E62551">
              <w:rPr>
                <w:rFonts w:eastAsia="MS Mincho"/>
                <w:sz w:val="20"/>
              </w:rPr>
              <w:t>Trinidad and Tobago</w:t>
            </w:r>
          </w:p>
        </w:tc>
        <w:tc>
          <w:tcPr>
            <w:tcW w:w="1417" w:type="dxa"/>
            <w:noWrap/>
            <w:hideMark/>
          </w:tcPr>
          <w:p w14:paraId="2F99CC17" w14:textId="77777777" w:rsidR="00741F7E" w:rsidRPr="00E62551" w:rsidRDefault="00741F7E" w:rsidP="00635EF3">
            <w:pPr>
              <w:pStyle w:val="Tabletext"/>
              <w:rPr>
                <w:sz w:val="20"/>
              </w:rPr>
            </w:pPr>
          </w:p>
        </w:tc>
        <w:tc>
          <w:tcPr>
            <w:tcW w:w="1560" w:type="dxa"/>
            <w:noWrap/>
            <w:hideMark/>
          </w:tcPr>
          <w:p w14:paraId="3A3768F2" w14:textId="3FF351E4" w:rsidR="00741F7E" w:rsidRPr="00E62551" w:rsidRDefault="00741F7E" w:rsidP="00635EF3">
            <w:pPr>
              <w:pStyle w:val="Tabletext"/>
              <w:jc w:val="center"/>
              <w:rPr>
                <w:sz w:val="20"/>
              </w:rPr>
            </w:pPr>
            <w:proofErr w:type="spellStart"/>
            <w:r w:rsidRPr="00E62551">
              <w:rPr>
                <w:sz w:val="20"/>
              </w:rPr>
              <w:t>Xx</w:t>
            </w:r>
            <w:proofErr w:type="spellEnd"/>
          </w:p>
        </w:tc>
        <w:tc>
          <w:tcPr>
            <w:tcW w:w="1575" w:type="dxa"/>
            <w:noWrap/>
            <w:hideMark/>
          </w:tcPr>
          <w:p w14:paraId="7AC1D68A" w14:textId="74996F0B" w:rsidR="00741F7E" w:rsidRPr="00E62551" w:rsidRDefault="00741F7E" w:rsidP="00635EF3">
            <w:pPr>
              <w:pStyle w:val="Tabletext"/>
              <w:jc w:val="center"/>
              <w:rPr>
                <w:sz w:val="20"/>
              </w:rPr>
            </w:pPr>
            <w:r w:rsidRPr="00E62551">
              <w:rPr>
                <w:sz w:val="20"/>
              </w:rPr>
              <w:t>xx</w:t>
            </w:r>
          </w:p>
        </w:tc>
        <w:tc>
          <w:tcPr>
            <w:tcW w:w="1341" w:type="dxa"/>
            <w:noWrap/>
            <w:hideMark/>
          </w:tcPr>
          <w:p w14:paraId="79506909" w14:textId="3D45E352" w:rsidR="00741F7E" w:rsidRPr="00E62551" w:rsidRDefault="00741F7E" w:rsidP="00635EF3">
            <w:pPr>
              <w:pStyle w:val="Tabletext"/>
              <w:jc w:val="center"/>
              <w:rPr>
                <w:sz w:val="20"/>
              </w:rPr>
            </w:pPr>
            <w:r w:rsidRPr="00E62551">
              <w:rPr>
                <w:sz w:val="20"/>
              </w:rPr>
              <w:t>xx</w:t>
            </w:r>
          </w:p>
        </w:tc>
        <w:tc>
          <w:tcPr>
            <w:tcW w:w="943" w:type="dxa"/>
            <w:noWrap/>
            <w:hideMark/>
          </w:tcPr>
          <w:p w14:paraId="1CDA76AF" w14:textId="3D2E910A" w:rsidR="00741F7E" w:rsidRPr="00E62551" w:rsidRDefault="00741F7E" w:rsidP="00635EF3">
            <w:pPr>
              <w:pStyle w:val="Tabletext"/>
              <w:jc w:val="center"/>
              <w:rPr>
                <w:sz w:val="20"/>
              </w:rPr>
            </w:pPr>
            <w:r w:rsidRPr="00E62551">
              <w:rPr>
                <w:sz w:val="20"/>
              </w:rPr>
              <w:t>xx</w:t>
            </w:r>
          </w:p>
        </w:tc>
        <w:tc>
          <w:tcPr>
            <w:tcW w:w="943" w:type="dxa"/>
            <w:noWrap/>
            <w:hideMark/>
          </w:tcPr>
          <w:p w14:paraId="0407C728" w14:textId="3E7EF4B7" w:rsidR="00741F7E" w:rsidRPr="00E62551" w:rsidRDefault="00741F7E" w:rsidP="00635EF3">
            <w:pPr>
              <w:pStyle w:val="Tabletext"/>
              <w:jc w:val="center"/>
              <w:rPr>
                <w:sz w:val="20"/>
              </w:rPr>
            </w:pPr>
            <w:r w:rsidRPr="00E62551">
              <w:rPr>
                <w:sz w:val="20"/>
              </w:rPr>
              <w:t>xx</w:t>
            </w:r>
          </w:p>
        </w:tc>
        <w:tc>
          <w:tcPr>
            <w:tcW w:w="1473" w:type="dxa"/>
            <w:noWrap/>
            <w:hideMark/>
          </w:tcPr>
          <w:p w14:paraId="39700A1F" w14:textId="277EE048" w:rsidR="00741F7E" w:rsidRPr="00E62551" w:rsidRDefault="00741F7E" w:rsidP="00635EF3">
            <w:pPr>
              <w:pStyle w:val="Tabletext"/>
              <w:jc w:val="center"/>
              <w:rPr>
                <w:sz w:val="20"/>
              </w:rPr>
            </w:pPr>
            <w:r w:rsidRPr="00E62551">
              <w:rPr>
                <w:sz w:val="20"/>
              </w:rPr>
              <w:t>xx</w:t>
            </w:r>
          </w:p>
        </w:tc>
        <w:tc>
          <w:tcPr>
            <w:tcW w:w="1209" w:type="dxa"/>
            <w:noWrap/>
            <w:hideMark/>
          </w:tcPr>
          <w:p w14:paraId="1A4110C5" w14:textId="496EEECA" w:rsidR="00741F7E" w:rsidRPr="00E62551" w:rsidRDefault="00741F7E" w:rsidP="00635EF3">
            <w:pPr>
              <w:pStyle w:val="Tabletext"/>
              <w:jc w:val="center"/>
              <w:rPr>
                <w:sz w:val="20"/>
              </w:rPr>
            </w:pPr>
            <w:r w:rsidRPr="00E62551">
              <w:rPr>
                <w:sz w:val="20"/>
              </w:rPr>
              <w:t>xx</w:t>
            </w:r>
          </w:p>
        </w:tc>
        <w:tc>
          <w:tcPr>
            <w:tcW w:w="1552" w:type="dxa"/>
            <w:noWrap/>
            <w:hideMark/>
          </w:tcPr>
          <w:p w14:paraId="4D2D104F" w14:textId="3FCBA3E8" w:rsidR="00741F7E" w:rsidRPr="00E62551" w:rsidRDefault="00741F7E" w:rsidP="00635EF3">
            <w:pPr>
              <w:pStyle w:val="Tabletext"/>
              <w:jc w:val="center"/>
              <w:rPr>
                <w:sz w:val="20"/>
              </w:rPr>
            </w:pPr>
            <w:r w:rsidRPr="00E62551">
              <w:rPr>
                <w:sz w:val="20"/>
              </w:rPr>
              <w:t>xx</w:t>
            </w:r>
          </w:p>
        </w:tc>
      </w:tr>
      <w:tr w:rsidR="00741F7E" w:rsidRPr="00E62551" w14:paraId="09920BEA" w14:textId="77777777" w:rsidTr="00E62551">
        <w:trPr>
          <w:trHeight w:val="20"/>
        </w:trPr>
        <w:tc>
          <w:tcPr>
            <w:tcW w:w="808" w:type="dxa"/>
            <w:noWrap/>
            <w:hideMark/>
          </w:tcPr>
          <w:p w14:paraId="6CC0E4E7" w14:textId="77777777" w:rsidR="00741F7E" w:rsidRPr="00E62551" w:rsidRDefault="00741F7E" w:rsidP="00635EF3">
            <w:pPr>
              <w:pStyle w:val="Tabletext"/>
              <w:rPr>
                <w:sz w:val="20"/>
              </w:rPr>
            </w:pPr>
            <w:r w:rsidRPr="00E62551">
              <w:rPr>
                <w:sz w:val="20"/>
              </w:rPr>
              <w:t>2023</w:t>
            </w:r>
          </w:p>
        </w:tc>
        <w:tc>
          <w:tcPr>
            <w:tcW w:w="1739" w:type="dxa"/>
            <w:noWrap/>
            <w:hideMark/>
          </w:tcPr>
          <w:p w14:paraId="3F1A647C" w14:textId="77777777" w:rsidR="00741F7E" w:rsidRPr="00E62551" w:rsidRDefault="00741F7E" w:rsidP="00635EF3">
            <w:pPr>
              <w:pStyle w:val="Tabletext"/>
              <w:rPr>
                <w:rFonts w:eastAsia="MS Mincho"/>
                <w:sz w:val="20"/>
              </w:rPr>
            </w:pPr>
            <w:r w:rsidRPr="00E62551">
              <w:rPr>
                <w:rFonts w:eastAsia="MS Mincho"/>
                <w:sz w:val="20"/>
              </w:rPr>
              <w:t>Trinidad and Tobago</w:t>
            </w:r>
          </w:p>
        </w:tc>
        <w:tc>
          <w:tcPr>
            <w:tcW w:w="1417" w:type="dxa"/>
            <w:noWrap/>
            <w:hideMark/>
          </w:tcPr>
          <w:p w14:paraId="728DB88B" w14:textId="77777777" w:rsidR="00741F7E" w:rsidRPr="00E62551" w:rsidRDefault="00741F7E" w:rsidP="00635EF3">
            <w:pPr>
              <w:pStyle w:val="Tabletext"/>
              <w:rPr>
                <w:sz w:val="20"/>
              </w:rPr>
            </w:pPr>
          </w:p>
        </w:tc>
        <w:tc>
          <w:tcPr>
            <w:tcW w:w="1560" w:type="dxa"/>
            <w:noWrap/>
            <w:hideMark/>
          </w:tcPr>
          <w:p w14:paraId="41EDA1FC" w14:textId="025BE409" w:rsidR="00741F7E" w:rsidRPr="00E62551" w:rsidRDefault="00741F7E" w:rsidP="00635EF3">
            <w:pPr>
              <w:pStyle w:val="Tabletext"/>
              <w:jc w:val="center"/>
              <w:rPr>
                <w:sz w:val="20"/>
              </w:rPr>
            </w:pPr>
            <w:proofErr w:type="spellStart"/>
            <w:r w:rsidRPr="00E62551">
              <w:rPr>
                <w:sz w:val="20"/>
              </w:rPr>
              <w:t>Xx</w:t>
            </w:r>
            <w:proofErr w:type="spellEnd"/>
          </w:p>
        </w:tc>
        <w:tc>
          <w:tcPr>
            <w:tcW w:w="1575" w:type="dxa"/>
            <w:noWrap/>
            <w:hideMark/>
          </w:tcPr>
          <w:p w14:paraId="546C1331" w14:textId="1A47DE33" w:rsidR="00741F7E" w:rsidRPr="00E62551" w:rsidRDefault="00741F7E" w:rsidP="00635EF3">
            <w:pPr>
              <w:pStyle w:val="Tabletext"/>
              <w:jc w:val="center"/>
              <w:rPr>
                <w:sz w:val="20"/>
              </w:rPr>
            </w:pPr>
            <w:r w:rsidRPr="00E62551">
              <w:rPr>
                <w:sz w:val="20"/>
              </w:rPr>
              <w:t>xx</w:t>
            </w:r>
          </w:p>
        </w:tc>
        <w:tc>
          <w:tcPr>
            <w:tcW w:w="1341" w:type="dxa"/>
            <w:noWrap/>
            <w:hideMark/>
          </w:tcPr>
          <w:p w14:paraId="5129260D" w14:textId="52241575" w:rsidR="00741F7E" w:rsidRPr="00E62551" w:rsidRDefault="00741F7E" w:rsidP="00635EF3">
            <w:pPr>
              <w:pStyle w:val="Tabletext"/>
              <w:jc w:val="center"/>
              <w:rPr>
                <w:sz w:val="20"/>
              </w:rPr>
            </w:pPr>
            <w:r w:rsidRPr="00E62551">
              <w:rPr>
                <w:sz w:val="20"/>
              </w:rPr>
              <w:t>xx</w:t>
            </w:r>
          </w:p>
        </w:tc>
        <w:tc>
          <w:tcPr>
            <w:tcW w:w="943" w:type="dxa"/>
            <w:noWrap/>
            <w:hideMark/>
          </w:tcPr>
          <w:p w14:paraId="32A5A61A" w14:textId="4D580C8F" w:rsidR="00741F7E" w:rsidRPr="00E62551" w:rsidRDefault="00741F7E" w:rsidP="00635EF3">
            <w:pPr>
              <w:pStyle w:val="Tabletext"/>
              <w:jc w:val="center"/>
              <w:rPr>
                <w:sz w:val="20"/>
              </w:rPr>
            </w:pPr>
            <w:r w:rsidRPr="00E62551">
              <w:rPr>
                <w:sz w:val="20"/>
              </w:rPr>
              <w:t>xx</w:t>
            </w:r>
          </w:p>
        </w:tc>
        <w:tc>
          <w:tcPr>
            <w:tcW w:w="943" w:type="dxa"/>
            <w:noWrap/>
            <w:hideMark/>
          </w:tcPr>
          <w:p w14:paraId="17E20412" w14:textId="45E6A8BC" w:rsidR="00741F7E" w:rsidRPr="00E62551" w:rsidRDefault="00741F7E" w:rsidP="00635EF3">
            <w:pPr>
              <w:pStyle w:val="Tabletext"/>
              <w:jc w:val="center"/>
              <w:rPr>
                <w:sz w:val="20"/>
              </w:rPr>
            </w:pPr>
            <w:r w:rsidRPr="00E62551">
              <w:rPr>
                <w:sz w:val="20"/>
              </w:rPr>
              <w:t>xx</w:t>
            </w:r>
          </w:p>
        </w:tc>
        <w:tc>
          <w:tcPr>
            <w:tcW w:w="1473" w:type="dxa"/>
            <w:noWrap/>
            <w:hideMark/>
          </w:tcPr>
          <w:p w14:paraId="54C2EB19" w14:textId="3CE40585" w:rsidR="00741F7E" w:rsidRPr="00E62551" w:rsidRDefault="00741F7E" w:rsidP="00635EF3">
            <w:pPr>
              <w:pStyle w:val="Tabletext"/>
              <w:jc w:val="center"/>
              <w:rPr>
                <w:sz w:val="20"/>
              </w:rPr>
            </w:pPr>
            <w:r w:rsidRPr="00E62551">
              <w:rPr>
                <w:sz w:val="20"/>
              </w:rPr>
              <w:t>xx</w:t>
            </w:r>
          </w:p>
        </w:tc>
        <w:tc>
          <w:tcPr>
            <w:tcW w:w="1209" w:type="dxa"/>
            <w:noWrap/>
            <w:hideMark/>
          </w:tcPr>
          <w:p w14:paraId="54C1FFA3" w14:textId="12B49543" w:rsidR="00741F7E" w:rsidRPr="00E62551" w:rsidRDefault="00741F7E" w:rsidP="00635EF3">
            <w:pPr>
              <w:pStyle w:val="Tabletext"/>
              <w:jc w:val="center"/>
              <w:rPr>
                <w:sz w:val="20"/>
              </w:rPr>
            </w:pPr>
            <w:r w:rsidRPr="00E62551">
              <w:rPr>
                <w:sz w:val="20"/>
              </w:rPr>
              <w:t>xx</w:t>
            </w:r>
          </w:p>
        </w:tc>
        <w:tc>
          <w:tcPr>
            <w:tcW w:w="1552" w:type="dxa"/>
            <w:noWrap/>
            <w:hideMark/>
          </w:tcPr>
          <w:p w14:paraId="3178FD16" w14:textId="34CEEBEE" w:rsidR="00741F7E" w:rsidRPr="00E62551" w:rsidRDefault="00741F7E" w:rsidP="00635EF3">
            <w:pPr>
              <w:pStyle w:val="Tabletext"/>
              <w:jc w:val="center"/>
              <w:rPr>
                <w:sz w:val="20"/>
              </w:rPr>
            </w:pPr>
            <w:r w:rsidRPr="00E62551">
              <w:rPr>
                <w:sz w:val="20"/>
              </w:rPr>
              <w:t>xx</w:t>
            </w:r>
          </w:p>
        </w:tc>
      </w:tr>
      <w:tr w:rsidR="00741F7E" w:rsidRPr="00E62551" w14:paraId="021CAEF2" w14:textId="77777777" w:rsidTr="00E62551">
        <w:trPr>
          <w:trHeight w:val="20"/>
        </w:trPr>
        <w:tc>
          <w:tcPr>
            <w:tcW w:w="808" w:type="dxa"/>
            <w:noWrap/>
          </w:tcPr>
          <w:p w14:paraId="42DFB818" w14:textId="77777777" w:rsidR="00741F7E" w:rsidRPr="00E62551" w:rsidRDefault="00741F7E" w:rsidP="00635EF3">
            <w:pPr>
              <w:pStyle w:val="Tabletext"/>
              <w:rPr>
                <w:sz w:val="20"/>
              </w:rPr>
            </w:pPr>
            <w:r w:rsidRPr="00E62551">
              <w:rPr>
                <w:sz w:val="20"/>
              </w:rPr>
              <w:t xml:space="preserve">2023 </w:t>
            </w:r>
          </w:p>
        </w:tc>
        <w:tc>
          <w:tcPr>
            <w:tcW w:w="1739" w:type="dxa"/>
            <w:noWrap/>
          </w:tcPr>
          <w:p w14:paraId="1BA65161" w14:textId="77777777" w:rsidR="00741F7E" w:rsidRPr="00E62551" w:rsidRDefault="00741F7E" w:rsidP="00635EF3">
            <w:pPr>
              <w:pStyle w:val="Tabletext"/>
              <w:rPr>
                <w:sz w:val="20"/>
              </w:rPr>
            </w:pPr>
            <w:r w:rsidRPr="00E62551">
              <w:rPr>
                <w:rFonts w:eastAsia="MS Mincho"/>
                <w:sz w:val="20"/>
              </w:rPr>
              <w:t>Trinidad and Tobago</w:t>
            </w:r>
          </w:p>
        </w:tc>
        <w:tc>
          <w:tcPr>
            <w:tcW w:w="1417" w:type="dxa"/>
            <w:noWrap/>
          </w:tcPr>
          <w:p w14:paraId="568CB5DA" w14:textId="77777777" w:rsidR="00741F7E" w:rsidRPr="00E62551" w:rsidDel="00014944" w:rsidRDefault="00741F7E" w:rsidP="00635EF3">
            <w:pPr>
              <w:pStyle w:val="Tabletext"/>
              <w:rPr>
                <w:sz w:val="20"/>
              </w:rPr>
            </w:pPr>
          </w:p>
        </w:tc>
        <w:tc>
          <w:tcPr>
            <w:tcW w:w="1560" w:type="dxa"/>
            <w:noWrap/>
          </w:tcPr>
          <w:p w14:paraId="6F294E33" w14:textId="013DD2F8" w:rsidR="00741F7E" w:rsidRPr="00E62551" w:rsidRDefault="00741F7E" w:rsidP="00635EF3">
            <w:pPr>
              <w:pStyle w:val="Tabletext"/>
              <w:jc w:val="center"/>
              <w:rPr>
                <w:sz w:val="20"/>
              </w:rPr>
            </w:pPr>
            <w:proofErr w:type="spellStart"/>
            <w:r w:rsidRPr="00E62551">
              <w:rPr>
                <w:sz w:val="20"/>
              </w:rPr>
              <w:t>Xx</w:t>
            </w:r>
            <w:proofErr w:type="spellEnd"/>
          </w:p>
        </w:tc>
        <w:tc>
          <w:tcPr>
            <w:tcW w:w="1575" w:type="dxa"/>
            <w:noWrap/>
          </w:tcPr>
          <w:p w14:paraId="1EA9EAD9" w14:textId="3BD32ED7" w:rsidR="00741F7E" w:rsidRPr="00E62551" w:rsidRDefault="00741F7E" w:rsidP="00635EF3">
            <w:pPr>
              <w:pStyle w:val="Tabletext"/>
              <w:jc w:val="center"/>
              <w:rPr>
                <w:sz w:val="20"/>
              </w:rPr>
            </w:pPr>
            <w:r w:rsidRPr="00E62551">
              <w:rPr>
                <w:sz w:val="20"/>
              </w:rPr>
              <w:t>xx</w:t>
            </w:r>
          </w:p>
        </w:tc>
        <w:tc>
          <w:tcPr>
            <w:tcW w:w="1341" w:type="dxa"/>
            <w:noWrap/>
          </w:tcPr>
          <w:p w14:paraId="77A34518" w14:textId="2FB8B12B" w:rsidR="00741F7E" w:rsidRPr="00E62551" w:rsidRDefault="00741F7E" w:rsidP="00635EF3">
            <w:pPr>
              <w:pStyle w:val="Tabletext"/>
              <w:jc w:val="center"/>
              <w:rPr>
                <w:sz w:val="20"/>
              </w:rPr>
            </w:pPr>
            <w:r w:rsidRPr="00E62551">
              <w:rPr>
                <w:sz w:val="20"/>
              </w:rPr>
              <w:t>xx</w:t>
            </w:r>
          </w:p>
        </w:tc>
        <w:tc>
          <w:tcPr>
            <w:tcW w:w="943" w:type="dxa"/>
            <w:noWrap/>
          </w:tcPr>
          <w:p w14:paraId="4D9EA7BF" w14:textId="5B71935D" w:rsidR="00741F7E" w:rsidRPr="00E62551" w:rsidRDefault="00741F7E" w:rsidP="00635EF3">
            <w:pPr>
              <w:pStyle w:val="Tabletext"/>
              <w:jc w:val="center"/>
              <w:rPr>
                <w:sz w:val="20"/>
              </w:rPr>
            </w:pPr>
            <w:r w:rsidRPr="00E62551">
              <w:rPr>
                <w:sz w:val="20"/>
              </w:rPr>
              <w:t>xx</w:t>
            </w:r>
          </w:p>
        </w:tc>
        <w:tc>
          <w:tcPr>
            <w:tcW w:w="943" w:type="dxa"/>
            <w:noWrap/>
          </w:tcPr>
          <w:p w14:paraId="5A96384E" w14:textId="2F2F4156" w:rsidR="00741F7E" w:rsidRPr="00E62551" w:rsidRDefault="00741F7E" w:rsidP="00635EF3">
            <w:pPr>
              <w:pStyle w:val="Tabletext"/>
              <w:jc w:val="center"/>
              <w:rPr>
                <w:sz w:val="20"/>
              </w:rPr>
            </w:pPr>
            <w:r w:rsidRPr="00E62551">
              <w:rPr>
                <w:sz w:val="20"/>
              </w:rPr>
              <w:t>xx</w:t>
            </w:r>
          </w:p>
        </w:tc>
        <w:tc>
          <w:tcPr>
            <w:tcW w:w="1473" w:type="dxa"/>
            <w:noWrap/>
          </w:tcPr>
          <w:p w14:paraId="4FFAF415" w14:textId="42EA3EF5" w:rsidR="00741F7E" w:rsidRPr="00E62551" w:rsidRDefault="00741F7E" w:rsidP="00635EF3">
            <w:pPr>
              <w:pStyle w:val="Tabletext"/>
              <w:jc w:val="center"/>
              <w:rPr>
                <w:sz w:val="20"/>
              </w:rPr>
            </w:pPr>
            <w:r w:rsidRPr="00E62551">
              <w:rPr>
                <w:sz w:val="20"/>
              </w:rPr>
              <w:t>xx</w:t>
            </w:r>
          </w:p>
        </w:tc>
        <w:tc>
          <w:tcPr>
            <w:tcW w:w="1209" w:type="dxa"/>
            <w:noWrap/>
          </w:tcPr>
          <w:p w14:paraId="6972AB1C" w14:textId="2F7E181E" w:rsidR="00741F7E" w:rsidRPr="00E62551" w:rsidRDefault="00741F7E" w:rsidP="00635EF3">
            <w:pPr>
              <w:pStyle w:val="Tabletext"/>
              <w:jc w:val="center"/>
              <w:rPr>
                <w:sz w:val="20"/>
              </w:rPr>
            </w:pPr>
            <w:r w:rsidRPr="00E62551">
              <w:rPr>
                <w:sz w:val="20"/>
              </w:rPr>
              <w:t>xx</w:t>
            </w:r>
          </w:p>
        </w:tc>
        <w:tc>
          <w:tcPr>
            <w:tcW w:w="1552" w:type="dxa"/>
            <w:noWrap/>
          </w:tcPr>
          <w:p w14:paraId="6F1B3712" w14:textId="13700BF2" w:rsidR="00741F7E" w:rsidRPr="00E62551" w:rsidRDefault="00741F7E" w:rsidP="00635EF3">
            <w:pPr>
              <w:pStyle w:val="Tabletext"/>
              <w:jc w:val="center"/>
              <w:rPr>
                <w:sz w:val="20"/>
              </w:rPr>
            </w:pPr>
            <w:r w:rsidRPr="00E62551">
              <w:rPr>
                <w:sz w:val="20"/>
              </w:rPr>
              <w:t>xx</w:t>
            </w:r>
          </w:p>
        </w:tc>
      </w:tr>
      <w:bookmarkEnd w:id="68"/>
    </w:tbl>
    <w:p w14:paraId="217021B4" w14:textId="77777777" w:rsidR="00741F7E" w:rsidRDefault="00741F7E" w:rsidP="00741F7E">
      <w:pPr>
        <w:rPr>
          <w:b/>
          <w:bCs/>
          <w:szCs w:val="24"/>
        </w:rPr>
      </w:pPr>
    </w:p>
    <w:p w14:paraId="65C9BB2D" w14:textId="77777777" w:rsidR="00741F7E" w:rsidRDefault="00741F7E" w:rsidP="00741F7E">
      <w:pPr>
        <w:spacing w:before="0"/>
        <w:rPr>
          <w:b/>
          <w:bCs/>
          <w:szCs w:val="24"/>
        </w:rPr>
      </w:pPr>
      <w:r>
        <w:rPr>
          <w:b/>
          <w:bCs/>
          <w:szCs w:val="24"/>
        </w:rPr>
        <w:br w:type="page"/>
      </w:r>
    </w:p>
    <w:tbl>
      <w:tblPr>
        <w:tblStyle w:val="TableGrid"/>
        <w:tblW w:w="14459" w:type="dxa"/>
        <w:tblLayout w:type="fixed"/>
        <w:tblLook w:val="04A0" w:firstRow="1" w:lastRow="0" w:firstColumn="1" w:lastColumn="0" w:noHBand="0" w:noVBand="1"/>
      </w:tblPr>
      <w:tblGrid>
        <w:gridCol w:w="700"/>
        <w:gridCol w:w="1689"/>
        <w:gridCol w:w="1267"/>
        <w:gridCol w:w="1407"/>
        <w:gridCol w:w="1267"/>
        <w:gridCol w:w="1393"/>
        <w:gridCol w:w="1281"/>
        <w:gridCol w:w="1408"/>
        <w:gridCol w:w="1548"/>
        <w:gridCol w:w="1408"/>
        <w:gridCol w:w="1091"/>
      </w:tblGrid>
      <w:tr w:rsidR="00635EF3" w:rsidRPr="00E62551" w14:paraId="4558CDA0" w14:textId="77777777" w:rsidTr="00E62551">
        <w:trPr>
          <w:trHeight w:val="20"/>
        </w:trPr>
        <w:tc>
          <w:tcPr>
            <w:tcW w:w="704" w:type="dxa"/>
            <w:noWrap/>
            <w:hideMark/>
          </w:tcPr>
          <w:p w14:paraId="3B31D738" w14:textId="77777777" w:rsidR="00741F7E" w:rsidRPr="00E62551" w:rsidRDefault="00741F7E" w:rsidP="00635EF3">
            <w:pPr>
              <w:pStyle w:val="Tablehead"/>
              <w:rPr>
                <w:sz w:val="20"/>
              </w:rPr>
            </w:pPr>
            <w:r w:rsidRPr="00E62551">
              <w:rPr>
                <w:sz w:val="20"/>
              </w:rPr>
              <w:lastRenderedPageBreak/>
              <w:t>Year</w:t>
            </w:r>
          </w:p>
        </w:tc>
        <w:tc>
          <w:tcPr>
            <w:tcW w:w="1701" w:type="dxa"/>
          </w:tcPr>
          <w:p w14:paraId="021A5836" w14:textId="77777777" w:rsidR="00741F7E" w:rsidRPr="00E62551" w:rsidRDefault="00741F7E" w:rsidP="00635EF3">
            <w:pPr>
              <w:pStyle w:val="Tablehead"/>
              <w:rPr>
                <w:sz w:val="20"/>
              </w:rPr>
            </w:pPr>
            <w:r w:rsidRPr="00E62551">
              <w:rPr>
                <w:rFonts w:eastAsia="MS Mincho"/>
                <w:sz w:val="20"/>
              </w:rPr>
              <w:t>Country</w:t>
            </w:r>
          </w:p>
        </w:tc>
        <w:tc>
          <w:tcPr>
            <w:tcW w:w="1276" w:type="dxa"/>
            <w:noWrap/>
            <w:hideMark/>
          </w:tcPr>
          <w:p w14:paraId="47B6D36D" w14:textId="77777777" w:rsidR="00741F7E" w:rsidRPr="00E62551" w:rsidRDefault="00741F7E" w:rsidP="00635EF3">
            <w:pPr>
              <w:pStyle w:val="Tablehead"/>
              <w:rPr>
                <w:rFonts w:eastAsia="MS Mincho"/>
                <w:sz w:val="20"/>
              </w:rPr>
            </w:pPr>
            <w:r w:rsidRPr="00E62551">
              <w:rPr>
                <w:rFonts w:eastAsia="MS Mincho"/>
                <w:sz w:val="20"/>
              </w:rPr>
              <w:t>10</w:t>
            </w:r>
          </w:p>
        </w:tc>
        <w:tc>
          <w:tcPr>
            <w:tcW w:w="1417" w:type="dxa"/>
            <w:noWrap/>
            <w:hideMark/>
          </w:tcPr>
          <w:p w14:paraId="4BD9E533" w14:textId="77777777" w:rsidR="00741F7E" w:rsidRPr="00E62551" w:rsidRDefault="00741F7E" w:rsidP="00635EF3">
            <w:pPr>
              <w:pStyle w:val="Tablehead"/>
              <w:rPr>
                <w:rFonts w:eastAsia="MS Mincho"/>
                <w:sz w:val="20"/>
              </w:rPr>
            </w:pPr>
            <w:r w:rsidRPr="00E62551">
              <w:rPr>
                <w:rFonts w:eastAsia="MS Mincho"/>
                <w:sz w:val="20"/>
              </w:rPr>
              <w:t>11</w:t>
            </w:r>
          </w:p>
        </w:tc>
        <w:tc>
          <w:tcPr>
            <w:tcW w:w="1276" w:type="dxa"/>
            <w:noWrap/>
            <w:hideMark/>
          </w:tcPr>
          <w:p w14:paraId="013AB5E4" w14:textId="77777777" w:rsidR="00741F7E" w:rsidRPr="00E62551" w:rsidRDefault="00741F7E" w:rsidP="00635EF3">
            <w:pPr>
              <w:pStyle w:val="Tablehead"/>
              <w:rPr>
                <w:rFonts w:eastAsia="MS Mincho"/>
                <w:sz w:val="20"/>
              </w:rPr>
            </w:pPr>
            <w:r w:rsidRPr="00E62551">
              <w:rPr>
                <w:rFonts w:eastAsia="MS Mincho"/>
                <w:sz w:val="20"/>
              </w:rPr>
              <w:t>12</w:t>
            </w:r>
          </w:p>
        </w:tc>
        <w:tc>
          <w:tcPr>
            <w:tcW w:w="1403" w:type="dxa"/>
            <w:noWrap/>
            <w:hideMark/>
          </w:tcPr>
          <w:p w14:paraId="44608F92" w14:textId="77777777" w:rsidR="00741F7E" w:rsidRPr="00E62551" w:rsidRDefault="00741F7E" w:rsidP="00635EF3">
            <w:pPr>
              <w:pStyle w:val="Tablehead"/>
              <w:rPr>
                <w:rFonts w:eastAsia="MS Mincho"/>
                <w:sz w:val="20"/>
              </w:rPr>
            </w:pPr>
            <w:r w:rsidRPr="00E62551">
              <w:rPr>
                <w:rFonts w:eastAsia="MS Mincho"/>
                <w:sz w:val="20"/>
              </w:rPr>
              <w:t>13</w:t>
            </w:r>
          </w:p>
        </w:tc>
        <w:tc>
          <w:tcPr>
            <w:tcW w:w="1290" w:type="dxa"/>
            <w:noWrap/>
            <w:hideMark/>
          </w:tcPr>
          <w:p w14:paraId="4770A02B" w14:textId="77777777" w:rsidR="00741F7E" w:rsidRPr="00E62551" w:rsidRDefault="00741F7E" w:rsidP="00635EF3">
            <w:pPr>
              <w:pStyle w:val="Tablehead"/>
              <w:rPr>
                <w:rFonts w:eastAsia="MS Mincho"/>
                <w:sz w:val="20"/>
              </w:rPr>
            </w:pPr>
            <w:r w:rsidRPr="00E62551">
              <w:rPr>
                <w:rFonts w:eastAsia="MS Mincho"/>
                <w:sz w:val="20"/>
              </w:rPr>
              <w:t>14</w:t>
            </w:r>
          </w:p>
        </w:tc>
        <w:tc>
          <w:tcPr>
            <w:tcW w:w="1418" w:type="dxa"/>
            <w:noWrap/>
            <w:hideMark/>
          </w:tcPr>
          <w:p w14:paraId="46BD658A" w14:textId="77777777" w:rsidR="00741F7E" w:rsidRPr="00E62551" w:rsidRDefault="00741F7E" w:rsidP="00635EF3">
            <w:pPr>
              <w:pStyle w:val="Tablehead"/>
              <w:rPr>
                <w:rFonts w:eastAsia="MS Mincho"/>
                <w:sz w:val="20"/>
              </w:rPr>
            </w:pPr>
            <w:r w:rsidRPr="00E62551">
              <w:rPr>
                <w:rFonts w:eastAsia="MS Mincho"/>
                <w:sz w:val="20"/>
              </w:rPr>
              <w:t>15</w:t>
            </w:r>
          </w:p>
        </w:tc>
        <w:tc>
          <w:tcPr>
            <w:tcW w:w="1559" w:type="dxa"/>
            <w:noWrap/>
            <w:hideMark/>
          </w:tcPr>
          <w:p w14:paraId="6AED49C1" w14:textId="77777777" w:rsidR="00741F7E" w:rsidRPr="00E62551" w:rsidRDefault="00741F7E" w:rsidP="00635EF3">
            <w:pPr>
              <w:pStyle w:val="Tablehead"/>
              <w:rPr>
                <w:rFonts w:eastAsia="MS Mincho"/>
                <w:sz w:val="20"/>
              </w:rPr>
            </w:pPr>
            <w:r w:rsidRPr="00E62551">
              <w:rPr>
                <w:rFonts w:eastAsia="MS Mincho"/>
                <w:sz w:val="20"/>
              </w:rPr>
              <w:t>16</w:t>
            </w:r>
          </w:p>
        </w:tc>
        <w:tc>
          <w:tcPr>
            <w:tcW w:w="1418" w:type="dxa"/>
            <w:noWrap/>
            <w:hideMark/>
          </w:tcPr>
          <w:p w14:paraId="2C335D29" w14:textId="77777777" w:rsidR="00741F7E" w:rsidRPr="00E62551" w:rsidRDefault="00741F7E" w:rsidP="00635EF3">
            <w:pPr>
              <w:pStyle w:val="Tablehead"/>
              <w:rPr>
                <w:rFonts w:eastAsia="MS Mincho"/>
                <w:sz w:val="20"/>
              </w:rPr>
            </w:pPr>
            <w:r w:rsidRPr="00E62551">
              <w:rPr>
                <w:rFonts w:eastAsia="MS Mincho"/>
                <w:sz w:val="20"/>
              </w:rPr>
              <w:t>17</w:t>
            </w:r>
          </w:p>
        </w:tc>
        <w:tc>
          <w:tcPr>
            <w:tcW w:w="1098" w:type="dxa"/>
            <w:noWrap/>
            <w:hideMark/>
          </w:tcPr>
          <w:p w14:paraId="4989C509" w14:textId="77777777" w:rsidR="00741F7E" w:rsidRPr="00E62551" w:rsidRDefault="00741F7E" w:rsidP="00635EF3">
            <w:pPr>
              <w:pStyle w:val="Tablehead"/>
              <w:rPr>
                <w:rFonts w:eastAsia="MS Mincho"/>
                <w:sz w:val="20"/>
              </w:rPr>
            </w:pPr>
            <w:r w:rsidRPr="00E62551">
              <w:rPr>
                <w:rFonts w:eastAsia="MS Mincho"/>
                <w:sz w:val="20"/>
              </w:rPr>
              <w:t>18</w:t>
            </w:r>
          </w:p>
        </w:tc>
      </w:tr>
      <w:tr w:rsidR="00635EF3" w:rsidRPr="00E62551" w14:paraId="50FC96BA" w14:textId="77777777" w:rsidTr="00E62551">
        <w:trPr>
          <w:trHeight w:val="20"/>
        </w:trPr>
        <w:tc>
          <w:tcPr>
            <w:tcW w:w="704" w:type="dxa"/>
            <w:noWrap/>
            <w:hideMark/>
          </w:tcPr>
          <w:p w14:paraId="7AD5476B" w14:textId="77777777" w:rsidR="00741F7E" w:rsidRPr="00E62551" w:rsidRDefault="00741F7E" w:rsidP="00635EF3">
            <w:pPr>
              <w:pStyle w:val="Tablehead"/>
              <w:rPr>
                <w:rFonts w:eastAsia="MS Mincho"/>
                <w:sz w:val="20"/>
              </w:rPr>
            </w:pPr>
            <w:r w:rsidRPr="00E62551">
              <w:rPr>
                <w:rFonts w:eastAsia="MS Mincho"/>
                <w:sz w:val="20"/>
              </w:rPr>
              <w:t> </w:t>
            </w:r>
          </w:p>
        </w:tc>
        <w:tc>
          <w:tcPr>
            <w:tcW w:w="1701" w:type="dxa"/>
          </w:tcPr>
          <w:p w14:paraId="6321BAF8" w14:textId="77777777" w:rsidR="00741F7E" w:rsidRPr="00E62551" w:rsidRDefault="00741F7E" w:rsidP="00635EF3">
            <w:pPr>
              <w:pStyle w:val="Tablehead"/>
              <w:rPr>
                <w:sz w:val="20"/>
              </w:rPr>
            </w:pPr>
            <w:r w:rsidRPr="00E62551">
              <w:rPr>
                <w:rFonts w:eastAsia="MS Mincho"/>
                <w:sz w:val="20"/>
              </w:rPr>
              <w:t>Indicator</w:t>
            </w:r>
          </w:p>
        </w:tc>
        <w:tc>
          <w:tcPr>
            <w:tcW w:w="1276" w:type="dxa"/>
            <w:noWrap/>
            <w:hideMark/>
          </w:tcPr>
          <w:p w14:paraId="200EB9E7" w14:textId="6ACA4C14" w:rsidR="00741F7E" w:rsidRPr="00E62551" w:rsidRDefault="00741F7E" w:rsidP="00635EF3">
            <w:pPr>
              <w:pStyle w:val="Tablehead"/>
              <w:rPr>
                <w:rFonts w:eastAsia="MS Mincho"/>
                <w:sz w:val="20"/>
              </w:rPr>
            </w:pPr>
            <w:r w:rsidRPr="00E62551">
              <w:rPr>
                <w:rFonts w:eastAsia="MS Mincho"/>
                <w:sz w:val="20"/>
              </w:rPr>
              <w:t xml:space="preserve">OTT </w:t>
            </w:r>
            <w:r w:rsidR="001C704B" w:rsidRPr="00E62551">
              <w:rPr>
                <w:rFonts w:eastAsia="MS Mincho"/>
                <w:sz w:val="20"/>
              </w:rPr>
              <w:t>v</w:t>
            </w:r>
            <w:r w:rsidRPr="00E62551">
              <w:rPr>
                <w:rFonts w:eastAsia="MS Mincho"/>
                <w:sz w:val="20"/>
              </w:rPr>
              <w:t>ideo</w:t>
            </w:r>
          </w:p>
        </w:tc>
        <w:tc>
          <w:tcPr>
            <w:tcW w:w="1417" w:type="dxa"/>
            <w:noWrap/>
            <w:hideMark/>
          </w:tcPr>
          <w:p w14:paraId="6FFE856B" w14:textId="6DD5903A" w:rsidR="00741F7E" w:rsidRPr="00E62551" w:rsidRDefault="00741F7E" w:rsidP="00635EF3">
            <w:pPr>
              <w:pStyle w:val="Tablehead"/>
              <w:rPr>
                <w:rFonts w:eastAsia="MS Mincho"/>
                <w:sz w:val="20"/>
              </w:rPr>
            </w:pPr>
            <w:r w:rsidRPr="00E62551">
              <w:rPr>
                <w:rFonts w:eastAsia="MS Mincho"/>
                <w:sz w:val="20"/>
              </w:rPr>
              <w:t xml:space="preserve">OTT </w:t>
            </w:r>
            <w:r w:rsidR="005B34C5" w:rsidRPr="00E62551">
              <w:rPr>
                <w:rFonts w:eastAsia="MS Mincho"/>
                <w:sz w:val="20"/>
              </w:rPr>
              <w:t>v</w:t>
            </w:r>
            <w:r w:rsidRPr="00E62551">
              <w:rPr>
                <w:rFonts w:eastAsia="MS Mincho"/>
                <w:sz w:val="20"/>
              </w:rPr>
              <w:t>ideo</w:t>
            </w:r>
          </w:p>
        </w:tc>
        <w:tc>
          <w:tcPr>
            <w:tcW w:w="1276" w:type="dxa"/>
            <w:noWrap/>
            <w:hideMark/>
          </w:tcPr>
          <w:p w14:paraId="1251440C" w14:textId="350AEFBE" w:rsidR="00741F7E" w:rsidRPr="00E62551" w:rsidRDefault="00741F7E" w:rsidP="00635EF3">
            <w:pPr>
              <w:pStyle w:val="Tablehead"/>
              <w:rPr>
                <w:rFonts w:eastAsia="MS Mincho"/>
                <w:sz w:val="20"/>
              </w:rPr>
            </w:pPr>
            <w:r w:rsidRPr="00E62551">
              <w:rPr>
                <w:rFonts w:eastAsia="MS Mincho"/>
                <w:sz w:val="20"/>
              </w:rPr>
              <w:t xml:space="preserve">OTT </w:t>
            </w:r>
            <w:r w:rsidR="005B34C5" w:rsidRPr="00E62551">
              <w:rPr>
                <w:rFonts w:eastAsia="MS Mincho"/>
                <w:sz w:val="20"/>
              </w:rPr>
              <w:t>v</w:t>
            </w:r>
            <w:r w:rsidRPr="00E62551">
              <w:rPr>
                <w:rFonts w:eastAsia="MS Mincho"/>
                <w:sz w:val="20"/>
              </w:rPr>
              <w:t>ideo</w:t>
            </w:r>
          </w:p>
        </w:tc>
        <w:tc>
          <w:tcPr>
            <w:tcW w:w="1403" w:type="dxa"/>
            <w:noWrap/>
            <w:hideMark/>
          </w:tcPr>
          <w:p w14:paraId="52AC42AC" w14:textId="7F9C0A6F" w:rsidR="00741F7E" w:rsidRPr="00E62551" w:rsidRDefault="00741F7E" w:rsidP="00635EF3">
            <w:pPr>
              <w:pStyle w:val="Tablehead"/>
              <w:rPr>
                <w:rFonts w:eastAsia="MS Mincho"/>
                <w:sz w:val="20"/>
              </w:rPr>
            </w:pPr>
            <w:r w:rsidRPr="00E62551">
              <w:rPr>
                <w:rFonts w:eastAsia="MS Mincho"/>
                <w:sz w:val="20"/>
              </w:rPr>
              <w:t xml:space="preserve">OTT </w:t>
            </w:r>
            <w:r w:rsidR="00635EF3" w:rsidRPr="00E62551">
              <w:rPr>
                <w:rFonts w:eastAsia="MS Mincho"/>
                <w:sz w:val="20"/>
              </w:rPr>
              <w:br/>
            </w:r>
            <w:r w:rsidR="005B34C5" w:rsidRPr="00E62551">
              <w:rPr>
                <w:rFonts w:eastAsia="MS Mincho"/>
                <w:sz w:val="20"/>
              </w:rPr>
              <w:t>v</w:t>
            </w:r>
            <w:r w:rsidRPr="00E62551">
              <w:rPr>
                <w:rFonts w:eastAsia="MS Mincho"/>
                <w:sz w:val="20"/>
              </w:rPr>
              <w:t>ideo</w:t>
            </w:r>
          </w:p>
        </w:tc>
        <w:tc>
          <w:tcPr>
            <w:tcW w:w="1290" w:type="dxa"/>
            <w:noWrap/>
            <w:hideMark/>
          </w:tcPr>
          <w:p w14:paraId="358690CF" w14:textId="2049504B" w:rsidR="00741F7E" w:rsidRPr="00E62551" w:rsidRDefault="00741F7E" w:rsidP="00635EF3">
            <w:pPr>
              <w:pStyle w:val="Tablehead"/>
              <w:rPr>
                <w:rFonts w:eastAsia="MS Mincho"/>
                <w:sz w:val="20"/>
              </w:rPr>
            </w:pPr>
            <w:r w:rsidRPr="00E62551">
              <w:rPr>
                <w:rFonts w:eastAsia="MS Mincho"/>
                <w:sz w:val="20"/>
              </w:rPr>
              <w:t xml:space="preserve">OTT </w:t>
            </w:r>
            <w:r w:rsidR="00635EF3" w:rsidRPr="00E62551">
              <w:rPr>
                <w:rFonts w:eastAsia="MS Mincho"/>
                <w:sz w:val="20"/>
              </w:rPr>
              <w:br/>
            </w:r>
            <w:r w:rsidR="005B34C5" w:rsidRPr="00E62551">
              <w:rPr>
                <w:rFonts w:eastAsia="MS Mincho"/>
                <w:sz w:val="20"/>
              </w:rPr>
              <w:t>v</w:t>
            </w:r>
            <w:r w:rsidRPr="00E62551">
              <w:rPr>
                <w:rFonts w:eastAsia="MS Mincho"/>
                <w:sz w:val="20"/>
              </w:rPr>
              <w:t>ideo</w:t>
            </w:r>
          </w:p>
        </w:tc>
        <w:tc>
          <w:tcPr>
            <w:tcW w:w="1418" w:type="dxa"/>
            <w:noWrap/>
            <w:hideMark/>
          </w:tcPr>
          <w:p w14:paraId="066E2441" w14:textId="379A0C69" w:rsidR="00741F7E" w:rsidRPr="00E62551" w:rsidRDefault="00741F7E" w:rsidP="00635EF3">
            <w:pPr>
              <w:pStyle w:val="Tablehead"/>
              <w:rPr>
                <w:rFonts w:eastAsia="MS Mincho"/>
                <w:sz w:val="20"/>
              </w:rPr>
            </w:pPr>
            <w:r w:rsidRPr="00E62551">
              <w:rPr>
                <w:rFonts w:eastAsia="MS Mincho"/>
                <w:sz w:val="20"/>
              </w:rPr>
              <w:t xml:space="preserve">OTT </w:t>
            </w:r>
            <w:r w:rsidR="00635EF3" w:rsidRPr="00E62551">
              <w:rPr>
                <w:rFonts w:eastAsia="MS Mincho"/>
                <w:sz w:val="20"/>
              </w:rPr>
              <w:br/>
            </w:r>
            <w:r w:rsidR="005B34C5" w:rsidRPr="00E62551">
              <w:rPr>
                <w:rFonts w:eastAsia="MS Mincho"/>
                <w:sz w:val="20"/>
              </w:rPr>
              <w:t>v</w:t>
            </w:r>
            <w:r w:rsidRPr="00E62551">
              <w:rPr>
                <w:rFonts w:eastAsia="MS Mincho"/>
                <w:sz w:val="20"/>
              </w:rPr>
              <w:t>ideo</w:t>
            </w:r>
          </w:p>
        </w:tc>
        <w:tc>
          <w:tcPr>
            <w:tcW w:w="1559" w:type="dxa"/>
            <w:noWrap/>
            <w:hideMark/>
          </w:tcPr>
          <w:p w14:paraId="4A7176ED" w14:textId="2BDAF6B5" w:rsidR="00741F7E" w:rsidRPr="00E62551" w:rsidRDefault="00741F7E" w:rsidP="00635EF3">
            <w:pPr>
              <w:pStyle w:val="Tablehead"/>
              <w:rPr>
                <w:rFonts w:eastAsia="MS Mincho"/>
                <w:sz w:val="20"/>
              </w:rPr>
            </w:pPr>
            <w:r w:rsidRPr="00E62551">
              <w:rPr>
                <w:rFonts w:eastAsia="MS Mincho"/>
                <w:sz w:val="20"/>
              </w:rPr>
              <w:t xml:space="preserve">OTT </w:t>
            </w:r>
            <w:r w:rsidR="005B34C5" w:rsidRPr="00E62551">
              <w:rPr>
                <w:rFonts w:eastAsia="MS Mincho"/>
                <w:sz w:val="20"/>
              </w:rPr>
              <w:t>d</w:t>
            </w:r>
            <w:r w:rsidRPr="00E62551">
              <w:rPr>
                <w:rFonts w:eastAsia="MS Mincho"/>
                <w:sz w:val="20"/>
              </w:rPr>
              <w:t>ata consumption</w:t>
            </w:r>
          </w:p>
        </w:tc>
        <w:tc>
          <w:tcPr>
            <w:tcW w:w="1418" w:type="dxa"/>
            <w:noWrap/>
            <w:hideMark/>
          </w:tcPr>
          <w:p w14:paraId="7DEC4D77" w14:textId="03BBA6D9" w:rsidR="00741F7E" w:rsidRPr="00E62551" w:rsidRDefault="00741F7E" w:rsidP="00635EF3">
            <w:pPr>
              <w:pStyle w:val="Tablehead"/>
              <w:rPr>
                <w:rFonts w:eastAsia="MS Mincho"/>
                <w:sz w:val="20"/>
              </w:rPr>
            </w:pPr>
            <w:r w:rsidRPr="00E62551">
              <w:rPr>
                <w:rFonts w:eastAsia="MS Mincho"/>
                <w:sz w:val="20"/>
              </w:rPr>
              <w:t xml:space="preserve">OTT </w:t>
            </w:r>
            <w:r w:rsidR="005B34C5" w:rsidRPr="00E62551">
              <w:rPr>
                <w:rFonts w:eastAsia="MS Mincho"/>
                <w:sz w:val="20"/>
              </w:rPr>
              <w:t>i</w:t>
            </w:r>
            <w:r w:rsidRPr="00E62551">
              <w:rPr>
                <w:rFonts w:eastAsia="MS Mincho"/>
                <w:sz w:val="20"/>
              </w:rPr>
              <w:t xml:space="preserve">nvestment </w:t>
            </w:r>
            <w:r w:rsidR="005B34C5" w:rsidRPr="00E62551">
              <w:rPr>
                <w:rFonts w:eastAsia="MS Mincho"/>
                <w:sz w:val="20"/>
              </w:rPr>
              <w:t>e</w:t>
            </w:r>
            <w:r w:rsidRPr="00E62551">
              <w:rPr>
                <w:rFonts w:eastAsia="MS Mincho"/>
                <w:sz w:val="20"/>
              </w:rPr>
              <w:t>xpenditure</w:t>
            </w:r>
          </w:p>
        </w:tc>
        <w:tc>
          <w:tcPr>
            <w:tcW w:w="1098" w:type="dxa"/>
            <w:noWrap/>
            <w:hideMark/>
          </w:tcPr>
          <w:p w14:paraId="6D64D998" w14:textId="50FC924C" w:rsidR="00741F7E" w:rsidRPr="00E62551" w:rsidRDefault="00741F7E" w:rsidP="00635EF3">
            <w:pPr>
              <w:pStyle w:val="Tablehead"/>
              <w:rPr>
                <w:rFonts w:eastAsia="MS Mincho"/>
                <w:sz w:val="20"/>
              </w:rPr>
            </w:pPr>
            <w:r w:rsidRPr="00E62551">
              <w:rPr>
                <w:rFonts w:eastAsia="MS Mincho"/>
                <w:sz w:val="20"/>
              </w:rPr>
              <w:t xml:space="preserve">OTT </w:t>
            </w:r>
            <w:r w:rsidR="005B34C5" w:rsidRPr="00E62551">
              <w:rPr>
                <w:rFonts w:eastAsia="MS Mincho"/>
                <w:sz w:val="20"/>
              </w:rPr>
              <w:t>r</w:t>
            </w:r>
            <w:r w:rsidRPr="00E62551">
              <w:rPr>
                <w:rFonts w:eastAsia="MS Mincho"/>
                <w:sz w:val="20"/>
              </w:rPr>
              <w:t>evenue</w:t>
            </w:r>
          </w:p>
        </w:tc>
      </w:tr>
      <w:tr w:rsidR="00635EF3" w:rsidRPr="00E62551" w14:paraId="5B666BEF" w14:textId="77777777" w:rsidTr="00E62551">
        <w:trPr>
          <w:trHeight w:val="20"/>
        </w:trPr>
        <w:tc>
          <w:tcPr>
            <w:tcW w:w="704" w:type="dxa"/>
            <w:noWrap/>
            <w:hideMark/>
          </w:tcPr>
          <w:p w14:paraId="052F36D0" w14:textId="77777777" w:rsidR="00741F7E" w:rsidRPr="00E62551" w:rsidRDefault="00741F7E" w:rsidP="00635EF3">
            <w:pPr>
              <w:pStyle w:val="Tablehead"/>
              <w:rPr>
                <w:rFonts w:eastAsia="MS Mincho"/>
                <w:sz w:val="20"/>
              </w:rPr>
            </w:pPr>
            <w:r w:rsidRPr="00E62551">
              <w:rPr>
                <w:rFonts w:eastAsia="MS Mincho"/>
                <w:sz w:val="20"/>
              </w:rPr>
              <w:t> </w:t>
            </w:r>
          </w:p>
        </w:tc>
        <w:tc>
          <w:tcPr>
            <w:tcW w:w="1701" w:type="dxa"/>
          </w:tcPr>
          <w:p w14:paraId="7F5689D9" w14:textId="77777777" w:rsidR="00741F7E" w:rsidRPr="00E62551" w:rsidRDefault="00741F7E" w:rsidP="00635EF3">
            <w:pPr>
              <w:pStyle w:val="Tablehead"/>
              <w:rPr>
                <w:sz w:val="20"/>
              </w:rPr>
            </w:pPr>
            <w:r w:rsidRPr="00E62551">
              <w:rPr>
                <w:rFonts w:eastAsia="MS Mincho"/>
                <w:sz w:val="20"/>
              </w:rPr>
              <w:t>Description</w:t>
            </w:r>
          </w:p>
        </w:tc>
        <w:tc>
          <w:tcPr>
            <w:tcW w:w="1276" w:type="dxa"/>
            <w:noWrap/>
            <w:hideMark/>
          </w:tcPr>
          <w:p w14:paraId="35F34431" w14:textId="07358269" w:rsidR="00741F7E" w:rsidRPr="00E62551" w:rsidRDefault="00741F7E" w:rsidP="00635EF3">
            <w:pPr>
              <w:pStyle w:val="Tablehead"/>
              <w:rPr>
                <w:rFonts w:eastAsia="MS Mincho"/>
                <w:sz w:val="20"/>
              </w:rPr>
            </w:pPr>
            <w:r w:rsidRPr="00E62551">
              <w:rPr>
                <w:rFonts w:eastAsia="MS Mincho"/>
                <w:sz w:val="20"/>
              </w:rPr>
              <w:t xml:space="preserve">Video </w:t>
            </w:r>
            <w:r w:rsidR="001C704B" w:rsidRPr="00E62551">
              <w:rPr>
                <w:rFonts w:eastAsia="MS Mincho"/>
                <w:sz w:val="20"/>
              </w:rPr>
              <w:t>c</w:t>
            </w:r>
            <w:r w:rsidRPr="00E62551">
              <w:rPr>
                <w:rFonts w:eastAsia="MS Mincho"/>
                <w:sz w:val="20"/>
              </w:rPr>
              <w:t>alls (</w:t>
            </w:r>
            <w:r w:rsidR="001C704B" w:rsidRPr="00E62551">
              <w:rPr>
                <w:rFonts w:eastAsia="MS Mincho"/>
                <w:sz w:val="20"/>
              </w:rPr>
              <w:t>n</w:t>
            </w:r>
            <w:r w:rsidRPr="00E62551">
              <w:rPr>
                <w:rFonts w:eastAsia="MS Mincho"/>
                <w:sz w:val="20"/>
              </w:rPr>
              <w:t>umber)</w:t>
            </w:r>
          </w:p>
        </w:tc>
        <w:tc>
          <w:tcPr>
            <w:tcW w:w="1417" w:type="dxa"/>
            <w:noWrap/>
            <w:hideMark/>
          </w:tcPr>
          <w:p w14:paraId="508BD71A" w14:textId="6262212C" w:rsidR="00741F7E" w:rsidRPr="00E62551" w:rsidRDefault="00741F7E" w:rsidP="00635EF3">
            <w:pPr>
              <w:pStyle w:val="Tablehead"/>
              <w:rPr>
                <w:rFonts w:eastAsia="MS Mincho"/>
                <w:sz w:val="20"/>
              </w:rPr>
            </w:pPr>
            <w:r w:rsidRPr="00E62551">
              <w:rPr>
                <w:rFonts w:eastAsia="MS Mincho"/>
                <w:sz w:val="20"/>
              </w:rPr>
              <w:t xml:space="preserve">Video </w:t>
            </w:r>
            <w:r w:rsidR="001C704B" w:rsidRPr="00E62551">
              <w:rPr>
                <w:rFonts w:eastAsia="MS Mincho"/>
                <w:sz w:val="20"/>
              </w:rPr>
              <w:t>c</w:t>
            </w:r>
            <w:r w:rsidRPr="00E62551">
              <w:rPr>
                <w:rFonts w:eastAsia="MS Mincho"/>
                <w:sz w:val="20"/>
              </w:rPr>
              <w:t>alls (</w:t>
            </w:r>
            <w:r w:rsidR="001C704B" w:rsidRPr="00E62551">
              <w:rPr>
                <w:rFonts w:eastAsia="MS Mincho"/>
                <w:sz w:val="20"/>
              </w:rPr>
              <w:t>d</w:t>
            </w:r>
            <w:r w:rsidRPr="00E62551">
              <w:rPr>
                <w:rFonts w:eastAsia="MS Mincho"/>
                <w:sz w:val="20"/>
              </w:rPr>
              <w:t xml:space="preserve">ata </w:t>
            </w:r>
            <w:r w:rsidR="001C704B" w:rsidRPr="00E62551">
              <w:rPr>
                <w:rFonts w:eastAsia="MS Mincho"/>
                <w:sz w:val="20"/>
              </w:rPr>
              <w:t>c</w:t>
            </w:r>
            <w:r w:rsidRPr="00E62551">
              <w:rPr>
                <w:rFonts w:eastAsia="MS Mincho"/>
                <w:sz w:val="20"/>
              </w:rPr>
              <w:t>onsumed) (GB/TB)</w:t>
            </w:r>
          </w:p>
        </w:tc>
        <w:tc>
          <w:tcPr>
            <w:tcW w:w="1276" w:type="dxa"/>
            <w:noWrap/>
            <w:hideMark/>
          </w:tcPr>
          <w:p w14:paraId="1FC7EF57" w14:textId="2465A696" w:rsidR="00741F7E" w:rsidRPr="00E62551" w:rsidRDefault="00741F7E" w:rsidP="00635EF3">
            <w:pPr>
              <w:pStyle w:val="Tablehead"/>
              <w:rPr>
                <w:rFonts w:eastAsia="MS Mincho"/>
                <w:sz w:val="20"/>
              </w:rPr>
            </w:pPr>
            <w:r w:rsidRPr="00E62551">
              <w:rPr>
                <w:rFonts w:eastAsia="MS Mincho"/>
                <w:sz w:val="20"/>
              </w:rPr>
              <w:t xml:space="preserve">Video </w:t>
            </w:r>
            <w:r w:rsidR="001C704B" w:rsidRPr="00E62551">
              <w:rPr>
                <w:rFonts w:eastAsia="MS Mincho"/>
                <w:sz w:val="20"/>
              </w:rPr>
              <w:t>m</w:t>
            </w:r>
            <w:r w:rsidRPr="00E62551">
              <w:rPr>
                <w:rFonts w:eastAsia="MS Mincho"/>
                <w:sz w:val="20"/>
              </w:rPr>
              <w:t>essaging (</w:t>
            </w:r>
            <w:r w:rsidR="001C704B" w:rsidRPr="00E62551">
              <w:rPr>
                <w:rFonts w:eastAsia="MS Mincho"/>
                <w:sz w:val="20"/>
              </w:rPr>
              <w:t>n</w:t>
            </w:r>
            <w:r w:rsidRPr="00E62551">
              <w:rPr>
                <w:rFonts w:eastAsia="MS Mincho"/>
                <w:sz w:val="20"/>
              </w:rPr>
              <w:t>umber)</w:t>
            </w:r>
          </w:p>
        </w:tc>
        <w:tc>
          <w:tcPr>
            <w:tcW w:w="1403" w:type="dxa"/>
            <w:noWrap/>
            <w:hideMark/>
          </w:tcPr>
          <w:p w14:paraId="5435AFDA" w14:textId="7FB2FF38" w:rsidR="00741F7E" w:rsidRPr="00E62551" w:rsidRDefault="00741F7E" w:rsidP="00635EF3">
            <w:pPr>
              <w:pStyle w:val="Tablehead"/>
              <w:rPr>
                <w:rFonts w:eastAsia="MS Mincho"/>
                <w:sz w:val="20"/>
              </w:rPr>
            </w:pPr>
            <w:r w:rsidRPr="00E62551">
              <w:rPr>
                <w:rFonts w:eastAsia="MS Mincho"/>
                <w:sz w:val="20"/>
              </w:rPr>
              <w:t xml:space="preserve">Video </w:t>
            </w:r>
            <w:r w:rsidR="001C704B" w:rsidRPr="00E62551">
              <w:rPr>
                <w:rFonts w:eastAsia="MS Mincho"/>
                <w:sz w:val="20"/>
              </w:rPr>
              <w:t>m</w:t>
            </w:r>
            <w:r w:rsidRPr="00E62551">
              <w:rPr>
                <w:rFonts w:eastAsia="MS Mincho"/>
                <w:sz w:val="20"/>
              </w:rPr>
              <w:t>essaging (</w:t>
            </w:r>
            <w:r w:rsidR="001C704B" w:rsidRPr="00E62551">
              <w:rPr>
                <w:rFonts w:eastAsia="MS Mincho"/>
                <w:sz w:val="20"/>
              </w:rPr>
              <w:t>d</w:t>
            </w:r>
            <w:r w:rsidRPr="00E62551">
              <w:rPr>
                <w:rFonts w:eastAsia="MS Mincho"/>
                <w:sz w:val="20"/>
              </w:rPr>
              <w:t xml:space="preserve">ata </w:t>
            </w:r>
            <w:r w:rsidR="001C704B" w:rsidRPr="00E62551">
              <w:rPr>
                <w:rFonts w:eastAsia="MS Mincho"/>
                <w:sz w:val="20"/>
              </w:rPr>
              <w:t>c</w:t>
            </w:r>
            <w:r w:rsidRPr="00E62551">
              <w:rPr>
                <w:rFonts w:eastAsia="MS Mincho"/>
                <w:sz w:val="20"/>
              </w:rPr>
              <w:t>onsumed)</w:t>
            </w:r>
          </w:p>
        </w:tc>
        <w:tc>
          <w:tcPr>
            <w:tcW w:w="1290" w:type="dxa"/>
            <w:noWrap/>
            <w:hideMark/>
          </w:tcPr>
          <w:p w14:paraId="2AA81078" w14:textId="10F5FC89" w:rsidR="00741F7E" w:rsidRPr="00E62551" w:rsidRDefault="00741F7E" w:rsidP="00635EF3">
            <w:pPr>
              <w:pStyle w:val="Tablehead"/>
              <w:rPr>
                <w:rFonts w:eastAsia="MS Mincho"/>
                <w:sz w:val="20"/>
              </w:rPr>
            </w:pPr>
            <w:r w:rsidRPr="00E62551">
              <w:rPr>
                <w:rFonts w:eastAsia="MS Mincho"/>
                <w:sz w:val="20"/>
              </w:rPr>
              <w:t>Media (</w:t>
            </w:r>
            <w:r w:rsidR="005B34C5" w:rsidRPr="00E62551">
              <w:rPr>
                <w:rFonts w:eastAsia="MS Mincho"/>
                <w:sz w:val="20"/>
              </w:rPr>
              <w:t>b</w:t>
            </w:r>
            <w:r w:rsidRPr="00E62551">
              <w:rPr>
                <w:rFonts w:eastAsia="MS Mincho"/>
                <w:sz w:val="20"/>
              </w:rPr>
              <w:t xml:space="preserve">roadcast (linear) video) </w:t>
            </w:r>
            <w:r w:rsidR="001E079F" w:rsidRPr="00E62551">
              <w:rPr>
                <w:rFonts w:eastAsia="MS Mincho"/>
                <w:sz w:val="20"/>
              </w:rPr>
              <w:t>–</w:t>
            </w:r>
            <w:r w:rsidRPr="00E62551">
              <w:rPr>
                <w:rFonts w:eastAsia="MS Mincho"/>
                <w:sz w:val="20"/>
              </w:rPr>
              <w:t xml:space="preserve"> GB/TB</w:t>
            </w:r>
          </w:p>
        </w:tc>
        <w:tc>
          <w:tcPr>
            <w:tcW w:w="1418" w:type="dxa"/>
            <w:noWrap/>
            <w:hideMark/>
          </w:tcPr>
          <w:p w14:paraId="0C8C9002" w14:textId="47E5CA8B" w:rsidR="00741F7E" w:rsidRPr="00E62551" w:rsidRDefault="00741F7E" w:rsidP="00635EF3">
            <w:pPr>
              <w:pStyle w:val="Tablehead"/>
              <w:rPr>
                <w:rFonts w:eastAsia="MS Mincho"/>
                <w:sz w:val="20"/>
              </w:rPr>
            </w:pPr>
            <w:r w:rsidRPr="00E62551">
              <w:rPr>
                <w:rFonts w:eastAsia="MS Mincho"/>
                <w:sz w:val="20"/>
              </w:rPr>
              <w:t>Media (</w:t>
            </w:r>
            <w:r w:rsidR="005B34C5" w:rsidRPr="00E62551">
              <w:rPr>
                <w:rFonts w:eastAsia="MS Mincho"/>
                <w:sz w:val="20"/>
              </w:rPr>
              <w:t>v</w:t>
            </w:r>
            <w:r w:rsidRPr="00E62551">
              <w:rPr>
                <w:rFonts w:eastAsia="MS Mincho"/>
                <w:sz w:val="20"/>
              </w:rPr>
              <w:t xml:space="preserve">ideo on demand) </w:t>
            </w:r>
            <w:r w:rsidR="001E079F" w:rsidRPr="00E62551">
              <w:rPr>
                <w:rFonts w:eastAsia="MS Mincho"/>
                <w:sz w:val="20"/>
              </w:rPr>
              <w:t>–</w:t>
            </w:r>
            <w:r w:rsidRPr="00E62551">
              <w:rPr>
                <w:rFonts w:eastAsia="MS Mincho"/>
                <w:sz w:val="20"/>
              </w:rPr>
              <w:t xml:space="preserve"> GB/TB</w:t>
            </w:r>
          </w:p>
        </w:tc>
        <w:tc>
          <w:tcPr>
            <w:tcW w:w="1559" w:type="dxa"/>
            <w:noWrap/>
            <w:hideMark/>
          </w:tcPr>
          <w:p w14:paraId="077D49FD" w14:textId="77777777" w:rsidR="00741F7E" w:rsidRPr="00E62551" w:rsidRDefault="00741F7E" w:rsidP="00635EF3">
            <w:pPr>
              <w:pStyle w:val="Tablehead"/>
              <w:rPr>
                <w:rFonts w:eastAsia="MS Mincho"/>
                <w:sz w:val="20"/>
              </w:rPr>
            </w:pPr>
            <w:r w:rsidRPr="00E62551">
              <w:rPr>
                <w:rFonts w:eastAsia="MS Mincho"/>
                <w:sz w:val="20"/>
              </w:rPr>
              <w:t>Total (GB/TB)</w:t>
            </w:r>
          </w:p>
        </w:tc>
        <w:tc>
          <w:tcPr>
            <w:tcW w:w="1418" w:type="dxa"/>
            <w:noWrap/>
            <w:hideMark/>
          </w:tcPr>
          <w:p w14:paraId="6C8C174B" w14:textId="77777777" w:rsidR="00741F7E" w:rsidRPr="00E62551" w:rsidRDefault="00741F7E" w:rsidP="00635EF3">
            <w:pPr>
              <w:pStyle w:val="Tablehead"/>
              <w:rPr>
                <w:rFonts w:eastAsia="MS Mincho"/>
                <w:sz w:val="20"/>
              </w:rPr>
            </w:pPr>
            <w:r w:rsidRPr="00E62551">
              <w:rPr>
                <w:rFonts w:eastAsia="MS Mincho"/>
                <w:sz w:val="20"/>
              </w:rPr>
              <w:t>USD per annum</w:t>
            </w:r>
          </w:p>
        </w:tc>
        <w:tc>
          <w:tcPr>
            <w:tcW w:w="1098" w:type="dxa"/>
            <w:noWrap/>
            <w:hideMark/>
          </w:tcPr>
          <w:p w14:paraId="556694C7" w14:textId="559807DE" w:rsidR="00741F7E" w:rsidRPr="00E62551" w:rsidRDefault="00741F7E" w:rsidP="00635EF3">
            <w:pPr>
              <w:pStyle w:val="Tablehead"/>
              <w:rPr>
                <w:rFonts w:eastAsia="MS Mincho"/>
                <w:sz w:val="20"/>
              </w:rPr>
            </w:pPr>
            <w:r w:rsidRPr="00E62551">
              <w:rPr>
                <w:rFonts w:eastAsia="MS Mincho"/>
                <w:sz w:val="20"/>
              </w:rPr>
              <w:t xml:space="preserve">Voice </w:t>
            </w:r>
            <w:r w:rsidR="005B34C5" w:rsidRPr="00E62551">
              <w:rPr>
                <w:rFonts w:eastAsia="MS Mincho"/>
                <w:sz w:val="20"/>
              </w:rPr>
              <w:t>c</w:t>
            </w:r>
            <w:r w:rsidRPr="00E62551">
              <w:rPr>
                <w:rFonts w:eastAsia="MS Mincho"/>
                <w:sz w:val="20"/>
              </w:rPr>
              <w:t>alls (USD)</w:t>
            </w:r>
          </w:p>
        </w:tc>
      </w:tr>
      <w:tr w:rsidR="00635EF3" w:rsidRPr="00E62551" w14:paraId="2D05D417" w14:textId="77777777" w:rsidTr="00E62551">
        <w:trPr>
          <w:trHeight w:val="20"/>
        </w:trPr>
        <w:tc>
          <w:tcPr>
            <w:tcW w:w="704" w:type="dxa"/>
            <w:noWrap/>
            <w:hideMark/>
          </w:tcPr>
          <w:p w14:paraId="0347A145" w14:textId="77777777" w:rsidR="00741F7E" w:rsidRPr="00E62551" w:rsidRDefault="00741F7E" w:rsidP="00635EF3">
            <w:pPr>
              <w:pStyle w:val="Tabletext"/>
              <w:rPr>
                <w:rFonts w:eastAsia="MS Mincho"/>
                <w:sz w:val="20"/>
              </w:rPr>
            </w:pPr>
            <w:r w:rsidRPr="00E62551">
              <w:rPr>
                <w:rFonts w:eastAsia="MS Mincho"/>
                <w:sz w:val="20"/>
              </w:rPr>
              <w:t>2023</w:t>
            </w:r>
          </w:p>
        </w:tc>
        <w:tc>
          <w:tcPr>
            <w:tcW w:w="1701" w:type="dxa"/>
          </w:tcPr>
          <w:p w14:paraId="6E0287B1" w14:textId="77777777" w:rsidR="00741F7E" w:rsidRPr="00E62551" w:rsidRDefault="00741F7E" w:rsidP="00635EF3">
            <w:pPr>
              <w:pStyle w:val="Tabletext"/>
              <w:rPr>
                <w:sz w:val="20"/>
              </w:rPr>
            </w:pPr>
            <w:r w:rsidRPr="00E62551">
              <w:rPr>
                <w:rFonts w:eastAsia="MS Mincho"/>
                <w:sz w:val="20"/>
              </w:rPr>
              <w:t>Trinidad and Tobago</w:t>
            </w:r>
          </w:p>
        </w:tc>
        <w:tc>
          <w:tcPr>
            <w:tcW w:w="1276" w:type="dxa"/>
            <w:noWrap/>
            <w:hideMark/>
          </w:tcPr>
          <w:p w14:paraId="721C70E9" w14:textId="29E1A361" w:rsidR="00741F7E" w:rsidRPr="00E62551" w:rsidRDefault="00741F7E" w:rsidP="00635EF3">
            <w:pPr>
              <w:pStyle w:val="Tabletext"/>
              <w:jc w:val="center"/>
              <w:rPr>
                <w:sz w:val="20"/>
              </w:rPr>
            </w:pPr>
            <w:r w:rsidRPr="00E62551">
              <w:rPr>
                <w:sz w:val="20"/>
              </w:rPr>
              <w:t>xx</w:t>
            </w:r>
          </w:p>
        </w:tc>
        <w:tc>
          <w:tcPr>
            <w:tcW w:w="1417" w:type="dxa"/>
            <w:noWrap/>
            <w:hideMark/>
          </w:tcPr>
          <w:p w14:paraId="482482DF" w14:textId="50459249" w:rsidR="00741F7E" w:rsidRPr="00E62551" w:rsidRDefault="00741F7E" w:rsidP="00635EF3">
            <w:pPr>
              <w:pStyle w:val="Tabletext"/>
              <w:jc w:val="center"/>
              <w:rPr>
                <w:sz w:val="20"/>
              </w:rPr>
            </w:pPr>
            <w:r w:rsidRPr="00E62551">
              <w:rPr>
                <w:sz w:val="20"/>
              </w:rPr>
              <w:t>xx</w:t>
            </w:r>
          </w:p>
        </w:tc>
        <w:tc>
          <w:tcPr>
            <w:tcW w:w="1276" w:type="dxa"/>
            <w:noWrap/>
            <w:hideMark/>
          </w:tcPr>
          <w:p w14:paraId="3BBD71F7" w14:textId="1809D064" w:rsidR="00741F7E" w:rsidRPr="00E62551" w:rsidRDefault="00741F7E" w:rsidP="00635EF3">
            <w:pPr>
              <w:pStyle w:val="Tabletext"/>
              <w:jc w:val="center"/>
              <w:rPr>
                <w:sz w:val="20"/>
              </w:rPr>
            </w:pPr>
            <w:r w:rsidRPr="00E62551">
              <w:rPr>
                <w:sz w:val="20"/>
              </w:rPr>
              <w:t>xx</w:t>
            </w:r>
          </w:p>
        </w:tc>
        <w:tc>
          <w:tcPr>
            <w:tcW w:w="1403" w:type="dxa"/>
            <w:noWrap/>
            <w:hideMark/>
          </w:tcPr>
          <w:p w14:paraId="6DC9D91C" w14:textId="4B8C45F3" w:rsidR="00741F7E" w:rsidRPr="00E62551" w:rsidRDefault="00741F7E" w:rsidP="00635EF3">
            <w:pPr>
              <w:pStyle w:val="Tabletext"/>
              <w:jc w:val="center"/>
              <w:rPr>
                <w:sz w:val="20"/>
              </w:rPr>
            </w:pPr>
            <w:r w:rsidRPr="00E62551">
              <w:rPr>
                <w:sz w:val="20"/>
              </w:rPr>
              <w:t>xx</w:t>
            </w:r>
          </w:p>
        </w:tc>
        <w:tc>
          <w:tcPr>
            <w:tcW w:w="1290" w:type="dxa"/>
            <w:noWrap/>
            <w:hideMark/>
          </w:tcPr>
          <w:p w14:paraId="739AF2D7" w14:textId="5F6448E7" w:rsidR="00741F7E" w:rsidRPr="00E62551" w:rsidRDefault="00741F7E" w:rsidP="00635EF3">
            <w:pPr>
              <w:pStyle w:val="Tabletext"/>
              <w:jc w:val="center"/>
              <w:rPr>
                <w:sz w:val="20"/>
              </w:rPr>
            </w:pPr>
            <w:r w:rsidRPr="00E62551">
              <w:rPr>
                <w:sz w:val="20"/>
              </w:rPr>
              <w:t>xx</w:t>
            </w:r>
          </w:p>
        </w:tc>
        <w:tc>
          <w:tcPr>
            <w:tcW w:w="1418" w:type="dxa"/>
            <w:noWrap/>
            <w:hideMark/>
          </w:tcPr>
          <w:p w14:paraId="1A63230F" w14:textId="254DA6A7" w:rsidR="00741F7E" w:rsidRPr="00E62551" w:rsidRDefault="00741F7E" w:rsidP="00635EF3">
            <w:pPr>
              <w:pStyle w:val="Tabletext"/>
              <w:jc w:val="center"/>
              <w:rPr>
                <w:sz w:val="20"/>
              </w:rPr>
            </w:pPr>
            <w:r w:rsidRPr="00E62551">
              <w:rPr>
                <w:sz w:val="20"/>
              </w:rPr>
              <w:t>xx</w:t>
            </w:r>
          </w:p>
        </w:tc>
        <w:tc>
          <w:tcPr>
            <w:tcW w:w="1559" w:type="dxa"/>
            <w:noWrap/>
            <w:hideMark/>
          </w:tcPr>
          <w:p w14:paraId="6844C127" w14:textId="2EFF1B40" w:rsidR="00741F7E" w:rsidRPr="00E62551" w:rsidRDefault="00741F7E" w:rsidP="00635EF3">
            <w:pPr>
              <w:pStyle w:val="Tabletext"/>
              <w:jc w:val="center"/>
              <w:rPr>
                <w:sz w:val="20"/>
              </w:rPr>
            </w:pPr>
            <w:r w:rsidRPr="00E62551">
              <w:rPr>
                <w:sz w:val="20"/>
              </w:rPr>
              <w:t>xx</w:t>
            </w:r>
          </w:p>
        </w:tc>
        <w:tc>
          <w:tcPr>
            <w:tcW w:w="1418" w:type="dxa"/>
            <w:noWrap/>
            <w:hideMark/>
          </w:tcPr>
          <w:p w14:paraId="30B2D2AE" w14:textId="0BC54423" w:rsidR="00741F7E" w:rsidRPr="00E62551" w:rsidRDefault="00741F7E" w:rsidP="00635EF3">
            <w:pPr>
              <w:pStyle w:val="Tabletext"/>
              <w:jc w:val="center"/>
              <w:rPr>
                <w:sz w:val="20"/>
              </w:rPr>
            </w:pPr>
            <w:r w:rsidRPr="00E62551">
              <w:rPr>
                <w:sz w:val="20"/>
              </w:rPr>
              <w:t>xx</w:t>
            </w:r>
          </w:p>
        </w:tc>
        <w:tc>
          <w:tcPr>
            <w:tcW w:w="1098" w:type="dxa"/>
            <w:noWrap/>
            <w:hideMark/>
          </w:tcPr>
          <w:p w14:paraId="57492B0F" w14:textId="29D3BD0C" w:rsidR="00741F7E" w:rsidRPr="00E62551" w:rsidRDefault="00741F7E" w:rsidP="00635EF3">
            <w:pPr>
              <w:pStyle w:val="Tabletext"/>
              <w:jc w:val="center"/>
              <w:rPr>
                <w:sz w:val="20"/>
              </w:rPr>
            </w:pPr>
            <w:r w:rsidRPr="00E62551">
              <w:rPr>
                <w:sz w:val="20"/>
              </w:rPr>
              <w:t>xx</w:t>
            </w:r>
          </w:p>
        </w:tc>
      </w:tr>
      <w:tr w:rsidR="00635EF3" w:rsidRPr="00E62551" w14:paraId="22FB74B1" w14:textId="77777777" w:rsidTr="00E62551">
        <w:trPr>
          <w:trHeight w:val="20"/>
        </w:trPr>
        <w:tc>
          <w:tcPr>
            <w:tcW w:w="704" w:type="dxa"/>
            <w:noWrap/>
            <w:hideMark/>
          </w:tcPr>
          <w:p w14:paraId="53A63093" w14:textId="77777777" w:rsidR="00741F7E" w:rsidRPr="00E62551" w:rsidRDefault="00741F7E" w:rsidP="00635EF3">
            <w:pPr>
              <w:pStyle w:val="Tabletext"/>
              <w:rPr>
                <w:sz w:val="20"/>
              </w:rPr>
            </w:pPr>
            <w:r w:rsidRPr="00E62551">
              <w:rPr>
                <w:sz w:val="20"/>
              </w:rPr>
              <w:t>2023</w:t>
            </w:r>
          </w:p>
        </w:tc>
        <w:tc>
          <w:tcPr>
            <w:tcW w:w="1701" w:type="dxa"/>
          </w:tcPr>
          <w:p w14:paraId="29A2566A" w14:textId="77777777" w:rsidR="00741F7E" w:rsidRPr="00E62551" w:rsidRDefault="00741F7E" w:rsidP="00635EF3">
            <w:pPr>
              <w:pStyle w:val="Tabletext"/>
              <w:rPr>
                <w:sz w:val="20"/>
              </w:rPr>
            </w:pPr>
            <w:r w:rsidRPr="00E62551">
              <w:rPr>
                <w:rFonts w:eastAsia="MS Mincho"/>
                <w:sz w:val="20"/>
              </w:rPr>
              <w:t>Trinidad and Tobago</w:t>
            </w:r>
          </w:p>
        </w:tc>
        <w:tc>
          <w:tcPr>
            <w:tcW w:w="1276" w:type="dxa"/>
            <w:noWrap/>
            <w:hideMark/>
          </w:tcPr>
          <w:p w14:paraId="53D9E045" w14:textId="3B083007" w:rsidR="00741F7E" w:rsidRPr="00E62551" w:rsidRDefault="00741F7E" w:rsidP="00635EF3">
            <w:pPr>
              <w:pStyle w:val="Tabletext"/>
              <w:jc w:val="center"/>
              <w:rPr>
                <w:sz w:val="20"/>
              </w:rPr>
            </w:pPr>
            <w:r w:rsidRPr="00E62551">
              <w:rPr>
                <w:sz w:val="20"/>
              </w:rPr>
              <w:t>xx</w:t>
            </w:r>
          </w:p>
        </w:tc>
        <w:tc>
          <w:tcPr>
            <w:tcW w:w="1417" w:type="dxa"/>
            <w:noWrap/>
            <w:hideMark/>
          </w:tcPr>
          <w:p w14:paraId="687DA702" w14:textId="44275F00" w:rsidR="00741F7E" w:rsidRPr="00E62551" w:rsidRDefault="00741F7E" w:rsidP="00635EF3">
            <w:pPr>
              <w:pStyle w:val="Tabletext"/>
              <w:jc w:val="center"/>
              <w:rPr>
                <w:sz w:val="20"/>
              </w:rPr>
            </w:pPr>
            <w:r w:rsidRPr="00E62551">
              <w:rPr>
                <w:sz w:val="20"/>
              </w:rPr>
              <w:t>xx</w:t>
            </w:r>
          </w:p>
        </w:tc>
        <w:tc>
          <w:tcPr>
            <w:tcW w:w="1276" w:type="dxa"/>
            <w:noWrap/>
            <w:hideMark/>
          </w:tcPr>
          <w:p w14:paraId="377CDFCE" w14:textId="35745067" w:rsidR="00741F7E" w:rsidRPr="00E62551" w:rsidRDefault="00741F7E" w:rsidP="00635EF3">
            <w:pPr>
              <w:pStyle w:val="Tabletext"/>
              <w:jc w:val="center"/>
              <w:rPr>
                <w:sz w:val="20"/>
              </w:rPr>
            </w:pPr>
            <w:r w:rsidRPr="00E62551">
              <w:rPr>
                <w:sz w:val="20"/>
              </w:rPr>
              <w:t>xx</w:t>
            </w:r>
          </w:p>
        </w:tc>
        <w:tc>
          <w:tcPr>
            <w:tcW w:w="1403" w:type="dxa"/>
            <w:noWrap/>
            <w:hideMark/>
          </w:tcPr>
          <w:p w14:paraId="4CA2A0C6" w14:textId="4A3D4B3F" w:rsidR="00741F7E" w:rsidRPr="00E62551" w:rsidRDefault="00741F7E" w:rsidP="00635EF3">
            <w:pPr>
              <w:pStyle w:val="Tabletext"/>
              <w:jc w:val="center"/>
              <w:rPr>
                <w:sz w:val="20"/>
              </w:rPr>
            </w:pPr>
            <w:r w:rsidRPr="00E62551">
              <w:rPr>
                <w:sz w:val="20"/>
              </w:rPr>
              <w:t>xx</w:t>
            </w:r>
          </w:p>
        </w:tc>
        <w:tc>
          <w:tcPr>
            <w:tcW w:w="1290" w:type="dxa"/>
            <w:noWrap/>
            <w:hideMark/>
          </w:tcPr>
          <w:p w14:paraId="15FEBBF3" w14:textId="2C7C82D5" w:rsidR="00741F7E" w:rsidRPr="00E62551" w:rsidRDefault="00741F7E" w:rsidP="00635EF3">
            <w:pPr>
              <w:pStyle w:val="Tabletext"/>
              <w:jc w:val="center"/>
              <w:rPr>
                <w:sz w:val="20"/>
              </w:rPr>
            </w:pPr>
            <w:r w:rsidRPr="00E62551">
              <w:rPr>
                <w:sz w:val="20"/>
              </w:rPr>
              <w:t>xx</w:t>
            </w:r>
          </w:p>
        </w:tc>
        <w:tc>
          <w:tcPr>
            <w:tcW w:w="1418" w:type="dxa"/>
            <w:noWrap/>
            <w:hideMark/>
          </w:tcPr>
          <w:p w14:paraId="687D21F5" w14:textId="3FB40224" w:rsidR="00741F7E" w:rsidRPr="00E62551" w:rsidRDefault="00741F7E" w:rsidP="00635EF3">
            <w:pPr>
              <w:pStyle w:val="Tabletext"/>
              <w:jc w:val="center"/>
              <w:rPr>
                <w:sz w:val="20"/>
              </w:rPr>
            </w:pPr>
            <w:r w:rsidRPr="00E62551">
              <w:rPr>
                <w:sz w:val="20"/>
              </w:rPr>
              <w:t>xx</w:t>
            </w:r>
          </w:p>
        </w:tc>
        <w:tc>
          <w:tcPr>
            <w:tcW w:w="1559" w:type="dxa"/>
            <w:noWrap/>
            <w:hideMark/>
          </w:tcPr>
          <w:p w14:paraId="238C9530" w14:textId="77C2F3F8" w:rsidR="00741F7E" w:rsidRPr="00E62551" w:rsidRDefault="00741F7E" w:rsidP="00635EF3">
            <w:pPr>
              <w:pStyle w:val="Tabletext"/>
              <w:jc w:val="center"/>
              <w:rPr>
                <w:sz w:val="20"/>
              </w:rPr>
            </w:pPr>
            <w:r w:rsidRPr="00E62551">
              <w:rPr>
                <w:sz w:val="20"/>
              </w:rPr>
              <w:t>xx</w:t>
            </w:r>
          </w:p>
        </w:tc>
        <w:tc>
          <w:tcPr>
            <w:tcW w:w="1418" w:type="dxa"/>
            <w:noWrap/>
            <w:hideMark/>
          </w:tcPr>
          <w:p w14:paraId="63441C77" w14:textId="0D166995" w:rsidR="00741F7E" w:rsidRPr="00E62551" w:rsidRDefault="00741F7E" w:rsidP="00635EF3">
            <w:pPr>
              <w:pStyle w:val="Tabletext"/>
              <w:jc w:val="center"/>
              <w:rPr>
                <w:sz w:val="20"/>
              </w:rPr>
            </w:pPr>
            <w:r w:rsidRPr="00E62551">
              <w:rPr>
                <w:sz w:val="20"/>
              </w:rPr>
              <w:t>xx</w:t>
            </w:r>
          </w:p>
        </w:tc>
        <w:tc>
          <w:tcPr>
            <w:tcW w:w="1098" w:type="dxa"/>
            <w:noWrap/>
            <w:hideMark/>
          </w:tcPr>
          <w:p w14:paraId="4704ECC1" w14:textId="2FDD2F9A" w:rsidR="00741F7E" w:rsidRPr="00E62551" w:rsidRDefault="00741F7E" w:rsidP="00635EF3">
            <w:pPr>
              <w:pStyle w:val="Tabletext"/>
              <w:jc w:val="center"/>
              <w:rPr>
                <w:sz w:val="20"/>
              </w:rPr>
            </w:pPr>
            <w:r w:rsidRPr="00E62551">
              <w:rPr>
                <w:sz w:val="20"/>
              </w:rPr>
              <w:t>xx</w:t>
            </w:r>
          </w:p>
        </w:tc>
      </w:tr>
      <w:tr w:rsidR="00635EF3" w:rsidRPr="00E62551" w14:paraId="4A58775D" w14:textId="77777777" w:rsidTr="00E62551">
        <w:trPr>
          <w:trHeight w:val="20"/>
        </w:trPr>
        <w:tc>
          <w:tcPr>
            <w:tcW w:w="704" w:type="dxa"/>
            <w:noWrap/>
            <w:hideMark/>
          </w:tcPr>
          <w:p w14:paraId="23B87635" w14:textId="77777777" w:rsidR="00741F7E" w:rsidRPr="00E62551" w:rsidRDefault="00741F7E" w:rsidP="00635EF3">
            <w:pPr>
              <w:pStyle w:val="Tabletext"/>
              <w:rPr>
                <w:sz w:val="20"/>
              </w:rPr>
            </w:pPr>
            <w:r w:rsidRPr="00E62551">
              <w:rPr>
                <w:sz w:val="20"/>
              </w:rPr>
              <w:t>2023</w:t>
            </w:r>
          </w:p>
        </w:tc>
        <w:tc>
          <w:tcPr>
            <w:tcW w:w="1701" w:type="dxa"/>
          </w:tcPr>
          <w:p w14:paraId="769B82CD" w14:textId="77777777" w:rsidR="00741F7E" w:rsidRPr="00E62551" w:rsidRDefault="00741F7E" w:rsidP="00635EF3">
            <w:pPr>
              <w:pStyle w:val="Tabletext"/>
              <w:rPr>
                <w:sz w:val="20"/>
              </w:rPr>
            </w:pPr>
            <w:r w:rsidRPr="00E62551">
              <w:rPr>
                <w:rFonts w:eastAsia="MS Mincho"/>
                <w:sz w:val="20"/>
              </w:rPr>
              <w:t>Trinidad and Tobago</w:t>
            </w:r>
          </w:p>
        </w:tc>
        <w:tc>
          <w:tcPr>
            <w:tcW w:w="1276" w:type="dxa"/>
            <w:noWrap/>
            <w:hideMark/>
          </w:tcPr>
          <w:p w14:paraId="46F5F17A" w14:textId="537802CE" w:rsidR="00741F7E" w:rsidRPr="00E62551" w:rsidRDefault="00741F7E" w:rsidP="00635EF3">
            <w:pPr>
              <w:pStyle w:val="Tabletext"/>
              <w:jc w:val="center"/>
              <w:rPr>
                <w:sz w:val="20"/>
              </w:rPr>
            </w:pPr>
            <w:r w:rsidRPr="00E62551">
              <w:rPr>
                <w:sz w:val="20"/>
              </w:rPr>
              <w:t>xx</w:t>
            </w:r>
          </w:p>
        </w:tc>
        <w:tc>
          <w:tcPr>
            <w:tcW w:w="1417" w:type="dxa"/>
            <w:noWrap/>
            <w:hideMark/>
          </w:tcPr>
          <w:p w14:paraId="643DAAA9" w14:textId="3E108D33" w:rsidR="00741F7E" w:rsidRPr="00E62551" w:rsidRDefault="00741F7E" w:rsidP="00635EF3">
            <w:pPr>
              <w:pStyle w:val="Tabletext"/>
              <w:jc w:val="center"/>
              <w:rPr>
                <w:sz w:val="20"/>
              </w:rPr>
            </w:pPr>
            <w:r w:rsidRPr="00E62551">
              <w:rPr>
                <w:sz w:val="20"/>
              </w:rPr>
              <w:t>xx</w:t>
            </w:r>
          </w:p>
        </w:tc>
        <w:tc>
          <w:tcPr>
            <w:tcW w:w="1276" w:type="dxa"/>
            <w:noWrap/>
            <w:hideMark/>
          </w:tcPr>
          <w:p w14:paraId="2CC91154" w14:textId="1C05BABE" w:rsidR="00741F7E" w:rsidRPr="00E62551" w:rsidRDefault="00741F7E" w:rsidP="00635EF3">
            <w:pPr>
              <w:pStyle w:val="Tabletext"/>
              <w:jc w:val="center"/>
              <w:rPr>
                <w:sz w:val="20"/>
              </w:rPr>
            </w:pPr>
            <w:r w:rsidRPr="00E62551">
              <w:rPr>
                <w:sz w:val="20"/>
              </w:rPr>
              <w:t>xx</w:t>
            </w:r>
          </w:p>
        </w:tc>
        <w:tc>
          <w:tcPr>
            <w:tcW w:w="1403" w:type="dxa"/>
            <w:noWrap/>
            <w:hideMark/>
          </w:tcPr>
          <w:p w14:paraId="38AA87A0" w14:textId="22D9BD01" w:rsidR="00741F7E" w:rsidRPr="00E62551" w:rsidRDefault="00741F7E" w:rsidP="00635EF3">
            <w:pPr>
              <w:pStyle w:val="Tabletext"/>
              <w:jc w:val="center"/>
              <w:rPr>
                <w:sz w:val="20"/>
              </w:rPr>
            </w:pPr>
            <w:r w:rsidRPr="00E62551">
              <w:rPr>
                <w:sz w:val="20"/>
              </w:rPr>
              <w:t>xx</w:t>
            </w:r>
          </w:p>
        </w:tc>
        <w:tc>
          <w:tcPr>
            <w:tcW w:w="1290" w:type="dxa"/>
            <w:noWrap/>
            <w:hideMark/>
          </w:tcPr>
          <w:p w14:paraId="0121E33D" w14:textId="163488C3" w:rsidR="00741F7E" w:rsidRPr="00E62551" w:rsidRDefault="00741F7E" w:rsidP="00635EF3">
            <w:pPr>
              <w:pStyle w:val="Tabletext"/>
              <w:jc w:val="center"/>
              <w:rPr>
                <w:sz w:val="20"/>
              </w:rPr>
            </w:pPr>
            <w:r w:rsidRPr="00E62551">
              <w:rPr>
                <w:sz w:val="20"/>
              </w:rPr>
              <w:t>xx</w:t>
            </w:r>
          </w:p>
        </w:tc>
        <w:tc>
          <w:tcPr>
            <w:tcW w:w="1418" w:type="dxa"/>
            <w:noWrap/>
            <w:hideMark/>
          </w:tcPr>
          <w:p w14:paraId="0C175409" w14:textId="786F598F" w:rsidR="00741F7E" w:rsidRPr="00E62551" w:rsidRDefault="00741F7E" w:rsidP="00635EF3">
            <w:pPr>
              <w:pStyle w:val="Tabletext"/>
              <w:jc w:val="center"/>
              <w:rPr>
                <w:sz w:val="20"/>
              </w:rPr>
            </w:pPr>
            <w:r w:rsidRPr="00E62551">
              <w:rPr>
                <w:sz w:val="20"/>
              </w:rPr>
              <w:t>xx</w:t>
            </w:r>
          </w:p>
        </w:tc>
        <w:tc>
          <w:tcPr>
            <w:tcW w:w="1559" w:type="dxa"/>
            <w:noWrap/>
            <w:hideMark/>
          </w:tcPr>
          <w:p w14:paraId="75FF8B93" w14:textId="62CBB00B" w:rsidR="00741F7E" w:rsidRPr="00E62551" w:rsidRDefault="00741F7E" w:rsidP="00635EF3">
            <w:pPr>
              <w:pStyle w:val="Tabletext"/>
              <w:jc w:val="center"/>
              <w:rPr>
                <w:sz w:val="20"/>
              </w:rPr>
            </w:pPr>
            <w:r w:rsidRPr="00E62551">
              <w:rPr>
                <w:sz w:val="20"/>
              </w:rPr>
              <w:t>xx</w:t>
            </w:r>
          </w:p>
        </w:tc>
        <w:tc>
          <w:tcPr>
            <w:tcW w:w="1418" w:type="dxa"/>
            <w:noWrap/>
            <w:hideMark/>
          </w:tcPr>
          <w:p w14:paraId="679A757B" w14:textId="3B2D81D2" w:rsidR="00741F7E" w:rsidRPr="00E62551" w:rsidRDefault="00741F7E" w:rsidP="00635EF3">
            <w:pPr>
              <w:pStyle w:val="Tabletext"/>
              <w:jc w:val="center"/>
              <w:rPr>
                <w:sz w:val="20"/>
              </w:rPr>
            </w:pPr>
            <w:r w:rsidRPr="00E62551">
              <w:rPr>
                <w:sz w:val="20"/>
              </w:rPr>
              <w:t>xx</w:t>
            </w:r>
          </w:p>
        </w:tc>
        <w:tc>
          <w:tcPr>
            <w:tcW w:w="1098" w:type="dxa"/>
            <w:noWrap/>
            <w:hideMark/>
          </w:tcPr>
          <w:p w14:paraId="2B99E7A5" w14:textId="5BDA1760" w:rsidR="00741F7E" w:rsidRPr="00E62551" w:rsidRDefault="00741F7E" w:rsidP="00635EF3">
            <w:pPr>
              <w:pStyle w:val="Tabletext"/>
              <w:jc w:val="center"/>
              <w:rPr>
                <w:sz w:val="20"/>
              </w:rPr>
            </w:pPr>
            <w:r w:rsidRPr="00E62551">
              <w:rPr>
                <w:sz w:val="20"/>
              </w:rPr>
              <w:t>xx</w:t>
            </w:r>
          </w:p>
        </w:tc>
      </w:tr>
      <w:tr w:rsidR="00635EF3" w:rsidRPr="00E62551" w14:paraId="0665721F" w14:textId="77777777" w:rsidTr="00E62551">
        <w:trPr>
          <w:trHeight w:val="20"/>
        </w:trPr>
        <w:tc>
          <w:tcPr>
            <w:tcW w:w="704" w:type="dxa"/>
            <w:noWrap/>
            <w:hideMark/>
          </w:tcPr>
          <w:p w14:paraId="3EE7FD22" w14:textId="77777777" w:rsidR="00741F7E" w:rsidRPr="00E62551" w:rsidRDefault="00741F7E" w:rsidP="00635EF3">
            <w:pPr>
              <w:pStyle w:val="Tabletext"/>
              <w:rPr>
                <w:sz w:val="20"/>
              </w:rPr>
            </w:pPr>
            <w:r w:rsidRPr="00E62551">
              <w:rPr>
                <w:sz w:val="20"/>
              </w:rPr>
              <w:t>2023</w:t>
            </w:r>
          </w:p>
        </w:tc>
        <w:tc>
          <w:tcPr>
            <w:tcW w:w="1701" w:type="dxa"/>
          </w:tcPr>
          <w:p w14:paraId="64E6CCBA" w14:textId="77777777" w:rsidR="00741F7E" w:rsidRPr="00E62551" w:rsidRDefault="00741F7E" w:rsidP="00635EF3">
            <w:pPr>
              <w:pStyle w:val="Tabletext"/>
              <w:rPr>
                <w:sz w:val="20"/>
              </w:rPr>
            </w:pPr>
            <w:r w:rsidRPr="00E62551">
              <w:rPr>
                <w:rFonts w:eastAsia="MS Mincho"/>
                <w:sz w:val="20"/>
              </w:rPr>
              <w:t>Trinidad and Tobago</w:t>
            </w:r>
          </w:p>
        </w:tc>
        <w:tc>
          <w:tcPr>
            <w:tcW w:w="1276" w:type="dxa"/>
            <w:noWrap/>
            <w:hideMark/>
          </w:tcPr>
          <w:p w14:paraId="0548F170" w14:textId="58BF9FA8" w:rsidR="00741F7E" w:rsidRPr="00E62551" w:rsidRDefault="00741F7E" w:rsidP="00635EF3">
            <w:pPr>
              <w:pStyle w:val="Tabletext"/>
              <w:jc w:val="center"/>
              <w:rPr>
                <w:sz w:val="20"/>
              </w:rPr>
            </w:pPr>
            <w:r w:rsidRPr="00E62551">
              <w:rPr>
                <w:sz w:val="20"/>
              </w:rPr>
              <w:t>xx</w:t>
            </w:r>
          </w:p>
        </w:tc>
        <w:tc>
          <w:tcPr>
            <w:tcW w:w="1417" w:type="dxa"/>
            <w:noWrap/>
            <w:hideMark/>
          </w:tcPr>
          <w:p w14:paraId="5A62FE72" w14:textId="4A5CCB72" w:rsidR="00741F7E" w:rsidRPr="00E62551" w:rsidRDefault="00741F7E" w:rsidP="00635EF3">
            <w:pPr>
              <w:pStyle w:val="Tabletext"/>
              <w:jc w:val="center"/>
              <w:rPr>
                <w:sz w:val="20"/>
              </w:rPr>
            </w:pPr>
            <w:r w:rsidRPr="00E62551">
              <w:rPr>
                <w:sz w:val="20"/>
              </w:rPr>
              <w:t>xx</w:t>
            </w:r>
          </w:p>
        </w:tc>
        <w:tc>
          <w:tcPr>
            <w:tcW w:w="1276" w:type="dxa"/>
            <w:noWrap/>
            <w:hideMark/>
          </w:tcPr>
          <w:p w14:paraId="22C8546D" w14:textId="64F59EF7" w:rsidR="00741F7E" w:rsidRPr="00E62551" w:rsidRDefault="00741F7E" w:rsidP="00635EF3">
            <w:pPr>
              <w:pStyle w:val="Tabletext"/>
              <w:jc w:val="center"/>
              <w:rPr>
                <w:sz w:val="20"/>
              </w:rPr>
            </w:pPr>
            <w:r w:rsidRPr="00E62551">
              <w:rPr>
                <w:sz w:val="20"/>
              </w:rPr>
              <w:t>xx</w:t>
            </w:r>
          </w:p>
        </w:tc>
        <w:tc>
          <w:tcPr>
            <w:tcW w:w="1403" w:type="dxa"/>
            <w:noWrap/>
            <w:hideMark/>
          </w:tcPr>
          <w:p w14:paraId="7A5B9A7B" w14:textId="3DE05FAB" w:rsidR="00741F7E" w:rsidRPr="00E62551" w:rsidRDefault="00741F7E" w:rsidP="00635EF3">
            <w:pPr>
              <w:pStyle w:val="Tabletext"/>
              <w:jc w:val="center"/>
              <w:rPr>
                <w:sz w:val="20"/>
              </w:rPr>
            </w:pPr>
            <w:r w:rsidRPr="00E62551">
              <w:rPr>
                <w:sz w:val="20"/>
              </w:rPr>
              <w:t>xx</w:t>
            </w:r>
          </w:p>
        </w:tc>
        <w:tc>
          <w:tcPr>
            <w:tcW w:w="1290" w:type="dxa"/>
            <w:noWrap/>
            <w:hideMark/>
          </w:tcPr>
          <w:p w14:paraId="27426C6D" w14:textId="63C2F936" w:rsidR="00741F7E" w:rsidRPr="00E62551" w:rsidRDefault="00741F7E" w:rsidP="00635EF3">
            <w:pPr>
              <w:pStyle w:val="Tabletext"/>
              <w:jc w:val="center"/>
              <w:rPr>
                <w:sz w:val="20"/>
              </w:rPr>
            </w:pPr>
            <w:r w:rsidRPr="00E62551">
              <w:rPr>
                <w:sz w:val="20"/>
              </w:rPr>
              <w:t>xx</w:t>
            </w:r>
          </w:p>
        </w:tc>
        <w:tc>
          <w:tcPr>
            <w:tcW w:w="1418" w:type="dxa"/>
            <w:noWrap/>
            <w:hideMark/>
          </w:tcPr>
          <w:p w14:paraId="3A46624C" w14:textId="49DF8181" w:rsidR="00741F7E" w:rsidRPr="00E62551" w:rsidRDefault="00741F7E" w:rsidP="00635EF3">
            <w:pPr>
              <w:pStyle w:val="Tabletext"/>
              <w:jc w:val="center"/>
              <w:rPr>
                <w:sz w:val="20"/>
              </w:rPr>
            </w:pPr>
            <w:r w:rsidRPr="00E62551">
              <w:rPr>
                <w:sz w:val="20"/>
              </w:rPr>
              <w:t>xx</w:t>
            </w:r>
          </w:p>
        </w:tc>
        <w:tc>
          <w:tcPr>
            <w:tcW w:w="1559" w:type="dxa"/>
            <w:noWrap/>
            <w:hideMark/>
          </w:tcPr>
          <w:p w14:paraId="3935C923" w14:textId="1E78197E" w:rsidR="00741F7E" w:rsidRPr="00E62551" w:rsidRDefault="00741F7E" w:rsidP="00635EF3">
            <w:pPr>
              <w:pStyle w:val="Tabletext"/>
              <w:jc w:val="center"/>
              <w:rPr>
                <w:sz w:val="20"/>
              </w:rPr>
            </w:pPr>
            <w:r w:rsidRPr="00E62551">
              <w:rPr>
                <w:sz w:val="20"/>
              </w:rPr>
              <w:t>xx</w:t>
            </w:r>
          </w:p>
        </w:tc>
        <w:tc>
          <w:tcPr>
            <w:tcW w:w="1418" w:type="dxa"/>
            <w:noWrap/>
            <w:hideMark/>
          </w:tcPr>
          <w:p w14:paraId="5F722126" w14:textId="0076B245" w:rsidR="00741F7E" w:rsidRPr="00E62551" w:rsidRDefault="00741F7E" w:rsidP="00635EF3">
            <w:pPr>
              <w:pStyle w:val="Tabletext"/>
              <w:jc w:val="center"/>
              <w:rPr>
                <w:sz w:val="20"/>
              </w:rPr>
            </w:pPr>
            <w:r w:rsidRPr="00E62551">
              <w:rPr>
                <w:sz w:val="20"/>
              </w:rPr>
              <w:t>xx</w:t>
            </w:r>
          </w:p>
        </w:tc>
        <w:tc>
          <w:tcPr>
            <w:tcW w:w="1098" w:type="dxa"/>
            <w:noWrap/>
            <w:hideMark/>
          </w:tcPr>
          <w:p w14:paraId="386E9C0D" w14:textId="64A1BD15" w:rsidR="00741F7E" w:rsidRPr="00E62551" w:rsidRDefault="00741F7E" w:rsidP="00635EF3">
            <w:pPr>
              <w:pStyle w:val="Tabletext"/>
              <w:jc w:val="center"/>
              <w:rPr>
                <w:sz w:val="20"/>
              </w:rPr>
            </w:pPr>
            <w:r w:rsidRPr="00E62551">
              <w:rPr>
                <w:sz w:val="20"/>
              </w:rPr>
              <w:t>xx</w:t>
            </w:r>
          </w:p>
        </w:tc>
      </w:tr>
      <w:tr w:rsidR="00635EF3" w:rsidRPr="00E62551" w14:paraId="218C64E4" w14:textId="77777777" w:rsidTr="00E62551">
        <w:trPr>
          <w:trHeight w:val="20"/>
        </w:trPr>
        <w:tc>
          <w:tcPr>
            <w:tcW w:w="704" w:type="dxa"/>
            <w:noWrap/>
            <w:hideMark/>
          </w:tcPr>
          <w:p w14:paraId="7CD7C91A" w14:textId="77777777" w:rsidR="00741F7E" w:rsidRPr="00E62551" w:rsidRDefault="00741F7E" w:rsidP="00635EF3">
            <w:pPr>
              <w:pStyle w:val="Tabletext"/>
              <w:rPr>
                <w:sz w:val="20"/>
              </w:rPr>
            </w:pPr>
            <w:r w:rsidRPr="00E62551">
              <w:rPr>
                <w:sz w:val="20"/>
              </w:rPr>
              <w:t>2023</w:t>
            </w:r>
          </w:p>
        </w:tc>
        <w:tc>
          <w:tcPr>
            <w:tcW w:w="1701" w:type="dxa"/>
          </w:tcPr>
          <w:p w14:paraId="7D4AF356" w14:textId="77777777" w:rsidR="00741F7E" w:rsidRPr="00E62551" w:rsidRDefault="00741F7E" w:rsidP="00635EF3">
            <w:pPr>
              <w:pStyle w:val="Tabletext"/>
              <w:rPr>
                <w:sz w:val="20"/>
              </w:rPr>
            </w:pPr>
            <w:r w:rsidRPr="00E62551">
              <w:rPr>
                <w:rFonts w:eastAsia="MS Mincho"/>
                <w:sz w:val="20"/>
              </w:rPr>
              <w:t>Trinidad and Tobago</w:t>
            </w:r>
          </w:p>
        </w:tc>
        <w:tc>
          <w:tcPr>
            <w:tcW w:w="1276" w:type="dxa"/>
            <w:noWrap/>
            <w:hideMark/>
          </w:tcPr>
          <w:p w14:paraId="3F66250D" w14:textId="2BDFBB6D" w:rsidR="00741F7E" w:rsidRPr="00E62551" w:rsidRDefault="00741F7E" w:rsidP="00635EF3">
            <w:pPr>
              <w:pStyle w:val="Tabletext"/>
              <w:jc w:val="center"/>
              <w:rPr>
                <w:sz w:val="20"/>
              </w:rPr>
            </w:pPr>
            <w:r w:rsidRPr="00E62551">
              <w:rPr>
                <w:sz w:val="20"/>
              </w:rPr>
              <w:t>xx</w:t>
            </w:r>
          </w:p>
        </w:tc>
        <w:tc>
          <w:tcPr>
            <w:tcW w:w="1417" w:type="dxa"/>
            <w:noWrap/>
            <w:hideMark/>
          </w:tcPr>
          <w:p w14:paraId="4CA83279" w14:textId="41262003" w:rsidR="00741F7E" w:rsidRPr="00E62551" w:rsidRDefault="00741F7E" w:rsidP="00635EF3">
            <w:pPr>
              <w:pStyle w:val="Tabletext"/>
              <w:jc w:val="center"/>
              <w:rPr>
                <w:sz w:val="20"/>
              </w:rPr>
            </w:pPr>
            <w:r w:rsidRPr="00E62551">
              <w:rPr>
                <w:sz w:val="20"/>
              </w:rPr>
              <w:t>xx</w:t>
            </w:r>
          </w:p>
        </w:tc>
        <w:tc>
          <w:tcPr>
            <w:tcW w:w="1276" w:type="dxa"/>
            <w:noWrap/>
            <w:hideMark/>
          </w:tcPr>
          <w:p w14:paraId="6BA5221F" w14:textId="6EA6DDA4" w:rsidR="00741F7E" w:rsidRPr="00E62551" w:rsidRDefault="00741F7E" w:rsidP="00635EF3">
            <w:pPr>
              <w:pStyle w:val="Tabletext"/>
              <w:jc w:val="center"/>
              <w:rPr>
                <w:sz w:val="20"/>
              </w:rPr>
            </w:pPr>
            <w:r w:rsidRPr="00E62551">
              <w:rPr>
                <w:sz w:val="20"/>
              </w:rPr>
              <w:t>xx</w:t>
            </w:r>
          </w:p>
        </w:tc>
        <w:tc>
          <w:tcPr>
            <w:tcW w:w="1403" w:type="dxa"/>
            <w:noWrap/>
            <w:hideMark/>
          </w:tcPr>
          <w:p w14:paraId="391AFB1E" w14:textId="1291D285" w:rsidR="00741F7E" w:rsidRPr="00E62551" w:rsidRDefault="00741F7E" w:rsidP="00635EF3">
            <w:pPr>
              <w:pStyle w:val="Tabletext"/>
              <w:jc w:val="center"/>
              <w:rPr>
                <w:sz w:val="20"/>
              </w:rPr>
            </w:pPr>
            <w:r w:rsidRPr="00E62551">
              <w:rPr>
                <w:sz w:val="20"/>
              </w:rPr>
              <w:t>xx</w:t>
            </w:r>
          </w:p>
        </w:tc>
        <w:tc>
          <w:tcPr>
            <w:tcW w:w="1290" w:type="dxa"/>
            <w:noWrap/>
            <w:hideMark/>
          </w:tcPr>
          <w:p w14:paraId="5B20917A" w14:textId="7F45E831" w:rsidR="00741F7E" w:rsidRPr="00E62551" w:rsidRDefault="00741F7E" w:rsidP="00635EF3">
            <w:pPr>
              <w:pStyle w:val="Tabletext"/>
              <w:jc w:val="center"/>
              <w:rPr>
                <w:sz w:val="20"/>
              </w:rPr>
            </w:pPr>
            <w:r w:rsidRPr="00E62551">
              <w:rPr>
                <w:sz w:val="20"/>
              </w:rPr>
              <w:t>xx</w:t>
            </w:r>
          </w:p>
        </w:tc>
        <w:tc>
          <w:tcPr>
            <w:tcW w:w="1418" w:type="dxa"/>
            <w:noWrap/>
            <w:hideMark/>
          </w:tcPr>
          <w:p w14:paraId="0B79DE86" w14:textId="37E9A2A0" w:rsidR="00741F7E" w:rsidRPr="00E62551" w:rsidRDefault="00741F7E" w:rsidP="00635EF3">
            <w:pPr>
              <w:pStyle w:val="Tabletext"/>
              <w:jc w:val="center"/>
              <w:rPr>
                <w:sz w:val="20"/>
              </w:rPr>
            </w:pPr>
            <w:r w:rsidRPr="00E62551">
              <w:rPr>
                <w:sz w:val="20"/>
              </w:rPr>
              <w:t>xx</w:t>
            </w:r>
          </w:p>
        </w:tc>
        <w:tc>
          <w:tcPr>
            <w:tcW w:w="1559" w:type="dxa"/>
            <w:noWrap/>
            <w:hideMark/>
          </w:tcPr>
          <w:p w14:paraId="5D5A6F0E" w14:textId="1910B3A9" w:rsidR="00741F7E" w:rsidRPr="00E62551" w:rsidRDefault="00741F7E" w:rsidP="00635EF3">
            <w:pPr>
              <w:pStyle w:val="Tabletext"/>
              <w:jc w:val="center"/>
              <w:rPr>
                <w:sz w:val="20"/>
              </w:rPr>
            </w:pPr>
            <w:r w:rsidRPr="00E62551">
              <w:rPr>
                <w:sz w:val="20"/>
              </w:rPr>
              <w:t>xx</w:t>
            </w:r>
          </w:p>
        </w:tc>
        <w:tc>
          <w:tcPr>
            <w:tcW w:w="1418" w:type="dxa"/>
            <w:noWrap/>
            <w:hideMark/>
          </w:tcPr>
          <w:p w14:paraId="716344A6" w14:textId="30C92493" w:rsidR="00741F7E" w:rsidRPr="00E62551" w:rsidRDefault="00741F7E" w:rsidP="00635EF3">
            <w:pPr>
              <w:pStyle w:val="Tabletext"/>
              <w:jc w:val="center"/>
              <w:rPr>
                <w:sz w:val="20"/>
              </w:rPr>
            </w:pPr>
            <w:r w:rsidRPr="00E62551">
              <w:rPr>
                <w:sz w:val="20"/>
              </w:rPr>
              <w:t>xx</w:t>
            </w:r>
          </w:p>
        </w:tc>
        <w:tc>
          <w:tcPr>
            <w:tcW w:w="1098" w:type="dxa"/>
            <w:noWrap/>
            <w:hideMark/>
          </w:tcPr>
          <w:p w14:paraId="084D88F9" w14:textId="2F8CEE80" w:rsidR="00741F7E" w:rsidRPr="00E62551" w:rsidRDefault="00741F7E" w:rsidP="00635EF3">
            <w:pPr>
              <w:pStyle w:val="Tabletext"/>
              <w:jc w:val="center"/>
              <w:rPr>
                <w:sz w:val="20"/>
              </w:rPr>
            </w:pPr>
            <w:r w:rsidRPr="00E62551">
              <w:rPr>
                <w:sz w:val="20"/>
              </w:rPr>
              <w:t>xx</w:t>
            </w:r>
          </w:p>
        </w:tc>
      </w:tr>
      <w:tr w:rsidR="00635EF3" w:rsidRPr="00E62551" w14:paraId="6C60EAE2" w14:textId="77777777" w:rsidTr="00E62551">
        <w:trPr>
          <w:trHeight w:val="20"/>
        </w:trPr>
        <w:tc>
          <w:tcPr>
            <w:tcW w:w="704" w:type="dxa"/>
            <w:noWrap/>
            <w:hideMark/>
          </w:tcPr>
          <w:p w14:paraId="22074DA8" w14:textId="77777777" w:rsidR="00741F7E" w:rsidRPr="00E62551" w:rsidRDefault="00741F7E" w:rsidP="00635EF3">
            <w:pPr>
              <w:pStyle w:val="Tabletext"/>
              <w:rPr>
                <w:sz w:val="20"/>
              </w:rPr>
            </w:pPr>
            <w:r w:rsidRPr="00E62551">
              <w:rPr>
                <w:sz w:val="20"/>
              </w:rPr>
              <w:t>2023</w:t>
            </w:r>
          </w:p>
        </w:tc>
        <w:tc>
          <w:tcPr>
            <w:tcW w:w="1701" w:type="dxa"/>
          </w:tcPr>
          <w:p w14:paraId="0D3ADCCF" w14:textId="77777777" w:rsidR="00741F7E" w:rsidRPr="00E62551" w:rsidRDefault="00741F7E" w:rsidP="00635EF3">
            <w:pPr>
              <w:pStyle w:val="Tabletext"/>
              <w:rPr>
                <w:sz w:val="20"/>
              </w:rPr>
            </w:pPr>
            <w:r w:rsidRPr="00E62551">
              <w:rPr>
                <w:rFonts w:eastAsia="MS Mincho"/>
                <w:sz w:val="20"/>
              </w:rPr>
              <w:t>Trinidad and Tobago</w:t>
            </w:r>
          </w:p>
        </w:tc>
        <w:tc>
          <w:tcPr>
            <w:tcW w:w="1276" w:type="dxa"/>
            <w:noWrap/>
            <w:hideMark/>
          </w:tcPr>
          <w:p w14:paraId="26359C36" w14:textId="4CA668D6" w:rsidR="00741F7E" w:rsidRPr="00E62551" w:rsidRDefault="00741F7E" w:rsidP="00635EF3">
            <w:pPr>
              <w:pStyle w:val="Tabletext"/>
              <w:jc w:val="center"/>
              <w:rPr>
                <w:sz w:val="20"/>
              </w:rPr>
            </w:pPr>
            <w:r w:rsidRPr="00E62551">
              <w:rPr>
                <w:sz w:val="20"/>
              </w:rPr>
              <w:t>xx</w:t>
            </w:r>
          </w:p>
        </w:tc>
        <w:tc>
          <w:tcPr>
            <w:tcW w:w="1417" w:type="dxa"/>
            <w:noWrap/>
            <w:hideMark/>
          </w:tcPr>
          <w:p w14:paraId="71B68121" w14:textId="2710A665" w:rsidR="00741F7E" w:rsidRPr="00E62551" w:rsidRDefault="00741F7E" w:rsidP="00635EF3">
            <w:pPr>
              <w:pStyle w:val="Tabletext"/>
              <w:jc w:val="center"/>
              <w:rPr>
                <w:sz w:val="20"/>
              </w:rPr>
            </w:pPr>
            <w:r w:rsidRPr="00E62551">
              <w:rPr>
                <w:sz w:val="20"/>
              </w:rPr>
              <w:t>xx</w:t>
            </w:r>
          </w:p>
        </w:tc>
        <w:tc>
          <w:tcPr>
            <w:tcW w:w="1276" w:type="dxa"/>
            <w:noWrap/>
            <w:hideMark/>
          </w:tcPr>
          <w:p w14:paraId="0184D411" w14:textId="44CC4390" w:rsidR="00741F7E" w:rsidRPr="00E62551" w:rsidRDefault="00741F7E" w:rsidP="00635EF3">
            <w:pPr>
              <w:pStyle w:val="Tabletext"/>
              <w:jc w:val="center"/>
              <w:rPr>
                <w:sz w:val="20"/>
              </w:rPr>
            </w:pPr>
            <w:r w:rsidRPr="00E62551">
              <w:rPr>
                <w:sz w:val="20"/>
              </w:rPr>
              <w:t>xx</w:t>
            </w:r>
          </w:p>
        </w:tc>
        <w:tc>
          <w:tcPr>
            <w:tcW w:w="1403" w:type="dxa"/>
            <w:noWrap/>
            <w:hideMark/>
          </w:tcPr>
          <w:p w14:paraId="5FC83411" w14:textId="6B48C11A" w:rsidR="00741F7E" w:rsidRPr="00E62551" w:rsidRDefault="00741F7E" w:rsidP="00635EF3">
            <w:pPr>
              <w:pStyle w:val="Tabletext"/>
              <w:jc w:val="center"/>
              <w:rPr>
                <w:sz w:val="20"/>
              </w:rPr>
            </w:pPr>
            <w:r w:rsidRPr="00E62551">
              <w:rPr>
                <w:sz w:val="20"/>
              </w:rPr>
              <w:t>xx</w:t>
            </w:r>
          </w:p>
        </w:tc>
        <w:tc>
          <w:tcPr>
            <w:tcW w:w="1290" w:type="dxa"/>
            <w:noWrap/>
            <w:hideMark/>
          </w:tcPr>
          <w:p w14:paraId="1E824A3E" w14:textId="612501D2" w:rsidR="00741F7E" w:rsidRPr="00E62551" w:rsidRDefault="00741F7E" w:rsidP="00635EF3">
            <w:pPr>
              <w:pStyle w:val="Tabletext"/>
              <w:jc w:val="center"/>
              <w:rPr>
                <w:sz w:val="20"/>
              </w:rPr>
            </w:pPr>
            <w:r w:rsidRPr="00E62551">
              <w:rPr>
                <w:sz w:val="20"/>
              </w:rPr>
              <w:t>xx</w:t>
            </w:r>
          </w:p>
        </w:tc>
        <w:tc>
          <w:tcPr>
            <w:tcW w:w="1418" w:type="dxa"/>
            <w:noWrap/>
            <w:hideMark/>
          </w:tcPr>
          <w:p w14:paraId="0766F834" w14:textId="63C3CD66" w:rsidR="00741F7E" w:rsidRPr="00E62551" w:rsidRDefault="00741F7E" w:rsidP="00635EF3">
            <w:pPr>
              <w:pStyle w:val="Tabletext"/>
              <w:jc w:val="center"/>
              <w:rPr>
                <w:sz w:val="20"/>
              </w:rPr>
            </w:pPr>
            <w:r w:rsidRPr="00E62551">
              <w:rPr>
                <w:sz w:val="20"/>
              </w:rPr>
              <w:t>xx</w:t>
            </w:r>
          </w:p>
        </w:tc>
        <w:tc>
          <w:tcPr>
            <w:tcW w:w="1559" w:type="dxa"/>
            <w:noWrap/>
            <w:hideMark/>
          </w:tcPr>
          <w:p w14:paraId="144CA7E7" w14:textId="69ABA269" w:rsidR="00741F7E" w:rsidRPr="00E62551" w:rsidRDefault="00741F7E" w:rsidP="00635EF3">
            <w:pPr>
              <w:pStyle w:val="Tabletext"/>
              <w:jc w:val="center"/>
              <w:rPr>
                <w:sz w:val="20"/>
              </w:rPr>
            </w:pPr>
            <w:r w:rsidRPr="00E62551">
              <w:rPr>
                <w:sz w:val="20"/>
              </w:rPr>
              <w:t>xx</w:t>
            </w:r>
          </w:p>
        </w:tc>
        <w:tc>
          <w:tcPr>
            <w:tcW w:w="1418" w:type="dxa"/>
            <w:noWrap/>
            <w:hideMark/>
          </w:tcPr>
          <w:p w14:paraId="5BD2078F" w14:textId="7882869C" w:rsidR="00741F7E" w:rsidRPr="00E62551" w:rsidRDefault="00741F7E" w:rsidP="00635EF3">
            <w:pPr>
              <w:pStyle w:val="Tabletext"/>
              <w:jc w:val="center"/>
              <w:rPr>
                <w:sz w:val="20"/>
              </w:rPr>
            </w:pPr>
            <w:r w:rsidRPr="00E62551">
              <w:rPr>
                <w:sz w:val="20"/>
              </w:rPr>
              <w:t>xx</w:t>
            </w:r>
          </w:p>
        </w:tc>
        <w:tc>
          <w:tcPr>
            <w:tcW w:w="1098" w:type="dxa"/>
            <w:noWrap/>
            <w:hideMark/>
          </w:tcPr>
          <w:p w14:paraId="2378CD19" w14:textId="4273012A" w:rsidR="00741F7E" w:rsidRPr="00E62551" w:rsidRDefault="00741F7E" w:rsidP="00635EF3">
            <w:pPr>
              <w:pStyle w:val="Tabletext"/>
              <w:jc w:val="center"/>
              <w:rPr>
                <w:sz w:val="20"/>
              </w:rPr>
            </w:pPr>
            <w:r w:rsidRPr="00E62551">
              <w:rPr>
                <w:sz w:val="20"/>
              </w:rPr>
              <w:t>xx</w:t>
            </w:r>
          </w:p>
        </w:tc>
      </w:tr>
      <w:tr w:rsidR="00635EF3" w:rsidRPr="00E62551" w14:paraId="0FFBF673" w14:textId="77777777" w:rsidTr="00E62551">
        <w:trPr>
          <w:trHeight w:val="20"/>
        </w:trPr>
        <w:tc>
          <w:tcPr>
            <w:tcW w:w="704" w:type="dxa"/>
            <w:noWrap/>
          </w:tcPr>
          <w:p w14:paraId="5D1FBFC9" w14:textId="77777777" w:rsidR="00741F7E" w:rsidRPr="00E62551" w:rsidRDefault="00741F7E" w:rsidP="00635EF3">
            <w:pPr>
              <w:pStyle w:val="Tabletext"/>
              <w:rPr>
                <w:sz w:val="20"/>
              </w:rPr>
            </w:pPr>
            <w:r w:rsidRPr="00E62551">
              <w:rPr>
                <w:sz w:val="20"/>
              </w:rPr>
              <w:t xml:space="preserve">2023 </w:t>
            </w:r>
          </w:p>
        </w:tc>
        <w:tc>
          <w:tcPr>
            <w:tcW w:w="1701" w:type="dxa"/>
          </w:tcPr>
          <w:p w14:paraId="260D5A36" w14:textId="77777777" w:rsidR="00741F7E" w:rsidRPr="00E62551" w:rsidRDefault="00741F7E" w:rsidP="00635EF3">
            <w:pPr>
              <w:pStyle w:val="Tabletext"/>
              <w:rPr>
                <w:sz w:val="20"/>
              </w:rPr>
            </w:pPr>
            <w:r w:rsidRPr="00E62551">
              <w:rPr>
                <w:rFonts w:eastAsia="MS Mincho"/>
                <w:sz w:val="20"/>
              </w:rPr>
              <w:t>Trinidad and Tobago</w:t>
            </w:r>
          </w:p>
        </w:tc>
        <w:tc>
          <w:tcPr>
            <w:tcW w:w="1276" w:type="dxa"/>
            <w:noWrap/>
          </w:tcPr>
          <w:p w14:paraId="694A9B70" w14:textId="510070B6" w:rsidR="00741F7E" w:rsidRPr="00E62551" w:rsidRDefault="00741F7E" w:rsidP="00635EF3">
            <w:pPr>
              <w:pStyle w:val="Tabletext"/>
              <w:jc w:val="center"/>
              <w:rPr>
                <w:sz w:val="20"/>
              </w:rPr>
            </w:pPr>
            <w:r w:rsidRPr="00E62551">
              <w:rPr>
                <w:sz w:val="20"/>
              </w:rPr>
              <w:t>xx</w:t>
            </w:r>
          </w:p>
        </w:tc>
        <w:tc>
          <w:tcPr>
            <w:tcW w:w="1417" w:type="dxa"/>
            <w:noWrap/>
          </w:tcPr>
          <w:p w14:paraId="6E39FF03" w14:textId="18F0E8C3" w:rsidR="00741F7E" w:rsidRPr="00E62551" w:rsidRDefault="00741F7E" w:rsidP="00635EF3">
            <w:pPr>
              <w:pStyle w:val="Tabletext"/>
              <w:jc w:val="center"/>
              <w:rPr>
                <w:sz w:val="20"/>
              </w:rPr>
            </w:pPr>
            <w:r w:rsidRPr="00E62551">
              <w:rPr>
                <w:sz w:val="20"/>
              </w:rPr>
              <w:t>xx</w:t>
            </w:r>
          </w:p>
        </w:tc>
        <w:tc>
          <w:tcPr>
            <w:tcW w:w="1276" w:type="dxa"/>
            <w:noWrap/>
          </w:tcPr>
          <w:p w14:paraId="41F90270" w14:textId="6D1E30DE" w:rsidR="00741F7E" w:rsidRPr="00E62551" w:rsidRDefault="00741F7E" w:rsidP="00635EF3">
            <w:pPr>
              <w:pStyle w:val="Tabletext"/>
              <w:jc w:val="center"/>
              <w:rPr>
                <w:sz w:val="20"/>
              </w:rPr>
            </w:pPr>
            <w:r w:rsidRPr="00E62551">
              <w:rPr>
                <w:sz w:val="20"/>
              </w:rPr>
              <w:t>xx</w:t>
            </w:r>
          </w:p>
        </w:tc>
        <w:tc>
          <w:tcPr>
            <w:tcW w:w="1403" w:type="dxa"/>
            <w:noWrap/>
          </w:tcPr>
          <w:p w14:paraId="08DF4F58" w14:textId="3A459F0C" w:rsidR="00741F7E" w:rsidRPr="00E62551" w:rsidRDefault="00741F7E" w:rsidP="00635EF3">
            <w:pPr>
              <w:pStyle w:val="Tabletext"/>
              <w:jc w:val="center"/>
              <w:rPr>
                <w:sz w:val="20"/>
              </w:rPr>
            </w:pPr>
            <w:r w:rsidRPr="00E62551">
              <w:rPr>
                <w:sz w:val="20"/>
              </w:rPr>
              <w:t>xx</w:t>
            </w:r>
          </w:p>
        </w:tc>
        <w:tc>
          <w:tcPr>
            <w:tcW w:w="1290" w:type="dxa"/>
            <w:noWrap/>
          </w:tcPr>
          <w:p w14:paraId="79F38F79" w14:textId="1BF36681" w:rsidR="00741F7E" w:rsidRPr="00E62551" w:rsidRDefault="00741F7E" w:rsidP="00635EF3">
            <w:pPr>
              <w:pStyle w:val="Tabletext"/>
              <w:jc w:val="center"/>
              <w:rPr>
                <w:sz w:val="20"/>
              </w:rPr>
            </w:pPr>
            <w:r w:rsidRPr="00E62551">
              <w:rPr>
                <w:sz w:val="20"/>
              </w:rPr>
              <w:t>xx</w:t>
            </w:r>
          </w:p>
        </w:tc>
        <w:tc>
          <w:tcPr>
            <w:tcW w:w="1418" w:type="dxa"/>
            <w:noWrap/>
          </w:tcPr>
          <w:p w14:paraId="0FD4111E" w14:textId="63B01FDA" w:rsidR="00741F7E" w:rsidRPr="00E62551" w:rsidRDefault="00741F7E" w:rsidP="00635EF3">
            <w:pPr>
              <w:pStyle w:val="Tabletext"/>
              <w:jc w:val="center"/>
              <w:rPr>
                <w:sz w:val="20"/>
              </w:rPr>
            </w:pPr>
            <w:r w:rsidRPr="00E62551">
              <w:rPr>
                <w:sz w:val="20"/>
              </w:rPr>
              <w:t>xx</w:t>
            </w:r>
          </w:p>
        </w:tc>
        <w:tc>
          <w:tcPr>
            <w:tcW w:w="1559" w:type="dxa"/>
            <w:noWrap/>
          </w:tcPr>
          <w:p w14:paraId="55A15EA0" w14:textId="76C2E8DA" w:rsidR="00741F7E" w:rsidRPr="00E62551" w:rsidRDefault="00741F7E" w:rsidP="00635EF3">
            <w:pPr>
              <w:pStyle w:val="Tabletext"/>
              <w:jc w:val="center"/>
              <w:rPr>
                <w:sz w:val="20"/>
              </w:rPr>
            </w:pPr>
            <w:r w:rsidRPr="00E62551">
              <w:rPr>
                <w:sz w:val="20"/>
              </w:rPr>
              <w:t>xx</w:t>
            </w:r>
          </w:p>
        </w:tc>
        <w:tc>
          <w:tcPr>
            <w:tcW w:w="1418" w:type="dxa"/>
            <w:noWrap/>
          </w:tcPr>
          <w:p w14:paraId="2AB7F8D7" w14:textId="2E6BDA4C" w:rsidR="00741F7E" w:rsidRPr="00E62551" w:rsidRDefault="00741F7E" w:rsidP="00635EF3">
            <w:pPr>
              <w:pStyle w:val="Tabletext"/>
              <w:jc w:val="center"/>
              <w:rPr>
                <w:sz w:val="20"/>
              </w:rPr>
            </w:pPr>
            <w:r w:rsidRPr="00E62551">
              <w:rPr>
                <w:sz w:val="20"/>
              </w:rPr>
              <w:t>xx</w:t>
            </w:r>
          </w:p>
        </w:tc>
        <w:tc>
          <w:tcPr>
            <w:tcW w:w="1098" w:type="dxa"/>
            <w:noWrap/>
          </w:tcPr>
          <w:p w14:paraId="6ED22C57" w14:textId="7AA26D0C" w:rsidR="00741F7E" w:rsidRPr="00E62551" w:rsidRDefault="00741F7E" w:rsidP="00635EF3">
            <w:pPr>
              <w:pStyle w:val="Tabletext"/>
              <w:jc w:val="center"/>
              <w:rPr>
                <w:sz w:val="20"/>
              </w:rPr>
            </w:pPr>
            <w:r w:rsidRPr="00E62551">
              <w:rPr>
                <w:sz w:val="20"/>
              </w:rPr>
              <w:t>xx</w:t>
            </w:r>
          </w:p>
        </w:tc>
      </w:tr>
    </w:tbl>
    <w:p w14:paraId="502A6288" w14:textId="77777777" w:rsidR="00741F7E" w:rsidRDefault="00741F7E" w:rsidP="00741F7E">
      <w:pPr>
        <w:rPr>
          <w:b/>
          <w:bCs/>
          <w:szCs w:val="24"/>
        </w:rPr>
      </w:pPr>
    </w:p>
    <w:p w14:paraId="0512E38F" w14:textId="5D1B4FF8" w:rsidR="00044DBA" w:rsidRDefault="00044DBA" w:rsidP="00741F7E">
      <w:pPr>
        <w:spacing w:before="0"/>
        <w:rPr>
          <w:b/>
          <w:bCs/>
          <w:szCs w:val="24"/>
        </w:rPr>
      </w:pPr>
      <w:r>
        <w:rPr>
          <w:b/>
          <w:bCs/>
          <w:szCs w:val="24"/>
        </w:rPr>
        <w:br w:type="page"/>
      </w:r>
    </w:p>
    <w:tbl>
      <w:tblPr>
        <w:tblStyle w:val="TableGrid"/>
        <w:tblW w:w="14459" w:type="dxa"/>
        <w:tblLayout w:type="fixed"/>
        <w:tblLook w:val="04A0" w:firstRow="1" w:lastRow="0" w:firstColumn="1" w:lastColumn="0" w:noHBand="0" w:noVBand="1"/>
      </w:tblPr>
      <w:tblGrid>
        <w:gridCol w:w="699"/>
        <w:gridCol w:w="1689"/>
        <w:gridCol w:w="1267"/>
        <w:gridCol w:w="1140"/>
        <w:gridCol w:w="1201"/>
        <w:gridCol w:w="1201"/>
        <w:gridCol w:w="1546"/>
        <w:gridCol w:w="1380"/>
        <w:gridCol w:w="1351"/>
        <w:gridCol w:w="1206"/>
        <w:gridCol w:w="1779"/>
      </w:tblGrid>
      <w:tr w:rsidR="00741F7E" w:rsidRPr="00E62551" w14:paraId="6C374F7A" w14:textId="77777777" w:rsidTr="00E62551">
        <w:trPr>
          <w:trHeight w:val="20"/>
        </w:trPr>
        <w:tc>
          <w:tcPr>
            <w:tcW w:w="704" w:type="dxa"/>
            <w:noWrap/>
            <w:hideMark/>
          </w:tcPr>
          <w:p w14:paraId="54977F74" w14:textId="77777777" w:rsidR="00741F7E" w:rsidRPr="00E62551" w:rsidRDefault="00741F7E" w:rsidP="00044DBA">
            <w:pPr>
              <w:pStyle w:val="Tablehead"/>
              <w:rPr>
                <w:sz w:val="20"/>
              </w:rPr>
            </w:pPr>
            <w:r w:rsidRPr="00E62551">
              <w:rPr>
                <w:sz w:val="20"/>
              </w:rPr>
              <w:lastRenderedPageBreak/>
              <w:t>Year</w:t>
            </w:r>
          </w:p>
        </w:tc>
        <w:tc>
          <w:tcPr>
            <w:tcW w:w="1701" w:type="dxa"/>
            <w:noWrap/>
            <w:hideMark/>
          </w:tcPr>
          <w:p w14:paraId="5301748F" w14:textId="77777777" w:rsidR="00741F7E" w:rsidRPr="00E62551" w:rsidRDefault="00741F7E" w:rsidP="00044DBA">
            <w:pPr>
              <w:pStyle w:val="Tablehead"/>
              <w:rPr>
                <w:rFonts w:eastAsia="MS Mincho"/>
                <w:sz w:val="20"/>
              </w:rPr>
            </w:pPr>
            <w:r w:rsidRPr="00E62551">
              <w:rPr>
                <w:rFonts w:eastAsia="MS Mincho"/>
                <w:sz w:val="20"/>
              </w:rPr>
              <w:t>Country</w:t>
            </w:r>
          </w:p>
        </w:tc>
        <w:tc>
          <w:tcPr>
            <w:tcW w:w="1276" w:type="dxa"/>
          </w:tcPr>
          <w:p w14:paraId="79E16F9B" w14:textId="77777777" w:rsidR="00741F7E" w:rsidRPr="00E62551" w:rsidRDefault="00741F7E" w:rsidP="00044DBA">
            <w:pPr>
              <w:pStyle w:val="Tablehead"/>
              <w:rPr>
                <w:sz w:val="20"/>
              </w:rPr>
            </w:pPr>
            <w:r w:rsidRPr="00E62551">
              <w:rPr>
                <w:rFonts w:eastAsia="MS Mincho"/>
                <w:sz w:val="20"/>
              </w:rPr>
              <w:t>19</w:t>
            </w:r>
          </w:p>
        </w:tc>
        <w:tc>
          <w:tcPr>
            <w:tcW w:w="1148" w:type="dxa"/>
            <w:noWrap/>
            <w:hideMark/>
          </w:tcPr>
          <w:p w14:paraId="58838F75" w14:textId="77777777" w:rsidR="00741F7E" w:rsidRPr="00E62551" w:rsidRDefault="00741F7E" w:rsidP="00044DBA">
            <w:pPr>
              <w:pStyle w:val="Tablehead"/>
              <w:rPr>
                <w:rFonts w:eastAsia="MS Mincho"/>
                <w:sz w:val="20"/>
              </w:rPr>
            </w:pPr>
            <w:r w:rsidRPr="00E62551">
              <w:rPr>
                <w:rFonts w:eastAsia="MS Mincho"/>
                <w:sz w:val="20"/>
              </w:rPr>
              <w:t>20</w:t>
            </w:r>
          </w:p>
        </w:tc>
        <w:tc>
          <w:tcPr>
            <w:tcW w:w="1209" w:type="dxa"/>
            <w:noWrap/>
            <w:hideMark/>
          </w:tcPr>
          <w:p w14:paraId="4A2368F9" w14:textId="77777777" w:rsidR="00741F7E" w:rsidRPr="00E62551" w:rsidRDefault="00741F7E" w:rsidP="00044DBA">
            <w:pPr>
              <w:pStyle w:val="Tablehead"/>
              <w:rPr>
                <w:rFonts w:eastAsia="MS Mincho"/>
                <w:sz w:val="20"/>
              </w:rPr>
            </w:pPr>
            <w:r w:rsidRPr="00E62551">
              <w:rPr>
                <w:rFonts w:eastAsia="MS Mincho"/>
                <w:sz w:val="20"/>
              </w:rPr>
              <w:t>21</w:t>
            </w:r>
          </w:p>
        </w:tc>
        <w:tc>
          <w:tcPr>
            <w:tcW w:w="1209" w:type="dxa"/>
            <w:noWrap/>
            <w:hideMark/>
          </w:tcPr>
          <w:p w14:paraId="4B7F00C2" w14:textId="77777777" w:rsidR="00741F7E" w:rsidRPr="00E62551" w:rsidRDefault="00741F7E" w:rsidP="00044DBA">
            <w:pPr>
              <w:pStyle w:val="Tablehead"/>
              <w:rPr>
                <w:rFonts w:eastAsia="MS Mincho"/>
                <w:sz w:val="20"/>
              </w:rPr>
            </w:pPr>
            <w:r w:rsidRPr="00E62551">
              <w:rPr>
                <w:rFonts w:eastAsia="MS Mincho"/>
                <w:sz w:val="20"/>
              </w:rPr>
              <w:t>22</w:t>
            </w:r>
          </w:p>
        </w:tc>
        <w:tc>
          <w:tcPr>
            <w:tcW w:w="1557" w:type="dxa"/>
            <w:noWrap/>
            <w:hideMark/>
          </w:tcPr>
          <w:p w14:paraId="624CE652" w14:textId="77777777" w:rsidR="00741F7E" w:rsidRPr="00E62551" w:rsidRDefault="00741F7E" w:rsidP="00044DBA">
            <w:pPr>
              <w:pStyle w:val="Tablehead"/>
              <w:rPr>
                <w:rFonts w:eastAsia="MS Mincho"/>
                <w:sz w:val="20"/>
              </w:rPr>
            </w:pPr>
            <w:r w:rsidRPr="00E62551">
              <w:rPr>
                <w:rFonts w:eastAsia="MS Mincho"/>
                <w:sz w:val="20"/>
              </w:rPr>
              <w:t>23</w:t>
            </w:r>
          </w:p>
        </w:tc>
        <w:tc>
          <w:tcPr>
            <w:tcW w:w="1390" w:type="dxa"/>
            <w:noWrap/>
            <w:hideMark/>
          </w:tcPr>
          <w:p w14:paraId="3B2CBB72" w14:textId="77777777" w:rsidR="00741F7E" w:rsidRPr="00E62551" w:rsidRDefault="00741F7E" w:rsidP="00044DBA">
            <w:pPr>
              <w:pStyle w:val="Tablehead"/>
              <w:rPr>
                <w:rFonts w:eastAsia="MS Mincho"/>
                <w:sz w:val="20"/>
              </w:rPr>
            </w:pPr>
            <w:r w:rsidRPr="00E62551">
              <w:rPr>
                <w:rFonts w:eastAsia="MS Mincho"/>
                <w:sz w:val="20"/>
              </w:rPr>
              <w:t>24</w:t>
            </w:r>
          </w:p>
        </w:tc>
        <w:tc>
          <w:tcPr>
            <w:tcW w:w="1360" w:type="dxa"/>
            <w:noWrap/>
            <w:hideMark/>
          </w:tcPr>
          <w:p w14:paraId="3E1FCE38" w14:textId="77777777" w:rsidR="00741F7E" w:rsidRPr="00E62551" w:rsidRDefault="00741F7E" w:rsidP="00044DBA">
            <w:pPr>
              <w:pStyle w:val="Tablehead"/>
              <w:rPr>
                <w:rFonts w:eastAsia="MS Mincho"/>
                <w:sz w:val="20"/>
              </w:rPr>
            </w:pPr>
            <w:r w:rsidRPr="00E62551">
              <w:rPr>
                <w:rFonts w:eastAsia="MS Mincho"/>
                <w:sz w:val="20"/>
              </w:rPr>
              <w:t>25</w:t>
            </w:r>
          </w:p>
        </w:tc>
        <w:tc>
          <w:tcPr>
            <w:tcW w:w="1214" w:type="dxa"/>
            <w:noWrap/>
            <w:hideMark/>
          </w:tcPr>
          <w:p w14:paraId="653710F5" w14:textId="77777777" w:rsidR="00741F7E" w:rsidRPr="00E62551" w:rsidRDefault="00741F7E" w:rsidP="00044DBA">
            <w:pPr>
              <w:pStyle w:val="Tablehead"/>
              <w:rPr>
                <w:rFonts w:eastAsia="MS Mincho"/>
                <w:sz w:val="20"/>
              </w:rPr>
            </w:pPr>
            <w:r w:rsidRPr="00E62551">
              <w:rPr>
                <w:rFonts w:eastAsia="MS Mincho"/>
                <w:sz w:val="20"/>
              </w:rPr>
              <w:t>26</w:t>
            </w:r>
          </w:p>
        </w:tc>
        <w:tc>
          <w:tcPr>
            <w:tcW w:w="1792" w:type="dxa"/>
            <w:noWrap/>
            <w:hideMark/>
          </w:tcPr>
          <w:p w14:paraId="0C92864F" w14:textId="77777777" w:rsidR="00741F7E" w:rsidRPr="00E62551" w:rsidRDefault="00741F7E" w:rsidP="00044DBA">
            <w:pPr>
              <w:pStyle w:val="Tablehead"/>
              <w:rPr>
                <w:rFonts w:eastAsia="MS Mincho"/>
                <w:sz w:val="20"/>
              </w:rPr>
            </w:pPr>
            <w:r w:rsidRPr="00E62551">
              <w:rPr>
                <w:rFonts w:eastAsia="MS Mincho"/>
                <w:sz w:val="20"/>
              </w:rPr>
              <w:t>27</w:t>
            </w:r>
          </w:p>
        </w:tc>
      </w:tr>
      <w:tr w:rsidR="00741F7E" w:rsidRPr="00E62551" w14:paraId="1F8EB51E" w14:textId="77777777" w:rsidTr="00E62551">
        <w:trPr>
          <w:trHeight w:val="20"/>
        </w:trPr>
        <w:tc>
          <w:tcPr>
            <w:tcW w:w="704" w:type="dxa"/>
            <w:noWrap/>
            <w:hideMark/>
          </w:tcPr>
          <w:p w14:paraId="20F0DFCD" w14:textId="77777777" w:rsidR="00741F7E" w:rsidRPr="00E62551" w:rsidRDefault="00741F7E" w:rsidP="00044DBA">
            <w:pPr>
              <w:pStyle w:val="Tablehead"/>
              <w:rPr>
                <w:rFonts w:eastAsia="MS Mincho"/>
                <w:sz w:val="20"/>
              </w:rPr>
            </w:pPr>
            <w:r w:rsidRPr="00E62551">
              <w:rPr>
                <w:rFonts w:eastAsia="MS Mincho"/>
                <w:sz w:val="20"/>
              </w:rPr>
              <w:t> </w:t>
            </w:r>
          </w:p>
        </w:tc>
        <w:tc>
          <w:tcPr>
            <w:tcW w:w="1701" w:type="dxa"/>
            <w:noWrap/>
            <w:hideMark/>
          </w:tcPr>
          <w:p w14:paraId="53C68547" w14:textId="77777777" w:rsidR="00741F7E" w:rsidRPr="00E62551" w:rsidRDefault="00741F7E" w:rsidP="00044DBA">
            <w:pPr>
              <w:pStyle w:val="Tablehead"/>
              <w:rPr>
                <w:rFonts w:eastAsia="MS Mincho"/>
                <w:sz w:val="20"/>
              </w:rPr>
            </w:pPr>
            <w:r w:rsidRPr="00E62551">
              <w:rPr>
                <w:rFonts w:eastAsia="MS Mincho"/>
                <w:sz w:val="20"/>
              </w:rPr>
              <w:t>Indicator</w:t>
            </w:r>
          </w:p>
        </w:tc>
        <w:tc>
          <w:tcPr>
            <w:tcW w:w="1276" w:type="dxa"/>
          </w:tcPr>
          <w:p w14:paraId="01F3CB6A" w14:textId="4472B387" w:rsidR="00741F7E" w:rsidRPr="00E62551" w:rsidRDefault="00741F7E" w:rsidP="00044DBA">
            <w:pPr>
              <w:pStyle w:val="Tablehead"/>
              <w:rPr>
                <w:sz w:val="20"/>
              </w:rPr>
            </w:pPr>
            <w:r w:rsidRPr="00E62551">
              <w:rPr>
                <w:rFonts w:eastAsia="MS Mincho"/>
                <w:sz w:val="20"/>
              </w:rPr>
              <w:t xml:space="preserve">OTT </w:t>
            </w:r>
            <w:r w:rsidR="001D3F7F" w:rsidRPr="00E62551">
              <w:rPr>
                <w:rFonts w:eastAsia="MS Mincho"/>
                <w:sz w:val="20"/>
              </w:rPr>
              <w:t>r</w:t>
            </w:r>
            <w:r w:rsidRPr="00E62551">
              <w:rPr>
                <w:rFonts w:eastAsia="MS Mincho"/>
                <w:sz w:val="20"/>
              </w:rPr>
              <w:t>evenue</w:t>
            </w:r>
          </w:p>
        </w:tc>
        <w:tc>
          <w:tcPr>
            <w:tcW w:w="1148" w:type="dxa"/>
            <w:noWrap/>
            <w:hideMark/>
          </w:tcPr>
          <w:p w14:paraId="00CF5417" w14:textId="7F5E20C0" w:rsidR="00741F7E" w:rsidRPr="00E62551" w:rsidRDefault="00741F7E" w:rsidP="00044DBA">
            <w:pPr>
              <w:pStyle w:val="Tablehead"/>
              <w:rPr>
                <w:rFonts w:eastAsia="MS Mincho"/>
                <w:sz w:val="20"/>
              </w:rPr>
            </w:pPr>
            <w:r w:rsidRPr="00E62551">
              <w:rPr>
                <w:rFonts w:eastAsia="MS Mincho"/>
                <w:sz w:val="20"/>
              </w:rPr>
              <w:t xml:space="preserve">OTT </w:t>
            </w:r>
            <w:r w:rsidR="001D3F7F" w:rsidRPr="00E62551">
              <w:rPr>
                <w:rFonts w:eastAsia="MS Mincho"/>
                <w:sz w:val="20"/>
              </w:rPr>
              <w:t>r</w:t>
            </w:r>
            <w:r w:rsidRPr="00E62551">
              <w:rPr>
                <w:rFonts w:eastAsia="MS Mincho"/>
                <w:sz w:val="20"/>
              </w:rPr>
              <w:t>evenue</w:t>
            </w:r>
          </w:p>
        </w:tc>
        <w:tc>
          <w:tcPr>
            <w:tcW w:w="1209" w:type="dxa"/>
            <w:noWrap/>
            <w:hideMark/>
          </w:tcPr>
          <w:p w14:paraId="2CD99AC6" w14:textId="591B565E" w:rsidR="00741F7E" w:rsidRPr="00E62551" w:rsidRDefault="00741F7E" w:rsidP="00044DBA">
            <w:pPr>
              <w:pStyle w:val="Tablehead"/>
              <w:rPr>
                <w:rFonts w:eastAsia="MS Mincho"/>
                <w:sz w:val="20"/>
              </w:rPr>
            </w:pPr>
            <w:r w:rsidRPr="00E62551">
              <w:rPr>
                <w:rFonts w:eastAsia="MS Mincho"/>
                <w:sz w:val="20"/>
              </w:rPr>
              <w:t xml:space="preserve">OTT </w:t>
            </w:r>
            <w:r w:rsidR="001D3F7F" w:rsidRPr="00E62551">
              <w:rPr>
                <w:rFonts w:eastAsia="MS Mincho"/>
                <w:sz w:val="20"/>
              </w:rPr>
              <w:t>r</w:t>
            </w:r>
            <w:r w:rsidRPr="00E62551">
              <w:rPr>
                <w:rFonts w:eastAsia="MS Mincho"/>
                <w:sz w:val="20"/>
              </w:rPr>
              <w:t>evenue</w:t>
            </w:r>
          </w:p>
        </w:tc>
        <w:tc>
          <w:tcPr>
            <w:tcW w:w="1209" w:type="dxa"/>
            <w:noWrap/>
            <w:hideMark/>
          </w:tcPr>
          <w:p w14:paraId="3313730B" w14:textId="08CD2E4A" w:rsidR="00741F7E" w:rsidRPr="00E62551" w:rsidRDefault="00741F7E" w:rsidP="00044DBA">
            <w:pPr>
              <w:pStyle w:val="Tablehead"/>
              <w:rPr>
                <w:rFonts w:eastAsia="MS Mincho"/>
                <w:sz w:val="20"/>
              </w:rPr>
            </w:pPr>
            <w:r w:rsidRPr="00E62551">
              <w:rPr>
                <w:rFonts w:eastAsia="MS Mincho"/>
                <w:sz w:val="20"/>
              </w:rPr>
              <w:t xml:space="preserve">OTT </w:t>
            </w:r>
            <w:r w:rsidR="001D3F7F" w:rsidRPr="00E62551">
              <w:rPr>
                <w:rFonts w:eastAsia="MS Mincho"/>
                <w:sz w:val="20"/>
              </w:rPr>
              <w:t>r</w:t>
            </w:r>
            <w:r w:rsidRPr="00E62551">
              <w:rPr>
                <w:rFonts w:eastAsia="MS Mincho"/>
                <w:sz w:val="20"/>
              </w:rPr>
              <w:t>evenue</w:t>
            </w:r>
          </w:p>
        </w:tc>
        <w:tc>
          <w:tcPr>
            <w:tcW w:w="1557" w:type="dxa"/>
            <w:noWrap/>
            <w:hideMark/>
          </w:tcPr>
          <w:p w14:paraId="0C3140E2" w14:textId="42759411" w:rsidR="00741F7E" w:rsidRPr="00E62551" w:rsidRDefault="00741F7E" w:rsidP="00044DBA">
            <w:pPr>
              <w:pStyle w:val="Tablehead"/>
              <w:rPr>
                <w:rFonts w:eastAsia="MS Mincho"/>
                <w:sz w:val="20"/>
              </w:rPr>
            </w:pPr>
            <w:r w:rsidRPr="00E62551">
              <w:rPr>
                <w:rFonts w:eastAsia="MS Mincho"/>
                <w:sz w:val="20"/>
              </w:rPr>
              <w:t xml:space="preserve">OTT </w:t>
            </w:r>
            <w:r w:rsidR="00044DBA" w:rsidRPr="00E62551">
              <w:rPr>
                <w:rFonts w:eastAsia="MS Mincho"/>
                <w:sz w:val="20"/>
              </w:rPr>
              <w:br/>
            </w:r>
            <w:r w:rsidR="001D3F7F" w:rsidRPr="00E62551">
              <w:rPr>
                <w:rFonts w:eastAsia="MS Mincho"/>
                <w:sz w:val="20"/>
              </w:rPr>
              <w:t>r</w:t>
            </w:r>
            <w:r w:rsidRPr="00E62551">
              <w:rPr>
                <w:rFonts w:eastAsia="MS Mincho"/>
                <w:sz w:val="20"/>
              </w:rPr>
              <w:t>evenue</w:t>
            </w:r>
          </w:p>
        </w:tc>
        <w:tc>
          <w:tcPr>
            <w:tcW w:w="1390" w:type="dxa"/>
            <w:noWrap/>
            <w:hideMark/>
          </w:tcPr>
          <w:p w14:paraId="5892CBB2" w14:textId="33BE1915" w:rsidR="00741F7E" w:rsidRPr="00E62551" w:rsidRDefault="00741F7E" w:rsidP="00044DBA">
            <w:pPr>
              <w:pStyle w:val="Tablehead"/>
              <w:rPr>
                <w:rFonts w:eastAsia="MS Mincho"/>
                <w:sz w:val="20"/>
              </w:rPr>
            </w:pPr>
            <w:r w:rsidRPr="00E62551">
              <w:rPr>
                <w:rFonts w:eastAsia="MS Mincho"/>
                <w:sz w:val="20"/>
              </w:rPr>
              <w:t xml:space="preserve">OTT </w:t>
            </w:r>
            <w:r w:rsidR="001D3F7F" w:rsidRPr="00E62551">
              <w:rPr>
                <w:rFonts w:eastAsia="MS Mincho"/>
                <w:sz w:val="20"/>
              </w:rPr>
              <w:t>r</w:t>
            </w:r>
            <w:r w:rsidRPr="00E62551">
              <w:rPr>
                <w:rFonts w:eastAsia="MS Mincho"/>
                <w:sz w:val="20"/>
              </w:rPr>
              <w:t>evenue</w:t>
            </w:r>
          </w:p>
        </w:tc>
        <w:tc>
          <w:tcPr>
            <w:tcW w:w="1360" w:type="dxa"/>
            <w:noWrap/>
            <w:hideMark/>
          </w:tcPr>
          <w:p w14:paraId="129D4698" w14:textId="1ED50A5B" w:rsidR="00741F7E" w:rsidRPr="00E62551" w:rsidRDefault="00741F7E" w:rsidP="00044DBA">
            <w:pPr>
              <w:pStyle w:val="Tablehead"/>
              <w:rPr>
                <w:rFonts w:eastAsia="MS Mincho"/>
                <w:sz w:val="20"/>
              </w:rPr>
            </w:pPr>
            <w:r w:rsidRPr="00E62551">
              <w:rPr>
                <w:rFonts w:eastAsia="MS Mincho"/>
                <w:sz w:val="20"/>
              </w:rPr>
              <w:t xml:space="preserve">OTT </w:t>
            </w:r>
            <w:r w:rsidR="001D3F7F" w:rsidRPr="00E62551">
              <w:rPr>
                <w:rFonts w:eastAsia="MS Mincho"/>
                <w:sz w:val="20"/>
              </w:rPr>
              <w:t>r</w:t>
            </w:r>
            <w:r w:rsidRPr="00E62551">
              <w:rPr>
                <w:rFonts w:eastAsia="MS Mincho"/>
                <w:sz w:val="20"/>
              </w:rPr>
              <w:t>evenue</w:t>
            </w:r>
          </w:p>
        </w:tc>
        <w:tc>
          <w:tcPr>
            <w:tcW w:w="1214" w:type="dxa"/>
            <w:noWrap/>
            <w:hideMark/>
          </w:tcPr>
          <w:p w14:paraId="36A9E5A0" w14:textId="6DFB02B9" w:rsidR="00741F7E" w:rsidRPr="00E62551" w:rsidRDefault="00741F7E" w:rsidP="00044DBA">
            <w:pPr>
              <w:pStyle w:val="Tablehead"/>
              <w:rPr>
                <w:rFonts w:eastAsia="MS Mincho"/>
                <w:sz w:val="20"/>
              </w:rPr>
            </w:pPr>
            <w:r w:rsidRPr="00E62551">
              <w:rPr>
                <w:rFonts w:eastAsia="MS Mincho"/>
                <w:sz w:val="20"/>
              </w:rPr>
              <w:t xml:space="preserve">OTT </w:t>
            </w:r>
            <w:r w:rsidR="001D3F7F" w:rsidRPr="00E62551">
              <w:rPr>
                <w:rFonts w:eastAsia="MS Mincho"/>
                <w:sz w:val="20"/>
              </w:rPr>
              <w:t>r</w:t>
            </w:r>
            <w:r w:rsidRPr="00E62551">
              <w:rPr>
                <w:rFonts w:eastAsia="MS Mincho"/>
                <w:sz w:val="20"/>
              </w:rPr>
              <w:t>evenue</w:t>
            </w:r>
          </w:p>
        </w:tc>
        <w:tc>
          <w:tcPr>
            <w:tcW w:w="1792" w:type="dxa"/>
            <w:noWrap/>
            <w:hideMark/>
          </w:tcPr>
          <w:p w14:paraId="2EDAEBA4" w14:textId="51A45FDA" w:rsidR="00741F7E" w:rsidRPr="00E62551" w:rsidRDefault="00741F7E" w:rsidP="00044DBA">
            <w:pPr>
              <w:pStyle w:val="Tablehead"/>
              <w:rPr>
                <w:rFonts w:eastAsia="MS Mincho"/>
                <w:sz w:val="20"/>
              </w:rPr>
            </w:pPr>
            <w:r w:rsidRPr="00E62551">
              <w:rPr>
                <w:rFonts w:eastAsia="MS Mincho"/>
                <w:sz w:val="20"/>
              </w:rPr>
              <w:t xml:space="preserve">OTT </w:t>
            </w:r>
            <w:r w:rsidR="00044DBA" w:rsidRPr="00E62551">
              <w:rPr>
                <w:rFonts w:eastAsia="MS Mincho"/>
                <w:sz w:val="20"/>
              </w:rPr>
              <w:br/>
            </w:r>
            <w:r w:rsidR="00866CFA" w:rsidRPr="00E62551">
              <w:rPr>
                <w:rFonts w:eastAsia="MS Mincho"/>
                <w:sz w:val="20"/>
              </w:rPr>
              <w:t>r</w:t>
            </w:r>
            <w:r w:rsidRPr="00E62551">
              <w:rPr>
                <w:rFonts w:eastAsia="MS Mincho"/>
                <w:sz w:val="20"/>
              </w:rPr>
              <w:t>evenue</w:t>
            </w:r>
          </w:p>
        </w:tc>
      </w:tr>
      <w:tr w:rsidR="00741F7E" w:rsidRPr="00E62551" w14:paraId="43D3ABA6" w14:textId="77777777" w:rsidTr="00E62551">
        <w:trPr>
          <w:trHeight w:val="20"/>
        </w:trPr>
        <w:tc>
          <w:tcPr>
            <w:tcW w:w="704" w:type="dxa"/>
            <w:noWrap/>
            <w:hideMark/>
          </w:tcPr>
          <w:p w14:paraId="40C6FEC3" w14:textId="77777777" w:rsidR="00741F7E" w:rsidRPr="00E62551" w:rsidRDefault="00741F7E" w:rsidP="00044DBA">
            <w:pPr>
              <w:pStyle w:val="Tablehead"/>
              <w:rPr>
                <w:rFonts w:eastAsia="MS Mincho"/>
                <w:sz w:val="20"/>
              </w:rPr>
            </w:pPr>
            <w:r w:rsidRPr="00E62551">
              <w:rPr>
                <w:rFonts w:eastAsia="MS Mincho"/>
                <w:sz w:val="20"/>
              </w:rPr>
              <w:t> </w:t>
            </w:r>
          </w:p>
        </w:tc>
        <w:tc>
          <w:tcPr>
            <w:tcW w:w="1701" w:type="dxa"/>
            <w:noWrap/>
            <w:hideMark/>
          </w:tcPr>
          <w:p w14:paraId="2D2867E4" w14:textId="77777777" w:rsidR="00741F7E" w:rsidRPr="00E62551" w:rsidRDefault="00741F7E" w:rsidP="00044DBA">
            <w:pPr>
              <w:pStyle w:val="Tablehead"/>
              <w:rPr>
                <w:rFonts w:eastAsia="MS Mincho"/>
                <w:sz w:val="20"/>
              </w:rPr>
            </w:pPr>
            <w:r w:rsidRPr="00E62551">
              <w:rPr>
                <w:rFonts w:eastAsia="MS Mincho"/>
                <w:sz w:val="20"/>
              </w:rPr>
              <w:t>Description</w:t>
            </w:r>
          </w:p>
        </w:tc>
        <w:tc>
          <w:tcPr>
            <w:tcW w:w="1276" w:type="dxa"/>
          </w:tcPr>
          <w:p w14:paraId="022662A2" w14:textId="77777777" w:rsidR="00741F7E" w:rsidRPr="00E62551" w:rsidRDefault="00741F7E" w:rsidP="00044DBA">
            <w:pPr>
              <w:pStyle w:val="Tablehead"/>
              <w:rPr>
                <w:sz w:val="20"/>
              </w:rPr>
            </w:pPr>
            <w:r w:rsidRPr="00E62551">
              <w:rPr>
                <w:rFonts w:eastAsia="MS Mincho"/>
                <w:sz w:val="20"/>
              </w:rPr>
              <w:t>Messaging (USD)</w:t>
            </w:r>
          </w:p>
        </w:tc>
        <w:tc>
          <w:tcPr>
            <w:tcW w:w="1148" w:type="dxa"/>
            <w:noWrap/>
            <w:hideMark/>
          </w:tcPr>
          <w:p w14:paraId="15A29B4C" w14:textId="29FE16B9" w:rsidR="00741F7E" w:rsidRPr="00E62551" w:rsidRDefault="00741F7E" w:rsidP="00044DBA">
            <w:pPr>
              <w:pStyle w:val="Tablehead"/>
              <w:rPr>
                <w:rFonts w:eastAsia="MS Mincho"/>
                <w:sz w:val="20"/>
              </w:rPr>
            </w:pPr>
            <w:r w:rsidRPr="00E62551">
              <w:rPr>
                <w:rFonts w:eastAsia="MS Mincho"/>
                <w:sz w:val="20"/>
              </w:rPr>
              <w:t xml:space="preserve">Video </w:t>
            </w:r>
            <w:r w:rsidR="001D3F7F" w:rsidRPr="00E62551">
              <w:rPr>
                <w:rFonts w:eastAsia="MS Mincho"/>
                <w:sz w:val="20"/>
              </w:rPr>
              <w:t>c</w:t>
            </w:r>
            <w:r w:rsidRPr="00E62551">
              <w:rPr>
                <w:rFonts w:eastAsia="MS Mincho"/>
                <w:sz w:val="20"/>
              </w:rPr>
              <w:t>alls (USD)</w:t>
            </w:r>
          </w:p>
        </w:tc>
        <w:tc>
          <w:tcPr>
            <w:tcW w:w="1209" w:type="dxa"/>
            <w:noWrap/>
            <w:hideMark/>
          </w:tcPr>
          <w:p w14:paraId="1A2C802A" w14:textId="13BA7999" w:rsidR="00741F7E" w:rsidRPr="00E62551" w:rsidRDefault="00741F7E" w:rsidP="00044DBA">
            <w:pPr>
              <w:pStyle w:val="Tablehead"/>
              <w:rPr>
                <w:rFonts w:eastAsia="MS Mincho"/>
                <w:sz w:val="20"/>
              </w:rPr>
            </w:pPr>
            <w:r w:rsidRPr="00E62551">
              <w:rPr>
                <w:rFonts w:eastAsia="MS Mincho"/>
                <w:sz w:val="20"/>
              </w:rPr>
              <w:t>Media (</w:t>
            </w:r>
            <w:r w:rsidR="001D3F7F" w:rsidRPr="00E62551">
              <w:rPr>
                <w:rFonts w:eastAsia="MS Mincho"/>
                <w:sz w:val="20"/>
              </w:rPr>
              <w:t>b</w:t>
            </w:r>
            <w:r w:rsidRPr="00E62551">
              <w:rPr>
                <w:rFonts w:eastAsia="MS Mincho"/>
                <w:sz w:val="20"/>
              </w:rPr>
              <w:t>roadcast (linear) video) (USD)</w:t>
            </w:r>
          </w:p>
        </w:tc>
        <w:tc>
          <w:tcPr>
            <w:tcW w:w="1209" w:type="dxa"/>
            <w:noWrap/>
            <w:hideMark/>
          </w:tcPr>
          <w:p w14:paraId="383D95AA" w14:textId="73D79382" w:rsidR="00741F7E" w:rsidRPr="00E62551" w:rsidRDefault="00741F7E" w:rsidP="00044DBA">
            <w:pPr>
              <w:pStyle w:val="Tablehead"/>
              <w:rPr>
                <w:rFonts w:eastAsia="MS Mincho"/>
                <w:sz w:val="20"/>
              </w:rPr>
            </w:pPr>
            <w:r w:rsidRPr="00E62551">
              <w:rPr>
                <w:rFonts w:eastAsia="MS Mincho"/>
                <w:sz w:val="20"/>
              </w:rPr>
              <w:t>Media (</w:t>
            </w:r>
            <w:r w:rsidR="001D3F7F" w:rsidRPr="00E62551">
              <w:rPr>
                <w:rFonts w:eastAsia="MS Mincho"/>
                <w:sz w:val="20"/>
              </w:rPr>
              <w:t>v</w:t>
            </w:r>
            <w:r w:rsidRPr="00E62551">
              <w:rPr>
                <w:rFonts w:eastAsia="MS Mincho"/>
                <w:sz w:val="20"/>
              </w:rPr>
              <w:t>ideo on demand) (USD)</w:t>
            </w:r>
          </w:p>
        </w:tc>
        <w:tc>
          <w:tcPr>
            <w:tcW w:w="1557" w:type="dxa"/>
            <w:noWrap/>
            <w:hideMark/>
          </w:tcPr>
          <w:p w14:paraId="2DA35C65" w14:textId="3042D385" w:rsidR="00741F7E" w:rsidRPr="00E62551" w:rsidRDefault="00741F7E" w:rsidP="00044DBA">
            <w:pPr>
              <w:pStyle w:val="Tablehead"/>
              <w:rPr>
                <w:rFonts w:eastAsia="MS Mincho"/>
                <w:sz w:val="20"/>
              </w:rPr>
            </w:pPr>
            <w:r w:rsidRPr="00E62551">
              <w:rPr>
                <w:rFonts w:eastAsia="MS Mincho"/>
                <w:sz w:val="20"/>
              </w:rPr>
              <w:t xml:space="preserve">All </w:t>
            </w:r>
            <w:r w:rsidR="001D3F7F" w:rsidRPr="00E62551">
              <w:rPr>
                <w:rFonts w:eastAsia="MS Mincho"/>
                <w:sz w:val="20"/>
              </w:rPr>
              <w:t>s</w:t>
            </w:r>
            <w:r w:rsidRPr="00E62551">
              <w:rPr>
                <w:rFonts w:eastAsia="MS Mincho"/>
                <w:sz w:val="20"/>
              </w:rPr>
              <w:t>ubscriptions (USD)</w:t>
            </w:r>
          </w:p>
        </w:tc>
        <w:tc>
          <w:tcPr>
            <w:tcW w:w="1390" w:type="dxa"/>
            <w:noWrap/>
            <w:hideMark/>
          </w:tcPr>
          <w:p w14:paraId="6F1C6D06" w14:textId="0EB9615F" w:rsidR="00741F7E" w:rsidRPr="00E62551" w:rsidRDefault="00741F7E" w:rsidP="00044DBA">
            <w:pPr>
              <w:pStyle w:val="Tablehead"/>
              <w:rPr>
                <w:rFonts w:eastAsia="MS Mincho"/>
                <w:sz w:val="20"/>
              </w:rPr>
            </w:pPr>
            <w:r w:rsidRPr="00E62551">
              <w:rPr>
                <w:rFonts w:eastAsia="MS Mincho"/>
                <w:sz w:val="20"/>
              </w:rPr>
              <w:t xml:space="preserve">Business </w:t>
            </w:r>
            <w:r w:rsidR="001D3F7F" w:rsidRPr="00E62551">
              <w:rPr>
                <w:rFonts w:eastAsia="MS Mincho"/>
                <w:sz w:val="20"/>
              </w:rPr>
              <w:t>s</w:t>
            </w:r>
            <w:r w:rsidRPr="00E62551">
              <w:rPr>
                <w:rFonts w:eastAsia="MS Mincho"/>
                <w:sz w:val="20"/>
              </w:rPr>
              <w:t>ubscriptions (USD)</w:t>
            </w:r>
          </w:p>
        </w:tc>
        <w:tc>
          <w:tcPr>
            <w:tcW w:w="1360" w:type="dxa"/>
            <w:noWrap/>
            <w:hideMark/>
          </w:tcPr>
          <w:p w14:paraId="308F7352" w14:textId="77777777" w:rsidR="00741F7E" w:rsidRPr="00E62551" w:rsidRDefault="00741F7E" w:rsidP="00044DBA">
            <w:pPr>
              <w:pStyle w:val="Tablehead"/>
              <w:rPr>
                <w:rFonts w:eastAsia="MS Mincho"/>
                <w:sz w:val="20"/>
              </w:rPr>
            </w:pPr>
            <w:r w:rsidRPr="00E62551">
              <w:rPr>
                <w:rFonts w:eastAsia="MS Mincho"/>
                <w:sz w:val="20"/>
              </w:rPr>
              <w:t>Advertising (USD)</w:t>
            </w:r>
          </w:p>
        </w:tc>
        <w:tc>
          <w:tcPr>
            <w:tcW w:w="1214" w:type="dxa"/>
            <w:noWrap/>
            <w:hideMark/>
          </w:tcPr>
          <w:p w14:paraId="0A47D940" w14:textId="77777777" w:rsidR="00741F7E" w:rsidRPr="00E62551" w:rsidRDefault="00741F7E" w:rsidP="00044DBA">
            <w:pPr>
              <w:pStyle w:val="Tablehead"/>
              <w:rPr>
                <w:rFonts w:eastAsia="MS Mincho"/>
                <w:sz w:val="20"/>
              </w:rPr>
            </w:pPr>
            <w:r w:rsidRPr="00E62551">
              <w:rPr>
                <w:rFonts w:eastAsia="MS Mincho"/>
                <w:sz w:val="20"/>
              </w:rPr>
              <w:t>Transactional (USD)</w:t>
            </w:r>
          </w:p>
        </w:tc>
        <w:tc>
          <w:tcPr>
            <w:tcW w:w="1792" w:type="dxa"/>
            <w:noWrap/>
            <w:hideMark/>
          </w:tcPr>
          <w:p w14:paraId="0166122B" w14:textId="78D93AFF" w:rsidR="00741F7E" w:rsidRPr="00E62551" w:rsidRDefault="00741F7E" w:rsidP="00044DBA">
            <w:pPr>
              <w:pStyle w:val="Tablehead"/>
              <w:rPr>
                <w:rFonts w:eastAsia="MS Mincho"/>
                <w:sz w:val="20"/>
              </w:rPr>
            </w:pPr>
            <w:r w:rsidRPr="00E62551">
              <w:rPr>
                <w:rFonts w:eastAsia="MS Mincho"/>
                <w:sz w:val="20"/>
              </w:rPr>
              <w:t xml:space="preserve">Other </w:t>
            </w:r>
            <w:r w:rsidR="00866CFA" w:rsidRPr="00E62551">
              <w:rPr>
                <w:rFonts w:eastAsia="MS Mincho"/>
                <w:sz w:val="20"/>
              </w:rPr>
              <w:t>s</w:t>
            </w:r>
            <w:r w:rsidRPr="00E62551">
              <w:rPr>
                <w:rFonts w:eastAsia="MS Mincho"/>
                <w:sz w:val="20"/>
              </w:rPr>
              <w:t>ources (to specify) (USD)</w:t>
            </w:r>
          </w:p>
        </w:tc>
      </w:tr>
      <w:tr w:rsidR="00741F7E" w:rsidRPr="00E62551" w14:paraId="67F6C9D1" w14:textId="77777777" w:rsidTr="00E62551">
        <w:trPr>
          <w:trHeight w:val="20"/>
        </w:trPr>
        <w:tc>
          <w:tcPr>
            <w:tcW w:w="704" w:type="dxa"/>
            <w:noWrap/>
            <w:hideMark/>
          </w:tcPr>
          <w:p w14:paraId="2A6CE9B5" w14:textId="77777777" w:rsidR="00741F7E" w:rsidRPr="00E62551" w:rsidRDefault="00741F7E" w:rsidP="00044DBA">
            <w:pPr>
              <w:pStyle w:val="Tabletext"/>
              <w:rPr>
                <w:rFonts w:eastAsia="MS Mincho"/>
                <w:sz w:val="20"/>
              </w:rPr>
            </w:pPr>
            <w:r w:rsidRPr="00E62551">
              <w:rPr>
                <w:rFonts w:eastAsia="MS Mincho"/>
                <w:sz w:val="20"/>
              </w:rPr>
              <w:t>2023</w:t>
            </w:r>
          </w:p>
        </w:tc>
        <w:tc>
          <w:tcPr>
            <w:tcW w:w="1701" w:type="dxa"/>
            <w:noWrap/>
            <w:hideMark/>
          </w:tcPr>
          <w:p w14:paraId="2F4E80FF" w14:textId="77777777" w:rsidR="00741F7E" w:rsidRPr="00E62551" w:rsidRDefault="00741F7E" w:rsidP="00044DBA">
            <w:pPr>
              <w:pStyle w:val="Tabletext"/>
              <w:rPr>
                <w:rFonts w:eastAsia="MS Mincho"/>
                <w:sz w:val="20"/>
              </w:rPr>
            </w:pPr>
            <w:r w:rsidRPr="00E62551">
              <w:rPr>
                <w:rFonts w:eastAsia="MS Mincho"/>
                <w:sz w:val="20"/>
              </w:rPr>
              <w:t>Trinidad and Tobago</w:t>
            </w:r>
          </w:p>
        </w:tc>
        <w:tc>
          <w:tcPr>
            <w:tcW w:w="1276" w:type="dxa"/>
          </w:tcPr>
          <w:p w14:paraId="71B791F9" w14:textId="79A718A7" w:rsidR="00741F7E" w:rsidRPr="00E62551" w:rsidRDefault="00741F7E" w:rsidP="00044DBA">
            <w:pPr>
              <w:pStyle w:val="Tabletext"/>
              <w:jc w:val="center"/>
              <w:rPr>
                <w:sz w:val="20"/>
              </w:rPr>
            </w:pPr>
            <w:r w:rsidRPr="00E62551">
              <w:rPr>
                <w:sz w:val="20"/>
              </w:rPr>
              <w:t>xx</w:t>
            </w:r>
          </w:p>
        </w:tc>
        <w:tc>
          <w:tcPr>
            <w:tcW w:w="1148" w:type="dxa"/>
            <w:noWrap/>
            <w:hideMark/>
          </w:tcPr>
          <w:p w14:paraId="2A67E768" w14:textId="1A69A9E5" w:rsidR="00741F7E" w:rsidRPr="00E62551" w:rsidRDefault="00741F7E" w:rsidP="00044DBA">
            <w:pPr>
              <w:pStyle w:val="Tabletext"/>
              <w:jc w:val="center"/>
              <w:rPr>
                <w:sz w:val="20"/>
              </w:rPr>
            </w:pPr>
            <w:r w:rsidRPr="00E62551">
              <w:rPr>
                <w:sz w:val="20"/>
              </w:rPr>
              <w:t>xx</w:t>
            </w:r>
          </w:p>
        </w:tc>
        <w:tc>
          <w:tcPr>
            <w:tcW w:w="1209" w:type="dxa"/>
            <w:noWrap/>
            <w:hideMark/>
          </w:tcPr>
          <w:p w14:paraId="6F2554A0" w14:textId="62A766F8" w:rsidR="00741F7E" w:rsidRPr="00E62551" w:rsidRDefault="00741F7E" w:rsidP="00044DBA">
            <w:pPr>
              <w:pStyle w:val="Tabletext"/>
              <w:jc w:val="center"/>
              <w:rPr>
                <w:sz w:val="20"/>
              </w:rPr>
            </w:pPr>
            <w:r w:rsidRPr="00E62551">
              <w:rPr>
                <w:sz w:val="20"/>
              </w:rPr>
              <w:t>xx</w:t>
            </w:r>
          </w:p>
        </w:tc>
        <w:tc>
          <w:tcPr>
            <w:tcW w:w="1209" w:type="dxa"/>
            <w:noWrap/>
            <w:hideMark/>
          </w:tcPr>
          <w:p w14:paraId="062C61C9" w14:textId="4B261B73" w:rsidR="00741F7E" w:rsidRPr="00E62551" w:rsidRDefault="00741F7E" w:rsidP="00044DBA">
            <w:pPr>
              <w:pStyle w:val="Tabletext"/>
              <w:jc w:val="center"/>
              <w:rPr>
                <w:sz w:val="20"/>
              </w:rPr>
            </w:pPr>
            <w:r w:rsidRPr="00E62551">
              <w:rPr>
                <w:sz w:val="20"/>
              </w:rPr>
              <w:t>xx</w:t>
            </w:r>
          </w:p>
        </w:tc>
        <w:tc>
          <w:tcPr>
            <w:tcW w:w="1557" w:type="dxa"/>
            <w:noWrap/>
            <w:hideMark/>
          </w:tcPr>
          <w:p w14:paraId="6FAFFF9C" w14:textId="0FF7DF13" w:rsidR="00741F7E" w:rsidRPr="00E62551" w:rsidRDefault="00741F7E" w:rsidP="00044DBA">
            <w:pPr>
              <w:pStyle w:val="Tabletext"/>
              <w:jc w:val="center"/>
              <w:rPr>
                <w:sz w:val="20"/>
              </w:rPr>
            </w:pPr>
            <w:r w:rsidRPr="00E62551">
              <w:rPr>
                <w:sz w:val="20"/>
              </w:rPr>
              <w:t>xx</w:t>
            </w:r>
          </w:p>
        </w:tc>
        <w:tc>
          <w:tcPr>
            <w:tcW w:w="1390" w:type="dxa"/>
            <w:noWrap/>
            <w:hideMark/>
          </w:tcPr>
          <w:p w14:paraId="4DEDE83A" w14:textId="33359CA4" w:rsidR="00741F7E" w:rsidRPr="00E62551" w:rsidRDefault="00741F7E" w:rsidP="00044DBA">
            <w:pPr>
              <w:pStyle w:val="Tabletext"/>
              <w:jc w:val="center"/>
              <w:rPr>
                <w:sz w:val="20"/>
              </w:rPr>
            </w:pPr>
            <w:r w:rsidRPr="00E62551">
              <w:rPr>
                <w:sz w:val="20"/>
              </w:rPr>
              <w:t>xx</w:t>
            </w:r>
          </w:p>
        </w:tc>
        <w:tc>
          <w:tcPr>
            <w:tcW w:w="1360" w:type="dxa"/>
            <w:noWrap/>
            <w:hideMark/>
          </w:tcPr>
          <w:p w14:paraId="3AF2C9EB" w14:textId="2AC71705" w:rsidR="00741F7E" w:rsidRPr="00E62551" w:rsidRDefault="00741F7E" w:rsidP="00044DBA">
            <w:pPr>
              <w:pStyle w:val="Tabletext"/>
              <w:jc w:val="center"/>
              <w:rPr>
                <w:sz w:val="20"/>
              </w:rPr>
            </w:pPr>
            <w:r w:rsidRPr="00E62551">
              <w:rPr>
                <w:sz w:val="20"/>
              </w:rPr>
              <w:t>xx</w:t>
            </w:r>
          </w:p>
        </w:tc>
        <w:tc>
          <w:tcPr>
            <w:tcW w:w="1214" w:type="dxa"/>
            <w:noWrap/>
            <w:hideMark/>
          </w:tcPr>
          <w:p w14:paraId="0F3915D7" w14:textId="32CAF3AF" w:rsidR="00741F7E" w:rsidRPr="00E62551" w:rsidRDefault="00741F7E" w:rsidP="00044DBA">
            <w:pPr>
              <w:pStyle w:val="Tabletext"/>
              <w:jc w:val="center"/>
              <w:rPr>
                <w:sz w:val="20"/>
              </w:rPr>
            </w:pPr>
            <w:r w:rsidRPr="00E62551">
              <w:rPr>
                <w:sz w:val="20"/>
              </w:rPr>
              <w:t>xx</w:t>
            </w:r>
          </w:p>
        </w:tc>
        <w:tc>
          <w:tcPr>
            <w:tcW w:w="1792" w:type="dxa"/>
            <w:noWrap/>
            <w:hideMark/>
          </w:tcPr>
          <w:p w14:paraId="1C0787F0" w14:textId="2EF34463" w:rsidR="00741F7E" w:rsidRPr="00E62551" w:rsidRDefault="00741F7E" w:rsidP="00044DBA">
            <w:pPr>
              <w:pStyle w:val="Tabletext"/>
              <w:jc w:val="center"/>
              <w:rPr>
                <w:sz w:val="20"/>
              </w:rPr>
            </w:pPr>
            <w:r w:rsidRPr="00E62551">
              <w:rPr>
                <w:sz w:val="20"/>
              </w:rPr>
              <w:t>xx</w:t>
            </w:r>
          </w:p>
        </w:tc>
      </w:tr>
      <w:tr w:rsidR="00741F7E" w:rsidRPr="00E62551" w14:paraId="2A893E5D" w14:textId="77777777" w:rsidTr="00E62551">
        <w:trPr>
          <w:trHeight w:val="20"/>
        </w:trPr>
        <w:tc>
          <w:tcPr>
            <w:tcW w:w="704" w:type="dxa"/>
            <w:noWrap/>
            <w:hideMark/>
          </w:tcPr>
          <w:p w14:paraId="01A949A5" w14:textId="77777777" w:rsidR="00741F7E" w:rsidRPr="00E62551" w:rsidRDefault="00741F7E" w:rsidP="00044DBA">
            <w:pPr>
              <w:pStyle w:val="Tabletext"/>
              <w:rPr>
                <w:sz w:val="20"/>
              </w:rPr>
            </w:pPr>
            <w:r w:rsidRPr="00E62551">
              <w:rPr>
                <w:sz w:val="20"/>
              </w:rPr>
              <w:t>2023</w:t>
            </w:r>
          </w:p>
        </w:tc>
        <w:tc>
          <w:tcPr>
            <w:tcW w:w="1701" w:type="dxa"/>
            <w:noWrap/>
            <w:hideMark/>
          </w:tcPr>
          <w:p w14:paraId="567AF5F0" w14:textId="77777777" w:rsidR="00741F7E" w:rsidRPr="00E62551" w:rsidRDefault="00741F7E" w:rsidP="00044DBA">
            <w:pPr>
              <w:pStyle w:val="Tabletext"/>
              <w:rPr>
                <w:rFonts w:eastAsia="MS Mincho"/>
                <w:sz w:val="20"/>
              </w:rPr>
            </w:pPr>
            <w:r w:rsidRPr="00E62551">
              <w:rPr>
                <w:rFonts w:eastAsia="MS Mincho"/>
                <w:sz w:val="20"/>
              </w:rPr>
              <w:t>Trinidad and Tobago</w:t>
            </w:r>
          </w:p>
        </w:tc>
        <w:tc>
          <w:tcPr>
            <w:tcW w:w="1276" w:type="dxa"/>
          </w:tcPr>
          <w:p w14:paraId="4639DE77" w14:textId="45934C34" w:rsidR="00741F7E" w:rsidRPr="00E62551" w:rsidRDefault="00741F7E" w:rsidP="00044DBA">
            <w:pPr>
              <w:pStyle w:val="Tabletext"/>
              <w:jc w:val="center"/>
              <w:rPr>
                <w:sz w:val="20"/>
              </w:rPr>
            </w:pPr>
            <w:r w:rsidRPr="00E62551">
              <w:rPr>
                <w:sz w:val="20"/>
              </w:rPr>
              <w:t>xx</w:t>
            </w:r>
          </w:p>
        </w:tc>
        <w:tc>
          <w:tcPr>
            <w:tcW w:w="1148" w:type="dxa"/>
            <w:noWrap/>
            <w:hideMark/>
          </w:tcPr>
          <w:p w14:paraId="35185E36" w14:textId="3EDF303F" w:rsidR="00741F7E" w:rsidRPr="00E62551" w:rsidRDefault="00741F7E" w:rsidP="00044DBA">
            <w:pPr>
              <w:pStyle w:val="Tabletext"/>
              <w:jc w:val="center"/>
              <w:rPr>
                <w:sz w:val="20"/>
              </w:rPr>
            </w:pPr>
            <w:r w:rsidRPr="00E62551">
              <w:rPr>
                <w:sz w:val="20"/>
              </w:rPr>
              <w:t>xx</w:t>
            </w:r>
          </w:p>
        </w:tc>
        <w:tc>
          <w:tcPr>
            <w:tcW w:w="1209" w:type="dxa"/>
            <w:noWrap/>
            <w:hideMark/>
          </w:tcPr>
          <w:p w14:paraId="02E31570" w14:textId="134AB40F" w:rsidR="00741F7E" w:rsidRPr="00E62551" w:rsidRDefault="00741F7E" w:rsidP="00044DBA">
            <w:pPr>
              <w:pStyle w:val="Tabletext"/>
              <w:jc w:val="center"/>
              <w:rPr>
                <w:sz w:val="20"/>
              </w:rPr>
            </w:pPr>
            <w:r w:rsidRPr="00E62551">
              <w:rPr>
                <w:sz w:val="20"/>
              </w:rPr>
              <w:t>xx</w:t>
            </w:r>
          </w:p>
        </w:tc>
        <w:tc>
          <w:tcPr>
            <w:tcW w:w="1209" w:type="dxa"/>
            <w:noWrap/>
            <w:hideMark/>
          </w:tcPr>
          <w:p w14:paraId="5CBA18AB" w14:textId="33EA6EC1" w:rsidR="00741F7E" w:rsidRPr="00E62551" w:rsidRDefault="00741F7E" w:rsidP="00044DBA">
            <w:pPr>
              <w:pStyle w:val="Tabletext"/>
              <w:jc w:val="center"/>
              <w:rPr>
                <w:sz w:val="20"/>
              </w:rPr>
            </w:pPr>
            <w:r w:rsidRPr="00E62551">
              <w:rPr>
                <w:sz w:val="20"/>
              </w:rPr>
              <w:t>xx</w:t>
            </w:r>
          </w:p>
        </w:tc>
        <w:tc>
          <w:tcPr>
            <w:tcW w:w="1557" w:type="dxa"/>
            <w:noWrap/>
            <w:hideMark/>
          </w:tcPr>
          <w:p w14:paraId="6A512DB0" w14:textId="43A7AAA5" w:rsidR="00741F7E" w:rsidRPr="00E62551" w:rsidRDefault="00741F7E" w:rsidP="00044DBA">
            <w:pPr>
              <w:pStyle w:val="Tabletext"/>
              <w:jc w:val="center"/>
              <w:rPr>
                <w:sz w:val="20"/>
              </w:rPr>
            </w:pPr>
            <w:r w:rsidRPr="00E62551">
              <w:rPr>
                <w:sz w:val="20"/>
              </w:rPr>
              <w:t>xx</w:t>
            </w:r>
          </w:p>
        </w:tc>
        <w:tc>
          <w:tcPr>
            <w:tcW w:w="1390" w:type="dxa"/>
            <w:noWrap/>
            <w:hideMark/>
          </w:tcPr>
          <w:p w14:paraId="4752BA6A" w14:textId="124A4F31" w:rsidR="00741F7E" w:rsidRPr="00E62551" w:rsidRDefault="00741F7E" w:rsidP="00044DBA">
            <w:pPr>
              <w:pStyle w:val="Tabletext"/>
              <w:jc w:val="center"/>
              <w:rPr>
                <w:sz w:val="20"/>
              </w:rPr>
            </w:pPr>
            <w:r w:rsidRPr="00E62551">
              <w:rPr>
                <w:sz w:val="20"/>
              </w:rPr>
              <w:t>xx</w:t>
            </w:r>
          </w:p>
        </w:tc>
        <w:tc>
          <w:tcPr>
            <w:tcW w:w="1360" w:type="dxa"/>
            <w:noWrap/>
            <w:hideMark/>
          </w:tcPr>
          <w:p w14:paraId="4BC6498D" w14:textId="47CCB6B5" w:rsidR="00741F7E" w:rsidRPr="00E62551" w:rsidRDefault="00741F7E" w:rsidP="00044DBA">
            <w:pPr>
              <w:pStyle w:val="Tabletext"/>
              <w:jc w:val="center"/>
              <w:rPr>
                <w:sz w:val="20"/>
              </w:rPr>
            </w:pPr>
            <w:r w:rsidRPr="00E62551">
              <w:rPr>
                <w:sz w:val="20"/>
              </w:rPr>
              <w:t>xx</w:t>
            </w:r>
          </w:p>
        </w:tc>
        <w:tc>
          <w:tcPr>
            <w:tcW w:w="1214" w:type="dxa"/>
            <w:noWrap/>
            <w:hideMark/>
          </w:tcPr>
          <w:p w14:paraId="11008649" w14:textId="138A2888" w:rsidR="00741F7E" w:rsidRPr="00E62551" w:rsidRDefault="00741F7E" w:rsidP="00044DBA">
            <w:pPr>
              <w:pStyle w:val="Tabletext"/>
              <w:jc w:val="center"/>
              <w:rPr>
                <w:sz w:val="20"/>
              </w:rPr>
            </w:pPr>
            <w:r w:rsidRPr="00E62551">
              <w:rPr>
                <w:sz w:val="20"/>
              </w:rPr>
              <w:t>xx</w:t>
            </w:r>
          </w:p>
        </w:tc>
        <w:tc>
          <w:tcPr>
            <w:tcW w:w="1792" w:type="dxa"/>
            <w:noWrap/>
            <w:hideMark/>
          </w:tcPr>
          <w:p w14:paraId="5C2C4CC0" w14:textId="364196AA" w:rsidR="00741F7E" w:rsidRPr="00E62551" w:rsidRDefault="00741F7E" w:rsidP="00044DBA">
            <w:pPr>
              <w:pStyle w:val="Tabletext"/>
              <w:jc w:val="center"/>
              <w:rPr>
                <w:sz w:val="20"/>
              </w:rPr>
            </w:pPr>
            <w:r w:rsidRPr="00E62551">
              <w:rPr>
                <w:sz w:val="20"/>
              </w:rPr>
              <w:t>xx</w:t>
            </w:r>
          </w:p>
        </w:tc>
      </w:tr>
      <w:tr w:rsidR="00741F7E" w:rsidRPr="00E62551" w14:paraId="3D083648" w14:textId="77777777" w:rsidTr="00E62551">
        <w:trPr>
          <w:trHeight w:val="20"/>
        </w:trPr>
        <w:tc>
          <w:tcPr>
            <w:tcW w:w="704" w:type="dxa"/>
            <w:noWrap/>
            <w:hideMark/>
          </w:tcPr>
          <w:p w14:paraId="6E2A3CBD" w14:textId="77777777" w:rsidR="00741F7E" w:rsidRPr="00E62551" w:rsidRDefault="00741F7E" w:rsidP="00044DBA">
            <w:pPr>
              <w:pStyle w:val="Tabletext"/>
              <w:rPr>
                <w:sz w:val="20"/>
              </w:rPr>
            </w:pPr>
            <w:r w:rsidRPr="00E62551">
              <w:rPr>
                <w:sz w:val="20"/>
              </w:rPr>
              <w:t>2023</w:t>
            </w:r>
          </w:p>
        </w:tc>
        <w:tc>
          <w:tcPr>
            <w:tcW w:w="1701" w:type="dxa"/>
            <w:noWrap/>
            <w:hideMark/>
          </w:tcPr>
          <w:p w14:paraId="65691F63" w14:textId="77777777" w:rsidR="00741F7E" w:rsidRPr="00E62551" w:rsidRDefault="00741F7E" w:rsidP="00044DBA">
            <w:pPr>
              <w:pStyle w:val="Tabletext"/>
              <w:rPr>
                <w:rFonts w:eastAsia="MS Mincho"/>
                <w:sz w:val="20"/>
              </w:rPr>
            </w:pPr>
            <w:r w:rsidRPr="00E62551">
              <w:rPr>
                <w:rFonts w:eastAsia="MS Mincho"/>
                <w:sz w:val="20"/>
              </w:rPr>
              <w:t>Trinidad and Tobago</w:t>
            </w:r>
          </w:p>
        </w:tc>
        <w:tc>
          <w:tcPr>
            <w:tcW w:w="1276" w:type="dxa"/>
          </w:tcPr>
          <w:p w14:paraId="0CE5F534" w14:textId="0D3DC683" w:rsidR="00741F7E" w:rsidRPr="00E62551" w:rsidRDefault="00741F7E" w:rsidP="00044DBA">
            <w:pPr>
              <w:pStyle w:val="Tabletext"/>
              <w:jc w:val="center"/>
              <w:rPr>
                <w:sz w:val="20"/>
              </w:rPr>
            </w:pPr>
            <w:r w:rsidRPr="00E62551">
              <w:rPr>
                <w:sz w:val="20"/>
              </w:rPr>
              <w:t>xx</w:t>
            </w:r>
          </w:p>
        </w:tc>
        <w:tc>
          <w:tcPr>
            <w:tcW w:w="1148" w:type="dxa"/>
            <w:noWrap/>
            <w:hideMark/>
          </w:tcPr>
          <w:p w14:paraId="6CFC965E" w14:textId="15F53F66" w:rsidR="00741F7E" w:rsidRPr="00E62551" w:rsidRDefault="00741F7E" w:rsidP="00044DBA">
            <w:pPr>
              <w:pStyle w:val="Tabletext"/>
              <w:jc w:val="center"/>
              <w:rPr>
                <w:sz w:val="20"/>
              </w:rPr>
            </w:pPr>
            <w:r w:rsidRPr="00E62551">
              <w:rPr>
                <w:sz w:val="20"/>
              </w:rPr>
              <w:t>xx</w:t>
            </w:r>
          </w:p>
        </w:tc>
        <w:tc>
          <w:tcPr>
            <w:tcW w:w="1209" w:type="dxa"/>
            <w:noWrap/>
            <w:hideMark/>
          </w:tcPr>
          <w:p w14:paraId="3121831E" w14:textId="7C8DDB2E" w:rsidR="00741F7E" w:rsidRPr="00E62551" w:rsidRDefault="00741F7E" w:rsidP="00044DBA">
            <w:pPr>
              <w:pStyle w:val="Tabletext"/>
              <w:jc w:val="center"/>
              <w:rPr>
                <w:sz w:val="20"/>
              </w:rPr>
            </w:pPr>
            <w:r w:rsidRPr="00E62551">
              <w:rPr>
                <w:sz w:val="20"/>
              </w:rPr>
              <w:t>xx</w:t>
            </w:r>
          </w:p>
        </w:tc>
        <w:tc>
          <w:tcPr>
            <w:tcW w:w="1209" w:type="dxa"/>
            <w:noWrap/>
            <w:hideMark/>
          </w:tcPr>
          <w:p w14:paraId="6DAFF02F" w14:textId="691E7D94" w:rsidR="00741F7E" w:rsidRPr="00E62551" w:rsidRDefault="00741F7E" w:rsidP="00044DBA">
            <w:pPr>
              <w:pStyle w:val="Tabletext"/>
              <w:jc w:val="center"/>
              <w:rPr>
                <w:sz w:val="20"/>
              </w:rPr>
            </w:pPr>
            <w:r w:rsidRPr="00E62551">
              <w:rPr>
                <w:sz w:val="20"/>
              </w:rPr>
              <w:t>xx</w:t>
            </w:r>
          </w:p>
        </w:tc>
        <w:tc>
          <w:tcPr>
            <w:tcW w:w="1557" w:type="dxa"/>
            <w:noWrap/>
            <w:hideMark/>
          </w:tcPr>
          <w:p w14:paraId="119E368F" w14:textId="51C478FF" w:rsidR="00741F7E" w:rsidRPr="00E62551" w:rsidRDefault="00741F7E" w:rsidP="00044DBA">
            <w:pPr>
              <w:pStyle w:val="Tabletext"/>
              <w:jc w:val="center"/>
              <w:rPr>
                <w:sz w:val="20"/>
              </w:rPr>
            </w:pPr>
            <w:r w:rsidRPr="00E62551">
              <w:rPr>
                <w:sz w:val="20"/>
              </w:rPr>
              <w:t>xx</w:t>
            </w:r>
          </w:p>
        </w:tc>
        <w:tc>
          <w:tcPr>
            <w:tcW w:w="1390" w:type="dxa"/>
            <w:noWrap/>
            <w:hideMark/>
          </w:tcPr>
          <w:p w14:paraId="7D9FCC9C" w14:textId="7962AD7E" w:rsidR="00741F7E" w:rsidRPr="00E62551" w:rsidRDefault="00741F7E" w:rsidP="00044DBA">
            <w:pPr>
              <w:pStyle w:val="Tabletext"/>
              <w:jc w:val="center"/>
              <w:rPr>
                <w:sz w:val="20"/>
              </w:rPr>
            </w:pPr>
            <w:r w:rsidRPr="00E62551">
              <w:rPr>
                <w:sz w:val="20"/>
              </w:rPr>
              <w:t>xx</w:t>
            </w:r>
          </w:p>
        </w:tc>
        <w:tc>
          <w:tcPr>
            <w:tcW w:w="1360" w:type="dxa"/>
            <w:noWrap/>
            <w:hideMark/>
          </w:tcPr>
          <w:p w14:paraId="76797381" w14:textId="59A6B953" w:rsidR="00741F7E" w:rsidRPr="00E62551" w:rsidRDefault="00741F7E" w:rsidP="00044DBA">
            <w:pPr>
              <w:pStyle w:val="Tabletext"/>
              <w:jc w:val="center"/>
              <w:rPr>
                <w:sz w:val="20"/>
              </w:rPr>
            </w:pPr>
            <w:r w:rsidRPr="00E62551">
              <w:rPr>
                <w:sz w:val="20"/>
              </w:rPr>
              <w:t>xx</w:t>
            </w:r>
          </w:p>
        </w:tc>
        <w:tc>
          <w:tcPr>
            <w:tcW w:w="1214" w:type="dxa"/>
            <w:noWrap/>
            <w:hideMark/>
          </w:tcPr>
          <w:p w14:paraId="2C511F5D" w14:textId="6C209D69" w:rsidR="00741F7E" w:rsidRPr="00E62551" w:rsidRDefault="00741F7E" w:rsidP="00044DBA">
            <w:pPr>
              <w:pStyle w:val="Tabletext"/>
              <w:jc w:val="center"/>
              <w:rPr>
                <w:sz w:val="20"/>
              </w:rPr>
            </w:pPr>
            <w:r w:rsidRPr="00E62551">
              <w:rPr>
                <w:sz w:val="20"/>
              </w:rPr>
              <w:t>xx</w:t>
            </w:r>
          </w:p>
        </w:tc>
        <w:tc>
          <w:tcPr>
            <w:tcW w:w="1792" w:type="dxa"/>
            <w:noWrap/>
            <w:hideMark/>
          </w:tcPr>
          <w:p w14:paraId="3F2D043C" w14:textId="3A43B371" w:rsidR="00741F7E" w:rsidRPr="00E62551" w:rsidRDefault="00741F7E" w:rsidP="00044DBA">
            <w:pPr>
              <w:pStyle w:val="Tabletext"/>
              <w:jc w:val="center"/>
              <w:rPr>
                <w:sz w:val="20"/>
              </w:rPr>
            </w:pPr>
            <w:r w:rsidRPr="00E62551">
              <w:rPr>
                <w:sz w:val="20"/>
              </w:rPr>
              <w:t>xx</w:t>
            </w:r>
          </w:p>
        </w:tc>
      </w:tr>
      <w:tr w:rsidR="00741F7E" w:rsidRPr="00E62551" w14:paraId="3CA7C789" w14:textId="77777777" w:rsidTr="00E62551">
        <w:trPr>
          <w:trHeight w:val="20"/>
        </w:trPr>
        <w:tc>
          <w:tcPr>
            <w:tcW w:w="704" w:type="dxa"/>
            <w:noWrap/>
            <w:hideMark/>
          </w:tcPr>
          <w:p w14:paraId="7F1742BE" w14:textId="77777777" w:rsidR="00741F7E" w:rsidRPr="00E62551" w:rsidRDefault="00741F7E" w:rsidP="00044DBA">
            <w:pPr>
              <w:pStyle w:val="Tabletext"/>
              <w:rPr>
                <w:sz w:val="20"/>
              </w:rPr>
            </w:pPr>
            <w:r w:rsidRPr="00E62551">
              <w:rPr>
                <w:sz w:val="20"/>
              </w:rPr>
              <w:t>2023</w:t>
            </w:r>
          </w:p>
        </w:tc>
        <w:tc>
          <w:tcPr>
            <w:tcW w:w="1701" w:type="dxa"/>
            <w:noWrap/>
            <w:hideMark/>
          </w:tcPr>
          <w:p w14:paraId="3A686404" w14:textId="77777777" w:rsidR="00741F7E" w:rsidRPr="00E62551" w:rsidRDefault="00741F7E" w:rsidP="00044DBA">
            <w:pPr>
              <w:pStyle w:val="Tabletext"/>
              <w:rPr>
                <w:rFonts w:eastAsia="MS Mincho"/>
                <w:sz w:val="20"/>
              </w:rPr>
            </w:pPr>
            <w:r w:rsidRPr="00E62551">
              <w:rPr>
                <w:rFonts w:eastAsia="MS Mincho"/>
                <w:sz w:val="20"/>
              </w:rPr>
              <w:t>Trinidad and Tobago</w:t>
            </w:r>
          </w:p>
        </w:tc>
        <w:tc>
          <w:tcPr>
            <w:tcW w:w="1276" w:type="dxa"/>
          </w:tcPr>
          <w:p w14:paraId="51D1C3FF" w14:textId="5247B7E9" w:rsidR="00741F7E" w:rsidRPr="00E62551" w:rsidRDefault="00741F7E" w:rsidP="00044DBA">
            <w:pPr>
              <w:pStyle w:val="Tabletext"/>
              <w:jc w:val="center"/>
              <w:rPr>
                <w:sz w:val="20"/>
              </w:rPr>
            </w:pPr>
            <w:r w:rsidRPr="00E62551">
              <w:rPr>
                <w:sz w:val="20"/>
              </w:rPr>
              <w:t>xx</w:t>
            </w:r>
          </w:p>
        </w:tc>
        <w:tc>
          <w:tcPr>
            <w:tcW w:w="1148" w:type="dxa"/>
            <w:noWrap/>
            <w:hideMark/>
          </w:tcPr>
          <w:p w14:paraId="7758DF9B" w14:textId="246758E3" w:rsidR="00741F7E" w:rsidRPr="00E62551" w:rsidRDefault="00741F7E" w:rsidP="00044DBA">
            <w:pPr>
              <w:pStyle w:val="Tabletext"/>
              <w:jc w:val="center"/>
              <w:rPr>
                <w:sz w:val="20"/>
              </w:rPr>
            </w:pPr>
            <w:r w:rsidRPr="00E62551">
              <w:rPr>
                <w:sz w:val="20"/>
              </w:rPr>
              <w:t>xx</w:t>
            </w:r>
          </w:p>
        </w:tc>
        <w:tc>
          <w:tcPr>
            <w:tcW w:w="1209" w:type="dxa"/>
            <w:noWrap/>
            <w:hideMark/>
          </w:tcPr>
          <w:p w14:paraId="27873293" w14:textId="2BC9BDE1" w:rsidR="00741F7E" w:rsidRPr="00E62551" w:rsidRDefault="00741F7E" w:rsidP="00044DBA">
            <w:pPr>
              <w:pStyle w:val="Tabletext"/>
              <w:jc w:val="center"/>
              <w:rPr>
                <w:sz w:val="20"/>
              </w:rPr>
            </w:pPr>
            <w:r w:rsidRPr="00E62551">
              <w:rPr>
                <w:sz w:val="20"/>
              </w:rPr>
              <w:t>xx</w:t>
            </w:r>
          </w:p>
        </w:tc>
        <w:tc>
          <w:tcPr>
            <w:tcW w:w="1209" w:type="dxa"/>
            <w:noWrap/>
            <w:hideMark/>
          </w:tcPr>
          <w:p w14:paraId="08ABEF39" w14:textId="75862A2A" w:rsidR="00741F7E" w:rsidRPr="00E62551" w:rsidRDefault="00741F7E" w:rsidP="00044DBA">
            <w:pPr>
              <w:pStyle w:val="Tabletext"/>
              <w:jc w:val="center"/>
              <w:rPr>
                <w:sz w:val="20"/>
              </w:rPr>
            </w:pPr>
            <w:r w:rsidRPr="00E62551">
              <w:rPr>
                <w:sz w:val="20"/>
              </w:rPr>
              <w:t>xx</w:t>
            </w:r>
          </w:p>
        </w:tc>
        <w:tc>
          <w:tcPr>
            <w:tcW w:w="1557" w:type="dxa"/>
            <w:noWrap/>
            <w:hideMark/>
          </w:tcPr>
          <w:p w14:paraId="47050B90" w14:textId="370C8DC3" w:rsidR="00741F7E" w:rsidRPr="00E62551" w:rsidRDefault="00741F7E" w:rsidP="00044DBA">
            <w:pPr>
              <w:pStyle w:val="Tabletext"/>
              <w:jc w:val="center"/>
              <w:rPr>
                <w:sz w:val="20"/>
              </w:rPr>
            </w:pPr>
            <w:r w:rsidRPr="00E62551">
              <w:rPr>
                <w:sz w:val="20"/>
              </w:rPr>
              <w:t>xx</w:t>
            </w:r>
          </w:p>
        </w:tc>
        <w:tc>
          <w:tcPr>
            <w:tcW w:w="1390" w:type="dxa"/>
            <w:noWrap/>
            <w:hideMark/>
          </w:tcPr>
          <w:p w14:paraId="27997373" w14:textId="77A73918" w:rsidR="00741F7E" w:rsidRPr="00E62551" w:rsidRDefault="00741F7E" w:rsidP="00044DBA">
            <w:pPr>
              <w:pStyle w:val="Tabletext"/>
              <w:jc w:val="center"/>
              <w:rPr>
                <w:sz w:val="20"/>
              </w:rPr>
            </w:pPr>
            <w:r w:rsidRPr="00E62551">
              <w:rPr>
                <w:sz w:val="20"/>
              </w:rPr>
              <w:t>xx</w:t>
            </w:r>
          </w:p>
        </w:tc>
        <w:tc>
          <w:tcPr>
            <w:tcW w:w="1360" w:type="dxa"/>
            <w:noWrap/>
            <w:hideMark/>
          </w:tcPr>
          <w:p w14:paraId="44EEB7FA" w14:textId="654643F4" w:rsidR="00741F7E" w:rsidRPr="00E62551" w:rsidRDefault="00741F7E" w:rsidP="00044DBA">
            <w:pPr>
              <w:pStyle w:val="Tabletext"/>
              <w:jc w:val="center"/>
              <w:rPr>
                <w:sz w:val="20"/>
              </w:rPr>
            </w:pPr>
            <w:r w:rsidRPr="00E62551">
              <w:rPr>
                <w:sz w:val="20"/>
              </w:rPr>
              <w:t>xx</w:t>
            </w:r>
          </w:p>
        </w:tc>
        <w:tc>
          <w:tcPr>
            <w:tcW w:w="1214" w:type="dxa"/>
            <w:noWrap/>
            <w:hideMark/>
          </w:tcPr>
          <w:p w14:paraId="1514CA50" w14:textId="53A9D9C1" w:rsidR="00741F7E" w:rsidRPr="00E62551" w:rsidRDefault="00741F7E" w:rsidP="00044DBA">
            <w:pPr>
              <w:pStyle w:val="Tabletext"/>
              <w:jc w:val="center"/>
              <w:rPr>
                <w:sz w:val="20"/>
              </w:rPr>
            </w:pPr>
            <w:r w:rsidRPr="00E62551">
              <w:rPr>
                <w:sz w:val="20"/>
              </w:rPr>
              <w:t>xx</w:t>
            </w:r>
          </w:p>
        </w:tc>
        <w:tc>
          <w:tcPr>
            <w:tcW w:w="1792" w:type="dxa"/>
            <w:noWrap/>
            <w:hideMark/>
          </w:tcPr>
          <w:p w14:paraId="59A22665" w14:textId="3613B374" w:rsidR="00741F7E" w:rsidRPr="00E62551" w:rsidRDefault="00741F7E" w:rsidP="00044DBA">
            <w:pPr>
              <w:pStyle w:val="Tabletext"/>
              <w:jc w:val="center"/>
              <w:rPr>
                <w:sz w:val="20"/>
              </w:rPr>
            </w:pPr>
            <w:r w:rsidRPr="00E62551">
              <w:rPr>
                <w:sz w:val="20"/>
              </w:rPr>
              <w:t>xx</w:t>
            </w:r>
          </w:p>
        </w:tc>
      </w:tr>
      <w:tr w:rsidR="00741F7E" w:rsidRPr="00E62551" w14:paraId="4F5157AE" w14:textId="77777777" w:rsidTr="00E62551">
        <w:trPr>
          <w:trHeight w:val="20"/>
        </w:trPr>
        <w:tc>
          <w:tcPr>
            <w:tcW w:w="704" w:type="dxa"/>
            <w:noWrap/>
            <w:hideMark/>
          </w:tcPr>
          <w:p w14:paraId="0B9E9A41" w14:textId="77777777" w:rsidR="00741F7E" w:rsidRPr="00E62551" w:rsidRDefault="00741F7E" w:rsidP="00044DBA">
            <w:pPr>
              <w:pStyle w:val="Tabletext"/>
              <w:rPr>
                <w:sz w:val="20"/>
              </w:rPr>
            </w:pPr>
            <w:r w:rsidRPr="00E62551">
              <w:rPr>
                <w:sz w:val="20"/>
              </w:rPr>
              <w:t>2023</w:t>
            </w:r>
          </w:p>
        </w:tc>
        <w:tc>
          <w:tcPr>
            <w:tcW w:w="1701" w:type="dxa"/>
            <w:noWrap/>
            <w:hideMark/>
          </w:tcPr>
          <w:p w14:paraId="5E906E07" w14:textId="77777777" w:rsidR="00741F7E" w:rsidRPr="00E62551" w:rsidRDefault="00741F7E" w:rsidP="00044DBA">
            <w:pPr>
              <w:pStyle w:val="Tabletext"/>
              <w:rPr>
                <w:rFonts w:eastAsia="MS Mincho"/>
                <w:sz w:val="20"/>
              </w:rPr>
            </w:pPr>
            <w:r w:rsidRPr="00E62551">
              <w:rPr>
                <w:rFonts w:eastAsia="MS Mincho"/>
                <w:sz w:val="20"/>
              </w:rPr>
              <w:t>Trinidad and Tobago</w:t>
            </w:r>
          </w:p>
        </w:tc>
        <w:tc>
          <w:tcPr>
            <w:tcW w:w="1276" w:type="dxa"/>
          </w:tcPr>
          <w:p w14:paraId="65D9E825" w14:textId="2CD84A06" w:rsidR="00741F7E" w:rsidRPr="00E62551" w:rsidRDefault="00741F7E" w:rsidP="00044DBA">
            <w:pPr>
              <w:pStyle w:val="Tabletext"/>
              <w:jc w:val="center"/>
              <w:rPr>
                <w:sz w:val="20"/>
              </w:rPr>
            </w:pPr>
            <w:r w:rsidRPr="00E62551">
              <w:rPr>
                <w:sz w:val="20"/>
              </w:rPr>
              <w:t>xx</w:t>
            </w:r>
          </w:p>
        </w:tc>
        <w:tc>
          <w:tcPr>
            <w:tcW w:w="1148" w:type="dxa"/>
            <w:noWrap/>
            <w:hideMark/>
          </w:tcPr>
          <w:p w14:paraId="73ABB8F7" w14:textId="009C9CB4" w:rsidR="00741F7E" w:rsidRPr="00E62551" w:rsidRDefault="00741F7E" w:rsidP="00044DBA">
            <w:pPr>
              <w:pStyle w:val="Tabletext"/>
              <w:jc w:val="center"/>
              <w:rPr>
                <w:sz w:val="20"/>
              </w:rPr>
            </w:pPr>
            <w:r w:rsidRPr="00E62551">
              <w:rPr>
                <w:sz w:val="20"/>
              </w:rPr>
              <w:t>xx</w:t>
            </w:r>
          </w:p>
        </w:tc>
        <w:tc>
          <w:tcPr>
            <w:tcW w:w="1209" w:type="dxa"/>
            <w:noWrap/>
            <w:hideMark/>
          </w:tcPr>
          <w:p w14:paraId="1DE3E0A8" w14:textId="133454AC" w:rsidR="00741F7E" w:rsidRPr="00E62551" w:rsidRDefault="00741F7E" w:rsidP="00044DBA">
            <w:pPr>
              <w:pStyle w:val="Tabletext"/>
              <w:jc w:val="center"/>
              <w:rPr>
                <w:sz w:val="20"/>
              </w:rPr>
            </w:pPr>
            <w:r w:rsidRPr="00E62551">
              <w:rPr>
                <w:sz w:val="20"/>
              </w:rPr>
              <w:t>xx</w:t>
            </w:r>
          </w:p>
        </w:tc>
        <w:tc>
          <w:tcPr>
            <w:tcW w:w="1209" w:type="dxa"/>
            <w:noWrap/>
            <w:hideMark/>
          </w:tcPr>
          <w:p w14:paraId="4A2E4980" w14:textId="59A11590" w:rsidR="00741F7E" w:rsidRPr="00E62551" w:rsidRDefault="00741F7E" w:rsidP="00044DBA">
            <w:pPr>
              <w:pStyle w:val="Tabletext"/>
              <w:jc w:val="center"/>
              <w:rPr>
                <w:sz w:val="20"/>
              </w:rPr>
            </w:pPr>
            <w:r w:rsidRPr="00E62551">
              <w:rPr>
                <w:sz w:val="20"/>
              </w:rPr>
              <w:t>xx</w:t>
            </w:r>
          </w:p>
        </w:tc>
        <w:tc>
          <w:tcPr>
            <w:tcW w:w="1557" w:type="dxa"/>
            <w:noWrap/>
            <w:hideMark/>
          </w:tcPr>
          <w:p w14:paraId="6CC67D60" w14:textId="13C51ACE" w:rsidR="00741F7E" w:rsidRPr="00E62551" w:rsidRDefault="00741F7E" w:rsidP="00044DBA">
            <w:pPr>
              <w:pStyle w:val="Tabletext"/>
              <w:jc w:val="center"/>
              <w:rPr>
                <w:sz w:val="20"/>
              </w:rPr>
            </w:pPr>
            <w:r w:rsidRPr="00E62551">
              <w:rPr>
                <w:sz w:val="20"/>
              </w:rPr>
              <w:t>xx</w:t>
            </w:r>
          </w:p>
        </w:tc>
        <w:tc>
          <w:tcPr>
            <w:tcW w:w="1390" w:type="dxa"/>
            <w:noWrap/>
            <w:hideMark/>
          </w:tcPr>
          <w:p w14:paraId="15C4CFD4" w14:textId="0BA218C5" w:rsidR="00741F7E" w:rsidRPr="00E62551" w:rsidRDefault="00741F7E" w:rsidP="00044DBA">
            <w:pPr>
              <w:pStyle w:val="Tabletext"/>
              <w:jc w:val="center"/>
              <w:rPr>
                <w:sz w:val="20"/>
              </w:rPr>
            </w:pPr>
            <w:r w:rsidRPr="00E62551">
              <w:rPr>
                <w:sz w:val="20"/>
              </w:rPr>
              <w:t>xx</w:t>
            </w:r>
          </w:p>
        </w:tc>
        <w:tc>
          <w:tcPr>
            <w:tcW w:w="1360" w:type="dxa"/>
            <w:noWrap/>
            <w:hideMark/>
          </w:tcPr>
          <w:p w14:paraId="3A65A68C" w14:textId="649CFF6D" w:rsidR="00741F7E" w:rsidRPr="00E62551" w:rsidRDefault="00741F7E" w:rsidP="00044DBA">
            <w:pPr>
              <w:pStyle w:val="Tabletext"/>
              <w:jc w:val="center"/>
              <w:rPr>
                <w:sz w:val="20"/>
              </w:rPr>
            </w:pPr>
            <w:r w:rsidRPr="00E62551">
              <w:rPr>
                <w:sz w:val="20"/>
              </w:rPr>
              <w:t>xx</w:t>
            </w:r>
          </w:p>
        </w:tc>
        <w:tc>
          <w:tcPr>
            <w:tcW w:w="1214" w:type="dxa"/>
            <w:noWrap/>
            <w:hideMark/>
          </w:tcPr>
          <w:p w14:paraId="68B31AFB" w14:textId="75FFEBD6" w:rsidR="00741F7E" w:rsidRPr="00E62551" w:rsidRDefault="00741F7E" w:rsidP="00044DBA">
            <w:pPr>
              <w:pStyle w:val="Tabletext"/>
              <w:jc w:val="center"/>
              <w:rPr>
                <w:sz w:val="20"/>
              </w:rPr>
            </w:pPr>
            <w:r w:rsidRPr="00E62551">
              <w:rPr>
                <w:sz w:val="20"/>
              </w:rPr>
              <w:t>xx</w:t>
            </w:r>
          </w:p>
        </w:tc>
        <w:tc>
          <w:tcPr>
            <w:tcW w:w="1792" w:type="dxa"/>
            <w:noWrap/>
            <w:hideMark/>
          </w:tcPr>
          <w:p w14:paraId="3A1EEC05" w14:textId="76075884" w:rsidR="00741F7E" w:rsidRPr="00E62551" w:rsidRDefault="00741F7E" w:rsidP="00044DBA">
            <w:pPr>
              <w:pStyle w:val="Tabletext"/>
              <w:jc w:val="center"/>
              <w:rPr>
                <w:sz w:val="20"/>
              </w:rPr>
            </w:pPr>
            <w:r w:rsidRPr="00E62551">
              <w:rPr>
                <w:sz w:val="20"/>
              </w:rPr>
              <w:t>xx</w:t>
            </w:r>
          </w:p>
        </w:tc>
      </w:tr>
      <w:tr w:rsidR="00741F7E" w:rsidRPr="00E62551" w14:paraId="337ED9E6" w14:textId="77777777" w:rsidTr="00E62551">
        <w:trPr>
          <w:trHeight w:val="20"/>
        </w:trPr>
        <w:tc>
          <w:tcPr>
            <w:tcW w:w="704" w:type="dxa"/>
            <w:noWrap/>
            <w:hideMark/>
          </w:tcPr>
          <w:p w14:paraId="7E9D7C35" w14:textId="77777777" w:rsidR="00741F7E" w:rsidRPr="00E62551" w:rsidRDefault="00741F7E" w:rsidP="00044DBA">
            <w:pPr>
              <w:pStyle w:val="Tabletext"/>
              <w:rPr>
                <w:sz w:val="20"/>
              </w:rPr>
            </w:pPr>
            <w:r w:rsidRPr="00E62551">
              <w:rPr>
                <w:sz w:val="20"/>
              </w:rPr>
              <w:t>2023</w:t>
            </w:r>
          </w:p>
        </w:tc>
        <w:tc>
          <w:tcPr>
            <w:tcW w:w="1701" w:type="dxa"/>
            <w:noWrap/>
            <w:hideMark/>
          </w:tcPr>
          <w:p w14:paraId="7AB300D3" w14:textId="77777777" w:rsidR="00741F7E" w:rsidRPr="00E62551" w:rsidRDefault="00741F7E" w:rsidP="00044DBA">
            <w:pPr>
              <w:pStyle w:val="Tabletext"/>
              <w:rPr>
                <w:rFonts w:eastAsia="MS Mincho"/>
                <w:sz w:val="20"/>
              </w:rPr>
            </w:pPr>
            <w:r w:rsidRPr="00E62551">
              <w:rPr>
                <w:rFonts w:eastAsia="MS Mincho"/>
                <w:sz w:val="20"/>
              </w:rPr>
              <w:t>Trinidad and Tobago</w:t>
            </w:r>
          </w:p>
        </w:tc>
        <w:tc>
          <w:tcPr>
            <w:tcW w:w="1276" w:type="dxa"/>
          </w:tcPr>
          <w:p w14:paraId="40339D5B" w14:textId="77777777" w:rsidR="00741F7E" w:rsidRPr="00E62551" w:rsidRDefault="00741F7E" w:rsidP="00044DBA">
            <w:pPr>
              <w:pStyle w:val="Tabletext"/>
              <w:jc w:val="center"/>
              <w:rPr>
                <w:sz w:val="20"/>
              </w:rPr>
            </w:pPr>
          </w:p>
        </w:tc>
        <w:tc>
          <w:tcPr>
            <w:tcW w:w="1148" w:type="dxa"/>
            <w:noWrap/>
            <w:hideMark/>
          </w:tcPr>
          <w:p w14:paraId="17288BE5" w14:textId="12DBAFD3" w:rsidR="00741F7E" w:rsidRPr="00E62551" w:rsidRDefault="00741F7E" w:rsidP="00044DBA">
            <w:pPr>
              <w:pStyle w:val="Tabletext"/>
              <w:jc w:val="center"/>
              <w:rPr>
                <w:sz w:val="20"/>
              </w:rPr>
            </w:pPr>
            <w:r w:rsidRPr="00E62551">
              <w:rPr>
                <w:sz w:val="20"/>
              </w:rPr>
              <w:t>xx</w:t>
            </w:r>
          </w:p>
        </w:tc>
        <w:tc>
          <w:tcPr>
            <w:tcW w:w="1209" w:type="dxa"/>
            <w:noWrap/>
            <w:hideMark/>
          </w:tcPr>
          <w:p w14:paraId="098B8FE2" w14:textId="10F4EC79" w:rsidR="00741F7E" w:rsidRPr="00E62551" w:rsidRDefault="00741F7E" w:rsidP="00044DBA">
            <w:pPr>
              <w:pStyle w:val="Tabletext"/>
              <w:jc w:val="center"/>
              <w:rPr>
                <w:sz w:val="20"/>
              </w:rPr>
            </w:pPr>
            <w:r w:rsidRPr="00E62551">
              <w:rPr>
                <w:sz w:val="20"/>
              </w:rPr>
              <w:t>xx</w:t>
            </w:r>
          </w:p>
        </w:tc>
        <w:tc>
          <w:tcPr>
            <w:tcW w:w="1209" w:type="dxa"/>
            <w:noWrap/>
            <w:hideMark/>
          </w:tcPr>
          <w:p w14:paraId="4A1B93B6" w14:textId="1F20A7FD" w:rsidR="00741F7E" w:rsidRPr="00E62551" w:rsidRDefault="00741F7E" w:rsidP="00044DBA">
            <w:pPr>
              <w:pStyle w:val="Tabletext"/>
              <w:jc w:val="center"/>
              <w:rPr>
                <w:sz w:val="20"/>
              </w:rPr>
            </w:pPr>
            <w:r w:rsidRPr="00E62551">
              <w:rPr>
                <w:sz w:val="20"/>
              </w:rPr>
              <w:t>xx</w:t>
            </w:r>
          </w:p>
        </w:tc>
        <w:tc>
          <w:tcPr>
            <w:tcW w:w="1557" w:type="dxa"/>
            <w:noWrap/>
            <w:hideMark/>
          </w:tcPr>
          <w:p w14:paraId="1EFE9951" w14:textId="42D95A12" w:rsidR="00741F7E" w:rsidRPr="00E62551" w:rsidRDefault="00741F7E" w:rsidP="00044DBA">
            <w:pPr>
              <w:pStyle w:val="Tabletext"/>
              <w:jc w:val="center"/>
              <w:rPr>
                <w:sz w:val="20"/>
              </w:rPr>
            </w:pPr>
            <w:r w:rsidRPr="00E62551">
              <w:rPr>
                <w:sz w:val="20"/>
              </w:rPr>
              <w:t>xx</w:t>
            </w:r>
          </w:p>
        </w:tc>
        <w:tc>
          <w:tcPr>
            <w:tcW w:w="1390" w:type="dxa"/>
            <w:noWrap/>
            <w:hideMark/>
          </w:tcPr>
          <w:p w14:paraId="284C76FE" w14:textId="2761311E" w:rsidR="00741F7E" w:rsidRPr="00E62551" w:rsidRDefault="00741F7E" w:rsidP="00044DBA">
            <w:pPr>
              <w:pStyle w:val="Tabletext"/>
              <w:jc w:val="center"/>
              <w:rPr>
                <w:sz w:val="20"/>
              </w:rPr>
            </w:pPr>
            <w:r w:rsidRPr="00E62551">
              <w:rPr>
                <w:sz w:val="20"/>
              </w:rPr>
              <w:t>xx</w:t>
            </w:r>
          </w:p>
        </w:tc>
        <w:tc>
          <w:tcPr>
            <w:tcW w:w="1360" w:type="dxa"/>
            <w:noWrap/>
            <w:hideMark/>
          </w:tcPr>
          <w:p w14:paraId="187DBB74" w14:textId="56A617CD" w:rsidR="00741F7E" w:rsidRPr="00E62551" w:rsidRDefault="00741F7E" w:rsidP="00044DBA">
            <w:pPr>
              <w:pStyle w:val="Tabletext"/>
              <w:jc w:val="center"/>
              <w:rPr>
                <w:sz w:val="20"/>
              </w:rPr>
            </w:pPr>
            <w:r w:rsidRPr="00E62551">
              <w:rPr>
                <w:sz w:val="20"/>
              </w:rPr>
              <w:t>xx</w:t>
            </w:r>
          </w:p>
        </w:tc>
        <w:tc>
          <w:tcPr>
            <w:tcW w:w="1214" w:type="dxa"/>
            <w:noWrap/>
            <w:hideMark/>
          </w:tcPr>
          <w:p w14:paraId="2A8D0811" w14:textId="3CEBED63" w:rsidR="00741F7E" w:rsidRPr="00E62551" w:rsidRDefault="00741F7E" w:rsidP="00044DBA">
            <w:pPr>
              <w:pStyle w:val="Tabletext"/>
              <w:jc w:val="center"/>
              <w:rPr>
                <w:sz w:val="20"/>
              </w:rPr>
            </w:pPr>
            <w:r w:rsidRPr="00E62551">
              <w:rPr>
                <w:sz w:val="20"/>
              </w:rPr>
              <w:t>xx</w:t>
            </w:r>
          </w:p>
        </w:tc>
        <w:tc>
          <w:tcPr>
            <w:tcW w:w="1792" w:type="dxa"/>
            <w:noWrap/>
            <w:hideMark/>
          </w:tcPr>
          <w:p w14:paraId="7F7B2D1E" w14:textId="41FEC79B" w:rsidR="00741F7E" w:rsidRPr="00E62551" w:rsidRDefault="00741F7E" w:rsidP="00044DBA">
            <w:pPr>
              <w:pStyle w:val="Tabletext"/>
              <w:jc w:val="center"/>
              <w:rPr>
                <w:sz w:val="20"/>
              </w:rPr>
            </w:pPr>
            <w:r w:rsidRPr="00E62551">
              <w:rPr>
                <w:sz w:val="20"/>
              </w:rPr>
              <w:t>xx</w:t>
            </w:r>
          </w:p>
        </w:tc>
      </w:tr>
      <w:tr w:rsidR="00741F7E" w:rsidRPr="00E62551" w14:paraId="1247DABC" w14:textId="77777777" w:rsidTr="00E62551">
        <w:trPr>
          <w:trHeight w:val="20"/>
        </w:trPr>
        <w:tc>
          <w:tcPr>
            <w:tcW w:w="704" w:type="dxa"/>
            <w:noWrap/>
          </w:tcPr>
          <w:p w14:paraId="247A2C17" w14:textId="77777777" w:rsidR="00741F7E" w:rsidRPr="00E62551" w:rsidRDefault="00741F7E" w:rsidP="00044DBA">
            <w:pPr>
              <w:pStyle w:val="Tabletext"/>
              <w:rPr>
                <w:sz w:val="20"/>
              </w:rPr>
            </w:pPr>
            <w:r w:rsidRPr="00E62551">
              <w:rPr>
                <w:sz w:val="20"/>
              </w:rPr>
              <w:t xml:space="preserve">2023 </w:t>
            </w:r>
          </w:p>
        </w:tc>
        <w:tc>
          <w:tcPr>
            <w:tcW w:w="1701" w:type="dxa"/>
            <w:noWrap/>
          </w:tcPr>
          <w:p w14:paraId="7DFA3888" w14:textId="77777777" w:rsidR="00741F7E" w:rsidRPr="00E62551" w:rsidRDefault="00741F7E" w:rsidP="00044DBA">
            <w:pPr>
              <w:pStyle w:val="Tabletext"/>
              <w:rPr>
                <w:sz w:val="20"/>
              </w:rPr>
            </w:pPr>
            <w:r w:rsidRPr="00E62551">
              <w:rPr>
                <w:rFonts w:eastAsia="MS Mincho"/>
                <w:sz w:val="20"/>
              </w:rPr>
              <w:t>Trinidad and Tobago</w:t>
            </w:r>
          </w:p>
        </w:tc>
        <w:tc>
          <w:tcPr>
            <w:tcW w:w="1276" w:type="dxa"/>
          </w:tcPr>
          <w:p w14:paraId="0357B2DE" w14:textId="77777777" w:rsidR="00741F7E" w:rsidRPr="00E62551" w:rsidRDefault="00741F7E" w:rsidP="00044DBA">
            <w:pPr>
              <w:pStyle w:val="Tabletext"/>
              <w:jc w:val="center"/>
              <w:rPr>
                <w:sz w:val="20"/>
              </w:rPr>
            </w:pPr>
          </w:p>
        </w:tc>
        <w:tc>
          <w:tcPr>
            <w:tcW w:w="1148" w:type="dxa"/>
            <w:noWrap/>
          </w:tcPr>
          <w:p w14:paraId="5675B30F" w14:textId="663C5A93" w:rsidR="00741F7E" w:rsidRPr="00E62551" w:rsidRDefault="00741F7E" w:rsidP="00044DBA">
            <w:pPr>
              <w:pStyle w:val="Tabletext"/>
              <w:jc w:val="center"/>
              <w:rPr>
                <w:sz w:val="20"/>
              </w:rPr>
            </w:pPr>
            <w:r w:rsidRPr="00E62551">
              <w:rPr>
                <w:sz w:val="20"/>
              </w:rPr>
              <w:t>xx</w:t>
            </w:r>
          </w:p>
        </w:tc>
        <w:tc>
          <w:tcPr>
            <w:tcW w:w="1209" w:type="dxa"/>
            <w:noWrap/>
          </w:tcPr>
          <w:p w14:paraId="7C631A11" w14:textId="346BAE5E" w:rsidR="00741F7E" w:rsidRPr="00E62551" w:rsidRDefault="00741F7E" w:rsidP="00044DBA">
            <w:pPr>
              <w:pStyle w:val="Tabletext"/>
              <w:jc w:val="center"/>
              <w:rPr>
                <w:sz w:val="20"/>
              </w:rPr>
            </w:pPr>
            <w:r w:rsidRPr="00E62551">
              <w:rPr>
                <w:sz w:val="20"/>
              </w:rPr>
              <w:t>xx</w:t>
            </w:r>
          </w:p>
        </w:tc>
        <w:tc>
          <w:tcPr>
            <w:tcW w:w="1209" w:type="dxa"/>
            <w:noWrap/>
          </w:tcPr>
          <w:p w14:paraId="00EBF34B" w14:textId="220D1462" w:rsidR="00741F7E" w:rsidRPr="00E62551" w:rsidRDefault="00741F7E" w:rsidP="00044DBA">
            <w:pPr>
              <w:pStyle w:val="Tabletext"/>
              <w:jc w:val="center"/>
              <w:rPr>
                <w:sz w:val="20"/>
              </w:rPr>
            </w:pPr>
            <w:r w:rsidRPr="00E62551">
              <w:rPr>
                <w:sz w:val="20"/>
              </w:rPr>
              <w:t>xx</w:t>
            </w:r>
          </w:p>
        </w:tc>
        <w:tc>
          <w:tcPr>
            <w:tcW w:w="1557" w:type="dxa"/>
            <w:noWrap/>
          </w:tcPr>
          <w:p w14:paraId="76E1341F" w14:textId="6AD3AAF9" w:rsidR="00741F7E" w:rsidRPr="00E62551" w:rsidRDefault="00741F7E" w:rsidP="00044DBA">
            <w:pPr>
              <w:pStyle w:val="Tabletext"/>
              <w:jc w:val="center"/>
              <w:rPr>
                <w:sz w:val="20"/>
              </w:rPr>
            </w:pPr>
            <w:r w:rsidRPr="00E62551">
              <w:rPr>
                <w:sz w:val="20"/>
              </w:rPr>
              <w:t>xx</w:t>
            </w:r>
          </w:p>
        </w:tc>
        <w:tc>
          <w:tcPr>
            <w:tcW w:w="1390" w:type="dxa"/>
            <w:noWrap/>
          </w:tcPr>
          <w:p w14:paraId="38998C17" w14:textId="5552F536" w:rsidR="00741F7E" w:rsidRPr="00E62551" w:rsidRDefault="00741F7E" w:rsidP="00044DBA">
            <w:pPr>
              <w:pStyle w:val="Tabletext"/>
              <w:jc w:val="center"/>
              <w:rPr>
                <w:sz w:val="20"/>
              </w:rPr>
            </w:pPr>
            <w:r w:rsidRPr="00E62551">
              <w:rPr>
                <w:sz w:val="20"/>
              </w:rPr>
              <w:t>xx</w:t>
            </w:r>
          </w:p>
        </w:tc>
        <w:tc>
          <w:tcPr>
            <w:tcW w:w="1360" w:type="dxa"/>
            <w:noWrap/>
          </w:tcPr>
          <w:p w14:paraId="75A012E9" w14:textId="6A96020A" w:rsidR="00741F7E" w:rsidRPr="00E62551" w:rsidRDefault="00741F7E" w:rsidP="00044DBA">
            <w:pPr>
              <w:pStyle w:val="Tabletext"/>
              <w:jc w:val="center"/>
              <w:rPr>
                <w:sz w:val="20"/>
              </w:rPr>
            </w:pPr>
            <w:r w:rsidRPr="00E62551">
              <w:rPr>
                <w:sz w:val="20"/>
              </w:rPr>
              <w:t>xx</w:t>
            </w:r>
          </w:p>
        </w:tc>
        <w:tc>
          <w:tcPr>
            <w:tcW w:w="1214" w:type="dxa"/>
            <w:noWrap/>
          </w:tcPr>
          <w:p w14:paraId="19027C91" w14:textId="17D92947" w:rsidR="00741F7E" w:rsidRPr="00E62551" w:rsidRDefault="00741F7E" w:rsidP="00044DBA">
            <w:pPr>
              <w:pStyle w:val="Tabletext"/>
              <w:jc w:val="center"/>
              <w:rPr>
                <w:sz w:val="20"/>
              </w:rPr>
            </w:pPr>
            <w:r w:rsidRPr="00E62551">
              <w:rPr>
                <w:sz w:val="20"/>
              </w:rPr>
              <w:t>xx</w:t>
            </w:r>
          </w:p>
        </w:tc>
        <w:tc>
          <w:tcPr>
            <w:tcW w:w="1792" w:type="dxa"/>
            <w:noWrap/>
          </w:tcPr>
          <w:p w14:paraId="0F718D56" w14:textId="01115500" w:rsidR="00741F7E" w:rsidRPr="00E62551" w:rsidRDefault="00741F7E" w:rsidP="00044DBA">
            <w:pPr>
              <w:pStyle w:val="Tabletext"/>
              <w:jc w:val="center"/>
              <w:rPr>
                <w:sz w:val="20"/>
              </w:rPr>
            </w:pPr>
            <w:r w:rsidRPr="00E62551">
              <w:rPr>
                <w:sz w:val="20"/>
              </w:rPr>
              <w:t>xx</w:t>
            </w:r>
          </w:p>
        </w:tc>
      </w:tr>
    </w:tbl>
    <w:p w14:paraId="05561801" w14:textId="77777777" w:rsidR="00741F7E" w:rsidRDefault="00741F7E" w:rsidP="00741F7E">
      <w:pPr>
        <w:rPr>
          <w:b/>
          <w:bCs/>
          <w:szCs w:val="24"/>
        </w:rPr>
      </w:pPr>
    </w:p>
    <w:p w14:paraId="52E39728" w14:textId="77777777" w:rsidR="00741F7E" w:rsidRDefault="00741F7E" w:rsidP="00741F7E">
      <w:pPr>
        <w:rPr>
          <w:b/>
          <w:bCs/>
          <w:szCs w:val="24"/>
        </w:rPr>
      </w:pPr>
    </w:p>
    <w:p w14:paraId="002ACD99" w14:textId="77777777" w:rsidR="00741F7E" w:rsidRDefault="00741F7E" w:rsidP="00741F7E">
      <w:pPr>
        <w:rPr>
          <w:b/>
          <w:bCs/>
          <w:szCs w:val="24"/>
        </w:rPr>
        <w:sectPr w:rsidR="00741F7E" w:rsidSect="003E51C2">
          <w:headerReference w:type="default" r:id="rId26"/>
          <w:footerReference w:type="even" r:id="rId27"/>
          <w:footerReference w:type="default" r:id="rId28"/>
          <w:headerReference w:type="first" r:id="rId29"/>
          <w:footerReference w:type="first" r:id="rId30"/>
          <w:pgSz w:w="16838" w:h="11906" w:orient="landscape" w:code="9"/>
          <w:pgMar w:top="1134" w:right="1134" w:bottom="1134" w:left="1134" w:header="567" w:footer="567" w:gutter="0"/>
          <w:cols w:space="720"/>
          <w:titlePg/>
          <w:docGrid w:linePitch="360"/>
        </w:sectPr>
      </w:pPr>
    </w:p>
    <w:p w14:paraId="051E27EC" w14:textId="1DC20226" w:rsidR="00741F7E" w:rsidRDefault="00741F7E" w:rsidP="0030748E">
      <w:pPr>
        <w:pStyle w:val="AnnexNoTitle0"/>
      </w:pPr>
      <w:bookmarkStart w:id="69" w:name="_Toc213830521"/>
      <w:bookmarkStart w:id="70" w:name="_Toc214976395"/>
      <w:bookmarkStart w:id="71" w:name="_Toc229984650"/>
      <w:r w:rsidRPr="00814EBF">
        <w:lastRenderedPageBreak/>
        <w:t>A</w:t>
      </w:r>
      <w:r>
        <w:t>nnex</w:t>
      </w:r>
      <w:r w:rsidRPr="00814EBF">
        <w:t xml:space="preserve"> </w:t>
      </w:r>
      <w:r>
        <w:t>B</w:t>
      </w:r>
      <w:r w:rsidR="0030748E">
        <w:br/>
      </w:r>
      <w:r w:rsidR="0030748E">
        <w:br/>
      </w:r>
      <w:r w:rsidRPr="00182EDA">
        <w:t xml:space="preserve">Empirical </w:t>
      </w:r>
      <w:r w:rsidR="00712881">
        <w:t>c</w:t>
      </w:r>
      <w:r w:rsidRPr="00182EDA">
        <w:t xml:space="preserve">ases on OTT (Policy </w:t>
      </w:r>
      <w:r w:rsidR="00712881">
        <w:t>p</w:t>
      </w:r>
      <w:r w:rsidRPr="00182EDA">
        <w:t>erspectives)</w:t>
      </w:r>
      <w:bookmarkEnd w:id="69"/>
      <w:bookmarkEnd w:id="70"/>
      <w:bookmarkEnd w:id="71"/>
    </w:p>
    <w:p w14:paraId="70EE4B32" w14:textId="36D93A55" w:rsidR="00741F7E" w:rsidRDefault="00741F7E" w:rsidP="0030748E">
      <w:pPr>
        <w:spacing w:before="240"/>
        <w:rPr>
          <w:szCs w:val="24"/>
          <w:lang w:eastAsia="ja-JP" w:bidi="ar-DZ"/>
        </w:rPr>
      </w:pPr>
      <w:r w:rsidRPr="004A2987">
        <w:rPr>
          <w:szCs w:val="24"/>
          <w:lang w:eastAsia="ja-JP" w:bidi="ar-DZ"/>
        </w:rPr>
        <w:t xml:space="preserve">Country specific insights is a crucial initial step in understanding how individual nations are navigating and shaping their regulatory approaches to maintain a competitive environment in response to the proliferation of OTT applications. The subsequent </w:t>
      </w:r>
      <w:r w:rsidR="00210220">
        <w:rPr>
          <w:szCs w:val="24"/>
          <w:lang w:eastAsia="ja-JP" w:bidi="ar-DZ"/>
        </w:rPr>
        <w:t>clauses</w:t>
      </w:r>
      <w:r w:rsidRPr="004A2987">
        <w:rPr>
          <w:szCs w:val="24"/>
          <w:lang w:eastAsia="ja-JP" w:bidi="ar-DZ"/>
        </w:rPr>
        <w:t xml:space="preserve"> provide a synopsis of the current policy initiatives being undertaken by several countries to integrate OTT applications in the telecommunications regulatory domain. </w:t>
      </w:r>
    </w:p>
    <w:p w14:paraId="00C7A9CD" w14:textId="77777777" w:rsidR="00741F7E" w:rsidRPr="004A2987" w:rsidRDefault="00741F7E" w:rsidP="00741F7E">
      <w:pPr>
        <w:rPr>
          <w:szCs w:val="24"/>
          <w:lang w:eastAsia="ja-JP" w:bidi="ar-DZ"/>
        </w:rPr>
      </w:pPr>
      <w:r w:rsidRPr="00583504">
        <w:rPr>
          <w:szCs w:val="24"/>
          <w:lang w:eastAsia="ja-JP" w:bidi="ar-DZ"/>
        </w:rPr>
        <w:t>The country cases presented highlighted that although economies around the world are proactive in reaching a common ground on the treatment of OTTs, economies are yet to reach conclusive determinations regarding a suitable regulatory framework. The current status quo reveals a significant gap in regulatory oversight. OTT providers are not required by law in most jurisdictions to submit any data, in contrast to the reporting obligations imposed on traditional telecommunications operators. This poses a challenge for telecommunications regulators, especially in instances where the presence of OTT applications has been observed to have created a competitive constraint within the telecommunications market.</w:t>
      </w:r>
    </w:p>
    <w:p w14:paraId="06C9C8B6" w14:textId="77777777" w:rsidR="00741F7E" w:rsidRPr="0030748E" w:rsidRDefault="00741F7E" w:rsidP="0030748E">
      <w:pPr>
        <w:pStyle w:val="Heading2"/>
      </w:pPr>
      <w:bookmarkStart w:id="72" w:name="_Toc213830522"/>
      <w:bookmarkStart w:id="73" w:name="_Toc214976396"/>
      <w:bookmarkStart w:id="74" w:name="_Hlk192794177"/>
      <w:bookmarkStart w:id="75" w:name="_Toc229984651"/>
      <w:r w:rsidRPr="0030748E">
        <w:t>B.1</w:t>
      </w:r>
      <w:r w:rsidRPr="0030748E">
        <w:tab/>
        <w:t>Trinidad and Tobago</w:t>
      </w:r>
      <w:bookmarkEnd w:id="72"/>
      <w:bookmarkEnd w:id="73"/>
      <w:bookmarkEnd w:id="75"/>
    </w:p>
    <w:p w14:paraId="06259A2E" w14:textId="422B18F9" w:rsidR="00741F7E" w:rsidRPr="004A2987" w:rsidRDefault="00375AC0" w:rsidP="00741F7E">
      <w:pPr>
        <w:rPr>
          <w:szCs w:val="24"/>
          <w:lang w:eastAsia="ja-JP" w:bidi="ar-DZ"/>
        </w:rPr>
      </w:pPr>
      <w:r>
        <w:rPr>
          <w:szCs w:val="24"/>
          <w:lang w:eastAsia="ja-JP" w:bidi="ar-DZ"/>
        </w:rPr>
        <w:t xml:space="preserve">The </w:t>
      </w:r>
      <w:r w:rsidR="00D83509">
        <w:rPr>
          <w:szCs w:val="24"/>
          <w:lang w:eastAsia="ja-JP" w:bidi="ar-DZ"/>
        </w:rPr>
        <w:t>t</w:t>
      </w:r>
      <w:r>
        <w:rPr>
          <w:szCs w:val="24"/>
          <w:lang w:eastAsia="ja-JP" w:bidi="ar-DZ"/>
        </w:rPr>
        <w:t xml:space="preserve">elecommunications </w:t>
      </w:r>
      <w:r w:rsidR="00D83509">
        <w:rPr>
          <w:szCs w:val="24"/>
          <w:lang w:eastAsia="ja-JP" w:bidi="ar-DZ"/>
        </w:rPr>
        <w:t>a</w:t>
      </w:r>
      <w:r>
        <w:rPr>
          <w:szCs w:val="24"/>
          <w:lang w:eastAsia="ja-JP" w:bidi="ar-DZ"/>
        </w:rPr>
        <w:t xml:space="preserve">uthority of </w:t>
      </w:r>
      <w:r w:rsidRPr="004A2987">
        <w:rPr>
          <w:szCs w:val="24"/>
          <w:lang w:eastAsia="ja-JP" w:bidi="ar-DZ"/>
        </w:rPr>
        <w:t>Trinidad and Tobago</w:t>
      </w:r>
      <w:r>
        <w:rPr>
          <w:szCs w:val="24"/>
          <w:lang w:eastAsia="ja-JP" w:bidi="ar-DZ"/>
        </w:rPr>
        <w:t xml:space="preserve"> (the </w:t>
      </w:r>
      <w:r w:rsidR="00F36A6A">
        <w:rPr>
          <w:szCs w:val="24"/>
          <w:lang w:eastAsia="ja-JP" w:bidi="ar-DZ"/>
        </w:rPr>
        <w:t>a</w:t>
      </w:r>
      <w:r>
        <w:rPr>
          <w:szCs w:val="24"/>
          <w:lang w:eastAsia="ja-JP" w:bidi="ar-DZ"/>
        </w:rPr>
        <w:t>uthority)</w:t>
      </w:r>
      <w:r w:rsidRPr="004A2987">
        <w:rPr>
          <w:szCs w:val="24"/>
          <w:lang w:eastAsia="ja-JP" w:bidi="ar-DZ"/>
        </w:rPr>
        <w:t xml:space="preserve"> </w:t>
      </w:r>
      <w:r>
        <w:rPr>
          <w:szCs w:val="24"/>
          <w:lang w:eastAsia="ja-JP" w:bidi="ar-DZ"/>
        </w:rPr>
        <w:t xml:space="preserve">in October 2024 published its </w:t>
      </w:r>
      <w:r w:rsidR="002634D2">
        <w:rPr>
          <w:szCs w:val="24"/>
          <w:lang w:eastAsia="ja-JP" w:bidi="ar-DZ"/>
        </w:rPr>
        <w:t>f</w:t>
      </w:r>
      <w:r>
        <w:rPr>
          <w:szCs w:val="24"/>
          <w:lang w:eastAsia="ja-JP" w:bidi="ar-DZ"/>
        </w:rPr>
        <w:t xml:space="preserve">ramework on </w:t>
      </w:r>
      <w:r w:rsidR="002634D2">
        <w:rPr>
          <w:szCs w:val="24"/>
          <w:lang w:eastAsia="ja-JP" w:bidi="ar-DZ"/>
        </w:rPr>
        <w:t>o</w:t>
      </w:r>
      <w:r>
        <w:rPr>
          <w:szCs w:val="24"/>
          <w:lang w:eastAsia="ja-JP" w:bidi="ar-DZ"/>
        </w:rPr>
        <w:t>ver-the-</w:t>
      </w:r>
      <w:r w:rsidR="002634D2">
        <w:rPr>
          <w:szCs w:val="24"/>
          <w:lang w:eastAsia="ja-JP" w:bidi="ar-DZ"/>
        </w:rPr>
        <w:t>t</w:t>
      </w:r>
      <w:r>
        <w:rPr>
          <w:szCs w:val="24"/>
          <w:lang w:eastAsia="ja-JP" w:bidi="ar-DZ"/>
        </w:rPr>
        <w:t>op services in Trinidad and Tobago</w:t>
      </w:r>
      <w:r>
        <w:rPr>
          <w:rStyle w:val="FootnoteReference"/>
          <w:szCs w:val="24"/>
          <w:lang w:eastAsia="ja-JP" w:bidi="ar-DZ"/>
        </w:rPr>
        <w:footnoteReference w:id="11"/>
      </w:r>
      <w:r>
        <w:rPr>
          <w:szCs w:val="24"/>
          <w:lang w:eastAsia="ja-JP" w:bidi="ar-DZ"/>
        </w:rPr>
        <w:t xml:space="preserve">. </w:t>
      </w:r>
      <w:r w:rsidRPr="004A2987">
        <w:rPr>
          <w:szCs w:val="24"/>
          <w:lang w:eastAsia="ja-JP" w:bidi="ar-DZ"/>
        </w:rPr>
        <w:t xml:space="preserve">The framework recognised that OTT services provide a competitive constraint as it </w:t>
      </w:r>
      <w:r w:rsidR="00601043" w:rsidRPr="00601043">
        <w:rPr>
          <w:i/>
          <w:iCs/>
          <w:szCs w:val="24"/>
          <w:lang w:eastAsia="ja-JP" w:bidi="ar-DZ"/>
        </w:rPr>
        <w:t>"</w:t>
      </w:r>
      <w:r w:rsidRPr="004A2987">
        <w:rPr>
          <w:i/>
          <w:iCs/>
          <w:szCs w:val="24"/>
          <w:lang w:eastAsia="ja-JP" w:bidi="ar-DZ"/>
        </w:rPr>
        <w:t>may be a full or partial substitute for, and/or may compete with a public telecommunication and/or broadcasting service</w:t>
      </w:r>
      <w:r w:rsidR="00601043">
        <w:rPr>
          <w:i/>
          <w:iCs/>
          <w:szCs w:val="24"/>
          <w:lang w:eastAsia="ja-JP" w:bidi="ar-DZ"/>
        </w:rPr>
        <w:t>"</w:t>
      </w:r>
      <w:r>
        <w:rPr>
          <w:szCs w:val="24"/>
          <w:lang w:eastAsia="ja-JP" w:bidi="ar-DZ"/>
        </w:rPr>
        <w:t xml:space="preserve"> </w:t>
      </w:r>
      <w:r w:rsidR="00DC1310">
        <w:rPr>
          <w:szCs w:val="24"/>
          <w:lang w:eastAsia="ja-JP" w:bidi="ar-DZ"/>
        </w:rPr>
        <w:t>[b-</w:t>
      </w:r>
      <w:r>
        <w:rPr>
          <w:szCs w:val="24"/>
          <w:lang w:eastAsia="ja-JP" w:bidi="ar-DZ"/>
        </w:rPr>
        <w:t>TATT</w:t>
      </w:r>
      <w:r w:rsidR="00DC1310">
        <w:rPr>
          <w:szCs w:val="24"/>
          <w:lang w:eastAsia="ja-JP" w:bidi="ar-DZ"/>
        </w:rPr>
        <w:t>-</w:t>
      </w:r>
      <w:r>
        <w:rPr>
          <w:szCs w:val="24"/>
          <w:lang w:eastAsia="ja-JP" w:bidi="ar-DZ"/>
        </w:rPr>
        <w:t>2024</w:t>
      </w:r>
      <w:r w:rsidR="00DC1310">
        <w:t>]</w:t>
      </w:r>
      <w:r>
        <w:rPr>
          <w:szCs w:val="24"/>
          <w:lang w:eastAsia="ja-JP" w:bidi="ar-DZ"/>
        </w:rPr>
        <w:t xml:space="preserve">. </w:t>
      </w:r>
      <w:r w:rsidRPr="004A2987">
        <w:rPr>
          <w:szCs w:val="24"/>
          <w:lang w:eastAsia="ja-JP" w:bidi="ar-DZ"/>
        </w:rPr>
        <w:t xml:space="preserve">Assessing the true impact of OTT services on the domestic economy has posed an ongoing challenge for the regulatory agency. Specifically, the </w:t>
      </w:r>
      <w:r w:rsidR="00864C60">
        <w:rPr>
          <w:szCs w:val="24"/>
          <w:lang w:eastAsia="ja-JP" w:bidi="ar-DZ"/>
        </w:rPr>
        <w:t>a</w:t>
      </w:r>
      <w:r w:rsidRPr="004A2987">
        <w:rPr>
          <w:szCs w:val="24"/>
          <w:lang w:eastAsia="ja-JP" w:bidi="ar-DZ"/>
        </w:rPr>
        <w:t xml:space="preserve">uthority in </w:t>
      </w:r>
      <w:r>
        <w:rPr>
          <w:szCs w:val="24"/>
          <w:lang w:eastAsia="ja-JP" w:bidi="ar-DZ"/>
        </w:rPr>
        <w:t xml:space="preserve">2024 completed </w:t>
      </w:r>
      <w:r w:rsidRPr="004A2987">
        <w:rPr>
          <w:szCs w:val="24"/>
          <w:lang w:eastAsia="ja-JP" w:bidi="ar-DZ"/>
        </w:rPr>
        <w:t xml:space="preserve">two (2) market reviews to define the relevant markets for the </w:t>
      </w:r>
      <w:r w:rsidR="00E85E55">
        <w:rPr>
          <w:szCs w:val="24"/>
          <w:lang w:eastAsia="ja-JP" w:bidi="ar-DZ"/>
        </w:rPr>
        <w:t>d</w:t>
      </w:r>
      <w:r w:rsidRPr="004A2987">
        <w:rPr>
          <w:szCs w:val="24"/>
          <w:lang w:eastAsia="ja-JP" w:bidi="ar-DZ"/>
        </w:rPr>
        <w:t xml:space="preserve">omestic </w:t>
      </w:r>
      <w:r w:rsidR="00E85E55">
        <w:rPr>
          <w:szCs w:val="24"/>
          <w:lang w:eastAsia="ja-JP" w:bidi="ar-DZ"/>
        </w:rPr>
        <w:t>r</w:t>
      </w:r>
      <w:r w:rsidRPr="004A2987">
        <w:rPr>
          <w:szCs w:val="24"/>
          <w:lang w:eastAsia="ja-JP" w:bidi="ar-DZ"/>
        </w:rPr>
        <w:t xml:space="preserve">etail </w:t>
      </w:r>
      <w:r w:rsidR="00E85E55">
        <w:rPr>
          <w:szCs w:val="24"/>
          <w:lang w:eastAsia="ja-JP" w:bidi="ar-DZ"/>
        </w:rPr>
        <w:t>f</w:t>
      </w:r>
      <w:r w:rsidRPr="004A2987">
        <w:rPr>
          <w:szCs w:val="24"/>
          <w:lang w:eastAsia="ja-JP" w:bidi="ar-DZ"/>
        </w:rPr>
        <w:t xml:space="preserve">ixed </w:t>
      </w:r>
      <w:r w:rsidR="00E85E55">
        <w:rPr>
          <w:szCs w:val="24"/>
          <w:lang w:eastAsia="ja-JP" w:bidi="ar-DZ"/>
        </w:rPr>
        <w:t>t</w:t>
      </w:r>
      <w:r w:rsidRPr="004A2987">
        <w:rPr>
          <w:szCs w:val="24"/>
          <w:lang w:eastAsia="ja-JP" w:bidi="ar-DZ"/>
        </w:rPr>
        <w:t xml:space="preserve">elephony and </w:t>
      </w:r>
      <w:r w:rsidR="00E85E55">
        <w:rPr>
          <w:szCs w:val="24"/>
          <w:lang w:eastAsia="ja-JP" w:bidi="ar-DZ"/>
        </w:rPr>
        <w:t>f</w:t>
      </w:r>
      <w:r w:rsidRPr="004A2987">
        <w:rPr>
          <w:szCs w:val="24"/>
          <w:lang w:eastAsia="ja-JP" w:bidi="ar-DZ"/>
        </w:rPr>
        <w:t xml:space="preserve">ixed </w:t>
      </w:r>
      <w:r w:rsidR="00E85E55">
        <w:rPr>
          <w:szCs w:val="24"/>
          <w:lang w:eastAsia="ja-JP" w:bidi="ar-DZ"/>
        </w:rPr>
        <w:t>b</w:t>
      </w:r>
      <w:r w:rsidRPr="004A2987">
        <w:rPr>
          <w:szCs w:val="24"/>
          <w:lang w:eastAsia="ja-JP" w:bidi="ar-DZ"/>
        </w:rPr>
        <w:t xml:space="preserve">roadband </w:t>
      </w:r>
      <w:r w:rsidR="00E85E55">
        <w:rPr>
          <w:szCs w:val="24"/>
          <w:lang w:eastAsia="ja-JP" w:bidi="ar-DZ"/>
        </w:rPr>
        <w:t>m</w:t>
      </w:r>
      <w:r w:rsidRPr="004A2987">
        <w:rPr>
          <w:szCs w:val="24"/>
          <w:lang w:eastAsia="ja-JP" w:bidi="ar-DZ"/>
        </w:rPr>
        <w:t xml:space="preserve">arkets and the </w:t>
      </w:r>
      <w:r w:rsidR="005E562C">
        <w:rPr>
          <w:szCs w:val="24"/>
          <w:lang w:eastAsia="ja-JP" w:bidi="ar-DZ"/>
        </w:rPr>
        <w:t>d</w:t>
      </w:r>
      <w:r w:rsidRPr="004A2987">
        <w:rPr>
          <w:szCs w:val="24"/>
          <w:lang w:eastAsia="ja-JP" w:bidi="ar-DZ"/>
        </w:rPr>
        <w:t xml:space="preserve">omestic </w:t>
      </w:r>
      <w:r w:rsidR="005E562C">
        <w:rPr>
          <w:szCs w:val="24"/>
          <w:lang w:eastAsia="ja-JP" w:bidi="ar-DZ"/>
        </w:rPr>
        <w:t>r</w:t>
      </w:r>
      <w:r w:rsidRPr="004A2987">
        <w:rPr>
          <w:szCs w:val="24"/>
          <w:lang w:eastAsia="ja-JP" w:bidi="ar-DZ"/>
        </w:rPr>
        <w:t xml:space="preserve">etail </w:t>
      </w:r>
      <w:r w:rsidR="005E562C">
        <w:rPr>
          <w:szCs w:val="24"/>
          <w:lang w:eastAsia="ja-JP" w:bidi="ar-DZ"/>
        </w:rPr>
        <w:t>m</w:t>
      </w:r>
      <w:r w:rsidRPr="004A2987">
        <w:rPr>
          <w:szCs w:val="24"/>
          <w:lang w:eastAsia="ja-JP" w:bidi="ar-DZ"/>
        </w:rPr>
        <w:t xml:space="preserve">obile </w:t>
      </w:r>
      <w:r w:rsidR="003D2895">
        <w:rPr>
          <w:szCs w:val="24"/>
          <w:lang w:eastAsia="ja-JP" w:bidi="ar-DZ"/>
        </w:rPr>
        <w:t>t</w:t>
      </w:r>
      <w:r w:rsidRPr="004A2987">
        <w:rPr>
          <w:szCs w:val="24"/>
          <w:lang w:eastAsia="ja-JP" w:bidi="ar-DZ"/>
        </w:rPr>
        <w:t xml:space="preserve">elephony </w:t>
      </w:r>
      <w:r w:rsidR="003D2895">
        <w:rPr>
          <w:szCs w:val="24"/>
          <w:lang w:eastAsia="ja-JP" w:bidi="ar-DZ"/>
        </w:rPr>
        <w:t>m</w:t>
      </w:r>
      <w:r w:rsidRPr="004A2987">
        <w:rPr>
          <w:szCs w:val="24"/>
          <w:lang w:eastAsia="ja-JP" w:bidi="ar-DZ"/>
        </w:rPr>
        <w:t>arket</w:t>
      </w:r>
      <w:r w:rsidRPr="004A2987">
        <w:rPr>
          <w:szCs w:val="24"/>
          <w:vertAlign w:val="superscript"/>
          <w:lang w:eastAsia="ja-JP" w:bidi="ar-DZ"/>
        </w:rPr>
        <w:footnoteReference w:id="12"/>
      </w:r>
      <w:r w:rsidRPr="004A2987">
        <w:rPr>
          <w:szCs w:val="24"/>
          <w:lang w:eastAsia="ja-JP" w:bidi="ar-DZ"/>
        </w:rPr>
        <w:t xml:space="preserve">. The consumer survey that was conducted to aid in the assessment of the relevant fixed telephony market(s) revealed a notable increase in OTT service adoption, as evidenced by the increased percentage of calls conducted over the </w:t>
      </w:r>
      <w:r w:rsidR="003D2895">
        <w:rPr>
          <w:szCs w:val="24"/>
          <w:lang w:eastAsia="ja-JP" w:bidi="ar-DZ"/>
        </w:rPr>
        <w:t>I</w:t>
      </w:r>
      <w:r w:rsidRPr="004A2987">
        <w:rPr>
          <w:szCs w:val="24"/>
          <w:lang w:eastAsia="ja-JP" w:bidi="ar-DZ"/>
        </w:rPr>
        <w:t xml:space="preserve">nternet </w:t>
      </w:r>
      <w:r w:rsidRPr="00375AC0">
        <w:rPr>
          <w:szCs w:val="24"/>
          <w:lang w:eastAsia="ja-JP" w:bidi="ar-DZ"/>
        </w:rPr>
        <w:t>–</w:t>
      </w:r>
      <w:r w:rsidRPr="004A2987">
        <w:rPr>
          <w:szCs w:val="24"/>
          <w:lang w:eastAsia="ja-JP" w:bidi="ar-DZ"/>
        </w:rPr>
        <w:t xml:space="preserve"> rising from 10% in 2018 to 63% in 2022 among fixed </w:t>
      </w:r>
      <w:r w:rsidR="00987FE1">
        <w:rPr>
          <w:szCs w:val="24"/>
          <w:lang w:eastAsia="ja-JP" w:bidi="ar-DZ"/>
        </w:rPr>
        <w:t>I</w:t>
      </w:r>
      <w:r w:rsidRPr="004A2987">
        <w:rPr>
          <w:szCs w:val="24"/>
          <w:lang w:eastAsia="ja-JP" w:bidi="ar-DZ"/>
        </w:rPr>
        <w:t>nternet subscribers</w:t>
      </w:r>
      <w:r>
        <w:rPr>
          <w:szCs w:val="24"/>
          <w:lang w:eastAsia="ja-JP" w:bidi="ar-DZ"/>
        </w:rPr>
        <w:t xml:space="preserve"> </w:t>
      </w:r>
      <w:r w:rsidR="00E652CF">
        <w:t>[b-</w:t>
      </w:r>
      <w:r w:rsidR="00E652CF" w:rsidRPr="00A9449B">
        <w:t>TATT</w:t>
      </w:r>
      <w:r w:rsidR="00E652CF">
        <w:t>-</w:t>
      </w:r>
      <w:r w:rsidR="00041785">
        <w:t>2023</w:t>
      </w:r>
      <w:r w:rsidR="00E652CF">
        <w:t>]</w:t>
      </w:r>
      <w:r>
        <w:rPr>
          <w:szCs w:val="24"/>
          <w:lang w:eastAsia="ja-JP" w:bidi="ar-DZ"/>
        </w:rPr>
        <w:t>.</w:t>
      </w:r>
    </w:p>
    <w:p w14:paraId="6B988E31" w14:textId="1AD93242" w:rsidR="00741F7E" w:rsidRPr="004A2987" w:rsidRDefault="00741F7E" w:rsidP="00741F7E">
      <w:pPr>
        <w:rPr>
          <w:szCs w:val="24"/>
          <w:lang w:eastAsia="ja-JP" w:bidi="ar-DZ"/>
        </w:rPr>
      </w:pPr>
      <w:r w:rsidRPr="004A2987">
        <w:rPr>
          <w:szCs w:val="24"/>
          <w:lang w:eastAsia="ja-JP" w:bidi="ar-DZ"/>
        </w:rPr>
        <w:t>The findings from these market reviews suggest</w:t>
      </w:r>
      <w:r>
        <w:rPr>
          <w:szCs w:val="24"/>
          <w:lang w:eastAsia="ja-JP" w:bidi="ar-DZ"/>
        </w:rPr>
        <w:t>ed</w:t>
      </w:r>
      <w:r w:rsidRPr="004A2987">
        <w:rPr>
          <w:szCs w:val="24"/>
          <w:lang w:eastAsia="ja-JP" w:bidi="ar-DZ"/>
        </w:rPr>
        <w:t xml:space="preserve"> that OTT services in Trinidad and Tobago are used by a wide cross section of the population. The</w:t>
      </w:r>
      <w:r w:rsidR="00463565">
        <w:rPr>
          <w:szCs w:val="24"/>
          <w:lang w:eastAsia="ja-JP" w:bidi="ar-DZ"/>
        </w:rPr>
        <w:t xml:space="preserve"> </w:t>
      </w:r>
      <w:r w:rsidR="0083685C">
        <w:rPr>
          <w:szCs w:val="24"/>
          <w:lang w:eastAsia="ja-JP" w:bidi="ar-DZ"/>
        </w:rPr>
        <w:t>a</w:t>
      </w:r>
      <w:r w:rsidRPr="004A2987">
        <w:rPr>
          <w:szCs w:val="24"/>
          <w:lang w:eastAsia="ja-JP" w:bidi="ar-DZ"/>
        </w:rPr>
        <w:t>uthority acknowledges that OTT product characteristics facilitates its users to generate voice calls in</w:t>
      </w:r>
      <w:r>
        <w:rPr>
          <w:szCs w:val="24"/>
          <w:lang w:eastAsia="ja-JP" w:bidi="ar-DZ"/>
        </w:rPr>
        <w:t xml:space="preserve"> a</w:t>
      </w:r>
      <w:r w:rsidRPr="004A2987">
        <w:rPr>
          <w:szCs w:val="24"/>
          <w:lang w:eastAsia="ja-JP" w:bidi="ar-DZ"/>
        </w:rPr>
        <w:t xml:space="preserve"> similar fashion to traditional fixed and mobile voice calls. The rapid growth in the adoption of OTT services necessitates the conduct of frequent market studies to account for the expanding dynamics of OTT services. Moreover, it is recognized that </w:t>
      </w:r>
      <w:proofErr w:type="gramStart"/>
      <w:r w:rsidRPr="004A2987">
        <w:rPr>
          <w:szCs w:val="24"/>
          <w:lang w:eastAsia="ja-JP" w:bidi="ar-DZ"/>
        </w:rPr>
        <w:t>in order to</w:t>
      </w:r>
      <w:proofErr w:type="gramEnd"/>
      <w:r w:rsidRPr="004A2987">
        <w:rPr>
          <w:szCs w:val="24"/>
          <w:lang w:eastAsia="ja-JP" w:bidi="ar-DZ"/>
        </w:rPr>
        <w:t xml:space="preserve"> draw more informed and sound market conclusions, essential statistical datasets, such as OTT traffic and revenue data, must be provided by OTT service providers, and hence the need for establishing reporting standards for these OTT service providers. </w:t>
      </w:r>
    </w:p>
    <w:p w14:paraId="5693EE30" w14:textId="77777777" w:rsidR="00741F7E" w:rsidRPr="0030748E" w:rsidRDefault="00741F7E" w:rsidP="0030748E">
      <w:pPr>
        <w:pStyle w:val="Heading2"/>
      </w:pPr>
      <w:bookmarkStart w:id="76" w:name="_Toc213830523"/>
      <w:bookmarkStart w:id="77" w:name="_Toc214976397"/>
      <w:bookmarkStart w:id="78" w:name="_Toc229984652"/>
      <w:bookmarkEnd w:id="74"/>
      <w:r w:rsidRPr="0030748E">
        <w:t>B.2</w:t>
      </w:r>
      <w:r w:rsidRPr="0030748E">
        <w:tab/>
        <w:t>Bahamas</w:t>
      </w:r>
      <w:bookmarkEnd w:id="76"/>
      <w:bookmarkEnd w:id="77"/>
      <w:bookmarkEnd w:id="78"/>
    </w:p>
    <w:p w14:paraId="04259DC1" w14:textId="42B8A5F9" w:rsidR="00741F7E" w:rsidRPr="00601043" w:rsidRDefault="00741F7E" w:rsidP="00741F7E">
      <w:pPr>
        <w:rPr>
          <w:szCs w:val="24"/>
          <w:lang w:eastAsia="ja-JP" w:bidi="ar-DZ"/>
        </w:rPr>
      </w:pPr>
      <w:r w:rsidRPr="004A2987">
        <w:rPr>
          <w:szCs w:val="24"/>
          <w:lang w:eastAsia="ja-JP" w:bidi="ar-DZ"/>
        </w:rPr>
        <w:t xml:space="preserve">In 2018, the Bahamas </w:t>
      </w:r>
      <w:r w:rsidR="00910950">
        <w:rPr>
          <w:szCs w:val="24"/>
          <w:lang w:eastAsia="ja-JP" w:bidi="ar-DZ"/>
        </w:rPr>
        <w:t>u</w:t>
      </w:r>
      <w:r w:rsidRPr="004A2987">
        <w:rPr>
          <w:szCs w:val="24"/>
          <w:lang w:eastAsia="ja-JP" w:bidi="ar-DZ"/>
        </w:rPr>
        <w:t xml:space="preserve">tilities </w:t>
      </w:r>
      <w:r w:rsidR="00910950">
        <w:rPr>
          <w:szCs w:val="24"/>
          <w:lang w:eastAsia="ja-JP" w:bidi="ar-DZ"/>
        </w:rPr>
        <w:t>r</w:t>
      </w:r>
      <w:r w:rsidRPr="004A2987">
        <w:rPr>
          <w:szCs w:val="24"/>
          <w:lang w:eastAsia="ja-JP" w:bidi="ar-DZ"/>
        </w:rPr>
        <w:t xml:space="preserve">egulation &amp; </w:t>
      </w:r>
      <w:r w:rsidR="00910950">
        <w:rPr>
          <w:szCs w:val="24"/>
          <w:lang w:eastAsia="ja-JP" w:bidi="ar-DZ"/>
        </w:rPr>
        <w:t>c</w:t>
      </w:r>
      <w:r w:rsidRPr="004A2987">
        <w:rPr>
          <w:szCs w:val="24"/>
          <w:lang w:eastAsia="ja-JP" w:bidi="ar-DZ"/>
        </w:rPr>
        <w:t xml:space="preserve">ompetition </w:t>
      </w:r>
      <w:r w:rsidR="00910950">
        <w:rPr>
          <w:szCs w:val="24"/>
          <w:lang w:eastAsia="ja-JP" w:bidi="ar-DZ"/>
        </w:rPr>
        <w:t>a</w:t>
      </w:r>
      <w:r w:rsidRPr="004A2987">
        <w:rPr>
          <w:szCs w:val="24"/>
          <w:lang w:eastAsia="ja-JP" w:bidi="ar-DZ"/>
        </w:rPr>
        <w:t xml:space="preserve">uthority (URCA) undertook a consultation to determine, </w:t>
      </w:r>
      <w:r w:rsidRPr="004A2987">
        <w:rPr>
          <w:i/>
          <w:iCs/>
          <w:szCs w:val="24"/>
          <w:lang w:eastAsia="ja-JP" w:bidi="ar-DZ"/>
        </w:rPr>
        <w:t>among other things</w:t>
      </w:r>
      <w:r w:rsidRPr="004A2987">
        <w:rPr>
          <w:szCs w:val="24"/>
          <w:lang w:eastAsia="ja-JP" w:bidi="ar-DZ"/>
        </w:rPr>
        <w:t xml:space="preserve">, its regulatory measures in relation to </w:t>
      </w:r>
      <w:r w:rsidR="00910950">
        <w:rPr>
          <w:szCs w:val="24"/>
          <w:lang w:eastAsia="ja-JP" w:bidi="ar-DZ"/>
        </w:rPr>
        <w:t>n</w:t>
      </w:r>
      <w:r w:rsidRPr="004A2987">
        <w:rPr>
          <w:szCs w:val="24"/>
          <w:lang w:eastAsia="ja-JP" w:bidi="ar-DZ"/>
        </w:rPr>
        <w:t xml:space="preserve">et </w:t>
      </w:r>
      <w:r w:rsidR="00910950">
        <w:rPr>
          <w:szCs w:val="24"/>
          <w:lang w:eastAsia="ja-JP" w:bidi="ar-DZ"/>
        </w:rPr>
        <w:t>n</w:t>
      </w:r>
      <w:r w:rsidRPr="004A2987">
        <w:rPr>
          <w:szCs w:val="24"/>
          <w:lang w:eastAsia="ja-JP" w:bidi="ar-DZ"/>
        </w:rPr>
        <w:t xml:space="preserve">eutrality and OTT services. After considering the feedback from the market the URCA concluded that it will not introduce ex ante regulation at this time to treat with </w:t>
      </w:r>
      <w:r w:rsidR="00227496">
        <w:rPr>
          <w:szCs w:val="24"/>
          <w:lang w:eastAsia="ja-JP" w:bidi="ar-DZ"/>
        </w:rPr>
        <w:t>n</w:t>
      </w:r>
      <w:r w:rsidRPr="004A2987">
        <w:rPr>
          <w:szCs w:val="24"/>
          <w:lang w:eastAsia="ja-JP" w:bidi="ar-DZ"/>
        </w:rPr>
        <w:t xml:space="preserve">et </w:t>
      </w:r>
      <w:r w:rsidR="00227496">
        <w:rPr>
          <w:szCs w:val="24"/>
          <w:lang w:eastAsia="ja-JP" w:bidi="ar-DZ"/>
        </w:rPr>
        <w:t>n</w:t>
      </w:r>
      <w:r w:rsidRPr="004A2987">
        <w:rPr>
          <w:szCs w:val="24"/>
          <w:lang w:eastAsia="ja-JP" w:bidi="ar-DZ"/>
        </w:rPr>
        <w:t xml:space="preserve">eutrality and OTT services. Specifically, URCA is of the view that a significant part of the response to the prevalence of OTTs should be the </w:t>
      </w:r>
      <w:r w:rsidRPr="004A2987">
        <w:rPr>
          <w:szCs w:val="24"/>
          <w:lang w:eastAsia="ja-JP" w:bidi="ar-DZ"/>
        </w:rPr>
        <w:lastRenderedPageBreak/>
        <w:t xml:space="preserve">adoption by affected regulated entities of innovative strategies that embrace the natural but rapid changes in the technological environment while remaining profitable, as has historically </w:t>
      </w:r>
      <w:r w:rsidRPr="00601043">
        <w:rPr>
          <w:szCs w:val="24"/>
          <w:lang w:eastAsia="ja-JP" w:bidi="ar-DZ"/>
        </w:rPr>
        <w:t>occurred in response to other disruptive influences on the electronic communications market</w:t>
      </w:r>
      <w:r w:rsidR="00375AC0" w:rsidRPr="00601043">
        <w:rPr>
          <w:szCs w:val="24"/>
          <w:lang w:eastAsia="ja-JP" w:bidi="ar-DZ"/>
        </w:rPr>
        <w:t xml:space="preserve"> </w:t>
      </w:r>
      <w:r w:rsidR="00375AC0" w:rsidRPr="00601043">
        <w:rPr>
          <w:rFonts w:eastAsia="Aptos"/>
          <w:kern w:val="2"/>
          <w:szCs w:val="24"/>
          <w:lang w:val="en-TT"/>
          <w14:ligatures w14:val="standardContextual"/>
        </w:rPr>
        <w:t>(</w:t>
      </w:r>
      <w:r w:rsidR="00910950">
        <w:rPr>
          <w:rFonts w:eastAsiaTheme="minorEastAsia"/>
          <w:lang w:eastAsia="zh-CN"/>
        </w:rPr>
        <w:t>[b-</w:t>
      </w:r>
      <w:r w:rsidR="00375AC0" w:rsidRPr="00601043">
        <w:rPr>
          <w:rFonts w:eastAsia="Aptos"/>
          <w:kern w:val="2"/>
          <w:szCs w:val="24"/>
          <w:lang w:val="en-TT"/>
          <w14:ligatures w14:val="standardContextual"/>
        </w:rPr>
        <w:t>URCA</w:t>
      </w:r>
      <w:r w:rsidR="00910950">
        <w:rPr>
          <w:rFonts w:eastAsia="Aptos"/>
          <w:kern w:val="2"/>
          <w:szCs w:val="24"/>
          <w:lang w:val="en-TT"/>
          <w14:ligatures w14:val="standardContextual"/>
        </w:rPr>
        <w:t>-</w:t>
      </w:r>
      <w:r w:rsidR="00375AC0" w:rsidRPr="00601043">
        <w:rPr>
          <w:rFonts w:eastAsia="Aptos"/>
          <w:kern w:val="2"/>
          <w:szCs w:val="24"/>
          <w:lang w:val="en-TT"/>
          <w14:ligatures w14:val="standardContextual"/>
        </w:rPr>
        <w:t>2018</w:t>
      </w:r>
      <w:r w:rsidR="00910950">
        <w:rPr>
          <w:rFonts w:eastAsia="Aptos"/>
          <w:kern w:val="2"/>
          <w:szCs w:val="24"/>
          <w:lang w:val="en-TT"/>
          <w14:ligatures w14:val="standardContextual"/>
        </w:rPr>
        <w:t>]</w:t>
      </w:r>
      <w:r w:rsidR="00375AC0" w:rsidRPr="00601043">
        <w:rPr>
          <w:rFonts w:eastAsia="Aptos"/>
          <w:kern w:val="2"/>
          <w:szCs w:val="24"/>
          <w:lang w:val="en-TT"/>
          <w14:ligatures w14:val="standardContextual"/>
        </w:rPr>
        <w:t>).</w:t>
      </w:r>
      <w:r w:rsidRPr="00601043">
        <w:rPr>
          <w:szCs w:val="24"/>
          <w:lang w:eastAsia="ja-JP" w:bidi="ar-DZ"/>
        </w:rPr>
        <w:t xml:space="preserve"> However, URCA has been reviewing its position and although it has decided to not review</w:t>
      </w:r>
      <w:r w:rsidRPr="00E61AFE">
        <w:rPr>
          <w:szCs w:val="24"/>
          <w:lang w:eastAsia="ja-JP" w:bidi="ar-DZ"/>
        </w:rPr>
        <w:t xml:space="preserve"> OTTs as a separate/sole workstream, it has conducted market determination exercises in both the mobile and fixed markets with a focus on whether OTT communication services form part of those relevant markets. Preliminary conclusions indicated that OTT services were not part of either the </w:t>
      </w:r>
      <w:r w:rsidRPr="00601043">
        <w:rPr>
          <w:szCs w:val="24"/>
          <w:lang w:eastAsia="ja-JP" w:bidi="ar-DZ"/>
        </w:rPr>
        <w:t xml:space="preserve">mobile voice market </w:t>
      </w:r>
      <w:r w:rsidR="00812A20">
        <w:rPr>
          <w:rFonts w:eastAsia="Aptos"/>
          <w:kern w:val="2"/>
          <w:szCs w:val="24"/>
          <w:lang w:val="en-TT"/>
          <w14:ligatures w14:val="standardContextual"/>
        </w:rPr>
        <w:t>[b-</w:t>
      </w:r>
      <w:r w:rsidR="00375AC0" w:rsidRPr="00601043">
        <w:rPr>
          <w:rFonts w:eastAsia="Aptos"/>
          <w:kern w:val="2"/>
          <w:szCs w:val="24"/>
          <w:lang w:val="en-TT"/>
          <w14:ligatures w14:val="standardContextual"/>
        </w:rPr>
        <w:t>URCA</w:t>
      </w:r>
      <w:r w:rsidR="00812A20">
        <w:rPr>
          <w:rFonts w:eastAsia="Aptos"/>
          <w:kern w:val="2"/>
          <w:szCs w:val="24"/>
          <w:lang w:val="en-TT"/>
          <w14:ligatures w14:val="standardContextual"/>
        </w:rPr>
        <w:t>-</w:t>
      </w:r>
      <w:r w:rsidR="00375AC0" w:rsidRPr="00601043">
        <w:rPr>
          <w:rFonts w:eastAsia="Aptos"/>
          <w:kern w:val="2"/>
          <w:szCs w:val="24"/>
          <w:lang w:val="en-TT"/>
          <w14:ligatures w14:val="standardContextual"/>
        </w:rPr>
        <w:t>2022</w:t>
      </w:r>
      <w:r w:rsidR="00812A20">
        <w:rPr>
          <w:rFonts w:eastAsia="Aptos"/>
          <w:kern w:val="2"/>
          <w:szCs w:val="24"/>
          <w:lang w:val="en-TT"/>
          <w14:ligatures w14:val="standardContextual"/>
        </w:rPr>
        <w:t>]</w:t>
      </w:r>
      <w:r w:rsidR="00375AC0" w:rsidRPr="00601043">
        <w:rPr>
          <w:rFonts w:eastAsia="Aptos"/>
          <w:kern w:val="2"/>
          <w:szCs w:val="24"/>
          <w:lang w:val="en-TT"/>
          <w14:ligatures w14:val="standardContextual"/>
        </w:rPr>
        <w:t xml:space="preserve"> </w:t>
      </w:r>
      <w:r w:rsidRPr="00601043">
        <w:rPr>
          <w:szCs w:val="24"/>
          <w:lang w:eastAsia="ja-JP" w:bidi="ar-DZ"/>
        </w:rPr>
        <w:t xml:space="preserve">or fixed voice </w:t>
      </w:r>
      <w:r w:rsidRPr="00601043">
        <w:rPr>
          <w:szCs w:val="24"/>
        </w:rPr>
        <w:t xml:space="preserve">market </w:t>
      </w:r>
      <w:r w:rsidR="001A4358">
        <w:rPr>
          <w:rFonts w:eastAsia="Aptos"/>
          <w:kern w:val="2"/>
          <w:szCs w:val="24"/>
          <w:lang w:val="en-TT"/>
          <w14:ligatures w14:val="standardContextual"/>
        </w:rPr>
        <w:t>[b-</w:t>
      </w:r>
      <w:r w:rsidR="00375AC0" w:rsidRPr="00601043">
        <w:rPr>
          <w:rFonts w:eastAsia="Aptos"/>
          <w:kern w:val="2"/>
          <w:szCs w:val="24"/>
          <w:lang w:val="en-TT"/>
          <w14:ligatures w14:val="standardContextual"/>
        </w:rPr>
        <w:t>URCA</w:t>
      </w:r>
      <w:r w:rsidR="001A4358">
        <w:rPr>
          <w:rFonts w:eastAsia="Aptos"/>
          <w:kern w:val="2"/>
          <w:szCs w:val="24"/>
          <w:lang w:val="en-TT"/>
          <w14:ligatures w14:val="standardContextual"/>
        </w:rPr>
        <w:t>-</w:t>
      </w:r>
      <w:r w:rsidR="00375AC0" w:rsidRPr="00601043">
        <w:rPr>
          <w:rFonts w:eastAsia="Aptos"/>
          <w:kern w:val="2"/>
          <w:szCs w:val="24"/>
          <w:lang w:val="en-TT"/>
          <w14:ligatures w14:val="standardContextual"/>
        </w:rPr>
        <w:t>2024</w:t>
      </w:r>
      <w:r w:rsidR="001A4358">
        <w:rPr>
          <w:rFonts w:eastAsia="Aptos"/>
          <w:kern w:val="2"/>
          <w:szCs w:val="24"/>
          <w:lang w:val="en-TT"/>
          <w14:ligatures w14:val="standardContextual"/>
        </w:rPr>
        <w:t>]</w:t>
      </w:r>
      <w:r w:rsidR="00375AC0" w:rsidRPr="00601043">
        <w:rPr>
          <w:rFonts w:eastAsia="Aptos"/>
          <w:kern w:val="2"/>
          <w:szCs w:val="24"/>
          <w:lang w:val="en-TT"/>
          <w14:ligatures w14:val="standardContextual"/>
        </w:rPr>
        <w:t>.</w:t>
      </w:r>
    </w:p>
    <w:p w14:paraId="3221A152" w14:textId="40C42928" w:rsidR="00741F7E" w:rsidRPr="0030748E" w:rsidRDefault="00741F7E" w:rsidP="0030748E">
      <w:pPr>
        <w:pStyle w:val="Heading2"/>
      </w:pPr>
      <w:bookmarkStart w:id="79" w:name="_Toc213830524"/>
      <w:bookmarkStart w:id="80" w:name="_Toc214976398"/>
      <w:bookmarkStart w:id="81" w:name="_Toc229984653"/>
      <w:r w:rsidRPr="0030748E">
        <w:t>B.3</w:t>
      </w:r>
      <w:r w:rsidRPr="0030748E">
        <w:tab/>
        <w:t xml:space="preserve">Eastern Caribbean </w:t>
      </w:r>
      <w:r w:rsidR="009E2BB5">
        <w:t>c</w:t>
      </w:r>
      <w:r w:rsidRPr="0030748E">
        <w:t>ountries</w:t>
      </w:r>
      <w:bookmarkEnd w:id="79"/>
      <w:bookmarkEnd w:id="80"/>
      <w:bookmarkEnd w:id="81"/>
    </w:p>
    <w:p w14:paraId="4F36A712" w14:textId="73860A68" w:rsidR="00741F7E" w:rsidRPr="004A2987" w:rsidRDefault="00741F7E" w:rsidP="00741F7E">
      <w:pPr>
        <w:rPr>
          <w:szCs w:val="24"/>
          <w:lang w:eastAsia="ja-JP" w:bidi="ar-DZ"/>
        </w:rPr>
      </w:pPr>
      <w:r w:rsidRPr="004A2987">
        <w:rPr>
          <w:szCs w:val="24"/>
          <w:lang w:eastAsia="ja-JP" w:bidi="ar-DZ"/>
        </w:rPr>
        <w:t xml:space="preserve">There has been no formal regulatory response to the proliferation of OTT services in the Eastern Caribbean countries (Dominica, Grenada, St. Kitts and Nevis, Saint Lucia and St. Vincent and the Grenadines) which is regulated by the Eastern Caribbean </w:t>
      </w:r>
      <w:r w:rsidR="00D51E4F">
        <w:rPr>
          <w:szCs w:val="24"/>
          <w:lang w:eastAsia="ja-JP" w:bidi="ar-DZ"/>
        </w:rPr>
        <w:t>t</w:t>
      </w:r>
      <w:r w:rsidRPr="004A2987">
        <w:rPr>
          <w:szCs w:val="24"/>
          <w:lang w:eastAsia="ja-JP" w:bidi="ar-DZ"/>
        </w:rPr>
        <w:t xml:space="preserve">elecommunications </w:t>
      </w:r>
      <w:r w:rsidR="00D51E4F">
        <w:rPr>
          <w:szCs w:val="24"/>
          <w:lang w:eastAsia="ja-JP" w:bidi="ar-DZ"/>
        </w:rPr>
        <w:t>a</w:t>
      </w:r>
      <w:r w:rsidRPr="004A2987">
        <w:rPr>
          <w:szCs w:val="24"/>
          <w:lang w:eastAsia="ja-JP" w:bidi="ar-DZ"/>
        </w:rPr>
        <w:t xml:space="preserve">uthority (ECTEL) and the National </w:t>
      </w:r>
      <w:r w:rsidR="00D51E4F">
        <w:rPr>
          <w:szCs w:val="24"/>
          <w:lang w:eastAsia="ja-JP" w:bidi="ar-DZ"/>
        </w:rPr>
        <w:t>t</w:t>
      </w:r>
      <w:r w:rsidRPr="004A2987">
        <w:rPr>
          <w:szCs w:val="24"/>
          <w:lang w:eastAsia="ja-JP" w:bidi="ar-DZ"/>
        </w:rPr>
        <w:t xml:space="preserve">elecommunications </w:t>
      </w:r>
      <w:r w:rsidR="00D51E4F">
        <w:rPr>
          <w:szCs w:val="24"/>
          <w:lang w:eastAsia="ja-JP" w:bidi="ar-DZ"/>
        </w:rPr>
        <w:t>r</w:t>
      </w:r>
      <w:r w:rsidRPr="004A2987">
        <w:rPr>
          <w:szCs w:val="24"/>
          <w:lang w:eastAsia="ja-JP" w:bidi="ar-DZ"/>
        </w:rPr>
        <w:t xml:space="preserve">egulatory </w:t>
      </w:r>
      <w:r w:rsidR="00D51E4F">
        <w:rPr>
          <w:szCs w:val="24"/>
          <w:lang w:eastAsia="ja-JP" w:bidi="ar-DZ"/>
        </w:rPr>
        <w:t>c</w:t>
      </w:r>
      <w:r w:rsidRPr="004A2987">
        <w:rPr>
          <w:szCs w:val="24"/>
          <w:lang w:eastAsia="ja-JP" w:bidi="ar-DZ"/>
        </w:rPr>
        <w:t xml:space="preserve">ommissions (NTRC). However, the ECTEL supports the principle of </w:t>
      </w:r>
      <w:r w:rsidR="00397DDD">
        <w:rPr>
          <w:szCs w:val="24"/>
          <w:lang w:eastAsia="ja-JP" w:bidi="ar-DZ"/>
        </w:rPr>
        <w:t>n</w:t>
      </w:r>
      <w:r w:rsidRPr="004A2987">
        <w:rPr>
          <w:szCs w:val="24"/>
          <w:lang w:eastAsia="ja-JP" w:bidi="ar-DZ"/>
        </w:rPr>
        <w:t xml:space="preserve">et </w:t>
      </w:r>
      <w:r w:rsidR="00397DDD">
        <w:rPr>
          <w:szCs w:val="24"/>
          <w:lang w:eastAsia="ja-JP" w:bidi="ar-DZ"/>
        </w:rPr>
        <w:t>n</w:t>
      </w:r>
      <w:r w:rsidRPr="004A2987">
        <w:rPr>
          <w:szCs w:val="24"/>
          <w:lang w:eastAsia="ja-JP" w:bidi="ar-DZ"/>
        </w:rPr>
        <w:t>eutrality and views blocking of OTT service providers as a practice that interferes with regional objectives</w:t>
      </w:r>
      <w:r w:rsidRPr="004A2987">
        <w:rPr>
          <w:szCs w:val="24"/>
          <w:vertAlign w:val="superscript"/>
          <w:lang w:eastAsia="ja-JP" w:bidi="ar-DZ"/>
        </w:rPr>
        <w:footnoteReference w:id="13"/>
      </w:r>
      <w:r w:rsidR="00375AC0">
        <w:rPr>
          <w:szCs w:val="24"/>
          <w:lang w:eastAsia="ja-JP" w:bidi="ar-DZ"/>
        </w:rPr>
        <w:t xml:space="preserve"> </w:t>
      </w:r>
      <w:r w:rsidR="00655474">
        <w:rPr>
          <w:szCs w:val="24"/>
          <w:lang w:eastAsia="ja-JP" w:bidi="ar-DZ"/>
        </w:rPr>
        <w:t>[</w:t>
      </w:r>
      <w:r w:rsidR="004F0790">
        <w:rPr>
          <w:szCs w:val="24"/>
          <w:lang w:eastAsia="ja-JP" w:bidi="ar-DZ"/>
        </w:rPr>
        <w:t>b-</w:t>
      </w:r>
      <w:r w:rsidR="00375AC0" w:rsidRPr="00375AC0">
        <w:rPr>
          <w:szCs w:val="24"/>
          <w:lang w:eastAsia="ja-JP" w:bidi="ar-DZ"/>
        </w:rPr>
        <w:t>ECTEL</w:t>
      </w:r>
      <w:r w:rsidR="00655474">
        <w:rPr>
          <w:szCs w:val="24"/>
          <w:lang w:eastAsia="ja-JP" w:bidi="ar-DZ"/>
        </w:rPr>
        <w:t>]</w:t>
      </w:r>
      <w:r w:rsidR="00375AC0" w:rsidRPr="00375AC0">
        <w:rPr>
          <w:szCs w:val="24"/>
          <w:lang w:eastAsia="ja-JP" w:bidi="ar-DZ"/>
        </w:rPr>
        <w:t>.</w:t>
      </w:r>
    </w:p>
    <w:p w14:paraId="7EB44709" w14:textId="77777777" w:rsidR="00741F7E" w:rsidRPr="0030748E" w:rsidRDefault="00741F7E" w:rsidP="0030748E">
      <w:pPr>
        <w:pStyle w:val="Heading2"/>
      </w:pPr>
      <w:bookmarkStart w:id="82" w:name="_Toc213830525"/>
      <w:bookmarkStart w:id="83" w:name="_Toc214976399"/>
      <w:bookmarkStart w:id="84" w:name="_Toc229984654"/>
      <w:r w:rsidRPr="0030748E">
        <w:t>B.4</w:t>
      </w:r>
      <w:r w:rsidRPr="0030748E">
        <w:tab/>
        <w:t>Brazil</w:t>
      </w:r>
      <w:bookmarkEnd w:id="82"/>
      <w:bookmarkEnd w:id="83"/>
      <w:bookmarkEnd w:id="84"/>
      <w:r w:rsidRPr="0030748E">
        <w:t xml:space="preserve"> </w:t>
      </w:r>
    </w:p>
    <w:p w14:paraId="65161AE1" w14:textId="6278CCE8" w:rsidR="00741F7E" w:rsidRDefault="00741F7E" w:rsidP="00741F7E">
      <w:pPr>
        <w:rPr>
          <w:szCs w:val="24"/>
        </w:rPr>
      </w:pPr>
      <w:r w:rsidRPr="004A2987">
        <w:rPr>
          <w:szCs w:val="24"/>
          <w:lang w:eastAsia="ja-JP" w:bidi="ar-DZ"/>
        </w:rPr>
        <w:t xml:space="preserve">Currently under </w:t>
      </w:r>
      <w:r w:rsidR="00D07893">
        <w:rPr>
          <w:szCs w:val="24"/>
          <w:lang w:eastAsia="ja-JP" w:bidi="ar-DZ"/>
        </w:rPr>
        <w:t xml:space="preserve">the </w:t>
      </w:r>
      <w:r w:rsidR="004F0790">
        <w:rPr>
          <w:szCs w:val="24"/>
          <w:lang w:eastAsia="ja-JP" w:bidi="ar-DZ"/>
        </w:rPr>
        <w:t xml:space="preserve">Federative Republic of </w:t>
      </w:r>
      <w:r w:rsidRPr="004A2987">
        <w:rPr>
          <w:szCs w:val="24"/>
          <w:lang w:eastAsia="ja-JP" w:bidi="ar-DZ"/>
        </w:rPr>
        <w:t>Brazil</w:t>
      </w:r>
      <w:r w:rsidR="00580392" w:rsidRPr="00580392">
        <w:rPr>
          <w:szCs w:val="24"/>
          <w:lang w:eastAsia="ja-JP" w:bidi="ar-DZ"/>
        </w:rPr>
        <w:t>'</w:t>
      </w:r>
      <w:r w:rsidRPr="004A2987">
        <w:rPr>
          <w:szCs w:val="24"/>
          <w:lang w:eastAsia="ja-JP" w:bidi="ar-DZ"/>
        </w:rPr>
        <w:t>s legislation, OTT applications are classified as value-added services (</w:t>
      </w:r>
      <w:proofErr w:type="spellStart"/>
      <w:r w:rsidRPr="004A2987">
        <w:rPr>
          <w:szCs w:val="24"/>
          <w:lang w:eastAsia="ja-JP" w:bidi="ar-DZ"/>
        </w:rPr>
        <w:t>Serviço</w:t>
      </w:r>
      <w:proofErr w:type="spellEnd"/>
      <w:r w:rsidRPr="004A2987">
        <w:rPr>
          <w:szCs w:val="24"/>
          <w:lang w:eastAsia="ja-JP" w:bidi="ar-DZ"/>
        </w:rPr>
        <w:t xml:space="preserve"> de Valor </w:t>
      </w:r>
      <w:proofErr w:type="spellStart"/>
      <w:r w:rsidRPr="004A2987">
        <w:rPr>
          <w:szCs w:val="24"/>
          <w:lang w:eastAsia="ja-JP" w:bidi="ar-DZ"/>
        </w:rPr>
        <w:t>Adicionado</w:t>
      </w:r>
      <w:proofErr w:type="spellEnd"/>
      <w:r w:rsidRPr="004A2987">
        <w:rPr>
          <w:szCs w:val="24"/>
          <w:lang w:eastAsia="ja-JP" w:bidi="ar-DZ"/>
        </w:rPr>
        <w:t xml:space="preserve"> or SVA), which implies that OTTs are characterized as users of the telecommunication service, and, consequently, are not considered as either telecommunications or broadcasting services. However, Brazil</w:t>
      </w:r>
      <w:r w:rsidR="00580392" w:rsidRPr="00580392">
        <w:rPr>
          <w:szCs w:val="24"/>
          <w:lang w:eastAsia="ja-JP" w:bidi="ar-DZ"/>
        </w:rPr>
        <w:t>'</w:t>
      </w:r>
      <w:r w:rsidRPr="004A2987">
        <w:rPr>
          <w:szCs w:val="24"/>
          <w:lang w:eastAsia="ja-JP" w:bidi="ar-DZ"/>
        </w:rPr>
        <w:t xml:space="preserve">s </w:t>
      </w:r>
      <w:r w:rsidR="00CC2EDE">
        <w:rPr>
          <w:szCs w:val="24"/>
          <w:lang w:eastAsia="ja-JP" w:bidi="ar-DZ"/>
        </w:rPr>
        <w:t>t</w:t>
      </w:r>
      <w:r w:rsidRPr="004A2987">
        <w:rPr>
          <w:szCs w:val="24"/>
          <w:lang w:eastAsia="ja-JP" w:bidi="ar-DZ"/>
        </w:rPr>
        <w:t xml:space="preserve">elecommunications </w:t>
      </w:r>
      <w:r w:rsidR="00CC2EDE">
        <w:rPr>
          <w:szCs w:val="24"/>
          <w:lang w:eastAsia="ja-JP" w:bidi="ar-DZ"/>
        </w:rPr>
        <w:t>a</w:t>
      </w:r>
      <w:r w:rsidRPr="004A2987">
        <w:rPr>
          <w:szCs w:val="24"/>
          <w:lang w:eastAsia="ja-JP" w:bidi="ar-DZ"/>
        </w:rPr>
        <w:t xml:space="preserve">uthority (National </w:t>
      </w:r>
      <w:r w:rsidR="00CC2EDE">
        <w:rPr>
          <w:szCs w:val="24"/>
          <w:lang w:eastAsia="ja-JP" w:bidi="ar-DZ"/>
        </w:rPr>
        <w:t>t</w:t>
      </w:r>
      <w:r w:rsidRPr="004A2987">
        <w:rPr>
          <w:szCs w:val="24"/>
          <w:lang w:eastAsia="ja-JP" w:bidi="ar-DZ"/>
        </w:rPr>
        <w:t xml:space="preserve">elecommunications </w:t>
      </w:r>
      <w:r w:rsidR="00CC2EDE">
        <w:rPr>
          <w:szCs w:val="24"/>
          <w:lang w:eastAsia="ja-JP" w:bidi="ar-DZ"/>
        </w:rPr>
        <w:t>a</w:t>
      </w:r>
      <w:r w:rsidRPr="004A2987">
        <w:rPr>
          <w:szCs w:val="24"/>
          <w:lang w:eastAsia="ja-JP" w:bidi="ar-DZ"/>
        </w:rPr>
        <w:t>gency – ANATEL, has been engaged on the topic of OTTs and, currently, ANATEL</w:t>
      </w:r>
      <w:r w:rsidRPr="004A2987">
        <w:rPr>
          <w:rStyle w:val="FootnoteReference"/>
          <w:szCs w:val="24"/>
          <w:lang w:eastAsia="ja-JP" w:bidi="ar-DZ"/>
        </w:rPr>
        <w:footnoteReference w:id="14"/>
      </w:r>
      <w:r w:rsidRPr="004A2987">
        <w:rPr>
          <w:szCs w:val="24"/>
          <w:lang w:eastAsia="ja-JP" w:bidi="ar-DZ"/>
        </w:rPr>
        <w:t xml:space="preserve">, under its </w:t>
      </w:r>
      <w:r w:rsidRPr="004A2987">
        <w:rPr>
          <w:szCs w:val="24"/>
        </w:rPr>
        <w:t xml:space="preserve">2023-2024 </w:t>
      </w:r>
      <w:r w:rsidR="00CC2EDE">
        <w:rPr>
          <w:szCs w:val="24"/>
        </w:rPr>
        <w:t>r</w:t>
      </w:r>
      <w:r w:rsidRPr="004A2987">
        <w:rPr>
          <w:szCs w:val="24"/>
        </w:rPr>
        <w:t xml:space="preserve">egulatory </w:t>
      </w:r>
      <w:r w:rsidR="00CC2EDE">
        <w:rPr>
          <w:szCs w:val="24"/>
        </w:rPr>
        <w:t>a</w:t>
      </w:r>
      <w:r w:rsidRPr="004A2987">
        <w:rPr>
          <w:szCs w:val="24"/>
        </w:rPr>
        <w:t>genda,</w:t>
      </w:r>
      <w:r w:rsidRPr="004A2987">
        <w:rPr>
          <w:szCs w:val="24"/>
          <w:lang w:eastAsia="ja-JP" w:bidi="ar-DZ"/>
        </w:rPr>
        <w:t xml:space="preserve"> </w:t>
      </w:r>
      <w:r w:rsidRPr="004A2987">
        <w:rPr>
          <w:szCs w:val="24"/>
        </w:rPr>
        <w:t>is evaluating a project regarding the need for regulation assigned to relevant telecommunication service users. Under this project, ANATEL expects to discuss impacts of new business models and players on the digital ecosystem of telecommunication networks and services.</w:t>
      </w:r>
    </w:p>
    <w:p w14:paraId="1C121843" w14:textId="7750DEA9" w:rsidR="00741F7E" w:rsidRPr="004A2987" w:rsidRDefault="00741F7E" w:rsidP="00741F7E">
      <w:pPr>
        <w:rPr>
          <w:szCs w:val="24"/>
        </w:rPr>
      </w:pPr>
      <w:r w:rsidRPr="004A2987">
        <w:rPr>
          <w:szCs w:val="24"/>
          <w:lang w:eastAsia="ja-JP" w:bidi="ar-DZ"/>
        </w:rPr>
        <w:t>Additionally, Congress is currently discussing a bill</w:t>
      </w:r>
      <w:r w:rsidRPr="004A2987">
        <w:rPr>
          <w:rStyle w:val="FootnoteReference"/>
          <w:szCs w:val="24"/>
          <w:lang w:eastAsia="ja-JP" w:bidi="ar-DZ"/>
        </w:rPr>
        <w:footnoteReference w:id="15"/>
      </w:r>
      <w:r w:rsidRPr="004A2987">
        <w:rPr>
          <w:szCs w:val="24"/>
          <w:lang w:eastAsia="ja-JP" w:bidi="ar-DZ"/>
        </w:rPr>
        <w:t xml:space="preserve"> that appl</w:t>
      </w:r>
      <w:r w:rsidR="00CC2EDE">
        <w:rPr>
          <w:szCs w:val="24"/>
          <w:lang w:eastAsia="ja-JP" w:bidi="ar-DZ"/>
        </w:rPr>
        <w:t>ies</w:t>
      </w:r>
      <w:r w:rsidRPr="004A2987">
        <w:rPr>
          <w:szCs w:val="24"/>
          <w:lang w:eastAsia="ja-JP" w:bidi="ar-DZ"/>
        </w:rPr>
        <w:t xml:space="preserve"> to OTT, a charge over commercial transactions of videos and films, which is known as </w:t>
      </w:r>
      <w:proofErr w:type="spellStart"/>
      <w:r w:rsidRPr="004A2987">
        <w:rPr>
          <w:szCs w:val="24"/>
          <w:lang w:eastAsia="ja-JP" w:bidi="ar-DZ"/>
        </w:rPr>
        <w:t>Condecine</w:t>
      </w:r>
      <w:proofErr w:type="spellEnd"/>
      <w:r w:rsidRPr="004A2987">
        <w:rPr>
          <w:szCs w:val="24"/>
          <w:lang w:eastAsia="ja-JP" w:bidi="ar-DZ"/>
        </w:rPr>
        <w:t xml:space="preserve"> (Contribution to the </w:t>
      </w:r>
      <w:r w:rsidR="008911AB">
        <w:rPr>
          <w:szCs w:val="24"/>
          <w:lang w:eastAsia="ja-JP" w:bidi="ar-DZ"/>
        </w:rPr>
        <w:t>d</w:t>
      </w:r>
      <w:r w:rsidRPr="004A2987">
        <w:rPr>
          <w:szCs w:val="24"/>
          <w:lang w:eastAsia="ja-JP" w:bidi="ar-DZ"/>
        </w:rPr>
        <w:t xml:space="preserve">evelopment of the </w:t>
      </w:r>
      <w:r w:rsidR="008911AB">
        <w:rPr>
          <w:szCs w:val="24"/>
          <w:lang w:eastAsia="ja-JP" w:bidi="ar-DZ"/>
        </w:rPr>
        <w:t>n</w:t>
      </w:r>
      <w:r w:rsidRPr="004A2987">
        <w:rPr>
          <w:szCs w:val="24"/>
          <w:lang w:eastAsia="ja-JP" w:bidi="ar-DZ"/>
        </w:rPr>
        <w:t xml:space="preserve">ational </w:t>
      </w:r>
      <w:r w:rsidR="008911AB">
        <w:rPr>
          <w:szCs w:val="24"/>
          <w:lang w:eastAsia="ja-JP" w:bidi="ar-DZ"/>
        </w:rPr>
        <w:t>f</w:t>
      </w:r>
      <w:r w:rsidRPr="004A2987">
        <w:rPr>
          <w:szCs w:val="24"/>
          <w:lang w:eastAsia="ja-JP" w:bidi="ar-DZ"/>
        </w:rPr>
        <w:t xml:space="preserve">ilm </w:t>
      </w:r>
      <w:r w:rsidR="008911AB">
        <w:rPr>
          <w:szCs w:val="24"/>
          <w:lang w:eastAsia="ja-JP" w:bidi="ar-DZ"/>
        </w:rPr>
        <w:t>i</w:t>
      </w:r>
      <w:r w:rsidRPr="004A2987">
        <w:rPr>
          <w:szCs w:val="24"/>
          <w:lang w:eastAsia="ja-JP" w:bidi="ar-DZ"/>
        </w:rPr>
        <w:t xml:space="preserve">ndustry). Currently, this tax is charged on the production, licensing and distribution for commercial purposes of video content in Brazil but does not include OTT. </w:t>
      </w:r>
    </w:p>
    <w:p w14:paraId="7D3972BD" w14:textId="77777777" w:rsidR="00741F7E" w:rsidRPr="004A2987" w:rsidRDefault="00741F7E" w:rsidP="00741F7E">
      <w:pPr>
        <w:rPr>
          <w:szCs w:val="24"/>
          <w:lang w:eastAsia="ja-JP" w:bidi="ar-DZ"/>
        </w:rPr>
      </w:pPr>
      <w:r w:rsidRPr="004A2987">
        <w:rPr>
          <w:szCs w:val="24"/>
          <w:lang w:eastAsia="ja-JP" w:bidi="ar-DZ"/>
        </w:rPr>
        <w:t xml:space="preserve">In summary, although there are general tax obligations for OTT applications, there is no regulatory framework or reporting requirements for OTTs in the context of the telecommunications industry in Brazil. </w:t>
      </w:r>
    </w:p>
    <w:p w14:paraId="1FF3C9E7" w14:textId="04423D23" w:rsidR="00741F7E" w:rsidRPr="0030748E" w:rsidRDefault="00741F7E" w:rsidP="0030748E">
      <w:pPr>
        <w:pStyle w:val="Heading2"/>
      </w:pPr>
      <w:bookmarkStart w:id="85" w:name="_Toc213830526"/>
      <w:bookmarkStart w:id="86" w:name="_Toc214976400"/>
      <w:bookmarkStart w:id="87" w:name="_Toc229984655"/>
      <w:r w:rsidRPr="0030748E">
        <w:t>B.5</w:t>
      </w:r>
      <w:r w:rsidRPr="0030748E">
        <w:tab/>
        <w:t>The European Union</w:t>
      </w:r>
      <w:bookmarkEnd w:id="85"/>
      <w:bookmarkEnd w:id="86"/>
      <w:bookmarkEnd w:id="87"/>
    </w:p>
    <w:p w14:paraId="66956587" w14:textId="42C1CF5F" w:rsidR="00741F7E" w:rsidRDefault="00741F7E" w:rsidP="00741F7E">
      <w:pPr>
        <w:rPr>
          <w:szCs w:val="24"/>
          <w:lang w:eastAsia="ja-JP" w:bidi="ar-DZ"/>
        </w:rPr>
      </w:pPr>
      <w:r w:rsidRPr="004A2987">
        <w:rPr>
          <w:szCs w:val="24"/>
          <w:lang w:eastAsia="ja-JP" w:bidi="ar-DZ"/>
        </w:rPr>
        <w:t xml:space="preserve">The European Union (EU) is guided by the European </w:t>
      </w:r>
      <w:r w:rsidR="003D608E">
        <w:rPr>
          <w:szCs w:val="24"/>
          <w:lang w:eastAsia="ja-JP" w:bidi="ar-DZ"/>
        </w:rPr>
        <w:t>e</w:t>
      </w:r>
      <w:r w:rsidRPr="004A2987">
        <w:rPr>
          <w:szCs w:val="24"/>
          <w:lang w:eastAsia="ja-JP" w:bidi="ar-DZ"/>
        </w:rPr>
        <w:t xml:space="preserve">lectronic </w:t>
      </w:r>
      <w:r w:rsidR="003D608E">
        <w:rPr>
          <w:szCs w:val="24"/>
          <w:lang w:eastAsia="ja-JP" w:bidi="ar-DZ"/>
        </w:rPr>
        <w:t>c</w:t>
      </w:r>
      <w:r w:rsidRPr="004A2987">
        <w:rPr>
          <w:szCs w:val="24"/>
          <w:lang w:eastAsia="ja-JP" w:bidi="ar-DZ"/>
        </w:rPr>
        <w:t xml:space="preserve">ommunications </w:t>
      </w:r>
      <w:r w:rsidR="003D608E">
        <w:rPr>
          <w:szCs w:val="24"/>
          <w:lang w:eastAsia="ja-JP" w:bidi="ar-DZ"/>
        </w:rPr>
        <w:t>c</w:t>
      </w:r>
      <w:r w:rsidRPr="004A2987">
        <w:rPr>
          <w:szCs w:val="24"/>
          <w:lang w:eastAsia="ja-JP" w:bidi="ar-DZ"/>
        </w:rPr>
        <w:t>ode (EECC) which was established by the Directive (EU) 2018/1972 of the European Parliament and of the Council on 11</w:t>
      </w:r>
      <w:r w:rsidRPr="000F1984">
        <w:rPr>
          <w:szCs w:val="24"/>
          <w:lang w:eastAsia="ja-JP" w:bidi="ar-DZ"/>
        </w:rPr>
        <w:t xml:space="preserve">th </w:t>
      </w:r>
      <w:r w:rsidRPr="004A2987">
        <w:rPr>
          <w:szCs w:val="24"/>
          <w:lang w:eastAsia="ja-JP" w:bidi="ar-DZ"/>
        </w:rPr>
        <w:t>December 2018</w:t>
      </w:r>
      <w:r w:rsidR="00375AC0">
        <w:rPr>
          <w:szCs w:val="24"/>
          <w:lang w:eastAsia="ja-JP" w:bidi="ar-DZ"/>
        </w:rPr>
        <w:t xml:space="preserve"> </w:t>
      </w:r>
      <w:r w:rsidR="00E64927">
        <w:rPr>
          <w:szCs w:val="24"/>
          <w:lang w:eastAsia="ja-JP" w:bidi="ar-DZ"/>
        </w:rPr>
        <w:t>[b-</w:t>
      </w:r>
      <w:r w:rsidR="00375AC0" w:rsidRPr="00375AC0">
        <w:rPr>
          <w:szCs w:val="24"/>
          <w:lang w:eastAsia="ja-JP" w:bidi="ar-DZ"/>
        </w:rPr>
        <w:t>BEREC</w:t>
      </w:r>
      <w:r w:rsidR="00E64927">
        <w:rPr>
          <w:szCs w:val="24"/>
          <w:lang w:eastAsia="ja-JP" w:bidi="ar-DZ"/>
        </w:rPr>
        <w:t>]</w:t>
      </w:r>
      <w:r w:rsidR="00375AC0" w:rsidRPr="00375AC0">
        <w:rPr>
          <w:szCs w:val="24"/>
          <w:lang w:eastAsia="ja-JP" w:bidi="ar-DZ"/>
        </w:rPr>
        <w:t xml:space="preserve">. </w:t>
      </w:r>
      <w:r w:rsidRPr="004A2987">
        <w:rPr>
          <w:szCs w:val="24"/>
          <w:lang w:eastAsia="ja-JP" w:bidi="ar-DZ"/>
        </w:rPr>
        <w:t xml:space="preserve">The EECC expanded the definition of electronic communications </w:t>
      </w:r>
      <w:r w:rsidRPr="004A2987">
        <w:rPr>
          <w:szCs w:val="24"/>
          <w:lang w:eastAsia="ja-JP" w:bidi="ar-DZ"/>
        </w:rPr>
        <w:lastRenderedPageBreak/>
        <w:t>services (ECS) to include OTTs. Specifically, the EECC provides two distinct frameworks, that is, (</w:t>
      </w:r>
      <w:proofErr w:type="spellStart"/>
      <w:r w:rsidRPr="004A2987">
        <w:rPr>
          <w:szCs w:val="24"/>
          <w:lang w:eastAsia="ja-JP" w:bidi="ar-DZ"/>
        </w:rPr>
        <w:t>i</w:t>
      </w:r>
      <w:proofErr w:type="spellEnd"/>
      <w:r w:rsidRPr="004A2987">
        <w:rPr>
          <w:szCs w:val="24"/>
          <w:lang w:eastAsia="ja-JP" w:bidi="ar-DZ"/>
        </w:rPr>
        <w:t xml:space="preserve">) number-based services (enables communications via the PSTN) and (ii) number-independent services (does not connect or enable communication with publicly assigned numbers). OTT services that provide access to publicly assigned numbering resources are obligated to adhere to regulations akin to those applicable to traditional telecommunications operators. Whereas those that offer "number-independent interpersonal communications services," will fall under a less stringent regulatory regime. </w:t>
      </w:r>
    </w:p>
    <w:p w14:paraId="0C64D83E" w14:textId="015A0734" w:rsidR="00741F7E" w:rsidRDefault="00741F7E" w:rsidP="00741F7E">
      <w:pPr>
        <w:rPr>
          <w:szCs w:val="24"/>
          <w:lang w:eastAsia="ja-JP" w:bidi="ar-DZ"/>
        </w:rPr>
      </w:pPr>
      <w:r w:rsidRPr="004A2987">
        <w:rPr>
          <w:szCs w:val="24"/>
          <w:lang w:eastAsia="ja-JP" w:bidi="ar-DZ"/>
        </w:rPr>
        <w:t xml:space="preserve">With respect to data reporting requirements, Article 2 of the EECC provides a new definition for interpersonal communications services giving European </w:t>
      </w:r>
      <w:r w:rsidR="001573FE">
        <w:rPr>
          <w:szCs w:val="24"/>
          <w:lang w:eastAsia="ja-JP" w:bidi="ar-DZ"/>
        </w:rPr>
        <w:t>n</w:t>
      </w:r>
      <w:r w:rsidRPr="004A2987">
        <w:rPr>
          <w:szCs w:val="24"/>
          <w:lang w:eastAsia="ja-JP" w:bidi="ar-DZ"/>
        </w:rPr>
        <w:t xml:space="preserve">ational </w:t>
      </w:r>
      <w:r w:rsidR="001573FE">
        <w:rPr>
          <w:szCs w:val="24"/>
          <w:lang w:eastAsia="ja-JP" w:bidi="ar-DZ"/>
        </w:rPr>
        <w:t>r</w:t>
      </w:r>
      <w:r w:rsidRPr="004A2987">
        <w:rPr>
          <w:szCs w:val="24"/>
          <w:lang w:eastAsia="ja-JP" w:bidi="ar-DZ"/>
        </w:rPr>
        <w:t xml:space="preserve">egulatory </w:t>
      </w:r>
      <w:r w:rsidR="001573FE">
        <w:rPr>
          <w:szCs w:val="24"/>
          <w:lang w:eastAsia="ja-JP" w:bidi="ar-DZ"/>
        </w:rPr>
        <w:t>a</w:t>
      </w:r>
      <w:r w:rsidRPr="004A2987">
        <w:rPr>
          <w:szCs w:val="24"/>
          <w:lang w:eastAsia="ja-JP" w:bidi="ar-DZ"/>
        </w:rPr>
        <w:t xml:space="preserve">uthorities (NRAs) the legal power needed to collect data from providers of </w:t>
      </w:r>
      <w:r w:rsidR="00580392" w:rsidRPr="00580392">
        <w:rPr>
          <w:szCs w:val="24"/>
          <w:lang w:eastAsia="ja-JP" w:bidi="ar-DZ"/>
        </w:rPr>
        <w:t>"</w:t>
      </w:r>
      <w:r w:rsidRPr="004A2987">
        <w:rPr>
          <w:szCs w:val="24"/>
          <w:lang w:eastAsia="ja-JP" w:bidi="ar-DZ"/>
        </w:rPr>
        <w:t>number independent interpersonal communications services</w:t>
      </w:r>
      <w:r w:rsidR="00580392" w:rsidRPr="00580392">
        <w:rPr>
          <w:szCs w:val="24"/>
          <w:lang w:eastAsia="ja-JP" w:bidi="ar-DZ"/>
        </w:rPr>
        <w:t>"</w:t>
      </w:r>
      <w:r w:rsidRPr="004A2987">
        <w:rPr>
          <w:szCs w:val="24"/>
          <w:lang w:eastAsia="ja-JP" w:bidi="ar-DZ"/>
        </w:rPr>
        <w:t xml:space="preserve">. In addition, Article 20 provides the legal basis for NRAs to request data from undertakings which are not active in the electronic communication services or networks but are still operating in closely related sectors, to the extent that these requests are substantiated and proportionate. The </w:t>
      </w:r>
      <w:r w:rsidR="008134D6">
        <w:rPr>
          <w:szCs w:val="24"/>
          <w:lang w:eastAsia="ja-JP" w:bidi="ar-DZ"/>
        </w:rPr>
        <w:t>b</w:t>
      </w:r>
      <w:r w:rsidRPr="004A2987">
        <w:rPr>
          <w:szCs w:val="24"/>
          <w:lang w:eastAsia="ja-JP" w:bidi="ar-DZ"/>
        </w:rPr>
        <w:t xml:space="preserve">ody of European </w:t>
      </w:r>
      <w:r w:rsidR="00EC08C9">
        <w:rPr>
          <w:szCs w:val="24"/>
          <w:lang w:eastAsia="ja-JP" w:bidi="ar-DZ"/>
        </w:rPr>
        <w:t>r</w:t>
      </w:r>
      <w:r w:rsidRPr="004A2987">
        <w:rPr>
          <w:szCs w:val="24"/>
          <w:lang w:eastAsia="ja-JP" w:bidi="ar-DZ"/>
        </w:rPr>
        <w:t xml:space="preserve">egulators for </w:t>
      </w:r>
      <w:r w:rsidR="00EC08C9">
        <w:rPr>
          <w:szCs w:val="24"/>
          <w:lang w:eastAsia="ja-JP" w:bidi="ar-DZ"/>
        </w:rPr>
        <w:t>e</w:t>
      </w:r>
      <w:r w:rsidRPr="004A2987">
        <w:rPr>
          <w:szCs w:val="24"/>
          <w:lang w:eastAsia="ja-JP" w:bidi="ar-DZ"/>
        </w:rPr>
        <w:t xml:space="preserve">lectronic </w:t>
      </w:r>
      <w:r w:rsidR="00EC08C9">
        <w:rPr>
          <w:szCs w:val="24"/>
          <w:lang w:eastAsia="ja-JP" w:bidi="ar-DZ"/>
        </w:rPr>
        <w:t>c</w:t>
      </w:r>
      <w:r w:rsidRPr="004A2987">
        <w:rPr>
          <w:szCs w:val="24"/>
          <w:lang w:eastAsia="ja-JP" w:bidi="ar-DZ"/>
        </w:rPr>
        <w:t>ommunications</w:t>
      </w:r>
      <w:r w:rsidR="008134D6" w:rsidRPr="008134D6">
        <w:rPr>
          <w:szCs w:val="24"/>
          <w:lang w:eastAsia="ja-JP" w:bidi="ar-DZ"/>
        </w:rPr>
        <w:t xml:space="preserve"> </w:t>
      </w:r>
      <w:r w:rsidR="008134D6">
        <w:rPr>
          <w:szCs w:val="24"/>
          <w:lang w:eastAsia="ja-JP" w:bidi="ar-DZ"/>
        </w:rPr>
        <w:t>(</w:t>
      </w:r>
      <w:r w:rsidR="008134D6" w:rsidRPr="004A2987">
        <w:rPr>
          <w:szCs w:val="24"/>
          <w:lang w:eastAsia="ja-JP" w:bidi="ar-DZ"/>
        </w:rPr>
        <w:t>BEREC</w:t>
      </w:r>
      <w:r w:rsidRPr="004A2987">
        <w:rPr>
          <w:szCs w:val="24"/>
          <w:lang w:eastAsia="ja-JP" w:bidi="ar-DZ"/>
        </w:rPr>
        <w:t xml:space="preserve">) conducted work to harmonise definitions for indicators regarding OTT services relevant to electronic communications markets. This is further discussed under </w:t>
      </w:r>
      <w:r w:rsidR="00DB2A46" w:rsidRPr="00DB2A46">
        <w:rPr>
          <w:szCs w:val="24"/>
          <w:lang w:eastAsia="ja-JP" w:bidi="ar-DZ"/>
        </w:rPr>
        <w:t>clause</w:t>
      </w:r>
      <w:r w:rsidRPr="004A2987">
        <w:rPr>
          <w:szCs w:val="24"/>
          <w:lang w:eastAsia="ja-JP" w:bidi="ar-DZ"/>
        </w:rPr>
        <w:t xml:space="preserve"> 7.</w:t>
      </w:r>
    </w:p>
    <w:p w14:paraId="13C88117" w14:textId="282958B9" w:rsidR="00741F7E" w:rsidRPr="004A2987" w:rsidRDefault="00741F7E" w:rsidP="00741F7E">
      <w:pPr>
        <w:rPr>
          <w:szCs w:val="24"/>
          <w:lang w:eastAsia="ja-JP" w:bidi="ar-DZ"/>
        </w:rPr>
      </w:pPr>
      <w:r w:rsidRPr="004A2987">
        <w:rPr>
          <w:szCs w:val="24"/>
          <w:lang w:eastAsia="ja-JP" w:bidi="ar-DZ"/>
        </w:rPr>
        <w:t xml:space="preserve">Notably, not all EU </w:t>
      </w:r>
      <w:r w:rsidR="000F1984">
        <w:rPr>
          <w:szCs w:val="24"/>
          <w:lang w:eastAsia="ja-JP" w:bidi="ar-DZ"/>
        </w:rPr>
        <w:t>M</w:t>
      </w:r>
      <w:r w:rsidRPr="004A2987">
        <w:rPr>
          <w:szCs w:val="24"/>
          <w:lang w:eastAsia="ja-JP" w:bidi="ar-DZ"/>
        </w:rPr>
        <w:t xml:space="preserve">ember </w:t>
      </w:r>
      <w:r w:rsidR="000F1984">
        <w:rPr>
          <w:szCs w:val="24"/>
          <w:lang w:eastAsia="ja-JP" w:bidi="ar-DZ"/>
        </w:rPr>
        <w:t>S</w:t>
      </w:r>
      <w:r w:rsidRPr="004A2987">
        <w:rPr>
          <w:szCs w:val="24"/>
          <w:lang w:eastAsia="ja-JP" w:bidi="ar-DZ"/>
        </w:rPr>
        <w:t xml:space="preserve">tates have implemented the EECC and as such the European Commission </w:t>
      </w:r>
      <w:r w:rsidR="000F07A9">
        <w:rPr>
          <w:szCs w:val="24"/>
          <w:lang w:eastAsia="ja-JP" w:bidi="ar-DZ"/>
        </w:rPr>
        <w:t>(E</w:t>
      </w:r>
      <w:r w:rsidR="00950E7C">
        <w:rPr>
          <w:szCs w:val="24"/>
          <w:lang w:eastAsia="ja-JP" w:bidi="ar-DZ"/>
        </w:rPr>
        <w:t>C</w:t>
      </w:r>
      <w:r w:rsidR="000F07A9">
        <w:rPr>
          <w:szCs w:val="24"/>
          <w:lang w:eastAsia="ja-JP" w:bidi="ar-DZ"/>
        </w:rPr>
        <w:t xml:space="preserve">) </w:t>
      </w:r>
      <w:r w:rsidRPr="004A2987">
        <w:rPr>
          <w:szCs w:val="24"/>
          <w:lang w:eastAsia="ja-JP" w:bidi="ar-DZ"/>
        </w:rPr>
        <w:t xml:space="preserve">has referred the remaining EU countries (Spain, Croatia, Latvia, Lithuania, Ireland, Poland, Portugal, Romania, Slovenia, and Sweden) to the </w:t>
      </w:r>
      <w:r w:rsidR="001E0603">
        <w:rPr>
          <w:szCs w:val="24"/>
          <w:lang w:eastAsia="ja-JP" w:bidi="ar-DZ"/>
        </w:rPr>
        <w:t>c</w:t>
      </w:r>
      <w:r w:rsidRPr="004A2987">
        <w:rPr>
          <w:szCs w:val="24"/>
          <w:lang w:eastAsia="ja-JP" w:bidi="ar-DZ"/>
        </w:rPr>
        <w:t xml:space="preserve">ourt of </w:t>
      </w:r>
      <w:r w:rsidR="001E0603">
        <w:rPr>
          <w:szCs w:val="24"/>
          <w:lang w:eastAsia="ja-JP" w:bidi="ar-DZ"/>
        </w:rPr>
        <w:t>j</w:t>
      </w:r>
      <w:r w:rsidRPr="004A2987">
        <w:rPr>
          <w:szCs w:val="24"/>
          <w:lang w:eastAsia="ja-JP" w:bidi="ar-DZ"/>
        </w:rPr>
        <w:t xml:space="preserve">ustice of the EU over their failure to fully transpose and communicate to the </w:t>
      </w:r>
      <w:r w:rsidR="0078496F">
        <w:rPr>
          <w:szCs w:val="24"/>
          <w:lang w:eastAsia="ja-JP" w:bidi="ar-DZ"/>
        </w:rPr>
        <w:t>c</w:t>
      </w:r>
      <w:r w:rsidRPr="004A2987">
        <w:rPr>
          <w:szCs w:val="24"/>
          <w:lang w:eastAsia="ja-JP" w:bidi="ar-DZ"/>
        </w:rPr>
        <w:t xml:space="preserve">ommission how national measures transpose the EU </w:t>
      </w:r>
      <w:r w:rsidR="0078496F">
        <w:rPr>
          <w:szCs w:val="24"/>
          <w:lang w:eastAsia="ja-JP" w:bidi="ar-DZ"/>
        </w:rPr>
        <w:t>e</w:t>
      </w:r>
      <w:r w:rsidRPr="004A2987">
        <w:rPr>
          <w:szCs w:val="24"/>
          <w:lang w:eastAsia="ja-JP" w:bidi="ar-DZ"/>
        </w:rPr>
        <w:t xml:space="preserve">lectronic </w:t>
      </w:r>
      <w:r w:rsidR="0078496F">
        <w:rPr>
          <w:szCs w:val="24"/>
          <w:lang w:eastAsia="ja-JP" w:bidi="ar-DZ"/>
        </w:rPr>
        <w:t>c</w:t>
      </w:r>
      <w:r w:rsidRPr="004A2987">
        <w:rPr>
          <w:szCs w:val="24"/>
          <w:lang w:eastAsia="ja-JP" w:bidi="ar-DZ"/>
        </w:rPr>
        <w:t xml:space="preserve">ommunications </w:t>
      </w:r>
      <w:r w:rsidR="0078496F">
        <w:rPr>
          <w:szCs w:val="24"/>
          <w:lang w:eastAsia="ja-JP" w:bidi="ar-DZ"/>
        </w:rPr>
        <w:t>c</w:t>
      </w:r>
      <w:r w:rsidR="00375AC0" w:rsidRPr="00375AC0">
        <w:rPr>
          <w:szCs w:val="24"/>
          <w:lang w:eastAsia="ja-JP" w:bidi="ar-DZ"/>
        </w:rPr>
        <w:t xml:space="preserve">ode </w:t>
      </w:r>
      <w:r w:rsidR="00006A06">
        <w:rPr>
          <w:szCs w:val="24"/>
          <w:lang w:eastAsia="ja-JP" w:bidi="ar-DZ"/>
        </w:rPr>
        <w:t>[</w:t>
      </w:r>
      <w:r w:rsidR="000F1984">
        <w:rPr>
          <w:szCs w:val="24"/>
          <w:lang w:eastAsia="ja-JP" w:bidi="ar-DZ"/>
        </w:rPr>
        <w:t>b-</w:t>
      </w:r>
      <w:r w:rsidR="00375AC0" w:rsidRPr="00375AC0">
        <w:rPr>
          <w:szCs w:val="24"/>
          <w:lang w:eastAsia="ja-JP" w:bidi="ar-DZ"/>
        </w:rPr>
        <w:t>IEU</w:t>
      </w:r>
      <w:r w:rsidR="00006A06">
        <w:rPr>
          <w:szCs w:val="24"/>
          <w:lang w:eastAsia="ja-JP" w:bidi="ar-DZ"/>
        </w:rPr>
        <w:t>]</w:t>
      </w:r>
      <w:r w:rsidR="00375AC0" w:rsidRPr="00375AC0">
        <w:rPr>
          <w:szCs w:val="24"/>
          <w:lang w:eastAsia="ja-JP" w:bidi="ar-DZ"/>
        </w:rPr>
        <w:t>.</w:t>
      </w:r>
    </w:p>
    <w:p w14:paraId="0E0D1C89" w14:textId="29AE5958" w:rsidR="00741F7E" w:rsidRPr="0030748E" w:rsidRDefault="00741F7E" w:rsidP="0030748E">
      <w:pPr>
        <w:pStyle w:val="Heading2"/>
      </w:pPr>
      <w:bookmarkStart w:id="88" w:name="_Toc213830527"/>
      <w:bookmarkStart w:id="89" w:name="_Toc214976401"/>
      <w:bookmarkStart w:id="90" w:name="_Toc229984656"/>
      <w:r w:rsidRPr="0030748E">
        <w:t>B.6</w:t>
      </w:r>
      <w:r w:rsidRPr="0030748E">
        <w:tab/>
        <w:t>United Kingdom</w:t>
      </w:r>
      <w:bookmarkEnd w:id="88"/>
      <w:bookmarkEnd w:id="89"/>
      <w:r w:rsidR="009B01B4">
        <w:t xml:space="preserve"> (UK)</w:t>
      </w:r>
      <w:bookmarkEnd w:id="90"/>
      <w:r w:rsidRPr="0030748E">
        <w:t xml:space="preserve"> </w:t>
      </w:r>
    </w:p>
    <w:p w14:paraId="280C6AB2" w14:textId="40A4817D" w:rsidR="00741F7E" w:rsidRDefault="00936DE3" w:rsidP="00741F7E">
      <w:r w:rsidRPr="0030748E">
        <w:rPr>
          <w:lang w:bidi="ar-DZ"/>
        </w:rPr>
        <w:t>Office</w:t>
      </w:r>
      <w:r w:rsidRPr="0030748E">
        <w:rPr>
          <w:rFonts w:eastAsiaTheme="minorEastAsia"/>
        </w:rPr>
        <w:t xml:space="preserve"> of Communications</w:t>
      </w:r>
      <w:r>
        <w:t xml:space="preserve"> (</w:t>
      </w:r>
      <w:r w:rsidR="00741F7E">
        <w:t>Ofcom</w:t>
      </w:r>
      <w:r>
        <w:t>)</w:t>
      </w:r>
      <w:r w:rsidR="00741F7E">
        <w:t xml:space="preserve">, the UK communications regulator, collects information from </w:t>
      </w:r>
      <w:r w:rsidR="00AB0FED">
        <w:t>the n</w:t>
      </w:r>
      <w:r w:rsidR="00741F7E">
        <w:t>umber-</w:t>
      </w:r>
      <w:r w:rsidR="00AB0FED">
        <w:t>i</w:t>
      </w:r>
      <w:r w:rsidR="00741F7E">
        <w:t xml:space="preserve">ndependent </w:t>
      </w:r>
      <w:r w:rsidR="00AB0FED">
        <w:t>i</w:t>
      </w:r>
      <w:r w:rsidR="00741F7E">
        <w:t xml:space="preserve">nterpersonal </w:t>
      </w:r>
      <w:r w:rsidR="00AB0FED">
        <w:t>c</w:t>
      </w:r>
      <w:r w:rsidR="00741F7E">
        <w:t xml:space="preserve">ommunications </w:t>
      </w:r>
      <w:r w:rsidR="00AB0FED">
        <w:t>s</w:t>
      </w:r>
      <w:r w:rsidR="00741F7E">
        <w:t>ervices (NI-ICS) on a quarterly basis. Ofcom has information gathering powers for NI-ICS under Section 135(2)(g) of the Communications Act 2003 which are applied for the purposes of Ofcom</w:t>
      </w:r>
      <w:r w:rsidR="00580392" w:rsidRPr="00580392">
        <w:t>'</w:t>
      </w:r>
      <w:r w:rsidR="00741F7E">
        <w:t xml:space="preserve">s consumer research. </w:t>
      </w:r>
    </w:p>
    <w:p w14:paraId="7F65E79B" w14:textId="77777777" w:rsidR="00741F7E" w:rsidRDefault="00741F7E" w:rsidP="00741F7E">
      <w:r>
        <w:t>As part of this process, Ofcom collects quarterly information on the following indicators from several major NI-ICS providers:</w:t>
      </w:r>
    </w:p>
    <w:p w14:paraId="03732750" w14:textId="678BE902" w:rsidR="00741F7E" w:rsidRDefault="0030748E" w:rsidP="0030748E">
      <w:pPr>
        <w:pStyle w:val="enumlev1"/>
      </w:pPr>
      <w:r>
        <w:t>•</w:t>
      </w:r>
      <w:r w:rsidRPr="0030748E">
        <w:tab/>
      </w:r>
      <w:r w:rsidR="00741F7E">
        <w:t>Number of monthly active users by customer type (residential / business)</w:t>
      </w:r>
    </w:p>
    <w:p w14:paraId="73B7E13B" w14:textId="63FE68BD" w:rsidR="00741F7E" w:rsidRDefault="0030748E" w:rsidP="0030748E">
      <w:pPr>
        <w:pStyle w:val="enumlev1"/>
      </w:pPr>
      <w:r>
        <w:t>•</w:t>
      </w:r>
      <w:r w:rsidRPr="0030748E">
        <w:tab/>
      </w:r>
      <w:r w:rsidR="00741F7E">
        <w:t>Total number and minutes of outgoing calls split by call type (voice / video) and customer type</w:t>
      </w:r>
    </w:p>
    <w:p w14:paraId="704884F9" w14:textId="5BC328E1" w:rsidR="00741F7E" w:rsidRDefault="0030748E" w:rsidP="0030748E">
      <w:pPr>
        <w:pStyle w:val="enumlev1"/>
      </w:pPr>
      <w:r>
        <w:t>•</w:t>
      </w:r>
      <w:r w:rsidRPr="0030748E">
        <w:tab/>
      </w:r>
      <w:r w:rsidR="00741F7E">
        <w:t>Total number of outgoing calls, split by call type, number of participant and app</w:t>
      </w:r>
      <w:r w:rsidR="00843705">
        <w:t>lication</w:t>
      </w:r>
      <w:r w:rsidR="00741F7E">
        <w:t xml:space="preserve"> type</w:t>
      </w:r>
    </w:p>
    <w:p w14:paraId="29223E11" w14:textId="0E5C1AFB" w:rsidR="00741F7E" w:rsidRDefault="0030748E" w:rsidP="0030748E">
      <w:pPr>
        <w:pStyle w:val="enumlev1"/>
      </w:pPr>
      <w:r>
        <w:t>•</w:t>
      </w:r>
      <w:r w:rsidRPr="0030748E">
        <w:tab/>
      </w:r>
      <w:r w:rsidR="00741F7E">
        <w:t>Total number of outgoing messages split by customer type, message type, app</w:t>
      </w:r>
      <w:r w:rsidR="00843705">
        <w:t>lication</w:t>
      </w:r>
      <w:r w:rsidR="00741F7E">
        <w:t xml:space="preserve"> type and number of recipients</w:t>
      </w:r>
      <w:r w:rsidR="009758DE">
        <w:t>.</w:t>
      </w:r>
    </w:p>
    <w:p w14:paraId="21B3E486" w14:textId="08DE2442" w:rsidR="00741F7E" w:rsidRDefault="00741F7E" w:rsidP="00741F7E">
      <w:r>
        <w:t>As the UK</w:t>
      </w:r>
      <w:r w:rsidR="00580392" w:rsidRPr="00580392">
        <w:t>'</w:t>
      </w:r>
      <w:r>
        <w:t>s converged communications regulator, Ofcom, considers it to be important to take a high-level look at competition and consumer issues in the NI-ICS sector and its impact on traditional calling and messaging markets. This work aims to increase Ofcom</w:t>
      </w:r>
      <w:r w:rsidR="00580392" w:rsidRPr="00580392">
        <w:t>'</w:t>
      </w:r>
      <w:r>
        <w:t xml:space="preserve">s knowledge and understanding of these services, and to provide evidence-based thinking, through the lens of </w:t>
      </w:r>
      <w:r w:rsidR="00BA17F2">
        <w:t xml:space="preserve">the </w:t>
      </w:r>
      <w:r>
        <w:t>existing UK competition and consumer protection duties in telecommunications markets. As a result, Ofcom conducted research into this area which included a consumer survey to collect qualitative insights into consumers</w:t>
      </w:r>
      <w:r w:rsidR="00580392" w:rsidRPr="00580392">
        <w:t>'</w:t>
      </w:r>
      <w:r>
        <w:t xml:space="preserve"> use of such services. The report is publicly available </w:t>
      </w:r>
      <w:hyperlink r:id="rId31">
        <w:r w:rsidRPr="40164936">
          <w:rPr>
            <w:rStyle w:val="Hyperlink"/>
          </w:rPr>
          <w:t>here</w:t>
        </w:r>
      </w:hyperlink>
      <w:r>
        <w:t>.</w:t>
      </w:r>
    </w:p>
    <w:p w14:paraId="0D52B410" w14:textId="02086571" w:rsidR="00741F7E" w:rsidRPr="006975CD" w:rsidRDefault="00741F7E" w:rsidP="00741F7E">
      <w:r>
        <w:t xml:space="preserve">Ofcom also regulates linear and on-demand services, some of which are delivered OTT. Through its regulation of these services, Ofcom regularly collects data (such as its annual </w:t>
      </w:r>
      <w:hyperlink r:id="rId32">
        <w:r w:rsidRPr="40164936">
          <w:rPr>
            <w:rStyle w:val="Hyperlink"/>
          </w:rPr>
          <w:t>TV industry data collection</w:t>
        </w:r>
      </w:hyperlink>
      <w:r>
        <w:t xml:space="preserve"> and as set out in its </w:t>
      </w:r>
      <w:hyperlink r:id="rId33">
        <w:r w:rsidRPr="40164936">
          <w:rPr>
            <w:rStyle w:val="Hyperlink"/>
          </w:rPr>
          <w:t>on-demand rules and guidance</w:t>
        </w:r>
      </w:hyperlink>
      <w:r>
        <w:t xml:space="preserve">) and </w:t>
      </w:r>
      <w:hyperlink r:id="rId34">
        <w:r w:rsidRPr="40164936">
          <w:rPr>
            <w:rStyle w:val="Hyperlink"/>
          </w:rPr>
          <w:t>conduct and publish research</w:t>
        </w:r>
      </w:hyperlink>
      <w:r>
        <w:t>.</w:t>
      </w:r>
    </w:p>
    <w:p w14:paraId="38D272F3" w14:textId="77777777" w:rsidR="00741F7E" w:rsidRPr="0030748E" w:rsidRDefault="00741F7E" w:rsidP="0030748E">
      <w:pPr>
        <w:pStyle w:val="Heading2"/>
      </w:pPr>
      <w:bookmarkStart w:id="91" w:name="_Toc213830528"/>
      <w:bookmarkStart w:id="92" w:name="_Toc214976402"/>
      <w:bookmarkStart w:id="93" w:name="_Toc229984657"/>
      <w:r w:rsidRPr="0030748E">
        <w:lastRenderedPageBreak/>
        <w:t>B.7</w:t>
      </w:r>
      <w:r w:rsidRPr="0030748E">
        <w:tab/>
        <w:t>India</w:t>
      </w:r>
      <w:bookmarkEnd w:id="91"/>
      <w:bookmarkEnd w:id="92"/>
      <w:bookmarkEnd w:id="93"/>
      <w:r w:rsidRPr="0030748E">
        <w:t xml:space="preserve"> </w:t>
      </w:r>
    </w:p>
    <w:p w14:paraId="7C90A366" w14:textId="0DC5BEB9" w:rsidR="00741F7E" w:rsidRDefault="00741F7E" w:rsidP="00741F7E">
      <w:pPr>
        <w:rPr>
          <w:szCs w:val="24"/>
          <w:lang w:eastAsia="ja-JP" w:bidi="ar-DZ"/>
        </w:rPr>
      </w:pPr>
      <w:r w:rsidRPr="004A2987">
        <w:rPr>
          <w:szCs w:val="24"/>
          <w:lang w:eastAsia="ja-JP" w:bidi="ar-DZ"/>
        </w:rPr>
        <w:t xml:space="preserve">The </w:t>
      </w:r>
      <w:r w:rsidR="00264FD1">
        <w:rPr>
          <w:szCs w:val="24"/>
          <w:lang w:eastAsia="ja-JP" w:bidi="ar-DZ"/>
        </w:rPr>
        <w:t>t</w:t>
      </w:r>
      <w:r w:rsidRPr="004A2987">
        <w:rPr>
          <w:szCs w:val="24"/>
          <w:lang w:eastAsia="ja-JP" w:bidi="ar-DZ"/>
        </w:rPr>
        <w:t xml:space="preserve">elecom </w:t>
      </w:r>
      <w:r w:rsidR="00264FD1">
        <w:rPr>
          <w:szCs w:val="24"/>
          <w:lang w:eastAsia="ja-JP" w:bidi="ar-DZ"/>
        </w:rPr>
        <w:t>r</w:t>
      </w:r>
      <w:r w:rsidRPr="004A2987">
        <w:rPr>
          <w:szCs w:val="24"/>
          <w:lang w:eastAsia="ja-JP" w:bidi="ar-DZ"/>
        </w:rPr>
        <w:t xml:space="preserve">egulatory </w:t>
      </w:r>
      <w:r w:rsidR="00264FD1">
        <w:rPr>
          <w:szCs w:val="24"/>
          <w:lang w:eastAsia="ja-JP" w:bidi="ar-DZ"/>
        </w:rPr>
        <w:t>a</w:t>
      </w:r>
      <w:r w:rsidRPr="004A2987">
        <w:rPr>
          <w:szCs w:val="24"/>
          <w:lang w:eastAsia="ja-JP" w:bidi="ar-DZ"/>
        </w:rPr>
        <w:t xml:space="preserve">uthority of India (TRAI) has been actively engaged in the discussions surrounding the treatment of OTT services which are currently not regulated in the country. The most recent development by the TRAI was in July 2023 whereby stakeholder feedback was requested on a </w:t>
      </w:r>
      <w:r w:rsidR="00264FD1">
        <w:rPr>
          <w:szCs w:val="24"/>
          <w:lang w:eastAsia="ja-JP" w:bidi="ar-DZ"/>
        </w:rPr>
        <w:t>c</w:t>
      </w:r>
      <w:r w:rsidRPr="004A2987">
        <w:rPr>
          <w:szCs w:val="24"/>
          <w:lang w:eastAsia="ja-JP" w:bidi="ar-DZ"/>
        </w:rPr>
        <w:t xml:space="preserve">onsultation </w:t>
      </w:r>
      <w:r w:rsidR="00264FD1">
        <w:rPr>
          <w:szCs w:val="24"/>
          <w:lang w:eastAsia="ja-JP" w:bidi="ar-DZ"/>
        </w:rPr>
        <w:t>p</w:t>
      </w:r>
      <w:r w:rsidRPr="004A2987">
        <w:rPr>
          <w:szCs w:val="24"/>
          <w:lang w:eastAsia="ja-JP" w:bidi="ar-DZ"/>
        </w:rPr>
        <w:t xml:space="preserve">aper </w:t>
      </w:r>
      <w:r w:rsidR="001E079F" w:rsidRPr="001E079F">
        <w:rPr>
          <w:szCs w:val="24"/>
          <w:lang w:eastAsia="ja-JP" w:bidi="ar-DZ"/>
        </w:rPr>
        <w:t>–</w:t>
      </w:r>
      <w:r w:rsidRPr="004A2987">
        <w:rPr>
          <w:szCs w:val="24"/>
          <w:lang w:eastAsia="ja-JP" w:bidi="ar-DZ"/>
        </w:rPr>
        <w:t xml:space="preserve"> </w:t>
      </w:r>
      <w:r w:rsidR="00264FD1">
        <w:rPr>
          <w:szCs w:val="24"/>
          <w:lang w:eastAsia="ja-JP" w:bidi="ar-DZ"/>
        </w:rPr>
        <w:t>r</w:t>
      </w:r>
      <w:r w:rsidRPr="004A2987">
        <w:rPr>
          <w:szCs w:val="24"/>
          <w:lang w:eastAsia="ja-JP" w:bidi="ar-DZ"/>
        </w:rPr>
        <w:t xml:space="preserve">egulatory </w:t>
      </w:r>
      <w:r w:rsidR="00264FD1">
        <w:rPr>
          <w:szCs w:val="24"/>
          <w:lang w:eastAsia="ja-JP" w:bidi="ar-DZ"/>
        </w:rPr>
        <w:t>m</w:t>
      </w:r>
      <w:r w:rsidRPr="004A2987">
        <w:rPr>
          <w:szCs w:val="24"/>
          <w:lang w:eastAsia="ja-JP" w:bidi="ar-DZ"/>
        </w:rPr>
        <w:t xml:space="preserve">echanism for OTT </w:t>
      </w:r>
      <w:r w:rsidR="00264FD1">
        <w:rPr>
          <w:szCs w:val="24"/>
          <w:lang w:eastAsia="ja-JP" w:bidi="ar-DZ"/>
        </w:rPr>
        <w:t>c</w:t>
      </w:r>
      <w:r w:rsidRPr="004A2987">
        <w:rPr>
          <w:szCs w:val="24"/>
          <w:lang w:eastAsia="ja-JP" w:bidi="ar-DZ"/>
        </w:rPr>
        <w:t xml:space="preserve">ommunication </w:t>
      </w:r>
      <w:r w:rsidR="00264FD1">
        <w:rPr>
          <w:szCs w:val="24"/>
          <w:lang w:eastAsia="ja-JP" w:bidi="ar-DZ"/>
        </w:rPr>
        <w:t>s</w:t>
      </w:r>
      <w:r w:rsidRPr="004A2987">
        <w:rPr>
          <w:szCs w:val="24"/>
          <w:lang w:eastAsia="ja-JP" w:bidi="ar-DZ"/>
        </w:rPr>
        <w:t xml:space="preserve">ervices and </w:t>
      </w:r>
      <w:r w:rsidR="00264FD1">
        <w:rPr>
          <w:szCs w:val="24"/>
          <w:lang w:eastAsia="ja-JP" w:bidi="ar-DZ"/>
        </w:rPr>
        <w:t>s</w:t>
      </w:r>
      <w:r w:rsidRPr="004A2987">
        <w:rPr>
          <w:szCs w:val="24"/>
          <w:lang w:eastAsia="ja-JP" w:bidi="ar-DZ"/>
        </w:rPr>
        <w:t xml:space="preserve">elective </w:t>
      </w:r>
      <w:r w:rsidR="00264FD1">
        <w:rPr>
          <w:szCs w:val="24"/>
          <w:lang w:eastAsia="ja-JP" w:bidi="ar-DZ"/>
        </w:rPr>
        <w:t>b</w:t>
      </w:r>
      <w:r w:rsidRPr="004A2987">
        <w:rPr>
          <w:szCs w:val="24"/>
          <w:lang w:eastAsia="ja-JP" w:bidi="ar-DZ"/>
        </w:rPr>
        <w:t xml:space="preserve">anning of OTT </w:t>
      </w:r>
      <w:r w:rsidR="005C5634">
        <w:rPr>
          <w:szCs w:val="24"/>
          <w:lang w:eastAsia="ja-JP" w:bidi="ar-DZ"/>
        </w:rPr>
        <w:t>s</w:t>
      </w:r>
      <w:r w:rsidR="00375AC0" w:rsidRPr="00375AC0">
        <w:rPr>
          <w:szCs w:val="24"/>
          <w:lang w:eastAsia="ja-JP" w:bidi="ar-DZ"/>
        </w:rPr>
        <w:t xml:space="preserve">ervices </w:t>
      </w:r>
      <w:r w:rsidR="0046063F">
        <w:rPr>
          <w:szCs w:val="24"/>
          <w:lang w:eastAsia="ja-JP" w:bidi="ar-DZ"/>
        </w:rPr>
        <w:t>[</w:t>
      </w:r>
      <w:r w:rsidR="0046063F">
        <w:t>b-</w:t>
      </w:r>
      <w:r w:rsidR="00375AC0" w:rsidRPr="00375AC0">
        <w:rPr>
          <w:szCs w:val="24"/>
          <w:lang w:eastAsia="ja-JP" w:bidi="ar-DZ"/>
        </w:rPr>
        <w:t>TRAI</w:t>
      </w:r>
      <w:r w:rsidR="0046063F">
        <w:rPr>
          <w:szCs w:val="24"/>
          <w:lang w:eastAsia="ja-JP" w:bidi="ar-DZ"/>
        </w:rPr>
        <w:t>-</w:t>
      </w:r>
      <w:r w:rsidR="00375AC0" w:rsidRPr="00375AC0">
        <w:rPr>
          <w:szCs w:val="24"/>
          <w:lang w:eastAsia="ja-JP" w:bidi="ar-DZ"/>
        </w:rPr>
        <w:t>2023</w:t>
      </w:r>
      <w:r w:rsidR="0046063F">
        <w:rPr>
          <w:szCs w:val="24"/>
          <w:lang w:eastAsia="ja-JP" w:bidi="ar-DZ"/>
        </w:rPr>
        <w:t>]</w:t>
      </w:r>
      <w:r w:rsidR="00375AC0" w:rsidRPr="00375AC0">
        <w:rPr>
          <w:szCs w:val="24"/>
          <w:lang w:eastAsia="ja-JP" w:bidi="ar-DZ"/>
        </w:rPr>
        <w:t>.</w:t>
      </w:r>
      <w:r w:rsidR="00375AC0">
        <w:rPr>
          <w:szCs w:val="24"/>
          <w:lang w:eastAsia="ja-JP" w:bidi="ar-DZ"/>
        </w:rPr>
        <w:t xml:space="preserve"> </w:t>
      </w:r>
      <w:r w:rsidRPr="004A2987">
        <w:rPr>
          <w:szCs w:val="24"/>
          <w:lang w:eastAsia="ja-JP" w:bidi="ar-DZ"/>
        </w:rPr>
        <w:t>The outcome of the consultation is yet to be determined.</w:t>
      </w:r>
      <w:r w:rsidRPr="00C87E86">
        <w:rPr>
          <w:szCs w:val="24"/>
          <w:lang w:eastAsia="ja-JP" w:bidi="ar-DZ"/>
        </w:rPr>
        <w:t xml:space="preserve"> </w:t>
      </w:r>
      <w:r>
        <w:rPr>
          <w:szCs w:val="24"/>
          <w:lang w:eastAsia="ja-JP" w:bidi="ar-DZ"/>
        </w:rPr>
        <w:t>Notably, the new Telecommunications Act 2023 does not explicitly include OTTs within the definition of telecommunications services</w:t>
      </w:r>
      <w:r>
        <w:rPr>
          <w:rStyle w:val="FootnoteReference"/>
          <w:szCs w:val="24"/>
          <w:lang w:eastAsia="ja-JP" w:bidi="ar-DZ"/>
        </w:rPr>
        <w:footnoteReference w:id="16"/>
      </w:r>
      <w:r w:rsidRPr="00C87E86">
        <w:rPr>
          <w:szCs w:val="24"/>
          <w:lang w:eastAsia="ja-JP" w:bidi="ar-DZ"/>
        </w:rPr>
        <w:t xml:space="preserve">. Currently, OTTs fall under information technology regulations which include code of ethics, procedures and safeguard rules in relation to digital media. Notwithstanding, assessments are still being conducted on </w:t>
      </w:r>
      <w:r w:rsidR="00375AC0" w:rsidRPr="00375AC0">
        <w:t xml:space="preserve">OTTs </w:t>
      </w:r>
      <w:r w:rsidR="00583ADA">
        <w:t>[b-</w:t>
      </w:r>
      <w:r w:rsidR="00375AC0" w:rsidRPr="00375AC0">
        <w:t>Chambers and Partners</w:t>
      </w:r>
      <w:r w:rsidR="00583ADA">
        <w:t>]</w:t>
      </w:r>
      <w:r w:rsidR="00375AC0" w:rsidRPr="00375AC0">
        <w:t>.</w:t>
      </w:r>
    </w:p>
    <w:p w14:paraId="53D97910" w14:textId="77777777" w:rsidR="00741F7E" w:rsidRPr="0030748E" w:rsidRDefault="00741F7E" w:rsidP="0030748E">
      <w:pPr>
        <w:pStyle w:val="Heading2"/>
      </w:pPr>
      <w:bookmarkStart w:id="94" w:name="_Toc213830529"/>
      <w:bookmarkStart w:id="95" w:name="_Toc214976403"/>
      <w:bookmarkStart w:id="96" w:name="_Toc229984658"/>
      <w:r w:rsidRPr="0030748E">
        <w:t>B.8</w:t>
      </w:r>
      <w:r w:rsidRPr="0030748E">
        <w:tab/>
        <w:t>Zimbabwe</w:t>
      </w:r>
      <w:bookmarkEnd w:id="94"/>
      <w:bookmarkEnd w:id="95"/>
      <w:bookmarkEnd w:id="96"/>
    </w:p>
    <w:p w14:paraId="59064223" w14:textId="54A38EF8" w:rsidR="00741F7E" w:rsidRDefault="00741F7E" w:rsidP="00741F7E">
      <w:pPr>
        <w:rPr>
          <w:lang w:bidi="ar-DZ"/>
        </w:rPr>
      </w:pPr>
      <w:r>
        <w:rPr>
          <w:szCs w:val="24"/>
          <w:lang w:eastAsia="ja-JP" w:bidi="ar-DZ"/>
        </w:rPr>
        <w:t>T</w:t>
      </w:r>
      <w:r w:rsidRPr="004A2987">
        <w:rPr>
          <w:szCs w:val="24"/>
          <w:lang w:eastAsia="ja-JP" w:bidi="ar-DZ"/>
        </w:rPr>
        <w:t xml:space="preserve">he </w:t>
      </w:r>
      <w:r w:rsidR="00C95FD7">
        <w:rPr>
          <w:lang w:bidi="ar-DZ"/>
        </w:rPr>
        <w:t>p</w:t>
      </w:r>
      <w:r>
        <w:rPr>
          <w:lang w:bidi="ar-DZ"/>
        </w:rPr>
        <w:t xml:space="preserve">ostal and </w:t>
      </w:r>
      <w:r w:rsidR="00C95FD7">
        <w:rPr>
          <w:lang w:bidi="ar-DZ"/>
        </w:rPr>
        <w:t>t</w:t>
      </w:r>
      <w:r>
        <w:rPr>
          <w:lang w:bidi="ar-DZ"/>
        </w:rPr>
        <w:t xml:space="preserve">elecommunications </w:t>
      </w:r>
      <w:r w:rsidR="00C95FD7">
        <w:rPr>
          <w:lang w:bidi="ar-DZ"/>
        </w:rPr>
        <w:t>r</w:t>
      </w:r>
      <w:r>
        <w:rPr>
          <w:lang w:bidi="ar-DZ"/>
        </w:rPr>
        <w:t xml:space="preserve">egulatory </w:t>
      </w:r>
      <w:r w:rsidR="00C95FD7">
        <w:rPr>
          <w:lang w:bidi="ar-DZ"/>
        </w:rPr>
        <w:t>a</w:t>
      </w:r>
      <w:r>
        <w:rPr>
          <w:lang w:bidi="ar-DZ"/>
        </w:rPr>
        <w:t xml:space="preserve">uthority of Zimbabwe (POTRAZ) conducted stakeholder consultations on </w:t>
      </w:r>
      <w:r w:rsidR="00191DF4">
        <w:rPr>
          <w:lang w:bidi="ar-DZ"/>
        </w:rPr>
        <w:t>o</w:t>
      </w:r>
      <w:r>
        <w:rPr>
          <w:lang w:bidi="ar-DZ"/>
        </w:rPr>
        <w:t>ver-the-</w:t>
      </w:r>
      <w:r w:rsidR="00191DF4">
        <w:rPr>
          <w:lang w:bidi="ar-DZ"/>
        </w:rPr>
        <w:t>t</w:t>
      </w:r>
      <w:r>
        <w:rPr>
          <w:lang w:bidi="ar-DZ"/>
        </w:rPr>
        <w:t>op services in 2016 and 2017. The consultative process included telecommunications/ICT players, consumers, wider industry, academia</w:t>
      </w:r>
      <w:r w:rsidRPr="004A2987">
        <w:rPr>
          <w:szCs w:val="24"/>
          <w:lang w:eastAsia="ja-JP" w:bidi="ar-DZ"/>
        </w:rPr>
        <w:t xml:space="preserve"> </w:t>
      </w:r>
      <w:r>
        <w:rPr>
          <w:lang w:bidi="ar-DZ"/>
        </w:rPr>
        <w:t xml:space="preserve">amongst others. The consultative process sought to examine the economic impact of OTT services on all stakeholders, examine regulatory and legislative measures for the provision of OTT services as well as to come up with a </w:t>
      </w:r>
      <w:r w:rsidRPr="008E6E49">
        <w:rPr>
          <w:lang w:bidi="ar-DZ"/>
        </w:rPr>
        <w:t xml:space="preserve">framework </w:t>
      </w:r>
      <w:r>
        <w:rPr>
          <w:lang w:bidi="ar-DZ"/>
        </w:rPr>
        <w:t xml:space="preserve">for levelling the playing field and promoting sustained </w:t>
      </w:r>
      <w:r w:rsidRPr="008E6E49">
        <w:rPr>
          <w:lang w:bidi="ar-DZ"/>
        </w:rPr>
        <w:t>sector growth</w:t>
      </w:r>
      <w:r>
        <w:rPr>
          <w:lang w:bidi="ar-DZ"/>
        </w:rPr>
        <w:t>. The consultation culminated in valuable insights. Key amongst them was the regulatory dilemma arising from a lack of holistic, quantitative, and country specific time series data on OTTs such as traffic, revenues generated, subscriptions</w:t>
      </w:r>
      <w:r w:rsidR="00354737">
        <w:rPr>
          <w:lang w:bidi="ar-DZ"/>
        </w:rPr>
        <w:t>,</w:t>
      </w:r>
      <w:r>
        <w:rPr>
          <w:lang w:bidi="ar-DZ"/>
        </w:rPr>
        <w:t xml:space="preserve"> etc. Whilst the regulator had sufficient data on operators of local </w:t>
      </w:r>
      <w:proofErr w:type="spellStart"/>
      <w:r>
        <w:rPr>
          <w:lang w:bidi="ar-DZ"/>
        </w:rPr>
        <w:t>domicilium</w:t>
      </w:r>
      <w:proofErr w:type="spellEnd"/>
      <w:r>
        <w:rPr>
          <w:lang w:bidi="ar-DZ"/>
        </w:rPr>
        <w:t>, this was not so for app</w:t>
      </w:r>
      <w:r w:rsidR="00191DF4">
        <w:rPr>
          <w:lang w:bidi="ar-DZ"/>
        </w:rPr>
        <w:t>lication</w:t>
      </w:r>
      <w:r>
        <w:rPr>
          <w:lang w:bidi="ar-DZ"/>
        </w:rPr>
        <w:t>-based service providers. The stakeholders agreed that direct economic and policy intervention without sufficient, quantifiable evidence on the impacts of OTTs, at that time, would not yield intended outcomes. Nevertheless, POTRAZ plans to include OTTs in upcoming market studies, whose outcomes may impact future policy and regulatory interventions on all players, including OTTs.</w:t>
      </w:r>
    </w:p>
    <w:p w14:paraId="6024250F" w14:textId="77777777" w:rsidR="00741F7E" w:rsidRPr="00D80D8D" w:rsidRDefault="00741F7E" w:rsidP="00D80D8D">
      <w:pPr>
        <w:pStyle w:val="Heading2"/>
      </w:pPr>
      <w:bookmarkStart w:id="97" w:name="_Toc213830530"/>
      <w:bookmarkStart w:id="98" w:name="_Toc214976404"/>
      <w:bookmarkStart w:id="99" w:name="_Toc229984659"/>
      <w:r w:rsidRPr="00D80D8D">
        <w:t>B.9</w:t>
      </w:r>
      <w:r w:rsidRPr="00D80D8D">
        <w:tab/>
        <w:t>Bahrain</w:t>
      </w:r>
      <w:bookmarkEnd w:id="97"/>
      <w:bookmarkEnd w:id="98"/>
      <w:bookmarkEnd w:id="99"/>
      <w:r w:rsidRPr="00D80D8D">
        <w:t xml:space="preserve"> </w:t>
      </w:r>
    </w:p>
    <w:p w14:paraId="65AEA350" w14:textId="324BDF3A" w:rsidR="00741F7E" w:rsidRPr="006975CD" w:rsidRDefault="00741F7E" w:rsidP="00741F7E">
      <w:pPr>
        <w:rPr>
          <w:szCs w:val="24"/>
          <w:lang w:eastAsia="ja-JP" w:bidi="ar-DZ"/>
        </w:rPr>
      </w:pPr>
      <w:r w:rsidRPr="006975CD">
        <w:rPr>
          <w:szCs w:val="24"/>
          <w:lang w:eastAsia="ja-JP" w:bidi="ar-DZ"/>
        </w:rPr>
        <w:t>The consideration of OTTs in the Kingdom of Bahrain has been implicitly noted</w:t>
      </w:r>
      <w:r w:rsidRPr="006975CD">
        <w:rPr>
          <w:szCs w:val="24"/>
        </w:rPr>
        <w:t xml:space="preserve"> in the </w:t>
      </w:r>
      <w:r w:rsidR="009F4F76">
        <w:rPr>
          <w:szCs w:val="24"/>
          <w:lang w:eastAsia="ja-JP" w:bidi="ar-DZ"/>
        </w:rPr>
        <w:t>t</w:t>
      </w:r>
      <w:r w:rsidRPr="006975CD">
        <w:rPr>
          <w:szCs w:val="24"/>
          <w:lang w:eastAsia="ja-JP" w:bidi="ar-DZ"/>
        </w:rPr>
        <w:t xml:space="preserve">elecommunications </w:t>
      </w:r>
      <w:r w:rsidR="009F4F76">
        <w:rPr>
          <w:szCs w:val="24"/>
          <w:lang w:eastAsia="ja-JP" w:bidi="ar-DZ"/>
        </w:rPr>
        <w:t>r</w:t>
      </w:r>
      <w:r w:rsidRPr="006975CD">
        <w:rPr>
          <w:szCs w:val="24"/>
          <w:lang w:eastAsia="ja-JP" w:bidi="ar-DZ"/>
        </w:rPr>
        <w:t xml:space="preserve">egulatory </w:t>
      </w:r>
      <w:r w:rsidR="009F4F76">
        <w:rPr>
          <w:szCs w:val="24"/>
          <w:lang w:eastAsia="ja-JP" w:bidi="ar-DZ"/>
        </w:rPr>
        <w:t>a</w:t>
      </w:r>
      <w:r w:rsidRPr="006975CD">
        <w:rPr>
          <w:szCs w:val="24"/>
          <w:lang w:eastAsia="ja-JP" w:bidi="ar-DZ"/>
        </w:rPr>
        <w:t xml:space="preserve">uthority (TRA) consultation on determining the licensing approach to </w:t>
      </w:r>
      <w:r w:rsidR="000A77F5">
        <w:rPr>
          <w:szCs w:val="24"/>
          <w:lang w:eastAsia="ja-JP" w:bidi="ar-DZ"/>
        </w:rPr>
        <w:t>I</w:t>
      </w:r>
      <w:r w:rsidRPr="006975CD">
        <w:rPr>
          <w:szCs w:val="24"/>
          <w:lang w:eastAsia="ja-JP" w:bidi="ar-DZ"/>
        </w:rPr>
        <w:t xml:space="preserve">nternet protocol-based voice and messaging services in the Kingdom of Bahrain. Specifically, in 2021 after various stakeholder consultations the TRA finalized its position whereby a distinction was made between number-based and number-independent services. From this distinction the TRA concluded that number-based services qualify as telecommunications services and would require different licenses (where applicable) unless the services are provided within a private network. Whereas number-independent services do not qualify as telecommunications services and hence do not require a license. In addition, under the </w:t>
      </w:r>
      <w:r w:rsidR="00DA6CBC">
        <w:rPr>
          <w:szCs w:val="24"/>
          <w:lang w:eastAsia="ja-JP" w:bidi="ar-DZ"/>
        </w:rPr>
        <w:t>I</w:t>
      </w:r>
      <w:r w:rsidRPr="006975CD">
        <w:rPr>
          <w:szCs w:val="24"/>
          <w:lang w:eastAsia="ja-JP" w:bidi="ar-DZ"/>
        </w:rPr>
        <w:t xml:space="preserve">nternet service provider (ISP) license, the prohibition on providing </w:t>
      </w:r>
      <w:r w:rsidR="00580392" w:rsidRPr="00580392">
        <w:rPr>
          <w:szCs w:val="24"/>
          <w:lang w:eastAsia="ja-JP" w:bidi="ar-DZ"/>
        </w:rPr>
        <w:t>"</w:t>
      </w:r>
      <w:r w:rsidRPr="006975CD">
        <w:rPr>
          <w:szCs w:val="24"/>
          <w:lang w:eastAsia="ja-JP" w:bidi="ar-DZ"/>
        </w:rPr>
        <w:t>basic voice services</w:t>
      </w:r>
      <w:r w:rsidR="00580392" w:rsidRPr="00580392">
        <w:rPr>
          <w:szCs w:val="24"/>
          <w:lang w:eastAsia="ja-JP" w:bidi="ar-DZ"/>
        </w:rPr>
        <w:t>"</w:t>
      </w:r>
      <w:r w:rsidRPr="006975CD">
        <w:rPr>
          <w:szCs w:val="24"/>
          <w:lang w:eastAsia="ja-JP" w:bidi="ar-DZ"/>
        </w:rPr>
        <w:t xml:space="preserve"> includes number-based services and does not extend to number-independent services. Furthermore, the </w:t>
      </w:r>
      <w:r w:rsidR="00AE60D9">
        <w:rPr>
          <w:szCs w:val="24"/>
          <w:lang w:eastAsia="ja-JP" w:bidi="ar-DZ"/>
        </w:rPr>
        <w:t>l</w:t>
      </w:r>
      <w:r w:rsidRPr="006975CD">
        <w:rPr>
          <w:szCs w:val="24"/>
          <w:lang w:eastAsia="ja-JP" w:bidi="ar-DZ"/>
        </w:rPr>
        <w:t xml:space="preserve">aw applies to all number-based service providers irrespective of the jurisdiction of their establishment and the location of their technical equipment, if they effectively, deliberately, and purposefully direct their activities to residents of the Kingdom of </w:t>
      </w:r>
      <w:r w:rsidR="00375AC0" w:rsidRPr="00375AC0">
        <w:rPr>
          <w:rFonts w:eastAsia="Aptos"/>
          <w:kern w:val="2"/>
          <w:szCs w:val="24"/>
          <w:lang w:val="en-TT"/>
          <w14:ligatures w14:val="standardContextual"/>
        </w:rPr>
        <w:t xml:space="preserve">Bahrain </w:t>
      </w:r>
      <w:r w:rsidR="00AE60D9">
        <w:rPr>
          <w:rFonts w:eastAsia="Aptos"/>
          <w:kern w:val="2"/>
          <w:szCs w:val="24"/>
          <w:lang w:val="en-TT"/>
          <w14:ligatures w14:val="standardContextual"/>
        </w:rPr>
        <w:t>[</w:t>
      </w:r>
      <w:r w:rsidR="00495D90">
        <w:rPr>
          <w:rFonts w:eastAsia="Aptos"/>
          <w:kern w:val="2"/>
          <w:szCs w:val="24"/>
          <w:lang w:val="en-TT"/>
          <w14:ligatures w14:val="standardContextual"/>
        </w:rPr>
        <w:t>b-</w:t>
      </w:r>
      <w:r w:rsidR="00375AC0" w:rsidRPr="00375AC0">
        <w:rPr>
          <w:rFonts w:eastAsia="Aptos"/>
          <w:kern w:val="2"/>
          <w:szCs w:val="24"/>
          <w:lang w:val="en-TT"/>
          <w14:ligatures w14:val="standardContextual"/>
        </w:rPr>
        <w:t>TRA</w:t>
      </w:r>
      <w:r w:rsidR="00AE60D9" w:rsidRPr="00EE10E8">
        <w:t>]</w:t>
      </w:r>
      <w:r w:rsidR="00375AC0" w:rsidRPr="00375AC0">
        <w:rPr>
          <w:rFonts w:eastAsia="Aptos"/>
          <w:kern w:val="2"/>
          <w:szCs w:val="24"/>
          <w:lang w:val="en-TT"/>
          <w14:ligatures w14:val="standardContextual"/>
        </w:rPr>
        <w:t>.</w:t>
      </w:r>
    </w:p>
    <w:p w14:paraId="77BC1F5B" w14:textId="77777777" w:rsidR="00741F7E" w:rsidRDefault="00741F7E" w:rsidP="00741F7E">
      <w:pPr>
        <w:spacing w:before="0"/>
        <w:rPr>
          <w:rFonts w:eastAsiaTheme="minorEastAsia"/>
          <w:kern w:val="2"/>
          <w:sz w:val="22"/>
          <w:szCs w:val="22"/>
          <w:lang w:val="en-TT" w:eastAsia="zh-CN"/>
          <w14:ligatures w14:val="standardContextual"/>
        </w:rPr>
      </w:pPr>
      <w:r>
        <w:rPr>
          <w:rFonts w:eastAsia="Aptos"/>
          <w:kern w:val="2"/>
          <w:sz w:val="22"/>
          <w:szCs w:val="22"/>
          <w:lang w:val="en-TT"/>
          <w14:ligatures w14:val="standardContextual"/>
        </w:rPr>
        <w:br w:type="page"/>
      </w:r>
    </w:p>
    <w:p w14:paraId="4BA9882E" w14:textId="77777777" w:rsidR="0043521E" w:rsidRDefault="0043521E" w:rsidP="0043521E">
      <w:pPr>
        <w:pStyle w:val="AnnexNoTitle0"/>
      </w:pPr>
      <w:bookmarkStart w:id="100" w:name="_Toc214976405"/>
      <w:bookmarkStart w:id="101" w:name="_Toc229984660"/>
      <w:r>
        <w:lastRenderedPageBreak/>
        <w:t>Bibliography</w:t>
      </w:r>
      <w:bookmarkEnd w:id="100"/>
      <w:bookmarkEnd w:id="101"/>
    </w:p>
    <w:p w14:paraId="567DC739" w14:textId="77777777" w:rsidR="000C5E5A" w:rsidRPr="000C5E5A" w:rsidRDefault="000C5E5A" w:rsidP="000C5E5A">
      <w:pPr>
        <w:ind w:left="794" w:hanging="794"/>
        <w:rPr>
          <w:rFonts w:eastAsiaTheme="minorEastAsia"/>
          <w:lang w:eastAsia="zh-CN"/>
        </w:rPr>
      </w:pPr>
    </w:p>
    <w:p w14:paraId="3250C0EE" w14:textId="1C47DB27" w:rsidR="000C5E5A" w:rsidRPr="000C5E5A" w:rsidRDefault="001E079F" w:rsidP="00495D90">
      <w:pPr>
        <w:pStyle w:val="Reftext"/>
        <w:tabs>
          <w:tab w:val="clear" w:pos="1191"/>
          <w:tab w:val="clear" w:pos="1588"/>
          <w:tab w:val="clear" w:pos="1985"/>
          <w:tab w:val="left" w:pos="2835"/>
        </w:tabs>
        <w:ind w:left="2835" w:hanging="2835"/>
        <w:rPr>
          <w:rFonts w:eastAsiaTheme="minorEastAsia"/>
          <w:lang w:eastAsia="zh-CN"/>
        </w:rPr>
      </w:pPr>
      <w:r w:rsidRPr="001E079F">
        <w:rPr>
          <w:rFonts w:eastAsiaTheme="minorEastAsia"/>
          <w:lang w:eastAsia="zh-CN"/>
        </w:rPr>
        <w:t>[b-ANATEL]</w:t>
      </w:r>
      <w:r>
        <w:rPr>
          <w:rFonts w:eastAsiaTheme="minorEastAsia"/>
          <w:lang w:eastAsia="zh-CN"/>
        </w:rPr>
        <w:tab/>
      </w:r>
      <w:r w:rsidR="00CF6531">
        <w:rPr>
          <w:rFonts w:eastAsiaTheme="minorEastAsia"/>
          <w:lang w:eastAsia="zh-CN"/>
        </w:rPr>
        <w:tab/>
      </w:r>
      <w:r w:rsidR="000C5E5A" w:rsidRPr="000C5E5A">
        <w:rPr>
          <w:rFonts w:eastAsiaTheme="minorEastAsia"/>
          <w:lang w:eastAsia="zh-CN"/>
        </w:rPr>
        <w:t>ANATEL</w:t>
      </w:r>
      <w:r w:rsidR="00601043">
        <w:rPr>
          <w:rFonts w:eastAsiaTheme="minorEastAsia"/>
          <w:lang w:eastAsia="zh-CN"/>
        </w:rPr>
        <w:t xml:space="preserve"> </w:t>
      </w:r>
      <w:r w:rsidR="000C5E5A" w:rsidRPr="000C5E5A">
        <w:rPr>
          <w:rFonts w:eastAsiaTheme="minorEastAsia"/>
          <w:lang w:eastAsia="zh-CN"/>
        </w:rPr>
        <w:t>(2018)</w:t>
      </w:r>
      <w:r>
        <w:rPr>
          <w:rFonts w:eastAsiaTheme="minorEastAsia"/>
          <w:lang w:eastAsia="zh-CN"/>
        </w:rPr>
        <w:t>,</w:t>
      </w:r>
      <w:r w:rsidR="00CA08AD">
        <w:rPr>
          <w:rFonts w:eastAsiaTheme="minorEastAsia"/>
          <w:lang w:eastAsia="zh-CN"/>
        </w:rPr>
        <w:t xml:space="preserve"> </w:t>
      </w:r>
      <w:r w:rsidR="000C5E5A" w:rsidRPr="00CA08AD">
        <w:rPr>
          <w:rFonts w:eastAsiaTheme="minorEastAsia"/>
          <w:i/>
          <w:iCs/>
          <w:lang w:eastAsia="zh-CN"/>
        </w:rPr>
        <w:t xml:space="preserve">Brazilian proposal to define OTTs is adopted internationally. </w:t>
      </w:r>
      <w:r w:rsidR="009930AB">
        <w:t>&lt;</w:t>
      </w:r>
      <w:hyperlink r:id="rId35" w:history="1">
        <w:r w:rsidR="009930AB" w:rsidRPr="009930AB">
          <w:rPr>
            <w:rStyle w:val="Hyperlink"/>
            <w:rFonts w:ascii="Arial" w:eastAsiaTheme="minorEastAsia" w:hAnsi="Arial" w:cs="Arial"/>
            <w:sz w:val="16"/>
            <w:szCs w:val="16"/>
            <w:lang w:eastAsia="zh-CN"/>
          </w:rPr>
          <w:t>https://www.gov.br/anatel/pt-br/assuntos/noticias/proposta-brasileira-de-definicao-de-otts-e-adotada-internacionalmente</w:t>
        </w:r>
      </w:hyperlink>
      <w:r w:rsidR="009930AB" w:rsidRPr="00F71292">
        <w:rPr>
          <w:rFonts w:eastAsiaTheme="minorEastAsia"/>
          <w:color w:val="000000" w:themeColor="text1"/>
          <w:szCs w:val="24"/>
          <w:lang w:eastAsia="zh-CN"/>
        </w:rPr>
        <w:t>&gt;</w:t>
      </w:r>
      <w:r>
        <w:rPr>
          <w:rFonts w:eastAsiaTheme="minorEastAsia"/>
          <w:lang w:eastAsia="zh-CN"/>
        </w:rPr>
        <w:t xml:space="preserve"> </w:t>
      </w:r>
    </w:p>
    <w:p w14:paraId="5F064187" w14:textId="2C4F2579" w:rsidR="000C5E5A" w:rsidRPr="000C5E5A" w:rsidRDefault="00CA08AD" w:rsidP="00495D90">
      <w:pPr>
        <w:pStyle w:val="Reftext"/>
        <w:tabs>
          <w:tab w:val="clear" w:pos="1191"/>
          <w:tab w:val="clear" w:pos="1588"/>
          <w:tab w:val="clear" w:pos="1985"/>
          <w:tab w:val="left" w:pos="2835"/>
        </w:tabs>
        <w:ind w:left="2835" w:hanging="2835"/>
        <w:rPr>
          <w:rFonts w:eastAsiaTheme="minorEastAsia"/>
          <w:lang w:eastAsia="zh-CN"/>
        </w:rPr>
      </w:pPr>
      <w:r w:rsidRPr="00EE10E8">
        <w:t>[</w:t>
      </w:r>
      <w:r>
        <w:t>b-</w:t>
      </w:r>
      <w:r w:rsidRPr="00CA08AD">
        <w:t>BEREC</w:t>
      </w:r>
      <w:r w:rsidR="006E12D8">
        <w:t xml:space="preserve"> 2021</w:t>
      </w:r>
      <w:r w:rsidRPr="00EE10E8">
        <w:t>]</w:t>
      </w:r>
      <w:r w:rsidR="001E079F">
        <w:rPr>
          <w:rFonts w:eastAsiaTheme="minorEastAsia"/>
          <w:lang w:eastAsia="zh-CN"/>
        </w:rPr>
        <w:tab/>
      </w:r>
      <w:r w:rsidR="00CF6531">
        <w:rPr>
          <w:rFonts w:eastAsiaTheme="minorEastAsia"/>
          <w:lang w:eastAsia="zh-CN"/>
        </w:rPr>
        <w:tab/>
      </w:r>
      <w:r w:rsidR="000C5E5A" w:rsidRPr="000C5E5A">
        <w:rPr>
          <w:rFonts w:eastAsiaTheme="minorEastAsia"/>
          <w:lang w:eastAsia="zh-CN"/>
        </w:rPr>
        <w:t>BEREC (2021)</w:t>
      </w:r>
      <w:r w:rsidR="00C92A07">
        <w:rPr>
          <w:rFonts w:eastAsiaTheme="minorEastAsia"/>
          <w:lang w:eastAsia="zh-CN"/>
        </w:rPr>
        <w:t>,</w:t>
      </w:r>
      <w:r w:rsidR="000C5E5A" w:rsidRPr="000C5E5A">
        <w:rPr>
          <w:rFonts w:eastAsiaTheme="minorEastAsia"/>
          <w:lang w:eastAsia="zh-CN"/>
        </w:rPr>
        <w:t xml:space="preserve"> </w:t>
      </w:r>
      <w:r w:rsidR="000C5E5A" w:rsidRPr="00CA08AD">
        <w:rPr>
          <w:rFonts w:eastAsiaTheme="minorEastAsia"/>
          <w:i/>
          <w:iCs/>
          <w:lang w:eastAsia="zh-CN"/>
        </w:rPr>
        <w:t xml:space="preserve">Report on harmonised definitions for indicators regarding over-the-top services, relevant to electronic communications markets. </w:t>
      </w:r>
      <w:r w:rsidR="00CF6531">
        <w:rPr>
          <w:rFonts w:eastAsiaTheme="minorEastAsia"/>
          <w:lang w:eastAsia="zh-CN"/>
        </w:rPr>
        <w:br/>
      </w:r>
      <w:r w:rsidR="00C96554">
        <w:t>&lt;</w:t>
      </w:r>
      <w:hyperlink r:id="rId36" w:history="1">
        <w:r w:rsidR="00C96554" w:rsidRPr="00C96554">
          <w:rPr>
            <w:rStyle w:val="Hyperlink"/>
            <w:rFonts w:ascii="Arial" w:eastAsiaTheme="minorEastAsia" w:hAnsi="Arial" w:cs="Arial"/>
            <w:sz w:val="16"/>
            <w:szCs w:val="16"/>
            <w:lang w:eastAsia="zh-CN"/>
          </w:rPr>
          <w:t>https://www.berec.europa.eu/sites/default/files/files/document_register_store/2021/10/BoR_(21)_127_Report_on_OTT_services_indicators_clean.pdf</w:t>
        </w:r>
      </w:hyperlink>
      <w:r w:rsidR="00C96554" w:rsidRPr="00F71292">
        <w:rPr>
          <w:rStyle w:val="Hyperlink"/>
          <w:rFonts w:eastAsiaTheme="minorEastAsia"/>
          <w:color w:val="000000" w:themeColor="text1"/>
          <w:szCs w:val="24"/>
          <w:u w:val="none"/>
          <w:lang w:eastAsia="zh-CN"/>
        </w:rPr>
        <w:t>&gt;</w:t>
      </w:r>
      <w:r>
        <w:rPr>
          <w:rFonts w:eastAsiaTheme="minorEastAsia"/>
          <w:lang w:eastAsia="zh-CN"/>
        </w:rPr>
        <w:t xml:space="preserve"> </w:t>
      </w:r>
    </w:p>
    <w:p w14:paraId="0E0CB46F" w14:textId="5D18F9D9"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sidRPr="00EE10E8">
        <w:t>[</w:t>
      </w:r>
      <w:r>
        <w:t>b-</w:t>
      </w:r>
      <w:r w:rsidRPr="000C5E5A">
        <w:rPr>
          <w:rFonts w:eastAsiaTheme="minorEastAsia"/>
          <w:lang w:eastAsia="zh-CN"/>
        </w:rPr>
        <w:t>BEREC</w:t>
      </w:r>
      <w:r w:rsidRPr="00EE10E8">
        <w:t>]</w:t>
      </w:r>
      <w:r w:rsidR="001E079F">
        <w:rPr>
          <w:rFonts w:eastAsiaTheme="minorEastAsia"/>
          <w:lang w:eastAsia="zh-CN"/>
        </w:rPr>
        <w:tab/>
      </w:r>
      <w:r w:rsidR="00A9449B">
        <w:rPr>
          <w:rFonts w:eastAsiaTheme="minorEastAsia"/>
          <w:lang w:eastAsia="zh-CN"/>
        </w:rPr>
        <w:tab/>
      </w:r>
      <w:r w:rsidR="000C5E5A" w:rsidRPr="000C5E5A">
        <w:rPr>
          <w:rFonts w:eastAsiaTheme="minorEastAsia"/>
          <w:lang w:eastAsia="zh-CN"/>
        </w:rPr>
        <w:t xml:space="preserve">BEREC (n.d.). </w:t>
      </w:r>
      <w:r w:rsidR="000C5E5A" w:rsidRPr="006E12D8">
        <w:rPr>
          <w:rFonts w:eastAsiaTheme="minorEastAsia"/>
          <w:i/>
          <w:iCs/>
          <w:lang w:eastAsia="zh-CN"/>
        </w:rPr>
        <w:t xml:space="preserve">European Electronic Communications Code. </w:t>
      </w:r>
      <w:r w:rsidR="00CF6531">
        <w:rPr>
          <w:rFonts w:eastAsiaTheme="minorEastAsia"/>
          <w:i/>
          <w:iCs/>
          <w:lang w:eastAsia="zh-CN"/>
        </w:rPr>
        <w:br/>
      </w:r>
      <w:r w:rsidR="00451B1C">
        <w:rPr>
          <w:rFonts w:eastAsiaTheme="minorEastAsia"/>
          <w:lang w:eastAsia="zh-CN"/>
        </w:rPr>
        <w:t>&lt;</w:t>
      </w:r>
      <w:hyperlink r:id="rId37" w:history="1">
        <w:r w:rsidR="00451B1C" w:rsidRPr="00451B1C">
          <w:rPr>
            <w:rStyle w:val="Hyperlink"/>
            <w:rFonts w:ascii="Arial" w:eastAsiaTheme="minorEastAsia" w:hAnsi="Arial" w:cs="Arial"/>
            <w:sz w:val="16"/>
            <w:szCs w:val="16"/>
            <w:lang w:eastAsia="zh-CN"/>
          </w:rPr>
          <w:t>https://www.berec.europa.eu/en/berec/european-electronic-communications-code</w:t>
        </w:r>
      </w:hyperlink>
      <w:r w:rsidR="00451B1C" w:rsidRPr="00F71292">
        <w:rPr>
          <w:rFonts w:eastAsiaTheme="minorEastAsia"/>
          <w:szCs w:val="24"/>
          <w:lang w:eastAsia="zh-CN"/>
        </w:rPr>
        <w:t>&gt;</w:t>
      </w:r>
      <w:r w:rsidR="00CA08AD">
        <w:rPr>
          <w:rFonts w:eastAsiaTheme="minorEastAsia"/>
          <w:lang w:eastAsia="zh-CN"/>
        </w:rPr>
        <w:t xml:space="preserve"> </w:t>
      </w:r>
    </w:p>
    <w:p w14:paraId="1872B861" w14:textId="52EE52C7" w:rsidR="000C5E5A" w:rsidRPr="00A9449B" w:rsidRDefault="006E12D8" w:rsidP="00495D90">
      <w:pPr>
        <w:pStyle w:val="Reftext"/>
        <w:tabs>
          <w:tab w:val="clear" w:pos="1191"/>
          <w:tab w:val="clear" w:pos="1588"/>
          <w:tab w:val="clear" w:pos="1985"/>
          <w:tab w:val="left" w:pos="2835"/>
        </w:tabs>
        <w:ind w:left="2835" w:hanging="2835"/>
        <w:rPr>
          <w:rFonts w:eastAsiaTheme="minorEastAsia"/>
          <w:i/>
          <w:iCs/>
          <w:lang w:eastAsia="zh-CN"/>
        </w:rPr>
      </w:pPr>
      <w:r w:rsidRPr="00601043">
        <w:t>[b-</w:t>
      </w:r>
      <w:r w:rsidRPr="00601043">
        <w:rPr>
          <w:rFonts w:eastAsiaTheme="minorEastAsia"/>
          <w:lang w:eastAsia="zh-CN"/>
        </w:rPr>
        <w:t>Bilbil</w:t>
      </w:r>
      <w:r w:rsidRPr="00601043">
        <w:t>]</w:t>
      </w:r>
      <w:r w:rsidR="001E079F" w:rsidRPr="00601043">
        <w:rPr>
          <w:rFonts w:eastAsiaTheme="minorEastAsia"/>
          <w:lang w:eastAsia="zh-CN"/>
        </w:rPr>
        <w:tab/>
      </w:r>
      <w:r w:rsidR="00CF6531" w:rsidRPr="00601043">
        <w:rPr>
          <w:rFonts w:eastAsiaTheme="minorEastAsia"/>
          <w:lang w:eastAsia="zh-CN"/>
        </w:rPr>
        <w:tab/>
      </w:r>
      <w:r w:rsidR="000C5E5A" w:rsidRPr="00601043">
        <w:rPr>
          <w:rFonts w:eastAsiaTheme="minorEastAsia"/>
          <w:lang w:eastAsia="zh-CN"/>
        </w:rPr>
        <w:t>Bilbil, E. T. (2018)</w:t>
      </w:r>
      <w:r w:rsidR="00601043" w:rsidRPr="00601043">
        <w:rPr>
          <w:rFonts w:eastAsiaTheme="minorEastAsia"/>
          <w:lang w:eastAsia="zh-CN"/>
        </w:rPr>
        <w:t>,</w:t>
      </w:r>
      <w:r w:rsidR="000C5E5A" w:rsidRPr="00601043">
        <w:rPr>
          <w:rFonts w:eastAsiaTheme="minorEastAsia"/>
          <w:lang w:eastAsia="zh-CN"/>
        </w:rPr>
        <w:t xml:space="preserve"> </w:t>
      </w:r>
      <w:r w:rsidR="000C5E5A" w:rsidRPr="00A9449B">
        <w:rPr>
          <w:rFonts w:eastAsiaTheme="minorEastAsia"/>
          <w:i/>
          <w:iCs/>
          <w:lang w:eastAsia="zh-CN"/>
        </w:rPr>
        <w:t xml:space="preserve">Methodology for the Regulation of Over-the-top (OTT) Services: The Need of </w:t>
      </w:r>
      <w:proofErr w:type="gramStart"/>
      <w:r w:rsidR="000C5E5A" w:rsidRPr="00A9449B">
        <w:rPr>
          <w:rFonts w:eastAsiaTheme="minorEastAsia"/>
          <w:i/>
          <w:iCs/>
          <w:lang w:eastAsia="zh-CN"/>
        </w:rPr>
        <w:t>A</w:t>
      </w:r>
      <w:proofErr w:type="gramEnd"/>
      <w:r w:rsidR="000C5E5A" w:rsidRPr="00A9449B">
        <w:rPr>
          <w:rFonts w:eastAsiaTheme="minorEastAsia"/>
          <w:i/>
          <w:iCs/>
          <w:lang w:eastAsia="zh-CN"/>
        </w:rPr>
        <w:t xml:space="preserve"> Multi-dimensional Perspective. International Journal of Economics and Financial Issues</w:t>
      </w:r>
      <w:r w:rsidR="00601043">
        <w:rPr>
          <w:rFonts w:eastAsiaTheme="minorEastAsia"/>
          <w:i/>
          <w:iCs/>
          <w:lang w:eastAsia="zh-CN"/>
        </w:rPr>
        <w:t xml:space="preserve"> </w:t>
      </w:r>
      <w:r w:rsidR="000C5E5A" w:rsidRPr="00A9449B">
        <w:rPr>
          <w:rFonts w:eastAsiaTheme="minorEastAsia"/>
          <w:i/>
          <w:iCs/>
          <w:lang w:eastAsia="zh-CN"/>
        </w:rPr>
        <w:t>(8(1)), 101</w:t>
      </w:r>
      <w:r w:rsidR="00601043">
        <w:rPr>
          <w:rFonts w:eastAsiaTheme="minorEastAsia"/>
          <w:i/>
          <w:iCs/>
          <w:lang w:eastAsia="zh-CN"/>
        </w:rPr>
        <w:noBreakHyphen/>
      </w:r>
      <w:r w:rsidR="000C5E5A" w:rsidRPr="00A9449B">
        <w:rPr>
          <w:rFonts w:eastAsiaTheme="minorEastAsia"/>
          <w:i/>
          <w:iCs/>
          <w:lang w:eastAsia="zh-CN"/>
        </w:rPr>
        <w:t xml:space="preserve">110. </w:t>
      </w:r>
      <w:r w:rsidR="007B6396">
        <w:rPr>
          <w:rFonts w:eastAsiaTheme="minorEastAsia"/>
          <w:i/>
          <w:iCs/>
          <w:lang w:eastAsia="zh-CN"/>
        </w:rPr>
        <w:t>&lt;</w:t>
      </w:r>
      <w:hyperlink r:id="rId38" w:history="1">
        <w:r w:rsidR="007B6396" w:rsidRPr="007B6396">
          <w:rPr>
            <w:rStyle w:val="Hyperlink"/>
            <w:rFonts w:ascii="Arial" w:eastAsiaTheme="minorEastAsia" w:hAnsi="Arial" w:cs="Arial"/>
            <w:sz w:val="16"/>
            <w:szCs w:val="16"/>
            <w:lang w:eastAsia="zh-CN"/>
          </w:rPr>
          <w:t>www.econjournals.com</w:t>
        </w:r>
      </w:hyperlink>
      <w:r w:rsidR="007B6396" w:rsidRPr="00F71292">
        <w:rPr>
          <w:rStyle w:val="Hyperlink"/>
          <w:rFonts w:eastAsiaTheme="minorEastAsia"/>
          <w:color w:val="000000" w:themeColor="text1"/>
          <w:szCs w:val="24"/>
          <w:u w:val="none"/>
          <w:lang w:eastAsia="zh-CN"/>
        </w:rPr>
        <w:t>&gt;</w:t>
      </w:r>
      <w:r w:rsidR="00A9449B">
        <w:rPr>
          <w:rFonts w:eastAsiaTheme="minorEastAsia"/>
          <w:i/>
          <w:iCs/>
          <w:lang w:eastAsia="zh-CN"/>
        </w:rPr>
        <w:t xml:space="preserve"> </w:t>
      </w:r>
    </w:p>
    <w:p w14:paraId="0418219B" w14:textId="52CE6465"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sidRPr="006E12D8">
        <w:t>[b-</w:t>
      </w:r>
      <w:r w:rsidR="00A9449B">
        <w:rPr>
          <w:rFonts w:eastAsiaTheme="minorEastAsia"/>
          <w:lang w:eastAsia="zh-CN"/>
        </w:rPr>
        <w:t>CRTC</w:t>
      </w:r>
      <w:r w:rsidRPr="006E12D8">
        <w:t>]</w:t>
      </w:r>
      <w:r w:rsidR="001E079F">
        <w:rPr>
          <w:rFonts w:eastAsiaTheme="minorEastAsia"/>
          <w:lang w:eastAsia="zh-CN"/>
        </w:rPr>
        <w:tab/>
      </w:r>
      <w:r w:rsidR="00CF6531">
        <w:rPr>
          <w:rFonts w:eastAsiaTheme="minorEastAsia"/>
          <w:lang w:eastAsia="zh-CN"/>
        </w:rPr>
        <w:tab/>
      </w:r>
      <w:r w:rsidR="000C5E5A" w:rsidRPr="000C5E5A">
        <w:rPr>
          <w:rFonts w:eastAsiaTheme="minorEastAsia"/>
          <w:lang w:eastAsia="zh-CN"/>
        </w:rPr>
        <w:t>Canadian Radio-television and Telecommunications Commission. (2022, March 25)</w:t>
      </w:r>
      <w:r w:rsidR="00601043">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The State of the Canadian Program Rights Market 2022.</w:t>
      </w:r>
      <w:r w:rsidR="00451B1C" w:rsidRPr="00A9449B" w:rsidDel="00451B1C">
        <w:rPr>
          <w:rFonts w:eastAsiaTheme="minorEastAsia"/>
          <w:i/>
          <w:iCs/>
          <w:lang w:eastAsia="zh-CN"/>
        </w:rPr>
        <w:t xml:space="preserve"> </w:t>
      </w:r>
      <w:r w:rsidR="007B6396">
        <w:rPr>
          <w:rFonts w:eastAsiaTheme="minorEastAsia"/>
          <w:i/>
          <w:iCs/>
          <w:lang w:eastAsia="zh-CN"/>
        </w:rPr>
        <w:t>&lt;</w:t>
      </w:r>
      <w:hyperlink r:id="rId39" w:anchor="a6" w:history="1">
        <w:r w:rsidR="007B6396" w:rsidRPr="007B6396">
          <w:rPr>
            <w:rStyle w:val="Hyperlink"/>
            <w:rFonts w:ascii="Arial" w:eastAsiaTheme="minorEastAsia" w:hAnsi="Arial" w:cs="Arial"/>
            <w:sz w:val="16"/>
            <w:szCs w:val="16"/>
            <w:lang w:eastAsia="zh-CN"/>
          </w:rPr>
          <w:t>https://crtc.gc.ca/eng/publications/reports/rp220714.htm#a6</w:t>
        </w:r>
      </w:hyperlink>
      <w:r w:rsidR="007B6396" w:rsidRPr="00F71292">
        <w:rPr>
          <w:rFonts w:eastAsiaTheme="minorEastAsia"/>
          <w:szCs w:val="24"/>
          <w:lang w:eastAsia="zh-CN"/>
        </w:rPr>
        <w:t>&gt;</w:t>
      </w:r>
      <w:r w:rsidR="00CA08AD">
        <w:rPr>
          <w:rFonts w:eastAsiaTheme="minorEastAsia"/>
          <w:lang w:eastAsia="zh-CN"/>
        </w:rPr>
        <w:t xml:space="preserve"> </w:t>
      </w:r>
    </w:p>
    <w:p w14:paraId="2CCDEBE9" w14:textId="59150692"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sidRPr="00EE10E8">
        <w:t>[</w:t>
      </w:r>
      <w:r>
        <w:t>b-</w:t>
      </w:r>
      <w:r w:rsidR="00A9449B" w:rsidRPr="000C5E5A">
        <w:rPr>
          <w:rFonts w:eastAsiaTheme="minorEastAsia"/>
          <w:lang w:eastAsia="zh-CN"/>
        </w:rPr>
        <w:t>Cassels</w:t>
      </w:r>
      <w:r w:rsidRPr="00EE10E8">
        <w:t>]</w:t>
      </w:r>
      <w:r w:rsidR="001E079F">
        <w:rPr>
          <w:rFonts w:eastAsiaTheme="minorEastAsia"/>
          <w:lang w:eastAsia="zh-CN"/>
        </w:rPr>
        <w:tab/>
      </w:r>
      <w:r w:rsidR="00CF6531">
        <w:rPr>
          <w:rFonts w:eastAsiaTheme="minorEastAsia"/>
          <w:lang w:eastAsia="zh-CN"/>
        </w:rPr>
        <w:tab/>
      </w:r>
      <w:r w:rsidR="000C5E5A" w:rsidRPr="000C5E5A">
        <w:rPr>
          <w:rFonts w:eastAsiaTheme="minorEastAsia"/>
          <w:lang w:eastAsia="zh-CN"/>
        </w:rPr>
        <w:t>Cassels (2022)</w:t>
      </w:r>
      <w:r w:rsidR="00601043">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The Government of Canada Introduces the Online Streaming Act to Modernize the Broadcasting Act. </w:t>
      </w:r>
      <w:r w:rsidR="00CF6531">
        <w:rPr>
          <w:rFonts w:eastAsiaTheme="minorEastAsia"/>
          <w:lang w:eastAsia="zh-CN"/>
        </w:rPr>
        <w:br/>
      </w:r>
      <w:r w:rsidR="007B6396">
        <w:t>&lt;</w:t>
      </w:r>
      <w:hyperlink r:id="rId40" w:history="1">
        <w:r w:rsidR="007B6396" w:rsidRPr="007B6396">
          <w:rPr>
            <w:rStyle w:val="Hyperlink"/>
            <w:rFonts w:ascii="Arial" w:eastAsiaTheme="minorEastAsia" w:hAnsi="Arial" w:cs="Arial"/>
            <w:sz w:val="16"/>
            <w:szCs w:val="16"/>
            <w:lang w:eastAsia="zh-CN"/>
          </w:rPr>
          <w:t>https://cassels.com/insights/the-government-of-canada-introduces-the-online-streaming-act-to-modernize-the-broadcasting-act/</w:t>
        </w:r>
      </w:hyperlink>
      <w:r w:rsidR="007B6396" w:rsidRPr="00F71292">
        <w:rPr>
          <w:rFonts w:eastAsiaTheme="minorEastAsia"/>
          <w:szCs w:val="24"/>
          <w:lang w:eastAsia="zh-CN"/>
        </w:rPr>
        <w:t>&gt;</w:t>
      </w:r>
      <w:r w:rsidR="00CA08AD">
        <w:rPr>
          <w:rFonts w:eastAsiaTheme="minorEastAsia"/>
          <w:lang w:eastAsia="zh-CN"/>
        </w:rPr>
        <w:t xml:space="preserve"> </w:t>
      </w:r>
    </w:p>
    <w:p w14:paraId="72E010C0" w14:textId="7559DDDB"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sidRPr="00EE10E8">
        <w:t>[</w:t>
      </w:r>
      <w:r>
        <w:t>b-</w:t>
      </w:r>
      <w:r w:rsidR="00CF6531" w:rsidRPr="00CF6531">
        <w:rPr>
          <w:rFonts w:eastAsiaTheme="minorEastAsia"/>
          <w:lang w:eastAsia="zh-CN"/>
        </w:rPr>
        <w:t>Chambers and Partners</w:t>
      </w:r>
      <w:r w:rsidRPr="00EE10E8">
        <w:t>]</w:t>
      </w:r>
      <w:r w:rsidR="001E079F">
        <w:rPr>
          <w:rFonts w:eastAsiaTheme="minorEastAsia"/>
          <w:lang w:eastAsia="zh-CN"/>
        </w:rPr>
        <w:tab/>
      </w:r>
      <w:r w:rsidR="000C5E5A" w:rsidRPr="000C5E5A">
        <w:rPr>
          <w:rFonts w:eastAsiaTheme="minorEastAsia"/>
          <w:lang w:eastAsia="zh-CN"/>
        </w:rPr>
        <w:t>Chambers and Partners 2024</w:t>
      </w:r>
      <w:r w:rsidR="00601043">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Future of OTT in India. </w:t>
      </w:r>
      <w:r w:rsidR="00CF6531">
        <w:rPr>
          <w:rFonts w:eastAsiaTheme="minorEastAsia"/>
          <w:i/>
          <w:iCs/>
          <w:lang w:eastAsia="zh-CN"/>
        </w:rPr>
        <w:br/>
      </w:r>
      <w:r w:rsidR="00451B1C">
        <w:rPr>
          <w:rFonts w:eastAsiaTheme="minorEastAsia"/>
          <w:i/>
          <w:iCs/>
          <w:lang w:eastAsia="zh-CN"/>
        </w:rPr>
        <w:t>&lt;</w:t>
      </w:r>
      <w:hyperlink r:id="rId41" w:history="1">
        <w:r w:rsidR="00451B1C" w:rsidRPr="00451B1C">
          <w:rPr>
            <w:rStyle w:val="Hyperlink"/>
            <w:rFonts w:ascii="Arial" w:eastAsiaTheme="minorEastAsia" w:hAnsi="Arial" w:cs="Arial"/>
            <w:sz w:val="16"/>
            <w:szCs w:val="16"/>
            <w:lang w:eastAsia="zh-CN"/>
          </w:rPr>
          <w:t>https://chambers.com/articles/future-of-ott-in-india-15</w:t>
        </w:r>
      </w:hyperlink>
      <w:r w:rsidR="00451B1C" w:rsidRPr="00F71292">
        <w:rPr>
          <w:rFonts w:eastAsiaTheme="minorEastAsia"/>
          <w:szCs w:val="24"/>
          <w:lang w:eastAsia="zh-CN"/>
        </w:rPr>
        <w:t>&gt;</w:t>
      </w:r>
      <w:r w:rsidR="00A9449B">
        <w:rPr>
          <w:rFonts w:eastAsiaTheme="minorEastAsia"/>
          <w:i/>
          <w:iCs/>
          <w:lang w:eastAsia="zh-CN"/>
        </w:rPr>
        <w:t xml:space="preserve"> </w:t>
      </w:r>
    </w:p>
    <w:p w14:paraId="18EF7E0E" w14:textId="7E45918F"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sidRPr="00EE10E8">
        <w:t>[</w:t>
      </w:r>
      <w:r>
        <w:t>b-</w:t>
      </w:r>
      <w:r w:rsidR="00A9449B" w:rsidRPr="000C5E5A">
        <w:rPr>
          <w:rFonts w:eastAsiaTheme="minorEastAsia"/>
          <w:lang w:eastAsia="zh-CN"/>
        </w:rPr>
        <w:t>CRTC</w:t>
      </w:r>
      <w:r w:rsidRPr="00EE10E8">
        <w:t>]</w:t>
      </w:r>
      <w:r w:rsidR="001E079F">
        <w:rPr>
          <w:rFonts w:eastAsiaTheme="minorEastAsia"/>
          <w:lang w:eastAsia="zh-CN"/>
        </w:rPr>
        <w:tab/>
      </w:r>
      <w:r w:rsidR="00CF6531">
        <w:rPr>
          <w:rFonts w:eastAsiaTheme="minorEastAsia"/>
          <w:lang w:eastAsia="zh-CN"/>
        </w:rPr>
        <w:tab/>
      </w:r>
      <w:r w:rsidR="000C5E5A" w:rsidRPr="000C5E5A">
        <w:rPr>
          <w:rFonts w:eastAsiaTheme="minorEastAsia"/>
          <w:lang w:eastAsia="zh-CN"/>
        </w:rPr>
        <w:t>CRTC (2022, March 25)</w:t>
      </w:r>
      <w:r w:rsidR="00601043">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The State of the Canadian Program Rights Market 2022. Retrieved from Canadian Radio-television and Telecommunications Commission: </w:t>
      </w:r>
      <w:r w:rsidR="00CF6531">
        <w:rPr>
          <w:rFonts w:eastAsiaTheme="minorEastAsia"/>
          <w:i/>
          <w:iCs/>
          <w:lang w:eastAsia="zh-CN"/>
        </w:rPr>
        <w:br/>
      </w:r>
      <w:r w:rsidR="007B6396">
        <w:t>&lt;</w:t>
      </w:r>
      <w:hyperlink r:id="rId42" w:anchor="a6" w:history="1">
        <w:r w:rsidR="007B6396" w:rsidRPr="007B6396">
          <w:rPr>
            <w:rStyle w:val="Hyperlink"/>
            <w:rFonts w:ascii="Arial" w:eastAsiaTheme="minorEastAsia" w:hAnsi="Arial" w:cs="Arial"/>
            <w:sz w:val="16"/>
            <w:szCs w:val="16"/>
            <w:lang w:eastAsia="zh-CN"/>
          </w:rPr>
          <w:t>https://crtc.gc.ca/eng/publications/reports/rp220714.htm#a6</w:t>
        </w:r>
      </w:hyperlink>
      <w:r w:rsidR="007B6396" w:rsidRPr="00F71292">
        <w:rPr>
          <w:rFonts w:eastAsiaTheme="minorEastAsia"/>
          <w:szCs w:val="24"/>
          <w:lang w:eastAsia="zh-CN"/>
        </w:rPr>
        <w:t>&gt;</w:t>
      </w:r>
      <w:r w:rsidR="00CA08AD">
        <w:rPr>
          <w:rFonts w:eastAsiaTheme="minorEastAsia"/>
          <w:lang w:eastAsia="zh-CN"/>
        </w:rPr>
        <w:t xml:space="preserve"> </w:t>
      </w:r>
    </w:p>
    <w:p w14:paraId="36C38C91" w14:textId="1BEA7F33" w:rsidR="000C5E5A" w:rsidRPr="00CA08AD" w:rsidRDefault="006E12D8" w:rsidP="00495D90">
      <w:pPr>
        <w:pStyle w:val="Reftext"/>
        <w:tabs>
          <w:tab w:val="clear" w:pos="1191"/>
          <w:tab w:val="clear" w:pos="1588"/>
          <w:tab w:val="clear" w:pos="1985"/>
          <w:tab w:val="left" w:pos="2835"/>
        </w:tabs>
        <w:ind w:left="2835" w:hanging="2835"/>
        <w:rPr>
          <w:rStyle w:val="Hyperlink"/>
          <w:rFonts w:ascii="Arial" w:hAnsi="Arial" w:cs="Arial"/>
          <w:sz w:val="16"/>
          <w:szCs w:val="16"/>
          <w:lang w:eastAsia="zh-CN"/>
        </w:rPr>
      </w:pPr>
      <w:r w:rsidRPr="00EE10E8">
        <w:t>[</w:t>
      </w:r>
      <w:r>
        <w:t>b-</w:t>
      </w:r>
      <w:r w:rsidR="00A9449B" w:rsidRPr="000C5E5A">
        <w:rPr>
          <w:rFonts w:eastAsiaTheme="minorEastAsia"/>
          <w:lang w:eastAsia="zh-CN"/>
        </w:rPr>
        <w:t>CTRC</w:t>
      </w:r>
      <w:r w:rsidRPr="00EE10E8">
        <w:t>]</w:t>
      </w:r>
      <w:r w:rsidR="001E079F">
        <w:rPr>
          <w:rFonts w:eastAsiaTheme="minorEastAsia"/>
          <w:lang w:eastAsia="zh-CN"/>
        </w:rPr>
        <w:tab/>
      </w:r>
      <w:r w:rsidR="00CF6531">
        <w:rPr>
          <w:rFonts w:eastAsiaTheme="minorEastAsia"/>
          <w:lang w:eastAsia="zh-CN"/>
        </w:rPr>
        <w:tab/>
      </w:r>
      <w:r w:rsidR="000C5E5A" w:rsidRPr="000C5E5A">
        <w:rPr>
          <w:rFonts w:eastAsiaTheme="minorEastAsia"/>
          <w:lang w:eastAsia="zh-CN"/>
        </w:rPr>
        <w:t>CTRC (2022, February)</w:t>
      </w:r>
      <w:r w:rsidR="00601043">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Broadcasting Regulatory Policy CRTC 2022-47. </w:t>
      </w:r>
      <w:r w:rsidR="007B6396">
        <w:rPr>
          <w:rFonts w:eastAsiaTheme="minorEastAsia"/>
          <w:i/>
          <w:iCs/>
          <w:lang w:eastAsia="zh-CN"/>
        </w:rPr>
        <w:t>&lt;</w:t>
      </w:r>
      <w:hyperlink r:id="rId43" w:history="1">
        <w:r w:rsidR="007B6396" w:rsidRPr="007B6396">
          <w:rPr>
            <w:rStyle w:val="Hyperlink"/>
            <w:rFonts w:ascii="Arial" w:eastAsiaTheme="minorEastAsia" w:hAnsi="Arial" w:cs="Arial"/>
            <w:sz w:val="16"/>
            <w:szCs w:val="16"/>
            <w:lang w:eastAsia="zh-CN"/>
          </w:rPr>
          <w:t>https://crtc.gc.ca/eng/archive/2022/2022-47.htm</w:t>
        </w:r>
      </w:hyperlink>
      <w:r w:rsidR="007B6396" w:rsidRPr="00F71292">
        <w:rPr>
          <w:rStyle w:val="Hyperlink"/>
          <w:rFonts w:eastAsiaTheme="minorEastAsia"/>
          <w:color w:val="000000" w:themeColor="text1"/>
          <w:szCs w:val="24"/>
          <w:u w:val="none"/>
          <w:lang w:eastAsia="zh-CN"/>
        </w:rPr>
        <w:t>&gt;</w:t>
      </w:r>
      <w:r w:rsidR="00CA08AD" w:rsidRPr="00CA08AD">
        <w:rPr>
          <w:rStyle w:val="Hyperlink"/>
          <w:rFonts w:ascii="Arial" w:eastAsiaTheme="minorEastAsia" w:hAnsi="Arial" w:cs="Arial"/>
          <w:sz w:val="16"/>
          <w:szCs w:val="16"/>
        </w:rPr>
        <w:t xml:space="preserve"> </w:t>
      </w:r>
    </w:p>
    <w:p w14:paraId="06F47A56" w14:textId="4F42147F"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sidRPr="00EE10E8">
        <w:t>[</w:t>
      </w:r>
      <w:r>
        <w:t>b-</w:t>
      </w:r>
      <w:r w:rsidR="00A9449B" w:rsidRPr="000C5E5A">
        <w:rPr>
          <w:rFonts w:eastAsiaTheme="minorEastAsia"/>
          <w:lang w:eastAsia="zh-CN"/>
        </w:rPr>
        <w:t>ECTEL</w:t>
      </w:r>
      <w:r w:rsidRPr="00EE10E8">
        <w:t>]</w:t>
      </w:r>
      <w:r w:rsidR="001E079F">
        <w:rPr>
          <w:rFonts w:eastAsiaTheme="minorEastAsia"/>
          <w:lang w:eastAsia="zh-CN"/>
        </w:rPr>
        <w:tab/>
      </w:r>
      <w:r w:rsidR="00CF6531">
        <w:rPr>
          <w:rFonts w:eastAsiaTheme="minorEastAsia"/>
          <w:lang w:eastAsia="zh-CN"/>
        </w:rPr>
        <w:tab/>
      </w:r>
      <w:r w:rsidR="000C5E5A" w:rsidRPr="000C5E5A">
        <w:rPr>
          <w:rFonts w:eastAsiaTheme="minorEastAsia"/>
          <w:lang w:eastAsia="zh-CN"/>
        </w:rPr>
        <w:t>ECTEL (n.d.)</w:t>
      </w:r>
      <w:r w:rsidR="00601043">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Determination on Internet Neutrality. </w:t>
      </w:r>
      <w:r w:rsidR="009F5D3B">
        <w:rPr>
          <w:rFonts w:eastAsiaTheme="minorEastAsia"/>
          <w:i/>
          <w:iCs/>
          <w:lang w:eastAsia="zh-CN"/>
        </w:rPr>
        <w:t>&lt;</w:t>
      </w:r>
      <w:hyperlink r:id="rId44" w:history="1">
        <w:r w:rsidR="009F5D3B" w:rsidRPr="009F5D3B">
          <w:rPr>
            <w:rStyle w:val="Hyperlink"/>
            <w:rFonts w:ascii="Arial" w:eastAsiaTheme="minorEastAsia" w:hAnsi="Arial" w:cs="Arial"/>
            <w:sz w:val="16"/>
            <w:szCs w:val="16"/>
            <w:lang w:eastAsia="zh-CN"/>
          </w:rPr>
          <w:t>https://www.ectel.int/determination-on-internet-neutrality/</w:t>
        </w:r>
      </w:hyperlink>
      <w:r w:rsidR="009F5D3B" w:rsidRPr="00F71292">
        <w:rPr>
          <w:rStyle w:val="Hyperlink"/>
          <w:rFonts w:eastAsiaTheme="minorEastAsia"/>
          <w:color w:val="000000" w:themeColor="text1"/>
          <w:szCs w:val="24"/>
          <w:u w:val="none"/>
          <w:lang w:eastAsia="zh-CN"/>
        </w:rPr>
        <w:t>&gt;</w:t>
      </w:r>
      <w:r w:rsidR="00CA08AD">
        <w:rPr>
          <w:rFonts w:eastAsiaTheme="minorEastAsia"/>
          <w:lang w:eastAsia="zh-CN"/>
        </w:rPr>
        <w:t xml:space="preserve"> </w:t>
      </w:r>
    </w:p>
    <w:p w14:paraId="6C05D8AE" w14:textId="35193077"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sidRPr="00EE10E8">
        <w:t>[</w:t>
      </w:r>
      <w:r>
        <w:t>b-</w:t>
      </w:r>
      <w:r w:rsidR="00A9449B" w:rsidRPr="000C5E5A">
        <w:rPr>
          <w:rFonts w:eastAsiaTheme="minorEastAsia"/>
          <w:lang w:eastAsia="zh-CN"/>
        </w:rPr>
        <w:t>FCC</w:t>
      </w:r>
      <w:r w:rsidR="00A9449B">
        <w:rPr>
          <w:rFonts w:eastAsiaTheme="minorEastAsia"/>
          <w:lang w:eastAsia="zh-CN"/>
        </w:rPr>
        <w:t>-2018</w:t>
      </w:r>
      <w:r w:rsidRPr="00EE10E8">
        <w:t>]</w:t>
      </w:r>
      <w:r w:rsidR="001E079F">
        <w:rPr>
          <w:rFonts w:eastAsiaTheme="minorEastAsia"/>
          <w:lang w:eastAsia="zh-CN"/>
        </w:rPr>
        <w:tab/>
      </w:r>
      <w:r w:rsidR="00CF6531">
        <w:rPr>
          <w:rFonts w:eastAsiaTheme="minorEastAsia"/>
          <w:lang w:eastAsia="zh-CN"/>
        </w:rPr>
        <w:tab/>
      </w:r>
      <w:r w:rsidR="000C5E5A" w:rsidRPr="000C5E5A">
        <w:rPr>
          <w:rFonts w:eastAsiaTheme="minorEastAsia"/>
          <w:lang w:eastAsia="zh-CN"/>
        </w:rPr>
        <w:t>FCC (2018, November 21)</w:t>
      </w:r>
      <w:r w:rsidR="00601043">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Wireless Messaging Service Declaratory Ruling </w:t>
      </w:r>
      <w:r w:rsidR="001E079F" w:rsidRPr="00A9449B">
        <w:rPr>
          <w:rFonts w:eastAsiaTheme="minorEastAsia"/>
          <w:i/>
          <w:iCs/>
          <w:lang w:eastAsia="zh-CN"/>
        </w:rPr>
        <w:t>–</w:t>
      </w:r>
      <w:r w:rsidR="000C5E5A" w:rsidRPr="00A9449B">
        <w:rPr>
          <w:rFonts w:eastAsiaTheme="minorEastAsia"/>
          <w:i/>
          <w:iCs/>
          <w:lang w:eastAsia="zh-CN"/>
        </w:rPr>
        <w:t xml:space="preserve"> Declaratory Ruling </w:t>
      </w:r>
      <w:r w:rsidR="001E079F" w:rsidRPr="00A9449B">
        <w:rPr>
          <w:rFonts w:eastAsiaTheme="minorEastAsia"/>
          <w:i/>
          <w:iCs/>
          <w:lang w:eastAsia="zh-CN"/>
        </w:rPr>
        <w:t>–</w:t>
      </w:r>
      <w:r w:rsidR="000C5E5A" w:rsidRPr="00A9449B">
        <w:rPr>
          <w:rFonts w:eastAsiaTheme="minorEastAsia"/>
          <w:i/>
          <w:iCs/>
          <w:lang w:eastAsia="zh-CN"/>
        </w:rPr>
        <w:t xml:space="preserve"> WT Docket No. 08-7. </w:t>
      </w:r>
      <w:r w:rsidR="00CF6531">
        <w:rPr>
          <w:rFonts w:eastAsiaTheme="minorEastAsia"/>
          <w:i/>
          <w:iCs/>
          <w:lang w:eastAsia="zh-CN"/>
        </w:rPr>
        <w:br/>
      </w:r>
      <w:r w:rsidR="007B6396">
        <w:t>&lt;</w:t>
      </w:r>
      <w:hyperlink r:id="rId45" w:history="1">
        <w:r w:rsidR="007B6396" w:rsidRPr="007B6396">
          <w:rPr>
            <w:rStyle w:val="Hyperlink"/>
            <w:rFonts w:ascii="Arial" w:eastAsiaTheme="minorEastAsia" w:hAnsi="Arial" w:cs="Arial"/>
            <w:sz w:val="16"/>
            <w:szCs w:val="16"/>
            <w:lang w:eastAsia="zh-CN"/>
          </w:rPr>
          <w:t>https://docs.fcc.gov/public/attachments/DOC-355214A1.pdf</w:t>
        </w:r>
      </w:hyperlink>
      <w:r w:rsidR="007B6396" w:rsidRPr="00F71292">
        <w:rPr>
          <w:rFonts w:eastAsiaTheme="minorEastAsia"/>
          <w:szCs w:val="24"/>
          <w:lang w:eastAsia="zh-CN"/>
        </w:rPr>
        <w:t>&gt;</w:t>
      </w:r>
      <w:r w:rsidR="00CA08AD">
        <w:rPr>
          <w:rFonts w:eastAsiaTheme="minorEastAsia"/>
          <w:lang w:eastAsia="zh-CN"/>
        </w:rPr>
        <w:t xml:space="preserve"> </w:t>
      </w:r>
    </w:p>
    <w:p w14:paraId="37568831" w14:textId="22652763"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sidRPr="00EE10E8">
        <w:t>[</w:t>
      </w:r>
      <w:r>
        <w:t>b-</w:t>
      </w:r>
      <w:r w:rsidR="00A9449B" w:rsidRPr="000C5E5A">
        <w:rPr>
          <w:rFonts w:eastAsiaTheme="minorEastAsia"/>
          <w:lang w:eastAsia="zh-CN"/>
        </w:rPr>
        <w:t>FCC</w:t>
      </w:r>
      <w:r w:rsidR="00A9449B">
        <w:rPr>
          <w:rFonts w:eastAsiaTheme="minorEastAsia"/>
          <w:lang w:eastAsia="zh-CN"/>
        </w:rPr>
        <w:t>-2019</w:t>
      </w:r>
      <w:r w:rsidRPr="00EE10E8">
        <w:t>]</w:t>
      </w:r>
      <w:r w:rsidR="001E079F">
        <w:rPr>
          <w:rFonts w:eastAsiaTheme="minorEastAsia"/>
          <w:lang w:eastAsia="zh-CN"/>
        </w:rPr>
        <w:tab/>
      </w:r>
      <w:r w:rsidR="00CF6531">
        <w:rPr>
          <w:rFonts w:eastAsiaTheme="minorEastAsia"/>
          <w:lang w:eastAsia="zh-CN"/>
        </w:rPr>
        <w:tab/>
      </w:r>
      <w:r w:rsidR="000C5E5A" w:rsidRPr="000C5E5A">
        <w:rPr>
          <w:rFonts w:eastAsiaTheme="minorEastAsia"/>
          <w:lang w:eastAsia="zh-CN"/>
        </w:rPr>
        <w:t>FCC (2019)</w:t>
      </w:r>
      <w:r w:rsidR="00601043">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Voice Over Internet Protocol (VoIP). </w:t>
      </w:r>
      <w:r w:rsidR="00CF6531">
        <w:rPr>
          <w:rFonts w:eastAsiaTheme="minorEastAsia"/>
          <w:i/>
          <w:iCs/>
          <w:lang w:eastAsia="zh-CN"/>
        </w:rPr>
        <w:br/>
      </w:r>
      <w:r w:rsidR="007B6396">
        <w:t>&lt;</w:t>
      </w:r>
      <w:hyperlink r:id="rId46" w:history="1">
        <w:r w:rsidR="007B6396" w:rsidRPr="007B6396">
          <w:rPr>
            <w:rStyle w:val="Hyperlink"/>
            <w:rFonts w:ascii="Arial" w:eastAsiaTheme="minorEastAsia" w:hAnsi="Arial" w:cs="Arial"/>
            <w:sz w:val="16"/>
            <w:szCs w:val="16"/>
            <w:lang w:eastAsia="zh-CN"/>
          </w:rPr>
          <w:t>https://www.fcc.gov/consumers/guides/voice-over-internet-protocol-voip</w:t>
        </w:r>
      </w:hyperlink>
      <w:r w:rsidR="007B6396" w:rsidRPr="00F71292">
        <w:rPr>
          <w:rFonts w:eastAsiaTheme="minorEastAsia"/>
          <w:szCs w:val="24"/>
          <w:lang w:eastAsia="zh-CN"/>
        </w:rPr>
        <w:t>&gt;</w:t>
      </w:r>
      <w:r w:rsidR="00CA08AD">
        <w:rPr>
          <w:rFonts w:eastAsiaTheme="minorEastAsia"/>
          <w:lang w:eastAsia="zh-CN"/>
        </w:rPr>
        <w:t xml:space="preserve"> </w:t>
      </w:r>
    </w:p>
    <w:p w14:paraId="0DB398BE" w14:textId="582025DE"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sidRPr="00EE10E8">
        <w:t>[</w:t>
      </w:r>
      <w:r>
        <w:t>b-</w:t>
      </w:r>
      <w:r w:rsidR="00A9449B" w:rsidRPr="000C5E5A">
        <w:rPr>
          <w:rFonts w:eastAsiaTheme="minorEastAsia"/>
          <w:lang w:eastAsia="zh-CN"/>
        </w:rPr>
        <w:t>FCC</w:t>
      </w:r>
      <w:r w:rsidR="00CF6531">
        <w:rPr>
          <w:rFonts w:eastAsiaTheme="minorEastAsia"/>
          <w:lang w:eastAsia="zh-CN"/>
        </w:rPr>
        <w:t>-2023</w:t>
      </w:r>
      <w:r w:rsidRPr="00EE10E8">
        <w:t>]</w:t>
      </w:r>
      <w:r w:rsidR="001E079F">
        <w:rPr>
          <w:rFonts w:eastAsiaTheme="minorEastAsia"/>
          <w:lang w:eastAsia="zh-CN"/>
        </w:rPr>
        <w:tab/>
      </w:r>
      <w:r w:rsidR="00CF6531">
        <w:rPr>
          <w:rFonts w:eastAsiaTheme="minorEastAsia"/>
          <w:lang w:eastAsia="zh-CN"/>
        </w:rPr>
        <w:tab/>
      </w:r>
      <w:r w:rsidR="000C5E5A" w:rsidRPr="000C5E5A">
        <w:rPr>
          <w:rFonts w:eastAsiaTheme="minorEastAsia"/>
          <w:lang w:eastAsia="zh-CN"/>
        </w:rPr>
        <w:t>FCC (2023, October)</w:t>
      </w:r>
      <w:r w:rsidR="00601043">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Notice of Proposed Rulemaking. </w:t>
      </w:r>
      <w:r w:rsidR="00CF6531">
        <w:rPr>
          <w:rFonts w:eastAsiaTheme="minorEastAsia"/>
          <w:i/>
          <w:iCs/>
          <w:lang w:eastAsia="zh-CN"/>
        </w:rPr>
        <w:br/>
      </w:r>
      <w:r w:rsidR="007B6396">
        <w:rPr>
          <w:rFonts w:eastAsiaTheme="minorEastAsia"/>
          <w:i/>
          <w:iCs/>
          <w:lang w:eastAsia="zh-CN"/>
        </w:rPr>
        <w:t>&lt;</w:t>
      </w:r>
      <w:hyperlink r:id="rId47" w:history="1">
        <w:r w:rsidR="007B6396" w:rsidRPr="007B6396">
          <w:rPr>
            <w:rStyle w:val="Hyperlink"/>
            <w:rFonts w:ascii="Arial" w:eastAsiaTheme="minorEastAsia" w:hAnsi="Arial" w:cs="Arial"/>
            <w:sz w:val="16"/>
            <w:szCs w:val="16"/>
            <w:lang w:eastAsia="zh-CN"/>
          </w:rPr>
          <w:t>https://docs.fcc.gov/public/attachments/FCC-23-83A1.pdf</w:t>
        </w:r>
      </w:hyperlink>
      <w:r w:rsidR="007B6396" w:rsidRPr="00F71292">
        <w:rPr>
          <w:rFonts w:eastAsiaTheme="minorEastAsia"/>
          <w:szCs w:val="24"/>
          <w:lang w:eastAsia="zh-CN"/>
        </w:rPr>
        <w:t>&gt;</w:t>
      </w:r>
      <w:r w:rsidR="00CA08AD">
        <w:rPr>
          <w:rFonts w:eastAsiaTheme="minorEastAsia"/>
          <w:lang w:eastAsia="zh-CN"/>
        </w:rPr>
        <w:t xml:space="preserve"> </w:t>
      </w:r>
    </w:p>
    <w:p w14:paraId="3DF77BCD" w14:textId="6459AD75"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sidRPr="00EE10E8">
        <w:t>[</w:t>
      </w:r>
      <w:r>
        <w:t>b-</w:t>
      </w:r>
      <w:r w:rsidR="00A9449B" w:rsidRPr="000C5E5A">
        <w:rPr>
          <w:rFonts w:eastAsiaTheme="minorEastAsia"/>
          <w:lang w:eastAsia="zh-CN"/>
        </w:rPr>
        <w:t>Government of Canada</w:t>
      </w:r>
      <w:r w:rsidRPr="00EE10E8">
        <w:t>]</w:t>
      </w:r>
      <w:r w:rsidR="001E079F">
        <w:rPr>
          <w:rFonts w:eastAsiaTheme="minorEastAsia"/>
          <w:lang w:eastAsia="zh-CN"/>
        </w:rPr>
        <w:tab/>
      </w:r>
      <w:r w:rsidR="000C5E5A" w:rsidRPr="000C5E5A">
        <w:rPr>
          <w:rFonts w:eastAsiaTheme="minorEastAsia"/>
          <w:lang w:eastAsia="zh-CN"/>
        </w:rPr>
        <w:t>Government of Canada (2021, June 30)</w:t>
      </w:r>
      <w:r w:rsidR="00601043">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Broadcasting Notice of Consultation CRTC 2019-90-1. </w:t>
      </w:r>
      <w:r w:rsidR="00CF6531">
        <w:rPr>
          <w:rFonts w:eastAsiaTheme="minorEastAsia"/>
          <w:i/>
          <w:iCs/>
          <w:lang w:eastAsia="zh-CN"/>
        </w:rPr>
        <w:br/>
      </w:r>
      <w:r w:rsidR="007B6396">
        <w:t>&lt;</w:t>
      </w:r>
      <w:hyperlink r:id="rId48" w:history="1">
        <w:r w:rsidR="007B6396" w:rsidRPr="007B6396">
          <w:rPr>
            <w:rStyle w:val="Hyperlink"/>
            <w:rFonts w:ascii="Arial" w:eastAsiaTheme="minorEastAsia" w:hAnsi="Arial" w:cs="Arial"/>
            <w:sz w:val="16"/>
            <w:szCs w:val="16"/>
            <w:lang w:eastAsia="zh-CN"/>
          </w:rPr>
          <w:t>https://crtc.gc.ca/eng/archive/2019/2019-90-1.htm</w:t>
        </w:r>
      </w:hyperlink>
      <w:r w:rsidR="007B6396" w:rsidRPr="00F71292">
        <w:rPr>
          <w:rFonts w:eastAsiaTheme="minorEastAsia"/>
          <w:szCs w:val="24"/>
          <w:lang w:eastAsia="zh-CN"/>
        </w:rPr>
        <w:t>&gt;</w:t>
      </w:r>
      <w:r w:rsidR="00CA08AD">
        <w:rPr>
          <w:rFonts w:eastAsiaTheme="minorEastAsia"/>
          <w:lang w:eastAsia="zh-CN"/>
        </w:rPr>
        <w:t xml:space="preserve"> </w:t>
      </w:r>
    </w:p>
    <w:p w14:paraId="5A554BF3" w14:textId="76D6E0B4"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sidRPr="00EE10E8">
        <w:lastRenderedPageBreak/>
        <w:t>[</w:t>
      </w:r>
      <w:r>
        <w:t>b-</w:t>
      </w:r>
      <w:r w:rsidR="00A9449B" w:rsidRPr="000C5E5A">
        <w:rPr>
          <w:rFonts w:eastAsiaTheme="minorEastAsia"/>
          <w:lang w:eastAsia="zh-CN"/>
        </w:rPr>
        <w:t>Government of Canada</w:t>
      </w:r>
      <w:r w:rsidRPr="00EE10E8">
        <w:t>]</w:t>
      </w:r>
      <w:r w:rsidR="001E079F">
        <w:rPr>
          <w:rFonts w:eastAsiaTheme="minorEastAsia"/>
          <w:lang w:eastAsia="zh-CN"/>
        </w:rPr>
        <w:tab/>
      </w:r>
      <w:r w:rsidR="000C5E5A" w:rsidRPr="000C5E5A">
        <w:rPr>
          <w:rFonts w:eastAsiaTheme="minorEastAsia"/>
          <w:lang w:eastAsia="zh-CN"/>
        </w:rPr>
        <w:t>Government of Canada (n.d.)</w:t>
      </w:r>
      <w:r w:rsidR="0021650A">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Online Streaming Act receives Royal Assent. </w:t>
      </w:r>
      <w:r w:rsidR="007B6396">
        <w:rPr>
          <w:rFonts w:eastAsiaTheme="minorEastAsia"/>
          <w:i/>
          <w:iCs/>
          <w:lang w:eastAsia="zh-CN"/>
        </w:rPr>
        <w:t>&lt;</w:t>
      </w:r>
      <w:hyperlink r:id="rId49" w:history="1">
        <w:r w:rsidR="00CA08AD" w:rsidRPr="00CA08AD">
          <w:rPr>
            <w:rStyle w:val="Hyperlink"/>
            <w:rFonts w:ascii="Arial" w:eastAsiaTheme="minorEastAsia" w:hAnsi="Arial" w:cs="Arial"/>
            <w:sz w:val="16"/>
            <w:szCs w:val="16"/>
            <w:lang w:eastAsia="zh-CN"/>
          </w:rPr>
          <w:t>https://www.canada.ca/en/canadian-heritage/news/2023/04/online-streaming-act-receives-royal-assent.html</w:t>
        </w:r>
      </w:hyperlink>
      <w:r w:rsidR="007B6396" w:rsidRPr="00F71292">
        <w:rPr>
          <w:rStyle w:val="Hyperlink"/>
          <w:rFonts w:eastAsiaTheme="minorEastAsia"/>
          <w:color w:val="000000" w:themeColor="text1"/>
          <w:szCs w:val="24"/>
          <w:u w:val="none"/>
          <w:lang w:eastAsia="zh-CN"/>
        </w:rPr>
        <w:t>&gt;</w:t>
      </w:r>
      <w:r w:rsidR="00CA08AD" w:rsidRPr="00F71292">
        <w:rPr>
          <w:rFonts w:eastAsiaTheme="minorEastAsia"/>
          <w:color w:val="000000" w:themeColor="text1"/>
          <w:szCs w:val="24"/>
          <w:lang w:eastAsia="zh-CN"/>
        </w:rPr>
        <w:t xml:space="preserve"> </w:t>
      </w:r>
    </w:p>
    <w:p w14:paraId="5D9078FF" w14:textId="77777777" w:rsidR="00C4451B" w:rsidRDefault="006E12D8" w:rsidP="00495D90">
      <w:pPr>
        <w:pStyle w:val="Reftext"/>
        <w:tabs>
          <w:tab w:val="clear" w:pos="1191"/>
          <w:tab w:val="clear" w:pos="1588"/>
          <w:tab w:val="clear" w:pos="1985"/>
          <w:tab w:val="left" w:pos="2835"/>
        </w:tabs>
        <w:ind w:left="2835" w:hanging="2835"/>
        <w:rPr>
          <w:rFonts w:eastAsiaTheme="minorEastAsia"/>
          <w:i/>
          <w:iCs/>
          <w:lang w:eastAsia="zh-CN"/>
        </w:rPr>
      </w:pPr>
      <w:r w:rsidRPr="0021650A">
        <w:t>[b-</w:t>
      </w:r>
      <w:r w:rsidR="00A9449B" w:rsidRPr="0021650A">
        <w:t>IEU</w:t>
      </w:r>
      <w:r w:rsidRPr="0021650A">
        <w:t>]</w:t>
      </w:r>
      <w:r w:rsidR="001E079F" w:rsidRPr="0021650A">
        <w:rPr>
          <w:rFonts w:eastAsiaTheme="minorEastAsia"/>
          <w:lang w:eastAsia="zh-CN"/>
        </w:rPr>
        <w:tab/>
      </w:r>
      <w:r w:rsidR="00CF6531" w:rsidRPr="0021650A">
        <w:rPr>
          <w:rFonts w:eastAsiaTheme="minorEastAsia"/>
          <w:lang w:eastAsia="zh-CN"/>
        </w:rPr>
        <w:tab/>
      </w:r>
      <w:r w:rsidR="000C5E5A" w:rsidRPr="0021650A">
        <w:rPr>
          <w:rFonts w:eastAsiaTheme="minorEastAsia"/>
          <w:lang w:eastAsia="zh-CN"/>
        </w:rPr>
        <w:t xml:space="preserve">Insight EU Monitoring </w:t>
      </w:r>
      <w:r w:rsidR="000C5E5A" w:rsidRPr="000C5E5A">
        <w:rPr>
          <w:rFonts w:eastAsiaTheme="minorEastAsia"/>
          <w:lang w:eastAsia="zh-CN"/>
        </w:rPr>
        <w:t>(2022)</w:t>
      </w:r>
      <w:r w:rsidR="0021650A">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Electronic Communications: EU Commission refers 10 Member States to Court of Justice. </w:t>
      </w:r>
    </w:p>
    <w:p w14:paraId="154F995F" w14:textId="0C5DF349" w:rsidR="000C5E5A" w:rsidRPr="000C5E5A" w:rsidRDefault="00C4451B" w:rsidP="00495D90">
      <w:pPr>
        <w:pStyle w:val="Reftext"/>
        <w:tabs>
          <w:tab w:val="clear" w:pos="1191"/>
          <w:tab w:val="clear" w:pos="1588"/>
          <w:tab w:val="clear" w:pos="1985"/>
          <w:tab w:val="left" w:pos="2835"/>
        </w:tabs>
        <w:spacing w:before="0"/>
        <w:ind w:left="2835" w:hanging="2835"/>
        <w:rPr>
          <w:rFonts w:eastAsiaTheme="minorEastAsia"/>
          <w:lang w:eastAsia="zh-CN"/>
        </w:rPr>
      </w:pPr>
      <w:r>
        <w:rPr>
          <w:rFonts w:eastAsiaTheme="minorEastAsia"/>
          <w:i/>
          <w:iCs/>
          <w:lang w:eastAsia="zh-CN"/>
        </w:rPr>
        <w:tab/>
      </w:r>
      <w:r>
        <w:rPr>
          <w:rFonts w:eastAsiaTheme="minorEastAsia"/>
          <w:i/>
          <w:iCs/>
          <w:lang w:eastAsia="zh-CN"/>
        </w:rPr>
        <w:tab/>
        <w:t>&lt;</w:t>
      </w:r>
      <w:hyperlink r:id="rId50" w:history="1">
        <w:r w:rsidR="00CA08AD" w:rsidRPr="00CA08AD">
          <w:rPr>
            <w:rStyle w:val="Hyperlink"/>
            <w:rFonts w:ascii="Arial" w:eastAsiaTheme="minorEastAsia" w:hAnsi="Arial" w:cs="Arial"/>
            <w:sz w:val="16"/>
            <w:szCs w:val="16"/>
            <w:lang w:eastAsia="zh-CN"/>
          </w:rPr>
          <w:t>https://portal.ieu-monitoring.com/editorial/electronic-communications-eu-commission-refers-10-member-states-to-court-of-justice</w:t>
        </w:r>
      </w:hyperlink>
      <w:r w:rsidRPr="00F71292">
        <w:rPr>
          <w:rStyle w:val="Hyperlink"/>
          <w:rFonts w:eastAsiaTheme="minorEastAsia"/>
          <w:color w:val="000000" w:themeColor="text1"/>
          <w:szCs w:val="24"/>
          <w:u w:val="none"/>
          <w:lang w:eastAsia="zh-CN"/>
        </w:rPr>
        <w:t>&gt;</w:t>
      </w:r>
      <w:r w:rsidR="00CA08AD" w:rsidRPr="00CA08AD">
        <w:rPr>
          <w:rStyle w:val="Hyperlink"/>
          <w:rFonts w:ascii="Arial" w:eastAsiaTheme="minorEastAsia" w:hAnsi="Arial" w:cs="Arial"/>
          <w:sz w:val="16"/>
          <w:szCs w:val="16"/>
        </w:rPr>
        <w:t xml:space="preserve"> </w:t>
      </w:r>
    </w:p>
    <w:p w14:paraId="29BBA12A" w14:textId="579E4259"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sidRPr="00EE10E8">
        <w:t>[</w:t>
      </w:r>
      <w:r>
        <w:t>b-</w:t>
      </w:r>
      <w:r w:rsidR="00A9449B">
        <w:t>ITU-2017</w:t>
      </w:r>
      <w:r w:rsidRPr="00EE10E8">
        <w:t>]</w:t>
      </w:r>
      <w:r w:rsidR="001E079F">
        <w:rPr>
          <w:rFonts w:eastAsiaTheme="minorEastAsia"/>
          <w:lang w:eastAsia="zh-CN"/>
        </w:rPr>
        <w:tab/>
      </w:r>
      <w:r w:rsidR="00CF6531">
        <w:rPr>
          <w:rFonts w:eastAsiaTheme="minorEastAsia"/>
          <w:lang w:eastAsia="zh-CN"/>
        </w:rPr>
        <w:tab/>
      </w:r>
      <w:r w:rsidR="000C5E5A" w:rsidRPr="000C5E5A">
        <w:rPr>
          <w:rFonts w:eastAsiaTheme="minorEastAsia"/>
          <w:lang w:eastAsia="zh-CN"/>
        </w:rPr>
        <w:t>International Telecommunication Union (2017)</w:t>
      </w:r>
      <w:r w:rsidR="0021650A">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Economic Impact of OTTs. ITU. </w:t>
      </w:r>
      <w:r w:rsidR="007B6396">
        <w:rPr>
          <w:rFonts w:eastAsiaTheme="minorEastAsia"/>
          <w:i/>
          <w:iCs/>
          <w:lang w:eastAsia="zh-CN"/>
        </w:rPr>
        <w:t>&lt;</w:t>
      </w:r>
      <w:hyperlink r:id="rId51" w:history="1">
        <w:r w:rsidR="00CA08AD" w:rsidRPr="00CA08AD">
          <w:rPr>
            <w:rStyle w:val="Hyperlink"/>
            <w:rFonts w:ascii="Arial" w:eastAsiaTheme="minorEastAsia" w:hAnsi="Arial" w:cs="Arial"/>
            <w:sz w:val="16"/>
            <w:szCs w:val="16"/>
            <w:lang w:eastAsia="zh-CN"/>
          </w:rPr>
          <w:t>https://www.itu.int/dms_pub/itu-t/opb/tut/T-TUT-ECOPO-2017-PDF-E.pdf</w:t>
        </w:r>
      </w:hyperlink>
      <w:r w:rsidR="007B6396" w:rsidRPr="00F71292">
        <w:rPr>
          <w:rStyle w:val="Hyperlink"/>
          <w:rFonts w:eastAsiaTheme="minorEastAsia"/>
          <w:color w:val="000000" w:themeColor="text1"/>
          <w:szCs w:val="24"/>
          <w:u w:val="none"/>
          <w:lang w:eastAsia="zh-CN"/>
        </w:rPr>
        <w:t>&gt;</w:t>
      </w:r>
      <w:r w:rsidR="00CA08AD">
        <w:rPr>
          <w:rFonts w:eastAsiaTheme="minorEastAsia"/>
          <w:lang w:eastAsia="zh-CN"/>
        </w:rPr>
        <w:t xml:space="preserve"> </w:t>
      </w:r>
    </w:p>
    <w:p w14:paraId="1E227EF5" w14:textId="4B38B44E"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sidRPr="00EE10E8">
        <w:t>[</w:t>
      </w:r>
      <w:r>
        <w:t>b-</w:t>
      </w:r>
      <w:r w:rsidR="00A9449B">
        <w:t>ITU-2020</w:t>
      </w:r>
      <w:r w:rsidRPr="00EE10E8">
        <w:t>]</w:t>
      </w:r>
      <w:r w:rsidR="001E079F">
        <w:rPr>
          <w:rFonts w:eastAsiaTheme="minorEastAsia"/>
          <w:lang w:eastAsia="zh-CN"/>
        </w:rPr>
        <w:tab/>
      </w:r>
      <w:r w:rsidR="00CF6531">
        <w:rPr>
          <w:rFonts w:eastAsiaTheme="minorEastAsia"/>
          <w:lang w:eastAsia="zh-CN"/>
        </w:rPr>
        <w:tab/>
      </w:r>
      <w:r w:rsidR="000C5E5A" w:rsidRPr="000C5E5A">
        <w:rPr>
          <w:rFonts w:eastAsiaTheme="minorEastAsia"/>
          <w:lang w:eastAsia="zh-CN"/>
        </w:rPr>
        <w:t>International Telecommunication Union (2020)</w:t>
      </w:r>
      <w:r w:rsidR="0021650A">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Manual for Measuring ICT Access and Use by Households and Individuals, Edition. </w:t>
      </w:r>
      <w:r w:rsidR="007B6396">
        <w:rPr>
          <w:rFonts w:eastAsiaTheme="minorEastAsia"/>
          <w:i/>
          <w:iCs/>
          <w:lang w:eastAsia="zh-CN"/>
        </w:rPr>
        <w:t>&lt;</w:t>
      </w:r>
      <w:hyperlink r:id="rId52" w:history="1">
        <w:r w:rsidR="00CA08AD" w:rsidRPr="00CA08AD">
          <w:rPr>
            <w:rStyle w:val="Hyperlink"/>
            <w:rFonts w:ascii="Arial" w:eastAsiaTheme="minorEastAsia" w:hAnsi="Arial" w:cs="Arial"/>
            <w:sz w:val="16"/>
            <w:szCs w:val="16"/>
            <w:lang w:eastAsia="zh-CN"/>
          </w:rPr>
          <w:t>https://www.itu.int/en/ITU-D/Statistics/Pages/publications/manual.aspx</w:t>
        </w:r>
      </w:hyperlink>
      <w:r w:rsidR="007B6396" w:rsidRPr="00F71292">
        <w:rPr>
          <w:rStyle w:val="Hyperlink"/>
          <w:rFonts w:eastAsiaTheme="minorEastAsia"/>
          <w:szCs w:val="24"/>
          <w:u w:val="none"/>
          <w:lang w:eastAsia="zh-CN"/>
        </w:rPr>
        <w:t>&gt;</w:t>
      </w:r>
      <w:r w:rsidR="00CA08AD">
        <w:rPr>
          <w:rFonts w:eastAsiaTheme="minorEastAsia"/>
          <w:lang w:eastAsia="zh-CN"/>
        </w:rPr>
        <w:t xml:space="preserve"> </w:t>
      </w:r>
    </w:p>
    <w:p w14:paraId="2C6D4769" w14:textId="3584D93D"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sidRPr="00EE10E8">
        <w:t>[</w:t>
      </w:r>
      <w:r>
        <w:t>b-</w:t>
      </w:r>
      <w:proofErr w:type="spellStart"/>
      <w:r w:rsidR="00A9449B" w:rsidRPr="000C5E5A">
        <w:rPr>
          <w:rFonts w:eastAsiaTheme="minorEastAsia"/>
          <w:lang w:eastAsia="zh-CN"/>
        </w:rPr>
        <w:t>MediaWrites</w:t>
      </w:r>
      <w:proofErr w:type="spellEnd"/>
      <w:r w:rsidRPr="00EE10E8">
        <w:t>]</w:t>
      </w:r>
      <w:r w:rsidR="001E079F">
        <w:rPr>
          <w:rFonts w:eastAsiaTheme="minorEastAsia"/>
          <w:lang w:eastAsia="zh-CN"/>
        </w:rPr>
        <w:tab/>
      </w:r>
      <w:r w:rsidR="00CF6531">
        <w:rPr>
          <w:rFonts w:eastAsiaTheme="minorEastAsia"/>
          <w:lang w:eastAsia="zh-CN"/>
        </w:rPr>
        <w:tab/>
      </w:r>
      <w:proofErr w:type="spellStart"/>
      <w:r w:rsidR="000C5E5A" w:rsidRPr="000C5E5A">
        <w:rPr>
          <w:rFonts w:eastAsiaTheme="minorEastAsia"/>
          <w:lang w:eastAsia="zh-CN"/>
        </w:rPr>
        <w:t>MediaWrites</w:t>
      </w:r>
      <w:proofErr w:type="spellEnd"/>
      <w:r w:rsidR="000C5E5A" w:rsidRPr="000C5E5A">
        <w:rPr>
          <w:rFonts w:eastAsiaTheme="minorEastAsia"/>
          <w:lang w:eastAsia="zh-CN"/>
        </w:rPr>
        <w:t xml:space="preserve"> (2023)</w:t>
      </w:r>
      <w:r w:rsidR="0021650A">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Draft Media Bill – a call for evidence. </w:t>
      </w:r>
      <w:r w:rsidR="002E30B0">
        <w:rPr>
          <w:rFonts w:eastAsiaTheme="minorEastAsia"/>
          <w:i/>
          <w:iCs/>
          <w:lang w:eastAsia="zh-CN"/>
        </w:rPr>
        <w:t>&lt;</w:t>
      </w:r>
      <w:hyperlink r:id="rId53" w:history="1">
        <w:r w:rsidR="00CA08AD" w:rsidRPr="00CA08AD">
          <w:rPr>
            <w:rStyle w:val="Hyperlink"/>
            <w:rFonts w:ascii="Arial" w:eastAsiaTheme="minorEastAsia" w:hAnsi="Arial" w:cs="Arial"/>
            <w:sz w:val="16"/>
            <w:szCs w:val="16"/>
            <w:lang w:eastAsia="zh-CN"/>
          </w:rPr>
          <w:t>https://mediawrites.law/draft-media-bill-a-call-for-evidence/</w:t>
        </w:r>
      </w:hyperlink>
      <w:r w:rsidR="002E30B0" w:rsidRPr="00F71292">
        <w:rPr>
          <w:rStyle w:val="Hyperlink"/>
          <w:rFonts w:eastAsiaTheme="minorEastAsia"/>
          <w:color w:val="000000" w:themeColor="text1"/>
          <w:szCs w:val="24"/>
          <w:u w:val="none"/>
          <w:lang w:eastAsia="zh-CN"/>
        </w:rPr>
        <w:t>&gt;</w:t>
      </w:r>
      <w:r w:rsidR="00CA08AD">
        <w:rPr>
          <w:rFonts w:eastAsiaTheme="minorEastAsia"/>
          <w:lang w:eastAsia="zh-CN"/>
        </w:rPr>
        <w:t xml:space="preserve"> </w:t>
      </w:r>
    </w:p>
    <w:p w14:paraId="775948C7" w14:textId="448EB6FA"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sidRPr="00EE10E8">
        <w:t>[</w:t>
      </w:r>
      <w:r>
        <w:t>b-</w:t>
      </w:r>
      <w:r w:rsidR="00A9449B" w:rsidRPr="000C5E5A">
        <w:rPr>
          <w:rFonts w:eastAsiaTheme="minorEastAsia"/>
          <w:lang w:eastAsia="zh-CN"/>
        </w:rPr>
        <w:t>Modor Intelligence</w:t>
      </w:r>
      <w:r w:rsidRPr="00EE10E8">
        <w:t>]</w:t>
      </w:r>
      <w:r w:rsidR="001E079F">
        <w:rPr>
          <w:rFonts w:eastAsiaTheme="minorEastAsia"/>
          <w:lang w:eastAsia="zh-CN"/>
        </w:rPr>
        <w:tab/>
      </w:r>
      <w:r w:rsidR="00CF6531">
        <w:rPr>
          <w:rFonts w:eastAsiaTheme="minorEastAsia"/>
          <w:lang w:eastAsia="zh-CN"/>
        </w:rPr>
        <w:tab/>
      </w:r>
      <w:r w:rsidR="000C5E5A" w:rsidRPr="000C5E5A">
        <w:rPr>
          <w:rFonts w:eastAsiaTheme="minorEastAsia"/>
          <w:lang w:eastAsia="zh-CN"/>
        </w:rPr>
        <w:t>Modor Intelligence (n.d.)</w:t>
      </w:r>
      <w:r w:rsidR="0021650A">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USA OTT Platforms Market Size &amp; Share Analysis </w:t>
      </w:r>
      <w:r w:rsidR="001E079F" w:rsidRPr="00A9449B">
        <w:rPr>
          <w:rFonts w:eastAsiaTheme="minorEastAsia"/>
          <w:i/>
          <w:iCs/>
          <w:lang w:eastAsia="zh-CN"/>
        </w:rPr>
        <w:t>–</w:t>
      </w:r>
      <w:r w:rsidR="000C5E5A" w:rsidRPr="00A9449B">
        <w:rPr>
          <w:rFonts w:eastAsiaTheme="minorEastAsia"/>
          <w:i/>
          <w:iCs/>
          <w:lang w:eastAsia="zh-CN"/>
        </w:rPr>
        <w:t xml:space="preserve"> Growth Trends &amp; Forecasts (2023-2028). </w:t>
      </w:r>
      <w:r w:rsidR="002E30B0">
        <w:rPr>
          <w:rFonts w:eastAsiaTheme="minorEastAsia"/>
          <w:i/>
          <w:iCs/>
          <w:lang w:eastAsia="zh-CN"/>
        </w:rPr>
        <w:t>&lt;</w:t>
      </w:r>
      <w:hyperlink r:id="rId54" w:history="1">
        <w:r w:rsidR="00CA08AD" w:rsidRPr="00CA08AD">
          <w:rPr>
            <w:rStyle w:val="Hyperlink"/>
            <w:rFonts w:ascii="Arial" w:eastAsiaTheme="minorEastAsia" w:hAnsi="Arial" w:cs="Arial"/>
            <w:sz w:val="16"/>
            <w:szCs w:val="16"/>
            <w:lang w:eastAsia="zh-CN"/>
          </w:rPr>
          <w:t>https://www.mordorintelligence.com/industry-reports/united-states-ott-market</w:t>
        </w:r>
      </w:hyperlink>
      <w:r w:rsidR="002E30B0" w:rsidRPr="00F71292">
        <w:rPr>
          <w:rStyle w:val="Hyperlink"/>
          <w:rFonts w:eastAsiaTheme="minorEastAsia"/>
          <w:color w:val="000000" w:themeColor="text1"/>
          <w:szCs w:val="24"/>
          <w:u w:val="none"/>
          <w:lang w:eastAsia="zh-CN"/>
        </w:rPr>
        <w:t>&gt;</w:t>
      </w:r>
      <w:r w:rsidR="00CA08AD">
        <w:rPr>
          <w:rFonts w:eastAsiaTheme="minorEastAsia"/>
          <w:lang w:eastAsia="zh-CN"/>
        </w:rPr>
        <w:t xml:space="preserve"> </w:t>
      </w:r>
    </w:p>
    <w:p w14:paraId="1A2FB9C4" w14:textId="77777777" w:rsidR="00C4451B" w:rsidRDefault="006E12D8" w:rsidP="00495D90">
      <w:pPr>
        <w:pStyle w:val="Reftext"/>
        <w:tabs>
          <w:tab w:val="clear" w:pos="1191"/>
          <w:tab w:val="clear" w:pos="1588"/>
          <w:tab w:val="clear" w:pos="1985"/>
          <w:tab w:val="left" w:pos="2835"/>
        </w:tabs>
        <w:ind w:left="2835" w:hanging="2835"/>
        <w:rPr>
          <w:rFonts w:eastAsiaTheme="minorEastAsia"/>
          <w:i/>
          <w:iCs/>
          <w:lang w:eastAsia="zh-CN"/>
        </w:rPr>
      </w:pPr>
      <w:r w:rsidRPr="00EE10E8">
        <w:t>[</w:t>
      </w:r>
      <w:r>
        <w:t>b-</w:t>
      </w:r>
      <w:r w:rsidR="00A9449B">
        <w:t>NTA</w:t>
      </w:r>
      <w:r w:rsidRPr="00EE10E8">
        <w:t>]</w:t>
      </w:r>
      <w:r w:rsidR="001E079F">
        <w:rPr>
          <w:rFonts w:eastAsiaTheme="minorEastAsia"/>
          <w:lang w:eastAsia="zh-CN"/>
        </w:rPr>
        <w:tab/>
      </w:r>
      <w:r w:rsidR="00CF6531">
        <w:rPr>
          <w:rFonts w:eastAsiaTheme="minorEastAsia"/>
          <w:lang w:eastAsia="zh-CN"/>
        </w:rPr>
        <w:tab/>
      </w:r>
      <w:r w:rsidR="000C5E5A" w:rsidRPr="000C5E5A">
        <w:rPr>
          <w:rFonts w:eastAsiaTheme="minorEastAsia"/>
          <w:lang w:eastAsia="zh-CN"/>
        </w:rPr>
        <w:t>National Telecommunications Agency (2018)</w:t>
      </w:r>
      <w:r w:rsidR="0021650A">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Brazilian proposal to define OTTs is adopted internationally.</w:t>
      </w:r>
    </w:p>
    <w:p w14:paraId="3749FEFE" w14:textId="320E690A" w:rsidR="000C5E5A" w:rsidRPr="000C5E5A" w:rsidRDefault="00C4451B" w:rsidP="00495D90">
      <w:pPr>
        <w:pStyle w:val="Reftext"/>
        <w:tabs>
          <w:tab w:val="clear" w:pos="1191"/>
          <w:tab w:val="clear" w:pos="1588"/>
          <w:tab w:val="clear" w:pos="1985"/>
          <w:tab w:val="left" w:pos="2835"/>
        </w:tabs>
        <w:spacing w:before="0"/>
        <w:ind w:left="2835" w:hanging="2835"/>
        <w:rPr>
          <w:rFonts w:eastAsiaTheme="minorEastAsia"/>
          <w:lang w:eastAsia="zh-CN"/>
        </w:rPr>
      </w:pPr>
      <w:r>
        <w:rPr>
          <w:rFonts w:eastAsiaTheme="minorEastAsia"/>
          <w:i/>
          <w:iCs/>
          <w:lang w:eastAsia="zh-CN"/>
        </w:rPr>
        <w:tab/>
      </w:r>
      <w:r>
        <w:rPr>
          <w:rFonts w:eastAsiaTheme="minorEastAsia"/>
          <w:i/>
          <w:iCs/>
          <w:lang w:eastAsia="zh-CN"/>
        </w:rPr>
        <w:tab/>
      </w:r>
      <w:r w:rsidR="002E30B0">
        <w:rPr>
          <w:rFonts w:eastAsiaTheme="minorEastAsia"/>
          <w:i/>
          <w:iCs/>
          <w:lang w:eastAsia="zh-CN"/>
        </w:rPr>
        <w:t>&lt;</w:t>
      </w:r>
      <w:hyperlink r:id="rId55" w:history="1">
        <w:r w:rsidR="00342B29" w:rsidRPr="00342B29">
          <w:rPr>
            <w:rStyle w:val="Hyperlink"/>
            <w:rFonts w:ascii="Arial" w:eastAsiaTheme="minorEastAsia" w:hAnsi="Arial" w:cs="Arial"/>
            <w:sz w:val="16"/>
            <w:szCs w:val="16"/>
            <w:lang w:eastAsia="zh-CN"/>
          </w:rPr>
          <w:t>https://www.gov.br/anatel/pt-br/assuntos/noticias/proposta-brasileira-de-definicao-de-otts-e-adotada-internacionalmente</w:t>
        </w:r>
      </w:hyperlink>
      <w:r w:rsidR="002E30B0" w:rsidRPr="00F71292">
        <w:rPr>
          <w:rFonts w:eastAsiaTheme="minorEastAsia"/>
          <w:color w:val="000000" w:themeColor="text1"/>
          <w:szCs w:val="24"/>
          <w:lang w:eastAsia="zh-CN"/>
        </w:rPr>
        <w:t>&gt;</w:t>
      </w:r>
      <w:r w:rsidR="00CA08AD" w:rsidRPr="00F71292">
        <w:rPr>
          <w:rFonts w:eastAsiaTheme="minorEastAsia"/>
          <w:color w:val="000000" w:themeColor="text1"/>
          <w:szCs w:val="24"/>
          <w:lang w:eastAsia="zh-CN"/>
        </w:rPr>
        <w:t xml:space="preserve"> </w:t>
      </w:r>
    </w:p>
    <w:p w14:paraId="2CC82420" w14:textId="596A01A8"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sidRPr="00EE10E8">
        <w:t>[</w:t>
      </w:r>
      <w:r>
        <w:t>b-</w:t>
      </w:r>
      <w:r w:rsidR="00A9449B" w:rsidRPr="00A9449B">
        <w:t>OECD</w:t>
      </w:r>
      <w:r w:rsidRPr="00EE10E8">
        <w:t>]</w:t>
      </w:r>
      <w:r w:rsidR="001E079F">
        <w:rPr>
          <w:rFonts w:eastAsiaTheme="minorEastAsia"/>
          <w:lang w:eastAsia="zh-CN"/>
        </w:rPr>
        <w:tab/>
      </w:r>
      <w:r w:rsidR="00A9449B">
        <w:rPr>
          <w:rFonts w:eastAsiaTheme="minorEastAsia"/>
          <w:lang w:eastAsia="zh-CN"/>
        </w:rPr>
        <w:tab/>
      </w:r>
      <w:r w:rsidR="000C5E5A" w:rsidRPr="000C5E5A">
        <w:rPr>
          <w:rFonts w:eastAsiaTheme="minorEastAsia"/>
          <w:lang w:eastAsia="zh-CN"/>
        </w:rPr>
        <w:t>OECD (n.d.)</w:t>
      </w:r>
      <w:r w:rsidR="0021650A">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Communication policy and regulation.</w:t>
      </w:r>
      <w:r w:rsidR="00A13CF3">
        <w:rPr>
          <w:rFonts w:eastAsiaTheme="minorEastAsia"/>
          <w:i/>
          <w:iCs/>
          <w:lang w:eastAsia="zh-CN"/>
        </w:rPr>
        <w:tab/>
      </w:r>
      <w:r w:rsidR="00A13CF3">
        <w:rPr>
          <w:rFonts w:eastAsiaTheme="minorEastAsia"/>
          <w:i/>
          <w:iCs/>
          <w:lang w:eastAsia="zh-CN"/>
        </w:rPr>
        <w:tab/>
      </w:r>
      <w:r w:rsidR="00A13CF3">
        <w:rPr>
          <w:rFonts w:eastAsiaTheme="minorEastAsia"/>
          <w:lang w:eastAsia="zh-CN"/>
        </w:rPr>
        <w:t>&lt;</w:t>
      </w:r>
      <w:hyperlink r:id="rId56" w:anchor="section-d1e16712" w:history="1">
        <w:r w:rsidR="00A13CF3" w:rsidRPr="00A13CF3">
          <w:rPr>
            <w:rStyle w:val="Hyperlink"/>
            <w:rFonts w:ascii="Arial" w:eastAsiaTheme="minorEastAsia" w:hAnsi="Arial" w:cs="Arial"/>
            <w:sz w:val="16"/>
            <w:szCs w:val="16"/>
            <w:lang w:eastAsia="zh-CN"/>
          </w:rPr>
          <w:t>https://www.oecd-ilibrary.org/sites/1343f784-en/index.html?itemId=/content/component/1343f784-en#section-d1e16712</w:t>
        </w:r>
      </w:hyperlink>
      <w:r w:rsidR="00A13CF3" w:rsidRPr="00F71292">
        <w:rPr>
          <w:rFonts w:eastAsiaTheme="minorEastAsia"/>
          <w:color w:val="000000" w:themeColor="text1"/>
          <w:szCs w:val="24"/>
          <w:lang w:eastAsia="zh-CN"/>
        </w:rPr>
        <w:t>&gt;</w:t>
      </w:r>
      <w:r w:rsidR="00CA08AD">
        <w:rPr>
          <w:rFonts w:eastAsiaTheme="minorEastAsia"/>
          <w:lang w:eastAsia="zh-CN"/>
        </w:rPr>
        <w:t xml:space="preserve"> </w:t>
      </w:r>
    </w:p>
    <w:p w14:paraId="151EAEE7" w14:textId="40D8EDD8" w:rsidR="000C5E5A" w:rsidRPr="00CA08AD" w:rsidRDefault="006E12D8" w:rsidP="00495D90">
      <w:pPr>
        <w:pStyle w:val="Reftext"/>
        <w:tabs>
          <w:tab w:val="clear" w:pos="1191"/>
          <w:tab w:val="clear" w:pos="1588"/>
          <w:tab w:val="clear" w:pos="1985"/>
          <w:tab w:val="left" w:pos="2835"/>
        </w:tabs>
        <w:ind w:left="2835" w:hanging="2835"/>
        <w:rPr>
          <w:rStyle w:val="Hyperlink"/>
          <w:rFonts w:ascii="Arial" w:hAnsi="Arial" w:cs="Arial"/>
          <w:sz w:val="16"/>
          <w:szCs w:val="16"/>
          <w:lang w:eastAsia="zh-CN"/>
        </w:rPr>
      </w:pPr>
      <w:r w:rsidRPr="00EE10E8">
        <w:t>[</w:t>
      </w:r>
      <w:r>
        <w:t>b-</w:t>
      </w:r>
      <w:r w:rsidR="00A9449B" w:rsidRPr="00A9449B">
        <w:t>Osborne Clarke</w:t>
      </w:r>
      <w:r w:rsidRPr="00EE10E8">
        <w:t>]</w:t>
      </w:r>
      <w:r w:rsidR="001E079F">
        <w:rPr>
          <w:rFonts w:eastAsiaTheme="minorEastAsia"/>
          <w:lang w:eastAsia="zh-CN"/>
        </w:rPr>
        <w:tab/>
      </w:r>
      <w:r w:rsidR="00CF6531">
        <w:rPr>
          <w:rFonts w:eastAsiaTheme="minorEastAsia"/>
          <w:lang w:eastAsia="zh-CN"/>
        </w:rPr>
        <w:tab/>
      </w:r>
      <w:r w:rsidR="000C5E5A" w:rsidRPr="000C5E5A">
        <w:rPr>
          <w:rFonts w:eastAsiaTheme="minorEastAsia"/>
          <w:lang w:eastAsia="zh-CN"/>
        </w:rPr>
        <w:t>Osborne Clarke (2023, August 3rd)</w:t>
      </w:r>
      <w:r w:rsidR="0021650A">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What is the current 'state of play' of the draft UK Media Bill? </w:t>
      </w:r>
      <w:r w:rsidR="00CF6531">
        <w:rPr>
          <w:rFonts w:eastAsiaTheme="minorEastAsia"/>
          <w:i/>
          <w:iCs/>
          <w:lang w:eastAsia="zh-CN"/>
        </w:rPr>
        <w:br/>
      </w:r>
      <w:r w:rsidR="00A13CF3">
        <w:t>&lt;</w:t>
      </w:r>
      <w:hyperlink r:id="rId57" w:history="1">
        <w:r w:rsidR="00A13CF3" w:rsidRPr="00A13CF3">
          <w:rPr>
            <w:rStyle w:val="Hyperlink"/>
            <w:rFonts w:ascii="Arial" w:eastAsiaTheme="minorEastAsia" w:hAnsi="Arial" w:cs="Arial"/>
            <w:sz w:val="16"/>
            <w:szCs w:val="16"/>
            <w:lang w:eastAsia="zh-CN"/>
          </w:rPr>
          <w:t>https://www.osborneclarke.com/insights/what-current-state-play-draft-uk-media-bill</w:t>
        </w:r>
      </w:hyperlink>
      <w:r w:rsidR="00A13CF3" w:rsidRPr="00F71292">
        <w:rPr>
          <w:rFonts w:eastAsiaTheme="minorEastAsia"/>
          <w:szCs w:val="24"/>
          <w:lang w:eastAsia="zh-CN"/>
        </w:rPr>
        <w:t>&gt;</w:t>
      </w:r>
      <w:r w:rsidR="00CA08AD" w:rsidRPr="00CA08AD">
        <w:rPr>
          <w:rStyle w:val="Hyperlink"/>
          <w:rFonts w:ascii="Arial" w:eastAsiaTheme="minorEastAsia" w:hAnsi="Arial" w:cs="Arial"/>
          <w:sz w:val="16"/>
          <w:szCs w:val="16"/>
        </w:rPr>
        <w:t xml:space="preserve"> </w:t>
      </w:r>
    </w:p>
    <w:p w14:paraId="55288E23" w14:textId="1471BD43"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sidRPr="00EE10E8">
        <w:t>[</w:t>
      </w:r>
      <w:r>
        <w:t>b-</w:t>
      </w:r>
      <w:r w:rsidR="00A9449B" w:rsidRPr="000C5E5A">
        <w:rPr>
          <w:rFonts w:eastAsiaTheme="minorEastAsia"/>
          <w:lang w:eastAsia="zh-CN"/>
        </w:rPr>
        <w:t>PRS</w:t>
      </w:r>
      <w:r w:rsidRPr="00EE10E8">
        <w:t>]</w:t>
      </w:r>
      <w:r w:rsidR="001E079F">
        <w:rPr>
          <w:rFonts w:eastAsiaTheme="minorEastAsia"/>
          <w:lang w:eastAsia="zh-CN"/>
        </w:rPr>
        <w:tab/>
      </w:r>
      <w:r w:rsidR="00CF6531">
        <w:rPr>
          <w:rFonts w:eastAsiaTheme="minorEastAsia"/>
          <w:lang w:eastAsia="zh-CN"/>
        </w:rPr>
        <w:tab/>
      </w:r>
      <w:r w:rsidR="000C5E5A" w:rsidRPr="000C5E5A">
        <w:rPr>
          <w:rFonts w:eastAsiaTheme="minorEastAsia"/>
          <w:lang w:eastAsia="zh-CN"/>
        </w:rPr>
        <w:t>PRS Legislative Research (n.d.)</w:t>
      </w:r>
      <w:r w:rsidR="0021650A">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Draft Indian Telecommunication Bill, 2022. </w:t>
      </w:r>
      <w:r w:rsidR="00CF6531">
        <w:rPr>
          <w:rFonts w:eastAsiaTheme="minorEastAsia"/>
          <w:i/>
          <w:iCs/>
          <w:lang w:eastAsia="zh-CN"/>
        </w:rPr>
        <w:br/>
      </w:r>
      <w:r w:rsidR="00A13CF3">
        <w:rPr>
          <w:rFonts w:eastAsiaTheme="minorEastAsia"/>
          <w:i/>
          <w:iCs/>
          <w:lang w:eastAsia="zh-CN"/>
        </w:rPr>
        <w:t>&lt;</w:t>
      </w:r>
      <w:hyperlink r:id="rId58" w:history="1">
        <w:r w:rsidR="00A13CF3" w:rsidRPr="00A13CF3">
          <w:rPr>
            <w:rStyle w:val="Hyperlink"/>
            <w:rFonts w:ascii="Arial" w:eastAsiaTheme="minorEastAsia" w:hAnsi="Arial" w:cs="Arial"/>
            <w:sz w:val="16"/>
            <w:szCs w:val="16"/>
            <w:lang w:eastAsia="zh-CN"/>
          </w:rPr>
          <w:t>https://prsindia.org/billtrack/draft-indian-telecommunication-bill-2022</w:t>
        </w:r>
      </w:hyperlink>
      <w:r w:rsidR="00A13CF3" w:rsidRPr="00F71292">
        <w:rPr>
          <w:rFonts w:eastAsiaTheme="minorEastAsia"/>
          <w:szCs w:val="24"/>
          <w:lang w:eastAsia="zh-CN"/>
        </w:rPr>
        <w:t>&gt;</w:t>
      </w:r>
      <w:r w:rsidR="00CA08AD">
        <w:rPr>
          <w:rFonts w:eastAsiaTheme="minorEastAsia"/>
          <w:lang w:eastAsia="zh-CN"/>
        </w:rPr>
        <w:t xml:space="preserve"> </w:t>
      </w:r>
    </w:p>
    <w:p w14:paraId="0FE1B3BA" w14:textId="222837C1" w:rsidR="000C5E5A" w:rsidRDefault="006E12D8" w:rsidP="00495D90">
      <w:pPr>
        <w:pStyle w:val="Reftext"/>
        <w:tabs>
          <w:tab w:val="clear" w:pos="1191"/>
          <w:tab w:val="clear" w:pos="1588"/>
          <w:tab w:val="clear" w:pos="1985"/>
          <w:tab w:val="left" w:pos="2835"/>
        </w:tabs>
        <w:ind w:left="2835" w:hanging="2835"/>
        <w:rPr>
          <w:rFonts w:eastAsiaTheme="minorEastAsia"/>
          <w:i/>
          <w:iCs/>
          <w:lang w:eastAsia="zh-CN"/>
        </w:rPr>
      </w:pPr>
      <w:r w:rsidRPr="00EE10E8">
        <w:t>[</w:t>
      </w:r>
      <w:r>
        <w:t>b-</w:t>
      </w:r>
      <w:r w:rsidR="00A9449B" w:rsidRPr="000C5E5A">
        <w:rPr>
          <w:rFonts w:eastAsiaTheme="minorEastAsia"/>
          <w:lang w:eastAsia="zh-CN"/>
        </w:rPr>
        <w:t>TATT</w:t>
      </w:r>
      <w:r w:rsidRPr="00EE10E8">
        <w:t>]</w:t>
      </w:r>
      <w:r w:rsidR="001E079F">
        <w:rPr>
          <w:rFonts w:eastAsiaTheme="minorEastAsia"/>
          <w:lang w:eastAsia="zh-CN"/>
        </w:rPr>
        <w:tab/>
      </w:r>
      <w:r w:rsidR="00CF6531">
        <w:rPr>
          <w:rFonts w:eastAsiaTheme="minorEastAsia"/>
          <w:lang w:eastAsia="zh-CN"/>
        </w:rPr>
        <w:tab/>
      </w:r>
      <w:r w:rsidR="000C5E5A" w:rsidRPr="000C5E5A">
        <w:rPr>
          <w:rFonts w:eastAsiaTheme="minorEastAsia"/>
          <w:lang w:eastAsia="zh-CN"/>
        </w:rPr>
        <w:t>TATT (2023)</w:t>
      </w:r>
      <w:r w:rsidR="0021650A">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Consultative Document </w:t>
      </w:r>
      <w:r w:rsidR="001E079F" w:rsidRPr="00A9449B">
        <w:rPr>
          <w:rFonts w:eastAsiaTheme="minorEastAsia"/>
          <w:i/>
          <w:iCs/>
          <w:lang w:eastAsia="zh-CN"/>
        </w:rPr>
        <w:t>–</w:t>
      </w:r>
      <w:r w:rsidR="000C5E5A" w:rsidRPr="00A9449B">
        <w:rPr>
          <w:rFonts w:eastAsiaTheme="minorEastAsia"/>
          <w:i/>
          <w:iCs/>
          <w:lang w:eastAsia="zh-CN"/>
        </w:rPr>
        <w:t xml:space="preserve"> Framework on Over-the-Top Services in Trinidad and Tobago. TATT.</w:t>
      </w:r>
    </w:p>
    <w:p w14:paraId="2C08CDBA" w14:textId="519CE8D5" w:rsidR="005B6AC8" w:rsidRDefault="005B6AC8" w:rsidP="00495D90">
      <w:pPr>
        <w:pStyle w:val="Reftext"/>
        <w:tabs>
          <w:tab w:val="clear" w:pos="1191"/>
          <w:tab w:val="clear" w:pos="1588"/>
          <w:tab w:val="clear" w:pos="1985"/>
          <w:tab w:val="left" w:pos="2835"/>
        </w:tabs>
        <w:ind w:left="2835" w:hanging="2835"/>
        <w:rPr>
          <w:rStyle w:val="Hyperlink"/>
          <w:rFonts w:ascii="Arial" w:eastAsiaTheme="minorEastAsia" w:hAnsi="Arial" w:cs="Arial"/>
          <w:sz w:val="16"/>
          <w:szCs w:val="16"/>
        </w:rPr>
      </w:pPr>
      <w:r w:rsidRPr="0021650A">
        <w:t>[b-</w:t>
      </w:r>
      <w:r w:rsidRPr="0021650A">
        <w:rPr>
          <w:rFonts w:eastAsiaTheme="minorEastAsia"/>
          <w:lang w:eastAsia="zh-CN"/>
        </w:rPr>
        <w:t>TATT</w:t>
      </w:r>
      <w:r w:rsidRPr="0021650A">
        <w:t>]</w:t>
      </w:r>
      <w:r w:rsidRPr="0021650A">
        <w:rPr>
          <w:rFonts w:eastAsiaTheme="minorEastAsia"/>
          <w:lang w:eastAsia="zh-CN"/>
        </w:rPr>
        <w:tab/>
      </w:r>
      <w:r w:rsidRPr="0021650A">
        <w:rPr>
          <w:rFonts w:eastAsiaTheme="minorEastAsia"/>
          <w:lang w:eastAsia="zh-CN"/>
        </w:rPr>
        <w:tab/>
        <w:t>TATT (n.d.)</w:t>
      </w:r>
      <w:r w:rsidR="0021650A" w:rsidRPr="0021650A">
        <w:rPr>
          <w:rFonts w:eastAsiaTheme="minorEastAsia"/>
          <w:lang w:eastAsia="zh-CN"/>
        </w:rPr>
        <w:t>,</w:t>
      </w:r>
      <w:r w:rsidRPr="0021650A">
        <w:rPr>
          <w:rFonts w:eastAsiaTheme="minorEastAsia"/>
          <w:lang w:eastAsia="zh-CN"/>
        </w:rPr>
        <w:t xml:space="preserve"> </w:t>
      </w:r>
      <w:r w:rsidRPr="00A9449B">
        <w:rPr>
          <w:rFonts w:eastAsiaTheme="minorEastAsia"/>
          <w:i/>
          <w:iCs/>
          <w:lang w:eastAsia="zh-CN"/>
        </w:rPr>
        <w:t>Table of Consultative Documents. Retrieved from Telecommunications Authority of Trinidad and Tobago:</w:t>
      </w:r>
      <w:r w:rsidRPr="000C5E5A">
        <w:rPr>
          <w:rFonts w:eastAsiaTheme="minorEastAsia"/>
          <w:lang w:eastAsia="zh-CN"/>
        </w:rPr>
        <w:t xml:space="preserve"> </w:t>
      </w:r>
      <w:r>
        <w:rPr>
          <w:rFonts w:eastAsiaTheme="minorEastAsia"/>
          <w:lang w:eastAsia="zh-CN"/>
        </w:rPr>
        <w:br/>
      </w:r>
      <w:r w:rsidR="00A13CF3">
        <w:t>&lt;</w:t>
      </w:r>
      <w:hyperlink r:id="rId59" w:history="1">
        <w:r w:rsidR="00A13CF3" w:rsidRPr="00A13CF3">
          <w:rPr>
            <w:rStyle w:val="Hyperlink"/>
            <w:rFonts w:ascii="Arial" w:eastAsiaTheme="minorEastAsia" w:hAnsi="Arial" w:cs="Arial"/>
            <w:sz w:val="16"/>
            <w:szCs w:val="16"/>
            <w:lang w:eastAsia="zh-CN"/>
          </w:rPr>
          <w:t>https://tatt.org.tt/consultations/table-of-consultative-documents/</w:t>
        </w:r>
      </w:hyperlink>
      <w:r w:rsidR="00A13CF3" w:rsidRPr="00F71292">
        <w:rPr>
          <w:rFonts w:eastAsiaTheme="minorEastAsia"/>
          <w:color w:val="000000" w:themeColor="text1"/>
          <w:szCs w:val="24"/>
          <w:lang w:eastAsia="zh-CN"/>
        </w:rPr>
        <w:t>&gt;</w:t>
      </w:r>
      <w:r w:rsidRPr="00CA08AD">
        <w:rPr>
          <w:rStyle w:val="Hyperlink"/>
          <w:rFonts w:ascii="Arial" w:eastAsiaTheme="minorEastAsia" w:hAnsi="Arial" w:cs="Arial"/>
          <w:sz w:val="16"/>
          <w:szCs w:val="16"/>
        </w:rPr>
        <w:t xml:space="preserve"> </w:t>
      </w:r>
    </w:p>
    <w:p w14:paraId="7F7E517B" w14:textId="5E6F6DC6" w:rsidR="005B6AC8" w:rsidRPr="000C5E5A" w:rsidRDefault="005B6AC8" w:rsidP="00495D90">
      <w:pPr>
        <w:pStyle w:val="Reftext"/>
        <w:tabs>
          <w:tab w:val="clear" w:pos="1191"/>
          <w:tab w:val="clear" w:pos="1588"/>
          <w:tab w:val="clear" w:pos="1985"/>
          <w:tab w:val="left" w:pos="2835"/>
        </w:tabs>
        <w:ind w:left="2835" w:hanging="2835"/>
        <w:rPr>
          <w:rFonts w:eastAsiaTheme="minorEastAsia"/>
          <w:lang w:eastAsia="zh-CN"/>
        </w:rPr>
      </w:pPr>
      <w:r w:rsidRPr="00EE10E8">
        <w:t>[</w:t>
      </w:r>
      <w:r>
        <w:t>b-TATT</w:t>
      </w:r>
      <w:r w:rsidRPr="00EE10E8">
        <w:t>]</w:t>
      </w:r>
      <w:r>
        <w:rPr>
          <w:rFonts w:eastAsiaTheme="minorEastAsia"/>
          <w:lang w:eastAsia="zh-CN"/>
        </w:rPr>
        <w:tab/>
      </w:r>
      <w:r>
        <w:rPr>
          <w:rFonts w:eastAsiaTheme="minorEastAsia"/>
          <w:lang w:eastAsia="zh-CN"/>
        </w:rPr>
        <w:tab/>
      </w:r>
      <w:r w:rsidRPr="000C5E5A">
        <w:rPr>
          <w:rFonts w:eastAsiaTheme="minorEastAsia"/>
          <w:lang w:eastAsia="zh-CN"/>
        </w:rPr>
        <w:t>Telecommunications Authority of Trinidad and Tobago (n.d.)</w:t>
      </w:r>
      <w:r w:rsidR="0021650A">
        <w:rPr>
          <w:rFonts w:eastAsiaTheme="minorEastAsia"/>
          <w:lang w:eastAsia="zh-CN"/>
        </w:rPr>
        <w:t>,</w:t>
      </w:r>
      <w:r w:rsidRPr="000C5E5A">
        <w:rPr>
          <w:rFonts w:eastAsiaTheme="minorEastAsia"/>
          <w:lang w:eastAsia="zh-CN"/>
        </w:rPr>
        <w:t xml:space="preserve"> </w:t>
      </w:r>
      <w:r w:rsidRPr="00A9449B">
        <w:rPr>
          <w:rFonts w:eastAsiaTheme="minorEastAsia"/>
          <w:i/>
          <w:iCs/>
          <w:lang w:eastAsia="zh-CN"/>
        </w:rPr>
        <w:t xml:space="preserve">Consultation – Table of Consultative Documents. </w:t>
      </w:r>
      <w:r>
        <w:rPr>
          <w:rFonts w:eastAsiaTheme="minorEastAsia"/>
          <w:lang w:eastAsia="zh-CN"/>
        </w:rPr>
        <w:br/>
      </w:r>
      <w:r w:rsidR="00A13CF3">
        <w:t>&lt;</w:t>
      </w:r>
      <w:hyperlink r:id="rId60" w:history="1">
        <w:r w:rsidR="00A13CF3" w:rsidRPr="00A13CF3">
          <w:rPr>
            <w:rStyle w:val="Hyperlink"/>
            <w:rFonts w:ascii="Arial" w:eastAsiaTheme="minorEastAsia" w:hAnsi="Arial" w:cs="Arial"/>
            <w:sz w:val="16"/>
            <w:szCs w:val="16"/>
            <w:lang w:eastAsia="zh-CN"/>
          </w:rPr>
          <w:t>https://tatt.org.tt/consultations/table-of-consultative-documents/</w:t>
        </w:r>
      </w:hyperlink>
      <w:r w:rsidR="00A13CF3" w:rsidRPr="00F71292">
        <w:rPr>
          <w:rStyle w:val="Hyperlink"/>
          <w:rFonts w:eastAsiaTheme="minorEastAsia"/>
          <w:color w:val="000000" w:themeColor="text1"/>
          <w:szCs w:val="24"/>
          <w:u w:val="none"/>
          <w:lang w:eastAsia="zh-CN"/>
        </w:rPr>
        <w:t>&gt;</w:t>
      </w:r>
      <w:r w:rsidRPr="00CA08AD">
        <w:rPr>
          <w:rStyle w:val="Hyperlink"/>
          <w:rFonts w:ascii="Arial" w:eastAsiaTheme="minorEastAsia" w:hAnsi="Arial" w:cs="Arial"/>
          <w:sz w:val="16"/>
          <w:szCs w:val="16"/>
        </w:rPr>
        <w:t xml:space="preserve"> </w:t>
      </w:r>
    </w:p>
    <w:p w14:paraId="60B8A655" w14:textId="2A31E573"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sidRPr="00EE10E8">
        <w:t>[</w:t>
      </w:r>
      <w:r>
        <w:t>b-</w:t>
      </w:r>
      <w:r w:rsidR="00A9449B" w:rsidRPr="00A9449B">
        <w:t>TATT</w:t>
      </w:r>
      <w:r w:rsidR="00CF6531">
        <w:t>-</w:t>
      </w:r>
      <w:r w:rsidR="00E652CF">
        <w:t>CS</w:t>
      </w:r>
      <w:r w:rsidRPr="00EE10E8">
        <w:t>]</w:t>
      </w:r>
      <w:r w:rsidR="001E079F">
        <w:rPr>
          <w:rFonts w:eastAsiaTheme="minorEastAsia"/>
          <w:lang w:eastAsia="zh-CN"/>
        </w:rPr>
        <w:tab/>
      </w:r>
      <w:r w:rsidR="00CF6531">
        <w:rPr>
          <w:rFonts w:eastAsiaTheme="minorEastAsia"/>
          <w:lang w:eastAsia="zh-CN"/>
        </w:rPr>
        <w:tab/>
      </w:r>
      <w:r w:rsidR="000C5E5A" w:rsidRPr="000C5E5A">
        <w:rPr>
          <w:rFonts w:eastAsiaTheme="minorEastAsia"/>
          <w:lang w:eastAsia="zh-CN"/>
        </w:rPr>
        <w:t>TATT (2023)</w:t>
      </w:r>
      <w:r w:rsidR="0021650A">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Consumer </w:t>
      </w:r>
      <w:proofErr w:type="spellStart"/>
      <w:r w:rsidR="000C5E5A" w:rsidRPr="00A9449B">
        <w:rPr>
          <w:rFonts w:eastAsiaTheme="minorEastAsia"/>
          <w:i/>
          <w:iCs/>
          <w:lang w:eastAsia="zh-CN"/>
        </w:rPr>
        <w:t>Survery</w:t>
      </w:r>
      <w:proofErr w:type="spellEnd"/>
      <w:r w:rsidR="000C5E5A" w:rsidRPr="00A9449B">
        <w:rPr>
          <w:rFonts w:eastAsiaTheme="minorEastAsia"/>
          <w:i/>
          <w:iCs/>
          <w:lang w:eastAsia="zh-CN"/>
        </w:rPr>
        <w:t xml:space="preserve"> o</w:t>
      </w:r>
      <w:r w:rsidR="00041785">
        <w:rPr>
          <w:rFonts w:eastAsiaTheme="minorEastAsia"/>
          <w:i/>
          <w:iCs/>
          <w:lang w:eastAsia="zh-CN"/>
        </w:rPr>
        <w:t>f</w:t>
      </w:r>
      <w:r w:rsidR="000C5E5A" w:rsidRPr="00A9449B">
        <w:rPr>
          <w:rFonts w:eastAsiaTheme="minorEastAsia"/>
          <w:i/>
          <w:iCs/>
          <w:lang w:eastAsia="zh-CN"/>
        </w:rPr>
        <w:t xml:space="preserve"> the Domestic Retail Fixed Market of Trinidad and Tobago. </w:t>
      </w:r>
      <w:r w:rsidR="00CF6531">
        <w:rPr>
          <w:rFonts w:eastAsiaTheme="minorEastAsia"/>
          <w:i/>
          <w:iCs/>
          <w:lang w:eastAsia="zh-CN"/>
        </w:rPr>
        <w:br/>
      </w:r>
      <w:r w:rsidR="00A13CF3">
        <w:rPr>
          <w:rFonts w:eastAsiaTheme="minorEastAsia"/>
          <w:lang w:eastAsia="zh-CN"/>
        </w:rPr>
        <w:t>&lt;</w:t>
      </w:r>
      <w:hyperlink r:id="rId61" w:history="1">
        <w:r w:rsidR="00A13CF3" w:rsidRPr="00A13CF3">
          <w:rPr>
            <w:rStyle w:val="Hyperlink"/>
            <w:rFonts w:ascii="Arial" w:eastAsiaTheme="minorEastAsia" w:hAnsi="Arial" w:cs="Arial"/>
            <w:sz w:val="16"/>
            <w:szCs w:val="16"/>
            <w:lang w:eastAsia="zh-CN"/>
          </w:rPr>
          <w:t>https://tatt.org.tt/wp-content/uploads/2023/05/TATT-Final-Fixed-Market-Consumer-Survey-Report-Redacted.pdf</w:t>
        </w:r>
      </w:hyperlink>
      <w:r w:rsidR="00A13CF3" w:rsidRPr="00F71292">
        <w:rPr>
          <w:rStyle w:val="Hyperlink"/>
          <w:rFonts w:eastAsiaTheme="minorEastAsia"/>
          <w:color w:val="000000" w:themeColor="text1"/>
          <w:szCs w:val="24"/>
          <w:u w:val="none"/>
          <w:lang w:eastAsia="zh-CN"/>
        </w:rPr>
        <w:t>&gt;</w:t>
      </w:r>
      <w:r w:rsidR="00CA08AD">
        <w:rPr>
          <w:rFonts w:eastAsiaTheme="minorEastAsia"/>
          <w:lang w:eastAsia="zh-CN"/>
        </w:rPr>
        <w:t xml:space="preserve"> </w:t>
      </w:r>
    </w:p>
    <w:p w14:paraId="26D1FAD3" w14:textId="1D77E8CE" w:rsidR="000C5E5A" w:rsidRPr="000C5E5A" w:rsidRDefault="006E12D8" w:rsidP="00495D90">
      <w:pPr>
        <w:pStyle w:val="Reftext"/>
        <w:keepNext/>
        <w:keepLines/>
        <w:tabs>
          <w:tab w:val="clear" w:pos="1191"/>
          <w:tab w:val="clear" w:pos="1588"/>
          <w:tab w:val="clear" w:pos="1985"/>
          <w:tab w:val="left" w:pos="2835"/>
        </w:tabs>
        <w:ind w:left="2835" w:hanging="2835"/>
        <w:rPr>
          <w:rFonts w:eastAsiaTheme="minorEastAsia"/>
          <w:lang w:eastAsia="zh-CN"/>
        </w:rPr>
      </w:pPr>
      <w:r w:rsidRPr="00EE10E8">
        <w:lastRenderedPageBreak/>
        <w:t>[</w:t>
      </w:r>
      <w:r>
        <w:t>b-</w:t>
      </w:r>
      <w:r w:rsidRPr="000C5E5A">
        <w:rPr>
          <w:rFonts w:eastAsiaTheme="minorEastAsia"/>
          <w:lang w:eastAsia="zh-CN"/>
        </w:rPr>
        <w:t>TATT</w:t>
      </w:r>
      <w:r w:rsidR="00CF6531">
        <w:rPr>
          <w:rFonts w:eastAsiaTheme="minorEastAsia"/>
          <w:lang w:eastAsia="zh-CN"/>
        </w:rPr>
        <w:t>-</w:t>
      </w:r>
      <w:r>
        <w:rPr>
          <w:rFonts w:eastAsiaTheme="minorEastAsia"/>
          <w:lang w:eastAsia="zh-CN"/>
        </w:rPr>
        <w:t>2023</w:t>
      </w:r>
      <w:r w:rsidRPr="00EE10E8">
        <w:t>]</w:t>
      </w:r>
      <w:r w:rsidR="001E079F">
        <w:rPr>
          <w:rFonts w:eastAsiaTheme="minorEastAsia"/>
          <w:lang w:eastAsia="zh-CN"/>
        </w:rPr>
        <w:tab/>
      </w:r>
      <w:r w:rsidR="00CF6531">
        <w:rPr>
          <w:rFonts w:eastAsiaTheme="minorEastAsia"/>
          <w:lang w:eastAsia="zh-CN"/>
        </w:rPr>
        <w:tab/>
      </w:r>
      <w:r w:rsidR="000C5E5A" w:rsidRPr="000C5E5A">
        <w:rPr>
          <w:rFonts w:eastAsiaTheme="minorEastAsia"/>
          <w:lang w:eastAsia="zh-CN"/>
        </w:rPr>
        <w:t>TATT (2023)</w:t>
      </w:r>
      <w:r w:rsidR="0021650A">
        <w:rPr>
          <w:rFonts w:eastAsiaTheme="minorEastAsia"/>
          <w:lang w:eastAsia="zh-CN"/>
        </w:rPr>
        <w:t>,</w:t>
      </w:r>
      <w:r w:rsidR="000C5E5A" w:rsidRPr="000C5E5A">
        <w:rPr>
          <w:rFonts w:eastAsiaTheme="minorEastAsia"/>
          <w:lang w:eastAsia="zh-CN"/>
        </w:rPr>
        <w:t xml:space="preserve"> </w:t>
      </w:r>
      <w:r w:rsidR="00CF6531" w:rsidRPr="00A9449B">
        <w:rPr>
          <w:rFonts w:eastAsiaTheme="minorEastAsia"/>
          <w:i/>
          <w:iCs/>
          <w:lang w:eastAsia="zh-CN"/>
        </w:rPr>
        <w:t xml:space="preserve">Questionnaire tatt domestic retail mobile market customer survey. </w:t>
      </w:r>
      <w:r w:rsidR="000C5E5A" w:rsidRPr="00A9449B">
        <w:rPr>
          <w:rFonts w:eastAsiaTheme="minorEastAsia"/>
          <w:i/>
          <w:iCs/>
          <w:lang w:eastAsia="zh-CN"/>
        </w:rPr>
        <w:t xml:space="preserve">Telecommunications Authority of Trinidad and Tobago. </w:t>
      </w:r>
      <w:r w:rsidR="00D81BDA">
        <w:rPr>
          <w:rFonts w:eastAsiaTheme="minorEastAsia"/>
          <w:i/>
          <w:iCs/>
          <w:lang w:eastAsia="zh-CN"/>
        </w:rPr>
        <w:br/>
      </w:r>
      <w:r w:rsidR="00A13CF3">
        <w:t>&lt;</w:t>
      </w:r>
      <w:hyperlink r:id="rId62" w:history="1">
        <w:r w:rsidR="00A13CF3" w:rsidRPr="00A13CF3">
          <w:rPr>
            <w:rStyle w:val="Hyperlink"/>
            <w:rFonts w:ascii="Arial" w:eastAsiaTheme="minorEastAsia" w:hAnsi="Arial" w:cs="Arial"/>
            <w:sz w:val="16"/>
            <w:szCs w:val="16"/>
            <w:lang w:eastAsia="zh-CN"/>
          </w:rPr>
          <w:t>https://tatt.org.tt/wp-content/uploads/2024/10/KCL-Final-Fixed-Market-Consumer-Survey-Report-Redacted-with-Questionnaire.pdf</w:t>
        </w:r>
      </w:hyperlink>
      <w:r w:rsidR="00A13CF3" w:rsidRPr="00F71292">
        <w:rPr>
          <w:rStyle w:val="Hyperlink"/>
          <w:rFonts w:eastAsiaTheme="minorEastAsia"/>
          <w:color w:val="000000" w:themeColor="text1"/>
          <w:szCs w:val="24"/>
          <w:u w:val="none"/>
          <w:lang w:eastAsia="zh-CN"/>
        </w:rPr>
        <w:t>&gt;</w:t>
      </w:r>
      <w:r w:rsidR="00CA08AD">
        <w:rPr>
          <w:rFonts w:eastAsiaTheme="minorEastAsia"/>
          <w:lang w:eastAsia="zh-CN"/>
        </w:rPr>
        <w:t xml:space="preserve"> </w:t>
      </w:r>
    </w:p>
    <w:p w14:paraId="6090325D" w14:textId="1CF02353"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sidRPr="00EE10E8">
        <w:t>[</w:t>
      </w:r>
      <w:r>
        <w:t>b-</w:t>
      </w:r>
      <w:r w:rsidRPr="000C5E5A">
        <w:rPr>
          <w:rFonts w:eastAsiaTheme="minorEastAsia"/>
          <w:lang w:eastAsia="zh-CN"/>
        </w:rPr>
        <w:t>TATT</w:t>
      </w:r>
      <w:r w:rsidR="00CF6531">
        <w:rPr>
          <w:rFonts w:eastAsiaTheme="minorEastAsia"/>
          <w:lang w:eastAsia="zh-CN"/>
        </w:rPr>
        <w:t>-</w:t>
      </w:r>
      <w:r>
        <w:rPr>
          <w:rFonts w:eastAsiaTheme="minorEastAsia"/>
          <w:lang w:eastAsia="zh-CN"/>
        </w:rPr>
        <w:t>2024</w:t>
      </w:r>
      <w:r w:rsidRPr="00EE10E8">
        <w:t>]</w:t>
      </w:r>
      <w:r w:rsidR="001E079F">
        <w:rPr>
          <w:rFonts w:eastAsiaTheme="minorEastAsia"/>
          <w:lang w:eastAsia="zh-CN"/>
        </w:rPr>
        <w:tab/>
      </w:r>
      <w:r w:rsidR="00CF6531">
        <w:rPr>
          <w:rFonts w:eastAsiaTheme="minorEastAsia"/>
          <w:lang w:eastAsia="zh-CN"/>
        </w:rPr>
        <w:tab/>
      </w:r>
      <w:r w:rsidR="000C5E5A" w:rsidRPr="000C5E5A">
        <w:rPr>
          <w:rFonts w:eastAsiaTheme="minorEastAsia"/>
          <w:lang w:eastAsia="zh-CN"/>
        </w:rPr>
        <w:t>TATT (2024)</w:t>
      </w:r>
      <w:r w:rsidR="0021650A">
        <w:rPr>
          <w:rFonts w:eastAsiaTheme="minorEastAsia"/>
          <w:lang w:eastAsia="zh-CN"/>
        </w:rPr>
        <w:t>,</w:t>
      </w:r>
      <w:r w:rsidR="000C5E5A" w:rsidRPr="000C5E5A">
        <w:rPr>
          <w:rFonts w:eastAsiaTheme="minorEastAsia"/>
          <w:lang w:eastAsia="zh-CN"/>
        </w:rPr>
        <w:t xml:space="preserve"> </w:t>
      </w:r>
      <w:r w:rsidR="000C5E5A" w:rsidRPr="00CF6531">
        <w:rPr>
          <w:rFonts w:eastAsiaTheme="minorEastAsia"/>
          <w:i/>
          <w:iCs/>
          <w:lang w:eastAsia="zh-CN"/>
        </w:rPr>
        <w:t xml:space="preserve">Framework on Over-the-Top services in Trinidad and Tobago. </w:t>
      </w:r>
      <w:r w:rsidR="00CF6531">
        <w:rPr>
          <w:rFonts w:eastAsiaTheme="minorEastAsia"/>
          <w:lang w:eastAsia="zh-CN"/>
        </w:rPr>
        <w:br/>
      </w:r>
      <w:r w:rsidR="00A13CF3">
        <w:t>&lt;</w:t>
      </w:r>
      <w:hyperlink r:id="rId63" w:history="1">
        <w:r w:rsidR="00A13CF3" w:rsidRPr="00A13CF3">
          <w:rPr>
            <w:rStyle w:val="Hyperlink"/>
            <w:rFonts w:ascii="Arial" w:eastAsiaTheme="minorEastAsia" w:hAnsi="Arial" w:cs="Arial"/>
            <w:sz w:val="16"/>
            <w:szCs w:val="16"/>
            <w:lang w:eastAsia="zh-CN"/>
          </w:rPr>
          <w:t>https://tatt.org.tt/wp-content/uploads/2024/12/Framework-on-OTTs-for-publication.pdf</w:t>
        </w:r>
      </w:hyperlink>
      <w:r w:rsidR="00A13CF3" w:rsidRPr="00F71292">
        <w:rPr>
          <w:rFonts w:eastAsiaTheme="minorEastAsia"/>
          <w:szCs w:val="24"/>
          <w:lang w:eastAsia="zh-CN"/>
        </w:rPr>
        <w:t>&gt;</w:t>
      </w:r>
      <w:r w:rsidR="00CA08AD">
        <w:rPr>
          <w:rFonts w:eastAsiaTheme="minorEastAsia"/>
          <w:lang w:eastAsia="zh-CN"/>
        </w:rPr>
        <w:t xml:space="preserve"> </w:t>
      </w:r>
    </w:p>
    <w:p w14:paraId="038EDF04" w14:textId="4FEC0C5D"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sidRPr="00EE10E8">
        <w:t>[</w:t>
      </w:r>
      <w:r>
        <w:t>b-</w:t>
      </w:r>
      <w:r w:rsidRPr="006E12D8">
        <w:t xml:space="preserve">Tech Law </w:t>
      </w:r>
      <w:r w:rsidRPr="006E12D8">
        <w:rPr>
          <w:rFonts w:eastAsiaTheme="minorEastAsia"/>
          <w:lang w:eastAsia="zh-CN"/>
        </w:rPr>
        <w:t>Journal</w:t>
      </w:r>
      <w:r w:rsidRPr="00EE10E8">
        <w:t>]</w:t>
      </w:r>
      <w:r w:rsidR="001E079F">
        <w:rPr>
          <w:rFonts w:eastAsiaTheme="minorEastAsia"/>
          <w:lang w:eastAsia="zh-CN"/>
        </w:rPr>
        <w:tab/>
      </w:r>
      <w:r w:rsidR="000C5E5A" w:rsidRPr="000C5E5A">
        <w:rPr>
          <w:rFonts w:eastAsiaTheme="minorEastAsia"/>
          <w:lang w:eastAsia="zh-CN"/>
        </w:rPr>
        <w:t>Tech Law Journal (n.d.)</w:t>
      </w:r>
      <w:r w:rsidR="0021650A">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Text of 47 USC 230 of the Telecommunications Act of 1996. </w:t>
      </w:r>
      <w:r w:rsidR="00CF6531">
        <w:rPr>
          <w:rFonts w:eastAsiaTheme="minorEastAsia"/>
          <w:lang w:eastAsia="zh-CN"/>
        </w:rPr>
        <w:br/>
      </w:r>
      <w:r w:rsidR="00A13CF3">
        <w:t>&lt;</w:t>
      </w:r>
      <w:hyperlink r:id="rId64" w:history="1">
        <w:r w:rsidR="00A13CF3" w:rsidRPr="00A13CF3">
          <w:rPr>
            <w:rStyle w:val="Hyperlink"/>
            <w:rFonts w:ascii="Arial" w:eastAsiaTheme="minorEastAsia" w:hAnsi="Arial" w:cs="Arial"/>
            <w:sz w:val="16"/>
            <w:szCs w:val="16"/>
            <w:lang w:eastAsia="zh-CN"/>
          </w:rPr>
          <w:t>http://www.techlawjournal.com/courts/zeran/47usc230.htm</w:t>
        </w:r>
      </w:hyperlink>
      <w:r w:rsidR="00A13CF3" w:rsidRPr="00F71292">
        <w:rPr>
          <w:rFonts w:eastAsiaTheme="minorEastAsia"/>
          <w:szCs w:val="24"/>
          <w:lang w:eastAsia="zh-CN"/>
        </w:rPr>
        <w:t>&gt;</w:t>
      </w:r>
      <w:r w:rsidR="00CA08AD">
        <w:rPr>
          <w:rFonts w:eastAsiaTheme="minorEastAsia"/>
          <w:lang w:eastAsia="zh-CN"/>
        </w:rPr>
        <w:t xml:space="preserve"> </w:t>
      </w:r>
    </w:p>
    <w:p w14:paraId="1B0E3EC6" w14:textId="2DA32E2B"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sidRPr="00EE10E8">
        <w:t>[</w:t>
      </w:r>
      <w:r>
        <w:t>b-</w:t>
      </w:r>
      <w:proofErr w:type="spellStart"/>
      <w:r w:rsidRPr="006E12D8">
        <w:t>Techin</w:t>
      </w:r>
      <w:proofErr w:type="spellEnd"/>
      <w:r w:rsidRPr="006E12D8">
        <w:t xml:space="preserve"> Brazil</w:t>
      </w:r>
      <w:r w:rsidRPr="00EE10E8">
        <w:t>]</w:t>
      </w:r>
      <w:r w:rsidR="001E079F">
        <w:rPr>
          <w:rFonts w:eastAsiaTheme="minorEastAsia"/>
          <w:lang w:eastAsia="zh-CN"/>
        </w:rPr>
        <w:tab/>
      </w:r>
      <w:r w:rsidR="00CF6531">
        <w:rPr>
          <w:rFonts w:eastAsiaTheme="minorEastAsia"/>
          <w:lang w:eastAsia="zh-CN"/>
        </w:rPr>
        <w:tab/>
      </w:r>
      <w:proofErr w:type="spellStart"/>
      <w:r w:rsidR="000C5E5A" w:rsidRPr="000C5E5A">
        <w:rPr>
          <w:rFonts w:eastAsiaTheme="minorEastAsia"/>
          <w:lang w:eastAsia="zh-CN"/>
        </w:rPr>
        <w:t>Techin</w:t>
      </w:r>
      <w:proofErr w:type="spellEnd"/>
      <w:r w:rsidR="000C5E5A" w:rsidRPr="000C5E5A">
        <w:rPr>
          <w:rFonts w:eastAsiaTheme="minorEastAsia"/>
          <w:lang w:eastAsia="zh-CN"/>
        </w:rPr>
        <w:t xml:space="preserve"> Brazil (2015)</w:t>
      </w:r>
      <w:r w:rsidR="0021650A">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Taxation on OTT in Brazil. </w:t>
      </w:r>
      <w:r w:rsidR="00CF6531">
        <w:rPr>
          <w:rFonts w:eastAsiaTheme="minorEastAsia"/>
          <w:i/>
          <w:iCs/>
          <w:lang w:eastAsia="zh-CN"/>
        </w:rPr>
        <w:br/>
      </w:r>
      <w:r w:rsidR="00A13CF3">
        <w:t>&lt;</w:t>
      </w:r>
      <w:hyperlink r:id="rId65" w:history="1">
        <w:r w:rsidR="00A13CF3" w:rsidRPr="00A13CF3">
          <w:rPr>
            <w:rStyle w:val="Hyperlink"/>
            <w:rFonts w:ascii="Arial" w:eastAsiaTheme="minorEastAsia" w:hAnsi="Arial" w:cs="Arial"/>
            <w:sz w:val="16"/>
            <w:szCs w:val="16"/>
            <w:lang w:eastAsia="zh-CN"/>
          </w:rPr>
          <w:t>https://techinbrazil.com/taxation-on-ott-in-brazil</w:t>
        </w:r>
      </w:hyperlink>
      <w:r w:rsidR="00A13CF3" w:rsidRPr="00F71292">
        <w:rPr>
          <w:rStyle w:val="Hyperlink"/>
          <w:rFonts w:eastAsiaTheme="minorEastAsia"/>
          <w:color w:val="000000" w:themeColor="text1"/>
          <w:szCs w:val="24"/>
          <w:u w:val="none"/>
          <w:lang w:eastAsia="zh-CN"/>
        </w:rPr>
        <w:t>&gt;</w:t>
      </w:r>
      <w:r w:rsidR="00CA08AD">
        <w:rPr>
          <w:rFonts w:eastAsiaTheme="minorEastAsia"/>
          <w:lang w:eastAsia="zh-CN"/>
        </w:rPr>
        <w:t xml:space="preserve"> </w:t>
      </w:r>
    </w:p>
    <w:p w14:paraId="21CCFCD1" w14:textId="44BE8C61"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sidRPr="00EE10E8">
        <w:t>[</w:t>
      </w:r>
      <w:r>
        <w:t>b-</w:t>
      </w:r>
      <w:r w:rsidRPr="000C5E5A">
        <w:rPr>
          <w:rFonts w:eastAsiaTheme="minorEastAsia"/>
          <w:lang w:eastAsia="zh-CN"/>
        </w:rPr>
        <w:t>TRA</w:t>
      </w:r>
      <w:r w:rsidRPr="00EE10E8">
        <w:t>]</w:t>
      </w:r>
      <w:r w:rsidR="001E079F">
        <w:rPr>
          <w:rFonts w:eastAsiaTheme="minorEastAsia"/>
          <w:lang w:eastAsia="zh-CN"/>
        </w:rPr>
        <w:tab/>
      </w:r>
      <w:r>
        <w:rPr>
          <w:rFonts w:eastAsiaTheme="minorEastAsia"/>
          <w:lang w:eastAsia="zh-CN"/>
        </w:rPr>
        <w:tab/>
      </w:r>
      <w:r w:rsidR="000C5E5A" w:rsidRPr="000C5E5A">
        <w:rPr>
          <w:rFonts w:eastAsiaTheme="minorEastAsia"/>
          <w:lang w:eastAsia="zh-CN"/>
        </w:rPr>
        <w:t>TRA (2021)</w:t>
      </w:r>
      <w:r w:rsidR="0021650A">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A Position Paper issued by the Telecommunications Regulatory Authority on the Licensing Approach to Internet Protocol (</w:t>
      </w:r>
      <w:r w:rsidR="00580392" w:rsidRPr="00A9449B">
        <w:rPr>
          <w:rFonts w:eastAsiaTheme="minorEastAsia"/>
          <w:i/>
          <w:iCs/>
          <w:lang w:eastAsia="zh-CN"/>
        </w:rPr>
        <w:t>"</w:t>
      </w:r>
      <w:r w:rsidR="000C5E5A" w:rsidRPr="00A9449B">
        <w:rPr>
          <w:rFonts w:eastAsiaTheme="minorEastAsia"/>
          <w:i/>
          <w:iCs/>
          <w:lang w:eastAsia="zh-CN"/>
        </w:rPr>
        <w:t>IP</w:t>
      </w:r>
      <w:r w:rsidR="00580392" w:rsidRPr="00A9449B">
        <w:rPr>
          <w:rFonts w:eastAsiaTheme="minorEastAsia"/>
          <w:i/>
          <w:iCs/>
          <w:lang w:eastAsia="zh-CN"/>
        </w:rPr>
        <w:t>"</w:t>
      </w:r>
      <w:r w:rsidR="000C5E5A" w:rsidRPr="00A9449B">
        <w:rPr>
          <w:rFonts w:eastAsiaTheme="minorEastAsia"/>
          <w:i/>
          <w:iCs/>
          <w:lang w:eastAsia="zh-CN"/>
        </w:rPr>
        <w:t xml:space="preserve">) Based Voice and Messaging Services in the Kingdom of Bahrain. Telecommunications </w:t>
      </w:r>
      <w:r w:rsidR="0021650A" w:rsidRPr="00A9449B">
        <w:rPr>
          <w:rFonts w:eastAsiaTheme="minorEastAsia"/>
          <w:i/>
          <w:iCs/>
          <w:lang w:eastAsia="zh-CN"/>
        </w:rPr>
        <w:t>Regulatory</w:t>
      </w:r>
      <w:r w:rsidR="000C5E5A" w:rsidRPr="00A9449B">
        <w:rPr>
          <w:rFonts w:eastAsiaTheme="minorEastAsia"/>
          <w:i/>
          <w:iCs/>
          <w:lang w:eastAsia="zh-CN"/>
        </w:rPr>
        <w:t xml:space="preserve"> Authority. Retrieved from</w:t>
      </w:r>
      <w:r w:rsidR="000C5E5A" w:rsidRPr="000C5E5A">
        <w:rPr>
          <w:rFonts w:eastAsiaTheme="minorEastAsia"/>
          <w:lang w:eastAsia="zh-CN"/>
        </w:rPr>
        <w:t xml:space="preserve"> </w:t>
      </w:r>
      <w:r w:rsidR="00CF6531">
        <w:rPr>
          <w:rFonts w:eastAsiaTheme="minorEastAsia"/>
          <w:lang w:eastAsia="zh-CN"/>
        </w:rPr>
        <w:br/>
      </w:r>
      <w:r w:rsidR="00A13CF3">
        <w:t>&lt;</w:t>
      </w:r>
      <w:hyperlink r:id="rId66" w:history="1">
        <w:r w:rsidR="00A13CF3" w:rsidRPr="00A13CF3">
          <w:rPr>
            <w:rStyle w:val="Hyperlink"/>
            <w:rFonts w:ascii="Arial" w:eastAsiaTheme="minorEastAsia" w:hAnsi="Arial" w:cs="Arial"/>
            <w:sz w:val="16"/>
            <w:szCs w:val="16"/>
            <w:lang w:eastAsia="zh-CN"/>
          </w:rPr>
          <w:t>https://tra-website-prod-01.s3-me-south-1.amazonaws.com/Media/Documents/Position_Papers_&amp;_Guidelines/20210121133657774_dneqzrom_vay.pdf</w:t>
        </w:r>
      </w:hyperlink>
      <w:r w:rsidR="00A13CF3" w:rsidRPr="00F71292">
        <w:rPr>
          <w:rStyle w:val="Hyperlink"/>
          <w:rFonts w:eastAsiaTheme="minorEastAsia"/>
          <w:color w:val="000000" w:themeColor="text1"/>
          <w:szCs w:val="24"/>
          <w:u w:val="none"/>
          <w:lang w:eastAsia="zh-CN"/>
        </w:rPr>
        <w:t>&gt;</w:t>
      </w:r>
      <w:r w:rsidR="00CA08AD">
        <w:rPr>
          <w:rFonts w:eastAsiaTheme="minorEastAsia"/>
          <w:lang w:eastAsia="zh-CN"/>
        </w:rPr>
        <w:t xml:space="preserve"> </w:t>
      </w:r>
    </w:p>
    <w:p w14:paraId="500BAA80" w14:textId="11C10DDB"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sidRPr="00EE10E8">
        <w:t>[</w:t>
      </w:r>
      <w:r>
        <w:t>b-</w:t>
      </w:r>
      <w:r w:rsidRPr="000C5E5A">
        <w:rPr>
          <w:rFonts w:eastAsiaTheme="minorEastAsia"/>
          <w:lang w:eastAsia="zh-CN"/>
        </w:rPr>
        <w:t>TRAI</w:t>
      </w:r>
      <w:r w:rsidR="00CF6531">
        <w:rPr>
          <w:rFonts w:eastAsiaTheme="minorEastAsia"/>
          <w:lang w:eastAsia="zh-CN"/>
        </w:rPr>
        <w:t>-</w:t>
      </w:r>
      <w:r>
        <w:rPr>
          <w:rFonts w:eastAsiaTheme="minorEastAsia"/>
          <w:lang w:eastAsia="zh-CN"/>
        </w:rPr>
        <w:t>2023</w:t>
      </w:r>
      <w:r w:rsidRPr="00EE10E8">
        <w:t>]</w:t>
      </w:r>
      <w:r w:rsidR="001E079F">
        <w:rPr>
          <w:rFonts w:eastAsiaTheme="minorEastAsia"/>
          <w:lang w:eastAsia="zh-CN"/>
        </w:rPr>
        <w:tab/>
      </w:r>
      <w:r w:rsidR="00CF6531">
        <w:rPr>
          <w:rFonts w:eastAsiaTheme="minorEastAsia"/>
          <w:lang w:eastAsia="zh-CN"/>
        </w:rPr>
        <w:tab/>
      </w:r>
      <w:r w:rsidR="000C5E5A" w:rsidRPr="000C5E5A">
        <w:rPr>
          <w:rFonts w:eastAsiaTheme="minorEastAsia"/>
          <w:lang w:eastAsia="zh-CN"/>
        </w:rPr>
        <w:t>TRAI (2023)</w:t>
      </w:r>
      <w:r w:rsidR="0021650A">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Consultation Paper on Regulatory Mechanism for Over-The-Top (OTT) Communication Services, and Selective Banning of OTT Services. </w:t>
      </w:r>
      <w:r w:rsidR="00CF6531">
        <w:rPr>
          <w:rFonts w:eastAsiaTheme="minorEastAsia"/>
          <w:i/>
          <w:iCs/>
          <w:lang w:eastAsia="zh-CN"/>
        </w:rPr>
        <w:br/>
      </w:r>
      <w:r w:rsidR="00A13CF3">
        <w:rPr>
          <w:rFonts w:eastAsiaTheme="minorEastAsia"/>
          <w:lang w:eastAsia="zh-CN"/>
        </w:rPr>
        <w:t>&lt;</w:t>
      </w:r>
      <w:hyperlink r:id="rId67" w:history="1">
        <w:r w:rsidR="00A13CF3" w:rsidRPr="00A13CF3">
          <w:rPr>
            <w:rStyle w:val="Hyperlink"/>
            <w:rFonts w:ascii="Arial" w:eastAsiaTheme="minorEastAsia" w:hAnsi="Arial" w:cs="Arial"/>
            <w:sz w:val="16"/>
            <w:szCs w:val="16"/>
            <w:lang w:eastAsia="zh-CN"/>
          </w:rPr>
          <w:t>https://www.trai.gov.in/consultation-paper-regulatory-mechanism-over-top-ott-communication-services-and-selective-banning</w:t>
        </w:r>
      </w:hyperlink>
      <w:r w:rsidR="00A13CF3" w:rsidRPr="00F71292">
        <w:rPr>
          <w:rFonts w:eastAsiaTheme="minorEastAsia"/>
          <w:color w:val="000000" w:themeColor="text1"/>
          <w:szCs w:val="24"/>
          <w:lang w:eastAsia="zh-CN"/>
        </w:rPr>
        <w:t>&gt;</w:t>
      </w:r>
      <w:r w:rsidR="00CA08AD">
        <w:rPr>
          <w:rFonts w:eastAsiaTheme="minorEastAsia"/>
          <w:lang w:eastAsia="zh-CN"/>
        </w:rPr>
        <w:t xml:space="preserve"> </w:t>
      </w:r>
    </w:p>
    <w:p w14:paraId="6A98E2C3" w14:textId="363D557D"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sidRPr="00EE10E8">
        <w:t>[</w:t>
      </w:r>
      <w:r>
        <w:t>b-</w:t>
      </w:r>
      <w:r w:rsidRPr="000C5E5A">
        <w:rPr>
          <w:rFonts w:eastAsiaTheme="minorEastAsia"/>
          <w:lang w:eastAsia="zh-CN"/>
        </w:rPr>
        <w:t>UK Parliament</w:t>
      </w:r>
      <w:r w:rsidRPr="00EE10E8">
        <w:t>]</w:t>
      </w:r>
      <w:r w:rsidR="00CF6531">
        <w:tab/>
      </w:r>
      <w:r w:rsidR="001E079F">
        <w:rPr>
          <w:rFonts w:eastAsiaTheme="minorEastAsia"/>
          <w:lang w:eastAsia="zh-CN"/>
        </w:rPr>
        <w:tab/>
      </w:r>
      <w:r w:rsidR="000C5E5A" w:rsidRPr="000C5E5A">
        <w:rPr>
          <w:rFonts w:eastAsiaTheme="minorEastAsia"/>
          <w:lang w:eastAsia="zh-CN"/>
        </w:rPr>
        <w:t xml:space="preserve">UK Parliament (2023, September 22). </w:t>
      </w:r>
      <w:r w:rsidR="000C5E5A" w:rsidRPr="00A9449B">
        <w:rPr>
          <w:rFonts w:eastAsiaTheme="minorEastAsia"/>
          <w:i/>
          <w:iCs/>
          <w:lang w:eastAsia="zh-CN"/>
        </w:rPr>
        <w:t xml:space="preserve">Draft Media Bill: Final Report. </w:t>
      </w:r>
      <w:r w:rsidR="00CF6531">
        <w:rPr>
          <w:rFonts w:eastAsiaTheme="minorEastAsia"/>
          <w:i/>
          <w:iCs/>
          <w:lang w:eastAsia="zh-CN"/>
        </w:rPr>
        <w:br/>
      </w:r>
      <w:r w:rsidR="00A13CF3">
        <w:t>&lt;</w:t>
      </w:r>
      <w:hyperlink r:id="rId68" w:history="1">
        <w:r w:rsidR="00A13CF3" w:rsidRPr="00A13CF3">
          <w:rPr>
            <w:rStyle w:val="Hyperlink"/>
            <w:rFonts w:ascii="Arial" w:eastAsiaTheme="minorEastAsia" w:hAnsi="Arial" w:cs="Arial"/>
            <w:sz w:val="16"/>
            <w:szCs w:val="16"/>
            <w:lang w:eastAsia="zh-CN"/>
          </w:rPr>
          <w:t>https://publications.parliament.uk/pa/cm5803/cmselect/cmcumeds/1807/report.html</w:t>
        </w:r>
      </w:hyperlink>
      <w:r w:rsidR="00A13CF3" w:rsidRPr="00F71292">
        <w:rPr>
          <w:rStyle w:val="Hyperlink"/>
          <w:rFonts w:eastAsiaTheme="minorEastAsia"/>
          <w:color w:val="000000" w:themeColor="text1"/>
          <w:szCs w:val="24"/>
          <w:u w:val="none"/>
          <w:lang w:eastAsia="zh-CN"/>
        </w:rPr>
        <w:t>&gt;</w:t>
      </w:r>
      <w:r w:rsidR="00CA08AD">
        <w:rPr>
          <w:rFonts w:eastAsiaTheme="minorEastAsia"/>
          <w:lang w:eastAsia="zh-CN"/>
        </w:rPr>
        <w:t xml:space="preserve"> </w:t>
      </w:r>
    </w:p>
    <w:p w14:paraId="0640531F" w14:textId="6C855EB7" w:rsidR="000C5E5A" w:rsidRPr="00F02EAD" w:rsidRDefault="006E12D8" w:rsidP="00495D90">
      <w:pPr>
        <w:pStyle w:val="Reftext"/>
        <w:tabs>
          <w:tab w:val="clear" w:pos="1191"/>
          <w:tab w:val="clear" w:pos="1588"/>
          <w:tab w:val="clear" w:pos="1985"/>
          <w:tab w:val="left" w:pos="2835"/>
        </w:tabs>
        <w:ind w:left="2835" w:hanging="2835"/>
        <w:rPr>
          <w:rFonts w:eastAsiaTheme="minorEastAsia"/>
          <w:lang w:val="it-IT" w:eastAsia="zh-CN"/>
        </w:rPr>
      </w:pPr>
      <w:r>
        <w:rPr>
          <w:rFonts w:eastAsiaTheme="minorEastAsia"/>
          <w:lang w:eastAsia="zh-CN"/>
        </w:rPr>
        <w:t>[b-</w:t>
      </w:r>
      <w:r w:rsidRPr="006E12D8">
        <w:rPr>
          <w:rFonts w:eastAsiaTheme="minorEastAsia"/>
          <w:lang w:eastAsia="zh-CN"/>
        </w:rPr>
        <w:t>UK Parliament</w:t>
      </w:r>
      <w:r>
        <w:rPr>
          <w:rFonts w:eastAsiaTheme="minorEastAsia"/>
          <w:lang w:eastAsia="zh-CN"/>
        </w:rPr>
        <w:t>]</w:t>
      </w:r>
      <w:r w:rsidR="001E079F">
        <w:rPr>
          <w:rFonts w:eastAsiaTheme="minorEastAsia"/>
          <w:lang w:eastAsia="zh-CN"/>
        </w:rPr>
        <w:tab/>
      </w:r>
      <w:r w:rsidR="00CF6531">
        <w:rPr>
          <w:rFonts w:eastAsiaTheme="minorEastAsia"/>
          <w:lang w:eastAsia="zh-CN"/>
        </w:rPr>
        <w:tab/>
      </w:r>
      <w:r w:rsidR="000C5E5A" w:rsidRPr="000C5E5A">
        <w:rPr>
          <w:rFonts w:eastAsiaTheme="minorEastAsia"/>
          <w:lang w:eastAsia="zh-CN"/>
        </w:rPr>
        <w:t>UK Parliament (2023)</w:t>
      </w:r>
      <w:r w:rsidR="0021650A">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Media Bill Overarching Impact Assessment. </w:t>
      </w:r>
      <w:r w:rsidR="000C5E5A" w:rsidRPr="00F02EAD">
        <w:rPr>
          <w:rFonts w:eastAsiaTheme="minorEastAsia"/>
          <w:i/>
          <w:iCs/>
          <w:lang w:val="it-IT" w:eastAsia="zh-CN"/>
        </w:rPr>
        <w:t xml:space="preserve">UK Parliament. </w:t>
      </w:r>
      <w:r w:rsidR="00CF6531" w:rsidRPr="00F02EAD">
        <w:rPr>
          <w:rFonts w:eastAsiaTheme="minorEastAsia"/>
          <w:i/>
          <w:iCs/>
          <w:lang w:val="it-IT" w:eastAsia="zh-CN"/>
        </w:rPr>
        <w:br/>
      </w:r>
      <w:r w:rsidR="00A13CF3" w:rsidRPr="00F02EAD">
        <w:rPr>
          <w:rFonts w:eastAsiaTheme="minorEastAsia"/>
          <w:i/>
          <w:iCs/>
          <w:lang w:val="it-IT" w:eastAsia="zh-CN"/>
        </w:rPr>
        <w:t>&lt;</w:t>
      </w:r>
      <w:hyperlink r:id="rId69" w:history="1">
        <w:r w:rsidR="00A13CF3" w:rsidRPr="00F02EAD">
          <w:rPr>
            <w:rStyle w:val="Hyperlink"/>
            <w:rFonts w:ascii="Arial" w:eastAsiaTheme="minorEastAsia" w:hAnsi="Arial" w:cs="Arial"/>
            <w:sz w:val="16"/>
            <w:szCs w:val="16"/>
            <w:lang w:val="it-IT" w:eastAsia="zh-CN"/>
          </w:rPr>
          <w:t>https://publications.parliament.uk/pa/bills/cbill/58-04/0008/MediaOverarchingIA.pdf</w:t>
        </w:r>
      </w:hyperlink>
      <w:r w:rsidR="00A13CF3" w:rsidRPr="00F02EAD">
        <w:rPr>
          <w:rFonts w:eastAsiaTheme="minorEastAsia"/>
          <w:color w:val="000000" w:themeColor="text1"/>
          <w:szCs w:val="24"/>
          <w:lang w:val="it-IT" w:eastAsia="zh-CN"/>
        </w:rPr>
        <w:t>&gt;</w:t>
      </w:r>
      <w:r w:rsidR="00CA08AD" w:rsidRPr="00F02EAD">
        <w:rPr>
          <w:rFonts w:eastAsiaTheme="minorEastAsia"/>
          <w:lang w:val="it-IT" w:eastAsia="zh-CN"/>
        </w:rPr>
        <w:t xml:space="preserve"> </w:t>
      </w:r>
    </w:p>
    <w:p w14:paraId="6CC17E89" w14:textId="538F893E"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Pr>
          <w:rFonts w:eastAsiaTheme="minorEastAsia"/>
          <w:lang w:eastAsia="zh-CN"/>
        </w:rPr>
        <w:t>[b-</w:t>
      </w:r>
      <w:r w:rsidRPr="006E12D8">
        <w:rPr>
          <w:rFonts w:eastAsiaTheme="minorEastAsia"/>
          <w:lang w:eastAsia="zh-CN"/>
        </w:rPr>
        <w:t>URCA</w:t>
      </w:r>
      <w:r w:rsidR="00CF6531">
        <w:rPr>
          <w:rFonts w:eastAsiaTheme="minorEastAsia"/>
          <w:lang w:eastAsia="zh-CN"/>
        </w:rPr>
        <w:t>-</w:t>
      </w:r>
      <w:r>
        <w:rPr>
          <w:rFonts w:eastAsiaTheme="minorEastAsia"/>
          <w:lang w:eastAsia="zh-CN"/>
        </w:rPr>
        <w:t>2018]</w:t>
      </w:r>
      <w:r w:rsidR="001E079F">
        <w:rPr>
          <w:rFonts w:eastAsiaTheme="minorEastAsia"/>
          <w:lang w:eastAsia="zh-CN"/>
        </w:rPr>
        <w:tab/>
      </w:r>
      <w:r w:rsidR="00CF6531">
        <w:rPr>
          <w:rFonts w:eastAsiaTheme="minorEastAsia"/>
          <w:lang w:eastAsia="zh-CN"/>
        </w:rPr>
        <w:tab/>
      </w:r>
      <w:r w:rsidR="000C5E5A" w:rsidRPr="000C5E5A">
        <w:rPr>
          <w:rFonts w:eastAsiaTheme="minorEastAsia"/>
          <w:lang w:eastAsia="zh-CN"/>
        </w:rPr>
        <w:t>URCA (2018)</w:t>
      </w:r>
      <w:r w:rsidR="0021650A">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ECS 12/2018 Statement of Results and Final Determination on Net Neutrality and OTT Services. </w:t>
      </w:r>
      <w:r w:rsidR="00CF6531">
        <w:rPr>
          <w:rFonts w:eastAsiaTheme="minorEastAsia"/>
          <w:i/>
          <w:iCs/>
          <w:lang w:eastAsia="zh-CN"/>
        </w:rPr>
        <w:br/>
      </w:r>
      <w:r w:rsidR="00342B29">
        <w:t>&lt;</w:t>
      </w:r>
      <w:hyperlink r:id="rId70" w:history="1">
        <w:r w:rsidR="00342B29" w:rsidRPr="00342B29">
          <w:rPr>
            <w:rStyle w:val="Hyperlink"/>
            <w:rFonts w:ascii="Arial" w:eastAsiaTheme="minorEastAsia" w:hAnsi="Arial" w:cs="Arial"/>
            <w:sz w:val="16"/>
            <w:szCs w:val="16"/>
            <w:lang w:eastAsia="zh-CN"/>
          </w:rPr>
          <w:t>https://www.urcabahamas.bs/consultations/ecs-12-2018-statement-of-results-and-final-determination-on-net-neutrality-and-ott-services/</w:t>
        </w:r>
      </w:hyperlink>
      <w:r w:rsidR="00342B29" w:rsidRPr="00F71292">
        <w:rPr>
          <w:rFonts w:eastAsiaTheme="minorEastAsia"/>
          <w:szCs w:val="24"/>
          <w:lang w:eastAsia="zh-CN"/>
        </w:rPr>
        <w:t>&gt;</w:t>
      </w:r>
      <w:r w:rsidR="00CA08AD" w:rsidRPr="00CA08AD">
        <w:rPr>
          <w:rStyle w:val="Hyperlink"/>
          <w:rFonts w:ascii="Arial" w:eastAsiaTheme="minorEastAsia" w:hAnsi="Arial" w:cs="Arial"/>
          <w:sz w:val="16"/>
          <w:szCs w:val="16"/>
        </w:rPr>
        <w:t xml:space="preserve"> </w:t>
      </w:r>
    </w:p>
    <w:p w14:paraId="56204966" w14:textId="05C5ACED"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Pr>
          <w:rFonts w:eastAsiaTheme="minorEastAsia"/>
          <w:lang w:eastAsia="zh-CN"/>
        </w:rPr>
        <w:t>[b-</w:t>
      </w:r>
      <w:r w:rsidRPr="006E12D8">
        <w:rPr>
          <w:rFonts w:eastAsiaTheme="minorEastAsia"/>
          <w:lang w:eastAsia="zh-CN"/>
        </w:rPr>
        <w:t>URCA</w:t>
      </w:r>
      <w:r w:rsidR="00CF6531">
        <w:rPr>
          <w:rFonts w:eastAsiaTheme="minorEastAsia"/>
          <w:lang w:eastAsia="zh-CN"/>
        </w:rPr>
        <w:t>-</w:t>
      </w:r>
      <w:r>
        <w:rPr>
          <w:rFonts w:eastAsiaTheme="minorEastAsia"/>
          <w:lang w:eastAsia="zh-CN"/>
        </w:rPr>
        <w:t>2022]</w:t>
      </w:r>
      <w:r w:rsidR="001E079F">
        <w:rPr>
          <w:rFonts w:eastAsiaTheme="minorEastAsia"/>
          <w:lang w:eastAsia="zh-CN"/>
        </w:rPr>
        <w:tab/>
      </w:r>
      <w:r w:rsidR="00CF6531">
        <w:rPr>
          <w:rFonts w:eastAsiaTheme="minorEastAsia"/>
          <w:lang w:eastAsia="zh-CN"/>
        </w:rPr>
        <w:tab/>
      </w:r>
      <w:r w:rsidR="000C5E5A" w:rsidRPr="000C5E5A">
        <w:rPr>
          <w:rFonts w:eastAsiaTheme="minorEastAsia"/>
          <w:lang w:eastAsia="zh-CN"/>
        </w:rPr>
        <w:t>URCA (2022)</w:t>
      </w:r>
      <w:r w:rsidR="0021650A">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Retail Cellular Mobile Market Review and Assessment under Section 39(1) and (2) of the Communications Act, 2009. Utilities Regulation and Competition Authority. </w:t>
      </w:r>
      <w:r w:rsidR="00CF6531">
        <w:rPr>
          <w:rFonts w:eastAsiaTheme="minorEastAsia"/>
          <w:lang w:eastAsia="zh-CN"/>
        </w:rPr>
        <w:br/>
      </w:r>
      <w:r w:rsidR="00342B29">
        <w:t>&lt;</w:t>
      </w:r>
      <w:hyperlink r:id="rId71" w:history="1">
        <w:r w:rsidR="00342B29" w:rsidRPr="00342B29">
          <w:rPr>
            <w:rStyle w:val="Hyperlink"/>
            <w:rFonts w:ascii="Arial" w:eastAsiaTheme="minorEastAsia" w:hAnsi="Arial" w:cs="Arial"/>
            <w:sz w:val="16"/>
            <w:szCs w:val="16"/>
            <w:lang w:eastAsia="zh-CN"/>
          </w:rPr>
          <w:t>https://www.urcabahamas.bs/wp-content/uploads/2022/07/Final-Determination-Retail-Cellular-Mobile-Market-Review-Under-S.39-of-the-Comms-Act-2009-15-July-2022.pdf</w:t>
        </w:r>
      </w:hyperlink>
      <w:r w:rsidR="00342B29" w:rsidRPr="00F71292">
        <w:rPr>
          <w:rFonts w:eastAsiaTheme="minorEastAsia"/>
          <w:szCs w:val="24"/>
          <w:lang w:eastAsia="zh-CN"/>
        </w:rPr>
        <w:t>&gt;</w:t>
      </w:r>
      <w:r w:rsidR="00CA08AD">
        <w:rPr>
          <w:rFonts w:eastAsiaTheme="minorEastAsia"/>
          <w:lang w:eastAsia="zh-CN"/>
        </w:rPr>
        <w:t xml:space="preserve"> </w:t>
      </w:r>
    </w:p>
    <w:p w14:paraId="11C81ECB" w14:textId="7211C847" w:rsidR="000C5E5A" w:rsidRPr="000C5E5A" w:rsidRDefault="006E12D8" w:rsidP="00495D90">
      <w:pPr>
        <w:pStyle w:val="Reftext"/>
        <w:tabs>
          <w:tab w:val="clear" w:pos="1191"/>
          <w:tab w:val="clear" w:pos="1588"/>
          <w:tab w:val="clear" w:pos="1985"/>
          <w:tab w:val="left" w:pos="2835"/>
        </w:tabs>
        <w:ind w:left="2835" w:hanging="2835"/>
        <w:rPr>
          <w:rFonts w:eastAsiaTheme="minorEastAsia"/>
          <w:lang w:eastAsia="zh-CN"/>
        </w:rPr>
      </w:pPr>
      <w:r>
        <w:rPr>
          <w:rFonts w:eastAsiaTheme="minorEastAsia"/>
          <w:lang w:eastAsia="zh-CN"/>
        </w:rPr>
        <w:t>[b-</w:t>
      </w:r>
      <w:r w:rsidRPr="006E12D8">
        <w:rPr>
          <w:rFonts w:eastAsiaTheme="minorEastAsia"/>
          <w:lang w:eastAsia="zh-CN"/>
        </w:rPr>
        <w:t>URCA</w:t>
      </w:r>
      <w:r w:rsidR="00CF6531">
        <w:rPr>
          <w:rFonts w:eastAsiaTheme="minorEastAsia"/>
          <w:lang w:eastAsia="zh-CN"/>
        </w:rPr>
        <w:t>-</w:t>
      </w:r>
      <w:r>
        <w:rPr>
          <w:rFonts w:eastAsiaTheme="minorEastAsia"/>
          <w:lang w:eastAsia="zh-CN"/>
        </w:rPr>
        <w:t>2024]</w:t>
      </w:r>
      <w:r w:rsidR="001E079F">
        <w:rPr>
          <w:rFonts w:eastAsiaTheme="minorEastAsia"/>
          <w:lang w:eastAsia="zh-CN"/>
        </w:rPr>
        <w:tab/>
      </w:r>
      <w:r w:rsidR="00CF6531">
        <w:rPr>
          <w:rFonts w:eastAsiaTheme="minorEastAsia"/>
          <w:lang w:eastAsia="zh-CN"/>
        </w:rPr>
        <w:tab/>
      </w:r>
      <w:r w:rsidR="000C5E5A" w:rsidRPr="000C5E5A">
        <w:rPr>
          <w:rFonts w:eastAsiaTheme="minorEastAsia"/>
          <w:lang w:eastAsia="zh-CN"/>
        </w:rPr>
        <w:t>URCA (2024)</w:t>
      </w:r>
      <w:r w:rsidR="0021650A">
        <w:rPr>
          <w:rFonts w:eastAsiaTheme="minorEastAsia"/>
          <w:lang w:eastAsia="zh-CN"/>
        </w:rPr>
        <w:t>,</w:t>
      </w:r>
      <w:r w:rsidR="000C5E5A" w:rsidRPr="000C5E5A">
        <w:rPr>
          <w:rFonts w:eastAsiaTheme="minorEastAsia"/>
          <w:lang w:eastAsia="zh-CN"/>
        </w:rPr>
        <w:t xml:space="preserve"> </w:t>
      </w:r>
      <w:r w:rsidR="000C5E5A" w:rsidRPr="00A9449B">
        <w:rPr>
          <w:rFonts w:eastAsiaTheme="minorEastAsia"/>
          <w:i/>
          <w:iCs/>
          <w:lang w:eastAsia="zh-CN"/>
        </w:rPr>
        <w:t xml:space="preserve">Retail Fixed Market Review and Assessment under Section 39(1) and (2) of the Communications Act, 2009, Preliminary Determination. Utilities Regulation &amp; Competition Authority. </w:t>
      </w:r>
      <w:r w:rsidR="00CF6531">
        <w:rPr>
          <w:rFonts w:eastAsiaTheme="minorEastAsia"/>
          <w:lang w:eastAsia="zh-CN"/>
        </w:rPr>
        <w:br/>
      </w:r>
      <w:r w:rsidR="00342B29">
        <w:t>&lt;</w:t>
      </w:r>
      <w:hyperlink r:id="rId72" w:history="1">
        <w:r w:rsidR="00342B29" w:rsidRPr="00342B29">
          <w:rPr>
            <w:rStyle w:val="Hyperlink"/>
            <w:rFonts w:ascii="Arial" w:eastAsiaTheme="minorEastAsia" w:hAnsi="Arial" w:cs="Arial"/>
            <w:sz w:val="16"/>
            <w:szCs w:val="16"/>
            <w:lang w:eastAsia="zh-CN"/>
          </w:rPr>
          <w:t>https://urcabahamas.bs/wp-content/uploads/2024/03/Preliminary-Determination-Retail-Fixed-Market-Review-28Feb2024-Redacted-Version-1.pdf</w:t>
        </w:r>
      </w:hyperlink>
      <w:r w:rsidR="00342B29" w:rsidRPr="00F71292">
        <w:rPr>
          <w:rFonts w:eastAsiaTheme="minorEastAsia"/>
          <w:szCs w:val="24"/>
          <w:lang w:eastAsia="zh-CN"/>
        </w:rPr>
        <w:t>&gt;</w:t>
      </w:r>
      <w:r w:rsidR="00CA08AD">
        <w:rPr>
          <w:rFonts w:eastAsiaTheme="minorEastAsia"/>
          <w:lang w:eastAsia="zh-CN"/>
        </w:rPr>
        <w:t xml:space="preserve"> </w:t>
      </w:r>
    </w:p>
    <w:p w14:paraId="67F4AD2E" w14:textId="57A8BDF8" w:rsidR="0043521E" w:rsidRPr="00F508BE" w:rsidRDefault="0043521E" w:rsidP="00F508BE">
      <w:pPr>
        <w:rPr>
          <w:lang w:eastAsia="zh-CN"/>
        </w:rPr>
      </w:pPr>
    </w:p>
    <w:p w14:paraId="4CDA301D" w14:textId="773A7A5C" w:rsidR="00741F7E" w:rsidRPr="00CF6531" w:rsidRDefault="0043521E" w:rsidP="00CF6531">
      <w:pPr>
        <w:jc w:val="center"/>
      </w:pPr>
      <w:r>
        <w:t>___________</w:t>
      </w:r>
      <w:bookmarkEnd w:id="0"/>
    </w:p>
    <w:sectPr w:rsidR="00741F7E" w:rsidRPr="00CF6531" w:rsidSect="00E62551">
      <w:headerReference w:type="default" r:id="rId73"/>
      <w:footerReference w:type="even" r:id="rId74"/>
      <w:footerReference w:type="default" r:id="rId75"/>
      <w:headerReference w:type="first" r:id="rId76"/>
      <w:footerReference w:type="first" r:id="rId77"/>
      <w:pgSz w:w="11907" w:h="16840"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2A4E8" w14:textId="77777777" w:rsidR="00137EA8" w:rsidRDefault="00137EA8">
      <w:r>
        <w:separator/>
      </w:r>
    </w:p>
  </w:endnote>
  <w:endnote w:type="continuationSeparator" w:id="0">
    <w:p w14:paraId="729B44BD" w14:textId="77777777" w:rsidR="00137EA8" w:rsidRDefault="00137EA8">
      <w:r>
        <w:continuationSeparator/>
      </w:r>
    </w:p>
  </w:endnote>
  <w:endnote w:type="continuationNotice" w:id="1">
    <w:p w14:paraId="7200BA7B" w14:textId="77777777" w:rsidR="00137EA8" w:rsidRDefault="00137EA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venir Next W1G Medium">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2E4F" w14:textId="77777777" w:rsidR="008A5C33" w:rsidRDefault="008A5C3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442C" w14:textId="77777777" w:rsidR="008A5C33" w:rsidRPr="008F0E27" w:rsidRDefault="008A5C33" w:rsidP="008F0E27">
    <w:pPr>
      <w:pStyle w:val="Footer"/>
      <w:tabs>
        <w:tab w:val="clear" w:pos="5954"/>
        <w:tab w:val="left" w:pos="851"/>
        <w:tab w:val="right" w:pos="9072"/>
      </w:tabs>
      <w:jc w:val="left"/>
      <w:rPr>
        <w:b/>
        <w:bCs/>
      </w:rPr>
    </w:pPr>
    <w:r w:rsidRPr="00926B6C">
      <w:fldChar w:fldCharType="begin"/>
    </w:r>
    <w:r w:rsidRPr="00926B6C">
      <w:instrText xml:space="preserve"> PAGE </w:instrText>
    </w:r>
    <w:r w:rsidRPr="00926B6C">
      <w:fldChar w:fldCharType="separate"/>
    </w:r>
    <w:r>
      <w:t>ii</w:t>
    </w:r>
    <w:r w:rsidRPr="00926B6C">
      <w:fldChar w:fldCharType="end"/>
    </w:r>
    <w:r>
      <w:tab/>
    </w:r>
    <w:r>
      <w:rPr>
        <w:b/>
        <w:bCs/>
      </w:rPr>
      <w:t>DSTR-OTTR</w:t>
    </w:r>
    <w:r>
      <w:rPr>
        <w:b/>
        <w:bCs/>
        <w:caps w:val="0"/>
      </w:rPr>
      <w:t>eporting</w:t>
    </w:r>
    <w:r>
      <w:rPr>
        <w:rFonts w:eastAsiaTheme="minorEastAsia"/>
        <w:b/>
        <w:bCs/>
        <w:caps w:val="0"/>
        <w:lang w:eastAsia="zh-CN"/>
      </w:rPr>
      <w:t xml:space="preserve"> </w:t>
    </w:r>
    <w:r>
      <w:rPr>
        <w:rFonts w:eastAsiaTheme="minorEastAsia" w:hint="eastAsia"/>
        <w:b/>
        <w:bCs/>
        <w:lang w:eastAsia="zh-CN"/>
      </w:rPr>
      <w:t>(2025-11)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2196" w14:textId="4BFFAE6E" w:rsidR="00A64905" w:rsidRPr="00044DBA" w:rsidRDefault="00044DBA" w:rsidP="00044DBA">
    <w:pPr>
      <w:pStyle w:val="Footer"/>
      <w:tabs>
        <w:tab w:val="clear" w:pos="5954"/>
        <w:tab w:val="right" w:pos="8789"/>
      </w:tabs>
      <w:jc w:val="right"/>
      <w:rPr>
        <w:b/>
        <w:bCs/>
      </w:rPr>
    </w:pPr>
    <w:r w:rsidRPr="00926B6C">
      <w:rPr>
        <w:b/>
        <w:bCs/>
      </w:rPr>
      <w:tab/>
    </w:r>
    <w:r w:rsidR="006E53C0">
      <w:rPr>
        <w:b/>
        <w:bCs/>
      </w:rPr>
      <w:t>DSTR-OTTR</w:t>
    </w:r>
    <w:r w:rsidR="006E53C0">
      <w:rPr>
        <w:b/>
        <w:bCs/>
        <w:caps w:val="0"/>
      </w:rPr>
      <w:t>eporting</w:t>
    </w:r>
    <w:r w:rsidR="006E53C0">
      <w:rPr>
        <w:rFonts w:eastAsiaTheme="minorEastAsia"/>
        <w:b/>
        <w:bCs/>
        <w:caps w:val="0"/>
        <w:lang w:eastAsia="zh-CN"/>
      </w:rPr>
      <w:t xml:space="preserve"> </w:t>
    </w:r>
    <w:r w:rsidR="006E53C0">
      <w:rPr>
        <w:rFonts w:eastAsiaTheme="minorEastAsia" w:hint="eastAsia"/>
        <w:b/>
        <w:bCs/>
        <w:lang w:eastAsia="zh-CN"/>
      </w:rPr>
      <w:t>(2025-11)</w:t>
    </w:r>
    <w:r w:rsidRPr="00926B6C">
      <w:rPr>
        <w:b/>
        <w:bCs/>
      </w:rPr>
      <w:tab/>
    </w:r>
    <w:r w:rsidRPr="00926B6C">
      <w:fldChar w:fldCharType="begin"/>
    </w:r>
    <w:r w:rsidRPr="00926B6C">
      <w:instrText xml:space="preserve"> PAGE </w:instrText>
    </w:r>
    <w:r w:rsidRPr="00926B6C">
      <w:fldChar w:fldCharType="separate"/>
    </w:r>
    <w:r>
      <w:t>9</w:t>
    </w:r>
    <w:r w:rsidRPr="00926B6C">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BA59" w14:textId="2863F811" w:rsidR="00457E54" w:rsidRPr="00457E54" w:rsidRDefault="008A5C33" w:rsidP="00457E54">
    <w:pPr>
      <w:pStyle w:val="Footer"/>
      <w:tabs>
        <w:tab w:val="clear" w:pos="5954"/>
        <w:tab w:val="left" w:pos="851"/>
        <w:tab w:val="right" w:pos="9072"/>
      </w:tabs>
      <w:jc w:val="left"/>
      <w:rPr>
        <w:b/>
        <w:bCs/>
      </w:rPr>
    </w:pPr>
    <w:r>
      <w:tab/>
    </w:r>
    <w:r w:rsidR="00457E54">
      <w:tab/>
    </w:r>
    <w:r w:rsidR="006E53C0">
      <w:rPr>
        <w:b/>
        <w:bCs/>
      </w:rPr>
      <w:t>DSTR-OTTR</w:t>
    </w:r>
    <w:r w:rsidR="006E53C0">
      <w:rPr>
        <w:b/>
        <w:bCs/>
        <w:caps w:val="0"/>
      </w:rPr>
      <w:t>eporting</w:t>
    </w:r>
    <w:r w:rsidR="006E53C0">
      <w:rPr>
        <w:rFonts w:eastAsiaTheme="minorEastAsia"/>
        <w:b/>
        <w:bCs/>
        <w:caps w:val="0"/>
        <w:lang w:eastAsia="zh-CN"/>
      </w:rPr>
      <w:t xml:space="preserve"> </w:t>
    </w:r>
    <w:r w:rsidR="006E53C0">
      <w:rPr>
        <w:rFonts w:eastAsiaTheme="minorEastAsia" w:hint="eastAsia"/>
        <w:b/>
        <w:bCs/>
        <w:lang w:eastAsia="zh-CN"/>
      </w:rPr>
      <w:t>(2025-11)</w:t>
    </w:r>
    <w:r>
      <w:rPr>
        <w:rFonts w:eastAsiaTheme="minorEastAsia"/>
        <w:b/>
        <w:bCs/>
        <w:lang w:eastAsia="zh-CN"/>
      </w:rPr>
      <w:tab/>
    </w:r>
    <w:r w:rsidRPr="00926B6C">
      <w:fldChar w:fldCharType="begin"/>
    </w:r>
    <w:r w:rsidRPr="00926B6C">
      <w:instrText xml:space="preserve"> PAGE </w:instrText>
    </w:r>
    <w:r w:rsidRPr="00926B6C">
      <w:fldChar w:fldCharType="separate"/>
    </w:r>
    <w:r>
      <w:t>13</w:t>
    </w:r>
    <w:r w:rsidRPr="00926B6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1F98" w14:textId="77777777" w:rsidR="0043521E" w:rsidRDefault="0043521E" w:rsidP="00CE6FB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DD4A" w14:textId="77777777" w:rsidR="008A5C33" w:rsidRDefault="008A5C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DBF4" w14:textId="4FCEB7BA" w:rsidR="0043521E" w:rsidRPr="008F0E27" w:rsidRDefault="0043521E" w:rsidP="008F0E27">
    <w:pPr>
      <w:pStyle w:val="Footer"/>
      <w:tabs>
        <w:tab w:val="clear" w:pos="5954"/>
        <w:tab w:val="left" w:pos="851"/>
        <w:tab w:val="right" w:pos="9072"/>
      </w:tabs>
      <w:jc w:val="left"/>
      <w:rPr>
        <w:b/>
        <w:bCs/>
      </w:rPr>
    </w:pPr>
    <w:r w:rsidRPr="00926B6C">
      <w:fldChar w:fldCharType="begin"/>
    </w:r>
    <w:r w:rsidRPr="00926B6C">
      <w:instrText xml:space="preserve"> PAGE </w:instrText>
    </w:r>
    <w:r w:rsidRPr="00926B6C">
      <w:fldChar w:fldCharType="separate"/>
    </w:r>
    <w:r>
      <w:t>ii</w:t>
    </w:r>
    <w:r w:rsidRPr="00926B6C">
      <w:fldChar w:fldCharType="end"/>
    </w:r>
    <w:r>
      <w:tab/>
    </w:r>
    <w:r w:rsidR="006E53C0">
      <w:rPr>
        <w:b/>
        <w:bCs/>
      </w:rPr>
      <w:t>DSTR-OTTR</w:t>
    </w:r>
    <w:r w:rsidR="006E53C0">
      <w:rPr>
        <w:b/>
        <w:bCs/>
        <w:caps w:val="0"/>
      </w:rPr>
      <w:t>eporting</w:t>
    </w:r>
    <w:r w:rsidR="006E53C0">
      <w:rPr>
        <w:rFonts w:eastAsiaTheme="minorEastAsia"/>
        <w:b/>
        <w:bCs/>
        <w:caps w:val="0"/>
        <w:lang w:eastAsia="zh-CN"/>
      </w:rPr>
      <w:t xml:space="preserve"> </w:t>
    </w:r>
    <w:r w:rsidR="006E53C0">
      <w:rPr>
        <w:rFonts w:eastAsiaTheme="minorEastAsia" w:hint="eastAsia"/>
        <w:b/>
        <w:bCs/>
        <w:lang w:eastAsia="zh-CN"/>
      </w:rPr>
      <w:t>(2025-11)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2526" w14:textId="3EB67AE3" w:rsidR="0043521E" w:rsidRPr="008F0E27" w:rsidRDefault="0043521E" w:rsidP="008F0E27">
    <w:pPr>
      <w:pStyle w:val="Footer"/>
      <w:tabs>
        <w:tab w:val="clear" w:pos="5954"/>
        <w:tab w:val="right" w:pos="8789"/>
      </w:tabs>
      <w:jc w:val="right"/>
      <w:rPr>
        <w:b/>
        <w:bCs/>
      </w:rPr>
    </w:pPr>
    <w:r w:rsidRPr="00926B6C">
      <w:rPr>
        <w:b/>
        <w:bCs/>
      </w:rPr>
      <w:tab/>
    </w:r>
    <w:r>
      <w:rPr>
        <w:b/>
        <w:bCs/>
      </w:rPr>
      <w:t>DSTR</w:t>
    </w:r>
    <w:r w:rsidR="006E53C0">
      <w:rPr>
        <w:b/>
        <w:bCs/>
      </w:rPr>
      <w:t>-</w:t>
    </w:r>
    <w:r>
      <w:rPr>
        <w:b/>
        <w:bCs/>
      </w:rPr>
      <w:t>OTTR</w:t>
    </w:r>
    <w:r w:rsidR="00033535">
      <w:rPr>
        <w:b/>
        <w:bCs/>
        <w:caps w:val="0"/>
      </w:rPr>
      <w:t>eporting</w:t>
    </w:r>
    <w:r w:rsidR="00033535">
      <w:rPr>
        <w:rFonts w:eastAsiaTheme="minorEastAsia"/>
        <w:b/>
        <w:bCs/>
        <w:caps w:val="0"/>
        <w:lang w:eastAsia="zh-CN"/>
      </w:rPr>
      <w:t xml:space="preserve"> </w:t>
    </w:r>
    <w:r w:rsidR="000C5E5A">
      <w:rPr>
        <w:rFonts w:eastAsiaTheme="minorEastAsia" w:hint="eastAsia"/>
        <w:b/>
        <w:bCs/>
        <w:lang w:eastAsia="zh-CN"/>
      </w:rPr>
      <w:t>(2025-11)</w:t>
    </w:r>
    <w:r w:rsidRPr="00926B6C">
      <w:rPr>
        <w:b/>
        <w:bCs/>
      </w:rPr>
      <w:tab/>
    </w:r>
    <w:r w:rsidRPr="00926B6C">
      <w:fldChar w:fldCharType="begin"/>
    </w:r>
    <w:r w:rsidRPr="00926B6C">
      <w:instrText xml:space="preserve"> PAGE </w:instrText>
    </w:r>
    <w:r w:rsidRPr="00926B6C">
      <w:fldChar w:fldCharType="separate"/>
    </w:r>
    <w:r>
      <w:t>i</w:t>
    </w:r>
    <w:r w:rsidRPr="00926B6C">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B13D" w14:textId="43A9D798" w:rsidR="000C5E5A" w:rsidRPr="000C5E5A" w:rsidRDefault="000C5E5A" w:rsidP="000C5E5A">
    <w:pPr>
      <w:pStyle w:val="Footer"/>
      <w:tabs>
        <w:tab w:val="clear" w:pos="5954"/>
        <w:tab w:val="right" w:pos="8789"/>
      </w:tabs>
      <w:jc w:val="right"/>
      <w:rPr>
        <w:rFonts w:eastAsiaTheme="minorEastAsia"/>
        <w:b/>
        <w:bCs/>
        <w:lang w:eastAsia="zh-CN"/>
      </w:rPr>
    </w:pPr>
    <w:r w:rsidRPr="00926B6C">
      <w:rPr>
        <w:b/>
        <w:bCs/>
      </w:rPr>
      <w:tab/>
    </w:r>
    <w:r w:rsidR="006E53C0">
      <w:rPr>
        <w:b/>
        <w:bCs/>
      </w:rPr>
      <w:t>DSTR-OTTR</w:t>
    </w:r>
    <w:r w:rsidR="006E53C0">
      <w:rPr>
        <w:b/>
        <w:bCs/>
        <w:caps w:val="0"/>
      </w:rPr>
      <w:t>eporting</w:t>
    </w:r>
    <w:r w:rsidR="006E53C0">
      <w:rPr>
        <w:rFonts w:eastAsiaTheme="minorEastAsia"/>
        <w:b/>
        <w:bCs/>
        <w:caps w:val="0"/>
        <w:lang w:eastAsia="zh-CN"/>
      </w:rPr>
      <w:t xml:space="preserve"> </w:t>
    </w:r>
    <w:r w:rsidR="006E53C0">
      <w:rPr>
        <w:rFonts w:eastAsiaTheme="minorEastAsia" w:hint="eastAsia"/>
        <w:b/>
        <w:bCs/>
        <w:lang w:eastAsia="zh-CN"/>
      </w:rPr>
      <w:t>(2025-11)</w:t>
    </w:r>
    <w:r w:rsidRPr="00926B6C">
      <w:rPr>
        <w:b/>
        <w:bCs/>
      </w:rPr>
      <w:tab/>
    </w:r>
    <w:r w:rsidRPr="00926B6C">
      <w:fldChar w:fldCharType="begin"/>
    </w:r>
    <w:r w:rsidRPr="00926B6C">
      <w:instrText xml:space="preserve"> PAGE </w:instrText>
    </w:r>
    <w:r w:rsidRPr="00926B6C">
      <w:fldChar w:fldCharType="separate"/>
    </w:r>
    <w:r>
      <w:t>i</w:t>
    </w:r>
    <w:r w:rsidRPr="00926B6C">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41D3" w14:textId="77777777" w:rsidR="008A5C33" w:rsidRPr="008F0E27" w:rsidRDefault="008A5C33" w:rsidP="008F0E27">
    <w:pPr>
      <w:pStyle w:val="Footer"/>
      <w:tabs>
        <w:tab w:val="clear" w:pos="5954"/>
        <w:tab w:val="left" w:pos="851"/>
        <w:tab w:val="right" w:pos="9072"/>
      </w:tabs>
      <w:jc w:val="left"/>
      <w:rPr>
        <w:b/>
        <w:bCs/>
      </w:rPr>
    </w:pPr>
    <w:r w:rsidRPr="00926B6C">
      <w:fldChar w:fldCharType="begin"/>
    </w:r>
    <w:r w:rsidRPr="00926B6C">
      <w:instrText xml:space="preserve"> PAGE </w:instrText>
    </w:r>
    <w:r w:rsidRPr="00926B6C">
      <w:fldChar w:fldCharType="separate"/>
    </w:r>
    <w:r>
      <w:t>ii</w:t>
    </w:r>
    <w:r w:rsidRPr="00926B6C">
      <w:fldChar w:fldCharType="end"/>
    </w:r>
    <w:r>
      <w:tab/>
    </w:r>
    <w:r>
      <w:rPr>
        <w:b/>
        <w:bCs/>
      </w:rPr>
      <w:t>DSTR-OTTR</w:t>
    </w:r>
    <w:r>
      <w:rPr>
        <w:b/>
        <w:bCs/>
        <w:caps w:val="0"/>
      </w:rPr>
      <w:t>eporting</w:t>
    </w:r>
    <w:r>
      <w:rPr>
        <w:rFonts w:eastAsiaTheme="minorEastAsia"/>
        <w:b/>
        <w:bCs/>
        <w:caps w:val="0"/>
        <w:lang w:eastAsia="zh-CN"/>
      </w:rPr>
      <w:t xml:space="preserve"> </w:t>
    </w:r>
    <w:r>
      <w:rPr>
        <w:rFonts w:eastAsiaTheme="minorEastAsia" w:hint="eastAsia"/>
        <w:b/>
        <w:bCs/>
        <w:lang w:eastAsia="zh-CN"/>
      </w:rPr>
      <w:t>(2025-11)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F01A" w14:textId="04B849CC" w:rsidR="00741F7E" w:rsidRPr="008A5C33" w:rsidRDefault="008A5C33" w:rsidP="008A5C33">
    <w:pPr>
      <w:pStyle w:val="Footer"/>
      <w:tabs>
        <w:tab w:val="clear" w:pos="5954"/>
        <w:tab w:val="left" w:pos="851"/>
        <w:tab w:val="right" w:pos="9072"/>
      </w:tabs>
      <w:jc w:val="left"/>
      <w:rPr>
        <w:b/>
        <w:bCs/>
      </w:rPr>
    </w:pPr>
    <w:r w:rsidRPr="00926B6C">
      <w:fldChar w:fldCharType="begin"/>
    </w:r>
    <w:r w:rsidRPr="00926B6C">
      <w:instrText xml:space="preserve"> PAGE </w:instrText>
    </w:r>
    <w:r w:rsidRPr="00926B6C">
      <w:fldChar w:fldCharType="separate"/>
    </w:r>
    <w:r>
      <w:t>12</w:t>
    </w:r>
    <w:r w:rsidRPr="00926B6C">
      <w:fldChar w:fldCharType="end"/>
    </w:r>
    <w:r>
      <w:tab/>
    </w:r>
    <w:r>
      <w:rPr>
        <w:b/>
        <w:bCs/>
      </w:rPr>
      <w:t>DSTR-OTTR</w:t>
    </w:r>
    <w:r>
      <w:rPr>
        <w:b/>
        <w:bCs/>
        <w:caps w:val="0"/>
      </w:rPr>
      <w:t>eporting</w:t>
    </w:r>
    <w:r>
      <w:rPr>
        <w:rFonts w:eastAsiaTheme="minorEastAsia"/>
        <w:b/>
        <w:bCs/>
        <w:caps w:val="0"/>
        <w:lang w:eastAsia="zh-CN"/>
      </w:rPr>
      <w:t xml:space="preserve"> </w:t>
    </w:r>
    <w:r>
      <w:rPr>
        <w:rFonts w:eastAsiaTheme="minorEastAsia" w:hint="eastAsia"/>
        <w:b/>
        <w:bCs/>
        <w:lang w:eastAsia="zh-CN"/>
      </w:rPr>
      <w:t>(2025-11)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9E2E" w14:textId="3B5F8227" w:rsidR="00044DBA" w:rsidRPr="008A5C33" w:rsidRDefault="008A5C33" w:rsidP="008A5C33">
    <w:pPr>
      <w:pStyle w:val="Footer"/>
      <w:tabs>
        <w:tab w:val="clear" w:pos="5954"/>
        <w:tab w:val="left" w:pos="851"/>
        <w:tab w:val="right" w:pos="9072"/>
      </w:tabs>
      <w:jc w:val="left"/>
      <w:rPr>
        <w:b/>
        <w:bCs/>
      </w:rPr>
    </w:pPr>
    <w:r w:rsidRPr="00926B6C">
      <w:fldChar w:fldCharType="begin"/>
    </w:r>
    <w:r w:rsidRPr="00926B6C">
      <w:instrText xml:space="preserve"> PAGE </w:instrText>
    </w:r>
    <w:r w:rsidRPr="00926B6C">
      <w:fldChar w:fldCharType="separate"/>
    </w:r>
    <w:r>
      <w:t>12</w:t>
    </w:r>
    <w:r w:rsidRPr="00926B6C">
      <w:fldChar w:fldCharType="end"/>
    </w:r>
    <w:r>
      <w:tab/>
    </w:r>
    <w:r>
      <w:rPr>
        <w:b/>
        <w:bCs/>
      </w:rPr>
      <w:t>DSTR-OTTR</w:t>
    </w:r>
    <w:r>
      <w:rPr>
        <w:b/>
        <w:bCs/>
        <w:caps w:val="0"/>
      </w:rPr>
      <w:t>eporting</w:t>
    </w:r>
    <w:r>
      <w:rPr>
        <w:rFonts w:eastAsiaTheme="minorEastAsia"/>
        <w:b/>
        <w:bCs/>
        <w:caps w:val="0"/>
        <w:lang w:eastAsia="zh-CN"/>
      </w:rPr>
      <w:t xml:space="preserve"> </w:t>
    </w:r>
    <w:r>
      <w:rPr>
        <w:rFonts w:eastAsiaTheme="minorEastAsia" w:hint="eastAsia"/>
        <w:b/>
        <w:bCs/>
        <w:lang w:eastAsia="zh-CN"/>
      </w:rPr>
      <w:t>(2025-11)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20C4D" w14:textId="77777777" w:rsidR="00137EA8" w:rsidRDefault="00137EA8">
      <w:r>
        <w:separator/>
      </w:r>
    </w:p>
  </w:footnote>
  <w:footnote w:type="continuationSeparator" w:id="0">
    <w:p w14:paraId="1818082F" w14:textId="77777777" w:rsidR="00137EA8" w:rsidRDefault="00137EA8">
      <w:r>
        <w:continuationSeparator/>
      </w:r>
    </w:p>
  </w:footnote>
  <w:footnote w:type="continuationNotice" w:id="1">
    <w:p w14:paraId="0053C062" w14:textId="77777777" w:rsidR="00137EA8" w:rsidRDefault="00137EA8">
      <w:pPr>
        <w:spacing w:before="0"/>
      </w:pPr>
    </w:p>
  </w:footnote>
  <w:footnote w:id="2">
    <w:p w14:paraId="18D84B72" w14:textId="16BE1AF0" w:rsidR="00741F7E" w:rsidRDefault="00741F7E" w:rsidP="00741F7E">
      <w:pPr>
        <w:pStyle w:val="FootnoteText"/>
        <w:rPr>
          <w:i/>
          <w:iCs/>
        </w:rPr>
      </w:pPr>
      <w:r w:rsidRPr="00EB581B">
        <w:rPr>
          <w:rStyle w:val="FootnoteReference"/>
        </w:rPr>
        <w:footnoteRef/>
      </w:r>
      <w:r w:rsidRPr="00EB581B">
        <w:t xml:space="preserve"> </w:t>
      </w:r>
      <w:r w:rsidR="004763B7">
        <w:tab/>
      </w:r>
      <w:r w:rsidRPr="00EB581B">
        <w:t xml:space="preserve">The working definition outlined in </w:t>
      </w:r>
      <w:r w:rsidR="00FB51FA">
        <w:t>[</w:t>
      </w:r>
      <w:r w:rsidRPr="00EB581B">
        <w:t>ITU-T TR</w:t>
      </w:r>
      <w:r w:rsidR="00FB51FA">
        <w:t>]</w:t>
      </w:r>
      <w:r w:rsidRPr="00EB581B">
        <w:t xml:space="preserve"> is similar to that</w:t>
      </w:r>
      <w:r>
        <w:t xml:space="preserve"> later</w:t>
      </w:r>
      <w:r w:rsidRPr="00EB581B">
        <w:t xml:space="preserve"> outlined in </w:t>
      </w:r>
      <w:r w:rsidR="00FB51FA">
        <w:t>[</w:t>
      </w:r>
      <w:r w:rsidRPr="00EB581B">
        <w:t>ITU-T D.262</w:t>
      </w:r>
      <w:r w:rsidR="00FB51FA">
        <w:t>]</w:t>
      </w:r>
      <w:r w:rsidRPr="00EB581B">
        <w:t xml:space="preserve"> that is, </w:t>
      </w:r>
      <w:r w:rsidR="00580392" w:rsidRPr="00580392">
        <w:rPr>
          <w:i/>
          <w:iCs/>
        </w:rPr>
        <w:t>"</w:t>
      </w:r>
      <w:r w:rsidRPr="00AE12E5">
        <w:rPr>
          <w:i/>
          <w:iCs/>
        </w:rPr>
        <w:t xml:space="preserve">an OTT service is an online service that can be regarded as potentially substituting for traditional telecommunications and audiovisual services such as voice telephony, </w:t>
      </w:r>
      <w:r w:rsidR="00DF2BE2">
        <w:rPr>
          <w:lang w:bidi="ar-DZ"/>
        </w:rPr>
        <w:t>s</w:t>
      </w:r>
      <w:r w:rsidR="00DF2BE2" w:rsidRPr="0030748E">
        <w:rPr>
          <w:lang w:bidi="ar-DZ"/>
        </w:rPr>
        <w:t>hort</w:t>
      </w:r>
      <w:r w:rsidR="00DF2BE2" w:rsidRPr="0030748E">
        <w:rPr>
          <w:rFonts w:eastAsiaTheme="minorEastAsia"/>
        </w:rPr>
        <w:t xml:space="preserve"> </w:t>
      </w:r>
      <w:r w:rsidR="00DF2BE2">
        <w:rPr>
          <w:rFonts w:eastAsiaTheme="minorEastAsia"/>
        </w:rPr>
        <w:t>m</w:t>
      </w:r>
      <w:r w:rsidR="00DF2BE2" w:rsidRPr="0030748E">
        <w:rPr>
          <w:rFonts w:eastAsiaTheme="minorEastAsia"/>
        </w:rPr>
        <w:t xml:space="preserve">essage </w:t>
      </w:r>
      <w:r w:rsidR="00DF2BE2">
        <w:rPr>
          <w:rFonts w:eastAsiaTheme="minorEastAsia"/>
        </w:rPr>
        <w:t>s</w:t>
      </w:r>
      <w:r w:rsidR="00DF2BE2" w:rsidRPr="0030748E">
        <w:rPr>
          <w:rFonts w:eastAsiaTheme="minorEastAsia"/>
        </w:rPr>
        <w:t>ervice</w:t>
      </w:r>
      <w:r w:rsidR="00DF2BE2" w:rsidRPr="00AE12E5">
        <w:rPr>
          <w:i/>
          <w:iCs/>
        </w:rPr>
        <w:t xml:space="preserve"> </w:t>
      </w:r>
      <w:r w:rsidR="00DF2BE2">
        <w:rPr>
          <w:i/>
          <w:iCs/>
        </w:rPr>
        <w:t>(</w:t>
      </w:r>
      <w:r w:rsidRPr="00AE12E5">
        <w:rPr>
          <w:i/>
          <w:iCs/>
        </w:rPr>
        <w:t>SMS</w:t>
      </w:r>
      <w:r w:rsidR="00DF2BE2">
        <w:rPr>
          <w:i/>
          <w:iCs/>
        </w:rPr>
        <w:t>)</w:t>
      </w:r>
      <w:r w:rsidRPr="00AE12E5">
        <w:rPr>
          <w:i/>
          <w:iCs/>
        </w:rPr>
        <w:t>, video on demand and television.</w:t>
      </w:r>
      <w:r w:rsidR="00580392" w:rsidRPr="00580392">
        <w:rPr>
          <w:i/>
          <w:iCs/>
        </w:rPr>
        <w:t>"</w:t>
      </w:r>
    </w:p>
    <w:p w14:paraId="068C4B62" w14:textId="59213ADB" w:rsidR="00741F7E" w:rsidRPr="00D04530" w:rsidRDefault="004763B7" w:rsidP="00741F7E">
      <w:pPr>
        <w:pStyle w:val="FootnoteText"/>
      </w:pPr>
      <w:r>
        <w:tab/>
      </w:r>
      <w:r w:rsidR="00741F7E" w:rsidRPr="00D04530">
        <w:t>Note that ITU-T Study Group 2 (SG2) is the lead study group on</w:t>
      </w:r>
      <w:r w:rsidR="00741F7E">
        <w:t xml:space="preserve"> telecommunication/ICT</w:t>
      </w:r>
      <w:r w:rsidR="00741F7E" w:rsidRPr="00D04530">
        <w:t xml:space="preserve"> service definition, and </w:t>
      </w:r>
      <w:r w:rsidR="0006137D">
        <w:t>q</w:t>
      </w:r>
      <w:r w:rsidR="00741F7E" w:rsidRPr="00D04530">
        <w:t>uestion 3/2</w:t>
      </w:r>
      <w:r w:rsidR="00741F7E">
        <w:t xml:space="preserve"> is responsible for establishing the principles of service provision by OTT applications, their operational requirements, capabilities, and impact on other services.</w:t>
      </w:r>
    </w:p>
  </w:footnote>
  <w:footnote w:id="3">
    <w:p w14:paraId="4F34AA2B" w14:textId="7AE4468D" w:rsidR="00741F7E" w:rsidRDefault="00741F7E" w:rsidP="00741F7E">
      <w:pPr>
        <w:pStyle w:val="FootnoteText"/>
      </w:pPr>
      <w:r>
        <w:rPr>
          <w:rStyle w:val="FootnoteReference"/>
        </w:rPr>
        <w:footnoteRef/>
      </w:r>
      <w:r>
        <w:t xml:space="preserve"> </w:t>
      </w:r>
      <w:r w:rsidR="004763B7">
        <w:tab/>
      </w:r>
      <w:r w:rsidRPr="00754860">
        <w:t xml:space="preserve">TATT. (n.d.). Table of </w:t>
      </w:r>
      <w:r w:rsidR="00AC2A02">
        <w:t>c</w:t>
      </w:r>
      <w:r w:rsidRPr="00754860">
        <w:t xml:space="preserve">onsultative </w:t>
      </w:r>
      <w:r w:rsidR="00AC2A02">
        <w:t>d</w:t>
      </w:r>
      <w:r w:rsidRPr="00754860">
        <w:t xml:space="preserve">ocuments. Retrieved from </w:t>
      </w:r>
      <w:r w:rsidR="00AC2A02">
        <w:t>the t</w:t>
      </w:r>
      <w:r w:rsidRPr="00754860">
        <w:t xml:space="preserve">elecommunications </w:t>
      </w:r>
      <w:r w:rsidR="00AC2A02">
        <w:t>a</w:t>
      </w:r>
      <w:r w:rsidRPr="00754860">
        <w:t xml:space="preserve">uthority of Trinidad and Tobago: </w:t>
      </w:r>
      <w:hyperlink r:id="rId1" w:history="1">
        <w:r w:rsidRPr="00DB377E">
          <w:rPr>
            <w:rStyle w:val="Hyperlink"/>
          </w:rPr>
          <w:t>https://tatt.org.tt/consultations/table-of-consultative-documents/</w:t>
        </w:r>
      </w:hyperlink>
      <w:r>
        <w:t xml:space="preserve"> </w:t>
      </w:r>
    </w:p>
  </w:footnote>
  <w:footnote w:id="4">
    <w:p w14:paraId="32711CF9" w14:textId="06DC822F" w:rsidR="00741F7E" w:rsidRPr="002932CB" w:rsidRDefault="00741F7E" w:rsidP="00741F7E">
      <w:pPr>
        <w:pStyle w:val="FootnoteText"/>
      </w:pPr>
      <w:r>
        <w:rPr>
          <w:rStyle w:val="FootnoteReference"/>
        </w:rPr>
        <w:footnoteRef/>
      </w:r>
      <w:r>
        <w:t xml:space="preserve"> </w:t>
      </w:r>
      <w:r w:rsidR="004763B7">
        <w:tab/>
      </w:r>
      <w:r>
        <w:t xml:space="preserve">ITU, 2018, </w:t>
      </w:r>
      <w:r w:rsidRPr="000F21C9">
        <w:t>Regulatory challenges and opportunities in the new ICT ecosystem</w:t>
      </w:r>
      <w:r>
        <w:t xml:space="preserve">, </w:t>
      </w:r>
      <w:hyperlink r:id="rId2" w:history="1">
        <w:r w:rsidRPr="00305468">
          <w:rPr>
            <w:rStyle w:val="Hyperlink"/>
          </w:rPr>
          <w:t>https://www.itu.int/hub/publication/d-pref-bb-reg_out03-2018/</w:t>
        </w:r>
      </w:hyperlink>
      <w:r>
        <w:t xml:space="preserve"> </w:t>
      </w:r>
    </w:p>
  </w:footnote>
  <w:footnote w:id="5">
    <w:p w14:paraId="38713EC5" w14:textId="1717DA66" w:rsidR="00741F7E" w:rsidRDefault="00741F7E" w:rsidP="00741F7E">
      <w:pPr>
        <w:pStyle w:val="FootnoteText"/>
      </w:pPr>
      <w:r>
        <w:rPr>
          <w:rStyle w:val="FootnoteReference"/>
        </w:rPr>
        <w:footnoteRef/>
      </w:r>
      <w:r>
        <w:t xml:space="preserve"> </w:t>
      </w:r>
      <w:r w:rsidR="004763B7">
        <w:tab/>
      </w:r>
      <w:r w:rsidRPr="00B07A12">
        <w:t xml:space="preserve">BEREC </w:t>
      </w:r>
      <w:r>
        <w:t xml:space="preserve">indicated that it </w:t>
      </w:r>
      <w:r w:rsidRPr="00B07A12">
        <w:t xml:space="preserve">would continue to evaluate the list of indicators </w:t>
      </w:r>
      <w:r>
        <w:t xml:space="preserve">proposed in its report </w:t>
      </w:r>
      <w:r w:rsidRPr="00B07A12">
        <w:t>and may add, remove</w:t>
      </w:r>
      <w:r w:rsidR="001C291A">
        <w:t>,</w:t>
      </w:r>
      <w:r w:rsidRPr="00B07A12">
        <w:t xml:space="preserve"> or </w:t>
      </w:r>
      <w:r>
        <w:t xml:space="preserve">adjust </w:t>
      </w:r>
      <w:r w:rsidRPr="00B07A12">
        <w:t>to ensure a continued harmonisation of the data collected by NRAs and adjust to NRAs</w:t>
      </w:r>
      <w:r w:rsidR="00580392" w:rsidRPr="00580392">
        <w:t>'</w:t>
      </w:r>
      <w:r w:rsidRPr="00B07A12">
        <w:t xml:space="preserve"> needs.</w:t>
      </w:r>
    </w:p>
  </w:footnote>
  <w:footnote w:id="6">
    <w:p w14:paraId="6B81DBE3" w14:textId="7630AC33" w:rsidR="00741F7E" w:rsidRDefault="00741F7E" w:rsidP="00741F7E">
      <w:pPr>
        <w:pStyle w:val="FootnoteText"/>
      </w:pPr>
      <w:r>
        <w:rPr>
          <w:rStyle w:val="FootnoteReference"/>
        </w:rPr>
        <w:footnoteRef/>
      </w:r>
      <w:r>
        <w:t xml:space="preserve"> </w:t>
      </w:r>
      <w:r w:rsidR="004763B7">
        <w:tab/>
      </w:r>
      <w:r>
        <w:t xml:space="preserve">The </w:t>
      </w:r>
      <w:r w:rsidR="005D09E8">
        <w:t>b</w:t>
      </w:r>
      <w:r w:rsidRPr="009F587B">
        <w:t xml:space="preserve">roadcasting </w:t>
      </w:r>
      <w:r w:rsidR="005D09E8">
        <w:t>r</w:t>
      </w:r>
      <w:r w:rsidRPr="009F587B">
        <w:t xml:space="preserve">egulatory </w:t>
      </w:r>
      <w:r w:rsidR="005D09E8">
        <w:t>p</w:t>
      </w:r>
      <w:r w:rsidRPr="009F587B">
        <w:t>olicy CRTC 2022-47</w:t>
      </w:r>
      <w:r>
        <w:t xml:space="preserve"> outlines</w:t>
      </w:r>
      <w:r w:rsidRPr="009F587B">
        <w:t xml:space="preserve"> </w:t>
      </w:r>
      <w:r>
        <w:t xml:space="preserve">(1) </w:t>
      </w:r>
      <w:r w:rsidRPr="009F587B">
        <w:t xml:space="preserve">Audio services </w:t>
      </w:r>
      <w:r>
        <w:t xml:space="preserve">as </w:t>
      </w:r>
      <w:r w:rsidRPr="009F587B">
        <w:t xml:space="preserve">commercial radio undertakings, satellite services and digital media broadcasting undertakings) and </w:t>
      </w:r>
      <w:r>
        <w:t xml:space="preserve">(2) </w:t>
      </w:r>
      <w:r w:rsidRPr="009F587B">
        <w:t xml:space="preserve">Audiovisual services </w:t>
      </w:r>
      <w:r>
        <w:t xml:space="preserve">as </w:t>
      </w:r>
      <w:r w:rsidRPr="009F587B">
        <w:t>conventional and discretionary television undertakings, broadcasting distribution undertakings, pay-per-view services, video-on-demand services and digital media broadcasting undertakings</w:t>
      </w:r>
      <w:r>
        <w:t xml:space="preserve">. </w:t>
      </w:r>
    </w:p>
  </w:footnote>
  <w:footnote w:id="7">
    <w:p w14:paraId="6FDD88E0" w14:textId="11FCAEA1" w:rsidR="00741F7E" w:rsidRDefault="00741F7E" w:rsidP="00741F7E">
      <w:pPr>
        <w:pStyle w:val="FootnoteText"/>
      </w:pPr>
      <w:r w:rsidRPr="00A6550B">
        <w:rPr>
          <w:rStyle w:val="FootnoteReference"/>
        </w:rPr>
        <w:footnoteRef/>
      </w:r>
      <w:r w:rsidRPr="00A6550B">
        <w:t xml:space="preserve"> </w:t>
      </w:r>
      <w:r w:rsidR="004763B7">
        <w:tab/>
      </w:r>
      <w:r w:rsidRPr="00A6550B">
        <w:t xml:space="preserve">The bill to modify the Broadcasting Act </w:t>
      </w:r>
      <w:r>
        <w:t>seeks</w:t>
      </w:r>
      <w:r w:rsidRPr="00A6550B">
        <w:t xml:space="preserve"> to make consequential amendments to other Acts, such as the Online Streaming Act of Canada received </w:t>
      </w:r>
      <w:r w:rsidR="00B0572A">
        <w:t>r</w:t>
      </w:r>
      <w:r w:rsidRPr="00A6550B">
        <w:t xml:space="preserve">oyal </w:t>
      </w:r>
      <w:r w:rsidR="00B0572A">
        <w:t>a</w:t>
      </w:r>
      <w:r w:rsidRPr="00A6550B">
        <w:t>ssent in April 2023. Notably, this legislation brings online broadcasters – including online streaming platforms – under the same regulatory framework as traditional broadcasters providing services and content in Canada. The amendments to the Broadcasting Act have given the CRTC the regulatory powers to gather information from OTT</w:t>
      </w:r>
      <w:r>
        <w:t xml:space="preserve"> media services</w:t>
      </w:r>
      <w:r w:rsidRPr="00A6550B">
        <w:t>.</w:t>
      </w:r>
    </w:p>
  </w:footnote>
  <w:footnote w:id="8">
    <w:p w14:paraId="20D8EB7E" w14:textId="707C4F56" w:rsidR="00741F7E" w:rsidRDefault="00741F7E" w:rsidP="00785CF2">
      <w:pPr>
        <w:pStyle w:val="FootnoteText"/>
        <w:jc w:val="left"/>
      </w:pPr>
      <w:r>
        <w:rPr>
          <w:rStyle w:val="FootnoteReference"/>
        </w:rPr>
        <w:footnoteRef/>
      </w:r>
      <w:r>
        <w:t xml:space="preserve"> </w:t>
      </w:r>
      <w:r w:rsidR="004763B7">
        <w:tab/>
      </w:r>
      <w:r>
        <w:t xml:space="preserve">Reference points 138 to 140 (Going </w:t>
      </w:r>
      <w:r w:rsidR="00363433">
        <w:t>f</w:t>
      </w:r>
      <w:r>
        <w:t xml:space="preserve">orward </w:t>
      </w:r>
      <w:r w:rsidR="00363433">
        <w:t>m</w:t>
      </w:r>
      <w:r>
        <w:t xml:space="preserve">etrics): </w:t>
      </w:r>
      <w:hyperlink r:id="rId3" w:anchor="a6" w:history="1">
        <w:r w:rsidR="0030748E" w:rsidRPr="00FE72BF">
          <w:rPr>
            <w:rStyle w:val="Hyperlink"/>
          </w:rPr>
          <w:t>https://crtc.gc.ca/eng/publications/reports/rp220714.htm#a6</w:t>
        </w:r>
      </w:hyperlink>
      <w:r w:rsidR="0030748E">
        <w:t xml:space="preserve"> </w:t>
      </w:r>
      <w:r>
        <w:t xml:space="preserve"> </w:t>
      </w:r>
    </w:p>
  </w:footnote>
  <w:footnote w:id="9">
    <w:p w14:paraId="3CCF0CD4" w14:textId="4FA42701" w:rsidR="00741F7E" w:rsidRDefault="00741F7E" w:rsidP="00741F7E">
      <w:pPr>
        <w:pStyle w:val="FootnoteText"/>
      </w:pPr>
      <w:r>
        <w:rPr>
          <w:rStyle w:val="FootnoteReference"/>
        </w:rPr>
        <w:footnoteRef/>
      </w:r>
      <w:r>
        <w:t xml:space="preserve"> </w:t>
      </w:r>
      <w:r w:rsidR="004763B7">
        <w:tab/>
      </w:r>
      <w:hyperlink r:id="rId4" w:history="1">
        <w:r w:rsidR="004763B7" w:rsidRPr="00BC1F6A">
          <w:rPr>
            <w:rStyle w:val="Hyperlink"/>
          </w:rPr>
          <w:t>https://crtc.gc.ca/eng/archive/2022/2022-47.htm</w:t>
        </w:r>
      </w:hyperlink>
      <w:r>
        <w:t xml:space="preserve"> </w:t>
      </w:r>
    </w:p>
  </w:footnote>
  <w:footnote w:id="10">
    <w:p w14:paraId="6E2BE280" w14:textId="51A14E2B" w:rsidR="00741F7E" w:rsidRDefault="00741F7E" w:rsidP="00741F7E">
      <w:pPr>
        <w:pStyle w:val="FootnoteText"/>
      </w:pPr>
      <w:r>
        <w:rPr>
          <w:rStyle w:val="FootnoteReference"/>
        </w:rPr>
        <w:footnoteRef/>
      </w:r>
      <w:r>
        <w:t xml:space="preserve"> </w:t>
      </w:r>
      <w:r w:rsidR="004763B7">
        <w:tab/>
      </w:r>
      <w:r w:rsidRPr="005A2BE1">
        <w:t xml:space="preserve">Broadcasting </w:t>
      </w:r>
      <w:r w:rsidR="00B44608">
        <w:t>r</w:t>
      </w:r>
      <w:r w:rsidRPr="005A2BE1">
        <w:t xml:space="preserve">egulatory </w:t>
      </w:r>
      <w:r w:rsidR="00B44608">
        <w:t>p</w:t>
      </w:r>
      <w:r w:rsidRPr="005A2BE1">
        <w:t xml:space="preserve">olicy CRTC 2024-121-1 and </w:t>
      </w:r>
      <w:r w:rsidR="00096270">
        <w:t>b</w:t>
      </w:r>
      <w:r w:rsidRPr="005A2BE1">
        <w:t xml:space="preserve">roadcasting </w:t>
      </w:r>
      <w:r w:rsidR="00096270">
        <w:t>o</w:t>
      </w:r>
      <w:r w:rsidRPr="005A2BE1">
        <w:t>rder CRTC 2024-194</w:t>
      </w:r>
      <w:r>
        <w:t xml:space="preserve">, accessible at: </w:t>
      </w:r>
      <w:hyperlink r:id="rId5" w:history="1">
        <w:r w:rsidRPr="00906908">
          <w:rPr>
            <w:rStyle w:val="Hyperlink"/>
          </w:rPr>
          <w:t>https://crtc.gc.ca/eng/archive/2024/2024-121-1.htm</w:t>
        </w:r>
      </w:hyperlink>
      <w:r>
        <w:t xml:space="preserve"> </w:t>
      </w:r>
    </w:p>
  </w:footnote>
  <w:footnote w:id="11">
    <w:p w14:paraId="0D95BE1B" w14:textId="3EE0B8A0" w:rsidR="00375AC0" w:rsidRDefault="00375AC0" w:rsidP="00375AC0">
      <w:pPr>
        <w:pStyle w:val="FootnoteText"/>
      </w:pPr>
      <w:r>
        <w:rPr>
          <w:rStyle w:val="FootnoteReference"/>
        </w:rPr>
        <w:footnoteRef/>
      </w:r>
      <w:r>
        <w:t xml:space="preserve"> </w:t>
      </w:r>
      <w:r w:rsidRPr="00866049">
        <w:t xml:space="preserve">TATT. 2024. Framework on </w:t>
      </w:r>
      <w:r w:rsidR="008A30F4">
        <w:t>o</w:t>
      </w:r>
      <w:r w:rsidRPr="00866049">
        <w:t>ver-the-</w:t>
      </w:r>
      <w:r w:rsidR="008A30F4">
        <w:t>t</w:t>
      </w:r>
      <w:r w:rsidRPr="00866049">
        <w:t xml:space="preserve">op services in Trinidad and Tobago. Telecommunications </w:t>
      </w:r>
      <w:r w:rsidR="008A30F4">
        <w:t>a</w:t>
      </w:r>
      <w:r w:rsidRPr="00866049">
        <w:t xml:space="preserve">uthority of Trinidad and Tobago. </w:t>
      </w:r>
      <w:hyperlink r:id="rId6" w:history="1">
        <w:r w:rsidRPr="00DB377E">
          <w:rPr>
            <w:rStyle w:val="Hyperlink"/>
          </w:rPr>
          <w:t>https://tatt.org.tt/wp-content/uploads/2024/12/Framework-on-OTTs-for-publication.pdf</w:t>
        </w:r>
      </w:hyperlink>
      <w:r>
        <w:t xml:space="preserve"> </w:t>
      </w:r>
    </w:p>
  </w:footnote>
  <w:footnote w:id="12">
    <w:p w14:paraId="44AADA57" w14:textId="77777777" w:rsidR="00375AC0" w:rsidRDefault="00375AC0" w:rsidP="00375AC0">
      <w:pPr>
        <w:pStyle w:val="FootnoteText"/>
      </w:pPr>
      <w:r>
        <w:rPr>
          <w:rStyle w:val="FootnoteReference"/>
        </w:rPr>
        <w:footnoteRef/>
      </w:r>
      <w:r>
        <w:t xml:space="preserve"> </w:t>
      </w:r>
      <w:hyperlink r:id="rId7" w:history="1">
        <w:r w:rsidRPr="00B34109">
          <w:rPr>
            <w:rStyle w:val="Hyperlink"/>
          </w:rPr>
          <w:t>https://tatt.org.tt/consultations/table-of-consultative-documents/</w:t>
        </w:r>
      </w:hyperlink>
      <w:r>
        <w:t xml:space="preserve"> </w:t>
      </w:r>
    </w:p>
  </w:footnote>
  <w:footnote w:id="13">
    <w:p w14:paraId="2FA647DA" w14:textId="4E1797CF" w:rsidR="00741F7E" w:rsidRDefault="00741F7E" w:rsidP="00741F7E">
      <w:pPr>
        <w:pStyle w:val="FootnoteText"/>
      </w:pPr>
      <w:r>
        <w:rPr>
          <w:rStyle w:val="FootnoteReference"/>
        </w:rPr>
        <w:footnoteRef/>
      </w:r>
      <w:r>
        <w:t xml:space="preserve"> </w:t>
      </w:r>
      <w:r w:rsidR="004763B7">
        <w:tab/>
      </w:r>
      <w:r>
        <w:t xml:space="preserve">In 2015, the ECTEL </w:t>
      </w:r>
      <w:r w:rsidRPr="005275A0">
        <w:t>appeal</w:t>
      </w:r>
      <w:r>
        <w:t xml:space="preserve">ed </w:t>
      </w:r>
      <w:r w:rsidRPr="005275A0">
        <w:t xml:space="preserve">to all </w:t>
      </w:r>
      <w:r>
        <w:t>telecommunications s</w:t>
      </w:r>
      <w:r w:rsidRPr="005275A0">
        <w:t xml:space="preserve">ervice </w:t>
      </w:r>
      <w:r>
        <w:t>p</w:t>
      </w:r>
      <w:r w:rsidRPr="005275A0">
        <w:t xml:space="preserve">roviders operating within its Member States, to immediately refrain from the practice of blocking OTT services, websites and or throttling speeds, and commit to the principle of an open </w:t>
      </w:r>
      <w:r w:rsidR="00D51E4F">
        <w:t>I</w:t>
      </w:r>
      <w:r w:rsidRPr="005275A0">
        <w:t>nternet</w:t>
      </w:r>
      <w:r>
        <w:t xml:space="preserve">. </w:t>
      </w:r>
    </w:p>
  </w:footnote>
  <w:footnote w:id="14">
    <w:p w14:paraId="191F3776" w14:textId="7A27B730" w:rsidR="00741F7E" w:rsidRPr="00A67694" w:rsidRDefault="00741F7E" w:rsidP="009D6D50">
      <w:pPr>
        <w:pStyle w:val="FootnoteText"/>
        <w:jc w:val="left"/>
      </w:pPr>
      <w:r>
        <w:rPr>
          <w:rStyle w:val="FootnoteReference"/>
        </w:rPr>
        <w:footnoteRef/>
      </w:r>
      <w:r>
        <w:t xml:space="preserve"> </w:t>
      </w:r>
      <w:r w:rsidR="004763B7">
        <w:tab/>
      </w:r>
      <w:r w:rsidRPr="00A67694">
        <w:t xml:space="preserve">Request for </w:t>
      </w:r>
      <w:r w:rsidR="00CC2EDE">
        <w:t>c</w:t>
      </w:r>
      <w:r w:rsidRPr="00A67694">
        <w:t>omments 13/2023</w:t>
      </w:r>
      <w:r>
        <w:t xml:space="preserve"> (</w:t>
      </w:r>
      <w:r>
        <w:rPr>
          <w:i/>
        </w:rPr>
        <w:t>Portuguese only</w:t>
      </w:r>
      <w:r>
        <w:t xml:space="preserve">). </w:t>
      </w:r>
      <w:hyperlink r:id="rId8" w:history="1">
        <w:r w:rsidRPr="004847CF">
          <w:rPr>
            <w:rStyle w:val="Hyperlink"/>
          </w:rPr>
          <w:t>https://apps.anatel.gov.br/ParticipaAnatel/VisualizarTextoConsulta.aspx?TelaDeOrigem=3&amp;ConsultaId=10120</w:t>
        </w:r>
      </w:hyperlink>
      <w:r>
        <w:t xml:space="preserve">. The contributions received could be accessed at </w:t>
      </w:r>
      <w:hyperlink r:id="rId9" w:history="1">
        <w:r w:rsidRPr="004847CF">
          <w:rPr>
            <w:rStyle w:val="Hyperlink"/>
          </w:rPr>
          <w:t>https://apps.anatel.gov.br/ParticipaAnatel/RelContribuicoesConsultas.aspx?ControleProcesso=10120&amp;TelaAnterior=1</w:t>
        </w:r>
      </w:hyperlink>
      <w:r>
        <w:t xml:space="preserve">. </w:t>
      </w:r>
    </w:p>
  </w:footnote>
  <w:footnote w:id="15">
    <w:p w14:paraId="5D9F655C" w14:textId="45215676" w:rsidR="00741F7E" w:rsidRPr="00420EC8" w:rsidRDefault="00741F7E" w:rsidP="00741F7E">
      <w:pPr>
        <w:pStyle w:val="FootnoteText"/>
      </w:pPr>
      <w:r>
        <w:rPr>
          <w:rStyle w:val="FootnoteReference"/>
        </w:rPr>
        <w:footnoteRef/>
      </w:r>
      <w:r w:rsidRPr="00154A1C">
        <w:rPr>
          <w:lang w:val="pt-BR"/>
        </w:rPr>
        <w:t xml:space="preserve"> </w:t>
      </w:r>
      <w:r w:rsidR="004763B7">
        <w:rPr>
          <w:lang w:val="pt-BR"/>
        </w:rPr>
        <w:tab/>
      </w:r>
      <w:r w:rsidRPr="00154A1C">
        <w:rPr>
          <w:lang w:val="pt-BR"/>
        </w:rPr>
        <w:t>Projeto de Lei n° 2331, de 2022 (</w:t>
      </w:r>
      <w:r w:rsidRPr="00154A1C">
        <w:rPr>
          <w:i/>
          <w:lang w:val="pt-BR"/>
        </w:rPr>
        <w:t>Portuguese only</w:t>
      </w:r>
      <w:r w:rsidRPr="00154A1C">
        <w:rPr>
          <w:lang w:val="pt-BR"/>
        </w:rPr>
        <w:t>)</w:t>
      </w:r>
      <w:r w:rsidRPr="007152C3">
        <w:rPr>
          <w:lang w:val="pt-BR"/>
        </w:rPr>
        <w:t xml:space="preserve">. </w:t>
      </w:r>
      <w:hyperlink r:id="rId10" w:history="1">
        <w:r w:rsidRPr="00154A1C">
          <w:rPr>
            <w:rStyle w:val="Hyperlink"/>
          </w:rPr>
          <w:t>https://www25.senado.leg.br/web/atividade/materias/-/materia/154545</w:t>
        </w:r>
      </w:hyperlink>
      <w:r w:rsidRPr="00420EC8">
        <w:t xml:space="preserve">. </w:t>
      </w:r>
    </w:p>
  </w:footnote>
  <w:footnote w:id="16">
    <w:p w14:paraId="47005CCD" w14:textId="10FD3ED8" w:rsidR="00741F7E" w:rsidRDefault="00741F7E" w:rsidP="00741F7E">
      <w:pPr>
        <w:pStyle w:val="FootnoteText"/>
      </w:pPr>
      <w:r>
        <w:rPr>
          <w:rStyle w:val="FootnoteReference"/>
        </w:rPr>
        <w:footnoteRef/>
      </w:r>
      <w:r>
        <w:t xml:space="preserve"> </w:t>
      </w:r>
      <w:r w:rsidR="004763B7">
        <w:tab/>
      </w:r>
      <w:r w:rsidRPr="005D04AD">
        <w:t xml:space="preserve">Telecommunications Act, 2023 </w:t>
      </w:r>
      <w:r w:rsidR="0030748E">
        <w:t>–</w:t>
      </w:r>
      <w:r w:rsidRPr="005D04AD">
        <w:t xml:space="preserve"> An </w:t>
      </w:r>
      <w:r w:rsidR="006D54D8">
        <w:t>o</w:t>
      </w:r>
      <w:r w:rsidRPr="005D04AD">
        <w:t xml:space="preserve">verview of </w:t>
      </w:r>
      <w:r w:rsidR="006D54D8">
        <w:t>k</w:t>
      </w:r>
      <w:r w:rsidRPr="005D04AD">
        <w:t xml:space="preserve">ey </w:t>
      </w:r>
      <w:r w:rsidR="006D54D8">
        <w:t>c</w:t>
      </w:r>
      <w:r w:rsidRPr="005D04AD">
        <w:t xml:space="preserve">hanges and their </w:t>
      </w:r>
      <w:r w:rsidR="006D54D8">
        <w:t>i</w:t>
      </w:r>
      <w:r w:rsidRPr="005D04AD">
        <w:t>mpact</w:t>
      </w:r>
      <w:r>
        <w:t xml:space="preserve"> </w:t>
      </w:r>
      <w:r w:rsidR="001E079F">
        <w:t>–</w:t>
      </w:r>
      <w:r>
        <w:t xml:space="preserve"> </w:t>
      </w:r>
      <w:hyperlink r:id="rId11" w:anchor=":~:text=Although%20the%20New%20Act%20does,of%20OTT%20within%20its%20ambit" w:history="1">
        <w:r w:rsidRPr="00DB377E">
          <w:rPr>
            <w:rStyle w:val="Hyperlink"/>
          </w:rPr>
          <w:t>https://www.lexology.com/library/detail.aspx?g=3454b65d-0f2d-4c0e-88f7-1a84535abbf2#:~:text=Although%20the%20New%20Act%20does,of%20OTT%20within%20its%20ambit</w:t>
        </w:r>
      </w:hyperlink>
      <w:r w:rsidRPr="006576C1">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AE48" w14:textId="77777777" w:rsidR="0043521E" w:rsidRDefault="0043521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FE5D" w14:textId="77777777" w:rsidR="0043521E" w:rsidRDefault="0043521E"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D760" w14:textId="77777777" w:rsidR="008A5C33" w:rsidRDefault="008A5C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9423" w14:textId="77777777" w:rsidR="0043521E" w:rsidRDefault="0043521E">
    <w:pPr>
      <w:pStyle w:val="Header"/>
      <w:ind w:right="360" w:firstLine="36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1144" w14:textId="33086FE8" w:rsidR="00741F7E" w:rsidRPr="00A21292" w:rsidRDefault="00741F7E" w:rsidP="006975CD">
    <w:pPr>
      <w:pStyle w:val="Header"/>
      <w:rPr>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9499" w14:textId="1F5F8E76" w:rsidR="00741F7E" w:rsidRPr="00185CE3" w:rsidRDefault="00741F7E" w:rsidP="00041280">
    <w:pPr>
      <w:pStyle w:val="Header"/>
      <w:spacing w:after="240"/>
      <w:rPr>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EB48" w14:textId="2059E7A7" w:rsidR="00AF173E" w:rsidRPr="00A21292" w:rsidRDefault="00AF173E" w:rsidP="003E4CD6">
    <w:pPr>
      <w:pStyle w:val="Header"/>
      <w:spacing w:after="240"/>
      <w:rPr>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5CD1" w14:textId="01611AE1" w:rsidR="00185CE3" w:rsidRPr="00185CE3" w:rsidRDefault="00185CE3" w:rsidP="005D0D23">
    <w:pPr>
      <w:pStyle w:val="Header"/>
      <w:spacing w:after="240"/>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1A0"/>
    <w:multiLevelType w:val="hybridMultilevel"/>
    <w:tmpl w:val="A3FE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713B8"/>
    <w:multiLevelType w:val="hybridMultilevel"/>
    <w:tmpl w:val="F080F58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D0E33"/>
    <w:multiLevelType w:val="hybridMultilevel"/>
    <w:tmpl w:val="056E9D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0676C"/>
    <w:multiLevelType w:val="multilevel"/>
    <w:tmpl w:val="BACC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52ABD"/>
    <w:multiLevelType w:val="hybridMultilevel"/>
    <w:tmpl w:val="F7B8EDCC"/>
    <w:lvl w:ilvl="0" w:tplc="2C5C25B6">
      <w:start w:val="1"/>
      <w:numFmt w:val="lowerRoman"/>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774457"/>
    <w:multiLevelType w:val="hybridMultilevel"/>
    <w:tmpl w:val="4D7C0728"/>
    <w:lvl w:ilvl="0" w:tplc="DFC0442A">
      <w:start w:val="1"/>
      <w:numFmt w:val="decimal"/>
      <w:lvlText w:val="[%1]"/>
      <w:lvlJc w:val="left"/>
      <w:pPr>
        <w:tabs>
          <w:tab w:val="num" w:pos="576"/>
        </w:tabs>
        <w:ind w:left="576" w:hanging="360"/>
      </w:pPr>
      <w:rPr>
        <w:rFonts w:hint="default"/>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D0633B"/>
    <w:multiLevelType w:val="multilevel"/>
    <w:tmpl w:val="1A7A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E5372"/>
    <w:multiLevelType w:val="hybridMultilevel"/>
    <w:tmpl w:val="F84C1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50DCB"/>
    <w:multiLevelType w:val="hybridMultilevel"/>
    <w:tmpl w:val="F7B8EDCC"/>
    <w:lvl w:ilvl="0" w:tplc="FFFFFFFF">
      <w:start w:val="1"/>
      <w:numFmt w:val="lowerRoman"/>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035647"/>
    <w:multiLevelType w:val="hybridMultilevel"/>
    <w:tmpl w:val="B2B2CAD2"/>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A176D32"/>
    <w:multiLevelType w:val="hybridMultilevel"/>
    <w:tmpl w:val="B73AE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C5828"/>
    <w:multiLevelType w:val="hybridMultilevel"/>
    <w:tmpl w:val="9E6C2E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280CA1"/>
    <w:multiLevelType w:val="hybridMultilevel"/>
    <w:tmpl w:val="7AA0E9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C24727"/>
    <w:multiLevelType w:val="multilevel"/>
    <w:tmpl w:val="BA68CA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43B4A10"/>
    <w:multiLevelType w:val="multilevel"/>
    <w:tmpl w:val="29A6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34BB5"/>
    <w:multiLevelType w:val="hybridMultilevel"/>
    <w:tmpl w:val="456CD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11E47"/>
    <w:multiLevelType w:val="hybridMultilevel"/>
    <w:tmpl w:val="83B651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8B051A"/>
    <w:multiLevelType w:val="hybridMultilevel"/>
    <w:tmpl w:val="278C86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C56F3"/>
    <w:multiLevelType w:val="hybridMultilevel"/>
    <w:tmpl w:val="CBD427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4776C6"/>
    <w:multiLevelType w:val="hybridMultilevel"/>
    <w:tmpl w:val="CBD427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9903368"/>
    <w:multiLevelType w:val="hybridMultilevel"/>
    <w:tmpl w:val="944004AC"/>
    <w:lvl w:ilvl="0" w:tplc="F10C0B38">
      <w:start w:val="5"/>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936076"/>
    <w:multiLevelType w:val="multilevel"/>
    <w:tmpl w:val="D310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013ABE"/>
    <w:multiLevelType w:val="multilevel"/>
    <w:tmpl w:val="841823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FF954A8"/>
    <w:multiLevelType w:val="hybridMultilevel"/>
    <w:tmpl w:val="FED827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6657959">
    <w:abstractNumId w:val="5"/>
  </w:num>
  <w:num w:numId="2" w16cid:durableId="303437268">
    <w:abstractNumId w:val="22"/>
  </w:num>
  <w:num w:numId="3" w16cid:durableId="1158571109">
    <w:abstractNumId w:val="11"/>
  </w:num>
  <w:num w:numId="4" w16cid:durableId="592973644">
    <w:abstractNumId w:val="4"/>
  </w:num>
  <w:num w:numId="5" w16cid:durableId="1360007982">
    <w:abstractNumId w:val="1"/>
  </w:num>
  <w:num w:numId="6" w16cid:durableId="87167124">
    <w:abstractNumId w:val="13"/>
  </w:num>
  <w:num w:numId="7" w16cid:durableId="1193611456">
    <w:abstractNumId w:val="21"/>
  </w:num>
  <w:num w:numId="8" w16cid:durableId="822087067">
    <w:abstractNumId w:val="6"/>
  </w:num>
  <w:num w:numId="9" w16cid:durableId="611789492">
    <w:abstractNumId w:val="3"/>
  </w:num>
  <w:num w:numId="10" w16cid:durableId="282082574">
    <w:abstractNumId w:val="14"/>
  </w:num>
  <w:num w:numId="11" w16cid:durableId="236984688">
    <w:abstractNumId w:val="7"/>
  </w:num>
  <w:num w:numId="12" w16cid:durableId="1560900991">
    <w:abstractNumId w:val="2"/>
  </w:num>
  <w:num w:numId="13" w16cid:durableId="1686246751">
    <w:abstractNumId w:val="23"/>
  </w:num>
  <w:num w:numId="14" w16cid:durableId="543715730">
    <w:abstractNumId w:val="16"/>
  </w:num>
  <w:num w:numId="15" w16cid:durableId="1146512402">
    <w:abstractNumId w:val="0"/>
  </w:num>
  <w:num w:numId="16" w16cid:durableId="315577120">
    <w:abstractNumId w:val="17"/>
  </w:num>
  <w:num w:numId="17" w16cid:durableId="1119109247">
    <w:abstractNumId w:val="10"/>
  </w:num>
  <w:num w:numId="18" w16cid:durableId="1763212066">
    <w:abstractNumId w:val="9"/>
  </w:num>
  <w:num w:numId="19" w16cid:durableId="2021734584">
    <w:abstractNumId w:val="18"/>
  </w:num>
  <w:num w:numId="20" w16cid:durableId="1857187534">
    <w:abstractNumId w:val="19"/>
  </w:num>
  <w:num w:numId="21" w16cid:durableId="20929245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0295045">
    <w:abstractNumId w:val="12"/>
  </w:num>
  <w:num w:numId="23" w16cid:durableId="1750423574">
    <w:abstractNumId w:val="22"/>
  </w:num>
  <w:num w:numId="24" w16cid:durableId="882249022">
    <w:abstractNumId w:val="15"/>
  </w:num>
  <w:num w:numId="25" w16cid:durableId="1219979452">
    <w:abstractNumId w:val="8"/>
  </w:num>
  <w:num w:numId="26" w16cid:durableId="2119643018">
    <w:abstractNumId w:val="22"/>
  </w:num>
  <w:num w:numId="27" w16cid:durableId="1439256172">
    <w:abstractNumId w:val="20"/>
  </w:num>
  <w:num w:numId="28" w16cid:durableId="1643076515">
    <w:abstractNumId w:val="22"/>
  </w:num>
  <w:num w:numId="29" w16cid:durableId="265383572">
    <w:abstractNumId w:val="22"/>
  </w:num>
  <w:num w:numId="30" w16cid:durableId="153420602">
    <w:abstractNumId w:val="22"/>
  </w:num>
  <w:num w:numId="31" w16cid:durableId="577790733">
    <w:abstractNumId w:val="22"/>
  </w:num>
  <w:num w:numId="32" w16cid:durableId="1865708214">
    <w:abstractNumId w:val="22"/>
  </w:num>
  <w:num w:numId="33" w16cid:durableId="115949326">
    <w:abstractNumId w:val="22"/>
  </w:num>
  <w:num w:numId="34" w16cid:durableId="669021776">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evenAndOddHeaders/>
  <w:drawingGridHorizontalSpacing w:val="120"/>
  <w:displayHorizont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5CB"/>
    <w:rsid w:val="0000023C"/>
    <w:rsid w:val="00001E97"/>
    <w:rsid w:val="000023B4"/>
    <w:rsid w:val="0000310D"/>
    <w:rsid w:val="000036F7"/>
    <w:rsid w:val="00003CAA"/>
    <w:rsid w:val="00003D96"/>
    <w:rsid w:val="0000470C"/>
    <w:rsid w:val="00004A38"/>
    <w:rsid w:val="00005DCE"/>
    <w:rsid w:val="000066D2"/>
    <w:rsid w:val="00006A06"/>
    <w:rsid w:val="00006FD8"/>
    <w:rsid w:val="00007949"/>
    <w:rsid w:val="0001054A"/>
    <w:rsid w:val="00010FEC"/>
    <w:rsid w:val="00010FF3"/>
    <w:rsid w:val="00014944"/>
    <w:rsid w:val="000151A7"/>
    <w:rsid w:val="00015B09"/>
    <w:rsid w:val="00016723"/>
    <w:rsid w:val="00017EFC"/>
    <w:rsid w:val="000212EF"/>
    <w:rsid w:val="00021853"/>
    <w:rsid w:val="00022BCB"/>
    <w:rsid w:val="00025B17"/>
    <w:rsid w:val="0003082A"/>
    <w:rsid w:val="00031228"/>
    <w:rsid w:val="0003181F"/>
    <w:rsid w:val="000319A0"/>
    <w:rsid w:val="00032664"/>
    <w:rsid w:val="0003282B"/>
    <w:rsid w:val="00033535"/>
    <w:rsid w:val="00033AC5"/>
    <w:rsid w:val="00034049"/>
    <w:rsid w:val="0003411E"/>
    <w:rsid w:val="00035492"/>
    <w:rsid w:val="000358B8"/>
    <w:rsid w:val="0003674A"/>
    <w:rsid w:val="00041280"/>
    <w:rsid w:val="0004146D"/>
    <w:rsid w:val="00041785"/>
    <w:rsid w:val="00041EA7"/>
    <w:rsid w:val="00043690"/>
    <w:rsid w:val="00044DBA"/>
    <w:rsid w:val="000450CD"/>
    <w:rsid w:val="000467DA"/>
    <w:rsid w:val="00046C7A"/>
    <w:rsid w:val="0005055D"/>
    <w:rsid w:val="000521D3"/>
    <w:rsid w:val="000543BA"/>
    <w:rsid w:val="000548D9"/>
    <w:rsid w:val="000553C7"/>
    <w:rsid w:val="00055A37"/>
    <w:rsid w:val="0005631F"/>
    <w:rsid w:val="00056377"/>
    <w:rsid w:val="00058629"/>
    <w:rsid w:val="000602B6"/>
    <w:rsid w:val="00060B82"/>
    <w:rsid w:val="00060C1A"/>
    <w:rsid w:val="00060FBA"/>
    <w:rsid w:val="0006137D"/>
    <w:rsid w:val="00061D00"/>
    <w:rsid w:val="00061FB3"/>
    <w:rsid w:val="00062BC7"/>
    <w:rsid w:val="00065819"/>
    <w:rsid w:val="00067308"/>
    <w:rsid w:val="00067382"/>
    <w:rsid w:val="00067F2B"/>
    <w:rsid w:val="00067FFC"/>
    <w:rsid w:val="000701DD"/>
    <w:rsid w:val="00070423"/>
    <w:rsid w:val="00071783"/>
    <w:rsid w:val="00071980"/>
    <w:rsid w:val="000720ED"/>
    <w:rsid w:val="00072CE6"/>
    <w:rsid w:val="00074485"/>
    <w:rsid w:val="000761AD"/>
    <w:rsid w:val="000776C6"/>
    <w:rsid w:val="00077930"/>
    <w:rsid w:val="000802B9"/>
    <w:rsid w:val="000803B7"/>
    <w:rsid w:val="000825EF"/>
    <w:rsid w:val="00082BBB"/>
    <w:rsid w:val="0008313C"/>
    <w:rsid w:val="000838AB"/>
    <w:rsid w:val="00083C4B"/>
    <w:rsid w:val="0008422C"/>
    <w:rsid w:val="00086916"/>
    <w:rsid w:val="00087100"/>
    <w:rsid w:val="000906E1"/>
    <w:rsid w:val="00090B94"/>
    <w:rsid w:val="00093B6B"/>
    <w:rsid w:val="00093FF5"/>
    <w:rsid w:val="00096270"/>
    <w:rsid w:val="000967BB"/>
    <w:rsid w:val="00096CF0"/>
    <w:rsid w:val="000A0BC8"/>
    <w:rsid w:val="000A1418"/>
    <w:rsid w:val="000A194C"/>
    <w:rsid w:val="000A2467"/>
    <w:rsid w:val="000A4539"/>
    <w:rsid w:val="000A55B1"/>
    <w:rsid w:val="000A73EE"/>
    <w:rsid w:val="000A77F5"/>
    <w:rsid w:val="000B0115"/>
    <w:rsid w:val="000B0226"/>
    <w:rsid w:val="000B0699"/>
    <w:rsid w:val="000B0FD6"/>
    <w:rsid w:val="000B12BD"/>
    <w:rsid w:val="000B200E"/>
    <w:rsid w:val="000B2614"/>
    <w:rsid w:val="000B39CF"/>
    <w:rsid w:val="000B4656"/>
    <w:rsid w:val="000B48B5"/>
    <w:rsid w:val="000B5AF0"/>
    <w:rsid w:val="000B5DFF"/>
    <w:rsid w:val="000B729D"/>
    <w:rsid w:val="000B7C89"/>
    <w:rsid w:val="000C07E9"/>
    <w:rsid w:val="000C109E"/>
    <w:rsid w:val="000C2A47"/>
    <w:rsid w:val="000C522A"/>
    <w:rsid w:val="000C5E5A"/>
    <w:rsid w:val="000C6849"/>
    <w:rsid w:val="000D02B0"/>
    <w:rsid w:val="000D04F2"/>
    <w:rsid w:val="000D05ED"/>
    <w:rsid w:val="000D16A5"/>
    <w:rsid w:val="000D1D3B"/>
    <w:rsid w:val="000D4DF1"/>
    <w:rsid w:val="000D6C05"/>
    <w:rsid w:val="000E05E2"/>
    <w:rsid w:val="000E180F"/>
    <w:rsid w:val="000E1CC1"/>
    <w:rsid w:val="000E2547"/>
    <w:rsid w:val="000E2829"/>
    <w:rsid w:val="000E3298"/>
    <w:rsid w:val="000E5DFA"/>
    <w:rsid w:val="000E6528"/>
    <w:rsid w:val="000E6AB7"/>
    <w:rsid w:val="000E6BA5"/>
    <w:rsid w:val="000E7FC2"/>
    <w:rsid w:val="000F07A9"/>
    <w:rsid w:val="000F0BA8"/>
    <w:rsid w:val="000F1984"/>
    <w:rsid w:val="000F2247"/>
    <w:rsid w:val="000F27CC"/>
    <w:rsid w:val="000F3A4D"/>
    <w:rsid w:val="000F5441"/>
    <w:rsid w:val="000F7AF8"/>
    <w:rsid w:val="00100366"/>
    <w:rsid w:val="001010EC"/>
    <w:rsid w:val="001019C5"/>
    <w:rsid w:val="00104A9F"/>
    <w:rsid w:val="00106099"/>
    <w:rsid w:val="0010672B"/>
    <w:rsid w:val="00107C7F"/>
    <w:rsid w:val="00110635"/>
    <w:rsid w:val="00110FBA"/>
    <w:rsid w:val="00111E01"/>
    <w:rsid w:val="001128A5"/>
    <w:rsid w:val="0011352E"/>
    <w:rsid w:val="00113970"/>
    <w:rsid w:val="0011546B"/>
    <w:rsid w:val="001164F6"/>
    <w:rsid w:val="001176AC"/>
    <w:rsid w:val="0012007B"/>
    <w:rsid w:val="001214B2"/>
    <w:rsid w:val="00122297"/>
    <w:rsid w:val="00123599"/>
    <w:rsid w:val="00124750"/>
    <w:rsid w:val="00124D88"/>
    <w:rsid w:val="001273E5"/>
    <w:rsid w:val="00127547"/>
    <w:rsid w:val="00127BD2"/>
    <w:rsid w:val="00127CDE"/>
    <w:rsid w:val="00131A64"/>
    <w:rsid w:val="00133E4A"/>
    <w:rsid w:val="00133EC8"/>
    <w:rsid w:val="00134FFF"/>
    <w:rsid w:val="0013565F"/>
    <w:rsid w:val="00136D56"/>
    <w:rsid w:val="0013735B"/>
    <w:rsid w:val="00137EA8"/>
    <w:rsid w:val="0014035A"/>
    <w:rsid w:val="0014232E"/>
    <w:rsid w:val="00142879"/>
    <w:rsid w:val="00144A13"/>
    <w:rsid w:val="00144DCC"/>
    <w:rsid w:val="00145A69"/>
    <w:rsid w:val="00145CD7"/>
    <w:rsid w:val="001466B0"/>
    <w:rsid w:val="001468CA"/>
    <w:rsid w:val="00146A98"/>
    <w:rsid w:val="00152013"/>
    <w:rsid w:val="001527BC"/>
    <w:rsid w:val="00152C27"/>
    <w:rsid w:val="001534F7"/>
    <w:rsid w:val="001542F0"/>
    <w:rsid w:val="00154A1C"/>
    <w:rsid w:val="001563F9"/>
    <w:rsid w:val="001567C3"/>
    <w:rsid w:val="00156D9A"/>
    <w:rsid w:val="0015725F"/>
    <w:rsid w:val="001573FE"/>
    <w:rsid w:val="0015797C"/>
    <w:rsid w:val="00157F4C"/>
    <w:rsid w:val="00160802"/>
    <w:rsid w:val="00160C2D"/>
    <w:rsid w:val="00162169"/>
    <w:rsid w:val="00162D17"/>
    <w:rsid w:val="00163DCD"/>
    <w:rsid w:val="0016492A"/>
    <w:rsid w:val="00165293"/>
    <w:rsid w:val="00165EBB"/>
    <w:rsid w:val="001678AF"/>
    <w:rsid w:val="00170BEA"/>
    <w:rsid w:val="00171D91"/>
    <w:rsid w:val="00173361"/>
    <w:rsid w:val="0017357A"/>
    <w:rsid w:val="001735FF"/>
    <w:rsid w:val="00174442"/>
    <w:rsid w:val="00174F56"/>
    <w:rsid w:val="00175E52"/>
    <w:rsid w:val="001765A7"/>
    <w:rsid w:val="00182102"/>
    <w:rsid w:val="001826C2"/>
    <w:rsid w:val="0018289A"/>
    <w:rsid w:val="00182BA4"/>
    <w:rsid w:val="00182EDA"/>
    <w:rsid w:val="001853A0"/>
    <w:rsid w:val="00185A64"/>
    <w:rsid w:val="00185CE3"/>
    <w:rsid w:val="001874E2"/>
    <w:rsid w:val="001901B3"/>
    <w:rsid w:val="0019051D"/>
    <w:rsid w:val="00190A2B"/>
    <w:rsid w:val="00191253"/>
    <w:rsid w:val="00191DF4"/>
    <w:rsid w:val="00192830"/>
    <w:rsid w:val="00192B6F"/>
    <w:rsid w:val="00193F9E"/>
    <w:rsid w:val="001941D9"/>
    <w:rsid w:val="00194D55"/>
    <w:rsid w:val="00194D9D"/>
    <w:rsid w:val="001A4358"/>
    <w:rsid w:val="001A4C54"/>
    <w:rsid w:val="001A5A75"/>
    <w:rsid w:val="001A60E0"/>
    <w:rsid w:val="001A6361"/>
    <w:rsid w:val="001A738E"/>
    <w:rsid w:val="001B170D"/>
    <w:rsid w:val="001B2AE4"/>
    <w:rsid w:val="001B3D7C"/>
    <w:rsid w:val="001B4298"/>
    <w:rsid w:val="001B76C8"/>
    <w:rsid w:val="001C0B5A"/>
    <w:rsid w:val="001C0CDB"/>
    <w:rsid w:val="001C1309"/>
    <w:rsid w:val="001C1902"/>
    <w:rsid w:val="001C2570"/>
    <w:rsid w:val="001C291A"/>
    <w:rsid w:val="001C30E6"/>
    <w:rsid w:val="001C3754"/>
    <w:rsid w:val="001C38C5"/>
    <w:rsid w:val="001C3CF5"/>
    <w:rsid w:val="001C51C4"/>
    <w:rsid w:val="001C6450"/>
    <w:rsid w:val="001C6DA7"/>
    <w:rsid w:val="001C704B"/>
    <w:rsid w:val="001C7C23"/>
    <w:rsid w:val="001D08CF"/>
    <w:rsid w:val="001D2673"/>
    <w:rsid w:val="001D3F7F"/>
    <w:rsid w:val="001D4750"/>
    <w:rsid w:val="001D4B84"/>
    <w:rsid w:val="001D4BA4"/>
    <w:rsid w:val="001D6792"/>
    <w:rsid w:val="001D721D"/>
    <w:rsid w:val="001E0080"/>
    <w:rsid w:val="001E01F8"/>
    <w:rsid w:val="001E0603"/>
    <w:rsid w:val="001E079F"/>
    <w:rsid w:val="001E0A1C"/>
    <w:rsid w:val="001E0E16"/>
    <w:rsid w:val="001E1429"/>
    <w:rsid w:val="001E1A69"/>
    <w:rsid w:val="001E2A57"/>
    <w:rsid w:val="001E3332"/>
    <w:rsid w:val="001E36CE"/>
    <w:rsid w:val="001E58A3"/>
    <w:rsid w:val="001E59CF"/>
    <w:rsid w:val="001E6936"/>
    <w:rsid w:val="001F1827"/>
    <w:rsid w:val="001F1B2C"/>
    <w:rsid w:val="001F26B0"/>
    <w:rsid w:val="001F2E86"/>
    <w:rsid w:val="001F605B"/>
    <w:rsid w:val="001F6C85"/>
    <w:rsid w:val="00200861"/>
    <w:rsid w:val="002017AF"/>
    <w:rsid w:val="00202453"/>
    <w:rsid w:val="00202561"/>
    <w:rsid w:val="00204C2C"/>
    <w:rsid w:val="00204E23"/>
    <w:rsid w:val="00205383"/>
    <w:rsid w:val="00210220"/>
    <w:rsid w:val="0021047C"/>
    <w:rsid w:val="00211C3B"/>
    <w:rsid w:val="00213D88"/>
    <w:rsid w:val="00213EF0"/>
    <w:rsid w:val="0021405F"/>
    <w:rsid w:val="00216074"/>
    <w:rsid w:val="0021650A"/>
    <w:rsid w:val="0021692D"/>
    <w:rsid w:val="00217161"/>
    <w:rsid w:val="002206F0"/>
    <w:rsid w:val="0022096F"/>
    <w:rsid w:val="00220B23"/>
    <w:rsid w:val="00220EB9"/>
    <w:rsid w:val="00221035"/>
    <w:rsid w:val="00223B01"/>
    <w:rsid w:val="00223CFA"/>
    <w:rsid w:val="002240A7"/>
    <w:rsid w:val="0022420C"/>
    <w:rsid w:val="00225A23"/>
    <w:rsid w:val="00227496"/>
    <w:rsid w:val="00230304"/>
    <w:rsid w:val="00230F35"/>
    <w:rsid w:val="0023327D"/>
    <w:rsid w:val="00233488"/>
    <w:rsid w:val="00233797"/>
    <w:rsid w:val="00234B21"/>
    <w:rsid w:val="00235D27"/>
    <w:rsid w:val="00237387"/>
    <w:rsid w:val="002378FD"/>
    <w:rsid w:val="00237C3C"/>
    <w:rsid w:val="00237C8C"/>
    <w:rsid w:val="002418DB"/>
    <w:rsid w:val="00241944"/>
    <w:rsid w:val="00245923"/>
    <w:rsid w:val="002506D1"/>
    <w:rsid w:val="0025070B"/>
    <w:rsid w:val="00251005"/>
    <w:rsid w:val="00252AA4"/>
    <w:rsid w:val="002567FB"/>
    <w:rsid w:val="002569FC"/>
    <w:rsid w:val="00257BF3"/>
    <w:rsid w:val="002609E8"/>
    <w:rsid w:val="00261010"/>
    <w:rsid w:val="00261736"/>
    <w:rsid w:val="00261A74"/>
    <w:rsid w:val="00262456"/>
    <w:rsid w:val="002627A7"/>
    <w:rsid w:val="00262B09"/>
    <w:rsid w:val="002634D2"/>
    <w:rsid w:val="00264637"/>
    <w:rsid w:val="00264A8B"/>
    <w:rsid w:val="00264D0A"/>
    <w:rsid w:val="00264E67"/>
    <w:rsid w:val="00264FD1"/>
    <w:rsid w:val="002651E0"/>
    <w:rsid w:val="00265349"/>
    <w:rsid w:val="00265445"/>
    <w:rsid w:val="00265F4A"/>
    <w:rsid w:val="002667D8"/>
    <w:rsid w:val="002678D1"/>
    <w:rsid w:val="00270C54"/>
    <w:rsid w:val="002732AE"/>
    <w:rsid w:val="00274138"/>
    <w:rsid w:val="00274460"/>
    <w:rsid w:val="002754E8"/>
    <w:rsid w:val="00275CA8"/>
    <w:rsid w:val="00276083"/>
    <w:rsid w:val="0027674B"/>
    <w:rsid w:val="00276F25"/>
    <w:rsid w:val="00281E40"/>
    <w:rsid w:val="00281EAE"/>
    <w:rsid w:val="00284B6C"/>
    <w:rsid w:val="0028519C"/>
    <w:rsid w:val="0028594F"/>
    <w:rsid w:val="00285B0A"/>
    <w:rsid w:val="00286910"/>
    <w:rsid w:val="00287FC4"/>
    <w:rsid w:val="00290BFA"/>
    <w:rsid w:val="00290FD9"/>
    <w:rsid w:val="0029185B"/>
    <w:rsid w:val="002949D9"/>
    <w:rsid w:val="002949F4"/>
    <w:rsid w:val="00295330"/>
    <w:rsid w:val="00295B8F"/>
    <w:rsid w:val="00295E3D"/>
    <w:rsid w:val="00296905"/>
    <w:rsid w:val="00296D9E"/>
    <w:rsid w:val="002A13D9"/>
    <w:rsid w:val="002A160D"/>
    <w:rsid w:val="002A17EE"/>
    <w:rsid w:val="002A20D0"/>
    <w:rsid w:val="002A27D1"/>
    <w:rsid w:val="002A45A6"/>
    <w:rsid w:val="002A557C"/>
    <w:rsid w:val="002A5BD7"/>
    <w:rsid w:val="002A64F9"/>
    <w:rsid w:val="002A7DFA"/>
    <w:rsid w:val="002B044F"/>
    <w:rsid w:val="002B0C8D"/>
    <w:rsid w:val="002B0D2E"/>
    <w:rsid w:val="002B0E11"/>
    <w:rsid w:val="002B2716"/>
    <w:rsid w:val="002B476F"/>
    <w:rsid w:val="002B4D3A"/>
    <w:rsid w:val="002B4FAA"/>
    <w:rsid w:val="002B5301"/>
    <w:rsid w:val="002B6978"/>
    <w:rsid w:val="002B6BD9"/>
    <w:rsid w:val="002B6CA9"/>
    <w:rsid w:val="002B72CD"/>
    <w:rsid w:val="002C1A6F"/>
    <w:rsid w:val="002C1CFC"/>
    <w:rsid w:val="002C2EC2"/>
    <w:rsid w:val="002C31AF"/>
    <w:rsid w:val="002C3CD4"/>
    <w:rsid w:val="002C45D6"/>
    <w:rsid w:val="002C4E94"/>
    <w:rsid w:val="002C5465"/>
    <w:rsid w:val="002C55C0"/>
    <w:rsid w:val="002C67BB"/>
    <w:rsid w:val="002C727A"/>
    <w:rsid w:val="002C7B17"/>
    <w:rsid w:val="002C7B7D"/>
    <w:rsid w:val="002C7D1E"/>
    <w:rsid w:val="002D07DE"/>
    <w:rsid w:val="002D0DDF"/>
    <w:rsid w:val="002D1542"/>
    <w:rsid w:val="002D1C18"/>
    <w:rsid w:val="002D305F"/>
    <w:rsid w:val="002D36DB"/>
    <w:rsid w:val="002D3A19"/>
    <w:rsid w:val="002D41EB"/>
    <w:rsid w:val="002D4785"/>
    <w:rsid w:val="002D62C0"/>
    <w:rsid w:val="002E2AB9"/>
    <w:rsid w:val="002E30B0"/>
    <w:rsid w:val="002E33D5"/>
    <w:rsid w:val="002E348F"/>
    <w:rsid w:val="002E45EC"/>
    <w:rsid w:val="002E5133"/>
    <w:rsid w:val="002E5E7F"/>
    <w:rsid w:val="002E6B30"/>
    <w:rsid w:val="002E7D86"/>
    <w:rsid w:val="002F03CF"/>
    <w:rsid w:val="002F0711"/>
    <w:rsid w:val="002F1448"/>
    <w:rsid w:val="002F1915"/>
    <w:rsid w:val="002F1990"/>
    <w:rsid w:val="002F2A60"/>
    <w:rsid w:val="002F614C"/>
    <w:rsid w:val="002F7720"/>
    <w:rsid w:val="00300294"/>
    <w:rsid w:val="0030041B"/>
    <w:rsid w:val="00300E85"/>
    <w:rsid w:val="00300EAA"/>
    <w:rsid w:val="00301074"/>
    <w:rsid w:val="0030168A"/>
    <w:rsid w:val="0030222D"/>
    <w:rsid w:val="00303B58"/>
    <w:rsid w:val="00305C0C"/>
    <w:rsid w:val="0030748E"/>
    <w:rsid w:val="003076FB"/>
    <w:rsid w:val="00307AE2"/>
    <w:rsid w:val="00307ED0"/>
    <w:rsid w:val="00310342"/>
    <w:rsid w:val="0031295E"/>
    <w:rsid w:val="00312E78"/>
    <w:rsid w:val="00313D38"/>
    <w:rsid w:val="00314429"/>
    <w:rsid w:val="00315D4B"/>
    <w:rsid w:val="003177B2"/>
    <w:rsid w:val="00320A17"/>
    <w:rsid w:val="00320C88"/>
    <w:rsid w:val="003233ED"/>
    <w:rsid w:val="00324A29"/>
    <w:rsid w:val="003253F1"/>
    <w:rsid w:val="00325E04"/>
    <w:rsid w:val="003267A9"/>
    <w:rsid w:val="00327163"/>
    <w:rsid w:val="00327950"/>
    <w:rsid w:val="003313A8"/>
    <w:rsid w:val="00340B08"/>
    <w:rsid w:val="00341445"/>
    <w:rsid w:val="00342B29"/>
    <w:rsid w:val="0034306E"/>
    <w:rsid w:val="00346802"/>
    <w:rsid w:val="00347552"/>
    <w:rsid w:val="003478E0"/>
    <w:rsid w:val="00347FBF"/>
    <w:rsid w:val="003509EB"/>
    <w:rsid w:val="00351912"/>
    <w:rsid w:val="0035202B"/>
    <w:rsid w:val="003526E5"/>
    <w:rsid w:val="0035449C"/>
    <w:rsid w:val="00354737"/>
    <w:rsid w:val="00355736"/>
    <w:rsid w:val="00355ED5"/>
    <w:rsid w:val="0035732C"/>
    <w:rsid w:val="00357DDA"/>
    <w:rsid w:val="00357FFC"/>
    <w:rsid w:val="003602B9"/>
    <w:rsid w:val="00361D0A"/>
    <w:rsid w:val="00363433"/>
    <w:rsid w:val="00365846"/>
    <w:rsid w:val="003676F6"/>
    <w:rsid w:val="00367F13"/>
    <w:rsid w:val="00370226"/>
    <w:rsid w:val="00371296"/>
    <w:rsid w:val="00371AD1"/>
    <w:rsid w:val="00373474"/>
    <w:rsid w:val="00373C0B"/>
    <w:rsid w:val="003744AB"/>
    <w:rsid w:val="00374663"/>
    <w:rsid w:val="00375193"/>
    <w:rsid w:val="003756B3"/>
    <w:rsid w:val="00375AC0"/>
    <w:rsid w:val="00380A9B"/>
    <w:rsid w:val="0038172E"/>
    <w:rsid w:val="003823AD"/>
    <w:rsid w:val="00383138"/>
    <w:rsid w:val="00383303"/>
    <w:rsid w:val="00384082"/>
    <w:rsid w:val="0038436C"/>
    <w:rsid w:val="003859FC"/>
    <w:rsid w:val="00385CED"/>
    <w:rsid w:val="00386E67"/>
    <w:rsid w:val="00387F82"/>
    <w:rsid w:val="003907B2"/>
    <w:rsid w:val="00390A77"/>
    <w:rsid w:val="00392E0F"/>
    <w:rsid w:val="00392F9A"/>
    <w:rsid w:val="00396728"/>
    <w:rsid w:val="00397DDD"/>
    <w:rsid w:val="003A0B12"/>
    <w:rsid w:val="003A1523"/>
    <w:rsid w:val="003A1C4F"/>
    <w:rsid w:val="003A3599"/>
    <w:rsid w:val="003A4716"/>
    <w:rsid w:val="003A6EFB"/>
    <w:rsid w:val="003A773B"/>
    <w:rsid w:val="003B0776"/>
    <w:rsid w:val="003B11B6"/>
    <w:rsid w:val="003B2CE7"/>
    <w:rsid w:val="003B2F8D"/>
    <w:rsid w:val="003B343C"/>
    <w:rsid w:val="003B3DB3"/>
    <w:rsid w:val="003B4A60"/>
    <w:rsid w:val="003B52C4"/>
    <w:rsid w:val="003B5C06"/>
    <w:rsid w:val="003B5C40"/>
    <w:rsid w:val="003B7750"/>
    <w:rsid w:val="003B7778"/>
    <w:rsid w:val="003B793E"/>
    <w:rsid w:val="003C0791"/>
    <w:rsid w:val="003C0DD9"/>
    <w:rsid w:val="003C2DF7"/>
    <w:rsid w:val="003C416E"/>
    <w:rsid w:val="003C4AB7"/>
    <w:rsid w:val="003C512A"/>
    <w:rsid w:val="003C64CA"/>
    <w:rsid w:val="003C68C7"/>
    <w:rsid w:val="003C6E34"/>
    <w:rsid w:val="003C7569"/>
    <w:rsid w:val="003C7777"/>
    <w:rsid w:val="003C7CA4"/>
    <w:rsid w:val="003D2895"/>
    <w:rsid w:val="003D315D"/>
    <w:rsid w:val="003D32C2"/>
    <w:rsid w:val="003D5519"/>
    <w:rsid w:val="003D56CE"/>
    <w:rsid w:val="003D608E"/>
    <w:rsid w:val="003D6543"/>
    <w:rsid w:val="003D6ABF"/>
    <w:rsid w:val="003D6E35"/>
    <w:rsid w:val="003D72E7"/>
    <w:rsid w:val="003E0508"/>
    <w:rsid w:val="003E214F"/>
    <w:rsid w:val="003E4274"/>
    <w:rsid w:val="003E466C"/>
    <w:rsid w:val="003E4738"/>
    <w:rsid w:val="003E4AF9"/>
    <w:rsid w:val="003E4CD6"/>
    <w:rsid w:val="003E51C2"/>
    <w:rsid w:val="003E5DEA"/>
    <w:rsid w:val="003E6DDB"/>
    <w:rsid w:val="003E746A"/>
    <w:rsid w:val="003F03EC"/>
    <w:rsid w:val="003F0D5C"/>
    <w:rsid w:val="003F0F50"/>
    <w:rsid w:val="003F0F90"/>
    <w:rsid w:val="003F266A"/>
    <w:rsid w:val="003F28C3"/>
    <w:rsid w:val="003F380E"/>
    <w:rsid w:val="003F5796"/>
    <w:rsid w:val="003F731C"/>
    <w:rsid w:val="003F7F2D"/>
    <w:rsid w:val="00400DAF"/>
    <w:rsid w:val="004027D8"/>
    <w:rsid w:val="00402BE8"/>
    <w:rsid w:val="00403A3E"/>
    <w:rsid w:val="00404C87"/>
    <w:rsid w:val="004055D9"/>
    <w:rsid w:val="00405DA5"/>
    <w:rsid w:val="0040627C"/>
    <w:rsid w:val="00406511"/>
    <w:rsid w:val="004069C4"/>
    <w:rsid w:val="00407E63"/>
    <w:rsid w:val="004100CE"/>
    <w:rsid w:val="00412492"/>
    <w:rsid w:val="00412DF4"/>
    <w:rsid w:val="0041309A"/>
    <w:rsid w:val="00413349"/>
    <w:rsid w:val="004147F7"/>
    <w:rsid w:val="004148BF"/>
    <w:rsid w:val="00414A6D"/>
    <w:rsid w:val="004208A0"/>
    <w:rsid w:val="00420EC8"/>
    <w:rsid w:val="00422AF1"/>
    <w:rsid w:val="0042333F"/>
    <w:rsid w:val="004233AA"/>
    <w:rsid w:val="00424BEC"/>
    <w:rsid w:val="00425C4F"/>
    <w:rsid w:val="00426041"/>
    <w:rsid w:val="004262E1"/>
    <w:rsid w:val="00427475"/>
    <w:rsid w:val="004302F1"/>
    <w:rsid w:val="004302F8"/>
    <w:rsid w:val="0043108D"/>
    <w:rsid w:val="004316E8"/>
    <w:rsid w:val="00432C79"/>
    <w:rsid w:val="00433A8B"/>
    <w:rsid w:val="0043521E"/>
    <w:rsid w:val="004378F7"/>
    <w:rsid w:val="00440028"/>
    <w:rsid w:val="00440442"/>
    <w:rsid w:val="00441642"/>
    <w:rsid w:val="004417E3"/>
    <w:rsid w:val="00442079"/>
    <w:rsid w:val="00442AE9"/>
    <w:rsid w:val="004469E6"/>
    <w:rsid w:val="00446D3A"/>
    <w:rsid w:val="0045117E"/>
    <w:rsid w:val="004518B9"/>
    <w:rsid w:val="00451B1C"/>
    <w:rsid w:val="00453407"/>
    <w:rsid w:val="00454800"/>
    <w:rsid w:val="00455EDF"/>
    <w:rsid w:val="00457E54"/>
    <w:rsid w:val="0046063F"/>
    <w:rsid w:val="00460850"/>
    <w:rsid w:val="004617FD"/>
    <w:rsid w:val="00462BBF"/>
    <w:rsid w:val="0046325C"/>
    <w:rsid w:val="00463565"/>
    <w:rsid w:val="00463F32"/>
    <w:rsid w:val="00464AC8"/>
    <w:rsid w:val="00464C74"/>
    <w:rsid w:val="004652BC"/>
    <w:rsid w:val="00467172"/>
    <w:rsid w:val="00467B14"/>
    <w:rsid w:val="00467C93"/>
    <w:rsid w:val="00471093"/>
    <w:rsid w:val="004763B7"/>
    <w:rsid w:val="00477B94"/>
    <w:rsid w:val="00477F99"/>
    <w:rsid w:val="00481365"/>
    <w:rsid w:val="004815A3"/>
    <w:rsid w:val="00481BF1"/>
    <w:rsid w:val="00483383"/>
    <w:rsid w:val="00484F31"/>
    <w:rsid w:val="00485549"/>
    <w:rsid w:val="00485B67"/>
    <w:rsid w:val="00485FD4"/>
    <w:rsid w:val="00486285"/>
    <w:rsid w:val="0048724D"/>
    <w:rsid w:val="00490B92"/>
    <w:rsid w:val="00490C80"/>
    <w:rsid w:val="0049263C"/>
    <w:rsid w:val="00492644"/>
    <w:rsid w:val="00492BA3"/>
    <w:rsid w:val="00495D90"/>
    <w:rsid w:val="00496BB8"/>
    <w:rsid w:val="00496FF8"/>
    <w:rsid w:val="004978D8"/>
    <w:rsid w:val="004A1C9D"/>
    <w:rsid w:val="004A20F5"/>
    <w:rsid w:val="004A2987"/>
    <w:rsid w:val="004A48AB"/>
    <w:rsid w:val="004A6702"/>
    <w:rsid w:val="004A7B51"/>
    <w:rsid w:val="004B043A"/>
    <w:rsid w:val="004B3833"/>
    <w:rsid w:val="004B38C4"/>
    <w:rsid w:val="004B39E2"/>
    <w:rsid w:val="004B3CE9"/>
    <w:rsid w:val="004B70C0"/>
    <w:rsid w:val="004C01FF"/>
    <w:rsid w:val="004C062A"/>
    <w:rsid w:val="004C191C"/>
    <w:rsid w:val="004C1C9A"/>
    <w:rsid w:val="004C2F1A"/>
    <w:rsid w:val="004C465D"/>
    <w:rsid w:val="004C46CD"/>
    <w:rsid w:val="004C4F61"/>
    <w:rsid w:val="004D19BE"/>
    <w:rsid w:val="004D4899"/>
    <w:rsid w:val="004E068A"/>
    <w:rsid w:val="004E06DC"/>
    <w:rsid w:val="004E0986"/>
    <w:rsid w:val="004E1421"/>
    <w:rsid w:val="004E1D5F"/>
    <w:rsid w:val="004E1ED7"/>
    <w:rsid w:val="004E1F8B"/>
    <w:rsid w:val="004E268D"/>
    <w:rsid w:val="004E364F"/>
    <w:rsid w:val="004E434F"/>
    <w:rsid w:val="004E5B5B"/>
    <w:rsid w:val="004E6C8D"/>
    <w:rsid w:val="004E7A12"/>
    <w:rsid w:val="004E7EC3"/>
    <w:rsid w:val="004F0790"/>
    <w:rsid w:val="004F56E2"/>
    <w:rsid w:val="0050122D"/>
    <w:rsid w:val="00501354"/>
    <w:rsid w:val="00501B49"/>
    <w:rsid w:val="00502B2A"/>
    <w:rsid w:val="00505FD1"/>
    <w:rsid w:val="00507182"/>
    <w:rsid w:val="00507670"/>
    <w:rsid w:val="005106FC"/>
    <w:rsid w:val="005113C4"/>
    <w:rsid w:val="00512388"/>
    <w:rsid w:val="00513BBB"/>
    <w:rsid w:val="005165FF"/>
    <w:rsid w:val="0052312F"/>
    <w:rsid w:val="005234AD"/>
    <w:rsid w:val="0052395E"/>
    <w:rsid w:val="005258CF"/>
    <w:rsid w:val="00525E26"/>
    <w:rsid w:val="00526CA8"/>
    <w:rsid w:val="00526DA7"/>
    <w:rsid w:val="00530254"/>
    <w:rsid w:val="00530901"/>
    <w:rsid w:val="00531606"/>
    <w:rsid w:val="00531EF0"/>
    <w:rsid w:val="005327DF"/>
    <w:rsid w:val="00534941"/>
    <w:rsid w:val="00535326"/>
    <w:rsid w:val="00535AFB"/>
    <w:rsid w:val="00535CEF"/>
    <w:rsid w:val="005362D4"/>
    <w:rsid w:val="00537D3B"/>
    <w:rsid w:val="00541242"/>
    <w:rsid w:val="005412D5"/>
    <w:rsid w:val="00541C0B"/>
    <w:rsid w:val="00542450"/>
    <w:rsid w:val="00544B0F"/>
    <w:rsid w:val="005450E5"/>
    <w:rsid w:val="0054513B"/>
    <w:rsid w:val="00545B5D"/>
    <w:rsid w:val="00547277"/>
    <w:rsid w:val="005474FC"/>
    <w:rsid w:val="005478FB"/>
    <w:rsid w:val="00547A2C"/>
    <w:rsid w:val="00547F66"/>
    <w:rsid w:val="00550012"/>
    <w:rsid w:val="005509AE"/>
    <w:rsid w:val="0055180F"/>
    <w:rsid w:val="0055537D"/>
    <w:rsid w:val="00555BC0"/>
    <w:rsid w:val="005570CE"/>
    <w:rsid w:val="00557B63"/>
    <w:rsid w:val="00561E86"/>
    <w:rsid w:val="00562670"/>
    <w:rsid w:val="00571104"/>
    <w:rsid w:val="00572777"/>
    <w:rsid w:val="00572E95"/>
    <w:rsid w:val="00576C92"/>
    <w:rsid w:val="00576CEC"/>
    <w:rsid w:val="005778D0"/>
    <w:rsid w:val="00580392"/>
    <w:rsid w:val="005818B5"/>
    <w:rsid w:val="00583504"/>
    <w:rsid w:val="00583ADA"/>
    <w:rsid w:val="00583D73"/>
    <w:rsid w:val="0058479C"/>
    <w:rsid w:val="00586636"/>
    <w:rsid w:val="00590CA8"/>
    <w:rsid w:val="00591DDE"/>
    <w:rsid w:val="00592C7A"/>
    <w:rsid w:val="00593973"/>
    <w:rsid w:val="005939F7"/>
    <w:rsid w:val="0059480C"/>
    <w:rsid w:val="0059499B"/>
    <w:rsid w:val="00595829"/>
    <w:rsid w:val="00595D82"/>
    <w:rsid w:val="00595E55"/>
    <w:rsid w:val="00596A50"/>
    <w:rsid w:val="005A0118"/>
    <w:rsid w:val="005A0CB4"/>
    <w:rsid w:val="005A0F5A"/>
    <w:rsid w:val="005A2BE1"/>
    <w:rsid w:val="005A5E28"/>
    <w:rsid w:val="005A7F33"/>
    <w:rsid w:val="005B0EFE"/>
    <w:rsid w:val="005B175E"/>
    <w:rsid w:val="005B2993"/>
    <w:rsid w:val="005B34C5"/>
    <w:rsid w:val="005B34D5"/>
    <w:rsid w:val="005B3821"/>
    <w:rsid w:val="005B3C0E"/>
    <w:rsid w:val="005B3F4B"/>
    <w:rsid w:val="005B533B"/>
    <w:rsid w:val="005B62DD"/>
    <w:rsid w:val="005B6387"/>
    <w:rsid w:val="005B6AC8"/>
    <w:rsid w:val="005B7321"/>
    <w:rsid w:val="005B7C3D"/>
    <w:rsid w:val="005C15C7"/>
    <w:rsid w:val="005C18AD"/>
    <w:rsid w:val="005C204C"/>
    <w:rsid w:val="005C2888"/>
    <w:rsid w:val="005C2A24"/>
    <w:rsid w:val="005C355D"/>
    <w:rsid w:val="005C3D08"/>
    <w:rsid w:val="005C5634"/>
    <w:rsid w:val="005C59B3"/>
    <w:rsid w:val="005C5A8B"/>
    <w:rsid w:val="005C5BD9"/>
    <w:rsid w:val="005C712C"/>
    <w:rsid w:val="005D0392"/>
    <w:rsid w:val="005D04AD"/>
    <w:rsid w:val="005D09E8"/>
    <w:rsid w:val="005D0D23"/>
    <w:rsid w:val="005D2A31"/>
    <w:rsid w:val="005D4A75"/>
    <w:rsid w:val="005D4B31"/>
    <w:rsid w:val="005D7012"/>
    <w:rsid w:val="005D76F7"/>
    <w:rsid w:val="005E05C4"/>
    <w:rsid w:val="005E10BA"/>
    <w:rsid w:val="005E45F6"/>
    <w:rsid w:val="005E5095"/>
    <w:rsid w:val="005E50AC"/>
    <w:rsid w:val="005E562C"/>
    <w:rsid w:val="005E682A"/>
    <w:rsid w:val="005E72D9"/>
    <w:rsid w:val="005F14A9"/>
    <w:rsid w:val="005F2153"/>
    <w:rsid w:val="005F2261"/>
    <w:rsid w:val="005F3C7E"/>
    <w:rsid w:val="005F4EC7"/>
    <w:rsid w:val="005F674B"/>
    <w:rsid w:val="005F6829"/>
    <w:rsid w:val="005F7F9D"/>
    <w:rsid w:val="0060002B"/>
    <w:rsid w:val="0060026E"/>
    <w:rsid w:val="00600DE8"/>
    <w:rsid w:val="00601043"/>
    <w:rsid w:val="00601A8D"/>
    <w:rsid w:val="006023A4"/>
    <w:rsid w:val="0060241A"/>
    <w:rsid w:val="006048C8"/>
    <w:rsid w:val="00605934"/>
    <w:rsid w:val="00605E63"/>
    <w:rsid w:val="006063B1"/>
    <w:rsid w:val="00606B70"/>
    <w:rsid w:val="00611A5D"/>
    <w:rsid w:val="00611A93"/>
    <w:rsid w:val="00612B82"/>
    <w:rsid w:val="00612EA4"/>
    <w:rsid w:val="00614441"/>
    <w:rsid w:val="00615C1B"/>
    <w:rsid w:val="006205F3"/>
    <w:rsid w:val="00620605"/>
    <w:rsid w:val="00621A04"/>
    <w:rsid w:val="00622AE6"/>
    <w:rsid w:val="00622C08"/>
    <w:rsid w:val="0062370F"/>
    <w:rsid w:val="00624691"/>
    <w:rsid w:val="0063005B"/>
    <w:rsid w:val="00630138"/>
    <w:rsid w:val="00630298"/>
    <w:rsid w:val="00630730"/>
    <w:rsid w:val="006320B2"/>
    <w:rsid w:val="00633928"/>
    <w:rsid w:val="00633BFF"/>
    <w:rsid w:val="00635EF3"/>
    <w:rsid w:val="006362DB"/>
    <w:rsid w:val="0063646A"/>
    <w:rsid w:val="00637024"/>
    <w:rsid w:val="0063745E"/>
    <w:rsid w:val="00637964"/>
    <w:rsid w:val="00641720"/>
    <w:rsid w:val="00641ACC"/>
    <w:rsid w:val="00643B67"/>
    <w:rsid w:val="00643D79"/>
    <w:rsid w:val="00644CA2"/>
    <w:rsid w:val="00646C69"/>
    <w:rsid w:val="00647032"/>
    <w:rsid w:val="0064792C"/>
    <w:rsid w:val="00647D97"/>
    <w:rsid w:val="00650D5A"/>
    <w:rsid w:val="00655474"/>
    <w:rsid w:val="006558EC"/>
    <w:rsid w:val="006567DB"/>
    <w:rsid w:val="006576C1"/>
    <w:rsid w:val="00662D05"/>
    <w:rsid w:val="00663FA0"/>
    <w:rsid w:val="00664057"/>
    <w:rsid w:val="00664264"/>
    <w:rsid w:val="006654A3"/>
    <w:rsid w:val="00665E45"/>
    <w:rsid w:val="00665E46"/>
    <w:rsid w:val="0066635F"/>
    <w:rsid w:val="00666408"/>
    <w:rsid w:val="00666555"/>
    <w:rsid w:val="0067048A"/>
    <w:rsid w:val="00671247"/>
    <w:rsid w:val="00671B11"/>
    <w:rsid w:val="006727AE"/>
    <w:rsid w:val="00673A4E"/>
    <w:rsid w:val="00674E9C"/>
    <w:rsid w:val="00675373"/>
    <w:rsid w:val="00675621"/>
    <w:rsid w:val="00675CAA"/>
    <w:rsid w:val="00676E07"/>
    <w:rsid w:val="00677029"/>
    <w:rsid w:val="0067797F"/>
    <w:rsid w:val="00677FB1"/>
    <w:rsid w:val="00680327"/>
    <w:rsid w:val="00680D95"/>
    <w:rsid w:val="00681CB6"/>
    <w:rsid w:val="00681F39"/>
    <w:rsid w:val="00690928"/>
    <w:rsid w:val="00690B49"/>
    <w:rsid w:val="006935CA"/>
    <w:rsid w:val="00693BEE"/>
    <w:rsid w:val="00696878"/>
    <w:rsid w:val="006975CD"/>
    <w:rsid w:val="006979DA"/>
    <w:rsid w:val="006A1285"/>
    <w:rsid w:val="006A16A5"/>
    <w:rsid w:val="006A1F3A"/>
    <w:rsid w:val="006A20D4"/>
    <w:rsid w:val="006A3086"/>
    <w:rsid w:val="006A3288"/>
    <w:rsid w:val="006A3B37"/>
    <w:rsid w:val="006A3FAE"/>
    <w:rsid w:val="006A45AE"/>
    <w:rsid w:val="006A48D9"/>
    <w:rsid w:val="006A5984"/>
    <w:rsid w:val="006A7093"/>
    <w:rsid w:val="006B1489"/>
    <w:rsid w:val="006B670D"/>
    <w:rsid w:val="006C0260"/>
    <w:rsid w:val="006C1197"/>
    <w:rsid w:val="006C155F"/>
    <w:rsid w:val="006C21DC"/>
    <w:rsid w:val="006C2270"/>
    <w:rsid w:val="006C325D"/>
    <w:rsid w:val="006C384E"/>
    <w:rsid w:val="006C4AF0"/>
    <w:rsid w:val="006C5393"/>
    <w:rsid w:val="006C5666"/>
    <w:rsid w:val="006C616D"/>
    <w:rsid w:val="006C7C72"/>
    <w:rsid w:val="006D0911"/>
    <w:rsid w:val="006D21CD"/>
    <w:rsid w:val="006D2529"/>
    <w:rsid w:val="006D2B3B"/>
    <w:rsid w:val="006D54D8"/>
    <w:rsid w:val="006D55D7"/>
    <w:rsid w:val="006D627B"/>
    <w:rsid w:val="006D6D34"/>
    <w:rsid w:val="006E12D8"/>
    <w:rsid w:val="006E224D"/>
    <w:rsid w:val="006E35A2"/>
    <w:rsid w:val="006E3BFE"/>
    <w:rsid w:val="006E44A5"/>
    <w:rsid w:val="006E53C0"/>
    <w:rsid w:val="006E5613"/>
    <w:rsid w:val="006E6303"/>
    <w:rsid w:val="006E6FDB"/>
    <w:rsid w:val="006E7E0C"/>
    <w:rsid w:val="006F00EF"/>
    <w:rsid w:val="006F0AD5"/>
    <w:rsid w:val="006F0EC8"/>
    <w:rsid w:val="006F1839"/>
    <w:rsid w:val="006F1844"/>
    <w:rsid w:val="006F1A19"/>
    <w:rsid w:val="006F2065"/>
    <w:rsid w:val="006F22BF"/>
    <w:rsid w:val="006F3DAA"/>
    <w:rsid w:val="006F50AA"/>
    <w:rsid w:val="006F5171"/>
    <w:rsid w:val="006F6331"/>
    <w:rsid w:val="006F7A60"/>
    <w:rsid w:val="0070001D"/>
    <w:rsid w:val="00701D01"/>
    <w:rsid w:val="007032D3"/>
    <w:rsid w:val="00703F3E"/>
    <w:rsid w:val="00704CFF"/>
    <w:rsid w:val="00706018"/>
    <w:rsid w:val="00707F4A"/>
    <w:rsid w:val="00711C97"/>
    <w:rsid w:val="00711FC3"/>
    <w:rsid w:val="00712162"/>
    <w:rsid w:val="007122E7"/>
    <w:rsid w:val="00712881"/>
    <w:rsid w:val="00712BAC"/>
    <w:rsid w:val="00713A36"/>
    <w:rsid w:val="00713CC0"/>
    <w:rsid w:val="00713DC9"/>
    <w:rsid w:val="00714D60"/>
    <w:rsid w:val="00714F53"/>
    <w:rsid w:val="007152C3"/>
    <w:rsid w:val="00715AAC"/>
    <w:rsid w:val="00715AFD"/>
    <w:rsid w:val="007176FE"/>
    <w:rsid w:val="00720398"/>
    <w:rsid w:val="00721BD2"/>
    <w:rsid w:val="00721F06"/>
    <w:rsid w:val="00722875"/>
    <w:rsid w:val="00722E3C"/>
    <w:rsid w:val="0072431A"/>
    <w:rsid w:val="00727EAC"/>
    <w:rsid w:val="00730D2A"/>
    <w:rsid w:val="00730EC4"/>
    <w:rsid w:val="007313CA"/>
    <w:rsid w:val="007314E6"/>
    <w:rsid w:val="0073190E"/>
    <w:rsid w:val="00732287"/>
    <w:rsid w:val="0073242F"/>
    <w:rsid w:val="007328D3"/>
    <w:rsid w:val="0073336B"/>
    <w:rsid w:val="007345DD"/>
    <w:rsid w:val="00734C9E"/>
    <w:rsid w:val="00734CED"/>
    <w:rsid w:val="00736728"/>
    <w:rsid w:val="00737170"/>
    <w:rsid w:val="00741F7E"/>
    <w:rsid w:val="0074202D"/>
    <w:rsid w:val="007442AE"/>
    <w:rsid w:val="007467A2"/>
    <w:rsid w:val="00746D2B"/>
    <w:rsid w:val="007472B7"/>
    <w:rsid w:val="007504B2"/>
    <w:rsid w:val="00752A70"/>
    <w:rsid w:val="00752DC6"/>
    <w:rsid w:val="00752E92"/>
    <w:rsid w:val="00753280"/>
    <w:rsid w:val="00753A02"/>
    <w:rsid w:val="00754860"/>
    <w:rsid w:val="007554AA"/>
    <w:rsid w:val="00756FF9"/>
    <w:rsid w:val="00757583"/>
    <w:rsid w:val="00757926"/>
    <w:rsid w:val="007617A3"/>
    <w:rsid w:val="00761FFF"/>
    <w:rsid w:val="00762C39"/>
    <w:rsid w:val="0076304E"/>
    <w:rsid w:val="0076343E"/>
    <w:rsid w:val="00764CB8"/>
    <w:rsid w:val="007671C3"/>
    <w:rsid w:val="007672A2"/>
    <w:rsid w:val="0076774D"/>
    <w:rsid w:val="00767ACC"/>
    <w:rsid w:val="00767B46"/>
    <w:rsid w:val="00770F39"/>
    <w:rsid w:val="00772DA5"/>
    <w:rsid w:val="00773316"/>
    <w:rsid w:val="007733A8"/>
    <w:rsid w:val="0077485E"/>
    <w:rsid w:val="00774AA4"/>
    <w:rsid w:val="00775176"/>
    <w:rsid w:val="007759D0"/>
    <w:rsid w:val="00775DAC"/>
    <w:rsid w:val="00777715"/>
    <w:rsid w:val="00781E14"/>
    <w:rsid w:val="0078250F"/>
    <w:rsid w:val="0078496F"/>
    <w:rsid w:val="00785108"/>
    <w:rsid w:val="00785779"/>
    <w:rsid w:val="00785CF2"/>
    <w:rsid w:val="0078796F"/>
    <w:rsid w:val="00790722"/>
    <w:rsid w:val="007913D3"/>
    <w:rsid w:val="00795720"/>
    <w:rsid w:val="00797129"/>
    <w:rsid w:val="007A0742"/>
    <w:rsid w:val="007A13C6"/>
    <w:rsid w:val="007A2F11"/>
    <w:rsid w:val="007A3A70"/>
    <w:rsid w:val="007A4934"/>
    <w:rsid w:val="007A6E1A"/>
    <w:rsid w:val="007A72E2"/>
    <w:rsid w:val="007B24DC"/>
    <w:rsid w:val="007B2F17"/>
    <w:rsid w:val="007B3DBD"/>
    <w:rsid w:val="007B4080"/>
    <w:rsid w:val="007B434A"/>
    <w:rsid w:val="007B4360"/>
    <w:rsid w:val="007B4DA3"/>
    <w:rsid w:val="007B5E4C"/>
    <w:rsid w:val="007B5E87"/>
    <w:rsid w:val="007B6396"/>
    <w:rsid w:val="007C0F54"/>
    <w:rsid w:val="007C3785"/>
    <w:rsid w:val="007C382D"/>
    <w:rsid w:val="007C59BB"/>
    <w:rsid w:val="007C5F88"/>
    <w:rsid w:val="007C647F"/>
    <w:rsid w:val="007C64D4"/>
    <w:rsid w:val="007C7E27"/>
    <w:rsid w:val="007D0F17"/>
    <w:rsid w:val="007D1744"/>
    <w:rsid w:val="007D5932"/>
    <w:rsid w:val="007D659F"/>
    <w:rsid w:val="007E0A9B"/>
    <w:rsid w:val="007E13ED"/>
    <w:rsid w:val="007E46DB"/>
    <w:rsid w:val="007E668F"/>
    <w:rsid w:val="007E6A1D"/>
    <w:rsid w:val="007F205B"/>
    <w:rsid w:val="007F37E6"/>
    <w:rsid w:val="007F3C90"/>
    <w:rsid w:val="007F417E"/>
    <w:rsid w:val="007F56CE"/>
    <w:rsid w:val="007F66ED"/>
    <w:rsid w:val="00801077"/>
    <w:rsid w:val="008021DA"/>
    <w:rsid w:val="0080384C"/>
    <w:rsid w:val="008058B6"/>
    <w:rsid w:val="008100FD"/>
    <w:rsid w:val="008109BD"/>
    <w:rsid w:val="00810B0E"/>
    <w:rsid w:val="00811D57"/>
    <w:rsid w:val="00812A20"/>
    <w:rsid w:val="008134D6"/>
    <w:rsid w:val="00815A16"/>
    <w:rsid w:val="00817189"/>
    <w:rsid w:val="00820764"/>
    <w:rsid w:val="00820EF5"/>
    <w:rsid w:val="0082235D"/>
    <w:rsid w:val="00824E19"/>
    <w:rsid w:val="008251EF"/>
    <w:rsid w:val="00825CBF"/>
    <w:rsid w:val="00825E30"/>
    <w:rsid w:val="008260DB"/>
    <w:rsid w:val="008277C9"/>
    <w:rsid w:val="00827859"/>
    <w:rsid w:val="0083023F"/>
    <w:rsid w:val="008303EF"/>
    <w:rsid w:val="008307CA"/>
    <w:rsid w:val="008330DB"/>
    <w:rsid w:val="00833837"/>
    <w:rsid w:val="00833FE3"/>
    <w:rsid w:val="008344A0"/>
    <w:rsid w:val="00835766"/>
    <w:rsid w:val="00835B8D"/>
    <w:rsid w:val="00836821"/>
    <w:rsid w:val="0083685C"/>
    <w:rsid w:val="0083718B"/>
    <w:rsid w:val="0084023B"/>
    <w:rsid w:val="008404FB"/>
    <w:rsid w:val="00843202"/>
    <w:rsid w:val="00843705"/>
    <w:rsid w:val="00844413"/>
    <w:rsid w:val="00844A12"/>
    <w:rsid w:val="00844F16"/>
    <w:rsid w:val="00845E07"/>
    <w:rsid w:val="0084743B"/>
    <w:rsid w:val="00847C34"/>
    <w:rsid w:val="00851AFC"/>
    <w:rsid w:val="00852386"/>
    <w:rsid w:val="008525EC"/>
    <w:rsid w:val="0085268C"/>
    <w:rsid w:val="008539F1"/>
    <w:rsid w:val="008569FC"/>
    <w:rsid w:val="00857ADF"/>
    <w:rsid w:val="00860A3E"/>
    <w:rsid w:val="00860F10"/>
    <w:rsid w:val="0086208D"/>
    <w:rsid w:val="0086272A"/>
    <w:rsid w:val="0086356A"/>
    <w:rsid w:val="008639B3"/>
    <w:rsid w:val="00863DD1"/>
    <w:rsid w:val="008643CE"/>
    <w:rsid w:val="008647FB"/>
    <w:rsid w:val="00864C60"/>
    <w:rsid w:val="00865015"/>
    <w:rsid w:val="008651B1"/>
    <w:rsid w:val="00865426"/>
    <w:rsid w:val="00866049"/>
    <w:rsid w:val="00866239"/>
    <w:rsid w:val="00866CFA"/>
    <w:rsid w:val="00870299"/>
    <w:rsid w:val="0087054C"/>
    <w:rsid w:val="008718A9"/>
    <w:rsid w:val="00871967"/>
    <w:rsid w:val="008749A1"/>
    <w:rsid w:val="008751FB"/>
    <w:rsid w:val="00875DF6"/>
    <w:rsid w:val="00876D1C"/>
    <w:rsid w:val="00877766"/>
    <w:rsid w:val="00880C4A"/>
    <w:rsid w:val="008815A5"/>
    <w:rsid w:val="00882FD8"/>
    <w:rsid w:val="00883257"/>
    <w:rsid w:val="008848A9"/>
    <w:rsid w:val="008856C8"/>
    <w:rsid w:val="00890A13"/>
    <w:rsid w:val="00890B3B"/>
    <w:rsid w:val="008911AB"/>
    <w:rsid w:val="00891668"/>
    <w:rsid w:val="0089176F"/>
    <w:rsid w:val="00891FD5"/>
    <w:rsid w:val="00892163"/>
    <w:rsid w:val="00892490"/>
    <w:rsid w:val="00892B76"/>
    <w:rsid w:val="0089534A"/>
    <w:rsid w:val="00897728"/>
    <w:rsid w:val="00897CC2"/>
    <w:rsid w:val="008A0D6C"/>
    <w:rsid w:val="008A140E"/>
    <w:rsid w:val="008A1993"/>
    <w:rsid w:val="008A1E75"/>
    <w:rsid w:val="008A1F76"/>
    <w:rsid w:val="008A1FD3"/>
    <w:rsid w:val="008A30F4"/>
    <w:rsid w:val="008A3C72"/>
    <w:rsid w:val="008A40A8"/>
    <w:rsid w:val="008A5C33"/>
    <w:rsid w:val="008A63D5"/>
    <w:rsid w:val="008A6814"/>
    <w:rsid w:val="008A693C"/>
    <w:rsid w:val="008A69F7"/>
    <w:rsid w:val="008A72F1"/>
    <w:rsid w:val="008B001E"/>
    <w:rsid w:val="008B1028"/>
    <w:rsid w:val="008B3181"/>
    <w:rsid w:val="008B3329"/>
    <w:rsid w:val="008B48EE"/>
    <w:rsid w:val="008B51E5"/>
    <w:rsid w:val="008B54FA"/>
    <w:rsid w:val="008B6B26"/>
    <w:rsid w:val="008B721E"/>
    <w:rsid w:val="008C0DEF"/>
    <w:rsid w:val="008C15B3"/>
    <w:rsid w:val="008C2F1C"/>
    <w:rsid w:val="008C3DDC"/>
    <w:rsid w:val="008C44FF"/>
    <w:rsid w:val="008C4BE1"/>
    <w:rsid w:val="008C612D"/>
    <w:rsid w:val="008C6CE5"/>
    <w:rsid w:val="008D04DC"/>
    <w:rsid w:val="008D0880"/>
    <w:rsid w:val="008D123B"/>
    <w:rsid w:val="008D24BE"/>
    <w:rsid w:val="008D2DFA"/>
    <w:rsid w:val="008D33A1"/>
    <w:rsid w:val="008D5235"/>
    <w:rsid w:val="008D70EA"/>
    <w:rsid w:val="008D799A"/>
    <w:rsid w:val="008E1FBC"/>
    <w:rsid w:val="008E45AF"/>
    <w:rsid w:val="008E6D55"/>
    <w:rsid w:val="008F0BE1"/>
    <w:rsid w:val="008F0F30"/>
    <w:rsid w:val="008F25CE"/>
    <w:rsid w:val="008F260F"/>
    <w:rsid w:val="008F2778"/>
    <w:rsid w:val="008F3D32"/>
    <w:rsid w:val="008F471B"/>
    <w:rsid w:val="008F4A9C"/>
    <w:rsid w:val="008F4DA2"/>
    <w:rsid w:val="008F5C65"/>
    <w:rsid w:val="008F66C2"/>
    <w:rsid w:val="008F66F2"/>
    <w:rsid w:val="0090043B"/>
    <w:rsid w:val="009010BF"/>
    <w:rsid w:val="009012F4"/>
    <w:rsid w:val="009016F7"/>
    <w:rsid w:val="00902998"/>
    <w:rsid w:val="00902A55"/>
    <w:rsid w:val="0090351D"/>
    <w:rsid w:val="0090522F"/>
    <w:rsid w:val="00907912"/>
    <w:rsid w:val="00907B6B"/>
    <w:rsid w:val="00910950"/>
    <w:rsid w:val="00910B7C"/>
    <w:rsid w:val="009117D2"/>
    <w:rsid w:val="00911869"/>
    <w:rsid w:val="009118AB"/>
    <w:rsid w:val="00911F2E"/>
    <w:rsid w:val="00913B34"/>
    <w:rsid w:val="00913B90"/>
    <w:rsid w:val="009158F4"/>
    <w:rsid w:val="00916BDC"/>
    <w:rsid w:val="00921002"/>
    <w:rsid w:val="0092101F"/>
    <w:rsid w:val="009213A8"/>
    <w:rsid w:val="00923E0C"/>
    <w:rsid w:val="00923FB3"/>
    <w:rsid w:val="009269C2"/>
    <w:rsid w:val="00926D92"/>
    <w:rsid w:val="00927902"/>
    <w:rsid w:val="009307E3"/>
    <w:rsid w:val="00930E8F"/>
    <w:rsid w:val="00931384"/>
    <w:rsid w:val="00931A1F"/>
    <w:rsid w:val="00933818"/>
    <w:rsid w:val="009350A7"/>
    <w:rsid w:val="00935911"/>
    <w:rsid w:val="00936D30"/>
    <w:rsid w:val="00936DE3"/>
    <w:rsid w:val="0093734C"/>
    <w:rsid w:val="00937873"/>
    <w:rsid w:val="00937CED"/>
    <w:rsid w:val="00940330"/>
    <w:rsid w:val="00943314"/>
    <w:rsid w:val="009452D2"/>
    <w:rsid w:val="00945432"/>
    <w:rsid w:val="00946EE4"/>
    <w:rsid w:val="0094722C"/>
    <w:rsid w:val="00947261"/>
    <w:rsid w:val="00947BEC"/>
    <w:rsid w:val="00950E7C"/>
    <w:rsid w:val="00952AE3"/>
    <w:rsid w:val="00952B86"/>
    <w:rsid w:val="00952E09"/>
    <w:rsid w:val="0095330F"/>
    <w:rsid w:val="00953355"/>
    <w:rsid w:val="00953FD8"/>
    <w:rsid w:val="009540B1"/>
    <w:rsid w:val="009552F2"/>
    <w:rsid w:val="0095550C"/>
    <w:rsid w:val="0095641A"/>
    <w:rsid w:val="00960647"/>
    <w:rsid w:val="009609B3"/>
    <w:rsid w:val="00962424"/>
    <w:rsid w:val="00962725"/>
    <w:rsid w:val="009635CB"/>
    <w:rsid w:val="0096379C"/>
    <w:rsid w:val="009638B5"/>
    <w:rsid w:val="00963FA8"/>
    <w:rsid w:val="00966AE0"/>
    <w:rsid w:val="00966D0F"/>
    <w:rsid w:val="00967AEA"/>
    <w:rsid w:val="00970CD5"/>
    <w:rsid w:val="00972A62"/>
    <w:rsid w:val="00972C16"/>
    <w:rsid w:val="0097357B"/>
    <w:rsid w:val="00974238"/>
    <w:rsid w:val="009750FF"/>
    <w:rsid w:val="00975613"/>
    <w:rsid w:val="009758DE"/>
    <w:rsid w:val="00975D36"/>
    <w:rsid w:val="009769B5"/>
    <w:rsid w:val="00977220"/>
    <w:rsid w:val="00980FD7"/>
    <w:rsid w:val="00981C2C"/>
    <w:rsid w:val="00985CEE"/>
    <w:rsid w:val="00986AB7"/>
    <w:rsid w:val="00987FE1"/>
    <w:rsid w:val="0099041E"/>
    <w:rsid w:val="00990ED7"/>
    <w:rsid w:val="00992774"/>
    <w:rsid w:val="00992DF6"/>
    <w:rsid w:val="009930AB"/>
    <w:rsid w:val="0099459D"/>
    <w:rsid w:val="009952E9"/>
    <w:rsid w:val="009962D2"/>
    <w:rsid w:val="00997420"/>
    <w:rsid w:val="009976FC"/>
    <w:rsid w:val="00997801"/>
    <w:rsid w:val="009A00C8"/>
    <w:rsid w:val="009A0642"/>
    <w:rsid w:val="009A0A8D"/>
    <w:rsid w:val="009A1411"/>
    <w:rsid w:val="009A24AF"/>
    <w:rsid w:val="009A298F"/>
    <w:rsid w:val="009A35DA"/>
    <w:rsid w:val="009A3BAB"/>
    <w:rsid w:val="009A3C2B"/>
    <w:rsid w:val="009A4898"/>
    <w:rsid w:val="009A4C8C"/>
    <w:rsid w:val="009A4DF1"/>
    <w:rsid w:val="009A4F98"/>
    <w:rsid w:val="009B01B4"/>
    <w:rsid w:val="009B24E3"/>
    <w:rsid w:val="009B25BB"/>
    <w:rsid w:val="009B410C"/>
    <w:rsid w:val="009B52D7"/>
    <w:rsid w:val="009B5A95"/>
    <w:rsid w:val="009B66C3"/>
    <w:rsid w:val="009B7136"/>
    <w:rsid w:val="009B71DA"/>
    <w:rsid w:val="009C01D1"/>
    <w:rsid w:val="009C0541"/>
    <w:rsid w:val="009C1CDF"/>
    <w:rsid w:val="009C2823"/>
    <w:rsid w:val="009C2985"/>
    <w:rsid w:val="009C3A42"/>
    <w:rsid w:val="009C46D8"/>
    <w:rsid w:val="009C4F66"/>
    <w:rsid w:val="009C6DF4"/>
    <w:rsid w:val="009C6E14"/>
    <w:rsid w:val="009C76F9"/>
    <w:rsid w:val="009C7D7A"/>
    <w:rsid w:val="009D05B3"/>
    <w:rsid w:val="009D2069"/>
    <w:rsid w:val="009D26EB"/>
    <w:rsid w:val="009D4E74"/>
    <w:rsid w:val="009D6D50"/>
    <w:rsid w:val="009D76F7"/>
    <w:rsid w:val="009E0018"/>
    <w:rsid w:val="009E0C20"/>
    <w:rsid w:val="009E2BB5"/>
    <w:rsid w:val="009E2C64"/>
    <w:rsid w:val="009E5A31"/>
    <w:rsid w:val="009E5DEB"/>
    <w:rsid w:val="009F1468"/>
    <w:rsid w:val="009F4F76"/>
    <w:rsid w:val="009F587B"/>
    <w:rsid w:val="009F5D3B"/>
    <w:rsid w:val="009F70B2"/>
    <w:rsid w:val="009F74F3"/>
    <w:rsid w:val="00A015AE"/>
    <w:rsid w:val="00A019CA"/>
    <w:rsid w:val="00A01C5E"/>
    <w:rsid w:val="00A02481"/>
    <w:rsid w:val="00A03A9A"/>
    <w:rsid w:val="00A03DE4"/>
    <w:rsid w:val="00A04159"/>
    <w:rsid w:val="00A05DE0"/>
    <w:rsid w:val="00A115CB"/>
    <w:rsid w:val="00A13231"/>
    <w:rsid w:val="00A13CF3"/>
    <w:rsid w:val="00A15AEA"/>
    <w:rsid w:val="00A15E4A"/>
    <w:rsid w:val="00A205E1"/>
    <w:rsid w:val="00A21292"/>
    <w:rsid w:val="00A2276C"/>
    <w:rsid w:val="00A23CA1"/>
    <w:rsid w:val="00A24CE6"/>
    <w:rsid w:val="00A26821"/>
    <w:rsid w:val="00A27053"/>
    <w:rsid w:val="00A27B5B"/>
    <w:rsid w:val="00A3066D"/>
    <w:rsid w:val="00A314AD"/>
    <w:rsid w:val="00A330A0"/>
    <w:rsid w:val="00A33EF8"/>
    <w:rsid w:val="00A34ED1"/>
    <w:rsid w:val="00A35378"/>
    <w:rsid w:val="00A35C86"/>
    <w:rsid w:val="00A36E26"/>
    <w:rsid w:val="00A36EAB"/>
    <w:rsid w:val="00A37485"/>
    <w:rsid w:val="00A37AC0"/>
    <w:rsid w:val="00A37D3D"/>
    <w:rsid w:val="00A40B38"/>
    <w:rsid w:val="00A40B6A"/>
    <w:rsid w:val="00A4107D"/>
    <w:rsid w:val="00A4162A"/>
    <w:rsid w:val="00A41FF9"/>
    <w:rsid w:val="00A4204B"/>
    <w:rsid w:val="00A4240C"/>
    <w:rsid w:val="00A4292F"/>
    <w:rsid w:val="00A42956"/>
    <w:rsid w:val="00A43957"/>
    <w:rsid w:val="00A461DA"/>
    <w:rsid w:val="00A5035A"/>
    <w:rsid w:val="00A5039E"/>
    <w:rsid w:val="00A5043D"/>
    <w:rsid w:val="00A541C8"/>
    <w:rsid w:val="00A61443"/>
    <w:rsid w:val="00A643D9"/>
    <w:rsid w:val="00A6449D"/>
    <w:rsid w:val="00A64905"/>
    <w:rsid w:val="00A650A8"/>
    <w:rsid w:val="00A659F3"/>
    <w:rsid w:val="00A66986"/>
    <w:rsid w:val="00A67694"/>
    <w:rsid w:val="00A711A8"/>
    <w:rsid w:val="00A711DF"/>
    <w:rsid w:val="00A72248"/>
    <w:rsid w:val="00A7309E"/>
    <w:rsid w:val="00A73AE9"/>
    <w:rsid w:val="00A74437"/>
    <w:rsid w:val="00A753AC"/>
    <w:rsid w:val="00A75DEC"/>
    <w:rsid w:val="00A77329"/>
    <w:rsid w:val="00A7792D"/>
    <w:rsid w:val="00A80269"/>
    <w:rsid w:val="00A80486"/>
    <w:rsid w:val="00A80947"/>
    <w:rsid w:val="00A82081"/>
    <w:rsid w:val="00A82DC7"/>
    <w:rsid w:val="00A841CC"/>
    <w:rsid w:val="00A8446E"/>
    <w:rsid w:val="00A84B6C"/>
    <w:rsid w:val="00A857DD"/>
    <w:rsid w:val="00A90B48"/>
    <w:rsid w:val="00A91A72"/>
    <w:rsid w:val="00A92519"/>
    <w:rsid w:val="00A93B35"/>
    <w:rsid w:val="00A9449B"/>
    <w:rsid w:val="00A94A24"/>
    <w:rsid w:val="00A9503C"/>
    <w:rsid w:val="00A9509A"/>
    <w:rsid w:val="00A95CF1"/>
    <w:rsid w:val="00A97DFC"/>
    <w:rsid w:val="00AA0D2B"/>
    <w:rsid w:val="00AA11E2"/>
    <w:rsid w:val="00AA1E43"/>
    <w:rsid w:val="00AA31E7"/>
    <w:rsid w:val="00AA4884"/>
    <w:rsid w:val="00AA6048"/>
    <w:rsid w:val="00AA75E2"/>
    <w:rsid w:val="00AB0AD7"/>
    <w:rsid w:val="00AB0E48"/>
    <w:rsid w:val="00AB0FED"/>
    <w:rsid w:val="00AB2815"/>
    <w:rsid w:val="00AB3F8E"/>
    <w:rsid w:val="00AB511C"/>
    <w:rsid w:val="00AC0C27"/>
    <w:rsid w:val="00AC1B32"/>
    <w:rsid w:val="00AC2A02"/>
    <w:rsid w:val="00AC522F"/>
    <w:rsid w:val="00AC5CE1"/>
    <w:rsid w:val="00AC5FFD"/>
    <w:rsid w:val="00AC651B"/>
    <w:rsid w:val="00AC6ED7"/>
    <w:rsid w:val="00AC6F02"/>
    <w:rsid w:val="00AD02B7"/>
    <w:rsid w:val="00AD071A"/>
    <w:rsid w:val="00AD1AA1"/>
    <w:rsid w:val="00AD3393"/>
    <w:rsid w:val="00AD360A"/>
    <w:rsid w:val="00AD4207"/>
    <w:rsid w:val="00AD510F"/>
    <w:rsid w:val="00AD56C6"/>
    <w:rsid w:val="00AD696F"/>
    <w:rsid w:val="00AD6E20"/>
    <w:rsid w:val="00AD7EEF"/>
    <w:rsid w:val="00AE12E5"/>
    <w:rsid w:val="00AE2BA8"/>
    <w:rsid w:val="00AE36CD"/>
    <w:rsid w:val="00AE3BB7"/>
    <w:rsid w:val="00AE4605"/>
    <w:rsid w:val="00AE5718"/>
    <w:rsid w:val="00AE5ED6"/>
    <w:rsid w:val="00AE60BE"/>
    <w:rsid w:val="00AE60D9"/>
    <w:rsid w:val="00AE70E3"/>
    <w:rsid w:val="00AE7724"/>
    <w:rsid w:val="00AE7FC4"/>
    <w:rsid w:val="00AE7FCB"/>
    <w:rsid w:val="00AF0764"/>
    <w:rsid w:val="00AF08CD"/>
    <w:rsid w:val="00AF0CA4"/>
    <w:rsid w:val="00AF173E"/>
    <w:rsid w:val="00AF2248"/>
    <w:rsid w:val="00AF2773"/>
    <w:rsid w:val="00AF30DB"/>
    <w:rsid w:val="00AF3A7B"/>
    <w:rsid w:val="00AF49EE"/>
    <w:rsid w:val="00AF5335"/>
    <w:rsid w:val="00AF668C"/>
    <w:rsid w:val="00B0076D"/>
    <w:rsid w:val="00B01351"/>
    <w:rsid w:val="00B01868"/>
    <w:rsid w:val="00B01BDE"/>
    <w:rsid w:val="00B03084"/>
    <w:rsid w:val="00B03598"/>
    <w:rsid w:val="00B0572A"/>
    <w:rsid w:val="00B058D8"/>
    <w:rsid w:val="00B06D8B"/>
    <w:rsid w:val="00B07598"/>
    <w:rsid w:val="00B07A12"/>
    <w:rsid w:val="00B103E4"/>
    <w:rsid w:val="00B10A0E"/>
    <w:rsid w:val="00B1426F"/>
    <w:rsid w:val="00B14CA7"/>
    <w:rsid w:val="00B152F9"/>
    <w:rsid w:val="00B159D3"/>
    <w:rsid w:val="00B15A96"/>
    <w:rsid w:val="00B15D18"/>
    <w:rsid w:val="00B20BF8"/>
    <w:rsid w:val="00B21216"/>
    <w:rsid w:val="00B21827"/>
    <w:rsid w:val="00B22DA4"/>
    <w:rsid w:val="00B269F8"/>
    <w:rsid w:val="00B27145"/>
    <w:rsid w:val="00B27A68"/>
    <w:rsid w:val="00B31727"/>
    <w:rsid w:val="00B33DF6"/>
    <w:rsid w:val="00B3514F"/>
    <w:rsid w:val="00B35319"/>
    <w:rsid w:val="00B3647D"/>
    <w:rsid w:val="00B37D8F"/>
    <w:rsid w:val="00B40465"/>
    <w:rsid w:val="00B41150"/>
    <w:rsid w:val="00B4211E"/>
    <w:rsid w:val="00B42C40"/>
    <w:rsid w:val="00B433F0"/>
    <w:rsid w:val="00B43745"/>
    <w:rsid w:val="00B44608"/>
    <w:rsid w:val="00B467D9"/>
    <w:rsid w:val="00B46F55"/>
    <w:rsid w:val="00B5152B"/>
    <w:rsid w:val="00B51CCD"/>
    <w:rsid w:val="00B52BFB"/>
    <w:rsid w:val="00B54048"/>
    <w:rsid w:val="00B54661"/>
    <w:rsid w:val="00B549D2"/>
    <w:rsid w:val="00B54AA9"/>
    <w:rsid w:val="00B54C9F"/>
    <w:rsid w:val="00B5543D"/>
    <w:rsid w:val="00B57088"/>
    <w:rsid w:val="00B60702"/>
    <w:rsid w:val="00B61BE2"/>
    <w:rsid w:val="00B61CE2"/>
    <w:rsid w:val="00B6296C"/>
    <w:rsid w:val="00B639E4"/>
    <w:rsid w:val="00B6480B"/>
    <w:rsid w:val="00B648D6"/>
    <w:rsid w:val="00B64D3E"/>
    <w:rsid w:val="00B700AB"/>
    <w:rsid w:val="00B70232"/>
    <w:rsid w:val="00B75460"/>
    <w:rsid w:val="00B77846"/>
    <w:rsid w:val="00B77A3A"/>
    <w:rsid w:val="00B77CF1"/>
    <w:rsid w:val="00B81B49"/>
    <w:rsid w:val="00B82C2C"/>
    <w:rsid w:val="00B8367E"/>
    <w:rsid w:val="00B8399D"/>
    <w:rsid w:val="00B847E7"/>
    <w:rsid w:val="00B86791"/>
    <w:rsid w:val="00B86D49"/>
    <w:rsid w:val="00B87323"/>
    <w:rsid w:val="00B90EA8"/>
    <w:rsid w:val="00B9159D"/>
    <w:rsid w:val="00B92CCD"/>
    <w:rsid w:val="00B93849"/>
    <w:rsid w:val="00B9396E"/>
    <w:rsid w:val="00B95448"/>
    <w:rsid w:val="00B955D8"/>
    <w:rsid w:val="00B95974"/>
    <w:rsid w:val="00BA17F2"/>
    <w:rsid w:val="00BA3B2C"/>
    <w:rsid w:val="00BA5DDE"/>
    <w:rsid w:val="00BA5EAB"/>
    <w:rsid w:val="00BA642D"/>
    <w:rsid w:val="00BA6F78"/>
    <w:rsid w:val="00BA79C1"/>
    <w:rsid w:val="00BB0FCA"/>
    <w:rsid w:val="00BB3CFA"/>
    <w:rsid w:val="00BB4193"/>
    <w:rsid w:val="00BB4383"/>
    <w:rsid w:val="00BB7441"/>
    <w:rsid w:val="00BB7ED5"/>
    <w:rsid w:val="00BC0BC6"/>
    <w:rsid w:val="00BC127A"/>
    <w:rsid w:val="00BC4909"/>
    <w:rsid w:val="00BC6298"/>
    <w:rsid w:val="00BD0F84"/>
    <w:rsid w:val="00BD12A0"/>
    <w:rsid w:val="00BD2EEA"/>
    <w:rsid w:val="00BD4910"/>
    <w:rsid w:val="00BD5249"/>
    <w:rsid w:val="00BD6371"/>
    <w:rsid w:val="00BD7732"/>
    <w:rsid w:val="00BD7971"/>
    <w:rsid w:val="00BD7EB5"/>
    <w:rsid w:val="00BE0CD5"/>
    <w:rsid w:val="00BE0F75"/>
    <w:rsid w:val="00BE1EA5"/>
    <w:rsid w:val="00BE1F88"/>
    <w:rsid w:val="00BE2AE6"/>
    <w:rsid w:val="00BE3373"/>
    <w:rsid w:val="00BE4398"/>
    <w:rsid w:val="00BE46E5"/>
    <w:rsid w:val="00BE49B2"/>
    <w:rsid w:val="00BE4F63"/>
    <w:rsid w:val="00BE6EB1"/>
    <w:rsid w:val="00BE7D71"/>
    <w:rsid w:val="00BF0BBD"/>
    <w:rsid w:val="00BF1AE9"/>
    <w:rsid w:val="00BF1DA2"/>
    <w:rsid w:val="00BF1E69"/>
    <w:rsid w:val="00BF22BE"/>
    <w:rsid w:val="00BF457B"/>
    <w:rsid w:val="00BF48B4"/>
    <w:rsid w:val="00BF59AD"/>
    <w:rsid w:val="00BF6782"/>
    <w:rsid w:val="00BF7750"/>
    <w:rsid w:val="00C0093D"/>
    <w:rsid w:val="00C01EEB"/>
    <w:rsid w:val="00C04B79"/>
    <w:rsid w:val="00C05D88"/>
    <w:rsid w:val="00C066A8"/>
    <w:rsid w:val="00C103C8"/>
    <w:rsid w:val="00C1062C"/>
    <w:rsid w:val="00C10EE3"/>
    <w:rsid w:val="00C1242F"/>
    <w:rsid w:val="00C14132"/>
    <w:rsid w:val="00C15147"/>
    <w:rsid w:val="00C16AAB"/>
    <w:rsid w:val="00C1775A"/>
    <w:rsid w:val="00C17C03"/>
    <w:rsid w:val="00C21046"/>
    <w:rsid w:val="00C21523"/>
    <w:rsid w:val="00C22429"/>
    <w:rsid w:val="00C23C79"/>
    <w:rsid w:val="00C23DFE"/>
    <w:rsid w:val="00C24122"/>
    <w:rsid w:val="00C247A2"/>
    <w:rsid w:val="00C25223"/>
    <w:rsid w:val="00C255B4"/>
    <w:rsid w:val="00C256F6"/>
    <w:rsid w:val="00C26533"/>
    <w:rsid w:val="00C2697C"/>
    <w:rsid w:val="00C329DE"/>
    <w:rsid w:val="00C32E34"/>
    <w:rsid w:val="00C340D1"/>
    <w:rsid w:val="00C34E3A"/>
    <w:rsid w:val="00C36C4D"/>
    <w:rsid w:val="00C37C20"/>
    <w:rsid w:val="00C37D35"/>
    <w:rsid w:val="00C41D62"/>
    <w:rsid w:val="00C4205E"/>
    <w:rsid w:val="00C42501"/>
    <w:rsid w:val="00C437B1"/>
    <w:rsid w:val="00C4451B"/>
    <w:rsid w:val="00C4678C"/>
    <w:rsid w:val="00C476A6"/>
    <w:rsid w:val="00C476AF"/>
    <w:rsid w:val="00C5094D"/>
    <w:rsid w:val="00C52B3B"/>
    <w:rsid w:val="00C53401"/>
    <w:rsid w:val="00C53875"/>
    <w:rsid w:val="00C54DC8"/>
    <w:rsid w:val="00C569ED"/>
    <w:rsid w:val="00C57426"/>
    <w:rsid w:val="00C60985"/>
    <w:rsid w:val="00C62881"/>
    <w:rsid w:val="00C6462B"/>
    <w:rsid w:val="00C6490F"/>
    <w:rsid w:val="00C649DE"/>
    <w:rsid w:val="00C66636"/>
    <w:rsid w:val="00C71372"/>
    <w:rsid w:val="00C71BE1"/>
    <w:rsid w:val="00C71DFD"/>
    <w:rsid w:val="00C72B77"/>
    <w:rsid w:val="00C72CD8"/>
    <w:rsid w:val="00C767E8"/>
    <w:rsid w:val="00C803B7"/>
    <w:rsid w:val="00C80C5B"/>
    <w:rsid w:val="00C80EA0"/>
    <w:rsid w:val="00C82E05"/>
    <w:rsid w:val="00C833A2"/>
    <w:rsid w:val="00C86015"/>
    <w:rsid w:val="00C86AE6"/>
    <w:rsid w:val="00C87E86"/>
    <w:rsid w:val="00C9059E"/>
    <w:rsid w:val="00C9127D"/>
    <w:rsid w:val="00C91833"/>
    <w:rsid w:val="00C926DE"/>
    <w:rsid w:val="00C92907"/>
    <w:rsid w:val="00C92A07"/>
    <w:rsid w:val="00C932B1"/>
    <w:rsid w:val="00C93679"/>
    <w:rsid w:val="00C9450B"/>
    <w:rsid w:val="00C94BFC"/>
    <w:rsid w:val="00C95041"/>
    <w:rsid w:val="00C952AA"/>
    <w:rsid w:val="00C95657"/>
    <w:rsid w:val="00C95FD7"/>
    <w:rsid w:val="00C9625B"/>
    <w:rsid w:val="00C96554"/>
    <w:rsid w:val="00C96799"/>
    <w:rsid w:val="00C96CBA"/>
    <w:rsid w:val="00C96FB8"/>
    <w:rsid w:val="00C96FC8"/>
    <w:rsid w:val="00C97EB7"/>
    <w:rsid w:val="00CA08AD"/>
    <w:rsid w:val="00CA3F8B"/>
    <w:rsid w:val="00CA4BAF"/>
    <w:rsid w:val="00CA4DBD"/>
    <w:rsid w:val="00CA5357"/>
    <w:rsid w:val="00CA6A4B"/>
    <w:rsid w:val="00CA6E1D"/>
    <w:rsid w:val="00CA701C"/>
    <w:rsid w:val="00CA7EB6"/>
    <w:rsid w:val="00CB0047"/>
    <w:rsid w:val="00CB0372"/>
    <w:rsid w:val="00CB0782"/>
    <w:rsid w:val="00CB19B3"/>
    <w:rsid w:val="00CB28BD"/>
    <w:rsid w:val="00CB2CAC"/>
    <w:rsid w:val="00CB3A79"/>
    <w:rsid w:val="00CB417F"/>
    <w:rsid w:val="00CB5039"/>
    <w:rsid w:val="00CB5B0D"/>
    <w:rsid w:val="00CB5E80"/>
    <w:rsid w:val="00CB74EE"/>
    <w:rsid w:val="00CB75B1"/>
    <w:rsid w:val="00CB77FB"/>
    <w:rsid w:val="00CC110A"/>
    <w:rsid w:val="00CC1BF8"/>
    <w:rsid w:val="00CC1C74"/>
    <w:rsid w:val="00CC2326"/>
    <w:rsid w:val="00CC2EDE"/>
    <w:rsid w:val="00CC487B"/>
    <w:rsid w:val="00CC50E5"/>
    <w:rsid w:val="00CC6738"/>
    <w:rsid w:val="00CC6ACE"/>
    <w:rsid w:val="00CC6EB9"/>
    <w:rsid w:val="00CC7CD7"/>
    <w:rsid w:val="00CD12CA"/>
    <w:rsid w:val="00CD3248"/>
    <w:rsid w:val="00CD37B2"/>
    <w:rsid w:val="00CD4E20"/>
    <w:rsid w:val="00CD740A"/>
    <w:rsid w:val="00CD77DB"/>
    <w:rsid w:val="00CE09B7"/>
    <w:rsid w:val="00CE189D"/>
    <w:rsid w:val="00CE4A6A"/>
    <w:rsid w:val="00CE53BF"/>
    <w:rsid w:val="00CE5C31"/>
    <w:rsid w:val="00CE7354"/>
    <w:rsid w:val="00CE7981"/>
    <w:rsid w:val="00CE7D5F"/>
    <w:rsid w:val="00CF152C"/>
    <w:rsid w:val="00CF2F3F"/>
    <w:rsid w:val="00CF4CE6"/>
    <w:rsid w:val="00CF590E"/>
    <w:rsid w:val="00CF60F4"/>
    <w:rsid w:val="00CF6531"/>
    <w:rsid w:val="00CF7042"/>
    <w:rsid w:val="00CF7EB8"/>
    <w:rsid w:val="00D00E5B"/>
    <w:rsid w:val="00D022FB"/>
    <w:rsid w:val="00D02378"/>
    <w:rsid w:val="00D02C23"/>
    <w:rsid w:val="00D03963"/>
    <w:rsid w:val="00D04530"/>
    <w:rsid w:val="00D055AC"/>
    <w:rsid w:val="00D05921"/>
    <w:rsid w:val="00D063A5"/>
    <w:rsid w:val="00D065E9"/>
    <w:rsid w:val="00D06BD8"/>
    <w:rsid w:val="00D07893"/>
    <w:rsid w:val="00D10145"/>
    <w:rsid w:val="00D117C9"/>
    <w:rsid w:val="00D122E1"/>
    <w:rsid w:val="00D12B5F"/>
    <w:rsid w:val="00D13079"/>
    <w:rsid w:val="00D13E88"/>
    <w:rsid w:val="00D150A1"/>
    <w:rsid w:val="00D150B8"/>
    <w:rsid w:val="00D15527"/>
    <w:rsid w:val="00D1753E"/>
    <w:rsid w:val="00D2005D"/>
    <w:rsid w:val="00D20D8C"/>
    <w:rsid w:val="00D217AB"/>
    <w:rsid w:val="00D217E3"/>
    <w:rsid w:val="00D252BA"/>
    <w:rsid w:val="00D2566F"/>
    <w:rsid w:val="00D25828"/>
    <w:rsid w:val="00D2586C"/>
    <w:rsid w:val="00D25891"/>
    <w:rsid w:val="00D31408"/>
    <w:rsid w:val="00D3165B"/>
    <w:rsid w:val="00D32C72"/>
    <w:rsid w:val="00D370A1"/>
    <w:rsid w:val="00D37208"/>
    <w:rsid w:val="00D37389"/>
    <w:rsid w:val="00D4080D"/>
    <w:rsid w:val="00D4200D"/>
    <w:rsid w:val="00D43D25"/>
    <w:rsid w:val="00D43EC6"/>
    <w:rsid w:val="00D440DB"/>
    <w:rsid w:val="00D449D4"/>
    <w:rsid w:val="00D45D04"/>
    <w:rsid w:val="00D468CF"/>
    <w:rsid w:val="00D46926"/>
    <w:rsid w:val="00D46A3E"/>
    <w:rsid w:val="00D47CB4"/>
    <w:rsid w:val="00D50267"/>
    <w:rsid w:val="00D509D0"/>
    <w:rsid w:val="00D51580"/>
    <w:rsid w:val="00D51742"/>
    <w:rsid w:val="00D51E4F"/>
    <w:rsid w:val="00D52269"/>
    <w:rsid w:val="00D53A0D"/>
    <w:rsid w:val="00D53EC4"/>
    <w:rsid w:val="00D53F03"/>
    <w:rsid w:val="00D54D88"/>
    <w:rsid w:val="00D5507E"/>
    <w:rsid w:val="00D557C9"/>
    <w:rsid w:val="00D55875"/>
    <w:rsid w:val="00D55A21"/>
    <w:rsid w:val="00D571A4"/>
    <w:rsid w:val="00D57337"/>
    <w:rsid w:val="00D57C2D"/>
    <w:rsid w:val="00D60390"/>
    <w:rsid w:val="00D60795"/>
    <w:rsid w:val="00D60BB0"/>
    <w:rsid w:val="00D60EF5"/>
    <w:rsid w:val="00D643E2"/>
    <w:rsid w:val="00D647B8"/>
    <w:rsid w:val="00D654A7"/>
    <w:rsid w:val="00D7089C"/>
    <w:rsid w:val="00D729D4"/>
    <w:rsid w:val="00D72FE8"/>
    <w:rsid w:val="00D73231"/>
    <w:rsid w:val="00D767D8"/>
    <w:rsid w:val="00D76CFA"/>
    <w:rsid w:val="00D77D0A"/>
    <w:rsid w:val="00D80D8D"/>
    <w:rsid w:val="00D81BDA"/>
    <w:rsid w:val="00D8295D"/>
    <w:rsid w:val="00D82FDB"/>
    <w:rsid w:val="00D83509"/>
    <w:rsid w:val="00D8425C"/>
    <w:rsid w:val="00D84466"/>
    <w:rsid w:val="00D8450C"/>
    <w:rsid w:val="00D84851"/>
    <w:rsid w:val="00D85FA5"/>
    <w:rsid w:val="00D8681F"/>
    <w:rsid w:val="00D869A1"/>
    <w:rsid w:val="00D86B89"/>
    <w:rsid w:val="00D8755F"/>
    <w:rsid w:val="00D905F2"/>
    <w:rsid w:val="00D9069A"/>
    <w:rsid w:val="00D90D42"/>
    <w:rsid w:val="00D90DF0"/>
    <w:rsid w:val="00D9181A"/>
    <w:rsid w:val="00D91B1B"/>
    <w:rsid w:val="00D920D0"/>
    <w:rsid w:val="00D9215B"/>
    <w:rsid w:val="00D93605"/>
    <w:rsid w:val="00D93FB0"/>
    <w:rsid w:val="00D945C0"/>
    <w:rsid w:val="00D9791B"/>
    <w:rsid w:val="00DA02B3"/>
    <w:rsid w:val="00DA0B8E"/>
    <w:rsid w:val="00DA1163"/>
    <w:rsid w:val="00DA1333"/>
    <w:rsid w:val="00DA191F"/>
    <w:rsid w:val="00DA4519"/>
    <w:rsid w:val="00DA6317"/>
    <w:rsid w:val="00DA6CBC"/>
    <w:rsid w:val="00DA6E71"/>
    <w:rsid w:val="00DB0D49"/>
    <w:rsid w:val="00DB0F8C"/>
    <w:rsid w:val="00DB1C92"/>
    <w:rsid w:val="00DB1DB1"/>
    <w:rsid w:val="00DB2A46"/>
    <w:rsid w:val="00DB4253"/>
    <w:rsid w:val="00DB4FA6"/>
    <w:rsid w:val="00DB638B"/>
    <w:rsid w:val="00DB6D55"/>
    <w:rsid w:val="00DB6E1B"/>
    <w:rsid w:val="00DC0DC7"/>
    <w:rsid w:val="00DC1310"/>
    <w:rsid w:val="00DC3586"/>
    <w:rsid w:val="00DC3E2E"/>
    <w:rsid w:val="00DC5B59"/>
    <w:rsid w:val="00DC5D76"/>
    <w:rsid w:val="00DC656C"/>
    <w:rsid w:val="00DC6BB7"/>
    <w:rsid w:val="00DC7E77"/>
    <w:rsid w:val="00DC7ECE"/>
    <w:rsid w:val="00DD45E7"/>
    <w:rsid w:val="00DD6D55"/>
    <w:rsid w:val="00DD7729"/>
    <w:rsid w:val="00DD79ED"/>
    <w:rsid w:val="00DD7A23"/>
    <w:rsid w:val="00DE07BE"/>
    <w:rsid w:val="00DE0D4F"/>
    <w:rsid w:val="00DE1AA4"/>
    <w:rsid w:val="00DE2D80"/>
    <w:rsid w:val="00DE4264"/>
    <w:rsid w:val="00DE49EF"/>
    <w:rsid w:val="00DE698B"/>
    <w:rsid w:val="00DE6C7A"/>
    <w:rsid w:val="00DE6CC9"/>
    <w:rsid w:val="00DF0B60"/>
    <w:rsid w:val="00DF2008"/>
    <w:rsid w:val="00DF22B7"/>
    <w:rsid w:val="00DF2BE2"/>
    <w:rsid w:val="00DF2C28"/>
    <w:rsid w:val="00DF32A8"/>
    <w:rsid w:val="00DF336F"/>
    <w:rsid w:val="00DF4149"/>
    <w:rsid w:val="00DF41E8"/>
    <w:rsid w:val="00DF4CD7"/>
    <w:rsid w:val="00DF4D17"/>
    <w:rsid w:val="00DF4ED7"/>
    <w:rsid w:val="00DF6A06"/>
    <w:rsid w:val="00DF6DDB"/>
    <w:rsid w:val="00DF7FB8"/>
    <w:rsid w:val="00E00A43"/>
    <w:rsid w:val="00E019CB"/>
    <w:rsid w:val="00E02690"/>
    <w:rsid w:val="00E02760"/>
    <w:rsid w:val="00E03B2D"/>
    <w:rsid w:val="00E04145"/>
    <w:rsid w:val="00E05050"/>
    <w:rsid w:val="00E055AA"/>
    <w:rsid w:val="00E06EEF"/>
    <w:rsid w:val="00E071D2"/>
    <w:rsid w:val="00E104E8"/>
    <w:rsid w:val="00E117D6"/>
    <w:rsid w:val="00E11AA2"/>
    <w:rsid w:val="00E1295A"/>
    <w:rsid w:val="00E12E8F"/>
    <w:rsid w:val="00E1429F"/>
    <w:rsid w:val="00E15516"/>
    <w:rsid w:val="00E15D53"/>
    <w:rsid w:val="00E17D9A"/>
    <w:rsid w:val="00E20733"/>
    <w:rsid w:val="00E2330F"/>
    <w:rsid w:val="00E238D2"/>
    <w:rsid w:val="00E23CBF"/>
    <w:rsid w:val="00E23E79"/>
    <w:rsid w:val="00E2422D"/>
    <w:rsid w:val="00E242CE"/>
    <w:rsid w:val="00E24916"/>
    <w:rsid w:val="00E263E9"/>
    <w:rsid w:val="00E27935"/>
    <w:rsid w:val="00E30733"/>
    <w:rsid w:val="00E30F12"/>
    <w:rsid w:val="00E3101A"/>
    <w:rsid w:val="00E31CAF"/>
    <w:rsid w:val="00E33E6A"/>
    <w:rsid w:val="00E354C2"/>
    <w:rsid w:val="00E3616B"/>
    <w:rsid w:val="00E36C7C"/>
    <w:rsid w:val="00E3753F"/>
    <w:rsid w:val="00E37938"/>
    <w:rsid w:val="00E41D57"/>
    <w:rsid w:val="00E4404B"/>
    <w:rsid w:val="00E463FB"/>
    <w:rsid w:val="00E4664F"/>
    <w:rsid w:val="00E46AC6"/>
    <w:rsid w:val="00E46B08"/>
    <w:rsid w:val="00E47225"/>
    <w:rsid w:val="00E473AD"/>
    <w:rsid w:val="00E504F5"/>
    <w:rsid w:val="00E5460E"/>
    <w:rsid w:val="00E547E5"/>
    <w:rsid w:val="00E54B28"/>
    <w:rsid w:val="00E55715"/>
    <w:rsid w:val="00E55C6C"/>
    <w:rsid w:val="00E56D02"/>
    <w:rsid w:val="00E57031"/>
    <w:rsid w:val="00E6044B"/>
    <w:rsid w:val="00E61AFE"/>
    <w:rsid w:val="00E623D1"/>
    <w:rsid w:val="00E62551"/>
    <w:rsid w:val="00E63950"/>
    <w:rsid w:val="00E6438C"/>
    <w:rsid w:val="00E645E8"/>
    <w:rsid w:val="00E64666"/>
    <w:rsid w:val="00E64927"/>
    <w:rsid w:val="00E652CF"/>
    <w:rsid w:val="00E65801"/>
    <w:rsid w:val="00E66A23"/>
    <w:rsid w:val="00E6798D"/>
    <w:rsid w:val="00E67F5D"/>
    <w:rsid w:val="00E7069F"/>
    <w:rsid w:val="00E7170C"/>
    <w:rsid w:val="00E71B18"/>
    <w:rsid w:val="00E74D97"/>
    <w:rsid w:val="00E75EDA"/>
    <w:rsid w:val="00E778CE"/>
    <w:rsid w:val="00E8255C"/>
    <w:rsid w:val="00E844A4"/>
    <w:rsid w:val="00E85E55"/>
    <w:rsid w:val="00E85FE8"/>
    <w:rsid w:val="00E901CB"/>
    <w:rsid w:val="00E9193F"/>
    <w:rsid w:val="00E91BA0"/>
    <w:rsid w:val="00E92B39"/>
    <w:rsid w:val="00E93439"/>
    <w:rsid w:val="00E93856"/>
    <w:rsid w:val="00E9464E"/>
    <w:rsid w:val="00E962AB"/>
    <w:rsid w:val="00EA01FC"/>
    <w:rsid w:val="00EA0B2D"/>
    <w:rsid w:val="00EA0B4A"/>
    <w:rsid w:val="00EA2639"/>
    <w:rsid w:val="00EA41FC"/>
    <w:rsid w:val="00EA528D"/>
    <w:rsid w:val="00EA6557"/>
    <w:rsid w:val="00EA7681"/>
    <w:rsid w:val="00EA7A90"/>
    <w:rsid w:val="00EA7F35"/>
    <w:rsid w:val="00EB0EA0"/>
    <w:rsid w:val="00EB14DA"/>
    <w:rsid w:val="00EB1F8B"/>
    <w:rsid w:val="00EB227D"/>
    <w:rsid w:val="00EB23E4"/>
    <w:rsid w:val="00EB3087"/>
    <w:rsid w:val="00EB3A9B"/>
    <w:rsid w:val="00EB4303"/>
    <w:rsid w:val="00EB43FE"/>
    <w:rsid w:val="00EB4CFA"/>
    <w:rsid w:val="00EB5BD8"/>
    <w:rsid w:val="00EB6C47"/>
    <w:rsid w:val="00EB6CB1"/>
    <w:rsid w:val="00EB795C"/>
    <w:rsid w:val="00EC02D3"/>
    <w:rsid w:val="00EC08C9"/>
    <w:rsid w:val="00EC0A60"/>
    <w:rsid w:val="00EC33EA"/>
    <w:rsid w:val="00EC4783"/>
    <w:rsid w:val="00EC7AB8"/>
    <w:rsid w:val="00ED01A7"/>
    <w:rsid w:val="00ED09FC"/>
    <w:rsid w:val="00ED243E"/>
    <w:rsid w:val="00ED394C"/>
    <w:rsid w:val="00ED4303"/>
    <w:rsid w:val="00ED54E4"/>
    <w:rsid w:val="00ED5DD3"/>
    <w:rsid w:val="00EE1CD1"/>
    <w:rsid w:val="00EE54CA"/>
    <w:rsid w:val="00EE570F"/>
    <w:rsid w:val="00EE5BA4"/>
    <w:rsid w:val="00EF0040"/>
    <w:rsid w:val="00EF0CD4"/>
    <w:rsid w:val="00EF1260"/>
    <w:rsid w:val="00EF19E3"/>
    <w:rsid w:val="00EF1DD2"/>
    <w:rsid w:val="00EF41B4"/>
    <w:rsid w:val="00EF451B"/>
    <w:rsid w:val="00EF48CB"/>
    <w:rsid w:val="00EF7775"/>
    <w:rsid w:val="00F00AC6"/>
    <w:rsid w:val="00F00EB8"/>
    <w:rsid w:val="00F00FB6"/>
    <w:rsid w:val="00F014D0"/>
    <w:rsid w:val="00F02EAD"/>
    <w:rsid w:val="00F040F0"/>
    <w:rsid w:val="00F05334"/>
    <w:rsid w:val="00F05447"/>
    <w:rsid w:val="00F05ED5"/>
    <w:rsid w:val="00F07D06"/>
    <w:rsid w:val="00F104EE"/>
    <w:rsid w:val="00F1097E"/>
    <w:rsid w:val="00F10B3B"/>
    <w:rsid w:val="00F12EB1"/>
    <w:rsid w:val="00F13863"/>
    <w:rsid w:val="00F13B98"/>
    <w:rsid w:val="00F14A92"/>
    <w:rsid w:val="00F16468"/>
    <w:rsid w:val="00F211E4"/>
    <w:rsid w:val="00F21C9B"/>
    <w:rsid w:val="00F21EA8"/>
    <w:rsid w:val="00F2211F"/>
    <w:rsid w:val="00F221AA"/>
    <w:rsid w:val="00F231DC"/>
    <w:rsid w:val="00F2323C"/>
    <w:rsid w:val="00F252FA"/>
    <w:rsid w:val="00F267CB"/>
    <w:rsid w:val="00F26D58"/>
    <w:rsid w:val="00F3259D"/>
    <w:rsid w:val="00F32E74"/>
    <w:rsid w:val="00F32EC6"/>
    <w:rsid w:val="00F339BB"/>
    <w:rsid w:val="00F3532F"/>
    <w:rsid w:val="00F3549D"/>
    <w:rsid w:val="00F36A6A"/>
    <w:rsid w:val="00F36AB0"/>
    <w:rsid w:val="00F37D20"/>
    <w:rsid w:val="00F37FF6"/>
    <w:rsid w:val="00F40AF1"/>
    <w:rsid w:val="00F41956"/>
    <w:rsid w:val="00F42CA6"/>
    <w:rsid w:val="00F457EE"/>
    <w:rsid w:val="00F46A3B"/>
    <w:rsid w:val="00F50591"/>
    <w:rsid w:val="00F50606"/>
    <w:rsid w:val="00F508BE"/>
    <w:rsid w:val="00F50EE6"/>
    <w:rsid w:val="00F512F9"/>
    <w:rsid w:val="00F51660"/>
    <w:rsid w:val="00F5304C"/>
    <w:rsid w:val="00F5322C"/>
    <w:rsid w:val="00F5431A"/>
    <w:rsid w:val="00F5560F"/>
    <w:rsid w:val="00F6132A"/>
    <w:rsid w:val="00F621E8"/>
    <w:rsid w:val="00F62345"/>
    <w:rsid w:val="00F632CA"/>
    <w:rsid w:val="00F63A51"/>
    <w:rsid w:val="00F66043"/>
    <w:rsid w:val="00F71292"/>
    <w:rsid w:val="00F723B5"/>
    <w:rsid w:val="00F73D9A"/>
    <w:rsid w:val="00F7498F"/>
    <w:rsid w:val="00F77D38"/>
    <w:rsid w:val="00F80436"/>
    <w:rsid w:val="00F80D2E"/>
    <w:rsid w:val="00F8161A"/>
    <w:rsid w:val="00F81DD5"/>
    <w:rsid w:val="00F82AED"/>
    <w:rsid w:val="00F8332A"/>
    <w:rsid w:val="00F8382E"/>
    <w:rsid w:val="00F83B94"/>
    <w:rsid w:val="00F84076"/>
    <w:rsid w:val="00F848C2"/>
    <w:rsid w:val="00F90989"/>
    <w:rsid w:val="00F91127"/>
    <w:rsid w:val="00F9215B"/>
    <w:rsid w:val="00F92B63"/>
    <w:rsid w:val="00F931E9"/>
    <w:rsid w:val="00F94662"/>
    <w:rsid w:val="00F94E01"/>
    <w:rsid w:val="00F978BA"/>
    <w:rsid w:val="00FA0911"/>
    <w:rsid w:val="00FA141A"/>
    <w:rsid w:val="00FA1E31"/>
    <w:rsid w:val="00FA25B5"/>
    <w:rsid w:val="00FA2D00"/>
    <w:rsid w:val="00FA4219"/>
    <w:rsid w:val="00FA472D"/>
    <w:rsid w:val="00FA6288"/>
    <w:rsid w:val="00FB00E6"/>
    <w:rsid w:val="00FB0349"/>
    <w:rsid w:val="00FB112A"/>
    <w:rsid w:val="00FB2D6B"/>
    <w:rsid w:val="00FB37AA"/>
    <w:rsid w:val="00FB462E"/>
    <w:rsid w:val="00FB5135"/>
    <w:rsid w:val="00FB51FA"/>
    <w:rsid w:val="00FB603F"/>
    <w:rsid w:val="00FC1669"/>
    <w:rsid w:val="00FC1D4A"/>
    <w:rsid w:val="00FC331F"/>
    <w:rsid w:val="00FC41C8"/>
    <w:rsid w:val="00FC4680"/>
    <w:rsid w:val="00FC51E5"/>
    <w:rsid w:val="00FC5ED9"/>
    <w:rsid w:val="00FC789B"/>
    <w:rsid w:val="00FD02BA"/>
    <w:rsid w:val="00FD06B7"/>
    <w:rsid w:val="00FD09FC"/>
    <w:rsid w:val="00FD181F"/>
    <w:rsid w:val="00FD28CE"/>
    <w:rsid w:val="00FD2EB8"/>
    <w:rsid w:val="00FD3025"/>
    <w:rsid w:val="00FD4C77"/>
    <w:rsid w:val="00FD6F78"/>
    <w:rsid w:val="00FD72AC"/>
    <w:rsid w:val="00FD7800"/>
    <w:rsid w:val="00FD7B8F"/>
    <w:rsid w:val="00FE0077"/>
    <w:rsid w:val="00FE28DA"/>
    <w:rsid w:val="00FE51C5"/>
    <w:rsid w:val="00FE5781"/>
    <w:rsid w:val="00FE624B"/>
    <w:rsid w:val="00FF0BFF"/>
    <w:rsid w:val="00FF28B9"/>
    <w:rsid w:val="00FF29D8"/>
    <w:rsid w:val="00FF424E"/>
    <w:rsid w:val="00FF6F70"/>
    <w:rsid w:val="00FF7C19"/>
    <w:rsid w:val="12C9BFC7"/>
    <w:rsid w:val="579B9F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DB4856"/>
  <w15:docId w15:val="{C16DD51B-900D-4635-B7B2-C1AAA5E9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084"/>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4"/>
      <w:lang w:val="en-GB" w:eastAsia="en-US"/>
    </w:rPr>
  </w:style>
  <w:style w:type="paragraph" w:styleId="Heading1">
    <w:name w:val="heading 1"/>
    <w:basedOn w:val="Normal"/>
    <w:next w:val="Normal"/>
    <w:link w:val="Heading1Char"/>
    <w:qFormat/>
    <w:rsid w:val="00B03084"/>
    <w:pPr>
      <w:keepNext/>
      <w:keepLines/>
      <w:spacing w:before="360"/>
      <w:ind w:left="794" w:hanging="794"/>
      <w:jc w:val="left"/>
      <w:outlineLvl w:val="0"/>
    </w:pPr>
    <w:rPr>
      <w:b/>
    </w:rPr>
  </w:style>
  <w:style w:type="paragraph" w:styleId="Heading2">
    <w:name w:val="heading 2"/>
    <w:basedOn w:val="Heading1"/>
    <w:next w:val="Normal"/>
    <w:link w:val="Heading2Char"/>
    <w:qFormat/>
    <w:rsid w:val="00B03084"/>
    <w:pPr>
      <w:spacing w:before="240"/>
      <w:outlineLvl w:val="1"/>
    </w:pPr>
  </w:style>
  <w:style w:type="paragraph" w:styleId="Heading3">
    <w:name w:val="heading 3"/>
    <w:basedOn w:val="Heading1"/>
    <w:next w:val="Normal"/>
    <w:link w:val="Heading3Char"/>
    <w:qFormat/>
    <w:rsid w:val="00B03084"/>
    <w:pPr>
      <w:spacing w:before="160"/>
      <w:outlineLvl w:val="2"/>
    </w:pPr>
  </w:style>
  <w:style w:type="paragraph" w:styleId="Heading4">
    <w:name w:val="heading 4"/>
    <w:basedOn w:val="Heading3"/>
    <w:next w:val="Normal"/>
    <w:link w:val="Heading4Char"/>
    <w:qFormat/>
    <w:rsid w:val="00B03084"/>
    <w:pPr>
      <w:tabs>
        <w:tab w:val="clear" w:pos="794"/>
        <w:tab w:val="left" w:pos="1021"/>
      </w:tabs>
      <w:ind w:left="1021" w:hanging="1021"/>
      <w:outlineLvl w:val="3"/>
    </w:pPr>
  </w:style>
  <w:style w:type="paragraph" w:styleId="Heading5">
    <w:name w:val="heading 5"/>
    <w:basedOn w:val="Heading4"/>
    <w:next w:val="Normal"/>
    <w:link w:val="Heading5Char"/>
    <w:qFormat/>
    <w:rsid w:val="00B03084"/>
    <w:pPr>
      <w:outlineLvl w:val="4"/>
    </w:pPr>
  </w:style>
  <w:style w:type="paragraph" w:styleId="Heading6">
    <w:name w:val="heading 6"/>
    <w:basedOn w:val="Heading4"/>
    <w:next w:val="Normal"/>
    <w:link w:val="Heading6Char"/>
    <w:qFormat/>
    <w:rsid w:val="00B03084"/>
    <w:pPr>
      <w:tabs>
        <w:tab w:val="clear" w:pos="1021"/>
        <w:tab w:val="clear" w:pos="1191"/>
      </w:tabs>
      <w:ind w:left="1588" w:hanging="1588"/>
      <w:outlineLvl w:val="5"/>
    </w:pPr>
  </w:style>
  <w:style w:type="paragraph" w:styleId="Heading7">
    <w:name w:val="heading 7"/>
    <w:basedOn w:val="Heading6"/>
    <w:next w:val="Normal"/>
    <w:link w:val="Heading7Char"/>
    <w:qFormat/>
    <w:rsid w:val="00B03084"/>
    <w:pPr>
      <w:outlineLvl w:val="6"/>
    </w:pPr>
  </w:style>
  <w:style w:type="paragraph" w:styleId="Heading8">
    <w:name w:val="heading 8"/>
    <w:basedOn w:val="Heading6"/>
    <w:next w:val="Normal"/>
    <w:link w:val="Heading8Char"/>
    <w:qFormat/>
    <w:rsid w:val="00B03084"/>
    <w:pPr>
      <w:outlineLvl w:val="7"/>
    </w:pPr>
  </w:style>
  <w:style w:type="paragraph" w:styleId="Heading9">
    <w:name w:val="heading 9"/>
    <w:basedOn w:val="Heading6"/>
    <w:next w:val="Normal"/>
    <w:link w:val="Heading9Char"/>
    <w:qFormat/>
    <w:rsid w:val="00B0308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3084"/>
    <w:pPr>
      <w:tabs>
        <w:tab w:val="clear" w:pos="794"/>
        <w:tab w:val="clear" w:pos="1191"/>
        <w:tab w:val="clear" w:pos="1588"/>
        <w:tab w:val="clear" w:pos="1985"/>
      </w:tabs>
      <w:spacing w:before="0"/>
      <w:jc w:val="center"/>
    </w:pPr>
    <w:rPr>
      <w:sz w:val="18"/>
    </w:rPr>
  </w:style>
  <w:style w:type="paragraph" w:styleId="Footer">
    <w:name w:val="footer"/>
    <w:basedOn w:val="Normal"/>
    <w:link w:val="FooterChar"/>
    <w:rsid w:val="00B03084"/>
    <w:pPr>
      <w:tabs>
        <w:tab w:val="clear" w:pos="794"/>
        <w:tab w:val="clear" w:pos="1191"/>
        <w:tab w:val="clear" w:pos="1588"/>
        <w:tab w:val="clear" w:pos="1985"/>
        <w:tab w:val="left" w:pos="5954"/>
        <w:tab w:val="right" w:pos="9639"/>
      </w:tabs>
      <w:spacing w:before="0"/>
    </w:pPr>
    <w:rPr>
      <w:caps/>
      <w:noProof/>
      <w:sz w:val="16"/>
    </w:rPr>
  </w:style>
  <w:style w:type="character" w:styleId="PageNumber">
    <w:name w:val="page number"/>
    <w:basedOn w:val="DefaultParagraphFont"/>
    <w:rsid w:val="00B03084"/>
  </w:style>
  <w:style w:type="paragraph" w:customStyle="1" w:styleId="ASN1">
    <w:name w:val="ASN.1"/>
    <w:rsid w:val="00B03084"/>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val="en-GB" w:eastAsia="en-US"/>
    </w:rPr>
  </w:style>
  <w:style w:type="table" w:styleId="TableGrid">
    <w:name w:val="Table Grid"/>
    <w:basedOn w:val="TableNormal"/>
    <w:rsid w:val="00B0308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39"/>
    <w:rsid w:val="00B03084"/>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B03084"/>
    <w:pPr>
      <w:spacing w:before="80"/>
      <w:ind w:left="1531" w:hanging="851"/>
    </w:pPr>
  </w:style>
  <w:style w:type="paragraph" w:styleId="TOC3">
    <w:name w:val="toc 3"/>
    <w:basedOn w:val="TOC2"/>
    <w:rsid w:val="00B03084"/>
  </w:style>
  <w:style w:type="character" w:styleId="Hyperlink">
    <w:name w:val="Hyperlink"/>
    <w:aliases w:val="超级链接,하이퍼링크2,Style 58,하이퍼링크21,超?级链,超????,超??级链Ú,fL????,fL?级,超??级链,超链接1,CEO_Hyperlink"/>
    <w:basedOn w:val="DefaultParagraphFont"/>
    <w:uiPriority w:val="99"/>
    <w:qFormat/>
    <w:rsid w:val="00B03084"/>
    <w:rPr>
      <w:color w:val="0000FF"/>
      <w:u w:val="single"/>
    </w:rPr>
  </w:style>
  <w:style w:type="paragraph" w:styleId="CommentText">
    <w:name w:val="annotation text"/>
    <w:basedOn w:val="Normal"/>
    <w:link w:val="CommentTextChar"/>
    <w:semiHidden/>
    <w:rsid w:val="00B03084"/>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styleId="FollowedHyperlink">
    <w:name w:val="FollowedHyperlink"/>
    <w:rsid w:val="00A0117B"/>
    <w:rPr>
      <w:color w:val="800080"/>
      <w:u w:val="single"/>
    </w:rPr>
  </w:style>
  <w:style w:type="paragraph" w:customStyle="1" w:styleId="Figurelegend">
    <w:name w:val="Figure_legend"/>
    <w:basedOn w:val="Normal"/>
    <w:rsid w:val="00B03084"/>
    <w:pPr>
      <w:keepNext/>
      <w:keepLines/>
      <w:tabs>
        <w:tab w:val="clear" w:pos="794"/>
        <w:tab w:val="clear" w:pos="1191"/>
        <w:tab w:val="clear" w:pos="1588"/>
        <w:tab w:val="clear" w:pos="1985"/>
      </w:tabs>
      <w:spacing w:before="20" w:after="20"/>
      <w:jc w:val="left"/>
    </w:pPr>
    <w:rPr>
      <w:sz w:val="18"/>
    </w:rPr>
  </w:style>
  <w:style w:type="paragraph" w:customStyle="1" w:styleId="Normalaftertitle">
    <w:name w:val="Normal after title"/>
    <w:basedOn w:val="Normal"/>
    <w:next w:val="Normal"/>
    <w:rsid w:val="00166D09"/>
    <w:pPr>
      <w:spacing w:before="320"/>
    </w:pPr>
    <w:rPr>
      <w:rFonts w:eastAsia="SimSun"/>
    </w:rPr>
  </w:style>
  <w:style w:type="character" w:styleId="CommentReference">
    <w:name w:val="annotation reference"/>
    <w:basedOn w:val="DefaultParagraphFont"/>
    <w:semiHidden/>
    <w:rsid w:val="00B03084"/>
    <w:rPr>
      <w:sz w:val="16"/>
      <w:szCs w:val="16"/>
    </w:rPr>
  </w:style>
  <w:style w:type="paragraph" w:customStyle="1" w:styleId="Normalaftertitle0">
    <w:name w:val="Normal_after_title"/>
    <w:basedOn w:val="Normal"/>
    <w:next w:val="Normal"/>
    <w:rsid w:val="00B03084"/>
    <w:pPr>
      <w:spacing w:before="360"/>
    </w:pPr>
  </w:style>
  <w:style w:type="paragraph" w:customStyle="1" w:styleId="Rectitle">
    <w:name w:val="Rec_title"/>
    <w:basedOn w:val="Normal"/>
    <w:next w:val="Normalaftertitle0"/>
    <w:rsid w:val="00B03084"/>
    <w:pPr>
      <w:keepNext/>
      <w:keepLines/>
      <w:spacing w:before="360"/>
      <w:jc w:val="center"/>
    </w:pPr>
    <w:rPr>
      <w:b/>
      <w:sz w:val="28"/>
    </w:rPr>
  </w:style>
  <w:style w:type="paragraph" w:customStyle="1" w:styleId="RecNo">
    <w:name w:val="Rec_No"/>
    <w:basedOn w:val="Normal"/>
    <w:next w:val="Rectitle"/>
    <w:rsid w:val="00B03084"/>
    <w:pPr>
      <w:keepNext/>
      <w:keepLines/>
      <w:spacing w:before="0"/>
      <w:jc w:val="left"/>
    </w:pPr>
    <w:rPr>
      <w:b/>
      <w:sz w:val="28"/>
    </w:rPr>
  </w:style>
  <w:style w:type="paragraph" w:styleId="TOC4">
    <w:name w:val="toc 4"/>
    <w:basedOn w:val="TOC3"/>
    <w:semiHidden/>
    <w:rsid w:val="00B03084"/>
  </w:style>
  <w:style w:type="paragraph" w:styleId="TOC5">
    <w:name w:val="toc 5"/>
    <w:basedOn w:val="TOC4"/>
    <w:semiHidden/>
    <w:rsid w:val="00B03084"/>
  </w:style>
  <w:style w:type="paragraph" w:styleId="TOC6">
    <w:name w:val="toc 6"/>
    <w:basedOn w:val="TOC4"/>
    <w:semiHidden/>
    <w:rsid w:val="00B03084"/>
  </w:style>
  <w:style w:type="paragraph" w:styleId="TOC7">
    <w:name w:val="toc 7"/>
    <w:basedOn w:val="TOC4"/>
    <w:semiHidden/>
    <w:rsid w:val="00B03084"/>
  </w:style>
  <w:style w:type="paragraph" w:styleId="TOC8">
    <w:name w:val="toc 8"/>
    <w:basedOn w:val="TOC4"/>
    <w:semiHidden/>
    <w:rsid w:val="00B03084"/>
  </w:style>
  <w:style w:type="paragraph" w:styleId="TOC9">
    <w:name w:val="toc 9"/>
    <w:basedOn w:val="TOC3"/>
    <w:semiHidden/>
    <w:rsid w:val="00B03084"/>
  </w:style>
  <w:style w:type="paragraph" w:customStyle="1" w:styleId="FigureNotitle">
    <w:name w:val="Figure_No &amp; title"/>
    <w:basedOn w:val="Normal"/>
    <w:next w:val="Normal"/>
    <w:qFormat/>
    <w:rsid w:val="00B03084"/>
    <w:pPr>
      <w:keepLines/>
      <w:spacing w:before="240" w:after="120"/>
      <w:jc w:val="center"/>
    </w:pPr>
    <w:rPr>
      <w:b/>
    </w:rPr>
  </w:style>
  <w:style w:type="paragraph" w:styleId="BalloonText">
    <w:name w:val="Balloon Text"/>
    <w:basedOn w:val="Normal"/>
    <w:link w:val="BalloonTextChar"/>
    <w:rsid w:val="00B03084"/>
    <w:pPr>
      <w:spacing w:before="0"/>
    </w:pPr>
    <w:rPr>
      <w:rFonts w:ascii="Tahoma" w:hAnsi="Tahoma" w:cs="Tahoma"/>
      <w:sz w:val="16"/>
      <w:szCs w:val="16"/>
    </w:rPr>
  </w:style>
  <w:style w:type="paragraph" w:styleId="CommentSubject">
    <w:name w:val="annotation subject"/>
    <w:basedOn w:val="CommentText"/>
    <w:next w:val="CommentText"/>
    <w:link w:val="CommentSubjectChar"/>
    <w:semiHidden/>
    <w:rsid w:val="00003CAA"/>
    <w:rPr>
      <w:rFonts w:eastAsia="MS Mincho"/>
      <w:b/>
      <w:bCs/>
      <w:lang w:eastAsia="zh-CN"/>
    </w:rPr>
  </w:style>
  <w:style w:type="paragraph" w:customStyle="1" w:styleId="TableNotitle">
    <w:name w:val="Table_No &amp; title"/>
    <w:basedOn w:val="Normal"/>
    <w:next w:val="Normal"/>
    <w:qFormat/>
    <w:rsid w:val="00B03084"/>
    <w:pPr>
      <w:keepNext/>
      <w:keepLines/>
      <w:spacing w:before="360" w:after="120"/>
      <w:jc w:val="center"/>
    </w:pPr>
    <w:rPr>
      <w:b/>
    </w:rPr>
  </w:style>
  <w:style w:type="paragraph" w:customStyle="1" w:styleId="Equation">
    <w:name w:val="Equation"/>
    <w:basedOn w:val="Normal"/>
    <w:rsid w:val="00B03084"/>
    <w:pPr>
      <w:tabs>
        <w:tab w:val="clear" w:pos="1191"/>
        <w:tab w:val="clear" w:pos="1588"/>
        <w:tab w:val="clear" w:pos="1985"/>
        <w:tab w:val="center" w:pos="4820"/>
        <w:tab w:val="right" w:pos="9639"/>
      </w:tabs>
      <w:jc w:val="left"/>
    </w:pPr>
  </w:style>
  <w:style w:type="paragraph" w:customStyle="1" w:styleId="Headingb">
    <w:name w:val="Heading_b"/>
    <w:basedOn w:val="Normal"/>
    <w:next w:val="Normal"/>
    <w:rsid w:val="00B03084"/>
    <w:pPr>
      <w:keepNext/>
      <w:spacing w:before="160"/>
      <w:jc w:val="left"/>
    </w:pPr>
    <w:rPr>
      <w:b/>
    </w:rPr>
  </w:style>
  <w:style w:type="paragraph" w:customStyle="1" w:styleId="AnnexNotitle">
    <w:name w:val="Annex_No &amp; title"/>
    <w:basedOn w:val="Normal"/>
    <w:next w:val="Normal"/>
    <w:rsid w:val="00B03084"/>
    <w:pPr>
      <w:keepNext/>
      <w:keepLines/>
      <w:spacing w:before="480"/>
      <w:jc w:val="center"/>
    </w:pPr>
    <w:rPr>
      <w:b/>
      <w:sz w:val="28"/>
    </w:rPr>
  </w:style>
  <w:style w:type="paragraph" w:customStyle="1" w:styleId="AppendixNotitle">
    <w:name w:val="Appendix_No &amp; title"/>
    <w:basedOn w:val="AnnexNotitle"/>
    <w:next w:val="Normal"/>
    <w:rsid w:val="00B03084"/>
  </w:style>
  <w:style w:type="paragraph" w:styleId="TableofFigures">
    <w:name w:val="table of figures"/>
    <w:basedOn w:val="Normal"/>
    <w:next w:val="Normal"/>
    <w:uiPriority w:val="99"/>
    <w:rsid w:val="00F14A92"/>
    <w:pPr>
      <w:tabs>
        <w:tab w:val="right" w:leader="dot" w:pos="9639"/>
      </w:tabs>
    </w:pPr>
    <w:rPr>
      <w:smallCaps/>
      <w:sz w:val="20"/>
      <w:szCs w:val="24"/>
    </w:rPr>
  </w:style>
  <w:style w:type="paragraph" w:customStyle="1" w:styleId="Heading1Centered">
    <w:name w:val="Heading 1 Centered"/>
    <w:basedOn w:val="Heading1"/>
    <w:rsid w:val="00F14A92"/>
    <w:pPr>
      <w:ind w:left="0" w:firstLine="0"/>
      <w:jc w:val="center"/>
    </w:pPr>
  </w:style>
  <w:style w:type="paragraph" w:customStyle="1" w:styleId="Headingi">
    <w:name w:val="Heading_i"/>
    <w:basedOn w:val="Normal"/>
    <w:next w:val="Normal"/>
    <w:rsid w:val="00B03084"/>
    <w:pPr>
      <w:keepNext/>
      <w:spacing w:before="160"/>
      <w:jc w:val="left"/>
    </w:pPr>
    <w:rPr>
      <w:i/>
    </w:rPr>
  </w:style>
  <w:style w:type="paragraph" w:customStyle="1" w:styleId="Headingib">
    <w:name w:val="Heading_ib"/>
    <w:basedOn w:val="Headingi"/>
    <w:qFormat/>
    <w:rsid w:val="00F14A92"/>
    <w:rPr>
      <w:b/>
      <w:bCs/>
    </w:rPr>
  </w:style>
  <w:style w:type="paragraph" w:customStyle="1" w:styleId="Tablehead">
    <w:name w:val="Table_head"/>
    <w:basedOn w:val="Normal"/>
    <w:next w:val="Tabletext"/>
    <w:rsid w:val="00B03084"/>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B0308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Figure">
    <w:name w:val="Figure"/>
    <w:basedOn w:val="Normal"/>
    <w:next w:val="FigureNoTitle0"/>
    <w:rsid w:val="00B03084"/>
    <w:pPr>
      <w:keepNext/>
      <w:keepLines/>
      <w:spacing w:before="240" w:after="120"/>
      <w:jc w:val="center"/>
    </w:pPr>
  </w:style>
  <w:style w:type="paragraph" w:customStyle="1" w:styleId="toc0">
    <w:name w:val="toc 0"/>
    <w:basedOn w:val="Normal"/>
    <w:next w:val="TOC1"/>
    <w:rsid w:val="00B03084"/>
    <w:pPr>
      <w:keepLines/>
      <w:tabs>
        <w:tab w:val="clear" w:pos="794"/>
        <w:tab w:val="clear" w:pos="1191"/>
        <w:tab w:val="clear" w:pos="1588"/>
        <w:tab w:val="clear" w:pos="1985"/>
        <w:tab w:val="right" w:pos="9639"/>
      </w:tabs>
      <w:jc w:val="left"/>
    </w:pPr>
    <w:rPr>
      <w:b/>
    </w:rPr>
  </w:style>
  <w:style w:type="paragraph" w:styleId="List2">
    <w:name w:val="List 2"/>
    <w:basedOn w:val="Normal"/>
    <w:rsid w:val="0060241A"/>
    <w:pPr>
      <w:ind w:left="566" w:hanging="283"/>
    </w:pPr>
    <w:rPr>
      <w:szCs w:val="24"/>
    </w:rPr>
  </w:style>
  <w:style w:type="paragraph" w:styleId="List3">
    <w:name w:val="List 3"/>
    <w:basedOn w:val="Normal"/>
    <w:rsid w:val="0060241A"/>
    <w:pPr>
      <w:ind w:left="849" w:hanging="283"/>
    </w:pPr>
    <w:rPr>
      <w:szCs w:val="24"/>
    </w:rPr>
  </w:style>
  <w:style w:type="paragraph" w:styleId="List4">
    <w:name w:val="List 4"/>
    <w:basedOn w:val="Normal"/>
    <w:rsid w:val="0060241A"/>
    <w:pPr>
      <w:ind w:left="1132" w:hanging="283"/>
    </w:pPr>
    <w:rPr>
      <w:szCs w:val="24"/>
    </w:rPr>
  </w:style>
  <w:style w:type="paragraph" w:styleId="List5">
    <w:name w:val="List 5"/>
    <w:basedOn w:val="Normal"/>
    <w:rsid w:val="0060241A"/>
    <w:pPr>
      <w:ind w:left="1415" w:hanging="283"/>
    </w:pPr>
    <w:rPr>
      <w:szCs w:val="24"/>
    </w:rPr>
  </w:style>
  <w:style w:type="paragraph" w:styleId="Caption">
    <w:name w:val="caption"/>
    <w:basedOn w:val="Normal"/>
    <w:next w:val="Normal"/>
    <w:rsid w:val="0060241A"/>
    <w:pPr>
      <w:spacing w:after="120"/>
      <w:jc w:val="center"/>
    </w:pPr>
    <w:rPr>
      <w:b/>
      <w:bCs/>
      <w:szCs w:val="24"/>
    </w:rPr>
  </w:style>
  <w:style w:type="paragraph" w:customStyle="1" w:styleId="Tablelegend">
    <w:name w:val="Table_legend"/>
    <w:basedOn w:val="Normal"/>
    <w:rsid w:val="00B0308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TOCHeading">
    <w:name w:val="TOC Heading"/>
    <w:basedOn w:val="Heading1"/>
    <w:next w:val="Normal"/>
    <w:uiPriority w:val="39"/>
    <w:semiHidden/>
    <w:unhideWhenUsed/>
    <w:qFormat/>
    <w:rsid w:val="0060241A"/>
    <w:pPr>
      <w:spacing w:before="480" w:line="276" w:lineRule="auto"/>
      <w:ind w:left="0" w:firstLine="0"/>
      <w:outlineLvl w:val="9"/>
    </w:pPr>
    <w:rPr>
      <w:rFonts w:ascii="Cambria" w:eastAsia="SimSun" w:hAnsi="Cambria"/>
      <w:color w:val="365F91"/>
      <w:sz w:val="28"/>
      <w:szCs w:val="28"/>
      <w:lang w:val="en-US"/>
    </w:rPr>
  </w:style>
  <w:style w:type="character" w:customStyle="1" w:styleId="Heading1Char">
    <w:name w:val="Heading 1 Char"/>
    <w:link w:val="Heading1"/>
    <w:rsid w:val="00B03084"/>
    <w:rPr>
      <w:rFonts w:eastAsia="Times New Roman"/>
      <w:b/>
      <w:sz w:val="24"/>
      <w:lang w:val="en-GB" w:eastAsia="en-US"/>
    </w:rPr>
  </w:style>
  <w:style w:type="paragraph" w:styleId="Revision">
    <w:name w:val="Revision"/>
    <w:hidden/>
    <w:uiPriority w:val="99"/>
    <w:semiHidden/>
    <w:rsid w:val="009635CB"/>
    <w:rPr>
      <w:sz w:val="24"/>
    </w:rPr>
  </w:style>
  <w:style w:type="character" w:styleId="Emphasis">
    <w:name w:val="Emphasis"/>
    <w:rsid w:val="009635CB"/>
    <w:rPr>
      <w:i/>
      <w:iCs/>
    </w:rPr>
  </w:style>
  <w:style w:type="character" w:styleId="Strong">
    <w:name w:val="Strong"/>
    <w:rsid w:val="009635CB"/>
    <w:rPr>
      <w:b/>
      <w:bCs/>
    </w:rPr>
  </w:style>
  <w:style w:type="paragraph" w:styleId="Quote">
    <w:name w:val="Quote"/>
    <w:basedOn w:val="Normal"/>
    <w:next w:val="Normal"/>
    <w:link w:val="QuoteChar"/>
    <w:uiPriority w:val="29"/>
    <w:rsid w:val="009635CB"/>
    <w:pPr>
      <w:spacing w:before="200" w:after="160"/>
      <w:ind w:left="864" w:right="864"/>
      <w:jc w:val="center"/>
    </w:pPr>
    <w:rPr>
      <w:i/>
      <w:iCs/>
      <w:color w:val="404040"/>
    </w:rPr>
  </w:style>
  <w:style w:type="character" w:customStyle="1" w:styleId="QuoteChar">
    <w:name w:val="Quote Char"/>
    <w:link w:val="Quote"/>
    <w:uiPriority w:val="29"/>
    <w:rsid w:val="009635CB"/>
    <w:rPr>
      <w:i/>
      <w:iCs/>
      <w:color w:val="404040"/>
      <w:sz w:val="24"/>
    </w:rPr>
  </w:style>
  <w:style w:type="character" w:customStyle="1" w:styleId="CommentTextChar">
    <w:name w:val="Comment Text Char"/>
    <w:basedOn w:val="DefaultParagraphFont"/>
    <w:link w:val="CommentText"/>
    <w:semiHidden/>
    <w:rsid w:val="00127BD2"/>
    <w:rPr>
      <w:rFonts w:eastAsia="Times New Roman"/>
      <w:lang w:eastAsia="en-US"/>
    </w:rPr>
  </w:style>
  <w:style w:type="character" w:styleId="Mention">
    <w:name w:val="Mention"/>
    <w:basedOn w:val="DefaultParagraphFont"/>
    <w:uiPriority w:val="99"/>
    <w:unhideWhenUsed/>
    <w:rsid w:val="00127BD2"/>
    <w:rPr>
      <w:color w:val="2B579A"/>
      <w:shd w:val="clear" w:color="auto" w:fill="E1DFDD"/>
    </w:rPr>
  </w:style>
  <w:style w:type="paragraph" w:customStyle="1" w:styleId="VenueDate">
    <w:name w:val="VenueDate"/>
    <w:basedOn w:val="Normal"/>
    <w:qFormat/>
    <w:rsid w:val="00127BD2"/>
    <w:pPr>
      <w:jc w:val="right"/>
    </w:pPr>
  </w:style>
  <w:style w:type="paragraph" w:customStyle="1" w:styleId="TPapproval">
    <w:name w:val="TPapproval"/>
    <w:basedOn w:val="Normal"/>
    <w:rsid w:val="00A40B6A"/>
    <w:pPr>
      <w:wordWrap w:val="0"/>
      <w:spacing w:before="284"/>
      <w:jc w:val="right"/>
    </w:pPr>
    <w:rPr>
      <w:rFonts w:ascii="Arial" w:hAnsi="Arial"/>
      <w:sz w:val="28"/>
    </w:rPr>
  </w:style>
  <w:style w:type="paragraph" w:customStyle="1" w:styleId="TRnumber">
    <w:name w:val="TRnumber"/>
    <w:basedOn w:val="Normal"/>
    <w:rsid w:val="00CB74EE"/>
    <w:pPr>
      <w:tabs>
        <w:tab w:val="right" w:pos="9639"/>
      </w:tabs>
    </w:pPr>
    <w:rPr>
      <w:rFonts w:ascii="Arial" w:hAnsi="Arial" w:cs="Arial"/>
      <w:b/>
      <w:bCs/>
      <w:sz w:val="36"/>
    </w:rPr>
  </w:style>
  <w:style w:type="paragraph" w:customStyle="1" w:styleId="TRtitle">
    <w:name w:val="TRtitle"/>
    <w:basedOn w:val="Normal"/>
    <w:rsid w:val="00CB74EE"/>
    <w:pPr>
      <w:tabs>
        <w:tab w:val="right" w:pos="9639"/>
      </w:tabs>
      <w:spacing w:before="0"/>
    </w:pPr>
    <w:rPr>
      <w:rFonts w:ascii="Arial" w:hAnsi="Arial" w:cs="Arial"/>
      <w:b/>
      <w:bCs/>
      <w:sz w:val="36"/>
    </w:rPr>
  </w:style>
  <w:style w:type="paragraph" w:customStyle="1" w:styleId="TSBHeaderQuestion">
    <w:name w:val="TSBHeaderQuestion"/>
    <w:basedOn w:val="Normal"/>
    <w:qFormat/>
    <w:rsid w:val="000A4539"/>
    <w:rPr>
      <w:rFonts w:eastAsiaTheme="minorEastAsia"/>
      <w:szCs w:val="24"/>
      <w:lang w:eastAsia="ja-JP"/>
    </w:rPr>
  </w:style>
  <w:style w:type="paragraph" w:customStyle="1" w:styleId="TSBHeaderSource">
    <w:name w:val="TSBHeaderSource"/>
    <w:basedOn w:val="Normal"/>
    <w:qFormat/>
    <w:rsid w:val="000A4539"/>
    <w:rPr>
      <w:rFonts w:eastAsiaTheme="minorEastAsia"/>
      <w:szCs w:val="24"/>
      <w:lang w:eastAsia="ja-JP"/>
    </w:rPr>
  </w:style>
  <w:style w:type="paragraph" w:customStyle="1" w:styleId="TSBHeaderTitle">
    <w:name w:val="TSBHeaderTitle"/>
    <w:basedOn w:val="Normal"/>
    <w:qFormat/>
    <w:rsid w:val="000A4539"/>
    <w:rPr>
      <w:rFonts w:eastAsiaTheme="minorEastAsia"/>
      <w:szCs w:val="24"/>
      <w:lang w:eastAsia="ja-JP"/>
    </w:rPr>
  </w:style>
  <w:style w:type="paragraph" w:customStyle="1" w:styleId="TSBHeaderSummary">
    <w:name w:val="TSBHeaderSummary"/>
    <w:basedOn w:val="Normal"/>
    <w:rsid w:val="000A4539"/>
    <w:rPr>
      <w:rFonts w:eastAsiaTheme="minorEastAsia"/>
      <w:szCs w:val="24"/>
      <w:lang w:eastAsia="ja-JP"/>
    </w:rPr>
  </w:style>
  <w:style w:type="paragraph" w:styleId="FootnoteText">
    <w:name w:val="footnote text"/>
    <w:basedOn w:val="Note"/>
    <w:link w:val="FootnoteTextChar"/>
    <w:uiPriority w:val="99"/>
    <w:semiHidden/>
    <w:rsid w:val="00B03084"/>
    <w:pPr>
      <w:keepLines/>
      <w:tabs>
        <w:tab w:val="left" w:pos="255"/>
      </w:tabs>
      <w:ind w:left="255" w:hanging="255"/>
    </w:pPr>
  </w:style>
  <w:style w:type="character" w:customStyle="1" w:styleId="FootnoteTextChar">
    <w:name w:val="Footnote Text Char"/>
    <w:basedOn w:val="DefaultParagraphFont"/>
    <w:link w:val="FootnoteText"/>
    <w:uiPriority w:val="99"/>
    <w:semiHidden/>
    <w:rsid w:val="00061FB3"/>
    <w:rPr>
      <w:rFonts w:eastAsia="Times New Roman"/>
      <w:sz w:val="22"/>
      <w:lang w:val="en-GB" w:eastAsia="en-US"/>
    </w:rPr>
  </w:style>
  <w:style w:type="character" w:styleId="FootnoteReference">
    <w:name w:val="footnote reference"/>
    <w:basedOn w:val="DefaultParagraphFont"/>
    <w:uiPriority w:val="99"/>
    <w:semiHidden/>
    <w:rsid w:val="00B03084"/>
    <w:rPr>
      <w:position w:val="6"/>
      <w:sz w:val="18"/>
    </w:rPr>
  </w:style>
  <w:style w:type="paragraph" w:styleId="ListParagraph">
    <w:name w:val="List Paragraph"/>
    <w:basedOn w:val="Normal"/>
    <w:uiPriority w:val="34"/>
    <w:qFormat/>
    <w:rsid w:val="00EB4CFA"/>
    <w:pPr>
      <w:ind w:left="720"/>
      <w:contextualSpacing/>
    </w:pPr>
  </w:style>
  <w:style w:type="paragraph" w:styleId="Bibliography">
    <w:name w:val="Bibliography"/>
    <w:basedOn w:val="Normal"/>
    <w:next w:val="Normal"/>
    <w:uiPriority w:val="37"/>
    <w:unhideWhenUsed/>
    <w:rsid w:val="005412D5"/>
  </w:style>
  <w:style w:type="table" w:styleId="GridTable1Light-Accent2">
    <w:name w:val="Grid Table 1 Light Accent 2"/>
    <w:basedOn w:val="TableNormal"/>
    <w:uiPriority w:val="46"/>
    <w:rsid w:val="00F73D9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rsid w:val="00BF1DA2"/>
    <w:rPr>
      <w:rFonts w:eastAsia="Times New Roman"/>
      <w:b/>
      <w:sz w:val="24"/>
      <w:lang w:val="en-GB" w:eastAsia="en-US"/>
    </w:rPr>
  </w:style>
  <w:style w:type="character" w:styleId="UnresolvedMention">
    <w:name w:val="Unresolved Mention"/>
    <w:basedOn w:val="DefaultParagraphFont"/>
    <w:uiPriority w:val="99"/>
    <w:semiHidden/>
    <w:unhideWhenUsed/>
    <w:rsid w:val="00B03084"/>
    <w:rPr>
      <w:color w:val="605E5C"/>
      <w:shd w:val="clear" w:color="auto" w:fill="E1DFDD"/>
    </w:rPr>
  </w:style>
  <w:style w:type="table" w:styleId="ListTable7Colorful-Accent6">
    <w:name w:val="List Table 7 Colorful Accent 6"/>
    <w:basedOn w:val="TableNormal"/>
    <w:uiPriority w:val="52"/>
    <w:rsid w:val="007B4DA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6">
    <w:name w:val="List Table 4 Accent 6"/>
    <w:basedOn w:val="TableNormal"/>
    <w:uiPriority w:val="49"/>
    <w:rsid w:val="007B4DA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Accent6">
    <w:name w:val="Grid Table 7 Colorful Accent 6"/>
    <w:basedOn w:val="TableNormal"/>
    <w:uiPriority w:val="52"/>
    <w:rsid w:val="007B4DA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5Dark-Accent6">
    <w:name w:val="Grid Table 5 Dark Accent 6"/>
    <w:basedOn w:val="TableNormal"/>
    <w:uiPriority w:val="50"/>
    <w:rsid w:val="007B4DA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PlainTable2">
    <w:name w:val="Plain Table 2"/>
    <w:basedOn w:val="TableNormal"/>
    <w:uiPriority w:val="42"/>
    <w:rsid w:val="009158F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2B6B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2B6978"/>
    <w:rPr>
      <w:rFonts w:ascii="Segoe UI" w:hAnsi="Segoe UI" w:cs="Segoe UI" w:hint="default"/>
      <w:sz w:val="18"/>
      <w:szCs w:val="18"/>
    </w:rPr>
  </w:style>
  <w:style w:type="character" w:styleId="PlaceholderText">
    <w:name w:val="Placeholder Text"/>
    <w:basedOn w:val="DefaultParagraphFont"/>
    <w:uiPriority w:val="99"/>
    <w:semiHidden/>
    <w:rsid w:val="00BB4193"/>
    <w:rPr>
      <w:rFonts w:ascii="Times New Roman" w:hAnsi="Times New Roman"/>
      <w:color w:val="808080"/>
    </w:rPr>
  </w:style>
  <w:style w:type="paragraph" w:customStyle="1" w:styleId="Docnumber">
    <w:name w:val="Docnumber"/>
    <w:basedOn w:val="Normal"/>
    <w:link w:val="DocnumberChar"/>
    <w:qFormat/>
    <w:rsid w:val="00BB4193"/>
    <w:pPr>
      <w:jc w:val="right"/>
    </w:pPr>
    <w:rPr>
      <w:rFonts w:eastAsia="SimSun"/>
      <w:b/>
      <w:sz w:val="32"/>
    </w:rPr>
  </w:style>
  <w:style w:type="character" w:customStyle="1" w:styleId="DocnumberChar">
    <w:name w:val="Docnumber Char"/>
    <w:link w:val="Docnumber"/>
    <w:rsid w:val="00BB4193"/>
    <w:rPr>
      <w:rFonts w:eastAsia="SimSun"/>
      <w:b/>
      <w:sz w:val="32"/>
      <w:lang w:val="en-GB" w:eastAsia="en-US"/>
    </w:rPr>
  </w:style>
  <w:style w:type="paragraph" w:customStyle="1" w:styleId="TSBHeaderRight14">
    <w:name w:val="TSBHeaderRight14"/>
    <w:basedOn w:val="Normal"/>
    <w:qFormat/>
    <w:rsid w:val="00BB4193"/>
    <w:pPr>
      <w:jc w:val="right"/>
    </w:pPr>
    <w:rPr>
      <w:rFonts w:eastAsiaTheme="minorEastAsia"/>
      <w:b/>
      <w:bCs/>
      <w:sz w:val="28"/>
      <w:szCs w:val="28"/>
      <w:lang w:eastAsia="ja-JP"/>
    </w:rPr>
  </w:style>
  <w:style w:type="character" w:customStyle="1" w:styleId="HeaderChar">
    <w:name w:val="Header Char"/>
    <w:basedOn w:val="DefaultParagraphFont"/>
    <w:link w:val="Header"/>
    <w:rsid w:val="00AF173E"/>
    <w:rPr>
      <w:rFonts w:eastAsia="Times New Roman"/>
      <w:sz w:val="18"/>
      <w:lang w:val="en-GB" w:eastAsia="en-US"/>
    </w:rPr>
  </w:style>
  <w:style w:type="paragraph" w:customStyle="1" w:styleId="AnnexNoTitle0">
    <w:name w:val="Annex_NoTitle"/>
    <w:basedOn w:val="Normal"/>
    <w:next w:val="Normalaftertitle0"/>
    <w:rsid w:val="00635EF3"/>
    <w:pPr>
      <w:keepNext/>
      <w:keepLines/>
      <w:spacing w:before="0"/>
      <w:jc w:val="center"/>
      <w:outlineLvl w:val="0"/>
    </w:pPr>
    <w:rPr>
      <w:b/>
      <w:sz w:val="28"/>
    </w:rPr>
  </w:style>
  <w:style w:type="character" w:customStyle="1" w:styleId="Appdef">
    <w:name w:val="App_def"/>
    <w:basedOn w:val="DefaultParagraphFont"/>
    <w:rsid w:val="00B03084"/>
    <w:rPr>
      <w:rFonts w:ascii="Times New Roman" w:hAnsi="Times New Roman"/>
      <w:b/>
    </w:rPr>
  </w:style>
  <w:style w:type="character" w:customStyle="1" w:styleId="Appref">
    <w:name w:val="App_ref"/>
    <w:basedOn w:val="DefaultParagraphFont"/>
    <w:rsid w:val="00B03084"/>
  </w:style>
  <w:style w:type="paragraph" w:customStyle="1" w:styleId="AppendixNoTitle0">
    <w:name w:val="Appendix_NoTitle"/>
    <w:basedOn w:val="AnnexNoTitle0"/>
    <w:next w:val="Normalaftertitle0"/>
    <w:rsid w:val="00B03084"/>
  </w:style>
  <w:style w:type="character" w:customStyle="1" w:styleId="Artdef">
    <w:name w:val="Art_def"/>
    <w:basedOn w:val="DefaultParagraphFont"/>
    <w:rsid w:val="00B03084"/>
    <w:rPr>
      <w:rFonts w:ascii="Times New Roman" w:hAnsi="Times New Roman"/>
      <w:b/>
    </w:rPr>
  </w:style>
  <w:style w:type="paragraph" w:customStyle="1" w:styleId="Artheading">
    <w:name w:val="Art_heading"/>
    <w:basedOn w:val="Normal"/>
    <w:next w:val="Normalaftertitle0"/>
    <w:rsid w:val="00B03084"/>
    <w:pPr>
      <w:spacing w:before="480"/>
      <w:jc w:val="center"/>
    </w:pPr>
    <w:rPr>
      <w:b/>
      <w:sz w:val="28"/>
    </w:rPr>
  </w:style>
  <w:style w:type="paragraph" w:customStyle="1" w:styleId="ArtNo">
    <w:name w:val="Art_No"/>
    <w:basedOn w:val="Normal"/>
    <w:next w:val="Arttitle"/>
    <w:rsid w:val="00B03084"/>
    <w:pPr>
      <w:keepNext/>
      <w:keepLines/>
      <w:spacing w:before="480"/>
      <w:jc w:val="center"/>
    </w:pPr>
    <w:rPr>
      <w:caps/>
      <w:sz w:val="28"/>
    </w:rPr>
  </w:style>
  <w:style w:type="character" w:customStyle="1" w:styleId="Artref">
    <w:name w:val="Art_ref"/>
    <w:basedOn w:val="DefaultParagraphFont"/>
    <w:rsid w:val="00B03084"/>
  </w:style>
  <w:style w:type="paragraph" w:customStyle="1" w:styleId="Arttitle">
    <w:name w:val="Art_title"/>
    <w:basedOn w:val="Normal"/>
    <w:next w:val="Normalaftertitle0"/>
    <w:rsid w:val="00B03084"/>
    <w:pPr>
      <w:keepNext/>
      <w:keepLines/>
      <w:spacing w:before="240"/>
      <w:jc w:val="center"/>
    </w:pPr>
    <w:rPr>
      <w:b/>
      <w:sz w:val="28"/>
    </w:rPr>
  </w:style>
  <w:style w:type="character" w:customStyle="1" w:styleId="BalloonTextChar">
    <w:name w:val="Balloon Text Char"/>
    <w:basedOn w:val="DefaultParagraphFont"/>
    <w:link w:val="BalloonText"/>
    <w:rsid w:val="00B03084"/>
    <w:rPr>
      <w:rFonts w:ascii="Tahoma" w:eastAsia="Times New Roman" w:hAnsi="Tahoma" w:cs="Tahoma"/>
      <w:sz w:val="16"/>
      <w:szCs w:val="16"/>
      <w:lang w:val="en-GB" w:eastAsia="en-US"/>
    </w:rPr>
  </w:style>
  <w:style w:type="paragraph" w:styleId="BodyText">
    <w:name w:val="Body Text"/>
    <w:basedOn w:val="Normal"/>
    <w:link w:val="BodyTextChar"/>
    <w:uiPriority w:val="1"/>
    <w:qFormat/>
    <w:rsid w:val="00B03084"/>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B03084"/>
    <w:rPr>
      <w:rFonts w:ascii="Avenir Next W1G Medium" w:eastAsia="Avenir Next W1G Medium" w:hAnsi="Avenir Next W1G Medium" w:cs="Avenir Next W1G Medium"/>
      <w:b/>
      <w:bCs/>
      <w:sz w:val="48"/>
      <w:szCs w:val="48"/>
      <w:lang w:eastAsia="en-US"/>
    </w:rPr>
  </w:style>
  <w:style w:type="paragraph" w:customStyle="1" w:styleId="Call">
    <w:name w:val="Call"/>
    <w:basedOn w:val="Normal"/>
    <w:next w:val="Normal"/>
    <w:rsid w:val="00B03084"/>
    <w:pPr>
      <w:keepNext/>
      <w:keepLines/>
      <w:spacing w:before="160"/>
      <w:ind w:left="794"/>
      <w:jc w:val="left"/>
    </w:pPr>
    <w:rPr>
      <w:i/>
    </w:rPr>
  </w:style>
  <w:style w:type="paragraph" w:customStyle="1" w:styleId="ChapNo">
    <w:name w:val="Chap_No"/>
    <w:basedOn w:val="Normal"/>
    <w:next w:val="Chaptitle"/>
    <w:rsid w:val="00B03084"/>
    <w:pPr>
      <w:keepNext/>
      <w:keepLines/>
      <w:spacing w:before="480"/>
      <w:jc w:val="center"/>
    </w:pPr>
    <w:rPr>
      <w:b/>
      <w:caps/>
      <w:sz w:val="28"/>
    </w:rPr>
  </w:style>
  <w:style w:type="paragraph" w:customStyle="1" w:styleId="Chaptitle">
    <w:name w:val="Chap_title"/>
    <w:basedOn w:val="Normal"/>
    <w:next w:val="Normalaftertitle0"/>
    <w:rsid w:val="00B03084"/>
    <w:pPr>
      <w:keepNext/>
      <w:keepLines/>
      <w:spacing w:before="240"/>
      <w:jc w:val="center"/>
    </w:pPr>
    <w:rPr>
      <w:b/>
      <w:sz w:val="28"/>
    </w:rPr>
  </w:style>
  <w:style w:type="paragraph" w:customStyle="1" w:styleId="Default">
    <w:name w:val="Default"/>
    <w:rsid w:val="00B03084"/>
    <w:pPr>
      <w:autoSpaceDE w:val="0"/>
      <w:autoSpaceDN w:val="0"/>
      <w:adjustRightInd w:val="0"/>
    </w:pPr>
    <w:rPr>
      <w:rFonts w:eastAsia="Times New Roman"/>
      <w:color w:val="000000"/>
      <w:sz w:val="24"/>
      <w:szCs w:val="24"/>
      <w:lang w:val="en-GB"/>
    </w:rPr>
  </w:style>
  <w:style w:type="paragraph" w:customStyle="1" w:styleId="enumlev1">
    <w:name w:val="enumlev1"/>
    <w:basedOn w:val="Normal"/>
    <w:rsid w:val="00B03084"/>
    <w:pPr>
      <w:spacing w:before="80"/>
      <w:ind w:left="794" w:hanging="794"/>
    </w:pPr>
  </w:style>
  <w:style w:type="paragraph" w:customStyle="1" w:styleId="enumlev2">
    <w:name w:val="enumlev2"/>
    <w:basedOn w:val="enumlev1"/>
    <w:rsid w:val="00B03084"/>
    <w:pPr>
      <w:ind w:left="1191" w:hanging="397"/>
    </w:pPr>
  </w:style>
  <w:style w:type="paragraph" w:customStyle="1" w:styleId="enumlev3">
    <w:name w:val="enumlev3"/>
    <w:basedOn w:val="enumlev2"/>
    <w:rsid w:val="00B03084"/>
    <w:pPr>
      <w:ind w:left="1588"/>
    </w:pPr>
  </w:style>
  <w:style w:type="paragraph" w:customStyle="1" w:styleId="Equationlegend">
    <w:name w:val="Equation_legend"/>
    <w:basedOn w:val="Normal"/>
    <w:rsid w:val="00B03084"/>
    <w:pPr>
      <w:tabs>
        <w:tab w:val="clear" w:pos="794"/>
        <w:tab w:val="clear" w:pos="1191"/>
        <w:tab w:val="clear" w:pos="1588"/>
        <w:tab w:val="right" w:pos="1814"/>
      </w:tabs>
      <w:spacing w:before="80"/>
      <w:ind w:left="1985" w:hanging="1985"/>
    </w:pPr>
  </w:style>
  <w:style w:type="paragraph" w:customStyle="1" w:styleId="FigureNoTitle0">
    <w:name w:val="Figure_NoTitle"/>
    <w:basedOn w:val="Normal"/>
    <w:next w:val="Normalaftertitle0"/>
    <w:rsid w:val="00B03084"/>
    <w:pPr>
      <w:keepLines/>
      <w:spacing w:before="240" w:after="120"/>
      <w:jc w:val="center"/>
    </w:pPr>
    <w:rPr>
      <w:b/>
    </w:rPr>
  </w:style>
  <w:style w:type="paragraph" w:customStyle="1" w:styleId="Figurewithouttitle">
    <w:name w:val="Figure_without_title"/>
    <w:basedOn w:val="Normal"/>
    <w:next w:val="Normalaftertitle0"/>
    <w:rsid w:val="00B03084"/>
    <w:pPr>
      <w:keepLines/>
      <w:spacing w:before="240" w:after="120"/>
      <w:jc w:val="center"/>
    </w:pPr>
  </w:style>
  <w:style w:type="paragraph" w:customStyle="1" w:styleId="FirstFooter">
    <w:name w:val="FirstFooter"/>
    <w:basedOn w:val="Footer"/>
    <w:rsid w:val="00B03084"/>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B03084"/>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Note">
    <w:name w:val="Note"/>
    <w:basedOn w:val="Normal"/>
    <w:rsid w:val="00B03084"/>
    <w:pPr>
      <w:spacing w:before="80"/>
    </w:pPr>
    <w:rPr>
      <w:sz w:val="22"/>
    </w:rPr>
  </w:style>
  <w:style w:type="paragraph" w:customStyle="1" w:styleId="Formal">
    <w:name w:val="Formal"/>
    <w:basedOn w:val="ASN1"/>
    <w:rsid w:val="00B03084"/>
    <w:rPr>
      <w:b w:val="0"/>
    </w:rPr>
  </w:style>
  <w:style w:type="paragraph" w:styleId="Index1">
    <w:name w:val="index 1"/>
    <w:basedOn w:val="Normal"/>
    <w:next w:val="Normal"/>
    <w:semiHidden/>
    <w:rsid w:val="00B03084"/>
    <w:pPr>
      <w:jc w:val="left"/>
    </w:pPr>
  </w:style>
  <w:style w:type="paragraph" w:styleId="Index2">
    <w:name w:val="index 2"/>
    <w:basedOn w:val="Normal"/>
    <w:next w:val="Normal"/>
    <w:semiHidden/>
    <w:rsid w:val="00B03084"/>
    <w:pPr>
      <w:ind w:left="284"/>
      <w:jc w:val="left"/>
    </w:pPr>
  </w:style>
  <w:style w:type="paragraph" w:styleId="Index3">
    <w:name w:val="index 3"/>
    <w:basedOn w:val="Normal"/>
    <w:next w:val="Normal"/>
    <w:semiHidden/>
    <w:rsid w:val="00B03084"/>
    <w:pPr>
      <w:ind w:left="567"/>
      <w:jc w:val="left"/>
    </w:pPr>
  </w:style>
  <w:style w:type="paragraph" w:customStyle="1" w:styleId="PartNo">
    <w:name w:val="Part_No"/>
    <w:basedOn w:val="Normal"/>
    <w:next w:val="Partref"/>
    <w:rsid w:val="00B03084"/>
    <w:pPr>
      <w:keepNext/>
      <w:keepLines/>
      <w:spacing w:before="480" w:after="80"/>
      <w:jc w:val="center"/>
    </w:pPr>
    <w:rPr>
      <w:caps/>
      <w:sz w:val="28"/>
    </w:rPr>
  </w:style>
  <w:style w:type="paragraph" w:customStyle="1" w:styleId="Partref">
    <w:name w:val="Part_ref"/>
    <w:basedOn w:val="Normal"/>
    <w:next w:val="Parttitle"/>
    <w:rsid w:val="00B03084"/>
    <w:pPr>
      <w:keepNext/>
      <w:keepLines/>
      <w:spacing w:before="280"/>
      <w:jc w:val="center"/>
    </w:pPr>
  </w:style>
  <w:style w:type="paragraph" w:customStyle="1" w:styleId="Parttitle">
    <w:name w:val="Part_title"/>
    <w:basedOn w:val="Normal"/>
    <w:next w:val="Normalaftertitle0"/>
    <w:rsid w:val="00B03084"/>
    <w:pPr>
      <w:keepNext/>
      <w:keepLines/>
      <w:spacing w:before="240" w:after="280"/>
      <w:jc w:val="center"/>
    </w:pPr>
    <w:rPr>
      <w:b/>
      <w:sz w:val="28"/>
    </w:rPr>
  </w:style>
  <w:style w:type="paragraph" w:customStyle="1" w:styleId="Recdate">
    <w:name w:val="Rec_date"/>
    <w:basedOn w:val="Normal"/>
    <w:next w:val="Normalaftertitle0"/>
    <w:rsid w:val="00B03084"/>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B03084"/>
  </w:style>
  <w:style w:type="paragraph" w:customStyle="1" w:styleId="QuestionNo">
    <w:name w:val="Question_No"/>
    <w:basedOn w:val="RecNo"/>
    <w:next w:val="Questiontitle"/>
    <w:rsid w:val="00B03084"/>
  </w:style>
  <w:style w:type="paragraph" w:customStyle="1" w:styleId="Recref">
    <w:name w:val="Rec_ref"/>
    <w:basedOn w:val="Normal"/>
    <w:next w:val="Recdate"/>
    <w:rsid w:val="00B03084"/>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B03084"/>
  </w:style>
  <w:style w:type="paragraph" w:customStyle="1" w:styleId="Questiontitle">
    <w:name w:val="Question_title"/>
    <w:basedOn w:val="Rectitle"/>
    <w:next w:val="Questionref"/>
    <w:rsid w:val="00B03084"/>
  </w:style>
  <w:style w:type="paragraph" w:customStyle="1" w:styleId="Reftext">
    <w:name w:val="Ref_text"/>
    <w:basedOn w:val="Normal"/>
    <w:link w:val="ReftextChar"/>
    <w:rsid w:val="00B03084"/>
    <w:pPr>
      <w:ind w:left="794" w:hanging="794"/>
      <w:jc w:val="left"/>
    </w:pPr>
  </w:style>
  <w:style w:type="paragraph" w:customStyle="1" w:styleId="Reftitle">
    <w:name w:val="Ref_title"/>
    <w:basedOn w:val="Normal"/>
    <w:next w:val="Reftext"/>
    <w:rsid w:val="00B03084"/>
    <w:pPr>
      <w:spacing w:before="480"/>
      <w:jc w:val="center"/>
    </w:pPr>
    <w:rPr>
      <w:b/>
    </w:rPr>
  </w:style>
  <w:style w:type="paragraph" w:customStyle="1" w:styleId="Repdate">
    <w:name w:val="Rep_date"/>
    <w:basedOn w:val="Recdate"/>
    <w:next w:val="Normalaftertitle0"/>
    <w:rsid w:val="00B03084"/>
  </w:style>
  <w:style w:type="paragraph" w:customStyle="1" w:styleId="RepNo">
    <w:name w:val="Rep_No"/>
    <w:basedOn w:val="RecNo"/>
    <w:next w:val="Reptitle"/>
    <w:rsid w:val="00B03084"/>
  </w:style>
  <w:style w:type="paragraph" w:customStyle="1" w:styleId="Repref">
    <w:name w:val="Rep_ref"/>
    <w:basedOn w:val="Recref"/>
    <w:next w:val="Repdate"/>
    <w:rsid w:val="00B03084"/>
  </w:style>
  <w:style w:type="paragraph" w:customStyle="1" w:styleId="Reptitle">
    <w:name w:val="Rep_title"/>
    <w:basedOn w:val="Rectitle"/>
    <w:next w:val="Repref"/>
    <w:rsid w:val="00B03084"/>
  </w:style>
  <w:style w:type="paragraph" w:customStyle="1" w:styleId="Resdate">
    <w:name w:val="Res_date"/>
    <w:basedOn w:val="Recdate"/>
    <w:next w:val="Normalaftertitle0"/>
    <w:rsid w:val="00B03084"/>
  </w:style>
  <w:style w:type="character" w:customStyle="1" w:styleId="Resdef">
    <w:name w:val="Res_def"/>
    <w:basedOn w:val="DefaultParagraphFont"/>
    <w:rsid w:val="00B03084"/>
    <w:rPr>
      <w:rFonts w:ascii="Times New Roman" w:hAnsi="Times New Roman"/>
      <w:b/>
    </w:rPr>
  </w:style>
  <w:style w:type="paragraph" w:customStyle="1" w:styleId="ResNo">
    <w:name w:val="Res_No"/>
    <w:basedOn w:val="RecNo"/>
    <w:next w:val="Restitle"/>
    <w:rsid w:val="00B03084"/>
  </w:style>
  <w:style w:type="paragraph" w:customStyle="1" w:styleId="Resref">
    <w:name w:val="Res_ref"/>
    <w:basedOn w:val="Recref"/>
    <w:next w:val="Resdate"/>
    <w:rsid w:val="00B03084"/>
  </w:style>
  <w:style w:type="paragraph" w:customStyle="1" w:styleId="Restitle">
    <w:name w:val="Res_title"/>
    <w:basedOn w:val="Rectitle"/>
    <w:next w:val="Resref"/>
    <w:rsid w:val="00B03084"/>
  </w:style>
  <w:style w:type="paragraph" w:customStyle="1" w:styleId="Section1">
    <w:name w:val="Section_1"/>
    <w:basedOn w:val="Normal"/>
    <w:next w:val="Normal"/>
    <w:rsid w:val="00B03084"/>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B03084"/>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B03084"/>
    <w:pPr>
      <w:keepNext/>
      <w:keepLines/>
      <w:spacing w:before="480" w:after="80"/>
      <w:jc w:val="center"/>
    </w:pPr>
    <w:rPr>
      <w:caps/>
      <w:sz w:val="28"/>
    </w:rPr>
  </w:style>
  <w:style w:type="paragraph" w:customStyle="1" w:styleId="Sectiontitle">
    <w:name w:val="Section_title"/>
    <w:basedOn w:val="Normal"/>
    <w:next w:val="Normalaftertitle0"/>
    <w:rsid w:val="00B03084"/>
    <w:pPr>
      <w:keepNext/>
      <w:keepLines/>
      <w:spacing w:before="480" w:after="280"/>
      <w:jc w:val="center"/>
    </w:pPr>
    <w:rPr>
      <w:b/>
      <w:sz w:val="28"/>
    </w:rPr>
  </w:style>
  <w:style w:type="paragraph" w:customStyle="1" w:styleId="Source">
    <w:name w:val="Source"/>
    <w:basedOn w:val="Normal"/>
    <w:next w:val="Normalaftertitle0"/>
    <w:rsid w:val="00B03084"/>
    <w:pPr>
      <w:spacing w:before="840" w:after="200"/>
      <w:jc w:val="center"/>
    </w:pPr>
    <w:rPr>
      <w:b/>
      <w:sz w:val="28"/>
    </w:rPr>
  </w:style>
  <w:style w:type="paragraph" w:customStyle="1" w:styleId="SpecialFooter">
    <w:name w:val="Special Footer"/>
    <w:basedOn w:val="Footer"/>
    <w:rsid w:val="00B03084"/>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B03084"/>
    <w:rPr>
      <w:b/>
      <w:color w:val="auto"/>
    </w:rPr>
  </w:style>
  <w:style w:type="paragraph" w:customStyle="1" w:styleId="TableNoTitle0">
    <w:name w:val="Table_NoTitle"/>
    <w:basedOn w:val="Normal"/>
    <w:next w:val="Tablehead"/>
    <w:rsid w:val="00B03084"/>
    <w:pPr>
      <w:keepNext/>
      <w:keepLines/>
      <w:spacing w:before="360" w:after="120"/>
      <w:jc w:val="center"/>
    </w:pPr>
    <w:rPr>
      <w:b/>
    </w:rPr>
  </w:style>
  <w:style w:type="paragraph" w:customStyle="1" w:styleId="Title1">
    <w:name w:val="Title 1"/>
    <w:basedOn w:val="Source"/>
    <w:next w:val="Title2"/>
    <w:rsid w:val="00B03084"/>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B03084"/>
  </w:style>
  <w:style w:type="paragraph" w:customStyle="1" w:styleId="Title3">
    <w:name w:val="Title 3"/>
    <w:basedOn w:val="Title2"/>
    <w:next w:val="Title4"/>
    <w:rsid w:val="00B03084"/>
    <w:rPr>
      <w:caps w:val="0"/>
    </w:rPr>
  </w:style>
  <w:style w:type="paragraph" w:customStyle="1" w:styleId="Title4">
    <w:name w:val="Title 4"/>
    <w:basedOn w:val="Title3"/>
    <w:next w:val="Heading1"/>
    <w:rsid w:val="00B03084"/>
    <w:rPr>
      <w:b/>
    </w:rPr>
  </w:style>
  <w:style w:type="character" w:customStyle="1" w:styleId="FooterChar">
    <w:name w:val="Footer Char"/>
    <w:basedOn w:val="DefaultParagraphFont"/>
    <w:link w:val="Footer"/>
    <w:rsid w:val="0043521E"/>
    <w:rPr>
      <w:rFonts w:eastAsia="Times New Roman"/>
      <w:caps/>
      <w:noProof/>
      <w:sz w:val="16"/>
      <w:lang w:val="en-GB" w:eastAsia="en-US"/>
    </w:rPr>
  </w:style>
  <w:style w:type="character" w:customStyle="1" w:styleId="Heading3Char">
    <w:name w:val="Heading 3 Char"/>
    <w:basedOn w:val="DefaultParagraphFont"/>
    <w:link w:val="Heading3"/>
    <w:rsid w:val="00741F7E"/>
    <w:rPr>
      <w:rFonts w:eastAsia="Times New Roman"/>
      <w:b/>
      <w:sz w:val="24"/>
      <w:lang w:val="en-GB" w:eastAsia="en-US"/>
    </w:rPr>
  </w:style>
  <w:style w:type="character" w:customStyle="1" w:styleId="Heading4Char">
    <w:name w:val="Heading 4 Char"/>
    <w:basedOn w:val="DefaultParagraphFont"/>
    <w:link w:val="Heading4"/>
    <w:rsid w:val="00741F7E"/>
    <w:rPr>
      <w:rFonts w:eastAsia="Times New Roman"/>
      <w:b/>
      <w:sz w:val="24"/>
      <w:lang w:val="en-GB" w:eastAsia="en-US"/>
    </w:rPr>
  </w:style>
  <w:style w:type="character" w:customStyle="1" w:styleId="Heading5Char">
    <w:name w:val="Heading 5 Char"/>
    <w:basedOn w:val="DefaultParagraphFont"/>
    <w:link w:val="Heading5"/>
    <w:rsid w:val="00741F7E"/>
    <w:rPr>
      <w:rFonts w:eastAsia="Times New Roman"/>
      <w:b/>
      <w:sz w:val="24"/>
      <w:lang w:val="en-GB" w:eastAsia="en-US"/>
    </w:rPr>
  </w:style>
  <w:style w:type="character" w:customStyle="1" w:styleId="Heading6Char">
    <w:name w:val="Heading 6 Char"/>
    <w:basedOn w:val="DefaultParagraphFont"/>
    <w:link w:val="Heading6"/>
    <w:rsid w:val="00741F7E"/>
    <w:rPr>
      <w:rFonts w:eastAsia="Times New Roman"/>
      <w:b/>
      <w:sz w:val="24"/>
      <w:lang w:val="en-GB" w:eastAsia="en-US"/>
    </w:rPr>
  </w:style>
  <w:style w:type="character" w:customStyle="1" w:styleId="Heading7Char">
    <w:name w:val="Heading 7 Char"/>
    <w:basedOn w:val="DefaultParagraphFont"/>
    <w:link w:val="Heading7"/>
    <w:rsid w:val="00741F7E"/>
    <w:rPr>
      <w:rFonts w:eastAsia="Times New Roman"/>
      <w:b/>
      <w:sz w:val="24"/>
      <w:lang w:val="en-GB" w:eastAsia="en-US"/>
    </w:rPr>
  </w:style>
  <w:style w:type="character" w:customStyle="1" w:styleId="Heading8Char">
    <w:name w:val="Heading 8 Char"/>
    <w:basedOn w:val="DefaultParagraphFont"/>
    <w:link w:val="Heading8"/>
    <w:rsid w:val="00741F7E"/>
    <w:rPr>
      <w:rFonts w:eastAsia="Times New Roman"/>
      <w:b/>
      <w:sz w:val="24"/>
      <w:lang w:val="en-GB" w:eastAsia="en-US"/>
    </w:rPr>
  </w:style>
  <w:style w:type="character" w:customStyle="1" w:styleId="Heading9Char">
    <w:name w:val="Heading 9 Char"/>
    <w:basedOn w:val="DefaultParagraphFont"/>
    <w:link w:val="Heading9"/>
    <w:rsid w:val="00741F7E"/>
    <w:rPr>
      <w:rFonts w:eastAsia="Times New Roman"/>
      <w:b/>
      <w:sz w:val="24"/>
      <w:lang w:val="en-GB" w:eastAsia="en-US"/>
    </w:rPr>
  </w:style>
  <w:style w:type="character" w:customStyle="1" w:styleId="CommentSubjectChar">
    <w:name w:val="Comment Subject Char"/>
    <w:basedOn w:val="CommentTextChar"/>
    <w:link w:val="CommentSubject"/>
    <w:semiHidden/>
    <w:rsid w:val="00741F7E"/>
    <w:rPr>
      <w:rFonts w:eastAsia="Times New Roman"/>
      <w:b/>
      <w:bCs/>
      <w:lang w:eastAsia="en-US"/>
    </w:rPr>
  </w:style>
  <w:style w:type="character" w:customStyle="1" w:styleId="ReftextChar">
    <w:name w:val="Ref_text Char"/>
    <w:link w:val="Reftext"/>
    <w:qFormat/>
    <w:locked/>
    <w:rsid w:val="001E079F"/>
    <w:rPr>
      <w:rFonts w:eastAsia="Times New Roman"/>
      <w:sz w:val="24"/>
      <w:lang w:val="en-GB" w:eastAsia="en-US"/>
    </w:rPr>
  </w:style>
  <w:style w:type="paragraph" w:customStyle="1" w:styleId="Reasons">
    <w:name w:val="Reasons"/>
    <w:basedOn w:val="Normal"/>
    <w:qFormat/>
    <w:rsid w:val="001E079F"/>
    <w:pPr>
      <w:tabs>
        <w:tab w:val="clear" w:pos="794"/>
        <w:tab w:val="clear" w:pos="1191"/>
        <w:tab w:val="clear" w:pos="1588"/>
        <w:tab w:val="clear" w:pos="1985"/>
      </w:tabs>
      <w:overflowPunct/>
      <w:autoSpaceDE/>
      <w:autoSpaceDN/>
      <w:adjustRightInd/>
      <w:spacing w:before="0"/>
      <w:jc w:val="left"/>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497">
      <w:bodyDiv w:val="1"/>
      <w:marLeft w:val="0"/>
      <w:marRight w:val="0"/>
      <w:marTop w:val="0"/>
      <w:marBottom w:val="0"/>
      <w:divBdr>
        <w:top w:val="none" w:sz="0" w:space="0" w:color="auto"/>
        <w:left w:val="none" w:sz="0" w:space="0" w:color="auto"/>
        <w:bottom w:val="none" w:sz="0" w:space="0" w:color="auto"/>
        <w:right w:val="none" w:sz="0" w:space="0" w:color="auto"/>
      </w:divBdr>
    </w:div>
    <w:div w:id="14423554">
      <w:bodyDiv w:val="1"/>
      <w:marLeft w:val="0"/>
      <w:marRight w:val="0"/>
      <w:marTop w:val="0"/>
      <w:marBottom w:val="0"/>
      <w:divBdr>
        <w:top w:val="none" w:sz="0" w:space="0" w:color="auto"/>
        <w:left w:val="none" w:sz="0" w:space="0" w:color="auto"/>
        <w:bottom w:val="none" w:sz="0" w:space="0" w:color="auto"/>
        <w:right w:val="none" w:sz="0" w:space="0" w:color="auto"/>
      </w:divBdr>
    </w:div>
    <w:div w:id="23602071">
      <w:bodyDiv w:val="1"/>
      <w:marLeft w:val="0"/>
      <w:marRight w:val="0"/>
      <w:marTop w:val="0"/>
      <w:marBottom w:val="0"/>
      <w:divBdr>
        <w:top w:val="none" w:sz="0" w:space="0" w:color="auto"/>
        <w:left w:val="none" w:sz="0" w:space="0" w:color="auto"/>
        <w:bottom w:val="none" w:sz="0" w:space="0" w:color="auto"/>
        <w:right w:val="none" w:sz="0" w:space="0" w:color="auto"/>
      </w:divBdr>
    </w:div>
    <w:div w:id="30108216">
      <w:bodyDiv w:val="1"/>
      <w:marLeft w:val="0"/>
      <w:marRight w:val="0"/>
      <w:marTop w:val="0"/>
      <w:marBottom w:val="0"/>
      <w:divBdr>
        <w:top w:val="none" w:sz="0" w:space="0" w:color="auto"/>
        <w:left w:val="none" w:sz="0" w:space="0" w:color="auto"/>
        <w:bottom w:val="none" w:sz="0" w:space="0" w:color="auto"/>
        <w:right w:val="none" w:sz="0" w:space="0" w:color="auto"/>
      </w:divBdr>
    </w:div>
    <w:div w:id="32386509">
      <w:bodyDiv w:val="1"/>
      <w:marLeft w:val="0"/>
      <w:marRight w:val="0"/>
      <w:marTop w:val="0"/>
      <w:marBottom w:val="0"/>
      <w:divBdr>
        <w:top w:val="none" w:sz="0" w:space="0" w:color="auto"/>
        <w:left w:val="none" w:sz="0" w:space="0" w:color="auto"/>
        <w:bottom w:val="none" w:sz="0" w:space="0" w:color="auto"/>
        <w:right w:val="none" w:sz="0" w:space="0" w:color="auto"/>
      </w:divBdr>
    </w:div>
    <w:div w:id="36244796">
      <w:bodyDiv w:val="1"/>
      <w:marLeft w:val="0"/>
      <w:marRight w:val="0"/>
      <w:marTop w:val="0"/>
      <w:marBottom w:val="0"/>
      <w:divBdr>
        <w:top w:val="none" w:sz="0" w:space="0" w:color="auto"/>
        <w:left w:val="none" w:sz="0" w:space="0" w:color="auto"/>
        <w:bottom w:val="none" w:sz="0" w:space="0" w:color="auto"/>
        <w:right w:val="none" w:sz="0" w:space="0" w:color="auto"/>
      </w:divBdr>
    </w:div>
    <w:div w:id="66078087">
      <w:bodyDiv w:val="1"/>
      <w:marLeft w:val="0"/>
      <w:marRight w:val="0"/>
      <w:marTop w:val="0"/>
      <w:marBottom w:val="0"/>
      <w:divBdr>
        <w:top w:val="none" w:sz="0" w:space="0" w:color="auto"/>
        <w:left w:val="none" w:sz="0" w:space="0" w:color="auto"/>
        <w:bottom w:val="none" w:sz="0" w:space="0" w:color="auto"/>
        <w:right w:val="none" w:sz="0" w:space="0" w:color="auto"/>
      </w:divBdr>
    </w:div>
    <w:div w:id="85227139">
      <w:bodyDiv w:val="1"/>
      <w:marLeft w:val="0"/>
      <w:marRight w:val="0"/>
      <w:marTop w:val="0"/>
      <w:marBottom w:val="0"/>
      <w:divBdr>
        <w:top w:val="none" w:sz="0" w:space="0" w:color="auto"/>
        <w:left w:val="none" w:sz="0" w:space="0" w:color="auto"/>
        <w:bottom w:val="none" w:sz="0" w:space="0" w:color="auto"/>
        <w:right w:val="none" w:sz="0" w:space="0" w:color="auto"/>
      </w:divBdr>
    </w:div>
    <w:div w:id="89545150">
      <w:bodyDiv w:val="1"/>
      <w:marLeft w:val="0"/>
      <w:marRight w:val="0"/>
      <w:marTop w:val="0"/>
      <w:marBottom w:val="0"/>
      <w:divBdr>
        <w:top w:val="none" w:sz="0" w:space="0" w:color="auto"/>
        <w:left w:val="none" w:sz="0" w:space="0" w:color="auto"/>
        <w:bottom w:val="none" w:sz="0" w:space="0" w:color="auto"/>
        <w:right w:val="none" w:sz="0" w:space="0" w:color="auto"/>
      </w:divBdr>
    </w:div>
    <w:div w:id="92945630">
      <w:bodyDiv w:val="1"/>
      <w:marLeft w:val="0"/>
      <w:marRight w:val="0"/>
      <w:marTop w:val="0"/>
      <w:marBottom w:val="0"/>
      <w:divBdr>
        <w:top w:val="none" w:sz="0" w:space="0" w:color="auto"/>
        <w:left w:val="none" w:sz="0" w:space="0" w:color="auto"/>
        <w:bottom w:val="none" w:sz="0" w:space="0" w:color="auto"/>
        <w:right w:val="none" w:sz="0" w:space="0" w:color="auto"/>
      </w:divBdr>
    </w:div>
    <w:div w:id="97994709">
      <w:bodyDiv w:val="1"/>
      <w:marLeft w:val="0"/>
      <w:marRight w:val="0"/>
      <w:marTop w:val="0"/>
      <w:marBottom w:val="0"/>
      <w:divBdr>
        <w:top w:val="none" w:sz="0" w:space="0" w:color="auto"/>
        <w:left w:val="none" w:sz="0" w:space="0" w:color="auto"/>
        <w:bottom w:val="none" w:sz="0" w:space="0" w:color="auto"/>
        <w:right w:val="none" w:sz="0" w:space="0" w:color="auto"/>
      </w:divBdr>
    </w:div>
    <w:div w:id="99036877">
      <w:bodyDiv w:val="1"/>
      <w:marLeft w:val="0"/>
      <w:marRight w:val="0"/>
      <w:marTop w:val="0"/>
      <w:marBottom w:val="0"/>
      <w:divBdr>
        <w:top w:val="none" w:sz="0" w:space="0" w:color="auto"/>
        <w:left w:val="none" w:sz="0" w:space="0" w:color="auto"/>
        <w:bottom w:val="none" w:sz="0" w:space="0" w:color="auto"/>
        <w:right w:val="none" w:sz="0" w:space="0" w:color="auto"/>
      </w:divBdr>
    </w:div>
    <w:div w:id="102966399">
      <w:bodyDiv w:val="1"/>
      <w:marLeft w:val="0"/>
      <w:marRight w:val="0"/>
      <w:marTop w:val="0"/>
      <w:marBottom w:val="0"/>
      <w:divBdr>
        <w:top w:val="none" w:sz="0" w:space="0" w:color="auto"/>
        <w:left w:val="none" w:sz="0" w:space="0" w:color="auto"/>
        <w:bottom w:val="none" w:sz="0" w:space="0" w:color="auto"/>
        <w:right w:val="none" w:sz="0" w:space="0" w:color="auto"/>
      </w:divBdr>
    </w:div>
    <w:div w:id="104546402">
      <w:bodyDiv w:val="1"/>
      <w:marLeft w:val="0"/>
      <w:marRight w:val="0"/>
      <w:marTop w:val="0"/>
      <w:marBottom w:val="0"/>
      <w:divBdr>
        <w:top w:val="none" w:sz="0" w:space="0" w:color="auto"/>
        <w:left w:val="none" w:sz="0" w:space="0" w:color="auto"/>
        <w:bottom w:val="none" w:sz="0" w:space="0" w:color="auto"/>
        <w:right w:val="none" w:sz="0" w:space="0" w:color="auto"/>
      </w:divBdr>
    </w:div>
    <w:div w:id="117185429">
      <w:bodyDiv w:val="1"/>
      <w:marLeft w:val="0"/>
      <w:marRight w:val="0"/>
      <w:marTop w:val="0"/>
      <w:marBottom w:val="0"/>
      <w:divBdr>
        <w:top w:val="none" w:sz="0" w:space="0" w:color="auto"/>
        <w:left w:val="none" w:sz="0" w:space="0" w:color="auto"/>
        <w:bottom w:val="none" w:sz="0" w:space="0" w:color="auto"/>
        <w:right w:val="none" w:sz="0" w:space="0" w:color="auto"/>
      </w:divBdr>
    </w:div>
    <w:div w:id="119997743">
      <w:bodyDiv w:val="1"/>
      <w:marLeft w:val="0"/>
      <w:marRight w:val="0"/>
      <w:marTop w:val="0"/>
      <w:marBottom w:val="0"/>
      <w:divBdr>
        <w:top w:val="none" w:sz="0" w:space="0" w:color="auto"/>
        <w:left w:val="none" w:sz="0" w:space="0" w:color="auto"/>
        <w:bottom w:val="none" w:sz="0" w:space="0" w:color="auto"/>
        <w:right w:val="none" w:sz="0" w:space="0" w:color="auto"/>
      </w:divBdr>
    </w:div>
    <w:div w:id="125205155">
      <w:bodyDiv w:val="1"/>
      <w:marLeft w:val="0"/>
      <w:marRight w:val="0"/>
      <w:marTop w:val="0"/>
      <w:marBottom w:val="0"/>
      <w:divBdr>
        <w:top w:val="none" w:sz="0" w:space="0" w:color="auto"/>
        <w:left w:val="none" w:sz="0" w:space="0" w:color="auto"/>
        <w:bottom w:val="none" w:sz="0" w:space="0" w:color="auto"/>
        <w:right w:val="none" w:sz="0" w:space="0" w:color="auto"/>
      </w:divBdr>
    </w:div>
    <w:div w:id="136840888">
      <w:bodyDiv w:val="1"/>
      <w:marLeft w:val="0"/>
      <w:marRight w:val="0"/>
      <w:marTop w:val="0"/>
      <w:marBottom w:val="0"/>
      <w:divBdr>
        <w:top w:val="none" w:sz="0" w:space="0" w:color="auto"/>
        <w:left w:val="none" w:sz="0" w:space="0" w:color="auto"/>
        <w:bottom w:val="none" w:sz="0" w:space="0" w:color="auto"/>
        <w:right w:val="none" w:sz="0" w:space="0" w:color="auto"/>
      </w:divBdr>
    </w:div>
    <w:div w:id="150682681">
      <w:bodyDiv w:val="1"/>
      <w:marLeft w:val="0"/>
      <w:marRight w:val="0"/>
      <w:marTop w:val="0"/>
      <w:marBottom w:val="0"/>
      <w:divBdr>
        <w:top w:val="none" w:sz="0" w:space="0" w:color="auto"/>
        <w:left w:val="none" w:sz="0" w:space="0" w:color="auto"/>
        <w:bottom w:val="none" w:sz="0" w:space="0" w:color="auto"/>
        <w:right w:val="none" w:sz="0" w:space="0" w:color="auto"/>
      </w:divBdr>
    </w:div>
    <w:div w:id="183593518">
      <w:bodyDiv w:val="1"/>
      <w:marLeft w:val="0"/>
      <w:marRight w:val="0"/>
      <w:marTop w:val="0"/>
      <w:marBottom w:val="0"/>
      <w:divBdr>
        <w:top w:val="none" w:sz="0" w:space="0" w:color="auto"/>
        <w:left w:val="none" w:sz="0" w:space="0" w:color="auto"/>
        <w:bottom w:val="none" w:sz="0" w:space="0" w:color="auto"/>
        <w:right w:val="none" w:sz="0" w:space="0" w:color="auto"/>
      </w:divBdr>
    </w:div>
    <w:div w:id="195968519">
      <w:bodyDiv w:val="1"/>
      <w:marLeft w:val="0"/>
      <w:marRight w:val="0"/>
      <w:marTop w:val="0"/>
      <w:marBottom w:val="0"/>
      <w:divBdr>
        <w:top w:val="none" w:sz="0" w:space="0" w:color="auto"/>
        <w:left w:val="none" w:sz="0" w:space="0" w:color="auto"/>
        <w:bottom w:val="none" w:sz="0" w:space="0" w:color="auto"/>
        <w:right w:val="none" w:sz="0" w:space="0" w:color="auto"/>
      </w:divBdr>
    </w:div>
    <w:div w:id="201333803">
      <w:bodyDiv w:val="1"/>
      <w:marLeft w:val="0"/>
      <w:marRight w:val="0"/>
      <w:marTop w:val="0"/>
      <w:marBottom w:val="0"/>
      <w:divBdr>
        <w:top w:val="none" w:sz="0" w:space="0" w:color="auto"/>
        <w:left w:val="none" w:sz="0" w:space="0" w:color="auto"/>
        <w:bottom w:val="none" w:sz="0" w:space="0" w:color="auto"/>
        <w:right w:val="none" w:sz="0" w:space="0" w:color="auto"/>
      </w:divBdr>
    </w:div>
    <w:div w:id="208494127">
      <w:bodyDiv w:val="1"/>
      <w:marLeft w:val="0"/>
      <w:marRight w:val="0"/>
      <w:marTop w:val="0"/>
      <w:marBottom w:val="0"/>
      <w:divBdr>
        <w:top w:val="none" w:sz="0" w:space="0" w:color="auto"/>
        <w:left w:val="none" w:sz="0" w:space="0" w:color="auto"/>
        <w:bottom w:val="none" w:sz="0" w:space="0" w:color="auto"/>
        <w:right w:val="none" w:sz="0" w:space="0" w:color="auto"/>
      </w:divBdr>
    </w:div>
    <w:div w:id="222330139">
      <w:bodyDiv w:val="1"/>
      <w:marLeft w:val="0"/>
      <w:marRight w:val="0"/>
      <w:marTop w:val="0"/>
      <w:marBottom w:val="0"/>
      <w:divBdr>
        <w:top w:val="none" w:sz="0" w:space="0" w:color="auto"/>
        <w:left w:val="none" w:sz="0" w:space="0" w:color="auto"/>
        <w:bottom w:val="none" w:sz="0" w:space="0" w:color="auto"/>
        <w:right w:val="none" w:sz="0" w:space="0" w:color="auto"/>
      </w:divBdr>
    </w:div>
    <w:div w:id="235553265">
      <w:bodyDiv w:val="1"/>
      <w:marLeft w:val="0"/>
      <w:marRight w:val="0"/>
      <w:marTop w:val="0"/>
      <w:marBottom w:val="0"/>
      <w:divBdr>
        <w:top w:val="none" w:sz="0" w:space="0" w:color="auto"/>
        <w:left w:val="none" w:sz="0" w:space="0" w:color="auto"/>
        <w:bottom w:val="none" w:sz="0" w:space="0" w:color="auto"/>
        <w:right w:val="none" w:sz="0" w:space="0" w:color="auto"/>
      </w:divBdr>
    </w:div>
    <w:div w:id="245041972">
      <w:bodyDiv w:val="1"/>
      <w:marLeft w:val="0"/>
      <w:marRight w:val="0"/>
      <w:marTop w:val="0"/>
      <w:marBottom w:val="0"/>
      <w:divBdr>
        <w:top w:val="none" w:sz="0" w:space="0" w:color="auto"/>
        <w:left w:val="none" w:sz="0" w:space="0" w:color="auto"/>
        <w:bottom w:val="none" w:sz="0" w:space="0" w:color="auto"/>
        <w:right w:val="none" w:sz="0" w:space="0" w:color="auto"/>
      </w:divBdr>
    </w:div>
    <w:div w:id="252203814">
      <w:bodyDiv w:val="1"/>
      <w:marLeft w:val="0"/>
      <w:marRight w:val="0"/>
      <w:marTop w:val="0"/>
      <w:marBottom w:val="0"/>
      <w:divBdr>
        <w:top w:val="none" w:sz="0" w:space="0" w:color="auto"/>
        <w:left w:val="none" w:sz="0" w:space="0" w:color="auto"/>
        <w:bottom w:val="none" w:sz="0" w:space="0" w:color="auto"/>
        <w:right w:val="none" w:sz="0" w:space="0" w:color="auto"/>
      </w:divBdr>
    </w:div>
    <w:div w:id="258833412">
      <w:bodyDiv w:val="1"/>
      <w:marLeft w:val="0"/>
      <w:marRight w:val="0"/>
      <w:marTop w:val="0"/>
      <w:marBottom w:val="0"/>
      <w:divBdr>
        <w:top w:val="none" w:sz="0" w:space="0" w:color="auto"/>
        <w:left w:val="none" w:sz="0" w:space="0" w:color="auto"/>
        <w:bottom w:val="none" w:sz="0" w:space="0" w:color="auto"/>
        <w:right w:val="none" w:sz="0" w:space="0" w:color="auto"/>
      </w:divBdr>
    </w:div>
    <w:div w:id="272133570">
      <w:bodyDiv w:val="1"/>
      <w:marLeft w:val="0"/>
      <w:marRight w:val="0"/>
      <w:marTop w:val="0"/>
      <w:marBottom w:val="0"/>
      <w:divBdr>
        <w:top w:val="none" w:sz="0" w:space="0" w:color="auto"/>
        <w:left w:val="none" w:sz="0" w:space="0" w:color="auto"/>
        <w:bottom w:val="none" w:sz="0" w:space="0" w:color="auto"/>
        <w:right w:val="none" w:sz="0" w:space="0" w:color="auto"/>
      </w:divBdr>
    </w:div>
    <w:div w:id="284851612">
      <w:bodyDiv w:val="1"/>
      <w:marLeft w:val="0"/>
      <w:marRight w:val="0"/>
      <w:marTop w:val="0"/>
      <w:marBottom w:val="0"/>
      <w:divBdr>
        <w:top w:val="none" w:sz="0" w:space="0" w:color="auto"/>
        <w:left w:val="none" w:sz="0" w:space="0" w:color="auto"/>
        <w:bottom w:val="none" w:sz="0" w:space="0" w:color="auto"/>
        <w:right w:val="none" w:sz="0" w:space="0" w:color="auto"/>
      </w:divBdr>
    </w:div>
    <w:div w:id="293409466">
      <w:bodyDiv w:val="1"/>
      <w:marLeft w:val="0"/>
      <w:marRight w:val="0"/>
      <w:marTop w:val="0"/>
      <w:marBottom w:val="0"/>
      <w:divBdr>
        <w:top w:val="none" w:sz="0" w:space="0" w:color="auto"/>
        <w:left w:val="none" w:sz="0" w:space="0" w:color="auto"/>
        <w:bottom w:val="none" w:sz="0" w:space="0" w:color="auto"/>
        <w:right w:val="none" w:sz="0" w:space="0" w:color="auto"/>
      </w:divBdr>
    </w:div>
    <w:div w:id="299724595">
      <w:bodyDiv w:val="1"/>
      <w:marLeft w:val="0"/>
      <w:marRight w:val="0"/>
      <w:marTop w:val="0"/>
      <w:marBottom w:val="0"/>
      <w:divBdr>
        <w:top w:val="none" w:sz="0" w:space="0" w:color="auto"/>
        <w:left w:val="none" w:sz="0" w:space="0" w:color="auto"/>
        <w:bottom w:val="none" w:sz="0" w:space="0" w:color="auto"/>
        <w:right w:val="none" w:sz="0" w:space="0" w:color="auto"/>
      </w:divBdr>
    </w:div>
    <w:div w:id="303001223">
      <w:bodyDiv w:val="1"/>
      <w:marLeft w:val="0"/>
      <w:marRight w:val="0"/>
      <w:marTop w:val="0"/>
      <w:marBottom w:val="0"/>
      <w:divBdr>
        <w:top w:val="none" w:sz="0" w:space="0" w:color="auto"/>
        <w:left w:val="none" w:sz="0" w:space="0" w:color="auto"/>
        <w:bottom w:val="none" w:sz="0" w:space="0" w:color="auto"/>
        <w:right w:val="none" w:sz="0" w:space="0" w:color="auto"/>
      </w:divBdr>
    </w:div>
    <w:div w:id="322589730">
      <w:bodyDiv w:val="1"/>
      <w:marLeft w:val="0"/>
      <w:marRight w:val="0"/>
      <w:marTop w:val="0"/>
      <w:marBottom w:val="0"/>
      <w:divBdr>
        <w:top w:val="none" w:sz="0" w:space="0" w:color="auto"/>
        <w:left w:val="none" w:sz="0" w:space="0" w:color="auto"/>
        <w:bottom w:val="none" w:sz="0" w:space="0" w:color="auto"/>
        <w:right w:val="none" w:sz="0" w:space="0" w:color="auto"/>
      </w:divBdr>
    </w:div>
    <w:div w:id="327752845">
      <w:bodyDiv w:val="1"/>
      <w:marLeft w:val="0"/>
      <w:marRight w:val="0"/>
      <w:marTop w:val="0"/>
      <w:marBottom w:val="0"/>
      <w:divBdr>
        <w:top w:val="none" w:sz="0" w:space="0" w:color="auto"/>
        <w:left w:val="none" w:sz="0" w:space="0" w:color="auto"/>
        <w:bottom w:val="none" w:sz="0" w:space="0" w:color="auto"/>
        <w:right w:val="none" w:sz="0" w:space="0" w:color="auto"/>
      </w:divBdr>
    </w:div>
    <w:div w:id="333536079">
      <w:bodyDiv w:val="1"/>
      <w:marLeft w:val="0"/>
      <w:marRight w:val="0"/>
      <w:marTop w:val="0"/>
      <w:marBottom w:val="0"/>
      <w:divBdr>
        <w:top w:val="none" w:sz="0" w:space="0" w:color="auto"/>
        <w:left w:val="none" w:sz="0" w:space="0" w:color="auto"/>
        <w:bottom w:val="none" w:sz="0" w:space="0" w:color="auto"/>
        <w:right w:val="none" w:sz="0" w:space="0" w:color="auto"/>
      </w:divBdr>
    </w:div>
    <w:div w:id="357045964">
      <w:bodyDiv w:val="1"/>
      <w:marLeft w:val="0"/>
      <w:marRight w:val="0"/>
      <w:marTop w:val="0"/>
      <w:marBottom w:val="0"/>
      <w:divBdr>
        <w:top w:val="none" w:sz="0" w:space="0" w:color="auto"/>
        <w:left w:val="none" w:sz="0" w:space="0" w:color="auto"/>
        <w:bottom w:val="none" w:sz="0" w:space="0" w:color="auto"/>
        <w:right w:val="none" w:sz="0" w:space="0" w:color="auto"/>
      </w:divBdr>
    </w:div>
    <w:div w:id="366179129">
      <w:bodyDiv w:val="1"/>
      <w:marLeft w:val="0"/>
      <w:marRight w:val="0"/>
      <w:marTop w:val="0"/>
      <w:marBottom w:val="0"/>
      <w:divBdr>
        <w:top w:val="none" w:sz="0" w:space="0" w:color="auto"/>
        <w:left w:val="none" w:sz="0" w:space="0" w:color="auto"/>
        <w:bottom w:val="none" w:sz="0" w:space="0" w:color="auto"/>
        <w:right w:val="none" w:sz="0" w:space="0" w:color="auto"/>
      </w:divBdr>
    </w:div>
    <w:div w:id="377976639">
      <w:bodyDiv w:val="1"/>
      <w:marLeft w:val="0"/>
      <w:marRight w:val="0"/>
      <w:marTop w:val="0"/>
      <w:marBottom w:val="0"/>
      <w:divBdr>
        <w:top w:val="none" w:sz="0" w:space="0" w:color="auto"/>
        <w:left w:val="none" w:sz="0" w:space="0" w:color="auto"/>
        <w:bottom w:val="none" w:sz="0" w:space="0" w:color="auto"/>
        <w:right w:val="none" w:sz="0" w:space="0" w:color="auto"/>
      </w:divBdr>
    </w:div>
    <w:div w:id="384572290">
      <w:bodyDiv w:val="1"/>
      <w:marLeft w:val="0"/>
      <w:marRight w:val="0"/>
      <w:marTop w:val="0"/>
      <w:marBottom w:val="0"/>
      <w:divBdr>
        <w:top w:val="none" w:sz="0" w:space="0" w:color="auto"/>
        <w:left w:val="none" w:sz="0" w:space="0" w:color="auto"/>
        <w:bottom w:val="none" w:sz="0" w:space="0" w:color="auto"/>
        <w:right w:val="none" w:sz="0" w:space="0" w:color="auto"/>
      </w:divBdr>
    </w:div>
    <w:div w:id="386996168">
      <w:bodyDiv w:val="1"/>
      <w:marLeft w:val="0"/>
      <w:marRight w:val="0"/>
      <w:marTop w:val="0"/>
      <w:marBottom w:val="0"/>
      <w:divBdr>
        <w:top w:val="none" w:sz="0" w:space="0" w:color="auto"/>
        <w:left w:val="none" w:sz="0" w:space="0" w:color="auto"/>
        <w:bottom w:val="none" w:sz="0" w:space="0" w:color="auto"/>
        <w:right w:val="none" w:sz="0" w:space="0" w:color="auto"/>
      </w:divBdr>
    </w:div>
    <w:div w:id="390692118">
      <w:bodyDiv w:val="1"/>
      <w:marLeft w:val="0"/>
      <w:marRight w:val="0"/>
      <w:marTop w:val="0"/>
      <w:marBottom w:val="0"/>
      <w:divBdr>
        <w:top w:val="none" w:sz="0" w:space="0" w:color="auto"/>
        <w:left w:val="none" w:sz="0" w:space="0" w:color="auto"/>
        <w:bottom w:val="none" w:sz="0" w:space="0" w:color="auto"/>
        <w:right w:val="none" w:sz="0" w:space="0" w:color="auto"/>
      </w:divBdr>
    </w:div>
    <w:div w:id="400182921">
      <w:bodyDiv w:val="1"/>
      <w:marLeft w:val="0"/>
      <w:marRight w:val="0"/>
      <w:marTop w:val="0"/>
      <w:marBottom w:val="0"/>
      <w:divBdr>
        <w:top w:val="none" w:sz="0" w:space="0" w:color="auto"/>
        <w:left w:val="none" w:sz="0" w:space="0" w:color="auto"/>
        <w:bottom w:val="none" w:sz="0" w:space="0" w:color="auto"/>
        <w:right w:val="none" w:sz="0" w:space="0" w:color="auto"/>
      </w:divBdr>
    </w:div>
    <w:div w:id="403532520">
      <w:bodyDiv w:val="1"/>
      <w:marLeft w:val="0"/>
      <w:marRight w:val="0"/>
      <w:marTop w:val="0"/>
      <w:marBottom w:val="0"/>
      <w:divBdr>
        <w:top w:val="none" w:sz="0" w:space="0" w:color="auto"/>
        <w:left w:val="none" w:sz="0" w:space="0" w:color="auto"/>
        <w:bottom w:val="none" w:sz="0" w:space="0" w:color="auto"/>
        <w:right w:val="none" w:sz="0" w:space="0" w:color="auto"/>
      </w:divBdr>
    </w:div>
    <w:div w:id="406925890">
      <w:bodyDiv w:val="1"/>
      <w:marLeft w:val="0"/>
      <w:marRight w:val="0"/>
      <w:marTop w:val="0"/>
      <w:marBottom w:val="0"/>
      <w:divBdr>
        <w:top w:val="none" w:sz="0" w:space="0" w:color="auto"/>
        <w:left w:val="none" w:sz="0" w:space="0" w:color="auto"/>
        <w:bottom w:val="none" w:sz="0" w:space="0" w:color="auto"/>
        <w:right w:val="none" w:sz="0" w:space="0" w:color="auto"/>
      </w:divBdr>
    </w:div>
    <w:div w:id="415131941">
      <w:bodyDiv w:val="1"/>
      <w:marLeft w:val="0"/>
      <w:marRight w:val="0"/>
      <w:marTop w:val="0"/>
      <w:marBottom w:val="0"/>
      <w:divBdr>
        <w:top w:val="none" w:sz="0" w:space="0" w:color="auto"/>
        <w:left w:val="none" w:sz="0" w:space="0" w:color="auto"/>
        <w:bottom w:val="none" w:sz="0" w:space="0" w:color="auto"/>
        <w:right w:val="none" w:sz="0" w:space="0" w:color="auto"/>
      </w:divBdr>
    </w:div>
    <w:div w:id="424812219">
      <w:bodyDiv w:val="1"/>
      <w:marLeft w:val="0"/>
      <w:marRight w:val="0"/>
      <w:marTop w:val="0"/>
      <w:marBottom w:val="0"/>
      <w:divBdr>
        <w:top w:val="none" w:sz="0" w:space="0" w:color="auto"/>
        <w:left w:val="none" w:sz="0" w:space="0" w:color="auto"/>
        <w:bottom w:val="none" w:sz="0" w:space="0" w:color="auto"/>
        <w:right w:val="none" w:sz="0" w:space="0" w:color="auto"/>
      </w:divBdr>
    </w:div>
    <w:div w:id="439297369">
      <w:bodyDiv w:val="1"/>
      <w:marLeft w:val="0"/>
      <w:marRight w:val="0"/>
      <w:marTop w:val="0"/>
      <w:marBottom w:val="0"/>
      <w:divBdr>
        <w:top w:val="none" w:sz="0" w:space="0" w:color="auto"/>
        <w:left w:val="none" w:sz="0" w:space="0" w:color="auto"/>
        <w:bottom w:val="none" w:sz="0" w:space="0" w:color="auto"/>
        <w:right w:val="none" w:sz="0" w:space="0" w:color="auto"/>
      </w:divBdr>
    </w:div>
    <w:div w:id="445276397">
      <w:bodyDiv w:val="1"/>
      <w:marLeft w:val="0"/>
      <w:marRight w:val="0"/>
      <w:marTop w:val="0"/>
      <w:marBottom w:val="0"/>
      <w:divBdr>
        <w:top w:val="none" w:sz="0" w:space="0" w:color="auto"/>
        <w:left w:val="none" w:sz="0" w:space="0" w:color="auto"/>
        <w:bottom w:val="none" w:sz="0" w:space="0" w:color="auto"/>
        <w:right w:val="none" w:sz="0" w:space="0" w:color="auto"/>
      </w:divBdr>
    </w:div>
    <w:div w:id="457068019">
      <w:bodyDiv w:val="1"/>
      <w:marLeft w:val="0"/>
      <w:marRight w:val="0"/>
      <w:marTop w:val="0"/>
      <w:marBottom w:val="0"/>
      <w:divBdr>
        <w:top w:val="none" w:sz="0" w:space="0" w:color="auto"/>
        <w:left w:val="none" w:sz="0" w:space="0" w:color="auto"/>
        <w:bottom w:val="none" w:sz="0" w:space="0" w:color="auto"/>
        <w:right w:val="none" w:sz="0" w:space="0" w:color="auto"/>
      </w:divBdr>
    </w:div>
    <w:div w:id="457919158">
      <w:bodyDiv w:val="1"/>
      <w:marLeft w:val="0"/>
      <w:marRight w:val="0"/>
      <w:marTop w:val="0"/>
      <w:marBottom w:val="0"/>
      <w:divBdr>
        <w:top w:val="none" w:sz="0" w:space="0" w:color="auto"/>
        <w:left w:val="none" w:sz="0" w:space="0" w:color="auto"/>
        <w:bottom w:val="none" w:sz="0" w:space="0" w:color="auto"/>
        <w:right w:val="none" w:sz="0" w:space="0" w:color="auto"/>
      </w:divBdr>
    </w:div>
    <w:div w:id="459424341">
      <w:bodyDiv w:val="1"/>
      <w:marLeft w:val="0"/>
      <w:marRight w:val="0"/>
      <w:marTop w:val="0"/>
      <w:marBottom w:val="0"/>
      <w:divBdr>
        <w:top w:val="none" w:sz="0" w:space="0" w:color="auto"/>
        <w:left w:val="none" w:sz="0" w:space="0" w:color="auto"/>
        <w:bottom w:val="none" w:sz="0" w:space="0" w:color="auto"/>
        <w:right w:val="none" w:sz="0" w:space="0" w:color="auto"/>
      </w:divBdr>
    </w:div>
    <w:div w:id="490759920">
      <w:bodyDiv w:val="1"/>
      <w:marLeft w:val="0"/>
      <w:marRight w:val="0"/>
      <w:marTop w:val="0"/>
      <w:marBottom w:val="0"/>
      <w:divBdr>
        <w:top w:val="none" w:sz="0" w:space="0" w:color="auto"/>
        <w:left w:val="none" w:sz="0" w:space="0" w:color="auto"/>
        <w:bottom w:val="none" w:sz="0" w:space="0" w:color="auto"/>
        <w:right w:val="none" w:sz="0" w:space="0" w:color="auto"/>
      </w:divBdr>
    </w:div>
    <w:div w:id="494731851">
      <w:bodyDiv w:val="1"/>
      <w:marLeft w:val="0"/>
      <w:marRight w:val="0"/>
      <w:marTop w:val="0"/>
      <w:marBottom w:val="0"/>
      <w:divBdr>
        <w:top w:val="none" w:sz="0" w:space="0" w:color="auto"/>
        <w:left w:val="none" w:sz="0" w:space="0" w:color="auto"/>
        <w:bottom w:val="none" w:sz="0" w:space="0" w:color="auto"/>
        <w:right w:val="none" w:sz="0" w:space="0" w:color="auto"/>
      </w:divBdr>
    </w:div>
    <w:div w:id="515388162">
      <w:bodyDiv w:val="1"/>
      <w:marLeft w:val="0"/>
      <w:marRight w:val="0"/>
      <w:marTop w:val="0"/>
      <w:marBottom w:val="0"/>
      <w:divBdr>
        <w:top w:val="none" w:sz="0" w:space="0" w:color="auto"/>
        <w:left w:val="none" w:sz="0" w:space="0" w:color="auto"/>
        <w:bottom w:val="none" w:sz="0" w:space="0" w:color="auto"/>
        <w:right w:val="none" w:sz="0" w:space="0" w:color="auto"/>
      </w:divBdr>
    </w:div>
    <w:div w:id="515967741">
      <w:bodyDiv w:val="1"/>
      <w:marLeft w:val="0"/>
      <w:marRight w:val="0"/>
      <w:marTop w:val="0"/>
      <w:marBottom w:val="0"/>
      <w:divBdr>
        <w:top w:val="none" w:sz="0" w:space="0" w:color="auto"/>
        <w:left w:val="none" w:sz="0" w:space="0" w:color="auto"/>
        <w:bottom w:val="none" w:sz="0" w:space="0" w:color="auto"/>
        <w:right w:val="none" w:sz="0" w:space="0" w:color="auto"/>
      </w:divBdr>
    </w:div>
    <w:div w:id="537283586">
      <w:bodyDiv w:val="1"/>
      <w:marLeft w:val="0"/>
      <w:marRight w:val="0"/>
      <w:marTop w:val="0"/>
      <w:marBottom w:val="0"/>
      <w:divBdr>
        <w:top w:val="none" w:sz="0" w:space="0" w:color="auto"/>
        <w:left w:val="none" w:sz="0" w:space="0" w:color="auto"/>
        <w:bottom w:val="none" w:sz="0" w:space="0" w:color="auto"/>
        <w:right w:val="none" w:sz="0" w:space="0" w:color="auto"/>
      </w:divBdr>
    </w:div>
    <w:div w:id="573468188">
      <w:bodyDiv w:val="1"/>
      <w:marLeft w:val="0"/>
      <w:marRight w:val="0"/>
      <w:marTop w:val="0"/>
      <w:marBottom w:val="0"/>
      <w:divBdr>
        <w:top w:val="none" w:sz="0" w:space="0" w:color="auto"/>
        <w:left w:val="none" w:sz="0" w:space="0" w:color="auto"/>
        <w:bottom w:val="none" w:sz="0" w:space="0" w:color="auto"/>
        <w:right w:val="none" w:sz="0" w:space="0" w:color="auto"/>
      </w:divBdr>
    </w:div>
    <w:div w:id="606889285">
      <w:bodyDiv w:val="1"/>
      <w:marLeft w:val="0"/>
      <w:marRight w:val="0"/>
      <w:marTop w:val="0"/>
      <w:marBottom w:val="0"/>
      <w:divBdr>
        <w:top w:val="none" w:sz="0" w:space="0" w:color="auto"/>
        <w:left w:val="none" w:sz="0" w:space="0" w:color="auto"/>
        <w:bottom w:val="none" w:sz="0" w:space="0" w:color="auto"/>
        <w:right w:val="none" w:sz="0" w:space="0" w:color="auto"/>
      </w:divBdr>
    </w:div>
    <w:div w:id="615143691">
      <w:bodyDiv w:val="1"/>
      <w:marLeft w:val="0"/>
      <w:marRight w:val="0"/>
      <w:marTop w:val="0"/>
      <w:marBottom w:val="0"/>
      <w:divBdr>
        <w:top w:val="none" w:sz="0" w:space="0" w:color="auto"/>
        <w:left w:val="none" w:sz="0" w:space="0" w:color="auto"/>
        <w:bottom w:val="none" w:sz="0" w:space="0" w:color="auto"/>
        <w:right w:val="none" w:sz="0" w:space="0" w:color="auto"/>
      </w:divBdr>
    </w:div>
    <w:div w:id="618141893">
      <w:bodyDiv w:val="1"/>
      <w:marLeft w:val="0"/>
      <w:marRight w:val="0"/>
      <w:marTop w:val="0"/>
      <w:marBottom w:val="0"/>
      <w:divBdr>
        <w:top w:val="none" w:sz="0" w:space="0" w:color="auto"/>
        <w:left w:val="none" w:sz="0" w:space="0" w:color="auto"/>
        <w:bottom w:val="none" w:sz="0" w:space="0" w:color="auto"/>
        <w:right w:val="none" w:sz="0" w:space="0" w:color="auto"/>
      </w:divBdr>
    </w:div>
    <w:div w:id="645620695">
      <w:bodyDiv w:val="1"/>
      <w:marLeft w:val="0"/>
      <w:marRight w:val="0"/>
      <w:marTop w:val="0"/>
      <w:marBottom w:val="0"/>
      <w:divBdr>
        <w:top w:val="none" w:sz="0" w:space="0" w:color="auto"/>
        <w:left w:val="none" w:sz="0" w:space="0" w:color="auto"/>
        <w:bottom w:val="none" w:sz="0" w:space="0" w:color="auto"/>
        <w:right w:val="none" w:sz="0" w:space="0" w:color="auto"/>
      </w:divBdr>
    </w:div>
    <w:div w:id="662972941">
      <w:bodyDiv w:val="1"/>
      <w:marLeft w:val="0"/>
      <w:marRight w:val="0"/>
      <w:marTop w:val="0"/>
      <w:marBottom w:val="0"/>
      <w:divBdr>
        <w:top w:val="none" w:sz="0" w:space="0" w:color="auto"/>
        <w:left w:val="none" w:sz="0" w:space="0" w:color="auto"/>
        <w:bottom w:val="none" w:sz="0" w:space="0" w:color="auto"/>
        <w:right w:val="none" w:sz="0" w:space="0" w:color="auto"/>
      </w:divBdr>
    </w:div>
    <w:div w:id="668941574">
      <w:bodyDiv w:val="1"/>
      <w:marLeft w:val="0"/>
      <w:marRight w:val="0"/>
      <w:marTop w:val="0"/>
      <w:marBottom w:val="0"/>
      <w:divBdr>
        <w:top w:val="none" w:sz="0" w:space="0" w:color="auto"/>
        <w:left w:val="none" w:sz="0" w:space="0" w:color="auto"/>
        <w:bottom w:val="none" w:sz="0" w:space="0" w:color="auto"/>
        <w:right w:val="none" w:sz="0" w:space="0" w:color="auto"/>
      </w:divBdr>
    </w:div>
    <w:div w:id="679282727">
      <w:bodyDiv w:val="1"/>
      <w:marLeft w:val="0"/>
      <w:marRight w:val="0"/>
      <w:marTop w:val="0"/>
      <w:marBottom w:val="0"/>
      <w:divBdr>
        <w:top w:val="none" w:sz="0" w:space="0" w:color="auto"/>
        <w:left w:val="none" w:sz="0" w:space="0" w:color="auto"/>
        <w:bottom w:val="none" w:sz="0" w:space="0" w:color="auto"/>
        <w:right w:val="none" w:sz="0" w:space="0" w:color="auto"/>
      </w:divBdr>
    </w:div>
    <w:div w:id="681785948">
      <w:bodyDiv w:val="1"/>
      <w:marLeft w:val="0"/>
      <w:marRight w:val="0"/>
      <w:marTop w:val="0"/>
      <w:marBottom w:val="0"/>
      <w:divBdr>
        <w:top w:val="none" w:sz="0" w:space="0" w:color="auto"/>
        <w:left w:val="none" w:sz="0" w:space="0" w:color="auto"/>
        <w:bottom w:val="none" w:sz="0" w:space="0" w:color="auto"/>
        <w:right w:val="none" w:sz="0" w:space="0" w:color="auto"/>
      </w:divBdr>
    </w:div>
    <w:div w:id="682435740">
      <w:bodyDiv w:val="1"/>
      <w:marLeft w:val="0"/>
      <w:marRight w:val="0"/>
      <w:marTop w:val="0"/>
      <w:marBottom w:val="0"/>
      <w:divBdr>
        <w:top w:val="none" w:sz="0" w:space="0" w:color="auto"/>
        <w:left w:val="none" w:sz="0" w:space="0" w:color="auto"/>
        <w:bottom w:val="none" w:sz="0" w:space="0" w:color="auto"/>
        <w:right w:val="none" w:sz="0" w:space="0" w:color="auto"/>
      </w:divBdr>
    </w:div>
    <w:div w:id="683744890">
      <w:bodyDiv w:val="1"/>
      <w:marLeft w:val="0"/>
      <w:marRight w:val="0"/>
      <w:marTop w:val="0"/>
      <w:marBottom w:val="0"/>
      <w:divBdr>
        <w:top w:val="none" w:sz="0" w:space="0" w:color="auto"/>
        <w:left w:val="none" w:sz="0" w:space="0" w:color="auto"/>
        <w:bottom w:val="none" w:sz="0" w:space="0" w:color="auto"/>
        <w:right w:val="none" w:sz="0" w:space="0" w:color="auto"/>
      </w:divBdr>
    </w:div>
    <w:div w:id="695935100">
      <w:bodyDiv w:val="1"/>
      <w:marLeft w:val="0"/>
      <w:marRight w:val="0"/>
      <w:marTop w:val="0"/>
      <w:marBottom w:val="0"/>
      <w:divBdr>
        <w:top w:val="none" w:sz="0" w:space="0" w:color="auto"/>
        <w:left w:val="none" w:sz="0" w:space="0" w:color="auto"/>
        <w:bottom w:val="none" w:sz="0" w:space="0" w:color="auto"/>
        <w:right w:val="none" w:sz="0" w:space="0" w:color="auto"/>
      </w:divBdr>
    </w:div>
    <w:div w:id="727264474">
      <w:bodyDiv w:val="1"/>
      <w:marLeft w:val="0"/>
      <w:marRight w:val="0"/>
      <w:marTop w:val="0"/>
      <w:marBottom w:val="0"/>
      <w:divBdr>
        <w:top w:val="none" w:sz="0" w:space="0" w:color="auto"/>
        <w:left w:val="none" w:sz="0" w:space="0" w:color="auto"/>
        <w:bottom w:val="none" w:sz="0" w:space="0" w:color="auto"/>
        <w:right w:val="none" w:sz="0" w:space="0" w:color="auto"/>
      </w:divBdr>
    </w:div>
    <w:div w:id="731655288">
      <w:bodyDiv w:val="1"/>
      <w:marLeft w:val="0"/>
      <w:marRight w:val="0"/>
      <w:marTop w:val="0"/>
      <w:marBottom w:val="0"/>
      <w:divBdr>
        <w:top w:val="none" w:sz="0" w:space="0" w:color="auto"/>
        <w:left w:val="none" w:sz="0" w:space="0" w:color="auto"/>
        <w:bottom w:val="none" w:sz="0" w:space="0" w:color="auto"/>
        <w:right w:val="none" w:sz="0" w:space="0" w:color="auto"/>
      </w:divBdr>
    </w:div>
    <w:div w:id="744110193">
      <w:bodyDiv w:val="1"/>
      <w:marLeft w:val="0"/>
      <w:marRight w:val="0"/>
      <w:marTop w:val="0"/>
      <w:marBottom w:val="0"/>
      <w:divBdr>
        <w:top w:val="none" w:sz="0" w:space="0" w:color="auto"/>
        <w:left w:val="none" w:sz="0" w:space="0" w:color="auto"/>
        <w:bottom w:val="none" w:sz="0" w:space="0" w:color="auto"/>
        <w:right w:val="none" w:sz="0" w:space="0" w:color="auto"/>
      </w:divBdr>
    </w:div>
    <w:div w:id="748356369">
      <w:bodyDiv w:val="1"/>
      <w:marLeft w:val="0"/>
      <w:marRight w:val="0"/>
      <w:marTop w:val="0"/>
      <w:marBottom w:val="0"/>
      <w:divBdr>
        <w:top w:val="none" w:sz="0" w:space="0" w:color="auto"/>
        <w:left w:val="none" w:sz="0" w:space="0" w:color="auto"/>
        <w:bottom w:val="none" w:sz="0" w:space="0" w:color="auto"/>
        <w:right w:val="none" w:sz="0" w:space="0" w:color="auto"/>
      </w:divBdr>
    </w:div>
    <w:div w:id="764574848">
      <w:bodyDiv w:val="1"/>
      <w:marLeft w:val="0"/>
      <w:marRight w:val="0"/>
      <w:marTop w:val="0"/>
      <w:marBottom w:val="0"/>
      <w:divBdr>
        <w:top w:val="none" w:sz="0" w:space="0" w:color="auto"/>
        <w:left w:val="none" w:sz="0" w:space="0" w:color="auto"/>
        <w:bottom w:val="none" w:sz="0" w:space="0" w:color="auto"/>
        <w:right w:val="none" w:sz="0" w:space="0" w:color="auto"/>
      </w:divBdr>
    </w:div>
    <w:div w:id="776215524">
      <w:bodyDiv w:val="1"/>
      <w:marLeft w:val="0"/>
      <w:marRight w:val="0"/>
      <w:marTop w:val="0"/>
      <w:marBottom w:val="0"/>
      <w:divBdr>
        <w:top w:val="none" w:sz="0" w:space="0" w:color="auto"/>
        <w:left w:val="none" w:sz="0" w:space="0" w:color="auto"/>
        <w:bottom w:val="none" w:sz="0" w:space="0" w:color="auto"/>
        <w:right w:val="none" w:sz="0" w:space="0" w:color="auto"/>
      </w:divBdr>
    </w:div>
    <w:div w:id="827092058">
      <w:bodyDiv w:val="1"/>
      <w:marLeft w:val="0"/>
      <w:marRight w:val="0"/>
      <w:marTop w:val="0"/>
      <w:marBottom w:val="0"/>
      <w:divBdr>
        <w:top w:val="none" w:sz="0" w:space="0" w:color="auto"/>
        <w:left w:val="none" w:sz="0" w:space="0" w:color="auto"/>
        <w:bottom w:val="none" w:sz="0" w:space="0" w:color="auto"/>
        <w:right w:val="none" w:sz="0" w:space="0" w:color="auto"/>
      </w:divBdr>
    </w:div>
    <w:div w:id="828441353">
      <w:bodyDiv w:val="1"/>
      <w:marLeft w:val="0"/>
      <w:marRight w:val="0"/>
      <w:marTop w:val="0"/>
      <w:marBottom w:val="0"/>
      <w:divBdr>
        <w:top w:val="none" w:sz="0" w:space="0" w:color="auto"/>
        <w:left w:val="none" w:sz="0" w:space="0" w:color="auto"/>
        <w:bottom w:val="none" w:sz="0" w:space="0" w:color="auto"/>
        <w:right w:val="none" w:sz="0" w:space="0" w:color="auto"/>
      </w:divBdr>
    </w:div>
    <w:div w:id="844326207">
      <w:bodyDiv w:val="1"/>
      <w:marLeft w:val="0"/>
      <w:marRight w:val="0"/>
      <w:marTop w:val="0"/>
      <w:marBottom w:val="0"/>
      <w:divBdr>
        <w:top w:val="none" w:sz="0" w:space="0" w:color="auto"/>
        <w:left w:val="none" w:sz="0" w:space="0" w:color="auto"/>
        <w:bottom w:val="none" w:sz="0" w:space="0" w:color="auto"/>
        <w:right w:val="none" w:sz="0" w:space="0" w:color="auto"/>
      </w:divBdr>
    </w:div>
    <w:div w:id="853958496">
      <w:bodyDiv w:val="1"/>
      <w:marLeft w:val="0"/>
      <w:marRight w:val="0"/>
      <w:marTop w:val="0"/>
      <w:marBottom w:val="0"/>
      <w:divBdr>
        <w:top w:val="none" w:sz="0" w:space="0" w:color="auto"/>
        <w:left w:val="none" w:sz="0" w:space="0" w:color="auto"/>
        <w:bottom w:val="none" w:sz="0" w:space="0" w:color="auto"/>
        <w:right w:val="none" w:sz="0" w:space="0" w:color="auto"/>
      </w:divBdr>
    </w:div>
    <w:div w:id="868178698">
      <w:bodyDiv w:val="1"/>
      <w:marLeft w:val="0"/>
      <w:marRight w:val="0"/>
      <w:marTop w:val="0"/>
      <w:marBottom w:val="0"/>
      <w:divBdr>
        <w:top w:val="none" w:sz="0" w:space="0" w:color="auto"/>
        <w:left w:val="none" w:sz="0" w:space="0" w:color="auto"/>
        <w:bottom w:val="none" w:sz="0" w:space="0" w:color="auto"/>
        <w:right w:val="none" w:sz="0" w:space="0" w:color="auto"/>
      </w:divBdr>
    </w:div>
    <w:div w:id="868566125">
      <w:bodyDiv w:val="1"/>
      <w:marLeft w:val="0"/>
      <w:marRight w:val="0"/>
      <w:marTop w:val="0"/>
      <w:marBottom w:val="0"/>
      <w:divBdr>
        <w:top w:val="none" w:sz="0" w:space="0" w:color="auto"/>
        <w:left w:val="none" w:sz="0" w:space="0" w:color="auto"/>
        <w:bottom w:val="none" w:sz="0" w:space="0" w:color="auto"/>
        <w:right w:val="none" w:sz="0" w:space="0" w:color="auto"/>
      </w:divBdr>
    </w:div>
    <w:div w:id="874391282">
      <w:bodyDiv w:val="1"/>
      <w:marLeft w:val="0"/>
      <w:marRight w:val="0"/>
      <w:marTop w:val="0"/>
      <w:marBottom w:val="0"/>
      <w:divBdr>
        <w:top w:val="none" w:sz="0" w:space="0" w:color="auto"/>
        <w:left w:val="none" w:sz="0" w:space="0" w:color="auto"/>
        <w:bottom w:val="none" w:sz="0" w:space="0" w:color="auto"/>
        <w:right w:val="none" w:sz="0" w:space="0" w:color="auto"/>
      </w:divBdr>
    </w:div>
    <w:div w:id="877353573">
      <w:bodyDiv w:val="1"/>
      <w:marLeft w:val="0"/>
      <w:marRight w:val="0"/>
      <w:marTop w:val="0"/>
      <w:marBottom w:val="0"/>
      <w:divBdr>
        <w:top w:val="none" w:sz="0" w:space="0" w:color="auto"/>
        <w:left w:val="none" w:sz="0" w:space="0" w:color="auto"/>
        <w:bottom w:val="none" w:sz="0" w:space="0" w:color="auto"/>
        <w:right w:val="none" w:sz="0" w:space="0" w:color="auto"/>
      </w:divBdr>
    </w:div>
    <w:div w:id="883519624">
      <w:bodyDiv w:val="1"/>
      <w:marLeft w:val="0"/>
      <w:marRight w:val="0"/>
      <w:marTop w:val="0"/>
      <w:marBottom w:val="0"/>
      <w:divBdr>
        <w:top w:val="none" w:sz="0" w:space="0" w:color="auto"/>
        <w:left w:val="none" w:sz="0" w:space="0" w:color="auto"/>
        <w:bottom w:val="none" w:sz="0" w:space="0" w:color="auto"/>
        <w:right w:val="none" w:sz="0" w:space="0" w:color="auto"/>
      </w:divBdr>
    </w:div>
    <w:div w:id="886382652">
      <w:bodyDiv w:val="1"/>
      <w:marLeft w:val="0"/>
      <w:marRight w:val="0"/>
      <w:marTop w:val="0"/>
      <w:marBottom w:val="0"/>
      <w:divBdr>
        <w:top w:val="none" w:sz="0" w:space="0" w:color="auto"/>
        <w:left w:val="none" w:sz="0" w:space="0" w:color="auto"/>
        <w:bottom w:val="none" w:sz="0" w:space="0" w:color="auto"/>
        <w:right w:val="none" w:sz="0" w:space="0" w:color="auto"/>
      </w:divBdr>
    </w:div>
    <w:div w:id="890532644">
      <w:bodyDiv w:val="1"/>
      <w:marLeft w:val="0"/>
      <w:marRight w:val="0"/>
      <w:marTop w:val="0"/>
      <w:marBottom w:val="0"/>
      <w:divBdr>
        <w:top w:val="none" w:sz="0" w:space="0" w:color="auto"/>
        <w:left w:val="none" w:sz="0" w:space="0" w:color="auto"/>
        <w:bottom w:val="none" w:sz="0" w:space="0" w:color="auto"/>
        <w:right w:val="none" w:sz="0" w:space="0" w:color="auto"/>
      </w:divBdr>
    </w:div>
    <w:div w:id="898132865">
      <w:bodyDiv w:val="1"/>
      <w:marLeft w:val="0"/>
      <w:marRight w:val="0"/>
      <w:marTop w:val="0"/>
      <w:marBottom w:val="0"/>
      <w:divBdr>
        <w:top w:val="none" w:sz="0" w:space="0" w:color="auto"/>
        <w:left w:val="none" w:sz="0" w:space="0" w:color="auto"/>
        <w:bottom w:val="none" w:sz="0" w:space="0" w:color="auto"/>
        <w:right w:val="none" w:sz="0" w:space="0" w:color="auto"/>
      </w:divBdr>
    </w:div>
    <w:div w:id="903221782">
      <w:bodyDiv w:val="1"/>
      <w:marLeft w:val="0"/>
      <w:marRight w:val="0"/>
      <w:marTop w:val="0"/>
      <w:marBottom w:val="0"/>
      <w:divBdr>
        <w:top w:val="none" w:sz="0" w:space="0" w:color="auto"/>
        <w:left w:val="none" w:sz="0" w:space="0" w:color="auto"/>
        <w:bottom w:val="none" w:sz="0" w:space="0" w:color="auto"/>
        <w:right w:val="none" w:sz="0" w:space="0" w:color="auto"/>
      </w:divBdr>
    </w:div>
    <w:div w:id="905146400">
      <w:bodyDiv w:val="1"/>
      <w:marLeft w:val="0"/>
      <w:marRight w:val="0"/>
      <w:marTop w:val="0"/>
      <w:marBottom w:val="0"/>
      <w:divBdr>
        <w:top w:val="none" w:sz="0" w:space="0" w:color="auto"/>
        <w:left w:val="none" w:sz="0" w:space="0" w:color="auto"/>
        <w:bottom w:val="none" w:sz="0" w:space="0" w:color="auto"/>
        <w:right w:val="none" w:sz="0" w:space="0" w:color="auto"/>
      </w:divBdr>
    </w:div>
    <w:div w:id="909270653">
      <w:bodyDiv w:val="1"/>
      <w:marLeft w:val="0"/>
      <w:marRight w:val="0"/>
      <w:marTop w:val="0"/>
      <w:marBottom w:val="0"/>
      <w:divBdr>
        <w:top w:val="none" w:sz="0" w:space="0" w:color="auto"/>
        <w:left w:val="none" w:sz="0" w:space="0" w:color="auto"/>
        <w:bottom w:val="none" w:sz="0" w:space="0" w:color="auto"/>
        <w:right w:val="none" w:sz="0" w:space="0" w:color="auto"/>
      </w:divBdr>
    </w:div>
    <w:div w:id="941955076">
      <w:bodyDiv w:val="1"/>
      <w:marLeft w:val="0"/>
      <w:marRight w:val="0"/>
      <w:marTop w:val="0"/>
      <w:marBottom w:val="0"/>
      <w:divBdr>
        <w:top w:val="none" w:sz="0" w:space="0" w:color="auto"/>
        <w:left w:val="none" w:sz="0" w:space="0" w:color="auto"/>
        <w:bottom w:val="none" w:sz="0" w:space="0" w:color="auto"/>
        <w:right w:val="none" w:sz="0" w:space="0" w:color="auto"/>
      </w:divBdr>
    </w:div>
    <w:div w:id="943538537">
      <w:bodyDiv w:val="1"/>
      <w:marLeft w:val="0"/>
      <w:marRight w:val="0"/>
      <w:marTop w:val="0"/>
      <w:marBottom w:val="0"/>
      <w:divBdr>
        <w:top w:val="none" w:sz="0" w:space="0" w:color="auto"/>
        <w:left w:val="none" w:sz="0" w:space="0" w:color="auto"/>
        <w:bottom w:val="none" w:sz="0" w:space="0" w:color="auto"/>
        <w:right w:val="none" w:sz="0" w:space="0" w:color="auto"/>
      </w:divBdr>
    </w:div>
    <w:div w:id="949898615">
      <w:bodyDiv w:val="1"/>
      <w:marLeft w:val="0"/>
      <w:marRight w:val="0"/>
      <w:marTop w:val="0"/>
      <w:marBottom w:val="0"/>
      <w:divBdr>
        <w:top w:val="none" w:sz="0" w:space="0" w:color="auto"/>
        <w:left w:val="none" w:sz="0" w:space="0" w:color="auto"/>
        <w:bottom w:val="none" w:sz="0" w:space="0" w:color="auto"/>
        <w:right w:val="none" w:sz="0" w:space="0" w:color="auto"/>
      </w:divBdr>
    </w:div>
    <w:div w:id="959723817">
      <w:bodyDiv w:val="1"/>
      <w:marLeft w:val="0"/>
      <w:marRight w:val="0"/>
      <w:marTop w:val="0"/>
      <w:marBottom w:val="0"/>
      <w:divBdr>
        <w:top w:val="none" w:sz="0" w:space="0" w:color="auto"/>
        <w:left w:val="none" w:sz="0" w:space="0" w:color="auto"/>
        <w:bottom w:val="none" w:sz="0" w:space="0" w:color="auto"/>
        <w:right w:val="none" w:sz="0" w:space="0" w:color="auto"/>
      </w:divBdr>
    </w:div>
    <w:div w:id="965547192">
      <w:bodyDiv w:val="1"/>
      <w:marLeft w:val="0"/>
      <w:marRight w:val="0"/>
      <w:marTop w:val="0"/>
      <w:marBottom w:val="0"/>
      <w:divBdr>
        <w:top w:val="none" w:sz="0" w:space="0" w:color="auto"/>
        <w:left w:val="none" w:sz="0" w:space="0" w:color="auto"/>
        <w:bottom w:val="none" w:sz="0" w:space="0" w:color="auto"/>
        <w:right w:val="none" w:sz="0" w:space="0" w:color="auto"/>
      </w:divBdr>
    </w:div>
    <w:div w:id="987126805">
      <w:bodyDiv w:val="1"/>
      <w:marLeft w:val="0"/>
      <w:marRight w:val="0"/>
      <w:marTop w:val="0"/>
      <w:marBottom w:val="0"/>
      <w:divBdr>
        <w:top w:val="none" w:sz="0" w:space="0" w:color="auto"/>
        <w:left w:val="none" w:sz="0" w:space="0" w:color="auto"/>
        <w:bottom w:val="none" w:sz="0" w:space="0" w:color="auto"/>
        <w:right w:val="none" w:sz="0" w:space="0" w:color="auto"/>
      </w:divBdr>
    </w:div>
    <w:div w:id="997149065">
      <w:bodyDiv w:val="1"/>
      <w:marLeft w:val="0"/>
      <w:marRight w:val="0"/>
      <w:marTop w:val="0"/>
      <w:marBottom w:val="0"/>
      <w:divBdr>
        <w:top w:val="none" w:sz="0" w:space="0" w:color="auto"/>
        <w:left w:val="none" w:sz="0" w:space="0" w:color="auto"/>
        <w:bottom w:val="none" w:sz="0" w:space="0" w:color="auto"/>
        <w:right w:val="none" w:sz="0" w:space="0" w:color="auto"/>
      </w:divBdr>
    </w:div>
    <w:div w:id="1035354427">
      <w:bodyDiv w:val="1"/>
      <w:marLeft w:val="0"/>
      <w:marRight w:val="0"/>
      <w:marTop w:val="0"/>
      <w:marBottom w:val="0"/>
      <w:divBdr>
        <w:top w:val="none" w:sz="0" w:space="0" w:color="auto"/>
        <w:left w:val="none" w:sz="0" w:space="0" w:color="auto"/>
        <w:bottom w:val="none" w:sz="0" w:space="0" w:color="auto"/>
        <w:right w:val="none" w:sz="0" w:space="0" w:color="auto"/>
      </w:divBdr>
    </w:div>
    <w:div w:id="1043022669">
      <w:bodyDiv w:val="1"/>
      <w:marLeft w:val="0"/>
      <w:marRight w:val="0"/>
      <w:marTop w:val="0"/>
      <w:marBottom w:val="0"/>
      <w:divBdr>
        <w:top w:val="none" w:sz="0" w:space="0" w:color="auto"/>
        <w:left w:val="none" w:sz="0" w:space="0" w:color="auto"/>
        <w:bottom w:val="none" w:sz="0" w:space="0" w:color="auto"/>
        <w:right w:val="none" w:sz="0" w:space="0" w:color="auto"/>
      </w:divBdr>
    </w:div>
    <w:div w:id="1048259592">
      <w:bodyDiv w:val="1"/>
      <w:marLeft w:val="0"/>
      <w:marRight w:val="0"/>
      <w:marTop w:val="0"/>
      <w:marBottom w:val="0"/>
      <w:divBdr>
        <w:top w:val="none" w:sz="0" w:space="0" w:color="auto"/>
        <w:left w:val="none" w:sz="0" w:space="0" w:color="auto"/>
        <w:bottom w:val="none" w:sz="0" w:space="0" w:color="auto"/>
        <w:right w:val="none" w:sz="0" w:space="0" w:color="auto"/>
      </w:divBdr>
    </w:div>
    <w:div w:id="1060715415">
      <w:bodyDiv w:val="1"/>
      <w:marLeft w:val="0"/>
      <w:marRight w:val="0"/>
      <w:marTop w:val="0"/>
      <w:marBottom w:val="0"/>
      <w:divBdr>
        <w:top w:val="none" w:sz="0" w:space="0" w:color="auto"/>
        <w:left w:val="none" w:sz="0" w:space="0" w:color="auto"/>
        <w:bottom w:val="none" w:sz="0" w:space="0" w:color="auto"/>
        <w:right w:val="none" w:sz="0" w:space="0" w:color="auto"/>
      </w:divBdr>
    </w:div>
    <w:div w:id="1075591561">
      <w:bodyDiv w:val="1"/>
      <w:marLeft w:val="0"/>
      <w:marRight w:val="0"/>
      <w:marTop w:val="0"/>
      <w:marBottom w:val="0"/>
      <w:divBdr>
        <w:top w:val="none" w:sz="0" w:space="0" w:color="auto"/>
        <w:left w:val="none" w:sz="0" w:space="0" w:color="auto"/>
        <w:bottom w:val="none" w:sz="0" w:space="0" w:color="auto"/>
        <w:right w:val="none" w:sz="0" w:space="0" w:color="auto"/>
      </w:divBdr>
    </w:div>
    <w:div w:id="1078090838">
      <w:bodyDiv w:val="1"/>
      <w:marLeft w:val="0"/>
      <w:marRight w:val="0"/>
      <w:marTop w:val="0"/>
      <w:marBottom w:val="0"/>
      <w:divBdr>
        <w:top w:val="none" w:sz="0" w:space="0" w:color="auto"/>
        <w:left w:val="none" w:sz="0" w:space="0" w:color="auto"/>
        <w:bottom w:val="none" w:sz="0" w:space="0" w:color="auto"/>
        <w:right w:val="none" w:sz="0" w:space="0" w:color="auto"/>
      </w:divBdr>
    </w:div>
    <w:div w:id="1104768128">
      <w:bodyDiv w:val="1"/>
      <w:marLeft w:val="0"/>
      <w:marRight w:val="0"/>
      <w:marTop w:val="0"/>
      <w:marBottom w:val="0"/>
      <w:divBdr>
        <w:top w:val="none" w:sz="0" w:space="0" w:color="auto"/>
        <w:left w:val="none" w:sz="0" w:space="0" w:color="auto"/>
        <w:bottom w:val="none" w:sz="0" w:space="0" w:color="auto"/>
        <w:right w:val="none" w:sz="0" w:space="0" w:color="auto"/>
      </w:divBdr>
    </w:div>
    <w:div w:id="1112480935">
      <w:bodyDiv w:val="1"/>
      <w:marLeft w:val="0"/>
      <w:marRight w:val="0"/>
      <w:marTop w:val="0"/>
      <w:marBottom w:val="0"/>
      <w:divBdr>
        <w:top w:val="none" w:sz="0" w:space="0" w:color="auto"/>
        <w:left w:val="none" w:sz="0" w:space="0" w:color="auto"/>
        <w:bottom w:val="none" w:sz="0" w:space="0" w:color="auto"/>
        <w:right w:val="none" w:sz="0" w:space="0" w:color="auto"/>
      </w:divBdr>
    </w:div>
    <w:div w:id="1113474117">
      <w:bodyDiv w:val="1"/>
      <w:marLeft w:val="0"/>
      <w:marRight w:val="0"/>
      <w:marTop w:val="0"/>
      <w:marBottom w:val="0"/>
      <w:divBdr>
        <w:top w:val="none" w:sz="0" w:space="0" w:color="auto"/>
        <w:left w:val="none" w:sz="0" w:space="0" w:color="auto"/>
        <w:bottom w:val="none" w:sz="0" w:space="0" w:color="auto"/>
        <w:right w:val="none" w:sz="0" w:space="0" w:color="auto"/>
      </w:divBdr>
    </w:div>
    <w:div w:id="1116558794">
      <w:bodyDiv w:val="1"/>
      <w:marLeft w:val="0"/>
      <w:marRight w:val="0"/>
      <w:marTop w:val="0"/>
      <w:marBottom w:val="0"/>
      <w:divBdr>
        <w:top w:val="none" w:sz="0" w:space="0" w:color="auto"/>
        <w:left w:val="none" w:sz="0" w:space="0" w:color="auto"/>
        <w:bottom w:val="none" w:sz="0" w:space="0" w:color="auto"/>
        <w:right w:val="none" w:sz="0" w:space="0" w:color="auto"/>
      </w:divBdr>
    </w:div>
    <w:div w:id="1117991142">
      <w:bodyDiv w:val="1"/>
      <w:marLeft w:val="0"/>
      <w:marRight w:val="0"/>
      <w:marTop w:val="0"/>
      <w:marBottom w:val="0"/>
      <w:divBdr>
        <w:top w:val="none" w:sz="0" w:space="0" w:color="auto"/>
        <w:left w:val="none" w:sz="0" w:space="0" w:color="auto"/>
        <w:bottom w:val="none" w:sz="0" w:space="0" w:color="auto"/>
        <w:right w:val="none" w:sz="0" w:space="0" w:color="auto"/>
      </w:divBdr>
    </w:div>
    <w:div w:id="1121922238">
      <w:bodyDiv w:val="1"/>
      <w:marLeft w:val="0"/>
      <w:marRight w:val="0"/>
      <w:marTop w:val="0"/>
      <w:marBottom w:val="0"/>
      <w:divBdr>
        <w:top w:val="none" w:sz="0" w:space="0" w:color="auto"/>
        <w:left w:val="none" w:sz="0" w:space="0" w:color="auto"/>
        <w:bottom w:val="none" w:sz="0" w:space="0" w:color="auto"/>
        <w:right w:val="none" w:sz="0" w:space="0" w:color="auto"/>
      </w:divBdr>
    </w:div>
    <w:div w:id="1127167546">
      <w:bodyDiv w:val="1"/>
      <w:marLeft w:val="0"/>
      <w:marRight w:val="0"/>
      <w:marTop w:val="0"/>
      <w:marBottom w:val="0"/>
      <w:divBdr>
        <w:top w:val="none" w:sz="0" w:space="0" w:color="auto"/>
        <w:left w:val="none" w:sz="0" w:space="0" w:color="auto"/>
        <w:bottom w:val="none" w:sz="0" w:space="0" w:color="auto"/>
        <w:right w:val="none" w:sz="0" w:space="0" w:color="auto"/>
      </w:divBdr>
    </w:div>
    <w:div w:id="1131169841">
      <w:bodyDiv w:val="1"/>
      <w:marLeft w:val="0"/>
      <w:marRight w:val="0"/>
      <w:marTop w:val="0"/>
      <w:marBottom w:val="0"/>
      <w:divBdr>
        <w:top w:val="none" w:sz="0" w:space="0" w:color="auto"/>
        <w:left w:val="none" w:sz="0" w:space="0" w:color="auto"/>
        <w:bottom w:val="none" w:sz="0" w:space="0" w:color="auto"/>
        <w:right w:val="none" w:sz="0" w:space="0" w:color="auto"/>
      </w:divBdr>
    </w:div>
    <w:div w:id="1133669826">
      <w:bodyDiv w:val="1"/>
      <w:marLeft w:val="0"/>
      <w:marRight w:val="0"/>
      <w:marTop w:val="0"/>
      <w:marBottom w:val="0"/>
      <w:divBdr>
        <w:top w:val="none" w:sz="0" w:space="0" w:color="auto"/>
        <w:left w:val="none" w:sz="0" w:space="0" w:color="auto"/>
        <w:bottom w:val="none" w:sz="0" w:space="0" w:color="auto"/>
        <w:right w:val="none" w:sz="0" w:space="0" w:color="auto"/>
      </w:divBdr>
    </w:div>
    <w:div w:id="1142699133">
      <w:bodyDiv w:val="1"/>
      <w:marLeft w:val="0"/>
      <w:marRight w:val="0"/>
      <w:marTop w:val="0"/>
      <w:marBottom w:val="0"/>
      <w:divBdr>
        <w:top w:val="none" w:sz="0" w:space="0" w:color="auto"/>
        <w:left w:val="none" w:sz="0" w:space="0" w:color="auto"/>
        <w:bottom w:val="none" w:sz="0" w:space="0" w:color="auto"/>
        <w:right w:val="none" w:sz="0" w:space="0" w:color="auto"/>
      </w:divBdr>
    </w:div>
    <w:div w:id="1143160124">
      <w:bodyDiv w:val="1"/>
      <w:marLeft w:val="0"/>
      <w:marRight w:val="0"/>
      <w:marTop w:val="0"/>
      <w:marBottom w:val="0"/>
      <w:divBdr>
        <w:top w:val="none" w:sz="0" w:space="0" w:color="auto"/>
        <w:left w:val="none" w:sz="0" w:space="0" w:color="auto"/>
        <w:bottom w:val="none" w:sz="0" w:space="0" w:color="auto"/>
        <w:right w:val="none" w:sz="0" w:space="0" w:color="auto"/>
      </w:divBdr>
    </w:div>
    <w:div w:id="1149512681">
      <w:bodyDiv w:val="1"/>
      <w:marLeft w:val="0"/>
      <w:marRight w:val="0"/>
      <w:marTop w:val="0"/>
      <w:marBottom w:val="0"/>
      <w:divBdr>
        <w:top w:val="none" w:sz="0" w:space="0" w:color="auto"/>
        <w:left w:val="none" w:sz="0" w:space="0" w:color="auto"/>
        <w:bottom w:val="none" w:sz="0" w:space="0" w:color="auto"/>
        <w:right w:val="none" w:sz="0" w:space="0" w:color="auto"/>
      </w:divBdr>
    </w:div>
    <w:div w:id="1153910800">
      <w:bodyDiv w:val="1"/>
      <w:marLeft w:val="0"/>
      <w:marRight w:val="0"/>
      <w:marTop w:val="0"/>
      <w:marBottom w:val="0"/>
      <w:divBdr>
        <w:top w:val="none" w:sz="0" w:space="0" w:color="auto"/>
        <w:left w:val="none" w:sz="0" w:space="0" w:color="auto"/>
        <w:bottom w:val="none" w:sz="0" w:space="0" w:color="auto"/>
        <w:right w:val="none" w:sz="0" w:space="0" w:color="auto"/>
      </w:divBdr>
    </w:div>
    <w:div w:id="1162433562">
      <w:bodyDiv w:val="1"/>
      <w:marLeft w:val="0"/>
      <w:marRight w:val="0"/>
      <w:marTop w:val="0"/>
      <w:marBottom w:val="0"/>
      <w:divBdr>
        <w:top w:val="none" w:sz="0" w:space="0" w:color="auto"/>
        <w:left w:val="none" w:sz="0" w:space="0" w:color="auto"/>
        <w:bottom w:val="none" w:sz="0" w:space="0" w:color="auto"/>
        <w:right w:val="none" w:sz="0" w:space="0" w:color="auto"/>
      </w:divBdr>
    </w:div>
    <w:div w:id="1178885977">
      <w:bodyDiv w:val="1"/>
      <w:marLeft w:val="0"/>
      <w:marRight w:val="0"/>
      <w:marTop w:val="0"/>
      <w:marBottom w:val="0"/>
      <w:divBdr>
        <w:top w:val="none" w:sz="0" w:space="0" w:color="auto"/>
        <w:left w:val="none" w:sz="0" w:space="0" w:color="auto"/>
        <w:bottom w:val="none" w:sz="0" w:space="0" w:color="auto"/>
        <w:right w:val="none" w:sz="0" w:space="0" w:color="auto"/>
      </w:divBdr>
    </w:div>
    <w:div w:id="1189375263">
      <w:bodyDiv w:val="1"/>
      <w:marLeft w:val="0"/>
      <w:marRight w:val="0"/>
      <w:marTop w:val="0"/>
      <w:marBottom w:val="0"/>
      <w:divBdr>
        <w:top w:val="none" w:sz="0" w:space="0" w:color="auto"/>
        <w:left w:val="none" w:sz="0" w:space="0" w:color="auto"/>
        <w:bottom w:val="none" w:sz="0" w:space="0" w:color="auto"/>
        <w:right w:val="none" w:sz="0" w:space="0" w:color="auto"/>
      </w:divBdr>
    </w:div>
    <w:div w:id="1192380261">
      <w:bodyDiv w:val="1"/>
      <w:marLeft w:val="0"/>
      <w:marRight w:val="0"/>
      <w:marTop w:val="0"/>
      <w:marBottom w:val="0"/>
      <w:divBdr>
        <w:top w:val="none" w:sz="0" w:space="0" w:color="auto"/>
        <w:left w:val="none" w:sz="0" w:space="0" w:color="auto"/>
        <w:bottom w:val="none" w:sz="0" w:space="0" w:color="auto"/>
        <w:right w:val="none" w:sz="0" w:space="0" w:color="auto"/>
      </w:divBdr>
    </w:div>
    <w:div w:id="1195189652">
      <w:bodyDiv w:val="1"/>
      <w:marLeft w:val="0"/>
      <w:marRight w:val="0"/>
      <w:marTop w:val="0"/>
      <w:marBottom w:val="0"/>
      <w:divBdr>
        <w:top w:val="none" w:sz="0" w:space="0" w:color="auto"/>
        <w:left w:val="none" w:sz="0" w:space="0" w:color="auto"/>
        <w:bottom w:val="none" w:sz="0" w:space="0" w:color="auto"/>
        <w:right w:val="none" w:sz="0" w:space="0" w:color="auto"/>
      </w:divBdr>
    </w:div>
    <w:div w:id="1200976654">
      <w:bodyDiv w:val="1"/>
      <w:marLeft w:val="0"/>
      <w:marRight w:val="0"/>
      <w:marTop w:val="0"/>
      <w:marBottom w:val="0"/>
      <w:divBdr>
        <w:top w:val="none" w:sz="0" w:space="0" w:color="auto"/>
        <w:left w:val="none" w:sz="0" w:space="0" w:color="auto"/>
        <w:bottom w:val="none" w:sz="0" w:space="0" w:color="auto"/>
        <w:right w:val="none" w:sz="0" w:space="0" w:color="auto"/>
      </w:divBdr>
    </w:div>
    <w:div w:id="1213544365">
      <w:bodyDiv w:val="1"/>
      <w:marLeft w:val="0"/>
      <w:marRight w:val="0"/>
      <w:marTop w:val="0"/>
      <w:marBottom w:val="0"/>
      <w:divBdr>
        <w:top w:val="none" w:sz="0" w:space="0" w:color="auto"/>
        <w:left w:val="none" w:sz="0" w:space="0" w:color="auto"/>
        <w:bottom w:val="none" w:sz="0" w:space="0" w:color="auto"/>
        <w:right w:val="none" w:sz="0" w:space="0" w:color="auto"/>
      </w:divBdr>
    </w:div>
    <w:div w:id="1224566590">
      <w:bodyDiv w:val="1"/>
      <w:marLeft w:val="0"/>
      <w:marRight w:val="0"/>
      <w:marTop w:val="0"/>
      <w:marBottom w:val="0"/>
      <w:divBdr>
        <w:top w:val="none" w:sz="0" w:space="0" w:color="auto"/>
        <w:left w:val="none" w:sz="0" w:space="0" w:color="auto"/>
        <w:bottom w:val="none" w:sz="0" w:space="0" w:color="auto"/>
        <w:right w:val="none" w:sz="0" w:space="0" w:color="auto"/>
      </w:divBdr>
    </w:div>
    <w:div w:id="1227182770">
      <w:bodyDiv w:val="1"/>
      <w:marLeft w:val="0"/>
      <w:marRight w:val="0"/>
      <w:marTop w:val="0"/>
      <w:marBottom w:val="0"/>
      <w:divBdr>
        <w:top w:val="none" w:sz="0" w:space="0" w:color="auto"/>
        <w:left w:val="none" w:sz="0" w:space="0" w:color="auto"/>
        <w:bottom w:val="none" w:sz="0" w:space="0" w:color="auto"/>
        <w:right w:val="none" w:sz="0" w:space="0" w:color="auto"/>
      </w:divBdr>
    </w:div>
    <w:div w:id="1228148657">
      <w:bodyDiv w:val="1"/>
      <w:marLeft w:val="0"/>
      <w:marRight w:val="0"/>
      <w:marTop w:val="0"/>
      <w:marBottom w:val="0"/>
      <w:divBdr>
        <w:top w:val="none" w:sz="0" w:space="0" w:color="auto"/>
        <w:left w:val="none" w:sz="0" w:space="0" w:color="auto"/>
        <w:bottom w:val="none" w:sz="0" w:space="0" w:color="auto"/>
        <w:right w:val="none" w:sz="0" w:space="0" w:color="auto"/>
      </w:divBdr>
    </w:div>
    <w:div w:id="1241061376">
      <w:bodyDiv w:val="1"/>
      <w:marLeft w:val="0"/>
      <w:marRight w:val="0"/>
      <w:marTop w:val="0"/>
      <w:marBottom w:val="0"/>
      <w:divBdr>
        <w:top w:val="none" w:sz="0" w:space="0" w:color="auto"/>
        <w:left w:val="none" w:sz="0" w:space="0" w:color="auto"/>
        <w:bottom w:val="none" w:sz="0" w:space="0" w:color="auto"/>
        <w:right w:val="none" w:sz="0" w:space="0" w:color="auto"/>
      </w:divBdr>
    </w:div>
    <w:div w:id="1273588305">
      <w:bodyDiv w:val="1"/>
      <w:marLeft w:val="0"/>
      <w:marRight w:val="0"/>
      <w:marTop w:val="0"/>
      <w:marBottom w:val="0"/>
      <w:divBdr>
        <w:top w:val="none" w:sz="0" w:space="0" w:color="auto"/>
        <w:left w:val="none" w:sz="0" w:space="0" w:color="auto"/>
        <w:bottom w:val="none" w:sz="0" w:space="0" w:color="auto"/>
        <w:right w:val="none" w:sz="0" w:space="0" w:color="auto"/>
      </w:divBdr>
    </w:div>
    <w:div w:id="1277716341">
      <w:bodyDiv w:val="1"/>
      <w:marLeft w:val="0"/>
      <w:marRight w:val="0"/>
      <w:marTop w:val="0"/>
      <w:marBottom w:val="0"/>
      <w:divBdr>
        <w:top w:val="none" w:sz="0" w:space="0" w:color="auto"/>
        <w:left w:val="none" w:sz="0" w:space="0" w:color="auto"/>
        <w:bottom w:val="none" w:sz="0" w:space="0" w:color="auto"/>
        <w:right w:val="none" w:sz="0" w:space="0" w:color="auto"/>
      </w:divBdr>
    </w:div>
    <w:div w:id="1288512099">
      <w:bodyDiv w:val="1"/>
      <w:marLeft w:val="0"/>
      <w:marRight w:val="0"/>
      <w:marTop w:val="0"/>
      <w:marBottom w:val="0"/>
      <w:divBdr>
        <w:top w:val="none" w:sz="0" w:space="0" w:color="auto"/>
        <w:left w:val="none" w:sz="0" w:space="0" w:color="auto"/>
        <w:bottom w:val="none" w:sz="0" w:space="0" w:color="auto"/>
        <w:right w:val="none" w:sz="0" w:space="0" w:color="auto"/>
      </w:divBdr>
    </w:div>
    <w:div w:id="1294943396">
      <w:bodyDiv w:val="1"/>
      <w:marLeft w:val="0"/>
      <w:marRight w:val="0"/>
      <w:marTop w:val="0"/>
      <w:marBottom w:val="0"/>
      <w:divBdr>
        <w:top w:val="none" w:sz="0" w:space="0" w:color="auto"/>
        <w:left w:val="none" w:sz="0" w:space="0" w:color="auto"/>
        <w:bottom w:val="none" w:sz="0" w:space="0" w:color="auto"/>
        <w:right w:val="none" w:sz="0" w:space="0" w:color="auto"/>
      </w:divBdr>
    </w:div>
    <w:div w:id="1316180701">
      <w:bodyDiv w:val="1"/>
      <w:marLeft w:val="0"/>
      <w:marRight w:val="0"/>
      <w:marTop w:val="0"/>
      <w:marBottom w:val="0"/>
      <w:divBdr>
        <w:top w:val="none" w:sz="0" w:space="0" w:color="auto"/>
        <w:left w:val="none" w:sz="0" w:space="0" w:color="auto"/>
        <w:bottom w:val="none" w:sz="0" w:space="0" w:color="auto"/>
        <w:right w:val="none" w:sz="0" w:space="0" w:color="auto"/>
      </w:divBdr>
    </w:div>
    <w:div w:id="1318146052">
      <w:bodyDiv w:val="1"/>
      <w:marLeft w:val="0"/>
      <w:marRight w:val="0"/>
      <w:marTop w:val="0"/>
      <w:marBottom w:val="0"/>
      <w:divBdr>
        <w:top w:val="none" w:sz="0" w:space="0" w:color="auto"/>
        <w:left w:val="none" w:sz="0" w:space="0" w:color="auto"/>
        <w:bottom w:val="none" w:sz="0" w:space="0" w:color="auto"/>
        <w:right w:val="none" w:sz="0" w:space="0" w:color="auto"/>
      </w:divBdr>
    </w:div>
    <w:div w:id="1327855347">
      <w:bodyDiv w:val="1"/>
      <w:marLeft w:val="0"/>
      <w:marRight w:val="0"/>
      <w:marTop w:val="0"/>
      <w:marBottom w:val="0"/>
      <w:divBdr>
        <w:top w:val="none" w:sz="0" w:space="0" w:color="auto"/>
        <w:left w:val="none" w:sz="0" w:space="0" w:color="auto"/>
        <w:bottom w:val="none" w:sz="0" w:space="0" w:color="auto"/>
        <w:right w:val="none" w:sz="0" w:space="0" w:color="auto"/>
      </w:divBdr>
    </w:div>
    <w:div w:id="1329669213">
      <w:bodyDiv w:val="1"/>
      <w:marLeft w:val="0"/>
      <w:marRight w:val="0"/>
      <w:marTop w:val="0"/>
      <w:marBottom w:val="0"/>
      <w:divBdr>
        <w:top w:val="none" w:sz="0" w:space="0" w:color="auto"/>
        <w:left w:val="none" w:sz="0" w:space="0" w:color="auto"/>
        <w:bottom w:val="none" w:sz="0" w:space="0" w:color="auto"/>
        <w:right w:val="none" w:sz="0" w:space="0" w:color="auto"/>
      </w:divBdr>
    </w:div>
    <w:div w:id="1335303988">
      <w:bodyDiv w:val="1"/>
      <w:marLeft w:val="0"/>
      <w:marRight w:val="0"/>
      <w:marTop w:val="0"/>
      <w:marBottom w:val="0"/>
      <w:divBdr>
        <w:top w:val="none" w:sz="0" w:space="0" w:color="auto"/>
        <w:left w:val="none" w:sz="0" w:space="0" w:color="auto"/>
        <w:bottom w:val="none" w:sz="0" w:space="0" w:color="auto"/>
        <w:right w:val="none" w:sz="0" w:space="0" w:color="auto"/>
      </w:divBdr>
    </w:div>
    <w:div w:id="1344481096">
      <w:bodyDiv w:val="1"/>
      <w:marLeft w:val="0"/>
      <w:marRight w:val="0"/>
      <w:marTop w:val="0"/>
      <w:marBottom w:val="0"/>
      <w:divBdr>
        <w:top w:val="none" w:sz="0" w:space="0" w:color="auto"/>
        <w:left w:val="none" w:sz="0" w:space="0" w:color="auto"/>
        <w:bottom w:val="none" w:sz="0" w:space="0" w:color="auto"/>
        <w:right w:val="none" w:sz="0" w:space="0" w:color="auto"/>
      </w:divBdr>
    </w:div>
    <w:div w:id="1345479111">
      <w:bodyDiv w:val="1"/>
      <w:marLeft w:val="0"/>
      <w:marRight w:val="0"/>
      <w:marTop w:val="0"/>
      <w:marBottom w:val="0"/>
      <w:divBdr>
        <w:top w:val="none" w:sz="0" w:space="0" w:color="auto"/>
        <w:left w:val="none" w:sz="0" w:space="0" w:color="auto"/>
        <w:bottom w:val="none" w:sz="0" w:space="0" w:color="auto"/>
        <w:right w:val="none" w:sz="0" w:space="0" w:color="auto"/>
      </w:divBdr>
    </w:div>
    <w:div w:id="1358314398">
      <w:bodyDiv w:val="1"/>
      <w:marLeft w:val="0"/>
      <w:marRight w:val="0"/>
      <w:marTop w:val="0"/>
      <w:marBottom w:val="0"/>
      <w:divBdr>
        <w:top w:val="none" w:sz="0" w:space="0" w:color="auto"/>
        <w:left w:val="none" w:sz="0" w:space="0" w:color="auto"/>
        <w:bottom w:val="none" w:sz="0" w:space="0" w:color="auto"/>
        <w:right w:val="none" w:sz="0" w:space="0" w:color="auto"/>
      </w:divBdr>
    </w:div>
    <w:div w:id="1363674712">
      <w:bodyDiv w:val="1"/>
      <w:marLeft w:val="0"/>
      <w:marRight w:val="0"/>
      <w:marTop w:val="0"/>
      <w:marBottom w:val="0"/>
      <w:divBdr>
        <w:top w:val="none" w:sz="0" w:space="0" w:color="auto"/>
        <w:left w:val="none" w:sz="0" w:space="0" w:color="auto"/>
        <w:bottom w:val="none" w:sz="0" w:space="0" w:color="auto"/>
        <w:right w:val="none" w:sz="0" w:space="0" w:color="auto"/>
      </w:divBdr>
    </w:div>
    <w:div w:id="1365251125">
      <w:bodyDiv w:val="1"/>
      <w:marLeft w:val="0"/>
      <w:marRight w:val="0"/>
      <w:marTop w:val="0"/>
      <w:marBottom w:val="0"/>
      <w:divBdr>
        <w:top w:val="none" w:sz="0" w:space="0" w:color="auto"/>
        <w:left w:val="none" w:sz="0" w:space="0" w:color="auto"/>
        <w:bottom w:val="none" w:sz="0" w:space="0" w:color="auto"/>
        <w:right w:val="none" w:sz="0" w:space="0" w:color="auto"/>
      </w:divBdr>
    </w:div>
    <w:div w:id="1366909053">
      <w:bodyDiv w:val="1"/>
      <w:marLeft w:val="0"/>
      <w:marRight w:val="0"/>
      <w:marTop w:val="0"/>
      <w:marBottom w:val="0"/>
      <w:divBdr>
        <w:top w:val="none" w:sz="0" w:space="0" w:color="auto"/>
        <w:left w:val="none" w:sz="0" w:space="0" w:color="auto"/>
        <w:bottom w:val="none" w:sz="0" w:space="0" w:color="auto"/>
        <w:right w:val="none" w:sz="0" w:space="0" w:color="auto"/>
      </w:divBdr>
    </w:div>
    <w:div w:id="1367675493">
      <w:bodyDiv w:val="1"/>
      <w:marLeft w:val="0"/>
      <w:marRight w:val="0"/>
      <w:marTop w:val="0"/>
      <w:marBottom w:val="0"/>
      <w:divBdr>
        <w:top w:val="none" w:sz="0" w:space="0" w:color="auto"/>
        <w:left w:val="none" w:sz="0" w:space="0" w:color="auto"/>
        <w:bottom w:val="none" w:sz="0" w:space="0" w:color="auto"/>
        <w:right w:val="none" w:sz="0" w:space="0" w:color="auto"/>
      </w:divBdr>
    </w:div>
    <w:div w:id="1395009578">
      <w:bodyDiv w:val="1"/>
      <w:marLeft w:val="0"/>
      <w:marRight w:val="0"/>
      <w:marTop w:val="0"/>
      <w:marBottom w:val="0"/>
      <w:divBdr>
        <w:top w:val="none" w:sz="0" w:space="0" w:color="auto"/>
        <w:left w:val="none" w:sz="0" w:space="0" w:color="auto"/>
        <w:bottom w:val="none" w:sz="0" w:space="0" w:color="auto"/>
        <w:right w:val="none" w:sz="0" w:space="0" w:color="auto"/>
      </w:divBdr>
    </w:div>
    <w:div w:id="1398943464">
      <w:bodyDiv w:val="1"/>
      <w:marLeft w:val="0"/>
      <w:marRight w:val="0"/>
      <w:marTop w:val="0"/>
      <w:marBottom w:val="0"/>
      <w:divBdr>
        <w:top w:val="none" w:sz="0" w:space="0" w:color="auto"/>
        <w:left w:val="none" w:sz="0" w:space="0" w:color="auto"/>
        <w:bottom w:val="none" w:sz="0" w:space="0" w:color="auto"/>
        <w:right w:val="none" w:sz="0" w:space="0" w:color="auto"/>
      </w:divBdr>
    </w:div>
    <w:div w:id="1407335094">
      <w:bodyDiv w:val="1"/>
      <w:marLeft w:val="0"/>
      <w:marRight w:val="0"/>
      <w:marTop w:val="0"/>
      <w:marBottom w:val="0"/>
      <w:divBdr>
        <w:top w:val="none" w:sz="0" w:space="0" w:color="auto"/>
        <w:left w:val="none" w:sz="0" w:space="0" w:color="auto"/>
        <w:bottom w:val="none" w:sz="0" w:space="0" w:color="auto"/>
        <w:right w:val="none" w:sz="0" w:space="0" w:color="auto"/>
      </w:divBdr>
    </w:div>
    <w:div w:id="1409425957">
      <w:bodyDiv w:val="1"/>
      <w:marLeft w:val="0"/>
      <w:marRight w:val="0"/>
      <w:marTop w:val="0"/>
      <w:marBottom w:val="0"/>
      <w:divBdr>
        <w:top w:val="none" w:sz="0" w:space="0" w:color="auto"/>
        <w:left w:val="none" w:sz="0" w:space="0" w:color="auto"/>
        <w:bottom w:val="none" w:sz="0" w:space="0" w:color="auto"/>
        <w:right w:val="none" w:sz="0" w:space="0" w:color="auto"/>
      </w:divBdr>
    </w:div>
    <w:div w:id="1411148769">
      <w:bodyDiv w:val="1"/>
      <w:marLeft w:val="0"/>
      <w:marRight w:val="0"/>
      <w:marTop w:val="0"/>
      <w:marBottom w:val="0"/>
      <w:divBdr>
        <w:top w:val="none" w:sz="0" w:space="0" w:color="auto"/>
        <w:left w:val="none" w:sz="0" w:space="0" w:color="auto"/>
        <w:bottom w:val="none" w:sz="0" w:space="0" w:color="auto"/>
        <w:right w:val="none" w:sz="0" w:space="0" w:color="auto"/>
      </w:divBdr>
    </w:div>
    <w:div w:id="1418553525">
      <w:bodyDiv w:val="1"/>
      <w:marLeft w:val="0"/>
      <w:marRight w:val="0"/>
      <w:marTop w:val="0"/>
      <w:marBottom w:val="0"/>
      <w:divBdr>
        <w:top w:val="none" w:sz="0" w:space="0" w:color="auto"/>
        <w:left w:val="none" w:sz="0" w:space="0" w:color="auto"/>
        <w:bottom w:val="none" w:sz="0" w:space="0" w:color="auto"/>
        <w:right w:val="none" w:sz="0" w:space="0" w:color="auto"/>
      </w:divBdr>
    </w:div>
    <w:div w:id="1471943336">
      <w:bodyDiv w:val="1"/>
      <w:marLeft w:val="0"/>
      <w:marRight w:val="0"/>
      <w:marTop w:val="0"/>
      <w:marBottom w:val="0"/>
      <w:divBdr>
        <w:top w:val="none" w:sz="0" w:space="0" w:color="auto"/>
        <w:left w:val="none" w:sz="0" w:space="0" w:color="auto"/>
        <w:bottom w:val="none" w:sz="0" w:space="0" w:color="auto"/>
        <w:right w:val="none" w:sz="0" w:space="0" w:color="auto"/>
      </w:divBdr>
    </w:div>
    <w:div w:id="1499037186">
      <w:bodyDiv w:val="1"/>
      <w:marLeft w:val="0"/>
      <w:marRight w:val="0"/>
      <w:marTop w:val="0"/>
      <w:marBottom w:val="0"/>
      <w:divBdr>
        <w:top w:val="none" w:sz="0" w:space="0" w:color="auto"/>
        <w:left w:val="none" w:sz="0" w:space="0" w:color="auto"/>
        <w:bottom w:val="none" w:sz="0" w:space="0" w:color="auto"/>
        <w:right w:val="none" w:sz="0" w:space="0" w:color="auto"/>
      </w:divBdr>
    </w:div>
    <w:div w:id="1508327274">
      <w:bodyDiv w:val="1"/>
      <w:marLeft w:val="0"/>
      <w:marRight w:val="0"/>
      <w:marTop w:val="0"/>
      <w:marBottom w:val="0"/>
      <w:divBdr>
        <w:top w:val="none" w:sz="0" w:space="0" w:color="auto"/>
        <w:left w:val="none" w:sz="0" w:space="0" w:color="auto"/>
        <w:bottom w:val="none" w:sz="0" w:space="0" w:color="auto"/>
        <w:right w:val="none" w:sz="0" w:space="0" w:color="auto"/>
      </w:divBdr>
    </w:div>
    <w:div w:id="1518273353">
      <w:bodyDiv w:val="1"/>
      <w:marLeft w:val="0"/>
      <w:marRight w:val="0"/>
      <w:marTop w:val="0"/>
      <w:marBottom w:val="0"/>
      <w:divBdr>
        <w:top w:val="none" w:sz="0" w:space="0" w:color="auto"/>
        <w:left w:val="none" w:sz="0" w:space="0" w:color="auto"/>
        <w:bottom w:val="none" w:sz="0" w:space="0" w:color="auto"/>
        <w:right w:val="none" w:sz="0" w:space="0" w:color="auto"/>
      </w:divBdr>
    </w:div>
    <w:div w:id="1530294111">
      <w:bodyDiv w:val="1"/>
      <w:marLeft w:val="0"/>
      <w:marRight w:val="0"/>
      <w:marTop w:val="0"/>
      <w:marBottom w:val="0"/>
      <w:divBdr>
        <w:top w:val="none" w:sz="0" w:space="0" w:color="auto"/>
        <w:left w:val="none" w:sz="0" w:space="0" w:color="auto"/>
        <w:bottom w:val="none" w:sz="0" w:space="0" w:color="auto"/>
        <w:right w:val="none" w:sz="0" w:space="0" w:color="auto"/>
      </w:divBdr>
    </w:div>
    <w:div w:id="1535120781">
      <w:bodyDiv w:val="1"/>
      <w:marLeft w:val="0"/>
      <w:marRight w:val="0"/>
      <w:marTop w:val="0"/>
      <w:marBottom w:val="0"/>
      <w:divBdr>
        <w:top w:val="none" w:sz="0" w:space="0" w:color="auto"/>
        <w:left w:val="none" w:sz="0" w:space="0" w:color="auto"/>
        <w:bottom w:val="none" w:sz="0" w:space="0" w:color="auto"/>
        <w:right w:val="none" w:sz="0" w:space="0" w:color="auto"/>
      </w:divBdr>
    </w:div>
    <w:div w:id="1558274811">
      <w:bodyDiv w:val="1"/>
      <w:marLeft w:val="0"/>
      <w:marRight w:val="0"/>
      <w:marTop w:val="0"/>
      <w:marBottom w:val="0"/>
      <w:divBdr>
        <w:top w:val="none" w:sz="0" w:space="0" w:color="auto"/>
        <w:left w:val="none" w:sz="0" w:space="0" w:color="auto"/>
        <w:bottom w:val="none" w:sz="0" w:space="0" w:color="auto"/>
        <w:right w:val="none" w:sz="0" w:space="0" w:color="auto"/>
      </w:divBdr>
    </w:div>
    <w:div w:id="1570069895">
      <w:bodyDiv w:val="1"/>
      <w:marLeft w:val="0"/>
      <w:marRight w:val="0"/>
      <w:marTop w:val="0"/>
      <w:marBottom w:val="0"/>
      <w:divBdr>
        <w:top w:val="none" w:sz="0" w:space="0" w:color="auto"/>
        <w:left w:val="none" w:sz="0" w:space="0" w:color="auto"/>
        <w:bottom w:val="none" w:sz="0" w:space="0" w:color="auto"/>
        <w:right w:val="none" w:sz="0" w:space="0" w:color="auto"/>
      </w:divBdr>
    </w:div>
    <w:div w:id="1577401894">
      <w:bodyDiv w:val="1"/>
      <w:marLeft w:val="0"/>
      <w:marRight w:val="0"/>
      <w:marTop w:val="0"/>
      <w:marBottom w:val="0"/>
      <w:divBdr>
        <w:top w:val="none" w:sz="0" w:space="0" w:color="auto"/>
        <w:left w:val="none" w:sz="0" w:space="0" w:color="auto"/>
        <w:bottom w:val="none" w:sz="0" w:space="0" w:color="auto"/>
        <w:right w:val="none" w:sz="0" w:space="0" w:color="auto"/>
      </w:divBdr>
    </w:div>
    <w:div w:id="1582518933">
      <w:bodyDiv w:val="1"/>
      <w:marLeft w:val="0"/>
      <w:marRight w:val="0"/>
      <w:marTop w:val="0"/>
      <w:marBottom w:val="0"/>
      <w:divBdr>
        <w:top w:val="none" w:sz="0" w:space="0" w:color="auto"/>
        <w:left w:val="none" w:sz="0" w:space="0" w:color="auto"/>
        <w:bottom w:val="none" w:sz="0" w:space="0" w:color="auto"/>
        <w:right w:val="none" w:sz="0" w:space="0" w:color="auto"/>
      </w:divBdr>
    </w:div>
    <w:div w:id="1592929580">
      <w:bodyDiv w:val="1"/>
      <w:marLeft w:val="0"/>
      <w:marRight w:val="0"/>
      <w:marTop w:val="0"/>
      <w:marBottom w:val="0"/>
      <w:divBdr>
        <w:top w:val="none" w:sz="0" w:space="0" w:color="auto"/>
        <w:left w:val="none" w:sz="0" w:space="0" w:color="auto"/>
        <w:bottom w:val="none" w:sz="0" w:space="0" w:color="auto"/>
        <w:right w:val="none" w:sz="0" w:space="0" w:color="auto"/>
      </w:divBdr>
    </w:div>
    <w:div w:id="1600408534">
      <w:bodyDiv w:val="1"/>
      <w:marLeft w:val="0"/>
      <w:marRight w:val="0"/>
      <w:marTop w:val="0"/>
      <w:marBottom w:val="0"/>
      <w:divBdr>
        <w:top w:val="none" w:sz="0" w:space="0" w:color="auto"/>
        <w:left w:val="none" w:sz="0" w:space="0" w:color="auto"/>
        <w:bottom w:val="none" w:sz="0" w:space="0" w:color="auto"/>
        <w:right w:val="none" w:sz="0" w:space="0" w:color="auto"/>
      </w:divBdr>
    </w:div>
    <w:div w:id="1604338348">
      <w:bodyDiv w:val="1"/>
      <w:marLeft w:val="0"/>
      <w:marRight w:val="0"/>
      <w:marTop w:val="0"/>
      <w:marBottom w:val="0"/>
      <w:divBdr>
        <w:top w:val="none" w:sz="0" w:space="0" w:color="auto"/>
        <w:left w:val="none" w:sz="0" w:space="0" w:color="auto"/>
        <w:bottom w:val="none" w:sz="0" w:space="0" w:color="auto"/>
        <w:right w:val="none" w:sz="0" w:space="0" w:color="auto"/>
      </w:divBdr>
    </w:div>
    <w:div w:id="1624268489">
      <w:bodyDiv w:val="1"/>
      <w:marLeft w:val="0"/>
      <w:marRight w:val="0"/>
      <w:marTop w:val="0"/>
      <w:marBottom w:val="0"/>
      <w:divBdr>
        <w:top w:val="none" w:sz="0" w:space="0" w:color="auto"/>
        <w:left w:val="none" w:sz="0" w:space="0" w:color="auto"/>
        <w:bottom w:val="none" w:sz="0" w:space="0" w:color="auto"/>
        <w:right w:val="none" w:sz="0" w:space="0" w:color="auto"/>
      </w:divBdr>
    </w:div>
    <w:div w:id="1686979888">
      <w:bodyDiv w:val="1"/>
      <w:marLeft w:val="0"/>
      <w:marRight w:val="0"/>
      <w:marTop w:val="0"/>
      <w:marBottom w:val="0"/>
      <w:divBdr>
        <w:top w:val="none" w:sz="0" w:space="0" w:color="auto"/>
        <w:left w:val="none" w:sz="0" w:space="0" w:color="auto"/>
        <w:bottom w:val="none" w:sz="0" w:space="0" w:color="auto"/>
        <w:right w:val="none" w:sz="0" w:space="0" w:color="auto"/>
      </w:divBdr>
    </w:div>
    <w:div w:id="1705980826">
      <w:bodyDiv w:val="1"/>
      <w:marLeft w:val="0"/>
      <w:marRight w:val="0"/>
      <w:marTop w:val="0"/>
      <w:marBottom w:val="0"/>
      <w:divBdr>
        <w:top w:val="none" w:sz="0" w:space="0" w:color="auto"/>
        <w:left w:val="none" w:sz="0" w:space="0" w:color="auto"/>
        <w:bottom w:val="none" w:sz="0" w:space="0" w:color="auto"/>
        <w:right w:val="none" w:sz="0" w:space="0" w:color="auto"/>
      </w:divBdr>
    </w:div>
    <w:div w:id="1709914089">
      <w:bodyDiv w:val="1"/>
      <w:marLeft w:val="0"/>
      <w:marRight w:val="0"/>
      <w:marTop w:val="0"/>
      <w:marBottom w:val="0"/>
      <w:divBdr>
        <w:top w:val="none" w:sz="0" w:space="0" w:color="auto"/>
        <w:left w:val="none" w:sz="0" w:space="0" w:color="auto"/>
        <w:bottom w:val="none" w:sz="0" w:space="0" w:color="auto"/>
        <w:right w:val="none" w:sz="0" w:space="0" w:color="auto"/>
      </w:divBdr>
    </w:div>
    <w:div w:id="1719553637">
      <w:bodyDiv w:val="1"/>
      <w:marLeft w:val="0"/>
      <w:marRight w:val="0"/>
      <w:marTop w:val="0"/>
      <w:marBottom w:val="0"/>
      <w:divBdr>
        <w:top w:val="none" w:sz="0" w:space="0" w:color="auto"/>
        <w:left w:val="none" w:sz="0" w:space="0" w:color="auto"/>
        <w:bottom w:val="none" w:sz="0" w:space="0" w:color="auto"/>
        <w:right w:val="none" w:sz="0" w:space="0" w:color="auto"/>
      </w:divBdr>
    </w:div>
    <w:div w:id="1722899767">
      <w:bodyDiv w:val="1"/>
      <w:marLeft w:val="0"/>
      <w:marRight w:val="0"/>
      <w:marTop w:val="0"/>
      <w:marBottom w:val="0"/>
      <w:divBdr>
        <w:top w:val="none" w:sz="0" w:space="0" w:color="auto"/>
        <w:left w:val="none" w:sz="0" w:space="0" w:color="auto"/>
        <w:bottom w:val="none" w:sz="0" w:space="0" w:color="auto"/>
        <w:right w:val="none" w:sz="0" w:space="0" w:color="auto"/>
      </w:divBdr>
    </w:div>
    <w:div w:id="1725643064">
      <w:bodyDiv w:val="1"/>
      <w:marLeft w:val="0"/>
      <w:marRight w:val="0"/>
      <w:marTop w:val="0"/>
      <w:marBottom w:val="0"/>
      <w:divBdr>
        <w:top w:val="none" w:sz="0" w:space="0" w:color="auto"/>
        <w:left w:val="none" w:sz="0" w:space="0" w:color="auto"/>
        <w:bottom w:val="none" w:sz="0" w:space="0" w:color="auto"/>
        <w:right w:val="none" w:sz="0" w:space="0" w:color="auto"/>
      </w:divBdr>
    </w:div>
    <w:div w:id="1730956578">
      <w:bodyDiv w:val="1"/>
      <w:marLeft w:val="0"/>
      <w:marRight w:val="0"/>
      <w:marTop w:val="0"/>
      <w:marBottom w:val="0"/>
      <w:divBdr>
        <w:top w:val="none" w:sz="0" w:space="0" w:color="auto"/>
        <w:left w:val="none" w:sz="0" w:space="0" w:color="auto"/>
        <w:bottom w:val="none" w:sz="0" w:space="0" w:color="auto"/>
        <w:right w:val="none" w:sz="0" w:space="0" w:color="auto"/>
      </w:divBdr>
    </w:div>
    <w:div w:id="1731147554">
      <w:bodyDiv w:val="1"/>
      <w:marLeft w:val="0"/>
      <w:marRight w:val="0"/>
      <w:marTop w:val="0"/>
      <w:marBottom w:val="0"/>
      <w:divBdr>
        <w:top w:val="none" w:sz="0" w:space="0" w:color="auto"/>
        <w:left w:val="none" w:sz="0" w:space="0" w:color="auto"/>
        <w:bottom w:val="none" w:sz="0" w:space="0" w:color="auto"/>
        <w:right w:val="none" w:sz="0" w:space="0" w:color="auto"/>
      </w:divBdr>
    </w:div>
    <w:div w:id="1732072369">
      <w:bodyDiv w:val="1"/>
      <w:marLeft w:val="0"/>
      <w:marRight w:val="0"/>
      <w:marTop w:val="0"/>
      <w:marBottom w:val="0"/>
      <w:divBdr>
        <w:top w:val="none" w:sz="0" w:space="0" w:color="auto"/>
        <w:left w:val="none" w:sz="0" w:space="0" w:color="auto"/>
        <w:bottom w:val="none" w:sz="0" w:space="0" w:color="auto"/>
        <w:right w:val="none" w:sz="0" w:space="0" w:color="auto"/>
      </w:divBdr>
    </w:div>
    <w:div w:id="1751536324">
      <w:bodyDiv w:val="1"/>
      <w:marLeft w:val="0"/>
      <w:marRight w:val="0"/>
      <w:marTop w:val="0"/>
      <w:marBottom w:val="0"/>
      <w:divBdr>
        <w:top w:val="none" w:sz="0" w:space="0" w:color="auto"/>
        <w:left w:val="none" w:sz="0" w:space="0" w:color="auto"/>
        <w:bottom w:val="none" w:sz="0" w:space="0" w:color="auto"/>
        <w:right w:val="none" w:sz="0" w:space="0" w:color="auto"/>
      </w:divBdr>
    </w:div>
    <w:div w:id="1753965362">
      <w:bodyDiv w:val="1"/>
      <w:marLeft w:val="0"/>
      <w:marRight w:val="0"/>
      <w:marTop w:val="0"/>
      <w:marBottom w:val="0"/>
      <w:divBdr>
        <w:top w:val="none" w:sz="0" w:space="0" w:color="auto"/>
        <w:left w:val="none" w:sz="0" w:space="0" w:color="auto"/>
        <w:bottom w:val="none" w:sz="0" w:space="0" w:color="auto"/>
        <w:right w:val="none" w:sz="0" w:space="0" w:color="auto"/>
      </w:divBdr>
    </w:div>
    <w:div w:id="1754231051">
      <w:bodyDiv w:val="1"/>
      <w:marLeft w:val="0"/>
      <w:marRight w:val="0"/>
      <w:marTop w:val="0"/>
      <w:marBottom w:val="0"/>
      <w:divBdr>
        <w:top w:val="none" w:sz="0" w:space="0" w:color="auto"/>
        <w:left w:val="none" w:sz="0" w:space="0" w:color="auto"/>
        <w:bottom w:val="none" w:sz="0" w:space="0" w:color="auto"/>
        <w:right w:val="none" w:sz="0" w:space="0" w:color="auto"/>
      </w:divBdr>
    </w:div>
    <w:div w:id="1767268180">
      <w:bodyDiv w:val="1"/>
      <w:marLeft w:val="0"/>
      <w:marRight w:val="0"/>
      <w:marTop w:val="0"/>
      <w:marBottom w:val="0"/>
      <w:divBdr>
        <w:top w:val="none" w:sz="0" w:space="0" w:color="auto"/>
        <w:left w:val="none" w:sz="0" w:space="0" w:color="auto"/>
        <w:bottom w:val="none" w:sz="0" w:space="0" w:color="auto"/>
        <w:right w:val="none" w:sz="0" w:space="0" w:color="auto"/>
      </w:divBdr>
    </w:div>
    <w:div w:id="1769692353">
      <w:bodyDiv w:val="1"/>
      <w:marLeft w:val="0"/>
      <w:marRight w:val="0"/>
      <w:marTop w:val="0"/>
      <w:marBottom w:val="0"/>
      <w:divBdr>
        <w:top w:val="none" w:sz="0" w:space="0" w:color="auto"/>
        <w:left w:val="none" w:sz="0" w:space="0" w:color="auto"/>
        <w:bottom w:val="none" w:sz="0" w:space="0" w:color="auto"/>
        <w:right w:val="none" w:sz="0" w:space="0" w:color="auto"/>
      </w:divBdr>
    </w:div>
    <w:div w:id="1776897410">
      <w:bodyDiv w:val="1"/>
      <w:marLeft w:val="0"/>
      <w:marRight w:val="0"/>
      <w:marTop w:val="0"/>
      <w:marBottom w:val="0"/>
      <w:divBdr>
        <w:top w:val="none" w:sz="0" w:space="0" w:color="auto"/>
        <w:left w:val="none" w:sz="0" w:space="0" w:color="auto"/>
        <w:bottom w:val="none" w:sz="0" w:space="0" w:color="auto"/>
        <w:right w:val="none" w:sz="0" w:space="0" w:color="auto"/>
      </w:divBdr>
    </w:div>
    <w:div w:id="1782723222">
      <w:bodyDiv w:val="1"/>
      <w:marLeft w:val="0"/>
      <w:marRight w:val="0"/>
      <w:marTop w:val="0"/>
      <w:marBottom w:val="0"/>
      <w:divBdr>
        <w:top w:val="none" w:sz="0" w:space="0" w:color="auto"/>
        <w:left w:val="none" w:sz="0" w:space="0" w:color="auto"/>
        <w:bottom w:val="none" w:sz="0" w:space="0" w:color="auto"/>
        <w:right w:val="none" w:sz="0" w:space="0" w:color="auto"/>
      </w:divBdr>
    </w:div>
    <w:div w:id="1791048566">
      <w:bodyDiv w:val="1"/>
      <w:marLeft w:val="0"/>
      <w:marRight w:val="0"/>
      <w:marTop w:val="0"/>
      <w:marBottom w:val="0"/>
      <w:divBdr>
        <w:top w:val="none" w:sz="0" w:space="0" w:color="auto"/>
        <w:left w:val="none" w:sz="0" w:space="0" w:color="auto"/>
        <w:bottom w:val="none" w:sz="0" w:space="0" w:color="auto"/>
        <w:right w:val="none" w:sz="0" w:space="0" w:color="auto"/>
      </w:divBdr>
    </w:div>
    <w:div w:id="1861889593">
      <w:bodyDiv w:val="1"/>
      <w:marLeft w:val="0"/>
      <w:marRight w:val="0"/>
      <w:marTop w:val="0"/>
      <w:marBottom w:val="0"/>
      <w:divBdr>
        <w:top w:val="none" w:sz="0" w:space="0" w:color="auto"/>
        <w:left w:val="none" w:sz="0" w:space="0" w:color="auto"/>
        <w:bottom w:val="none" w:sz="0" w:space="0" w:color="auto"/>
        <w:right w:val="none" w:sz="0" w:space="0" w:color="auto"/>
      </w:divBdr>
    </w:div>
    <w:div w:id="1869681610">
      <w:bodyDiv w:val="1"/>
      <w:marLeft w:val="0"/>
      <w:marRight w:val="0"/>
      <w:marTop w:val="0"/>
      <w:marBottom w:val="0"/>
      <w:divBdr>
        <w:top w:val="none" w:sz="0" w:space="0" w:color="auto"/>
        <w:left w:val="none" w:sz="0" w:space="0" w:color="auto"/>
        <w:bottom w:val="none" w:sz="0" w:space="0" w:color="auto"/>
        <w:right w:val="none" w:sz="0" w:space="0" w:color="auto"/>
      </w:divBdr>
    </w:div>
    <w:div w:id="1872035877">
      <w:bodyDiv w:val="1"/>
      <w:marLeft w:val="0"/>
      <w:marRight w:val="0"/>
      <w:marTop w:val="0"/>
      <w:marBottom w:val="0"/>
      <w:divBdr>
        <w:top w:val="none" w:sz="0" w:space="0" w:color="auto"/>
        <w:left w:val="none" w:sz="0" w:space="0" w:color="auto"/>
        <w:bottom w:val="none" w:sz="0" w:space="0" w:color="auto"/>
        <w:right w:val="none" w:sz="0" w:space="0" w:color="auto"/>
      </w:divBdr>
    </w:div>
    <w:div w:id="1873178792">
      <w:bodyDiv w:val="1"/>
      <w:marLeft w:val="0"/>
      <w:marRight w:val="0"/>
      <w:marTop w:val="0"/>
      <w:marBottom w:val="0"/>
      <w:divBdr>
        <w:top w:val="none" w:sz="0" w:space="0" w:color="auto"/>
        <w:left w:val="none" w:sz="0" w:space="0" w:color="auto"/>
        <w:bottom w:val="none" w:sz="0" w:space="0" w:color="auto"/>
        <w:right w:val="none" w:sz="0" w:space="0" w:color="auto"/>
      </w:divBdr>
    </w:div>
    <w:div w:id="1879195594">
      <w:bodyDiv w:val="1"/>
      <w:marLeft w:val="0"/>
      <w:marRight w:val="0"/>
      <w:marTop w:val="0"/>
      <w:marBottom w:val="0"/>
      <w:divBdr>
        <w:top w:val="none" w:sz="0" w:space="0" w:color="auto"/>
        <w:left w:val="none" w:sz="0" w:space="0" w:color="auto"/>
        <w:bottom w:val="none" w:sz="0" w:space="0" w:color="auto"/>
        <w:right w:val="none" w:sz="0" w:space="0" w:color="auto"/>
      </w:divBdr>
    </w:div>
    <w:div w:id="1884947398">
      <w:bodyDiv w:val="1"/>
      <w:marLeft w:val="0"/>
      <w:marRight w:val="0"/>
      <w:marTop w:val="0"/>
      <w:marBottom w:val="0"/>
      <w:divBdr>
        <w:top w:val="none" w:sz="0" w:space="0" w:color="auto"/>
        <w:left w:val="none" w:sz="0" w:space="0" w:color="auto"/>
        <w:bottom w:val="none" w:sz="0" w:space="0" w:color="auto"/>
        <w:right w:val="none" w:sz="0" w:space="0" w:color="auto"/>
      </w:divBdr>
    </w:div>
    <w:div w:id="1894148054">
      <w:bodyDiv w:val="1"/>
      <w:marLeft w:val="0"/>
      <w:marRight w:val="0"/>
      <w:marTop w:val="0"/>
      <w:marBottom w:val="0"/>
      <w:divBdr>
        <w:top w:val="none" w:sz="0" w:space="0" w:color="auto"/>
        <w:left w:val="none" w:sz="0" w:space="0" w:color="auto"/>
        <w:bottom w:val="none" w:sz="0" w:space="0" w:color="auto"/>
        <w:right w:val="none" w:sz="0" w:space="0" w:color="auto"/>
      </w:divBdr>
    </w:div>
    <w:div w:id="1925144813">
      <w:bodyDiv w:val="1"/>
      <w:marLeft w:val="0"/>
      <w:marRight w:val="0"/>
      <w:marTop w:val="0"/>
      <w:marBottom w:val="0"/>
      <w:divBdr>
        <w:top w:val="none" w:sz="0" w:space="0" w:color="auto"/>
        <w:left w:val="none" w:sz="0" w:space="0" w:color="auto"/>
        <w:bottom w:val="none" w:sz="0" w:space="0" w:color="auto"/>
        <w:right w:val="none" w:sz="0" w:space="0" w:color="auto"/>
      </w:divBdr>
    </w:div>
    <w:div w:id="1959946284">
      <w:bodyDiv w:val="1"/>
      <w:marLeft w:val="0"/>
      <w:marRight w:val="0"/>
      <w:marTop w:val="0"/>
      <w:marBottom w:val="0"/>
      <w:divBdr>
        <w:top w:val="none" w:sz="0" w:space="0" w:color="auto"/>
        <w:left w:val="none" w:sz="0" w:space="0" w:color="auto"/>
        <w:bottom w:val="none" w:sz="0" w:space="0" w:color="auto"/>
        <w:right w:val="none" w:sz="0" w:space="0" w:color="auto"/>
      </w:divBdr>
    </w:div>
    <w:div w:id="1977104963">
      <w:bodyDiv w:val="1"/>
      <w:marLeft w:val="0"/>
      <w:marRight w:val="0"/>
      <w:marTop w:val="0"/>
      <w:marBottom w:val="0"/>
      <w:divBdr>
        <w:top w:val="none" w:sz="0" w:space="0" w:color="auto"/>
        <w:left w:val="none" w:sz="0" w:space="0" w:color="auto"/>
        <w:bottom w:val="none" w:sz="0" w:space="0" w:color="auto"/>
        <w:right w:val="none" w:sz="0" w:space="0" w:color="auto"/>
      </w:divBdr>
    </w:div>
    <w:div w:id="1981644255">
      <w:bodyDiv w:val="1"/>
      <w:marLeft w:val="0"/>
      <w:marRight w:val="0"/>
      <w:marTop w:val="0"/>
      <w:marBottom w:val="0"/>
      <w:divBdr>
        <w:top w:val="none" w:sz="0" w:space="0" w:color="auto"/>
        <w:left w:val="none" w:sz="0" w:space="0" w:color="auto"/>
        <w:bottom w:val="none" w:sz="0" w:space="0" w:color="auto"/>
        <w:right w:val="none" w:sz="0" w:space="0" w:color="auto"/>
      </w:divBdr>
    </w:div>
    <w:div w:id="1997489725">
      <w:bodyDiv w:val="1"/>
      <w:marLeft w:val="0"/>
      <w:marRight w:val="0"/>
      <w:marTop w:val="0"/>
      <w:marBottom w:val="0"/>
      <w:divBdr>
        <w:top w:val="none" w:sz="0" w:space="0" w:color="auto"/>
        <w:left w:val="none" w:sz="0" w:space="0" w:color="auto"/>
        <w:bottom w:val="none" w:sz="0" w:space="0" w:color="auto"/>
        <w:right w:val="none" w:sz="0" w:space="0" w:color="auto"/>
      </w:divBdr>
    </w:div>
    <w:div w:id="1997682246">
      <w:bodyDiv w:val="1"/>
      <w:marLeft w:val="0"/>
      <w:marRight w:val="0"/>
      <w:marTop w:val="0"/>
      <w:marBottom w:val="0"/>
      <w:divBdr>
        <w:top w:val="none" w:sz="0" w:space="0" w:color="auto"/>
        <w:left w:val="none" w:sz="0" w:space="0" w:color="auto"/>
        <w:bottom w:val="none" w:sz="0" w:space="0" w:color="auto"/>
        <w:right w:val="none" w:sz="0" w:space="0" w:color="auto"/>
      </w:divBdr>
    </w:div>
    <w:div w:id="1999770371">
      <w:bodyDiv w:val="1"/>
      <w:marLeft w:val="0"/>
      <w:marRight w:val="0"/>
      <w:marTop w:val="0"/>
      <w:marBottom w:val="0"/>
      <w:divBdr>
        <w:top w:val="none" w:sz="0" w:space="0" w:color="auto"/>
        <w:left w:val="none" w:sz="0" w:space="0" w:color="auto"/>
        <w:bottom w:val="none" w:sz="0" w:space="0" w:color="auto"/>
        <w:right w:val="none" w:sz="0" w:space="0" w:color="auto"/>
      </w:divBdr>
    </w:div>
    <w:div w:id="2011326437">
      <w:bodyDiv w:val="1"/>
      <w:marLeft w:val="0"/>
      <w:marRight w:val="0"/>
      <w:marTop w:val="0"/>
      <w:marBottom w:val="0"/>
      <w:divBdr>
        <w:top w:val="none" w:sz="0" w:space="0" w:color="auto"/>
        <w:left w:val="none" w:sz="0" w:space="0" w:color="auto"/>
        <w:bottom w:val="none" w:sz="0" w:space="0" w:color="auto"/>
        <w:right w:val="none" w:sz="0" w:space="0" w:color="auto"/>
      </w:divBdr>
    </w:div>
    <w:div w:id="2013291939">
      <w:bodyDiv w:val="1"/>
      <w:marLeft w:val="0"/>
      <w:marRight w:val="0"/>
      <w:marTop w:val="0"/>
      <w:marBottom w:val="0"/>
      <w:divBdr>
        <w:top w:val="none" w:sz="0" w:space="0" w:color="auto"/>
        <w:left w:val="none" w:sz="0" w:space="0" w:color="auto"/>
        <w:bottom w:val="none" w:sz="0" w:space="0" w:color="auto"/>
        <w:right w:val="none" w:sz="0" w:space="0" w:color="auto"/>
      </w:divBdr>
    </w:div>
    <w:div w:id="2036811771">
      <w:bodyDiv w:val="1"/>
      <w:marLeft w:val="0"/>
      <w:marRight w:val="0"/>
      <w:marTop w:val="0"/>
      <w:marBottom w:val="0"/>
      <w:divBdr>
        <w:top w:val="none" w:sz="0" w:space="0" w:color="auto"/>
        <w:left w:val="none" w:sz="0" w:space="0" w:color="auto"/>
        <w:bottom w:val="none" w:sz="0" w:space="0" w:color="auto"/>
        <w:right w:val="none" w:sz="0" w:space="0" w:color="auto"/>
      </w:divBdr>
    </w:div>
    <w:div w:id="2055502182">
      <w:bodyDiv w:val="1"/>
      <w:marLeft w:val="0"/>
      <w:marRight w:val="0"/>
      <w:marTop w:val="0"/>
      <w:marBottom w:val="0"/>
      <w:divBdr>
        <w:top w:val="none" w:sz="0" w:space="0" w:color="auto"/>
        <w:left w:val="none" w:sz="0" w:space="0" w:color="auto"/>
        <w:bottom w:val="none" w:sz="0" w:space="0" w:color="auto"/>
        <w:right w:val="none" w:sz="0" w:space="0" w:color="auto"/>
      </w:divBdr>
    </w:div>
    <w:div w:id="2067335664">
      <w:bodyDiv w:val="1"/>
      <w:marLeft w:val="0"/>
      <w:marRight w:val="0"/>
      <w:marTop w:val="0"/>
      <w:marBottom w:val="0"/>
      <w:divBdr>
        <w:top w:val="none" w:sz="0" w:space="0" w:color="auto"/>
        <w:left w:val="none" w:sz="0" w:space="0" w:color="auto"/>
        <w:bottom w:val="none" w:sz="0" w:space="0" w:color="auto"/>
        <w:right w:val="none" w:sz="0" w:space="0" w:color="auto"/>
      </w:divBdr>
    </w:div>
    <w:div w:id="2084639394">
      <w:bodyDiv w:val="1"/>
      <w:marLeft w:val="0"/>
      <w:marRight w:val="0"/>
      <w:marTop w:val="0"/>
      <w:marBottom w:val="0"/>
      <w:divBdr>
        <w:top w:val="none" w:sz="0" w:space="0" w:color="auto"/>
        <w:left w:val="none" w:sz="0" w:space="0" w:color="auto"/>
        <w:bottom w:val="none" w:sz="0" w:space="0" w:color="auto"/>
        <w:right w:val="none" w:sz="0" w:space="0" w:color="auto"/>
      </w:divBdr>
    </w:div>
    <w:div w:id="2098821094">
      <w:bodyDiv w:val="1"/>
      <w:marLeft w:val="0"/>
      <w:marRight w:val="0"/>
      <w:marTop w:val="0"/>
      <w:marBottom w:val="0"/>
      <w:divBdr>
        <w:top w:val="none" w:sz="0" w:space="0" w:color="auto"/>
        <w:left w:val="none" w:sz="0" w:space="0" w:color="auto"/>
        <w:bottom w:val="none" w:sz="0" w:space="0" w:color="auto"/>
        <w:right w:val="none" w:sz="0" w:space="0" w:color="auto"/>
      </w:divBdr>
    </w:div>
    <w:div w:id="2101637625">
      <w:bodyDiv w:val="1"/>
      <w:marLeft w:val="0"/>
      <w:marRight w:val="0"/>
      <w:marTop w:val="0"/>
      <w:marBottom w:val="0"/>
      <w:divBdr>
        <w:top w:val="none" w:sz="0" w:space="0" w:color="auto"/>
        <w:left w:val="none" w:sz="0" w:space="0" w:color="auto"/>
        <w:bottom w:val="none" w:sz="0" w:space="0" w:color="auto"/>
        <w:right w:val="none" w:sz="0" w:space="0" w:color="auto"/>
      </w:divBdr>
    </w:div>
    <w:div w:id="2106876947">
      <w:bodyDiv w:val="1"/>
      <w:marLeft w:val="0"/>
      <w:marRight w:val="0"/>
      <w:marTop w:val="0"/>
      <w:marBottom w:val="0"/>
      <w:divBdr>
        <w:top w:val="none" w:sz="0" w:space="0" w:color="auto"/>
        <w:left w:val="none" w:sz="0" w:space="0" w:color="auto"/>
        <w:bottom w:val="none" w:sz="0" w:space="0" w:color="auto"/>
        <w:right w:val="none" w:sz="0" w:space="0" w:color="auto"/>
      </w:divBdr>
    </w:div>
    <w:div w:id="2134715374">
      <w:bodyDiv w:val="1"/>
      <w:marLeft w:val="0"/>
      <w:marRight w:val="0"/>
      <w:marTop w:val="0"/>
      <w:marBottom w:val="0"/>
      <w:divBdr>
        <w:top w:val="none" w:sz="0" w:space="0" w:color="auto"/>
        <w:left w:val="none" w:sz="0" w:space="0" w:color="auto"/>
        <w:bottom w:val="none" w:sz="0" w:space="0" w:color="auto"/>
        <w:right w:val="none" w:sz="0" w:space="0" w:color="auto"/>
      </w:divBdr>
    </w:div>
    <w:div w:id="213864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hyperlink" Target="https://handle.itu.int/11.1002/1000/13595" TargetMode="External"/><Relationship Id="rId42" Type="http://schemas.openxmlformats.org/officeDocument/2006/relationships/hyperlink" Target="https://crtc.gc.ca/eng/publications/reports/rp220714.htm" TargetMode="External"/><Relationship Id="rId47" Type="http://schemas.openxmlformats.org/officeDocument/2006/relationships/hyperlink" Target="https://docs.fcc.gov/public/attachments/FCC-23-83A1.pdf" TargetMode="External"/><Relationship Id="rId63" Type="http://schemas.openxmlformats.org/officeDocument/2006/relationships/hyperlink" Target="https://tatt.org.tt/wp-content/uploads/2024/12/Framework-on-OTTs-for-publication.pdf" TargetMode="External"/><Relationship Id="rId68" Type="http://schemas.openxmlformats.org/officeDocument/2006/relationships/hyperlink" Target="https://publications.parliament.uk/pa/cm5803/cmselect/cmcumeds/1807/report.html" TargetMode="External"/><Relationship Id="rId16" Type="http://schemas.openxmlformats.org/officeDocument/2006/relationships/header" Target="header3.xml"/><Relationship Id="rId11" Type="http://schemas.openxmlformats.org/officeDocument/2006/relationships/image" Target="media/image1.png"/><Relationship Id="rId24" Type="http://schemas.openxmlformats.org/officeDocument/2006/relationships/hyperlink" Target="http://handle.itu.int/11.1002/pub/8106272c-en" TargetMode="External"/><Relationship Id="rId32" Type="http://schemas.openxmlformats.org/officeDocument/2006/relationships/hyperlink" Target="https://www.ofcom.org.uk/tv-radio-and-on-demand/digital-tv/tv-industry-data-collection" TargetMode="External"/><Relationship Id="rId37" Type="http://schemas.openxmlformats.org/officeDocument/2006/relationships/hyperlink" Target="https://www.berec.europa.eu/en/berec/european-electronic-communications-code" TargetMode="External"/><Relationship Id="rId40" Type="http://schemas.openxmlformats.org/officeDocument/2006/relationships/hyperlink" Target="https://cassels.com/insights/the-government-of-canada-introduces-the-online-streaming-act-to-modernize-the-broadcasting-act/" TargetMode="External"/><Relationship Id="rId45" Type="http://schemas.openxmlformats.org/officeDocument/2006/relationships/hyperlink" Target="https://docs.fcc.gov/public/attachments/DOC-355214A1.pdf" TargetMode="External"/><Relationship Id="rId53" Type="http://schemas.openxmlformats.org/officeDocument/2006/relationships/hyperlink" Target="https://mediawrites.law/draft-media-bill-a-call-for-evidence/" TargetMode="External"/><Relationship Id="rId58" Type="http://schemas.openxmlformats.org/officeDocument/2006/relationships/hyperlink" Target="https://prsindia.org/billtrack/draft-indian-telecommunication-bill-2022" TargetMode="External"/><Relationship Id="rId66" Type="http://schemas.openxmlformats.org/officeDocument/2006/relationships/hyperlink" Target="https://tra-website-prod-01.s3-me-south-1.amazonaws.com/Media/Documents/Position_Papers_&amp;_Guidelines/20210121133657774_dneqzrom_vay.pdf" TargetMode="External"/><Relationship Id="rId74" Type="http://schemas.openxmlformats.org/officeDocument/2006/relationships/footer" Target="footer10.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tatt.org.tt/wp-content/uploads/2023/05/TATT-Final-Fixed-Market-Consumer-Survey-Report-Redacted.pdf" TargetMode="External"/><Relationship Id="rId19" Type="http://schemas.openxmlformats.org/officeDocument/2006/relationships/footer" Target="footer4.xml"/><Relationship Id="rId14" Type="http://schemas.openxmlformats.org/officeDocument/2006/relationships/footer" Target="footer1.xml"/><Relationship Id="rId22" Type="http://schemas.openxmlformats.org/officeDocument/2006/relationships/hyperlink" Target="https://handle.itu.int/11.1002/1000/14269" TargetMode="Externa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s://www.gov.br/anatel/pt-br/assuntos/noticias/proposta-brasileira-de-definicao-de-otts-e-adotada-internacionalmente" TargetMode="External"/><Relationship Id="rId43" Type="http://schemas.openxmlformats.org/officeDocument/2006/relationships/hyperlink" Target="https://crtc.gc.ca/eng/archive/2022/2022-47.htm" TargetMode="External"/><Relationship Id="rId48" Type="http://schemas.openxmlformats.org/officeDocument/2006/relationships/hyperlink" Target="https://crtc.gc.ca/eng/archive/2019/2019-90-1.htm" TargetMode="External"/><Relationship Id="rId56" Type="http://schemas.openxmlformats.org/officeDocument/2006/relationships/hyperlink" Target="https://www.oecd-ilibrary.org/sites/1343f784-en/index.html?itemId=/content/component/1343f784-en" TargetMode="External"/><Relationship Id="rId64" Type="http://schemas.openxmlformats.org/officeDocument/2006/relationships/hyperlink" Target="http://www.techlawjournal.com/courts/zeran/47usc230.htm" TargetMode="External"/><Relationship Id="rId69" Type="http://schemas.openxmlformats.org/officeDocument/2006/relationships/hyperlink" Target="https://publications.parliament.uk/pa/bills/cbill/58-04/0008/MediaOverarchingIA.pdf" TargetMode="External"/><Relationship Id="rId77" Type="http://schemas.openxmlformats.org/officeDocument/2006/relationships/footer" Target="footer12.xml"/><Relationship Id="rId8" Type="http://schemas.openxmlformats.org/officeDocument/2006/relationships/webSettings" Target="webSettings.xml"/><Relationship Id="rId51" Type="http://schemas.openxmlformats.org/officeDocument/2006/relationships/hyperlink" Target="https://www.itu.int/dms_pub/itu-t/opb/tut/T-TUT-ECOPO-2017-PDF-E.pdf" TargetMode="External"/><Relationship Id="rId72" Type="http://schemas.openxmlformats.org/officeDocument/2006/relationships/hyperlink" Target="https://urcabahamas.bs/wp-content/uploads/2024/03/Preliminary-Determination-Retail-Fixed-Market-Review-28Feb2024-Redacted-Version-1.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yperlink" Target="https://www.ofcom.org.uk/tv-radio-and-on-demand/video-on-demand/rules-guidance" TargetMode="External"/><Relationship Id="rId38" Type="http://schemas.openxmlformats.org/officeDocument/2006/relationships/hyperlink" Target="http://www.econjournals.com" TargetMode="External"/><Relationship Id="rId46" Type="http://schemas.openxmlformats.org/officeDocument/2006/relationships/hyperlink" Target="https://www.fcc.gov/consumers/guides/voice-over-internet-protocol-voip" TargetMode="External"/><Relationship Id="rId59" Type="http://schemas.openxmlformats.org/officeDocument/2006/relationships/hyperlink" Target="https://tatt.org.tt/consultations/table-of-consultative-documents/" TargetMode="External"/><Relationship Id="rId67" Type="http://schemas.openxmlformats.org/officeDocument/2006/relationships/hyperlink" Target="https://www.trai.gov.in/consultation-paper-regulatory-mechanism-over-top-ott-communication-services-and-selective-banning" TargetMode="External"/><Relationship Id="rId20" Type="http://schemas.openxmlformats.org/officeDocument/2006/relationships/footer" Target="footer5.xml"/><Relationship Id="rId41" Type="http://schemas.openxmlformats.org/officeDocument/2006/relationships/hyperlink" Target="https://chambers.com/articles/future-of-ott-in-india-15" TargetMode="External"/><Relationship Id="rId54" Type="http://schemas.openxmlformats.org/officeDocument/2006/relationships/hyperlink" Target="https://www.mordorintelligence.com/industry-reports/united-states-ott-market" TargetMode="External"/><Relationship Id="rId62" Type="http://schemas.openxmlformats.org/officeDocument/2006/relationships/hyperlink" Target="https://tatt.org.tt/wp-content/uploads/2024/10/KCL-Final-Fixed-Market-Consumer-Survey-Report-Redacted-with-Questionnaire.pdf" TargetMode="External"/><Relationship Id="rId70" Type="http://schemas.openxmlformats.org/officeDocument/2006/relationships/hyperlink" Target="https://www.urcabahamas.bs/consultations/ecs-12-2018-statement-of-results-and-final-determination-on-net-neutrality-and-ott-services/" TargetMode="External"/><Relationship Id="rId75"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handle.itu.int/11.1002/1000/14730" TargetMode="External"/><Relationship Id="rId28" Type="http://schemas.openxmlformats.org/officeDocument/2006/relationships/footer" Target="footer8.xml"/><Relationship Id="rId36" Type="http://schemas.openxmlformats.org/officeDocument/2006/relationships/hyperlink" Target="https://www.berec.europa.eu/sites/default/files/files/document_register_store/2021/10/BoR_(21)_127_Report_on_OTT_services_indicators_clean.pdf" TargetMode="External"/><Relationship Id="rId49" Type="http://schemas.openxmlformats.org/officeDocument/2006/relationships/hyperlink" Target="https://www.canada.ca/en/canadian-heritage/news/2023/04/online-streaming-act-receives-royal-assent.html" TargetMode="External"/><Relationship Id="rId57" Type="http://schemas.openxmlformats.org/officeDocument/2006/relationships/hyperlink" Target="https://www.osborneclarke.com/insights/what-current-state-play-draft-uk-media-bill" TargetMode="External"/><Relationship Id="rId10" Type="http://schemas.openxmlformats.org/officeDocument/2006/relationships/endnotes" Target="endnotes.xml"/><Relationship Id="rId31" Type="http://schemas.openxmlformats.org/officeDocument/2006/relationships/hyperlink" Target="https://www.ofcom.org.uk/phones-telecoms-and-internet/information-for-industry/policy/personal-online-communication-services-discussion-document" TargetMode="External"/><Relationship Id="rId44" Type="http://schemas.openxmlformats.org/officeDocument/2006/relationships/hyperlink" Target="https://www.ectel.int/determination-on-internet-neutrality/" TargetMode="External"/><Relationship Id="rId52" Type="http://schemas.openxmlformats.org/officeDocument/2006/relationships/hyperlink" Target="https://www.itu.int/en/ITU-D/Statistics/Pages/publications/manual.aspx" TargetMode="External"/><Relationship Id="rId60" Type="http://schemas.openxmlformats.org/officeDocument/2006/relationships/hyperlink" Target="https://tatt.org.tt/consultations/table-of-consultative-documents/" TargetMode="External"/><Relationship Id="rId65" Type="http://schemas.openxmlformats.org/officeDocument/2006/relationships/hyperlink" Target="https://techinbrazil.com/taxation-on-ott-in-brazil" TargetMode="External"/><Relationship Id="rId73" Type="http://schemas.openxmlformats.org/officeDocument/2006/relationships/header" Target="header7.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s://crtc.gc.ca/eng/publications/reports/rp220714.htm" TargetMode="External"/><Relationship Id="rId34" Type="http://schemas.openxmlformats.org/officeDocument/2006/relationships/hyperlink" Target="https://www.ofcom.org.uk/research-statistics-and-data" TargetMode="External"/><Relationship Id="rId50" Type="http://schemas.openxmlformats.org/officeDocument/2006/relationships/hyperlink" Target="https://portal.ieu-monitoring.com/editorial/electronic-communications-eu-commission-refers-10-member-states-to-court-of-justice" TargetMode="External"/><Relationship Id="rId55" Type="http://schemas.openxmlformats.org/officeDocument/2006/relationships/hyperlink" Target="https://www.gov.br/anatel/pt-br/assuntos/noticias/proposta-brasileira-de-definicao-de-otts-e-adotada-internacionalmente" TargetMode="External"/><Relationship Id="rId76" Type="http://schemas.openxmlformats.org/officeDocument/2006/relationships/header" Target="header8.xml"/><Relationship Id="rId7" Type="http://schemas.openxmlformats.org/officeDocument/2006/relationships/settings" Target="settings.xml"/><Relationship Id="rId71" Type="http://schemas.openxmlformats.org/officeDocument/2006/relationships/hyperlink" Target="https://www.urcabahamas.bs/wp-content/uploads/2022/07/Final-Determination-Retail-Cellular-Mobile-Market-Review-Under-S.39-of-the-Comms-Act-2009-15-July-2022.pdf" TargetMode="External"/><Relationship Id="rId2" Type="http://schemas.openxmlformats.org/officeDocument/2006/relationships/customXml" Target="../customXml/item2.xml"/><Relationship Id="rId29"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apps.anatel.gov.br/ParticipaAnatel/VisualizarTextoConsulta.aspx?TelaDeOrigem=3&amp;ConsultaId=10120" TargetMode="External"/><Relationship Id="rId3" Type="http://schemas.openxmlformats.org/officeDocument/2006/relationships/hyperlink" Target="https://crtc.gc.ca/eng/publications/reports/rp220714.htm" TargetMode="External"/><Relationship Id="rId7" Type="http://schemas.openxmlformats.org/officeDocument/2006/relationships/hyperlink" Target="https://tatt.org.tt/consultations/table-of-consultative-documents/" TargetMode="External"/><Relationship Id="rId2" Type="http://schemas.openxmlformats.org/officeDocument/2006/relationships/hyperlink" Target="https://www.itu.int/hub/publication/d-pref-bb-reg_out03-2018/" TargetMode="External"/><Relationship Id="rId1" Type="http://schemas.openxmlformats.org/officeDocument/2006/relationships/hyperlink" Target="https://tatt.org.tt/consultations/table-of-consultative-documents/" TargetMode="External"/><Relationship Id="rId6" Type="http://schemas.openxmlformats.org/officeDocument/2006/relationships/hyperlink" Target="https://tatt.org.tt/wp-content/uploads/2024/12/Framework-on-OTTs-for-publication.pdf" TargetMode="External"/><Relationship Id="rId11" Type="http://schemas.openxmlformats.org/officeDocument/2006/relationships/hyperlink" Target="https://www.lexology.com/library/detail.aspx?g=3454b65d-0f2d-4c0e-88f7-1a84535abbf2" TargetMode="External"/><Relationship Id="rId5" Type="http://schemas.openxmlformats.org/officeDocument/2006/relationships/hyperlink" Target="https://crtc.gc.ca/eng/archive/2024/2024-121-1.htm" TargetMode="External"/><Relationship Id="rId10" Type="http://schemas.openxmlformats.org/officeDocument/2006/relationships/hyperlink" Target="https://www25.senado.leg.br/web/atividade/materias/-/materia/154545" TargetMode="External"/><Relationship Id="rId4" Type="http://schemas.openxmlformats.org/officeDocument/2006/relationships/hyperlink" Target="https://crtc.gc.ca/eng/archive/2022/2022-47.htm" TargetMode="External"/><Relationship Id="rId9" Type="http://schemas.openxmlformats.org/officeDocument/2006/relationships/hyperlink" Target="https://apps.anatel.gov.br/ParticipaAnatel/RelContribuicoesConsultas.aspx?ControleProcesso=10120&amp;TelaAnterior=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TSB%20PUB\T-TUT-REPOR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Bil18</b:Tag>
    <b:SourceType>JournalArticle</b:SourceType>
    <b:Guid>{9E605D5D-441C-4ED2-83B4-6FCE07055049}</b:Guid>
    <b:Title>Methodology for the Regulation of Over-the-top (OTT) Services: The Need of A Multi-dimensional Perspective</b:Title>
    <b:Year>2018</b:Year>
    <b:JournalName>International Journal of Economics and Financial Issues</b:JournalName>
    <b:Pages>101-110</b:Pages>
    <b:Author>
      <b:Author>
        <b:NameList>
          <b:Person>
            <b:Last>Bilbil</b:Last>
            <b:Middle>Tekin</b:Middle>
            <b:First>Ebru</b:First>
          </b:Person>
        </b:NameList>
      </b:Author>
    </b:Author>
    <b:Issue>8(1)</b:Issue>
    <b:URL>http: www.econjournals.com</b:URL>
    <b:RefOrder>19</b:RefOrder>
  </b:Source>
  <b:Source>
    <b:Tag>Int17</b:Tag>
    <b:SourceType>Report</b:SourceType>
    <b:Guid>{CDA29184-E83F-4153-9F45-91CFC8A6EAAD}</b:Guid>
    <b:Author>
      <b:Author>
        <b:Corporate>International Telecommunications Union</b:Corporate>
      </b:Author>
    </b:Author>
    <b:Title>Economic Impact of OTTs</b:Title>
    <b:Year>2017</b:Year>
    <b:Publisher>ITU</b:Publisher>
    <b:URL>https://www.itu.int/dms_pub/itu-t/opb/tut/T-TUT-ECOPO-2017-PDF-E.pdf</b:URL>
    <b:RefOrder>20</b:RefOrder>
  </b:Source>
  <b:Source>
    <b:Tag>Int201</b:Tag>
    <b:SourceType>InternetSite</b:SourceType>
    <b:Guid>{D0B79C84-4DED-42B4-AB5B-EDA579A3C058}</b:Guid>
    <b:Title>Manual for Measuring ICT Access and Use by Households and Individuals, 2020 Edition</b:Title>
    <b:Year>2020</b:Year>
    <b:Author>
      <b:Author>
        <b:Corporate>International Telecommunications Union</b:Corporate>
      </b:Author>
    </b:Author>
    <b:URL>https://www.itu.int/en/ITU-D/Statistics/Pages/publications/manual.aspx</b:URL>
    <b:RefOrder>21</b:RefOrder>
  </b:Source>
  <b:Source>
    <b:Tag>Tel1</b:Tag>
    <b:SourceType>InternetSite</b:SourceType>
    <b:Guid>{E6340741-38D4-467D-AE21-53C27826EC69}</b:Guid>
    <b:Author>
      <b:Author>
        <b:Corporate>Telecommunications Authority of Trinidad and Tobago</b:Corporate>
      </b:Author>
    </b:Author>
    <b:Title>Consultation - Table of Consultative Documents</b:Title>
    <b:URL>https://tatt.org.tt/consultations/table-of-consultative-documents/</b:URL>
    <b:RefOrder>22</b:RefOrder>
  </b:Source>
  <b:Source>
    <b:Tag>OEC</b:Tag>
    <b:SourceType>InternetSite</b:SourceType>
    <b:Guid>{3BA14048-CB3A-453F-917A-46EF5AF91952}</b:Guid>
    <b:Author>
      <b:Author>
        <b:Corporate>OECD</b:Corporate>
      </b:Author>
    </b:Author>
    <b:Title>Communication policy and regulation</b:Title>
    <b:URL>https://www.oecd-ilibrary.org/sites/1343f784-en/index.html?itemId=/content/component/1343f784-en#section-d1e16712</b:URL>
    <b:RefOrder>23</b:RefOrder>
  </b:Source>
  <b:Source>
    <b:Tag>Nat18</b:Tag>
    <b:SourceType>InternetSite</b:SourceType>
    <b:Guid>{143BB4B9-2C35-48E5-917B-50FB34D9E70A}</b:Guid>
    <b:Author>
      <b:Author>
        <b:Corporate>National Telecommunications Agency</b:Corporate>
      </b:Author>
    </b:Author>
    <b:Title>Brazilian proposal to define OTTs is adopted internationally</b:Title>
    <b:Year>2018</b:Year>
    <b:URL>https://www.gov.br/anatel/pt-br/assuntos/noticias/proposta-brasileira-de-definicao-de-otts-e-adotada-internacionalmente</b:URL>
    <b:RefOrder>24</b:RefOrder>
  </b:Source>
  <b:Source>
    <b:Tag>Tec15</b:Tag>
    <b:SourceType>InternetSite</b:SourceType>
    <b:Guid>{A648F68B-01F5-44C6-B6A9-D247C859F1A9}</b:Guid>
    <b:Author>
      <b:Author>
        <b:Corporate>Techin Brazil</b:Corporate>
      </b:Author>
    </b:Author>
    <b:Title>Taxation on OTT in Brazil</b:Title>
    <b:Year>2015</b:Year>
    <b:URL>https://techinbrazil.com/taxation-on-ott-in-brazil</b:URL>
    <b:RefOrder>25</b:RefOrder>
  </b:Source>
  <b:Source>
    <b:Tag>BER</b:Tag>
    <b:SourceType>InternetSite</b:SourceType>
    <b:Guid>{F1124F71-896B-430A-92B1-62910D4E5C5A}</b:Guid>
    <b:Author>
      <b:Author>
        <b:Corporate>BEREC</b:Corporate>
      </b:Author>
    </b:Author>
    <b:Title>European Electronic Communications Code</b:Title>
    <b:URL>https://www.berec.europa.eu/en/berec/european-electronic-communications-code</b:URL>
    <b:RefOrder>13</b:RefOrder>
  </b:Source>
  <b:Source>
    <b:Tag>Ins22</b:Tag>
    <b:SourceType>InternetSite</b:SourceType>
    <b:Guid>{068E8CC7-666C-40E6-8FB9-3F322D5143EA}</b:Guid>
    <b:Author>
      <b:Author>
        <b:Corporate>Insight EU Monitoring</b:Corporate>
      </b:Author>
    </b:Author>
    <b:Title>Electronic Communications: EU Commission refers 10 Member States to Court of Justice</b:Title>
    <b:Year>2022</b:Year>
    <b:URL>https://portal.ieu-monitoring.com/editorial/electronic-communications-eu-commission-refers-10-member-states-to-court-of-justice</b:URL>
    <b:RefOrder>14</b:RefOrder>
  </b:Source>
  <b:Source>
    <b:Tag>Osb23</b:Tag>
    <b:SourceType>InternetSite</b:SourceType>
    <b:Guid>{35E8FEEF-B0D3-4F6F-9DEE-19D5FC77BE2C}</b:Guid>
    <b:Author>
      <b:Author>
        <b:Corporate>Osborne Clarke</b:Corporate>
      </b:Author>
    </b:Author>
    <b:Title>What is the current 'state of play' of the draft UK Media Bill?</b:Title>
    <b:Year>2023</b:Year>
    <b:Month>August</b:Month>
    <b:Day>3rd </b:Day>
    <b:URL>https://www.osborneclarke.com/insights/what-current-state-play-draft-uk-media-bill</b:URL>
    <b:RefOrder>26</b:RefOrder>
  </b:Source>
  <b:Source>
    <b:Tag>Med23</b:Tag>
    <b:SourceType>InternetSite</b:SourceType>
    <b:Guid>{7F300880-8BA2-4841-91D6-94DE9C55E39B}</b:Guid>
    <b:Author>
      <b:Author>
        <b:Corporate>MediaWrites</b:Corporate>
      </b:Author>
    </b:Author>
    <b:Title>Draft Media Bill – a call for evidence</b:Title>
    <b:Year>2023</b:Year>
    <b:URL>https://mediawrites.law/draft-media-bill-a-call-for-evidence/</b:URL>
    <b:RefOrder>27</b:RefOrder>
  </b:Source>
  <b:Source>
    <b:Tag>Mod</b:Tag>
    <b:SourceType>InternetSite</b:SourceType>
    <b:Guid>{5D0C8B77-6579-4DF7-97EA-6E11168A2E2B}</b:Guid>
    <b:Author>
      <b:Author>
        <b:Corporate>Modor Intelligence</b:Corporate>
      </b:Author>
    </b:Author>
    <b:Title>USA OTT Platforms Market Size &amp; Share Analysis - Growth Trends &amp; Forecasts (2023 - 2028)</b:Title>
    <b:URL>https://www.mordorintelligence.com/industry-reports/united-states-ott-market</b:URL>
    <b:RefOrder>28</b:RefOrder>
  </b:Source>
  <b:Source>
    <b:Tag>Tec</b:Tag>
    <b:SourceType>InternetSite</b:SourceType>
    <b:Guid>{B4652EA2-3516-4C5F-AEB6-3A37340F03B1}</b:Guid>
    <b:Author>
      <b:Author>
        <b:Corporate>Tech Law Journal</b:Corporate>
      </b:Author>
    </b:Author>
    <b:Title>Text of 47 USC 230 of the Telecommunications Act of 1996</b:Title>
    <b:URL>http://www.techlawjournal.com/courts/zeran/47usc230.htm</b:URL>
    <b:RefOrder>29</b:RefOrder>
  </b:Source>
  <b:Source>
    <b:Tag>Tel233</b:Tag>
    <b:SourceType>InternetSite</b:SourceType>
    <b:Guid>{5937FC91-3D02-4DF0-8C8B-1CFBA0D4C993}</b:Guid>
    <b:Author>
      <b:Author>
        <b:Corporate>Telecom Regulatory Authority of India</b:Corporate>
      </b:Author>
    </b:Author>
    <b:Title>Consultation Paper on Regulatory Mechanism for Over-The-Top (OTT) Communication Services, and Selective Banning of OTT Services</b:Title>
    <b:Year>2023</b:Year>
    <b:Month>July</b:Month>
    <b:Day>07</b:Day>
    <b:URL>https://www.trai.gov.in/consultation-paper-regulatory-mechanism-over-top-ott-communication-services-and-selective-banning</b:URL>
    <b:RefOrder>30</b:RefOrder>
  </b:Source>
  <b:Source>
    <b:Tag>PRS</b:Tag>
    <b:SourceType>InternetSite</b:SourceType>
    <b:Guid>{DBA45DFA-0721-499B-BCB2-CF2FF463BADD}</b:Guid>
    <b:Author>
      <b:Author>
        <b:Corporate>PRS Legislative Research</b:Corporate>
      </b:Author>
    </b:Author>
    <b:Title>Draft Indian Telecommunication Bill, 2022</b:Title>
    <b:URL>https://prsindia.org/billtrack/draft-indian-telecommunication-bill-2022</b:URL>
    <b:RefOrder>16</b:RefOrder>
  </b:Source>
  <b:Source>
    <b:Tag>Cas22</b:Tag>
    <b:SourceType>InternetSite</b:SourceType>
    <b:Guid>{4344A45F-9DA6-43CF-A5BC-5C9C02E4FE12}</b:Guid>
    <b:Author>
      <b:Author>
        <b:Corporate>Cassels</b:Corporate>
      </b:Author>
    </b:Author>
    <b:Title>The Government of Canada Introduces the Online Streaming Act to Modernize the Broadcasting Act</b:Title>
    <b:Year>2022</b:Year>
    <b:URL>https://cassels.com/insights/the-government-of-canada-introduces-the-online-streaming-act-to-modernize-the-broadcasting-act/</b:URL>
    <b:RefOrder>31</b:RefOrder>
  </b:Source>
  <b:Source>
    <b:Tag>Can22</b:Tag>
    <b:SourceType>InternetSite</b:SourceType>
    <b:Guid>{A528C7C6-FFEB-4F7E-943D-A26360E35947}</b:Guid>
    <b:Author>
      <b:Author>
        <b:Corporate>Canadian Radio-television and Telecommunications Commission</b:Corporate>
      </b:Author>
    </b:Author>
    <b:Title>The State of the Canadian Program Rights Market 2022</b:Title>
    <b:Year>2022</b:Year>
    <b:Month>March</b:Month>
    <b:Day>25</b:Day>
    <b:URL>https://crtc.gc.ca/eng/publications/reports/rp220714.htm#a6</b:URL>
    <b:RefOrder>32</b:RefOrder>
  </b:Source>
  <b:Source>
    <b:Tag>Gov21</b:Tag>
    <b:SourceType>InternetSite</b:SourceType>
    <b:Guid>{FD7E8774-4B61-40FE-B8DA-B5F8800AB971}</b:Guid>
    <b:Author>
      <b:Author>
        <b:Corporate>Government of Canada</b:Corporate>
      </b:Author>
    </b:Author>
    <b:Title>Broadcasting Notice of Consultation CRTC 2019-90-1</b:Title>
    <b:Year>2021</b:Year>
    <b:Month>June</b:Month>
    <b:Day>30</b:Day>
    <b:URL>https://crtc.gc.ca/eng/archive/2019/2019-90-1.htm</b:URL>
    <b:RefOrder>33</b:RefOrder>
  </b:Source>
  <b:Source xmlns:b="http://schemas.openxmlformats.org/officeDocument/2006/bibliography">
    <b:Tag>Gov</b:Tag>
    <b:SourceType>InternetSite</b:SourceType>
    <b:Guid>{E11174A3-F3CC-46F3-A4E6-143ED4D980DD}</b:Guid>
    <b:Author>
      <b:Author>
        <b:Corporate>Government of Canada</b:Corporate>
      </b:Author>
    </b:Author>
    <b:Title>Online Streaming Act receives Royal Assent</b:Title>
    <b:URL>https://www.canada.ca/en/canadian-heritage/news/2023/04/online-streaming-act-receives-royal-assent.html</b:URL>
    <b:RefOrder>34</b:RefOrder>
  </b:Source>
  <b:Source>
    <b:Tag>TAT23</b:Tag>
    <b:SourceType>Report</b:SourceType>
    <b:Guid>{C8D0EDA0-478B-48C3-8E1E-9F7D2EF36A5D}</b:Guid>
    <b:Author>
      <b:Author>
        <b:Corporate>TATT</b:Corporate>
      </b:Author>
    </b:Author>
    <b:Title>Consultative Document - Framework on Over-the-Top Services in Trinidad and Tobago</b:Title>
    <b:Year>2023</b:Year>
    <b:Publisher>TATT</b:Publisher>
    <b:RefOrder>7</b:RefOrder>
  </b:Source>
  <b:Source>
    <b:Tag>URC18</b:Tag>
    <b:SourceType>Report</b:SourceType>
    <b:Guid>{75D96877-4EA6-48E9-B063-1C0E1DF74B04}</b:Guid>
    <b:Author>
      <b:Author>
        <b:Corporate>URCA</b:Corporate>
      </b:Author>
    </b:Author>
    <b:Title>ECS 12/2018 Statement of Results and Final Determination on Net Neutrality and OTT Services</b:Title>
    <b:Year>2018</b:Year>
    <b:URL>https://www.urcabahamas.bs/consultations/ecs-12-2018-statement-of-results-and-final-determination-on-net-neutrality-and-ott-services/</b:URL>
    <b:RefOrder>9</b:RefOrder>
  </b:Source>
  <b:Source>
    <b:Tag>Eas1</b:Tag>
    <b:SourceType>InternetSite</b:SourceType>
    <b:Guid>{A173E694-FBE8-4A74-967C-84C6B9C9EE50}</b:Guid>
    <b:Author>
      <b:Author>
        <b:Corporate>ECTEL</b:Corporate>
      </b:Author>
    </b:Author>
    <b:Title>Determination on Internet Neutrality</b:Title>
    <b:URL>https://www.ectel.int/determination-on-internet-neutrality/</b:URL>
    <b:RefOrder>12</b:RefOrder>
  </b:Source>
  <b:Source>
    <b:Tag>Placeholder1</b:Tag>
    <b:SourceType>InternetSite</b:SourceType>
    <b:Guid>{2864BB48-0BAF-4B3E-9C69-9B38C56C1620}</b:Guid>
    <b:Author>
      <b:Author>
        <b:Corporate>ANATEL</b:Corporate>
      </b:Author>
    </b:Author>
    <b:Title>Brazilian proposal to define OTTs is adopted internationally</b:Title>
    <b:Year>2018</b:Year>
    <b:URL>https://www.gov.br/anatel/pt-br/assuntos/noticias/proposta-brasileira-de-definicao-de-otts-e-adotada-internacionalmente</b:URL>
    <b:InternetSiteTitle>National Telecommunications Agency</b:InternetSiteTitle>
    <b:RefOrder>35</b:RefOrder>
  </b:Source>
  <b:Source>
    <b:Tag>UKP23</b:Tag>
    <b:SourceType>InternetSite</b:SourceType>
    <b:Guid>{659E4F79-01FC-4EE8-A67A-BECEABB3F94A}</b:Guid>
    <b:Title>Draft Media Bill: Final Report</b:Title>
    <b:Year>2023</b:Year>
    <b:Author>
      <b:Author>
        <b:Corporate>UK Parliament</b:Corporate>
      </b:Author>
    </b:Author>
    <b:Month>September</b:Month>
    <b:Day>22</b:Day>
    <b:URL>https://publications.parliament.uk/pa/cm5803/cmselect/cmcumeds/1807/report.html</b:URL>
    <b:RefOrder>36</b:RefOrder>
  </b:Source>
  <b:Source>
    <b:Tag>UKP231</b:Tag>
    <b:SourceType>Report</b:SourceType>
    <b:Guid>{1D933592-0122-47D9-B7A3-265D16F7E5B6}</b:Guid>
    <b:Title>Media Bill Overarching Impact Assessment</b:Title>
    <b:Year>2023</b:Year>
    <b:URL>https://publications.parliament.uk/pa/bills/cbill/58-04/0008/MediaOverarchingIA.pdf</b:URL>
    <b:Author>
      <b:Author>
        <b:Corporate>UK Parliament</b:Corporate>
      </b:Author>
    </b:Author>
    <b:Publisher>UK Parliament</b:Publisher>
    <b:RefOrder>37</b:RefOrder>
  </b:Source>
  <b:Source>
    <b:Tag>FCC19</b:Tag>
    <b:SourceType>InternetSite</b:SourceType>
    <b:Guid>{9A82333C-E46C-46CA-AF8D-AF5247ACECDB}</b:Guid>
    <b:Title>Voice Over Internet Protocol (VoIP)</b:Title>
    <b:Year>2019</b:Year>
    <b:Author>
      <b:Author>
        <b:Corporate>FCC</b:Corporate>
      </b:Author>
    </b:Author>
    <b:URL>https://www.fcc.gov/consumers/guides/voice-over-internet-protocol-voip</b:URL>
    <b:RefOrder>38</b:RefOrder>
  </b:Source>
  <b:Source>
    <b:Tag>FCC18</b:Tag>
    <b:SourceType>DocumentFromInternetSite</b:SourceType>
    <b:Guid>{072EA0B0-AA03-4530-8912-A6D0B6ED65D4}</b:Guid>
    <b:Title>Wireless Messaging Service Declaratory Ruling - Declaratory Ruling - WT Docket No. 08-7</b:Title>
    <b:Year>2018</b:Year>
    <b:Month>November</b:Month>
    <b:Day>21</b:Day>
    <b:URL>https://docs.fcc.gov/public/attachments/DOC-355214A1.pdf</b:URL>
    <b:Author>
      <b:Author>
        <b:Corporate>FCC</b:Corporate>
      </b:Author>
    </b:Author>
    <b:RefOrder>39</b:RefOrder>
  </b:Source>
  <b:Source>
    <b:Tag>Placeholder2</b:Tag>
    <b:SourceType>InternetSite</b:SourceType>
    <b:Guid>{6A224634-0E90-4628-BEF7-DA006DFC366E}</b:Guid>
    <b:Author>
      <b:Author>
        <b:Corporate>TRAI</b:Corporate>
      </b:Author>
    </b:Author>
    <b:Title>Consultation Paper on Regulatory Mechanism for Over-The-Top (OTT) Communication Services, and Selective Banning of OTT Services</b:Title>
    <b:Year>2023</b:Year>
    <b:Month>July</b:Month>
    <b:Day>07</b:Day>
    <b:URL>https://www.trai.gov.in/consultation-paper-regulatory-mechanism-over-top-ott-communication-services-and-selective-banning</b:URL>
    <b:RefOrder>15</b:RefOrder>
  </b:Source>
  <b:Source>
    <b:Tag>BER21</b:Tag>
    <b:SourceType>Report</b:SourceType>
    <b:Guid>{500A85B9-D3ED-46C2-9C23-F401E81EACEA}</b:Guid>
    <b:Author>
      <b:Author>
        <b:Corporate>BEREC</b:Corporate>
      </b:Author>
    </b:Author>
    <b:Title>Report on harmonised definitions for indicators regarding over-the-top services, relevant to electronic communications markets</b:Title>
    <b:Year>2021</b:Year>
    <b:URL>https://www.berec.europa.eu/sites/default/files/files/document_register_store/2021/10/BoR_(21)_127_Report_on_OTT_services_indicators_clean.pdf</b:URL>
    <b:RefOrder>3</b:RefOrder>
  </b:Source>
  <b:Source>
    <b:Tag>Placeholder3</b:Tag>
    <b:SourceType>InternetSite</b:SourceType>
    <b:Guid>{F16AC2D9-B9A3-428F-B35C-034B0BCD084C}</b:Guid>
    <b:Author>
      <b:Author>
        <b:Corporate>CRTC</b:Corporate>
      </b:Author>
    </b:Author>
    <b:Title>The State of the Canadian Program Rights Market 2022</b:Title>
    <b:Year>2022</b:Year>
    <b:Month>March</b:Month>
    <b:Day>25</b:Day>
    <b:URL>https://crtc.gc.ca/eng/publications/reports/rp220714.htm#a6</b:URL>
    <b:InternetSiteTitle>Canadian Radio-television and Telecommunications Commission</b:InternetSiteTitle>
    <b:RefOrder>4</b:RefOrder>
  </b:Source>
  <b:Source>
    <b:Tag>CTR22</b:Tag>
    <b:SourceType>InternetSite</b:SourceType>
    <b:Guid>{FA2B8569-1148-40A4-B457-4DFF4FCDAB86}</b:Guid>
    <b:Author>
      <b:Author>
        <b:Corporate>CTRC</b:Corporate>
      </b:Author>
    </b:Author>
    <b:Title>Broadcasting Regulatory Policy CRTC 2022-47</b:Title>
    <b:Year>2022</b:Year>
    <b:Month>February</b:Month>
    <b:URL>https://crtc.gc.ca/eng/archive/2022/2022-47.htm</b:URL>
    <b:RefOrder>5</b:RefOrder>
  </b:Source>
  <b:Source>
    <b:Tag>FCC23</b:Tag>
    <b:SourceType>InternetSite</b:SourceType>
    <b:Guid>{C4820E26-367B-4620-B5AD-8A31193AA21A}</b:Guid>
    <b:Author>
      <b:Author>
        <b:Corporate>FCC</b:Corporate>
      </b:Author>
    </b:Author>
    <b:Title>Notice of Proposed Rulemaking  </b:Title>
    <b:Year>2023</b:Year>
    <b:Month>October</b:Month>
    <b:URL>https://docs.fcc.gov/public/attachments/FCC-23-83A1.pdf</b:URL>
    <b:RefOrder>40</b:RefOrder>
  </b:Source>
  <b:Source>
    <b:Tag>TAT244</b:Tag>
    <b:SourceType>Report</b:SourceType>
    <b:Guid>{2D376D62-5F6E-43D1-A0E8-C25ED837F186}</b:Guid>
    <b:Author>
      <b:Author>
        <b:Corporate>TATT</b:Corporate>
      </b:Author>
    </b:Author>
    <b:Title>Framework on Over-the-Top services in Trinidad and Tobago</b:Title>
    <b:Year>2024</b:Year>
    <b:URL>https://tatt.org.tt/wp-content/uploads/2024/12/Framework-on-OTTs-for-publication.pdf</b:URL>
    <b:RefOrder>6</b:RefOrder>
  </b:Source>
  <b:Source>
    <b:Tag>TAT231</b:Tag>
    <b:SourceType>Report</b:SourceType>
    <b:Guid>{B2447A4D-2E42-4A7C-8FA3-947CB16066A2}</b:Guid>
    <b:Author>
      <b:Author>
        <b:Corporate>TATT</b:Corporate>
      </b:Author>
    </b:Author>
    <b:Title>Consumer Survery on the Domestic Retail Fixed Market of Trinidad and Tobago</b:Title>
    <b:Year>2023</b:Year>
    <b:URL>https://tatt.org.tt/wp-content/uploads/2023/05/TATT-Final-Fixed-Market-Consumer-Survey-Report-Redacted.pdf</b:URL>
    <b:RefOrder>8</b:RefOrder>
  </b:Source>
  <b:Source>
    <b:Tag>URC22</b:Tag>
    <b:SourceType>Report</b:SourceType>
    <b:Guid>{81688C30-98F2-4EBF-A123-9E183384E8D3}</b:Guid>
    <b:Author>
      <b:Author>
        <b:Corporate>URCA</b:Corporate>
      </b:Author>
    </b:Author>
    <b:Title>Retail Cellular Mobile Market Review and Assessment under Section 39(1) and (2) of the Communications Act, 2009 Statement of Results and Final Determination</b:Title>
    <b:Year>2022</b:Year>
    <b:URL>https://urcabahamas.bs/wp-content/uploads/2022/07/Final-Determination-Retail-Cellular-Mobile-Market-Review-Under-S.39-of-the-Comms-Act-2009-15-July-2022.pdf</b:URL>
    <b:Publisher>Utilities Regulation &amp; Competition Authority</b:Publisher>
    <b:RefOrder>10</b:RefOrder>
  </b:Source>
  <b:Source>
    <b:Tag>URC24</b:Tag>
    <b:SourceType>Report</b:SourceType>
    <b:Guid>{EF280FB0-1C34-4D76-AEEB-1D98D1499CBC}</b:Guid>
    <b:Author>
      <b:Author>
        <b:Corporate>URCA</b:Corporate>
      </b:Author>
    </b:Author>
    <b:Title>Retail Fixed Market Review and Assessment under Section 39(1) and (2) of the Communications Act, 2009, Preliminary Determination</b:Title>
    <b:Year>2024</b:Year>
    <b:URL>https://urcabahamas.bs/wp-content/uploads/2024/03/Preliminary-Determination-Retail-Fixed-Market-Review-28Feb2024-Redacted-Version-1.pdf</b:URL>
    <b:Publisher>Utilities Regulation &amp; Competition Authority</b:Publisher>
    <b:RefOrder>11</b:RefOrder>
  </b:Source>
  <b:Source>
    <b:Tag>TRA21</b:Tag>
    <b:SourceType>Report</b:SourceType>
    <b:Guid>{86363990-6F20-4C7F-BE21-8EA9480B8C31}</b:Guid>
    <b:Author>
      <b:Author>
        <b:Corporate>TRA</b:Corporate>
      </b:Author>
    </b:Author>
    <b:Title>A Position Paper issued by the Telecommunications Regulatory Authority on the Licensing Approach to Internet Protocol (“IP”) Based Voice and Messaging Services in the Kingdom of Bahrain</b:Title>
    <b:Year>2021</b:Year>
    <b:Publisher>Telecommunications Regulatroy Authority</b:Publisher>
    <b:URL>https://tra-website-prod-01.s3-me-south-1.amazonaws.com/Media/Documents/Position_Papers_&amp;_Guidelines/20210121133657774_dneqzrom_vay.pdf</b:URL>
    <b:RefOrder>18</b:RefOrder>
  </b:Source>
  <b:Source>
    <b:Tag>Cha24</b:Tag>
    <b:SourceType>InternetSite</b:SourceType>
    <b:Guid>{365257FE-A6A7-4D3F-ACF7-813EEA582A40}</b:Guid>
    <b:Author>
      <b:Author>
        <b:Corporate>Chambers and Partners</b:Corporate>
      </b:Author>
    </b:Author>
    <b:Title>Future of OTT in India</b:Title>
    <b:Year>2024</b:Year>
    <b:Month>May</b:Month>
    <b:Day>13</b:Day>
    <b:YearAccessed>2024</b:YearAccessed>
    <b:MonthAccessed>August</b:MonthAccessed>
    <b:DayAccessed>21</b:DayAccessed>
    <b:URL>https://chambers.com/articles/future-of-ott-in-india-15</b:URL>
    <b:RefOrder>17</b:RefOrder>
  </b:Source>
  <b:Source>
    <b:Tag>TAT236</b:Tag>
    <b:SourceType>Report</b:SourceType>
    <b:Guid>{731B1FB8-5D62-49C0-A041-9DE02694CD14}</b:Guid>
    <b:Author>
      <b:Author>
        <b:Corporate>TATT</b:Corporate>
      </b:Author>
    </b:Author>
    <b:Title>QUESTIONNAIRE TATT DOMESTIC RETAIL MOBILE MARKET CUSTOMER SURVEY</b:Title>
    <b:Year>2023</b:Year>
    <b:URL>https://tatt.org.tt/wp-content/uploads/2024/10/KCL-Final-Fixed-Market-Consumer-Survey-Report-Redacted-with-Questionnaire.pdf</b:URL>
    <b:Publisher>Telecommunications Authority of Trinidad and Tobago</b:Publisher>
    <b:RefOrder>1</b:RefOrder>
  </b:Source>
  <b:Source>
    <b:Tag>URC221</b:Tag>
    <b:SourceType>Report</b:SourceType>
    <b:Guid>{9BB6810F-4564-4B33-8584-C59ACDB9DF2B}</b:Guid>
    <b:Author>
      <b:Author>
        <b:Corporate>URCA</b:Corporate>
      </b:Author>
    </b:Author>
    <b:Title>Retail Cellular Mobile Market Review and Assessment under Section 39(1) and (2) of the Communications Act, 2009</b:Title>
    <b:Year>2022</b:Year>
    <b:Publisher>Utilities Regulation and Competition Authority</b:Publisher>
    <b:URL>https://www.urcabahamas.bs/wp-content/uploads/2022/07/Final-Determination-Retail-Cellular-Mobile-Market-Review-Under-S.39-of-the-Comms-Act-2009-15-July-2022.pdf</b:URL>
    <b:RefOrder>2</b:RefOrder>
  </b:Source>
  <b:Source>
    <b:Tag>TAT2</b:Tag>
    <b:SourceType>InternetSite</b:SourceType>
    <b:Guid>{26D59AD1-CE50-4513-BA17-5D7DC7B963B8}</b:Guid>
    <b:Author>
      <b:Author>
        <b:Corporate>TATT</b:Corporate>
      </b:Author>
    </b:Author>
    <b:Title>Table of Consultative Documents</b:Title>
    <b:InternetSiteTitle>Telecommunications Authority of Trinidad and Tobago</b:InternetSiteTitle>
    <b:URL>https://tatt.org.tt/consultations/table-of-consultative-documents/</b:URL>
    <b:RefOrder>41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89D8AEFAC1A247B7216C0DD884D876" ma:contentTypeVersion="2" ma:contentTypeDescription="Create a new document." ma:contentTypeScope="" ma:versionID="fa623bb3eebb5632ce0697c1f9e12c9a">
  <xsd:schema xmlns:xsd="http://www.w3.org/2001/XMLSchema" xmlns:xs="http://www.w3.org/2001/XMLSchema" xmlns:p="http://schemas.microsoft.com/office/2006/metadata/properties" xmlns:ns2="6048f16a-77ac-4327-be06-b0beb1ce50d8" xmlns:ns3="0d1600e8-004f-4c6f-afe8-0c63f3945779" targetNamespace="http://schemas.microsoft.com/office/2006/metadata/properties" ma:root="true" ma:fieldsID="c980becb0488e300a24d0c7960a5152b" ns2:_="" ns3:_="">
    <xsd:import namespace="6048f16a-77ac-4327-be06-b0beb1ce50d8"/>
    <xsd:import namespace="0d1600e8-004f-4c6f-afe8-0c63f3945779"/>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f16a-77ac-4327-be06-b0beb1ce50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1600e8-004f-4c6f-afe8-0c63f3945779"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6ED03-AF56-4337-8A9F-797C97986551}">
  <ds:schemaRefs>
    <ds:schemaRef ds:uri="http://schemas.openxmlformats.org/officeDocument/2006/bibliography"/>
  </ds:schemaRefs>
</ds:datastoreItem>
</file>

<file path=customXml/itemProps2.xml><?xml version="1.0" encoding="utf-8"?>
<ds:datastoreItem xmlns:ds="http://schemas.openxmlformats.org/officeDocument/2006/customXml" ds:itemID="{3021E2B6-F73A-4F77-A433-10E0079BA3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98D974-032F-4108-A2C3-3403677D7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f16a-77ac-4327-be06-b0beb1ce50d8"/>
    <ds:schemaRef ds:uri="0d1600e8-004f-4c6f-afe8-0c63f3945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A9728-E211-4A3B-BCEF-901E9E60B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T-TUT-REPORT-E.dotm</Template>
  <TotalTime>39</TotalTime>
  <Pages>23</Pages>
  <Words>7951</Words>
  <Characters>50173</Characters>
  <Application>Microsoft Office Word</Application>
  <DocSecurity>0</DocSecurity>
  <Lines>1393</Lines>
  <Paragraphs>842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Technical Report DSTR_OTTReporting (11/2025) Establishing international reporting standards for OTT applications</vt:lpstr>
      <vt:lpstr>Technical Report - Unformatted template (T21)</vt:lpstr>
    </vt:vector>
  </TitlesOfParts>
  <Manager>ITU-T</Manager>
  <Company>International Telecommunication Union (ITU)</Company>
  <LinksUpToDate>false</LinksUpToDate>
  <CharactersWithSpaces>57282</CharactersWithSpaces>
  <SharedDoc>false</SharedDoc>
  <HLinks>
    <vt:vector size="264" baseType="variant">
      <vt:variant>
        <vt:i4>1114119</vt:i4>
      </vt:variant>
      <vt:variant>
        <vt:i4>237</vt:i4>
      </vt:variant>
      <vt:variant>
        <vt:i4>0</vt:i4>
      </vt:variant>
      <vt:variant>
        <vt:i4>5</vt:i4>
      </vt:variant>
      <vt:variant>
        <vt:lpwstr>https://www.ofcom.org.uk/content/research-statistics-and-data/tv-radio-and-on-demand</vt:lpwstr>
      </vt:variant>
      <vt:variant>
        <vt:lpwstr/>
      </vt:variant>
      <vt:variant>
        <vt:i4>6357093</vt:i4>
      </vt:variant>
      <vt:variant>
        <vt:i4>234</vt:i4>
      </vt:variant>
      <vt:variant>
        <vt:i4>0</vt:i4>
      </vt:variant>
      <vt:variant>
        <vt:i4>5</vt:i4>
      </vt:variant>
      <vt:variant>
        <vt:lpwstr>https://www.ofcom.org.uk/tv-radio-and-on-demand/video-on-demand/rules-guidance</vt:lpwstr>
      </vt:variant>
      <vt:variant>
        <vt:lpwstr/>
      </vt:variant>
      <vt:variant>
        <vt:i4>7209021</vt:i4>
      </vt:variant>
      <vt:variant>
        <vt:i4>231</vt:i4>
      </vt:variant>
      <vt:variant>
        <vt:i4>0</vt:i4>
      </vt:variant>
      <vt:variant>
        <vt:i4>5</vt:i4>
      </vt:variant>
      <vt:variant>
        <vt:lpwstr>https://www.ofcom.org.uk/tv-radio-and-on-demand/digital-tv/tv-industry-data-collection</vt:lpwstr>
      </vt:variant>
      <vt:variant>
        <vt:lpwstr/>
      </vt:variant>
      <vt:variant>
        <vt:i4>5963857</vt:i4>
      </vt:variant>
      <vt:variant>
        <vt:i4>228</vt:i4>
      </vt:variant>
      <vt:variant>
        <vt:i4>0</vt:i4>
      </vt:variant>
      <vt:variant>
        <vt:i4>5</vt:i4>
      </vt:variant>
      <vt:variant>
        <vt:lpwstr>https://www.ofcom.org.uk/phones-telecoms-and-internet/information-for-industry/policy/personal-online-communication-services-discussion-document</vt:lpwstr>
      </vt:variant>
      <vt:variant>
        <vt:lpwstr/>
      </vt:variant>
      <vt:variant>
        <vt:i4>1769530</vt:i4>
      </vt:variant>
      <vt:variant>
        <vt:i4>179</vt:i4>
      </vt:variant>
      <vt:variant>
        <vt:i4>0</vt:i4>
      </vt:variant>
      <vt:variant>
        <vt:i4>5</vt:i4>
      </vt:variant>
      <vt:variant>
        <vt:lpwstr/>
      </vt:variant>
      <vt:variant>
        <vt:lpwstr>_Toc201580197</vt:lpwstr>
      </vt:variant>
      <vt:variant>
        <vt:i4>1769530</vt:i4>
      </vt:variant>
      <vt:variant>
        <vt:i4>173</vt:i4>
      </vt:variant>
      <vt:variant>
        <vt:i4>0</vt:i4>
      </vt:variant>
      <vt:variant>
        <vt:i4>5</vt:i4>
      </vt:variant>
      <vt:variant>
        <vt:lpwstr/>
      </vt:variant>
      <vt:variant>
        <vt:lpwstr>_Toc201580196</vt:lpwstr>
      </vt:variant>
      <vt:variant>
        <vt:i4>1769530</vt:i4>
      </vt:variant>
      <vt:variant>
        <vt:i4>164</vt:i4>
      </vt:variant>
      <vt:variant>
        <vt:i4>0</vt:i4>
      </vt:variant>
      <vt:variant>
        <vt:i4>5</vt:i4>
      </vt:variant>
      <vt:variant>
        <vt:lpwstr/>
      </vt:variant>
      <vt:variant>
        <vt:lpwstr>_Toc201580195</vt:lpwstr>
      </vt:variant>
      <vt:variant>
        <vt:i4>1769530</vt:i4>
      </vt:variant>
      <vt:variant>
        <vt:i4>158</vt:i4>
      </vt:variant>
      <vt:variant>
        <vt:i4>0</vt:i4>
      </vt:variant>
      <vt:variant>
        <vt:i4>5</vt:i4>
      </vt:variant>
      <vt:variant>
        <vt:lpwstr/>
      </vt:variant>
      <vt:variant>
        <vt:lpwstr>_Toc201580194</vt:lpwstr>
      </vt:variant>
      <vt:variant>
        <vt:i4>1769530</vt:i4>
      </vt:variant>
      <vt:variant>
        <vt:i4>152</vt:i4>
      </vt:variant>
      <vt:variant>
        <vt:i4>0</vt:i4>
      </vt:variant>
      <vt:variant>
        <vt:i4>5</vt:i4>
      </vt:variant>
      <vt:variant>
        <vt:lpwstr/>
      </vt:variant>
      <vt:variant>
        <vt:lpwstr>_Toc201580193</vt:lpwstr>
      </vt:variant>
      <vt:variant>
        <vt:i4>1769530</vt:i4>
      </vt:variant>
      <vt:variant>
        <vt:i4>146</vt:i4>
      </vt:variant>
      <vt:variant>
        <vt:i4>0</vt:i4>
      </vt:variant>
      <vt:variant>
        <vt:i4>5</vt:i4>
      </vt:variant>
      <vt:variant>
        <vt:lpwstr/>
      </vt:variant>
      <vt:variant>
        <vt:lpwstr>_Toc201580192</vt:lpwstr>
      </vt:variant>
      <vt:variant>
        <vt:i4>1769530</vt:i4>
      </vt:variant>
      <vt:variant>
        <vt:i4>140</vt:i4>
      </vt:variant>
      <vt:variant>
        <vt:i4>0</vt:i4>
      </vt:variant>
      <vt:variant>
        <vt:i4>5</vt:i4>
      </vt:variant>
      <vt:variant>
        <vt:lpwstr/>
      </vt:variant>
      <vt:variant>
        <vt:lpwstr>_Toc201580191</vt:lpwstr>
      </vt:variant>
      <vt:variant>
        <vt:i4>1769530</vt:i4>
      </vt:variant>
      <vt:variant>
        <vt:i4>134</vt:i4>
      </vt:variant>
      <vt:variant>
        <vt:i4>0</vt:i4>
      </vt:variant>
      <vt:variant>
        <vt:i4>5</vt:i4>
      </vt:variant>
      <vt:variant>
        <vt:lpwstr/>
      </vt:variant>
      <vt:variant>
        <vt:lpwstr>_Toc201580190</vt:lpwstr>
      </vt:variant>
      <vt:variant>
        <vt:i4>1703994</vt:i4>
      </vt:variant>
      <vt:variant>
        <vt:i4>128</vt:i4>
      </vt:variant>
      <vt:variant>
        <vt:i4>0</vt:i4>
      </vt:variant>
      <vt:variant>
        <vt:i4>5</vt:i4>
      </vt:variant>
      <vt:variant>
        <vt:lpwstr/>
      </vt:variant>
      <vt:variant>
        <vt:lpwstr>_Toc201580189</vt:lpwstr>
      </vt:variant>
      <vt:variant>
        <vt:i4>1703994</vt:i4>
      </vt:variant>
      <vt:variant>
        <vt:i4>122</vt:i4>
      </vt:variant>
      <vt:variant>
        <vt:i4>0</vt:i4>
      </vt:variant>
      <vt:variant>
        <vt:i4>5</vt:i4>
      </vt:variant>
      <vt:variant>
        <vt:lpwstr/>
      </vt:variant>
      <vt:variant>
        <vt:lpwstr>_Toc201580188</vt:lpwstr>
      </vt:variant>
      <vt:variant>
        <vt:i4>1703994</vt:i4>
      </vt:variant>
      <vt:variant>
        <vt:i4>116</vt:i4>
      </vt:variant>
      <vt:variant>
        <vt:i4>0</vt:i4>
      </vt:variant>
      <vt:variant>
        <vt:i4>5</vt:i4>
      </vt:variant>
      <vt:variant>
        <vt:lpwstr/>
      </vt:variant>
      <vt:variant>
        <vt:lpwstr>_Toc201580187</vt:lpwstr>
      </vt:variant>
      <vt:variant>
        <vt:i4>1703994</vt:i4>
      </vt:variant>
      <vt:variant>
        <vt:i4>110</vt:i4>
      </vt:variant>
      <vt:variant>
        <vt:i4>0</vt:i4>
      </vt:variant>
      <vt:variant>
        <vt:i4>5</vt:i4>
      </vt:variant>
      <vt:variant>
        <vt:lpwstr/>
      </vt:variant>
      <vt:variant>
        <vt:lpwstr>_Toc201580186</vt:lpwstr>
      </vt:variant>
      <vt:variant>
        <vt:i4>1703994</vt:i4>
      </vt:variant>
      <vt:variant>
        <vt:i4>104</vt:i4>
      </vt:variant>
      <vt:variant>
        <vt:i4>0</vt:i4>
      </vt:variant>
      <vt:variant>
        <vt:i4>5</vt:i4>
      </vt:variant>
      <vt:variant>
        <vt:lpwstr/>
      </vt:variant>
      <vt:variant>
        <vt:lpwstr>_Toc201580185</vt:lpwstr>
      </vt:variant>
      <vt:variant>
        <vt:i4>1703994</vt:i4>
      </vt:variant>
      <vt:variant>
        <vt:i4>98</vt:i4>
      </vt:variant>
      <vt:variant>
        <vt:i4>0</vt:i4>
      </vt:variant>
      <vt:variant>
        <vt:i4>5</vt:i4>
      </vt:variant>
      <vt:variant>
        <vt:lpwstr/>
      </vt:variant>
      <vt:variant>
        <vt:lpwstr>_Toc201580184</vt:lpwstr>
      </vt:variant>
      <vt:variant>
        <vt:i4>1703994</vt:i4>
      </vt:variant>
      <vt:variant>
        <vt:i4>92</vt:i4>
      </vt:variant>
      <vt:variant>
        <vt:i4>0</vt:i4>
      </vt:variant>
      <vt:variant>
        <vt:i4>5</vt:i4>
      </vt:variant>
      <vt:variant>
        <vt:lpwstr/>
      </vt:variant>
      <vt:variant>
        <vt:lpwstr>_Toc201580183</vt:lpwstr>
      </vt:variant>
      <vt:variant>
        <vt:i4>1703994</vt:i4>
      </vt:variant>
      <vt:variant>
        <vt:i4>86</vt:i4>
      </vt:variant>
      <vt:variant>
        <vt:i4>0</vt:i4>
      </vt:variant>
      <vt:variant>
        <vt:i4>5</vt:i4>
      </vt:variant>
      <vt:variant>
        <vt:lpwstr/>
      </vt:variant>
      <vt:variant>
        <vt:lpwstr>_Toc201580182</vt:lpwstr>
      </vt:variant>
      <vt:variant>
        <vt:i4>1703994</vt:i4>
      </vt:variant>
      <vt:variant>
        <vt:i4>80</vt:i4>
      </vt:variant>
      <vt:variant>
        <vt:i4>0</vt:i4>
      </vt:variant>
      <vt:variant>
        <vt:i4>5</vt:i4>
      </vt:variant>
      <vt:variant>
        <vt:lpwstr/>
      </vt:variant>
      <vt:variant>
        <vt:lpwstr>_Toc201580181</vt:lpwstr>
      </vt:variant>
      <vt:variant>
        <vt:i4>1703994</vt:i4>
      </vt:variant>
      <vt:variant>
        <vt:i4>74</vt:i4>
      </vt:variant>
      <vt:variant>
        <vt:i4>0</vt:i4>
      </vt:variant>
      <vt:variant>
        <vt:i4>5</vt:i4>
      </vt:variant>
      <vt:variant>
        <vt:lpwstr/>
      </vt:variant>
      <vt:variant>
        <vt:lpwstr>_Toc201580180</vt:lpwstr>
      </vt:variant>
      <vt:variant>
        <vt:i4>1376314</vt:i4>
      </vt:variant>
      <vt:variant>
        <vt:i4>68</vt:i4>
      </vt:variant>
      <vt:variant>
        <vt:i4>0</vt:i4>
      </vt:variant>
      <vt:variant>
        <vt:i4>5</vt:i4>
      </vt:variant>
      <vt:variant>
        <vt:lpwstr/>
      </vt:variant>
      <vt:variant>
        <vt:lpwstr>_Toc201580179</vt:lpwstr>
      </vt:variant>
      <vt:variant>
        <vt:i4>1376314</vt:i4>
      </vt:variant>
      <vt:variant>
        <vt:i4>62</vt:i4>
      </vt:variant>
      <vt:variant>
        <vt:i4>0</vt:i4>
      </vt:variant>
      <vt:variant>
        <vt:i4>5</vt:i4>
      </vt:variant>
      <vt:variant>
        <vt:lpwstr/>
      </vt:variant>
      <vt:variant>
        <vt:lpwstr>_Toc201580178</vt:lpwstr>
      </vt:variant>
      <vt:variant>
        <vt:i4>1376314</vt:i4>
      </vt:variant>
      <vt:variant>
        <vt:i4>56</vt:i4>
      </vt:variant>
      <vt:variant>
        <vt:i4>0</vt:i4>
      </vt:variant>
      <vt:variant>
        <vt:i4>5</vt:i4>
      </vt:variant>
      <vt:variant>
        <vt:lpwstr/>
      </vt:variant>
      <vt:variant>
        <vt:lpwstr>_Toc201580177</vt:lpwstr>
      </vt:variant>
      <vt:variant>
        <vt:i4>1376314</vt:i4>
      </vt:variant>
      <vt:variant>
        <vt:i4>50</vt:i4>
      </vt:variant>
      <vt:variant>
        <vt:i4>0</vt:i4>
      </vt:variant>
      <vt:variant>
        <vt:i4>5</vt:i4>
      </vt:variant>
      <vt:variant>
        <vt:lpwstr/>
      </vt:variant>
      <vt:variant>
        <vt:lpwstr>_Toc201580176</vt:lpwstr>
      </vt:variant>
      <vt:variant>
        <vt:i4>1376314</vt:i4>
      </vt:variant>
      <vt:variant>
        <vt:i4>44</vt:i4>
      </vt:variant>
      <vt:variant>
        <vt:i4>0</vt:i4>
      </vt:variant>
      <vt:variant>
        <vt:i4>5</vt:i4>
      </vt:variant>
      <vt:variant>
        <vt:lpwstr/>
      </vt:variant>
      <vt:variant>
        <vt:lpwstr>_Toc201580175</vt:lpwstr>
      </vt:variant>
      <vt:variant>
        <vt:i4>1376314</vt:i4>
      </vt:variant>
      <vt:variant>
        <vt:i4>38</vt:i4>
      </vt:variant>
      <vt:variant>
        <vt:i4>0</vt:i4>
      </vt:variant>
      <vt:variant>
        <vt:i4>5</vt:i4>
      </vt:variant>
      <vt:variant>
        <vt:lpwstr/>
      </vt:variant>
      <vt:variant>
        <vt:lpwstr>_Toc201580174</vt:lpwstr>
      </vt:variant>
      <vt:variant>
        <vt:i4>1376314</vt:i4>
      </vt:variant>
      <vt:variant>
        <vt:i4>32</vt:i4>
      </vt:variant>
      <vt:variant>
        <vt:i4>0</vt:i4>
      </vt:variant>
      <vt:variant>
        <vt:i4>5</vt:i4>
      </vt:variant>
      <vt:variant>
        <vt:lpwstr/>
      </vt:variant>
      <vt:variant>
        <vt:lpwstr>_Toc201580173</vt:lpwstr>
      </vt:variant>
      <vt:variant>
        <vt:i4>1376314</vt:i4>
      </vt:variant>
      <vt:variant>
        <vt:i4>26</vt:i4>
      </vt:variant>
      <vt:variant>
        <vt:i4>0</vt:i4>
      </vt:variant>
      <vt:variant>
        <vt:i4>5</vt:i4>
      </vt:variant>
      <vt:variant>
        <vt:lpwstr/>
      </vt:variant>
      <vt:variant>
        <vt:lpwstr>_Toc201580172</vt:lpwstr>
      </vt:variant>
      <vt:variant>
        <vt:i4>1376314</vt:i4>
      </vt:variant>
      <vt:variant>
        <vt:i4>20</vt:i4>
      </vt:variant>
      <vt:variant>
        <vt:i4>0</vt:i4>
      </vt:variant>
      <vt:variant>
        <vt:i4>5</vt:i4>
      </vt:variant>
      <vt:variant>
        <vt:lpwstr/>
      </vt:variant>
      <vt:variant>
        <vt:lpwstr>_Toc201580171</vt:lpwstr>
      </vt:variant>
      <vt:variant>
        <vt:i4>1376314</vt:i4>
      </vt:variant>
      <vt:variant>
        <vt:i4>14</vt:i4>
      </vt:variant>
      <vt:variant>
        <vt:i4>0</vt:i4>
      </vt:variant>
      <vt:variant>
        <vt:i4>5</vt:i4>
      </vt:variant>
      <vt:variant>
        <vt:lpwstr/>
      </vt:variant>
      <vt:variant>
        <vt:lpwstr>_Toc201580170</vt:lpwstr>
      </vt:variant>
      <vt:variant>
        <vt:i4>7274504</vt:i4>
      </vt:variant>
      <vt:variant>
        <vt:i4>9</vt:i4>
      </vt:variant>
      <vt:variant>
        <vt:i4>0</vt:i4>
      </vt:variant>
      <vt:variant>
        <vt:i4>5</vt:i4>
      </vt:variant>
      <vt:variant>
        <vt:lpwstr>mailto:abaldeo@tatt.org.tt</vt:lpwstr>
      </vt:variant>
      <vt:variant>
        <vt:lpwstr/>
      </vt:variant>
      <vt:variant>
        <vt:i4>7274504</vt:i4>
      </vt:variant>
      <vt:variant>
        <vt:i4>3</vt:i4>
      </vt:variant>
      <vt:variant>
        <vt:i4>0</vt:i4>
      </vt:variant>
      <vt:variant>
        <vt:i4>5</vt:i4>
      </vt:variant>
      <vt:variant>
        <vt:lpwstr>mailto:abaldeo@tatt.org.tt</vt:lpwstr>
      </vt:variant>
      <vt:variant>
        <vt:lpwstr/>
      </vt:variant>
      <vt:variant>
        <vt:i4>6946839</vt:i4>
      </vt:variant>
      <vt:variant>
        <vt:i4>0</vt:i4>
      </vt:variant>
      <vt:variant>
        <vt:i4>0</vt:i4>
      </vt:variant>
      <vt:variant>
        <vt:i4>5</vt:i4>
      </vt:variant>
      <vt:variant>
        <vt:lpwstr>mailto:dcarvalho@anatel.gov.br</vt:lpwstr>
      </vt:variant>
      <vt:variant>
        <vt:lpwstr/>
      </vt:variant>
      <vt:variant>
        <vt:i4>2293874</vt:i4>
      </vt:variant>
      <vt:variant>
        <vt:i4>24</vt:i4>
      </vt:variant>
      <vt:variant>
        <vt:i4>0</vt:i4>
      </vt:variant>
      <vt:variant>
        <vt:i4>5</vt:i4>
      </vt:variant>
      <vt:variant>
        <vt:lpwstr>https://www.lexology.com/library/detail.aspx?g=3454b65d-0f2d-4c0e-88f7-1a84535abbf2</vt:lpwstr>
      </vt:variant>
      <vt:variant>
        <vt:lpwstr>:~:text=Although%20the%20New%20Act%20does,of%20OTT%20within%20its%20ambit</vt:lpwstr>
      </vt:variant>
      <vt:variant>
        <vt:i4>3670051</vt:i4>
      </vt:variant>
      <vt:variant>
        <vt:i4>21</vt:i4>
      </vt:variant>
      <vt:variant>
        <vt:i4>0</vt:i4>
      </vt:variant>
      <vt:variant>
        <vt:i4>5</vt:i4>
      </vt:variant>
      <vt:variant>
        <vt:lpwstr>https://www25.senado.leg.br/web/atividade/materias/-/materia/154545</vt:lpwstr>
      </vt:variant>
      <vt:variant>
        <vt:lpwstr/>
      </vt:variant>
      <vt:variant>
        <vt:i4>3145783</vt:i4>
      </vt:variant>
      <vt:variant>
        <vt:i4>18</vt:i4>
      </vt:variant>
      <vt:variant>
        <vt:i4>0</vt:i4>
      </vt:variant>
      <vt:variant>
        <vt:i4>5</vt:i4>
      </vt:variant>
      <vt:variant>
        <vt:lpwstr>https://apps.anatel.gov.br/ParticipaAnatel/RelContribuicoesConsultas.aspx?ControleProcesso=10120&amp;TelaAnterior=1</vt:lpwstr>
      </vt:variant>
      <vt:variant>
        <vt:lpwstr/>
      </vt:variant>
      <vt:variant>
        <vt:i4>4128808</vt:i4>
      </vt:variant>
      <vt:variant>
        <vt:i4>15</vt:i4>
      </vt:variant>
      <vt:variant>
        <vt:i4>0</vt:i4>
      </vt:variant>
      <vt:variant>
        <vt:i4>5</vt:i4>
      </vt:variant>
      <vt:variant>
        <vt:lpwstr>https://apps.anatel.gov.br/ParticipaAnatel/VisualizarTextoConsulta.aspx?TelaDeOrigem=3&amp;ConsultaId=10120</vt:lpwstr>
      </vt:variant>
      <vt:variant>
        <vt:lpwstr/>
      </vt:variant>
      <vt:variant>
        <vt:i4>3080313</vt:i4>
      </vt:variant>
      <vt:variant>
        <vt:i4>12</vt:i4>
      </vt:variant>
      <vt:variant>
        <vt:i4>0</vt:i4>
      </vt:variant>
      <vt:variant>
        <vt:i4>5</vt:i4>
      </vt:variant>
      <vt:variant>
        <vt:lpwstr>https://tatt.org.tt/consultations/table-of-consultative-documents/</vt:lpwstr>
      </vt:variant>
      <vt:variant>
        <vt:lpwstr/>
      </vt:variant>
      <vt:variant>
        <vt:i4>1114126</vt:i4>
      </vt:variant>
      <vt:variant>
        <vt:i4>9</vt:i4>
      </vt:variant>
      <vt:variant>
        <vt:i4>0</vt:i4>
      </vt:variant>
      <vt:variant>
        <vt:i4>5</vt:i4>
      </vt:variant>
      <vt:variant>
        <vt:lpwstr>https://tatt.org.tt/wp-content/uploads/2024/12/Framework-on-OTTs-for-publication.pdf</vt:lpwstr>
      </vt:variant>
      <vt:variant>
        <vt:lpwstr/>
      </vt:variant>
      <vt:variant>
        <vt:i4>3866680</vt:i4>
      </vt:variant>
      <vt:variant>
        <vt:i4>6</vt:i4>
      </vt:variant>
      <vt:variant>
        <vt:i4>0</vt:i4>
      </vt:variant>
      <vt:variant>
        <vt:i4>5</vt:i4>
      </vt:variant>
      <vt:variant>
        <vt:lpwstr>https://crtc.gc.ca/eng/archive/2024/2024-121-1.htm</vt:lpwstr>
      </vt:variant>
      <vt:variant>
        <vt:lpwstr/>
      </vt:variant>
      <vt:variant>
        <vt:i4>6750244</vt:i4>
      </vt:variant>
      <vt:variant>
        <vt:i4>3</vt:i4>
      </vt:variant>
      <vt:variant>
        <vt:i4>0</vt:i4>
      </vt:variant>
      <vt:variant>
        <vt:i4>5</vt:i4>
      </vt:variant>
      <vt:variant>
        <vt:lpwstr>https://crtc.gc.ca/eng/archive/2022/2022-47.htm</vt:lpwstr>
      </vt:variant>
      <vt:variant>
        <vt:lpwstr/>
      </vt:variant>
      <vt:variant>
        <vt:i4>3080313</vt:i4>
      </vt:variant>
      <vt:variant>
        <vt:i4>0</vt:i4>
      </vt:variant>
      <vt:variant>
        <vt:i4>0</vt:i4>
      </vt:variant>
      <vt:variant>
        <vt:i4>5</vt:i4>
      </vt:variant>
      <vt:variant>
        <vt:lpwstr>https://tatt.org.tt/consultations/table-of-consultative-documents/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Report DSTR_OTTReporting (11/2025) Establishing international reporting standards for OTT applications</dc:title>
  <dc:subject/>
  <dc:creator>ITU-T</dc:creator>
  <cp:keywords>Data reporting, OTT applications, regulatory challenges, reporting standards</cp:keywords>
  <dc:description/>
  <cp:lastModifiedBy>Gachet, Christelle</cp:lastModifiedBy>
  <cp:revision>12</cp:revision>
  <cp:lastPrinted>2025-03-18T01:44:00Z</cp:lastPrinted>
  <dcterms:created xsi:type="dcterms:W3CDTF">2026-05-15T15:02:00Z</dcterms:created>
  <dcterms:modified xsi:type="dcterms:W3CDTF">2026-05-18T06:18:00Z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SG3-TD30/PLEN</vt:lpwstr>
  </property>
  <property fmtid="{D5CDD505-2E9C-101B-9397-08002B2CF9AE}" pid="3" name="Docdate">
    <vt:lpwstr/>
  </property>
  <property fmtid="{D5CDD505-2E9C-101B-9397-08002B2CF9AE}" pid="4" name="Docorlang">
    <vt:lpwstr/>
  </property>
  <property fmtid="{D5CDD505-2E9C-101B-9397-08002B2CF9AE}" pid="5" name="Docbluepink">
    <vt:lpwstr>10/3</vt:lpwstr>
  </property>
  <property fmtid="{D5CDD505-2E9C-101B-9397-08002B2CF9AE}" pid="6" name="Docdest">
    <vt:lpwstr>Geneva, 8-17 April 2025</vt:lpwstr>
  </property>
  <property fmtid="{D5CDD505-2E9C-101B-9397-08002B2CF9AE}" pid="7" name="Docauthor">
    <vt:lpwstr>Rapporteur, Q10/3</vt:lpwstr>
  </property>
  <property fmtid="{D5CDD505-2E9C-101B-9397-08002B2CF9AE}" pid="8" name="ContentTypeId">
    <vt:lpwstr>0x010100D089D8AEFAC1A247B7216C0DD884D876</vt:lpwstr>
  </property>
  <property fmtid="{D5CDD505-2E9C-101B-9397-08002B2CF9AE}" pid="9" name="SourceC">
    <vt:lpwstr/>
  </property>
  <property fmtid="{D5CDD505-2E9C-101B-9397-08002B2CF9AE}" pid="10" name="Questions">
    <vt:lpwstr>1641;#Q10/3|f542ddb0-dbf0-4ea8-a4b9-3dd53cd35443</vt:lpwstr>
  </property>
  <property fmtid="{D5CDD505-2E9C-101B-9397-08002B2CF9AE}" pid="11" name="MSIP_Label_1665d9ee-429a-4d5f-97cc-cfb56e044a6e_Enabled">
    <vt:lpwstr>true</vt:lpwstr>
  </property>
  <property fmtid="{D5CDD505-2E9C-101B-9397-08002B2CF9AE}" pid="12" name="MSIP_Label_1665d9ee-429a-4d5f-97cc-cfb56e044a6e_SetDate">
    <vt:lpwstr>2024-12-06T14:30:27Z</vt:lpwstr>
  </property>
  <property fmtid="{D5CDD505-2E9C-101B-9397-08002B2CF9AE}" pid="13" name="MSIP_Label_1665d9ee-429a-4d5f-97cc-cfb56e044a6e_Method">
    <vt:lpwstr>Privileged</vt:lpwstr>
  </property>
  <property fmtid="{D5CDD505-2E9C-101B-9397-08002B2CF9AE}" pid="14" name="MSIP_Label_1665d9ee-429a-4d5f-97cc-cfb56e044a6e_Name">
    <vt:lpwstr>1665d9ee-429a-4d5f-97cc-cfb56e044a6e</vt:lpwstr>
  </property>
  <property fmtid="{D5CDD505-2E9C-101B-9397-08002B2CF9AE}" pid="15" name="MSIP_Label_1665d9ee-429a-4d5f-97cc-cfb56e044a6e_SiteId">
    <vt:lpwstr>66cf5074-5afe-48d1-a691-a12b2121f44b</vt:lpwstr>
  </property>
  <property fmtid="{D5CDD505-2E9C-101B-9397-08002B2CF9AE}" pid="16" name="MSIP_Label_1665d9ee-429a-4d5f-97cc-cfb56e044a6e_ActionId">
    <vt:lpwstr>aaff37e6-8068-4343-9a4a-6ed319671bfa</vt:lpwstr>
  </property>
  <property fmtid="{D5CDD505-2E9C-101B-9397-08002B2CF9AE}" pid="17" name="MSIP_Label_1665d9ee-429a-4d5f-97cc-cfb56e044a6e_ContentBits">
    <vt:lpwstr>0</vt:lpwstr>
  </property>
</Properties>
</file>