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011679" w:rsidRPr="006F3E3B" w14:paraId="268D0513" w14:textId="77777777">
        <w:trPr>
          <w:trHeight w:hRule="exact" w:val="992"/>
        </w:trPr>
        <w:tc>
          <w:tcPr>
            <w:tcW w:w="5070" w:type="dxa"/>
            <w:gridSpan w:val="2"/>
          </w:tcPr>
          <w:p w14:paraId="4758611E" w14:textId="3BB5807C" w:rsidR="00011679" w:rsidRPr="00957911" w:rsidRDefault="00011679">
            <w:pPr>
              <w:spacing w:before="0"/>
              <w:rPr>
                <w:rFonts w:ascii="Arial" w:eastAsia="Avenir Next W1G Medium" w:hAnsi="Arial" w:cs="Arial"/>
                <w:szCs w:val="24"/>
              </w:rPr>
            </w:pPr>
            <w:bookmarkStart w:id="0" w:name="_Toc401158818"/>
            <w:bookmarkStart w:id="1" w:name="_Toc169702170"/>
            <w:r w:rsidRPr="00934B4E">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2D2EB07D" wp14:editId="7335731D">
                      <wp:simplePos x="0" y="0"/>
                      <wp:positionH relativeFrom="page">
                        <wp:posOffset>-381000</wp:posOffset>
                      </wp:positionH>
                      <wp:positionV relativeFrom="page">
                        <wp:posOffset>317500</wp:posOffset>
                      </wp:positionV>
                      <wp:extent cx="7772400" cy="229870"/>
                      <wp:effectExtent l="0" t="5080" r="0" b="3175"/>
                      <wp:wrapNone/>
                      <wp:docPr id="2"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45B449" id="docshapegroup7" o:spid="_x0000_s1026" style="position:absolute;margin-left:-30pt;margin-top:2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tc>
        <w:tc>
          <w:tcPr>
            <w:tcW w:w="5670" w:type="dxa"/>
          </w:tcPr>
          <w:p w14:paraId="249295E4" w14:textId="77777777" w:rsidR="00011679" w:rsidRPr="00957911" w:rsidRDefault="00011679">
            <w:pPr>
              <w:spacing w:before="0"/>
              <w:jc w:val="right"/>
              <w:rPr>
                <w:rFonts w:ascii="Arial" w:eastAsia="Avenir Next W1G Medium" w:hAnsi="Arial" w:cs="Arial"/>
                <w:szCs w:val="24"/>
              </w:rPr>
            </w:pPr>
            <w:r w:rsidRPr="00957911">
              <w:rPr>
                <w:rFonts w:ascii="Arial" w:eastAsia="Avenir Next W1G Medium" w:hAnsi="Arial" w:cs="Arial"/>
                <w:szCs w:val="24"/>
              </w:rPr>
              <w:t>Standardization Sector</w:t>
            </w:r>
          </w:p>
        </w:tc>
      </w:tr>
      <w:tr w:rsidR="00011679" w:rsidRPr="006C28C2" w14:paraId="5F6570B2" w14:textId="77777777">
        <w:tblPrEx>
          <w:tblCellMar>
            <w:left w:w="85" w:type="dxa"/>
            <w:right w:w="85" w:type="dxa"/>
          </w:tblCellMar>
        </w:tblPrEx>
        <w:trPr>
          <w:gridBefore w:val="1"/>
          <w:wBefore w:w="817" w:type="dxa"/>
          <w:trHeight w:val="709"/>
        </w:trPr>
        <w:tc>
          <w:tcPr>
            <w:tcW w:w="9923" w:type="dxa"/>
            <w:gridSpan w:val="2"/>
          </w:tcPr>
          <w:p w14:paraId="0B087B0E" w14:textId="77777777" w:rsidR="00011679" w:rsidRPr="00934B4E" w:rsidRDefault="00011679">
            <w:pPr>
              <w:pStyle w:val="BodyText"/>
              <w:spacing w:before="440"/>
              <w:rPr>
                <w:rFonts w:ascii="Arial" w:hAnsi="Arial" w:cs="Arial"/>
                <w:spacing w:val="-6"/>
                <w:sz w:val="44"/>
                <w:szCs w:val="44"/>
                <w:lang w:val="en-GB"/>
              </w:rPr>
            </w:pPr>
            <w:bookmarkStart w:id="2" w:name="dnume"/>
            <w:r w:rsidRPr="00934B4E">
              <w:rPr>
                <w:rFonts w:ascii="Arial" w:hAnsi="Arial" w:cs="Arial"/>
                <w:spacing w:val="-6"/>
                <w:sz w:val="44"/>
                <w:szCs w:val="44"/>
                <w:lang w:val="en-GB"/>
              </w:rPr>
              <w:t xml:space="preserve">ITU-T Technical </w:t>
            </w:r>
            <w:r>
              <w:rPr>
                <w:rFonts w:ascii="Arial" w:hAnsi="Arial" w:cs="Arial"/>
                <w:spacing w:val="-6"/>
                <w:sz w:val="44"/>
                <w:szCs w:val="44"/>
                <w:lang w:val="en-GB"/>
              </w:rPr>
              <w:t>Report</w:t>
            </w:r>
          </w:p>
        </w:tc>
      </w:tr>
      <w:tr w:rsidR="00011679" w:rsidRPr="00934B4E" w14:paraId="3349E6CB" w14:textId="77777777">
        <w:tblPrEx>
          <w:tblCellMar>
            <w:left w:w="85" w:type="dxa"/>
            <w:right w:w="85" w:type="dxa"/>
          </w:tblCellMar>
        </w:tblPrEx>
        <w:trPr>
          <w:gridBefore w:val="1"/>
          <w:wBefore w:w="817" w:type="dxa"/>
          <w:trHeight w:val="129"/>
        </w:trPr>
        <w:tc>
          <w:tcPr>
            <w:tcW w:w="9923" w:type="dxa"/>
            <w:gridSpan w:val="2"/>
          </w:tcPr>
          <w:p w14:paraId="51A147BC" w14:textId="77777777" w:rsidR="00011679" w:rsidRPr="00934B4E" w:rsidRDefault="00011679">
            <w:pPr>
              <w:pStyle w:val="BodyText"/>
              <w:spacing w:before="120" w:after="240"/>
              <w:jc w:val="right"/>
              <w:rPr>
                <w:rFonts w:ascii="Arial" w:hAnsi="Arial" w:cs="Arial"/>
                <w:spacing w:val="-6"/>
                <w:sz w:val="28"/>
                <w:szCs w:val="28"/>
                <w:lang w:val="en-GB"/>
              </w:rPr>
            </w:pPr>
            <w:bookmarkStart w:id="3" w:name="dnume2"/>
            <w:bookmarkEnd w:id="2"/>
            <w:r>
              <w:rPr>
                <w:rFonts w:ascii="Arial" w:hAnsi="Arial" w:cs="Arial"/>
                <w:spacing w:val="-6"/>
                <w:sz w:val="28"/>
                <w:szCs w:val="28"/>
                <w:lang w:val="en-GB"/>
              </w:rPr>
              <w:t>(07/2024)</w:t>
            </w:r>
          </w:p>
        </w:tc>
      </w:tr>
      <w:tr w:rsidR="00011679" w:rsidRPr="006F3E3B" w14:paraId="3F0133E2" w14:textId="77777777">
        <w:trPr>
          <w:trHeight w:val="80"/>
        </w:trPr>
        <w:tc>
          <w:tcPr>
            <w:tcW w:w="817" w:type="dxa"/>
          </w:tcPr>
          <w:p w14:paraId="3527B803" w14:textId="77777777" w:rsidR="00011679" w:rsidRPr="006F3E3B" w:rsidRDefault="00011679">
            <w:pPr>
              <w:tabs>
                <w:tab w:val="right" w:pos="9639"/>
              </w:tabs>
              <w:rPr>
                <w:rFonts w:ascii="Arial" w:hAnsi="Arial" w:cs="Arial"/>
                <w:sz w:val="18"/>
              </w:rPr>
            </w:pPr>
            <w:bookmarkStart w:id="4" w:name="dsece" w:colFirst="1" w:colLast="1"/>
            <w:bookmarkEnd w:id="3"/>
          </w:p>
        </w:tc>
        <w:tc>
          <w:tcPr>
            <w:tcW w:w="9923" w:type="dxa"/>
            <w:gridSpan w:val="2"/>
            <w:tcBorders>
              <w:bottom w:val="single" w:sz="8" w:space="0" w:color="auto"/>
            </w:tcBorders>
          </w:tcPr>
          <w:p w14:paraId="4FCB22C1" w14:textId="1E82974B" w:rsidR="00011679" w:rsidRPr="00444858" w:rsidRDefault="00011679">
            <w:pPr>
              <w:widowControl w:val="0"/>
              <w:tabs>
                <w:tab w:val="clear" w:pos="794"/>
                <w:tab w:val="clear" w:pos="1191"/>
                <w:tab w:val="clear" w:pos="1588"/>
                <w:tab w:val="clear" w:pos="1985"/>
              </w:tabs>
              <w:overflowPunct/>
              <w:adjustRightInd/>
              <w:spacing w:before="276" w:line="175" w:lineRule="auto"/>
              <w:jc w:val="left"/>
              <w:textAlignment w:val="auto"/>
              <w:rPr>
                <w:rFonts w:ascii="Arial" w:hAnsi="Arial" w:cs="Arial"/>
                <w:b/>
                <w:bCs/>
                <w:sz w:val="48"/>
                <w:szCs w:val="48"/>
              </w:rPr>
            </w:pPr>
            <w:r w:rsidRPr="00444858">
              <w:rPr>
                <w:rFonts w:ascii="Arial" w:hAnsi="Arial" w:cs="Arial"/>
                <w:b/>
                <w:bCs/>
                <w:sz w:val="48"/>
                <w:szCs w:val="48"/>
              </w:rPr>
              <w:t>DSTR-STUDY_DRC</w:t>
            </w:r>
            <w:r w:rsidR="00A974E1" w:rsidRPr="00444858">
              <w:rPr>
                <w:rFonts w:ascii="Arial" w:hAnsi="Arial" w:cs="Arial"/>
                <w:b/>
                <w:bCs/>
                <w:sz w:val="48"/>
                <w:szCs w:val="48"/>
              </w:rPr>
              <w:t>I</w:t>
            </w:r>
          </w:p>
        </w:tc>
      </w:tr>
      <w:tr w:rsidR="00011679" w:rsidRPr="006F3E3B" w14:paraId="2590D14E" w14:textId="77777777">
        <w:trPr>
          <w:trHeight w:val="743"/>
        </w:trPr>
        <w:tc>
          <w:tcPr>
            <w:tcW w:w="817" w:type="dxa"/>
          </w:tcPr>
          <w:p w14:paraId="2C3042EA" w14:textId="77777777" w:rsidR="00011679" w:rsidRPr="006F3E3B" w:rsidRDefault="00011679">
            <w:pPr>
              <w:tabs>
                <w:tab w:val="right" w:pos="9639"/>
              </w:tabs>
              <w:rPr>
                <w:rFonts w:ascii="Arial" w:hAnsi="Arial" w:cs="Arial"/>
                <w:sz w:val="48"/>
                <w:szCs w:val="48"/>
              </w:rPr>
            </w:pPr>
            <w:bookmarkStart w:id="5" w:name="c1tite" w:colFirst="1" w:colLast="1"/>
            <w:bookmarkEnd w:id="4"/>
          </w:p>
        </w:tc>
        <w:tc>
          <w:tcPr>
            <w:tcW w:w="9923" w:type="dxa"/>
            <w:gridSpan w:val="2"/>
            <w:tcBorders>
              <w:top w:val="single" w:sz="8" w:space="0" w:color="auto"/>
            </w:tcBorders>
          </w:tcPr>
          <w:p w14:paraId="5283CE5E" w14:textId="77777777" w:rsidR="00011679" w:rsidRPr="00444858" w:rsidRDefault="00011679" w:rsidP="00A974E1">
            <w:pPr>
              <w:pStyle w:val="BodyText"/>
              <w:spacing w:before="440" w:line="216" w:lineRule="auto"/>
              <w:rPr>
                <w:rFonts w:ascii="Arial" w:hAnsi="Arial" w:cs="Arial"/>
                <w:spacing w:val="-6"/>
                <w:sz w:val="44"/>
                <w:szCs w:val="44"/>
                <w:lang w:val="en-GB"/>
              </w:rPr>
            </w:pPr>
            <w:r w:rsidRPr="00444858">
              <w:rPr>
                <w:rFonts w:ascii="Arial" w:hAnsi="Arial" w:cs="Arial"/>
                <w:spacing w:val="-6"/>
                <w:sz w:val="44"/>
                <w:szCs w:val="44"/>
                <w:lang w:val="en-GB"/>
              </w:rPr>
              <w:t>Dispute resolution between telecommunication operators and providers of OTTs</w:t>
            </w:r>
          </w:p>
        </w:tc>
      </w:tr>
    </w:tbl>
    <w:tbl>
      <w:tblPr>
        <w:tblStyle w:val="TableGrid"/>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0"/>
        <w:gridCol w:w="5669"/>
      </w:tblGrid>
      <w:tr w:rsidR="00011679" w:rsidRPr="006F3E3B" w14:paraId="2A391029" w14:textId="77777777">
        <w:tc>
          <w:tcPr>
            <w:tcW w:w="5070" w:type="dxa"/>
            <w:vAlign w:val="center"/>
          </w:tcPr>
          <w:bookmarkEnd w:id="5"/>
          <w:p w14:paraId="3FBA590E" w14:textId="77777777" w:rsidR="00011679" w:rsidRPr="00957911" w:rsidRDefault="00011679">
            <w:pPr>
              <w:jc w:val="left"/>
              <w:rPr>
                <w:rFonts w:ascii="Arial" w:hAnsi="Arial" w:cs="Arial"/>
                <w:sz w:val="32"/>
                <w:szCs w:val="32"/>
              </w:rPr>
            </w:pPr>
            <w:r w:rsidRPr="00957911">
              <w:rPr>
                <w:rFonts w:ascii="Arial" w:hAnsi="Arial" w:cs="Arial"/>
                <w:b/>
                <w:color w:val="009CD6"/>
                <w:spacing w:val="-4"/>
                <w:sz w:val="32"/>
                <w:szCs w:val="32"/>
              </w:rPr>
              <w:t>ITU</w:t>
            </w:r>
            <w:r w:rsidRPr="00957911">
              <w:rPr>
                <w:rFonts w:ascii="Arial" w:hAnsi="Arial" w:cs="Arial"/>
                <w:b/>
                <w:color w:val="292829"/>
                <w:spacing w:val="-4"/>
                <w:sz w:val="32"/>
                <w:szCs w:val="32"/>
              </w:rPr>
              <w:t>Publications</w:t>
            </w:r>
          </w:p>
        </w:tc>
        <w:tc>
          <w:tcPr>
            <w:tcW w:w="5669" w:type="dxa"/>
            <w:vAlign w:val="center"/>
          </w:tcPr>
          <w:p w14:paraId="6AF73F02" w14:textId="77777777" w:rsidR="00011679" w:rsidRPr="00957911" w:rsidRDefault="00011679">
            <w:pPr>
              <w:jc w:val="right"/>
              <w:rPr>
                <w:rFonts w:ascii="Arial" w:hAnsi="Arial" w:cs="Arial"/>
                <w:szCs w:val="24"/>
              </w:rPr>
            </w:pPr>
            <w:r w:rsidRPr="00957911">
              <w:rPr>
                <w:rFonts w:ascii="Arial" w:eastAsia="Avenir Next W1G Medium" w:hAnsi="Arial" w:cs="Arial"/>
                <w:b/>
                <w:spacing w:val="-4"/>
                <w:szCs w:val="24"/>
                <w:lang w:val="en-US"/>
              </w:rPr>
              <w:t>International Telecommunication Union</w:t>
            </w:r>
          </w:p>
        </w:tc>
      </w:tr>
    </w:tbl>
    <w:p w14:paraId="6A2DC60A" w14:textId="77777777" w:rsidR="00011679" w:rsidRPr="002B534E" w:rsidRDefault="00011679" w:rsidP="00011679">
      <w:pPr>
        <w:pStyle w:val="Default"/>
      </w:pPr>
      <w:r>
        <w:rPr>
          <w:noProof/>
        </w:rPr>
        <w:drawing>
          <wp:anchor distT="0" distB="0" distL="0" distR="0" simplePos="0" relativeHeight="251659264" behindDoc="1" locked="0" layoutInCell="1" allowOverlap="1" wp14:anchorId="648E1937" wp14:editId="3A6A5296">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1"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6" w:name="c2tope"/>
      <w:bookmarkEnd w:id="6"/>
      <w:r w:rsidRPr="002B534E">
        <w:t xml:space="preserve"> </w:t>
      </w:r>
    </w:p>
    <w:p w14:paraId="791362F8" w14:textId="77777777" w:rsidR="00011679" w:rsidRPr="002B534E" w:rsidRDefault="00011679" w:rsidP="00011679">
      <w:pPr>
        <w:spacing w:before="80"/>
        <w:jc w:val="left"/>
        <w:rPr>
          <w:i/>
          <w:sz w:val="20"/>
        </w:rPr>
      </w:pPr>
    </w:p>
    <w:p w14:paraId="77C8AF2A" w14:textId="77777777" w:rsidR="00011679" w:rsidRPr="002B534E" w:rsidRDefault="00011679" w:rsidP="00011679">
      <w:pPr>
        <w:jc w:val="left"/>
        <w:sectPr w:rsidR="00011679" w:rsidRPr="002B534E" w:rsidSect="00011679">
          <w:headerReference w:type="even" r:id="rId12"/>
          <w:headerReference w:type="default" r:id="rId13"/>
          <w:footerReference w:type="default" r:id="rId14"/>
          <w:pgSz w:w="11907" w:h="16840" w:code="9"/>
          <w:pgMar w:top="1038" w:right="601" w:bottom="1860" w:left="618" w:header="567" w:footer="284" w:gutter="0"/>
          <w:pgNumType w:start="1"/>
          <w:cols w:space="720"/>
          <w:docGrid w:linePitch="326"/>
        </w:sectPr>
      </w:pPr>
    </w:p>
    <w:tbl>
      <w:tblPr>
        <w:tblW w:w="0" w:type="auto"/>
        <w:tblLayout w:type="fixed"/>
        <w:tblLook w:val="0000" w:firstRow="0" w:lastRow="0" w:firstColumn="0" w:lastColumn="0" w:noHBand="0" w:noVBand="0"/>
      </w:tblPr>
      <w:tblGrid>
        <w:gridCol w:w="9945"/>
      </w:tblGrid>
      <w:tr w:rsidR="00011679" w:rsidRPr="002B534E" w14:paraId="2D5161AB" w14:textId="77777777">
        <w:tc>
          <w:tcPr>
            <w:tcW w:w="9945" w:type="dxa"/>
          </w:tcPr>
          <w:p w14:paraId="68F4CDD3" w14:textId="5A5010FD" w:rsidR="00011679" w:rsidRPr="005A58D6" w:rsidRDefault="00011679">
            <w:pPr>
              <w:pStyle w:val="RecNo"/>
            </w:pPr>
            <w:bookmarkStart w:id="7" w:name="irecnoe"/>
            <w:bookmarkEnd w:id="7"/>
            <w:r w:rsidRPr="005A58D6">
              <w:lastRenderedPageBreak/>
              <w:t>Technical Report ITU-T DSTR-STUDY_DRC</w:t>
            </w:r>
            <w:r w:rsidR="00A974E1">
              <w:t>I</w:t>
            </w:r>
          </w:p>
          <w:p w14:paraId="12890354" w14:textId="77777777" w:rsidR="00011679" w:rsidRPr="002B534E" w:rsidRDefault="00011679">
            <w:pPr>
              <w:pStyle w:val="Rectitle"/>
            </w:pPr>
            <w:r w:rsidRPr="005A58D6">
              <w:t>Dispute resolution between telecommunication operators and providers of OTTs</w:t>
            </w:r>
          </w:p>
        </w:tc>
      </w:tr>
    </w:tbl>
    <w:p w14:paraId="261CA0C9" w14:textId="77777777" w:rsidR="00011679" w:rsidRPr="002B534E" w:rsidRDefault="00011679" w:rsidP="00011679"/>
    <w:p w14:paraId="3350F352" w14:textId="77777777" w:rsidR="00011679" w:rsidRPr="002B534E" w:rsidRDefault="00011679" w:rsidP="00011679"/>
    <w:tbl>
      <w:tblPr>
        <w:tblW w:w="0" w:type="auto"/>
        <w:tblLayout w:type="fixed"/>
        <w:tblLook w:val="0000" w:firstRow="0" w:lastRow="0" w:firstColumn="0" w:lastColumn="0" w:noHBand="0" w:noVBand="0"/>
      </w:tblPr>
      <w:tblGrid>
        <w:gridCol w:w="9945"/>
      </w:tblGrid>
      <w:tr w:rsidR="00011679" w:rsidRPr="002B534E" w14:paraId="5744A270" w14:textId="77777777">
        <w:tc>
          <w:tcPr>
            <w:tcW w:w="9945" w:type="dxa"/>
          </w:tcPr>
          <w:p w14:paraId="43936263" w14:textId="77777777" w:rsidR="00011679" w:rsidRPr="002B534E" w:rsidRDefault="00011679">
            <w:pPr>
              <w:pStyle w:val="Headingb"/>
            </w:pPr>
            <w:bookmarkStart w:id="8" w:name="isume"/>
            <w:r w:rsidRPr="002B534E">
              <w:t>Summary</w:t>
            </w:r>
          </w:p>
          <w:p w14:paraId="08324264" w14:textId="28D4676C" w:rsidR="00011679" w:rsidRDefault="00011679">
            <w:pPr>
              <w:rPr>
                <w:lang w:bidi="ar-DZ"/>
              </w:rPr>
            </w:pPr>
            <w:r w:rsidRPr="007777D2">
              <w:rPr>
                <w:lang w:bidi="ar-DZ"/>
              </w:rPr>
              <w:t xml:space="preserve">This </w:t>
            </w:r>
            <w:r>
              <w:rPr>
                <w:lang w:bidi="ar-DZ"/>
              </w:rPr>
              <w:t>T</w:t>
            </w:r>
            <w:r w:rsidRPr="007777D2">
              <w:rPr>
                <w:lang w:bidi="ar-DZ"/>
              </w:rPr>
              <w:t xml:space="preserve">echnical </w:t>
            </w:r>
            <w:r>
              <w:rPr>
                <w:lang w:bidi="ar-DZ"/>
              </w:rPr>
              <w:t>Report</w:t>
            </w:r>
            <w:r w:rsidRPr="007777D2">
              <w:rPr>
                <w:lang w:bidi="ar-DZ"/>
              </w:rPr>
              <w:t xml:space="preserve"> </w:t>
            </w:r>
            <w:r w:rsidRPr="00274C98">
              <w:rPr>
                <w:lang w:bidi="ar-DZ"/>
              </w:rPr>
              <w:t xml:space="preserve">is meant to help ITU </w:t>
            </w:r>
            <w:r w:rsidR="00D0028E">
              <w:rPr>
                <w:lang w:bidi="ar-DZ"/>
              </w:rPr>
              <w:t>M</w:t>
            </w:r>
            <w:r w:rsidRPr="00274C98">
              <w:rPr>
                <w:lang w:bidi="ar-DZ"/>
              </w:rPr>
              <w:t>ember</w:t>
            </w:r>
            <w:r w:rsidR="00D0028E">
              <w:rPr>
                <w:lang w:bidi="ar-DZ"/>
              </w:rPr>
              <w:t xml:space="preserve"> States</w:t>
            </w:r>
            <w:r w:rsidRPr="00274C98">
              <w:rPr>
                <w:lang w:bidi="ar-DZ"/>
              </w:rPr>
              <w:t xml:space="preserve"> understand the origin, nature and dynamics of the conflicts between traditional telecommunication service providers and over-the-top (OTT) providers</w:t>
            </w:r>
            <w:r w:rsidR="00E6641C">
              <w:rPr>
                <w:lang w:bidi="ar-DZ"/>
              </w:rPr>
              <w:t>,</w:t>
            </w:r>
            <w:r w:rsidRPr="00274C98">
              <w:rPr>
                <w:lang w:bidi="ar-DZ"/>
              </w:rPr>
              <w:t xml:space="preserve"> </w:t>
            </w:r>
            <w:r w:rsidR="006F5F5B">
              <w:rPr>
                <w:lang w:bidi="ar-DZ"/>
              </w:rPr>
              <w:t xml:space="preserve">and </w:t>
            </w:r>
            <w:r w:rsidR="00E6641C">
              <w:rPr>
                <w:lang w:bidi="ar-DZ"/>
              </w:rPr>
              <w:t xml:space="preserve">have the information needed to </w:t>
            </w:r>
            <w:r w:rsidRPr="00274C98">
              <w:rPr>
                <w:lang w:bidi="ar-DZ"/>
              </w:rPr>
              <w:t>design regulatory framework</w:t>
            </w:r>
            <w:r w:rsidR="006F5F5B">
              <w:rPr>
                <w:lang w:bidi="ar-DZ"/>
              </w:rPr>
              <w:t>s</w:t>
            </w:r>
            <w:r w:rsidRPr="00274C98">
              <w:rPr>
                <w:lang w:bidi="ar-DZ"/>
              </w:rPr>
              <w:t xml:space="preserve"> and </w:t>
            </w:r>
            <w:r w:rsidR="00D0028E">
              <w:rPr>
                <w:lang w:bidi="ar-DZ"/>
              </w:rPr>
              <w:t xml:space="preserve">set </w:t>
            </w:r>
            <w:r w:rsidRPr="00274C98">
              <w:rPr>
                <w:lang w:bidi="ar-DZ"/>
              </w:rPr>
              <w:t xml:space="preserve">principles </w:t>
            </w:r>
            <w:r w:rsidR="006F5F5B">
              <w:rPr>
                <w:lang w:bidi="ar-DZ"/>
              </w:rPr>
              <w:t xml:space="preserve">that </w:t>
            </w:r>
            <w:r w:rsidR="00335C4D">
              <w:rPr>
                <w:lang w:bidi="ar-DZ"/>
              </w:rPr>
              <w:t xml:space="preserve">will </w:t>
            </w:r>
            <w:r w:rsidRPr="00274C98">
              <w:rPr>
                <w:lang w:bidi="ar-DZ"/>
              </w:rPr>
              <w:t xml:space="preserve">lead to </w:t>
            </w:r>
            <w:r w:rsidR="006F5F5B">
              <w:rPr>
                <w:lang w:bidi="ar-DZ"/>
              </w:rPr>
              <w:t xml:space="preserve">the </w:t>
            </w:r>
            <w:r w:rsidRPr="00274C98">
              <w:rPr>
                <w:lang w:bidi="ar-DZ"/>
              </w:rPr>
              <w:t>establish</w:t>
            </w:r>
            <w:r w:rsidR="006F5F5B">
              <w:rPr>
                <w:lang w:bidi="ar-DZ"/>
              </w:rPr>
              <w:t>ment of</w:t>
            </w:r>
            <w:r w:rsidRPr="00274C98">
              <w:rPr>
                <w:lang w:bidi="ar-DZ"/>
              </w:rPr>
              <w:t xml:space="preserve"> agile and transparent procedures for dispute resolution in the context of the mentioned relationship.</w:t>
            </w:r>
          </w:p>
          <w:p w14:paraId="0B29A251" w14:textId="57AE9042" w:rsidR="00011679" w:rsidRPr="002B534E" w:rsidRDefault="00011679">
            <w:r>
              <w:t>This task is not simple, bearing in mind the changing scenario</w:t>
            </w:r>
            <w:r w:rsidR="006F5F5B">
              <w:t>s</w:t>
            </w:r>
            <w:r>
              <w:t xml:space="preserve"> in the telecommunication/</w:t>
            </w:r>
            <w:r w:rsidR="00C75AAE">
              <w:t>information and</w:t>
            </w:r>
            <w:r w:rsidR="00444858">
              <w:t xml:space="preserve"> </w:t>
            </w:r>
            <w:r w:rsidR="00C75AAE">
              <w:t>communication technology (</w:t>
            </w:r>
            <w:r>
              <w:t>ICT</w:t>
            </w:r>
            <w:r w:rsidR="00C75AAE">
              <w:t>)</w:t>
            </w:r>
            <w:r>
              <w:t xml:space="preserve"> market</w:t>
            </w:r>
            <w:r w:rsidR="006F5F5B">
              <w:t>.</w:t>
            </w:r>
            <w:r>
              <w:t xml:space="preserve"> </w:t>
            </w:r>
            <w:r w:rsidR="006F5F5B">
              <w:t>T</w:t>
            </w:r>
            <w:r>
              <w:t xml:space="preserve">herefore, this document promotes flexible, transparent and collaborative frameworks and principles </w:t>
            </w:r>
            <w:r w:rsidR="00D0028E">
              <w:t xml:space="preserve">applicable </w:t>
            </w:r>
            <w:r>
              <w:t>to conflict resolution.</w:t>
            </w:r>
            <w:bookmarkEnd w:id="8"/>
          </w:p>
        </w:tc>
      </w:tr>
    </w:tbl>
    <w:p w14:paraId="7F18988C" w14:textId="77777777" w:rsidR="00011679" w:rsidRPr="002B534E" w:rsidRDefault="00011679" w:rsidP="00011679"/>
    <w:p w14:paraId="6DA12858" w14:textId="77777777" w:rsidR="00011679" w:rsidRPr="002B534E" w:rsidRDefault="00011679" w:rsidP="00011679"/>
    <w:tbl>
      <w:tblPr>
        <w:tblW w:w="9945" w:type="dxa"/>
        <w:tblLayout w:type="fixed"/>
        <w:tblLook w:val="0000" w:firstRow="0" w:lastRow="0" w:firstColumn="0" w:lastColumn="0" w:noHBand="0" w:noVBand="0"/>
      </w:tblPr>
      <w:tblGrid>
        <w:gridCol w:w="9945"/>
      </w:tblGrid>
      <w:tr w:rsidR="00011679" w:rsidRPr="002B534E" w14:paraId="68C9CDC9" w14:textId="77777777">
        <w:tc>
          <w:tcPr>
            <w:tcW w:w="9945" w:type="dxa"/>
          </w:tcPr>
          <w:p w14:paraId="5A95B0FA" w14:textId="77777777" w:rsidR="00011679" w:rsidRPr="002B534E" w:rsidRDefault="00011679">
            <w:pPr>
              <w:pStyle w:val="Headingb"/>
            </w:pPr>
            <w:bookmarkStart w:id="9" w:name="ikeye"/>
            <w:r w:rsidRPr="002B534E">
              <w:t>Keywords</w:t>
            </w:r>
          </w:p>
          <w:p w14:paraId="3BB34E26" w14:textId="1B1B38A9" w:rsidR="00011679" w:rsidRPr="002B534E" w:rsidRDefault="00A974E1">
            <w:pPr>
              <w:rPr>
                <w:bCs/>
              </w:rPr>
            </w:pPr>
            <w:r>
              <w:rPr>
                <w:lang w:bidi="ar-DZ"/>
              </w:rPr>
              <w:t>B</w:t>
            </w:r>
            <w:r w:rsidRPr="00274C98">
              <w:rPr>
                <w:lang w:bidi="ar-DZ"/>
              </w:rPr>
              <w:t xml:space="preserve">enefits, </w:t>
            </w:r>
            <w:r>
              <w:rPr>
                <w:lang w:bidi="ar-DZ"/>
              </w:rPr>
              <w:t>d</w:t>
            </w:r>
            <w:r w:rsidR="00011679" w:rsidRPr="00274C98">
              <w:rPr>
                <w:lang w:bidi="ar-DZ"/>
              </w:rPr>
              <w:t xml:space="preserve">ispute </w:t>
            </w:r>
            <w:r>
              <w:rPr>
                <w:lang w:bidi="ar-DZ"/>
              </w:rPr>
              <w:t>r</w:t>
            </w:r>
            <w:r w:rsidR="00011679" w:rsidRPr="00274C98">
              <w:rPr>
                <w:lang w:bidi="ar-DZ"/>
              </w:rPr>
              <w:t xml:space="preserve">esolution, ISPs, OTTs, policy, </w:t>
            </w:r>
            <w:r w:rsidRPr="00274C98">
              <w:rPr>
                <w:lang w:bidi="ar-DZ"/>
              </w:rPr>
              <w:t>policy approaches</w:t>
            </w:r>
            <w:r>
              <w:rPr>
                <w:lang w:bidi="ar-DZ"/>
              </w:rPr>
              <w:t>,</w:t>
            </w:r>
            <w:r w:rsidRPr="00274C98">
              <w:rPr>
                <w:lang w:bidi="ar-DZ"/>
              </w:rPr>
              <w:t xml:space="preserve"> </w:t>
            </w:r>
            <w:r w:rsidR="00011679" w:rsidRPr="00274C98">
              <w:rPr>
                <w:lang w:bidi="ar-DZ"/>
              </w:rPr>
              <w:t>policy challenges</w:t>
            </w:r>
            <w:bookmarkEnd w:id="9"/>
            <w:r>
              <w:rPr>
                <w:lang w:bidi="ar-DZ"/>
              </w:rPr>
              <w:t xml:space="preserve">, </w:t>
            </w:r>
            <w:r w:rsidRPr="00274C98">
              <w:rPr>
                <w:lang w:bidi="ar-DZ"/>
              </w:rPr>
              <w:t>societal welfare, telecommunication operators</w:t>
            </w:r>
            <w:r w:rsidR="00011679">
              <w:rPr>
                <w:lang w:bidi="ar-DZ"/>
              </w:rPr>
              <w:t>.</w:t>
            </w:r>
          </w:p>
        </w:tc>
      </w:tr>
    </w:tbl>
    <w:p w14:paraId="20E88AE3" w14:textId="77777777" w:rsidR="00011679" w:rsidRDefault="00011679" w:rsidP="00011679">
      <w:pPr>
        <w:pStyle w:val="Headingb"/>
      </w:pPr>
    </w:p>
    <w:p w14:paraId="1424EB67" w14:textId="77777777" w:rsidR="00011679" w:rsidRPr="0076675B" w:rsidRDefault="00011679" w:rsidP="00977E0B">
      <w:pPr>
        <w:pStyle w:val="Headingb"/>
        <w:ind w:left="113"/>
        <w:rPr>
          <w:bCs/>
          <w:sz w:val="22"/>
          <w:lang w:val="en-US"/>
        </w:rPr>
      </w:pPr>
      <w:r w:rsidRPr="0076675B">
        <w:t>Note</w:t>
      </w:r>
      <w:r w:rsidRPr="0016115F">
        <w:rPr>
          <w:b w:val="0"/>
          <w:bCs/>
          <w:sz w:val="22"/>
          <w:lang w:val="en-US"/>
        </w:rPr>
        <w:t xml:space="preserve"> </w:t>
      </w:r>
    </w:p>
    <w:p w14:paraId="67678616" w14:textId="77777777" w:rsidR="00011679" w:rsidRDefault="00011679" w:rsidP="00977E0B">
      <w:pPr>
        <w:ind w:left="113"/>
      </w:pPr>
      <w:r w:rsidRPr="00075625">
        <w:rPr>
          <w:sz w:val="22"/>
          <w:lang w:val="en-US"/>
        </w:rPr>
        <w:t>This is an informative ITU-T publication. Mandatory provisions, such as those found in ITU-T Recommendations, are outside the scope of this publication. This publication should only be referenced bibliographically in ITU-T Recommendations</w:t>
      </w:r>
      <w:r>
        <w:rPr>
          <w:sz w:val="22"/>
          <w:lang w:val="en-US"/>
        </w:rPr>
        <w:t>.</w:t>
      </w:r>
    </w:p>
    <w:p w14:paraId="098FF8A0" w14:textId="77777777" w:rsidR="00011679" w:rsidRDefault="00011679" w:rsidP="00A974E1">
      <w:pPr>
        <w:ind w:left="57"/>
      </w:pPr>
    </w:p>
    <w:p w14:paraId="7341C48D" w14:textId="77777777" w:rsidR="00011679" w:rsidRPr="002B534E" w:rsidRDefault="00011679" w:rsidP="00977E0B">
      <w:pPr>
        <w:pStyle w:val="Headingb"/>
        <w:ind w:left="113"/>
        <w:jc w:val="both"/>
      </w:pPr>
      <w:r>
        <w:t>Change Log</w:t>
      </w:r>
    </w:p>
    <w:p w14:paraId="3D1E386E" w14:textId="705930E3" w:rsidR="00011679" w:rsidRDefault="00011679" w:rsidP="00977E0B">
      <w:pPr>
        <w:ind w:left="113"/>
      </w:pPr>
      <w:r w:rsidRPr="007777D2">
        <w:t xml:space="preserve">This document contains </w:t>
      </w:r>
      <w:r>
        <w:t>Version 1</w:t>
      </w:r>
      <w:r w:rsidRPr="007777D2">
        <w:t xml:space="preserve"> of the ITU-T Technical </w:t>
      </w:r>
      <w:r>
        <w:t>Report</w:t>
      </w:r>
      <w:r w:rsidRPr="007777D2">
        <w:t xml:space="preserve"> </w:t>
      </w:r>
      <w:r>
        <w:rPr>
          <w:noProof/>
        </w:rPr>
        <w:t>DSTR-STUDY_DRCI</w:t>
      </w:r>
      <w:r>
        <w:t xml:space="preserve"> </w:t>
      </w:r>
      <w:r w:rsidRPr="007777D2">
        <w:t xml:space="preserve">on </w:t>
      </w:r>
      <w:r>
        <w:t>"</w:t>
      </w:r>
      <w:r w:rsidRPr="00722258">
        <w:t xml:space="preserve">Dispute </w:t>
      </w:r>
      <w:r w:rsidR="00977E0B">
        <w:t>r</w:t>
      </w:r>
      <w:r w:rsidRPr="00722258">
        <w:t>esolution between telecommunications operators and providers of OTTs</w:t>
      </w:r>
      <w:r>
        <w:t>"</w:t>
      </w:r>
      <w:r w:rsidRPr="007777D2">
        <w:t xml:space="preserve"> approved at the ITU-T Study Group </w:t>
      </w:r>
      <w:r>
        <w:t>3</w:t>
      </w:r>
      <w:r w:rsidRPr="007777D2">
        <w:t xml:space="preserve"> meeting held in </w:t>
      </w:r>
      <w:r w:rsidRPr="00662A2C">
        <w:t>Geneva, 9-18 July 2024.</w:t>
      </w:r>
    </w:p>
    <w:p w14:paraId="4B679A51" w14:textId="77777777" w:rsidR="00011679" w:rsidRDefault="00011679" w:rsidP="00011679"/>
    <w:p w14:paraId="609804C4" w14:textId="77777777" w:rsidR="00011679" w:rsidRDefault="00011679" w:rsidP="00011679"/>
    <w:tbl>
      <w:tblPr>
        <w:tblW w:w="5000" w:type="pct"/>
        <w:jc w:val="center"/>
        <w:tblCellMar>
          <w:left w:w="57" w:type="dxa"/>
          <w:right w:w="57" w:type="dxa"/>
        </w:tblCellMar>
        <w:tblLook w:val="0000" w:firstRow="0" w:lastRow="0" w:firstColumn="0" w:lastColumn="0" w:noHBand="0" w:noVBand="0"/>
      </w:tblPr>
      <w:tblGrid>
        <w:gridCol w:w="1571"/>
        <w:gridCol w:w="4268"/>
        <w:gridCol w:w="3800"/>
      </w:tblGrid>
      <w:tr w:rsidR="00011679" w:rsidRPr="00B233C6" w14:paraId="7674741D" w14:textId="77777777">
        <w:trPr>
          <w:cantSplit/>
          <w:trHeight w:val="204"/>
          <w:jc w:val="center"/>
        </w:trPr>
        <w:tc>
          <w:tcPr>
            <w:tcW w:w="815" w:type="pct"/>
          </w:tcPr>
          <w:p w14:paraId="42FBD042" w14:textId="77777777" w:rsidR="00011679" w:rsidRPr="002352BF" w:rsidRDefault="00011679" w:rsidP="00A974E1">
            <w:pPr>
              <w:ind w:left="57"/>
              <w:rPr>
                <w:b/>
                <w:bCs/>
                <w:sz w:val="22"/>
                <w:szCs w:val="22"/>
              </w:rPr>
            </w:pPr>
            <w:r w:rsidRPr="002352BF">
              <w:rPr>
                <w:b/>
                <w:bCs/>
                <w:sz w:val="22"/>
                <w:szCs w:val="22"/>
              </w:rPr>
              <w:t>Editor</w:t>
            </w:r>
            <w:r w:rsidRPr="002352BF">
              <w:rPr>
                <w:sz w:val="22"/>
                <w:szCs w:val="22"/>
              </w:rPr>
              <w:t>:</w:t>
            </w:r>
          </w:p>
        </w:tc>
        <w:tc>
          <w:tcPr>
            <w:tcW w:w="2214" w:type="pct"/>
          </w:tcPr>
          <w:p w14:paraId="517153E2" w14:textId="77777777" w:rsidR="00011679" w:rsidRPr="002352BF" w:rsidRDefault="00011679">
            <w:pPr>
              <w:jc w:val="left"/>
              <w:rPr>
                <w:sz w:val="22"/>
                <w:szCs w:val="22"/>
              </w:rPr>
            </w:pPr>
            <w:r w:rsidRPr="005A58D6">
              <w:rPr>
                <w:sz w:val="22"/>
                <w:szCs w:val="22"/>
                <w:lang w:val="pt-BR"/>
              </w:rPr>
              <w:t>Danilo Caixeta Carvalho</w:t>
            </w:r>
            <w:r w:rsidRPr="005A58D6">
              <w:rPr>
                <w:sz w:val="22"/>
                <w:szCs w:val="22"/>
                <w:lang w:val="pt-BR"/>
              </w:rPr>
              <w:br/>
              <w:t>National Telecommunications Agency (Anatel)</w:t>
            </w:r>
            <w:r w:rsidRPr="005A58D6">
              <w:rPr>
                <w:sz w:val="22"/>
                <w:szCs w:val="22"/>
                <w:lang w:val="pt-BR"/>
              </w:rPr>
              <w:br/>
              <w:t>Brazil</w:t>
            </w:r>
          </w:p>
        </w:tc>
        <w:tc>
          <w:tcPr>
            <w:tcW w:w="1971" w:type="pct"/>
          </w:tcPr>
          <w:p w14:paraId="03ABF220" w14:textId="77777777" w:rsidR="00011679" w:rsidRPr="005A58D6" w:rsidRDefault="00011679">
            <w:pPr>
              <w:tabs>
                <w:tab w:val="clear" w:pos="794"/>
                <w:tab w:val="clear" w:pos="1191"/>
                <w:tab w:val="left" w:pos="911"/>
              </w:tabs>
              <w:jc w:val="left"/>
              <w:rPr>
                <w:sz w:val="22"/>
                <w:szCs w:val="22"/>
                <w:lang w:val="it-IT"/>
              </w:rPr>
            </w:pPr>
            <w:r w:rsidRPr="005A58D6">
              <w:rPr>
                <w:sz w:val="22"/>
                <w:szCs w:val="22"/>
                <w:lang w:val="pt-BR"/>
              </w:rPr>
              <w:t xml:space="preserve">E-mail: </w:t>
            </w:r>
            <w:hyperlink r:id="rId15" w:history="1">
              <w:r w:rsidRPr="005A58D6">
                <w:rPr>
                  <w:rStyle w:val="Hyperlink"/>
                  <w:sz w:val="22"/>
                  <w:szCs w:val="22"/>
                  <w:lang w:val="pt-BR"/>
                </w:rPr>
                <w:t>dcarvalho@anatel.gov.br</w:t>
              </w:r>
            </w:hyperlink>
            <w:r w:rsidRPr="005A58D6">
              <w:rPr>
                <w:sz w:val="22"/>
                <w:szCs w:val="22"/>
                <w:lang w:val="pt-BR"/>
              </w:rPr>
              <w:t xml:space="preserve">   </w:t>
            </w:r>
          </w:p>
        </w:tc>
      </w:tr>
    </w:tbl>
    <w:p w14:paraId="6C97691B" w14:textId="77777777" w:rsidR="00011679" w:rsidRPr="005A58D6" w:rsidRDefault="00011679" w:rsidP="00011679">
      <w:pPr>
        <w:jc w:val="center"/>
        <w:rPr>
          <w:sz w:val="22"/>
          <w:lang w:val="it-IT"/>
        </w:rPr>
      </w:pPr>
    </w:p>
    <w:p w14:paraId="07A8124B" w14:textId="77777777" w:rsidR="00011679" w:rsidRPr="005A58D6" w:rsidRDefault="00011679" w:rsidP="00011679">
      <w:pPr>
        <w:jc w:val="center"/>
        <w:rPr>
          <w:sz w:val="22"/>
          <w:lang w:val="it-IT"/>
        </w:rPr>
      </w:pPr>
    </w:p>
    <w:p w14:paraId="55D286DC" w14:textId="7E596084" w:rsidR="00011679" w:rsidRDefault="00011679" w:rsidP="00011679">
      <w:pPr>
        <w:jc w:val="center"/>
        <w:rPr>
          <w:sz w:val="22"/>
        </w:rPr>
      </w:pPr>
      <w:r>
        <w:rPr>
          <w:sz w:val="22"/>
        </w:rPr>
        <w:sym w:font="Symbol" w:char="F0E3"/>
      </w:r>
      <w:r>
        <w:rPr>
          <w:sz w:val="22"/>
        </w:rPr>
        <w:t> ITU </w:t>
      </w:r>
      <w:bookmarkStart w:id="10" w:name="iiannee"/>
      <w:bookmarkEnd w:id="10"/>
      <w:r>
        <w:rPr>
          <w:sz w:val="22"/>
        </w:rPr>
        <w:t>202</w:t>
      </w:r>
      <w:r w:rsidR="00182652">
        <w:rPr>
          <w:sz w:val="22"/>
        </w:rPr>
        <w:t>5</w:t>
      </w:r>
    </w:p>
    <w:p w14:paraId="088C87EF" w14:textId="77777777" w:rsidR="00011679" w:rsidRDefault="00011679" w:rsidP="00011679">
      <w:pPr>
        <w:rPr>
          <w:sz w:val="22"/>
        </w:rPr>
      </w:pPr>
      <w:r>
        <w:rPr>
          <w:sz w:val="22"/>
        </w:rPr>
        <w:t>All rights reserved. No part of this publication may be reproduced, by any means whatsoever, without the prior written permission of ITU.</w:t>
      </w:r>
    </w:p>
    <w:p w14:paraId="12477F6B" w14:textId="77777777" w:rsidR="00011679" w:rsidRPr="002B534E" w:rsidRDefault="00011679" w:rsidP="00011679"/>
    <w:p w14:paraId="5BEFEA0F" w14:textId="77777777" w:rsidR="00011679" w:rsidRPr="002B534E" w:rsidRDefault="00011679" w:rsidP="00011679">
      <w:pPr>
        <w:jc w:val="center"/>
        <w:rPr>
          <w:b/>
        </w:rPr>
      </w:pPr>
      <w:r w:rsidRPr="002B534E">
        <w:rPr>
          <w:b/>
        </w:rPr>
        <w:br w:type="page"/>
      </w:r>
      <w:r w:rsidRPr="002B534E">
        <w:rPr>
          <w:b/>
        </w:rPr>
        <w:lastRenderedPageBreak/>
        <w:t>Table of Contents</w:t>
      </w:r>
    </w:p>
    <w:p w14:paraId="24D506A5" w14:textId="0919583F" w:rsidR="00F4232C" w:rsidRDefault="00F4232C" w:rsidP="00F4232C">
      <w:pPr>
        <w:pStyle w:val="toc0"/>
        <w:ind w:right="992"/>
        <w:rPr>
          <w:noProof/>
        </w:rPr>
      </w:pPr>
      <w:r>
        <w:rPr>
          <w:rStyle w:val="Hyperlink"/>
          <w:noProof/>
          <w:color w:val="auto"/>
          <w:u w:val="none"/>
        </w:rPr>
        <w:tab/>
        <w:t>Page</w:t>
      </w:r>
    </w:p>
    <w:p w14:paraId="1B6CB7AB" w14:textId="37B3D63A" w:rsidR="00F4232C" w:rsidRDefault="00F4232C" w:rsidP="00F4232C">
      <w:pPr>
        <w:pStyle w:val="TOC1"/>
        <w:ind w:right="992"/>
        <w:rPr>
          <w:rFonts w:asciiTheme="minorHAnsi" w:eastAsiaTheme="minorEastAsia" w:hAnsiTheme="minorHAnsi" w:cstheme="minorBidi"/>
          <w:noProof/>
          <w:kern w:val="2"/>
          <w:szCs w:val="24"/>
          <w:lang w:eastAsia="en-GB"/>
          <w14:ligatures w14:val="standardContextual"/>
        </w:rPr>
      </w:pPr>
      <w:r>
        <w:rPr>
          <w:noProof/>
        </w:rPr>
        <w:t>1</w:t>
      </w:r>
      <w:r>
        <w:rPr>
          <w:rFonts w:asciiTheme="minorHAnsi" w:eastAsiaTheme="minorEastAsia" w:hAnsiTheme="minorHAnsi" w:cstheme="minorBidi"/>
          <w:noProof/>
          <w:kern w:val="2"/>
          <w:szCs w:val="24"/>
          <w:lang w:eastAsia="en-GB"/>
          <w14:ligatures w14:val="standardContextual"/>
        </w:rPr>
        <w:tab/>
      </w:r>
      <w:r w:rsidRPr="00F4232C">
        <w:rPr>
          <w:noProof/>
        </w:rPr>
        <w:t>Scope</w:t>
      </w:r>
      <w:r>
        <w:rPr>
          <w:noProof/>
        </w:rPr>
        <w:tab/>
      </w:r>
      <w:r>
        <w:rPr>
          <w:noProof/>
        </w:rPr>
        <w:tab/>
      </w:r>
      <w:r w:rsidRPr="00F4232C">
        <w:rPr>
          <w:noProof/>
        </w:rPr>
        <w:t>1</w:t>
      </w:r>
    </w:p>
    <w:p w14:paraId="34CED8CA" w14:textId="5658EE0E" w:rsidR="00F4232C" w:rsidRDefault="00F4232C" w:rsidP="00F4232C">
      <w:pPr>
        <w:pStyle w:val="TOC1"/>
        <w:ind w:right="992"/>
        <w:rPr>
          <w:rFonts w:asciiTheme="minorHAnsi" w:eastAsiaTheme="minorEastAsia" w:hAnsiTheme="minorHAnsi" w:cstheme="minorBidi"/>
          <w:noProof/>
          <w:kern w:val="2"/>
          <w:szCs w:val="24"/>
          <w:lang w:eastAsia="en-GB"/>
          <w14:ligatures w14:val="standardContextual"/>
        </w:rPr>
      </w:pPr>
      <w:r>
        <w:rPr>
          <w:noProof/>
        </w:rPr>
        <w:t>2</w:t>
      </w:r>
      <w:r>
        <w:rPr>
          <w:rFonts w:asciiTheme="minorHAnsi" w:eastAsiaTheme="minorEastAsia" w:hAnsiTheme="minorHAnsi" w:cstheme="minorBidi"/>
          <w:noProof/>
          <w:kern w:val="2"/>
          <w:szCs w:val="24"/>
          <w:lang w:eastAsia="en-GB"/>
          <w14:ligatures w14:val="standardContextual"/>
        </w:rPr>
        <w:tab/>
      </w:r>
      <w:r w:rsidRPr="00F4232C">
        <w:rPr>
          <w:noProof/>
        </w:rPr>
        <w:t>References</w:t>
      </w:r>
      <w:r>
        <w:rPr>
          <w:noProof/>
        </w:rPr>
        <w:tab/>
      </w:r>
      <w:r>
        <w:rPr>
          <w:noProof/>
        </w:rPr>
        <w:tab/>
      </w:r>
      <w:r w:rsidRPr="00F4232C">
        <w:rPr>
          <w:noProof/>
        </w:rPr>
        <w:t>1</w:t>
      </w:r>
    </w:p>
    <w:p w14:paraId="7E5F83A9" w14:textId="75248117" w:rsidR="00F4232C" w:rsidRDefault="00F4232C" w:rsidP="00F4232C">
      <w:pPr>
        <w:pStyle w:val="TOC1"/>
        <w:ind w:right="992"/>
        <w:rPr>
          <w:rFonts w:asciiTheme="minorHAnsi" w:eastAsiaTheme="minorEastAsia" w:hAnsiTheme="minorHAnsi" w:cstheme="minorBidi"/>
          <w:noProof/>
          <w:kern w:val="2"/>
          <w:szCs w:val="24"/>
          <w:lang w:eastAsia="en-GB"/>
          <w14:ligatures w14:val="standardContextual"/>
        </w:rPr>
      </w:pPr>
      <w:r>
        <w:rPr>
          <w:noProof/>
        </w:rPr>
        <w:t>3</w:t>
      </w:r>
      <w:r>
        <w:rPr>
          <w:rFonts w:asciiTheme="minorHAnsi" w:eastAsiaTheme="minorEastAsia" w:hAnsiTheme="minorHAnsi" w:cstheme="minorBidi"/>
          <w:noProof/>
          <w:kern w:val="2"/>
          <w:szCs w:val="24"/>
          <w:lang w:eastAsia="en-GB"/>
          <w14:ligatures w14:val="standardContextual"/>
        </w:rPr>
        <w:tab/>
      </w:r>
      <w:r w:rsidRPr="00F4232C">
        <w:rPr>
          <w:noProof/>
        </w:rPr>
        <w:t>Definitions</w:t>
      </w:r>
      <w:r>
        <w:rPr>
          <w:noProof/>
        </w:rPr>
        <w:tab/>
      </w:r>
      <w:r>
        <w:rPr>
          <w:noProof/>
        </w:rPr>
        <w:tab/>
      </w:r>
      <w:r w:rsidRPr="00F4232C">
        <w:rPr>
          <w:noProof/>
        </w:rPr>
        <w:t>1</w:t>
      </w:r>
    </w:p>
    <w:p w14:paraId="314AF922" w14:textId="747901A1" w:rsidR="00F4232C" w:rsidRDefault="00F4232C" w:rsidP="00F4232C">
      <w:pPr>
        <w:pStyle w:val="TOC2"/>
        <w:ind w:right="992"/>
        <w:rPr>
          <w:rFonts w:asciiTheme="minorHAnsi" w:eastAsiaTheme="minorEastAsia" w:hAnsiTheme="minorHAnsi" w:cstheme="minorBidi"/>
          <w:noProof/>
          <w:kern w:val="2"/>
          <w:szCs w:val="24"/>
          <w:lang w:eastAsia="en-GB"/>
          <w14:ligatures w14:val="standardContextual"/>
        </w:rPr>
      </w:pPr>
      <w:r>
        <w:rPr>
          <w:noProof/>
        </w:rPr>
        <w:t>3.1</w:t>
      </w:r>
      <w:r>
        <w:rPr>
          <w:rFonts w:asciiTheme="minorHAnsi" w:eastAsiaTheme="minorEastAsia" w:hAnsiTheme="minorHAnsi" w:cstheme="minorBidi"/>
          <w:noProof/>
          <w:kern w:val="2"/>
          <w:szCs w:val="24"/>
          <w:lang w:eastAsia="en-GB"/>
          <w14:ligatures w14:val="standardContextual"/>
        </w:rPr>
        <w:tab/>
      </w:r>
      <w:r>
        <w:rPr>
          <w:noProof/>
        </w:rPr>
        <w:t xml:space="preserve">Terms defined </w:t>
      </w:r>
      <w:r w:rsidRPr="00F4232C">
        <w:rPr>
          <w:noProof/>
        </w:rPr>
        <w:t>elsewhere</w:t>
      </w:r>
      <w:r>
        <w:rPr>
          <w:noProof/>
        </w:rPr>
        <w:tab/>
      </w:r>
      <w:r>
        <w:rPr>
          <w:noProof/>
        </w:rPr>
        <w:tab/>
      </w:r>
      <w:r w:rsidRPr="00F4232C">
        <w:rPr>
          <w:noProof/>
        </w:rPr>
        <w:t>1</w:t>
      </w:r>
    </w:p>
    <w:p w14:paraId="2444683E" w14:textId="11EC5469" w:rsidR="00F4232C" w:rsidRDefault="00F4232C" w:rsidP="00F4232C">
      <w:pPr>
        <w:pStyle w:val="TOC2"/>
        <w:ind w:right="992"/>
        <w:rPr>
          <w:rFonts w:asciiTheme="minorHAnsi" w:eastAsiaTheme="minorEastAsia" w:hAnsiTheme="minorHAnsi" w:cstheme="minorBidi"/>
          <w:noProof/>
          <w:kern w:val="2"/>
          <w:szCs w:val="24"/>
          <w:lang w:eastAsia="en-GB"/>
          <w14:ligatures w14:val="standardContextual"/>
        </w:rPr>
      </w:pPr>
      <w:r>
        <w:rPr>
          <w:noProof/>
        </w:rPr>
        <w:t>3.2</w:t>
      </w:r>
      <w:r>
        <w:rPr>
          <w:rFonts w:asciiTheme="minorHAnsi" w:eastAsiaTheme="minorEastAsia" w:hAnsiTheme="minorHAnsi" w:cstheme="minorBidi"/>
          <w:noProof/>
          <w:kern w:val="2"/>
          <w:szCs w:val="24"/>
          <w:lang w:eastAsia="en-GB"/>
          <w14:ligatures w14:val="standardContextual"/>
        </w:rPr>
        <w:tab/>
      </w:r>
      <w:r>
        <w:rPr>
          <w:noProof/>
        </w:rPr>
        <w:t xml:space="preserve">Terms defined in this Technical </w:t>
      </w:r>
      <w:r w:rsidRPr="00F4232C">
        <w:rPr>
          <w:noProof/>
        </w:rPr>
        <w:t>Report</w:t>
      </w:r>
      <w:r>
        <w:rPr>
          <w:noProof/>
        </w:rPr>
        <w:tab/>
      </w:r>
      <w:r>
        <w:rPr>
          <w:noProof/>
        </w:rPr>
        <w:tab/>
      </w:r>
      <w:r w:rsidRPr="00F4232C">
        <w:rPr>
          <w:noProof/>
        </w:rPr>
        <w:t>1</w:t>
      </w:r>
    </w:p>
    <w:p w14:paraId="6F5FD2A9" w14:textId="0E641CF8" w:rsidR="00F4232C" w:rsidRDefault="00F4232C" w:rsidP="00F4232C">
      <w:pPr>
        <w:pStyle w:val="TOC1"/>
        <w:ind w:right="992"/>
        <w:rPr>
          <w:rFonts w:asciiTheme="minorHAnsi" w:eastAsiaTheme="minorEastAsia" w:hAnsiTheme="minorHAnsi" w:cstheme="minorBidi"/>
          <w:noProof/>
          <w:kern w:val="2"/>
          <w:szCs w:val="24"/>
          <w:lang w:eastAsia="en-GB"/>
          <w14:ligatures w14:val="standardContextual"/>
        </w:rPr>
      </w:pPr>
      <w:r>
        <w:rPr>
          <w:noProof/>
        </w:rPr>
        <w:t>4</w:t>
      </w:r>
      <w:r>
        <w:rPr>
          <w:rFonts w:asciiTheme="minorHAnsi" w:eastAsiaTheme="minorEastAsia" w:hAnsiTheme="minorHAnsi" w:cstheme="minorBidi"/>
          <w:noProof/>
          <w:kern w:val="2"/>
          <w:szCs w:val="24"/>
          <w:lang w:eastAsia="en-GB"/>
          <w14:ligatures w14:val="standardContextual"/>
        </w:rPr>
        <w:tab/>
      </w:r>
      <w:r>
        <w:rPr>
          <w:noProof/>
        </w:rPr>
        <w:t xml:space="preserve">Abbreviations and </w:t>
      </w:r>
      <w:r w:rsidRPr="00F4232C">
        <w:rPr>
          <w:noProof/>
        </w:rPr>
        <w:t>acronyms</w:t>
      </w:r>
      <w:r>
        <w:rPr>
          <w:noProof/>
        </w:rPr>
        <w:tab/>
      </w:r>
      <w:r>
        <w:rPr>
          <w:noProof/>
        </w:rPr>
        <w:tab/>
      </w:r>
      <w:r w:rsidRPr="00F4232C">
        <w:rPr>
          <w:noProof/>
        </w:rPr>
        <w:t>1</w:t>
      </w:r>
    </w:p>
    <w:p w14:paraId="4A2189D1" w14:textId="00BF3600" w:rsidR="00F4232C" w:rsidRDefault="00F4232C" w:rsidP="00F4232C">
      <w:pPr>
        <w:pStyle w:val="TOC1"/>
        <w:ind w:right="992"/>
        <w:rPr>
          <w:rFonts w:asciiTheme="minorHAnsi" w:eastAsiaTheme="minorEastAsia" w:hAnsiTheme="minorHAnsi" w:cstheme="minorBidi"/>
          <w:noProof/>
          <w:kern w:val="2"/>
          <w:szCs w:val="24"/>
          <w:lang w:eastAsia="en-GB"/>
          <w14:ligatures w14:val="standardContextual"/>
        </w:rPr>
      </w:pPr>
      <w:r>
        <w:rPr>
          <w:noProof/>
        </w:rPr>
        <w:t>5</w:t>
      </w:r>
      <w:r>
        <w:rPr>
          <w:rFonts w:asciiTheme="minorHAnsi" w:eastAsiaTheme="minorEastAsia" w:hAnsiTheme="minorHAnsi" w:cstheme="minorBidi"/>
          <w:noProof/>
          <w:kern w:val="2"/>
          <w:szCs w:val="24"/>
          <w:lang w:eastAsia="en-GB"/>
          <w14:ligatures w14:val="standardContextual"/>
        </w:rPr>
        <w:tab/>
      </w:r>
      <w:r w:rsidRPr="00F4232C">
        <w:rPr>
          <w:noProof/>
        </w:rPr>
        <w:t>Introduction</w:t>
      </w:r>
      <w:r>
        <w:rPr>
          <w:noProof/>
        </w:rPr>
        <w:tab/>
      </w:r>
      <w:r>
        <w:rPr>
          <w:noProof/>
        </w:rPr>
        <w:tab/>
      </w:r>
      <w:r w:rsidRPr="00F4232C">
        <w:rPr>
          <w:noProof/>
        </w:rPr>
        <w:t>2</w:t>
      </w:r>
    </w:p>
    <w:p w14:paraId="03B0EA7A" w14:textId="330FFAE2" w:rsidR="00F4232C" w:rsidRDefault="00F4232C" w:rsidP="00F4232C">
      <w:pPr>
        <w:pStyle w:val="TOC1"/>
        <w:ind w:right="992"/>
        <w:rPr>
          <w:rFonts w:asciiTheme="minorHAnsi" w:eastAsiaTheme="minorEastAsia" w:hAnsiTheme="minorHAnsi" w:cstheme="minorBidi"/>
          <w:noProof/>
          <w:kern w:val="2"/>
          <w:szCs w:val="24"/>
          <w:lang w:eastAsia="en-GB"/>
          <w14:ligatures w14:val="standardContextual"/>
        </w:rPr>
      </w:pPr>
      <w:r>
        <w:rPr>
          <w:noProof/>
        </w:rPr>
        <w:t>6</w:t>
      </w:r>
      <w:r>
        <w:rPr>
          <w:rFonts w:asciiTheme="minorHAnsi" w:eastAsiaTheme="minorEastAsia" w:hAnsiTheme="minorHAnsi" w:cstheme="minorBidi"/>
          <w:noProof/>
          <w:kern w:val="2"/>
          <w:szCs w:val="24"/>
          <w:lang w:eastAsia="en-GB"/>
          <w14:ligatures w14:val="standardContextual"/>
        </w:rPr>
        <w:tab/>
      </w:r>
      <w:r>
        <w:rPr>
          <w:noProof/>
        </w:rPr>
        <w:t xml:space="preserve">The nature of dispute resolution between telecommunication operators and providers of </w:t>
      </w:r>
      <w:r w:rsidRPr="00F4232C">
        <w:rPr>
          <w:noProof/>
        </w:rPr>
        <w:t>OTTs</w:t>
      </w:r>
      <w:r>
        <w:rPr>
          <w:noProof/>
        </w:rPr>
        <w:tab/>
      </w:r>
      <w:r>
        <w:rPr>
          <w:noProof/>
        </w:rPr>
        <w:tab/>
      </w:r>
      <w:r w:rsidRPr="00F4232C">
        <w:rPr>
          <w:noProof/>
        </w:rPr>
        <w:t>3</w:t>
      </w:r>
    </w:p>
    <w:p w14:paraId="351FEBBD" w14:textId="2C44A7F3" w:rsidR="00F4232C" w:rsidRDefault="00F4232C" w:rsidP="00F4232C">
      <w:pPr>
        <w:pStyle w:val="TOC1"/>
        <w:ind w:right="992"/>
        <w:rPr>
          <w:rFonts w:asciiTheme="minorHAnsi" w:eastAsiaTheme="minorEastAsia" w:hAnsiTheme="minorHAnsi" w:cstheme="minorBidi"/>
          <w:noProof/>
          <w:kern w:val="2"/>
          <w:szCs w:val="24"/>
          <w:lang w:eastAsia="en-GB"/>
          <w14:ligatures w14:val="standardContextual"/>
        </w:rPr>
      </w:pPr>
      <w:r>
        <w:rPr>
          <w:noProof/>
        </w:rPr>
        <w:t>7</w:t>
      </w:r>
      <w:r>
        <w:rPr>
          <w:rFonts w:asciiTheme="minorHAnsi" w:eastAsiaTheme="minorEastAsia" w:hAnsiTheme="minorHAnsi" w:cstheme="minorBidi"/>
          <w:noProof/>
          <w:kern w:val="2"/>
          <w:szCs w:val="24"/>
          <w:lang w:eastAsia="en-GB"/>
          <w14:ligatures w14:val="standardContextual"/>
        </w:rPr>
        <w:tab/>
      </w:r>
      <w:r>
        <w:rPr>
          <w:noProof/>
        </w:rPr>
        <w:t>What is the nature of the relationship between telecommunication operators and providers of OTTs?</w:t>
      </w:r>
      <w:r>
        <w:rPr>
          <w:noProof/>
        </w:rPr>
        <w:tab/>
      </w:r>
      <w:r>
        <w:rPr>
          <w:noProof/>
        </w:rPr>
        <w:tab/>
        <w:t>3</w:t>
      </w:r>
    </w:p>
    <w:p w14:paraId="24A38BF3" w14:textId="19DB5481" w:rsidR="00F4232C" w:rsidRDefault="00F4232C" w:rsidP="00F4232C">
      <w:pPr>
        <w:pStyle w:val="TOC1"/>
        <w:ind w:right="992"/>
        <w:rPr>
          <w:rFonts w:asciiTheme="minorHAnsi" w:eastAsiaTheme="minorEastAsia" w:hAnsiTheme="minorHAnsi" w:cstheme="minorBidi"/>
          <w:noProof/>
          <w:kern w:val="2"/>
          <w:szCs w:val="24"/>
          <w:lang w:eastAsia="en-GB"/>
          <w14:ligatures w14:val="standardContextual"/>
        </w:rPr>
      </w:pPr>
      <w:r>
        <w:rPr>
          <w:noProof/>
        </w:rPr>
        <w:t>8</w:t>
      </w:r>
      <w:r>
        <w:rPr>
          <w:rFonts w:asciiTheme="minorHAnsi" w:eastAsiaTheme="minorEastAsia" w:hAnsiTheme="minorHAnsi" w:cstheme="minorBidi"/>
          <w:noProof/>
          <w:kern w:val="2"/>
          <w:szCs w:val="24"/>
          <w:lang w:eastAsia="en-GB"/>
          <w14:ligatures w14:val="standardContextual"/>
        </w:rPr>
        <w:tab/>
      </w:r>
      <w:r>
        <w:rPr>
          <w:noProof/>
        </w:rPr>
        <w:t xml:space="preserve">Competence to handle dispute </w:t>
      </w:r>
      <w:r w:rsidRPr="00F4232C">
        <w:rPr>
          <w:noProof/>
        </w:rPr>
        <w:t>resolution</w:t>
      </w:r>
      <w:r>
        <w:rPr>
          <w:noProof/>
        </w:rPr>
        <w:tab/>
      </w:r>
      <w:r>
        <w:rPr>
          <w:noProof/>
        </w:rPr>
        <w:tab/>
      </w:r>
      <w:r w:rsidRPr="00F4232C">
        <w:rPr>
          <w:noProof/>
        </w:rPr>
        <w:t>4</w:t>
      </w:r>
    </w:p>
    <w:p w14:paraId="313CBE66" w14:textId="082A4C9A" w:rsidR="00F4232C" w:rsidRDefault="00F4232C" w:rsidP="00F4232C">
      <w:pPr>
        <w:pStyle w:val="TOC2"/>
        <w:ind w:right="992"/>
        <w:rPr>
          <w:rFonts w:asciiTheme="minorHAnsi" w:eastAsiaTheme="minorEastAsia" w:hAnsiTheme="minorHAnsi" w:cstheme="minorBidi"/>
          <w:noProof/>
          <w:kern w:val="2"/>
          <w:szCs w:val="24"/>
          <w:lang w:eastAsia="en-GB"/>
          <w14:ligatures w14:val="standardContextual"/>
        </w:rPr>
      </w:pPr>
      <w:r>
        <w:rPr>
          <w:noProof/>
        </w:rPr>
        <w:t>8.1</w:t>
      </w:r>
      <w:r>
        <w:rPr>
          <w:rFonts w:asciiTheme="minorHAnsi" w:eastAsiaTheme="minorEastAsia" w:hAnsiTheme="minorHAnsi" w:cstheme="minorBidi"/>
          <w:noProof/>
          <w:kern w:val="2"/>
          <w:szCs w:val="24"/>
          <w:lang w:eastAsia="en-GB"/>
          <w14:ligatures w14:val="standardContextual"/>
        </w:rPr>
        <w:tab/>
      </w:r>
      <w:r>
        <w:rPr>
          <w:noProof/>
        </w:rPr>
        <w:t>National regulatory authorities (NRAs)</w:t>
      </w:r>
      <w:r>
        <w:rPr>
          <w:noProof/>
        </w:rPr>
        <w:tab/>
      </w:r>
      <w:r>
        <w:rPr>
          <w:noProof/>
        </w:rPr>
        <w:tab/>
        <w:t>5</w:t>
      </w:r>
    </w:p>
    <w:p w14:paraId="02610FB9" w14:textId="64E9FF05" w:rsidR="00F4232C" w:rsidRDefault="00F4232C" w:rsidP="00F4232C">
      <w:pPr>
        <w:pStyle w:val="TOC2"/>
        <w:ind w:right="992"/>
        <w:rPr>
          <w:rFonts w:asciiTheme="minorHAnsi" w:eastAsiaTheme="minorEastAsia" w:hAnsiTheme="minorHAnsi" w:cstheme="minorBidi"/>
          <w:noProof/>
          <w:kern w:val="2"/>
          <w:szCs w:val="24"/>
          <w:lang w:eastAsia="en-GB"/>
          <w14:ligatures w14:val="standardContextual"/>
        </w:rPr>
      </w:pPr>
      <w:r>
        <w:rPr>
          <w:noProof/>
        </w:rPr>
        <w:t>8.2</w:t>
      </w:r>
      <w:r>
        <w:rPr>
          <w:rFonts w:asciiTheme="minorHAnsi" w:eastAsiaTheme="minorEastAsia" w:hAnsiTheme="minorHAnsi" w:cstheme="minorBidi"/>
          <w:noProof/>
          <w:kern w:val="2"/>
          <w:szCs w:val="24"/>
          <w:lang w:eastAsia="en-GB"/>
          <w14:ligatures w14:val="standardContextual"/>
        </w:rPr>
        <w:tab/>
      </w:r>
      <w:r>
        <w:rPr>
          <w:noProof/>
        </w:rPr>
        <w:t xml:space="preserve">Competition </w:t>
      </w:r>
      <w:r w:rsidRPr="00F4232C">
        <w:rPr>
          <w:noProof/>
        </w:rPr>
        <w:t>authorities</w:t>
      </w:r>
      <w:r>
        <w:rPr>
          <w:noProof/>
        </w:rPr>
        <w:tab/>
      </w:r>
      <w:r>
        <w:rPr>
          <w:noProof/>
        </w:rPr>
        <w:tab/>
      </w:r>
      <w:r w:rsidRPr="00F4232C">
        <w:rPr>
          <w:noProof/>
        </w:rPr>
        <w:t>5</w:t>
      </w:r>
    </w:p>
    <w:p w14:paraId="60A4D651" w14:textId="592FE0C7" w:rsidR="00F4232C" w:rsidRDefault="00F4232C" w:rsidP="00F4232C">
      <w:pPr>
        <w:pStyle w:val="TOC2"/>
        <w:ind w:right="992"/>
        <w:rPr>
          <w:rFonts w:asciiTheme="minorHAnsi" w:eastAsiaTheme="minorEastAsia" w:hAnsiTheme="minorHAnsi" w:cstheme="minorBidi"/>
          <w:noProof/>
          <w:kern w:val="2"/>
          <w:szCs w:val="24"/>
          <w:lang w:eastAsia="en-GB"/>
          <w14:ligatures w14:val="standardContextual"/>
        </w:rPr>
      </w:pPr>
      <w:r>
        <w:rPr>
          <w:noProof/>
        </w:rPr>
        <w:t>8.3</w:t>
      </w:r>
      <w:r>
        <w:rPr>
          <w:rFonts w:asciiTheme="minorHAnsi" w:eastAsiaTheme="minorEastAsia" w:hAnsiTheme="minorHAnsi" w:cstheme="minorBidi"/>
          <w:noProof/>
          <w:kern w:val="2"/>
          <w:szCs w:val="24"/>
          <w:lang w:eastAsia="en-GB"/>
          <w14:ligatures w14:val="standardContextual"/>
        </w:rPr>
        <w:tab/>
      </w:r>
      <w:r>
        <w:rPr>
          <w:noProof/>
        </w:rPr>
        <w:t xml:space="preserve">Data protection </w:t>
      </w:r>
      <w:r w:rsidRPr="00F4232C">
        <w:rPr>
          <w:noProof/>
        </w:rPr>
        <w:t>authorities</w:t>
      </w:r>
      <w:r>
        <w:rPr>
          <w:noProof/>
        </w:rPr>
        <w:tab/>
      </w:r>
      <w:r>
        <w:rPr>
          <w:noProof/>
        </w:rPr>
        <w:tab/>
      </w:r>
      <w:r w:rsidRPr="00F4232C">
        <w:rPr>
          <w:noProof/>
        </w:rPr>
        <w:t>5</w:t>
      </w:r>
    </w:p>
    <w:p w14:paraId="2EBEBE6A" w14:textId="17F1A123" w:rsidR="00F4232C" w:rsidRDefault="00F4232C" w:rsidP="00F4232C">
      <w:pPr>
        <w:pStyle w:val="TOC2"/>
        <w:ind w:right="992"/>
        <w:rPr>
          <w:rFonts w:asciiTheme="minorHAnsi" w:eastAsiaTheme="minorEastAsia" w:hAnsiTheme="minorHAnsi" w:cstheme="minorBidi"/>
          <w:noProof/>
          <w:kern w:val="2"/>
          <w:szCs w:val="24"/>
          <w:lang w:eastAsia="en-GB"/>
          <w14:ligatures w14:val="standardContextual"/>
        </w:rPr>
      </w:pPr>
      <w:r>
        <w:rPr>
          <w:noProof/>
        </w:rPr>
        <w:t>8.4</w:t>
      </w:r>
      <w:r>
        <w:rPr>
          <w:rFonts w:asciiTheme="minorHAnsi" w:eastAsiaTheme="minorEastAsia" w:hAnsiTheme="minorHAnsi" w:cstheme="minorBidi"/>
          <w:noProof/>
          <w:kern w:val="2"/>
          <w:szCs w:val="24"/>
          <w:lang w:eastAsia="en-GB"/>
          <w14:ligatures w14:val="standardContextual"/>
        </w:rPr>
        <w:tab/>
      </w:r>
      <w:r>
        <w:rPr>
          <w:noProof/>
        </w:rPr>
        <w:t xml:space="preserve">The </w:t>
      </w:r>
      <w:r w:rsidRPr="00F4232C">
        <w:rPr>
          <w:noProof/>
        </w:rPr>
        <w:t>courts</w:t>
      </w:r>
      <w:r>
        <w:rPr>
          <w:noProof/>
        </w:rPr>
        <w:tab/>
      </w:r>
      <w:r>
        <w:rPr>
          <w:noProof/>
        </w:rPr>
        <w:tab/>
      </w:r>
      <w:r w:rsidRPr="00F4232C">
        <w:rPr>
          <w:noProof/>
        </w:rPr>
        <w:t>5</w:t>
      </w:r>
    </w:p>
    <w:p w14:paraId="669BC2F2" w14:textId="0A6B5E1D" w:rsidR="00F4232C" w:rsidRDefault="00F4232C" w:rsidP="00F4232C">
      <w:pPr>
        <w:pStyle w:val="TOC2"/>
        <w:ind w:right="992"/>
        <w:rPr>
          <w:rFonts w:asciiTheme="minorHAnsi" w:eastAsiaTheme="minorEastAsia" w:hAnsiTheme="minorHAnsi" w:cstheme="minorBidi"/>
          <w:noProof/>
          <w:kern w:val="2"/>
          <w:szCs w:val="24"/>
          <w:lang w:eastAsia="en-GB"/>
          <w14:ligatures w14:val="standardContextual"/>
        </w:rPr>
      </w:pPr>
      <w:r>
        <w:rPr>
          <w:noProof/>
        </w:rPr>
        <w:t>8.5</w:t>
      </w:r>
      <w:r>
        <w:rPr>
          <w:rFonts w:asciiTheme="minorHAnsi" w:eastAsiaTheme="minorEastAsia" w:hAnsiTheme="minorHAnsi" w:cstheme="minorBidi"/>
          <w:noProof/>
          <w:kern w:val="2"/>
          <w:szCs w:val="24"/>
          <w:lang w:eastAsia="en-GB"/>
          <w14:ligatures w14:val="standardContextual"/>
        </w:rPr>
        <w:tab/>
      </w:r>
      <w:r>
        <w:rPr>
          <w:noProof/>
        </w:rPr>
        <w:t xml:space="preserve">Other </w:t>
      </w:r>
      <w:r w:rsidRPr="00F4232C">
        <w:rPr>
          <w:noProof/>
        </w:rPr>
        <w:t>bodies</w:t>
      </w:r>
      <w:r>
        <w:rPr>
          <w:noProof/>
        </w:rPr>
        <w:tab/>
      </w:r>
      <w:r>
        <w:rPr>
          <w:noProof/>
        </w:rPr>
        <w:tab/>
      </w:r>
      <w:r w:rsidRPr="00F4232C">
        <w:rPr>
          <w:noProof/>
        </w:rPr>
        <w:t>6</w:t>
      </w:r>
    </w:p>
    <w:p w14:paraId="0092A0F9" w14:textId="3DD17921" w:rsidR="00F4232C" w:rsidRDefault="00F4232C" w:rsidP="00F4232C">
      <w:pPr>
        <w:pStyle w:val="TOC1"/>
        <w:ind w:right="992"/>
        <w:rPr>
          <w:rFonts w:asciiTheme="minorHAnsi" w:eastAsiaTheme="minorEastAsia" w:hAnsiTheme="minorHAnsi" w:cstheme="minorBidi"/>
          <w:noProof/>
          <w:kern w:val="2"/>
          <w:szCs w:val="24"/>
          <w:lang w:eastAsia="en-GB"/>
          <w14:ligatures w14:val="standardContextual"/>
        </w:rPr>
      </w:pPr>
      <w:r>
        <w:rPr>
          <w:noProof/>
        </w:rPr>
        <w:t>9</w:t>
      </w:r>
      <w:r>
        <w:rPr>
          <w:rFonts w:asciiTheme="minorHAnsi" w:eastAsiaTheme="minorEastAsia" w:hAnsiTheme="minorHAnsi" w:cstheme="minorBidi"/>
          <w:noProof/>
          <w:kern w:val="2"/>
          <w:szCs w:val="24"/>
          <w:lang w:eastAsia="en-GB"/>
          <w14:ligatures w14:val="standardContextual"/>
        </w:rPr>
        <w:tab/>
      </w:r>
      <w:r>
        <w:rPr>
          <w:noProof/>
        </w:rPr>
        <w:t xml:space="preserve">Principles for dispute resolution between telecommunication operators and providers of </w:t>
      </w:r>
      <w:r w:rsidRPr="00F4232C">
        <w:rPr>
          <w:noProof/>
        </w:rPr>
        <w:t>OTTs</w:t>
      </w:r>
      <w:r>
        <w:rPr>
          <w:noProof/>
        </w:rPr>
        <w:tab/>
      </w:r>
      <w:r>
        <w:rPr>
          <w:noProof/>
        </w:rPr>
        <w:tab/>
      </w:r>
      <w:r w:rsidRPr="00F4232C">
        <w:rPr>
          <w:noProof/>
        </w:rPr>
        <w:t>6</w:t>
      </w:r>
    </w:p>
    <w:p w14:paraId="143628E2" w14:textId="60E3E50A" w:rsidR="00F4232C" w:rsidRDefault="00F4232C" w:rsidP="00F4232C">
      <w:pPr>
        <w:pStyle w:val="TOC1"/>
        <w:ind w:right="992"/>
        <w:rPr>
          <w:rFonts w:asciiTheme="minorHAnsi" w:eastAsiaTheme="minorEastAsia" w:hAnsiTheme="minorHAnsi" w:cstheme="minorBidi"/>
          <w:noProof/>
          <w:kern w:val="2"/>
          <w:szCs w:val="24"/>
          <w:lang w:eastAsia="en-GB"/>
          <w14:ligatures w14:val="standardContextual"/>
        </w:rPr>
      </w:pPr>
      <w:r>
        <w:rPr>
          <w:noProof/>
        </w:rPr>
        <w:t>10</w:t>
      </w:r>
      <w:r>
        <w:rPr>
          <w:rFonts w:asciiTheme="minorHAnsi" w:eastAsiaTheme="minorEastAsia" w:hAnsiTheme="minorHAnsi" w:cstheme="minorBidi"/>
          <w:noProof/>
          <w:kern w:val="2"/>
          <w:szCs w:val="24"/>
          <w:lang w:eastAsia="en-GB"/>
          <w14:ligatures w14:val="standardContextual"/>
        </w:rPr>
        <w:tab/>
      </w:r>
      <w:r>
        <w:rPr>
          <w:noProof/>
        </w:rPr>
        <w:t xml:space="preserve">Dispute resolution </w:t>
      </w:r>
      <w:r w:rsidRPr="00F4232C">
        <w:rPr>
          <w:noProof/>
        </w:rPr>
        <w:t>mechanisms</w:t>
      </w:r>
      <w:r>
        <w:rPr>
          <w:noProof/>
        </w:rPr>
        <w:tab/>
      </w:r>
      <w:r>
        <w:rPr>
          <w:noProof/>
        </w:rPr>
        <w:tab/>
      </w:r>
      <w:r w:rsidRPr="00F4232C">
        <w:rPr>
          <w:noProof/>
        </w:rPr>
        <w:t>6</w:t>
      </w:r>
    </w:p>
    <w:p w14:paraId="7CCB10F5" w14:textId="6D8A3548" w:rsidR="00F4232C" w:rsidRDefault="00F4232C" w:rsidP="00F4232C">
      <w:pPr>
        <w:pStyle w:val="TOC2"/>
        <w:ind w:right="992"/>
        <w:rPr>
          <w:rFonts w:asciiTheme="minorHAnsi" w:eastAsiaTheme="minorEastAsia" w:hAnsiTheme="minorHAnsi" w:cstheme="minorBidi"/>
          <w:noProof/>
          <w:kern w:val="2"/>
          <w:szCs w:val="24"/>
          <w:lang w:eastAsia="en-GB"/>
          <w14:ligatures w14:val="standardContextual"/>
        </w:rPr>
      </w:pPr>
      <w:r>
        <w:rPr>
          <w:noProof/>
        </w:rPr>
        <w:t>10.1</w:t>
      </w:r>
      <w:r>
        <w:rPr>
          <w:rFonts w:asciiTheme="minorHAnsi" w:eastAsiaTheme="minorEastAsia" w:hAnsiTheme="minorHAnsi" w:cstheme="minorBidi"/>
          <w:noProof/>
          <w:kern w:val="2"/>
          <w:szCs w:val="24"/>
          <w:lang w:eastAsia="en-GB"/>
          <w14:ligatures w14:val="standardContextual"/>
        </w:rPr>
        <w:tab/>
      </w:r>
      <w:r>
        <w:rPr>
          <w:noProof/>
        </w:rPr>
        <w:t xml:space="preserve">Case </w:t>
      </w:r>
      <w:r w:rsidRPr="00F4232C">
        <w:rPr>
          <w:noProof/>
        </w:rPr>
        <w:t>studies</w:t>
      </w:r>
      <w:r>
        <w:rPr>
          <w:noProof/>
        </w:rPr>
        <w:tab/>
      </w:r>
      <w:r>
        <w:rPr>
          <w:noProof/>
        </w:rPr>
        <w:tab/>
      </w:r>
      <w:r w:rsidRPr="00F4232C">
        <w:rPr>
          <w:noProof/>
        </w:rPr>
        <w:t>6</w:t>
      </w:r>
    </w:p>
    <w:p w14:paraId="15568ED0" w14:textId="53B94E46" w:rsidR="00F4232C" w:rsidRDefault="00F4232C" w:rsidP="00F4232C">
      <w:pPr>
        <w:pStyle w:val="TOC1"/>
        <w:ind w:right="992"/>
        <w:rPr>
          <w:rFonts w:asciiTheme="minorHAnsi" w:eastAsiaTheme="minorEastAsia" w:hAnsiTheme="minorHAnsi" w:cstheme="minorBidi"/>
          <w:noProof/>
          <w:kern w:val="2"/>
          <w:szCs w:val="24"/>
          <w:lang w:eastAsia="en-GB"/>
          <w14:ligatures w14:val="standardContextual"/>
        </w:rPr>
      </w:pPr>
      <w:r>
        <w:rPr>
          <w:noProof/>
        </w:rPr>
        <w:t>11</w:t>
      </w:r>
      <w:r>
        <w:rPr>
          <w:rFonts w:asciiTheme="minorHAnsi" w:eastAsiaTheme="minorEastAsia" w:hAnsiTheme="minorHAnsi" w:cstheme="minorBidi"/>
          <w:noProof/>
          <w:kern w:val="2"/>
          <w:szCs w:val="24"/>
          <w:lang w:eastAsia="en-GB"/>
          <w14:ligatures w14:val="standardContextual"/>
        </w:rPr>
        <w:tab/>
      </w:r>
      <w:r>
        <w:rPr>
          <w:noProof/>
        </w:rPr>
        <w:t xml:space="preserve">Concluding </w:t>
      </w:r>
      <w:r w:rsidRPr="00F4232C">
        <w:rPr>
          <w:noProof/>
        </w:rPr>
        <w:t>remarks</w:t>
      </w:r>
      <w:r>
        <w:rPr>
          <w:noProof/>
        </w:rPr>
        <w:tab/>
      </w:r>
      <w:r>
        <w:rPr>
          <w:noProof/>
        </w:rPr>
        <w:tab/>
      </w:r>
      <w:r w:rsidRPr="00F4232C">
        <w:rPr>
          <w:noProof/>
        </w:rPr>
        <w:t>8</w:t>
      </w:r>
    </w:p>
    <w:p w14:paraId="34B190EA" w14:textId="0A6066EF" w:rsidR="00F4232C" w:rsidRDefault="00F4232C" w:rsidP="00F4232C">
      <w:pPr>
        <w:pStyle w:val="TOC1"/>
        <w:ind w:right="992"/>
        <w:rPr>
          <w:rFonts w:asciiTheme="minorHAnsi" w:eastAsiaTheme="minorEastAsia" w:hAnsiTheme="minorHAnsi" w:cstheme="minorBidi"/>
          <w:noProof/>
          <w:kern w:val="2"/>
          <w:szCs w:val="24"/>
          <w:lang w:eastAsia="en-GB"/>
          <w14:ligatures w14:val="standardContextual"/>
        </w:rPr>
      </w:pPr>
      <w:r w:rsidRPr="00F4232C">
        <w:rPr>
          <w:noProof/>
        </w:rPr>
        <w:t>Bibliography</w:t>
      </w:r>
      <w:r>
        <w:rPr>
          <w:noProof/>
        </w:rPr>
        <w:tab/>
      </w:r>
      <w:r>
        <w:rPr>
          <w:noProof/>
        </w:rPr>
        <w:tab/>
      </w:r>
      <w:r w:rsidRPr="00F4232C">
        <w:rPr>
          <w:noProof/>
        </w:rPr>
        <w:t>9</w:t>
      </w:r>
    </w:p>
    <w:p w14:paraId="16CBC51F" w14:textId="1FBFBCEE" w:rsidR="00011679" w:rsidRPr="002B534E" w:rsidRDefault="00011679" w:rsidP="00011679"/>
    <w:p w14:paraId="2255ED56" w14:textId="77777777" w:rsidR="00011679" w:rsidRPr="002B534E" w:rsidRDefault="00011679" w:rsidP="00011679"/>
    <w:p w14:paraId="557EC320" w14:textId="77777777" w:rsidR="00011679" w:rsidRPr="002B534E" w:rsidRDefault="00011679" w:rsidP="00011679">
      <w:pPr>
        <w:rPr>
          <w:b/>
          <w:bCs/>
        </w:rPr>
        <w:sectPr w:rsidR="00011679" w:rsidRPr="002B534E" w:rsidSect="00A974E1">
          <w:headerReference w:type="default" r:id="rId16"/>
          <w:footerReference w:type="even" r:id="rId17"/>
          <w:footerReference w:type="default" r:id="rId18"/>
          <w:type w:val="oddPage"/>
          <w:pgSz w:w="11907" w:h="16834"/>
          <w:pgMar w:top="1134" w:right="1134" w:bottom="1134" w:left="1134" w:header="567" w:footer="567" w:gutter="0"/>
          <w:paperSrc w:first="15" w:other="15"/>
          <w:pgNumType w:fmt="lowerRoman" w:start="1"/>
          <w:cols w:space="720"/>
          <w:docGrid w:linePitch="326"/>
        </w:sectPr>
      </w:pPr>
    </w:p>
    <w:p w14:paraId="7B107604" w14:textId="7283B249" w:rsidR="00011679" w:rsidRPr="005A58D6" w:rsidRDefault="00011679" w:rsidP="00011679">
      <w:pPr>
        <w:pStyle w:val="RecNo"/>
      </w:pPr>
      <w:bookmarkStart w:id="11" w:name="p1rectexte"/>
      <w:bookmarkEnd w:id="11"/>
      <w:r w:rsidRPr="005A58D6">
        <w:t>Technical Report ITU-T DSTR-STUDY_DRC</w:t>
      </w:r>
      <w:r w:rsidR="00A974E1">
        <w:t>I</w:t>
      </w:r>
    </w:p>
    <w:p w14:paraId="418C7E06" w14:textId="4B375FE0" w:rsidR="00011679" w:rsidRPr="00CE55A5" w:rsidRDefault="00011679" w:rsidP="00011679">
      <w:pPr>
        <w:pStyle w:val="Rectitle"/>
      </w:pPr>
      <w:r>
        <w:rPr>
          <w:bCs/>
        </w:rPr>
        <w:t>Dispute resolution between telecommunication operators and providers of OTTs</w:t>
      </w:r>
    </w:p>
    <w:p w14:paraId="2F9CCF14" w14:textId="5D449FD5" w:rsidR="00693100" w:rsidRPr="00C630BD" w:rsidRDefault="00902994" w:rsidP="00A974E1">
      <w:pPr>
        <w:pStyle w:val="Heading1"/>
      </w:pPr>
      <w:bookmarkStart w:id="12" w:name="_Toc169704787"/>
      <w:bookmarkStart w:id="13" w:name="_Toc175118329"/>
      <w:bookmarkStart w:id="14" w:name="_Toc190066093"/>
      <w:r w:rsidRPr="00E212A3">
        <w:t>1</w:t>
      </w:r>
      <w:r w:rsidRPr="00E212A3">
        <w:tab/>
      </w:r>
      <w:r w:rsidR="008B0F21" w:rsidRPr="00E212A3">
        <w:t>Scope</w:t>
      </w:r>
      <w:bookmarkEnd w:id="0"/>
      <w:bookmarkEnd w:id="1"/>
      <w:bookmarkEnd w:id="12"/>
      <w:bookmarkEnd w:id="13"/>
      <w:bookmarkEnd w:id="14"/>
    </w:p>
    <w:p w14:paraId="3C2FDDCB" w14:textId="7AE8BC7F" w:rsidR="00B20D6F" w:rsidRDefault="008B0F21" w:rsidP="00B20D6F">
      <w:r w:rsidRPr="00447F59">
        <w:t xml:space="preserve">This </w:t>
      </w:r>
      <w:r w:rsidR="00EB26A6">
        <w:t xml:space="preserve">Technical Report </w:t>
      </w:r>
      <w:r w:rsidRPr="00447F59">
        <w:t>seeks to provide the international community</w:t>
      </w:r>
      <w:r w:rsidR="004B2D2A">
        <w:t>,</w:t>
      </w:r>
      <w:r w:rsidRPr="00447F59">
        <w:t xml:space="preserve"> in both developed and developing countries</w:t>
      </w:r>
      <w:r w:rsidR="004B2D2A">
        <w:t>,</w:t>
      </w:r>
      <w:r w:rsidRPr="00447F59">
        <w:t xml:space="preserve"> </w:t>
      </w:r>
      <w:r w:rsidR="002C5BDF">
        <w:t xml:space="preserve">with </w:t>
      </w:r>
      <w:r w:rsidR="00EB26A6">
        <w:t xml:space="preserve">the </w:t>
      </w:r>
      <w:r w:rsidR="00EB26A6" w:rsidRPr="00447F59">
        <w:t xml:space="preserve">technical and policy background </w:t>
      </w:r>
      <w:r w:rsidR="00EB26A6">
        <w:t>to</w:t>
      </w:r>
      <w:r w:rsidRPr="00447F59">
        <w:t xml:space="preserve"> dispute resolution between telecommunication operators and providers of </w:t>
      </w:r>
      <w:r w:rsidR="00F81A3B">
        <w:t>over-the-top services (</w:t>
      </w:r>
      <w:r w:rsidRPr="00447F59">
        <w:t>OTTs</w:t>
      </w:r>
      <w:r w:rsidR="00F81A3B">
        <w:t>)</w:t>
      </w:r>
      <w:r>
        <w:t>.</w:t>
      </w:r>
      <w:r w:rsidR="00B20D6F">
        <w:t xml:space="preserve"> Recommendations are </w:t>
      </w:r>
      <w:r w:rsidR="00D16BE5">
        <w:t>not within the sc</w:t>
      </w:r>
      <w:r w:rsidR="00B20D6F">
        <w:t>ope of this Technical Report.</w:t>
      </w:r>
    </w:p>
    <w:p w14:paraId="68E46854" w14:textId="6FB5FEC4" w:rsidR="0043713F" w:rsidRDefault="0043713F" w:rsidP="0043713F">
      <w:r>
        <w:t>Dispute resolution is discussed</w:t>
      </w:r>
      <w:r w:rsidR="00CA27A5">
        <w:t>,</w:t>
      </w:r>
      <w:r>
        <w:t xml:space="preserve"> excluding any discussion </w:t>
      </w:r>
      <w:r w:rsidR="00CA27A5">
        <w:t xml:space="preserve">on </w:t>
      </w:r>
      <w:r>
        <w:t>changes in the digital environment or their impact on the traditional telecommunication value chain.</w:t>
      </w:r>
    </w:p>
    <w:p w14:paraId="67CF053D" w14:textId="25938C62" w:rsidR="00B20D6F" w:rsidRDefault="0043713F" w:rsidP="00B20D6F">
      <w:r>
        <w:t>T</w:t>
      </w:r>
      <w:r w:rsidR="00D16BE5">
        <w:t xml:space="preserve">he </w:t>
      </w:r>
      <w:r w:rsidR="00B20D6F">
        <w:t>economic impact of OTTs is</w:t>
      </w:r>
      <w:r w:rsidR="00CA27A5">
        <w:t xml:space="preserve"> also</w:t>
      </w:r>
      <w:r w:rsidR="00B20D6F">
        <w:t xml:space="preserve"> out of the scope of this Technical Report</w:t>
      </w:r>
      <w:r w:rsidR="00D16BE5">
        <w:t xml:space="preserve">, although </w:t>
      </w:r>
      <w:r w:rsidR="00B20D6F">
        <w:t xml:space="preserve">it </w:t>
      </w:r>
      <w:r>
        <w:t>is</w:t>
      </w:r>
      <w:r w:rsidR="00B20D6F">
        <w:t xml:space="preserve"> </w:t>
      </w:r>
      <w:r>
        <w:t xml:space="preserve">sometimes </w:t>
      </w:r>
      <w:r w:rsidR="00B20D6F">
        <w:t>necessary to mention it.</w:t>
      </w:r>
    </w:p>
    <w:p w14:paraId="5427D879" w14:textId="454EB5D9" w:rsidR="008B0F21" w:rsidRPr="009635CB" w:rsidRDefault="004B2D2A" w:rsidP="00B074C6">
      <w:r>
        <w:t>T</w:t>
      </w:r>
      <w:r w:rsidR="00302FF5">
        <w:t xml:space="preserve">here are cases in which the agents involved </w:t>
      </w:r>
      <w:r w:rsidR="00302FF5" w:rsidRPr="00BC7E9A">
        <w:t>in dispute resolutions operat</w:t>
      </w:r>
      <w:r w:rsidR="00CA27A5">
        <w:t>e</w:t>
      </w:r>
      <w:r w:rsidR="00302FF5" w:rsidRPr="00BC7E9A">
        <w:t xml:space="preserve"> from different jurisdictions</w:t>
      </w:r>
      <w:r w:rsidR="00302FF5">
        <w:t xml:space="preserve"> and their relationship is not necessarily supported by contracts or any regulatory or policy instrument</w:t>
      </w:r>
      <w:r w:rsidR="004C3F21">
        <w:t>s</w:t>
      </w:r>
      <w:r>
        <w:t>. Such</w:t>
      </w:r>
      <w:r w:rsidR="00302FF5">
        <w:t xml:space="preserve"> situation</w:t>
      </w:r>
      <w:r>
        <w:t>s</w:t>
      </w:r>
      <w:r w:rsidR="00302FF5">
        <w:t xml:space="preserve"> </w:t>
      </w:r>
      <w:r>
        <w:t>are</w:t>
      </w:r>
      <w:r w:rsidR="00302FF5">
        <w:t xml:space="preserve"> not </w:t>
      </w:r>
      <w:r w:rsidR="00CA27A5">
        <w:t xml:space="preserve">in </w:t>
      </w:r>
      <w:r w:rsidR="00302FF5">
        <w:t xml:space="preserve">the scope of this </w:t>
      </w:r>
      <w:r w:rsidR="00F81A3B">
        <w:t>Technical R</w:t>
      </w:r>
      <w:r w:rsidR="00302FF5">
        <w:t>eport.</w:t>
      </w:r>
    </w:p>
    <w:p w14:paraId="17A87EBD" w14:textId="667D91AB" w:rsidR="008B0F21" w:rsidRPr="00A71864" w:rsidRDefault="00902994" w:rsidP="00A974E1">
      <w:pPr>
        <w:pStyle w:val="Heading1"/>
      </w:pPr>
      <w:bookmarkStart w:id="15" w:name="_Toc401158819"/>
      <w:bookmarkStart w:id="16" w:name="_Toc169702171"/>
      <w:bookmarkStart w:id="17" w:name="_Toc169704788"/>
      <w:bookmarkStart w:id="18" w:name="_Toc175118330"/>
      <w:bookmarkStart w:id="19" w:name="_Toc190066094"/>
      <w:r>
        <w:t>2</w:t>
      </w:r>
      <w:r>
        <w:tab/>
      </w:r>
      <w:r w:rsidR="008B0F21" w:rsidRPr="00A71864">
        <w:t>References</w:t>
      </w:r>
      <w:bookmarkEnd w:id="15"/>
      <w:bookmarkEnd w:id="16"/>
      <w:bookmarkEnd w:id="17"/>
      <w:bookmarkEnd w:id="18"/>
      <w:bookmarkEnd w:id="19"/>
    </w:p>
    <w:p w14:paraId="3612D7E7" w14:textId="71694147" w:rsidR="008B0F21" w:rsidRPr="00EB26A6" w:rsidRDefault="008B0F21" w:rsidP="00A974E1">
      <w:pPr>
        <w:pStyle w:val="Reftext"/>
        <w:tabs>
          <w:tab w:val="clear" w:pos="794"/>
          <w:tab w:val="clear" w:pos="1191"/>
          <w:tab w:val="clear" w:pos="1588"/>
        </w:tabs>
        <w:ind w:left="1588" w:hanging="1588"/>
        <w:rPr>
          <w:i/>
          <w:iCs/>
        </w:rPr>
      </w:pPr>
      <w:bookmarkStart w:id="20" w:name="_Toc401158820"/>
      <w:r w:rsidRPr="00EB26A6">
        <w:t>[ITU-T D.262]</w:t>
      </w:r>
      <w:r w:rsidR="00484ECE" w:rsidRPr="00EB26A6">
        <w:tab/>
      </w:r>
      <w:r w:rsidR="00484ECE" w:rsidRPr="00EB26A6">
        <w:tab/>
      </w:r>
      <w:r w:rsidRPr="00EB26A6">
        <w:t xml:space="preserve">Recommendation ITU-T D.262 (2019), </w:t>
      </w:r>
      <w:r w:rsidRPr="00EB26A6">
        <w:rPr>
          <w:i/>
          <w:iCs/>
        </w:rPr>
        <w:t>Collaborative framework for OTTs</w:t>
      </w:r>
      <w:r w:rsidR="00A974E1" w:rsidRPr="00EB26A6">
        <w:rPr>
          <w:i/>
          <w:iCs/>
        </w:rPr>
        <w:t>.</w:t>
      </w:r>
    </w:p>
    <w:p w14:paraId="0BF17816" w14:textId="6DFA463D" w:rsidR="008B0F21" w:rsidRPr="00DC3D0C" w:rsidRDefault="008B0F21" w:rsidP="00A974E1">
      <w:pPr>
        <w:pStyle w:val="Reftext"/>
        <w:tabs>
          <w:tab w:val="clear" w:pos="794"/>
          <w:tab w:val="clear" w:pos="1191"/>
          <w:tab w:val="clear" w:pos="1588"/>
        </w:tabs>
        <w:ind w:left="1985" w:hanging="1985"/>
      </w:pPr>
      <w:r w:rsidRPr="00EB26A6">
        <w:t>[ITU-T D.1101]</w:t>
      </w:r>
      <w:r w:rsidR="00484ECE" w:rsidRPr="00EB26A6">
        <w:tab/>
      </w:r>
      <w:r w:rsidRPr="00EB26A6">
        <w:t xml:space="preserve">Recommendation ITU-T D.1101 (2020), </w:t>
      </w:r>
      <w:r w:rsidRPr="00EB26A6">
        <w:rPr>
          <w:i/>
          <w:iCs/>
        </w:rPr>
        <w:t>Enabling environment for voluntary commercial arrangements between telecommunication network operators and OTT providers</w:t>
      </w:r>
      <w:r w:rsidR="00A974E1" w:rsidRPr="00EB26A6">
        <w:rPr>
          <w:i/>
          <w:iCs/>
        </w:rPr>
        <w:t>.</w:t>
      </w:r>
    </w:p>
    <w:p w14:paraId="49989C30" w14:textId="54560A38" w:rsidR="008B0F21" w:rsidRPr="00E402B3" w:rsidRDefault="002D4F9F" w:rsidP="002153A7">
      <w:pPr>
        <w:pStyle w:val="Heading1"/>
        <w:tabs>
          <w:tab w:val="left" w:pos="760"/>
        </w:tabs>
      </w:pPr>
      <w:bookmarkStart w:id="21" w:name="_Toc169702172"/>
      <w:bookmarkStart w:id="22" w:name="_Toc169704789"/>
      <w:bookmarkStart w:id="23" w:name="_Toc175118331"/>
      <w:bookmarkStart w:id="24" w:name="_Toc190066095"/>
      <w:r>
        <w:t>3</w:t>
      </w:r>
      <w:r>
        <w:tab/>
      </w:r>
      <w:r w:rsidR="00A974E1">
        <w:t>D</w:t>
      </w:r>
      <w:r w:rsidR="008B0F21" w:rsidRPr="00E402B3">
        <w:t>efinitions</w:t>
      </w:r>
      <w:bookmarkEnd w:id="20"/>
      <w:bookmarkEnd w:id="21"/>
      <w:bookmarkEnd w:id="22"/>
      <w:bookmarkEnd w:id="23"/>
      <w:bookmarkEnd w:id="24"/>
    </w:p>
    <w:p w14:paraId="7EACC01D" w14:textId="10917DE5" w:rsidR="008B0F21" w:rsidRPr="00E402B3" w:rsidRDefault="002D4F9F" w:rsidP="00A974E1">
      <w:pPr>
        <w:pStyle w:val="Heading2"/>
      </w:pPr>
      <w:bookmarkStart w:id="25" w:name="_Toc401158821"/>
      <w:bookmarkStart w:id="26" w:name="_Toc169702173"/>
      <w:bookmarkStart w:id="27" w:name="_Toc169704790"/>
      <w:bookmarkStart w:id="28" w:name="_Toc175118332"/>
      <w:bookmarkStart w:id="29" w:name="_Toc190066096"/>
      <w:r>
        <w:t>3.1</w:t>
      </w:r>
      <w:r>
        <w:tab/>
      </w:r>
      <w:r w:rsidR="008B0F21" w:rsidRPr="00E402B3">
        <w:t>Terms defined elsewhere</w:t>
      </w:r>
      <w:bookmarkEnd w:id="25"/>
      <w:bookmarkEnd w:id="26"/>
      <w:bookmarkEnd w:id="27"/>
      <w:bookmarkEnd w:id="28"/>
      <w:bookmarkEnd w:id="29"/>
    </w:p>
    <w:p w14:paraId="44532134" w14:textId="39CA7F01" w:rsidR="008B0F21" w:rsidRDefault="008B0F21" w:rsidP="00A974E1">
      <w:r w:rsidRPr="0078001F">
        <w:t xml:space="preserve">This </w:t>
      </w:r>
      <w:r>
        <w:t>Technical Report</w:t>
      </w:r>
      <w:r w:rsidRPr="0078001F">
        <w:t xml:space="preserve"> uses the following term defined elsewhere</w:t>
      </w:r>
      <w:r>
        <w:t>:</w:t>
      </w:r>
    </w:p>
    <w:p w14:paraId="442DADB8" w14:textId="45D2F035" w:rsidR="008B0F21" w:rsidRDefault="008B0F21" w:rsidP="00A974E1">
      <w:r w:rsidRPr="009635CB">
        <w:rPr>
          <w:b/>
          <w:bCs/>
        </w:rPr>
        <w:t>3.1.</w:t>
      </w:r>
      <w:r>
        <w:rPr>
          <w:b/>
          <w:bCs/>
          <w:noProof/>
        </w:rPr>
        <w:t>1</w:t>
      </w:r>
      <w:r w:rsidRPr="009635CB">
        <w:rPr>
          <w:b/>
          <w:bCs/>
        </w:rPr>
        <w:tab/>
      </w:r>
      <w:r w:rsidRPr="002C5BDF">
        <w:rPr>
          <w:b/>
          <w:bCs/>
        </w:rPr>
        <w:t xml:space="preserve">over-the-top (OTT) </w:t>
      </w:r>
      <w:r w:rsidRPr="002C5BDF">
        <w:t>[ITU-T D.262]:</w:t>
      </w:r>
      <w:r>
        <w:t xml:space="preserve"> An application accessed and delivered over the public Internet that may be a direct technical/functional substitute for traditional international telecommunication services. </w:t>
      </w:r>
    </w:p>
    <w:p w14:paraId="276E3FEA" w14:textId="199FE46E" w:rsidR="008B0F21" w:rsidRDefault="008B0F21" w:rsidP="00A974E1">
      <w:pPr>
        <w:pStyle w:val="Note"/>
      </w:pPr>
      <w:r w:rsidRPr="00EC2378">
        <w:t>NOTE – This definition of OTT is a matter of national sovereignty and may vary among Member States.</w:t>
      </w:r>
    </w:p>
    <w:p w14:paraId="4B96C634" w14:textId="1AFC6776" w:rsidR="008B0F21" w:rsidRPr="00E402B3" w:rsidRDefault="002D4F9F" w:rsidP="00E402B3">
      <w:pPr>
        <w:pStyle w:val="Heading2"/>
      </w:pPr>
      <w:bookmarkStart w:id="30" w:name="_Toc401158822"/>
      <w:bookmarkStart w:id="31" w:name="_Toc169702174"/>
      <w:bookmarkStart w:id="32" w:name="_Toc169704791"/>
      <w:bookmarkStart w:id="33" w:name="_Toc175118333"/>
      <w:bookmarkStart w:id="34" w:name="_Toc190066097"/>
      <w:r>
        <w:t>3.2</w:t>
      </w:r>
      <w:r>
        <w:tab/>
      </w:r>
      <w:r w:rsidR="008B0F21" w:rsidRPr="00E402B3">
        <w:t xml:space="preserve">Terms defined </w:t>
      </w:r>
      <w:bookmarkEnd w:id="30"/>
      <w:bookmarkEnd w:id="31"/>
      <w:bookmarkEnd w:id="32"/>
      <w:r w:rsidR="00A974E1">
        <w:t>in this Technical Report</w:t>
      </w:r>
      <w:bookmarkEnd w:id="33"/>
      <w:bookmarkEnd w:id="34"/>
    </w:p>
    <w:p w14:paraId="670E3067" w14:textId="77777777" w:rsidR="008B0F21" w:rsidRDefault="008B0F21" w:rsidP="00A974E1">
      <w:r>
        <w:t xml:space="preserve">None. </w:t>
      </w:r>
    </w:p>
    <w:p w14:paraId="4B104669" w14:textId="77777777" w:rsidR="00977E0B" w:rsidRDefault="002D4F9F">
      <w:pPr>
        <w:pStyle w:val="Heading1"/>
      </w:pPr>
      <w:bookmarkStart w:id="35" w:name="_Toc401158823"/>
      <w:bookmarkStart w:id="36" w:name="_Toc169702175"/>
      <w:bookmarkStart w:id="37" w:name="_Toc169704792"/>
      <w:bookmarkStart w:id="38" w:name="_Toc175118334"/>
      <w:bookmarkStart w:id="39" w:name="_Toc190066098"/>
      <w:r>
        <w:t>4</w:t>
      </w:r>
      <w:r>
        <w:tab/>
      </w:r>
      <w:r w:rsidR="008B0F21" w:rsidRPr="00E402B3">
        <w:t>Abbreviations</w:t>
      </w:r>
      <w:bookmarkEnd w:id="35"/>
      <w:bookmarkEnd w:id="36"/>
      <w:bookmarkEnd w:id="37"/>
      <w:r w:rsidR="00A974E1">
        <w:t xml:space="preserve"> and acronyms</w:t>
      </w:r>
      <w:bookmarkEnd w:id="38"/>
      <w:bookmarkEnd w:id="39"/>
      <w:r w:rsidR="009369E3" w:rsidRPr="009369E3">
        <w:t xml:space="preserve"> </w:t>
      </w:r>
    </w:p>
    <w:p w14:paraId="5ED1BC17" w14:textId="4D943DB6" w:rsidR="008B0F21" w:rsidRPr="003A6EEE" w:rsidRDefault="008B0F21" w:rsidP="00977E0B">
      <w:pPr>
        <w:rPr>
          <w:b/>
          <w:lang w:bidi="ar-DZ"/>
        </w:rPr>
      </w:pPr>
      <w:r w:rsidRPr="003A6EEE">
        <w:rPr>
          <w:lang w:bidi="ar-DZ"/>
        </w:rPr>
        <w:t>This Technical Report uses the following abbreviations and acronyms:</w:t>
      </w:r>
    </w:p>
    <w:p w14:paraId="27BA3F62" w14:textId="5768503D" w:rsidR="00A70D8B" w:rsidRDefault="00A70D8B" w:rsidP="00A974E1">
      <w:pPr>
        <w:tabs>
          <w:tab w:val="clear" w:pos="794"/>
        </w:tabs>
        <w:rPr>
          <w:lang w:bidi="ar-DZ"/>
        </w:rPr>
      </w:pPr>
      <w:r w:rsidRPr="00223B31">
        <w:rPr>
          <w:lang w:bidi="ar-DZ"/>
        </w:rPr>
        <w:t xml:space="preserve">DSB </w:t>
      </w:r>
      <w:r w:rsidRPr="00223B31">
        <w:rPr>
          <w:lang w:bidi="ar-DZ"/>
        </w:rPr>
        <w:tab/>
        <w:t xml:space="preserve">Dispute </w:t>
      </w:r>
      <w:r w:rsidR="007E3C65">
        <w:rPr>
          <w:lang w:bidi="ar-DZ"/>
        </w:rPr>
        <w:t xml:space="preserve">Settlement </w:t>
      </w:r>
      <w:r w:rsidRPr="00223B31">
        <w:rPr>
          <w:lang w:bidi="ar-DZ"/>
        </w:rPr>
        <w:t>Body</w:t>
      </w:r>
      <w:r>
        <w:rPr>
          <w:lang w:bidi="ar-DZ"/>
        </w:rPr>
        <w:t xml:space="preserve"> </w:t>
      </w:r>
    </w:p>
    <w:p w14:paraId="25929A43" w14:textId="677EE614" w:rsidR="008806AD" w:rsidRDefault="00A974E1" w:rsidP="008806AD">
      <w:pPr>
        <w:tabs>
          <w:tab w:val="clear" w:pos="794"/>
        </w:tabs>
        <w:rPr>
          <w:lang w:bidi="ar-DZ"/>
        </w:rPr>
      </w:pPr>
      <w:r w:rsidRPr="00DC3D0C">
        <w:rPr>
          <w:lang w:bidi="ar-DZ"/>
        </w:rPr>
        <w:t>FTA</w:t>
      </w:r>
      <w:r w:rsidRPr="00DC3D0C">
        <w:rPr>
          <w:lang w:bidi="ar-DZ"/>
        </w:rPr>
        <w:tab/>
        <w:t>Free-To-Air</w:t>
      </w:r>
      <w:r w:rsidR="008806AD" w:rsidRPr="008806AD">
        <w:rPr>
          <w:lang w:bidi="ar-DZ"/>
        </w:rPr>
        <w:t xml:space="preserve"> </w:t>
      </w:r>
    </w:p>
    <w:p w14:paraId="73D4FC56" w14:textId="4EB33285" w:rsidR="00A974E1" w:rsidRPr="00DC3D0C" w:rsidRDefault="00A974E1" w:rsidP="00A974E1">
      <w:pPr>
        <w:tabs>
          <w:tab w:val="clear" w:pos="794"/>
        </w:tabs>
        <w:rPr>
          <w:lang w:bidi="ar-DZ"/>
        </w:rPr>
      </w:pPr>
      <w:r w:rsidRPr="005F2856">
        <w:rPr>
          <w:lang w:bidi="ar-DZ"/>
        </w:rPr>
        <w:t>IPTV</w:t>
      </w:r>
      <w:r w:rsidRPr="00DC3D0C">
        <w:rPr>
          <w:lang w:bidi="ar-DZ"/>
        </w:rPr>
        <w:tab/>
      </w:r>
      <w:r w:rsidRPr="005F2856">
        <w:rPr>
          <w:lang w:bidi="ar-DZ"/>
        </w:rPr>
        <w:t>Internet Protocol</w:t>
      </w:r>
      <w:r w:rsidR="004B2D2A">
        <w:rPr>
          <w:lang w:bidi="ar-DZ"/>
        </w:rPr>
        <w:t xml:space="preserve"> T</w:t>
      </w:r>
      <w:r w:rsidRPr="005F2856">
        <w:rPr>
          <w:lang w:bidi="ar-DZ"/>
        </w:rPr>
        <w:t>elevision</w:t>
      </w:r>
    </w:p>
    <w:p w14:paraId="0A8B38E4" w14:textId="357B5E9E" w:rsidR="00C75AAE" w:rsidRDefault="00C75AAE" w:rsidP="00A974E1">
      <w:pPr>
        <w:tabs>
          <w:tab w:val="clear" w:pos="794"/>
        </w:tabs>
        <w:rPr>
          <w:lang w:bidi="ar-DZ"/>
        </w:rPr>
      </w:pPr>
      <w:r w:rsidRPr="00223B31">
        <w:rPr>
          <w:lang w:bidi="ar-DZ"/>
        </w:rPr>
        <w:t xml:space="preserve">ICT </w:t>
      </w:r>
      <w:r w:rsidRPr="00223B31">
        <w:rPr>
          <w:lang w:bidi="ar-DZ"/>
        </w:rPr>
        <w:tab/>
        <w:t>Information and Communication Technology</w:t>
      </w:r>
      <w:r>
        <w:rPr>
          <w:lang w:bidi="ar-DZ"/>
        </w:rPr>
        <w:t xml:space="preserve"> </w:t>
      </w:r>
    </w:p>
    <w:p w14:paraId="4CE173A4" w14:textId="3BCB71BA" w:rsidR="00A974E1" w:rsidRDefault="00A974E1" w:rsidP="00A974E1">
      <w:pPr>
        <w:tabs>
          <w:tab w:val="clear" w:pos="794"/>
        </w:tabs>
        <w:rPr>
          <w:lang w:bidi="ar-DZ"/>
        </w:rPr>
      </w:pPr>
      <w:r>
        <w:rPr>
          <w:lang w:bidi="ar-DZ"/>
        </w:rPr>
        <w:t>ISP</w:t>
      </w:r>
      <w:r w:rsidRPr="005F2856">
        <w:rPr>
          <w:lang w:bidi="ar-DZ"/>
        </w:rPr>
        <w:tab/>
        <w:t xml:space="preserve">Internet </w:t>
      </w:r>
      <w:r w:rsidR="004B2D2A">
        <w:rPr>
          <w:lang w:bidi="ar-DZ"/>
        </w:rPr>
        <w:t>S</w:t>
      </w:r>
      <w:r w:rsidRPr="005F2856">
        <w:rPr>
          <w:lang w:bidi="ar-DZ"/>
        </w:rPr>
        <w:t xml:space="preserve">ervice </w:t>
      </w:r>
      <w:r w:rsidR="004B2D2A">
        <w:rPr>
          <w:lang w:bidi="ar-DZ"/>
        </w:rPr>
        <w:t>P</w:t>
      </w:r>
      <w:r w:rsidRPr="005F2856">
        <w:rPr>
          <w:lang w:bidi="ar-DZ"/>
        </w:rPr>
        <w:t>rovider</w:t>
      </w:r>
    </w:p>
    <w:p w14:paraId="001E32EC" w14:textId="1C74FE1C" w:rsidR="00A974E1" w:rsidRPr="00DC3D0C" w:rsidRDefault="00A974E1" w:rsidP="00A974E1">
      <w:pPr>
        <w:tabs>
          <w:tab w:val="clear" w:pos="794"/>
        </w:tabs>
        <w:rPr>
          <w:lang w:bidi="ar-DZ"/>
        </w:rPr>
      </w:pPr>
      <w:r w:rsidRPr="005F2856">
        <w:rPr>
          <w:lang w:bidi="ar-DZ"/>
        </w:rPr>
        <w:t>MMS</w:t>
      </w:r>
      <w:r w:rsidRPr="00DC3D0C">
        <w:rPr>
          <w:lang w:bidi="ar-DZ"/>
        </w:rPr>
        <w:tab/>
      </w:r>
      <w:r w:rsidRPr="005F2856">
        <w:rPr>
          <w:lang w:bidi="ar-DZ"/>
        </w:rPr>
        <w:t>Multimedia Messaging Service</w:t>
      </w:r>
    </w:p>
    <w:p w14:paraId="21944122" w14:textId="0731E356" w:rsidR="00A974E1" w:rsidRPr="00320C88" w:rsidRDefault="00A974E1" w:rsidP="00A974E1">
      <w:pPr>
        <w:tabs>
          <w:tab w:val="clear" w:pos="794"/>
        </w:tabs>
        <w:rPr>
          <w:lang w:bidi="ar-DZ"/>
        </w:rPr>
      </w:pPr>
      <w:r w:rsidRPr="00DC3D0C">
        <w:rPr>
          <w:lang w:bidi="ar-DZ"/>
        </w:rPr>
        <w:t>NRA</w:t>
      </w:r>
      <w:r w:rsidRPr="00DC3D0C">
        <w:rPr>
          <w:lang w:bidi="ar-DZ"/>
        </w:rPr>
        <w:tab/>
        <w:t>National Regulatory Authority</w:t>
      </w:r>
    </w:p>
    <w:p w14:paraId="4F936E13" w14:textId="5AE46BD9" w:rsidR="00A974E1" w:rsidRPr="00320C88" w:rsidRDefault="00A974E1" w:rsidP="00A974E1">
      <w:pPr>
        <w:tabs>
          <w:tab w:val="clear" w:pos="794"/>
        </w:tabs>
        <w:rPr>
          <w:lang w:bidi="ar-DZ"/>
        </w:rPr>
      </w:pPr>
      <w:r w:rsidRPr="00DC3D0C">
        <w:rPr>
          <w:lang w:bidi="ar-DZ"/>
        </w:rPr>
        <w:t>OTT</w:t>
      </w:r>
      <w:r w:rsidRPr="00320C88">
        <w:rPr>
          <w:lang w:bidi="ar-DZ"/>
        </w:rPr>
        <w:tab/>
      </w:r>
      <w:r w:rsidR="004B2D2A">
        <w:rPr>
          <w:lang w:bidi="ar-DZ"/>
        </w:rPr>
        <w:t>O</w:t>
      </w:r>
      <w:r w:rsidRPr="00DC3D0C">
        <w:rPr>
          <w:lang w:bidi="ar-DZ"/>
        </w:rPr>
        <w:t>ver-</w:t>
      </w:r>
      <w:r w:rsidR="004B2D2A">
        <w:rPr>
          <w:lang w:bidi="ar-DZ"/>
        </w:rPr>
        <w:t>T</w:t>
      </w:r>
      <w:r w:rsidRPr="00DC3D0C">
        <w:rPr>
          <w:lang w:bidi="ar-DZ"/>
        </w:rPr>
        <w:t>he-</w:t>
      </w:r>
      <w:r w:rsidR="004B2D2A">
        <w:rPr>
          <w:lang w:bidi="ar-DZ"/>
        </w:rPr>
        <w:t>T</w:t>
      </w:r>
      <w:r w:rsidRPr="00DC3D0C">
        <w:rPr>
          <w:lang w:bidi="ar-DZ"/>
        </w:rPr>
        <w:t>op</w:t>
      </w:r>
    </w:p>
    <w:p w14:paraId="65F2A405" w14:textId="0EEF1E80" w:rsidR="00A974E1" w:rsidRPr="00DC3D0C" w:rsidRDefault="00A974E1" w:rsidP="00A974E1">
      <w:pPr>
        <w:tabs>
          <w:tab w:val="clear" w:pos="794"/>
        </w:tabs>
        <w:rPr>
          <w:lang w:bidi="ar-DZ"/>
        </w:rPr>
      </w:pPr>
      <w:r w:rsidRPr="00A22455">
        <w:t>PSP</w:t>
      </w:r>
      <w:r w:rsidRPr="00DC3D0C">
        <w:rPr>
          <w:lang w:bidi="ar-DZ"/>
        </w:rPr>
        <w:tab/>
      </w:r>
      <w:r>
        <w:rPr>
          <w:lang w:bidi="ar-DZ"/>
        </w:rPr>
        <w:t>P</w:t>
      </w:r>
      <w:r w:rsidRPr="00A22455">
        <w:t xml:space="preserve">ayment </w:t>
      </w:r>
      <w:r>
        <w:t>S</w:t>
      </w:r>
      <w:r w:rsidRPr="00A22455">
        <w:t xml:space="preserve">ervice </w:t>
      </w:r>
      <w:r>
        <w:t>P</w:t>
      </w:r>
      <w:r w:rsidRPr="00A22455">
        <w:t>rovider</w:t>
      </w:r>
    </w:p>
    <w:p w14:paraId="288B3AD8" w14:textId="77777777" w:rsidR="00A974E1" w:rsidRPr="00DC3D0C" w:rsidRDefault="00A974E1" w:rsidP="00A974E1">
      <w:pPr>
        <w:tabs>
          <w:tab w:val="clear" w:pos="794"/>
        </w:tabs>
        <w:rPr>
          <w:lang w:bidi="ar-DZ"/>
        </w:rPr>
      </w:pPr>
      <w:r w:rsidRPr="005F2856">
        <w:rPr>
          <w:lang w:bidi="ar-DZ"/>
        </w:rPr>
        <w:t>SMS</w:t>
      </w:r>
      <w:r w:rsidRPr="00DC3D0C">
        <w:rPr>
          <w:lang w:bidi="ar-DZ"/>
        </w:rPr>
        <w:tab/>
      </w:r>
      <w:r w:rsidRPr="005F2856">
        <w:rPr>
          <w:lang w:bidi="ar-DZ"/>
        </w:rPr>
        <w:t>Short Message/Messaging Service</w:t>
      </w:r>
    </w:p>
    <w:p w14:paraId="005D40F2" w14:textId="77777777" w:rsidR="00A974E1" w:rsidRPr="005F2856" w:rsidRDefault="00A974E1" w:rsidP="00A974E1">
      <w:pPr>
        <w:tabs>
          <w:tab w:val="clear" w:pos="794"/>
        </w:tabs>
        <w:rPr>
          <w:lang w:bidi="ar-DZ"/>
        </w:rPr>
      </w:pPr>
      <w:r>
        <w:rPr>
          <w:lang w:bidi="ar-DZ"/>
        </w:rPr>
        <w:t>VAS</w:t>
      </w:r>
      <w:r w:rsidRPr="005F2856">
        <w:rPr>
          <w:lang w:bidi="ar-DZ"/>
        </w:rPr>
        <w:tab/>
      </w:r>
      <w:r w:rsidRPr="00845F33">
        <w:rPr>
          <w:lang w:bidi="ar-DZ"/>
        </w:rPr>
        <w:t>Value-Added Services</w:t>
      </w:r>
    </w:p>
    <w:p w14:paraId="14913A8A" w14:textId="77777777" w:rsidR="00A974E1" w:rsidRDefault="00A974E1" w:rsidP="00A974E1">
      <w:pPr>
        <w:tabs>
          <w:tab w:val="clear" w:pos="794"/>
        </w:tabs>
        <w:rPr>
          <w:lang w:bidi="ar-DZ"/>
        </w:rPr>
      </w:pPr>
      <w:r w:rsidRPr="006B302E">
        <w:rPr>
          <w:lang w:bidi="ar-DZ"/>
        </w:rPr>
        <w:t>VoD</w:t>
      </w:r>
      <w:r>
        <w:rPr>
          <w:lang w:bidi="ar-DZ"/>
        </w:rPr>
        <w:tab/>
      </w:r>
      <w:r w:rsidRPr="006B302E">
        <w:rPr>
          <w:lang w:bidi="ar-DZ"/>
        </w:rPr>
        <w:t>Video on Demand</w:t>
      </w:r>
    </w:p>
    <w:p w14:paraId="76FFEA01" w14:textId="69CBFAA0" w:rsidR="008B0F21" w:rsidRPr="00E402B3" w:rsidRDefault="002D4F9F" w:rsidP="00E402B3">
      <w:pPr>
        <w:pStyle w:val="Heading1"/>
      </w:pPr>
      <w:bookmarkStart w:id="40" w:name="_Toc169702176"/>
      <w:bookmarkStart w:id="41" w:name="_Toc169704793"/>
      <w:bookmarkStart w:id="42" w:name="_Toc175118335"/>
      <w:bookmarkStart w:id="43" w:name="_Toc190066099"/>
      <w:r>
        <w:t>5</w:t>
      </w:r>
      <w:r>
        <w:tab/>
      </w:r>
      <w:r w:rsidR="008B0F21" w:rsidRPr="00E402B3">
        <w:t>Introduction</w:t>
      </w:r>
      <w:bookmarkEnd w:id="40"/>
      <w:bookmarkEnd w:id="41"/>
      <w:bookmarkEnd w:id="42"/>
      <w:bookmarkEnd w:id="43"/>
      <w:r w:rsidR="008B0F21" w:rsidRPr="00E402B3">
        <w:t xml:space="preserve"> </w:t>
      </w:r>
    </w:p>
    <w:p w14:paraId="52C12AE3" w14:textId="223E17A7" w:rsidR="008B0F21" w:rsidRDefault="008B0F21" w:rsidP="00481E8C">
      <w:r w:rsidRPr="00713578">
        <w:t>A cross-border and constantly changing telecommunication/</w:t>
      </w:r>
      <w:r w:rsidR="00223B31">
        <w:t>information and communication technology (</w:t>
      </w:r>
      <w:r w:rsidRPr="00713578">
        <w:t>ICT</w:t>
      </w:r>
      <w:r w:rsidR="00223B31">
        <w:t>)</w:t>
      </w:r>
      <w:r w:rsidRPr="00713578">
        <w:t xml:space="preserve"> environment challenges not just the companies acting in the markets </w:t>
      </w:r>
      <w:r w:rsidR="00E123F3">
        <w:t>in</w:t>
      </w:r>
      <w:r w:rsidRPr="00713578">
        <w:t xml:space="preserve"> this ecosystem, but also the relationships among them. These relationships </w:t>
      </w:r>
      <w:r w:rsidR="00E123F3">
        <w:t xml:space="preserve">can </w:t>
      </w:r>
      <w:r w:rsidRPr="00713578">
        <w:t>sometimes lead to disputes among the agents</w:t>
      </w:r>
      <w:r>
        <w:t>.</w:t>
      </w:r>
    </w:p>
    <w:p w14:paraId="5797307D" w14:textId="0A83B6C5" w:rsidR="008B0F21" w:rsidRPr="00DC3D0C" w:rsidRDefault="008B0F21" w:rsidP="00481E8C">
      <w:r w:rsidRPr="00DC3D0C">
        <w:t>ITU</w:t>
      </w:r>
      <w:r>
        <w:t xml:space="preserve">-T </w:t>
      </w:r>
      <w:r w:rsidRPr="00DC3D0C">
        <w:t xml:space="preserve">Study Group 3 (SG3) </w:t>
      </w:r>
      <w:r w:rsidR="00793E7B">
        <w:t>has been</w:t>
      </w:r>
      <w:r w:rsidR="00793E7B" w:rsidRPr="00DC3D0C">
        <w:t xml:space="preserve"> </w:t>
      </w:r>
      <w:r w:rsidRPr="00DC3D0C">
        <w:t>committed to study</w:t>
      </w:r>
      <w:r w:rsidR="00E123F3">
        <w:t>ing</w:t>
      </w:r>
      <w:r w:rsidRPr="00DC3D0C">
        <w:t xml:space="preserve"> dispute resolution processes for a long time. Within </w:t>
      </w:r>
      <w:r w:rsidR="00793E7B">
        <w:t xml:space="preserve">the context of </w:t>
      </w:r>
      <w:r w:rsidRPr="00DC3D0C">
        <w:t>this work</w:t>
      </w:r>
      <w:r w:rsidR="00793E7B">
        <w:t>,</w:t>
      </w:r>
      <w:r w:rsidRPr="00DC3D0C">
        <w:t xml:space="preserve"> SG3 participants agreed about the need to study and underst</w:t>
      </w:r>
      <w:r w:rsidR="008727A9">
        <w:t>and</w:t>
      </w:r>
      <w:r w:rsidRPr="00DC3D0C">
        <w:t xml:space="preserve"> </w:t>
      </w:r>
      <w:bookmarkStart w:id="44" w:name="_Hlk121986477"/>
      <w:r w:rsidRPr="00DC3D0C">
        <w:t>dispute resolution between telecommunication operators and providers of OTTs</w:t>
      </w:r>
      <w:bookmarkEnd w:id="44"/>
      <w:r w:rsidRPr="00DC3D0C">
        <w:t>, and proposed a work item to deal with this task.</w:t>
      </w:r>
    </w:p>
    <w:p w14:paraId="5E2C0612" w14:textId="12441E0F" w:rsidR="008B0F21" w:rsidRPr="00DC3D0C" w:rsidRDefault="008B0F21" w:rsidP="00481E8C">
      <w:r w:rsidRPr="00DC3D0C">
        <w:t xml:space="preserve">This </w:t>
      </w:r>
      <w:r w:rsidR="00F81A3B">
        <w:t>Technical R</w:t>
      </w:r>
      <w:r w:rsidRPr="00F81A3B">
        <w:t>eport</w:t>
      </w:r>
      <w:r w:rsidRPr="00DC3D0C">
        <w:t xml:space="preserve"> (which results from that decision) seeks to provide </w:t>
      </w:r>
      <w:r w:rsidR="00E123F3">
        <w:t xml:space="preserve">the </w:t>
      </w:r>
      <w:r w:rsidRPr="00DC3D0C">
        <w:t>technical and policy background to the international community</w:t>
      </w:r>
      <w:r w:rsidR="00E123F3">
        <w:t>,</w:t>
      </w:r>
      <w:r w:rsidRPr="00DC3D0C">
        <w:t xml:space="preserve"> in both developed and developing countries</w:t>
      </w:r>
      <w:r w:rsidR="00E123F3">
        <w:t>,</w:t>
      </w:r>
      <w:r w:rsidRPr="00DC3D0C">
        <w:t xml:space="preserve"> </w:t>
      </w:r>
      <w:r w:rsidR="00E123F3">
        <w:t>on</w:t>
      </w:r>
      <w:r w:rsidR="00E123F3" w:rsidRPr="00DC3D0C">
        <w:t xml:space="preserve"> </w:t>
      </w:r>
      <w:r w:rsidRPr="00DC3D0C">
        <w:t>dispute resolution between telecommunication operators and providers of OTTs.</w:t>
      </w:r>
    </w:p>
    <w:p w14:paraId="59F1D87F" w14:textId="3361E813" w:rsidR="008B0F21" w:rsidRPr="00DC3D0C" w:rsidRDefault="008B0F21" w:rsidP="00481E8C">
      <w:r w:rsidRPr="00DC3D0C">
        <w:t xml:space="preserve">The </w:t>
      </w:r>
      <w:r w:rsidR="00F81A3B">
        <w:t>Technical R</w:t>
      </w:r>
      <w:r w:rsidRPr="00F81A3B">
        <w:t>eport</w:t>
      </w:r>
      <w:r w:rsidRPr="00DC3D0C">
        <w:t xml:space="preserve"> seeks to be descriptive rather than normative. It </w:t>
      </w:r>
      <w:r w:rsidR="00E123F3">
        <w:t>aims</w:t>
      </w:r>
      <w:r w:rsidRPr="00DC3D0C">
        <w:t xml:space="preserve"> to provide clear statements on the current state of play, and to identify suitable findings where appropriate</w:t>
      </w:r>
      <w:r w:rsidR="00C9522A">
        <w:t>. N</w:t>
      </w:r>
      <w:r w:rsidRPr="00DC3D0C">
        <w:t>onetheless, in many cases, it refrains from expressing findings</w:t>
      </w:r>
      <w:r w:rsidR="00C9522A">
        <w:t>.</w:t>
      </w:r>
      <w:r w:rsidRPr="00DC3D0C">
        <w:t xml:space="preserve"> </w:t>
      </w:r>
      <w:r w:rsidR="00C9522A">
        <w:t>E</w:t>
      </w:r>
      <w:r w:rsidRPr="00DC3D0C">
        <w:t xml:space="preserve">ven in instances where there is little dispute over the relevant facts, there may be multiple conflicting interpretations and narratives based on those facts. </w:t>
      </w:r>
      <w:r w:rsidRPr="00E212A3">
        <w:t xml:space="preserve">In any event, recommendations are clearly beyond the scope of this </w:t>
      </w:r>
      <w:r w:rsidR="00E212A3">
        <w:t>Technical R</w:t>
      </w:r>
      <w:r w:rsidRPr="00E212A3">
        <w:t>eport.</w:t>
      </w:r>
    </w:p>
    <w:p w14:paraId="2E0B78EC" w14:textId="3EBDD29E" w:rsidR="008B0F21" w:rsidRPr="00DC3D0C" w:rsidRDefault="008B0F21" w:rsidP="00481E8C">
      <w:r w:rsidRPr="00C24461">
        <w:t>In order to take the study to its current level,</w:t>
      </w:r>
      <w:r w:rsidRPr="00DC3D0C">
        <w:t xml:space="preserve"> it was necessary </w:t>
      </w:r>
      <w:r w:rsidR="00C9522A">
        <w:t xml:space="preserve">at times </w:t>
      </w:r>
      <w:r w:rsidRPr="00DC3D0C">
        <w:t xml:space="preserve">to resolve several interrelated scoping and definitional questions, at least on a tentative basis (but with the recognition that </w:t>
      </w:r>
      <w:r w:rsidR="00C9522A">
        <w:t xml:space="preserve">the </w:t>
      </w:r>
      <w:r w:rsidRPr="00DC3D0C">
        <w:t xml:space="preserve">tentative definitional conclusions for this study are without prejudice to any future regulatory definitions). </w:t>
      </w:r>
      <w:r w:rsidR="00D67219">
        <w:t>Th</w:t>
      </w:r>
      <w:r w:rsidR="005B4616">
        <w:t>e</w:t>
      </w:r>
      <w:r w:rsidR="00D67219">
        <w:t xml:space="preserve"> following </w:t>
      </w:r>
      <w:r w:rsidR="00E212A3">
        <w:t>are</w:t>
      </w:r>
      <w:r w:rsidR="00D67219">
        <w:t xml:space="preserve"> some of </w:t>
      </w:r>
      <w:r w:rsidRPr="00DC3D0C">
        <w:t>the issues that had to be addressed:</w:t>
      </w:r>
    </w:p>
    <w:p w14:paraId="092AC816" w14:textId="77777777" w:rsidR="008B0F21" w:rsidRPr="00DC3D0C" w:rsidRDefault="008B0F21" w:rsidP="00481E8C">
      <w:r w:rsidRPr="00DC3D0C">
        <w:t>What is the nature of the dispute?</w:t>
      </w:r>
    </w:p>
    <w:p w14:paraId="494A9902" w14:textId="42830714" w:rsidR="008B0F21" w:rsidRPr="00DC3D0C" w:rsidRDefault="008B0F21" w:rsidP="00481E8C">
      <w:r w:rsidRPr="00DC3D0C">
        <w:t xml:space="preserve">Given that there is a very wide range of disputes </w:t>
      </w:r>
      <w:r w:rsidR="00D67219">
        <w:t xml:space="preserve">that </w:t>
      </w:r>
      <w:r w:rsidRPr="00DC3D0C">
        <w:t xml:space="preserve">could </w:t>
      </w:r>
      <w:r w:rsidR="00D67219">
        <w:t>arise</w:t>
      </w:r>
      <w:r w:rsidRPr="00DC3D0C">
        <w:t xml:space="preserve"> </w:t>
      </w:r>
      <w:r w:rsidR="005B4616">
        <w:t xml:space="preserve">from </w:t>
      </w:r>
      <w:r w:rsidR="00D67219">
        <w:t xml:space="preserve">the </w:t>
      </w:r>
      <w:r w:rsidR="00D67219" w:rsidRPr="00DC3D0C">
        <w:t xml:space="preserve">interactions </w:t>
      </w:r>
      <w:r w:rsidR="00D67219">
        <w:t xml:space="preserve">between </w:t>
      </w:r>
      <w:r w:rsidRPr="00DC3D0C">
        <w:t>telecommunication operators and providers of OTTs, wh</w:t>
      </w:r>
      <w:r w:rsidR="00D67219">
        <w:t>ich</w:t>
      </w:r>
      <w:r w:rsidRPr="00DC3D0C">
        <w:t xml:space="preserve"> disputes should be viewed for purposes of this study?</w:t>
      </w:r>
    </w:p>
    <w:p w14:paraId="4DDCB13A" w14:textId="5F535F91" w:rsidR="008B0F21" w:rsidRPr="00DC3D0C" w:rsidRDefault="008B0F21" w:rsidP="00B074C6">
      <w:r w:rsidRPr="00DC3D0C">
        <w:t xml:space="preserve">How </w:t>
      </w:r>
      <w:r w:rsidR="005B4616">
        <w:t xml:space="preserve">do </w:t>
      </w:r>
      <w:r w:rsidRPr="00DC3D0C">
        <w:t>challenges relat</w:t>
      </w:r>
      <w:r w:rsidR="00F81A3B">
        <w:t>ing</w:t>
      </w:r>
      <w:r w:rsidRPr="00DC3D0C">
        <w:t xml:space="preserve"> to </w:t>
      </w:r>
      <w:r w:rsidR="00F81A3B">
        <w:t xml:space="preserve">the </w:t>
      </w:r>
      <w:r w:rsidRPr="00DC3D0C">
        <w:t xml:space="preserve">competence/authority to handle dispute resolution between telecommunication operators and providers of OTTs affect the </w:t>
      </w:r>
      <w:r w:rsidR="005B4616">
        <w:t>re</w:t>
      </w:r>
      <w:r w:rsidRPr="00DC3D0C">
        <w:t>solution of the dispute?</w:t>
      </w:r>
    </w:p>
    <w:p w14:paraId="2687CD32" w14:textId="6B41A38D" w:rsidR="008B0F21" w:rsidRPr="00DC3D0C" w:rsidRDefault="008B0F21" w:rsidP="00B074C6">
      <w:r w:rsidRPr="00DC3D0C">
        <w:t>Specific aspects that are explored or provided include:</w:t>
      </w:r>
    </w:p>
    <w:p w14:paraId="42D7C9CF" w14:textId="1C8634BD" w:rsidR="008B0F21" w:rsidRPr="00DC3D0C" w:rsidRDefault="00F24A88" w:rsidP="00F24A88">
      <w:pPr>
        <w:pStyle w:val="enumlev1"/>
      </w:pPr>
      <w:r>
        <w:t>–</w:t>
      </w:r>
      <w:r>
        <w:tab/>
      </w:r>
      <w:r w:rsidR="005B4616">
        <w:t xml:space="preserve">the </w:t>
      </w:r>
      <w:r w:rsidR="008B0F21">
        <w:t>n</w:t>
      </w:r>
      <w:r w:rsidR="008B0F21" w:rsidRPr="00DC3D0C">
        <w:t>ature of the dispute resolution between telecommunication operators and providers of OTTs (</w:t>
      </w:r>
      <w:r>
        <w:t>clause </w:t>
      </w:r>
      <w:r w:rsidR="008B0F21" w:rsidRPr="00A22455">
        <w:t>6</w:t>
      </w:r>
      <w:r w:rsidR="008B0F21" w:rsidRPr="00DC3D0C">
        <w:t>);</w:t>
      </w:r>
    </w:p>
    <w:p w14:paraId="6B65F173" w14:textId="63A20230" w:rsidR="008B0F21" w:rsidRPr="00DC3D0C" w:rsidRDefault="00F24A88" w:rsidP="00F24A88">
      <w:pPr>
        <w:pStyle w:val="enumlev1"/>
      </w:pPr>
      <w:r>
        <w:t>–</w:t>
      </w:r>
      <w:r>
        <w:tab/>
      </w:r>
      <w:r w:rsidR="005B4616">
        <w:t xml:space="preserve">the </w:t>
      </w:r>
      <w:r w:rsidR="008B0F21" w:rsidRPr="00DC3D0C">
        <w:t>competence to handle the dispute</w:t>
      </w:r>
      <w:r w:rsidR="008B0F21">
        <w:t xml:space="preserve"> resolution</w:t>
      </w:r>
      <w:r w:rsidR="008B0F21" w:rsidRPr="00DC3D0C">
        <w:t xml:space="preserve"> (</w:t>
      </w:r>
      <w:r>
        <w:t>clause</w:t>
      </w:r>
      <w:r w:rsidR="008B0F21" w:rsidRPr="00DC3D0C">
        <w:t xml:space="preserve"> </w:t>
      </w:r>
      <w:r w:rsidR="00884177">
        <w:t>8</w:t>
      </w:r>
      <w:r w:rsidR="008B0F21" w:rsidRPr="00DC3D0C">
        <w:t>);</w:t>
      </w:r>
    </w:p>
    <w:p w14:paraId="40ECAE28" w14:textId="5137D3FD" w:rsidR="008B0F21" w:rsidRPr="00DC3D0C" w:rsidRDefault="00F24A88" w:rsidP="00F24A88">
      <w:pPr>
        <w:pStyle w:val="enumlev1"/>
      </w:pPr>
      <w:r>
        <w:t>–</w:t>
      </w:r>
      <w:r>
        <w:tab/>
      </w:r>
      <w:r w:rsidR="008B0F21" w:rsidRPr="00DC3D0C">
        <w:t>principles for dispute resolution (</w:t>
      </w:r>
      <w:r>
        <w:t>clause</w:t>
      </w:r>
      <w:r w:rsidR="008B0F21" w:rsidRPr="00DC3D0C">
        <w:t xml:space="preserve"> </w:t>
      </w:r>
      <w:r w:rsidR="00F073FF">
        <w:t>9</w:t>
      </w:r>
      <w:r w:rsidR="008B0F21" w:rsidRPr="00DC3D0C">
        <w:t>);</w:t>
      </w:r>
      <w:r w:rsidR="003D7E80">
        <w:t xml:space="preserve"> and</w:t>
      </w:r>
    </w:p>
    <w:p w14:paraId="52E2053A" w14:textId="49F7AD2A" w:rsidR="008B0F21" w:rsidRPr="00DC3D0C" w:rsidRDefault="00F24A88" w:rsidP="00F24A88">
      <w:pPr>
        <w:pStyle w:val="enumlev1"/>
      </w:pPr>
      <w:r>
        <w:t>–</w:t>
      </w:r>
      <w:r>
        <w:tab/>
      </w:r>
      <w:r w:rsidR="008B0F21" w:rsidRPr="00DC3D0C">
        <w:t>mechanism</w:t>
      </w:r>
      <w:r w:rsidR="00867CF6">
        <w:t>s</w:t>
      </w:r>
      <w:r w:rsidR="008B0F21" w:rsidRPr="00DC3D0C">
        <w:t xml:space="preserve"> for dispute resolution (</w:t>
      </w:r>
      <w:r>
        <w:t>clause</w:t>
      </w:r>
      <w:r w:rsidR="008B0F21" w:rsidRPr="00DC3D0C">
        <w:t xml:space="preserve"> </w:t>
      </w:r>
      <w:r w:rsidR="00F073FF">
        <w:t>10</w:t>
      </w:r>
      <w:r w:rsidR="008B0F21" w:rsidRPr="00DC3D0C">
        <w:t>)</w:t>
      </w:r>
      <w:r w:rsidR="00E01E9C">
        <w:t>.</w:t>
      </w:r>
    </w:p>
    <w:p w14:paraId="49C082B8" w14:textId="5922824D" w:rsidR="008B0F21" w:rsidRPr="00DC3D0C" w:rsidRDefault="00DC4B8D" w:rsidP="00B074C6">
      <w:r w:rsidRPr="001C54B4">
        <w:t>The e</w:t>
      </w:r>
      <w:r w:rsidR="008B0F21" w:rsidRPr="001C54B4">
        <w:t>conomic impact of OTTs</w:t>
      </w:r>
      <w:r w:rsidR="0073135F">
        <w:rPr>
          <w:rStyle w:val="FootnoteReference"/>
        </w:rPr>
        <w:footnoteReference w:id="2"/>
      </w:r>
      <w:r w:rsidR="008B0F21" w:rsidRPr="001C54B4">
        <w:t xml:space="preserve"> is treated as being generally out of </w:t>
      </w:r>
      <w:r w:rsidR="00DF3691" w:rsidRPr="001C54B4">
        <w:t xml:space="preserve">the </w:t>
      </w:r>
      <w:r w:rsidR="008B0F21" w:rsidRPr="001C54B4">
        <w:t xml:space="preserve">scope </w:t>
      </w:r>
      <w:r w:rsidR="00DF3691" w:rsidRPr="001C54B4">
        <w:t>of</w:t>
      </w:r>
      <w:r w:rsidR="008B0F21" w:rsidRPr="001C54B4">
        <w:t xml:space="preserve"> this </w:t>
      </w:r>
      <w:r w:rsidR="00F81A3B" w:rsidRPr="001C54B4">
        <w:t>Technical R</w:t>
      </w:r>
      <w:r w:rsidR="008B0F21" w:rsidRPr="001C54B4">
        <w:t>eport; however, it was necessary to mention it in passing at several points.</w:t>
      </w:r>
      <w:r w:rsidR="00D16BE5">
        <w:t xml:space="preserve"> </w:t>
      </w:r>
    </w:p>
    <w:p w14:paraId="7963A03C" w14:textId="6413B18A" w:rsidR="008B0F21" w:rsidRPr="00DC3D0C" w:rsidRDefault="008B0F21" w:rsidP="00B074C6">
      <w:bookmarkStart w:id="45" w:name="_Hlk187157085"/>
      <w:r w:rsidRPr="00DC3D0C">
        <w:t xml:space="preserve">Additionally, </w:t>
      </w:r>
      <w:r w:rsidR="00D4568B">
        <w:t>it is</w:t>
      </w:r>
      <w:r w:rsidR="00D4568B" w:rsidRPr="00DC3D0C">
        <w:t xml:space="preserve"> </w:t>
      </w:r>
      <w:r w:rsidRPr="00DC3D0C">
        <w:t>i</w:t>
      </w:r>
      <w:r w:rsidR="001E1FD9">
        <w:t>mportant</w:t>
      </w:r>
      <w:r w:rsidRPr="00DC3D0C">
        <w:t xml:space="preserve"> to clarify that the agents </w:t>
      </w:r>
      <w:r w:rsidR="00DF3691">
        <w:t>themselves</w:t>
      </w:r>
      <w:r w:rsidRPr="00DC3D0C">
        <w:t xml:space="preserve"> </w:t>
      </w:r>
      <w:r w:rsidR="00DF3691">
        <w:t xml:space="preserve">can </w:t>
      </w:r>
      <w:r w:rsidRPr="00DC3D0C">
        <w:t>always</w:t>
      </w:r>
      <w:r w:rsidR="00DF3691">
        <w:t xml:space="preserve"> </w:t>
      </w:r>
      <w:r w:rsidRPr="00DC3D0C">
        <w:t>solve disputes through mechanisms that do not require intervention from a third body, through any mechanism</w:t>
      </w:r>
      <w:r w:rsidR="00DA4E87">
        <w:t>s</w:t>
      </w:r>
      <w:r w:rsidRPr="00DC3D0C">
        <w:t xml:space="preserve"> established in bilateral contracts. </w:t>
      </w:r>
      <w:bookmarkEnd w:id="45"/>
      <w:r w:rsidRPr="00DC3D0C">
        <w:t>This condition does not exclude govern</w:t>
      </w:r>
      <w:r w:rsidR="00A52A9E">
        <w:t>ing</w:t>
      </w:r>
      <w:r w:rsidRPr="00DC3D0C">
        <w:t xml:space="preserve"> bodies from establishing dispute resolution procedures, especially in environments where the agents could be exposed to significantly unbalanced relationships.</w:t>
      </w:r>
    </w:p>
    <w:p w14:paraId="7E07245D" w14:textId="6B0F70D2" w:rsidR="008B0F21" w:rsidRPr="00E402B3" w:rsidRDefault="002D4F9F" w:rsidP="00E402B3">
      <w:pPr>
        <w:pStyle w:val="Heading1"/>
      </w:pPr>
      <w:bookmarkStart w:id="46" w:name="_Toc169702177"/>
      <w:bookmarkStart w:id="47" w:name="_Toc169704794"/>
      <w:bookmarkStart w:id="48" w:name="_Toc175118336"/>
      <w:bookmarkStart w:id="49" w:name="_Toc190066100"/>
      <w:r>
        <w:t>6</w:t>
      </w:r>
      <w:r>
        <w:tab/>
      </w:r>
      <w:r w:rsidR="0041420D">
        <w:t>The n</w:t>
      </w:r>
      <w:r w:rsidR="008B0F21" w:rsidRPr="00E402B3">
        <w:t>ature of dispute resolution between telecommunication operators and providers of OTTs</w:t>
      </w:r>
      <w:bookmarkEnd w:id="46"/>
      <w:bookmarkEnd w:id="47"/>
      <w:bookmarkEnd w:id="48"/>
      <w:bookmarkEnd w:id="49"/>
    </w:p>
    <w:p w14:paraId="09F243A9" w14:textId="5CF2A69D" w:rsidR="008B0F21" w:rsidRPr="00DC3D0C" w:rsidRDefault="008B0F21" w:rsidP="00B074C6">
      <w:r w:rsidRPr="00DC3D0C">
        <w:t xml:space="preserve">By </w:t>
      </w:r>
      <w:r w:rsidR="0041420D">
        <w:t xml:space="preserve">their </w:t>
      </w:r>
      <w:r w:rsidRPr="00DC3D0C">
        <w:t xml:space="preserve">nature, conflicts among market agents can arise from any interaction </w:t>
      </w:r>
      <w:r w:rsidR="0041420D">
        <w:t xml:space="preserve">between </w:t>
      </w:r>
      <w:r w:rsidRPr="00DC3D0C">
        <w:t>them, even when such interactions are indirect. Tak</w:t>
      </w:r>
      <w:r w:rsidR="00D4568B">
        <w:t>ing</w:t>
      </w:r>
      <w:r w:rsidRPr="00DC3D0C">
        <w:t xml:space="preserve"> this into account</w:t>
      </w:r>
      <w:r w:rsidR="00D4568B">
        <w:t>,</w:t>
      </w:r>
      <w:r w:rsidRPr="00DC3D0C">
        <w:t xml:space="preserve"> </w:t>
      </w:r>
      <w:r w:rsidR="00D4568B">
        <w:t>it is</w:t>
      </w:r>
      <w:r w:rsidR="00D4568B" w:rsidRPr="00DC3D0C">
        <w:t xml:space="preserve"> </w:t>
      </w:r>
      <w:r w:rsidRPr="00DC3D0C">
        <w:t xml:space="preserve">important to identify the value chain to be considered for the purpose of this </w:t>
      </w:r>
      <w:r w:rsidR="00F81A3B">
        <w:t xml:space="preserve">Technical </w:t>
      </w:r>
      <w:r w:rsidR="00F81A3B" w:rsidRPr="00C24461">
        <w:t>R</w:t>
      </w:r>
      <w:r w:rsidRPr="00C24461">
        <w:t>eport</w:t>
      </w:r>
      <w:r w:rsidRPr="00DC3D0C">
        <w:t>.</w:t>
      </w:r>
      <w:r w:rsidR="0030139D">
        <w:t xml:space="preserve"> </w:t>
      </w:r>
      <w:r w:rsidR="00031986">
        <w:t>T</w:t>
      </w:r>
      <w:r w:rsidRPr="00DC3D0C">
        <w:t>he objective here is to discuss aspects relat</w:t>
      </w:r>
      <w:r w:rsidR="005456BB">
        <w:t>ing</w:t>
      </w:r>
      <w:r w:rsidRPr="00DC3D0C">
        <w:t xml:space="preserve"> to dispute resolutions between telecommunication operators and providers of OTTs</w:t>
      </w:r>
      <w:r w:rsidR="00BC5F9C">
        <w:t>, without addressing changes in the digital environment or how these impact the value chain</w:t>
      </w:r>
      <w:r w:rsidRPr="00DC3D0C">
        <w:t>.</w:t>
      </w:r>
    </w:p>
    <w:p w14:paraId="2E1A52C8" w14:textId="6DB4F561" w:rsidR="008B0F21" w:rsidRDefault="008B0F21" w:rsidP="00977E0B">
      <w:r w:rsidRPr="00DC3D0C">
        <w:t>Tak</w:t>
      </w:r>
      <w:r w:rsidR="00FA25C3">
        <w:t>ing</w:t>
      </w:r>
      <w:r w:rsidRPr="00DC3D0C">
        <w:t xml:space="preserve"> this into account, a high-level view of the communications value chain </w:t>
      </w:r>
      <w:r w:rsidR="007B55D3">
        <w:t xml:space="preserve">is </w:t>
      </w:r>
      <w:r w:rsidRPr="00DC3D0C">
        <w:t xml:space="preserve">proposed by the consultancy </w:t>
      </w:r>
      <w:r w:rsidRPr="002153A7">
        <w:rPr>
          <w:iCs/>
        </w:rPr>
        <w:t>Analysys Mason</w:t>
      </w:r>
      <w:r w:rsidRPr="00DC3D0C">
        <w:t xml:space="preserve"> </w:t>
      </w:r>
      <w:r w:rsidR="002911BF">
        <w:t>in</w:t>
      </w:r>
      <w:r w:rsidRPr="00DC3D0C">
        <w:t xml:space="preserve"> </w:t>
      </w:r>
      <w:r w:rsidR="00B472AB">
        <w:t>its</w:t>
      </w:r>
      <w:r w:rsidRPr="00DC3D0C">
        <w:t xml:space="preserve"> report for Ofcom (UK) – Digital Communications Value Chains</w:t>
      </w:r>
      <w:r w:rsidR="00F24A88">
        <w:rPr>
          <w:rStyle w:val="FootnoteReference"/>
        </w:rPr>
        <w:footnoteReference w:id="3"/>
      </w:r>
      <w:r w:rsidRPr="00DC3D0C">
        <w:t>.</w:t>
      </w:r>
      <w:r w:rsidR="007B55D3">
        <w:t xml:space="preserve"> </w:t>
      </w:r>
    </w:p>
    <w:p w14:paraId="1E032826" w14:textId="34443B76" w:rsidR="008B0F21" w:rsidRPr="00DC3D0C" w:rsidRDefault="008B0F21" w:rsidP="00977E0B">
      <w:r w:rsidRPr="00DC3D0C">
        <w:t xml:space="preserve">For the purposes of this </w:t>
      </w:r>
      <w:r w:rsidR="00F81A3B">
        <w:t>Technical R</w:t>
      </w:r>
      <w:r w:rsidRPr="00DC3D0C">
        <w:t xml:space="preserve">eport, </w:t>
      </w:r>
      <w:r w:rsidR="00E212A3">
        <w:t xml:space="preserve">the </w:t>
      </w:r>
      <w:r w:rsidRPr="00DC3D0C">
        <w:t>focus</w:t>
      </w:r>
      <w:r w:rsidR="00E212A3">
        <w:t xml:space="preserve"> is</w:t>
      </w:r>
      <w:r w:rsidRPr="00DC3D0C">
        <w:t xml:space="preserve"> </w:t>
      </w:r>
      <w:r w:rsidR="00B472AB">
        <w:t>on</w:t>
      </w:r>
      <w:r w:rsidRPr="00DC3D0C">
        <w:t xml:space="preserve"> the </w:t>
      </w:r>
      <w:r w:rsidR="00E212A3">
        <w:t>c</w:t>
      </w:r>
      <w:r w:rsidRPr="002153A7">
        <w:rPr>
          <w:iCs/>
        </w:rPr>
        <w:t>ompetition between online and traditional services</w:t>
      </w:r>
      <w:r w:rsidRPr="00DC3D0C">
        <w:t xml:space="preserve"> along with the related relationships</w:t>
      </w:r>
      <w:r w:rsidR="00613E69">
        <w:rPr>
          <w:rStyle w:val="FootnoteReference"/>
        </w:rPr>
        <w:footnoteReference w:id="4"/>
      </w:r>
      <w:r w:rsidRPr="00DC3D0C">
        <w:t xml:space="preserve">. As </w:t>
      </w:r>
      <w:r w:rsidR="00E212A3">
        <w:t xml:space="preserve">can be </w:t>
      </w:r>
      <w:r w:rsidRPr="00DC3D0C">
        <w:t>note</w:t>
      </w:r>
      <w:r w:rsidR="00E212A3">
        <w:t>d</w:t>
      </w:r>
      <w:r w:rsidRPr="00DC3D0C">
        <w:t>, there are several interactions identified in this value chain, some related to direct competition and other</w:t>
      </w:r>
      <w:r w:rsidR="00B472AB">
        <w:t>s</w:t>
      </w:r>
      <w:r w:rsidRPr="00DC3D0C">
        <w:t xml:space="preserve"> related to relationships to access suppliers or demanders.</w:t>
      </w:r>
    </w:p>
    <w:p w14:paraId="7A27F24C" w14:textId="38A9F024" w:rsidR="008B0F21" w:rsidRPr="00DC3D0C" w:rsidRDefault="008B0F21" w:rsidP="00613E69">
      <w:r w:rsidRPr="00DC3D0C">
        <w:t>Tak</w:t>
      </w:r>
      <w:r w:rsidR="00054DAA">
        <w:t>ing</w:t>
      </w:r>
      <w:r w:rsidRPr="00DC3D0C">
        <w:t xml:space="preserve"> this into account, it</w:t>
      </w:r>
      <w:r w:rsidR="000B6046">
        <w:t xml:space="preserve"> is</w:t>
      </w:r>
      <w:r w:rsidR="006C429E">
        <w:t xml:space="preserve"> </w:t>
      </w:r>
      <w:r w:rsidRPr="00DC3D0C">
        <w:t>possible to identify, in a very hard and concise exercise, the following likely sources of disputes:</w:t>
      </w:r>
    </w:p>
    <w:p w14:paraId="69874C29" w14:textId="32520535" w:rsidR="008B0F21" w:rsidRPr="00DC3D0C" w:rsidRDefault="00613E69" w:rsidP="00613E69">
      <w:pPr>
        <w:pStyle w:val="enumlev1"/>
      </w:pPr>
      <w:r>
        <w:t>–</w:t>
      </w:r>
      <w:r>
        <w:tab/>
      </w:r>
      <w:r w:rsidR="008B0F21" w:rsidRPr="00DC3D0C">
        <w:t>Disputes as</w:t>
      </w:r>
      <w:r w:rsidR="006C429E">
        <w:t xml:space="preserve"> a</w:t>
      </w:r>
      <w:r w:rsidR="008B0F21" w:rsidRPr="00DC3D0C">
        <w:t xml:space="preserve"> result of direct competition. </w:t>
      </w:r>
    </w:p>
    <w:p w14:paraId="0681B929" w14:textId="2C9A7015" w:rsidR="008B0F21" w:rsidRPr="00DC3D0C" w:rsidRDefault="00613E69" w:rsidP="00613E69">
      <w:pPr>
        <w:pStyle w:val="enumlev2"/>
      </w:pPr>
      <w:r>
        <w:t>•</w:t>
      </w:r>
      <w:r>
        <w:tab/>
      </w:r>
      <w:r w:rsidR="008B0F21" w:rsidRPr="00DC3D0C">
        <w:t xml:space="preserve">Disputes arising from the interaction of the agents as competitors (interconnection), or </w:t>
      </w:r>
    </w:p>
    <w:p w14:paraId="39A8FB77" w14:textId="2961F310" w:rsidR="008B0F21" w:rsidRPr="00DC3D0C" w:rsidRDefault="00613E69" w:rsidP="00613E69">
      <w:pPr>
        <w:pStyle w:val="enumlev2"/>
      </w:pPr>
      <w:r>
        <w:t>•</w:t>
      </w:r>
      <w:r>
        <w:tab/>
      </w:r>
      <w:r w:rsidR="008B0F21" w:rsidRPr="00DC3D0C">
        <w:t>Disputes arising from agents</w:t>
      </w:r>
      <w:r w:rsidR="00977E0B">
        <w:t>'</w:t>
      </w:r>
      <w:r w:rsidR="008B0F21" w:rsidRPr="00DC3D0C">
        <w:t xml:space="preserve"> complain</w:t>
      </w:r>
      <w:r w:rsidR="00962A20">
        <w:t>ts</w:t>
      </w:r>
      <w:r w:rsidR="008B0F21" w:rsidRPr="00DC3D0C">
        <w:t xml:space="preserve"> about different regimes (legal, regulatory, etc.) </w:t>
      </w:r>
      <w:r w:rsidR="00054DAA">
        <w:t>to</w:t>
      </w:r>
      <w:r w:rsidR="00054DAA" w:rsidRPr="00DC3D0C">
        <w:t xml:space="preserve"> </w:t>
      </w:r>
      <w:r w:rsidR="008B0F21" w:rsidRPr="00DC3D0C">
        <w:t>which each one is exposed.</w:t>
      </w:r>
    </w:p>
    <w:p w14:paraId="22C3C618" w14:textId="3BEF8DFB" w:rsidR="008B0F21" w:rsidRPr="00DC3D0C" w:rsidRDefault="00613E69" w:rsidP="00613E69">
      <w:pPr>
        <w:pStyle w:val="enumlev1"/>
      </w:pPr>
      <w:r>
        <w:t>–</w:t>
      </w:r>
      <w:r>
        <w:tab/>
      </w:r>
      <w:r w:rsidR="008B0F21" w:rsidRPr="00DC3D0C">
        <w:t xml:space="preserve">Disputes as </w:t>
      </w:r>
      <w:r w:rsidR="006C429E">
        <w:t xml:space="preserve">a </w:t>
      </w:r>
      <w:r w:rsidR="008B0F21" w:rsidRPr="00DC3D0C">
        <w:t>result of access to suppliers or demanders.</w:t>
      </w:r>
    </w:p>
    <w:p w14:paraId="4B935398" w14:textId="39D2A02B" w:rsidR="008B0F21" w:rsidRPr="00DC3D0C" w:rsidRDefault="00613E69" w:rsidP="00613E69">
      <w:pPr>
        <w:pStyle w:val="enumlev2"/>
      </w:pPr>
      <w:r>
        <w:t>•</w:t>
      </w:r>
      <w:r>
        <w:tab/>
      </w:r>
      <w:r w:rsidR="008B0F21" w:rsidRPr="00DC3D0C">
        <w:t>Disputes arising from agents</w:t>
      </w:r>
      <w:r w:rsidR="003B20E0">
        <w:t>'</w:t>
      </w:r>
      <w:r w:rsidR="008B0F21" w:rsidRPr="00DC3D0C">
        <w:t xml:space="preserve"> complain</w:t>
      </w:r>
      <w:r w:rsidR="008656BB">
        <w:t>t</w:t>
      </w:r>
      <w:r w:rsidR="008B0F21" w:rsidRPr="00DC3D0C">
        <w:t>s about access (denial or unfair conditions) to suppliers or demanders</w:t>
      </w:r>
      <w:r w:rsidR="00962A20">
        <w:t>. T</w:t>
      </w:r>
      <w:r w:rsidR="008B0F21" w:rsidRPr="00DC3D0C">
        <w:t>his could be emphasized when an agent act</w:t>
      </w:r>
      <w:r w:rsidR="00962A20">
        <w:t>s</w:t>
      </w:r>
      <w:r w:rsidR="008B0F21" w:rsidRPr="00DC3D0C">
        <w:t xml:space="preserve"> </w:t>
      </w:r>
      <w:r w:rsidR="004D5EC2">
        <w:t>at</w:t>
      </w:r>
      <w:r w:rsidR="008B0F21" w:rsidRPr="00DC3D0C">
        <w:t xml:space="preserve"> different levels of the value chain.</w:t>
      </w:r>
    </w:p>
    <w:p w14:paraId="37D3392B" w14:textId="15A6F97A" w:rsidR="008B0F21" w:rsidRPr="00DC3D0C" w:rsidRDefault="00823A78" w:rsidP="00E402B3">
      <w:pPr>
        <w:pStyle w:val="Heading1"/>
      </w:pPr>
      <w:bookmarkStart w:id="50" w:name="_Toc169702178"/>
      <w:bookmarkStart w:id="51" w:name="_Toc169704795"/>
      <w:bookmarkStart w:id="52" w:name="_Toc175118337"/>
      <w:bookmarkStart w:id="53" w:name="_Toc190066101"/>
      <w:r>
        <w:t>7</w:t>
      </w:r>
      <w:r>
        <w:tab/>
      </w:r>
      <w:r w:rsidR="008B0F21" w:rsidRPr="00DC3D0C">
        <w:t xml:space="preserve">What is the nature of </w:t>
      </w:r>
      <w:r w:rsidR="004D5EC2">
        <w:t xml:space="preserve">the </w:t>
      </w:r>
      <w:r w:rsidR="008B0F21" w:rsidRPr="00DC3D0C">
        <w:t>relationship between telecommunication operators and providers of OTTs</w:t>
      </w:r>
      <w:bookmarkEnd w:id="50"/>
      <w:bookmarkEnd w:id="51"/>
      <w:bookmarkEnd w:id="52"/>
      <w:r w:rsidR="00977E0B">
        <w:t>?</w:t>
      </w:r>
      <w:bookmarkEnd w:id="53"/>
    </w:p>
    <w:p w14:paraId="3D44F320" w14:textId="56BD646A" w:rsidR="008B0F21" w:rsidRPr="00DC3D0C" w:rsidRDefault="008B0F21" w:rsidP="00613E69">
      <w:r w:rsidRPr="00DC3D0C">
        <w:rPr>
          <w:rFonts w:hint="eastAsia"/>
        </w:rPr>
        <w:t xml:space="preserve">Based on the similarities and differences between the services and applications provided by </w:t>
      </w:r>
      <w:r w:rsidRPr="0005297F">
        <w:t>telecommunication operators and providers of OTTs</w:t>
      </w:r>
      <w:r w:rsidRPr="00DC3D0C">
        <w:rPr>
          <w:rFonts w:hint="eastAsia"/>
        </w:rPr>
        <w:t xml:space="preserve">, </w:t>
      </w:r>
      <w:r w:rsidR="00167E19">
        <w:t xml:space="preserve">it </w:t>
      </w:r>
      <w:r w:rsidRPr="00DC3D0C">
        <w:rPr>
          <w:rFonts w:hint="eastAsia"/>
        </w:rPr>
        <w:t xml:space="preserve">can </w:t>
      </w:r>
      <w:r w:rsidR="00167E19">
        <w:t xml:space="preserve">be </w:t>
      </w:r>
      <w:r w:rsidRPr="00DC3D0C">
        <w:rPr>
          <w:rFonts w:hint="eastAsia"/>
        </w:rPr>
        <w:t>affirm</w:t>
      </w:r>
      <w:r w:rsidR="00167E19">
        <w:t>ed,</w:t>
      </w:r>
      <w:r w:rsidRPr="00DC3D0C">
        <w:rPr>
          <w:rFonts w:hint="eastAsia"/>
        </w:rPr>
        <w:t xml:space="preserve"> on the one hand</w:t>
      </w:r>
      <w:r w:rsidR="00167E19">
        <w:t>,</w:t>
      </w:r>
      <w:r w:rsidRPr="00DC3D0C">
        <w:t xml:space="preserve"> that</w:t>
      </w:r>
      <w:r w:rsidRPr="00DC3D0C">
        <w:rPr>
          <w:rFonts w:hint="eastAsia"/>
        </w:rPr>
        <w:t xml:space="preserve"> there is a relationship of mutual advantage between </w:t>
      </w:r>
      <w:r w:rsidRPr="00DC3D0C">
        <w:t>them</w:t>
      </w:r>
      <w:r w:rsidRPr="00DC3D0C">
        <w:rPr>
          <w:rFonts w:hint="eastAsia"/>
        </w:rPr>
        <w:t xml:space="preserve">, since OTTs benefit from access networks in order to reach their customers and users, </w:t>
      </w:r>
      <w:r w:rsidR="00167E19">
        <w:t>which,</w:t>
      </w:r>
      <w:r w:rsidRPr="00DC3D0C">
        <w:rPr>
          <w:rFonts w:hint="eastAsia"/>
        </w:rPr>
        <w:t xml:space="preserve"> in turn, due to </w:t>
      </w:r>
      <w:r w:rsidRPr="00DC3D0C">
        <w:t xml:space="preserve">the </w:t>
      </w:r>
      <w:r w:rsidRPr="00DC3D0C">
        <w:rPr>
          <w:rFonts w:hint="eastAsia"/>
        </w:rPr>
        <w:t xml:space="preserve">phenomenon of significant increase in data demand, allows </w:t>
      </w:r>
      <w:r w:rsidRPr="0005297F">
        <w:t xml:space="preserve">telecommunication operators </w:t>
      </w:r>
      <w:r w:rsidRPr="00DC3D0C">
        <w:rPr>
          <w:rFonts w:hint="eastAsia"/>
        </w:rPr>
        <w:t xml:space="preserve">to increase the sale of network services and data transfer </w:t>
      </w:r>
      <w:r w:rsidRPr="00DC3D0C">
        <w:t xml:space="preserve">capacities </w:t>
      </w:r>
      <w:r w:rsidRPr="00DC3D0C">
        <w:rPr>
          <w:rFonts w:hint="eastAsia"/>
        </w:rPr>
        <w:t>to their respective customers, resulting in a significant incre</w:t>
      </w:r>
      <w:r w:rsidRPr="00DC3D0C">
        <w:t>ase in the overall telecommunication/ICT turnover</w:t>
      </w:r>
      <w:r w:rsidR="00DF5DA1">
        <w:t>, and thereby</w:t>
      </w:r>
      <w:r w:rsidRPr="00DC3D0C">
        <w:t xml:space="preserve"> testifying </w:t>
      </w:r>
      <w:r w:rsidR="00167E19">
        <w:t xml:space="preserve">to </w:t>
      </w:r>
      <w:r w:rsidRPr="00DC3D0C">
        <w:t>a cooperative relationship.</w:t>
      </w:r>
    </w:p>
    <w:p w14:paraId="576E18BE" w14:textId="03D2F8B0" w:rsidR="00C04FE9" w:rsidRDefault="008B0F21" w:rsidP="00C04FE9">
      <w:r w:rsidRPr="00DC3D0C">
        <w:rPr>
          <w:rFonts w:hint="eastAsia"/>
        </w:rPr>
        <w:t>However, this unprecedented increase in the total business value of the digital economy</w:t>
      </w:r>
      <w:r w:rsidR="00D015C3">
        <w:t>,</w:t>
      </w:r>
      <w:r w:rsidRPr="00DC3D0C">
        <w:rPr>
          <w:rFonts w:hint="eastAsia"/>
        </w:rPr>
        <w:t xml:space="preserve"> thanks to the entry into the digital ecosystem of OTTs</w:t>
      </w:r>
      <w:r w:rsidR="00D015C3">
        <w:t>,</w:t>
      </w:r>
      <w:r w:rsidRPr="00DC3D0C">
        <w:rPr>
          <w:rFonts w:hint="eastAsia"/>
        </w:rPr>
        <w:t xml:space="preserve"> has not come without problems, since it has also </w:t>
      </w:r>
      <w:r w:rsidR="00C04FE9">
        <w:t xml:space="preserve">created </w:t>
      </w:r>
      <w:r w:rsidRPr="00DC3D0C">
        <w:rPr>
          <w:rFonts w:hint="eastAsia"/>
        </w:rPr>
        <w:t xml:space="preserve">conflict between </w:t>
      </w:r>
      <w:r w:rsidRPr="00DC3D0C">
        <w:t>traditional telecommunication</w:t>
      </w:r>
      <w:r w:rsidRPr="00DC3D0C" w:rsidDel="00C1655F">
        <w:t xml:space="preserve"> </w:t>
      </w:r>
      <w:r w:rsidRPr="00DC3D0C">
        <w:rPr>
          <w:rFonts w:hint="eastAsia"/>
        </w:rPr>
        <w:t>operators and OTT</w:t>
      </w:r>
      <w:r w:rsidR="00C04FE9">
        <w:t>s</w:t>
      </w:r>
      <w:r w:rsidRPr="00DC3D0C">
        <w:rPr>
          <w:rFonts w:hint="eastAsia"/>
        </w:rPr>
        <w:t xml:space="preserve">, mainly </w:t>
      </w:r>
      <w:r w:rsidR="00C04FE9">
        <w:t xml:space="preserve">because of </w:t>
      </w:r>
      <w:r w:rsidRPr="00DC3D0C">
        <w:rPr>
          <w:rFonts w:hint="eastAsia"/>
        </w:rPr>
        <w:t xml:space="preserve">the technical, economic and legal difficulties in allocating the costs and benefits </w:t>
      </w:r>
      <w:r w:rsidRPr="00DC3D0C">
        <w:t xml:space="preserve">resulting </w:t>
      </w:r>
      <w:r w:rsidR="00D015C3">
        <w:t>from</w:t>
      </w:r>
      <w:r w:rsidRPr="00DC3D0C">
        <w:rPr>
          <w:rFonts w:hint="eastAsia"/>
        </w:rPr>
        <w:t xml:space="preserve"> the </w:t>
      </w:r>
      <w:r w:rsidR="00C04FE9">
        <w:t xml:space="preserve">business </w:t>
      </w:r>
      <w:r w:rsidRPr="00DC3D0C">
        <w:rPr>
          <w:rFonts w:hint="eastAsia"/>
        </w:rPr>
        <w:t xml:space="preserve">expansion </w:t>
      </w:r>
      <w:r w:rsidRPr="00DC3D0C">
        <w:t xml:space="preserve">of </w:t>
      </w:r>
      <w:r w:rsidRPr="00DC3D0C">
        <w:rPr>
          <w:rFonts w:hint="eastAsia"/>
        </w:rPr>
        <w:t>both types of providers.</w:t>
      </w:r>
      <w:r w:rsidR="00C04FE9" w:rsidRPr="00C04FE9">
        <w:t xml:space="preserve"> </w:t>
      </w:r>
    </w:p>
    <w:p w14:paraId="5B6D66FC" w14:textId="55748B9C" w:rsidR="008B0F21" w:rsidRPr="00DC3D0C" w:rsidRDefault="008B0F21" w:rsidP="0073135F">
      <w:bookmarkStart w:id="54" w:name="_Hlk188039851"/>
      <w:r w:rsidRPr="00DC3D0C">
        <w:t xml:space="preserve">In addition, </w:t>
      </w:r>
      <w:r w:rsidR="00556ED6">
        <w:t xml:space="preserve">there is </w:t>
      </w:r>
      <w:r w:rsidRPr="00DC3D0C">
        <w:t>a group of applications that may be a direct technical/functional substitute for traditional international telecommunication services</w:t>
      </w:r>
      <w:r w:rsidR="00556ED6">
        <w:t>, which must be taken into consideration</w:t>
      </w:r>
      <w:r w:rsidRPr="00DC3D0C">
        <w:t xml:space="preserve">. </w:t>
      </w:r>
      <w:bookmarkEnd w:id="54"/>
      <w:r w:rsidRPr="00DC3D0C">
        <w:t>This group includes traditional telecommunication services</w:t>
      </w:r>
      <w:r w:rsidR="00D015C3">
        <w:t>,</w:t>
      </w:r>
      <w:r w:rsidRPr="00DC3D0C">
        <w:t xml:space="preserve"> especially television (FTA, broadcasting, cable, </w:t>
      </w:r>
      <w:r w:rsidR="00D015C3">
        <w:t xml:space="preserve">and </w:t>
      </w:r>
      <w:r w:rsidRPr="00DC3D0C">
        <w:t>IPTV), telephony, text and image transfer (SMS</w:t>
      </w:r>
      <w:r w:rsidR="00D015C3">
        <w:t xml:space="preserve"> and</w:t>
      </w:r>
      <w:r w:rsidRPr="00DC3D0C">
        <w:t xml:space="preserve"> MMS), that are sometimes offered by OTT</w:t>
      </w:r>
      <w:r w:rsidR="00D015C3">
        <w:t xml:space="preserve"> providers</w:t>
      </w:r>
      <w:r w:rsidRPr="00DC3D0C">
        <w:t xml:space="preserve"> in the public Internet to </w:t>
      </w:r>
      <w:r w:rsidR="006F5F21">
        <w:t xml:space="preserve">cover </w:t>
      </w:r>
      <w:r w:rsidRPr="00DC3D0C">
        <w:t>the same demand</w:t>
      </w:r>
      <w:r w:rsidR="006F5F21">
        <w:t>,</w:t>
      </w:r>
      <w:r w:rsidRPr="00DC3D0C">
        <w:t xml:space="preserve"> but based on a different business model (in general</w:t>
      </w:r>
      <w:r w:rsidR="006F5F21">
        <w:t>,</w:t>
      </w:r>
      <w:r w:rsidRPr="00DC3D0C">
        <w:t xml:space="preserve"> for free), </w:t>
      </w:r>
      <w:r w:rsidR="006F5F21">
        <w:t xml:space="preserve">possibly </w:t>
      </w:r>
      <w:r w:rsidRPr="00DC3D0C">
        <w:t>lead</w:t>
      </w:r>
      <w:r w:rsidR="00516314">
        <w:t>ing</w:t>
      </w:r>
      <w:r w:rsidRPr="00DC3D0C">
        <w:t xml:space="preserve"> to a competitive relationship.</w:t>
      </w:r>
      <w:r w:rsidR="006F5F21">
        <w:t xml:space="preserve"> </w:t>
      </w:r>
    </w:p>
    <w:p w14:paraId="0F14A9D1" w14:textId="019531B2" w:rsidR="008B0F21" w:rsidRPr="00DC3D0C" w:rsidRDefault="008B0F21" w:rsidP="00B074C6">
      <w:r w:rsidRPr="00DC3D0C">
        <w:rPr>
          <w:rFonts w:hint="eastAsia"/>
        </w:rPr>
        <w:t xml:space="preserve">In summary, </w:t>
      </w:r>
      <w:r w:rsidRPr="00DC3D0C">
        <w:t>the</w:t>
      </w:r>
      <w:r w:rsidRPr="00DC3D0C">
        <w:rPr>
          <w:rFonts w:hint="eastAsia"/>
        </w:rPr>
        <w:t xml:space="preserve"> </w:t>
      </w:r>
      <w:r w:rsidRPr="00DC3D0C">
        <w:t xml:space="preserve">relationship between </w:t>
      </w:r>
      <w:r w:rsidRPr="0005297F">
        <w:t>telecommunication operators and providers of OTTs</w:t>
      </w:r>
      <w:r w:rsidR="00AA0F00">
        <w:t xml:space="preserve"> can be </w:t>
      </w:r>
      <w:r w:rsidR="003A6EEE">
        <w:t>categorized</w:t>
      </w:r>
      <w:r w:rsidRPr="00DC3D0C" w:rsidDel="00165A9D">
        <w:t xml:space="preserve"> </w:t>
      </w:r>
      <w:r w:rsidRPr="00DC3D0C">
        <w:t>as follows:</w:t>
      </w:r>
    </w:p>
    <w:p w14:paraId="26C3695B" w14:textId="53A036F4" w:rsidR="008B0F21" w:rsidRPr="00DC3D0C" w:rsidRDefault="00613E69" w:rsidP="00613E69">
      <w:pPr>
        <w:pStyle w:val="enumlev1"/>
      </w:pPr>
      <w:r>
        <w:t>•</w:t>
      </w:r>
      <w:r>
        <w:tab/>
      </w:r>
      <w:r w:rsidR="008B0F21" w:rsidRPr="00DC3D0C">
        <w:t xml:space="preserve">Cooperative: </w:t>
      </w:r>
      <w:r w:rsidR="008B0F21" w:rsidRPr="00DC3D0C">
        <w:rPr>
          <w:rFonts w:hint="eastAsia"/>
        </w:rPr>
        <w:t xml:space="preserve">as a link of mutual advantage </w:t>
      </w:r>
      <w:r w:rsidR="008B0F21" w:rsidRPr="00DC3D0C">
        <w:t xml:space="preserve">with ample room for negotiation. </w:t>
      </w:r>
    </w:p>
    <w:p w14:paraId="31AD84E7" w14:textId="0FCFCD49" w:rsidR="008B0F21" w:rsidRPr="00DC3D0C" w:rsidRDefault="00613E69" w:rsidP="00613E69">
      <w:pPr>
        <w:pStyle w:val="enumlev1"/>
      </w:pPr>
      <w:r>
        <w:t>•</w:t>
      </w:r>
      <w:r>
        <w:tab/>
      </w:r>
      <w:r w:rsidR="008B0F21" w:rsidRPr="00DC3D0C">
        <w:t>Competitive: since the</w:t>
      </w:r>
      <w:r w:rsidR="002537DA">
        <w:t>re is</w:t>
      </w:r>
      <w:r w:rsidR="008B0F21" w:rsidRPr="00DC3D0C">
        <w:t xml:space="preserve"> a portion of their businesses where they are competitors.</w:t>
      </w:r>
    </w:p>
    <w:p w14:paraId="68D05846" w14:textId="181A78D2" w:rsidR="008B0F21" w:rsidRPr="00DC3D0C" w:rsidRDefault="001B49AB" w:rsidP="001B49AB">
      <w:r>
        <w:t>Fewer disputes</w:t>
      </w:r>
      <w:r w:rsidR="00A15443">
        <w:t xml:space="preserve"> w</w:t>
      </w:r>
      <w:r w:rsidR="008B0F21" w:rsidRPr="00DC3D0C">
        <w:t xml:space="preserve">ould be expected </w:t>
      </w:r>
      <w:r>
        <w:t>in</w:t>
      </w:r>
      <w:r w:rsidR="008B0F21" w:rsidRPr="00DC3D0C">
        <w:t xml:space="preserve"> </w:t>
      </w:r>
      <w:r w:rsidR="00A15443">
        <w:t>c</w:t>
      </w:r>
      <w:r w:rsidR="008B0F21" w:rsidRPr="00DC3D0C">
        <w:t>ooperative relationships although</w:t>
      </w:r>
      <w:r>
        <w:t>,</w:t>
      </w:r>
      <w:r w:rsidR="008B0F21" w:rsidRPr="00DC3D0C">
        <w:t xml:space="preserve"> in some cases</w:t>
      </w:r>
      <w:r w:rsidR="009E680C">
        <w:t>,</w:t>
      </w:r>
      <w:r w:rsidR="008B0F21" w:rsidRPr="00DC3D0C">
        <w:t xml:space="preserve"> </w:t>
      </w:r>
      <w:r>
        <w:t xml:space="preserve">disputes could arise because of the conditions in the </w:t>
      </w:r>
      <w:r w:rsidR="008B0F21" w:rsidRPr="00DC3D0C">
        <w:t>contracts</w:t>
      </w:r>
      <w:r w:rsidR="002537DA">
        <w:t>. T</w:t>
      </w:r>
      <w:r w:rsidR="008B0F21" w:rsidRPr="00DC3D0C">
        <w:t xml:space="preserve">aking this into account, </w:t>
      </w:r>
      <w:r w:rsidR="008B1C55">
        <w:t xml:space="preserve">in </w:t>
      </w:r>
      <w:r w:rsidR="008B0F21" w:rsidRPr="00DC3D0C">
        <w:t>Study Group</w:t>
      </w:r>
      <w:r w:rsidR="00613E69">
        <w:t> </w:t>
      </w:r>
      <w:r w:rsidR="008B0F21" w:rsidRPr="00DC3D0C">
        <w:t>3</w:t>
      </w:r>
      <w:r w:rsidR="008B1C55">
        <w:t>,</w:t>
      </w:r>
      <w:r w:rsidR="008B0F21" w:rsidRPr="00DC3D0C">
        <w:t xml:space="preserve"> there </w:t>
      </w:r>
      <w:r w:rsidR="002537DA">
        <w:t>has been</w:t>
      </w:r>
      <w:r w:rsidR="008B0F21" w:rsidRPr="00DC3D0C">
        <w:t xml:space="preserve"> extensive work </w:t>
      </w:r>
      <w:r w:rsidR="00165511">
        <w:t xml:space="preserve">done </w:t>
      </w:r>
      <w:r w:rsidR="008B0F21" w:rsidRPr="00DC3D0C">
        <w:t>on this matter</w:t>
      </w:r>
      <w:r w:rsidR="003A6EEE">
        <w:t>,</w:t>
      </w:r>
      <w:r w:rsidR="008B0F21" w:rsidRPr="00DC3D0C">
        <w:t xml:space="preserve"> </w:t>
      </w:r>
      <w:r w:rsidR="003A6EEE">
        <w:t xml:space="preserve">of which </w:t>
      </w:r>
      <w:r w:rsidR="003C3C6C">
        <w:t>the following</w:t>
      </w:r>
      <w:r w:rsidR="003A6EEE">
        <w:t xml:space="preserve"> can be highlighted</w:t>
      </w:r>
      <w:r w:rsidR="008B0F21" w:rsidRPr="00DC3D0C">
        <w:t>:</w:t>
      </w:r>
      <w:r w:rsidRPr="001B49AB">
        <w:t xml:space="preserve"> </w:t>
      </w:r>
    </w:p>
    <w:p w14:paraId="1BD764C7" w14:textId="75D68E74" w:rsidR="008B0F21" w:rsidRPr="00DC3D0C" w:rsidRDefault="00613E69" w:rsidP="00613E69">
      <w:pPr>
        <w:pStyle w:val="enumlev1"/>
      </w:pPr>
      <w:r>
        <w:t>•</w:t>
      </w:r>
      <w:r>
        <w:tab/>
      </w:r>
      <w:r w:rsidR="008B0F21" w:rsidRPr="00DC3D0C">
        <w:t xml:space="preserve">Recommendation </w:t>
      </w:r>
      <w:hyperlink r:id="rId19" w:history="1">
        <w:r w:rsidR="008B0F21" w:rsidRPr="00DC3D0C">
          <w:rPr>
            <w:rStyle w:val="Hyperlink"/>
          </w:rPr>
          <w:t>ITU-T D.262 (2019/05)</w:t>
        </w:r>
      </w:hyperlink>
      <w:r w:rsidR="008B0F21" w:rsidRPr="00DC3D0C">
        <w:t xml:space="preserve">: </w:t>
      </w:r>
      <w:r w:rsidR="008B0F21" w:rsidRPr="00DC3D0C">
        <w:rPr>
          <w:i/>
        </w:rPr>
        <w:t>Collaborative framework for OTTs</w:t>
      </w:r>
      <w:r w:rsidR="008B0F21" w:rsidRPr="00DC3D0C">
        <w:t xml:space="preserve">. </w:t>
      </w:r>
    </w:p>
    <w:p w14:paraId="3141D69F" w14:textId="56CD76EE" w:rsidR="008B0F21" w:rsidRPr="00DC3D0C" w:rsidRDefault="00613E69" w:rsidP="00613E69">
      <w:pPr>
        <w:pStyle w:val="enumlev1"/>
      </w:pPr>
      <w:r>
        <w:t>•</w:t>
      </w:r>
      <w:r>
        <w:tab/>
      </w:r>
      <w:r w:rsidR="008B0F21" w:rsidRPr="00DC3D0C">
        <w:t xml:space="preserve">Recommendation </w:t>
      </w:r>
      <w:hyperlink r:id="rId20" w:history="1">
        <w:r w:rsidR="008B0F21" w:rsidRPr="00DC3D0C">
          <w:rPr>
            <w:rStyle w:val="Hyperlink"/>
          </w:rPr>
          <w:t>ITU-T D.1101 (2020/08)</w:t>
        </w:r>
      </w:hyperlink>
      <w:r w:rsidR="008B0F21" w:rsidRPr="00DC3D0C">
        <w:t xml:space="preserve">: </w:t>
      </w:r>
      <w:r w:rsidR="008B0F21" w:rsidRPr="00DC3D0C">
        <w:rPr>
          <w:i/>
        </w:rPr>
        <w:t>Enabling environment for voluntary commercial arrangements between telecommunication network operators and OTT providers</w:t>
      </w:r>
      <w:r w:rsidR="008B0F21" w:rsidRPr="00DC3D0C">
        <w:t>.</w:t>
      </w:r>
    </w:p>
    <w:p w14:paraId="45D371AB" w14:textId="5BA874E6" w:rsidR="008B0F21" w:rsidRPr="00DC3D0C" w:rsidRDefault="008B0F21" w:rsidP="00B074C6">
      <w:r w:rsidRPr="00DC3D0C">
        <w:t xml:space="preserve">In </w:t>
      </w:r>
      <w:r w:rsidR="00A15443">
        <w:t>c</w:t>
      </w:r>
      <w:r w:rsidRPr="00DC3D0C">
        <w:t>ompetitive relationships, dispute</w:t>
      </w:r>
      <w:r w:rsidR="00E022BD">
        <w:t>s</w:t>
      </w:r>
      <w:r w:rsidRPr="00DC3D0C">
        <w:t xml:space="preserve"> could be more likely, although the traditional telecommunication market</w:t>
      </w:r>
      <w:r w:rsidR="00E022BD">
        <w:t xml:space="preserve"> is</w:t>
      </w:r>
      <w:r w:rsidRPr="00DC3D0C">
        <w:t xml:space="preserve"> already filled </w:t>
      </w:r>
      <w:r w:rsidR="00E022BD">
        <w:t>with</w:t>
      </w:r>
      <w:r w:rsidRPr="00DC3D0C">
        <w:t xml:space="preserve"> competiti</w:t>
      </w:r>
      <w:r w:rsidR="00E022BD">
        <w:t>ve</w:t>
      </w:r>
      <w:r w:rsidRPr="00DC3D0C">
        <w:t xml:space="preserve"> relationships, and many times these are not a source for disputes between the market agents.</w:t>
      </w:r>
    </w:p>
    <w:p w14:paraId="5BBC9A24" w14:textId="61EBD8DA" w:rsidR="008B0F21" w:rsidRPr="00DC3D0C" w:rsidRDefault="008B0F21" w:rsidP="00B074C6">
      <w:r w:rsidRPr="00DC3D0C">
        <w:t>Therefore, these scenarios could</w:t>
      </w:r>
      <w:r w:rsidR="00E022BD">
        <w:t>,</w:t>
      </w:r>
      <w:r w:rsidRPr="00DC3D0C">
        <w:t xml:space="preserve"> in the future</w:t>
      </w:r>
      <w:r w:rsidR="002537DA">
        <w:t>,</w:t>
      </w:r>
      <w:r w:rsidRPr="00DC3D0C">
        <w:t xml:space="preserve"> </w:t>
      </w:r>
      <w:r w:rsidR="00E022BD">
        <w:t xml:space="preserve">lead </w:t>
      </w:r>
      <w:r w:rsidR="002537DA">
        <w:t>to</w:t>
      </w:r>
      <w:r w:rsidRPr="00DC3D0C">
        <w:t xml:space="preserve"> a coopetition scheme, where the innovation in technology will drive the changing shape of the telecommunication/ICT market.</w:t>
      </w:r>
    </w:p>
    <w:p w14:paraId="6D723BEE" w14:textId="2FEB1F21" w:rsidR="008B0F21" w:rsidRPr="00823A78" w:rsidRDefault="00823A78" w:rsidP="00823A78">
      <w:pPr>
        <w:pStyle w:val="Heading1"/>
      </w:pPr>
      <w:bookmarkStart w:id="55" w:name="_Toc169702179"/>
      <w:bookmarkStart w:id="56" w:name="_Toc169704796"/>
      <w:bookmarkStart w:id="57" w:name="_Toc175118338"/>
      <w:bookmarkStart w:id="58" w:name="_Toc190066102"/>
      <w:r w:rsidRPr="00823A78">
        <w:t>8</w:t>
      </w:r>
      <w:r w:rsidRPr="00823A78">
        <w:tab/>
      </w:r>
      <w:r w:rsidR="008B0F21" w:rsidRPr="00823A78">
        <w:t>Competence to handle dispute resolution</w:t>
      </w:r>
      <w:bookmarkEnd w:id="55"/>
      <w:bookmarkEnd w:id="56"/>
      <w:bookmarkEnd w:id="57"/>
      <w:bookmarkEnd w:id="58"/>
    </w:p>
    <w:p w14:paraId="52720608" w14:textId="2CA26C67" w:rsidR="008B0F21" w:rsidRPr="00DC3D0C" w:rsidRDefault="004D5EC2" w:rsidP="00B074C6">
      <w:r>
        <w:t>A</w:t>
      </w:r>
      <w:r w:rsidRPr="00DC3D0C">
        <w:t>s discussed in previous sections</w:t>
      </w:r>
      <w:r>
        <w:t>,</w:t>
      </w:r>
      <w:r w:rsidRPr="00DC3D0C">
        <w:t xml:space="preserve"> </w:t>
      </w:r>
      <w:r w:rsidR="00733E5F">
        <w:t>i</w:t>
      </w:r>
      <w:r w:rsidR="008B0F21" w:rsidRPr="00DC3D0C">
        <w:t xml:space="preserve">t could be a challenge to try to pre-establish a clear separation of the competences among the diversity of the agencies, including different national approaches, that could be responsible </w:t>
      </w:r>
      <w:r>
        <w:t>for</w:t>
      </w:r>
      <w:r w:rsidR="008B0F21" w:rsidRPr="00DC3D0C">
        <w:t xml:space="preserve"> deal</w:t>
      </w:r>
      <w:r>
        <w:t>ing</w:t>
      </w:r>
      <w:r w:rsidR="008B0F21" w:rsidRPr="00DC3D0C">
        <w:t xml:space="preserve"> with all the possible dispute resolutions that can aris</w:t>
      </w:r>
      <w:r>
        <w:t>e</w:t>
      </w:r>
      <w:r w:rsidR="008B0F21" w:rsidRPr="00DC3D0C">
        <w:t xml:space="preserve"> from </w:t>
      </w:r>
      <w:r>
        <w:t>such</w:t>
      </w:r>
      <w:r w:rsidR="008B0F21" w:rsidRPr="00DC3D0C">
        <w:t xml:space="preserve"> complex environment</w:t>
      </w:r>
      <w:r>
        <w:t>s</w:t>
      </w:r>
      <w:r w:rsidR="008B0F21" w:rsidRPr="00DC3D0C">
        <w:t>.</w:t>
      </w:r>
    </w:p>
    <w:p w14:paraId="7B5E4262" w14:textId="22449EFA" w:rsidR="008B0F21" w:rsidRPr="00044889" w:rsidRDefault="008B0F21" w:rsidP="00B074C6">
      <w:r w:rsidRPr="00DC3D0C">
        <w:t>Despite this</w:t>
      </w:r>
      <w:r w:rsidR="008777FF">
        <w:t xml:space="preserve"> challenge</w:t>
      </w:r>
      <w:r w:rsidRPr="00DC3D0C">
        <w:t>, the existence of a clear definition of competences would be helpful to the agents in the</w:t>
      </w:r>
      <w:r w:rsidR="004D5EC2">
        <w:t>ir</w:t>
      </w:r>
      <w:r w:rsidRPr="00DC3D0C">
        <w:t xml:space="preserve"> efforts to identify the appropriate body to propose a specific dispute resolution process. A clear identification of the body responsible </w:t>
      </w:r>
      <w:r w:rsidR="008777FF">
        <w:t>for</w:t>
      </w:r>
      <w:r w:rsidRPr="00DC3D0C">
        <w:t xml:space="preserve"> deal</w:t>
      </w:r>
      <w:r w:rsidR="008777FF">
        <w:t>ing</w:t>
      </w:r>
      <w:r w:rsidRPr="00DC3D0C">
        <w:t xml:space="preserve"> with a dispute resolution, that ha</w:t>
      </w:r>
      <w:r w:rsidR="008777FF">
        <w:t>s</w:t>
      </w:r>
      <w:r w:rsidRPr="00DC3D0C">
        <w:t xml:space="preserve"> a </w:t>
      </w:r>
      <w:r w:rsidR="008777FF" w:rsidRPr="00DC3D0C">
        <w:t>well</w:t>
      </w:r>
      <w:r w:rsidR="008777FF">
        <w:t>-</w:t>
      </w:r>
      <w:r w:rsidR="008777FF" w:rsidRPr="00DC3D0C">
        <w:t xml:space="preserve">established </w:t>
      </w:r>
      <w:r w:rsidRPr="00DC3D0C">
        <w:t xml:space="preserve">dispute resolution process, would work as an incentive </w:t>
      </w:r>
      <w:r w:rsidR="00504C1F">
        <w:t>for</w:t>
      </w:r>
      <w:r w:rsidRPr="00DC3D0C">
        <w:t xml:space="preserve"> the agents to reach an agreement, maybe even prior to dispute resolution be</w:t>
      </w:r>
      <w:r w:rsidR="00504C1F">
        <w:t>ing</w:t>
      </w:r>
      <w:r w:rsidRPr="00DC3D0C">
        <w:t xml:space="preserve"> proposed. This aspect is also highlighted by the Body of European Regulators for Electronic Communications (BEREC) in </w:t>
      </w:r>
      <w:r w:rsidR="0050136E">
        <w:t>its</w:t>
      </w:r>
      <w:r w:rsidRPr="00DC3D0C">
        <w:t xml:space="preserve"> </w:t>
      </w:r>
      <w:r w:rsidR="00613E69" w:rsidRPr="00044889">
        <w:t>"</w:t>
      </w:r>
      <w:r w:rsidRPr="002153A7">
        <w:t>Opinion on the Revision of the Broadband Cost Reduction Directive</w:t>
      </w:r>
      <w:r w:rsidR="00613E69" w:rsidRPr="00044889">
        <w:t>"</w:t>
      </w:r>
      <w:r w:rsidR="00613E69" w:rsidRPr="00044889">
        <w:rPr>
          <w:rStyle w:val="FootnoteReference"/>
        </w:rPr>
        <w:footnoteReference w:id="5"/>
      </w:r>
      <w:r w:rsidRPr="00044889">
        <w:t>:</w:t>
      </w:r>
    </w:p>
    <w:p w14:paraId="6A25B5DD" w14:textId="4C2EDBCD" w:rsidR="008B0F21" w:rsidRPr="00044889" w:rsidRDefault="008B0F21" w:rsidP="001071F4">
      <w:pPr>
        <w:ind w:left="567"/>
      </w:pPr>
      <w:r w:rsidRPr="002153A7">
        <w:t>The mere effect that there is a mandatory dispute settlement process can apparently solve problems, even without a formal decision of DSB. MSs experienced – even if their DSB decided only a few cases so far –, that arguing parties often reached a bilateral agreement in the mandatory conciliation process (beforehand the dispute settlement process of the DSB).</w:t>
      </w:r>
      <w:r w:rsidR="00613E69" w:rsidRPr="00044889">
        <w:rPr>
          <w:rStyle w:val="FootnoteReference"/>
        </w:rPr>
        <w:footnoteReference w:id="6"/>
      </w:r>
    </w:p>
    <w:p w14:paraId="72BF841B" w14:textId="621639A4" w:rsidR="00A54841" w:rsidRPr="00DC3D0C" w:rsidRDefault="008B0F21" w:rsidP="00613E69">
      <w:r w:rsidRPr="00DC3D0C">
        <w:t>Therefore, it</w:t>
      </w:r>
      <w:r w:rsidR="00E65997">
        <w:t xml:space="preserve"> is</w:t>
      </w:r>
      <w:r w:rsidRPr="00DC3D0C">
        <w:t xml:space="preserve"> </w:t>
      </w:r>
      <w:r w:rsidR="00044889">
        <w:t>important</w:t>
      </w:r>
      <w:r w:rsidR="00044889" w:rsidRPr="00DC3D0C">
        <w:t xml:space="preserve"> </w:t>
      </w:r>
      <w:r w:rsidRPr="00DC3D0C">
        <w:t xml:space="preserve">to discuss the competences of traditional bodies that deal with dispute resolutions, and other </w:t>
      </w:r>
      <w:r w:rsidR="005E62CC" w:rsidRPr="00DC3D0C">
        <w:t xml:space="preserve">possible </w:t>
      </w:r>
      <w:r w:rsidRPr="00DC3D0C">
        <w:t>bodies.</w:t>
      </w:r>
    </w:p>
    <w:p w14:paraId="0CBE8E04" w14:textId="7A429F55" w:rsidR="008B0F21" w:rsidRPr="004711AC" w:rsidRDefault="00904CBE" w:rsidP="004711AC">
      <w:pPr>
        <w:pStyle w:val="Heading2"/>
      </w:pPr>
      <w:bookmarkStart w:id="59" w:name="_Toc169702180"/>
      <w:bookmarkStart w:id="60" w:name="_Toc169704797"/>
      <w:bookmarkStart w:id="61" w:name="_Toc175118339"/>
      <w:bookmarkStart w:id="62" w:name="_Toc190066103"/>
      <w:r w:rsidRPr="004711AC">
        <w:t>8.1</w:t>
      </w:r>
      <w:r w:rsidRPr="004711AC">
        <w:tab/>
      </w:r>
      <w:r w:rsidR="008B0F21" w:rsidRPr="004711AC">
        <w:t xml:space="preserve">National </w:t>
      </w:r>
      <w:r w:rsidR="00A70D8B">
        <w:t>r</w:t>
      </w:r>
      <w:r w:rsidR="008B0F21" w:rsidRPr="004711AC">
        <w:t xml:space="preserve">egulatory </w:t>
      </w:r>
      <w:r w:rsidR="00A70D8B">
        <w:t>a</w:t>
      </w:r>
      <w:r w:rsidR="008B0F21" w:rsidRPr="004711AC">
        <w:t>uthorities</w:t>
      </w:r>
      <w:bookmarkEnd w:id="59"/>
      <w:r w:rsidR="00F80D70">
        <w:t xml:space="preserve"> (NRA</w:t>
      </w:r>
      <w:r w:rsidR="000D6C9C">
        <w:t>s</w:t>
      </w:r>
      <w:r w:rsidR="00F80D70">
        <w:t>)</w:t>
      </w:r>
      <w:bookmarkEnd w:id="60"/>
      <w:bookmarkEnd w:id="61"/>
      <w:bookmarkEnd w:id="62"/>
    </w:p>
    <w:p w14:paraId="055AED46" w14:textId="0410C9F9" w:rsidR="008B0F21" w:rsidRPr="00DC3D0C" w:rsidRDefault="008B0F21" w:rsidP="00B074C6">
      <w:r w:rsidRPr="00DC3D0C">
        <w:t xml:space="preserve">Prior the elaboration of this </w:t>
      </w:r>
      <w:r w:rsidR="00F81A3B">
        <w:t>Technical R</w:t>
      </w:r>
      <w:r w:rsidRPr="00DC3D0C">
        <w:t xml:space="preserve">eport, Study Group 3 consulted Membership about </w:t>
      </w:r>
      <w:r w:rsidR="0050136E">
        <w:t xml:space="preserve">the </w:t>
      </w:r>
      <w:r w:rsidRPr="00DC3D0C">
        <w:t>competence of the NRA</w:t>
      </w:r>
      <w:r w:rsidR="000D6C9C">
        <w:t>s</w:t>
      </w:r>
      <w:r w:rsidRPr="00DC3D0C">
        <w:t xml:space="preserve">. </w:t>
      </w:r>
      <w:r w:rsidR="0050136E">
        <w:t>During</w:t>
      </w:r>
      <w:r w:rsidRPr="00DC3D0C">
        <w:t xml:space="preserve"> this consultation, some Members </w:t>
      </w:r>
      <w:r w:rsidR="0050136E">
        <w:t>stated</w:t>
      </w:r>
      <w:r w:rsidRPr="00DC3D0C">
        <w:t xml:space="preserve"> that </w:t>
      </w:r>
      <w:r w:rsidR="0050136E">
        <w:t>t</w:t>
      </w:r>
      <w:r w:rsidRPr="00DC3D0C">
        <w:t xml:space="preserve">elecom </w:t>
      </w:r>
      <w:r w:rsidR="0050136E">
        <w:t>r</w:t>
      </w:r>
      <w:r w:rsidRPr="00DC3D0C">
        <w:t>egulators seem to have competence relat</w:t>
      </w:r>
      <w:r w:rsidR="0050136E">
        <w:t>ing</w:t>
      </w:r>
      <w:r w:rsidRPr="00DC3D0C">
        <w:t xml:space="preserve"> to dispute resolution between </w:t>
      </w:r>
      <w:r w:rsidR="0050136E">
        <w:t>l</w:t>
      </w:r>
      <w:r w:rsidRPr="00DC3D0C">
        <w:t xml:space="preserve">icensed </w:t>
      </w:r>
      <w:r w:rsidR="0050136E">
        <w:t>o</w:t>
      </w:r>
      <w:r w:rsidRPr="00DC3D0C">
        <w:t xml:space="preserve">perators </w:t>
      </w:r>
      <w:r w:rsidR="00D421E4">
        <w:t xml:space="preserve">and the </w:t>
      </w:r>
      <w:r w:rsidR="0050136E">
        <w:t>c</w:t>
      </w:r>
      <w:r w:rsidRPr="00DC3D0C">
        <w:t xml:space="preserve">onsumer. </w:t>
      </w:r>
    </w:p>
    <w:p w14:paraId="0C4D444A" w14:textId="132104AA" w:rsidR="008B0F21" w:rsidRPr="00DC3D0C" w:rsidRDefault="008B0F21" w:rsidP="00B074C6">
      <w:r w:rsidRPr="00DC3D0C">
        <w:t xml:space="preserve">Additionally, many Members expressed </w:t>
      </w:r>
      <w:r w:rsidR="00E84D58">
        <w:t xml:space="preserve">the view </w:t>
      </w:r>
      <w:r w:rsidRPr="00DC3D0C">
        <w:t>that NRA</w:t>
      </w:r>
      <w:r w:rsidR="000D6C9C">
        <w:t>s</w:t>
      </w:r>
      <w:r w:rsidRPr="00DC3D0C">
        <w:t xml:space="preserve"> have </w:t>
      </w:r>
      <w:r w:rsidR="00E84D58">
        <w:t xml:space="preserve">the </w:t>
      </w:r>
      <w:r w:rsidRPr="00DC3D0C">
        <w:t>competence/authority to handle dispute resolution between telecommunication operators and providers of OTTs, even that the venue of the dispute resolution usually defined by the nature of the dispute and that could be an overlap of competences among some agencies to deal with dispute resolution involving OTTs.</w:t>
      </w:r>
    </w:p>
    <w:p w14:paraId="0B4184A8" w14:textId="44E1882F" w:rsidR="008B0F21" w:rsidRPr="00DC3D0C" w:rsidRDefault="00E84D58" w:rsidP="00B074C6">
      <w:bookmarkStart w:id="63" w:name="_Hlk187181722"/>
      <w:r w:rsidRPr="00685E2F">
        <w:t xml:space="preserve">It is </w:t>
      </w:r>
      <w:r w:rsidR="00685E2F" w:rsidRPr="002153A7">
        <w:t xml:space="preserve">important </w:t>
      </w:r>
      <w:r w:rsidR="008B0F21" w:rsidRPr="00685E2F">
        <w:t xml:space="preserve">to </w:t>
      </w:r>
      <w:r w:rsidR="00685E2F" w:rsidRPr="002153A7">
        <w:t>note</w:t>
      </w:r>
      <w:r w:rsidR="008B0F21" w:rsidRPr="00DC3D0C">
        <w:t xml:space="preserve"> that</w:t>
      </w:r>
      <w:r>
        <w:t>,</w:t>
      </w:r>
      <w:r w:rsidR="008B0F21" w:rsidRPr="00DC3D0C">
        <w:t xml:space="preserve"> in the recent years</w:t>
      </w:r>
      <w:r>
        <w:t>,</w:t>
      </w:r>
      <w:r w:rsidR="008B0F21" w:rsidRPr="00DC3D0C">
        <w:t xml:space="preserve"> there </w:t>
      </w:r>
      <w:r>
        <w:t>has been</w:t>
      </w:r>
      <w:r w:rsidR="008B0F21" w:rsidRPr="00DC3D0C">
        <w:t xml:space="preserve"> a movement around the globe </w:t>
      </w:r>
      <w:r>
        <w:t>attempting</w:t>
      </w:r>
      <w:r w:rsidRPr="00DC3D0C">
        <w:t xml:space="preserve"> </w:t>
      </w:r>
      <w:r w:rsidR="008B0F21" w:rsidRPr="00DC3D0C">
        <w:t>to understand and improve the institutional environment that could be competent to create contestable and fair markets in the digital sector</w:t>
      </w:r>
      <w:bookmarkEnd w:id="63"/>
      <w:r w:rsidR="008B0F21" w:rsidRPr="00DC3D0C">
        <w:t>. This movement can cause changes in the competences of the NRA</w:t>
      </w:r>
      <w:r w:rsidR="000D6C9C">
        <w:t>s</w:t>
      </w:r>
      <w:r w:rsidR="008B0F21" w:rsidRPr="00DC3D0C">
        <w:t xml:space="preserve">, especially considering </w:t>
      </w:r>
      <w:r>
        <w:t>that</w:t>
      </w:r>
      <w:r w:rsidR="008B0F21" w:rsidRPr="00DC3D0C">
        <w:t xml:space="preserve"> NRA</w:t>
      </w:r>
      <w:r w:rsidR="000D6C9C">
        <w:t>s</w:t>
      </w:r>
      <w:r w:rsidR="008B0F21" w:rsidRPr="00DC3D0C">
        <w:t xml:space="preserve"> are more related to ex-ante regulations.</w:t>
      </w:r>
    </w:p>
    <w:p w14:paraId="6B8AD63A" w14:textId="210282C6" w:rsidR="008B0F21" w:rsidRPr="004711AC" w:rsidRDefault="004711AC" w:rsidP="004711AC">
      <w:pPr>
        <w:pStyle w:val="Heading2"/>
      </w:pPr>
      <w:bookmarkStart w:id="64" w:name="_Toc169702181"/>
      <w:bookmarkStart w:id="65" w:name="_Toc169704798"/>
      <w:bookmarkStart w:id="66" w:name="_Toc175118340"/>
      <w:bookmarkStart w:id="67" w:name="_Toc190066104"/>
      <w:r w:rsidRPr="004711AC">
        <w:t>8.2</w:t>
      </w:r>
      <w:r w:rsidRPr="004711AC">
        <w:tab/>
      </w:r>
      <w:r w:rsidR="008B0F21" w:rsidRPr="004711AC">
        <w:t xml:space="preserve">Competition </w:t>
      </w:r>
      <w:r w:rsidR="00A70D8B">
        <w:t>a</w:t>
      </w:r>
      <w:r w:rsidR="008B0F21" w:rsidRPr="004711AC">
        <w:t>uthorities</w:t>
      </w:r>
      <w:bookmarkEnd w:id="64"/>
      <w:bookmarkEnd w:id="65"/>
      <w:bookmarkEnd w:id="66"/>
      <w:bookmarkEnd w:id="67"/>
    </w:p>
    <w:p w14:paraId="48496DEC" w14:textId="4F55CD1F" w:rsidR="008B0F21" w:rsidRPr="00DC3D0C" w:rsidRDefault="008B0F21" w:rsidP="00B074C6">
      <w:r w:rsidRPr="00DC3D0C">
        <w:t xml:space="preserve">In general terms, </w:t>
      </w:r>
      <w:r w:rsidR="00E84D58">
        <w:t>c</w:t>
      </w:r>
      <w:r w:rsidRPr="00DC3D0C">
        <w:t xml:space="preserve">ompetition </w:t>
      </w:r>
      <w:r w:rsidR="00E84D58">
        <w:t>a</w:t>
      </w:r>
      <w:r w:rsidRPr="00DC3D0C">
        <w:t>uthorit</w:t>
      </w:r>
      <w:r w:rsidR="00E84D58">
        <w:t>ies</w:t>
      </w:r>
      <w:r w:rsidRPr="00DC3D0C">
        <w:t xml:space="preserve"> have </w:t>
      </w:r>
      <w:r w:rsidR="00E84D58">
        <w:t xml:space="preserve">the </w:t>
      </w:r>
      <w:r w:rsidRPr="00DC3D0C">
        <w:t xml:space="preserve">competence to deal with any dispute resolution involving the potential harm to the competition environment. Taking this into account, it is to be expected that some disputes between </w:t>
      </w:r>
      <w:r w:rsidRPr="0005297F">
        <w:t>telecommunication operators and providers of OTTs</w:t>
      </w:r>
      <w:r w:rsidRPr="00DC3D0C" w:rsidDel="00EF3BA6">
        <w:t xml:space="preserve"> </w:t>
      </w:r>
      <w:r w:rsidRPr="00DC3D0C">
        <w:t xml:space="preserve">can be resolved by </w:t>
      </w:r>
      <w:r w:rsidR="00E84D58">
        <w:t>c</w:t>
      </w:r>
      <w:r w:rsidRPr="00DC3D0C">
        <w:t xml:space="preserve">ompetition </w:t>
      </w:r>
      <w:r w:rsidR="00E84D58">
        <w:t>a</w:t>
      </w:r>
      <w:r w:rsidRPr="00DC3D0C">
        <w:t>uthorities.</w:t>
      </w:r>
    </w:p>
    <w:p w14:paraId="440AE481" w14:textId="581BDB2B" w:rsidR="008B0F21" w:rsidRPr="00DC3D0C" w:rsidRDefault="008B0F21" w:rsidP="00B074C6">
      <w:r w:rsidRPr="00DC3D0C">
        <w:t xml:space="preserve">However, when the dispute includes </w:t>
      </w:r>
      <w:r w:rsidR="00E84D58" w:rsidRPr="00DC3D0C">
        <w:t>alleg</w:t>
      </w:r>
      <w:r w:rsidR="00E84D58">
        <w:t>ations of</w:t>
      </w:r>
      <w:r w:rsidR="00E84D58" w:rsidRPr="00DC3D0C">
        <w:t xml:space="preserve"> </w:t>
      </w:r>
      <w:r w:rsidRPr="00DC3D0C">
        <w:t xml:space="preserve">regulations being breached by one party, then </w:t>
      </w:r>
      <w:r w:rsidR="00E84D58">
        <w:t xml:space="preserve">it </w:t>
      </w:r>
      <w:r w:rsidRPr="00DC3D0C">
        <w:t xml:space="preserve">will be optimal that </w:t>
      </w:r>
      <w:r w:rsidR="00E84D58">
        <w:t xml:space="preserve">there is </w:t>
      </w:r>
      <w:r w:rsidRPr="00DC3D0C">
        <w:t xml:space="preserve">close collaboration between </w:t>
      </w:r>
      <w:r w:rsidR="00E84D58">
        <w:t>c</w:t>
      </w:r>
      <w:r w:rsidRPr="00DC3D0C">
        <w:t xml:space="preserve">ompetition </w:t>
      </w:r>
      <w:r w:rsidR="00E84D58">
        <w:t>a</w:t>
      </w:r>
      <w:r w:rsidRPr="00DC3D0C">
        <w:t>uthorit</w:t>
      </w:r>
      <w:r w:rsidR="00E84D58">
        <w:t>ies</w:t>
      </w:r>
      <w:r w:rsidRPr="00DC3D0C">
        <w:t xml:space="preserve"> and NRA</w:t>
      </w:r>
      <w:r w:rsidR="00826E87">
        <w:t>s</w:t>
      </w:r>
      <w:r w:rsidRPr="00DC3D0C">
        <w:t>, to get sufficient information about the complaint and</w:t>
      </w:r>
      <w:r w:rsidR="00E84D58">
        <w:t>,</w:t>
      </w:r>
      <w:r w:rsidRPr="00DC3D0C">
        <w:t xml:space="preserve"> from there, to start to investigate under the umbrella of competition law and regulations.</w:t>
      </w:r>
    </w:p>
    <w:p w14:paraId="70ED06AC" w14:textId="71609794" w:rsidR="008B0F21" w:rsidRPr="004711AC" w:rsidRDefault="004711AC" w:rsidP="004711AC">
      <w:pPr>
        <w:pStyle w:val="Heading2"/>
      </w:pPr>
      <w:bookmarkStart w:id="68" w:name="_Toc169702182"/>
      <w:bookmarkStart w:id="69" w:name="_Toc169704799"/>
      <w:bookmarkStart w:id="70" w:name="_Toc175118341"/>
      <w:bookmarkStart w:id="71" w:name="_Toc190066105"/>
      <w:r w:rsidRPr="004711AC">
        <w:t>8.3</w:t>
      </w:r>
      <w:r w:rsidRPr="004711AC">
        <w:tab/>
      </w:r>
      <w:r w:rsidR="008B0F21" w:rsidRPr="004711AC">
        <w:t xml:space="preserve">Data </w:t>
      </w:r>
      <w:r w:rsidR="00A70D8B">
        <w:t>p</w:t>
      </w:r>
      <w:r w:rsidR="008B0F21" w:rsidRPr="004711AC">
        <w:t xml:space="preserve">rotection </w:t>
      </w:r>
      <w:r w:rsidR="00A70D8B">
        <w:t>a</w:t>
      </w:r>
      <w:r w:rsidR="008B0F21" w:rsidRPr="004711AC">
        <w:t>uthorities</w:t>
      </w:r>
      <w:bookmarkEnd w:id="68"/>
      <w:bookmarkEnd w:id="69"/>
      <w:bookmarkEnd w:id="70"/>
      <w:bookmarkEnd w:id="71"/>
    </w:p>
    <w:p w14:paraId="5025DE35" w14:textId="0AA65EB2" w:rsidR="008B0F21" w:rsidRDefault="008B0F21" w:rsidP="00B074C6">
      <w:r w:rsidRPr="00DC3D0C">
        <w:t>In cases whe</w:t>
      </w:r>
      <w:r w:rsidR="00A70D8B">
        <w:t>re</w:t>
      </w:r>
      <w:r w:rsidRPr="00DC3D0C">
        <w:t xml:space="preserve"> disputes </w:t>
      </w:r>
      <w:r w:rsidR="00A70D8B">
        <w:t>involve</w:t>
      </w:r>
      <w:r w:rsidR="00A70D8B" w:rsidRPr="00DC3D0C">
        <w:t xml:space="preserve"> </w:t>
      </w:r>
      <w:r w:rsidRPr="00DC3D0C">
        <w:t xml:space="preserve">elements pertaining </w:t>
      </w:r>
      <w:r w:rsidR="00E84D58">
        <w:t xml:space="preserve">to </w:t>
      </w:r>
      <w:r w:rsidRPr="00DC3D0C">
        <w:t>the field of data protection, speci</w:t>
      </w:r>
      <w:r w:rsidR="00A70D8B">
        <w:t>fic</w:t>
      </w:r>
      <w:r w:rsidRPr="00DC3D0C">
        <w:t xml:space="preserve">ally related to consumer data, the </w:t>
      </w:r>
      <w:r w:rsidR="00A70D8B">
        <w:t>d</w:t>
      </w:r>
      <w:r w:rsidRPr="00DC3D0C">
        <w:t xml:space="preserve">ata </w:t>
      </w:r>
      <w:r w:rsidR="00A70D8B">
        <w:t>p</w:t>
      </w:r>
      <w:r w:rsidRPr="00DC3D0C">
        <w:t xml:space="preserve">rotection </w:t>
      </w:r>
      <w:r w:rsidR="00A70D8B">
        <w:t>a</w:t>
      </w:r>
      <w:r w:rsidRPr="00DC3D0C">
        <w:t xml:space="preserve">uthorities are the most suitable bodies to manage this aspect of the dispute, bearing in mind that privacy issues are vital for both protecting user rights and for </w:t>
      </w:r>
      <w:r w:rsidR="00E84D58">
        <w:t>the</w:t>
      </w:r>
      <w:r w:rsidRPr="00DC3D0C">
        <w:t xml:space="preserve"> sustainable evolution of the digital economy.</w:t>
      </w:r>
    </w:p>
    <w:p w14:paraId="57CA7C7B" w14:textId="5BFEA728" w:rsidR="008B0F21" w:rsidRPr="00DC3D0C" w:rsidRDefault="008B0F21" w:rsidP="00B074C6">
      <w:r w:rsidRPr="0005297F">
        <w:t xml:space="preserve">Therefore, </w:t>
      </w:r>
      <w:r>
        <w:t xml:space="preserve">in some jurisdictions, the </w:t>
      </w:r>
      <w:r w:rsidR="00A70D8B">
        <w:t>d</w:t>
      </w:r>
      <w:r>
        <w:t xml:space="preserve">ata </w:t>
      </w:r>
      <w:r w:rsidR="00A70D8B">
        <w:t>p</w:t>
      </w:r>
      <w:r>
        <w:t xml:space="preserve">rotection </w:t>
      </w:r>
      <w:r w:rsidR="00A70D8B">
        <w:t>a</w:t>
      </w:r>
      <w:r>
        <w:t>uthorit</w:t>
      </w:r>
      <w:r w:rsidR="00A01430">
        <w:t>ies</w:t>
      </w:r>
      <w:r>
        <w:t xml:space="preserve"> could be </w:t>
      </w:r>
      <w:r w:rsidRPr="0005297F">
        <w:t>involved in the dispute resolution between telecommunication operators and providers of OTTs</w:t>
      </w:r>
      <w:r>
        <w:t>, if the dispute encompasses aspects relat</w:t>
      </w:r>
      <w:r w:rsidR="00E84D58">
        <w:t>ing</w:t>
      </w:r>
      <w:r>
        <w:t xml:space="preserve"> to data protection.</w:t>
      </w:r>
    </w:p>
    <w:p w14:paraId="0E1663BD" w14:textId="535F88D7" w:rsidR="008B0F21" w:rsidRPr="004711AC" w:rsidRDefault="004711AC" w:rsidP="004711AC">
      <w:pPr>
        <w:pStyle w:val="Heading2"/>
      </w:pPr>
      <w:bookmarkStart w:id="72" w:name="_Toc169702183"/>
      <w:bookmarkStart w:id="73" w:name="_Toc169704800"/>
      <w:bookmarkStart w:id="74" w:name="_Toc175118342"/>
      <w:bookmarkStart w:id="75" w:name="_Toc190066106"/>
      <w:r w:rsidRPr="004711AC">
        <w:t>8.4</w:t>
      </w:r>
      <w:r w:rsidRPr="004711AC">
        <w:tab/>
      </w:r>
      <w:r w:rsidR="00042270">
        <w:t>The c</w:t>
      </w:r>
      <w:r w:rsidR="008B0F21" w:rsidRPr="004711AC">
        <w:t>ourt</w:t>
      </w:r>
      <w:bookmarkEnd w:id="72"/>
      <w:bookmarkEnd w:id="73"/>
      <w:bookmarkEnd w:id="74"/>
      <w:r w:rsidR="00042270">
        <w:t>s</w:t>
      </w:r>
      <w:bookmarkEnd w:id="75"/>
    </w:p>
    <w:p w14:paraId="0BFCF01A" w14:textId="2D6446D1" w:rsidR="008B0F21" w:rsidRDefault="00A70D8B" w:rsidP="00B074C6">
      <w:r>
        <w:t>Although</w:t>
      </w:r>
      <w:r w:rsidR="008B0F21">
        <w:t xml:space="preserve"> the competencies of </w:t>
      </w:r>
      <w:r>
        <w:t>j</w:t>
      </w:r>
      <w:r w:rsidR="008B0F21">
        <w:t>udicia</w:t>
      </w:r>
      <w:r w:rsidR="001F29BC">
        <w:t>l</w:t>
      </w:r>
      <w:r w:rsidR="008B0F21">
        <w:t xml:space="preserve"> branch</w:t>
      </w:r>
      <w:r>
        <w:t>es</w:t>
      </w:r>
      <w:r w:rsidR="008B0F21">
        <w:t xml:space="preserve"> var</w:t>
      </w:r>
      <w:r>
        <w:t>y</w:t>
      </w:r>
      <w:r w:rsidR="008B0F21">
        <w:t xml:space="preserve">, including recognizing different </w:t>
      </w:r>
      <w:r w:rsidR="008B0F21" w:rsidRPr="00F33E09">
        <w:t>national legal systems</w:t>
      </w:r>
      <w:r w:rsidR="008B0F21">
        <w:t xml:space="preserve">, </w:t>
      </w:r>
      <w:r>
        <w:t>in</w:t>
      </w:r>
      <w:r w:rsidR="008B0F21">
        <w:t xml:space="preserve"> many jurisdictions</w:t>
      </w:r>
      <w:r w:rsidR="00873079">
        <w:t>,</w:t>
      </w:r>
      <w:r w:rsidR="008B0F21">
        <w:t xml:space="preserve"> the </w:t>
      </w:r>
      <w:r>
        <w:t>j</w:t>
      </w:r>
      <w:r w:rsidR="008B0F21">
        <w:t>udicia</w:t>
      </w:r>
      <w:r>
        <w:t>l</w:t>
      </w:r>
      <w:r w:rsidR="008B0F21">
        <w:t xml:space="preserve"> branch </w:t>
      </w:r>
      <w:r w:rsidR="008B0F21" w:rsidRPr="00142A79">
        <w:t xml:space="preserve">can </w:t>
      </w:r>
      <w:r w:rsidR="00613E69" w:rsidRPr="00142A79">
        <w:t>analyse</w:t>
      </w:r>
      <w:r w:rsidR="008B0F21" w:rsidRPr="00142A79">
        <w:t xml:space="preserve"> </w:t>
      </w:r>
      <w:r w:rsidR="008B0F21">
        <w:t xml:space="preserve">and revise </w:t>
      </w:r>
      <w:r w:rsidR="008B0F21" w:rsidRPr="00F33E09">
        <w:t>administrative acts</w:t>
      </w:r>
      <w:r w:rsidR="008B0F21">
        <w:t>.</w:t>
      </w:r>
    </w:p>
    <w:p w14:paraId="0193CFE5" w14:textId="3F032250" w:rsidR="008B0F21" w:rsidRPr="00DC3D0C" w:rsidRDefault="008B0F21" w:rsidP="00B074C6">
      <w:r w:rsidRPr="00DC3D0C">
        <w:t xml:space="preserve">The dispute resolution mechanisms, which can rely </w:t>
      </w:r>
      <w:r w:rsidR="00C75AAE">
        <w:t>o</w:t>
      </w:r>
      <w:r w:rsidRPr="00DC3D0C">
        <w:t>n the competence of any of the above-mentioned authorities</w:t>
      </w:r>
      <w:r w:rsidR="00C75AAE">
        <w:t>,</w:t>
      </w:r>
      <w:r w:rsidRPr="00DC3D0C">
        <w:t xml:space="preserve"> should be without prejudice to the right of the </w:t>
      </w:r>
      <w:r w:rsidRPr="0005297F">
        <w:t xml:space="preserve">telecommunication operators </w:t>
      </w:r>
      <w:r w:rsidRPr="00DC3D0C">
        <w:t>or OTT operators or users, to seek redress before judicial authorities in accordance with national law.</w:t>
      </w:r>
    </w:p>
    <w:p w14:paraId="1E9B2B62" w14:textId="09EB15C1" w:rsidR="008B0F21" w:rsidRDefault="008B0F21" w:rsidP="00B074C6">
      <w:r w:rsidRPr="00DC3D0C">
        <w:t xml:space="preserve">Therefore, the </w:t>
      </w:r>
      <w:r w:rsidR="00C75AAE">
        <w:t>c</w:t>
      </w:r>
      <w:r w:rsidRPr="00DC3D0C">
        <w:t>ourt</w:t>
      </w:r>
      <w:r w:rsidR="00042270">
        <w:t>s</w:t>
      </w:r>
      <w:r w:rsidRPr="00DC3D0C">
        <w:t xml:space="preserve"> should always be considered as having </w:t>
      </w:r>
      <w:r w:rsidR="00C75AAE">
        <w:t xml:space="preserve">the </w:t>
      </w:r>
      <w:r w:rsidRPr="00DC3D0C">
        <w:t xml:space="preserve">competence to deal with any dispute resolution, </w:t>
      </w:r>
      <w:r w:rsidR="00C75AAE">
        <w:t>although</w:t>
      </w:r>
      <w:r w:rsidR="00C75AAE" w:rsidRPr="00DC3D0C">
        <w:t xml:space="preserve"> </w:t>
      </w:r>
      <w:r w:rsidRPr="00DC3D0C">
        <w:t>mechanisms that use specific authorities should be encourage</w:t>
      </w:r>
      <w:r w:rsidR="00C75AAE">
        <w:t>d</w:t>
      </w:r>
      <w:r w:rsidRPr="00DC3D0C">
        <w:t>.</w:t>
      </w:r>
    </w:p>
    <w:p w14:paraId="41DC0201" w14:textId="195B147A" w:rsidR="008B0F21" w:rsidRPr="00DC3D0C" w:rsidRDefault="00873079" w:rsidP="00B074C6">
      <w:r>
        <w:t xml:space="preserve">The </w:t>
      </w:r>
      <w:r w:rsidR="00C75AAE" w:rsidRPr="00042270">
        <w:t>c</w:t>
      </w:r>
      <w:r w:rsidR="008B0F21" w:rsidRPr="00042270">
        <w:t>ourt</w:t>
      </w:r>
      <w:r w:rsidR="00042270" w:rsidRPr="00042270">
        <w:t>s</w:t>
      </w:r>
      <w:r w:rsidR="008B0F21">
        <w:t xml:space="preserve"> can also </w:t>
      </w:r>
      <w:r w:rsidR="00613E69" w:rsidRPr="00142A79">
        <w:t>analyse</w:t>
      </w:r>
      <w:r w:rsidR="008B0F21" w:rsidRPr="00142A79">
        <w:t xml:space="preserve"> </w:t>
      </w:r>
      <w:r w:rsidR="008B0F21">
        <w:t xml:space="preserve">and revise </w:t>
      </w:r>
      <w:r w:rsidR="008B0F21" w:rsidRPr="00F33E09">
        <w:t>administrative acts</w:t>
      </w:r>
      <w:r w:rsidR="008B0F21">
        <w:t xml:space="preserve"> relat</w:t>
      </w:r>
      <w:r w:rsidR="006A3897">
        <w:t>ing</w:t>
      </w:r>
      <w:r w:rsidR="008B0F21">
        <w:t xml:space="preserve"> to the dispute, including previous decisions from other bodies.</w:t>
      </w:r>
    </w:p>
    <w:p w14:paraId="3045B692" w14:textId="180900C3" w:rsidR="008B0F21" w:rsidRPr="004711AC" w:rsidRDefault="004711AC" w:rsidP="004711AC">
      <w:pPr>
        <w:pStyle w:val="Heading2"/>
      </w:pPr>
      <w:bookmarkStart w:id="76" w:name="_Toc169702184"/>
      <w:bookmarkStart w:id="77" w:name="_Toc169704801"/>
      <w:bookmarkStart w:id="78" w:name="_Toc175118343"/>
      <w:bookmarkStart w:id="79" w:name="_Toc190066107"/>
      <w:r w:rsidRPr="004711AC">
        <w:t>8.5</w:t>
      </w:r>
      <w:r w:rsidRPr="004711AC">
        <w:tab/>
      </w:r>
      <w:r w:rsidR="008B0F21" w:rsidRPr="004711AC">
        <w:t>Other bodies</w:t>
      </w:r>
      <w:bookmarkEnd w:id="76"/>
      <w:bookmarkEnd w:id="77"/>
      <w:bookmarkEnd w:id="78"/>
      <w:bookmarkEnd w:id="79"/>
    </w:p>
    <w:p w14:paraId="7D79C4DE" w14:textId="4332412A" w:rsidR="008B0F21" w:rsidRPr="00DC3D0C" w:rsidRDefault="008B0F21" w:rsidP="00B074C6">
      <w:r w:rsidRPr="00DC3D0C">
        <w:rPr>
          <w:rFonts w:hint="eastAsia"/>
        </w:rPr>
        <w:t xml:space="preserve">In certain cases of </w:t>
      </w:r>
      <w:r w:rsidRPr="00DC3D0C">
        <w:t>dispute resolution</w:t>
      </w:r>
      <w:r w:rsidRPr="00DC3D0C">
        <w:rPr>
          <w:rFonts w:hint="eastAsia"/>
        </w:rPr>
        <w:t xml:space="preserve"> between </w:t>
      </w:r>
      <w:r w:rsidRPr="0005297F">
        <w:t>telecommunication operators and providers of OTTs</w:t>
      </w:r>
      <w:r w:rsidRPr="00DC3D0C" w:rsidDel="000B0140">
        <w:rPr>
          <w:rFonts w:hint="eastAsia"/>
        </w:rPr>
        <w:t xml:space="preserve"> </w:t>
      </w:r>
      <w:r w:rsidRPr="00DC3D0C">
        <w:rPr>
          <w:rFonts w:hint="eastAsia"/>
        </w:rPr>
        <w:t xml:space="preserve">that </w:t>
      </w:r>
      <w:r w:rsidRPr="00DC3D0C">
        <w:t>refer to issues regarding</w:t>
      </w:r>
      <w:r w:rsidRPr="00DC3D0C">
        <w:rPr>
          <w:rFonts w:hint="eastAsia"/>
        </w:rPr>
        <w:t xml:space="preserve"> guarantees of consumer rights, consumer protection authorities could also participate in order to provide </w:t>
      </w:r>
      <w:r w:rsidRPr="00DC3D0C">
        <w:t xml:space="preserve">relevant </w:t>
      </w:r>
      <w:r w:rsidRPr="00DC3D0C">
        <w:rPr>
          <w:rFonts w:hint="eastAsia"/>
        </w:rPr>
        <w:t>elements from their legal perspectives.</w:t>
      </w:r>
    </w:p>
    <w:p w14:paraId="438283F1" w14:textId="79FAB14F" w:rsidR="008B0F21" w:rsidRPr="004711AC" w:rsidRDefault="004711AC" w:rsidP="004711AC">
      <w:pPr>
        <w:pStyle w:val="Heading1"/>
      </w:pPr>
      <w:bookmarkStart w:id="80" w:name="_Toc169702185"/>
      <w:bookmarkStart w:id="81" w:name="_Toc169704802"/>
      <w:bookmarkStart w:id="82" w:name="_Toc175118344"/>
      <w:bookmarkStart w:id="83" w:name="_Toc190066108"/>
      <w:r w:rsidRPr="004711AC">
        <w:t>9</w:t>
      </w:r>
      <w:r w:rsidRPr="004711AC">
        <w:tab/>
      </w:r>
      <w:r w:rsidR="008B0F21" w:rsidRPr="004711AC">
        <w:t>Principles for dispute resolution between telecommunication operators and providers of OTTs</w:t>
      </w:r>
      <w:bookmarkEnd w:id="80"/>
      <w:bookmarkEnd w:id="81"/>
      <w:bookmarkEnd w:id="82"/>
      <w:bookmarkEnd w:id="83"/>
    </w:p>
    <w:p w14:paraId="010C81CE" w14:textId="6296A3F1" w:rsidR="008B0F21" w:rsidRPr="00DC3D0C" w:rsidRDefault="00C75AAE" w:rsidP="00BF55D7">
      <w:r>
        <w:t>The</w:t>
      </w:r>
      <w:r w:rsidR="008B0F21" w:rsidRPr="00DC3D0C">
        <w:t xml:space="preserve"> healthy development of the telecommunication/ICT environment ha</w:t>
      </w:r>
      <w:r>
        <w:t>s</w:t>
      </w:r>
      <w:r w:rsidR="008B0F21" w:rsidRPr="00DC3D0C">
        <w:t xml:space="preserve"> to be preceded by a convenient agreement between telecommunication operators and providers of OTTs</w:t>
      </w:r>
      <w:r w:rsidR="006A3897">
        <w:t>,</w:t>
      </w:r>
      <w:r w:rsidR="008B0F21" w:rsidRPr="00DC3D0C">
        <w:t xml:space="preserve"> </w:t>
      </w:r>
      <w:r w:rsidR="006A3897">
        <w:t>which</w:t>
      </w:r>
      <w:r w:rsidR="008B0F21" w:rsidRPr="00DC3D0C">
        <w:t xml:space="preserve"> enable</w:t>
      </w:r>
      <w:r>
        <w:t>s</w:t>
      </w:r>
      <w:r w:rsidR="008B0F21" w:rsidRPr="00DC3D0C">
        <w:t xml:space="preserve"> the maximum ICT capabilities to the different users: enterprises, government, entrepreneurs, researchers, individuals</w:t>
      </w:r>
      <w:r w:rsidR="00ED2311">
        <w:t>,</w:t>
      </w:r>
      <w:r w:rsidR="008B0F21" w:rsidRPr="00DC3D0C">
        <w:t xml:space="preserve"> and society in general.</w:t>
      </w:r>
    </w:p>
    <w:p w14:paraId="57DC79BA" w14:textId="481C4CF6" w:rsidR="008B0F21" w:rsidRPr="00DC3D0C" w:rsidRDefault="008B0F21" w:rsidP="00BF55D7">
      <w:r w:rsidRPr="00DC3D0C">
        <w:t xml:space="preserve">A good agreement between these stakeholders </w:t>
      </w:r>
      <w:r w:rsidR="00D65EF7" w:rsidRPr="00DC3D0C">
        <w:t>has</w:t>
      </w:r>
      <w:r w:rsidRPr="00DC3D0C">
        <w:t xml:space="preserve"> to be built on a solid basis with a strategic vision that includes:</w:t>
      </w:r>
    </w:p>
    <w:p w14:paraId="721F914D" w14:textId="77777777" w:rsidR="00BF55D7" w:rsidRDefault="00613E69" w:rsidP="00613E69">
      <w:pPr>
        <w:pStyle w:val="enumlev1"/>
      </w:pPr>
      <w:r>
        <w:t>•</w:t>
      </w:r>
      <w:r>
        <w:tab/>
      </w:r>
      <w:r w:rsidR="008B0F21" w:rsidRPr="00DC3D0C">
        <w:t>Cooperation as a feasible way to get synergies; and</w:t>
      </w:r>
    </w:p>
    <w:p w14:paraId="0D018CF5" w14:textId="1B324220" w:rsidR="008B0F21" w:rsidRPr="00DC3D0C" w:rsidRDefault="00613E69" w:rsidP="00613E69">
      <w:pPr>
        <w:pStyle w:val="enumlev1"/>
      </w:pPr>
      <w:r>
        <w:t>•</w:t>
      </w:r>
      <w:r>
        <w:tab/>
      </w:r>
      <w:bookmarkStart w:id="84" w:name="_Hlk187182072"/>
      <w:r w:rsidR="008B0F21" w:rsidRPr="00DC3D0C">
        <w:t xml:space="preserve">Focusing </w:t>
      </w:r>
      <w:r w:rsidR="00417EBB">
        <w:t>on</w:t>
      </w:r>
      <w:r w:rsidR="008B0F21" w:rsidRPr="00DC3D0C">
        <w:t xml:space="preserve"> the long term to </w:t>
      </w:r>
      <w:r w:rsidR="00417EBB">
        <w:t>realize</w:t>
      </w:r>
      <w:r w:rsidR="008B0F21" w:rsidRPr="00DC3D0C">
        <w:t xml:space="preserve"> all potential benefits. </w:t>
      </w:r>
    </w:p>
    <w:bookmarkEnd w:id="84"/>
    <w:p w14:paraId="0F894090" w14:textId="40162258" w:rsidR="008B0F21" w:rsidRPr="00DC3D0C" w:rsidRDefault="008B0F21" w:rsidP="00613E69">
      <w:r w:rsidRPr="00DC3D0C">
        <w:t>In general,</w:t>
      </w:r>
      <w:r w:rsidR="006A3897">
        <w:t xml:space="preserve"> it would not be appropriate to apply </w:t>
      </w:r>
      <w:r w:rsidRPr="00DC3D0C">
        <w:t>the regulatory principles applied to network and telecommunication operators</w:t>
      </w:r>
      <w:r w:rsidR="006A3897">
        <w:t>,</w:t>
      </w:r>
      <w:r w:rsidRPr="00DC3D0C">
        <w:t xml:space="preserve"> in terms of quality of service</w:t>
      </w:r>
      <w:r w:rsidR="006A3897">
        <w:t>,</w:t>
      </w:r>
      <w:r w:rsidRPr="00DC3D0C">
        <w:t xml:space="preserve"> </w:t>
      </w:r>
      <w:r w:rsidR="006A3897">
        <w:t>to</w:t>
      </w:r>
      <w:r w:rsidRPr="00DC3D0C">
        <w:t xml:space="preserve"> OTT </w:t>
      </w:r>
      <w:r w:rsidR="006A3897">
        <w:t xml:space="preserve">providers, </w:t>
      </w:r>
      <w:r w:rsidRPr="00DC3D0C">
        <w:t>considering the different nature of the OTT applications.</w:t>
      </w:r>
    </w:p>
    <w:p w14:paraId="1F7E9893" w14:textId="0A3519B3" w:rsidR="008B0F21" w:rsidRPr="00902024" w:rsidRDefault="00902024" w:rsidP="00902024">
      <w:pPr>
        <w:pStyle w:val="Heading1"/>
      </w:pPr>
      <w:bookmarkStart w:id="85" w:name="_Toc169702186"/>
      <w:bookmarkStart w:id="86" w:name="_Toc169704803"/>
      <w:bookmarkStart w:id="87" w:name="_Toc175118345"/>
      <w:bookmarkStart w:id="88" w:name="_Toc190066109"/>
      <w:r w:rsidRPr="00902024">
        <w:t>10</w:t>
      </w:r>
      <w:r w:rsidRPr="00902024">
        <w:tab/>
      </w:r>
      <w:r w:rsidR="008B0F21" w:rsidRPr="00902024">
        <w:t>Dispute resolution mechanisms</w:t>
      </w:r>
      <w:bookmarkEnd w:id="85"/>
      <w:bookmarkEnd w:id="86"/>
      <w:bookmarkEnd w:id="87"/>
      <w:bookmarkEnd w:id="88"/>
      <w:r w:rsidR="008B0F21" w:rsidRPr="00902024">
        <w:t xml:space="preserve"> </w:t>
      </w:r>
    </w:p>
    <w:p w14:paraId="56B00516" w14:textId="11BD2255" w:rsidR="008B0F21" w:rsidRPr="00DC3D0C" w:rsidRDefault="008B0F21" w:rsidP="00B074C6">
      <w:r w:rsidRPr="00DC3D0C">
        <w:t>When dealing with specific cases of conflict between telecommunication operators and providers of OTTs, the authority</w:t>
      </w:r>
      <w:r w:rsidR="003B20E0">
        <w:t>'</w:t>
      </w:r>
      <w:r w:rsidR="00A2212F">
        <w:t>s</w:t>
      </w:r>
      <w:r w:rsidRPr="00DC3D0C">
        <w:t xml:space="preserve"> action could provide alternative scenarios to be considered </w:t>
      </w:r>
      <w:r w:rsidR="00A2212F">
        <w:t>by</w:t>
      </w:r>
      <w:r w:rsidRPr="00DC3D0C">
        <w:t xml:space="preserve"> the parties involved.</w:t>
      </w:r>
    </w:p>
    <w:p w14:paraId="39BFF3FC" w14:textId="77777777" w:rsidR="008B0F21" w:rsidRPr="00DC3D0C" w:rsidRDefault="008B0F21" w:rsidP="00B074C6">
      <w:r w:rsidRPr="00DC3D0C">
        <w:t>Optimally, these alternatives will be set up in close collaboration with the stakeholders, in order to provide the background and all relevant information and get results that are attractive in terms of actual and potential benefits for them.</w:t>
      </w:r>
    </w:p>
    <w:p w14:paraId="13FFDFF8" w14:textId="542D3A0D" w:rsidR="008B0F21" w:rsidRPr="00DC3D0C" w:rsidRDefault="008B0F21" w:rsidP="00B074C6">
      <w:r w:rsidRPr="00DC3D0C">
        <w:t xml:space="preserve">Given that parties could belong to different but connected markets, a multisector approach could be appropriate </w:t>
      </w:r>
      <w:r w:rsidR="00A2212F">
        <w:t>for</w:t>
      </w:r>
      <w:r w:rsidRPr="00DC3D0C">
        <w:t xml:space="preserve"> handl</w:t>
      </w:r>
      <w:r w:rsidR="00A2212F">
        <w:t>ing</w:t>
      </w:r>
      <w:r w:rsidRPr="00DC3D0C">
        <w:t xml:space="preserve"> the dispute, aiming to achieve a sustainable and beneficial relationship between the telecommunication operators and providers of OTTs.</w:t>
      </w:r>
    </w:p>
    <w:p w14:paraId="5A3FE344" w14:textId="5E048AB7" w:rsidR="008B0F21" w:rsidRPr="00DC3D0C" w:rsidRDefault="008B0F21" w:rsidP="00B074C6">
      <w:r w:rsidRPr="00DC3D0C">
        <w:t>For those situations whe</w:t>
      </w:r>
      <w:r w:rsidR="00A2212F">
        <w:t>re</w:t>
      </w:r>
      <w:r w:rsidRPr="00DC3D0C">
        <w:t xml:space="preserve"> more details and analysis </w:t>
      </w:r>
      <w:r w:rsidR="00A2212F">
        <w:t>are</w:t>
      </w:r>
      <w:r w:rsidR="00A2212F" w:rsidRPr="00DC3D0C">
        <w:t xml:space="preserve"> </w:t>
      </w:r>
      <w:r w:rsidRPr="00DC3D0C">
        <w:t>needed to get an agreement, the authority could lead a mediation and/or negotiation process</w:t>
      </w:r>
      <w:r w:rsidR="00A2212F">
        <w:t>,</w:t>
      </w:r>
      <w:r w:rsidRPr="00DC3D0C">
        <w:t xml:space="preserve"> to be developed by rounds</w:t>
      </w:r>
      <w:r w:rsidR="00A2212F">
        <w:t>,</w:t>
      </w:r>
      <w:r w:rsidRPr="00DC3D0C">
        <w:t xml:space="preserve"> to discuss the main aspects of the problem, especially </w:t>
      </w:r>
      <w:r w:rsidR="00A2212F">
        <w:t>for</w:t>
      </w:r>
      <w:r w:rsidRPr="00DC3D0C">
        <w:t xml:space="preserve"> identify</w:t>
      </w:r>
      <w:r w:rsidR="00A2212F">
        <w:t>ing</w:t>
      </w:r>
      <w:r w:rsidRPr="00DC3D0C">
        <w:t xml:space="preserve"> and solv</w:t>
      </w:r>
      <w:r w:rsidR="00A2212F">
        <w:t>ing</w:t>
      </w:r>
      <w:r w:rsidRPr="00DC3D0C">
        <w:t xml:space="preserve"> the bottlenecks. </w:t>
      </w:r>
    </w:p>
    <w:p w14:paraId="5FFE8E0E" w14:textId="6F4A7CD9" w:rsidR="008B0F21" w:rsidRPr="00DC3D0C" w:rsidRDefault="008B0F21" w:rsidP="00B074C6">
      <w:r w:rsidRPr="00DC3D0C">
        <w:t xml:space="preserve">To be effective, Member States are invited to study, design, develop and establish official procedures that cover these processes, </w:t>
      </w:r>
      <w:r w:rsidR="00A2212F">
        <w:t>which,</w:t>
      </w:r>
      <w:r w:rsidRPr="00DC3D0C">
        <w:t xml:space="preserve"> ideally</w:t>
      </w:r>
      <w:r w:rsidR="00A2212F">
        <w:t>,</w:t>
      </w:r>
      <w:r w:rsidRPr="00DC3D0C">
        <w:t xml:space="preserve"> have to be as concise as possible, and oriented to both balanced and acceptable results in terms of a win-win agreement.</w:t>
      </w:r>
    </w:p>
    <w:p w14:paraId="439C8D92" w14:textId="7F652CC2" w:rsidR="008B0F21" w:rsidRPr="00DC3D0C" w:rsidRDefault="008B0F21" w:rsidP="00B074C6">
      <w:r w:rsidRPr="00DC3D0C">
        <w:t>ITU has</w:t>
      </w:r>
      <w:r w:rsidR="00A2212F">
        <w:t>,</w:t>
      </w:r>
      <w:r w:rsidRPr="00DC3D0C">
        <w:t xml:space="preserve"> in the </w:t>
      </w:r>
      <w:hyperlink r:id="rId21" w:history="1">
        <w:r w:rsidRPr="00DC3D0C">
          <w:rPr>
            <w:rStyle w:val="Hyperlink"/>
          </w:rPr>
          <w:t>ITU DataHub</w:t>
        </w:r>
      </w:hyperlink>
      <w:r w:rsidR="00A2212F">
        <w:rPr>
          <w:rStyle w:val="Hyperlink"/>
        </w:rPr>
        <w:t>,</w:t>
      </w:r>
      <w:r w:rsidRPr="00DC3D0C">
        <w:t xml:space="preserve"> some information collected </w:t>
      </w:r>
      <w:r w:rsidR="005F7240">
        <w:t>from</w:t>
      </w:r>
      <w:r w:rsidRPr="00DC3D0C">
        <w:t xml:space="preserve"> the administrations on </w:t>
      </w:r>
      <w:r w:rsidR="00A2212F">
        <w:t>d</w:t>
      </w:r>
      <w:r w:rsidRPr="00DC3D0C">
        <w:t xml:space="preserve">ispute </w:t>
      </w:r>
      <w:r w:rsidR="00417EBB">
        <w:t>r</w:t>
      </w:r>
      <w:r w:rsidRPr="00DC3D0C">
        <w:t xml:space="preserve">esolution mechanisms, available as: </w:t>
      </w:r>
      <w:hyperlink r:id="rId22" w:history="1">
        <w:r w:rsidRPr="00DC3D0C">
          <w:rPr>
            <w:rStyle w:val="Hyperlink"/>
          </w:rPr>
          <w:t>https://datahub.itu.int/data/?i=100098</w:t>
        </w:r>
      </w:hyperlink>
      <w:r w:rsidRPr="00DC3D0C">
        <w:t>.</w:t>
      </w:r>
    </w:p>
    <w:p w14:paraId="67EFF5C0" w14:textId="6772FABF" w:rsidR="008B0F21" w:rsidRPr="00DC3D0C" w:rsidRDefault="00902024" w:rsidP="006B1E4E">
      <w:pPr>
        <w:pStyle w:val="Heading2"/>
      </w:pPr>
      <w:bookmarkStart w:id="89" w:name="_Toc169702187"/>
      <w:bookmarkStart w:id="90" w:name="_Toc169704804"/>
      <w:bookmarkStart w:id="91" w:name="_Toc175118346"/>
      <w:bookmarkStart w:id="92" w:name="_Toc190066110"/>
      <w:r>
        <w:t>10.1</w:t>
      </w:r>
      <w:r>
        <w:tab/>
      </w:r>
      <w:r w:rsidR="008B0F21" w:rsidRPr="00DC3D0C">
        <w:t xml:space="preserve">Case </w:t>
      </w:r>
      <w:r w:rsidR="00A70D8B">
        <w:t>s</w:t>
      </w:r>
      <w:r w:rsidR="008B0F21" w:rsidRPr="00DC3D0C">
        <w:t>tudies</w:t>
      </w:r>
      <w:bookmarkEnd w:id="89"/>
      <w:bookmarkEnd w:id="90"/>
      <w:bookmarkEnd w:id="91"/>
      <w:bookmarkEnd w:id="92"/>
    </w:p>
    <w:p w14:paraId="37077CCD" w14:textId="0D629622" w:rsidR="008B0F21" w:rsidRPr="00DC3D0C" w:rsidRDefault="008B0F21" w:rsidP="00B074C6">
      <w:bookmarkStart w:id="93" w:name="_Hlk187182224"/>
      <w:r w:rsidRPr="00DC3D0C">
        <w:t xml:space="preserve">Policy approaches taken or proposed vary widely, and </w:t>
      </w:r>
      <w:r w:rsidR="00984176">
        <w:t>in several ways</w:t>
      </w:r>
      <w:r w:rsidRPr="00DC3D0C">
        <w:t xml:space="preserve">, from one country to the next, even among countries in the same region. This chapter </w:t>
      </w:r>
      <w:r w:rsidR="00A70D8B">
        <w:t>looks at</w:t>
      </w:r>
      <w:r w:rsidR="00A70D8B" w:rsidRPr="00DC3D0C">
        <w:t xml:space="preserve"> </w:t>
      </w:r>
      <w:r w:rsidRPr="00DC3D0C">
        <w:t xml:space="preserve">approaches taken </w:t>
      </w:r>
      <w:r w:rsidR="00A70D8B">
        <w:t>i</w:t>
      </w:r>
      <w:r w:rsidRPr="00DC3D0C">
        <w:t xml:space="preserve">n </w:t>
      </w:r>
      <w:r w:rsidR="00984176">
        <w:t>two</w:t>
      </w:r>
      <w:r w:rsidR="00984176" w:rsidRPr="00DC3D0C">
        <w:t xml:space="preserve"> </w:t>
      </w:r>
      <w:r w:rsidRPr="00DC3D0C">
        <w:t>countries</w:t>
      </w:r>
      <w:r w:rsidR="00A70D8B">
        <w:t>,</w:t>
      </w:r>
      <w:r w:rsidRPr="00DC3D0C">
        <w:t xml:space="preserve"> considering different institutional environments.</w:t>
      </w:r>
    </w:p>
    <w:bookmarkEnd w:id="93"/>
    <w:p w14:paraId="354B9C37" w14:textId="77777777" w:rsidR="008B0F21" w:rsidRPr="00DC3D0C" w:rsidRDefault="008B0F21" w:rsidP="00B074C6">
      <w:r w:rsidRPr="00DC3D0C">
        <w:t>It is too early to say what represents best practice as regards regulatory and policy approaches for dispute resolution between telecommunications operators and providers of OTTs.</w:t>
      </w:r>
    </w:p>
    <w:p w14:paraId="30B4B85B" w14:textId="1A1B7AB0" w:rsidR="008B0F21" w:rsidRPr="00DC3D0C" w:rsidRDefault="00902024" w:rsidP="00902024">
      <w:pPr>
        <w:pStyle w:val="Heading3"/>
      </w:pPr>
      <w:bookmarkStart w:id="94" w:name="_Toc169702188"/>
      <w:bookmarkStart w:id="95" w:name="_Toc169704805"/>
      <w:r>
        <w:t>10.1.1</w:t>
      </w:r>
      <w:r>
        <w:tab/>
      </w:r>
      <w:r w:rsidR="008B0F21" w:rsidRPr="00DC3D0C">
        <w:t>Cameroon</w:t>
      </w:r>
      <w:bookmarkEnd w:id="94"/>
      <w:bookmarkEnd w:id="95"/>
    </w:p>
    <w:p w14:paraId="201154C0" w14:textId="2C306F0C" w:rsidR="008B0F21" w:rsidRPr="00DC3D0C" w:rsidRDefault="008B0F21" w:rsidP="00B074C6">
      <w:r w:rsidRPr="00DC3D0C">
        <w:t>In Cameroon, a distinction is made between local content and application providers and international content and application providers, generally known as OTTs. Local content providers are subject to national or subregional regulation and legislation. In the financ</w:t>
      </w:r>
      <w:r w:rsidR="00917951">
        <w:t>ial</w:t>
      </w:r>
      <w:r w:rsidRPr="00DC3D0C">
        <w:t xml:space="preserve"> sector, for example, payment service providers (PSPs) use mobile</w:t>
      </w:r>
      <w:r w:rsidR="002527EF">
        <w:t xml:space="preserve"> </w:t>
      </w:r>
      <w:r w:rsidRPr="00DC3D0C">
        <w:t>telephone or Internet networks to provide their services to end users, wh</w:t>
      </w:r>
      <w:r w:rsidR="00917951">
        <w:t>o</w:t>
      </w:r>
      <w:r w:rsidRPr="00DC3D0C">
        <w:t xml:space="preserve"> tend to be mobile</w:t>
      </w:r>
      <w:r w:rsidR="002527EF">
        <w:t xml:space="preserve"> </w:t>
      </w:r>
      <w:r w:rsidRPr="00DC3D0C">
        <w:t xml:space="preserve">telephone subscribers. Given the volume of traffic that their activities generate, PSPs are considered large local content providers. Since 2018, PSP activities have been regulated in the Central African Economic and Monetary Community (CEMAC) by a </w:t>
      </w:r>
      <w:r w:rsidR="002527EF">
        <w:t>c</w:t>
      </w:r>
      <w:r w:rsidRPr="00DC3D0C">
        <w:t xml:space="preserve">ommunity-wide regulation. The local content provider shall always operate in partnership with an </w:t>
      </w:r>
      <w:r w:rsidR="002527EF">
        <w:t>Internet service provider</w:t>
      </w:r>
      <w:r w:rsidRPr="00DC3D0C">
        <w:t xml:space="preserve"> (ISP) duly licensed to operate in the electronic communication sector (</w:t>
      </w:r>
      <w:r w:rsidR="002527EF">
        <w:t xml:space="preserve">via </w:t>
      </w:r>
      <w:r w:rsidRPr="00DC3D0C">
        <w:t>concession, licence or declaration). Revenue sharing in this value</w:t>
      </w:r>
      <w:r w:rsidR="00137BB0">
        <w:t xml:space="preserve"> </w:t>
      </w:r>
      <w:r w:rsidRPr="00DC3D0C">
        <w:t>chain is performed either in accordance with the requirements of the interconnection and access catalogues or by agreement among the value</w:t>
      </w:r>
      <w:r w:rsidR="00137BB0">
        <w:t xml:space="preserve"> </w:t>
      </w:r>
      <w:r w:rsidRPr="00DC3D0C">
        <w:t>chain actors. Dispute resolution procedures are prescribed by the regulations in force and included in the contracts between the different actors.</w:t>
      </w:r>
    </w:p>
    <w:p w14:paraId="53ED0D7C" w14:textId="602B192D" w:rsidR="008B0F21" w:rsidRDefault="008B0F21" w:rsidP="00B074C6">
      <w:r w:rsidRPr="00DC3D0C">
        <w:t xml:space="preserve">Conversely, the relationship between ISPs and international content providers is not governed by national or </w:t>
      </w:r>
      <w:r w:rsidR="00FD6F98">
        <w:t>c</w:t>
      </w:r>
      <w:r w:rsidRPr="00DC3D0C">
        <w:t xml:space="preserve">ommunity-wide texts. Certain local operators have been able to negotiate agreements with OTT content providers, for access to cached files, for example, but these tend to be standard form contracts, drawn up by the OTT, where the ISP has little choice but to accept. </w:t>
      </w:r>
      <w:r w:rsidR="003A2627">
        <w:t>Such</w:t>
      </w:r>
      <w:r w:rsidRPr="00DC3D0C">
        <w:t xml:space="preserve"> contract</w:t>
      </w:r>
      <w:r w:rsidR="003A2627">
        <w:t>s</w:t>
      </w:r>
      <w:r w:rsidRPr="00DC3D0C">
        <w:t xml:space="preserve"> include procedures for the settlement of disputes between the parties.</w:t>
      </w:r>
    </w:p>
    <w:p w14:paraId="482B2FAE" w14:textId="55B9BA17" w:rsidR="008B0F21" w:rsidRPr="00DC3D0C" w:rsidRDefault="00902024" w:rsidP="00902024">
      <w:pPr>
        <w:pStyle w:val="Heading3"/>
      </w:pPr>
      <w:bookmarkStart w:id="96" w:name="_Toc169702189"/>
      <w:bookmarkStart w:id="97" w:name="_Toc169704806"/>
      <w:r>
        <w:t>10.1.2</w:t>
      </w:r>
      <w:r>
        <w:tab/>
      </w:r>
      <w:r w:rsidR="008B0F21">
        <w:t>Brazil</w:t>
      </w:r>
      <w:bookmarkEnd w:id="96"/>
      <w:bookmarkEnd w:id="97"/>
    </w:p>
    <w:p w14:paraId="3BD0F3B0" w14:textId="22BF02DB" w:rsidR="008B0F21" w:rsidRDefault="008B0F21" w:rsidP="00B074C6">
      <w:r>
        <w:t>The law</w:t>
      </w:r>
      <w:r w:rsidR="00613E69">
        <w:rPr>
          <w:rStyle w:val="FootnoteReference"/>
        </w:rPr>
        <w:footnoteReference w:id="7"/>
      </w:r>
      <w:r>
        <w:t xml:space="preserve"> that created </w:t>
      </w:r>
      <w:r w:rsidRPr="007F568A">
        <w:t>Brazil</w:t>
      </w:r>
      <w:r w:rsidR="004B5BB2">
        <w:t>'</w:t>
      </w:r>
      <w:r w:rsidRPr="007F568A">
        <w:t>s telecommunications authority (National Telecommunications Agency – A</w:t>
      </w:r>
      <w:r w:rsidR="003A2627">
        <w:t>natel</w:t>
      </w:r>
      <w:r w:rsidRPr="007F568A">
        <w:t>)</w:t>
      </w:r>
      <w:r w:rsidRPr="00713578">
        <w:t xml:space="preserve"> also </w:t>
      </w:r>
      <w:r w:rsidRPr="00532D11">
        <w:t xml:space="preserve">granted </w:t>
      </w:r>
      <w:r>
        <w:t>A</w:t>
      </w:r>
      <w:r w:rsidR="003A2627">
        <w:t>natel</w:t>
      </w:r>
      <w:r>
        <w:t xml:space="preserve"> </w:t>
      </w:r>
      <w:r w:rsidRPr="00532D11">
        <w:t xml:space="preserve">the authority to administratively </w:t>
      </w:r>
      <w:r>
        <w:t>handle</w:t>
      </w:r>
      <w:r w:rsidRPr="00532D11">
        <w:t xml:space="preserve"> </w:t>
      </w:r>
      <w:r>
        <w:t>dispute resolutions</w:t>
      </w:r>
      <w:r w:rsidRPr="00532D11">
        <w:t xml:space="preserve"> between telecommunication service providers. The same law g</w:t>
      </w:r>
      <w:r>
        <w:t>a</w:t>
      </w:r>
      <w:r w:rsidRPr="00532D11">
        <w:t>ve A</w:t>
      </w:r>
      <w:r w:rsidR="003A2627">
        <w:t>natel</w:t>
      </w:r>
      <w:r w:rsidRPr="00532D11">
        <w:t xml:space="preserve"> the authority to regulate the conditions and relationships between </w:t>
      </w:r>
      <w:r>
        <w:t xml:space="preserve">service </w:t>
      </w:r>
      <w:r w:rsidRPr="00532D11">
        <w:t xml:space="preserve">providers and users of the network, which includes </w:t>
      </w:r>
      <w:r>
        <w:t>providers</w:t>
      </w:r>
      <w:r w:rsidRPr="00532D11">
        <w:t xml:space="preserve"> </w:t>
      </w:r>
      <w:r>
        <w:t xml:space="preserve">of </w:t>
      </w:r>
      <w:r w:rsidR="00FD6F98">
        <w:t>v</w:t>
      </w:r>
      <w:r w:rsidRPr="00532D11">
        <w:t>alue</w:t>
      </w:r>
      <w:r>
        <w:t>-</w:t>
      </w:r>
      <w:r w:rsidR="00FD6F98">
        <w:t>a</w:t>
      </w:r>
      <w:r w:rsidRPr="00532D11">
        <w:t xml:space="preserve">dded </w:t>
      </w:r>
      <w:r w:rsidR="00FD6F98">
        <w:t>s</w:t>
      </w:r>
      <w:r w:rsidRPr="00532D11">
        <w:t>ervices (</w:t>
      </w:r>
      <w:r>
        <w:t>VAS</w:t>
      </w:r>
      <w:r w:rsidRPr="00532D11">
        <w:t>)</w:t>
      </w:r>
      <w:r>
        <w:t>.</w:t>
      </w:r>
    </w:p>
    <w:p w14:paraId="5A2179BB" w14:textId="62F3F514" w:rsidR="008B0F21" w:rsidRDefault="008B0F21" w:rsidP="00B074C6">
      <w:r w:rsidRPr="00E65500">
        <w:t>Given these powers, A</w:t>
      </w:r>
      <w:r w:rsidR="002730FC">
        <w:t>natel</w:t>
      </w:r>
      <w:r w:rsidRPr="00E65500">
        <w:t xml:space="preserve"> issued regulations </w:t>
      </w:r>
      <w:r>
        <w:t>relat</w:t>
      </w:r>
      <w:r w:rsidR="00FD6F98">
        <w:t>ing</w:t>
      </w:r>
      <w:r>
        <w:t xml:space="preserve"> to </w:t>
      </w:r>
      <w:r w:rsidR="00FD6F98">
        <w:t xml:space="preserve">the </w:t>
      </w:r>
      <w:r w:rsidRPr="00E65500">
        <w:t xml:space="preserve">process </w:t>
      </w:r>
      <w:r>
        <w:t xml:space="preserve">of dispute resolution </w:t>
      </w:r>
      <w:r w:rsidRPr="00E65500">
        <w:t xml:space="preserve">between telecommunications service providers, as well as between telecommunications service providers and </w:t>
      </w:r>
      <w:r w:rsidR="00FD6F98">
        <w:t xml:space="preserve">the </w:t>
      </w:r>
      <w:r>
        <w:t>providers of VAS.</w:t>
      </w:r>
    </w:p>
    <w:p w14:paraId="5147F01F" w14:textId="2128505E" w:rsidR="008B0F21" w:rsidRDefault="008B0F21" w:rsidP="00B074C6">
      <w:r>
        <w:t>I</w:t>
      </w:r>
      <w:r w:rsidRPr="0070443F">
        <w:t>n principle</w:t>
      </w:r>
      <w:r w:rsidR="00FD6F98">
        <w:t>,</w:t>
      </w:r>
      <w:r>
        <w:t xml:space="preserve"> the dispute resolution</w:t>
      </w:r>
      <w:r w:rsidRPr="0070443F">
        <w:t xml:space="preserve"> must be solved by the parties, through</w:t>
      </w:r>
      <w:r>
        <w:t xml:space="preserve"> </w:t>
      </w:r>
      <w:r w:rsidRPr="0070443F">
        <w:t>negotiation</w:t>
      </w:r>
      <w:r w:rsidR="00FD6F98">
        <w:t xml:space="preserve">. </w:t>
      </w:r>
      <w:r w:rsidRPr="0070443F">
        <w:t xml:space="preserve"> </w:t>
      </w:r>
      <w:r w:rsidR="00FD6F98">
        <w:t>H</w:t>
      </w:r>
      <w:r w:rsidRPr="0070443F">
        <w:t>owever, if there is no agreement, A</w:t>
      </w:r>
      <w:r w:rsidR="0096679C">
        <w:t>natel</w:t>
      </w:r>
      <w:r w:rsidRPr="0070443F">
        <w:t xml:space="preserve"> must establish conditions so </w:t>
      </w:r>
      <w:r w:rsidR="0096679C">
        <w:t>there can be</w:t>
      </w:r>
      <w:r w:rsidRPr="0070443F">
        <w:t xml:space="preserve"> certainty on the points on which the parties do not agree</w:t>
      </w:r>
      <w:r>
        <w:t>.</w:t>
      </w:r>
    </w:p>
    <w:p w14:paraId="4FD3B266" w14:textId="7A0BB632" w:rsidR="008B0F21" w:rsidRDefault="008B0F21" w:rsidP="00B074C6">
      <w:r w:rsidRPr="0070443F">
        <w:t xml:space="preserve">Therefore, in the event of </w:t>
      </w:r>
      <w:r>
        <w:t xml:space="preserve">dispute resolutions </w:t>
      </w:r>
      <w:r w:rsidRPr="0070443F">
        <w:t xml:space="preserve">between </w:t>
      </w:r>
      <w:r>
        <w:t>telecom providers or involving VAS providers</w:t>
      </w:r>
      <w:r w:rsidRPr="0070443F">
        <w:t>, A</w:t>
      </w:r>
      <w:r w:rsidR="0096679C">
        <w:t>natel</w:t>
      </w:r>
      <w:r w:rsidRPr="0070443F">
        <w:t xml:space="preserve"> must act to bring a solution that pacifies the situation. </w:t>
      </w:r>
      <w:bookmarkStart w:id="98" w:name="_Hlk187182593"/>
      <w:r w:rsidRPr="0070443F">
        <w:t>In other words, the conflict cannot be an obstacle to using the network</w:t>
      </w:r>
      <w:r w:rsidR="00876232">
        <w:t>;</w:t>
      </w:r>
      <w:r w:rsidRPr="0070443F">
        <w:t xml:space="preserve"> if there is a desire to use the network, access must be guaranteed, a</w:t>
      </w:r>
      <w:r w:rsidR="00E61779">
        <w:t>s well as</w:t>
      </w:r>
      <w:r w:rsidRPr="0070443F">
        <w:t xml:space="preserve"> the conditions on how this access should be provided</w:t>
      </w:r>
      <w:r w:rsidRPr="007349CF">
        <w:t>.</w:t>
      </w:r>
      <w:r>
        <w:t xml:space="preserve"> Recalling that in t</w:t>
      </w:r>
      <w:r w:rsidRPr="007349CF">
        <w:t>he Brazilian legal system</w:t>
      </w:r>
      <w:r>
        <w:t xml:space="preserve">, </w:t>
      </w:r>
      <w:r w:rsidRPr="00B55B24">
        <w:t>as in many other jurisdictions</w:t>
      </w:r>
      <w:r w:rsidRPr="007349CF">
        <w:t xml:space="preserve">, administrative acts can always be </w:t>
      </w:r>
      <w:r w:rsidR="00FD64C3" w:rsidRPr="007349CF">
        <w:t>analysed</w:t>
      </w:r>
      <w:r w:rsidRPr="007349CF">
        <w:t xml:space="preserve"> by the </w:t>
      </w:r>
      <w:r w:rsidR="00E61779">
        <w:t>j</w:t>
      </w:r>
      <w:r w:rsidRPr="007349CF">
        <w:t>udiciary</w:t>
      </w:r>
    </w:p>
    <w:p w14:paraId="076FC46E" w14:textId="6DDBD18E" w:rsidR="008B0F21" w:rsidRPr="001071F4" w:rsidRDefault="008B0F21" w:rsidP="001071F4">
      <w:pPr>
        <w:rPr>
          <w:bCs/>
          <w:i/>
          <w:iCs/>
          <w:lang w:val="en-US"/>
        </w:rPr>
      </w:pPr>
      <w:bookmarkStart w:id="99" w:name="_Toc169702190"/>
      <w:bookmarkEnd w:id="98"/>
      <w:r w:rsidRPr="001071F4">
        <w:rPr>
          <w:b/>
          <w:bCs/>
          <w:i/>
          <w:iCs/>
        </w:rPr>
        <w:t>Complaint</w:t>
      </w:r>
      <w:r w:rsidR="00E61779">
        <w:rPr>
          <w:b/>
          <w:bCs/>
          <w:i/>
          <w:iCs/>
        </w:rPr>
        <w:t>s</w:t>
      </w:r>
      <w:r w:rsidRPr="001071F4">
        <w:rPr>
          <w:b/>
          <w:bCs/>
          <w:i/>
          <w:iCs/>
        </w:rPr>
        <w:t xml:space="preserve"> about </w:t>
      </w:r>
      <w:r w:rsidR="00E61779">
        <w:rPr>
          <w:b/>
          <w:bCs/>
          <w:i/>
          <w:iCs/>
        </w:rPr>
        <w:t xml:space="preserve">the </w:t>
      </w:r>
      <w:r w:rsidRPr="001071F4">
        <w:rPr>
          <w:b/>
          <w:bCs/>
          <w:i/>
          <w:iCs/>
        </w:rPr>
        <w:t>unauthorized provision of telecommunication services</w:t>
      </w:r>
      <w:bookmarkEnd w:id="99"/>
      <w:r w:rsidRPr="001071F4">
        <w:rPr>
          <w:b/>
          <w:bCs/>
          <w:i/>
          <w:iCs/>
        </w:rPr>
        <w:t xml:space="preserve"> </w:t>
      </w:r>
    </w:p>
    <w:p w14:paraId="65CF6D7A" w14:textId="5D489B56" w:rsidR="008B0F21" w:rsidRDefault="008B0F21" w:rsidP="00B074C6">
      <w:r w:rsidRPr="00D808FA">
        <w:t xml:space="preserve">In 2018, a dispute </w:t>
      </w:r>
      <w:r>
        <w:t xml:space="preserve">resolution involving </w:t>
      </w:r>
      <w:r w:rsidRPr="00D808FA">
        <w:t xml:space="preserve">a </w:t>
      </w:r>
      <w:r w:rsidR="00876232">
        <w:t>p</w:t>
      </w:r>
      <w:r w:rsidRPr="00D808FA">
        <w:t>ay T</w:t>
      </w:r>
      <w:r>
        <w:t>V</w:t>
      </w:r>
      <w:r w:rsidRPr="00D808FA">
        <w:t xml:space="preserve"> operator and </w:t>
      </w:r>
      <w:r w:rsidR="00876232">
        <w:t>v</w:t>
      </w:r>
      <w:r w:rsidRPr="00D808FA">
        <w:t xml:space="preserve">ideo on </w:t>
      </w:r>
      <w:r w:rsidR="00876232">
        <w:t>d</w:t>
      </w:r>
      <w:r w:rsidRPr="00D808FA">
        <w:t>emand (VoD) companies was presented to A</w:t>
      </w:r>
      <w:r w:rsidR="0096679C">
        <w:t>natel</w:t>
      </w:r>
      <w:r w:rsidRPr="00D808FA">
        <w:t xml:space="preserve">. The </w:t>
      </w:r>
      <w:r w:rsidR="00876232">
        <w:t>p</w:t>
      </w:r>
      <w:r w:rsidRPr="00D808FA">
        <w:t xml:space="preserve">ay TV </w:t>
      </w:r>
      <w:r>
        <w:t>o</w:t>
      </w:r>
      <w:r w:rsidRPr="00D808FA">
        <w:t xml:space="preserve">perator argued that VoD </w:t>
      </w:r>
      <w:r w:rsidRPr="00E60BED">
        <w:t>would be providing</w:t>
      </w:r>
      <w:r w:rsidR="0096679C">
        <w:t xml:space="preserve"> a</w:t>
      </w:r>
      <w:r w:rsidRPr="00E60BED">
        <w:t xml:space="preserve"> </w:t>
      </w:r>
      <w:r>
        <w:t xml:space="preserve">telecommunication </w:t>
      </w:r>
      <w:r w:rsidRPr="00E60BED">
        <w:t>service</w:t>
      </w:r>
      <w:r>
        <w:t xml:space="preserve"> (</w:t>
      </w:r>
      <w:r w:rsidR="00876232">
        <w:t>p</w:t>
      </w:r>
      <w:r>
        <w:t>ay TV)</w:t>
      </w:r>
      <w:r w:rsidRPr="00E60BED">
        <w:t xml:space="preserve"> without authorization</w:t>
      </w:r>
      <w:r w:rsidRPr="00D808FA">
        <w:t>.</w:t>
      </w:r>
    </w:p>
    <w:p w14:paraId="61A7C007" w14:textId="4AFF360A" w:rsidR="008B0F21" w:rsidRDefault="008B0F21" w:rsidP="00B074C6">
      <w:r w:rsidRPr="00E60BED">
        <w:t>The central legal issue in th</w:t>
      </w:r>
      <w:r>
        <w:t>is</w:t>
      </w:r>
      <w:r w:rsidRPr="00E60BED">
        <w:t xml:space="preserve"> specific case consisted of defining whether VoD services should fall within </w:t>
      </w:r>
      <w:r>
        <w:t>Brazil</w:t>
      </w:r>
      <w:r w:rsidR="004B5BB2">
        <w:t>'</w:t>
      </w:r>
      <w:r>
        <w:t xml:space="preserve">s </w:t>
      </w:r>
      <w:r w:rsidRPr="00E60BED">
        <w:t>legal definition</w:t>
      </w:r>
      <w:r>
        <w:t xml:space="preserve"> of telecommunication service or VA S</w:t>
      </w:r>
      <w:r w:rsidRPr="00E60BED">
        <w:t>.</w:t>
      </w:r>
      <w:r>
        <w:t xml:space="preserve"> </w:t>
      </w:r>
      <w:r w:rsidRPr="000D0D54">
        <w:t xml:space="preserve">When </w:t>
      </w:r>
      <w:r w:rsidR="00FD64C3" w:rsidRPr="000D0D54">
        <w:t>analysing</w:t>
      </w:r>
      <w:r w:rsidRPr="000D0D54">
        <w:t xml:space="preserve"> the case, A</w:t>
      </w:r>
      <w:r w:rsidR="0096679C">
        <w:t>natel</w:t>
      </w:r>
      <w:r w:rsidRPr="000D0D54">
        <w:t xml:space="preserve"> considered the differences in relation to the way in which content is made available by </w:t>
      </w:r>
      <w:r w:rsidR="00A533DF">
        <w:t>p</w:t>
      </w:r>
      <w:r w:rsidRPr="000D0D54">
        <w:t xml:space="preserve">ay TV </w:t>
      </w:r>
      <w:r w:rsidR="00A533DF">
        <w:t>o</w:t>
      </w:r>
      <w:r w:rsidRPr="000D0D54">
        <w:t>perator companies and VoD companies.</w:t>
      </w:r>
    </w:p>
    <w:p w14:paraId="7B7EBD28" w14:textId="2DB6F478" w:rsidR="008B0F21" w:rsidRPr="00DC3D0C" w:rsidRDefault="008B0F21" w:rsidP="00B074C6">
      <w:r w:rsidRPr="00822168">
        <w:t>A</w:t>
      </w:r>
      <w:r w:rsidR="0096679C">
        <w:t>natel</w:t>
      </w:r>
      <w:r w:rsidRPr="00822168">
        <w:t xml:space="preserve"> decided that VoD companies have no control or responsibility over the transmission network used by the end consumer to obtain access to audiovisual content</w:t>
      </w:r>
      <w:r w:rsidR="0096679C">
        <w:t>. T</w:t>
      </w:r>
      <w:r w:rsidRPr="00822168">
        <w:t xml:space="preserve">herefore, </w:t>
      </w:r>
      <w:r w:rsidR="0096679C">
        <w:t>such service</w:t>
      </w:r>
      <w:r w:rsidRPr="00822168">
        <w:t xml:space="preserve"> is characterized as a </w:t>
      </w:r>
      <w:r w:rsidR="00A533DF">
        <w:t>VAS</w:t>
      </w:r>
      <w:r w:rsidRPr="00822168">
        <w:t xml:space="preserve"> under </w:t>
      </w:r>
      <w:r w:rsidR="00A533DF">
        <w:t>n</w:t>
      </w:r>
      <w:r w:rsidRPr="00822168">
        <w:t xml:space="preserve">ational </w:t>
      </w:r>
      <w:r w:rsidR="00A533DF">
        <w:t>l</w:t>
      </w:r>
      <w:r w:rsidRPr="00822168">
        <w:t>aw</w:t>
      </w:r>
      <w:r>
        <w:t>.</w:t>
      </w:r>
    </w:p>
    <w:p w14:paraId="482BA7F5" w14:textId="481CF478" w:rsidR="008B0F21" w:rsidRPr="0065059A" w:rsidRDefault="0065059A" w:rsidP="0065059A">
      <w:pPr>
        <w:pStyle w:val="Heading1"/>
      </w:pPr>
      <w:bookmarkStart w:id="100" w:name="_Toc169702191"/>
      <w:bookmarkStart w:id="101" w:name="_Toc169704807"/>
      <w:bookmarkStart w:id="102" w:name="_Toc175118347"/>
      <w:bookmarkStart w:id="103" w:name="_Toc190066111"/>
      <w:r w:rsidRPr="0065059A">
        <w:t>11</w:t>
      </w:r>
      <w:r w:rsidRPr="0065059A">
        <w:tab/>
      </w:r>
      <w:r w:rsidR="008B0F21" w:rsidRPr="0065059A">
        <w:t>Concluding remarks</w:t>
      </w:r>
      <w:bookmarkEnd w:id="100"/>
      <w:bookmarkEnd w:id="101"/>
      <w:bookmarkEnd w:id="102"/>
      <w:bookmarkEnd w:id="103"/>
    </w:p>
    <w:p w14:paraId="4DD748BB" w14:textId="1134C43C" w:rsidR="008B0F21" w:rsidRDefault="008B0F21" w:rsidP="00B074C6">
      <w:r>
        <w:t xml:space="preserve">This </w:t>
      </w:r>
      <w:r w:rsidR="00A533DF">
        <w:t>Technical R</w:t>
      </w:r>
      <w:r>
        <w:t xml:space="preserve">eport concludes that the </w:t>
      </w:r>
      <w:r w:rsidRPr="00C161E8">
        <w:t xml:space="preserve">telecommunication operators and </w:t>
      </w:r>
      <w:r w:rsidR="00A533DF">
        <w:t xml:space="preserve">the </w:t>
      </w:r>
      <w:r w:rsidRPr="00C161E8">
        <w:t>providers of OTTs</w:t>
      </w:r>
      <w:r>
        <w:t xml:space="preserve">, </w:t>
      </w:r>
      <w:r w:rsidR="003A2627">
        <w:t xml:space="preserve">who are </w:t>
      </w:r>
      <w:r>
        <w:t xml:space="preserve">both involved in the </w:t>
      </w:r>
      <w:r w:rsidRPr="009A6EA2">
        <w:t>telecommunication/ICT</w:t>
      </w:r>
      <w:r>
        <w:t xml:space="preserve"> environment and eventually in the dispute resolutions, should be prepared to identify, in an assorted institutional environment, what is the best approach to solv</w:t>
      </w:r>
      <w:r w:rsidR="003A2627">
        <w:t>ing</w:t>
      </w:r>
      <w:r>
        <w:t xml:space="preserve"> each case, including </w:t>
      </w:r>
      <w:r w:rsidRPr="000C7A60">
        <w:t>private dispute resolution process</w:t>
      </w:r>
      <w:r w:rsidR="003A2627">
        <w:t>es</w:t>
      </w:r>
      <w:r>
        <w:t>.</w:t>
      </w:r>
    </w:p>
    <w:p w14:paraId="570E08E5" w14:textId="3C60BECF" w:rsidR="008B0F21" w:rsidRPr="00DC3D0C" w:rsidRDefault="00A41ED0" w:rsidP="00B074C6">
      <w:r>
        <w:t>It has been observed</w:t>
      </w:r>
      <w:r w:rsidR="008B0F21" w:rsidRPr="00DC3D0C">
        <w:t xml:space="preserve"> that the</w:t>
      </w:r>
      <w:r w:rsidR="008B0F21">
        <w:t>se</w:t>
      </w:r>
      <w:r w:rsidR="008B0F21" w:rsidRPr="00DC3D0C">
        <w:t xml:space="preserve"> disputes origin</w:t>
      </w:r>
      <w:r w:rsidR="003A2627">
        <w:t>ate</w:t>
      </w:r>
      <w:r w:rsidR="008B0F21" w:rsidRPr="00DC3D0C">
        <w:rPr>
          <w:rFonts w:hint="eastAsia"/>
        </w:rPr>
        <w:t xml:space="preserve"> </w:t>
      </w:r>
      <w:r w:rsidR="008B0F21" w:rsidRPr="00DC3D0C">
        <w:t xml:space="preserve">mainly from: (1) </w:t>
      </w:r>
      <w:r w:rsidR="008B0F21" w:rsidRPr="00DC3D0C">
        <w:rPr>
          <w:rFonts w:hint="eastAsia"/>
        </w:rPr>
        <w:t xml:space="preserve">the competition </w:t>
      </w:r>
      <w:r w:rsidR="003A2627">
        <w:t>from</w:t>
      </w:r>
      <w:r w:rsidR="008B0F21" w:rsidRPr="00DC3D0C">
        <w:rPr>
          <w:rFonts w:hint="eastAsia"/>
        </w:rPr>
        <w:t xml:space="preserve"> substitute services and applications</w:t>
      </w:r>
      <w:r w:rsidR="008B0F21" w:rsidRPr="00DC3D0C">
        <w:t>,</w:t>
      </w:r>
      <w:r w:rsidR="008B0F21" w:rsidRPr="00DC3D0C">
        <w:rPr>
          <w:rFonts w:hint="eastAsia"/>
        </w:rPr>
        <w:t xml:space="preserve"> but each one provided </w:t>
      </w:r>
      <w:r w:rsidR="008B0F21" w:rsidRPr="00DC3D0C">
        <w:t xml:space="preserve">on </w:t>
      </w:r>
      <w:r w:rsidR="008B0F21" w:rsidRPr="00DC3D0C">
        <w:rPr>
          <w:rFonts w:hint="eastAsia"/>
        </w:rPr>
        <w:t xml:space="preserve">different business </w:t>
      </w:r>
      <w:r w:rsidR="008B0F21" w:rsidRPr="00DC3D0C">
        <w:t xml:space="preserve">models; and (2) the </w:t>
      </w:r>
      <w:r w:rsidR="008B0F21" w:rsidRPr="00DC3D0C">
        <w:rPr>
          <w:rFonts w:hint="eastAsia"/>
        </w:rPr>
        <w:t>difficult</w:t>
      </w:r>
      <w:r w:rsidR="008B0F21" w:rsidRPr="00DC3D0C">
        <w:t>ies</w:t>
      </w:r>
      <w:r w:rsidR="008B0F21" w:rsidRPr="00DC3D0C">
        <w:rPr>
          <w:rFonts w:hint="eastAsia"/>
        </w:rPr>
        <w:t xml:space="preserve"> </w:t>
      </w:r>
      <w:r w:rsidR="008B0F21" w:rsidRPr="00DC3D0C">
        <w:t xml:space="preserve">in </w:t>
      </w:r>
      <w:r w:rsidR="008B0F21" w:rsidRPr="00DC3D0C">
        <w:rPr>
          <w:rFonts w:hint="eastAsia"/>
        </w:rPr>
        <w:t>allocat</w:t>
      </w:r>
      <w:r w:rsidR="008B0F21" w:rsidRPr="00DC3D0C">
        <w:t>ing</w:t>
      </w:r>
      <w:r w:rsidR="008B0F21" w:rsidRPr="00DC3D0C">
        <w:rPr>
          <w:rFonts w:hint="eastAsia"/>
        </w:rPr>
        <w:t xml:space="preserve"> efficiently and equitably the benefits and costs that result from </w:t>
      </w:r>
      <w:r w:rsidR="008B0F21" w:rsidRPr="00DC3D0C">
        <w:t>their</w:t>
      </w:r>
      <w:r w:rsidR="008B0F21" w:rsidRPr="00DC3D0C">
        <w:rPr>
          <w:rFonts w:hint="eastAsia"/>
        </w:rPr>
        <w:t xml:space="preserve"> relationship</w:t>
      </w:r>
      <w:r w:rsidR="008B0F21" w:rsidRPr="00DC3D0C">
        <w:t>.</w:t>
      </w:r>
    </w:p>
    <w:p w14:paraId="507826A9" w14:textId="6684DC45" w:rsidR="008B0F21" w:rsidRPr="00DC3D0C" w:rsidRDefault="008B0F21" w:rsidP="00B074C6">
      <w:r w:rsidRPr="00DC3D0C">
        <w:t xml:space="preserve">To manage </w:t>
      </w:r>
      <w:r w:rsidRPr="00DC3D0C">
        <w:rPr>
          <w:rFonts w:hint="eastAsia"/>
        </w:rPr>
        <w:t xml:space="preserve">this situation, </w:t>
      </w:r>
      <w:r w:rsidRPr="00DC3D0C">
        <w:t xml:space="preserve">this document </w:t>
      </w:r>
      <w:r w:rsidR="00162408">
        <w:t>has</w:t>
      </w:r>
      <w:r w:rsidRPr="00DC3D0C">
        <w:t xml:space="preserve"> suggested </w:t>
      </w:r>
      <w:r w:rsidRPr="00DC3D0C">
        <w:rPr>
          <w:rFonts w:hint="eastAsia"/>
        </w:rPr>
        <w:t xml:space="preserve">some measures and regulatory positions to be considered by the regulator and other relevant government authorities, </w:t>
      </w:r>
      <w:r w:rsidR="003A2627">
        <w:t xml:space="preserve">which </w:t>
      </w:r>
      <w:r w:rsidRPr="00DC3D0C">
        <w:rPr>
          <w:rFonts w:hint="eastAsia"/>
        </w:rPr>
        <w:t xml:space="preserve">tend to resolve disputes using a non-intrusive approach, with emphasis on legal assistance, in the participation </w:t>
      </w:r>
      <w:r w:rsidR="0096679C">
        <w:t xml:space="preserve">in, </w:t>
      </w:r>
      <w:r w:rsidRPr="00DC3D0C">
        <w:rPr>
          <w:rFonts w:hint="eastAsia"/>
        </w:rPr>
        <w:t>and the search for</w:t>
      </w:r>
      <w:r w:rsidR="0096679C">
        <w:t>,</w:t>
      </w:r>
      <w:r w:rsidRPr="00DC3D0C">
        <w:rPr>
          <w:rFonts w:hint="eastAsia"/>
        </w:rPr>
        <w:t xml:space="preserve"> spaces for dialogue and </w:t>
      </w:r>
      <w:r w:rsidRPr="00DC3D0C">
        <w:t xml:space="preserve">discussions </w:t>
      </w:r>
      <w:r w:rsidRPr="00DC3D0C">
        <w:rPr>
          <w:rFonts w:hint="eastAsia"/>
        </w:rPr>
        <w:t xml:space="preserve">to achieve positive and satisfactory </w:t>
      </w:r>
      <w:r w:rsidRPr="00DC3D0C">
        <w:t>outcomes</w:t>
      </w:r>
      <w:r w:rsidRPr="00DC3D0C">
        <w:rPr>
          <w:rFonts w:hint="eastAsia"/>
        </w:rPr>
        <w:t xml:space="preserve"> for the parties involved.</w:t>
      </w:r>
    </w:p>
    <w:p w14:paraId="6130C582" w14:textId="1F8C5E85" w:rsidR="008B0F21" w:rsidRDefault="008B0F21" w:rsidP="00B074C6">
      <w:r w:rsidRPr="00CF1EB3">
        <w:t xml:space="preserve">It was noted that Member States are encouraged to establish the competences of different bodies in </w:t>
      </w:r>
      <w:r w:rsidR="00675E7B">
        <w:t>their</w:t>
      </w:r>
      <w:r w:rsidRPr="00CF1EB3">
        <w:t xml:space="preserve"> jurisdiction</w:t>
      </w:r>
      <w:r w:rsidR="00675E7B">
        <w:t>s</w:t>
      </w:r>
      <w:r w:rsidRPr="00CF1EB3">
        <w:t>, making clear</w:t>
      </w:r>
      <w:r w:rsidR="00765D82">
        <w:t>,</w:t>
      </w:r>
      <w:r w:rsidRPr="00CF1EB3">
        <w:t xml:space="preserve"> to those who need to solve some sort of dispute</w:t>
      </w:r>
      <w:r>
        <w:t>,</w:t>
      </w:r>
      <w:r w:rsidRPr="00CF1EB3">
        <w:t xml:space="preserve"> the mechanisms and procedures to be fulfilled</w:t>
      </w:r>
      <w:r>
        <w:t>.</w:t>
      </w:r>
    </w:p>
    <w:p w14:paraId="2715EFE2" w14:textId="6712DD12" w:rsidR="008B0F21" w:rsidRDefault="008B0F21" w:rsidP="00B074C6">
      <w:r>
        <w:t xml:space="preserve">Additionally, there is the recognition that </w:t>
      </w:r>
      <w:r w:rsidR="00765D82">
        <w:t xml:space="preserve">the </w:t>
      </w:r>
      <w:r>
        <w:t xml:space="preserve">institutional environment, along </w:t>
      </w:r>
      <w:r w:rsidR="00765D82">
        <w:t xml:space="preserve">with </w:t>
      </w:r>
      <w:r>
        <w:t xml:space="preserve">the competences of each body, </w:t>
      </w:r>
      <w:r w:rsidRPr="00693673">
        <w:t>is a matter of national sovereignty and may vary among Member States</w:t>
      </w:r>
      <w:r>
        <w:t>.</w:t>
      </w:r>
    </w:p>
    <w:p w14:paraId="1F3ABE88" w14:textId="77777777" w:rsidR="00BF55D7" w:rsidRDefault="00BF55D7" w:rsidP="004D5EC2">
      <w:pPr>
        <w:pStyle w:val="AnnexNoTitle0"/>
      </w:pPr>
      <w:r>
        <w:br w:type="page"/>
      </w:r>
    </w:p>
    <w:p w14:paraId="1C65F667" w14:textId="3BF0C823" w:rsidR="004D5EC2" w:rsidRDefault="004D5EC2" w:rsidP="004D5EC2">
      <w:pPr>
        <w:pStyle w:val="AnnexNoTitle0"/>
      </w:pPr>
      <w:bookmarkStart w:id="104" w:name="_Toc190066112"/>
      <w:r>
        <w:t>Bibliography</w:t>
      </w:r>
      <w:bookmarkEnd w:id="104"/>
    </w:p>
    <w:p w14:paraId="2BF13514" w14:textId="77777777" w:rsidR="008777FF" w:rsidRPr="008777FF" w:rsidRDefault="008777FF" w:rsidP="008777FF"/>
    <w:p w14:paraId="76FC1812" w14:textId="0FCBD78F" w:rsidR="004D5EC2" w:rsidRDefault="00A02856">
      <w:pPr>
        <w:pStyle w:val="Reftext"/>
        <w:tabs>
          <w:tab w:val="clear" w:pos="794"/>
          <w:tab w:val="clear" w:pos="1191"/>
          <w:tab w:val="clear" w:pos="1588"/>
        </w:tabs>
        <w:ind w:left="1985" w:hanging="1985"/>
      </w:pPr>
      <w:r>
        <w:t>[</w:t>
      </w:r>
      <w:r w:rsidR="004D5EC2" w:rsidRPr="004D5EC2">
        <w:t>b-ITU TR-ECOTT]</w:t>
      </w:r>
      <w:r w:rsidR="008777FF" w:rsidRPr="008777FF">
        <w:t xml:space="preserve"> </w:t>
      </w:r>
      <w:r w:rsidR="008777FF">
        <w:tab/>
      </w:r>
      <w:r w:rsidR="008777FF">
        <w:tab/>
      </w:r>
      <w:r w:rsidR="008777FF" w:rsidRPr="002153A7">
        <w:rPr>
          <w:rFonts w:eastAsiaTheme="minorEastAsia"/>
          <w:lang w:val="en-US" w:eastAsia="zh-CN"/>
        </w:rPr>
        <w:t>Economic</w:t>
      </w:r>
      <w:r w:rsidR="008777FF" w:rsidRPr="008777FF">
        <w:t xml:space="preserve"> Impact of OTTs – Technical Report.</w:t>
      </w:r>
    </w:p>
    <w:p w14:paraId="5A9E2D99" w14:textId="3CE4395E" w:rsidR="00600944" w:rsidRDefault="00600944" w:rsidP="005C773E">
      <w:pPr>
        <w:pStyle w:val="Reftext"/>
        <w:tabs>
          <w:tab w:val="clear" w:pos="794"/>
          <w:tab w:val="clear" w:pos="1191"/>
          <w:tab w:val="clear" w:pos="1588"/>
        </w:tabs>
        <w:ind w:left="1985" w:hanging="1985"/>
      </w:pPr>
    </w:p>
    <w:p w14:paraId="2CE5EE34" w14:textId="5400B525" w:rsidR="000E1960" w:rsidRPr="002153A7" w:rsidRDefault="00BF55D7" w:rsidP="00BF55D7">
      <w:pPr>
        <w:pStyle w:val="Reftext"/>
        <w:tabs>
          <w:tab w:val="clear" w:pos="794"/>
          <w:tab w:val="clear" w:pos="1191"/>
          <w:tab w:val="clear" w:pos="1588"/>
        </w:tabs>
        <w:ind w:left="1985" w:hanging="1985"/>
        <w:jc w:val="center"/>
        <w:rPr>
          <w:rFonts w:eastAsiaTheme="minorEastAsia"/>
          <w:lang w:val="en-US" w:eastAsia="zh-CN"/>
        </w:rPr>
      </w:pPr>
      <w:r>
        <w:rPr>
          <w:rFonts w:eastAsiaTheme="minorEastAsia"/>
          <w:lang w:val="en-US" w:eastAsia="zh-CN"/>
        </w:rPr>
        <w:t>___________</w:t>
      </w:r>
    </w:p>
    <w:sectPr w:rsidR="000E1960" w:rsidRPr="002153A7" w:rsidSect="00977E0B">
      <w:headerReference w:type="default" r:id="rId23"/>
      <w:footerReference w:type="default" r:id="rId24"/>
      <w:headerReference w:type="first" r:id="rId25"/>
      <w:footerReference w:type="first" r:id="rId26"/>
      <w:type w:val="oddPage"/>
      <w:pgSz w:w="11907" w:h="16840" w:code="9"/>
      <w:pgMar w:top="1134" w:right="1134" w:bottom="1134"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14AAE" w14:textId="77777777" w:rsidR="00AB65D8" w:rsidRDefault="00AB65D8" w:rsidP="00C42125">
      <w:pPr>
        <w:spacing w:before="0"/>
      </w:pPr>
      <w:r>
        <w:separator/>
      </w:r>
    </w:p>
    <w:p w14:paraId="64341D15" w14:textId="77777777" w:rsidR="00F4232C" w:rsidRDefault="00F4232C"/>
  </w:endnote>
  <w:endnote w:type="continuationSeparator" w:id="0">
    <w:p w14:paraId="146CEBF6" w14:textId="77777777" w:rsidR="00AB65D8" w:rsidRDefault="00AB65D8" w:rsidP="00C42125">
      <w:pPr>
        <w:spacing w:before="0"/>
      </w:pPr>
      <w:r>
        <w:continuationSeparator/>
      </w:r>
    </w:p>
    <w:p w14:paraId="73F9F4D4" w14:textId="77777777" w:rsidR="00F4232C" w:rsidRDefault="00F4232C"/>
  </w:endnote>
  <w:endnote w:type="continuationNotice" w:id="1">
    <w:p w14:paraId="1FF69E9E" w14:textId="77777777" w:rsidR="00AB65D8" w:rsidRDefault="00AB65D8">
      <w:pPr>
        <w:spacing w:before="0"/>
      </w:pPr>
    </w:p>
    <w:p w14:paraId="5CF8B41F" w14:textId="77777777" w:rsidR="00F4232C" w:rsidRDefault="00F423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Gothic"/>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16444" w14:textId="77777777" w:rsidR="00011679" w:rsidRDefault="0001167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376D3" w14:textId="1A79A6F0" w:rsidR="00011679" w:rsidRPr="008F0E27" w:rsidRDefault="00011679">
    <w:pPr>
      <w:pStyle w:val="Footer"/>
      <w:tabs>
        <w:tab w:val="clear" w:pos="5954"/>
        <w:tab w:val="left" w:pos="851"/>
        <w:tab w:val="right" w:pos="9072"/>
      </w:tabs>
      <w:jc w:val="left"/>
      <w:rPr>
        <w:b/>
        <w:bCs/>
      </w:rPr>
    </w:pPr>
    <w:r w:rsidRPr="00926B6C">
      <w:fldChar w:fldCharType="begin"/>
    </w:r>
    <w:r w:rsidRPr="00926B6C">
      <w:instrText xml:space="preserve"> PAGE </w:instrText>
    </w:r>
    <w:r w:rsidRPr="00926B6C">
      <w:fldChar w:fldCharType="separate"/>
    </w:r>
    <w:r>
      <w:t>ii</w:t>
    </w:r>
    <w:r w:rsidRPr="00926B6C">
      <w:fldChar w:fldCharType="end"/>
    </w:r>
    <w:r>
      <w:tab/>
    </w:r>
    <w:r>
      <w:rPr>
        <w:b/>
        <w:bCs/>
      </w:rPr>
      <w:t>DSTR-STUDY</w:t>
    </w:r>
    <w:r w:rsidR="004204AE">
      <w:rPr>
        <w:b/>
        <w:bCs/>
      </w:rPr>
      <w:t>_</w:t>
    </w:r>
    <w:r>
      <w:rPr>
        <w:b/>
        <w:bCs/>
      </w:rPr>
      <w:t>DRC</w:t>
    </w:r>
    <w:r w:rsidR="00A974E1">
      <w:rPr>
        <w:b/>
        <w:bCs/>
      </w:rPr>
      <w:t>I</w:t>
    </w:r>
    <w:r>
      <w:rPr>
        <w:b/>
        <w:bCs/>
      </w:rPr>
      <w:t xml:space="preserve"> (2024</w:t>
    </w:r>
    <w:r w:rsidR="00A974E1">
      <w:rPr>
        <w:b/>
        <w:bCs/>
      </w:rPr>
      <w:t>-07</w:t>
    </w:r>
    <w:r>
      <w:rPr>
        <w:b/>
        <w:bC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3DB9B" w14:textId="48060C38" w:rsidR="00011679" w:rsidRPr="008F0E27" w:rsidRDefault="00011679">
    <w:pPr>
      <w:pStyle w:val="Footer"/>
      <w:tabs>
        <w:tab w:val="clear" w:pos="5954"/>
        <w:tab w:val="right" w:pos="8789"/>
      </w:tabs>
      <w:jc w:val="right"/>
      <w:rPr>
        <w:b/>
        <w:bCs/>
      </w:rPr>
    </w:pPr>
    <w:r w:rsidRPr="00926B6C">
      <w:rPr>
        <w:b/>
        <w:bCs/>
      </w:rPr>
      <w:tab/>
    </w:r>
    <w:r>
      <w:rPr>
        <w:b/>
        <w:bCs/>
      </w:rPr>
      <w:t>DSTR-STUDY</w:t>
    </w:r>
    <w:r w:rsidR="004204AE">
      <w:rPr>
        <w:b/>
        <w:bCs/>
      </w:rPr>
      <w:t>_</w:t>
    </w:r>
    <w:r>
      <w:rPr>
        <w:b/>
        <w:bCs/>
      </w:rPr>
      <w:t>DRC</w:t>
    </w:r>
    <w:r w:rsidR="00A974E1">
      <w:rPr>
        <w:b/>
        <w:bCs/>
      </w:rPr>
      <w:t>I</w:t>
    </w:r>
    <w:r>
      <w:rPr>
        <w:b/>
        <w:bCs/>
      </w:rPr>
      <w:t xml:space="preserve"> (2024</w:t>
    </w:r>
    <w:r w:rsidR="00A974E1">
      <w:rPr>
        <w:b/>
        <w:bCs/>
      </w:rPr>
      <w:t>-07</w:t>
    </w:r>
    <w:r>
      <w:rPr>
        <w:b/>
        <w:bCs/>
      </w:rPr>
      <w:t>)</w:t>
    </w:r>
    <w:r w:rsidRPr="00926B6C">
      <w:rPr>
        <w:b/>
        <w:bCs/>
      </w:rPr>
      <w:tab/>
    </w:r>
    <w:r w:rsidRPr="00926B6C">
      <w:fldChar w:fldCharType="begin"/>
    </w:r>
    <w:r w:rsidRPr="00926B6C">
      <w:instrText xml:space="preserve"> PAGE </w:instrText>
    </w:r>
    <w:r w:rsidRPr="00926B6C">
      <w:fldChar w:fldCharType="separate"/>
    </w:r>
    <w:r>
      <w:t>i</w:t>
    </w:r>
    <w:r w:rsidRPr="00926B6C">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C2DC3" w14:textId="3620DFAA" w:rsidR="00F4232C" w:rsidRPr="0073135F" w:rsidRDefault="00A974E1" w:rsidP="0073135F">
    <w:pPr>
      <w:pStyle w:val="Footer"/>
      <w:tabs>
        <w:tab w:val="clear" w:pos="5954"/>
        <w:tab w:val="right" w:pos="8789"/>
      </w:tabs>
      <w:jc w:val="right"/>
      <w:rPr>
        <w:b/>
        <w:bCs/>
      </w:rPr>
    </w:pPr>
    <w:r w:rsidRPr="00926B6C">
      <w:rPr>
        <w:b/>
        <w:bCs/>
      </w:rPr>
      <w:tab/>
    </w:r>
    <w:r>
      <w:rPr>
        <w:b/>
        <w:bCs/>
      </w:rPr>
      <w:t>DSTR-STUDY_DRCI (2024-07)</w:t>
    </w:r>
    <w:r w:rsidRPr="00926B6C">
      <w:rPr>
        <w:b/>
        <w:bCs/>
      </w:rPr>
      <w:tab/>
    </w:r>
    <w:r w:rsidRPr="00926B6C">
      <w:fldChar w:fldCharType="begin"/>
    </w:r>
    <w:r w:rsidRPr="00926B6C">
      <w:instrText xml:space="preserve"> PAGE </w:instrText>
    </w:r>
    <w:r w:rsidRPr="00926B6C">
      <w:fldChar w:fldCharType="separate"/>
    </w:r>
    <w:r>
      <w:t>i</w:t>
    </w:r>
    <w:r w:rsidRPr="00926B6C">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E9142" w14:textId="08D90E3C" w:rsidR="00F4232C" w:rsidRPr="00F4232C" w:rsidRDefault="00A974E1" w:rsidP="00F4232C">
    <w:pPr>
      <w:pStyle w:val="Footer"/>
      <w:tabs>
        <w:tab w:val="clear" w:pos="5954"/>
        <w:tab w:val="right" w:pos="8789"/>
      </w:tabs>
      <w:jc w:val="right"/>
      <w:rPr>
        <w:b/>
        <w:bCs/>
      </w:rPr>
    </w:pPr>
    <w:r w:rsidRPr="00926B6C">
      <w:rPr>
        <w:b/>
        <w:bCs/>
      </w:rPr>
      <w:tab/>
    </w:r>
    <w:r>
      <w:rPr>
        <w:b/>
        <w:bCs/>
      </w:rPr>
      <w:t>DSTR-STUDY_DRCI (2024-07)</w:t>
    </w:r>
    <w:r w:rsidRPr="00926B6C">
      <w:rPr>
        <w:b/>
        <w:bCs/>
      </w:rPr>
      <w:tab/>
    </w:r>
    <w:r w:rsidRPr="00926B6C">
      <w:fldChar w:fldCharType="begin"/>
    </w:r>
    <w:r w:rsidRPr="00926B6C">
      <w:instrText xml:space="preserve"> PAGE </w:instrText>
    </w:r>
    <w:r w:rsidRPr="00926B6C">
      <w:fldChar w:fldCharType="separate"/>
    </w:r>
    <w:r>
      <w:t>i</w:t>
    </w:r>
    <w:r w:rsidRPr="00926B6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A74BF" w14:textId="33E49657" w:rsidR="00F4232C" w:rsidRDefault="00AB65D8" w:rsidP="0073135F">
      <w:pPr>
        <w:spacing w:before="0"/>
      </w:pPr>
      <w:r>
        <w:separator/>
      </w:r>
    </w:p>
  </w:footnote>
  <w:footnote w:type="continuationSeparator" w:id="0">
    <w:p w14:paraId="5384D12A" w14:textId="77777777" w:rsidR="00AB65D8" w:rsidRDefault="00AB65D8" w:rsidP="00C42125">
      <w:pPr>
        <w:spacing w:before="0"/>
      </w:pPr>
      <w:r>
        <w:continuationSeparator/>
      </w:r>
    </w:p>
    <w:p w14:paraId="0E8FC9CF" w14:textId="77777777" w:rsidR="00F4232C" w:rsidRDefault="00F4232C"/>
  </w:footnote>
  <w:footnote w:type="continuationNotice" w:id="1">
    <w:p w14:paraId="5AAD6885" w14:textId="77777777" w:rsidR="00AB65D8" w:rsidRDefault="00AB65D8">
      <w:pPr>
        <w:spacing w:before="0"/>
      </w:pPr>
    </w:p>
    <w:p w14:paraId="648A82C8" w14:textId="77777777" w:rsidR="00F4232C" w:rsidRDefault="00F4232C"/>
  </w:footnote>
  <w:footnote w:id="2">
    <w:p w14:paraId="1BED9FEA" w14:textId="36CB1FF3" w:rsidR="0073135F" w:rsidRPr="0073135F" w:rsidRDefault="0073135F">
      <w:pPr>
        <w:pStyle w:val="FootnoteText"/>
      </w:pPr>
      <w:r>
        <w:rPr>
          <w:rStyle w:val="FootnoteReference"/>
        </w:rPr>
        <w:footnoteRef/>
      </w:r>
      <w:r>
        <w:t xml:space="preserve"> </w:t>
      </w:r>
      <w:r>
        <w:tab/>
      </w:r>
      <w:r w:rsidRPr="00E975DD">
        <w:rPr>
          <w:szCs w:val="16"/>
          <w:lang w:val="en-US"/>
        </w:rPr>
        <w:t>Information about this topic can be accessed at [b-ITU TR-ECOTT]</w:t>
      </w:r>
      <w:r w:rsidRPr="00E975DD">
        <w:rPr>
          <w:lang w:val="en-US"/>
        </w:rPr>
        <w:t>.</w:t>
      </w:r>
    </w:p>
  </w:footnote>
  <w:footnote w:id="3">
    <w:p w14:paraId="74D4C222" w14:textId="6CE293C6" w:rsidR="00F24A88" w:rsidRPr="00F24A88" w:rsidRDefault="00F24A88">
      <w:pPr>
        <w:pStyle w:val="FootnoteText"/>
      </w:pPr>
      <w:r>
        <w:rPr>
          <w:rStyle w:val="FootnoteReference"/>
        </w:rPr>
        <w:footnoteRef/>
      </w:r>
      <w:r>
        <w:t xml:space="preserve"> </w:t>
      </w:r>
      <w:r w:rsidRPr="00F24A88">
        <w:tab/>
      </w:r>
      <w:r w:rsidRPr="00813F01">
        <w:rPr>
          <w:lang w:val="en-US"/>
        </w:rPr>
        <w:t xml:space="preserve">See </w:t>
      </w:r>
      <w:hyperlink r:id="rId1" w:history="1">
        <w:r w:rsidRPr="00C31CDD">
          <w:rPr>
            <w:rStyle w:val="Hyperlink"/>
            <w:lang w:val="en-US"/>
          </w:rPr>
          <w:t>https://www.ofcom.org.uk/phones-telecoms-and-internet/information-for-industry/digital-markets</w:t>
        </w:r>
      </w:hyperlink>
      <w:r w:rsidRPr="00813F01">
        <w:rPr>
          <w:lang w:val="en-US"/>
        </w:rPr>
        <w:t>.</w:t>
      </w:r>
    </w:p>
  </w:footnote>
  <w:footnote w:id="4">
    <w:p w14:paraId="63676AB3" w14:textId="19620402" w:rsidR="00613E69" w:rsidRPr="00613E69" w:rsidRDefault="00613E69">
      <w:pPr>
        <w:pStyle w:val="FootnoteText"/>
      </w:pPr>
      <w:r>
        <w:rPr>
          <w:rStyle w:val="FootnoteReference"/>
        </w:rPr>
        <w:footnoteRef/>
      </w:r>
      <w:r>
        <w:t xml:space="preserve"> </w:t>
      </w:r>
      <w:r>
        <w:tab/>
      </w:r>
      <w:r w:rsidRPr="009A16BC">
        <w:t>Regulatory approaches may vary among Member States, wh</w:t>
      </w:r>
      <w:r w:rsidR="00B472AB">
        <w:t>ich</w:t>
      </w:r>
      <w:r w:rsidRPr="009A16BC">
        <w:t xml:space="preserve"> could change the environment as </w:t>
      </w:r>
      <w:r w:rsidR="00B472AB">
        <w:t xml:space="preserve">a </w:t>
      </w:r>
      <w:r w:rsidRPr="009A16BC">
        <w:t>result of different treatment</w:t>
      </w:r>
      <w:r w:rsidR="00B472AB">
        <w:t>s</w:t>
      </w:r>
      <w:r w:rsidRPr="009A16BC">
        <w:t xml:space="preserve"> </w:t>
      </w:r>
      <w:r w:rsidR="00EF09F9" w:rsidRPr="00EF09F9">
        <w:t xml:space="preserve">with </w:t>
      </w:r>
      <w:r w:rsidRPr="00EF09F9">
        <w:t>respect to the</w:t>
      </w:r>
      <w:r w:rsidRPr="009A16BC">
        <w:t xml:space="preserve"> agents in this value chain.</w:t>
      </w:r>
      <w:r w:rsidRPr="00EF09F9">
        <w:t xml:space="preserve"> </w:t>
      </w:r>
      <w:r w:rsidR="00EF09F9" w:rsidRPr="002153A7">
        <w:t>T</w:t>
      </w:r>
      <w:r w:rsidRPr="00EF09F9">
        <w:t xml:space="preserve">his </w:t>
      </w:r>
      <w:r w:rsidR="00EF09F9" w:rsidRPr="002153A7">
        <w:t xml:space="preserve">does </w:t>
      </w:r>
      <w:r w:rsidRPr="00EF09F9">
        <w:t>not</w:t>
      </w:r>
      <w:r w:rsidR="00EF09F9" w:rsidRPr="002153A7">
        <w:t>, however,</w:t>
      </w:r>
      <w:r w:rsidRPr="00EF09F9">
        <w:t xml:space="preserve"> make</w:t>
      </w:r>
      <w:r w:rsidR="00EF09F9" w:rsidRPr="002153A7">
        <w:t xml:space="preserve"> it</w:t>
      </w:r>
      <w:r w:rsidRPr="00EF09F9">
        <w:t xml:space="preserve"> unfeasible </w:t>
      </w:r>
      <w:r w:rsidR="00EF09F9" w:rsidRPr="002153A7">
        <w:t>to</w:t>
      </w:r>
      <w:r w:rsidRPr="00EF09F9">
        <w:t xml:space="preserve"> use that value chain for the purposes of this</w:t>
      </w:r>
      <w:r w:rsidR="00EF09F9" w:rsidRPr="002153A7">
        <w:t xml:space="preserve"> Technical R</w:t>
      </w:r>
      <w:r w:rsidRPr="00EF09F9">
        <w:t>eport.</w:t>
      </w:r>
    </w:p>
  </w:footnote>
  <w:footnote w:id="5">
    <w:p w14:paraId="7F1E5703" w14:textId="4EEE8145" w:rsidR="00613E69" w:rsidRPr="00613E69" w:rsidRDefault="00613E69">
      <w:pPr>
        <w:pStyle w:val="FootnoteText"/>
      </w:pPr>
      <w:r>
        <w:rPr>
          <w:rStyle w:val="FootnoteReference"/>
        </w:rPr>
        <w:footnoteRef/>
      </w:r>
      <w:r>
        <w:t xml:space="preserve"> </w:t>
      </w:r>
      <w:r w:rsidRPr="00613E69">
        <w:tab/>
      </w:r>
      <w:r w:rsidRPr="00D9743E">
        <w:rPr>
          <w:lang w:val="en-US"/>
        </w:rPr>
        <w:t xml:space="preserve">BEREC (2012), </w:t>
      </w:r>
      <w:r w:rsidRPr="00D9743E">
        <w:rPr>
          <w:i/>
          <w:lang w:val="en-US"/>
        </w:rPr>
        <w:t>BEREC Opinion on the Revision of the Broadband Cost Reduction Directive</w:t>
      </w:r>
      <w:r>
        <w:rPr>
          <w:lang w:val="en-US"/>
        </w:rPr>
        <w:t xml:space="preserve">. </w:t>
      </w:r>
      <w:hyperlink r:id="rId2" w:history="1">
        <w:r w:rsidRPr="00121705">
          <w:rPr>
            <w:rStyle w:val="Hyperlink"/>
            <w:lang w:val="en-US"/>
          </w:rPr>
          <w:t>https://www.berec.europa.eu/en/document-categories/berec/opinions/berec-opinion-on-the-revision-of-the-broadband-cost-reduction-directive</w:t>
        </w:r>
      </w:hyperlink>
    </w:p>
  </w:footnote>
  <w:footnote w:id="6">
    <w:p w14:paraId="6BFC80D2" w14:textId="57B922F5" w:rsidR="00613E69" w:rsidRPr="00613E69" w:rsidRDefault="00613E69">
      <w:pPr>
        <w:pStyle w:val="FootnoteText"/>
      </w:pPr>
      <w:r>
        <w:rPr>
          <w:rStyle w:val="FootnoteReference"/>
        </w:rPr>
        <w:footnoteRef/>
      </w:r>
      <w:r>
        <w:t xml:space="preserve"> </w:t>
      </w:r>
      <w:r w:rsidR="00BF55D7">
        <w:tab/>
      </w:r>
      <w:r w:rsidRPr="000F6C66">
        <w:rPr>
          <w:lang w:val="en-US"/>
        </w:rPr>
        <w:t>DSB: dispute settlement body. MS:</w:t>
      </w:r>
      <w:r>
        <w:rPr>
          <w:lang w:val="en-US"/>
        </w:rPr>
        <w:t xml:space="preserve"> Member States (refers to the Members States of the </w:t>
      </w:r>
      <w:r w:rsidRPr="000F6C66">
        <w:rPr>
          <w:lang w:val="en-US"/>
        </w:rPr>
        <w:t>European Community</w:t>
      </w:r>
      <w:r>
        <w:rPr>
          <w:lang w:val="en-US"/>
        </w:rPr>
        <w:t>).</w:t>
      </w:r>
    </w:p>
  </w:footnote>
  <w:footnote w:id="7">
    <w:p w14:paraId="726490D9" w14:textId="77777777" w:rsidR="00BF55D7" w:rsidRDefault="00613E69">
      <w:pPr>
        <w:pStyle w:val="FootnoteText"/>
        <w:rPr>
          <w:lang w:val="pt-BR"/>
        </w:rPr>
      </w:pPr>
      <w:r>
        <w:rPr>
          <w:rStyle w:val="FootnoteReference"/>
        </w:rPr>
        <w:footnoteRef/>
      </w:r>
      <w:r>
        <w:t xml:space="preserve"> </w:t>
      </w:r>
      <w:r>
        <w:tab/>
      </w:r>
      <w:r w:rsidRPr="00713578">
        <w:rPr>
          <w:lang w:val="pt-BR"/>
        </w:rPr>
        <w:t>Lei nº 9.472, de 16 de julho de 1997</w:t>
      </w:r>
      <w:r>
        <w:rPr>
          <w:lang w:val="pt-BR"/>
        </w:rPr>
        <w:t xml:space="preserve"> (</w:t>
      </w:r>
      <w:r>
        <w:rPr>
          <w:i/>
          <w:lang w:val="pt-BR"/>
        </w:rPr>
        <w:t>portuguese only</w:t>
      </w:r>
      <w:r>
        <w:rPr>
          <w:lang w:val="pt-BR"/>
        </w:rPr>
        <w:t>).</w:t>
      </w:r>
      <w:r w:rsidR="00BF55D7">
        <w:rPr>
          <w:lang w:val="pt-BR"/>
        </w:rPr>
        <w:t xml:space="preserve"> </w:t>
      </w:r>
    </w:p>
    <w:p w14:paraId="62B075C1" w14:textId="3A588EA1" w:rsidR="00613E69" w:rsidRPr="00BF55D7" w:rsidRDefault="00613E69">
      <w:pPr>
        <w:pStyle w:val="FootnoteText"/>
        <w:rPr>
          <w:lang w:val="pt-BR"/>
        </w:rPr>
      </w:pPr>
      <w:hyperlink r:id="rId3" w:history="1">
        <w:r w:rsidRPr="00C7078C">
          <w:rPr>
            <w:rStyle w:val="Hyperlink"/>
            <w:lang w:val="pt-BR"/>
          </w:rPr>
          <w:t>https://www.planalto.gov.br/ccivil_03/leis/l9472.htm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F04C8" w14:textId="77777777" w:rsidR="00011679" w:rsidRDefault="0001167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811E6" w14:textId="77777777" w:rsidR="00011679" w:rsidRDefault="00011679">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719E1" w14:textId="77777777" w:rsidR="00011679" w:rsidRDefault="00011679">
    <w:pPr>
      <w:pStyle w:val="Header"/>
      <w:ind w:right="360" w:firstLine="360"/>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DDDC1" w14:textId="77777777" w:rsidR="00F4232C" w:rsidRDefault="00F4232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C3FCB" w14:textId="0506D771" w:rsidR="004854C6" w:rsidRPr="00A974E1" w:rsidRDefault="004854C6" w:rsidP="00A97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BED7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9EBA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922769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2928F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896B0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5CD7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EC57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9858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8E2E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14CC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652AA3"/>
    <w:multiLevelType w:val="hybridMultilevel"/>
    <w:tmpl w:val="B7AEFFC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4D0676A"/>
    <w:multiLevelType w:val="hybridMultilevel"/>
    <w:tmpl w:val="D5F80FBC"/>
    <w:lvl w:ilvl="0" w:tplc="0416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FE1D94"/>
    <w:multiLevelType w:val="hybridMultilevel"/>
    <w:tmpl w:val="E1200C2A"/>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3" w15:restartNumberingAfterBreak="0">
    <w:nsid w:val="5FD52D14"/>
    <w:multiLevelType w:val="hybridMultilevel"/>
    <w:tmpl w:val="4314D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7651052">
    <w:abstractNumId w:val="9"/>
  </w:num>
  <w:num w:numId="2" w16cid:durableId="525675380">
    <w:abstractNumId w:val="7"/>
  </w:num>
  <w:num w:numId="3" w16cid:durableId="2035765232">
    <w:abstractNumId w:val="6"/>
  </w:num>
  <w:num w:numId="4" w16cid:durableId="319506245">
    <w:abstractNumId w:val="5"/>
  </w:num>
  <w:num w:numId="5" w16cid:durableId="1305307187">
    <w:abstractNumId w:val="4"/>
  </w:num>
  <w:num w:numId="6" w16cid:durableId="2071726695">
    <w:abstractNumId w:val="8"/>
  </w:num>
  <w:num w:numId="7" w16cid:durableId="640188380">
    <w:abstractNumId w:val="3"/>
  </w:num>
  <w:num w:numId="8" w16cid:durableId="1905524842">
    <w:abstractNumId w:val="2"/>
  </w:num>
  <w:num w:numId="9" w16cid:durableId="1877502335">
    <w:abstractNumId w:val="1"/>
  </w:num>
  <w:num w:numId="10" w16cid:durableId="1940215643">
    <w:abstractNumId w:val="0"/>
  </w:num>
  <w:num w:numId="11" w16cid:durableId="2067872258">
    <w:abstractNumId w:val="11"/>
  </w:num>
  <w:num w:numId="12" w16cid:durableId="702706723">
    <w:abstractNumId w:val="10"/>
  </w:num>
  <w:num w:numId="13" w16cid:durableId="32536366">
    <w:abstractNumId w:val="12"/>
  </w:num>
  <w:num w:numId="14" w16cid:durableId="6230798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64C4"/>
    <w:rsid w:val="00011679"/>
    <w:rsid w:val="00023D9A"/>
    <w:rsid w:val="000247A9"/>
    <w:rsid w:val="00024885"/>
    <w:rsid w:val="00031986"/>
    <w:rsid w:val="00036034"/>
    <w:rsid w:val="00036112"/>
    <w:rsid w:val="00042270"/>
    <w:rsid w:val="00044889"/>
    <w:rsid w:val="00054DAA"/>
    <w:rsid w:val="00057000"/>
    <w:rsid w:val="00061FED"/>
    <w:rsid w:val="000640E0"/>
    <w:rsid w:val="000664D6"/>
    <w:rsid w:val="000738E9"/>
    <w:rsid w:val="00077661"/>
    <w:rsid w:val="00081858"/>
    <w:rsid w:val="00090EB3"/>
    <w:rsid w:val="00091A1D"/>
    <w:rsid w:val="00092FE5"/>
    <w:rsid w:val="00096128"/>
    <w:rsid w:val="000A00D2"/>
    <w:rsid w:val="000A0E52"/>
    <w:rsid w:val="000A3367"/>
    <w:rsid w:val="000A5CA2"/>
    <w:rsid w:val="000B4998"/>
    <w:rsid w:val="000B6046"/>
    <w:rsid w:val="000C0CAB"/>
    <w:rsid w:val="000C722F"/>
    <w:rsid w:val="000D1BC6"/>
    <w:rsid w:val="000D6C9C"/>
    <w:rsid w:val="000E1960"/>
    <w:rsid w:val="000E40A3"/>
    <w:rsid w:val="000E4828"/>
    <w:rsid w:val="000E6A3A"/>
    <w:rsid w:val="000E7EFF"/>
    <w:rsid w:val="000F0661"/>
    <w:rsid w:val="000F3B8C"/>
    <w:rsid w:val="00100245"/>
    <w:rsid w:val="00101257"/>
    <w:rsid w:val="001063AC"/>
    <w:rsid w:val="001065CE"/>
    <w:rsid w:val="001071F4"/>
    <w:rsid w:val="00113D27"/>
    <w:rsid w:val="001144B0"/>
    <w:rsid w:val="00125432"/>
    <w:rsid w:val="00126A2A"/>
    <w:rsid w:val="0013523A"/>
    <w:rsid w:val="00137BB0"/>
    <w:rsid w:val="00137F40"/>
    <w:rsid w:val="0014297A"/>
    <w:rsid w:val="00144B72"/>
    <w:rsid w:val="00155EE9"/>
    <w:rsid w:val="001564C6"/>
    <w:rsid w:val="00162408"/>
    <w:rsid w:val="00165511"/>
    <w:rsid w:val="00165E24"/>
    <w:rsid w:val="00167E19"/>
    <w:rsid w:val="0017783C"/>
    <w:rsid w:val="00182652"/>
    <w:rsid w:val="00182BDA"/>
    <w:rsid w:val="001871EC"/>
    <w:rsid w:val="001A5418"/>
    <w:rsid w:val="001A670F"/>
    <w:rsid w:val="001B345A"/>
    <w:rsid w:val="001B49AB"/>
    <w:rsid w:val="001B5FB0"/>
    <w:rsid w:val="001C207E"/>
    <w:rsid w:val="001C54B4"/>
    <w:rsid w:val="001C62B8"/>
    <w:rsid w:val="001D1C26"/>
    <w:rsid w:val="001D724D"/>
    <w:rsid w:val="001E1FD9"/>
    <w:rsid w:val="001E6ED5"/>
    <w:rsid w:val="001E7B0E"/>
    <w:rsid w:val="001F141D"/>
    <w:rsid w:val="001F29BC"/>
    <w:rsid w:val="00200A06"/>
    <w:rsid w:val="0020179F"/>
    <w:rsid w:val="0020753C"/>
    <w:rsid w:val="00211342"/>
    <w:rsid w:val="002153A7"/>
    <w:rsid w:val="0021651B"/>
    <w:rsid w:val="00223B31"/>
    <w:rsid w:val="00225863"/>
    <w:rsid w:val="00227671"/>
    <w:rsid w:val="00231BC4"/>
    <w:rsid w:val="002527EF"/>
    <w:rsid w:val="002537DA"/>
    <w:rsid w:val="002540CE"/>
    <w:rsid w:val="002622FA"/>
    <w:rsid w:val="00263518"/>
    <w:rsid w:val="00264B7A"/>
    <w:rsid w:val="002654EC"/>
    <w:rsid w:val="002730FC"/>
    <w:rsid w:val="00277326"/>
    <w:rsid w:val="002911BF"/>
    <w:rsid w:val="002A401B"/>
    <w:rsid w:val="002B3C3D"/>
    <w:rsid w:val="002C26C0"/>
    <w:rsid w:val="002C5BDF"/>
    <w:rsid w:val="002D4F9F"/>
    <w:rsid w:val="002D75D0"/>
    <w:rsid w:val="002E79CB"/>
    <w:rsid w:val="002F0FC1"/>
    <w:rsid w:val="002F7879"/>
    <w:rsid w:val="002F7F55"/>
    <w:rsid w:val="0030139D"/>
    <w:rsid w:val="00302FF5"/>
    <w:rsid w:val="0030745F"/>
    <w:rsid w:val="00314630"/>
    <w:rsid w:val="0032090A"/>
    <w:rsid w:val="00321CDE"/>
    <w:rsid w:val="00333E15"/>
    <w:rsid w:val="00335C4D"/>
    <w:rsid w:val="00335FC2"/>
    <w:rsid w:val="0033687D"/>
    <w:rsid w:val="003454E6"/>
    <w:rsid w:val="003570EC"/>
    <w:rsid w:val="0036651C"/>
    <w:rsid w:val="0038510A"/>
    <w:rsid w:val="0038715D"/>
    <w:rsid w:val="00394DBF"/>
    <w:rsid w:val="003A2627"/>
    <w:rsid w:val="003A43EF"/>
    <w:rsid w:val="003A53AC"/>
    <w:rsid w:val="003A6EEE"/>
    <w:rsid w:val="003B20E0"/>
    <w:rsid w:val="003B2FEF"/>
    <w:rsid w:val="003B74C8"/>
    <w:rsid w:val="003C3C6C"/>
    <w:rsid w:val="003D21E4"/>
    <w:rsid w:val="003D7E80"/>
    <w:rsid w:val="003F108E"/>
    <w:rsid w:val="003F2BED"/>
    <w:rsid w:val="00407BAF"/>
    <w:rsid w:val="00411357"/>
    <w:rsid w:val="0041420D"/>
    <w:rsid w:val="00417EBB"/>
    <w:rsid w:val="004204AE"/>
    <w:rsid w:val="004349DF"/>
    <w:rsid w:val="0043713F"/>
    <w:rsid w:val="00440104"/>
    <w:rsid w:val="00443878"/>
    <w:rsid w:val="00444858"/>
    <w:rsid w:val="00450426"/>
    <w:rsid w:val="00463A88"/>
    <w:rsid w:val="004711AC"/>
    <w:rsid w:val="004712CA"/>
    <w:rsid w:val="0047422E"/>
    <w:rsid w:val="004816C7"/>
    <w:rsid w:val="00481E8C"/>
    <w:rsid w:val="00482801"/>
    <w:rsid w:val="00483D22"/>
    <w:rsid w:val="00484ECE"/>
    <w:rsid w:val="004854C6"/>
    <w:rsid w:val="0049280A"/>
    <w:rsid w:val="004A0819"/>
    <w:rsid w:val="004B2D2A"/>
    <w:rsid w:val="004B5BB2"/>
    <w:rsid w:val="004C0673"/>
    <w:rsid w:val="004C3F21"/>
    <w:rsid w:val="004D3B15"/>
    <w:rsid w:val="004D5EC2"/>
    <w:rsid w:val="004D6C29"/>
    <w:rsid w:val="004E4E60"/>
    <w:rsid w:val="004F3816"/>
    <w:rsid w:val="004F5160"/>
    <w:rsid w:val="004F611E"/>
    <w:rsid w:val="0050136E"/>
    <w:rsid w:val="00503FAB"/>
    <w:rsid w:val="0050424D"/>
    <w:rsid w:val="00504C1F"/>
    <w:rsid w:val="00510920"/>
    <w:rsid w:val="0051199B"/>
    <w:rsid w:val="00516314"/>
    <w:rsid w:val="0052348B"/>
    <w:rsid w:val="005268AF"/>
    <w:rsid w:val="005456BB"/>
    <w:rsid w:val="005526CC"/>
    <w:rsid w:val="00553FB6"/>
    <w:rsid w:val="00556ED6"/>
    <w:rsid w:val="00560CA4"/>
    <w:rsid w:val="00563113"/>
    <w:rsid w:val="0056481F"/>
    <w:rsid w:val="00566421"/>
    <w:rsid w:val="00566EDA"/>
    <w:rsid w:val="00572654"/>
    <w:rsid w:val="0057627F"/>
    <w:rsid w:val="00593C1F"/>
    <w:rsid w:val="005A191E"/>
    <w:rsid w:val="005B1D7D"/>
    <w:rsid w:val="005B1E57"/>
    <w:rsid w:val="005B4616"/>
    <w:rsid w:val="005B5629"/>
    <w:rsid w:val="005C0300"/>
    <w:rsid w:val="005C2F6B"/>
    <w:rsid w:val="005C58BB"/>
    <w:rsid w:val="005C773E"/>
    <w:rsid w:val="005E0B35"/>
    <w:rsid w:val="005E1752"/>
    <w:rsid w:val="005E62CC"/>
    <w:rsid w:val="005F4B6A"/>
    <w:rsid w:val="005F7240"/>
    <w:rsid w:val="00600944"/>
    <w:rsid w:val="006031B7"/>
    <w:rsid w:val="00603F1A"/>
    <w:rsid w:val="00606F19"/>
    <w:rsid w:val="00613E69"/>
    <w:rsid w:val="00615A0A"/>
    <w:rsid w:val="00621539"/>
    <w:rsid w:val="00621A25"/>
    <w:rsid w:val="00624472"/>
    <w:rsid w:val="006333D4"/>
    <w:rsid w:val="006369B2"/>
    <w:rsid w:val="0065059A"/>
    <w:rsid w:val="006519F3"/>
    <w:rsid w:val="00652C03"/>
    <w:rsid w:val="006570B0"/>
    <w:rsid w:val="00662A2C"/>
    <w:rsid w:val="006714F9"/>
    <w:rsid w:val="00675E7B"/>
    <w:rsid w:val="006827FF"/>
    <w:rsid w:val="00685E2F"/>
    <w:rsid w:val="00687764"/>
    <w:rsid w:val="0069210B"/>
    <w:rsid w:val="00693100"/>
    <w:rsid w:val="006A0200"/>
    <w:rsid w:val="006A3461"/>
    <w:rsid w:val="006A3897"/>
    <w:rsid w:val="006A4055"/>
    <w:rsid w:val="006B1E4E"/>
    <w:rsid w:val="006B302E"/>
    <w:rsid w:val="006C429E"/>
    <w:rsid w:val="006C5641"/>
    <w:rsid w:val="006D0C6A"/>
    <w:rsid w:val="006D1089"/>
    <w:rsid w:val="006D7355"/>
    <w:rsid w:val="006E31EA"/>
    <w:rsid w:val="006E67E6"/>
    <w:rsid w:val="006F1BC3"/>
    <w:rsid w:val="006F5F21"/>
    <w:rsid w:val="006F5F5B"/>
    <w:rsid w:val="00712904"/>
    <w:rsid w:val="00722258"/>
    <w:rsid w:val="00726E07"/>
    <w:rsid w:val="00727887"/>
    <w:rsid w:val="00731135"/>
    <w:rsid w:val="0073135F"/>
    <w:rsid w:val="007324AF"/>
    <w:rsid w:val="007330DD"/>
    <w:rsid w:val="00733E5F"/>
    <w:rsid w:val="007409B4"/>
    <w:rsid w:val="0074203B"/>
    <w:rsid w:val="007509A9"/>
    <w:rsid w:val="00752BAD"/>
    <w:rsid w:val="0075525E"/>
    <w:rsid w:val="00765216"/>
    <w:rsid w:val="00765D82"/>
    <w:rsid w:val="007714DB"/>
    <w:rsid w:val="007903F8"/>
    <w:rsid w:val="00791D0C"/>
    <w:rsid w:val="00793C26"/>
    <w:rsid w:val="00793E7B"/>
    <w:rsid w:val="00794F4F"/>
    <w:rsid w:val="007974BE"/>
    <w:rsid w:val="00797FDA"/>
    <w:rsid w:val="007A0916"/>
    <w:rsid w:val="007A0DFD"/>
    <w:rsid w:val="007A7654"/>
    <w:rsid w:val="007B142E"/>
    <w:rsid w:val="007B55D3"/>
    <w:rsid w:val="007C7122"/>
    <w:rsid w:val="007D2866"/>
    <w:rsid w:val="007D3F11"/>
    <w:rsid w:val="007E3C65"/>
    <w:rsid w:val="007E6E6C"/>
    <w:rsid w:val="007F1869"/>
    <w:rsid w:val="007F664D"/>
    <w:rsid w:val="00801E10"/>
    <w:rsid w:val="008040C2"/>
    <w:rsid w:val="00823A78"/>
    <w:rsid w:val="00826DDC"/>
    <w:rsid w:val="00826E87"/>
    <w:rsid w:val="00842137"/>
    <w:rsid w:val="008458F1"/>
    <w:rsid w:val="00845F33"/>
    <w:rsid w:val="008532C3"/>
    <w:rsid w:val="00856870"/>
    <w:rsid w:val="00861543"/>
    <w:rsid w:val="008656BB"/>
    <w:rsid w:val="00867CF6"/>
    <w:rsid w:val="00867F81"/>
    <w:rsid w:val="00871645"/>
    <w:rsid w:val="008727A9"/>
    <w:rsid w:val="00873079"/>
    <w:rsid w:val="00876232"/>
    <w:rsid w:val="008777FF"/>
    <w:rsid w:val="008806AD"/>
    <w:rsid w:val="00884177"/>
    <w:rsid w:val="008858FD"/>
    <w:rsid w:val="0089088E"/>
    <w:rsid w:val="00891E77"/>
    <w:rsid w:val="00892297"/>
    <w:rsid w:val="00893117"/>
    <w:rsid w:val="008A71C0"/>
    <w:rsid w:val="008A7375"/>
    <w:rsid w:val="008B0F21"/>
    <w:rsid w:val="008B1C55"/>
    <w:rsid w:val="008D599B"/>
    <w:rsid w:val="008E0172"/>
    <w:rsid w:val="00902024"/>
    <w:rsid w:val="00902994"/>
    <w:rsid w:val="00904CBE"/>
    <w:rsid w:val="00917951"/>
    <w:rsid w:val="00926682"/>
    <w:rsid w:val="00930F6B"/>
    <w:rsid w:val="009369E3"/>
    <w:rsid w:val="009406B5"/>
    <w:rsid w:val="00945AF7"/>
    <w:rsid w:val="00946166"/>
    <w:rsid w:val="00955988"/>
    <w:rsid w:val="00962A20"/>
    <w:rsid w:val="009653F0"/>
    <w:rsid w:val="0096679C"/>
    <w:rsid w:val="0097085F"/>
    <w:rsid w:val="00974F94"/>
    <w:rsid w:val="00977E0B"/>
    <w:rsid w:val="00983164"/>
    <w:rsid w:val="00984176"/>
    <w:rsid w:val="009972EF"/>
    <w:rsid w:val="009A0070"/>
    <w:rsid w:val="009A06AE"/>
    <w:rsid w:val="009A0B2E"/>
    <w:rsid w:val="009A3C91"/>
    <w:rsid w:val="009C61EE"/>
    <w:rsid w:val="009D0CF2"/>
    <w:rsid w:val="009D0F53"/>
    <w:rsid w:val="009E6045"/>
    <w:rsid w:val="009E680C"/>
    <w:rsid w:val="009E766E"/>
    <w:rsid w:val="009F66D3"/>
    <w:rsid w:val="009F715E"/>
    <w:rsid w:val="00A01430"/>
    <w:rsid w:val="00A02856"/>
    <w:rsid w:val="00A10DBB"/>
    <w:rsid w:val="00A15443"/>
    <w:rsid w:val="00A1641A"/>
    <w:rsid w:val="00A166FB"/>
    <w:rsid w:val="00A2212F"/>
    <w:rsid w:val="00A25298"/>
    <w:rsid w:val="00A25503"/>
    <w:rsid w:val="00A26D00"/>
    <w:rsid w:val="00A4013E"/>
    <w:rsid w:val="00A41ED0"/>
    <w:rsid w:val="00A427CD"/>
    <w:rsid w:val="00A4600B"/>
    <w:rsid w:val="00A52A9E"/>
    <w:rsid w:val="00A533DF"/>
    <w:rsid w:val="00A54841"/>
    <w:rsid w:val="00A679D3"/>
    <w:rsid w:val="00A67A81"/>
    <w:rsid w:val="00A70D8B"/>
    <w:rsid w:val="00A71864"/>
    <w:rsid w:val="00A728A3"/>
    <w:rsid w:val="00A730A6"/>
    <w:rsid w:val="00A971A0"/>
    <w:rsid w:val="00A974E1"/>
    <w:rsid w:val="00AA0F00"/>
    <w:rsid w:val="00AA1F22"/>
    <w:rsid w:val="00AA5ABE"/>
    <w:rsid w:val="00AA7EC2"/>
    <w:rsid w:val="00AB4C10"/>
    <w:rsid w:val="00AB65D8"/>
    <w:rsid w:val="00AC03B1"/>
    <w:rsid w:val="00AC0F0A"/>
    <w:rsid w:val="00AC575C"/>
    <w:rsid w:val="00AE2CD7"/>
    <w:rsid w:val="00AE443D"/>
    <w:rsid w:val="00B03C65"/>
    <w:rsid w:val="00B05821"/>
    <w:rsid w:val="00B074C6"/>
    <w:rsid w:val="00B11E55"/>
    <w:rsid w:val="00B20D6F"/>
    <w:rsid w:val="00B233C6"/>
    <w:rsid w:val="00B24244"/>
    <w:rsid w:val="00B26C28"/>
    <w:rsid w:val="00B40605"/>
    <w:rsid w:val="00B40621"/>
    <w:rsid w:val="00B425CD"/>
    <w:rsid w:val="00B453F5"/>
    <w:rsid w:val="00B472AB"/>
    <w:rsid w:val="00B53D1B"/>
    <w:rsid w:val="00B718A5"/>
    <w:rsid w:val="00B94C1B"/>
    <w:rsid w:val="00BB02DD"/>
    <w:rsid w:val="00BC5F9C"/>
    <w:rsid w:val="00BC7E9A"/>
    <w:rsid w:val="00BE2382"/>
    <w:rsid w:val="00BE7F59"/>
    <w:rsid w:val="00BF1392"/>
    <w:rsid w:val="00BF55D7"/>
    <w:rsid w:val="00C04FE9"/>
    <w:rsid w:val="00C14F59"/>
    <w:rsid w:val="00C24461"/>
    <w:rsid w:val="00C42125"/>
    <w:rsid w:val="00C44F2D"/>
    <w:rsid w:val="00C56FDE"/>
    <w:rsid w:val="00C62814"/>
    <w:rsid w:val="00C630BD"/>
    <w:rsid w:val="00C678C9"/>
    <w:rsid w:val="00C67F1D"/>
    <w:rsid w:val="00C67F91"/>
    <w:rsid w:val="00C707AC"/>
    <w:rsid w:val="00C74937"/>
    <w:rsid w:val="00C75AAE"/>
    <w:rsid w:val="00C879B8"/>
    <w:rsid w:val="00C90AF4"/>
    <w:rsid w:val="00C9460E"/>
    <w:rsid w:val="00C9522A"/>
    <w:rsid w:val="00CA27A5"/>
    <w:rsid w:val="00CC0B8F"/>
    <w:rsid w:val="00CC3B53"/>
    <w:rsid w:val="00CC4273"/>
    <w:rsid w:val="00CE7EDF"/>
    <w:rsid w:val="00D0022D"/>
    <w:rsid w:val="00D0028E"/>
    <w:rsid w:val="00D015C3"/>
    <w:rsid w:val="00D0295B"/>
    <w:rsid w:val="00D03E90"/>
    <w:rsid w:val="00D12807"/>
    <w:rsid w:val="00D16BE5"/>
    <w:rsid w:val="00D32176"/>
    <w:rsid w:val="00D421E4"/>
    <w:rsid w:val="00D447C3"/>
    <w:rsid w:val="00D4568B"/>
    <w:rsid w:val="00D5342B"/>
    <w:rsid w:val="00D608A1"/>
    <w:rsid w:val="00D63904"/>
    <w:rsid w:val="00D652BF"/>
    <w:rsid w:val="00D65EF7"/>
    <w:rsid w:val="00D67219"/>
    <w:rsid w:val="00D83E1B"/>
    <w:rsid w:val="00D9388F"/>
    <w:rsid w:val="00DA4E87"/>
    <w:rsid w:val="00DB4C02"/>
    <w:rsid w:val="00DC4B8D"/>
    <w:rsid w:val="00DD6817"/>
    <w:rsid w:val="00DD7FD0"/>
    <w:rsid w:val="00DE033B"/>
    <w:rsid w:val="00DE3062"/>
    <w:rsid w:val="00DF14C5"/>
    <w:rsid w:val="00DF3691"/>
    <w:rsid w:val="00DF5DA1"/>
    <w:rsid w:val="00E01E9C"/>
    <w:rsid w:val="00E022BD"/>
    <w:rsid w:val="00E02E52"/>
    <w:rsid w:val="00E103D5"/>
    <w:rsid w:val="00E123F3"/>
    <w:rsid w:val="00E1406C"/>
    <w:rsid w:val="00E204DD"/>
    <w:rsid w:val="00E212A3"/>
    <w:rsid w:val="00E27037"/>
    <w:rsid w:val="00E32994"/>
    <w:rsid w:val="00E402B3"/>
    <w:rsid w:val="00E44FC7"/>
    <w:rsid w:val="00E52572"/>
    <w:rsid w:val="00E53C24"/>
    <w:rsid w:val="00E61779"/>
    <w:rsid w:val="00E64837"/>
    <w:rsid w:val="00E65997"/>
    <w:rsid w:val="00E6641C"/>
    <w:rsid w:val="00E845F0"/>
    <w:rsid w:val="00E84D58"/>
    <w:rsid w:val="00E975DD"/>
    <w:rsid w:val="00EA2F98"/>
    <w:rsid w:val="00EA5D7B"/>
    <w:rsid w:val="00EB26A6"/>
    <w:rsid w:val="00EB4093"/>
    <w:rsid w:val="00EB444D"/>
    <w:rsid w:val="00EB75C6"/>
    <w:rsid w:val="00ED2311"/>
    <w:rsid w:val="00ED2D16"/>
    <w:rsid w:val="00ED4CA0"/>
    <w:rsid w:val="00EE180C"/>
    <w:rsid w:val="00EE192D"/>
    <w:rsid w:val="00EF09F9"/>
    <w:rsid w:val="00EF0EEB"/>
    <w:rsid w:val="00EF2283"/>
    <w:rsid w:val="00EF44C9"/>
    <w:rsid w:val="00F00EFD"/>
    <w:rsid w:val="00F02294"/>
    <w:rsid w:val="00F0638F"/>
    <w:rsid w:val="00F073FF"/>
    <w:rsid w:val="00F075D9"/>
    <w:rsid w:val="00F11CD1"/>
    <w:rsid w:val="00F24A88"/>
    <w:rsid w:val="00F31027"/>
    <w:rsid w:val="00F311A4"/>
    <w:rsid w:val="00F31D2D"/>
    <w:rsid w:val="00F35F57"/>
    <w:rsid w:val="00F4232C"/>
    <w:rsid w:val="00F50467"/>
    <w:rsid w:val="00F67EFC"/>
    <w:rsid w:val="00F74C82"/>
    <w:rsid w:val="00F80D70"/>
    <w:rsid w:val="00F81A3B"/>
    <w:rsid w:val="00FA25C3"/>
    <w:rsid w:val="00FA6996"/>
    <w:rsid w:val="00FA7FD5"/>
    <w:rsid w:val="00FB455F"/>
    <w:rsid w:val="00FC65C7"/>
    <w:rsid w:val="00FD64C3"/>
    <w:rsid w:val="00FD6F98"/>
    <w:rsid w:val="00FE008B"/>
    <w:rsid w:val="00FF2AE8"/>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2A27040A-333A-4E39-846F-3D9AA5689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4E1"/>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qFormat/>
    <w:rsid w:val="00A974E1"/>
    <w:pPr>
      <w:keepNext/>
      <w:keepLines/>
      <w:spacing w:before="360"/>
      <w:ind w:left="794" w:hanging="794"/>
      <w:jc w:val="left"/>
      <w:outlineLvl w:val="0"/>
    </w:pPr>
    <w:rPr>
      <w:b/>
    </w:rPr>
  </w:style>
  <w:style w:type="paragraph" w:styleId="Heading2">
    <w:name w:val="heading 2"/>
    <w:basedOn w:val="Heading1"/>
    <w:next w:val="Normal"/>
    <w:link w:val="Heading2Char"/>
    <w:qFormat/>
    <w:rsid w:val="00A974E1"/>
    <w:pPr>
      <w:spacing w:before="240"/>
      <w:outlineLvl w:val="1"/>
    </w:pPr>
  </w:style>
  <w:style w:type="paragraph" w:styleId="Heading3">
    <w:name w:val="heading 3"/>
    <w:basedOn w:val="Heading1"/>
    <w:next w:val="Normal"/>
    <w:link w:val="Heading3Char"/>
    <w:qFormat/>
    <w:rsid w:val="00A974E1"/>
    <w:pPr>
      <w:spacing w:before="160"/>
      <w:outlineLvl w:val="2"/>
    </w:pPr>
  </w:style>
  <w:style w:type="paragraph" w:styleId="Heading4">
    <w:name w:val="heading 4"/>
    <w:basedOn w:val="Heading3"/>
    <w:next w:val="Normal"/>
    <w:link w:val="Heading4Char"/>
    <w:qFormat/>
    <w:rsid w:val="00A974E1"/>
    <w:pPr>
      <w:tabs>
        <w:tab w:val="clear" w:pos="794"/>
        <w:tab w:val="left" w:pos="1021"/>
      </w:tabs>
      <w:ind w:left="1021" w:hanging="1021"/>
      <w:outlineLvl w:val="3"/>
    </w:pPr>
  </w:style>
  <w:style w:type="paragraph" w:styleId="Heading5">
    <w:name w:val="heading 5"/>
    <w:basedOn w:val="Heading4"/>
    <w:next w:val="Normal"/>
    <w:link w:val="Heading5Char"/>
    <w:qFormat/>
    <w:rsid w:val="00A974E1"/>
    <w:pPr>
      <w:outlineLvl w:val="4"/>
    </w:pPr>
  </w:style>
  <w:style w:type="paragraph" w:styleId="Heading6">
    <w:name w:val="heading 6"/>
    <w:basedOn w:val="Heading4"/>
    <w:next w:val="Normal"/>
    <w:link w:val="Heading6Char"/>
    <w:qFormat/>
    <w:rsid w:val="00A974E1"/>
    <w:pPr>
      <w:tabs>
        <w:tab w:val="clear" w:pos="1021"/>
        <w:tab w:val="clear" w:pos="1191"/>
      </w:tabs>
      <w:ind w:left="1588" w:hanging="1588"/>
      <w:outlineLvl w:val="5"/>
    </w:pPr>
  </w:style>
  <w:style w:type="paragraph" w:styleId="Heading7">
    <w:name w:val="heading 7"/>
    <w:basedOn w:val="Heading6"/>
    <w:next w:val="Normal"/>
    <w:link w:val="Heading7Char"/>
    <w:qFormat/>
    <w:rsid w:val="00A974E1"/>
    <w:pPr>
      <w:outlineLvl w:val="6"/>
    </w:pPr>
  </w:style>
  <w:style w:type="paragraph" w:styleId="Heading8">
    <w:name w:val="heading 8"/>
    <w:basedOn w:val="Heading6"/>
    <w:next w:val="Normal"/>
    <w:link w:val="Heading8Char"/>
    <w:qFormat/>
    <w:rsid w:val="00A974E1"/>
    <w:pPr>
      <w:outlineLvl w:val="7"/>
    </w:pPr>
  </w:style>
  <w:style w:type="paragraph" w:styleId="Heading9">
    <w:name w:val="heading 9"/>
    <w:basedOn w:val="Heading6"/>
    <w:next w:val="Normal"/>
    <w:link w:val="Heading9Char"/>
    <w:qFormat/>
    <w:rsid w:val="00A974E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jc w:val="right"/>
    </w:pPr>
    <w:rPr>
      <w:rFonts w:eastAsia="SimSun"/>
      <w:b/>
      <w:sz w:val="32"/>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974E1"/>
    <w:pPr>
      <w:keepNext/>
      <w:keepLines/>
      <w:spacing w:before="480"/>
      <w:jc w:val="center"/>
    </w:pPr>
    <w:rPr>
      <w:b/>
      <w:sz w:val="28"/>
    </w:rPr>
  </w:style>
  <w:style w:type="paragraph" w:customStyle="1" w:styleId="AppendixNotitle">
    <w:name w:val="Appendix_No &amp; title"/>
    <w:basedOn w:val="AnnexNotitle"/>
    <w:next w:val="Normal"/>
    <w:rsid w:val="00A974E1"/>
  </w:style>
  <w:style w:type="paragraph" w:customStyle="1" w:styleId="CorrectionSeparatorBegin">
    <w:name w:val="Correction Separator Begin"/>
    <w:basedOn w:val="Normal"/>
    <w:rsid w:val="00510920"/>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510920"/>
    <w:pPr>
      <w:pBdr>
        <w:top w:val="single" w:sz="12" w:space="1" w:color="auto"/>
      </w:pBdr>
      <w:spacing w:before="240" w:after="240"/>
      <w:ind w:left="1440" w:right="1440"/>
      <w:jc w:val="center"/>
    </w:pPr>
    <w:rPr>
      <w:b/>
      <w:i/>
      <w:sz w:val="20"/>
      <w:lang w:val="en-US"/>
    </w:rPr>
  </w:style>
  <w:style w:type="paragraph" w:customStyle="1" w:styleId="Figure">
    <w:name w:val="Figure"/>
    <w:basedOn w:val="Normal"/>
    <w:next w:val="Normal"/>
    <w:rsid w:val="00A974E1"/>
    <w:pPr>
      <w:keepNext/>
      <w:keepLines/>
      <w:spacing w:before="240" w:after="120"/>
      <w:jc w:val="center"/>
    </w:pPr>
  </w:style>
  <w:style w:type="paragraph" w:customStyle="1" w:styleId="FigureNotitle">
    <w:name w:val="Figure_No &amp; title"/>
    <w:basedOn w:val="Normal"/>
    <w:next w:val="Normal"/>
    <w:qFormat/>
    <w:rsid w:val="00A974E1"/>
    <w:pPr>
      <w:keepLines/>
      <w:spacing w:before="240" w:after="120"/>
      <w:jc w:val="center"/>
    </w:pPr>
    <w:rPr>
      <w:b/>
    </w:rPr>
  </w:style>
  <w:style w:type="paragraph" w:customStyle="1" w:styleId="Formal">
    <w:name w:val="Formal"/>
    <w:basedOn w:val="ASN1"/>
    <w:rsid w:val="00A974E1"/>
    <w:rPr>
      <w:b w:val="0"/>
    </w:rPr>
  </w:style>
  <w:style w:type="paragraph" w:customStyle="1" w:styleId="Headingb">
    <w:name w:val="Heading_b"/>
    <w:basedOn w:val="Normal"/>
    <w:next w:val="Normal"/>
    <w:rsid w:val="00A974E1"/>
    <w:pPr>
      <w:keepNext/>
      <w:spacing w:before="160"/>
      <w:jc w:val="left"/>
    </w:pPr>
    <w:rPr>
      <w:b/>
    </w:rPr>
  </w:style>
  <w:style w:type="paragraph" w:customStyle="1" w:styleId="Headingi">
    <w:name w:val="Heading_i"/>
    <w:basedOn w:val="Normal"/>
    <w:next w:val="Normal"/>
    <w:rsid w:val="00A974E1"/>
    <w:pPr>
      <w:keepNext/>
      <w:spacing w:before="160"/>
      <w:jc w:val="left"/>
    </w:pPr>
    <w:rPr>
      <w:i/>
    </w:rPr>
  </w:style>
  <w:style w:type="paragraph" w:customStyle="1" w:styleId="Headingib">
    <w:name w:val="Heading_ib"/>
    <w:basedOn w:val="Headingi"/>
    <w:next w:val="Normal"/>
    <w:qFormat/>
    <w:rsid w:val="00510920"/>
    <w:rPr>
      <w:b/>
      <w:bCs/>
    </w:rPr>
  </w:style>
  <w:style w:type="paragraph" w:customStyle="1" w:styleId="Normalbeforetable">
    <w:name w:val="Normal before table"/>
    <w:basedOn w:val="Normal"/>
    <w:rsid w:val="00510920"/>
    <w:pPr>
      <w:keepNext/>
      <w:spacing w:after="120"/>
    </w:pPr>
    <w:rPr>
      <w:rFonts w:eastAsia="????"/>
    </w:rPr>
  </w:style>
  <w:style w:type="paragraph" w:customStyle="1" w:styleId="RecNo">
    <w:name w:val="Rec_No"/>
    <w:basedOn w:val="Normal"/>
    <w:next w:val="Rectitle"/>
    <w:rsid w:val="00A974E1"/>
    <w:pPr>
      <w:keepNext/>
      <w:keepLines/>
      <w:spacing w:before="0"/>
      <w:jc w:val="left"/>
    </w:pPr>
    <w:rPr>
      <w:b/>
      <w:sz w:val="28"/>
    </w:rPr>
  </w:style>
  <w:style w:type="paragraph" w:customStyle="1" w:styleId="Rectitle">
    <w:name w:val="Rec_title"/>
    <w:basedOn w:val="Normal"/>
    <w:next w:val="Normalaftertitle"/>
    <w:rsid w:val="00A974E1"/>
    <w:pPr>
      <w:keepNext/>
      <w:keepLines/>
      <w:spacing w:before="360"/>
      <w:jc w:val="center"/>
    </w:pPr>
    <w:rPr>
      <w:b/>
      <w:sz w:val="28"/>
    </w:rPr>
  </w:style>
  <w:style w:type="paragraph" w:customStyle="1" w:styleId="Reftext">
    <w:name w:val="Ref_text"/>
    <w:basedOn w:val="Normal"/>
    <w:link w:val="ReftextChar"/>
    <w:rsid w:val="00A974E1"/>
    <w:pPr>
      <w:ind w:left="794" w:hanging="794"/>
      <w:jc w:val="left"/>
    </w:pPr>
  </w:style>
  <w:style w:type="paragraph" w:customStyle="1" w:styleId="Tablehead">
    <w:name w:val="Table_head"/>
    <w:basedOn w:val="Normal"/>
    <w:next w:val="Tabletext"/>
    <w:rsid w:val="00A974E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974E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Notitle">
    <w:name w:val="Table_No &amp; title"/>
    <w:basedOn w:val="Normal"/>
    <w:next w:val="Normal"/>
    <w:qFormat/>
    <w:rsid w:val="00A974E1"/>
    <w:pPr>
      <w:keepNext/>
      <w:keepLines/>
      <w:spacing w:before="360" w:after="120"/>
      <w:jc w:val="center"/>
    </w:pPr>
    <w:rPr>
      <w:b/>
    </w:rPr>
  </w:style>
  <w:style w:type="paragraph" w:customStyle="1" w:styleId="Tabletext">
    <w:name w:val="Table_text"/>
    <w:basedOn w:val="Normal"/>
    <w:rsid w:val="00A974E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styleId="TableofFigures">
    <w:name w:val="table of figures"/>
    <w:basedOn w:val="Normal"/>
    <w:next w:val="Normal"/>
    <w:uiPriority w:val="99"/>
    <w:rsid w:val="00510920"/>
    <w:pPr>
      <w:tabs>
        <w:tab w:val="right" w:leader="dot" w:pos="9639"/>
      </w:tabs>
    </w:pPr>
    <w:rPr>
      <w:rFonts w:eastAsia="MS Mincho"/>
    </w:rPr>
  </w:style>
  <w:style w:type="paragraph" w:styleId="TOC1">
    <w:name w:val="toc 1"/>
    <w:basedOn w:val="Normal"/>
    <w:uiPriority w:val="39"/>
    <w:rsid w:val="00A974E1"/>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A974E1"/>
    <w:pPr>
      <w:spacing w:before="80"/>
      <w:ind w:left="1531" w:hanging="851"/>
    </w:pPr>
  </w:style>
  <w:style w:type="paragraph" w:styleId="TOC3">
    <w:name w:val="toc 3"/>
    <w:basedOn w:val="TOC2"/>
    <w:rsid w:val="00A974E1"/>
  </w:style>
  <w:style w:type="character" w:styleId="Hyperlink">
    <w:name w:val="Hyperlink"/>
    <w:basedOn w:val="DefaultParagraphFont"/>
    <w:uiPriority w:val="99"/>
    <w:rsid w:val="00A974E1"/>
    <w:rPr>
      <w:color w:val="0000FF"/>
      <w:u w:val="single"/>
    </w:rPr>
  </w:style>
  <w:style w:type="character" w:customStyle="1" w:styleId="Heading1Char">
    <w:name w:val="Heading 1 Char"/>
    <w:link w:val="Heading1"/>
    <w:rsid w:val="00A974E1"/>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rsid w:val="00A974E1"/>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510920"/>
    <w:rPr>
      <w:rFonts w:ascii="Times New Roman" w:eastAsia="Times New Roman" w:hAnsi="Times New Roman" w:cs="Times New Roman"/>
      <w:sz w:val="18"/>
      <w:szCs w:val="20"/>
      <w:lang w:val="en-GB" w:eastAsia="en-US"/>
    </w:rPr>
  </w:style>
  <w:style w:type="paragraph" w:styleId="Footer">
    <w:name w:val="footer"/>
    <w:basedOn w:val="Normal"/>
    <w:link w:val="FooterChar"/>
    <w:rsid w:val="00A974E1"/>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F00EFD"/>
    <w:rPr>
      <w:rFonts w:ascii="Times New Roman" w:eastAsia="Times New Roman" w:hAnsi="Times New Roman" w:cs="Times New Roman"/>
      <w:caps/>
      <w:noProof/>
      <w:sz w:val="16"/>
      <w:szCs w:val="20"/>
      <w:lang w:val="en-GB" w:eastAsia="en-US"/>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A974E1"/>
    <w:pPr>
      <w:spacing w:before="80"/>
      <w:ind w:left="794" w:hanging="794"/>
    </w:pPr>
  </w:style>
  <w:style w:type="paragraph" w:customStyle="1" w:styleId="enumlev2">
    <w:name w:val="enumlev2"/>
    <w:basedOn w:val="enumlev1"/>
    <w:rsid w:val="00A974E1"/>
    <w:pPr>
      <w:ind w:left="1191" w:hanging="397"/>
    </w:pPr>
  </w:style>
  <w:style w:type="paragraph" w:customStyle="1" w:styleId="enumlev3">
    <w:name w:val="enumlev3"/>
    <w:basedOn w:val="enumlev2"/>
    <w:rsid w:val="00A974E1"/>
    <w:pPr>
      <w:ind w:left="1588"/>
    </w:pPr>
  </w:style>
  <w:style w:type="paragraph" w:customStyle="1" w:styleId="TSBHeaderRight14">
    <w:name w:val="TSBHeaderRight14"/>
    <w:basedOn w:val="Normal"/>
    <w:qFormat/>
    <w:rsid w:val="007F1869"/>
    <w:pPr>
      <w:jc w:val="right"/>
    </w:pPr>
    <w:rPr>
      <w:b/>
      <w:bCs/>
      <w:sz w:val="28"/>
      <w:szCs w:val="28"/>
    </w:rPr>
  </w:style>
  <w:style w:type="paragraph" w:customStyle="1" w:styleId="VenueDate">
    <w:name w:val="VenueDate"/>
    <w:basedOn w:val="Normal"/>
    <w:qFormat/>
    <w:rsid w:val="007F1869"/>
    <w:pPr>
      <w:jc w:val="right"/>
    </w:pPr>
  </w:style>
  <w:style w:type="paragraph" w:customStyle="1" w:styleId="TSBHeaderQuestion">
    <w:name w:val="TSBHeaderQuestion"/>
    <w:basedOn w:val="Normal"/>
    <w:qFormat/>
    <w:rsid w:val="007F1869"/>
  </w:style>
  <w:style w:type="paragraph" w:customStyle="1" w:styleId="TSBHeaderSource">
    <w:name w:val="TSBHeaderSource"/>
    <w:basedOn w:val="Normal"/>
    <w:qFormat/>
    <w:rsid w:val="007F1869"/>
  </w:style>
  <w:style w:type="paragraph" w:customStyle="1" w:styleId="TSBHeaderTitle">
    <w:name w:val="TSBHeaderTitle"/>
    <w:basedOn w:val="Normal"/>
    <w:qFormat/>
    <w:rsid w:val="007F1869"/>
  </w:style>
  <w:style w:type="paragraph" w:customStyle="1" w:styleId="TSBHeaderSummary">
    <w:name w:val="TSBHeaderSummary"/>
    <w:basedOn w:val="Normal"/>
    <w:rsid w:val="001B5FB0"/>
  </w:style>
  <w:style w:type="character" w:customStyle="1" w:styleId="ReftextArial9pt">
    <w:name w:val="Ref_text Arial 9 pt"/>
    <w:rsid w:val="00510920"/>
    <w:rPr>
      <w:rFonts w:ascii="Arial" w:hAnsi="Arial" w:cs="Arial"/>
      <w:sz w:val="18"/>
      <w:szCs w:val="18"/>
    </w:rPr>
  </w:style>
  <w:style w:type="paragraph" w:customStyle="1" w:styleId="Title4">
    <w:name w:val="Title 4"/>
    <w:basedOn w:val="Title3"/>
    <w:next w:val="Heading1"/>
    <w:rsid w:val="00A974E1"/>
    <w:rPr>
      <w:b/>
    </w:rPr>
  </w:style>
  <w:style w:type="paragraph" w:customStyle="1" w:styleId="Note">
    <w:name w:val="Note"/>
    <w:basedOn w:val="Normal"/>
    <w:rsid w:val="00A974E1"/>
    <w:pPr>
      <w:spacing w:before="80"/>
    </w:pPr>
    <w:rPr>
      <w:sz w:val="22"/>
    </w:rPr>
  </w:style>
  <w:style w:type="paragraph" w:styleId="FootnoteText">
    <w:name w:val="footnote text"/>
    <w:basedOn w:val="Note"/>
    <w:link w:val="FootnoteTextChar"/>
    <w:semiHidden/>
    <w:rsid w:val="00A974E1"/>
    <w:pPr>
      <w:keepLines/>
      <w:tabs>
        <w:tab w:val="left" w:pos="255"/>
      </w:tabs>
      <w:ind w:left="255" w:hanging="255"/>
    </w:pPr>
  </w:style>
  <w:style w:type="character" w:customStyle="1" w:styleId="FootnoteTextChar">
    <w:name w:val="Footnote Text Char"/>
    <w:basedOn w:val="DefaultParagraphFont"/>
    <w:link w:val="FootnoteText"/>
    <w:semiHidden/>
    <w:rsid w:val="00510920"/>
    <w:rPr>
      <w:rFonts w:ascii="Times New Roman" w:eastAsia="Times New Roman" w:hAnsi="Times New Roman" w:cs="Times New Roman"/>
      <w:szCs w:val="20"/>
      <w:lang w:val="en-GB" w:eastAsia="en-US"/>
    </w:rPr>
  </w:style>
  <w:style w:type="character" w:styleId="FootnoteReference">
    <w:name w:val="footnote reference"/>
    <w:basedOn w:val="DefaultParagraphFont"/>
    <w:semiHidden/>
    <w:rsid w:val="00A974E1"/>
    <w:rPr>
      <w:position w:val="6"/>
      <w:sz w:val="18"/>
    </w:rPr>
  </w:style>
  <w:style w:type="paragraph" w:styleId="BalloonText">
    <w:name w:val="Balloon Text"/>
    <w:basedOn w:val="Normal"/>
    <w:link w:val="BalloonTextChar"/>
    <w:rsid w:val="00A974E1"/>
    <w:pPr>
      <w:spacing w:before="0"/>
    </w:pPr>
    <w:rPr>
      <w:rFonts w:ascii="Tahoma" w:hAnsi="Tahoma" w:cs="Tahoma"/>
      <w:sz w:val="16"/>
      <w:szCs w:val="16"/>
    </w:rPr>
  </w:style>
  <w:style w:type="character" w:customStyle="1" w:styleId="BalloonTextChar">
    <w:name w:val="Balloon Text Char"/>
    <w:basedOn w:val="DefaultParagraphFont"/>
    <w:link w:val="BalloonText"/>
    <w:rsid w:val="00A974E1"/>
    <w:rPr>
      <w:rFonts w:ascii="Tahoma" w:eastAsia="Times New Roman" w:hAnsi="Tahoma" w:cs="Tahoma"/>
      <w:sz w:val="16"/>
      <w:szCs w:val="16"/>
      <w:lang w:val="en-GB" w:eastAsia="en-US"/>
    </w:rPr>
  </w:style>
  <w:style w:type="paragraph" w:styleId="Bibliography">
    <w:name w:val="Bibliography"/>
    <w:basedOn w:val="Normal"/>
    <w:next w:val="Normal"/>
    <w:uiPriority w:val="37"/>
    <w:semiHidden/>
    <w:unhideWhenUsed/>
    <w:rsid w:val="00510920"/>
  </w:style>
  <w:style w:type="paragraph" w:styleId="BlockText">
    <w:name w:val="Block Text"/>
    <w:basedOn w:val="Normal"/>
    <w:uiPriority w:val="99"/>
    <w:semiHidden/>
    <w:unhideWhenUsed/>
    <w:rsid w:val="0051092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1"/>
    <w:qFormat/>
    <w:rsid w:val="00A974E1"/>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A974E1"/>
    <w:rPr>
      <w:rFonts w:ascii="Avenir Next W1G Medium" w:eastAsia="Avenir Next W1G Medium" w:hAnsi="Avenir Next W1G Medium" w:cs="Avenir Next W1G Medium"/>
      <w:b/>
      <w:bCs/>
      <w:sz w:val="48"/>
      <w:szCs w:val="48"/>
      <w:lang w:eastAsia="en-US"/>
    </w:rPr>
  </w:style>
  <w:style w:type="paragraph" w:styleId="BodyText2">
    <w:name w:val="Body Text 2"/>
    <w:basedOn w:val="Normal"/>
    <w:link w:val="BodyText2Char"/>
    <w:uiPriority w:val="99"/>
    <w:semiHidden/>
    <w:unhideWhenUsed/>
    <w:rsid w:val="00510920"/>
    <w:pPr>
      <w:spacing w:after="120" w:line="480" w:lineRule="auto"/>
    </w:pPr>
  </w:style>
  <w:style w:type="character" w:customStyle="1" w:styleId="BodyText2Char">
    <w:name w:val="Body Text 2 Char"/>
    <w:basedOn w:val="DefaultParagraphFont"/>
    <w:link w:val="BodyText2"/>
    <w:uiPriority w:val="99"/>
    <w:semiHidden/>
    <w:rsid w:val="00510920"/>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510920"/>
    <w:pPr>
      <w:spacing w:after="120"/>
    </w:pPr>
    <w:rPr>
      <w:sz w:val="16"/>
      <w:szCs w:val="16"/>
    </w:rPr>
  </w:style>
  <w:style w:type="character" w:customStyle="1" w:styleId="BodyText3Char">
    <w:name w:val="Body Text 3 Char"/>
    <w:basedOn w:val="DefaultParagraphFont"/>
    <w:link w:val="BodyText3"/>
    <w:uiPriority w:val="99"/>
    <w:semiHidden/>
    <w:rsid w:val="00510920"/>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510920"/>
    <w:pPr>
      <w:ind w:firstLine="360"/>
    </w:pPr>
  </w:style>
  <w:style w:type="character" w:customStyle="1" w:styleId="BodyTextFirstIndentChar">
    <w:name w:val="Body Text First Indent Char"/>
    <w:basedOn w:val="BodyTextChar"/>
    <w:link w:val="BodyTextFirstIndent"/>
    <w:uiPriority w:val="99"/>
    <w:semiHidden/>
    <w:rsid w:val="00510920"/>
    <w:rPr>
      <w:rFonts w:ascii="Times New Roman" w:eastAsia="Avenir Next W1G Medium" w:hAnsi="Times New Roman" w:cs="Times New Roman"/>
      <w:b/>
      <w:bCs/>
      <w:sz w:val="24"/>
      <w:szCs w:val="24"/>
      <w:lang w:val="en-GB" w:eastAsia="ja-JP"/>
    </w:rPr>
  </w:style>
  <w:style w:type="paragraph" w:styleId="BodyTextIndent">
    <w:name w:val="Body Text Indent"/>
    <w:basedOn w:val="Normal"/>
    <w:link w:val="BodyTextIndentChar"/>
    <w:uiPriority w:val="99"/>
    <w:semiHidden/>
    <w:unhideWhenUsed/>
    <w:rsid w:val="00510920"/>
    <w:pPr>
      <w:spacing w:after="120"/>
      <w:ind w:left="360"/>
    </w:pPr>
  </w:style>
  <w:style w:type="character" w:customStyle="1" w:styleId="BodyTextIndentChar">
    <w:name w:val="Body Text Indent Char"/>
    <w:basedOn w:val="DefaultParagraphFont"/>
    <w:link w:val="BodyTextIndent"/>
    <w:uiPriority w:val="99"/>
    <w:semiHidden/>
    <w:rsid w:val="00510920"/>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510920"/>
    <w:pPr>
      <w:spacing w:after="0"/>
      <w:ind w:firstLine="360"/>
    </w:pPr>
  </w:style>
  <w:style w:type="character" w:customStyle="1" w:styleId="BodyTextFirstIndent2Char">
    <w:name w:val="Body Text First Indent 2 Char"/>
    <w:basedOn w:val="BodyTextIndentChar"/>
    <w:link w:val="BodyTextFirstIndent2"/>
    <w:uiPriority w:val="99"/>
    <w:semiHidden/>
    <w:rsid w:val="00510920"/>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510920"/>
    <w:pPr>
      <w:spacing w:after="120" w:line="480" w:lineRule="auto"/>
      <w:ind w:left="360"/>
    </w:pPr>
  </w:style>
  <w:style w:type="character" w:customStyle="1" w:styleId="BodyTextIndent2Char">
    <w:name w:val="Body Text Indent 2 Char"/>
    <w:basedOn w:val="DefaultParagraphFont"/>
    <w:link w:val="BodyTextIndent2"/>
    <w:uiPriority w:val="99"/>
    <w:semiHidden/>
    <w:rsid w:val="00510920"/>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5109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10920"/>
    <w:rPr>
      <w:rFonts w:ascii="Times New Roman" w:hAnsi="Times New Roman" w:cs="Times New Roman"/>
      <w:sz w:val="16"/>
      <w:szCs w:val="16"/>
      <w:lang w:val="en-GB" w:eastAsia="ja-JP"/>
    </w:rPr>
  </w:style>
  <w:style w:type="character" w:styleId="BookTitle">
    <w:name w:val="Book Title"/>
    <w:basedOn w:val="DefaultParagraphFont"/>
    <w:uiPriority w:val="33"/>
    <w:rsid w:val="00510920"/>
    <w:rPr>
      <w:b/>
      <w:bCs/>
      <w:i/>
      <w:iCs/>
      <w:spacing w:val="5"/>
    </w:rPr>
  </w:style>
  <w:style w:type="paragraph" w:styleId="Closing">
    <w:name w:val="Closing"/>
    <w:basedOn w:val="Normal"/>
    <w:link w:val="ClosingChar"/>
    <w:uiPriority w:val="99"/>
    <w:semiHidden/>
    <w:unhideWhenUsed/>
    <w:rsid w:val="00510920"/>
    <w:pPr>
      <w:spacing w:before="0"/>
      <w:ind w:left="4320"/>
    </w:pPr>
  </w:style>
  <w:style w:type="character" w:customStyle="1" w:styleId="ClosingChar">
    <w:name w:val="Closing Char"/>
    <w:basedOn w:val="DefaultParagraphFont"/>
    <w:link w:val="Closing"/>
    <w:uiPriority w:val="99"/>
    <w:semiHidden/>
    <w:rsid w:val="00510920"/>
    <w:rPr>
      <w:rFonts w:ascii="Times New Roman" w:hAnsi="Times New Roman" w:cs="Times New Roman"/>
      <w:sz w:val="24"/>
      <w:szCs w:val="24"/>
      <w:lang w:val="en-GB" w:eastAsia="ja-JP"/>
    </w:rPr>
  </w:style>
  <w:style w:type="character" w:styleId="CommentReference">
    <w:name w:val="annotation reference"/>
    <w:basedOn w:val="DefaultParagraphFont"/>
    <w:semiHidden/>
    <w:rsid w:val="00A974E1"/>
    <w:rPr>
      <w:sz w:val="16"/>
      <w:szCs w:val="16"/>
    </w:rPr>
  </w:style>
  <w:style w:type="paragraph" w:styleId="CommentText">
    <w:name w:val="annotation text"/>
    <w:basedOn w:val="Normal"/>
    <w:link w:val="CommentTextChar"/>
    <w:rsid w:val="00A974E1"/>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rsid w:val="00510920"/>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510920"/>
    <w:rPr>
      <w:b/>
      <w:bCs/>
    </w:rPr>
  </w:style>
  <w:style w:type="character" w:customStyle="1" w:styleId="CommentSubjectChar">
    <w:name w:val="Comment Subject Char"/>
    <w:basedOn w:val="CommentTextChar"/>
    <w:link w:val="CommentSubject"/>
    <w:uiPriority w:val="99"/>
    <w:semiHidden/>
    <w:rsid w:val="00510920"/>
    <w:rPr>
      <w:rFonts w:ascii="Times New Roman" w:eastAsia="Times New Roman" w:hAnsi="Times New Roman" w:cs="Times New Roman"/>
      <w:b/>
      <w:bCs/>
      <w:sz w:val="20"/>
      <w:szCs w:val="20"/>
      <w:lang w:val="en-GB" w:eastAsia="ja-JP"/>
    </w:rPr>
  </w:style>
  <w:style w:type="paragraph" w:styleId="Date">
    <w:name w:val="Date"/>
    <w:basedOn w:val="Normal"/>
    <w:next w:val="Normal"/>
    <w:link w:val="DateChar"/>
    <w:uiPriority w:val="99"/>
    <w:semiHidden/>
    <w:unhideWhenUsed/>
    <w:rsid w:val="00510920"/>
  </w:style>
  <w:style w:type="character" w:customStyle="1" w:styleId="DateChar">
    <w:name w:val="Date Char"/>
    <w:basedOn w:val="DefaultParagraphFont"/>
    <w:link w:val="Date"/>
    <w:uiPriority w:val="99"/>
    <w:semiHidden/>
    <w:rsid w:val="00510920"/>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510920"/>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10920"/>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510920"/>
    <w:pPr>
      <w:spacing w:before="0"/>
    </w:pPr>
  </w:style>
  <w:style w:type="character" w:customStyle="1" w:styleId="E-mailSignatureChar">
    <w:name w:val="E-mail Signature Char"/>
    <w:basedOn w:val="DefaultParagraphFont"/>
    <w:link w:val="E-mailSignature"/>
    <w:uiPriority w:val="99"/>
    <w:semiHidden/>
    <w:rsid w:val="00510920"/>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510920"/>
    <w:rPr>
      <w:vertAlign w:val="superscript"/>
    </w:rPr>
  </w:style>
  <w:style w:type="paragraph" w:styleId="EndnoteText">
    <w:name w:val="endnote text"/>
    <w:basedOn w:val="Normal"/>
    <w:link w:val="EndnoteTextChar"/>
    <w:uiPriority w:val="99"/>
    <w:semiHidden/>
    <w:unhideWhenUsed/>
    <w:rsid w:val="00510920"/>
    <w:pPr>
      <w:spacing w:before="0"/>
    </w:pPr>
    <w:rPr>
      <w:sz w:val="20"/>
    </w:rPr>
  </w:style>
  <w:style w:type="character" w:customStyle="1" w:styleId="EndnoteTextChar">
    <w:name w:val="Endnote Text Char"/>
    <w:basedOn w:val="DefaultParagraphFont"/>
    <w:link w:val="EndnoteText"/>
    <w:uiPriority w:val="99"/>
    <w:semiHidden/>
    <w:rsid w:val="00510920"/>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510920"/>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510920"/>
    <w:pPr>
      <w:spacing w:before="0"/>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510920"/>
    <w:rPr>
      <w:color w:val="954F72" w:themeColor="followedHyperlink"/>
      <w:u w:val="single"/>
    </w:rPr>
  </w:style>
  <w:style w:type="character" w:styleId="Hashtag">
    <w:name w:val="Hashtag"/>
    <w:basedOn w:val="DefaultParagraphFont"/>
    <w:uiPriority w:val="99"/>
    <w:semiHidden/>
    <w:unhideWhenUsed/>
    <w:rsid w:val="00510920"/>
    <w:rPr>
      <w:color w:val="2B579A"/>
      <w:shd w:val="clear" w:color="auto" w:fill="E1DFDD"/>
    </w:rPr>
  </w:style>
  <w:style w:type="character" w:styleId="HTMLAcronym">
    <w:name w:val="HTML Acronym"/>
    <w:basedOn w:val="DefaultParagraphFont"/>
    <w:uiPriority w:val="99"/>
    <w:semiHidden/>
    <w:unhideWhenUsed/>
    <w:rsid w:val="00510920"/>
  </w:style>
  <w:style w:type="paragraph" w:styleId="HTMLAddress">
    <w:name w:val="HTML Address"/>
    <w:basedOn w:val="Normal"/>
    <w:link w:val="HTMLAddressChar"/>
    <w:uiPriority w:val="99"/>
    <w:semiHidden/>
    <w:unhideWhenUsed/>
    <w:rsid w:val="00510920"/>
    <w:pPr>
      <w:spacing w:before="0"/>
    </w:pPr>
    <w:rPr>
      <w:i/>
      <w:iCs/>
    </w:rPr>
  </w:style>
  <w:style w:type="character" w:customStyle="1" w:styleId="HTMLAddressChar">
    <w:name w:val="HTML Address Char"/>
    <w:basedOn w:val="DefaultParagraphFont"/>
    <w:link w:val="HTMLAddress"/>
    <w:uiPriority w:val="99"/>
    <w:semiHidden/>
    <w:rsid w:val="00510920"/>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510920"/>
    <w:rPr>
      <w:i/>
      <w:iCs/>
    </w:rPr>
  </w:style>
  <w:style w:type="character" w:styleId="HTMLCode">
    <w:name w:val="HTML Code"/>
    <w:basedOn w:val="DefaultParagraphFont"/>
    <w:uiPriority w:val="99"/>
    <w:semiHidden/>
    <w:unhideWhenUsed/>
    <w:rsid w:val="00510920"/>
    <w:rPr>
      <w:rFonts w:ascii="Consolas" w:hAnsi="Consolas"/>
      <w:sz w:val="20"/>
      <w:szCs w:val="20"/>
    </w:rPr>
  </w:style>
  <w:style w:type="character" w:styleId="HTMLDefinition">
    <w:name w:val="HTML Definition"/>
    <w:basedOn w:val="DefaultParagraphFont"/>
    <w:uiPriority w:val="99"/>
    <w:semiHidden/>
    <w:unhideWhenUsed/>
    <w:rsid w:val="00510920"/>
    <w:rPr>
      <w:i/>
      <w:iCs/>
    </w:rPr>
  </w:style>
  <w:style w:type="character" w:styleId="HTMLKeyboard">
    <w:name w:val="HTML Keyboard"/>
    <w:basedOn w:val="DefaultParagraphFont"/>
    <w:uiPriority w:val="99"/>
    <w:semiHidden/>
    <w:unhideWhenUsed/>
    <w:rsid w:val="00510920"/>
    <w:rPr>
      <w:rFonts w:ascii="Consolas" w:hAnsi="Consolas"/>
      <w:sz w:val="20"/>
      <w:szCs w:val="20"/>
    </w:rPr>
  </w:style>
  <w:style w:type="paragraph" w:styleId="HTMLPreformatted">
    <w:name w:val="HTML Preformatted"/>
    <w:basedOn w:val="Normal"/>
    <w:link w:val="HTMLPreformattedChar"/>
    <w:uiPriority w:val="99"/>
    <w:semiHidden/>
    <w:unhideWhenUsed/>
    <w:rsid w:val="00510920"/>
    <w:pPr>
      <w:spacing w:before="0"/>
    </w:pPr>
    <w:rPr>
      <w:rFonts w:ascii="Consolas" w:hAnsi="Consolas"/>
      <w:sz w:val="20"/>
    </w:rPr>
  </w:style>
  <w:style w:type="character" w:customStyle="1" w:styleId="HTMLPreformattedChar">
    <w:name w:val="HTML Preformatted Char"/>
    <w:basedOn w:val="DefaultParagraphFont"/>
    <w:link w:val="HTMLPreformatted"/>
    <w:uiPriority w:val="99"/>
    <w:semiHidden/>
    <w:rsid w:val="00510920"/>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510920"/>
    <w:rPr>
      <w:rFonts w:ascii="Consolas" w:hAnsi="Consolas"/>
      <w:sz w:val="24"/>
      <w:szCs w:val="24"/>
    </w:rPr>
  </w:style>
  <w:style w:type="character" w:styleId="HTMLTypewriter">
    <w:name w:val="HTML Typewriter"/>
    <w:basedOn w:val="DefaultParagraphFont"/>
    <w:uiPriority w:val="99"/>
    <w:semiHidden/>
    <w:unhideWhenUsed/>
    <w:rsid w:val="00510920"/>
    <w:rPr>
      <w:rFonts w:ascii="Consolas" w:hAnsi="Consolas"/>
      <w:sz w:val="20"/>
      <w:szCs w:val="20"/>
    </w:rPr>
  </w:style>
  <w:style w:type="character" w:styleId="HTMLVariable">
    <w:name w:val="HTML Variable"/>
    <w:basedOn w:val="DefaultParagraphFont"/>
    <w:uiPriority w:val="99"/>
    <w:semiHidden/>
    <w:unhideWhenUsed/>
    <w:rsid w:val="00510920"/>
    <w:rPr>
      <w:i/>
      <w:iCs/>
    </w:rPr>
  </w:style>
  <w:style w:type="paragraph" w:styleId="Index1">
    <w:name w:val="index 1"/>
    <w:basedOn w:val="Normal"/>
    <w:next w:val="Normal"/>
    <w:semiHidden/>
    <w:rsid w:val="00A974E1"/>
    <w:pPr>
      <w:jc w:val="left"/>
    </w:pPr>
  </w:style>
  <w:style w:type="paragraph" w:styleId="Index2">
    <w:name w:val="index 2"/>
    <w:basedOn w:val="Normal"/>
    <w:next w:val="Normal"/>
    <w:semiHidden/>
    <w:rsid w:val="00A974E1"/>
    <w:pPr>
      <w:ind w:left="284"/>
      <w:jc w:val="left"/>
    </w:pPr>
  </w:style>
  <w:style w:type="paragraph" w:styleId="Index3">
    <w:name w:val="index 3"/>
    <w:basedOn w:val="Normal"/>
    <w:next w:val="Normal"/>
    <w:semiHidden/>
    <w:rsid w:val="00A974E1"/>
    <w:pPr>
      <w:ind w:left="567"/>
      <w:jc w:val="left"/>
    </w:pPr>
  </w:style>
  <w:style w:type="paragraph" w:styleId="Index4">
    <w:name w:val="index 4"/>
    <w:basedOn w:val="Normal"/>
    <w:next w:val="Normal"/>
    <w:autoRedefine/>
    <w:uiPriority w:val="99"/>
    <w:semiHidden/>
    <w:unhideWhenUsed/>
    <w:rsid w:val="00510920"/>
    <w:pPr>
      <w:spacing w:before="0"/>
      <w:ind w:left="960" w:hanging="240"/>
    </w:pPr>
  </w:style>
  <w:style w:type="paragraph" w:styleId="Index5">
    <w:name w:val="index 5"/>
    <w:basedOn w:val="Normal"/>
    <w:next w:val="Normal"/>
    <w:autoRedefine/>
    <w:uiPriority w:val="99"/>
    <w:semiHidden/>
    <w:unhideWhenUsed/>
    <w:rsid w:val="00510920"/>
    <w:pPr>
      <w:spacing w:before="0"/>
      <w:ind w:left="1200" w:hanging="240"/>
    </w:pPr>
  </w:style>
  <w:style w:type="paragraph" w:styleId="Index6">
    <w:name w:val="index 6"/>
    <w:basedOn w:val="Normal"/>
    <w:next w:val="Normal"/>
    <w:autoRedefine/>
    <w:uiPriority w:val="99"/>
    <w:semiHidden/>
    <w:unhideWhenUsed/>
    <w:rsid w:val="00510920"/>
    <w:pPr>
      <w:spacing w:before="0"/>
      <w:ind w:left="1440" w:hanging="240"/>
    </w:pPr>
  </w:style>
  <w:style w:type="paragraph" w:styleId="Index7">
    <w:name w:val="index 7"/>
    <w:basedOn w:val="Normal"/>
    <w:next w:val="Normal"/>
    <w:autoRedefine/>
    <w:uiPriority w:val="99"/>
    <w:semiHidden/>
    <w:unhideWhenUsed/>
    <w:rsid w:val="00510920"/>
    <w:pPr>
      <w:spacing w:before="0"/>
      <w:ind w:left="1680" w:hanging="240"/>
    </w:pPr>
  </w:style>
  <w:style w:type="paragraph" w:styleId="Index8">
    <w:name w:val="index 8"/>
    <w:basedOn w:val="Normal"/>
    <w:next w:val="Normal"/>
    <w:autoRedefine/>
    <w:uiPriority w:val="99"/>
    <w:semiHidden/>
    <w:unhideWhenUsed/>
    <w:rsid w:val="00510920"/>
    <w:pPr>
      <w:spacing w:before="0"/>
      <w:ind w:left="1920" w:hanging="240"/>
    </w:pPr>
  </w:style>
  <w:style w:type="paragraph" w:styleId="Index9">
    <w:name w:val="index 9"/>
    <w:basedOn w:val="Normal"/>
    <w:next w:val="Normal"/>
    <w:autoRedefine/>
    <w:uiPriority w:val="99"/>
    <w:semiHidden/>
    <w:unhideWhenUsed/>
    <w:rsid w:val="00510920"/>
    <w:pPr>
      <w:spacing w:before="0"/>
      <w:ind w:left="2160" w:hanging="240"/>
    </w:pPr>
  </w:style>
  <w:style w:type="paragraph" w:styleId="IndexHeading">
    <w:name w:val="index heading"/>
    <w:basedOn w:val="Normal"/>
    <w:next w:val="Index1"/>
    <w:uiPriority w:val="99"/>
    <w:semiHidden/>
    <w:unhideWhenUsed/>
    <w:rsid w:val="00510920"/>
    <w:rPr>
      <w:rFonts w:asciiTheme="majorHAnsi" w:eastAsiaTheme="majorEastAsia" w:hAnsiTheme="majorHAnsi" w:cstheme="majorBidi"/>
      <w:b/>
      <w:bCs/>
    </w:rPr>
  </w:style>
  <w:style w:type="character" w:styleId="IntenseEmphasis">
    <w:name w:val="Intense Emphasis"/>
    <w:basedOn w:val="DefaultParagraphFont"/>
    <w:uiPriority w:val="21"/>
    <w:rsid w:val="00510920"/>
    <w:rPr>
      <w:i/>
      <w:iCs/>
      <w:color w:val="5B9BD5" w:themeColor="accent1"/>
    </w:rPr>
  </w:style>
  <w:style w:type="paragraph" w:styleId="IntenseQuote">
    <w:name w:val="Intense Quote"/>
    <w:basedOn w:val="Normal"/>
    <w:next w:val="Normal"/>
    <w:link w:val="IntenseQuoteChar"/>
    <w:uiPriority w:val="30"/>
    <w:rsid w:val="0051092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10920"/>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510920"/>
    <w:rPr>
      <w:b/>
      <w:bCs/>
      <w:smallCaps/>
      <w:color w:val="5B9BD5" w:themeColor="accent1"/>
      <w:spacing w:val="5"/>
    </w:rPr>
  </w:style>
  <w:style w:type="character" w:styleId="LineNumber">
    <w:name w:val="line number"/>
    <w:basedOn w:val="DefaultParagraphFont"/>
    <w:uiPriority w:val="99"/>
    <w:semiHidden/>
    <w:unhideWhenUsed/>
    <w:rsid w:val="00510920"/>
  </w:style>
  <w:style w:type="paragraph" w:styleId="List">
    <w:name w:val="List"/>
    <w:basedOn w:val="Normal"/>
    <w:uiPriority w:val="99"/>
    <w:semiHidden/>
    <w:unhideWhenUsed/>
    <w:rsid w:val="00510920"/>
    <w:pPr>
      <w:ind w:left="360" w:hanging="360"/>
      <w:contextualSpacing/>
    </w:pPr>
  </w:style>
  <w:style w:type="paragraph" w:styleId="List2">
    <w:name w:val="List 2"/>
    <w:basedOn w:val="Normal"/>
    <w:uiPriority w:val="99"/>
    <w:semiHidden/>
    <w:unhideWhenUsed/>
    <w:rsid w:val="00510920"/>
    <w:pPr>
      <w:ind w:left="720" w:hanging="360"/>
      <w:contextualSpacing/>
    </w:pPr>
  </w:style>
  <w:style w:type="paragraph" w:styleId="List3">
    <w:name w:val="List 3"/>
    <w:basedOn w:val="Normal"/>
    <w:uiPriority w:val="99"/>
    <w:semiHidden/>
    <w:unhideWhenUsed/>
    <w:rsid w:val="00510920"/>
    <w:pPr>
      <w:ind w:left="1080" w:hanging="360"/>
      <w:contextualSpacing/>
    </w:pPr>
  </w:style>
  <w:style w:type="paragraph" w:styleId="List4">
    <w:name w:val="List 4"/>
    <w:basedOn w:val="Normal"/>
    <w:uiPriority w:val="99"/>
    <w:semiHidden/>
    <w:unhideWhenUsed/>
    <w:rsid w:val="00510920"/>
    <w:pPr>
      <w:ind w:left="1440" w:hanging="360"/>
      <w:contextualSpacing/>
    </w:pPr>
  </w:style>
  <w:style w:type="paragraph" w:styleId="List5">
    <w:name w:val="List 5"/>
    <w:basedOn w:val="Normal"/>
    <w:uiPriority w:val="99"/>
    <w:semiHidden/>
    <w:unhideWhenUsed/>
    <w:rsid w:val="00510920"/>
    <w:pPr>
      <w:ind w:left="1800" w:hanging="360"/>
      <w:contextualSpacing/>
    </w:pPr>
  </w:style>
  <w:style w:type="paragraph" w:styleId="ListBullet">
    <w:name w:val="List Bullet"/>
    <w:basedOn w:val="Normal"/>
    <w:uiPriority w:val="99"/>
    <w:semiHidden/>
    <w:unhideWhenUsed/>
    <w:rsid w:val="00510920"/>
    <w:pPr>
      <w:numPr>
        <w:numId w:val="1"/>
      </w:numPr>
      <w:contextualSpacing/>
    </w:pPr>
  </w:style>
  <w:style w:type="paragraph" w:styleId="ListBullet2">
    <w:name w:val="List Bullet 2"/>
    <w:basedOn w:val="Normal"/>
    <w:uiPriority w:val="99"/>
    <w:semiHidden/>
    <w:unhideWhenUsed/>
    <w:rsid w:val="00510920"/>
    <w:pPr>
      <w:numPr>
        <w:numId w:val="2"/>
      </w:numPr>
      <w:contextualSpacing/>
    </w:pPr>
  </w:style>
  <w:style w:type="paragraph" w:styleId="ListBullet3">
    <w:name w:val="List Bullet 3"/>
    <w:basedOn w:val="Normal"/>
    <w:uiPriority w:val="99"/>
    <w:semiHidden/>
    <w:unhideWhenUsed/>
    <w:rsid w:val="00510920"/>
    <w:pPr>
      <w:numPr>
        <w:numId w:val="3"/>
      </w:numPr>
      <w:contextualSpacing/>
    </w:pPr>
  </w:style>
  <w:style w:type="paragraph" w:styleId="ListBullet4">
    <w:name w:val="List Bullet 4"/>
    <w:basedOn w:val="Normal"/>
    <w:uiPriority w:val="99"/>
    <w:semiHidden/>
    <w:unhideWhenUsed/>
    <w:rsid w:val="00510920"/>
    <w:pPr>
      <w:numPr>
        <w:numId w:val="4"/>
      </w:numPr>
      <w:contextualSpacing/>
    </w:pPr>
  </w:style>
  <w:style w:type="paragraph" w:styleId="ListBullet5">
    <w:name w:val="List Bullet 5"/>
    <w:basedOn w:val="Normal"/>
    <w:uiPriority w:val="99"/>
    <w:semiHidden/>
    <w:unhideWhenUsed/>
    <w:rsid w:val="00510920"/>
    <w:pPr>
      <w:numPr>
        <w:numId w:val="5"/>
      </w:numPr>
      <w:contextualSpacing/>
    </w:pPr>
  </w:style>
  <w:style w:type="paragraph" w:styleId="ListContinue">
    <w:name w:val="List Continue"/>
    <w:basedOn w:val="Normal"/>
    <w:uiPriority w:val="99"/>
    <w:semiHidden/>
    <w:unhideWhenUsed/>
    <w:rsid w:val="00510920"/>
    <w:pPr>
      <w:spacing w:after="120"/>
      <w:ind w:left="360"/>
      <w:contextualSpacing/>
    </w:pPr>
  </w:style>
  <w:style w:type="paragraph" w:styleId="ListContinue2">
    <w:name w:val="List Continue 2"/>
    <w:basedOn w:val="Normal"/>
    <w:uiPriority w:val="99"/>
    <w:semiHidden/>
    <w:unhideWhenUsed/>
    <w:rsid w:val="00510920"/>
    <w:pPr>
      <w:spacing w:after="120"/>
      <w:ind w:left="720"/>
      <w:contextualSpacing/>
    </w:pPr>
  </w:style>
  <w:style w:type="paragraph" w:styleId="ListContinue3">
    <w:name w:val="List Continue 3"/>
    <w:basedOn w:val="Normal"/>
    <w:uiPriority w:val="99"/>
    <w:semiHidden/>
    <w:unhideWhenUsed/>
    <w:rsid w:val="00510920"/>
    <w:pPr>
      <w:spacing w:after="120"/>
      <w:ind w:left="1080"/>
      <w:contextualSpacing/>
    </w:pPr>
  </w:style>
  <w:style w:type="paragraph" w:styleId="ListContinue4">
    <w:name w:val="List Continue 4"/>
    <w:basedOn w:val="Normal"/>
    <w:uiPriority w:val="99"/>
    <w:semiHidden/>
    <w:unhideWhenUsed/>
    <w:rsid w:val="00510920"/>
    <w:pPr>
      <w:spacing w:after="120"/>
      <w:ind w:left="1440"/>
      <w:contextualSpacing/>
    </w:pPr>
  </w:style>
  <w:style w:type="paragraph" w:styleId="ListContinue5">
    <w:name w:val="List Continue 5"/>
    <w:basedOn w:val="Normal"/>
    <w:uiPriority w:val="99"/>
    <w:semiHidden/>
    <w:unhideWhenUsed/>
    <w:rsid w:val="00510920"/>
    <w:pPr>
      <w:spacing w:after="120"/>
      <w:ind w:left="1800"/>
      <w:contextualSpacing/>
    </w:pPr>
  </w:style>
  <w:style w:type="paragraph" w:styleId="ListNumber">
    <w:name w:val="List Number"/>
    <w:basedOn w:val="Normal"/>
    <w:uiPriority w:val="99"/>
    <w:semiHidden/>
    <w:unhideWhenUsed/>
    <w:rsid w:val="00510920"/>
    <w:pPr>
      <w:numPr>
        <w:numId w:val="6"/>
      </w:numPr>
      <w:contextualSpacing/>
    </w:pPr>
  </w:style>
  <w:style w:type="paragraph" w:styleId="ListNumber2">
    <w:name w:val="List Number 2"/>
    <w:basedOn w:val="Normal"/>
    <w:uiPriority w:val="99"/>
    <w:semiHidden/>
    <w:unhideWhenUsed/>
    <w:rsid w:val="00510920"/>
    <w:pPr>
      <w:numPr>
        <w:numId w:val="7"/>
      </w:numPr>
      <w:contextualSpacing/>
    </w:pPr>
  </w:style>
  <w:style w:type="paragraph" w:styleId="ListNumber3">
    <w:name w:val="List Number 3"/>
    <w:basedOn w:val="Normal"/>
    <w:uiPriority w:val="99"/>
    <w:semiHidden/>
    <w:unhideWhenUsed/>
    <w:rsid w:val="00510920"/>
    <w:pPr>
      <w:numPr>
        <w:numId w:val="8"/>
      </w:numPr>
      <w:contextualSpacing/>
    </w:pPr>
  </w:style>
  <w:style w:type="paragraph" w:styleId="ListNumber4">
    <w:name w:val="List Number 4"/>
    <w:basedOn w:val="Normal"/>
    <w:uiPriority w:val="99"/>
    <w:semiHidden/>
    <w:unhideWhenUsed/>
    <w:rsid w:val="00510920"/>
    <w:pPr>
      <w:numPr>
        <w:numId w:val="9"/>
      </w:numPr>
      <w:contextualSpacing/>
    </w:pPr>
  </w:style>
  <w:style w:type="paragraph" w:styleId="ListNumber5">
    <w:name w:val="List Number 5"/>
    <w:basedOn w:val="Normal"/>
    <w:uiPriority w:val="99"/>
    <w:semiHidden/>
    <w:unhideWhenUsed/>
    <w:rsid w:val="00510920"/>
    <w:pPr>
      <w:numPr>
        <w:numId w:val="10"/>
      </w:numPr>
      <w:contextualSpacing/>
    </w:pPr>
  </w:style>
  <w:style w:type="paragraph" w:styleId="ListParagraph">
    <w:name w:val="List Paragraph"/>
    <w:aliases w:val="Citation List,List Paragraph Char Char,List Paragraph1,Bullets,list1,b1,Number_1,Normal Sentence,Colorful List - Accent 11,ListPar1,new,SGLText List Paragraph,List Paragraph2,List Paragraph11,Bullet 1,b1 + Justified,List Paragraph21"/>
    <w:basedOn w:val="Normal"/>
    <w:link w:val="ListParagraphChar"/>
    <w:uiPriority w:val="34"/>
    <w:qFormat/>
    <w:rsid w:val="00510920"/>
    <w:pPr>
      <w:ind w:left="720"/>
      <w:contextualSpacing/>
    </w:pPr>
  </w:style>
  <w:style w:type="paragraph" w:styleId="MacroText">
    <w:name w:val="macro"/>
    <w:link w:val="MacroTextChar"/>
    <w:uiPriority w:val="99"/>
    <w:semiHidden/>
    <w:unhideWhenUsed/>
    <w:rsid w:val="00510920"/>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510920"/>
    <w:rPr>
      <w:rFonts w:ascii="Consolas" w:hAnsi="Consolas" w:cs="Times New Roman"/>
      <w:sz w:val="20"/>
      <w:szCs w:val="20"/>
      <w:lang w:val="en-GB" w:eastAsia="ja-JP"/>
    </w:rPr>
  </w:style>
  <w:style w:type="character" w:styleId="Mention">
    <w:name w:val="Mention"/>
    <w:basedOn w:val="DefaultParagraphFont"/>
    <w:uiPriority w:val="99"/>
    <w:semiHidden/>
    <w:unhideWhenUsed/>
    <w:rsid w:val="00510920"/>
    <w:rPr>
      <w:color w:val="2B579A"/>
      <w:shd w:val="clear" w:color="auto" w:fill="E1DFDD"/>
    </w:rPr>
  </w:style>
  <w:style w:type="paragraph" w:styleId="MessageHeader">
    <w:name w:val="Message Header"/>
    <w:basedOn w:val="Normal"/>
    <w:link w:val="MessageHeaderChar"/>
    <w:uiPriority w:val="99"/>
    <w:semiHidden/>
    <w:unhideWhenUsed/>
    <w:rsid w:val="0051092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10920"/>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510920"/>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510920"/>
  </w:style>
  <w:style w:type="paragraph" w:styleId="NormalIndent">
    <w:name w:val="Normal Indent"/>
    <w:basedOn w:val="Normal"/>
    <w:uiPriority w:val="99"/>
    <w:semiHidden/>
    <w:unhideWhenUsed/>
    <w:rsid w:val="00510920"/>
    <w:pPr>
      <w:ind w:left="720"/>
    </w:pPr>
  </w:style>
  <w:style w:type="paragraph" w:styleId="NoteHeading">
    <w:name w:val="Note Heading"/>
    <w:basedOn w:val="Normal"/>
    <w:next w:val="Normal"/>
    <w:link w:val="NoteHeadingChar"/>
    <w:uiPriority w:val="99"/>
    <w:semiHidden/>
    <w:unhideWhenUsed/>
    <w:rsid w:val="00510920"/>
    <w:pPr>
      <w:spacing w:before="0"/>
    </w:pPr>
  </w:style>
  <w:style w:type="character" w:customStyle="1" w:styleId="NoteHeadingChar">
    <w:name w:val="Note Heading Char"/>
    <w:basedOn w:val="DefaultParagraphFont"/>
    <w:link w:val="NoteHeading"/>
    <w:uiPriority w:val="99"/>
    <w:semiHidden/>
    <w:rsid w:val="00510920"/>
    <w:rPr>
      <w:rFonts w:ascii="Times New Roman" w:hAnsi="Times New Roman" w:cs="Times New Roman"/>
      <w:sz w:val="24"/>
      <w:szCs w:val="24"/>
      <w:lang w:val="en-GB" w:eastAsia="ja-JP"/>
    </w:rPr>
  </w:style>
  <w:style w:type="character" w:styleId="PageNumber">
    <w:name w:val="page number"/>
    <w:basedOn w:val="DefaultParagraphFont"/>
    <w:rsid w:val="00A974E1"/>
  </w:style>
  <w:style w:type="paragraph" w:styleId="PlainText">
    <w:name w:val="Plain Text"/>
    <w:basedOn w:val="Normal"/>
    <w:link w:val="PlainTextChar"/>
    <w:uiPriority w:val="99"/>
    <w:semiHidden/>
    <w:unhideWhenUsed/>
    <w:rsid w:val="00510920"/>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510920"/>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510920"/>
  </w:style>
  <w:style w:type="character" w:customStyle="1" w:styleId="SalutationChar">
    <w:name w:val="Salutation Char"/>
    <w:basedOn w:val="DefaultParagraphFont"/>
    <w:link w:val="Salutation"/>
    <w:uiPriority w:val="99"/>
    <w:semiHidden/>
    <w:rsid w:val="00510920"/>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510920"/>
    <w:pPr>
      <w:spacing w:before="0"/>
      <w:ind w:left="4320"/>
    </w:pPr>
  </w:style>
  <w:style w:type="character" w:customStyle="1" w:styleId="SignatureChar">
    <w:name w:val="Signature Char"/>
    <w:basedOn w:val="DefaultParagraphFont"/>
    <w:link w:val="Signature"/>
    <w:uiPriority w:val="99"/>
    <w:semiHidden/>
    <w:rsid w:val="00510920"/>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510920"/>
    <w:rPr>
      <w:u w:val="dotted"/>
    </w:rPr>
  </w:style>
  <w:style w:type="character" w:customStyle="1" w:styleId="SmartLink1">
    <w:name w:val="SmartLink1"/>
    <w:basedOn w:val="DefaultParagraphFont"/>
    <w:uiPriority w:val="99"/>
    <w:semiHidden/>
    <w:unhideWhenUsed/>
    <w:rsid w:val="00510920"/>
    <w:rPr>
      <w:color w:val="0000FF"/>
      <w:u w:val="single"/>
      <w:shd w:val="clear" w:color="auto" w:fill="F3F2F1"/>
    </w:rPr>
  </w:style>
  <w:style w:type="character" w:styleId="Strong">
    <w:name w:val="Strong"/>
    <w:basedOn w:val="DefaultParagraphFont"/>
    <w:uiPriority w:val="22"/>
    <w:rsid w:val="00510920"/>
    <w:rPr>
      <w:b/>
      <w:bCs/>
    </w:rPr>
  </w:style>
  <w:style w:type="paragraph" w:styleId="Subtitle">
    <w:name w:val="Subtitle"/>
    <w:basedOn w:val="Normal"/>
    <w:next w:val="Normal"/>
    <w:link w:val="SubtitleChar"/>
    <w:uiPriority w:val="11"/>
    <w:rsid w:val="00510920"/>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10920"/>
    <w:rPr>
      <w:color w:val="5A5A5A" w:themeColor="text1" w:themeTint="A5"/>
      <w:spacing w:val="15"/>
      <w:lang w:val="en-GB" w:eastAsia="ja-JP"/>
    </w:rPr>
  </w:style>
  <w:style w:type="character" w:styleId="SubtleEmphasis">
    <w:name w:val="Subtle Emphasis"/>
    <w:basedOn w:val="DefaultParagraphFont"/>
    <w:uiPriority w:val="19"/>
    <w:rsid w:val="00510920"/>
    <w:rPr>
      <w:i/>
      <w:iCs/>
      <w:color w:val="404040" w:themeColor="text1" w:themeTint="BF"/>
    </w:rPr>
  </w:style>
  <w:style w:type="character" w:styleId="SubtleReference">
    <w:name w:val="Subtle Reference"/>
    <w:basedOn w:val="DefaultParagraphFont"/>
    <w:uiPriority w:val="31"/>
    <w:rsid w:val="00510920"/>
    <w:rPr>
      <w:smallCaps/>
      <w:color w:val="5A5A5A" w:themeColor="text1" w:themeTint="A5"/>
    </w:rPr>
  </w:style>
  <w:style w:type="paragraph" w:styleId="TableofAuthorities">
    <w:name w:val="table of authorities"/>
    <w:basedOn w:val="Normal"/>
    <w:next w:val="Normal"/>
    <w:uiPriority w:val="99"/>
    <w:semiHidden/>
    <w:unhideWhenUsed/>
    <w:rsid w:val="00510920"/>
    <w:pPr>
      <w:ind w:left="240" w:hanging="240"/>
    </w:pPr>
  </w:style>
  <w:style w:type="paragraph" w:styleId="Title">
    <w:name w:val="Title"/>
    <w:basedOn w:val="Normal"/>
    <w:next w:val="Normal"/>
    <w:link w:val="TitleChar"/>
    <w:uiPriority w:val="10"/>
    <w:rsid w:val="00510920"/>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920"/>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510920"/>
    <w:rPr>
      <w:rFonts w:asciiTheme="majorHAnsi" w:eastAsiaTheme="majorEastAsia" w:hAnsiTheme="majorHAnsi" w:cstheme="majorBidi"/>
      <w:b/>
      <w:bCs/>
    </w:rPr>
  </w:style>
  <w:style w:type="paragraph" w:styleId="TOC4">
    <w:name w:val="toc 4"/>
    <w:basedOn w:val="TOC3"/>
    <w:semiHidden/>
    <w:rsid w:val="00A974E1"/>
  </w:style>
  <w:style w:type="paragraph" w:styleId="TOC5">
    <w:name w:val="toc 5"/>
    <w:basedOn w:val="TOC4"/>
    <w:semiHidden/>
    <w:rsid w:val="00A974E1"/>
  </w:style>
  <w:style w:type="paragraph" w:styleId="TOC6">
    <w:name w:val="toc 6"/>
    <w:basedOn w:val="TOC4"/>
    <w:semiHidden/>
    <w:rsid w:val="00A974E1"/>
  </w:style>
  <w:style w:type="paragraph" w:styleId="TOC7">
    <w:name w:val="toc 7"/>
    <w:basedOn w:val="TOC4"/>
    <w:semiHidden/>
    <w:rsid w:val="00A974E1"/>
  </w:style>
  <w:style w:type="paragraph" w:styleId="TOC8">
    <w:name w:val="toc 8"/>
    <w:basedOn w:val="TOC4"/>
    <w:semiHidden/>
    <w:rsid w:val="00A974E1"/>
  </w:style>
  <w:style w:type="paragraph" w:styleId="TOC9">
    <w:name w:val="toc 9"/>
    <w:basedOn w:val="TOC3"/>
    <w:semiHidden/>
    <w:rsid w:val="00A974E1"/>
  </w:style>
  <w:style w:type="paragraph" w:styleId="TOCHeading">
    <w:name w:val="TOC Heading"/>
    <w:basedOn w:val="Heading1"/>
    <w:next w:val="Normal"/>
    <w:uiPriority w:val="39"/>
    <w:unhideWhenUsed/>
    <w:qFormat/>
    <w:rsid w:val="00510920"/>
    <w:pPr>
      <w:tabs>
        <w:tab w:val="clear" w:pos="794"/>
        <w:tab w:val="clear" w:pos="1191"/>
        <w:tab w:val="clear" w:pos="1588"/>
        <w:tab w:val="clear" w:pos="1985"/>
      </w:tabs>
      <w:overflowPunct/>
      <w:autoSpaceDE/>
      <w:autoSpaceDN/>
      <w:adjustRightInd/>
      <w:spacing w:before="24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styleId="UnresolvedMention">
    <w:name w:val="Unresolved Mention"/>
    <w:basedOn w:val="DefaultParagraphFont"/>
    <w:uiPriority w:val="99"/>
    <w:semiHidden/>
    <w:unhideWhenUsed/>
    <w:rsid w:val="00A974E1"/>
    <w:rPr>
      <w:color w:val="605E5C"/>
      <w:shd w:val="clear" w:color="auto" w:fill="E1DFDD"/>
    </w:rPr>
  </w:style>
  <w:style w:type="character" w:customStyle="1" w:styleId="ListParagraphChar">
    <w:name w:val="List Paragraph Char"/>
    <w:aliases w:val="Citation List Char,List Paragraph Char Char Char,List Paragraph1 Char,Bullets Char,list1 Char,b1 Char,Number_1 Char,Normal Sentence Char,Colorful List - Accent 11 Char,ListPar1 Char,new Char,SGLText List Paragraph Char,Bullet 1 Char"/>
    <w:link w:val="ListParagraph"/>
    <w:uiPriority w:val="34"/>
    <w:qFormat/>
    <w:rsid w:val="00687764"/>
    <w:rPr>
      <w:rFonts w:ascii="Times New Roman" w:hAnsi="Times New Roman" w:cs="Times New Roman"/>
      <w:sz w:val="24"/>
      <w:szCs w:val="24"/>
      <w:lang w:val="en-GB" w:eastAsia="ja-JP"/>
    </w:rPr>
  </w:style>
  <w:style w:type="table" w:styleId="TableGrid">
    <w:name w:val="Table Grid"/>
    <w:basedOn w:val="TableNormal"/>
    <w:rsid w:val="00A974E1"/>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A974E1"/>
    <w:pPr>
      <w:keepLines/>
      <w:tabs>
        <w:tab w:val="clear" w:pos="794"/>
        <w:tab w:val="clear" w:pos="1191"/>
        <w:tab w:val="clear" w:pos="1588"/>
        <w:tab w:val="clear" w:pos="1985"/>
        <w:tab w:val="right" w:pos="9639"/>
      </w:tabs>
      <w:jc w:val="left"/>
    </w:pPr>
    <w:rPr>
      <w:b/>
    </w:rPr>
  </w:style>
  <w:style w:type="paragraph" w:customStyle="1" w:styleId="TPapproval">
    <w:name w:val="TPapproval"/>
    <w:basedOn w:val="Normal"/>
    <w:rsid w:val="008B0F21"/>
    <w:pPr>
      <w:wordWrap w:val="0"/>
      <w:spacing w:before="284"/>
      <w:jc w:val="right"/>
    </w:pPr>
    <w:rPr>
      <w:rFonts w:ascii="Arial" w:eastAsia="MS Mincho" w:hAnsi="Arial"/>
      <w:sz w:val="28"/>
      <w:lang w:eastAsia="zh-CN"/>
    </w:rPr>
  </w:style>
  <w:style w:type="paragraph" w:customStyle="1" w:styleId="TRnumber">
    <w:name w:val="TRnumber"/>
    <w:basedOn w:val="Normal"/>
    <w:rsid w:val="008B0F21"/>
    <w:pPr>
      <w:tabs>
        <w:tab w:val="right" w:pos="9639"/>
      </w:tabs>
    </w:pPr>
    <w:rPr>
      <w:rFonts w:ascii="Arial" w:eastAsia="MS Mincho" w:hAnsi="Arial" w:cs="Arial"/>
      <w:b/>
      <w:bCs/>
      <w:sz w:val="36"/>
      <w:lang w:eastAsia="zh-CN"/>
    </w:rPr>
  </w:style>
  <w:style w:type="paragraph" w:customStyle="1" w:styleId="Titulo2">
    <w:name w:val="Titulo 2"/>
    <w:basedOn w:val="Heading1"/>
    <w:link w:val="Titulo2Char"/>
    <w:qFormat/>
    <w:rsid w:val="008B0F21"/>
    <w:pPr>
      <w:spacing w:before="120"/>
    </w:pPr>
  </w:style>
  <w:style w:type="character" w:customStyle="1" w:styleId="Titulo2Char">
    <w:name w:val="Titulo 2 Char"/>
    <w:link w:val="Titulo2"/>
    <w:rsid w:val="008B0F21"/>
    <w:rPr>
      <w:rFonts w:ascii="Times New Roman" w:eastAsia="Times New Roman" w:hAnsi="Times New Roman" w:cs="Times New Roman"/>
      <w:b/>
      <w:sz w:val="24"/>
      <w:szCs w:val="20"/>
      <w:lang w:val="en-GB" w:eastAsia="en-US"/>
    </w:rPr>
  </w:style>
  <w:style w:type="paragraph" w:styleId="Revision">
    <w:name w:val="Revision"/>
    <w:hidden/>
    <w:uiPriority w:val="99"/>
    <w:semiHidden/>
    <w:rsid w:val="005A191E"/>
    <w:pPr>
      <w:spacing w:after="0" w:line="240" w:lineRule="auto"/>
    </w:pPr>
    <w:rPr>
      <w:rFonts w:ascii="Times New Roman" w:hAnsi="Times New Roman" w:cs="Times New Roman"/>
      <w:sz w:val="24"/>
      <w:szCs w:val="24"/>
      <w:lang w:val="en-GB" w:eastAsia="ja-JP"/>
    </w:rPr>
  </w:style>
  <w:style w:type="paragraph" w:customStyle="1" w:styleId="Default">
    <w:name w:val="Default"/>
    <w:rsid w:val="00A974E1"/>
    <w:pPr>
      <w:autoSpaceDE w:val="0"/>
      <w:autoSpaceDN w:val="0"/>
      <w:adjustRightInd w:val="0"/>
      <w:spacing w:after="0" w:line="240" w:lineRule="auto"/>
    </w:pPr>
    <w:rPr>
      <w:rFonts w:ascii="Times New Roman" w:eastAsia="Times New Roman" w:hAnsi="Times New Roman" w:cs="Times New Roman"/>
      <w:color w:val="000000"/>
      <w:sz w:val="24"/>
      <w:szCs w:val="24"/>
      <w:lang w:val="en-GB"/>
    </w:rPr>
  </w:style>
  <w:style w:type="paragraph" w:customStyle="1" w:styleId="AnnexNoTitle0">
    <w:name w:val="Annex_NoTitle"/>
    <w:basedOn w:val="Normal"/>
    <w:next w:val="Normal"/>
    <w:rsid w:val="00A974E1"/>
    <w:pPr>
      <w:keepNext/>
      <w:keepLines/>
      <w:spacing w:before="720"/>
      <w:jc w:val="center"/>
      <w:outlineLvl w:val="0"/>
    </w:pPr>
    <w:rPr>
      <w:b/>
      <w:sz w:val="28"/>
    </w:rPr>
  </w:style>
  <w:style w:type="character" w:customStyle="1" w:styleId="Appdef">
    <w:name w:val="App_def"/>
    <w:basedOn w:val="DefaultParagraphFont"/>
    <w:rsid w:val="00A974E1"/>
    <w:rPr>
      <w:rFonts w:ascii="Times New Roman" w:hAnsi="Times New Roman"/>
      <w:b/>
    </w:rPr>
  </w:style>
  <w:style w:type="character" w:customStyle="1" w:styleId="Appref">
    <w:name w:val="App_ref"/>
    <w:basedOn w:val="DefaultParagraphFont"/>
    <w:rsid w:val="00A974E1"/>
  </w:style>
  <w:style w:type="paragraph" w:customStyle="1" w:styleId="AppendixNoTitle0">
    <w:name w:val="Appendix_NoTitle"/>
    <w:basedOn w:val="AnnexNoTitle0"/>
    <w:next w:val="Normal"/>
    <w:rsid w:val="00A974E1"/>
  </w:style>
  <w:style w:type="character" w:customStyle="1" w:styleId="Artdef">
    <w:name w:val="Art_def"/>
    <w:basedOn w:val="DefaultParagraphFont"/>
    <w:rsid w:val="00A974E1"/>
    <w:rPr>
      <w:rFonts w:ascii="Times New Roman" w:hAnsi="Times New Roman"/>
      <w:b/>
    </w:rPr>
  </w:style>
  <w:style w:type="paragraph" w:customStyle="1" w:styleId="Artheading">
    <w:name w:val="Art_heading"/>
    <w:basedOn w:val="Normal"/>
    <w:next w:val="Normal"/>
    <w:rsid w:val="00A974E1"/>
    <w:pPr>
      <w:spacing w:before="480"/>
      <w:jc w:val="center"/>
    </w:pPr>
    <w:rPr>
      <w:b/>
      <w:sz w:val="28"/>
    </w:rPr>
  </w:style>
  <w:style w:type="paragraph" w:customStyle="1" w:styleId="ArtNo">
    <w:name w:val="Art_No"/>
    <w:basedOn w:val="Normal"/>
    <w:next w:val="Normal"/>
    <w:rsid w:val="00A974E1"/>
    <w:pPr>
      <w:keepNext/>
      <w:keepLines/>
      <w:spacing w:before="480"/>
      <w:jc w:val="center"/>
    </w:pPr>
    <w:rPr>
      <w:caps/>
      <w:sz w:val="28"/>
    </w:rPr>
  </w:style>
  <w:style w:type="character" w:customStyle="1" w:styleId="Artref">
    <w:name w:val="Art_ref"/>
    <w:basedOn w:val="DefaultParagraphFont"/>
    <w:rsid w:val="00A974E1"/>
  </w:style>
  <w:style w:type="paragraph" w:customStyle="1" w:styleId="Arttitle">
    <w:name w:val="Art_title"/>
    <w:basedOn w:val="Normal"/>
    <w:next w:val="Normal"/>
    <w:rsid w:val="00A974E1"/>
    <w:pPr>
      <w:keepNext/>
      <w:keepLines/>
      <w:spacing w:before="240"/>
      <w:jc w:val="center"/>
    </w:pPr>
    <w:rPr>
      <w:b/>
      <w:sz w:val="28"/>
    </w:rPr>
  </w:style>
  <w:style w:type="paragraph" w:customStyle="1" w:styleId="ASN1">
    <w:name w:val="ASN.1"/>
    <w:rsid w:val="00A974E1"/>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noProof/>
      <w:sz w:val="20"/>
      <w:szCs w:val="20"/>
      <w:lang w:val="en-GB" w:eastAsia="en-US"/>
    </w:rPr>
  </w:style>
  <w:style w:type="paragraph" w:customStyle="1" w:styleId="Call">
    <w:name w:val="Call"/>
    <w:basedOn w:val="Normal"/>
    <w:next w:val="Normal"/>
    <w:rsid w:val="00A974E1"/>
    <w:pPr>
      <w:keepNext/>
      <w:keepLines/>
      <w:spacing w:before="160"/>
      <w:ind w:left="794"/>
      <w:jc w:val="left"/>
    </w:pPr>
    <w:rPr>
      <w:i/>
    </w:rPr>
  </w:style>
  <w:style w:type="paragraph" w:customStyle="1" w:styleId="ChapNo">
    <w:name w:val="Chap_No"/>
    <w:basedOn w:val="Normal"/>
    <w:next w:val="Normal"/>
    <w:rsid w:val="00A974E1"/>
    <w:pPr>
      <w:keepNext/>
      <w:keepLines/>
      <w:spacing w:before="480"/>
      <w:jc w:val="center"/>
    </w:pPr>
    <w:rPr>
      <w:b/>
      <w:caps/>
      <w:sz w:val="28"/>
    </w:rPr>
  </w:style>
  <w:style w:type="paragraph" w:customStyle="1" w:styleId="Chaptitle">
    <w:name w:val="Chap_title"/>
    <w:basedOn w:val="Normal"/>
    <w:next w:val="Normal"/>
    <w:rsid w:val="00A974E1"/>
    <w:pPr>
      <w:keepNext/>
      <w:keepLines/>
      <w:spacing w:before="240"/>
      <w:jc w:val="center"/>
    </w:pPr>
    <w:rPr>
      <w:b/>
      <w:sz w:val="28"/>
    </w:rPr>
  </w:style>
  <w:style w:type="paragraph" w:customStyle="1" w:styleId="Equation">
    <w:name w:val="Equation"/>
    <w:basedOn w:val="Normal"/>
    <w:rsid w:val="00A974E1"/>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A974E1"/>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974E1"/>
    <w:pPr>
      <w:keepNext/>
      <w:keepLines/>
      <w:tabs>
        <w:tab w:val="clear" w:pos="794"/>
        <w:tab w:val="clear" w:pos="1191"/>
        <w:tab w:val="clear" w:pos="1588"/>
        <w:tab w:val="clear" w:pos="1985"/>
      </w:tabs>
      <w:spacing w:before="20" w:after="20"/>
      <w:jc w:val="left"/>
    </w:pPr>
    <w:rPr>
      <w:sz w:val="18"/>
    </w:rPr>
  </w:style>
  <w:style w:type="paragraph" w:customStyle="1" w:styleId="FigureNoTitle0">
    <w:name w:val="Figure_NoTitle"/>
    <w:basedOn w:val="Normal"/>
    <w:next w:val="Normal"/>
    <w:rsid w:val="00A974E1"/>
    <w:pPr>
      <w:keepLines/>
      <w:spacing w:before="240" w:after="120"/>
      <w:jc w:val="center"/>
    </w:pPr>
    <w:rPr>
      <w:b/>
    </w:rPr>
  </w:style>
  <w:style w:type="paragraph" w:customStyle="1" w:styleId="Figurewithouttitle">
    <w:name w:val="Figure_without_title"/>
    <w:basedOn w:val="Normal"/>
    <w:next w:val="Normal"/>
    <w:rsid w:val="00A974E1"/>
    <w:pPr>
      <w:keepLines/>
      <w:spacing w:before="240" w:after="120"/>
      <w:jc w:val="center"/>
    </w:pPr>
  </w:style>
  <w:style w:type="paragraph" w:customStyle="1" w:styleId="FirstFooter">
    <w:name w:val="FirstFooter"/>
    <w:basedOn w:val="Footer"/>
    <w:rsid w:val="00A974E1"/>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A974E1"/>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Normalaftertitle">
    <w:name w:val="Normal_after_title"/>
    <w:basedOn w:val="Normal"/>
    <w:next w:val="Normal"/>
    <w:rsid w:val="00A974E1"/>
    <w:pPr>
      <w:spacing w:before="360"/>
    </w:pPr>
  </w:style>
  <w:style w:type="paragraph" w:customStyle="1" w:styleId="PartNo">
    <w:name w:val="Part_No"/>
    <w:basedOn w:val="Normal"/>
    <w:next w:val="Normal"/>
    <w:rsid w:val="00A974E1"/>
    <w:pPr>
      <w:keepNext/>
      <w:keepLines/>
      <w:spacing w:before="480" w:after="80"/>
      <w:jc w:val="center"/>
    </w:pPr>
    <w:rPr>
      <w:caps/>
      <w:sz w:val="28"/>
    </w:rPr>
  </w:style>
  <w:style w:type="paragraph" w:customStyle="1" w:styleId="Partref">
    <w:name w:val="Part_ref"/>
    <w:basedOn w:val="Normal"/>
    <w:next w:val="Normal"/>
    <w:rsid w:val="00A974E1"/>
    <w:pPr>
      <w:keepNext/>
      <w:keepLines/>
      <w:spacing w:before="280"/>
      <w:jc w:val="center"/>
    </w:pPr>
  </w:style>
  <w:style w:type="paragraph" w:customStyle="1" w:styleId="Parttitle">
    <w:name w:val="Part_title"/>
    <w:basedOn w:val="Normal"/>
    <w:next w:val="Normalaftertitle"/>
    <w:rsid w:val="00A974E1"/>
    <w:pPr>
      <w:keepNext/>
      <w:keepLines/>
      <w:spacing w:before="240" w:after="280"/>
      <w:jc w:val="center"/>
    </w:pPr>
    <w:rPr>
      <w:b/>
      <w:sz w:val="28"/>
    </w:rPr>
  </w:style>
  <w:style w:type="paragraph" w:customStyle="1" w:styleId="Recdate">
    <w:name w:val="Rec_date"/>
    <w:basedOn w:val="Normal"/>
    <w:next w:val="Normalaftertitle"/>
    <w:rsid w:val="00A974E1"/>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A974E1"/>
  </w:style>
  <w:style w:type="paragraph" w:customStyle="1" w:styleId="QuestionNo">
    <w:name w:val="Question_No"/>
    <w:basedOn w:val="RecNo"/>
    <w:next w:val="Normal"/>
    <w:rsid w:val="00A974E1"/>
  </w:style>
  <w:style w:type="paragraph" w:customStyle="1" w:styleId="Recref">
    <w:name w:val="Rec_ref"/>
    <w:basedOn w:val="Normal"/>
    <w:next w:val="Recdate"/>
    <w:rsid w:val="00A974E1"/>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A974E1"/>
  </w:style>
  <w:style w:type="paragraph" w:customStyle="1" w:styleId="Questiontitle">
    <w:name w:val="Question_title"/>
    <w:basedOn w:val="Rectitle"/>
    <w:next w:val="Questionref"/>
    <w:rsid w:val="00A974E1"/>
  </w:style>
  <w:style w:type="paragraph" w:customStyle="1" w:styleId="Reftitle">
    <w:name w:val="Ref_title"/>
    <w:basedOn w:val="Normal"/>
    <w:next w:val="Reftext"/>
    <w:rsid w:val="00A974E1"/>
    <w:pPr>
      <w:spacing w:before="480"/>
      <w:jc w:val="center"/>
    </w:pPr>
    <w:rPr>
      <w:b/>
    </w:rPr>
  </w:style>
  <w:style w:type="paragraph" w:customStyle="1" w:styleId="Repdate">
    <w:name w:val="Rep_date"/>
    <w:basedOn w:val="Recdate"/>
    <w:next w:val="Normalaftertitle"/>
    <w:rsid w:val="00A974E1"/>
  </w:style>
  <w:style w:type="paragraph" w:customStyle="1" w:styleId="RepNo">
    <w:name w:val="Rep_No"/>
    <w:basedOn w:val="RecNo"/>
    <w:next w:val="Normal"/>
    <w:rsid w:val="00A974E1"/>
  </w:style>
  <w:style w:type="paragraph" w:customStyle="1" w:styleId="Repref">
    <w:name w:val="Rep_ref"/>
    <w:basedOn w:val="Recref"/>
    <w:next w:val="Repdate"/>
    <w:rsid w:val="00A974E1"/>
  </w:style>
  <w:style w:type="paragraph" w:customStyle="1" w:styleId="Reptitle">
    <w:name w:val="Rep_title"/>
    <w:basedOn w:val="Rectitle"/>
    <w:next w:val="Repref"/>
    <w:rsid w:val="00A974E1"/>
  </w:style>
  <w:style w:type="paragraph" w:customStyle="1" w:styleId="Resdate">
    <w:name w:val="Res_date"/>
    <w:basedOn w:val="Recdate"/>
    <w:next w:val="Normalaftertitle"/>
    <w:rsid w:val="00A974E1"/>
  </w:style>
  <w:style w:type="character" w:customStyle="1" w:styleId="Resdef">
    <w:name w:val="Res_def"/>
    <w:basedOn w:val="DefaultParagraphFont"/>
    <w:rsid w:val="00A974E1"/>
    <w:rPr>
      <w:rFonts w:ascii="Times New Roman" w:hAnsi="Times New Roman"/>
      <w:b/>
    </w:rPr>
  </w:style>
  <w:style w:type="paragraph" w:customStyle="1" w:styleId="ResNo">
    <w:name w:val="Res_No"/>
    <w:basedOn w:val="RecNo"/>
    <w:next w:val="Normal"/>
    <w:rsid w:val="00A974E1"/>
  </w:style>
  <w:style w:type="paragraph" w:customStyle="1" w:styleId="Resref">
    <w:name w:val="Res_ref"/>
    <w:basedOn w:val="Recref"/>
    <w:next w:val="Resdate"/>
    <w:rsid w:val="00A974E1"/>
  </w:style>
  <w:style w:type="paragraph" w:customStyle="1" w:styleId="Restitle">
    <w:name w:val="Res_title"/>
    <w:basedOn w:val="Rectitle"/>
    <w:next w:val="Resref"/>
    <w:rsid w:val="00A974E1"/>
  </w:style>
  <w:style w:type="paragraph" w:customStyle="1" w:styleId="Section1">
    <w:name w:val="Section_1"/>
    <w:basedOn w:val="Normal"/>
    <w:next w:val="Normal"/>
    <w:rsid w:val="00A974E1"/>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A974E1"/>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A974E1"/>
    <w:pPr>
      <w:keepNext/>
      <w:keepLines/>
      <w:spacing w:before="480" w:after="80"/>
      <w:jc w:val="center"/>
    </w:pPr>
    <w:rPr>
      <w:caps/>
      <w:sz w:val="28"/>
    </w:rPr>
  </w:style>
  <w:style w:type="paragraph" w:customStyle="1" w:styleId="Sectiontitle">
    <w:name w:val="Section_title"/>
    <w:basedOn w:val="Normal"/>
    <w:next w:val="Normalaftertitle"/>
    <w:rsid w:val="00A974E1"/>
    <w:pPr>
      <w:keepNext/>
      <w:keepLines/>
      <w:spacing w:before="480" w:after="280"/>
      <w:jc w:val="center"/>
    </w:pPr>
    <w:rPr>
      <w:b/>
      <w:sz w:val="28"/>
    </w:rPr>
  </w:style>
  <w:style w:type="paragraph" w:customStyle="1" w:styleId="Source">
    <w:name w:val="Source"/>
    <w:basedOn w:val="Normal"/>
    <w:next w:val="Normalaftertitle"/>
    <w:rsid w:val="00A974E1"/>
    <w:pPr>
      <w:spacing w:before="840" w:after="200"/>
      <w:jc w:val="center"/>
    </w:pPr>
    <w:rPr>
      <w:b/>
      <w:sz w:val="28"/>
    </w:rPr>
  </w:style>
  <w:style w:type="paragraph" w:customStyle="1" w:styleId="SpecialFooter">
    <w:name w:val="Special Footer"/>
    <w:basedOn w:val="Footer"/>
    <w:rsid w:val="00A974E1"/>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A974E1"/>
    <w:rPr>
      <w:b/>
      <w:color w:val="auto"/>
    </w:rPr>
  </w:style>
  <w:style w:type="paragraph" w:customStyle="1" w:styleId="TableNoTitle0">
    <w:name w:val="Table_NoTitle"/>
    <w:basedOn w:val="Normal"/>
    <w:next w:val="Tablehead"/>
    <w:rsid w:val="00A974E1"/>
    <w:pPr>
      <w:keepNext/>
      <w:keepLines/>
      <w:spacing w:before="360" w:after="120"/>
      <w:jc w:val="center"/>
    </w:pPr>
    <w:rPr>
      <w:b/>
    </w:rPr>
  </w:style>
  <w:style w:type="paragraph" w:customStyle="1" w:styleId="Title1">
    <w:name w:val="Title 1"/>
    <w:basedOn w:val="Source"/>
    <w:next w:val="Normal"/>
    <w:rsid w:val="00A974E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A974E1"/>
  </w:style>
  <w:style w:type="paragraph" w:customStyle="1" w:styleId="Title3">
    <w:name w:val="Title 3"/>
    <w:basedOn w:val="Title2"/>
    <w:next w:val="Title4"/>
    <w:rsid w:val="00A974E1"/>
    <w:rPr>
      <w:caps w:val="0"/>
    </w:rPr>
  </w:style>
  <w:style w:type="character" w:customStyle="1" w:styleId="ReftextChar">
    <w:name w:val="Ref_text Char"/>
    <w:link w:val="Reftext"/>
    <w:rsid w:val="008777FF"/>
    <w:rPr>
      <w:rFonts w:ascii="Times New Roman" w:eastAsia="Times New Roma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datahub.itu.in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itu.int/ITU-T/recommendations/rec.aspx?rec=1426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mailto:dcarvalho@anatel.gov.br"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ITU-T/recommendations/rec.aspx?rec=1359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datahub.itu.int/data/?i=100098"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planalto.gov.br/ccivil_03/leis/l9472.htm" TargetMode="External"/><Relationship Id="rId2" Type="http://schemas.openxmlformats.org/officeDocument/2006/relationships/hyperlink" Target="https://www.berec.europa.eu/en/document-categories/berec/opinions/berec-opinion-on-the-revision-of-the-broadband-cost-reduction-directive" TargetMode="External"/><Relationship Id="rId1" Type="http://schemas.openxmlformats.org/officeDocument/2006/relationships/hyperlink" Target="https://www.ofcom.org.uk/phones-telecoms-and-internet/information-for-industry/digital-marke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TSB%20PUB\T-TUT-REPOR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2" ma:contentTypeDescription="Create a new document." ma:contentTypeScope="" ma:versionID="4e2edb871820a69996c410e81a2c24ca">
  <xsd:schema xmlns:xsd="http://www.w3.org/2001/XMLSchema" xmlns:xs="http://www.w3.org/2001/XMLSchema" xmlns:p="http://schemas.microsoft.com/office/2006/metadata/properties" xmlns:ns2="6048f16a-77ac-4327-be06-b0beb1ce50d8" xmlns:ns3="0d1600e8-004f-4c6f-afe8-0c63f3945779" targetNamespace="http://schemas.microsoft.com/office/2006/metadata/properties" ma:root="true" ma:fieldsID="53b47b81a58a17b1aab64e961014a32f" ns2:_="" ns3:_="">
    <xsd:import namespace="6048f16a-77ac-4327-be06-b0beb1ce50d8"/>
    <xsd:import namespace="0d1600e8-004f-4c6f-afe8-0c63f3945779"/>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f16a-77ac-4327-be06-b0beb1ce5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91E89903-1F03-4465-BE50-E817BFE1AB37}">
  <ds:schemaRefs>
    <ds:schemaRef ds:uri="http://schemas.openxmlformats.org/officeDocument/2006/bibliography"/>
  </ds:schemaRefs>
</ds:datastoreItem>
</file>

<file path=customXml/itemProps3.xml><?xml version="1.0" encoding="utf-8"?>
<ds:datastoreItem xmlns:ds="http://schemas.openxmlformats.org/officeDocument/2006/customXml" ds:itemID="{54AB042E-4240-4FF4-9C56-F6D7444B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f16a-77ac-4327-be06-b0beb1ce50d8"/>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8523CC-DEB2-463D-9A27-DF0B8D2CAEC3}">
  <ds:schemaRefs>
    <ds:schemaRef ds:uri="http://purl.org/dc/terms/"/>
    <ds:schemaRef ds:uri="http://purl.org/dc/dcmitype/"/>
    <ds:schemaRef ds:uri="http://schemas.microsoft.com/office/2006/documentManagement/types"/>
    <ds:schemaRef ds:uri="http://schemas.microsoft.com/office/infopath/2007/PartnerControls"/>
    <ds:schemaRef ds:uri="0d1600e8-004f-4c6f-afe8-0c63f3945779"/>
    <ds:schemaRef ds:uri="http://purl.org/dc/elements/1.1/"/>
    <ds:schemaRef ds:uri="6048f16a-77ac-4327-be06-b0beb1ce50d8"/>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T-TUT-REPORT-E.dotm</Template>
  <TotalTime>1</TotalTime>
  <Pages>13</Pages>
  <Words>3976</Words>
  <Characters>22664</Characters>
  <Application>Microsoft Office Word</Application>
  <DocSecurity>4</DocSecurity>
  <Lines>188</Lines>
  <Paragraphs>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DSTR-STUDY_DRCI (07/2024) - Dispute resolution between telecommunication operators and providers of OTTs</vt:lpstr>
      <vt:lpstr>Updated baseline text for STUDY_DRCI</vt:lpstr>
    </vt:vector>
  </TitlesOfParts>
  <Manager>ITU-T</Manager>
  <Company>International Telecommunication Union (ITU)</Company>
  <LinksUpToDate>false</LinksUpToDate>
  <CharactersWithSpaces>26587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DSTR-STUDY_DRCI (07/2024) - Dispute resolution between telecommunication operators and providers of OTTs</dc:title>
  <dc:subject>Input for work item STUDY_DRCI.</dc:subject>
  <dc:creator>Editor, STUDY_DRCI</dc:creator>
  <cp:keywords/>
  <dc:description/>
  <cp:lastModifiedBy>Le Van, Jack</cp:lastModifiedBy>
  <cp:revision>2</cp:revision>
  <dcterms:created xsi:type="dcterms:W3CDTF">2025-02-11T11:47:00Z</dcterms:created>
  <dcterms:modified xsi:type="dcterms:W3CDTF">2025-02-11T11:47:00Z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0x010100D089D8AEFAC1A247B7216C0DD884D876</vt:lpwstr>
  </property>
  <property fmtid="{D5CDD505-2E9C-101B-9397-08002B2CF9AE}" pid="3" name="SourceC">
    <vt:lpwstr>325;#Brazil|48572022-efbf-4248-a86e-fba991063014</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Q1/3</vt:lpwstr>
  </property>
  <property fmtid="{D5CDD505-2E9C-101B-9397-08002B2CF9AE}" pid="9" name="Questions">
    <vt:lpwstr>1439;#Q1/3|92c22b95-b109-406d-a0b6-fe71186f196b</vt:lpwstr>
  </property>
  <property fmtid="{D5CDD505-2E9C-101B-9397-08002B2CF9AE}" pid="10" name="Docnum">
    <vt:lpwstr>SG3-TD8-R1/WP1</vt:lpwstr>
  </property>
  <property fmtid="{D5CDD505-2E9C-101B-9397-08002B2CF9AE}" pid="11" name="Docdate">
    <vt:lpwstr/>
  </property>
  <property fmtid="{D5CDD505-2E9C-101B-9397-08002B2CF9AE}" pid="12" name="Docorlang">
    <vt:lpwstr/>
  </property>
  <property fmtid="{D5CDD505-2E9C-101B-9397-08002B2CF9AE}" pid="13" name="Docbluepink">
    <vt:lpwstr>1/3</vt:lpwstr>
  </property>
  <property fmtid="{D5CDD505-2E9C-101B-9397-08002B2CF9AE}" pid="14" name="Docdest">
    <vt:lpwstr>Geneva, 9-18 July 2024</vt:lpwstr>
  </property>
  <property fmtid="{D5CDD505-2E9C-101B-9397-08002B2CF9AE}" pid="15" name="Docauthor">
    <vt:lpwstr>Editor, STUDY_DRCI</vt:lpwstr>
  </property>
</Properties>
</file>