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7311E" w14:textId="77777777" w:rsidR="002F640C" w:rsidRDefault="002F640C">
      <w:bookmarkStart w:id="0" w:name="_GoBack"/>
      <w:bookmarkEnd w:id="0"/>
    </w:p>
    <w:tbl>
      <w:tblPr>
        <w:tblW w:w="9948" w:type="dxa"/>
        <w:tblLayout w:type="fixed"/>
        <w:tblLook w:val="0000" w:firstRow="0" w:lastRow="0" w:firstColumn="0" w:lastColumn="0" w:noHBand="0" w:noVBand="0"/>
      </w:tblPr>
      <w:tblGrid>
        <w:gridCol w:w="1418"/>
        <w:gridCol w:w="10"/>
        <w:gridCol w:w="2520"/>
        <w:gridCol w:w="2029"/>
        <w:gridCol w:w="3971"/>
      </w:tblGrid>
      <w:tr w:rsidR="00E02690" w:rsidRPr="00AE11F2" w14:paraId="44F7980A" w14:textId="77777777" w:rsidTr="00E02690">
        <w:trPr>
          <w:trHeight w:hRule="exact" w:val="1418"/>
        </w:trPr>
        <w:tc>
          <w:tcPr>
            <w:tcW w:w="1428" w:type="dxa"/>
            <w:gridSpan w:val="2"/>
          </w:tcPr>
          <w:p w14:paraId="6FD44EF2" w14:textId="77777777" w:rsidR="00E02690" w:rsidRPr="00AE11F2" w:rsidRDefault="00E02690" w:rsidP="00E02690"/>
          <w:p w14:paraId="3EE58E47" w14:textId="77777777" w:rsidR="00E02690" w:rsidRPr="00AE11F2" w:rsidRDefault="00E02690" w:rsidP="00E02690">
            <w:pPr>
              <w:spacing w:before="0"/>
              <w:rPr>
                <w:b/>
                <w:sz w:val="16"/>
              </w:rPr>
            </w:pPr>
          </w:p>
        </w:tc>
        <w:tc>
          <w:tcPr>
            <w:tcW w:w="8520" w:type="dxa"/>
            <w:gridSpan w:val="3"/>
          </w:tcPr>
          <w:p w14:paraId="07901715" w14:textId="77777777" w:rsidR="00E02690" w:rsidRPr="00AE11F2" w:rsidRDefault="00E02690" w:rsidP="00E02690">
            <w:pPr>
              <w:spacing w:before="0"/>
              <w:rPr>
                <w:rFonts w:ascii="Arial" w:hAnsi="Arial" w:cs="Arial"/>
              </w:rPr>
            </w:pPr>
          </w:p>
          <w:p w14:paraId="3DD23993" w14:textId="77777777" w:rsidR="00E02690" w:rsidRPr="00AE11F2" w:rsidRDefault="00E02690" w:rsidP="00E02690">
            <w:pPr>
              <w:spacing w:before="284"/>
              <w:rPr>
                <w:rFonts w:ascii="Arial" w:hAnsi="Arial" w:cs="Arial"/>
                <w:b/>
                <w:bCs/>
                <w:sz w:val="18"/>
              </w:rPr>
            </w:pPr>
            <w:r w:rsidRPr="00AE11F2">
              <w:rPr>
                <w:rFonts w:ascii="Arial" w:hAnsi="Arial" w:cs="Arial"/>
                <w:b/>
                <w:bCs/>
                <w:color w:val="808080"/>
                <w:spacing w:val="100"/>
              </w:rPr>
              <w:t>International Telecommunication Union</w:t>
            </w:r>
          </w:p>
        </w:tc>
      </w:tr>
      <w:tr w:rsidR="00E02690" w:rsidRPr="00AE11F2" w14:paraId="28A51FAE" w14:textId="77777777" w:rsidTr="00E02690">
        <w:trPr>
          <w:trHeight w:hRule="exact" w:val="992"/>
        </w:trPr>
        <w:tc>
          <w:tcPr>
            <w:tcW w:w="1428" w:type="dxa"/>
            <w:gridSpan w:val="2"/>
          </w:tcPr>
          <w:p w14:paraId="69909717" w14:textId="77777777" w:rsidR="00E02690" w:rsidRPr="00AE11F2" w:rsidRDefault="00E02690" w:rsidP="00E02690">
            <w:pPr>
              <w:spacing w:before="0"/>
            </w:pPr>
          </w:p>
        </w:tc>
        <w:tc>
          <w:tcPr>
            <w:tcW w:w="8520" w:type="dxa"/>
            <w:gridSpan w:val="3"/>
          </w:tcPr>
          <w:p w14:paraId="6B0136ED" w14:textId="77777777" w:rsidR="00E02690" w:rsidRPr="00AE11F2" w:rsidRDefault="00E02690" w:rsidP="00E02690"/>
        </w:tc>
      </w:tr>
      <w:tr w:rsidR="00E02690" w:rsidRPr="00AE11F2" w14:paraId="123B1803" w14:textId="77777777" w:rsidTr="00E02690">
        <w:tblPrEx>
          <w:tblCellMar>
            <w:left w:w="85" w:type="dxa"/>
            <w:right w:w="85" w:type="dxa"/>
          </w:tblCellMar>
        </w:tblPrEx>
        <w:trPr>
          <w:gridBefore w:val="2"/>
          <w:wBefore w:w="1428" w:type="dxa"/>
        </w:trPr>
        <w:tc>
          <w:tcPr>
            <w:tcW w:w="2520" w:type="dxa"/>
          </w:tcPr>
          <w:p w14:paraId="61BD1A2B" w14:textId="77777777" w:rsidR="00E02690" w:rsidRPr="00AE11F2" w:rsidRDefault="00E02690" w:rsidP="00E02690">
            <w:pPr>
              <w:rPr>
                <w:b/>
                <w:sz w:val="18"/>
              </w:rPr>
            </w:pPr>
            <w:bookmarkStart w:id="1" w:name="dnume" w:colFirst="1" w:colLast="1"/>
            <w:r w:rsidRPr="00AE11F2">
              <w:rPr>
                <w:rFonts w:ascii="Arial" w:hAnsi="Arial"/>
                <w:b/>
                <w:spacing w:val="40"/>
                <w:sz w:val="72"/>
              </w:rPr>
              <w:t>ITU-T</w:t>
            </w:r>
          </w:p>
        </w:tc>
        <w:tc>
          <w:tcPr>
            <w:tcW w:w="6000" w:type="dxa"/>
            <w:gridSpan w:val="2"/>
          </w:tcPr>
          <w:p w14:paraId="2EA1DA29" w14:textId="77777777" w:rsidR="00E02690" w:rsidRPr="00AE11F2" w:rsidRDefault="00B90169" w:rsidP="00B90169">
            <w:pPr>
              <w:spacing w:before="240"/>
              <w:jc w:val="right"/>
              <w:rPr>
                <w:rFonts w:ascii="Arial" w:hAnsi="Arial" w:cs="Arial"/>
                <w:b/>
                <w:sz w:val="60"/>
              </w:rPr>
            </w:pPr>
            <w:r>
              <w:rPr>
                <w:rFonts w:ascii="Arial" w:hAnsi="Arial"/>
                <w:b/>
                <w:sz w:val="60"/>
              </w:rPr>
              <w:t>Technical Report</w:t>
            </w:r>
          </w:p>
        </w:tc>
      </w:tr>
      <w:tr w:rsidR="00E02690" w:rsidRPr="00AE11F2" w14:paraId="5D6D2A0D" w14:textId="77777777" w:rsidTr="00E02690">
        <w:tblPrEx>
          <w:tblCellMar>
            <w:left w:w="85" w:type="dxa"/>
            <w:right w:w="85" w:type="dxa"/>
          </w:tblCellMar>
        </w:tblPrEx>
        <w:trPr>
          <w:gridBefore w:val="2"/>
          <w:wBefore w:w="1428" w:type="dxa"/>
          <w:trHeight w:val="974"/>
        </w:trPr>
        <w:tc>
          <w:tcPr>
            <w:tcW w:w="4549" w:type="dxa"/>
            <w:gridSpan w:val="2"/>
          </w:tcPr>
          <w:p w14:paraId="0014D8A7" w14:textId="77777777" w:rsidR="00E02690" w:rsidRPr="00AE11F2" w:rsidRDefault="00E02690" w:rsidP="008608E7">
            <w:pPr>
              <w:jc w:val="left"/>
              <w:rPr>
                <w:b/>
              </w:rPr>
            </w:pPr>
            <w:bookmarkStart w:id="2" w:name="ddatee" w:colFirst="1" w:colLast="1"/>
            <w:bookmarkEnd w:id="1"/>
            <w:r w:rsidRPr="00AE11F2">
              <w:rPr>
                <w:rFonts w:ascii="Arial" w:hAnsi="Arial"/>
              </w:rPr>
              <w:t>TELECOMMUNICATION</w:t>
            </w:r>
            <w:r w:rsidRPr="00AE11F2">
              <w:rPr>
                <w:rFonts w:ascii="Arial" w:hAnsi="Arial"/>
              </w:rPr>
              <w:br/>
              <w:t>STANDARDIZATION</w:t>
            </w:r>
            <w:r w:rsidR="00584C8F">
              <w:rPr>
                <w:rFonts w:ascii="Arial" w:hAnsi="Arial"/>
              </w:rPr>
              <w:t xml:space="preserve"> </w:t>
            </w:r>
            <w:r w:rsidRPr="00AE11F2">
              <w:rPr>
                <w:rFonts w:ascii="Arial" w:hAnsi="Arial"/>
              </w:rPr>
              <w:t>SECTOR</w:t>
            </w:r>
            <w:r w:rsidRPr="00AE11F2">
              <w:rPr>
                <w:rFonts w:ascii="Arial" w:hAnsi="Arial"/>
              </w:rPr>
              <w:br/>
              <w:t>OF</w:t>
            </w:r>
            <w:r w:rsidR="00584C8F">
              <w:rPr>
                <w:rFonts w:ascii="Arial" w:hAnsi="Arial"/>
              </w:rPr>
              <w:t xml:space="preserve"> </w:t>
            </w:r>
            <w:r w:rsidRPr="00AE11F2">
              <w:rPr>
                <w:rFonts w:ascii="Arial" w:hAnsi="Arial"/>
              </w:rPr>
              <w:t>ITU</w:t>
            </w:r>
          </w:p>
        </w:tc>
        <w:tc>
          <w:tcPr>
            <w:tcW w:w="3971" w:type="dxa"/>
          </w:tcPr>
          <w:p w14:paraId="3AC81C91" w14:textId="77777777" w:rsidR="00E02690" w:rsidRPr="00AE11F2" w:rsidRDefault="00E02690" w:rsidP="00E02690">
            <w:pPr>
              <w:spacing w:before="284"/>
            </w:pPr>
          </w:p>
          <w:p w14:paraId="29FCAC5D" w14:textId="3148AA44" w:rsidR="00E02690" w:rsidRPr="00AE11F2" w:rsidRDefault="0068188C" w:rsidP="00B90169">
            <w:pPr>
              <w:wordWrap w:val="0"/>
              <w:spacing w:before="284"/>
              <w:jc w:val="right"/>
              <w:rPr>
                <w:rFonts w:ascii="Arial" w:hAnsi="Arial"/>
                <w:sz w:val="28"/>
              </w:rPr>
            </w:pPr>
            <w:r w:rsidRPr="00AE11F2">
              <w:rPr>
                <w:rFonts w:ascii="Arial" w:hAnsi="Arial"/>
                <w:sz w:val="28"/>
              </w:rPr>
              <w:t>(</w:t>
            </w:r>
            <w:r>
              <w:rPr>
                <w:rFonts w:ascii="Arial" w:hAnsi="Arial"/>
                <w:sz w:val="28"/>
              </w:rPr>
              <w:t>05</w:t>
            </w:r>
            <w:r w:rsidRPr="00AE11F2">
              <w:rPr>
                <w:rFonts w:ascii="Arial" w:hAnsi="Arial"/>
                <w:sz w:val="28"/>
              </w:rPr>
              <w:t>/201</w:t>
            </w:r>
            <w:r>
              <w:rPr>
                <w:rFonts w:ascii="Arial" w:hAnsi="Arial"/>
                <w:sz w:val="28"/>
              </w:rPr>
              <w:t>9</w:t>
            </w:r>
            <w:r w:rsidRPr="00AE11F2">
              <w:rPr>
                <w:rFonts w:ascii="Arial" w:hAnsi="Arial"/>
                <w:sz w:val="28"/>
              </w:rPr>
              <w:t>)</w:t>
            </w:r>
          </w:p>
        </w:tc>
      </w:tr>
      <w:tr w:rsidR="00E02690" w:rsidRPr="00AB289C" w14:paraId="2CE14D1C" w14:textId="77777777" w:rsidTr="00E02690">
        <w:trPr>
          <w:cantSplit/>
          <w:trHeight w:hRule="exact" w:val="3402"/>
        </w:trPr>
        <w:tc>
          <w:tcPr>
            <w:tcW w:w="1418" w:type="dxa"/>
          </w:tcPr>
          <w:p w14:paraId="3FF30C64" w14:textId="77777777" w:rsidR="00E02690" w:rsidRPr="00AE11F2"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14:paraId="6A2F1FBC" w14:textId="77777777" w:rsidR="00E02690" w:rsidRPr="000C505F" w:rsidRDefault="00E02690" w:rsidP="00B90169">
            <w:pPr>
              <w:tabs>
                <w:tab w:val="right" w:pos="9639"/>
              </w:tabs>
              <w:rPr>
                <w:rFonts w:ascii="Arial" w:hAnsi="Arial"/>
                <w:sz w:val="32"/>
                <w:lang w:val="fr-CH"/>
              </w:rPr>
            </w:pPr>
          </w:p>
        </w:tc>
      </w:tr>
      <w:tr w:rsidR="00E02690" w:rsidRPr="00AE11F2" w14:paraId="4808177B" w14:textId="77777777" w:rsidTr="00E02690">
        <w:trPr>
          <w:cantSplit/>
          <w:trHeight w:hRule="exact" w:val="4536"/>
        </w:trPr>
        <w:tc>
          <w:tcPr>
            <w:tcW w:w="1418" w:type="dxa"/>
          </w:tcPr>
          <w:p w14:paraId="5A57EE88" w14:textId="77777777" w:rsidR="00E02690" w:rsidRPr="000C505F" w:rsidRDefault="00E02690" w:rsidP="00E02690">
            <w:pPr>
              <w:tabs>
                <w:tab w:val="right" w:pos="9639"/>
              </w:tabs>
              <w:rPr>
                <w:rFonts w:ascii="Arial" w:hAnsi="Arial"/>
                <w:sz w:val="18"/>
                <w:lang w:val="fr-CH"/>
              </w:rPr>
            </w:pPr>
            <w:bookmarkStart w:id="4" w:name="c1tite" w:colFirst="1" w:colLast="1"/>
            <w:bookmarkEnd w:id="3"/>
          </w:p>
        </w:tc>
        <w:tc>
          <w:tcPr>
            <w:tcW w:w="8530" w:type="dxa"/>
            <w:gridSpan w:val="4"/>
          </w:tcPr>
          <w:p w14:paraId="7A66BC8E" w14:textId="77777777" w:rsidR="00B90169" w:rsidRDefault="00B50B31" w:rsidP="00F73502">
            <w:pPr>
              <w:tabs>
                <w:tab w:val="right" w:pos="9639"/>
              </w:tabs>
              <w:rPr>
                <w:rFonts w:ascii="Arial" w:hAnsi="Arial" w:cs="Arial"/>
                <w:b/>
                <w:bCs/>
                <w:sz w:val="36"/>
              </w:rPr>
            </w:pPr>
            <w:r w:rsidRPr="00B50B31">
              <w:rPr>
                <w:rFonts w:ascii="Arial" w:hAnsi="Arial" w:cs="Arial"/>
                <w:b/>
                <w:bCs/>
                <w:sz w:val="36"/>
              </w:rPr>
              <w:t>DSTR-</w:t>
            </w:r>
            <w:r w:rsidR="00B90169">
              <w:rPr>
                <w:rFonts w:ascii="Arial" w:hAnsi="Arial" w:cs="Arial"/>
                <w:b/>
                <w:bCs/>
                <w:sz w:val="36"/>
              </w:rPr>
              <w:t>DFSRP</w:t>
            </w:r>
          </w:p>
          <w:p w14:paraId="525C9C08" w14:textId="1CE54E87" w:rsidR="00E02A33" w:rsidRDefault="003E1AD3" w:rsidP="00F73502">
            <w:pPr>
              <w:tabs>
                <w:tab w:val="right" w:pos="9639"/>
              </w:tabs>
              <w:rPr>
                <w:rFonts w:ascii="Arial" w:hAnsi="Arial" w:cs="Arial"/>
                <w:b/>
                <w:bCs/>
                <w:sz w:val="36"/>
              </w:rPr>
            </w:pPr>
            <w:r w:rsidRPr="003E1AD3">
              <w:rPr>
                <w:rFonts w:ascii="Arial" w:hAnsi="Arial" w:cs="Arial"/>
                <w:b/>
                <w:bCs/>
                <w:sz w:val="36"/>
              </w:rPr>
              <w:t xml:space="preserve">The </w:t>
            </w:r>
            <w:r w:rsidR="00E14760">
              <w:rPr>
                <w:rFonts w:ascii="Arial" w:hAnsi="Arial" w:cs="Arial"/>
                <w:b/>
                <w:bCs/>
                <w:sz w:val="36"/>
              </w:rPr>
              <w:t>r</w:t>
            </w:r>
            <w:r w:rsidRPr="003E1AD3">
              <w:rPr>
                <w:rFonts w:ascii="Arial" w:hAnsi="Arial" w:cs="Arial"/>
                <w:b/>
                <w:bCs/>
                <w:sz w:val="36"/>
              </w:rPr>
              <w:t>egulator</w:t>
            </w:r>
            <w:r w:rsidR="00BD3731">
              <w:rPr>
                <w:rFonts w:ascii="Arial" w:hAnsi="Arial" w:cs="Arial"/>
                <w:b/>
                <w:bCs/>
                <w:sz w:val="36"/>
              </w:rPr>
              <w:t>'</w:t>
            </w:r>
            <w:r w:rsidRPr="003E1AD3">
              <w:rPr>
                <w:rFonts w:ascii="Arial" w:hAnsi="Arial" w:cs="Arial"/>
                <w:b/>
                <w:bCs/>
                <w:sz w:val="36"/>
              </w:rPr>
              <w:t xml:space="preserve">s </w:t>
            </w:r>
            <w:r w:rsidR="00E14760">
              <w:rPr>
                <w:rFonts w:ascii="Arial" w:hAnsi="Arial" w:cs="Arial"/>
                <w:b/>
                <w:bCs/>
                <w:sz w:val="36"/>
              </w:rPr>
              <w:t>p</w:t>
            </w:r>
            <w:r w:rsidRPr="003E1AD3">
              <w:rPr>
                <w:rFonts w:ascii="Arial" w:hAnsi="Arial" w:cs="Arial"/>
                <w:b/>
                <w:bCs/>
                <w:sz w:val="36"/>
              </w:rPr>
              <w:t xml:space="preserve">erspective on the </w:t>
            </w:r>
            <w:r w:rsidR="00E14760">
              <w:rPr>
                <w:rFonts w:ascii="Arial" w:hAnsi="Arial" w:cs="Arial"/>
                <w:b/>
                <w:bCs/>
                <w:sz w:val="36"/>
              </w:rPr>
              <w:t>r</w:t>
            </w:r>
            <w:r w:rsidRPr="003E1AD3">
              <w:rPr>
                <w:rFonts w:ascii="Arial" w:hAnsi="Arial" w:cs="Arial"/>
                <w:b/>
                <w:bCs/>
                <w:sz w:val="36"/>
              </w:rPr>
              <w:t xml:space="preserve">ight </w:t>
            </w:r>
            <w:r w:rsidR="00E14760">
              <w:rPr>
                <w:rFonts w:ascii="Arial" w:hAnsi="Arial" w:cs="Arial"/>
                <w:b/>
                <w:bCs/>
                <w:sz w:val="36"/>
              </w:rPr>
              <w:t>t</w:t>
            </w:r>
            <w:r w:rsidRPr="003E1AD3">
              <w:rPr>
                <w:rFonts w:ascii="Arial" w:hAnsi="Arial" w:cs="Arial"/>
                <w:b/>
                <w:bCs/>
                <w:sz w:val="36"/>
              </w:rPr>
              <w:t>iming</w:t>
            </w:r>
            <w:r w:rsidR="00E02A33">
              <w:rPr>
                <w:rFonts w:ascii="Arial" w:hAnsi="Arial" w:cs="Arial"/>
                <w:b/>
                <w:bCs/>
                <w:sz w:val="36"/>
              </w:rPr>
              <w:t xml:space="preserve"> for </w:t>
            </w:r>
            <w:r w:rsidR="00E14760">
              <w:rPr>
                <w:rFonts w:ascii="Arial" w:hAnsi="Arial" w:cs="Arial"/>
                <w:b/>
                <w:bCs/>
                <w:sz w:val="36"/>
              </w:rPr>
              <w:t>i</w:t>
            </w:r>
            <w:r w:rsidR="00E02A33">
              <w:rPr>
                <w:rFonts w:ascii="Arial" w:hAnsi="Arial" w:cs="Arial"/>
                <w:b/>
                <w:bCs/>
                <w:sz w:val="36"/>
              </w:rPr>
              <w:t xml:space="preserve">nducing </w:t>
            </w:r>
            <w:r w:rsidR="00E14760">
              <w:rPr>
                <w:rFonts w:ascii="Arial" w:hAnsi="Arial" w:cs="Arial"/>
                <w:b/>
                <w:bCs/>
                <w:sz w:val="36"/>
              </w:rPr>
              <w:t>i</w:t>
            </w:r>
            <w:r w:rsidR="00E02A33">
              <w:rPr>
                <w:rFonts w:ascii="Arial" w:hAnsi="Arial" w:cs="Arial"/>
                <w:b/>
                <w:bCs/>
                <w:sz w:val="36"/>
              </w:rPr>
              <w:t>nteroperability</w:t>
            </w:r>
          </w:p>
          <w:p w14:paraId="45DAAFE7" w14:textId="77777777" w:rsidR="00E02A33" w:rsidRDefault="00E02A33" w:rsidP="00F73502">
            <w:pPr>
              <w:tabs>
                <w:tab w:val="right" w:pos="9639"/>
              </w:tabs>
              <w:rPr>
                <w:rFonts w:ascii="Arial" w:hAnsi="Arial" w:cs="Arial"/>
                <w:b/>
                <w:bCs/>
                <w:sz w:val="36"/>
              </w:rPr>
            </w:pPr>
          </w:p>
          <w:p w14:paraId="719B1851" w14:textId="2B501A8E" w:rsidR="00F23C4A" w:rsidRDefault="009E5329" w:rsidP="00F73502">
            <w:pPr>
              <w:tabs>
                <w:tab w:val="right" w:pos="9639"/>
              </w:tabs>
              <w:rPr>
                <w:rFonts w:ascii="Arial" w:hAnsi="Arial" w:cs="Arial"/>
                <w:b/>
                <w:bCs/>
                <w:sz w:val="32"/>
                <w:szCs w:val="32"/>
              </w:rPr>
            </w:pPr>
            <w:r>
              <w:rPr>
                <w:rFonts w:ascii="Arial" w:hAnsi="Arial" w:cs="Arial"/>
                <w:b/>
                <w:bCs/>
                <w:sz w:val="32"/>
                <w:szCs w:val="32"/>
              </w:rPr>
              <w:t>D</w:t>
            </w:r>
            <w:r w:rsidRPr="009E5329">
              <w:rPr>
                <w:rFonts w:ascii="Arial" w:hAnsi="Arial" w:cs="Arial"/>
                <w:b/>
                <w:bCs/>
                <w:sz w:val="32"/>
                <w:szCs w:val="32"/>
              </w:rPr>
              <w:t xml:space="preserve">igital financial services </w:t>
            </w:r>
            <w:r>
              <w:rPr>
                <w:rFonts w:ascii="Arial" w:hAnsi="Arial" w:cs="Arial"/>
                <w:b/>
                <w:bCs/>
                <w:sz w:val="32"/>
                <w:szCs w:val="32"/>
              </w:rPr>
              <w:t xml:space="preserve">– </w:t>
            </w:r>
            <w:r w:rsidR="003E1AD3" w:rsidRPr="00DF17E5">
              <w:rPr>
                <w:rFonts w:ascii="Arial" w:hAnsi="Arial" w:cs="Arial"/>
                <w:b/>
                <w:bCs/>
                <w:sz w:val="32"/>
                <w:szCs w:val="32"/>
              </w:rPr>
              <w:t xml:space="preserve">Findings of a </w:t>
            </w:r>
            <w:r w:rsidR="00F73502" w:rsidRPr="00DF17E5">
              <w:rPr>
                <w:rFonts w:ascii="Arial" w:hAnsi="Arial" w:cs="Arial"/>
                <w:b/>
                <w:bCs/>
                <w:sz w:val="32"/>
                <w:szCs w:val="32"/>
              </w:rPr>
              <w:t xml:space="preserve">survey </w:t>
            </w:r>
            <w:r w:rsidR="003E1AD3" w:rsidRPr="00DF17E5">
              <w:rPr>
                <w:rFonts w:ascii="Arial" w:hAnsi="Arial" w:cs="Arial"/>
                <w:b/>
                <w:bCs/>
                <w:sz w:val="32"/>
                <w:szCs w:val="32"/>
              </w:rPr>
              <w:t xml:space="preserve">among Focus Group </w:t>
            </w:r>
            <w:r w:rsidR="004F43A6">
              <w:rPr>
                <w:rFonts w:ascii="Arial" w:hAnsi="Arial" w:cs="Arial"/>
                <w:b/>
                <w:bCs/>
                <w:sz w:val="32"/>
                <w:szCs w:val="32"/>
              </w:rPr>
              <w:t>m</w:t>
            </w:r>
            <w:r w:rsidR="003E1AD3" w:rsidRPr="00DF17E5">
              <w:rPr>
                <w:rFonts w:ascii="Arial" w:hAnsi="Arial" w:cs="Arial"/>
                <w:b/>
                <w:bCs/>
                <w:sz w:val="32"/>
                <w:szCs w:val="32"/>
              </w:rPr>
              <w:t>embers</w:t>
            </w:r>
          </w:p>
          <w:p w14:paraId="6600CEBD" w14:textId="77777777" w:rsidR="00E02690" w:rsidRPr="00F23C4A" w:rsidRDefault="00E02690" w:rsidP="00F23C4A">
            <w:pPr>
              <w:jc w:val="right"/>
              <w:rPr>
                <w:rFonts w:ascii="Arial" w:hAnsi="Arial" w:cs="Arial"/>
                <w:sz w:val="32"/>
                <w:szCs w:val="32"/>
              </w:rPr>
            </w:pPr>
          </w:p>
        </w:tc>
      </w:tr>
      <w:bookmarkEnd w:id="4"/>
    </w:tbl>
    <w:p w14:paraId="797995F5" w14:textId="77777777" w:rsidR="00A52F52" w:rsidRDefault="00A52F52" w:rsidP="00A52F52">
      <w:pPr>
        <w:rPr>
          <w:lang w:eastAsia="ja-JP"/>
        </w:rPr>
      </w:pPr>
      <w:r>
        <w:br w:type="page"/>
      </w:r>
    </w:p>
    <w:p w14:paraId="1FA59BD6" w14:textId="77777777" w:rsidR="00797729" w:rsidRDefault="00797729" w:rsidP="0068188C">
      <w:pPr>
        <w:pStyle w:val="Headingb"/>
        <w:sectPr w:rsidR="00797729" w:rsidSect="009A3467">
          <w:footerReference w:type="default" r:id="rId11"/>
          <w:headerReference w:type="first" r:id="rId12"/>
          <w:footerReference w:type="first" r:id="rId13"/>
          <w:pgSz w:w="11907" w:h="16840" w:code="9"/>
          <w:pgMar w:top="1134" w:right="1134" w:bottom="1134" w:left="1134" w:header="567" w:footer="567" w:gutter="0"/>
          <w:cols w:space="720"/>
          <w:titlePg/>
          <w:docGrid w:linePitch="360"/>
        </w:sectPr>
      </w:pPr>
    </w:p>
    <w:p w14:paraId="487AD4C2" w14:textId="0795FA07" w:rsidR="00296E87" w:rsidRPr="007777D2" w:rsidRDefault="00296E87" w:rsidP="0068188C">
      <w:pPr>
        <w:pStyle w:val="Headingb"/>
      </w:pPr>
      <w:r w:rsidRPr="0068188C">
        <w:lastRenderedPageBreak/>
        <w:t>Summary</w:t>
      </w:r>
    </w:p>
    <w:p w14:paraId="2B4100F4" w14:textId="0A5E2234" w:rsidR="00296E87" w:rsidRDefault="00296E87" w:rsidP="0068188C">
      <w:r w:rsidRPr="00C22D8A">
        <w:t xml:space="preserve">Interoperability has been understood as a relevant aspect </w:t>
      </w:r>
      <w:r>
        <w:t>in</w:t>
      </w:r>
      <w:r w:rsidRPr="00C22D8A">
        <w:t xml:space="preserve"> foster</w:t>
      </w:r>
      <w:r>
        <w:t>ing</w:t>
      </w:r>
      <w:r w:rsidRPr="00C22D8A">
        <w:t xml:space="preserve"> the financial inclusion efforts made through the availability of digital financial services</w:t>
      </w:r>
      <w:r>
        <w:t xml:space="preserve"> (DFS)</w:t>
      </w:r>
      <w:r w:rsidRPr="00C22D8A">
        <w:t xml:space="preserve">. </w:t>
      </w:r>
      <w:r>
        <w:t xml:space="preserve">Despite the fact that </w:t>
      </w:r>
      <w:r w:rsidRPr="00D56E68">
        <w:t xml:space="preserve">some consensus has been achieved </w:t>
      </w:r>
      <w:r>
        <w:t>and the regulator can now have an important role in inducing interoperability,</w:t>
      </w:r>
      <w:r w:rsidRPr="00D56E68">
        <w:t xml:space="preserve"> the right timing for </w:t>
      </w:r>
      <w:r>
        <w:t xml:space="preserve">and scope of </w:t>
      </w:r>
      <w:r w:rsidRPr="00D56E68">
        <w:t>the regulator</w:t>
      </w:r>
      <w:r w:rsidR="00BD3731">
        <w:t>'</w:t>
      </w:r>
      <w:r>
        <w:t>s</w:t>
      </w:r>
      <w:r w:rsidRPr="00D56E68">
        <w:t xml:space="preserve"> </w:t>
      </w:r>
      <w:r>
        <w:t>actions</w:t>
      </w:r>
      <w:r w:rsidRPr="00D56E68">
        <w:t xml:space="preserve"> is still an open discussion.</w:t>
      </w:r>
    </w:p>
    <w:p w14:paraId="77CE4862" w14:textId="77777777" w:rsidR="00296E87" w:rsidRDefault="00296E87" w:rsidP="00296E87">
      <w:r>
        <w:t>This Technical Report provides insights shared by five regulators who participated in the DFS Focus Group WG on Interoperability. Although it is impossible to generalize conclusions from the survey, some similarities across the surveyed countries can be observed.</w:t>
      </w:r>
    </w:p>
    <w:p w14:paraId="3FBBDD33" w14:textId="65F80F28" w:rsidR="00296E87" w:rsidRDefault="00296E87" w:rsidP="00296E87">
      <w:r>
        <w:t>First, before addressing DFS interoperability, the financial and telco regulators need to define their roles and responsibilities among each other</w:t>
      </w:r>
      <w:r w:rsidRPr="005A4182">
        <w:t>.</w:t>
      </w:r>
      <w:r w:rsidRPr="00C57251">
        <w:t xml:space="preserve"> </w:t>
      </w:r>
      <w:r>
        <w:t>Second, although regulators generally seem to consider interoperability an important element in the DFS ecosystem, the current state of interoperability in different countries varies substantially. Third, positive outcomes are reported</w:t>
      </w:r>
      <w:r w:rsidR="0068188C">
        <w:t xml:space="preserve"> – </w:t>
      </w:r>
      <w:r>
        <w:t>or at least expected</w:t>
      </w:r>
      <w:r w:rsidR="0068188C">
        <w:t xml:space="preserve"> – </w:t>
      </w:r>
      <w:r>
        <w:t>across countries, suggesting that current policies might persist for the time being. Fourth, authorities seem to be conscious of the fact that any intervention needs to be considered carefully and take place only when no market-driven solution is leading to interoperable services.</w:t>
      </w:r>
    </w:p>
    <w:p w14:paraId="2521C246" w14:textId="77777777" w:rsidR="00296E87" w:rsidRPr="000A7055" w:rsidRDefault="00296E87" w:rsidP="0068188C">
      <w:pPr>
        <w:pStyle w:val="Headingb"/>
      </w:pPr>
      <w:r w:rsidRPr="0068188C">
        <w:t>Keywords</w:t>
      </w:r>
    </w:p>
    <w:p w14:paraId="1B26BB9E" w14:textId="77777777" w:rsidR="00296E87" w:rsidRPr="006F27F1" w:rsidRDefault="00296E87" w:rsidP="00296E87">
      <w:pPr>
        <w:spacing w:after="120"/>
        <w:rPr>
          <w:szCs w:val="24"/>
        </w:rPr>
      </w:pPr>
      <w:r w:rsidRPr="006F27F1">
        <w:rPr>
          <w:szCs w:val="24"/>
        </w:rPr>
        <w:t xml:space="preserve">Digital Financial Services, </w:t>
      </w:r>
      <w:r>
        <w:rPr>
          <w:szCs w:val="24"/>
        </w:rPr>
        <w:t>Regulators, Interoperability.</w:t>
      </w:r>
    </w:p>
    <w:p w14:paraId="37F85B1D" w14:textId="77777777" w:rsidR="00296E87" w:rsidRPr="007777D2" w:rsidRDefault="00296E87" w:rsidP="0068188C">
      <w:pPr>
        <w:pStyle w:val="Headingb"/>
      </w:pPr>
      <w:r w:rsidRPr="007777D2">
        <w:t>Change Log</w:t>
      </w:r>
    </w:p>
    <w:p w14:paraId="4DCC42A6" w14:textId="6DA68E7B" w:rsidR="002A06D6" w:rsidRDefault="00296E87" w:rsidP="00296E87">
      <w:pPr>
        <w:spacing w:after="120"/>
        <w:rPr>
          <w:b/>
          <w:szCs w:val="24"/>
          <w:lang w:eastAsia="ja-JP"/>
        </w:rPr>
      </w:pPr>
      <w:r w:rsidRPr="006F27F1">
        <w:rPr>
          <w:szCs w:val="24"/>
        </w:rPr>
        <w:t xml:space="preserve">This document contains the ITU-T Technical Report on </w:t>
      </w:r>
      <w:r w:rsidR="00BD3731">
        <w:rPr>
          <w:szCs w:val="24"/>
        </w:rPr>
        <w:t>"</w:t>
      </w:r>
      <w:r w:rsidRPr="00296E87">
        <w:rPr>
          <w:i/>
          <w:iCs/>
          <w:szCs w:val="24"/>
        </w:rPr>
        <w:t>Digital Financial Services: The Regulator</w:t>
      </w:r>
      <w:r w:rsidR="00BD3731">
        <w:rPr>
          <w:i/>
          <w:iCs/>
          <w:szCs w:val="24"/>
        </w:rPr>
        <w:t>'</w:t>
      </w:r>
      <w:r w:rsidRPr="00296E87">
        <w:rPr>
          <w:i/>
          <w:iCs/>
          <w:szCs w:val="24"/>
        </w:rPr>
        <w:t>s Perspective on the Right Timing for Inducing Interoperability: Findings of a survey among Focus Group Members</w:t>
      </w:r>
      <w:r w:rsidR="00BD3731">
        <w:rPr>
          <w:szCs w:val="24"/>
        </w:rPr>
        <w:t>"</w:t>
      </w:r>
      <w:r w:rsidRPr="006F27F1">
        <w:rPr>
          <w:szCs w:val="24"/>
        </w:rPr>
        <w:t xml:space="preserve"> </w:t>
      </w:r>
      <w:r>
        <w:rPr>
          <w:szCs w:val="24"/>
        </w:rPr>
        <w:t>which was agreed by</w:t>
      </w:r>
      <w:r w:rsidRPr="006F27F1">
        <w:rPr>
          <w:szCs w:val="24"/>
        </w:rPr>
        <w:t xml:space="preserve"> the ITU-T Study Group 3 meeting held in Geneva, 23 April - 2 May 2019.</w:t>
      </w:r>
    </w:p>
    <w:p w14:paraId="3025AF59" w14:textId="77777777" w:rsidR="00C636CB" w:rsidRDefault="00C636CB">
      <w:pPr>
        <w:spacing w:before="0"/>
        <w:rPr>
          <w:highlight w:val="yellow"/>
          <w:lang w:eastAsia="ja-JP"/>
        </w:rPr>
      </w:pPr>
      <w:r>
        <w:rPr>
          <w:highlight w:val="yellow"/>
          <w:lang w:eastAsia="ja-JP"/>
        </w:rPr>
        <w:br w:type="page"/>
      </w:r>
    </w:p>
    <w:p w14:paraId="30C4C964" w14:textId="77777777" w:rsidR="009635CB" w:rsidRPr="00AE11F2" w:rsidRDefault="009635CB" w:rsidP="003E1CC9">
      <w:pPr>
        <w:keepNext/>
        <w:jc w:val="center"/>
        <w:rPr>
          <w:b/>
          <w:bCs/>
        </w:rPr>
      </w:pPr>
      <w:r w:rsidRPr="00AE11F2">
        <w:rPr>
          <w:b/>
          <w:bCs/>
        </w:rPr>
        <w:lastRenderedPageBreak/>
        <w:t>CONTENTS</w:t>
      </w:r>
    </w:p>
    <w:p w14:paraId="4EE58E3B" w14:textId="77777777" w:rsidR="003B61FA" w:rsidRPr="00AE11F2" w:rsidRDefault="003B61FA" w:rsidP="003E1CC9">
      <w:pPr>
        <w:pStyle w:val="toc0"/>
      </w:pPr>
      <w:r w:rsidRPr="00AE11F2">
        <w:tab/>
        <w:t>Page</w:t>
      </w:r>
    </w:p>
    <w:p w14:paraId="578E5A27" w14:textId="5E062F62"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lang w:bidi="ar-DZ"/>
        </w:rPr>
        <w:t>1</w:t>
      </w:r>
      <w:r>
        <w:rPr>
          <w:rFonts w:asciiTheme="minorHAnsi" w:eastAsiaTheme="minorEastAsia" w:hAnsiTheme="minorHAnsi" w:cstheme="minorBidi"/>
          <w:noProof/>
          <w:sz w:val="22"/>
          <w:szCs w:val="22"/>
        </w:rPr>
        <w:tab/>
      </w:r>
      <w:r w:rsidRPr="003B61FA">
        <w:rPr>
          <w:rFonts w:eastAsia="Calibri"/>
          <w:noProof/>
        </w:rPr>
        <w:t>Scope</w:t>
      </w:r>
      <w:r>
        <w:rPr>
          <w:noProof/>
          <w:webHidden/>
        </w:rPr>
        <w:tab/>
      </w:r>
      <w:r w:rsidR="00D91EE2">
        <w:rPr>
          <w:noProof/>
          <w:webHidden/>
        </w:rPr>
        <w:t>3</w:t>
      </w:r>
    </w:p>
    <w:p w14:paraId="0B257984" w14:textId="4CE1ED7B"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rFonts w:eastAsia="Calibri"/>
          <w:noProof/>
        </w:rPr>
        <w:t>2</w:t>
      </w:r>
      <w:r>
        <w:rPr>
          <w:rFonts w:asciiTheme="minorHAnsi" w:eastAsiaTheme="minorEastAsia" w:hAnsiTheme="minorHAnsi" w:cstheme="minorBidi"/>
          <w:noProof/>
          <w:sz w:val="22"/>
          <w:szCs w:val="22"/>
        </w:rPr>
        <w:tab/>
      </w:r>
      <w:r w:rsidRPr="003B61FA">
        <w:rPr>
          <w:rFonts w:eastAsia="Calibri"/>
          <w:noProof/>
        </w:rPr>
        <w:t>References</w:t>
      </w:r>
      <w:r>
        <w:rPr>
          <w:noProof/>
          <w:webHidden/>
        </w:rPr>
        <w:tab/>
      </w:r>
      <w:r w:rsidR="00D91EE2">
        <w:rPr>
          <w:noProof/>
          <w:webHidden/>
        </w:rPr>
        <w:t>3</w:t>
      </w:r>
    </w:p>
    <w:p w14:paraId="37B36D48" w14:textId="3287E705"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lang w:bidi="ar-DZ"/>
        </w:rPr>
        <w:t>3</w:t>
      </w:r>
      <w:r>
        <w:rPr>
          <w:rFonts w:asciiTheme="minorHAnsi" w:eastAsiaTheme="minorEastAsia" w:hAnsiTheme="minorHAnsi" w:cstheme="minorBidi"/>
          <w:noProof/>
          <w:sz w:val="22"/>
          <w:szCs w:val="22"/>
        </w:rPr>
        <w:tab/>
      </w:r>
      <w:r w:rsidRPr="003B61FA">
        <w:rPr>
          <w:noProof/>
          <w:lang w:bidi="ar-DZ"/>
        </w:rPr>
        <w:t>Terms and definitions</w:t>
      </w:r>
      <w:r>
        <w:rPr>
          <w:noProof/>
          <w:webHidden/>
        </w:rPr>
        <w:tab/>
      </w:r>
      <w:r w:rsidR="00D91EE2">
        <w:rPr>
          <w:noProof/>
          <w:webHidden/>
        </w:rPr>
        <w:t>4</w:t>
      </w:r>
    </w:p>
    <w:p w14:paraId="79744310" w14:textId="1CB0BDBF"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lang w:bidi="ar-DZ"/>
        </w:rPr>
        <w:t>3.1</w:t>
      </w:r>
      <w:r>
        <w:rPr>
          <w:rFonts w:asciiTheme="minorHAnsi" w:eastAsiaTheme="minorEastAsia" w:hAnsiTheme="minorHAnsi" w:cstheme="minorBidi"/>
          <w:noProof/>
          <w:sz w:val="22"/>
          <w:szCs w:val="22"/>
        </w:rPr>
        <w:tab/>
      </w:r>
      <w:r w:rsidRPr="003B61FA">
        <w:rPr>
          <w:noProof/>
          <w:lang w:bidi="ar-DZ"/>
        </w:rPr>
        <w:t>Terms defined elsewhere</w:t>
      </w:r>
      <w:r>
        <w:rPr>
          <w:noProof/>
          <w:webHidden/>
        </w:rPr>
        <w:tab/>
      </w:r>
      <w:r w:rsidR="00D91EE2">
        <w:rPr>
          <w:noProof/>
          <w:webHidden/>
        </w:rPr>
        <w:t>4</w:t>
      </w:r>
    </w:p>
    <w:p w14:paraId="7C3DA9D4" w14:textId="00896FB0"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lang w:bidi="ar-DZ"/>
        </w:rPr>
        <w:t>3.2</w:t>
      </w:r>
      <w:r>
        <w:rPr>
          <w:rFonts w:asciiTheme="minorHAnsi" w:eastAsiaTheme="minorEastAsia" w:hAnsiTheme="minorHAnsi" w:cstheme="minorBidi"/>
          <w:noProof/>
          <w:sz w:val="22"/>
          <w:szCs w:val="22"/>
        </w:rPr>
        <w:tab/>
      </w:r>
      <w:r w:rsidRPr="003B61FA">
        <w:rPr>
          <w:noProof/>
          <w:lang w:bidi="ar-DZ"/>
        </w:rPr>
        <w:t>Terms defined here</w:t>
      </w:r>
      <w:r>
        <w:rPr>
          <w:noProof/>
          <w:webHidden/>
        </w:rPr>
        <w:tab/>
      </w:r>
      <w:r w:rsidR="00D91EE2">
        <w:rPr>
          <w:noProof/>
          <w:webHidden/>
        </w:rPr>
        <w:t>4</w:t>
      </w:r>
    </w:p>
    <w:p w14:paraId="64A9354E" w14:textId="4D884845"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lang w:bidi="ar-DZ"/>
        </w:rPr>
        <w:t>4</w:t>
      </w:r>
      <w:r>
        <w:rPr>
          <w:rFonts w:asciiTheme="minorHAnsi" w:eastAsiaTheme="minorEastAsia" w:hAnsiTheme="minorHAnsi" w:cstheme="minorBidi"/>
          <w:noProof/>
          <w:sz w:val="22"/>
          <w:szCs w:val="22"/>
        </w:rPr>
        <w:tab/>
      </w:r>
      <w:r w:rsidRPr="003B61FA">
        <w:rPr>
          <w:noProof/>
          <w:lang w:bidi="ar-DZ"/>
        </w:rPr>
        <w:t>Abbreviations</w:t>
      </w:r>
      <w:r>
        <w:rPr>
          <w:noProof/>
          <w:webHidden/>
        </w:rPr>
        <w:tab/>
      </w:r>
      <w:r w:rsidR="00D91EE2">
        <w:rPr>
          <w:noProof/>
          <w:webHidden/>
        </w:rPr>
        <w:t>4</w:t>
      </w:r>
    </w:p>
    <w:p w14:paraId="4A6EE4F3" w14:textId="305AFBBE"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rPr>
        <w:t>5</w:t>
      </w:r>
      <w:r>
        <w:rPr>
          <w:rFonts w:asciiTheme="minorHAnsi" w:eastAsiaTheme="minorEastAsia" w:hAnsiTheme="minorHAnsi" w:cstheme="minorBidi"/>
          <w:noProof/>
          <w:sz w:val="22"/>
          <w:szCs w:val="22"/>
        </w:rPr>
        <w:tab/>
      </w:r>
      <w:r w:rsidRPr="003B61FA">
        <w:rPr>
          <w:noProof/>
          <w:lang w:bidi="ar-DZ"/>
        </w:rPr>
        <w:t>Introduction</w:t>
      </w:r>
      <w:r>
        <w:rPr>
          <w:noProof/>
          <w:webHidden/>
        </w:rPr>
        <w:tab/>
      </w:r>
      <w:r w:rsidR="00D91EE2">
        <w:rPr>
          <w:noProof/>
          <w:webHidden/>
        </w:rPr>
        <w:t>4</w:t>
      </w:r>
    </w:p>
    <w:p w14:paraId="1B522289" w14:textId="1B80F568"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rPr>
        <w:t>6</w:t>
      </w:r>
      <w:r>
        <w:rPr>
          <w:rFonts w:asciiTheme="minorHAnsi" w:eastAsiaTheme="minorEastAsia" w:hAnsiTheme="minorHAnsi" w:cstheme="minorBidi"/>
          <w:noProof/>
          <w:sz w:val="22"/>
          <w:szCs w:val="22"/>
        </w:rPr>
        <w:tab/>
      </w:r>
      <w:r w:rsidRPr="003B61FA">
        <w:rPr>
          <w:noProof/>
        </w:rPr>
        <w:t>Methodology</w:t>
      </w:r>
      <w:r>
        <w:rPr>
          <w:noProof/>
          <w:webHidden/>
        </w:rPr>
        <w:tab/>
      </w:r>
      <w:r w:rsidR="00D91EE2">
        <w:rPr>
          <w:noProof/>
          <w:webHidden/>
        </w:rPr>
        <w:t>5</w:t>
      </w:r>
    </w:p>
    <w:p w14:paraId="39039698" w14:textId="4C9D0F20"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rPr>
        <w:t>7</w:t>
      </w:r>
      <w:r>
        <w:rPr>
          <w:rFonts w:asciiTheme="minorHAnsi" w:eastAsiaTheme="minorEastAsia" w:hAnsiTheme="minorHAnsi" w:cstheme="minorBidi"/>
          <w:noProof/>
          <w:sz w:val="22"/>
          <w:szCs w:val="22"/>
        </w:rPr>
        <w:tab/>
      </w:r>
      <w:r w:rsidRPr="003B61FA">
        <w:rPr>
          <w:noProof/>
        </w:rPr>
        <w:t>Reported answers</w:t>
      </w:r>
      <w:r>
        <w:rPr>
          <w:noProof/>
          <w:webHidden/>
        </w:rPr>
        <w:tab/>
      </w:r>
      <w:r w:rsidR="00D91EE2">
        <w:rPr>
          <w:noProof/>
          <w:webHidden/>
        </w:rPr>
        <w:t>6</w:t>
      </w:r>
    </w:p>
    <w:p w14:paraId="59B5213B" w14:textId="532EFB57"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rPr>
        <w:t>Country: Brazil</w:t>
      </w:r>
      <w:r>
        <w:rPr>
          <w:noProof/>
          <w:webHidden/>
        </w:rPr>
        <w:tab/>
        <w:t>7</w:t>
      </w:r>
    </w:p>
    <w:p w14:paraId="14C8B060" w14:textId="5CAAEF28"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rPr>
        <w:t>Country: Liberia</w:t>
      </w:r>
      <w:r>
        <w:rPr>
          <w:noProof/>
          <w:webHidden/>
        </w:rPr>
        <w:tab/>
        <w:t>8</w:t>
      </w:r>
    </w:p>
    <w:p w14:paraId="7223017A" w14:textId="3A004D6E"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rPr>
        <w:t>Country: Nigeria</w:t>
      </w:r>
      <w:r>
        <w:rPr>
          <w:noProof/>
          <w:webHidden/>
        </w:rPr>
        <w:tab/>
      </w:r>
      <w:r w:rsidR="00D91EE2">
        <w:rPr>
          <w:noProof/>
          <w:webHidden/>
        </w:rPr>
        <w:t>8</w:t>
      </w:r>
    </w:p>
    <w:p w14:paraId="43FCA4C6" w14:textId="32F75BEB"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rPr>
        <w:t>Country: Philippines</w:t>
      </w:r>
      <w:r>
        <w:rPr>
          <w:noProof/>
          <w:webHidden/>
        </w:rPr>
        <w:tab/>
        <w:t>9</w:t>
      </w:r>
    </w:p>
    <w:p w14:paraId="4E4A18B8" w14:textId="078B047C" w:rsidR="003B61FA" w:rsidRDefault="003B61FA" w:rsidP="003B61FA">
      <w:pPr>
        <w:pStyle w:val="TOC1"/>
        <w:tabs>
          <w:tab w:val="clear" w:pos="8789"/>
          <w:tab w:val="clear" w:pos="9639"/>
          <w:tab w:val="right" w:leader="dot" w:pos="9629"/>
        </w:tabs>
        <w:ind w:left="1474"/>
        <w:rPr>
          <w:rFonts w:asciiTheme="minorHAnsi" w:eastAsiaTheme="minorEastAsia" w:hAnsiTheme="minorHAnsi" w:cstheme="minorBidi"/>
          <w:smallCaps/>
          <w:noProof/>
          <w:sz w:val="22"/>
          <w:szCs w:val="22"/>
        </w:rPr>
      </w:pPr>
      <w:r w:rsidRPr="003B61FA">
        <w:rPr>
          <w:noProof/>
        </w:rPr>
        <w:t>Country: Uganda</w:t>
      </w:r>
      <w:r>
        <w:rPr>
          <w:noProof/>
          <w:webHidden/>
        </w:rPr>
        <w:tab/>
        <w:t>10</w:t>
      </w:r>
    </w:p>
    <w:p w14:paraId="0BA32E0D" w14:textId="154B8414" w:rsidR="003B61FA"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rPr>
      </w:pPr>
      <w:r w:rsidRPr="003B61FA">
        <w:rPr>
          <w:noProof/>
        </w:rPr>
        <w:t>8</w:t>
      </w:r>
      <w:r>
        <w:rPr>
          <w:rFonts w:asciiTheme="minorHAnsi" w:eastAsiaTheme="minorEastAsia" w:hAnsiTheme="minorHAnsi" w:cstheme="minorBidi"/>
          <w:noProof/>
          <w:sz w:val="22"/>
          <w:szCs w:val="22"/>
        </w:rPr>
        <w:tab/>
      </w:r>
      <w:r w:rsidRPr="003B61FA">
        <w:rPr>
          <w:noProof/>
        </w:rPr>
        <w:t>Final remarks</w:t>
      </w:r>
      <w:r>
        <w:rPr>
          <w:noProof/>
          <w:webHidden/>
        </w:rPr>
        <w:tab/>
        <w:t>1</w:t>
      </w:r>
      <w:r w:rsidR="00D91EE2">
        <w:rPr>
          <w:noProof/>
          <w:webHidden/>
        </w:rPr>
        <w:t>0</w:t>
      </w:r>
    </w:p>
    <w:p w14:paraId="0E2A6F15" w14:textId="66EFC878" w:rsidR="003B61FA" w:rsidRPr="00863C05" w:rsidRDefault="003B61FA" w:rsidP="003B61FA">
      <w:pPr>
        <w:pStyle w:val="TOC1"/>
        <w:tabs>
          <w:tab w:val="clear" w:pos="8789"/>
          <w:tab w:val="clear" w:pos="9639"/>
          <w:tab w:val="right" w:leader="dot" w:pos="9629"/>
        </w:tabs>
        <w:rPr>
          <w:rFonts w:asciiTheme="minorHAnsi" w:eastAsiaTheme="minorEastAsia" w:hAnsiTheme="minorHAnsi" w:cstheme="minorBidi"/>
          <w:b/>
          <w:bCs/>
          <w:caps/>
          <w:noProof/>
          <w:sz w:val="22"/>
          <w:szCs w:val="22"/>
          <w:lang w:val="fr-CH"/>
        </w:rPr>
      </w:pPr>
      <w:r w:rsidRPr="00863C05">
        <w:rPr>
          <w:noProof/>
          <w:lang w:val="fr-CH"/>
        </w:rPr>
        <w:t>Annex   Questionnaire</w:t>
      </w:r>
      <w:r w:rsidRPr="00863C05">
        <w:rPr>
          <w:noProof/>
          <w:webHidden/>
          <w:lang w:val="fr-CH"/>
        </w:rPr>
        <w:tab/>
        <w:t>1</w:t>
      </w:r>
      <w:r w:rsidR="009B3234">
        <w:rPr>
          <w:noProof/>
          <w:webHidden/>
          <w:lang w:val="fr-CH"/>
        </w:rPr>
        <w:t>2</w:t>
      </w:r>
    </w:p>
    <w:p w14:paraId="0CF4419D" w14:textId="77777777" w:rsidR="003B61FA" w:rsidRPr="00863C05" w:rsidRDefault="003B61FA" w:rsidP="003E1CC9">
      <w:pPr>
        <w:pStyle w:val="TableofFigures"/>
        <w:rPr>
          <w:sz w:val="24"/>
          <w:lang w:val="fr-CH"/>
        </w:rPr>
      </w:pPr>
    </w:p>
    <w:p w14:paraId="1185D45E" w14:textId="77777777" w:rsidR="003B61FA" w:rsidRPr="00863C05" w:rsidRDefault="003B61FA">
      <w:pPr>
        <w:pStyle w:val="TOC1"/>
        <w:tabs>
          <w:tab w:val="clear" w:pos="9639"/>
          <w:tab w:val="left" w:pos="480"/>
          <w:tab w:val="right" w:leader="dot" w:pos="9629"/>
        </w:tabs>
        <w:rPr>
          <w:noProof/>
          <w:lang w:val="fr-CH" w:bidi="ar-DZ"/>
        </w:rPr>
      </w:pPr>
    </w:p>
    <w:p w14:paraId="6CF96085" w14:textId="77777777" w:rsidR="00296E87" w:rsidRPr="00863C05" w:rsidRDefault="00296E87" w:rsidP="00296E87">
      <w:pPr>
        <w:pStyle w:val="RecNo"/>
        <w:pageBreakBefore/>
        <w:rPr>
          <w:lang w:val="fr-CH"/>
        </w:rPr>
      </w:pPr>
      <w:r w:rsidRPr="00863C05">
        <w:rPr>
          <w:lang w:val="fr-CH"/>
        </w:rPr>
        <w:lastRenderedPageBreak/>
        <w:t>Technical Report ITU-T DST</w:t>
      </w:r>
      <w:r w:rsidR="00202EF8" w:rsidRPr="00863C05">
        <w:rPr>
          <w:lang w:val="fr-CH"/>
        </w:rPr>
        <w:t>R</w:t>
      </w:r>
      <w:r w:rsidRPr="00863C05">
        <w:rPr>
          <w:lang w:val="fr-CH"/>
        </w:rPr>
        <w:t>-DFS</w:t>
      </w:r>
      <w:r w:rsidR="006B7CE6" w:rsidRPr="00863C05">
        <w:rPr>
          <w:lang w:val="fr-CH"/>
        </w:rPr>
        <w:t>RP</w:t>
      </w:r>
    </w:p>
    <w:p w14:paraId="35F8BD49" w14:textId="4FA925B7" w:rsidR="00296E87" w:rsidRPr="00804B0B" w:rsidRDefault="00296E87" w:rsidP="00296E87">
      <w:pPr>
        <w:pStyle w:val="Rectitle"/>
      </w:pPr>
      <w:r w:rsidRPr="00804B0B">
        <w:t xml:space="preserve">Digital </w:t>
      </w:r>
      <w:r w:rsidR="009E5329" w:rsidRPr="00804B0B">
        <w:t>financial ser</w:t>
      </w:r>
      <w:r w:rsidRPr="00804B0B">
        <w:t xml:space="preserve">vices – </w:t>
      </w:r>
      <w:r w:rsidR="007D5FF6">
        <w:br/>
      </w:r>
      <w:r w:rsidR="003560F7" w:rsidRPr="00804B0B">
        <w:t xml:space="preserve">The </w:t>
      </w:r>
      <w:r w:rsidR="003560F7" w:rsidRPr="003560F7">
        <w:t>regulator</w:t>
      </w:r>
      <w:r w:rsidR="00BD3731">
        <w:t>'</w:t>
      </w:r>
      <w:r w:rsidR="003560F7" w:rsidRPr="003560F7">
        <w:t>s perspective on the right timing for inducing interoperability</w:t>
      </w:r>
    </w:p>
    <w:p w14:paraId="157F1ECE" w14:textId="3DB5338B" w:rsidR="00296E87" w:rsidRPr="00E94D8C" w:rsidRDefault="0068188C" w:rsidP="0068188C">
      <w:pPr>
        <w:pStyle w:val="Heading1"/>
        <w:rPr>
          <w:lang w:bidi="ar-DZ"/>
        </w:rPr>
      </w:pPr>
      <w:bookmarkStart w:id="5" w:name="_Toc401158818"/>
      <w:bookmarkStart w:id="6" w:name="_Toc401159823"/>
      <w:bookmarkStart w:id="7" w:name="_Toc8394244"/>
      <w:bookmarkStart w:id="8" w:name="_Toc8395616"/>
      <w:r>
        <w:rPr>
          <w:rFonts w:eastAsia="Calibri"/>
        </w:rPr>
        <w:t>1</w:t>
      </w:r>
      <w:r>
        <w:rPr>
          <w:rFonts w:eastAsia="Calibri"/>
        </w:rPr>
        <w:tab/>
      </w:r>
      <w:r w:rsidR="00296E87" w:rsidRPr="000C604B">
        <w:rPr>
          <w:rFonts w:eastAsia="Calibri"/>
        </w:rPr>
        <w:t>Scope</w:t>
      </w:r>
      <w:bookmarkEnd w:id="5"/>
      <w:bookmarkEnd w:id="6"/>
      <w:bookmarkEnd w:id="7"/>
      <w:bookmarkEnd w:id="8"/>
    </w:p>
    <w:p w14:paraId="48CD7B4F" w14:textId="77777777" w:rsidR="00296E87" w:rsidRPr="00E94D8C" w:rsidRDefault="00296E87" w:rsidP="0068188C">
      <w:r w:rsidRPr="00E94D8C">
        <w:t>See Summary.</w:t>
      </w:r>
    </w:p>
    <w:p w14:paraId="0E006191" w14:textId="3A7F5450" w:rsidR="00296E87" w:rsidRDefault="0068188C" w:rsidP="0068188C">
      <w:pPr>
        <w:pStyle w:val="Heading1"/>
        <w:rPr>
          <w:rFonts w:eastAsia="Calibri"/>
        </w:rPr>
      </w:pPr>
      <w:bookmarkStart w:id="9" w:name="_Toc401158819"/>
      <w:bookmarkStart w:id="10" w:name="_Toc401159824"/>
      <w:bookmarkStart w:id="11" w:name="_Toc8394245"/>
      <w:bookmarkStart w:id="12" w:name="_Toc8395617"/>
      <w:r>
        <w:rPr>
          <w:rFonts w:eastAsia="Calibri"/>
        </w:rPr>
        <w:t>2</w:t>
      </w:r>
      <w:r>
        <w:rPr>
          <w:rFonts w:eastAsia="Calibri"/>
        </w:rPr>
        <w:tab/>
      </w:r>
      <w:r w:rsidR="00296E87" w:rsidRPr="000C604B">
        <w:rPr>
          <w:rFonts w:eastAsia="Calibri"/>
        </w:rPr>
        <w:t>References</w:t>
      </w:r>
      <w:bookmarkEnd w:id="9"/>
      <w:bookmarkEnd w:id="10"/>
      <w:bookmarkEnd w:id="11"/>
      <w:bookmarkEnd w:id="12"/>
    </w:p>
    <w:p w14:paraId="3FAB9F50" w14:textId="77777777" w:rsidR="00D709B4" w:rsidRPr="00C22D8A" w:rsidRDefault="00D709B4" w:rsidP="00D709B4">
      <w:pPr>
        <w:pStyle w:val="Reftext"/>
        <w:spacing w:after="120"/>
        <w:rPr>
          <w:lang w:val="pt-BR"/>
        </w:rPr>
      </w:pPr>
      <w:r w:rsidRPr="0068188C">
        <w:rPr>
          <w:rFonts w:eastAsiaTheme="minorHAnsi"/>
        </w:rPr>
        <w:t>[1]</w:t>
      </w:r>
      <w:r w:rsidRPr="0068188C">
        <w:rPr>
          <w:rFonts w:eastAsiaTheme="minorHAnsi"/>
        </w:rPr>
        <w:tab/>
        <w:t xml:space="preserve">Aghion, Philippe, Dewatripont, Mathias, Legros, Patrick, &amp; Zingales, Luigi (eds.). </w:t>
      </w:r>
      <w:r w:rsidRPr="00A7093E">
        <w:rPr>
          <w:rFonts w:eastAsiaTheme="minorHAnsi"/>
          <w:lang w:val="en-US"/>
        </w:rPr>
        <w:t>2016. The Impact of Incomplete Contracts on</w:t>
      </w:r>
      <w:r>
        <w:rPr>
          <w:rFonts w:eastAsiaTheme="minorHAnsi"/>
          <w:lang w:val="en-US"/>
        </w:rPr>
        <w:t xml:space="preserve"> Economics. </w:t>
      </w:r>
      <w:r>
        <w:rPr>
          <w:rFonts w:eastAsiaTheme="minorHAnsi"/>
          <w:lang w:val="pt-BR"/>
        </w:rPr>
        <w:t>Oxford University Press.</w:t>
      </w:r>
    </w:p>
    <w:p w14:paraId="360B9D46" w14:textId="086B1445" w:rsidR="00D709B4" w:rsidRPr="00BE48FF" w:rsidRDefault="00D709B4" w:rsidP="00D709B4">
      <w:pPr>
        <w:pStyle w:val="Reftext"/>
        <w:spacing w:after="120"/>
        <w:rPr>
          <w:lang w:val="en-US"/>
        </w:rPr>
      </w:pPr>
      <w:r w:rsidRPr="004F43A6">
        <w:t>[2]</w:t>
      </w:r>
      <w:r w:rsidRPr="004F43A6">
        <w:tab/>
        <w:t xml:space="preserve">Albuquerque, João Porto de, Eduardo Henrique Diniz, and Adrian Kemmer Cernev. </w:t>
      </w:r>
      <w:r w:rsidRPr="00BE48FF">
        <w:rPr>
          <w:lang w:val="en-US"/>
        </w:rPr>
        <w:t xml:space="preserve">2014. </w:t>
      </w:r>
      <w:r w:rsidR="00BD3731">
        <w:rPr>
          <w:lang w:val="en-US"/>
        </w:rPr>
        <w:t>"</w:t>
      </w:r>
      <w:r w:rsidRPr="00BE48FF">
        <w:rPr>
          <w:lang w:val="en-US"/>
        </w:rPr>
        <w:t>Mobile Payments: A Scoping Study of the Literature and Issues for Future Research</w:t>
      </w:r>
      <w:r w:rsidR="00BD3731">
        <w:rPr>
          <w:lang w:val="en-US"/>
        </w:rPr>
        <w:t>"</w:t>
      </w:r>
      <w:r w:rsidRPr="00BE48FF">
        <w:rPr>
          <w:lang w:val="en-US"/>
        </w:rPr>
        <w:t xml:space="preserve">. </w:t>
      </w:r>
      <w:r w:rsidRPr="00BE48FF">
        <w:rPr>
          <w:i/>
          <w:iCs/>
          <w:lang w:val="en-US"/>
        </w:rPr>
        <w:t>Information Development</w:t>
      </w:r>
      <w:r w:rsidRPr="00BE48FF">
        <w:rPr>
          <w:lang w:val="en-US"/>
        </w:rPr>
        <w:t>, 1–27. doi:10.1177/0266666914557338.</w:t>
      </w:r>
    </w:p>
    <w:p w14:paraId="769D5EC4" w14:textId="3DB63FF2" w:rsidR="00D709B4" w:rsidRPr="00BE48FF" w:rsidRDefault="00D709B4" w:rsidP="00D709B4">
      <w:pPr>
        <w:pStyle w:val="Reftext"/>
        <w:spacing w:after="120"/>
        <w:rPr>
          <w:lang w:val="en-US"/>
        </w:rPr>
      </w:pPr>
      <w:r w:rsidRPr="00BE48FF">
        <w:rPr>
          <w:lang w:val="en-US"/>
        </w:rPr>
        <w:t>[3]</w:t>
      </w:r>
      <w:r w:rsidRPr="00BE48FF">
        <w:rPr>
          <w:lang w:val="en-US"/>
        </w:rPr>
        <w:tab/>
        <w:t xml:space="preserve">Bankable Frontier Associates. 2012. </w:t>
      </w:r>
      <w:r w:rsidR="00BD3731">
        <w:rPr>
          <w:lang w:val="en-US"/>
        </w:rPr>
        <w:t>"</w:t>
      </w:r>
      <w:r w:rsidRPr="00BE48FF">
        <w:rPr>
          <w:lang w:val="en-US"/>
        </w:rPr>
        <w:t>Interoperability and the pathways towards inclusive retail payments in Pakistan</w:t>
      </w:r>
      <w:r w:rsidR="00BD3731">
        <w:rPr>
          <w:lang w:val="en-US"/>
        </w:rPr>
        <w:t>"</w:t>
      </w:r>
      <w:r w:rsidRPr="00BE48FF">
        <w:rPr>
          <w:lang w:val="en-US"/>
        </w:rPr>
        <w:t>. CGAP.</w:t>
      </w:r>
    </w:p>
    <w:p w14:paraId="0E498B54" w14:textId="6D104F7F" w:rsidR="00D709B4" w:rsidRPr="00BE48FF" w:rsidRDefault="00D709B4" w:rsidP="00D709B4">
      <w:pPr>
        <w:pStyle w:val="Reftext"/>
        <w:spacing w:after="120"/>
        <w:rPr>
          <w:lang w:val="en-US"/>
        </w:rPr>
      </w:pPr>
      <w:r w:rsidRPr="00BE48FF">
        <w:rPr>
          <w:lang w:val="en-US"/>
        </w:rPr>
        <w:t>[4]</w:t>
      </w:r>
      <w:r w:rsidRPr="00BE48FF">
        <w:rPr>
          <w:lang w:val="en-US"/>
        </w:rPr>
        <w:tab/>
        <w:t xml:space="preserve">Benson, Carol Coye, and Scott Loftesness. 2012. </w:t>
      </w:r>
      <w:r w:rsidR="00BD3731">
        <w:rPr>
          <w:lang w:val="en-US"/>
        </w:rPr>
        <w:t>"</w:t>
      </w:r>
      <w:r w:rsidRPr="00BE48FF">
        <w:rPr>
          <w:lang w:val="en-US"/>
        </w:rPr>
        <w:t>Interoperability in Electronic Payments: Lessons and Opportunities</w:t>
      </w:r>
      <w:r w:rsidR="00BD3731">
        <w:rPr>
          <w:lang w:val="en-US"/>
        </w:rPr>
        <w:t>"</w:t>
      </w:r>
      <w:r w:rsidRPr="00BE48FF">
        <w:rPr>
          <w:lang w:val="en-US"/>
        </w:rPr>
        <w:t>. CGAP.</w:t>
      </w:r>
    </w:p>
    <w:p w14:paraId="3672CE63" w14:textId="42E3C25C" w:rsidR="00D709B4" w:rsidRPr="00BE48FF" w:rsidRDefault="00D709B4" w:rsidP="00D709B4">
      <w:pPr>
        <w:pStyle w:val="Reftext"/>
        <w:spacing w:after="120"/>
        <w:rPr>
          <w:lang w:val="en-US"/>
        </w:rPr>
      </w:pPr>
      <w:r w:rsidRPr="00BE48FF">
        <w:rPr>
          <w:lang w:val="en-US"/>
        </w:rPr>
        <w:t>[5]</w:t>
      </w:r>
      <w:r w:rsidRPr="00BE48FF">
        <w:rPr>
          <w:lang w:val="en-US"/>
        </w:rPr>
        <w:tab/>
        <w:t xml:space="preserve">CPMI, World Bank. 2016. </w:t>
      </w:r>
      <w:r w:rsidRPr="00BE48FF">
        <w:rPr>
          <w:i/>
          <w:iCs/>
          <w:lang w:val="en-US"/>
        </w:rPr>
        <w:t>Payment aspects of financial inclusion</w:t>
      </w:r>
      <w:r w:rsidRPr="00BE48FF">
        <w:rPr>
          <w:lang w:val="en-US"/>
        </w:rPr>
        <w:t xml:space="preserve">. </w:t>
      </w:r>
      <w:hyperlink r:id="rId14" w:history="1">
        <w:r w:rsidR="00B53968" w:rsidRPr="00B53968">
          <w:rPr>
            <w:rStyle w:val="Hyperlink"/>
            <w:rFonts w:ascii="Arial" w:hAnsi="Arial" w:cs="Arial"/>
            <w:sz w:val="16"/>
            <w:szCs w:val="16"/>
            <w:lang w:val="en-US"/>
          </w:rPr>
          <w:t>http://documents.worldbank.org/curated/en/806481470154477031/pdf/107382-WP-REPLLACEMENT-PUBLIC-PAFI-Report-final-in-A4.pdf</w:t>
        </w:r>
      </w:hyperlink>
      <w:r w:rsidR="00B53968">
        <w:rPr>
          <w:lang w:val="en-US"/>
        </w:rPr>
        <w:t xml:space="preserve"> </w:t>
      </w:r>
    </w:p>
    <w:p w14:paraId="6D6480A2" w14:textId="77777777" w:rsidR="00D709B4" w:rsidRPr="00BE48FF" w:rsidRDefault="00D709B4" w:rsidP="00D709B4">
      <w:pPr>
        <w:pStyle w:val="Reftext"/>
        <w:spacing w:after="120"/>
        <w:rPr>
          <w:lang w:val="en-US"/>
        </w:rPr>
      </w:pPr>
      <w:r w:rsidRPr="00BE48FF">
        <w:rPr>
          <w:lang w:val="en-US"/>
        </w:rPr>
        <w:t>[6]</w:t>
      </w:r>
      <w:r w:rsidRPr="00BE48FF">
        <w:rPr>
          <w:lang w:val="en-US"/>
        </w:rPr>
        <w:tab/>
        <w:t xml:space="preserve">Blackman, Colin, and Lara Srivastava, orgs. 2011. </w:t>
      </w:r>
      <w:r w:rsidRPr="00BE48FF">
        <w:rPr>
          <w:i/>
          <w:iCs/>
          <w:lang w:val="en-US"/>
        </w:rPr>
        <w:t>Telecommunications Regulation Handbook</w:t>
      </w:r>
      <w:r w:rsidRPr="00BE48FF">
        <w:rPr>
          <w:lang w:val="en-US"/>
        </w:rPr>
        <w:t>. Washington, DC: The International Bank for Reconstruction and Development / The World Bank, InfoDev, and The International Telecommunication Union.</w:t>
      </w:r>
    </w:p>
    <w:p w14:paraId="43A7AA6E" w14:textId="434201DE" w:rsidR="00D709B4" w:rsidRPr="00BE48FF" w:rsidRDefault="00D709B4" w:rsidP="00D709B4">
      <w:pPr>
        <w:pStyle w:val="Reftext"/>
        <w:spacing w:after="120"/>
        <w:rPr>
          <w:lang w:val="en-US"/>
        </w:rPr>
      </w:pPr>
      <w:r w:rsidRPr="00BE48FF">
        <w:rPr>
          <w:lang w:val="en-US"/>
        </w:rPr>
        <w:t>[7]</w:t>
      </w:r>
      <w:r w:rsidRPr="00BE48FF">
        <w:rPr>
          <w:lang w:val="en-US"/>
        </w:rPr>
        <w:tab/>
        <w:t xml:space="preserve">Bossone, Biagio. 2016. </w:t>
      </w:r>
      <w:r w:rsidR="00BD3731">
        <w:rPr>
          <w:lang w:val="en-US"/>
        </w:rPr>
        <w:t>"</w:t>
      </w:r>
      <w:r w:rsidRPr="00BE48FF">
        <w:rPr>
          <w:lang w:val="en-US"/>
        </w:rPr>
        <w:t>Payment System Oversight and Interoperability</w:t>
      </w:r>
      <w:r w:rsidR="00BD3731">
        <w:rPr>
          <w:lang w:val="en-US"/>
        </w:rPr>
        <w:t>"</w:t>
      </w:r>
      <w:r w:rsidRPr="00BE48FF">
        <w:rPr>
          <w:lang w:val="en-US"/>
        </w:rPr>
        <w:t>. 09/2016. ITU-T Focus Group Digital Financial Services. Geneva: International Telecommunication Union.</w:t>
      </w:r>
    </w:p>
    <w:p w14:paraId="1242273D" w14:textId="0FAC8895" w:rsidR="00D709B4" w:rsidRPr="00BE48FF" w:rsidRDefault="00D709B4" w:rsidP="00D709B4">
      <w:pPr>
        <w:pStyle w:val="Reftext"/>
        <w:spacing w:after="120"/>
        <w:rPr>
          <w:lang w:val="en-US"/>
        </w:rPr>
      </w:pPr>
      <w:r w:rsidRPr="00BE48FF">
        <w:rPr>
          <w:lang w:val="en-US"/>
        </w:rPr>
        <w:t>[8]</w:t>
      </w:r>
      <w:r w:rsidRPr="00BE48FF">
        <w:rPr>
          <w:lang w:val="en-US"/>
        </w:rPr>
        <w:tab/>
        <w:t xml:space="preserve">Central Bank of Brazil, and Brazil. 2010. </w:t>
      </w:r>
      <w:r w:rsidR="00BD3731">
        <w:rPr>
          <w:lang w:val="en-US"/>
        </w:rPr>
        <w:t>"</w:t>
      </w:r>
      <w:r w:rsidRPr="00BE48FF">
        <w:rPr>
          <w:lang w:val="en-US"/>
        </w:rPr>
        <w:t>Report on the Brazilian payment card industry</w:t>
      </w:r>
      <w:r w:rsidR="00BD3731">
        <w:rPr>
          <w:lang w:val="en-US"/>
        </w:rPr>
        <w:t>"</w:t>
      </w:r>
      <w:r w:rsidRPr="00BE48FF">
        <w:rPr>
          <w:lang w:val="en-US"/>
        </w:rPr>
        <w:t xml:space="preserve">. Brasilia: Central Bank of Brazil; Ministry of Finance; Ministry of Justice. </w:t>
      </w:r>
      <w:hyperlink r:id="rId15" w:history="1">
        <w:r w:rsidR="0068188C" w:rsidRPr="0068188C">
          <w:rPr>
            <w:rStyle w:val="Hyperlink"/>
            <w:rFonts w:ascii="Arial" w:hAnsi="Arial" w:cs="Arial"/>
            <w:sz w:val="16"/>
            <w:szCs w:val="16"/>
            <w:lang w:val="en-US"/>
          </w:rPr>
          <w:t>https://www.bcb.gov.br/Pom/Spb/Ing/Payment_Cards_Report.pdf</w:t>
        </w:r>
      </w:hyperlink>
      <w:r w:rsidR="0068188C">
        <w:rPr>
          <w:lang w:val="en-US"/>
        </w:rPr>
        <w:t xml:space="preserve"> </w:t>
      </w:r>
      <w:r w:rsidRPr="00BE48FF">
        <w:rPr>
          <w:lang w:val="en-US"/>
        </w:rPr>
        <w:t>.</w:t>
      </w:r>
    </w:p>
    <w:p w14:paraId="0EE80A82" w14:textId="0D5481B5" w:rsidR="00D709B4" w:rsidRPr="00BE48FF" w:rsidRDefault="00D709B4" w:rsidP="00D709B4">
      <w:pPr>
        <w:pStyle w:val="Reftext"/>
        <w:spacing w:after="120"/>
        <w:rPr>
          <w:lang w:val="en-US"/>
        </w:rPr>
      </w:pPr>
      <w:r w:rsidRPr="00BE48FF">
        <w:rPr>
          <w:lang w:val="en-US"/>
        </w:rPr>
        <w:t>[9]</w:t>
      </w:r>
      <w:r w:rsidRPr="00BE48FF">
        <w:rPr>
          <w:lang w:val="en-US"/>
        </w:rPr>
        <w:tab/>
        <w:t xml:space="preserve">Dahlberg, Tomi, Jie Guo, and Jan Ondrus. 2015. </w:t>
      </w:r>
      <w:r w:rsidR="00BD3731">
        <w:rPr>
          <w:lang w:val="en-US"/>
        </w:rPr>
        <w:t>"</w:t>
      </w:r>
      <w:r w:rsidRPr="00BE48FF">
        <w:rPr>
          <w:lang w:val="en-US"/>
        </w:rPr>
        <w:t>A critical review of mobile payment research</w:t>
      </w:r>
      <w:r w:rsidR="00BD3731">
        <w:rPr>
          <w:lang w:val="en-US"/>
        </w:rPr>
        <w:t>"</w:t>
      </w:r>
      <w:r w:rsidRPr="00BE48FF">
        <w:rPr>
          <w:lang w:val="en-US"/>
        </w:rPr>
        <w:t xml:space="preserve">. </w:t>
      </w:r>
      <w:r w:rsidRPr="00BE48FF">
        <w:rPr>
          <w:i/>
          <w:iCs/>
          <w:lang w:val="en-US"/>
        </w:rPr>
        <w:t>Electronic Commerce Research and Applications</w:t>
      </w:r>
      <w:r w:rsidRPr="00BE48FF">
        <w:rPr>
          <w:lang w:val="en-US"/>
        </w:rPr>
        <w:t>, Contemporary Research on Payments and Cards in the Global Fintech Revolution, 14 (5): 265–84. doi:10.1016/j.elerap.2015.07.006.</w:t>
      </w:r>
    </w:p>
    <w:p w14:paraId="76E7CB4E" w14:textId="61495DA3" w:rsidR="00D709B4" w:rsidRPr="00BE48FF" w:rsidRDefault="00D709B4" w:rsidP="00D709B4">
      <w:pPr>
        <w:pStyle w:val="Reftext"/>
        <w:spacing w:after="120"/>
        <w:rPr>
          <w:lang w:val="en-US"/>
        </w:rPr>
      </w:pPr>
      <w:r w:rsidRPr="00BE48FF">
        <w:rPr>
          <w:lang w:val="en-US"/>
        </w:rPr>
        <w:t>[10]</w:t>
      </w:r>
      <w:r w:rsidRPr="00BE48FF">
        <w:rPr>
          <w:lang w:val="en-US"/>
        </w:rPr>
        <w:tab/>
        <w:t xml:space="preserve">David-West, Olayinka. 2016. </w:t>
      </w:r>
      <w:r w:rsidR="00BD3731">
        <w:rPr>
          <w:lang w:val="en-US"/>
        </w:rPr>
        <w:t>"</w:t>
      </w:r>
      <w:r w:rsidRPr="00BE48FF">
        <w:rPr>
          <w:lang w:val="en-US"/>
        </w:rPr>
        <w:t>The path to digital financial inclusion in Nigeria: Experiences of Firstmonie</w:t>
      </w:r>
      <w:r w:rsidR="00BD3731">
        <w:rPr>
          <w:lang w:val="en-US"/>
        </w:rPr>
        <w:t>"</w:t>
      </w:r>
      <w:r w:rsidRPr="00BE48FF">
        <w:rPr>
          <w:lang w:val="en-US"/>
        </w:rPr>
        <w:t xml:space="preserve">. </w:t>
      </w:r>
      <w:r w:rsidRPr="00BE48FF">
        <w:rPr>
          <w:i/>
          <w:iCs/>
          <w:lang w:val="en-US"/>
        </w:rPr>
        <w:t>Journal of Payments Strategy &amp; Systems</w:t>
      </w:r>
      <w:r w:rsidRPr="00BE48FF">
        <w:rPr>
          <w:lang w:val="en-US"/>
        </w:rPr>
        <w:t xml:space="preserve"> 9 (4): 256–73.</w:t>
      </w:r>
    </w:p>
    <w:p w14:paraId="356F6460" w14:textId="428C8331" w:rsidR="00D709B4" w:rsidRPr="00BE48FF" w:rsidRDefault="00D709B4" w:rsidP="00D709B4">
      <w:pPr>
        <w:pStyle w:val="Reftext"/>
        <w:spacing w:after="120"/>
        <w:rPr>
          <w:lang w:val="en-US"/>
        </w:rPr>
      </w:pPr>
      <w:r w:rsidRPr="00BE48FF">
        <w:rPr>
          <w:lang w:val="en-US"/>
        </w:rPr>
        <w:t>[11]</w:t>
      </w:r>
      <w:r w:rsidRPr="00BE48FF">
        <w:rPr>
          <w:lang w:val="en-US"/>
        </w:rPr>
        <w:tab/>
        <w:t xml:space="preserve">Khiaonarong, Tanai. 2014. </w:t>
      </w:r>
      <w:r w:rsidR="00BD3731">
        <w:rPr>
          <w:lang w:val="en-US"/>
        </w:rPr>
        <w:t>"</w:t>
      </w:r>
      <w:r w:rsidRPr="00BE48FF">
        <w:rPr>
          <w:lang w:val="en-US"/>
        </w:rPr>
        <w:t>Oversight Issues in Mobile Payments</w:t>
      </w:r>
      <w:r w:rsidR="00BD3731">
        <w:rPr>
          <w:lang w:val="en-US"/>
        </w:rPr>
        <w:t>"</w:t>
      </w:r>
      <w:r w:rsidRPr="00BE48FF">
        <w:rPr>
          <w:lang w:val="en-US"/>
        </w:rPr>
        <w:t>. 14/123. IMF Working Paper. Washington, D.C.: International Monetary Fund.</w:t>
      </w:r>
    </w:p>
    <w:p w14:paraId="0D6A863A" w14:textId="77777777" w:rsidR="00D709B4" w:rsidRPr="00BE48FF" w:rsidRDefault="00D709B4" w:rsidP="00D709B4">
      <w:pPr>
        <w:pStyle w:val="Reftext"/>
        <w:spacing w:after="120"/>
        <w:rPr>
          <w:lang w:val="en-US"/>
        </w:rPr>
      </w:pPr>
      <w:r w:rsidRPr="00BE48FF">
        <w:rPr>
          <w:lang w:val="en-US"/>
        </w:rPr>
        <w:t>[12]</w:t>
      </w:r>
      <w:r w:rsidRPr="00BE48FF">
        <w:rPr>
          <w:lang w:val="en-US"/>
        </w:rPr>
        <w:tab/>
        <w:t>Laffont, Jean-Jacques and Tirole, Jean. 1993. A Theory of Incentives in Procurement and Regulation, MIT Press.</w:t>
      </w:r>
    </w:p>
    <w:p w14:paraId="4AAC2042" w14:textId="7CFDD2D9" w:rsidR="00D709B4" w:rsidRPr="00D709B4" w:rsidRDefault="00D709B4" w:rsidP="00D709B4">
      <w:pPr>
        <w:pStyle w:val="Reftext"/>
        <w:spacing w:after="120"/>
      </w:pPr>
      <w:r w:rsidRPr="00BE48FF">
        <w:rPr>
          <w:lang w:val="fr-CH"/>
        </w:rPr>
        <w:t>[13]</w:t>
      </w:r>
      <w:r w:rsidRPr="00BE48FF">
        <w:rPr>
          <w:lang w:val="fr-CH"/>
        </w:rPr>
        <w:tab/>
        <w:t xml:space="preserve">Laffont, Jean-Jacques and Tirole, Jean. 1999. </w:t>
      </w:r>
      <w:r w:rsidRPr="00BE48FF">
        <w:rPr>
          <w:lang w:val="en-US"/>
        </w:rPr>
        <w:t>Competition in Telecommunications, MIT Press.</w:t>
      </w:r>
    </w:p>
    <w:p w14:paraId="485E5EDD" w14:textId="3C6DE64A" w:rsidR="00296E87" w:rsidRPr="00E94D8C" w:rsidRDefault="00B53968" w:rsidP="00B53968">
      <w:pPr>
        <w:pStyle w:val="Heading1"/>
        <w:rPr>
          <w:lang w:bidi="ar-DZ"/>
        </w:rPr>
      </w:pPr>
      <w:bookmarkStart w:id="13" w:name="_Toc401158820"/>
      <w:bookmarkStart w:id="14" w:name="_Toc401159825"/>
      <w:bookmarkStart w:id="15" w:name="_Toc8394246"/>
      <w:bookmarkStart w:id="16" w:name="_Toc8395618"/>
      <w:r>
        <w:rPr>
          <w:lang w:bidi="ar-DZ"/>
        </w:rPr>
        <w:lastRenderedPageBreak/>
        <w:t>3</w:t>
      </w:r>
      <w:r>
        <w:rPr>
          <w:lang w:bidi="ar-DZ"/>
        </w:rPr>
        <w:tab/>
      </w:r>
      <w:r w:rsidR="00296E87" w:rsidRPr="00E94D8C">
        <w:rPr>
          <w:lang w:bidi="ar-DZ"/>
        </w:rPr>
        <w:t>Terms and definitions</w:t>
      </w:r>
      <w:bookmarkEnd w:id="13"/>
      <w:bookmarkEnd w:id="14"/>
      <w:bookmarkEnd w:id="15"/>
      <w:bookmarkEnd w:id="16"/>
    </w:p>
    <w:p w14:paraId="676A2AC9" w14:textId="77777777" w:rsidR="00296E87" w:rsidRPr="000735C7" w:rsidRDefault="00296E87" w:rsidP="00B53968">
      <w:pPr>
        <w:pStyle w:val="Heading2"/>
        <w:rPr>
          <w:lang w:bidi="ar-DZ"/>
        </w:rPr>
      </w:pPr>
      <w:bookmarkStart w:id="17" w:name="_Toc401158821"/>
      <w:bookmarkStart w:id="18" w:name="_Toc401159826"/>
      <w:bookmarkStart w:id="19" w:name="_Toc8394247"/>
      <w:bookmarkStart w:id="20" w:name="_Toc8395619"/>
      <w:r w:rsidRPr="000735C7">
        <w:rPr>
          <w:lang w:bidi="ar-DZ"/>
        </w:rPr>
        <w:t>3.1</w:t>
      </w:r>
      <w:r w:rsidRPr="000735C7">
        <w:rPr>
          <w:lang w:bidi="ar-DZ"/>
        </w:rPr>
        <w:tab/>
        <w:t>Terms defined elsewhere</w:t>
      </w:r>
      <w:bookmarkEnd w:id="17"/>
      <w:bookmarkEnd w:id="18"/>
      <w:bookmarkEnd w:id="19"/>
      <w:bookmarkEnd w:id="20"/>
    </w:p>
    <w:p w14:paraId="6EF84D70" w14:textId="77777777" w:rsidR="00296E87" w:rsidRPr="00E94D8C" w:rsidRDefault="00296E87" w:rsidP="00296E87">
      <w:pPr>
        <w:spacing w:after="120"/>
        <w:rPr>
          <w:szCs w:val="24"/>
        </w:rPr>
      </w:pPr>
      <w:r w:rsidRPr="00E94D8C">
        <w:rPr>
          <w:szCs w:val="24"/>
        </w:rPr>
        <w:t>This Technical Report uses the following terms defined elsewhere:</w:t>
      </w:r>
    </w:p>
    <w:p w14:paraId="46BFBB85" w14:textId="77777777" w:rsidR="00296E87" w:rsidRPr="00E94D8C" w:rsidRDefault="00296E87" w:rsidP="00296E87">
      <w:pPr>
        <w:spacing w:after="120"/>
        <w:rPr>
          <w:szCs w:val="24"/>
        </w:rPr>
      </w:pPr>
      <w:r w:rsidRPr="00E94D8C">
        <w:rPr>
          <w:bCs/>
          <w:szCs w:val="24"/>
        </w:rPr>
        <w:t>None.</w:t>
      </w:r>
    </w:p>
    <w:p w14:paraId="4489C4A4" w14:textId="77777777" w:rsidR="00296E87" w:rsidRPr="00E94D8C" w:rsidRDefault="00296E87" w:rsidP="00B53968">
      <w:pPr>
        <w:pStyle w:val="Heading2"/>
        <w:rPr>
          <w:lang w:bidi="ar-DZ"/>
        </w:rPr>
      </w:pPr>
      <w:bookmarkStart w:id="21" w:name="_Toc401158822"/>
      <w:bookmarkStart w:id="22" w:name="_Toc401159827"/>
      <w:bookmarkStart w:id="23" w:name="_Toc8394248"/>
      <w:bookmarkStart w:id="24" w:name="_Toc8395620"/>
      <w:r>
        <w:rPr>
          <w:lang w:bidi="ar-DZ"/>
        </w:rPr>
        <w:t>3.2</w:t>
      </w:r>
      <w:r>
        <w:rPr>
          <w:lang w:bidi="ar-DZ"/>
        </w:rPr>
        <w:tab/>
      </w:r>
      <w:r w:rsidRPr="00E94D8C">
        <w:rPr>
          <w:lang w:bidi="ar-DZ"/>
        </w:rPr>
        <w:t>Terms defined here</w:t>
      </w:r>
      <w:bookmarkEnd w:id="21"/>
      <w:bookmarkEnd w:id="22"/>
      <w:bookmarkEnd w:id="23"/>
      <w:bookmarkEnd w:id="24"/>
    </w:p>
    <w:p w14:paraId="7449B3EC" w14:textId="77777777" w:rsidR="00296E87" w:rsidRPr="00E94D8C" w:rsidRDefault="00296E87" w:rsidP="00296E87">
      <w:pPr>
        <w:spacing w:after="120"/>
        <w:rPr>
          <w:szCs w:val="24"/>
        </w:rPr>
      </w:pPr>
      <w:r w:rsidRPr="00E94D8C">
        <w:rPr>
          <w:szCs w:val="24"/>
        </w:rPr>
        <w:t>This Technical Report defines the following terms:</w:t>
      </w:r>
    </w:p>
    <w:p w14:paraId="4A885799" w14:textId="77777777" w:rsidR="00296E87" w:rsidRPr="00E94D8C" w:rsidRDefault="00296E87" w:rsidP="00296E87">
      <w:pPr>
        <w:spacing w:after="120"/>
        <w:rPr>
          <w:szCs w:val="24"/>
        </w:rPr>
      </w:pPr>
      <w:r w:rsidRPr="00E94D8C">
        <w:rPr>
          <w:bCs/>
          <w:szCs w:val="24"/>
        </w:rPr>
        <w:t>None.</w:t>
      </w:r>
    </w:p>
    <w:p w14:paraId="6B9573F4" w14:textId="1CA4C9BE" w:rsidR="00296E87" w:rsidRDefault="00B53968" w:rsidP="00B53968">
      <w:pPr>
        <w:pStyle w:val="Heading1"/>
        <w:rPr>
          <w:lang w:bidi="ar-DZ"/>
        </w:rPr>
      </w:pPr>
      <w:bookmarkStart w:id="25" w:name="_Toc401158823"/>
      <w:bookmarkStart w:id="26" w:name="_Toc401159828"/>
      <w:bookmarkStart w:id="27" w:name="_Toc8394249"/>
      <w:bookmarkStart w:id="28" w:name="_Toc8395621"/>
      <w:r>
        <w:rPr>
          <w:lang w:bidi="ar-DZ"/>
        </w:rPr>
        <w:t>4</w:t>
      </w:r>
      <w:r>
        <w:rPr>
          <w:lang w:bidi="ar-DZ"/>
        </w:rPr>
        <w:tab/>
      </w:r>
      <w:r w:rsidR="00296E87" w:rsidRPr="00E94D8C">
        <w:rPr>
          <w:lang w:bidi="ar-DZ"/>
        </w:rPr>
        <w:t>Abbreviations</w:t>
      </w:r>
      <w:bookmarkEnd w:id="25"/>
      <w:bookmarkEnd w:id="26"/>
      <w:bookmarkEnd w:id="27"/>
      <w:bookmarkEnd w:id="28"/>
    </w:p>
    <w:p w14:paraId="5F8E3CA4" w14:textId="11BB8B0C" w:rsidR="00E14760" w:rsidRDefault="00E14760" w:rsidP="00B53968">
      <w:r>
        <w:t>BCB</w:t>
      </w:r>
      <w:r>
        <w:tab/>
        <w:t>Brazilian Central Bank</w:t>
      </w:r>
    </w:p>
    <w:p w14:paraId="6EB95A15" w14:textId="35220C4B" w:rsidR="00E14760" w:rsidRPr="00E14760" w:rsidRDefault="00E14760" w:rsidP="00B53968">
      <w:r>
        <w:t>CBL</w:t>
      </w:r>
      <w:r>
        <w:tab/>
        <w:t>Central Bank of Liberia</w:t>
      </w:r>
    </w:p>
    <w:p w14:paraId="57C1D728" w14:textId="2DB270D3" w:rsidR="00296E87" w:rsidRDefault="00E14760" w:rsidP="00B53968">
      <w:pPr>
        <w:rPr>
          <w:szCs w:val="24"/>
          <w:lang w:eastAsia="ja-JP" w:bidi="ar-DZ"/>
        </w:rPr>
      </w:pPr>
      <w:r>
        <w:rPr>
          <w:szCs w:val="24"/>
          <w:lang w:eastAsia="ja-JP" w:bidi="ar-DZ"/>
        </w:rPr>
        <w:t>DFS</w:t>
      </w:r>
      <w:r>
        <w:rPr>
          <w:szCs w:val="24"/>
          <w:lang w:eastAsia="ja-JP" w:bidi="ar-DZ"/>
        </w:rPr>
        <w:tab/>
        <w:t>Digital Financial Services</w:t>
      </w:r>
    </w:p>
    <w:p w14:paraId="4267F95D" w14:textId="2435FC15" w:rsidR="00E14760" w:rsidRDefault="00E14760" w:rsidP="00B53968">
      <w:pPr>
        <w:rPr>
          <w:szCs w:val="24"/>
          <w:lang w:eastAsia="ja-JP" w:bidi="ar-DZ"/>
        </w:rPr>
      </w:pPr>
      <w:r>
        <w:rPr>
          <w:szCs w:val="24"/>
          <w:lang w:eastAsia="ja-JP" w:bidi="ar-DZ"/>
        </w:rPr>
        <w:t>ICT</w:t>
      </w:r>
      <w:r>
        <w:rPr>
          <w:szCs w:val="24"/>
          <w:lang w:eastAsia="ja-JP" w:bidi="ar-DZ"/>
        </w:rPr>
        <w:tab/>
        <w:t>Information and Communication Technology</w:t>
      </w:r>
    </w:p>
    <w:p w14:paraId="29D64AD7" w14:textId="28D6EC15" w:rsidR="00E14760" w:rsidRDefault="00E14760" w:rsidP="00B53968">
      <w:pPr>
        <w:rPr>
          <w:szCs w:val="24"/>
          <w:lang w:eastAsia="ja-JP" w:bidi="ar-DZ"/>
        </w:rPr>
      </w:pPr>
      <w:r>
        <w:rPr>
          <w:szCs w:val="24"/>
          <w:lang w:eastAsia="ja-JP" w:bidi="ar-DZ"/>
        </w:rPr>
        <w:t>MNO</w:t>
      </w:r>
      <w:r>
        <w:rPr>
          <w:szCs w:val="24"/>
          <w:lang w:eastAsia="ja-JP" w:bidi="ar-DZ"/>
        </w:rPr>
        <w:tab/>
        <w:t>Mobile Network Operator</w:t>
      </w:r>
    </w:p>
    <w:p w14:paraId="1D01DCB8" w14:textId="2008652A" w:rsidR="009E1059" w:rsidRDefault="009E1059" w:rsidP="00B53968">
      <w:pPr>
        <w:rPr>
          <w:szCs w:val="24"/>
          <w:lang w:eastAsia="ja-JP" w:bidi="ar-DZ"/>
        </w:rPr>
      </w:pPr>
      <w:r>
        <w:rPr>
          <w:szCs w:val="24"/>
          <w:lang w:eastAsia="ja-JP" w:bidi="ar-DZ"/>
        </w:rPr>
        <w:t>MOU</w:t>
      </w:r>
      <w:r>
        <w:rPr>
          <w:szCs w:val="24"/>
          <w:lang w:eastAsia="ja-JP" w:bidi="ar-DZ"/>
        </w:rPr>
        <w:tab/>
        <w:t>Memorandum of Understanding</w:t>
      </w:r>
    </w:p>
    <w:p w14:paraId="6B7D44AD" w14:textId="77777777" w:rsidR="00E14760" w:rsidRPr="00E94D8C" w:rsidRDefault="00E14760" w:rsidP="00B53968">
      <w:pPr>
        <w:rPr>
          <w:szCs w:val="24"/>
          <w:lang w:eastAsia="ja-JP" w:bidi="ar-DZ"/>
        </w:rPr>
      </w:pPr>
      <w:r>
        <w:rPr>
          <w:szCs w:val="24"/>
          <w:lang w:eastAsia="ja-JP" w:bidi="ar-DZ"/>
        </w:rPr>
        <w:t>NRPS</w:t>
      </w:r>
      <w:r>
        <w:rPr>
          <w:szCs w:val="24"/>
          <w:lang w:eastAsia="ja-JP" w:bidi="ar-DZ"/>
        </w:rPr>
        <w:tab/>
        <w:t>National Retail Payments System</w:t>
      </w:r>
    </w:p>
    <w:p w14:paraId="3FC085C7" w14:textId="04832625" w:rsidR="008A4EC7" w:rsidRDefault="00B53968" w:rsidP="00B53968">
      <w:pPr>
        <w:pStyle w:val="Heading1"/>
      </w:pPr>
      <w:bookmarkStart w:id="29" w:name="_Toc8395622"/>
      <w:r>
        <w:rPr>
          <w:lang w:bidi="ar-DZ"/>
        </w:rPr>
        <w:t>5</w:t>
      </w:r>
      <w:r>
        <w:rPr>
          <w:lang w:bidi="ar-DZ"/>
        </w:rPr>
        <w:tab/>
      </w:r>
      <w:r w:rsidR="006E0505" w:rsidRPr="00296E87">
        <w:rPr>
          <w:lang w:bidi="ar-DZ"/>
        </w:rPr>
        <w:t>Introduction</w:t>
      </w:r>
      <w:bookmarkEnd w:id="29"/>
    </w:p>
    <w:p w14:paraId="57D8F08B" w14:textId="77777777" w:rsidR="00BD49DE" w:rsidRPr="00BD469D" w:rsidRDefault="00BD49DE" w:rsidP="00296E87">
      <w:pPr>
        <w:spacing w:after="120"/>
      </w:pPr>
      <w:r w:rsidRPr="00B50360">
        <w:t xml:space="preserve">Interoperability is </w:t>
      </w:r>
      <w:r>
        <w:t xml:space="preserve">deemed to be one of the </w:t>
      </w:r>
      <w:r w:rsidRPr="00DE6049">
        <w:t>crucial</w:t>
      </w:r>
      <w:r w:rsidRPr="00A468FB">
        <w:t xml:space="preserve"> </w:t>
      </w:r>
      <w:r w:rsidRPr="00BD469D">
        <w:t xml:space="preserve">characteristics of financial and </w:t>
      </w:r>
      <w:r w:rsidR="00C90FB2">
        <w:t>i</w:t>
      </w:r>
      <w:r w:rsidR="00C90FB2" w:rsidRPr="00C90FB2">
        <w:t xml:space="preserve">nformation and </w:t>
      </w:r>
      <w:r w:rsidR="00C90FB2">
        <w:t>c</w:t>
      </w:r>
      <w:r w:rsidR="00804B0B">
        <w:t>ommunication</w:t>
      </w:r>
      <w:r w:rsidR="00C90FB2" w:rsidRPr="00C90FB2">
        <w:t xml:space="preserve"> </w:t>
      </w:r>
      <w:r w:rsidR="00C90FB2">
        <w:t>t</w:t>
      </w:r>
      <w:r w:rsidR="00C90FB2" w:rsidRPr="00C90FB2">
        <w:t xml:space="preserve">echnology </w:t>
      </w:r>
      <w:r w:rsidR="00C90FB2">
        <w:t>(</w:t>
      </w:r>
      <w:r w:rsidRPr="00BD469D">
        <w:t>ICT</w:t>
      </w:r>
      <w:r w:rsidR="00C90FB2">
        <w:t>)</w:t>
      </w:r>
      <w:r w:rsidRPr="00BD469D">
        <w:t xml:space="preserve"> infrastructures</w:t>
      </w:r>
      <w:r w:rsidR="00C77396">
        <w:t>,</w:t>
      </w:r>
      <w:r>
        <w:t xml:space="preserve"> and</w:t>
      </w:r>
      <w:r w:rsidR="00C77396">
        <w:t xml:space="preserve"> for</w:t>
      </w:r>
      <w:r>
        <w:t xml:space="preserve"> </w:t>
      </w:r>
      <w:r w:rsidRPr="00B50360">
        <w:t>the widespread availability of DFS</w:t>
      </w:r>
      <w:r w:rsidR="00C77396">
        <w:t xml:space="preserve">, effectively supporting </w:t>
      </w:r>
      <w:r w:rsidRPr="00B50360">
        <w:t>financial inclusion</w:t>
      </w:r>
      <w:r w:rsidR="00C22D8A">
        <w:rPr>
          <w:rStyle w:val="FootnoteReference"/>
        </w:rPr>
        <w:footnoteReference w:id="1"/>
      </w:r>
      <w:r w:rsidRPr="00B50360">
        <w:t>. Whereas the widespread availability</w:t>
      </w:r>
      <w:r>
        <w:t xml:space="preserve"> of digital solutions</w:t>
      </w:r>
      <w:r w:rsidRPr="00B50360">
        <w:t xml:space="preserve"> </w:t>
      </w:r>
      <w:r>
        <w:t>for savings, credit</w:t>
      </w:r>
      <w:r w:rsidR="007E6B3E">
        <w:t>,</w:t>
      </w:r>
      <w:r>
        <w:t xml:space="preserve"> and payments</w:t>
      </w:r>
      <w:r w:rsidRPr="00B50360">
        <w:t xml:space="preserve"> provides people with access</w:t>
      </w:r>
      <w:r>
        <w:t xml:space="preserve"> to financial services</w:t>
      </w:r>
      <w:r w:rsidRPr="00B50360">
        <w:t xml:space="preserve">, </w:t>
      </w:r>
      <w:r>
        <w:t xml:space="preserve">payments </w:t>
      </w:r>
      <w:r w:rsidRPr="00B50360">
        <w:t xml:space="preserve">interoperability enables these targeted people to transfer </w:t>
      </w:r>
      <w:r>
        <w:t xml:space="preserve">their </w:t>
      </w:r>
      <w:r w:rsidRPr="00B50360">
        <w:t xml:space="preserve">money to any other individual, without </w:t>
      </w:r>
      <w:r w:rsidR="00455E65">
        <w:t>need</w:t>
      </w:r>
      <w:r w:rsidRPr="00B50360">
        <w:t>ing</w:t>
      </w:r>
      <w:r w:rsidR="00455E65">
        <w:t xml:space="preserve"> to have</w:t>
      </w:r>
      <w:r w:rsidRPr="00B50360">
        <w:t xml:space="preserve"> multiple transaction accounts</w:t>
      </w:r>
      <w:r>
        <w:t>.</w:t>
      </w:r>
    </w:p>
    <w:p w14:paraId="3890E8C0" w14:textId="5259636C" w:rsidR="00BD49DE" w:rsidRDefault="00BD49DE" w:rsidP="00296E87">
      <w:pPr>
        <w:spacing w:after="120"/>
      </w:pPr>
      <w:r>
        <w:t>While everyone should have the option to have more than one account, if she/he decides to do so, nobody should be required to open accounts due to a lack of interoperability, since this might i</w:t>
      </w:r>
      <w:r w:rsidR="001814A7">
        <w:t>nvolve</w:t>
      </w:r>
      <w:r>
        <w:t xml:space="preserve"> costs coming from the existence of idle balances or from a higher incidence of fees to cope with their management.</w:t>
      </w:r>
      <w:r w:rsidR="00084A4C">
        <w:t xml:space="preserve"> </w:t>
      </w:r>
      <w:r>
        <w:t xml:space="preserve">Since costs are often quoted as one of the most important reasons not to have an account, </w:t>
      </w:r>
      <w:r w:rsidR="003B5C52">
        <w:t xml:space="preserve">products that </w:t>
      </w:r>
      <w:r w:rsidR="003B5C52" w:rsidRPr="006C1F45">
        <w:t>effectively meet a broad range of transaction needs</w:t>
      </w:r>
      <w:r w:rsidR="003B5C52">
        <w:t xml:space="preserve"> </w:t>
      </w:r>
      <w:r w:rsidR="008260D2">
        <w:t xml:space="preserve">of the targeted population </w:t>
      </w:r>
      <w:r w:rsidR="003B5C52">
        <w:t>(e.g.</w:t>
      </w:r>
      <w:r w:rsidR="00BD3731">
        <w:t>,</w:t>
      </w:r>
      <w:r w:rsidR="003B5C52">
        <w:t xml:space="preserve"> via interoperability)</w:t>
      </w:r>
      <w:r w:rsidR="008260D2">
        <w:t xml:space="preserve"> at little or no cost</w:t>
      </w:r>
      <w:r w:rsidR="003B5C52">
        <w:t xml:space="preserve"> have a higher potential to </w:t>
      </w:r>
      <w:r>
        <w:t>increase access to and usage of transaction accounts</w:t>
      </w:r>
      <w:r>
        <w:rPr>
          <w:rStyle w:val="FootnoteReference"/>
        </w:rPr>
        <w:footnoteReference w:id="2"/>
      </w:r>
      <w:r w:rsidR="00D56461">
        <w:t>.</w:t>
      </w:r>
    </w:p>
    <w:p w14:paraId="2A3DE8F0" w14:textId="77777777" w:rsidR="00BD49DE" w:rsidRDefault="00BD49DE" w:rsidP="00296E87">
      <w:pPr>
        <w:spacing w:after="120"/>
      </w:pPr>
      <w:r>
        <w:t>R</w:t>
      </w:r>
      <w:r w:rsidRPr="00D56E68">
        <w:t>ecent literature points out interoperability issues as a major obstacle to the</w:t>
      </w:r>
      <w:r>
        <w:t xml:space="preserve"> implementation of DFS</w:t>
      </w:r>
      <w:r>
        <w:rPr>
          <w:rStyle w:val="FootnoteReference"/>
        </w:rPr>
        <w:footnoteReference w:id="3"/>
      </w:r>
      <w:r>
        <w:t>. However, i</w:t>
      </w:r>
      <w:r w:rsidRPr="009F5C76">
        <w:t xml:space="preserve">nteroperability is not </w:t>
      </w:r>
      <w:r>
        <w:t>always considered as a desirable objective by service providers, especially not if they are dominant</w:t>
      </w:r>
      <w:r w:rsidRPr="009F5C76">
        <w:t xml:space="preserve"> market players. This setting makes room for the rise of the willingness of governments seeking inclusion to induce interoperability.</w:t>
      </w:r>
    </w:p>
    <w:p w14:paraId="241E1B34" w14:textId="7357E6B5" w:rsidR="00455E65" w:rsidRDefault="00BD49DE" w:rsidP="00296E87">
      <w:pPr>
        <w:spacing w:after="120"/>
      </w:pPr>
      <w:r>
        <w:lastRenderedPageBreak/>
        <w:t xml:space="preserve">Despite </w:t>
      </w:r>
      <w:r w:rsidR="001814A7">
        <w:t xml:space="preserve">the fact that </w:t>
      </w:r>
      <w:r w:rsidRPr="00D56E68">
        <w:t xml:space="preserve">some consensus has been achieved </w:t>
      </w:r>
      <w:r w:rsidR="00992841">
        <w:t>and</w:t>
      </w:r>
      <w:r>
        <w:t xml:space="preserve"> the regulator can </w:t>
      </w:r>
      <w:r w:rsidR="00992841">
        <w:t xml:space="preserve">now </w:t>
      </w:r>
      <w:r>
        <w:t>have an important role in inducing interoperability</w:t>
      </w:r>
      <w:r>
        <w:rPr>
          <w:rStyle w:val="FootnoteReference"/>
        </w:rPr>
        <w:footnoteReference w:id="4"/>
      </w:r>
      <w:r w:rsidRPr="00D56E68">
        <w:t xml:space="preserve">, the right timing for </w:t>
      </w:r>
      <w:r>
        <w:t xml:space="preserve">and scope of </w:t>
      </w:r>
      <w:r w:rsidRPr="00D56E68">
        <w:t>the regulator</w:t>
      </w:r>
      <w:r w:rsidR="00BD3731">
        <w:t>'</w:t>
      </w:r>
      <w:r>
        <w:t>s</w:t>
      </w:r>
      <w:r w:rsidRPr="00D56E68">
        <w:t xml:space="preserve"> </w:t>
      </w:r>
      <w:r>
        <w:t>actions</w:t>
      </w:r>
      <w:r w:rsidRPr="00D56E68">
        <w:t xml:space="preserve"> is still an open discussion.</w:t>
      </w:r>
      <w:r>
        <w:t xml:space="preserve"> On one hand, early intervention may adversely affect market development by raising entry barriers and removing first mover incentives. For example, </w:t>
      </w:r>
      <w:r w:rsidRPr="00E02465">
        <w:t xml:space="preserve">innovative solutions may be </w:t>
      </w:r>
      <w:r>
        <w:t>unsuccessful with early interoperability induction</w:t>
      </w:r>
      <w:r w:rsidRPr="00E02465">
        <w:t xml:space="preserve"> </w:t>
      </w:r>
      <w:r>
        <w:t>because of</w:t>
      </w:r>
      <w:r w:rsidRPr="00E02465">
        <w:t xml:space="preserve"> the reduction of </w:t>
      </w:r>
      <w:r>
        <w:t xml:space="preserve">the </w:t>
      </w:r>
      <w:r w:rsidRPr="00E02465">
        <w:t>potential revenue</w:t>
      </w:r>
      <w:r>
        <w:t xml:space="preserve"> they would obtain in the case </w:t>
      </w:r>
      <w:r w:rsidR="00813C64">
        <w:t xml:space="preserve">where </w:t>
      </w:r>
      <w:r>
        <w:t>they were provided as</w:t>
      </w:r>
      <w:r w:rsidRPr="00E02465">
        <w:t xml:space="preserve"> </w:t>
      </w:r>
      <w:r w:rsidRPr="00E70E25">
        <w:t>stand-alone</w:t>
      </w:r>
      <w:r>
        <w:t xml:space="preserve"> </w:t>
      </w:r>
      <w:r w:rsidR="0006229E">
        <w:t>solutions</w:t>
      </w:r>
      <w:r>
        <w:rPr>
          <w:rStyle w:val="FootnoteReference"/>
        </w:rPr>
        <w:footnoteReference w:id="5"/>
      </w:r>
      <w:r>
        <w:t>.</w:t>
      </w:r>
      <w:r w:rsidR="00813C64">
        <w:t xml:space="preserve"> </w:t>
      </w:r>
      <w:r>
        <w:t>On the other hand, interven</w:t>
      </w:r>
      <w:r w:rsidR="00B71315">
        <w:t>ing</w:t>
      </w:r>
      <w:r>
        <w:t xml:space="preserve"> </w:t>
      </w:r>
      <w:r w:rsidR="00B71315">
        <w:t xml:space="preserve">too late </w:t>
      </w:r>
      <w:r>
        <w:t>might make it difficult – if not impossible – to establish a competitive, interoperable market. As a result, undesired outcomes</w:t>
      </w:r>
      <w:r w:rsidR="00992841">
        <w:t>,</w:t>
      </w:r>
      <w:r>
        <w:t xml:space="preserve"> such as oligopolistic or even monopolistic structures</w:t>
      </w:r>
      <w:r w:rsidR="00992841">
        <w:t>,</w:t>
      </w:r>
      <w:r>
        <w:t xml:space="preserve"> and market power concentration can arise. Changing these market structures once they are established is challenging and will likely draw opposition from incumbents, who fear the competition from potential new entrants and want to defend</w:t>
      </w:r>
      <w:r w:rsidR="00D56461">
        <w:t xml:space="preserve"> their current market position.</w:t>
      </w:r>
    </w:p>
    <w:p w14:paraId="32064F77" w14:textId="064DD4E0" w:rsidR="00661FFD" w:rsidRDefault="00BD49DE" w:rsidP="00296E87">
      <w:pPr>
        <w:spacing w:after="120"/>
      </w:pPr>
      <w:r w:rsidRPr="00E02465">
        <w:t xml:space="preserve">Thus, </w:t>
      </w:r>
      <w:r w:rsidR="00656C91">
        <w:t>the question becomes</w:t>
      </w:r>
      <w:r w:rsidR="00455E65">
        <w:t>:</w:t>
      </w:r>
      <w:r w:rsidR="00656C91">
        <w:t xml:space="preserve"> </w:t>
      </w:r>
      <w:r w:rsidR="00455E65">
        <w:t>W</w:t>
      </w:r>
      <w:r>
        <w:t>hat is the</w:t>
      </w:r>
      <w:r w:rsidRPr="00E02465">
        <w:t xml:space="preserve"> right time</w:t>
      </w:r>
      <w:r>
        <w:t xml:space="preserve"> </w:t>
      </w:r>
      <w:r w:rsidRPr="00E02465">
        <w:t xml:space="preserve">for the </w:t>
      </w:r>
      <w:r>
        <w:t>regulator</w:t>
      </w:r>
      <w:r w:rsidRPr="00E02465">
        <w:t xml:space="preserve"> to intervene and induce interoperability in a country</w:t>
      </w:r>
      <w:r w:rsidR="00BD3731">
        <w:t>'</w:t>
      </w:r>
      <w:r w:rsidRPr="00E02465">
        <w:t xml:space="preserve">s </w:t>
      </w:r>
      <w:r w:rsidR="006A798F">
        <w:t>DFS</w:t>
      </w:r>
      <w:r w:rsidRPr="00E02465">
        <w:t xml:space="preserve"> market?</w:t>
      </w:r>
      <w:r>
        <w:t xml:space="preserve"> There is already extensive theoretical economic literature </w:t>
      </w:r>
      <w:r w:rsidR="00D44559">
        <w:t>(</w:t>
      </w:r>
      <w:r w:rsidR="002A0D1E">
        <w:t xml:space="preserve">which </w:t>
      </w:r>
      <w:r>
        <w:t>balanc</w:t>
      </w:r>
      <w:r w:rsidR="002A0D1E">
        <w:t>es</w:t>
      </w:r>
      <w:r>
        <w:t xml:space="preserve"> </w:t>
      </w:r>
      <w:r w:rsidR="008B791D">
        <w:t xml:space="preserve">the </w:t>
      </w:r>
      <w:r>
        <w:t xml:space="preserve">benefits and costs </w:t>
      </w:r>
      <w:r w:rsidR="00CA6F7A">
        <w:t>of</w:t>
      </w:r>
      <w:r>
        <w:t xml:space="preserve"> the government</w:t>
      </w:r>
      <w:r w:rsidR="00BD3731">
        <w:t>'</w:t>
      </w:r>
      <w:r>
        <w:t>s intervention in the market</w:t>
      </w:r>
      <w:r>
        <w:rPr>
          <w:rStyle w:val="FootnoteReference"/>
        </w:rPr>
        <w:footnoteReference w:id="6"/>
      </w:r>
      <w:r w:rsidR="00D44559">
        <w:t>)</w:t>
      </w:r>
      <w:r w:rsidR="00455E65">
        <w:t xml:space="preserve"> </w:t>
      </w:r>
      <w:r w:rsidR="009103E3">
        <w:t>that may provide insights for answering this question</w:t>
      </w:r>
      <w:r>
        <w:t xml:space="preserve">. When it comes to interoperability, </w:t>
      </w:r>
      <w:r w:rsidR="00CA6F7A">
        <w:t>although</w:t>
      </w:r>
      <w:r w:rsidR="008260D2">
        <w:t xml:space="preserve"> </w:t>
      </w:r>
      <w:r>
        <w:t xml:space="preserve">there is some anecdotal evidence, typically </w:t>
      </w:r>
      <w:r w:rsidR="00AD6900">
        <w:t xml:space="preserve">we find </w:t>
      </w:r>
      <w:r w:rsidRPr="00661FFD">
        <w:t>a lack of ex ante/ex post data</w:t>
      </w:r>
      <w:r w:rsidR="00DC6F08" w:rsidRPr="00661FFD">
        <w:t>.</w:t>
      </w:r>
      <w:r w:rsidR="008260D2" w:rsidRPr="00661FFD">
        <w:t xml:space="preserve"> Thus, analyses </w:t>
      </w:r>
      <w:r w:rsidR="006C0201">
        <w:t>is</w:t>
      </w:r>
      <w:r w:rsidR="00DC6F08" w:rsidRPr="00661FFD">
        <w:t xml:space="preserve"> limited</w:t>
      </w:r>
      <w:r w:rsidR="006C0201">
        <w:t>,</w:t>
      </w:r>
      <w:r w:rsidR="0082141F" w:rsidRPr="00661FFD">
        <w:t xml:space="preserve"> and any conclusion </w:t>
      </w:r>
      <w:r w:rsidR="006C0201">
        <w:t xml:space="preserve">about </w:t>
      </w:r>
      <w:r w:rsidR="00661FFD" w:rsidRPr="00661FFD">
        <w:t xml:space="preserve">whether regulatory intervention has improved interoperability </w:t>
      </w:r>
      <w:r w:rsidR="0082141F" w:rsidRPr="00661FFD">
        <w:t>must</w:t>
      </w:r>
      <w:r w:rsidR="0082141F">
        <w:t xml:space="preserve"> be</w:t>
      </w:r>
      <w:r w:rsidR="00661FFD">
        <w:t xml:space="preserve"> carefully</w:t>
      </w:r>
      <w:r w:rsidR="0082141F">
        <w:t xml:space="preserve"> </w:t>
      </w:r>
      <w:r w:rsidR="009E5E37">
        <w:t>considered</w:t>
      </w:r>
      <w:r w:rsidR="00661FFD">
        <w:t>.</w:t>
      </w:r>
    </w:p>
    <w:p w14:paraId="37235D33" w14:textId="77777777" w:rsidR="00BD49DE" w:rsidRDefault="00BD49DE" w:rsidP="00296E87">
      <w:pPr>
        <w:spacing w:after="120"/>
      </w:pPr>
      <w:r>
        <w:t>Th</w:t>
      </w:r>
      <w:r w:rsidR="00D56461">
        <w:t>is Technical Report</w:t>
      </w:r>
      <w:r>
        <w:t xml:space="preserve"> contributes to the topic providing insights shared by five regulators</w:t>
      </w:r>
      <w:r w:rsidR="009103E3">
        <w:t xml:space="preserve"> who</w:t>
      </w:r>
      <w:r>
        <w:t xml:space="preserve"> participated in the DFS Focus Group WG on Interoperability.</w:t>
      </w:r>
    </w:p>
    <w:p w14:paraId="62BB469E" w14:textId="1A31715F" w:rsidR="00BD49DE" w:rsidRPr="0015229C" w:rsidRDefault="0007777A" w:rsidP="0007777A">
      <w:pPr>
        <w:pStyle w:val="Heading1"/>
      </w:pPr>
      <w:bookmarkStart w:id="30" w:name="_Toc8395623"/>
      <w:r>
        <w:t>6</w:t>
      </w:r>
      <w:r>
        <w:tab/>
      </w:r>
      <w:r w:rsidR="006E0505">
        <w:t>Methodology</w:t>
      </w:r>
      <w:bookmarkEnd w:id="30"/>
    </w:p>
    <w:p w14:paraId="4590F41D" w14:textId="77777777" w:rsidR="00BD49DE" w:rsidRDefault="00BD49DE" w:rsidP="00296E87">
      <w:pPr>
        <w:spacing w:after="120"/>
      </w:pPr>
      <w:r>
        <w:t>A questionnaire was distributed among representatives from authorities of 18 countries attending the DFS Focus Group WG on Interoperability, eight from Asia, seven from Africa</w:t>
      </w:r>
      <w:r w:rsidR="002A1D7B">
        <w:t>,</w:t>
      </w:r>
      <w:r>
        <w:t xml:space="preserve"> and three from South America. Whenever possible, both the telecommunication and the financial regulators received the questionnaire.</w:t>
      </w:r>
    </w:p>
    <w:p w14:paraId="64F1D8C5" w14:textId="77777777" w:rsidR="00BD49DE" w:rsidRDefault="00BD49DE" w:rsidP="00296E87">
      <w:pPr>
        <w:spacing w:after="120"/>
      </w:pPr>
      <w:r>
        <w:t xml:space="preserve">Four regulators and one payment infrastructure answered the survey and their answers are reported on the next section. The questions are available </w:t>
      </w:r>
      <w:r w:rsidR="006E0505">
        <w:t>i</w:t>
      </w:r>
      <w:r>
        <w:t>n the Annex</w:t>
      </w:r>
      <w:r w:rsidR="006E0505">
        <w:t xml:space="preserve"> and</w:t>
      </w:r>
      <w:r>
        <w:t xml:space="preserve"> addre</w:t>
      </w:r>
      <w:r w:rsidR="00734B51">
        <w:t>ssed the areas summarized below:</w:t>
      </w:r>
    </w:p>
    <w:p w14:paraId="2D15EE69" w14:textId="04622D22" w:rsidR="006E0505" w:rsidRPr="00A7318B" w:rsidRDefault="0007777A" w:rsidP="0007777A">
      <w:pPr>
        <w:pStyle w:val="enumlev10"/>
      </w:pPr>
      <w:r>
        <w:t>–</w:t>
      </w:r>
      <w:r>
        <w:tab/>
      </w:r>
      <w:r w:rsidR="00BD49DE" w:rsidRPr="0022665D">
        <w:t>Mandate of the regulator</w:t>
      </w:r>
    </w:p>
    <w:p w14:paraId="3D67FAC0" w14:textId="0239D4F0" w:rsidR="006E0505" w:rsidRPr="00296E87" w:rsidRDefault="0007777A" w:rsidP="0007777A">
      <w:pPr>
        <w:pStyle w:val="enumlev10"/>
      </w:pPr>
      <w:r>
        <w:tab/>
      </w:r>
      <w:r w:rsidR="00BD49DE" w:rsidRPr="006E0505">
        <w:t>D</w:t>
      </w:r>
      <w:r w:rsidR="002A1D7B">
        <w:t>FS</w:t>
      </w:r>
      <w:r w:rsidR="00671522">
        <w:t>,</w:t>
      </w:r>
      <w:r w:rsidR="00BD49DE" w:rsidRPr="006E0505">
        <w:t xml:space="preserve"> especially mobile financial services</w:t>
      </w:r>
      <w:r w:rsidR="002A1D7B">
        <w:t>,</w:t>
      </w:r>
      <w:r w:rsidR="00BD49DE" w:rsidRPr="006E0505">
        <w:t xml:space="preserve"> rely on telecom infrastructure</w:t>
      </w:r>
      <w:r w:rsidR="00D44559">
        <w:t>,</w:t>
      </w:r>
      <w:r w:rsidR="00BD49DE" w:rsidRPr="006E0505">
        <w:t xml:space="preserve"> as well as financial infrastructure. In some jurisdictions</w:t>
      </w:r>
      <w:r w:rsidR="0059038E">
        <w:t>,</w:t>
      </w:r>
      <w:r w:rsidR="00BD49DE" w:rsidRPr="006E0505">
        <w:t xml:space="preserve"> it might not be clear what the powers and responsibilities of the telecommunication regulator and financial regulator</w:t>
      </w:r>
      <w:r w:rsidR="00301EA3">
        <w:t>s</w:t>
      </w:r>
      <w:r w:rsidR="00BD49DE" w:rsidRPr="006E0505">
        <w:t xml:space="preserve"> </w:t>
      </w:r>
      <w:r w:rsidR="00301EA3">
        <w:t xml:space="preserve">are </w:t>
      </w:r>
      <w:r w:rsidR="00BD49DE" w:rsidRPr="006E0505">
        <w:t xml:space="preserve">when it comes to DFS, resulting in the question </w:t>
      </w:r>
      <w:r w:rsidR="00301EA3">
        <w:t>of</w:t>
      </w:r>
      <w:r w:rsidR="00D44559">
        <w:t>:</w:t>
      </w:r>
      <w:r w:rsidR="00301EA3">
        <w:t xml:space="preserve"> </w:t>
      </w:r>
      <w:r w:rsidR="00D44559">
        <w:t>W</w:t>
      </w:r>
      <w:r w:rsidR="00BD49DE" w:rsidRPr="006E0505">
        <w:t xml:space="preserve">hich regulator would be responsible for addressing DFS interoperability? The possible overlap and conflict of regulations and jurisdictions is an additional potential risk to the </w:t>
      </w:r>
      <w:r w:rsidR="0059038E">
        <w:t xml:space="preserve">effectiveness of the </w:t>
      </w:r>
      <w:r w:rsidR="00BD49DE" w:rsidRPr="006E0505">
        <w:t>regulation</w:t>
      </w:r>
      <w:r w:rsidR="0059038E">
        <w:t>s</w:t>
      </w:r>
      <w:r w:rsidR="00BD49DE" w:rsidRPr="006E0505">
        <w:t xml:space="preserve">, which Benson and Loftesness (2012) </w:t>
      </w:r>
      <w:r w:rsidR="00301EA3">
        <w:t>cite</w:t>
      </w:r>
      <w:r w:rsidR="00BD49DE" w:rsidRPr="006E0505">
        <w:t xml:space="preserve"> as crucial for the success or failure of the flourishing of a sustainable interoperable market. It is important to take the country</w:t>
      </w:r>
      <w:r w:rsidR="00170562">
        <w:t>-</w:t>
      </w:r>
      <w:r w:rsidR="00BD49DE" w:rsidRPr="006E0505">
        <w:t>specific legal and regulatory framework into consideration when trying to understand the rationale for local decisions.</w:t>
      </w:r>
    </w:p>
    <w:p w14:paraId="590B71F6" w14:textId="1F1A0C70" w:rsidR="006E0505" w:rsidRPr="00A7318B" w:rsidRDefault="0007777A" w:rsidP="0007777A">
      <w:pPr>
        <w:pStyle w:val="enumlev10"/>
      </w:pPr>
      <w:r>
        <w:lastRenderedPageBreak/>
        <w:t>–</w:t>
      </w:r>
      <w:r>
        <w:tab/>
      </w:r>
      <w:r w:rsidR="00BD49DE" w:rsidRPr="0022665D">
        <w:t>Relevant marke</w:t>
      </w:r>
      <w:r w:rsidR="006E0505" w:rsidRPr="0022665D">
        <w:t>t</w:t>
      </w:r>
    </w:p>
    <w:p w14:paraId="271FDEE2" w14:textId="6E549D9F" w:rsidR="006E0505" w:rsidRPr="00296E87" w:rsidRDefault="0007777A" w:rsidP="0007777A">
      <w:pPr>
        <w:pStyle w:val="enumlev10"/>
      </w:pPr>
      <w:r>
        <w:tab/>
      </w:r>
      <w:r w:rsidR="00BD49DE" w:rsidRPr="006E0505">
        <w:t>While the focus is on DFS</w:t>
      </w:r>
      <w:r w:rsidR="00A7318B">
        <w:t>,</w:t>
      </w:r>
      <w:r w:rsidR="00BD49DE" w:rsidRPr="006E0505">
        <w:t xml:space="preserve"> and</w:t>
      </w:r>
      <w:r w:rsidR="00A7318B">
        <w:t xml:space="preserve"> </w:t>
      </w:r>
      <w:r w:rsidR="00BD49DE" w:rsidRPr="006E0505">
        <w:t>specific</w:t>
      </w:r>
      <w:r w:rsidR="00A7318B">
        <w:t>ally</w:t>
      </w:r>
      <w:r w:rsidR="00BD49DE" w:rsidRPr="006E0505">
        <w:t xml:space="preserve"> digital payments, the same electronic payment instrument (e.g.</w:t>
      </w:r>
      <w:r w:rsidR="00BD3731">
        <w:t>,</w:t>
      </w:r>
      <w:r w:rsidR="00BD49DE" w:rsidRPr="006E0505">
        <w:t xml:space="preserve"> payment cards or mobile money) can be used for very different payment use cases. It is important to note that even within certain use cases, e.g.</w:t>
      </w:r>
      <w:r w:rsidR="00BD3731">
        <w:t>,</w:t>
      </w:r>
      <w:r w:rsidR="00BD49DE" w:rsidRPr="006E0505">
        <w:t xml:space="preserve"> a person-to-person transfer</w:t>
      </w:r>
      <w:r w:rsidR="00A7318B">
        <w:t>,</w:t>
      </w:r>
      <w:r w:rsidR="00BD49DE" w:rsidRPr="006E0505">
        <w:t xml:space="preserve"> the challenges might be very different. For example, achieving interoperability in international remittances is typically considered to be even more complicated than interoperability for domestic remittances. Unique environmental conditions make it difficult to draw policy conclusions based on the experience of other markets. However, considering other markets</w:t>
      </w:r>
      <w:r w:rsidR="00BD3731">
        <w:t>'</w:t>
      </w:r>
      <w:r w:rsidR="00BD49DE" w:rsidRPr="006E0505">
        <w:t xml:space="preserve"> experiences is still considered important, even if it is not possible to draw generalized policy conclusions from them. It is important to consider the country</w:t>
      </w:r>
      <w:r w:rsidR="00A7318B">
        <w:t>-</w:t>
      </w:r>
      <w:r w:rsidR="00BD49DE" w:rsidRPr="006E0505">
        <w:t>specific market environment if regulators consider taking action on interoperability.</w:t>
      </w:r>
    </w:p>
    <w:p w14:paraId="0CB648E4" w14:textId="1CB4CB23" w:rsidR="006E0505" w:rsidRPr="00A7318B" w:rsidRDefault="0007777A" w:rsidP="0007777A">
      <w:pPr>
        <w:pStyle w:val="enumlev10"/>
        <w:rPr>
          <w:szCs w:val="24"/>
        </w:rPr>
      </w:pPr>
      <w:r>
        <w:t>–</w:t>
      </w:r>
      <w:r>
        <w:tab/>
      </w:r>
      <w:r w:rsidR="00BD49DE" w:rsidRPr="0007777A">
        <w:rPr>
          <w:bCs/>
          <w:szCs w:val="24"/>
        </w:rPr>
        <w:t>State of interoperability</w:t>
      </w:r>
    </w:p>
    <w:p w14:paraId="4816FC90" w14:textId="2A1A4308" w:rsidR="006E0505" w:rsidRPr="00296E87" w:rsidRDefault="0007777A" w:rsidP="0007777A">
      <w:pPr>
        <w:pStyle w:val="enumlev10"/>
        <w:rPr>
          <w:szCs w:val="24"/>
        </w:rPr>
      </w:pPr>
      <w:r>
        <w:rPr>
          <w:szCs w:val="24"/>
        </w:rPr>
        <w:tab/>
      </w:r>
      <w:r w:rsidR="00BD49DE" w:rsidRPr="006E0505">
        <w:rPr>
          <w:szCs w:val="24"/>
        </w:rPr>
        <w:t>The regulator</w:t>
      </w:r>
      <w:r w:rsidR="00BD3731">
        <w:rPr>
          <w:szCs w:val="24"/>
        </w:rPr>
        <w:t>'</w:t>
      </w:r>
      <w:r w:rsidR="00BD49DE" w:rsidRPr="006E0505">
        <w:rPr>
          <w:szCs w:val="24"/>
        </w:rPr>
        <w:t xml:space="preserve">s perception about the current state of interoperability within the relevant </w:t>
      </w:r>
      <w:r w:rsidR="001A0276">
        <w:rPr>
          <w:szCs w:val="24"/>
        </w:rPr>
        <w:t xml:space="preserve">state </w:t>
      </w:r>
      <w:r w:rsidR="00BD49DE" w:rsidRPr="006E0505">
        <w:rPr>
          <w:szCs w:val="24"/>
        </w:rPr>
        <w:t>is key to understand</w:t>
      </w:r>
      <w:r w:rsidR="001A0276">
        <w:rPr>
          <w:szCs w:val="24"/>
        </w:rPr>
        <w:t>ing</w:t>
      </w:r>
      <w:r w:rsidR="00BD49DE" w:rsidRPr="006E0505">
        <w:rPr>
          <w:szCs w:val="24"/>
        </w:rPr>
        <w:t xml:space="preserve"> any decision made regarding this aspect. How important is interoperability considered for the country</w:t>
      </w:r>
      <w:r w:rsidR="00BD3731">
        <w:rPr>
          <w:szCs w:val="24"/>
        </w:rPr>
        <w:t>'</w:t>
      </w:r>
      <w:r w:rsidR="00BD49DE" w:rsidRPr="006E0505">
        <w:rPr>
          <w:szCs w:val="24"/>
        </w:rPr>
        <w:t>s financial system? How has the current level of interoperability of existing systems been achieved? Why does the regulator consider the current state of interoperability insufficient? It is important that the regulator is transparent on these aspects, so that its actions are predictable.</w:t>
      </w:r>
    </w:p>
    <w:p w14:paraId="34E400D2" w14:textId="1A3E08DE" w:rsidR="006E0505" w:rsidRPr="0007777A" w:rsidRDefault="0007777A" w:rsidP="0007777A">
      <w:pPr>
        <w:pStyle w:val="enumlev10"/>
        <w:rPr>
          <w:szCs w:val="24"/>
        </w:rPr>
      </w:pPr>
      <w:r>
        <w:t>–</w:t>
      </w:r>
      <w:r>
        <w:tab/>
      </w:r>
      <w:r w:rsidR="00BD49DE" w:rsidRPr="0007777A">
        <w:t>Desirable</w:t>
      </w:r>
      <w:r w:rsidR="00BD49DE" w:rsidRPr="0007777A">
        <w:rPr>
          <w:bCs/>
          <w:szCs w:val="24"/>
        </w:rPr>
        <w:t xml:space="preserve"> outcome</w:t>
      </w:r>
    </w:p>
    <w:p w14:paraId="2A005055" w14:textId="664C9A4B" w:rsidR="00BD49DE" w:rsidRPr="006E0505" w:rsidRDefault="0007777A" w:rsidP="0007777A">
      <w:pPr>
        <w:pStyle w:val="enumlev10"/>
        <w:rPr>
          <w:sz w:val="28"/>
          <w:szCs w:val="28"/>
        </w:rPr>
      </w:pPr>
      <w:r>
        <w:tab/>
      </w:r>
      <w:r w:rsidR="00BD49DE" w:rsidRPr="0007777A">
        <w:t>Regulators</w:t>
      </w:r>
      <w:r w:rsidR="00BD3731">
        <w:t>'</w:t>
      </w:r>
      <w:r w:rsidR="00BD49DE" w:rsidRPr="006E0505">
        <w:rPr>
          <w:szCs w:val="24"/>
        </w:rPr>
        <w:t xml:space="preserve"> actions to facilitate interoperability will obviously be taken with specific intentions, but the outcome may not always be the one expected. While authorities are typically cautious when it comes to admitting and/or discussing setbacks, a lot can be learnt from these lessons</w:t>
      </w:r>
      <w:r w:rsidR="009F6DB4">
        <w:rPr>
          <w:szCs w:val="24"/>
        </w:rPr>
        <w:t>,</w:t>
      </w:r>
      <w:r w:rsidR="00BD49DE" w:rsidRPr="006E0505">
        <w:rPr>
          <w:szCs w:val="24"/>
        </w:rPr>
        <w:t xml:space="preserve"> and potential mistakes could ideally be avoided. Outcomes of regulatory interventions should be evaluated.</w:t>
      </w:r>
    </w:p>
    <w:p w14:paraId="691690C3" w14:textId="77777777" w:rsidR="00BD49DE" w:rsidRDefault="00BD49DE" w:rsidP="00296E87">
      <w:pPr>
        <w:spacing w:after="120"/>
      </w:pPr>
      <w:r>
        <w:t>In</w:t>
      </w:r>
      <w:r w:rsidRPr="00B96BC8">
        <w:t xml:space="preserve"> the </w:t>
      </w:r>
      <w:r w:rsidR="00734B51">
        <w:t>next</w:t>
      </w:r>
      <w:r w:rsidRPr="00B96BC8">
        <w:t xml:space="preserve"> </w:t>
      </w:r>
      <w:r>
        <w:t>section</w:t>
      </w:r>
      <w:r w:rsidR="009F6DB4">
        <w:t>,</w:t>
      </w:r>
      <w:r>
        <w:t xml:space="preserve"> the approach chosen by the five respondents for these areas is presented</w:t>
      </w:r>
      <w:r w:rsidRPr="00B96BC8">
        <w:t>.</w:t>
      </w:r>
    </w:p>
    <w:p w14:paraId="21BC7869" w14:textId="5979077D" w:rsidR="00BD49DE" w:rsidRPr="0015229C" w:rsidRDefault="0007777A" w:rsidP="0007777A">
      <w:pPr>
        <w:pStyle w:val="Heading1"/>
      </w:pPr>
      <w:bookmarkStart w:id="31" w:name="_Toc8395624"/>
      <w:r>
        <w:t>7</w:t>
      </w:r>
      <w:r>
        <w:tab/>
      </w:r>
      <w:r w:rsidR="00512B26">
        <w:t xml:space="preserve">Reported </w:t>
      </w:r>
      <w:r w:rsidR="00650F44">
        <w:t>a</w:t>
      </w:r>
      <w:r w:rsidR="00512B26">
        <w:t>nswers</w:t>
      </w:r>
      <w:bookmarkEnd w:id="31"/>
    </w:p>
    <w:p w14:paraId="56641961" w14:textId="77777777" w:rsidR="00BD49DE" w:rsidRDefault="00BD49DE" w:rsidP="00BD49DE">
      <w:pPr>
        <w:pStyle w:val="Heading2"/>
        <w:rPr>
          <w:lang w:val="en-US"/>
        </w:rPr>
      </w:pPr>
      <w:bookmarkStart w:id="32" w:name="_Toc8395625"/>
      <w:r>
        <w:rPr>
          <w:lang w:val="en-US"/>
        </w:rPr>
        <w:t>Country: Brazil</w:t>
      </w:r>
      <w:bookmarkEnd w:id="32"/>
    </w:p>
    <w:p w14:paraId="592E71C8" w14:textId="77777777" w:rsidR="00BD49DE" w:rsidRDefault="00BD49DE" w:rsidP="00BD49DE">
      <w:pPr>
        <w:spacing w:after="120"/>
      </w:pPr>
      <w:r>
        <w:t xml:space="preserve">Respondent: </w:t>
      </w:r>
      <w:r w:rsidRPr="00500128">
        <w:t>Central Bank of Brazil</w:t>
      </w:r>
      <w:r>
        <w:rPr>
          <w:rStyle w:val="FootnoteReference"/>
        </w:rPr>
        <w:footnoteReference w:id="7"/>
      </w:r>
    </w:p>
    <w:tbl>
      <w:tblPr>
        <w:tblStyle w:val="TableGrid"/>
        <w:tblW w:w="9639" w:type="dxa"/>
        <w:tblBorders>
          <w:left w:val="none" w:sz="0" w:space="0" w:color="auto"/>
          <w:right w:val="none" w:sz="0" w:space="0" w:color="auto"/>
        </w:tblBorders>
        <w:tblLook w:val="04A0" w:firstRow="1" w:lastRow="0" w:firstColumn="1" w:lastColumn="0" w:noHBand="0" w:noVBand="1"/>
      </w:tblPr>
      <w:tblGrid>
        <w:gridCol w:w="1865"/>
        <w:gridCol w:w="7774"/>
      </w:tblGrid>
      <w:tr w:rsidR="00BD49DE" w:rsidRPr="00D46DC9" w14:paraId="614DB807" w14:textId="77777777" w:rsidTr="0007777A">
        <w:tc>
          <w:tcPr>
            <w:tcW w:w="1838" w:type="dxa"/>
          </w:tcPr>
          <w:p w14:paraId="65CFF3CD" w14:textId="77777777" w:rsidR="00BD49DE" w:rsidRDefault="00BD49DE" w:rsidP="0007777A">
            <w:pPr>
              <w:pStyle w:val="Tabletext"/>
            </w:pPr>
            <w:r w:rsidRPr="00500128">
              <w:rPr>
                <w:lang w:eastAsia="pt-BR"/>
              </w:rPr>
              <w:t>Mandate</w:t>
            </w:r>
          </w:p>
        </w:tc>
        <w:tc>
          <w:tcPr>
            <w:tcW w:w="7660" w:type="dxa"/>
          </w:tcPr>
          <w:p w14:paraId="75C8D9C2" w14:textId="77777777" w:rsidR="00BD49DE" w:rsidRDefault="00BD49DE" w:rsidP="0007777A">
            <w:pPr>
              <w:pStyle w:val="Tabletext"/>
              <w:rPr>
                <w:lang w:eastAsia="pt-BR"/>
              </w:rPr>
            </w:pPr>
            <w:r w:rsidRPr="00500128">
              <w:rPr>
                <w:lang w:eastAsia="pt-BR"/>
              </w:rPr>
              <w:t xml:space="preserve">Concerning </w:t>
            </w:r>
            <w:r>
              <w:rPr>
                <w:lang w:eastAsia="pt-BR"/>
              </w:rPr>
              <w:t>DFS</w:t>
            </w:r>
            <w:r w:rsidRPr="00500128">
              <w:rPr>
                <w:lang w:eastAsia="pt-BR"/>
              </w:rPr>
              <w:t xml:space="preserve">, the Brazilian Central Bank (BCB) has the mandate to regulate </w:t>
            </w:r>
            <w:r w:rsidR="009F6DB4">
              <w:rPr>
                <w:lang w:eastAsia="pt-BR"/>
              </w:rPr>
              <w:t>DFS</w:t>
            </w:r>
            <w:r w:rsidRPr="00500128">
              <w:rPr>
                <w:lang w:eastAsia="pt-BR"/>
              </w:rPr>
              <w:t xml:space="preserve"> in general. The </w:t>
            </w:r>
            <w:r>
              <w:rPr>
                <w:lang w:eastAsia="pt-BR"/>
              </w:rPr>
              <w:t>t</w:t>
            </w:r>
            <w:r w:rsidRPr="00500128">
              <w:rPr>
                <w:lang w:eastAsia="pt-BR"/>
              </w:rPr>
              <w:t>elecom regulator can regulate access to the mobile</w:t>
            </w:r>
            <w:r>
              <w:rPr>
                <w:lang w:eastAsia="pt-BR"/>
              </w:rPr>
              <w:t xml:space="preserve"> telecommunication</w:t>
            </w:r>
            <w:r w:rsidRPr="00500128">
              <w:rPr>
                <w:lang w:eastAsia="pt-BR"/>
              </w:rPr>
              <w:t xml:space="preserve"> infrastructure, which is clearly out of scope/mandate of </w:t>
            </w:r>
            <w:r>
              <w:rPr>
                <w:lang w:eastAsia="pt-BR"/>
              </w:rPr>
              <w:t xml:space="preserve">the </w:t>
            </w:r>
            <w:r w:rsidRPr="00500128">
              <w:rPr>
                <w:lang w:eastAsia="pt-BR"/>
              </w:rPr>
              <w:t xml:space="preserve">BCB. </w:t>
            </w:r>
            <w:r>
              <w:rPr>
                <w:lang w:eastAsia="pt-BR"/>
              </w:rPr>
              <w:t xml:space="preserve">The </w:t>
            </w:r>
            <w:r w:rsidRPr="00500128">
              <w:rPr>
                <w:lang w:eastAsia="pt-BR"/>
              </w:rPr>
              <w:t xml:space="preserve">BCB is </w:t>
            </w:r>
            <w:r>
              <w:rPr>
                <w:lang w:eastAsia="pt-BR"/>
              </w:rPr>
              <w:t>also responsible for DFS interoperability.</w:t>
            </w:r>
          </w:p>
          <w:p w14:paraId="3556E2F6" w14:textId="347AA85F" w:rsidR="00BD49DE" w:rsidRDefault="00BD49DE" w:rsidP="0007777A">
            <w:pPr>
              <w:pStyle w:val="Tabletext"/>
            </w:pPr>
            <w:r w:rsidRPr="00500128">
              <w:rPr>
                <w:lang w:eastAsia="pt-BR"/>
              </w:rPr>
              <w:t>BCB</w:t>
            </w:r>
            <w:r w:rsidR="00BD3731">
              <w:rPr>
                <w:lang w:eastAsia="pt-BR"/>
              </w:rPr>
              <w:t>'</w:t>
            </w:r>
            <w:r w:rsidRPr="00500128">
              <w:rPr>
                <w:lang w:eastAsia="pt-BR"/>
              </w:rPr>
              <w:t xml:space="preserve">s mandate was </w:t>
            </w:r>
            <w:r>
              <w:rPr>
                <w:lang w:eastAsia="pt-BR"/>
              </w:rPr>
              <w:t>established</w:t>
            </w:r>
            <w:r w:rsidRPr="00500128">
              <w:rPr>
                <w:lang w:eastAsia="pt-BR"/>
              </w:rPr>
              <w:t xml:space="preserve"> in 2013, when Law 12,865 was enacted.</w:t>
            </w:r>
          </w:p>
        </w:tc>
      </w:tr>
      <w:tr w:rsidR="00BD49DE" w:rsidRPr="00D46DC9" w14:paraId="6610A1DA" w14:textId="77777777" w:rsidTr="0007777A">
        <w:tc>
          <w:tcPr>
            <w:tcW w:w="1838" w:type="dxa"/>
          </w:tcPr>
          <w:p w14:paraId="7D99DB60" w14:textId="10271B6D" w:rsidR="00BD49DE" w:rsidRPr="00DB51D6" w:rsidRDefault="00BD49DE" w:rsidP="0007777A">
            <w:pPr>
              <w:pStyle w:val="Tabletext"/>
              <w:rPr>
                <w:lang w:eastAsia="pt-BR"/>
              </w:rPr>
            </w:pPr>
            <w:r w:rsidRPr="003A7AC8">
              <w:rPr>
                <w:lang w:eastAsia="pt-BR"/>
              </w:rPr>
              <w:t>State of the market before authorit</w:t>
            </w:r>
            <w:r w:rsidR="009F6DB4">
              <w:rPr>
                <w:lang w:eastAsia="pt-BR"/>
              </w:rPr>
              <w:t>y</w:t>
            </w:r>
            <w:r w:rsidR="00BD3731">
              <w:rPr>
                <w:lang w:eastAsia="pt-BR"/>
              </w:rPr>
              <w:t>'</w:t>
            </w:r>
            <w:r w:rsidR="009F6DB4">
              <w:rPr>
                <w:lang w:eastAsia="pt-BR"/>
              </w:rPr>
              <w:t>s</w:t>
            </w:r>
            <w:r w:rsidRPr="003A7AC8">
              <w:rPr>
                <w:lang w:eastAsia="pt-BR"/>
              </w:rPr>
              <w:t xml:space="preserve"> involvement</w:t>
            </w:r>
          </w:p>
        </w:tc>
        <w:tc>
          <w:tcPr>
            <w:tcW w:w="7660" w:type="dxa"/>
          </w:tcPr>
          <w:p w14:paraId="1281F53A" w14:textId="790D861F" w:rsidR="00BD49DE" w:rsidRDefault="00BD49DE" w:rsidP="0007777A">
            <w:pPr>
              <w:pStyle w:val="Tabletext"/>
              <w:rPr>
                <w:lang w:eastAsia="pt-BR"/>
              </w:rPr>
            </w:pPr>
            <w:r>
              <w:rPr>
                <w:lang w:eastAsia="pt-BR"/>
              </w:rPr>
              <w:t>Even before BCB</w:t>
            </w:r>
            <w:r w:rsidR="00BD3731">
              <w:rPr>
                <w:lang w:eastAsia="pt-BR"/>
              </w:rPr>
              <w:t>'</w:t>
            </w:r>
            <w:r>
              <w:rPr>
                <w:lang w:eastAsia="pt-BR"/>
              </w:rPr>
              <w:t>s mandate for DFS was established, banks and s</w:t>
            </w:r>
            <w:r w:rsidRPr="00500128">
              <w:rPr>
                <w:lang w:eastAsia="pt-BR"/>
              </w:rPr>
              <w:t>everal non-</w:t>
            </w:r>
            <w:r>
              <w:rPr>
                <w:lang w:eastAsia="pt-BR"/>
              </w:rPr>
              <w:t>bank</w:t>
            </w:r>
            <w:r w:rsidRPr="00500128">
              <w:rPr>
                <w:lang w:eastAsia="pt-BR"/>
              </w:rPr>
              <w:t xml:space="preserve"> payment service providers </w:t>
            </w:r>
            <w:r>
              <w:rPr>
                <w:lang w:eastAsia="pt-BR"/>
              </w:rPr>
              <w:t xml:space="preserve">provided various </w:t>
            </w:r>
            <w:r w:rsidR="009F6DB4">
              <w:rPr>
                <w:lang w:eastAsia="pt-BR"/>
              </w:rPr>
              <w:t>DFS</w:t>
            </w:r>
            <w:r w:rsidRPr="00500128">
              <w:rPr>
                <w:lang w:eastAsia="pt-BR"/>
              </w:rPr>
              <w:t xml:space="preserve"> to the Brazilian market. </w:t>
            </w:r>
          </w:p>
          <w:p w14:paraId="1EA97595" w14:textId="77777777" w:rsidR="00BD49DE" w:rsidRPr="00500128" w:rsidRDefault="00BD49DE" w:rsidP="0007777A">
            <w:pPr>
              <w:pStyle w:val="Tabletext"/>
              <w:rPr>
                <w:lang w:eastAsia="pt-BR"/>
              </w:rPr>
            </w:pPr>
            <w:r>
              <w:rPr>
                <w:lang w:eastAsia="pt-BR"/>
              </w:rPr>
              <w:t>Examples are</w:t>
            </w:r>
            <w:r w:rsidR="00650F44">
              <w:rPr>
                <w:lang w:eastAsia="pt-BR"/>
              </w:rPr>
              <w:t>:</w:t>
            </w:r>
            <w:r w:rsidRPr="00500128">
              <w:rPr>
                <w:lang w:eastAsia="pt-BR"/>
              </w:rPr>
              <w:t xml:space="preserve"> PayPal</w:t>
            </w:r>
            <w:r w:rsidR="009F6DB4">
              <w:rPr>
                <w:lang w:eastAsia="pt-BR"/>
              </w:rPr>
              <w:t>,</w:t>
            </w:r>
            <w:r w:rsidRPr="00500128">
              <w:rPr>
                <w:lang w:eastAsia="pt-BR"/>
              </w:rPr>
              <w:t xml:space="preserve"> Mercado Pago</w:t>
            </w:r>
            <w:r w:rsidR="009F6DB4">
              <w:rPr>
                <w:lang w:eastAsia="pt-BR"/>
              </w:rPr>
              <w:t>,</w:t>
            </w:r>
            <w:r w:rsidRPr="00500128">
              <w:rPr>
                <w:lang w:eastAsia="pt-BR"/>
              </w:rPr>
              <w:t xml:space="preserve"> PagSeguro (payment facilitators)</w:t>
            </w:r>
            <w:r w:rsidR="009F6DB4">
              <w:rPr>
                <w:lang w:eastAsia="pt-BR"/>
              </w:rPr>
              <w:t>,</w:t>
            </w:r>
            <w:r w:rsidRPr="00500128">
              <w:rPr>
                <w:lang w:eastAsia="pt-BR"/>
              </w:rPr>
              <w:t xml:space="preserve"> Cielo</w:t>
            </w:r>
            <w:r w:rsidR="009F6DB4">
              <w:rPr>
                <w:lang w:eastAsia="pt-BR"/>
              </w:rPr>
              <w:t>,</w:t>
            </w:r>
            <w:r w:rsidRPr="00500128">
              <w:rPr>
                <w:lang w:eastAsia="pt-BR"/>
              </w:rPr>
              <w:t xml:space="preserve"> Rede (acquirers)</w:t>
            </w:r>
            <w:r w:rsidR="009F6DB4">
              <w:rPr>
                <w:lang w:eastAsia="pt-BR"/>
              </w:rPr>
              <w:t>,</w:t>
            </w:r>
            <w:r w:rsidRPr="00500128">
              <w:rPr>
                <w:lang w:eastAsia="pt-BR"/>
              </w:rPr>
              <w:t xml:space="preserve"> Oi Paggo</w:t>
            </w:r>
            <w:r w:rsidR="009F6DB4">
              <w:rPr>
                <w:lang w:eastAsia="pt-BR"/>
              </w:rPr>
              <w:t>,</w:t>
            </w:r>
            <w:r w:rsidRPr="00500128">
              <w:rPr>
                <w:lang w:eastAsia="pt-BR"/>
              </w:rPr>
              <w:t xml:space="preserve"> MFS (mobile payments)</w:t>
            </w:r>
            <w:r w:rsidR="009F6DB4">
              <w:rPr>
                <w:lang w:eastAsia="pt-BR"/>
              </w:rPr>
              <w:t>,</w:t>
            </w:r>
            <w:r w:rsidRPr="00500128">
              <w:rPr>
                <w:lang w:eastAsia="pt-BR"/>
              </w:rPr>
              <w:t xml:space="preserve"> Alelo</w:t>
            </w:r>
            <w:r w:rsidR="009F6DB4">
              <w:rPr>
                <w:lang w:eastAsia="pt-BR"/>
              </w:rPr>
              <w:t>,</w:t>
            </w:r>
            <w:r w:rsidRPr="00500128">
              <w:rPr>
                <w:lang w:eastAsia="pt-BR"/>
              </w:rPr>
              <w:t xml:space="preserve"> Ticket</w:t>
            </w:r>
            <w:r w:rsidR="009F6DB4">
              <w:rPr>
                <w:lang w:eastAsia="pt-BR"/>
              </w:rPr>
              <w:t>,</w:t>
            </w:r>
            <w:r w:rsidRPr="00500128">
              <w:rPr>
                <w:lang w:eastAsia="pt-BR"/>
              </w:rPr>
              <w:t xml:space="preserve"> </w:t>
            </w:r>
            <w:r w:rsidR="009F6DB4">
              <w:rPr>
                <w:lang w:eastAsia="pt-BR"/>
              </w:rPr>
              <w:t xml:space="preserve">and </w:t>
            </w:r>
            <w:r w:rsidRPr="00500128">
              <w:rPr>
                <w:lang w:eastAsia="pt-BR"/>
              </w:rPr>
              <w:t>Sodexo (food stamp providers)</w:t>
            </w:r>
            <w:r w:rsidR="009F6DB4">
              <w:rPr>
                <w:lang w:eastAsia="pt-BR"/>
              </w:rPr>
              <w:t>,</w:t>
            </w:r>
            <w:r w:rsidRPr="00500128">
              <w:rPr>
                <w:lang w:eastAsia="pt-BR"/>
              </w:rPr>
              <w:t xml:space="preserve"> among others.</w:t>
            </w:r>
            <w:r w:rsidRPr="00500128">
              <w:rPr>
                <w:lang w:eastAsia="pt-BR"/>
              </w:rPr>
              <w:br w:type="page"/>
            </w:r>
            <w:r w:rsidRPr="00500128">
              <w:rPr>
                <w:lang w:eastAsia="pt-BR"/>
              </w:rPr>
              <w:br w:type="page"/>
            </w:r>
            <w:r>
              <w:rPr>
                <w:lang w:eastAsia="pt-BR"/>
              </w:rPr>
              <w:t xml:space="preserve"> </w:t>
            </w:r>
            <w:r w:rsidRPr="00500128">
              <w:rPr>
                <w:lang w:eastAsia="pt-BR"/>
              </w:rPr>
              <w:t xml:space="preserve">Banks also provided DFS, mainly through Internet </w:t>
            </w:r>
            <w:r w:rsidR="00650F44">
              <w:rPr>
                <w:lang w:eastAsia="pt-BR"/>
              </w:rPr>
              <w:t>b</w:t>
            </w:r>
            <w:r w:rsidRPr="00500128">
              <w:rPr>
                <w:lang w:eastAsia="pt-BR"/>
              </w:rPr>
              <w:t xml:space="preserve">anking and </w:t>
            </w:r>
            <w:r w:rsidR="00650F44">
              <w:rPr>
                <w:lang w:eastAsia="pt-BR"/>
              </w:rPr>
              <w:t>m</w:t>
            </w:r>
            <w:r w:rsidRPr="00500128">
              <w:rPr>
                <w:lang w:eastAsia="pt-BR"/>
              </w:rPr>
              <w:t xml:space="preserve">obile </w:t>
            </w:r>
            <w:r w:rsidR="00650F44">
              <w:rPr>
                <w:lang w:eastAsia="pt-BR"/>
              </w:rPr>
              <w:t>b</w:t>
            </w:r>
            <w:r w:rsidRPr="00500128">
              <w:rPr>
                <w:lang w:eastAsia="pt-BR"/>
              </w:rPr>
              <w:t>anking solutions.</w:t>
            </w:r>
          </w:p>
        </w:tc>
      </w:tr>
      <w:tr w:rsidR="00BD49DE" w:rsidRPr="00D46DC9" w14:paraId="726F92F5" w14:textId="77777777" w:rsidTr="0007777A">
        <w:tc>
          <w:tcPr>
            <w:tcW w:w="1838" w:type="dxa"/>
          </w:tcPr>
          <w:p w14:paraId="271E2866" w14:textId="77777777" w:rsidR="00BD49DE" w:rsidRPr="00500128" w:rsidRDefault="00BD49DE" w:rsidP="00F41BF2">
            <w:pPr>
              <w:pStyle w:val="Tabletext"/>
              <w:keepNext/>
              <w:keepLines/>
              <w:rPr>
                <w:lang w:eastAsia="pt-BR"/>
              </w:rPr>
            </w:pPr>
            <w:r>
              <w:rPr>
                <w:lang w:eastAsia="pt-BR"/>
              </w:rPr>
              <w:lastRenderedPageBreak/>
              <w:t>Relevance assigned to interoperability</w:t>
            </w:r>
          </w:p>
        </w:tc>
        <w:tc>
          <w:tcPr>
            <w:tcW w:w="7660" w:type="dxa"/>
          </w:tcPr>
          <w:p w14:paraId="4B00A2BA" w14:textId="77777777" w:rsidR="00BD49DE" w:rsidRPr="00500128" w:rsidRDefault="00A4636C" w:rsidP="00F41BF2">
            <w:pPr>
              <w:pStyle w:val="Tabletext"/>
              <w:keepNext/>
              <w:keepLines/>
              <w:rPr>
                <w:lang w:eastAsia="pt-BR"/>
              </w:rPr>
            </w:pPr>
            <w:r>
              <w:t>Interoperability</w:t>
            </w:r>
            <w:r w:rsidR="00BD49DE" w:rsidRPr="00500128">
              <w:rPr>
                <w:lang w:eastAsia="pt-BR"/>
              </w:rPr>
              <w:t xml:space="preserve"> is a major principle in the </w:t>
            </w:r>
            <w:r w:rsidR="00F61CB0">
              <w:rPr>
                <w:lang w:eastAsia="pt-BR"/>
              </w:rPr>
              <w:t>l</w:t>
            </w:r>
            <w:r w:rsidR="00BD49DE" w:rsidRPr="00500128">
              <w:rPr>
                <w:lang w:eastAsia="pt-BR"/>
              </w:rPr>
              <w:t xml:space="preserve">aw that regulates </w:t>
            </w:r>
            <w:r w:rsidR="009F6DB4">
              <w:rPr>
                <w:lang w:eastAsia="pt-BR"/>
              </w:rPr>
              <w:t xml:space="preserve">the </w:t>
            </w:r>
            <w:r w:rsidR="00BD49DE" w:rsidRPr="00500128">
              <w:rPr>
                <w:lang w:eastAsia="pt-BR"/>
              </w:rPr>
              <w:t xml:space="preserve">payment services provision in Brazil, as it is seen </w:t>
            </w:r>
            <w:r w:rsidR="00BD49DE">
              <w:rPr>
                <w:lang w:eastAsia="pt-BR"/>
              </w:rPr>
              <w:t xml:space="preserve">to be </w:t>
            </w:r>
            <w:r w:rsidR="00BD49DE" w:rsidRPr="00500128">
              <w:rPr>
                <w:lang w:eastAsia="pt-BR"/>
              </w:rPr>
              <w:t>necessary for innovation and increas</w:t>
            </w:r>
            <w:r w:rsidR="009F6DB4">
              <w:rPr>
                <w:lang w:eastAsia="pt-BR"/>
              </w:rPr>
              <w:t>ing</w:t>
            </w:r>
            <w:r w:rsidR="00BD49DE" w:rsidRPr="00500128">
              <w:rPr>
                <w:lang w:eastAsia="pt-BR"/>
              </w:rPr>
              <w:t xml:space="preserve"> competition</w:t>
            </w:r>
            <w:r w:rsidR="00BD49DE">
              <w:rPr>
                <w:lang w:eastAsia="pt-BR"/>
              </w:rPr>
              <w:t>.</w:t>
            </w:r>
          </w:p>
        </w:tc>
      </w:tr>
      <w:tr w:rsidR="00BD49DE" w:rsidRPr="00D46DC9" w14:paraId="15464370" w14:textId="77777777" w:rsidTr="0007777A">
        <w:tc>
          <w:tcPr>
            <w:tcW w:w="1838" w:type="dxa"/>
          </w:tcPr>
          <w:p w14:paraId="3D65B598" w14:textId="77777777" w:rsidR="00BD49DE" w:rsidRPr="00500128" w:rsidRDefault="00BD49DE" w:rsidP="006E504A">
            <w:pPr>
              <w:pStyle w:val="Tabletext"/>
              <w:keepNext/>
              <w:keepLines/>
              <w:rPr>
                <w:lang w:eastAsia="pt-BR"/>
              </w:rPr>
            </w:pPr>
            <w:r>
              <w:rPr>
                <w:lang w:eastAsia="pt-BR"/>
              </w:rPr>
              <w:t>Reason to address interoperability</w:t>
            </w:r>
          </w:p>
        </w:tc>
        <w:tc>
          <w:tcPr>
            <w:tcW w:w="7660" w:type="dxa"/>
          </w:tcPr>
          <w:p w14:paraId="01F453FA" w14:textId="103B41E2" w:rsidR="00BD49DE" w:rsidRPr="00500128" w:rsidRDefault="00BD49DE" w:rsidP="006E504A">
            <w:pPr>
              <w:pStyle w:val="Tabletext"/>
              <w:keepNext/>
              <w:keepLines/>
              <w:rPr>
                <w:lang w:eastAsia="pt-BR"/>
              </w:rPr>
            </w:pPr>
            <w:r>
              <w:rPr>
                <w:lang w:eastAsia="pt-BR"/>
              </w:rPr>
              <w:t xml:space="preserve">The Brazilian payment cards market was characterized by a high level of market concentration. The </w:t>
            </w:r>
            <w:r w:rsidRPr="00500128">
              <w:rPr>
                <w:lang w:eastAsia="pt-BR"/>
              </w:rPr>
              <w:t xml:space="preserve">two </w:t>
            </w:r>
            <w:r>
              <w:rPr>
                <w:lang w:eastAsia="pt-BR"/>
              </w:rPr>
              <w:t xml:space="preserve">largest </w:t>
            </w:r>
            <w:r w:rsidRPr="00500128">
              <w:rPr>
                <w:lang w:eastAsia="pt-BR"/>
              </w:rPr>
              <w:t xml:space="preserve">payment schemes had </w:t>
            </w:r>
            <w:r>
              <w:rPr>
                <w:lang w:eastAsia="pt-BR"/>
              </w:rPr>
              <w:t>a combined share of approximately</w:t>
            </w:r>
            <w:r w:rsidRPr="00500128">
              <w:rPr>
                <w:lang w:eastAsia="pt-BR"/>
              </w:rPr>
              <w:t xml:space="preserve"> 90</w:t>
            </w:r>
            <w:r w:rsidR="00814C37">
              <w:rPr>
                <w:lang w:eastAsia="pt-BR"/>
              </w:rPr>
              <w:t xml:space="preserve"> per cent</w:t>
            </w:r>
            <w:r w:rsidRPr="00500128">
              <w:rPr>
                <w:lang w:eastAsia="pt-BR"/>
              </w:rPr>
              <w:t xml:space="preserve"> of </w:t>
            </w:r>
            <w:r w:rsidR="009F6DB4">
              <w:rPr>
                <w:lang w:eastAsia="pt-BR"/>
              </w:rPr>
              <w:t xml:space="preserve">the </w:t>
            </w:r>
            <w:r w:rsidRPr="00500128">
              <w:rPr>
                <w:lang w:eastAsia="pt-BR"/>
              </w:rPr>
              <w:t>payment cards marke</w:t>
            </w:r>
            <w:r>
              <w:rPr>
                <w:lang w:eastAsia="pt-BR"/>
              </w:rPr>
              <w:t>t (both in transaction volume and value).</w:t>
            </w:r>
            <w:r w:rsidRPr="00500128">
              <w:rPr>
                <w:lang w:eastAsia="pt-BR"/>
              </w:rPr>
              <w:t xml:space="preserve"> The acquiring market was also </w:t>
            </w:r>
            <w:r>
              <w:rPr>
                <w:lang w:eastAsia="pt-BR"/>
              </w:rPr>
              <w:t>dominated by</w:t>
            </w:r>
            <w:r w:rsidRPr="00500128">
              <w:rPr>
                <w:lang w:eastAsia="pt-BR"/>
              </w:rPr>
              <w:t xml:space="preserve"> two acquirers (namely Cielo and Rede). It was pointed out in the Report on the Br</w:t>
            </w:r>
            <w:r>
              <w:rPr>
                <w:lang w:eastAsia="pt-BR"/>
              </w:rPr>
              <w:t xml:space="preserve">azilian Payments Card Industry </w:t>
            </w:r>
            <w:r w:rsidRPr="00CF4926">
              <w:t>(2010)</w:t>
            </w:r>
            <w:r w:rsidRPr="00500128">
              <w:rPr>
                <w:lang w:eastAsia="pt-BR"/>
              </w:rPr>
              <w:t xml:space="preserve"> that the verticalization of many services by the acquirers </w:t>
            </w:r>
            <w:r>
              <w:rPr>
                <w:lang w:eastAsia="pt-BR"/>
              </w:rPr>
              <w:t>were</w:t>
            </w:r>
            <w:r w:rsidRPr="00500128">
              <w:rPr>
                <w:lang w:eastAsia="pt-BR"/>
              </w:rPr>
              <w:t xml:space="preserve"> a major barrier to </w:t>
            </w:r>
            <w:r w:rsidR="00814C37">
              <w:rPr>
                <w:lang w:eastAsia="pt-BR"/>
              </w:rPr>
              <w:t xml:space="preserve">the </w:t>
            </w:r>
            <w:r w:rsidRPr="00500128">
              <w:rPr>
                <w:lang w:eastAsia="pt-BR"/>
              </w:rPr>
              <w:t xml:space="preserve">entry of other acquirers. </w:t>
            </w:r>
            <w:r>
              <w:rPr>
                <w:lang w:eastAsia="pt-BR"/>
              </w:rPr>
              <w:t>Additionally</w:t>
            </w:r>
            <w:r w:rsidRPr="00500128">
              <w:rPr>
                <w:lang w:eastAsia="pt-BR"/>
              </w:rPr>
              <w:t>, the highly concentrated financial market led to a concentration at the issu</w:t>
            </w:r>
            <w:r>
              <w:rPr>
                <w:lang w:eastAsia="pt-BR"/>
              </w:rPr>
              <w:t>ing</w:t>
            </w:r>
            <w:r w:rsidRPr="00500128">
              <w:rPr>
                <w:lang w:eastAsia="pt-BR"/>
              </w:rPr>
              <w:t xml:space="preserve"> side as well. Furthermore, the involvement of the main financial </w:t>
            </w:r>
            <w:r>
              <w:rPr>
                <w:lang w:eastAsia="pt-BR"/>
              </w:rPr>
              <w:t>institutions</w:t>
            </w:r>
            <w:r w:rsidRPr="00500128">
              <w:rPr>
                <w:lang w:eastAsia="pt-BR"/>
              </w:rPr>
              <w:t xml:space="preserve"> in all sectors of the payments service provision chain (from scheme owners to payment facilitators) increase</w:t>
            </w:r>
            <w:r>
              <w:rPr>
                <w:lang w:eastAsia="pt-BR"/>
              </w:rPr>
              <w:t>d</w:t>
            </w:r>
            <w:r w:rsidRPr="00500128">
              <w:rPr>
                <w:lang w:eastAsia="pt-BR"/>
              </w:rPr>
              <w:t xml:space="preserve"> the challenges entrants must face.</w:t>
            </w:r>
          </w:p>
        </w:tc>
      </w:tr>
      <w:tr w:rsidR="00BD49DE" w:rsidRPr="00D46DC9" w14:paraId="6300B4DE" w14:textId="77777777" w:rsidTr="0007777A">
        <w:tc>
          <w:tcPr>
            <w:tcW w:w="1838" w:type="dxa"/>
          </w:tcPr>
          <w:p w14:paraId="4395DA35" w14:textId="0CDD38A9" w:rsidR="00BD49DE" w:rsidRPr="00500128" w:rsidRDefault="00BD49DE" w:rsidP="0007777A">
            <w:pPr>
              <w:pStyle w:val="Tabletext"/>
              <w:rPr>
                <w:lang w:eastAsia="pt-BR"/>
              </w:rPr>
            </w:pPr>
            <w:r>
              <w:rPr>
                <w:lang w:eastAsia="pt-BR"/>
              </w:rPr>
              <w:t>Authority</w:t>
            </w:r>
            <w:r w:rsidR="00BD3731">
              <w:rPr>
                <w:lang w:eastAsia="pt-BR"/>
              </w:rPr>
              <w:t>'</w:t>
            </w:r>
            <w:r>
              <w:rPr>
                <w:lang w:eastAsia="pt-BR"/>
              </w:rPr>
              <w:t>s approach</w:t>
            </w:r>
          </w:p>
        </w:tc>
        <w:tc>
          <w:tcPr>
            <w:tcW w:w="7660" w:type="dxa"/>
          </w:tcPr>
          <w:p w14:paraId="66E10EC6" w14:textId="77777777" w:rsidR="00BD49DE" w:rsidRPr="00500128" w:rsidRDefault="00BD49DE" w:rsidP="0007777A">
            <w:pPr>
              <w:pStyle w:val="Tabletext"/>
              <w:rPr>
                <w:lang w:eastAsia="pt-BR"/>
              </w:rPr>
            </w:pPr>
            <w:r w:rsidRPr="00500128">
              <w:rPr>
                <w:lang w:eastAsia="pt-BR"/>
              </w:rPr>
              <w:t xml:space="preserve">This is an ongoing process. In </w:t>
            </w:r>
            <w:r>
              <w:rPr>
                <w:lang w:eastAsia="pt-BR"/>
              </w:rPr>
              <w:t>2016</w:t>
            </w:r>
            <w:r w:rsidR="009F6DB4">
              <w:rPr>
                <w:lang w:eastAsia="pt-BR"/>
              </w:rPr>
              <w:t>,</w:t>
            </w:r>
            <w:r w:rsidRPr="00500128">
              <w:rPr>
                <w:lang w:eastAsia="pt-BR"/>
              </w:rPr>
              <w:t xml:space="preserve"> BCB d</w:t>
            </w:r>
            <w:r>
              <w:rPr>
                <w:lang w:eastAsia="pt-BR"/>
              </w:rPr>
              <w:t>ecided to establish a working group</w:t>
            </w:r>
            <w:r w:rsidRPr="00500128">
              <w:rPr>
                <w:lang w:eastAsia="pt-BR"/>
              </w:rPr>
              <w:t xml:space="preserve"> with market participants to discuss an</w:t>
            </w:r>
            <w:r>
              <w:rPr>
                <w:lang w:eastAsia="pt-BR"/>
              </w:rPr>
              <w:t>d</w:t>
            </w:r>
            <w:r w:rsidRPr="00500128">
              <w:rPr>
                <w:lang w:eastAsia="pt-BR"/>
              </w:rPr>
              <w:t xml:space="preserve"> pro</w:t>
            </w:r>
            <w:r>
              <w:rPr>
                <w:lang w:eastAsia="pt-BR"/>
              </w:rPr>
              <w:t>mote interoperability in the Brazilian market. In its first task on the operational side, the group discussed adjustments in the current interbank credit transfers standards to cope with non-bank payment service providers; besides that, all payment system providers guaranteed no technical obstacles for payment institutions to become participants, so that all authorized market participants should have access to this set of transfers as the adjustments are implemented.</w:t>
            </w:r>
          </w:p>
        </w:tc>
      </w:tr>
      <w:tr w:rsidR="00BD49DE" w:rsidRPr="005F551D" w14:paraId="2F1E2260" w14:textId="77777777" w:rsidTr="0007777A">
        <w:tc>
          <w:tcPr>
            <w:tcW w:w="1838" w:type="dxa"/>
          </w:tcPr>
          <w:p w14:paraId="2D279AEA" w14:textId="77777777" w:rsidR="00BD49DE" w:rsidRPr="00500128" w:rsidRDefault="00BD49DE" w:rsidP="006E504A">
            <w:pPr>
              <w:pStyle w:val="Tabletext"/>
              <w:rPr>
                <w:lang w:eastAsia="pt-BR"/>
              </w:rPr>
            </w:pPr>
            <w:r w:rsidRPr="00500128">
              <w:rPr>
                <w:lang w:eastAsia="pt-BR"/>
              </w:rPr>
              <w:t>Outcome</w:t>
            </w:r>
          </w:p>
        </w:tc>
        <w:tc>
          <w:tcPr>
            <w:tcW w:w="7660" w:type="dxa"/>
          </w:tcPr>
          <w:p w14:paraId="636EDCEC" w14:textId="77777777" w:rsidR="00BD49DE" w:rsidRPr="00500128" w:rsidRDefault="00BD49DE" w:rsidP="006E504A">
            <w:pPr>
              <w:pStyle w:val="Tabletext"/>
              <w:rPr>
                <w:lang w:eastAsia="pt-BR"/>
              </w:rPr>
            </w:pPr>
            <w:r>
              <w:rPr>
                <w:lang w:eastAsia="pt-BR"/>
              </w:rPr>
              <w:t xml:space="preserve">An internal report on </w:t>
            </w:r>
            <w:r w:rsidR="00D44559">
              <w:rPr>
                <w:lang w:eastAsia="pt-BR"/>
              </w:rPr>
              <w:t xml:space="preserve">the </w:t>
            </w:r>
            <w:r>
              <w:rPr>
                <w:lang w:eastAsia="pt-BR"/>
              </w:rPr>
              <w:t xml:space="preserve">first phase achievements of the </w:t>
            </w:r>
            <w:r w:rsidR="00A4636C">
              <w:t>interoperability</w:t>
            </w:r>
            <w:r>
              <w:rPr>
                <w:lang w:eastAsia="pt-BR"/>
              </w:rPr>
              <w:t xml:space="preserve"> working group is to be finished by November 2016.</w:t>
            </w:r>
          </w:p>
        </w:tc>
      </w:tr>
    </w:tbl>
    <w:p w14:paraId="06D01034" w14:textId="77777777" w:rsidR="006E504A" w:rsidRDefault="006E504A" w:rsidP="006E504A">
      <w:pPr>
        <w:pStyle w:val="Heading2"/>
        <w:keepNext w:val="0"/>
        <w:keepLines w:val="0"/>
        <w:rPr>
          <w:lang w:val="en-US"/>
        </w:rPr>
      </w:pPr>
      <w:bookmarkStart w:id="33" w:name="_Toc8395626"/>
      <w:r>
        <w:rPr>
          <w:lang w:val="en-US"/>
        </w:rPr>
        <w:br w:type="page"/>
      </w:r>
    </w:p>
    <w:p w14:paraId="32199225" w14:textId="728581C3" w:rsidR="00BD49DE" w:rsidRPr="009E7593" w:rsidRDefault="00BD49DE" w:rsidP="006E504A">
      <w:pPr>
        <w:pStyle w:val="Heading2"/>
        <w:keepNext w:val="0"/>
        <w:keepLines w:val="0"/>
        <w:rPr>
          <w:lang w:val="en-US"/>
        </w:rPr>
      </w:pPr>
      <w:r>
        <w:rPr>
          <w:lang w:val="en-US"/>
        </w:rPr>
        <w:lastRenderedPageBreak/>
        <w:t xml:space="preserve">Country: </w:t>
      </w:r>
      <w:r w:rsidRPr="009E7593">
        <w:rPr>
          <w:lang w:val="en-US"/>
        </w:rPr>
        <w:t>Liberia</w:t>
      </w:r>
      <w:bookmarkEnd w:id="33"/>
    </w:p>
    <w:p w14:paraId="1A08640B" w14:textId="77777777" w:rsidR="00BD49DE" w:rsidRDefault="00BD49DE" w:rsidP="00BD49DE">
      <w:pPr>
        <w:spacing w:after="120"/>
      </w:pPr>
      <w:r>
        <w:t xml:space="preserve">Respondent: Central </w:t>
      </w:r>
      <w:r w:rsidRPr="00500128">
        <w:t>Bank of Liberia</w:t>
      </w:r>
      <w:r>
        <w:rPr>
          <w:rStyle w:val="FootnoteReference"/>
        </w:rPr>
        <w:footnoteReference w:id="8"/>
      </w:r>
    </w:p>
    <w:tbl>
      <w:tblPr>
        <w:tblStyle w:val="TableGrid"/>
        <w:tblW w:w="9639" w:type="dxa"/>
        <w:tblBorders>
          <w:left w:val="none" w:sz="0" w:space="0" w:color="auto"/>
          <w:right w:val="none" w:sz="0" w:space="0" w:color="auto"/>
        </w:tblBorders>
        <w:tblLook w:val="04A0" w:firstRow="1" w:lastRow="0" w:firstColumn="1" w:lastColumn="0" w:noHBand="0" w:noVBand="1"/>
      </w:tblPr>
      <w:tblGrid>
        <w:gridCol w:w="1865"/>
        <w:gridCol w:w="7774"/>
      </w:tblGrid>
      <w:tr w:rsidR="00BD49DE" w:rsidRPr="00BF12DB" w14:paraId="18E8A998" w14:textId="77777777" w:rsidTr="00F41BF2">
        <w:tc>
          <w:tcPr>
            <w:tcW w:w="1838" w:type="dxa"/>
          </w:tcPr>
          <w:p w14:paraId="4EF2C23A" w14:textId="77777777" w:rsidR="00BD49DE" w:rsidRDefault="00BD49DE" w:rsidP="00F41BF2">
            <w:pPr>
              <w:pStyle w:val="Tabletext"/>
            </w:pPr>
            <w:r w:rsidRPr="00500128">
              <w:rPr>
                <w:lang w:eastAsia="pt-BR"/>
              </w:rPr>
              <w:t>Mandate</w:t>
            </w:r>
          </w:p>
        </w:tc>
        <w:tc>
          <w:tcPr>
            <w:tcW w:w="7660" w:type="dxa"/>
          </w:tcPr>
          <w:p w14:paraId="521208CE" w14:textId="77777777" w:rsidR="00BD49DE" w:rsidRDefault="00BD49DE" w:rsidP="00F41BF2">
            <w:pPr>
              <w:pStyle w:val="Tabletext"/>
            </w:pPr>
            <w:r w:rsidRPr="00E479DC">
              <w:t xml:space="preserve">There has been no </w:t>
            </w:r>
            <w:r>
              <w:t>special agreement regarding</w:t>
            </w:r>
            <w:r w:rsidDel="009464EF">
              <w:t xml:space="preserve"> </w:t>
            </w:r>
            <w:r>
              <w:t xml:space="preserve">the mandate on mobile payments between </w:t>
            </w:r>
            <w:r w:rsidRPr="00E479DC">
              <w:t>the Central Bank of Liberia</w:t>
            </w:r>
            <w:r>
              <w:t xml:space="preserve"> </w:t>
            </w:r>
            <w:r w:rsidRPr="00E479DC">
              <w:t xml:space="preserve">(CBL) and the Liberia Telecommunication Authority. However, the Central Bank of Liberia mandated in its Mobile Money Regulation of May 14, 2014 that all authorized institutions licensed under its regulations should </w:t>
            </w:r>
            <w:r>
              <w:t>provide</w:t>
            </w:r>
            <w:r w:rsidRPr="00E479DC">
              <w:t xml:space="preserve"> systems</w:t>
            </w:r>
            <w:r w:rsidR="009F6DB4">
              <w:t xml:space="preserve"> that are </w:t>
            </w:r>
            <w:r w:rsidRPr="00E479DC">
              <w:t xml:space="preserve">interoperable with systems </w:t>
            </w:r>
            <w:r>
              <w:t>of</w:t>
            </w:r>
            <w:r w:rsidRPr="00E479DC">
              <w:t xml:space="preserve"> other authorized institutions.</w:t>
            </w:r>
          </w:p>
        </w:tc>
      </w:tr>
      <w:tr w:rsidR="00BD49DE" w:rsidRPr="00BF12DB" w14:paraId="234FCF1C" w14:textId="77777777" w:rsidTr="00F41BF2">
        <w:tc>
          <w:tcPr>
            <w:tcW w:w="1838" w:type="dxa"/>
          </w:tcPr>
          <w:p w14:paraId="30BEEF22" w14:textId="4EBADBE7" w:rsidR="00BD49DE" w:rsidRPr="00643F9E" w:rsidRDefault="00BD49DE" w:rsidP="00F41BF2">
            <w:pPr>
              <w:pStyle w:val="Tabletext"/>
              <w:rPr>
                <w:lang w:eastAsia="pt-BR"/>
              </w:rPr>
            </w:pPr>
            <w:r w:rsidRPr="00481616">
              <w:rPr>
                <w:lang w:eastAsia="pt-BR"/>
              </w:rPr>
              <w:t>State of the market before authorit</w:t>
            </w:r>
            <w:r w:rsidR="009F6DB4">
              <w:rPr>
                <w:lang w:eastAsia="pt-BR"/>
              </w:rPr>
              <w:t>y</w:t>
            </w:r>
            <w:r w:rsidR="00BD3731">
              <w:rPr>
                <w:lang w:eastAsia="pt-BR"/>
              </w:rPr>
              <w:t>'</w:t>
            </w:r>
            <w:r w:rsidR="009F6DB4">
              <w:rPr>
                <w:lang w:eastAsia="pt-BR"/>
              </w:rPr>
              <w:t>s</w:t>
            </w:r>
            <w:r w:rsidRPr="00481616">
              <w:rPr>
                <w:lang w:eastAsia="pt-BR"/>
              </w:rPr>
              <w:t xml:space="preserve"> involvement</w:t>
            </w:r>
          </w:p>
        </w:tc>
        <w:tc>
          <w:tcPr>
            <w:tcW w:w="7660" w:type="dxa"/>
          </w:tcPr>
          <w:p w14:paraId="27E8A6B2" w14:textId="77777777" w:rsidR="00BD49DE" w:rsidRPr="00500128" w:rsidRDefault="00BD49DE" w:rsidP="00F41BF2">
            <w:pPr>
              <w:pStyle w:val="Tabletext"/>
              <w:rPr>
                <w:lang w:eastAsia="pt-BR"/>
              </w:rPr>
            </w:pPr>
            <w:r w:rsidRPr="00E479DC">
              <w:rPr>
                <w:lang w:eastAsia="pt-BR"/>
              </w:rPr>
              <w:t xml:space="preserve">Prior to having </w:t>
            </w:r>
            <w:r w:rsidR="00325CD9">
              <w:rPr>
                <w:lang w:eastAsia="pt-BR"/>
              </w:rPr>
              <w:t xml:space="preserve">a </w:t>
            </w:r>
            <w:r>
              <w:rPr>
                <w:lang w:eastAsia="pt-BR"/>
              </w:rPr>
              <w:t>functional regulatory approach</w:t>
            </w:r>
            <w:r w:rsidRPr="00E479DC">
              <w:rPr>
                <w:lang w:eastAsia="pt-BR"/>
              </w:rPr>
              <w:t xml:space="preserve"> for DFS</w:t>
            </w:r>
            <w:r>
              <w:rPr>
                <w:lang w:eastAsia="pt-BR"/>
              </w:rPr>
              <w:t xml:space="preserve"> provision</w:t>
            </w:r>
            <w:r w:rsidRPr="00E479DC">
              <w:rPr>
                <w:lang w:eastAsia="pt-BR"/>
              </w:rPr>
              <w:t xml:space="preserve">, the CBL </w:t>
            </w:r>
            <w:r>
              <w:rPr>
                <w:lang w:eastAsia="pt-BR"/>
              </w:rPr>
              <w:t>followed</w:t>
            </w:r>
            <w:r w:rsidRPr="00E479DC">
              <w:rPr>
                <w:lang w:eastAsia="pt-BR"/>
              </w:rPr>
              <w:t xml:space="preserve"> a bank-led model</w:t>
            </w:r>
            <w:r>
              <w:rPr>
                <w:lang w:eastAsia="pt-BR"/>
              </w:rPr>
              <w:t>. As a result</w:t>
            </w:r>
            <w:r w:rsidR="00D52662">
              <w:rPr>
                <w:lang w:eastAsia="pt-BR"/>
              </w:rPr>
              <w:t>,</w:t>
            </w:r>
            <w:r>
              <w:rPr>
                <w:lang w:eastAsia="pt-BR"/>
              </w:rPr>
              <w:t xml:space="preserve"> mobile money was offered </w:t>
            </w:r>
            <w:r w:rsidRPr="00E479DC">
              <w:rPr>
                <w:lang w:eastAsia="pt-BR"/>
              </w:rPr>
              <w:t xml:space="preserve">by two banks </w:t>
            </w:r>
            <w:r>
              <w:rPr>
                <w:lang w:eastAsia="pt-BR"/>
              </w:rPr>
              <w:t>in cooperation with</w:t>
            </w:r>
            <w:r w:rsidRPr="00E479DC">
              <w:rPr>
                <w:lang w:eastAsia="pt-BR"/>
              </w:rPr>
              <w:t xml:space="preserve"> one </w:t>
            </w:r>
            <w:r w:rsidR="00325CD9">
              <w:rPr>
                <w:lang w:eastAsia="pt-BR"/>
              </w:rPr>
              <w:t>m</w:t>
            </w:r>
            <w:r w:rsidRPr="00E479DC">
              <w:rPr>
                <w:lang w:eastAsia="pt-BR"/>
              </w:rPr>
              <w:t xml:space="preserve">obile </w:t>
            </w:r>
            <w:r w:rsidR="00325CD9">
              <w:rPr>
                <w:lang w:eastAsia="pt-BR"/>
              </w:rPr>
              <w:t>n</w:t>
            </w:r>
            <w:r w:rsidRPr="00E479DC">
              <w:rPr>
                <w:lang w:eastAsia="pt-BR"/>
              </w:rPr>
              <w:t xml:space="preserve">etwork </w:t>
            </w:r>
            <w:r w:rsidR="00325CD9">
              <w:rPr>
                <w:lang w:eastAsia="pt-BR"/>
              </w:rPr>
              <w:t>o</w:t>
            </w:r>
            <w:r w:rsidRPr="00E479DC">
              <w:rPr>
                <w:lang w:eastAsia="pt-BR"/>
              </w:rPr>
              <w:t>perator</w:t>
            </w:r>
            <w:r w:rsidR="00325CD9">
              <w:rPr>
                <w:lang w:eastAsia="pt-BR"/>
              </w:rPr>
              <w:t xml:space="preserve"> (MNO)</w:t>
            </w:r>
            <w:r w:rsidRPr="00E479DC">
              <w:rPr>
                <w:lang w:eastAsia="pt-BR"/>
              </w:rPr>
              <w:t xml:space="preserve">. </w:t>
            </w:r>
            <w:r>
              <w:rPr>
                <w:lang w:eastAsia="pt-BR"/>
              </w:rPr>
              <w:t>The unsatisfactory uptake of mobile money led to an</w:t>
            </w:r>
            <w:r w:rsidRPr="00E479DC">
              <w:rPr>
                <w:lang w:eastAsia="pt-BR"/>
              </w:rPr>
              <w:t xml:space="preserve"> amendment of the new </w:t>
            </w:r>
            <w:r w:rsidR="00600FD7">
              <w:rPr>
                <w:lang w:eastAsia="pt-BR"/>
              </w:rPr>
              <w:t>r</w:t>
            </w:r>
            <w:r w:rsidRPr="00E479DC">
              <w:rPr>
                <w:lang w:eastAsia="pt-BR"/>
              </w:rPr>
              <w:t xml:space="preserve">egulatory framework of 2014. </w:t>
            </w:r>
            <w:r>
              <w:rPr>
                <w:lang w:eastAsia="pt-BR"/>
              </w:rPr>
              <w:t xml:space="preserve">The new regulatory </w:t>
            </w:r>
            <w:r w:rsidRPr="00E479DC">
              <w:rPr>
                <w:lang w:eastAsia="pt-BR"/>
              </w:rPr>
              <w:t xml:space="preserve">framework </w:t>
            </w:r>
            <w:r>
              <w:rPr>
                <w:lang w:eastAsia="pt-BR"/>
              </w:rPr>
              <w:t>follows a functional approach and no</w:t>
            </w:r>
            <w:r w:rsidR="00D52662">
              <w:rPr>
                <w:lang w:eastAsia="pt-BR"/>
              </w:rPr>
              <w:t xml:space="preserve"> longer</w:t>
            </w:r>
            <w:r>
              <w:rPr>
                <w:lang w:eastAsia="pt-BR"/>
              </w:rPr>
              <w:t xml:space="preserve"> require</w:t>
            </w:r>
            <w:r w:rsidR="00D52662">
              <w:rPr>
                <w:lang w:eastAsia="pt-BR"/>
              </w:rPr>
              <w:t>s</w:t>
            </w:r>
            <w:r>
              <w:rPr>
                <w:lang w:eastAsia="pt-BR"/>
              </w:rPr>
              <w:t xml:space="preserve"> companies </w:t>
            </w:r>
            <w:r w:rsidRPr="00E479DC">
              <w:rPr>
                <w:lang w:eastAsia="pt-BR"/>
              </w:rPr>
              <w:t>licensed by the Central Bank of Liberia</w:t>
            </w:r>
            <w:r>
              <w:rPr>
                <w:lang w:eastAsia="pt-BR"/>
              </w:rPr>
              <w:t xml:space="preserve"> for the provision of mobile money services to do this in cooperation with banks.</w:t>
            </w:r>
            <w:r w:rsidRPr="00E479DC">
              <w:rPr>
                <w:lang w:eastAsia="pt-BR"/>
              </w:rPr>
              <w:t xml:space="preserve"> </w:t>
            </w:r>
            <w:r>
              <w:rPr>
                <w:lang w:eastAsia="pt-BR"/>
              </w:rPr>
              <w:t xml:space="preserve">So far, </w:t>
            </w:r>
            <w:r w:rsidRPr="00E479DC">
              <w:rPr>
                <w:lang w:eastAsia="pt-BR"/>
              </w:rPr>
              <w:t xml:space="preserve">two subsidiaries from the MNOs </w:t>
            </w:r>
            <w:r>
              <w:rPr>
                <w:lang w:eastAsia="pt-BR"/>
              </w:rPr>
              <w:t xml:space="preserve">have been licensed as </w:t>
            </w:r>
            <w:r w:rsidR="00600FD7">
              <w:rPr>
                <w:lang w:eastAsia="pt-BR"/>
              </w:rPr>
              <w:t>m</w:t>
            </w:r>
            <w:r>
              <w:rPr>
                <w:lang w:eastAsia="pt-BR"/>
              </w:rPr>
              <w:t xml:space="preserve">obile </w:t>
            </w:r>
            <w:r w:rsidR="00600FD7">
              <w:rPr>
                <w:lang w:eastAsia="pt-BR"/>
              </w:rPr>
              <w:t>m</w:t>
            </w:r>
            <w:r>
              <w:rPr>
                <w:lang w:eastAsia="pt-BR"/>
              </w:rPr>
              <w:t xml:space="preserve">oney </w:t>
            </w:r>
            <w:r w:rsidR="00600FD7">
              <w:rPr>
                <w:lang w:eastAsia="pt-BR"/>
              </w:rPr>
              <w:t>p</w:t>
            </w:r>
            <w:r>
              <w:rPr>
                <w:lang w:eastAsia="pt-BR"/>
              </w:rPr>
              <w:t>roviders</w:t>
            </w:r>
            <w:r w:rsidR="00600FD7">
              <w:rPr>
                <w:lang w:eastAsia="pt-BR"/>
              </w:rPr>
              <w:t>:</w:t>
            </w:r>
            <w:r w:rsidRPr="00E479DC">
              <w:rPr>
                <w:lang w:eastAsia="pt-BR"/>
              </w:rPr>
              <w:t xml:space="preserve"> Lonestar Cell MTN Mobile Money Inc. which </w:t>
            </w:r>
            <w:r>
              <w:rPr>
                <w:lang w:eastAsia="pt-BR"/>
              </w:rPr>
              <w:t>is currently market leader</w:t>
            </w:r>
            <w:r w:rsidR="00600FD7">
              <w:rPr>
                <w:lang w:eastAsia="pt-BR"/>
              </w:rPr>
              <w:t>;</w:t>
            </w:r>
            <w:r w:rsidRPr="00E479DC">
              <w:rPr>
                <w:lang w:eastAsia="pt-BR"/>
              </w:rPr>
              <w:t xml:space="preserve"> and Cellcom Technologies Inc.</w:t>
            </w:r>
            <w:r>
              <w:rPr>
                <w:lang w:eastAsia="pt-BR"/>
              </w:rPr>
              <w:t xml:space="preserve">, which </w:t>
            </w:r>
            <w:r w:rsidR="00D52662">
              <w:rPr>
                <w:lang w:eastAsia="pt-BR"/>
              </w:rPr>
              <w:t xml:space="preserve">recently </w:t>
            </w:r>
            <w:r>
              <w:rPr>
                <w:lang w:eastAsia="pt-BR"/>
              </w:rPr>
              <w:t>received its license</w:t>
            </w:r>
            <w:r w:rsidRPr="00E479DC">
              <w:rPr>
                <w:lang w:eastAsia="pt-BR"/>
              </w:rPr>
              <w:t>.</w:t>
            </w:r>
          </w:p>
        </w:tc>
      </w:tr>
      <w:tr w:rsidR="00BD49DE" w:rsidRPr="00BF12DB" w14:paraId="299D9B86" w14:textId="77777777" w:rsidTr="00F41BF2">
        <w:tc>
          <w:tcPr>
            <w:tcW w:w="1838" w:type="dxa"/>
          </w:tcPr>
          <w:p w14:paraId="47C933D9" w14:textId="77777777" w:rsidR="00BD49DE" w:rsidRPr="00500128" w:rsidRDefault="00BD49DE" w:rsidP="00F41BF2">
            <w:pPr>
              <w:pStyle w:val="Tabletext"/>
              <w:rPr>
                <w:lang w:eastAsia="pt-BR"/>
              </w:rPr>
            </w:pPr>
            <w:r>
              <w:rPr>
                <w:lang w:eastAsia="pt-BR"/>
              </w:rPr>
              <w:t>Relevance assigned to interoperability</w:t>
            </w:r>
          </w:p>
        </w:tc>
        <w:tc>
          <w:tcPr>
            <w:tcW w:w="7660" w:type="dxa"/>
          </w:tcPr>
          <w:p w14:paraId="0CD6DB09" w14:textId="77777777" w:rsidR="00BD49DE" w:rsidRPr="00500128" w:rsidRDefault="00A4636C" w:rsidP="00F41BF2">
            <w:pPr>
              <w:pStyle w:val="Tabletext"/>
              <w:rPr>
                <w:lang w:eastAsia="pt-BR"/>
              </w:rPr>
            </w:pPr>
            <w:r>
              <w:t>Interoperability</w:t>
            </w:r>
            <w:r w:rsidR="00BD49DE">
              <w:rPr>
                <w:lang w:eastAsia="pt-BR"/>
              </w:rPr>
              <w:t xml:space="preserve"> has been considered important, as proven by the explicit requirement in the mobile money regulation.</w:t>
            </w:r>
          </w:p>
        </w:tc>
      </w:tr>
      <w:tr w:rsidR="00BD49DE" w:rsidRPr="00BF12DB" w14:paraId="10768DBA" w14:textId="77777777" w:rsidTr="00F41BF2">
        <w:tc>
          <w:tcPr>
            <w:tcW w:w="1838" w:type="dxa"/>
          </w:tcPr>
          <w:p w14:paraId="1E642073" w14:textId="77777777" w:rsidR="00BD49DE" w:rsidRPr="00500128" w:rsidRDefault="00BD49DE" w:rsidP="00F41BF2">
            <w:pPr>
              <w:pStyle w:val="Tabletext"/>
              <w:rPr>
                <w:lang w:eastAsia="pt-BR"/>
              </w:rPr>
            </w:pPr>
            <w:r>
              <w:rPr>
                <w:lang w:eastAsia="pt-BR"/>
              </w:rPr>
              <w:t>Reason to address interoperability</w:t>
            </w:r>
          </w:p>
        </w:tc>
        <w:tc>
          <w:tcPr>
            <w:tcW w:w="7660" w:type="dxa"/>
          </w:tcPr>
          <w:p w14:paraId="023D9B2C" w14:textId="77777777" w:rsidR="00BD49DE" w:rsidRPr="00500128" w:rsidRDefault="00BD49DE" w:rsidP="00F41BF2">
            <w:pPr>
              <w:pStyle w:val="Tabletext"/>
              <w:rPr>
                <w:lang w:eastAsia="pt-BR"/>
              </w:rPr>
            </w:pPr>
            <w:r>
              <w:rPr>
                <w:lang w:eastAsia="pt-BR"/>
              </w:rPr>
              <w:t xml:space="preserve">Customers show a keen interest to transact across providers </w:t>
            </w:r>
            <w:r w:rsidR="00D52662">
              <w:rPr>
                <w:lang w:eastAsia="pt-BR"/>
              </w:rPr>
              <w:t>so</w:t>
            </w:r>
            <w:r>
              <w:rPr>
                <w:lang w:eastAsia="pt-BR"/>
              </w:rPr>
              <w:t xml:space="preserve"> interoperability is important. So far, however</w:t>
            </w:r>
            <w:r w:rsidRPr="00E479DC">
              <w:rPr>
                <w:lang w:eastAsia="pt-BR"/>
              </w:rPr>
              <w:t xml:space="preserve">, the major challenge has been the deployment of the </w:t>
            </w:r>
            <w:r w:rsidR="00415AA9">
              <w:rPr>
                <w:lang w:eastAsia="pt-BR"/>
              </w:rPr>
              <w:t>n</w:t>
            </w:r>
            <w:r w:rsidRPr="00E479DC">
              <w:rPr>
                <w:lang w:eastAsia="pt-BR"/>
              </w:rPr>
              <w:t xml:space="preserve">ational </w:t>
            </w:r>
            <w:r w:rsidR="00415AA9">
              <w:rPr>
                <w:lang w:eastAsia="pt-BR"/>
              </w:rPr>
              <w:t>s</w:t>
            </w:r>
            <w:r w:rsidRPr="00E479DC">
              <w:rPr>
                <w:lang w:eastAsia="pt-BR"/>
              </w:rPr>
              <w:t>witch at the CBL</w:t>
            </w:r>
            <w:r>
              <w:rPr>
                <w:lang w:eastAsia="pt-BR"/>
              </w:rPr>
              <w:t>, to enable interoperability on infrastructure level.</w:t>
            </w:r>
          </w:p>
        </w:tc>
      </w:tr>
      <w:tr w:rsidR="00BD49DE" w:rsidRPr="00BF12DB" w14:paraId="7B31A5BA" w14:textId="77777777" w:rsidTr="00F41BF2">
        <w:tc>
          <w:tcPr>
            <w:tcW w:w="1838" w:type="dxa"/>
          </w:tcPr>
          <w:p w14:paraId="2F27C887" w14:textId="77777777" w:rsidR="00BD49DE" w:rsidRPr="00500128" w:rsidRDefault="00BD49DE" w:rsidP="003B61FA">
            <w:pPr>
              <w:pStyle w:val="Tabletext"/>
              <w:keepNext/>
              <w:keepLines/>
              <w:rPr>
                <w:lang w:eastAsia="pt-BR"/>
              </w:rPr>
            </w:pPr>
            <w:r>
              <w:rPr>
                <w:lang w:eastAsia="pt-BR"/>
              </w:rPr>
              <w:t>Outcome</w:t>
            </w:r>
          </w:p>
        </w:tc>
        <w:tc>
          <w:tcPr>
            <w:tcW w:w="7660" w:type="dxa"/>
          </w:tcPr>
          <w:p w14:paraId="2444B71D" w14:textId="77777777" w:rsidR="00BD49DE" w:rsidRPr="00E479DC" w:rsidDel="00701F44" w:rsidRDefault="00BD49DE" w:rsidP="003B61FA">
            <w:pPr>
              <w:pStyle w:val="Tabletext"/>
              <w:keepNext/>
              <w:keepLines/>
              <w:rPr>
                <w:lang w:eastAsia="pt-BR"/>
              </w:rPr>
            </w:pPr>
            <w:r>
              <w:rPr>
                <w:lang w:eastAsia="pt-BR"/>
              </w:rPr>
              <w:t>The two licensed mobile money provider</w:t>
            </w:r>
            <w:r w:rsidR="00D52662">
              <w:rPr>
                <w:lang w:eastAsia="pt-BR"/>
              </w:rPr>
              <w:t>s</w:t>
            </w:r>
            <w:r>
              <w:rPr>
                <w:lang w:eastAsia="pt-BR"/>
              </w:rPr>
              <w:t xml:space="preserve"> still need to establish interoperability, as required by the mobile money regulation.</w:t>
            </w:r>
          </w:p>
        </w:tc>
      </w:tr>
    </w:tbl>
    <w:p w14:paraId="07675C68" w14:textId="77777777" w:rsidR="00BD49DE" w:rsidRPr="00C26BC6" w:rsidRDefault="00BD49DE" w:rsidP="00BD49DE">
      <w:pPr>
        <w:pStyle w:val="Heading2"/>
        <w:rPr>
          <w:lang w:val="en-US"/>
        </w:rPr>
      </w:pPr>
      <w:bookmarkStart w:id="34" w:name="_Toc8395627"/>
      <w:r>
        <w:rPr>
          <w:lang w:val="en-US"/>
        </w:rPr>
        <w:t xml:space="preserve">Country: </w:t>
      </w:r>
      <w:r w:rsidRPr="00C26BC6">
        <w:rPr>
          <w:lang w:val="en-US"/>
        </w:rPr>
        <w:t>Nigeria</w:t>
      </w:r>
      <w:bookmarkEnd w:id="34"/>
    </w:p>
    <w:p w14:paraId="2350A9CC" w14:textId="77777777" w:rsidR="00BD49DE" w:rsidRDefault="00BD49DE" w:rsidP="00BD49DE">
      <w:pPr>
        <w:spacing w:after="120"/>
      </w:pPr>
      <w:r>
        <w:t xml:space="preserve">Respondent: </w:t>
      </w:r>
      <w:r w:rsidRPr="00500128">
        <w:t>Niger</w:t>
      </w:r>
      <w:r>
        <w:t>ia Inter-Bank Settlement System</w:t>
      </w:r>
      <w:r>
        <w:rPr>
          <w:rStyle w:val="FootnoteReference"/>
        </w:rPr>
        <w:footnoteReference w:id="9"/>
      </w:r>
    </w:p>
    <w:tbl>
      <w:tblPr>
        <w:tblStyle w:val="TableGrid"/>
        <w:tblW w:w="9639" w:type="dxa"/>
        <w:tblBorders>
          <w:left w:val="none" w:sz="0" w:space="0" w:color="auto"/>
          <w:right w:val="none" w:sz="0" w:space="0" w:color="auto"/>
        </w:tblBorders>
        <w:tblLook w:val="04A0" w:firstRow="1" w:lastRow="0" w:firstColumn="1" w:lastColumn="0" w:noHBand="0" w:noVBand="1"/>
      </w:tblPr>
      <w:tblGrid>
        <w:gridCol w:w="1865"/>
        <w:gridCol w:w="7774"/>
      </w:tblGrid>
      <w:tr w:rsidR="00BD49DE" w:rsidRPr="00BF12DB" w14:paraId="7145201F" w14:textId="77777777" w:rsidTr="00F41BF2">
        <w:tc>
          <w:tcPr>
            <w:tcW w:w="1838" w:type="dxa"/>
          </w:tcPr>
          <w:p w14:paraId="688EAA6F" w14:textId="77777777" w:rsidR="00BD49DE" w:rsidRDefault="00BD49DE" w:rsidP="00F41BF2">
            <w:pPr>
              <w:pStyle w:val="Tabletext"/>
            </w:pPr>
            <w:r w:rsidRPr="00500128">
              <w:rPr>
                <w:lang w:eastAsia="pt-BR"/>
              </w:rPr>
              <w:t>Mandate</w:t>
            </w:r>
          </w:p>
        </w:tc>
        <w:tc>
          <w:tcPr>
            <w:tcW w:w="7660" w:type="dxa"/>
          </w:tcPr>
          <w:p w14:paraId="442D4E6C" w14:textId="77777777" w:rsidR="00BD49DE" w:rsidRPr="00BF12DB" w:rsidRDefault="00BD49DE" w:rsidP="00F41BF2">
            <w:pPr>
              <w:pStyle w:val="Tabletext"/>
            </w:pPr>
            <w:r w:rsidRPr="00BF12DB">
              <w:t>The Central Bank of Nigeria has the legal mandate for DFS in Nigeria, including enforcement of interoperability, through the Central Bank Act of 2007.</w:t>
            </w:r>
          </w:p>
          <w:p w14:paraId="192666DE" w14:textId="77777777" w:rsidR="00BD49DE" w:rsidRDefault="00BD49DE" w:rsidP="00F41BF2">
            <w:pPr>
              <w:pStyle w:val="Tabletext"/>
            </w:pPr>
            <w:r w:rsidRPr="00BF12DB">
              <w:t>The role of telecommunication operators is the provision of telecommunication services, enabling the delivery of DFS over USSD, STK, mobile app, and the web via various GSM data plans.</w:t>
            </w:r>
          </w:p>
        </w:tc>
      </w:tr>
      <w:tr w:rsidR="00BD49DE" w:rsidRPr="00BF12DB" w14:paraId="7E22F074" w14:textId="77777777" w:rsidTr="00F41BF2">
        <w:tc>
          <w:tcPr>
            <w:tcW w:w="1838" w:type="dxa"/>
          </w:tcPr>
          <w:p w14:paraId="03EE3E6D" w14:textId="28667692" w:rsidR="00BD49DE" w:rsidRPr="00BF12DB" w:rsidRDefault="00BD49DE" w:rsidP="00F41BF2">
            <w:pPr>
              <w:pStyle w:val="Tabletext"/>
              <w:rPr>
                <w:lang w:eastAsia="pt-BR"/>
              </w:rPr>
            </w:pPr>
            <w:r w:rsidRPr="00481616">
              <w:rPr>
                <w:lang w:eastAsia="pt-BR"/>
              </w:rPr>
              <w:t>State of the market before authorit</w:t>
            </w:r>
            <w:r w:rsidR="00D52662">
              <w:rPr>
                <w:lang w:eastAsia="pt-BR"/>
              </w:rPr>
              <w:t>y</w:t>
            </w:r>
            <w:r w:rsidR="00BD3731">
              <w:rPr>
                <w:lang w:eastAsia="pt-BR"/>
              </w:rPr>
              <w:t>'</w:t>
            </w:r>
            <w:r w:rsidR="00D52662">
              <w:rPr>
                <w:lang w:eastAsia="pt-BR"/>
              </w:rPr>
              <w:t>s</w:t>
            </w:r>
            <w:r w:rsidR="00BD3731">
              <w:rPr>
                <w:lang w:eastAsia="pt-BR"/>
              </w:rPr>
              <w:t>'</w:t>
            </w:r>
            <w:r w:rsidRPr="00481616">
              <w:rPr>
                <w:lang w:eastAsia="pt-BR"/>
              </w:rPr>
              <w:t xml:space="preserve"> involvement</w:t>
            </w:r>
          </w:p>
        </w:tc>
        <w:tc>
          <w:tcPr>
            <w:tcW w:w="7660" w:type="dxa"/>
          </w:tcPr>
          <w:p w14:paraId="65DD8422" w14:textId="03695EE7" w:rsidR="00BD49DE" w:rsidRPr="00500128" w:rsidRDefault="00BD49DE" w:rsidP="00F41BF2">
            <w:pPr>
              <w:pStyle w:val="Tabletext"/>
              <w:rPr>
                <w:lang w:eastAsia="pt-BR"/>
              </w:rPr>
            </w:pPr>
            <w:r>
              <w:rPr>
                <w:lang w:eastAsia="pt-BR"/>
              </w:rPr>
              <w:t>The authorit</w:t>
            </w:r>
            <w:r w:rsidR="00D52662">
              <w:rPr>
                <w:lang w:eastAsia="pt-BR"/>
              </w:rPr>
              <w:t>y</w:t>
            </w:r>
            <w:r w:rsidR="00BD3731">
              <w:rPr>
                <w:lang w:eastAsia="pt-BR"/>
              </w:rPr>
              <w:t>'</w:t>
            </w:r>
            <w:r>
              <w:rPr>
                <w:lang w:eastAsia="pt-BR"/>
              </w:rPr>
              <w:t>s f</w:t>
            </w:r>
            <w:r w:rsidRPr="00E479DC">
              <w:rPr>
                <w:lang w:eastAsia="pt-BR"/>
              </w:rPr>
              <w:t>ocus on DFS prior to 20</w:t>
            </w:r>
            <w:r>
              <w:rPr>
                <w:lang w:eastAsia="pt-BR"/>
              </w:rPr>
              <w:t>07</w:t>
            </w:r>
            <w:r w:rsidRPr="00E479DC">
              <w:rPr>
                <w:lang w:eastAsia="pt-BR"/>
              </w:rPr>
              <w:t xml:space="preserve"> was </w:t>
            </w:r>
            <w:r>
              <w:rPr>
                <w:lang w:eastAsia="pt-BR"/>
              </w:rPr>
              <w:t>limited</w:t>
            </w:r>
            <w:r w:rsidRPr="00E479DC">
              <w:rPr>
                <w:lang w:eastAsia="pt-BR"/>
              </w:rPr>
              <w:t>. Financial institutions were the sole DFS providers before the legal mandate was enacted.</w:t>
            </w:r>
            <w:r w:rsidRPr="00530359">
              <w:t xml:space="preserve"> </w:t>
            </w:r>
            <w:r w:rsidRPr="00530359">
              <w:rPr>
                <w:lang w:eastAsia="pt-BR"/>
              </w:rPr>
              <w:t>I</w:t>
            </w:r>
            <w:r>
              <w:rPr>
                <w:lang w:eastAsia="pt-BR"/>
              </w:rPr>
              <w:t>nteroperability w</w:t>
            </w:r>
            <w:r w:rsidRPr="00530359">
              <w:rPr>
                <w:lang w:eastAsia="pt-BR"/>
              </w:rPr>
              <w:t>as mandated in 2008</w:t>
            </w:r>
            <w:r>
              <w:rPr>
                <w:lang w:eastAsia="pt-BR"/>
              </w:rPr>
              <w:t xml:space="preserve"> among the two</w:t>
            </w:r>
            <w:r w:rsidRPr="00530359">
              <w:rPr>
                <w:lang w:eastAsia="pt-BR"/>
              </w:rPr>
              <w:t xml:space="preserve"> card payment processors (one with about 90</w:t>
            </w:r>
            <w:r w:rsidR="00036DC0">
              <w:rPr>
                <w:lang w:eastAsia="pt-BR"/>
              </w:rPr>
              <w:t xml:space="preserve"> per cent</w:t>
            </w:r>
            <w:r w:rsidRPr="00530359">
              <w:rPr>
                <w:lang w:eastAsia="pt-BR"/>
              </w:rPr>
              <w:t xml:space="preserve"> and the other 10</w:t>
            </w:r>
            <w:r w:rsidR="00036DC0">
              <w:rPr>
                <w:lang w:eastAsia="pt-BR"/>
              </w:rPr>
              <w:t xml:space="preserve"> per cent</w:t>
            </w:r>
            <w:r w:rsidRPr="00530359">
              <w:rPr>
                <w:lang w:eastAsia="pt-BR"/>
              </w:rPr>
              <w:t xml:space="preserve"> market share). Both were</w:t>
            </w:r>
            <w:r>
              <w:rPr>
                <w:lang w:eastAsia="pt-BR"/>
              </w:rPr>
              <w:t xml:space="preserve"> </w:t>
            </w:r>
            <w:r w:rsidR="00861971">
              <w:rPr>
                <w:lang w:eastAsia="pt-BR"/>
              </w:rPr>
              <w:t>previously</w:t>
            </w:r>
            <w:r w:rsidRPr="00530359">
              <w:rPr>
                <w:lang w:eastAsia="pt-BR"/>
              </w:rPr>
              <w:t xml:space="preserve"> </w:t>
            </w:r>
            <w:r w:rsidR="00861971">
              <w:rPr>
                <w:lang w:eastAsia="pt-BR"/>
              </w:rPr>
              <w:t xml:space="preserve">interested in </w:t>
            </w:r>
            <w:r w:rsidRPr="00530359">
              <w:rPr>
                <w:lang w:eastAsia="pt-BR"/>
              </w:rPr>
              <w:t>interoperat</w:t>
            </w:r>
            <w:r w:rsidR="00861971">
              <w:rPr>
                <w:lang w:eastAsia="pt-BR"/>
              </w:rPr>
              <w:t>ion</w:t>
            </w:r>
            <w:r>
              <w:rPr>
                <w:lang w:eastAsia="pt-BR"/>
              </w:rPr>
              <w:t xml:space="preserve">, </w:t>
            </w:r>
            <w:r w:rsidRPr="00530359">
              <w:rPr>
                <w:lang w:eastAsia="pt-BR"/>
              </w:rPr>
              <w:t>but they could not agree on business and commercial terms prior to 2008.</w:t>
            </w:r>
          </w:p>
        </w:tc>
      </w:tr>
      <w:tr w:rsidR="00BD49DE" w:rsidRPr="00BF12DB" w14:paraId="5AEECE35" w14:textId="77777777" w:rsidTr="00F41BF2">
        <w:tc>
          <w:tcPr>
            <w:tcW w:w="1838" w:type="dxa"/>
          </w:tcPr>
          <w:p w14:paraId="1D6F85C2" w14:textId="77777777" w:rsidR="00BD49DE" w:rsidRPr="00500128" w:rsidRDefault="00BD49DE" w:rsidP="00F41BF2">
            <w:pPr>
              <w:pStyle w:val="Tabletext"/>
              <w:rPr>
                <w:lang w:eastAsia="pt-BR"/>
              </w:rPr>
            </w:pPr>
            <w:r>
              <w:rPr>
                <w:lang w:eastAsia="pt-BR"/>
              </w:rPr>
              <w:t>Relevance assigned to interoperability</w:t>
            </w:r>
          </w:p>
        </w:tc>
        <w:tc>
          <w:tcPr>
            <w:tcW w:w="7660" w:type="dxa"/>
          </w:tcPr>
          <w:p w14:paraId="5A6B2171" w14:textId="77777777" w:rsidR="00BD49DE" w:rsidRPr="00500128" w:rsidRDefault="00A4636C" w:rsidP="00F41BF2">
            <w:pPr>
              <w:pStyle w:val="Tabletext"/>
              <w:rPr>
                <w:lang w:eastAsia="pt-BR"/>
              </w:rPr>
            </w:pPr>
            <w:r>
              <w:t>Interoperability</w:t>
            </w:r>
            <w:r w:rsidR="00BD49DE">
              <w:rPr>
                <w:lang w:eastAsia="pt-BR"/>
              </w:rPr>
              <w:t xml:space="preserve"> has been considered important.</w:t>
            </w:r>
          </w:p>
        </w:tc>
      </w:tr>
      <w:tr w:rsidR="00BD49DE" w:rsidRPr="00BF12DB" w14:paraId="6073FF8F" w14:textId="77777777" w:rsidTr="00F41BF2">
        <w:tc>
          <w:tcPr>
            <w:tcW w:w="1838" w:type="dxa"/>
          </w:tcPr>
          <w:p w14:paraId="16699F26" w14:textId="187C5182" w:rsidR="00BD49DE" w:rsidRPr="00500128" w:rsidRDefault="00BD49DE" w:rsidP="00F41BF2">
            <w:pPr>
              <w:pStyle w:val="Tabletext"/>
              <w:rPr>
                <w:lang w:eastAsia="pt-BR"/>
              </w:rPr>
            </w:pPr>
            <w:r>
              <w:rPr>
                <w:lang w:eastAsia="pt-BR"/>
              </w:rPr>
              <w:t>Authority</w:t>
            </w:r>
            <w:r w:rsidR="00BD3731">
              <w:rPr>
                <w:lang w:eastAsia="pt-BR"/>
              </w:rPr>
              <w:t>'</w:t>
            </w:r>
            <w:r>
              <w:rPr>
                <w:lang w:eastAsia="pt-BR"/>
              </w:rPr>
              <w:t>s approach</w:t>
            </w:r>
          </w:p>
        </w:tc>
        <w:tc>
          <w:tcPr>
            <w:tcW w:w="7660" w:type="dxa"/>
          </w:tcPr>
          <w:p w14:paraId="6D0B2AC0" w14:textId="77777777" w:rsidR="00BD49DE" w:rsidRPr="00500128" w:rsidRDefault="00BD49DE" w:rsidP="00F41BF2">
            <w:pPr>
              <w:pStyle w:val="Tabletext"/>
              <w:rPr>
                <w:lang w:eastAsia="pt-BR"/>
              </w:rPr>
            </w:pPr>
            <w:r w:rsidRPr="00BF12DB">
              <w:rPr>
                <w:lang w:eastAsia="pt-BR"/>
              </w:rPr>
              <w:t xml:space="preserve">Since moral suasion did not lead </w:t>
            </w:r>
            <w:r w:rsidR="00D52662">
              <w:rPr>
                <w:lang w:eastAsia="pt-BR"/>
              </w:rPr>
              <w:t xml:space="preserve">to </w:t>
            </w:r>
            <w:r w:rsidRPr="00BF12DB">
              <w:rPr>
                <w:lang w:eastAsia="pt-BR"/>
              </w:rPr>
              <w:t>the desired interoperability outcome, it was enforced by the Central Bank. The Central Bank initiated the development of the Nigeria Central Switch and mandated the existing (private)</w:t>
            </w:r>
            <w:r>
              <w:rPr>
                <w:lang w:eastAsia="pt-BR"/>
              </w:rPr>
              <w:t xml:space="preserve"> switches to interconnect to it</w:t>
            </w:r>
            <w:r w:rsidRPr="00BF12DB">
              <w:rPr>
                <w:lang w:eastAsia="pt-BR"/>
              </w:rPr>
              <w:t xml:space="preserve"> for interoperability purposes. Inducing interoperability and establishing a central </w:t>
            </w:r>
            <w:r w:rsidRPr="00BF12DB">
              <w:rPr>
                <w:lang w:eastAsia="pt-BR"/>
              </w:rPr>
              <w:lastRenderedPageBreak/>
              <w:t>switch might have facilitated the growth of DFS in Nigeria, as DFS providers were able to interoperate with all banks right from the commencement of operations.</w:t>
            </w:r>
          </w:p>
        </w:tc>
      </w:tr>
      <w:tr w:rsidR="00BD49DE" w:rsidRPr="00BF12DB" w14:paraId="59A7568C" w14:textId="77777777" w:rsidTr="00F41BF2">
        <w:tc>
          <w:tcPr>
            <w:tcW w:w="1838" w:type="dxa"/>
          </w:tcPr>
          <w:p w14:paraId="5D1FFBDF" w14:textId="77777777" w:rsidR="00BD49DE" w:rsidRPr="00500128" w:rsidRDefault="00BD49DE" w:rsidP="00F41BF2">
            <w:pPr>
              <w:pStyle w:val="Tabletext"/>
              <w:rPr>
                <w:lang w:eastAsia="pt-BR"/>
              </w:rPr>
            </w:pPr>
            <w:r>
              <w:rPr>
                <w:lang w:eastAsia="pt-BR"/>
              </w:rPr>
              <w:lastRenderedPageBreak/>
              <w:t>O</w:t>
            </w:r>
            <w:r w:rsidRPr="00500128">
              <w:rPr>
                <w:lang w:eastAsia="pt-BR"/>
              </w:rPr>
              <w:t>utcome</w:t>
            </w:r>
            <w:r>
              <w:rPr>
                <w:lang w:eastAsia="pt-BR"/>
              </w:rPr>
              <w:t xml:space="preserve"> (aimed)</w:t>
            </w:r>
          </w:p>
        </w:tc>
        <w:tc>
          <w:tcPr>
            <w:tcW w:w="7660" w:type="dxa"/>
          </w:tcPr>
          <w:p w14:paraId="2F0E7B92" w14:textId="77777777" w:rsidR="00BD49DE" w:rsidRPr="00500128" w:rsidRDefault="00BD49DE" w:rsidP="00F41BF2">
            <w:pPr>
              <w:pStyle w:val="Tabletext"/>
              <w:rPr>
                <w:lang w:eastAsia="pt-BR"/>
              </w:rPr>
            </w:pPr>
            <w:r w:rsidRPr="00BF12DB">
              <w:rPr>
                <w:lang w:eastAsia="pt-BR"/>
              </w:rPr>
              <w:t>More efficient resource utilization (there were silo implementations which were expensive to operate and none w</w:t>
            </w:r>
            <w:r w:rsidR="00D52662">
              <w:rPr>
                <w:lang w:eastAsia="pt-BR"/>
              </w:rPr>
              <w:t>ere</w:t>
            </w:r>
            <w:r w:rsidRPr="00BF12DB">
              <w:rPr>
                <w:lang w:eastAsia="pt-BR"/>
              </w:rPr>
              <w:t xml:space="preserve"> able to achieve critical mass) and lowering the barrier to entry were the major aimed outcomes.</w:t>
            </w:r>
          </w:p>
        </w:tc>
      </w:tr>
      <w:tr w:rsidR="00BD49DE" w:rsidRPr="00BF12DB" w14:paraId="5EB440AE" w14:textId="77777777" w:rsidTr="00F41BF2">
        <w:tc>
          <w:tcPr>
            <w:tcW w:w="1838" w:type="dxa"/>
          </w:tcPr>
          <w:p w14:paraId="03B00FC8" w14:textId="77777777" w:rsidR="00BD49DE" w:rsidRPr="00500128" w:rsidRDefault="00BD49DE" w:rsidP="00F41BF2">
            <w:pPr>
              <w:pStyle w:val="Tabletext"/>
              <w:rPr>
                <w:lang w:eastAsia="pt-BR"/>
              </w:rPr>
            </w:pPr>
            <w:r>
              <w:rPr>
                <w:lang w:eastAsia="pt-BR"/>
              </w:rPr>
              <w:t>Outcome (actual)</w:t>
            </w:r>
          </w:p>
        </w:tc>
        <w:tc>
          <w:tcPr>
            <w:tcW w:w="7660" w:type="dxa"/>
          </w:tcPr>
          <w:p w14:paraId="145A13BF" w14:textId="3140E0B0" w:rsidR="00BD49DE" w:rsidRPr="00500128" w:rsidRDefault="00BD49DE" w:rsidP="00F41BF2">
            <w:pPr>
              <w:pStyle w:val="Tabletext"/>
              <w:rPr>
                <w:lang w:eastAsia="pt-BR"/>
              </w:rPr>
            </w:pPr>
            <w:r w:rsidRPr="00E479DC">
              <w:rPr>
                <w:lang w:eastAsia="pt-BR"/>
              </w:rPr>
              <w:t xml:space="preserve">The aimed outcomes were achieved. A high level of technical </w:t>
            </w:r>
            <w:r w:rsidR="00A4636C">
              <w:t>interoperability</w:t>
            </w:r>
            <w:r w:rsidRPr="00E479DC">
              <w:rPr>
                <w:lang w:eastAsia="pt-BR"/>
              </w:rPr>
              <w:t xml:space="preserve"> exists in Nigeria today, and many DFS devices and schemes are able to interoperate seamlessly</w:t>
            </w:r>
            <w:r w:rsidR="00F82941">
              <w:rPr>
                <w:lang w:eastAsia="pt-BR"/>
              </w:rPr>
              <w:t>. E</w:t>
            </w:r>
            <w:r w:rsidRPr="00E479DC">
              <w:rPr>
                <w:lang w:eastAsia="pt-BR"/>
              </w:rPr>
              <w:t xml:space="preserve">ntry barrier has </w:t>
            </w:r>
            <w:r w:rsidR="00F82941">
              <w:rPr>
                <w:lang w:eastAsia="pt-BR"/>
              </w:rPr>
              <w:t xml:space="preserve">also </w:t>
            </w:r>
            <w:r w:rsidRPr="00E479DC">
              <w:rPr>
                <w:lang w:eastAsia="pt-BR"/>
              </w:rPr>
              <w:t xml:space="preserve">been lowered substantially. </w:t>
            </w:r>
            <w:r>
              <w:rPr>
                <w:lang w:eastAsia="pt-BR"/>
              </w:rPr>
              <w:t xml:space="preserve">While technical interoperability has been achieved and </w:t>
            </w:r>
            <w:r w:rsidRPr="00E479DC">
              <w:rPr>
                <w:lang w:eastAsia="pt-BR"/>
              </w:rPr>
              <w:t xml:space="preserve">service providers comply with technical </w:t>
            </w:r>
            <w:r w:rsidR="00A4636C">
              <w:t>interoperability</w:t>
            </w:r>
            <w:r w:rsidRPr="00E479DC">
              <w:rPr>
                <w:lang w:eastAsia="pt-BR"/>
              </w:rPr>
              <w:t xml:space="preserve"> as </w:t>
            </w:r>
            <w:r>
              <w:rPr>
                <w:lang w:eastAsia="pt-BR"/>
              </w:rPr>
              <w:t xml:space="preserve">required by </w:t>
            </w:r>
            <w:r w:rsidRPr="00E479DC">
              <w:rPr>
                <w:lang w:eastAsia="pt-BR"/>
              </w:rPr>
              <w:t xml:space="preserve">regulation, </w:t>
            </w:r>
            <w:r>
              <w:rPr>
                <w:lang w:eastAsia="pt-BR"/>
              </w:rPr>
              <w:t xml:space="preserve">they do not promote </w:t>
            </w:r>
            <w:r w:rsidR="00A4636C">
              <w:t>interoperability</w:t>
            </w:r>
            <w:r>
              <w:rPr>
                <w:lang w:eastAsia="pt-BR"/>
              </w:rPr>
              <w:t xml:space="preserve"> services (i.e.</w:t>
            </w:r>
            <w:r w:rsidR="00BD3731">
              <w:rPr>
                <w:lang w:eastAsia="pt-BR"/>
              </w:rPr>
              <w:t>,</w:t>
            </w:r>
            <w:r>
              <w:rPr>
                <w:lang w:eastAsia="pt-BR"/>
              </w:rPr>
              <w:t xml:space="preserve"> from a </w:t>
            </w:r>
            <w:r w:rsidRPr="00E479DC">
              <w:rPr>
                <w:lang w:eastAsia="pt-BR"/>
              </w:rPr>
              <w:t xml:space="preserve">business/commercial </w:t>
            </w:r>
            <w:r>
              <w:rPr>
                <w:lang w:eastAsia="pt-BR"/>
              </w:rPr>
              <w:t>perspective, there is little interest in interoperability</w:t>
            </w:r>
            <w:r w:rsidR="00F82941">
              <w:rPr>
                <w:lang w:eastAsia="pt-BR"/>
              </w:rPr>
              <w:t>)</w:t>
            </w:r>
            <w:r>
              <w:rPr>
                <w:lang w:eastAsia="pt-BR"/>
              </w:rPr>
              <w:t xml:space="preserve">. </w:t>
            </w:r>
            <w:r w:rsidR="00F82941">
              <w:t>I</w:t>
            </w:r>
            <w:r w:rsidR="00A4636C">
              <w:t>nteroperability</w:t>
            </w:r>
            <w:r w:rsidRPr="00E479DC">
              <w:rPr>
                <w:lang w:eastAsia="pt-BR"/>
              </w:rPr>
              <w:t xml:space="preserve"> has </w:t>
            </w:r>
            <w:r>
              <w:rPr>
                <w:lang w:eastAsia="pt-BR"/>
              </w:rPr>
              <w:t>mainly been achieved</w:t>
            </w:r>
            <w:r w:rsidRPr="00E479DC">
              <w:rPr>
                <w:lang w:eastAsia="pt-BR"/>
              </w:rPr>
              <w:t xml:space="preserve"> among </w:t>
            </w:r>
            <w:r>
              <w:rPr>
                <w:lang w:eastAsia="pt-BR"/>
              </w:rPr>
              <w:t>and between banks and non-banks</w:t>
            </w:r>
            <w:r w:rsidRPr="00E479DC">
              <w:rPr>
                <w:lang w:eastAsia="pt-BR"/>
              </w:rPr>
              <w:t xml:space="preserve">, but not </w:t>
            </w:r>
            <w:r>
              <w:rPr>
                <w:lang w:eastAsia="pt-BR"/>
              </w:rPr>
              <w:t>among non-banks,</w:t>
            </w:r>
            <w:r w:rsidRPr="00E479DC">
              <w:rPr>
                <w:lang w:eastAsia="pt-BR"/>
              </w:rPr>
              <w:t xml:space="preserve"> e.g.</w:t>
            </w:r>
            <w:r w:rsidR="00BD3731">
              <w:rPr>
                <w:lang w:eastAsia="pt-BR"/>
              </w:rPr>
              <w:t>,</w:t>
            </w:r>
            <w:r w:rsidRPr="00E479DC">
              <w:rPr>
                <w:lang w:eastAsia="pt-BR"/>
              </w:rPr>
              <w:t xml:space="preserve"> mobile money operators</w:t>
            </w:r>
            <w:r w:rsidR="00F82941">
              <w:rPr>
                <w:lang w:eastAsia="pt-BR"/>
              </w:rPr>
              <w:t xml:space="preserve"> and</w:t>
            </w:r>
            <w:r w:rsidRPr="00E479DC">
              <w:rPr>
                <w:lang w:eastAsia="pt-BR"/>
              </w:rPr>
              <w:t xml:space="preserve"> microfinance banks.</w:t>
            </w:r>
          </w:p>
        </w:tc>
      </w:tr>
    </w:tbl>
    <w:p w14:paraId="44223930" w14:textId="77777777" w:rsidR="00BD49DE" w:rsidRDefault="00BD49DE" w:rsidP="00BD49DE">
      <w:pPr>
        <w:pStyle w:val="Heading2"/>
        <w:rPr>
          <w:lang w:val="en-US"/>
        </w:rPr>
      </w:pPr>
      <w:bookmarkStart w:id="35" w:name="_Toc8395628"/>
      <w:r>
        <w:rPr>
          <w:lang w:val="en-US"/>
        </w:rPr>
        <w:t xml:space="preserve">Country: </w:t>
      </w:r>
      <w:r w:rsidRPr="00C26BC6">
        <w:rPr>
          <w:lang w:val="en-US"/>
        </w:rPr>
        <w:t>Philippines</w:t>
      </w:r>
      <w:bookmarkEnd w:id="35"/>
    </w:p>
    <w:p w14:paraId="6FF8C871" w14:textId="77777777" w:rsidR="00BD49DE" w:rsidRPr="00C26BC6" w:rsidRDefault="00BD49DE" w:rsidP="00BD49DE">
      <w:pPr>
        <w:spacing w:after="120"/>
      </w:pPr>
      <w:r>
        <w:t>Respondent: Bangko Sentral ng Pilipinas</w:t>
      </w:r>
      <w:r>
        <w:rPr>
          <w:rStyle w:val="FootnoteReference"/>
        </w:rPr>
        <w:footnoteReference w:id="10"/>
      </w:r>
    </w:p>
    <w:tbl>
      <w:tblPr>
        <w:tblStyle w:val="TableGrid"/>
        <w:tblW w:w="9639" w:type="dxa"/>
        <w:tblBorders>
          <w:left w:val="none" w:sz="0" w:space="0" w:color="auto"/>
          <w:right w:val="none" w:sz="0" w:space="0" w:color="auto"/>
        </w:tblBorders>
        <w:tblLook w:val="04A0" w:firstRow="1" w:lastRow="0" w:firstColumn="1" w:lastColumn="0" w:noHBand="0" w:noVBand="1"/>
      </w:tblPr>
      <w:tblGrid>
        <w:gridCol w:w="1865"/>
        <w:gridCol w:w="7774"/>
      </w:tblGrid>
      <w:tr w:rsidR="00BD49DE" w:rsidRPr="00A31C7F" w14:paraId="12467AF6" w14:textId="77777777" w:rsidTr="00F41BF2">
        <w:tc>
          <w:tcPr>
            <w:tcW w:w="1838" w:type="dxa"/>
          </w:tcPr>
          <w:p w14:paraId="362E875F" w14:textId="77777777" w:rsidR="00BD49DE" w:rsidRDefault="00BD49DE" w:rsidP="00F41BF2">
            <w:pPr>
              <w:pStyle w:val="Tabletext"/>
            </w:pPr>
            <w:r w:rsidRPr="00500128">
              <w:rPr>
                <w:lang w:eastAsia="pt-BR"/>
              </w:rPr>
              <w:t>Mandate</w:t>
            </w:r>
          </w:p>
        </w:tc>
        <w:tc>
          <w:tcPr>
            <w:tcW w:w="7660" w:type="dxa"/>
          </w:tcPr>
          <w:p w14:paraId="320C05C7" w14:textId="77777777" w:rsidR="00BD49DE" w:rsidRDefault="00BD49DE" w:rsidP="00F41BF2">
            <w:pPr>
              <w:pStyle w:val="Tabletext"/>
            </w:pPr>
            <w:r w:rsidRPr="00C26BC6">
              <w:t xml:space="preserve">DFS is within the mandate of the </w:t>
            </w:r>
            <w:r>
              <w:t>Bangko Sentral ng Pilipinas (central bank)</w:t>
            </w:r>
            <w:r w:rsidRPr="00C26BC6">
              <w:t>, specifically for products and services that would meet established regulatory criteria. Tel</w:t>
            </w:r>
            <w:r>
              <w:t>e</w:t>
            </w:r>
            <w:r w:rsidRPr="00C26BC6">
              <w:t>co</w:t>
            </w:r>
            <w:r>
              <w:t>mmunication</w:t>
            </w:r>
            <w:r w:rsidRPr="00C26BC6">
              <w:t xml:space="preserve"> operations, on the other hand, rema</w:t>
            </w:r>
            <w:r>
              <w:t>ins with the telecom regulator.</w:t>
            </w:r>
          </w:p>
        </w:tc>
      </w:tr>
      <w:tr w:rsidR="00BD49DE" w:rsidRPr="00A31C7F" w14:paraId="63B11C16" w14:textId="77777777" w:rsidTr="00F41BF2">
        <w:tc>
          <w:tcPr>
            <w:tcW w:w="1838" w:type="dxa"/>
          </w:tcPr>
          <w:p w14:paraId="34E7F6C6" w14:textId="2F1A82C9" w:rsidR="00BD49DE" w:rsidRPr="00A31C7F" w:rsidRDefault="00BD49DE" w:rsidP="00F41BF2">
            <w:pPr>
              <w:pStyle w:val="Tabletext"/>
              <w:rPr>
                <w:lang w:eastAsia="pt-BR"/>
              </w:rPr>
            </w:pPr>
            <w:r w:rsidRPr="00481616">
              <w:rPr>
                <w:lang w:eastAsia="pt-BR"/>
              </w:rPr>
              <w:t>State of the market before authorit</w:t>
            </w:r>
            <w:r w:rsidR="00D52662">
              <w:rPr>
                <w:lang w:eastAsia="pt-BR"/>
              </w:rPr>
              <w:t>y</w:t>
            </w:r>
            <w:r w:rsidR="00BD3731">
              <w:rPr>
                <w:lang w:eastAsia="pt-BR"/>
              </w:rPr>
              <w:t>'</w:t>
            </w:r>
            <w:r w:rsidR="00D52662">
              <w:rPr>
                <w:lang w:eastAsia="pt-BR"/>
              </w:rPr>
              <w:t>s</w:t>
            </w:r>
            <w:r w:rsidRPr="00481616">
              <w:rPr>
                <w:lang w:eastAsia="pt-BR"/>
              </w:rPr>
              <w:t xml:space="preserve"> involvement</w:t>
            </w:r>
          </w:p>
        </w:tc>
        <w:tc>
          <w:tcPr>
            <w:tcW w:w="7660" w:type="dxa"/>
          </w:tcPr>
          <w:p w14:paraId="41F2E7BD" w14:textId="77777777" w:rsidR="00BD49DE" w:rsidRPr="00C26BC6" w:rsidRDefault="00BD49DE" w:rsidP="00F41BF2">
            <w:pPr>
              <w:pStyle w:val="Tabletext"/>
              <w:rPr>
                <w:lang w:eastAsia="pt-BR"/>
              </w:rPr>
            </w:pPr>
            <w:r>
              <w:rPr>
                <w:lang w:eastAsia="pt-BR"/>
              </w:rPr>
              <w:t>E</w:t>
            </w:r>
            <w:r w:rsidRPr="00C26BC6">
              <w:rPr>
                <w:lang w:eastAsia="pt-BR"/>
              </w:rPr>
              <w:t>ven without i</w:t>
            </w:r>
            <w:r>
              <w:rPr>
                <w:lang w:eastAsia="pt-BR"/>
              </w:rPr>
              <w:t>nteroperability being mandated</w:t>
            </w:r>
            <w:r w:rsidRPr="00C26BC6">
              <w:rPr>
                <w:lang w:eastAsia="pt-BR"/>
              </w:rPr>
              <w:t>, the industry players were able to interoperate among themselves (with some encouragement from the central bank) in the following instances:</w:t>
            </w:r>
          </w:p>
          <w:p w14:paraId="1EB12763" w14:textId="6A4A85BF" w:rsidR="00BD49DE" w:rsidRDefault="00F30E12" w:rsidP="00F41BF2">
            <w:pPr>
              <w:pStyle w:val="Tabletext"/>
              <w:rPr>
                <w:lang w:eastAsia="pt-BR"/>
              </w:rPr>
            </w:pPr>
            <w:r>
              <w:rPr>
                <w:lang w:eastAsia="pt-BR"/>
              </w:rPr>
              <w:t>1</w:t>
            </w:r>
            <w:r w:rsidR="00BD49DE" w:rsidRPr="00C26BC6">
              <w:rPr>
                <w:lang w:eastAsia="pt-BR"/>
              </w:rPr>
              <w:t>. In 2005, the three ATM networks in the country interconnected</w:t>
            </w:r>
            <w:r w:rsidR="00F82941">
              <w:rPr>
                <w:lang w:eastAsia="pt-BR"/>
              </w:rPr>
              <w:t>,</w:t>
            </w:r>
            <w:r w:rsidR="00BD49DE" w:rsidRPr="00C26BC6">
              <w:rPr>
                <w:lang w:eastAsia="pt-BR"/>
              </w:rPr>
              <w:t xml:space="preserve"> allowing an ATM cardholder to transact at any ATM in the country;</w:t>
            </w:r>
          </w:p>
          <w:p w14:paraId="0D40BFC2" w14:textId="77777777" w:rsidR="00BD49DE" w:rsidRPr="00C26BC6" w:rsidRDefault="00F30E12" w:rsidP="00160212">
            <w:pPr>
              <w:pStyle w:val="Tabletext"/>
              <w:keepNext/>
              <w:keepLines/>
              <w:rPr>
                <w:lang w:eastAsia="pt-BR"/>
              </w:rPr>
            </w:pPr>
            <w:r>
              <w:rPr>
                <w:lang w:eastAsia="pt-BR"/>
              </w:rPr>
              <w:t>2</w:t>
            </w:r>
            <w:r w:rsidR="00BD49DE" w:rsidRPr="00C26BC6">
              <w:rPr>
                <w:lang w:eastAsia="pt-BR"/>
              </w:rPr>
              <w:t xml:space="preserve">. In 2010, the same ATM networks opened up </w:t>
            </w:r>
            <w:r>
              <w:rPr>
                <w:lang w:eastAsia="pt-BR"/>
              </w:rPr>
              <w:t>their</w:t>
            </w:r>
            <w:r w:rsidR="00BD49DE" w:rsidRPr="00C26BC6">
              <w:rPr>
                <w:lang w:eastAsia="pt-BR"/>
              </w:rPr>
              <w:t xml:space="preserve"> POS services to allow any ATM cardholder to transact at any POS device in the country</w:t>
            </w:r>
            <w:r w:rsidR="00BD49DE">
              <w:rPr>
                <w:lang w:eastAsia="pt-BR"/>
              </w:rPr>
              <w:t>;</w:t>
            </w:r>
          </w:p>
          <w:p w14:paraId="08093133" w14:textId="77777777" w:rsidR="00BD49DE" w:rsidRPr="00500128" w:rsidRDefault="00F30E12" w:rsidP="00F41BF2">
            <w:pPr>
              <w:pStyle w:val="Tabletext"/>
              <w:rPr>
                <w:lang w:eastAsia="pt-BR"/>
              </w:rPr>
            </w:pPr>
            <w:r>
              <w:rPr>
                <w:lang w:eastAsia="pt-BR"/>
              </w:rPr>
              <w:t>3</w:t>
            </w:r>
            <w:r w:rsidR="00BD49DE" w:rsidRPr="00C26BC6">
              <w:rPr>
                <w:lang w:eastAsia="pt-BR"/>
              </w:rPr>
              <w:t xml:space="preserve">. In the first quarter of 2016, two </w:t>
            </w:r>
            <w:r w:rsidR="00BD49DE">
              <w:rPr>
                <w:lang w:eastAsia="pt-BR"/>
              </w:rPr>
              <w:t xml:space="preserve">of the </w:t>
            </w:r>
            <w:r w:rsidR="00BD49DE" w:rsidRPr="00C26BC6">
              <w:rPr>
                <w:lang w:eastAsia="pt-BR"/>
              </w:rPr>
              <w:t>large</w:t>
            </w:r>
            <w:r w:rsidR="00BD49DE">
              <w:rPr>
                <w:lang w:eastAsia="pt-BR"/>
              </w:rPr>
              <w:t>st</w:t>
            </w:r>
            <w:r w:rsidR="00BD49DE" w:rsidRPr="00C26BC6">
              <w:rPr>
                <w:lang w:eastAsia="pt-BR"/>
              </w:rPr>
              <w:t xml:space="preserve"> e-money issuers </w:t>
            </w:r>
            <w:r w:rsidR="00BD49DE">
              <w:rPr>
                <w:lang w:eastAsia="pt-BR"/>
              </w:rPr>
              <w:t>launched a pilot</w:t>
            </w:r>
            <w:r w:rsidR="00BD49DE" w:rsidRPr="00C26BC6">
              <w:rPr>
                <w:lang w:eastAsia="pt-BR"/>
              </w:rPr>
              <w:t xml:space="preserve"> to interoperate their e-money products.</w:t>
            </w:r>
            <w:r w:rsidR="00084A4C">
              <w:rPr>
                <w:lang w:eastAsia="pt-BR"/>
              </w:rPr>
              <w:t xml:space="preserve"> </w:t>
            </w:r>
            <w:r w:rsidR="00BD49DE" w:rsidRPr="00C26BC6">
              <w:rPr>
                <w:lang w:eastAsia="pt-BR"/>
              </w:rPr>
              <w:t>It is set to be launched</w:t>
            </w:r>
            <w:r w:rsidR="00BD49DE">
              <w:rPr>
                <w:lang w:eastAsia="pt-BR"/>
              </w:rPr>
              <w:t xml:space="preserve"> to the public in late 2016.</w:t>
            </w:r>
          </w:p>
        </w:tc>
      </w:tr>
      <w:tr w:rsidR="00BD49DE" w:rsidRPr="00A31C7F" w14:paraId="30E5747E" w14:textId="77777777" w:rsidTr="00F41BF2">
        <w:tc>
          <w:tcPr>
            <w:tcW w:w="1838" w:type="dxa"/>
          </w:tcPr>
          <w:p w14:paraId="1C8F586D" w14:textId="77777777" w:rsidR="00BD49DE" w:rsidRPr="00500128" w:rsidRDefault="00BD49DE" w:rsidP="00F41BF2">
            <w:pPr>
              <w:pStyle w:val="Tabletext"/>
              <w:rPr>
                <w:lang w:eastAsia="pt-BR"/>
              </w:rPr>
            </w:pPr>
            <w:r>
              <w:rPr>
                <w:lang w:eastAsia="pt-BR"/>
              </w:rPr>
              <w:t>Relevance assigned to interoperability</w:t>
            </w:r>
          </w:p>
        </w:tc>
        <w:tc>
          <w:tcPr>
            <w:tcW w:w="7660" w:type="dxa"/>
          </w:tcPr>
          <w:p w14:paraId="42401EAC" w14:textId="77777777" w:rsidR="00BD49DE" w:rsidRPr="00500128" w:rsidRDefault="00BD49DE" w:rsidP="00F41BF2">
            <w:pPr>
              <w:pStyle w:val="Tabletext"/>
              <w:rPr>
                <w:lang w:eastAsia="pt-BR"/>
              </w:rPr>
            </w:pPr>
            <w:r>
              <w:rPr>
                <w:lang w:eastAsia="pt-BR"/>
              </w:rPr>
              <w:t>T</w:t>
            </w:r>
            <w:r w:rsidRPr="00F25C82">
              <w:rPr>
                <w:lang w:eastAsia="pt-BR"/>
              </w:rPr>
              <w:t xml:space="preserve">he relevant authorities have considered </w:t>
            </w:r>
            <w:r>
              <w:rPr>
                <w:lang w:eastAsia="pt-BR"/>
              </w:rPr>
              <w:t>interoperability</w:t>
            </w:r>
            <w:r w:rsidRPr="00F25C82">
              <w:rPr>
                <w:lang w:eastAsia="pt-BR"/>
              </w:rPr>
              <w:t xml:space="preserve"> an impo</w:t>
            </w:r>
            <w:r>
              <w:rPr>
                <w:lang w:eastAsia="pt-BR"/>
              </w:rPr>
              <w:t>rtant issue.</w:t>
            </w:r>
          </w:p>
        </w:tc>
      </w:tr>
      <w:tr w:rsidR="00BD49DE" w:rsidRPr="00A31C7F" w14:paraId="2510230A" w14:textId="77777777" w:rsidTr="00F41BF2">
        <w:tc>
          <w:tcPr>
            <w:tcW w:w="1838" w:type="dxa"/>
          </w:tcPr>
          <w:p w14:paraId="6DB2CE9A" w14:textId="77777777" w:rsidR="00BD49DE" w:rsidRPr="00500128" w:rsidRDefault="00BD49DE" w:rsidP="00F41BF2">
            <w:pPr>
              <w:pStyle w:val="Tabletext"/>
              <w:rPr>
                <w:lang w:eastAsia="pt-BR"/>
              </w:rPr>
            </w:pPr>
            <w:r>
              <w:rPr>
                <w:lang w:eastAsia="pt-BR"/>
              </w:rPr>
              <w:t>Reason to address interoperability</w:t>
            </w:r>
          </w:p>
        </w:tc>
        <w:tc>
          <w:tcPr>
            <w:tcW w:w="7660" w:type="dxa"/>
          </w:tcPr>
          <w:p w14:paraId="7FACD90F" w14:textId="77777777" w:rsidR="00BD49DE" w:rsidRPr="00500128" w:rsidRDefault="00BD49DE" w:rsidP="00F41BF2">
            <w:pPr>
              <w:pStyle w:val="Tabletext"/>
              <w:rPr>
                <w:lang w:eastAsia="pt-BR"/>
              </w:rPr>
            </w:pPr>
            <w:r w:rsidRPr="00C26BC6">
              <w:rPr>
                <w:lang w:eastAsia="pt-BR"/>
              </w:rPr>
              <w:t xml:space="preserve">The decision to promote </w:t>
            </w:r>
            <w:r w:rsidR="00A4636C">
              <w:t>interoperability</w:t>
            </w:r>
            <w:r w:rsidRPr="00C26BC6">
              <w:rPr>
                <w:lang w:eastAsia="pt-BR"/>
              </w:rPr>
              <w:t xml:space="preserve"> across DFS was aligned with the objective of encouraging and promoting electronic payments.</w:t>
            </w:r>
            <w:r w:rsidR="00084A4C">
              <w:rPr>
                <w:lang w:eastAsia="pt-BR"/>
              </w:rPr>
              <w:t xml:space="preserve"> </w:t>
            </w:r>
            <w:r w:rsidRPr="00C26BC6">
              <w:rPr>
                <w:lang w:eastAsia="pt-BR"/>
              </w:rPr>
              <w:t xml:space="preserve">Despite the increase in the number of institutions offering DFS and the </w:t>
            </w:r>
            <w:r>
              <w:rPr>
                <w:lang w:eastAsia="pt-BR"/>
              </w:rPr>
              <w:t>increased use of DFS</w:t>
            </w:r>
            <w:r w:rsidRPr="00C26BC6">
              <w:rPr>
                <w:lang w:eastAsia="pt-BR"/>
              </w:rPr>
              <w:t xml:space="preserve">, a diagnostic study conducted in 2013 revealed </w:t>
            </w:r>
            <w:r>
              <w:rPr>
                <w:lang w:eastAsia="pt-BR"/>
              </w:rPr>
              <w:t xml:space="preserve">only </w:t>
            </w:r>
            <w:r w:rsidR="00B6647E">
              <w:rPr>
                <w:lang w:eastAsia="pt-BR"/>
              </w:rPr>
              <w:t>one</w:t>
            </w:r>
            <w:r w:rsidR="00A248A2">
              <w:rPr>
                <w:lang w:eastAsia="pt-BR"/>
              </w:rPr>
              <w:t xml:space="preserve"> per cent</w:t>
            </w:r>
            <w:r>
              <w:rPr>
                <w:lang w:eastAsia="pt-BR"/>
              </w:rPr>
              <w:t xml:space="preserve"> of the</w:t>
            </w:r>
            <w:r w:rsidRPr="00C26BC6">
              <w:rPr>
                <w:lang w:eastAsia="pt-BR"/>
              </w:rPr>
              <w:t xml:space="preserve"> 2.5 billion payment transactions </w:t>
            </w:r>
            <w:r>
              <w:rPr>
                <w:lang w:eastAsia="pt-BR"/>
              </w:rPr>
              <w:t>in an average</w:t>
            </w:r>
            <w:r w:rsidRPr="00C26BC6">
              <w:rPr>
                <w:lang w:eastAsia="pt-BR"/>
              </w:rPr>
              <w:t xml:space="preserve"> month </w:t>
            </w:r>
            <w:r>
              <w:rPr>
                <w:lang w:eastAsia="pt-BR"/>
              </w:rPr>
              <w:t>are effected</w:t>
            </w:r>
            <w:r w:rsidRPr="00C26BC6">
              <w:rPr>
                <w:lang w:eastAsia="pt-BR"/>
              </w:rPr>
              <w:t xml:space="preserve"> electronically. The </w:t>
            </w:r>
            <w:r>
              <w:rPr>
                <w:lang w:eastAsia="pt-BR"/>
              </w:rPr>
              <w:t>development</w:t>
            </w:r>
            <w:r w:rsidRPr="00C26BC6">
              <w:rPr>
                <w:lang w:eastAsia="pt-BR"/>
              </w:rPr>
              <w:t xml:space="preserve"> of </w:t>
            </w:r>
            <w:r>
              <w:rPr>
                <w:lang w:eastAsia="pt-BR"/>
              </w:rPr>
              <w:t>the</w:t>
            </w:r>
            <w:r w:rsidRPr="00C26BC6">
              <w:rPr>
                <w:lang w:eastAsia="pt-BR"/>
              </w:rPr>
              <w:t xml:space="preserve"> national retail payments system (NRPS) hopes to address some barriers to entry in the existing set-up, including concerns on efficiency and affordability.</w:t>
            </w:r>
          </w:p>
        </w:tc>
      </w:tr>
      <w:tr w:rsidR="00BD49DE" w:rsidRPr="00A31C7F" w14:paraId="60C7ABD5" w14:textId="77777777" w:rsidTr="00F41BF2">
        <w:tc>
          <w:tcPr>
            <w:tcW w:w="1838" w:type="dxa"/>
          </w:tcPr>
          <w:p w14:paraId="771D0395" w14:textId="646A0A5A" w:rsidR="00BD49DE" w:rsidRPr="00500128" w:rsidRDefault="00BD49DE" w:rsidP="00F41BF2">
            <w:pPr>
              <w:pStyle w:val="Tabletext"/>
              <w:rPr>
                <w:lang w:eastAsia="pt-BR"/>
              </w:rPr>
            </w:pPr>
            <w:r>
              <w:rPr>
                <w:lang w:eastAsia="pt-BR"/>
              </w:rPr>
              <w:t>Authority</w:t>
            </w:r>
            <w:r w:rsidR="00BD3731">
              <w:rPr>
                <w:lang w:eastAsia="pt-BR"/>
              </w:rPr>
              <w:t>'</w:t>
            </w:r>
            <w:r>
              <w:rPr>
                <w:lang w:eastAsia="pt-BR"/>
              </w:rPr>
              <w:t>s approach</w:t>
            </w:r>
          </w:p>
        </w:tc>
        <w:tc>
          <w:tcPr>
            <w:tcW w:w="7660" w:type="dxa"/>
          </w:tcPr>
          <w:p w14:paraId="2F1F59E0" w14:textId="77777777" w:rsidR="00BD49DE" w:rsidRPr="00500128" w:rsidRDefault="00BD49DE" w:rsidP="00F41BF2">
            <w:pPr>
              <w:pStyle w:val="Tabletext"/>
              <w:rPr>
                <w:lang w:eastAsia="pt-BR"/>
              </w:rPr>
            </w:pPr>
            <w:r w:rsidRPr="00C26BC6">
              <w:rPr>
                <w:lang w:eastAsia="pt-BR"/>
              </w:rPr>
              <w:t xml:space="preserve">In the Philippines, </w:t>
            </w:r>
            <w:r w:rsidR="00A4636C">
              <w:t>interoperability</w:t>
            </w:r>
            <w:r w:rsidRPr="00C26BC6">
              <w:rPr>
                <w:lang w:eastAsia="pt-BR"/>
              </w:rPr>
              <w:t xml:space="preserve"> is being strengthened with the NRPS initiative. </w:t>
            </w:r>
            <w:r w:rsidRPr="00F25C82">
              <w:rPr>
                <w:lang w:eastAsia="pt-BR"/>
              </w:rPr>
              <w:t>NRPS is a policy and regulatory framework, which aims to establish a safe, efficient, reliable</w:t>
            </w:r>
            <w:r w:rsidR="00A248A2">
              <w:rPr>
                <w:lang w:eastAsia="pt-BR"/>
              </w:rPr>
              <w:t>,</w:t>
            </w:r>
            <w:r w:rsidRPr="00F25C82">
              <w:rPr>
                <w:lang w:eastAsia="pt-BR"/>
              </w:rPr>
              <w:t xml:space="preserve"> and affordable retail payment system in the Philippines.</w:t>
            </w:r>
            <w:r>
              <w:rPr>
                <w:lang w:eastAsia="pt-BR"/>
              </w:rPr>
              <w:t xml:space="preserve"> </w:t>
            </w:r>
            <w:r w:rsidRPr="00C26BC6">
              <w:rPr>
                <w:lang w:eastAsia="pt-BR"/>
              </w:rPr>
              <w:t>Discussions across various groups are facilitated by the central bank to gather inputs and establish buy-in from the participants. It is an on-going process with planned policy and regulatory issuances.</w:t>
            </w:r>
          </w:p>
        </w:tc>
      </w:tr>
      <w:tr w:rsidR="00BD49DE" w:rsidRPr="00A31C7F" w14:paraId="487EBD86" w14:textId="77777777" w:rsidTr="00F41BF2">
        <w:tc>
          <w:tcPr>
            <w:tcW w:w="1838" w:type="dxa"/>
          </w:tcPr>
          <w:p w14:paraId="6717F2D4" w14:textId="77777777" w:rsidR="00BD49DE" w:rsidRPr="00500128" w:rsidRDefault="00BD49DE" w:rsidP="00F41BF2">
            <w:pPr>
              <w:pStyle w:val="Tabletext"/>
              <w:rPr>
                <w:lang w:eastAsia="pt-BR"/>
              </w:rPr>
            </w:pPr>
            <w:r w:rsidRPr="00500128">
              <w:rPr>
                <w:lang w:eastAsia="pt-BR"/>
              </w:rPr>
              <w:t>Outcome</w:t>
            </w:r>
          </w:p>
        </w:tc>
        <w:tc>
          <w:tcPr>
            <w:tcW w:w="7660" w:type="dxa"/>
          </w:tcPr>
          <w:p w14:paraId="1CCB90CD" w14:textId="77777777" w:rsidR="00BD49DE" w:rsidRPr="00500128" w:rsidRDefault="00BD49DE" w:rsidP="00F41BF2">
            <w:pPr>
              <w:pStyle w:val="Tabletext"/>
              <w:rPr>
                <w:lang w:eastAsia="pt-BR"/>
              </w:rPr>
            </w:pPr>
            <w:r w:rsidRPr="00F25C82">
              <w:rPr>
                <w:lang w:eastAsia="pt-BR"/>
              </w:rPr>
              <w:t>The process is still on-going but positive results are expected</w:t>
            </w:r>
            <w:r w:rsidR="00B6647E">
              <w:rPr>
                <w:lang w:eastAsia="pt-BR"/>
              </w:rPr>
              <w:t>,</w:t>
            </w:r>
            <w:r w:rsidRPr="00F25C82">
              <w:rPr>
                <w:lang w:eastAsia="pt-BR"/>
              </w:rPr>
              <w:t xml:space="preserve"> based on the results of preliminary discussions.</w:t>
            </w:r>
          </w:p>
        </w:tc>
      </w:tr>
    </w:tbl>
    <w:p w14:paraId="572C355F" w14:textId="77777777" w:rsidR="00BD49DE" w:rsidRPr="00DC50B7" w:rsidRDefault="00BD49DE" w:rsidP="00BD49DE">
      <w:pPr>
        <w:pStyle w:val="Heading2"/>
        <w:rPr>
          <w:lang w:val="en-US"/>
        </w:rPr>
      </w:pPr>
      <w:bookmarkStart w:id="36" w:name="_Toc8395629"/>
      <w:r>
        <w:rPr>
          <w:lang w:val="en-US"/>
        </w:rPr>
        <w:lastRenderedPageBreak/>
        <w:t xml:space="preserve">Country: </w:t>
      </w:r>
      <w:r w:rsidRPr="00DC50B7">
        <w:rPr>
          <w:lang w:val="en-US"/>
        </w:rPr>
        <w:t>Uganda</w:t>
      </w:r>
      <w:bookmarkEnd w:id="36"/>
    </w:p>
    <w:p w14:paraId="5608539A" w14:textId="77777777" w:rsidR="00BD49DE" w:rsidRPr="00500128" w:rsidRDefault="00BD49DE" w:rsidP="00BD49DE">
      <w:pPr>
        <w:spacing w:after="120"/>
      </w:pPr>
      <w:r>
        <w:t xml:space="preserve">Respondent: </w:t>
      </w:r>
      <w:r w:rsidRPr="00500128">
        <w:t>Bank of Uganda</w:t>
      </w:r>
      <w:r>
        <w:rPr>
          <w:rStyle w:val="FootnoteReference"/>
        </w:rPr>
        <w:footnoteReference w:id="11"/>
      </w:r>
    </w:p>
    <w:tbl>
      <w:tblPr>
        <w:tblStyle w:val="TableGrid"/>
        <w:tblW w:w="9639" w:type="dxa"/>
        <w:tblBorders>
          <w:left w:val="none" w:sz="0" w:space="0" w:color="auto"/>
          <w:right w:val="none" w:sz="0" w:space="0" w:color="auto"/>
        </w:tblBorders>
        <w:tblLook w:val="04A0" w:firstRow="1" w:lastRow="0" w:firstColumn="1" w:lastColumn="0" w:noHBand="0" w:noVBand="1"/>
      </w:tblPr>
      <w:tblGrid>
        <w:gridCol w:w="1865"/>
        <w:gridCol w:w="7774"/>
      </w:tblGrid>
      <w:tr w:rsidR="00BD49DE" w14:paraId="1ADB9639" w14:textId="77777777" w:rsidTr="00160212">
        <w:tc>
          <w:tcPr>
            <w:tcW w:w="1838" w:type="dxa"/>
          </w:tcPr>
          <w:p w14:paraId="187C2FD6" w14:textId="77777777" w:rsidR="00BD49DE" w:rsidRDefault="00BD49DE" w:rsidP="00160212">
            <w:pPr>
              <w:pStyle w:val="Tabletext"/>
            </w:pPr>
            <w:r w:rsidRPr="00500128">
              <w:rPr>
                <w:lang w:eastAsia="pt-BR"/>
              </w:rPr>
              <w:t>Mandate</w:t>
            </w:r>
          </w:p>
        </w:tc>
        <w:tc>
          <w:tcPr>
            <w:tcW w:w="7660" w:type="dxa"/>
          </w:tcPr>
          <w:p w14:paraId="6F43E601" w14:textId="77777777" w:rsidR="00BD49DE" w:rsidRDefault="00BD49DE" w:rsidP="00160212">
            <w:pPr>
              <w:pStyle w:val="Tabletext"/>
            </w:pPr>
            <w:r w:rsidRPr="00E479DC">
              <w:t>Currently</w:t>
            </w:r>
            <w:r w:rsidR="00B6647E">
              <w:t>,</w:t>
            </w:r>
            <w:r w:rsidRPr="00E479DC">
              <w:t xml:space="preserve"> the Central Bank is responsible for the approval and regulation of mobile money services, which are the predominant form of </w:t>
            </w:r>
            <w:r w:rsidR="00C208F9">
              <w:t>DFS</w:t>
            </w:r>
            <w:r w:rsidRPr="00E479DC">
              <w:t xml:space="preserve"> in Uganda. </w:t>
            </w:r>
            <w:r>
              <w:t>A</w:t>
            </w:r>
            <w:r w:rsidRPr="00E479DC">
              <w:t>n informal cooperative arrangement between the Central Bank and the telecom regulator</w:t>
            </w:r>
            <w:r>
              <w:t xml:space="preserve"> exists</w:t>
            </w:r>
            <w:r w:rsidRPr="00E479DC">
              <w:t xml:space="preserve">, </w:t>
            </w:r>
            <w:r>
              <w:t xml:space="preserve">which will likely soon be formalized by means of </w:t>
            </w:r>
            <w:r w:rsidRPr="00E479DC">
              <w:t xml:space="preserve">a </w:t>
            </w:r>
            <w:r w:rsidR="00C208F9">
              <w:t>Memorandum of Understanding (</w:t>
            </w:r>
            <w:r w:rsidRPr="00E479DC">
              <w:t>MOU</w:t>
            </w:r>
            <w:r w:rsidR="00C208F9">
              <w:t>)</w:t>
            </w:r>
            <w:r w:rsidRPr="00E479DC">
              <w:t xml:space="preserve">. The Central Bank issued mobile money guidelines with one of the requirements </w:t>
            </w:r>
            <w:r w:rsidR="00B6647E">
              <w:t xml:space="preserve">stating </w:t>
            </w:r>
            <w:r>
              <w:t>that systems need to</w:t>
            </w:r>
            <w:r w:rsidRPr="00E479DC">
              <w:t xml:space="preserve"> be interoperable. Also</w:t>
            </w:r>
            <w:r w:rsidR="00C208F9">
              <w:t>,</w:t>
            </w:r>
            <w:r w:rsidRPr="00E479DC">
              <w:t xml:space="preserve"> there is a requirement that mobile money service providers should not have exclusive contracts with Agents. The Guidelines were passed in 2013</w:t>
            </w:r>
            <w:r>
              <w:t>.</w:t>
            </w:r>
          </w:p>
        </w:tc>
      </w:tr>
      <w:tr w:rsidR="00BD49DE" w:rsidRPr="00BF12DB" w14:paraId="45DDFC3E" w14:textId="77777777" w:rsidTr="00160212">
        <w:tc>
          <w:tcPr>
            <w:tcW w:w="1838" w:type="dxa"/>
          </w:tcPr>
          <w:p w14:paraId="751EC4DF" w14:textId="783EF635" w:rsidR="00BD49DE" w:rsidRPr="003A7AC8" w:rsidRDefault="00BD49DE" w:rsidP="00160212">
            <w:pPr>
              <w:pStyle w:val="Tabletext"/>
              <w:rPr>
                <w:lang w:eastAsia="pt-BR"/>
              </w:rPr>
            </w:pPr>
            <w:r w:rsidRPr="00481616">
              <w:rPr>
                <w:lang w:eastAsia="pt-BR"/>
              </w:rPr>
              <w:t>State of the market before authorit</w:t>
            </w:r>
            <w:r w:rsidR="00D52662">
              <w:rPr>
                <w:lang w:eastAsia="pt-BR"/>
              </w:rPr>
              <w:t>y</w:t>
            </w:r>
            <w:r w:rsidR="00BD3731">
              <w:rPr>
                <w:lang w:eastAsia="pt-BR"/>
              </w:rPr>
              <w:t>'</w:t>
            </w:r>
            <w:r w:rsidR="00D52662">
              <w:rPr>
                <w:lang w:eastAsia="pt-BR"/>
              </w:rPr>
              <w:t>s</w:t>
            </w:r>
            <w:r w:rsidRPr="00481616">
              <w:rPr>
                <w:lang w:eastAsia="pt-BR"/>
              </w:rPr>
              <w:t xml:space="preserve"> involvement</w:t>
            </w:r>
          </w:p>
        </w:tc>
        <w:tc>
          <w:tcPr>
            <w:tcW w:w="7660" w:type="dxa"/>
          </w:tcPr>
          <w:p w14:paraId="387399BF" w14:textId="77777777" w:rsidR="00BD49DE" w:rsidRPr="00500128" w:rsidRDefault="00BD49DE" w:rsidP="00160212">
            <w:pPr>
              <w:pStyle w:val="Tabletext"/>
              <w:rPr>
                <w:lang w:eastAsia="pt-BR"/>
              </w:rPr>
            </w:pPr>
            <w:r>
              <w:rPr>
                <w:lang w:eastAsia="pt-BR"/>
              </w:rPr>
              <w:t>B</w:t>
            </w:r>
            <w:r w:rsidRPr="00E479DC">
              <w:rPr>
                <w:lang w:eastAsia="pt-BR"/>
              </w:rPr>
              <w:t xml:space="preserve">efore the guidelines were passed, six </w:t>
            </w:r>
            <w:r>
              <w:rPr>
                <w:lang w:eastAsia="pt-BR"/>
              </w:rPr>
              <w:t>mobile money providers were operating</w:t>
            </w:r>
            <w:r w:rsidRPr="00E479DC">
              <w:rPr>
                <w:lang w:eastAsia="pt-BR"/>
              </w:rPr>
              <w:t xml:space="preserve"> in the market, with two of them having </w:t>
            </w:r>
            <w:r>
              <w:rPr>
                <w:lang w:eastAsia="pt-BR"/>
              </w:rPr>
              <w:t xml:space="preserve">a combined market share of </w:t>
            </w:r>
            <w:r w:rsidRPr="00E479DC">
              <w:rPr>
                <w:lang w:eastAsia="pt-BR"/>
              </w:rPr>
              <w:t>over 80 per</w:t>
            </w:r>
            <w:r w:rsidR="00623C06">
              <w:rPr>
                <w:lang w:eastAsia="pt-BR"/>
              </w:rPr>
              <w:t xml:space="preserve"> </w:t>
            </w:r>
            <w:r w:rsidRPr="00E479DC">
              <w:rPr>
                <w:lang w:eastAsia="pt-BR"/>
              </w:rPr>
              <w:t xml:space="preserve">cent. </w:t>
            </w:r>
            <w:r>
              <w:rPr>
                <w:lang w:eastAsia="pt-BR"/>
              </w:rPr>
              <w:t>M</w:t>
            </w:r>
            <w:r w:rsidRPr="00E479DC">
              <w:rPr>
                <w:lang w:eastAsia="pt-BR"/>
              </w:rPr>
              <w:t xml:space="preserve">obile money services are offered </w:t>
            </w:r>
            <w:r>
              <w:rPr>
                <w:lang w:eastAsia="pt-BR"/>
              </w:rPr>
              <w:t>in</w:t>
            </w:r>
            <w:r w:rsidRPr="00E479DC">
              <w:rPr>
                <w:lang w:eastAsia="pt-BR"/>
              </w:rPr>
              <w:t xml:space="preserve"> partnership between financial institutions and telecom companies</w:t>
            </w:r>
            <w:r w:rsidR="00623C06">
              <w:rPr>
                <w:lang w:eastAsia="pt-BR"/>
              </w:rPr>
              <w:t>,</w:t>
            </w:r>
            <w:r w:rsidRPr="00E479DC">
              <w:rPr>
                <w:lang w:eastAsia="pt-BR"/>
              </w:rPr>
              <w:t xml:space="preserve"> and between financial institutions and third</w:t>
            </w:r>
            <w:r w:rsidR="00B6647E">
              <w:rPr>
                <w:lang w:eastAsia="pt-BR"/>
              </w:rPr>
              <w:t>-</w:t>
            </w:r>
            <w:r w:rsidRPr="00E479DC">
              <w:rPr>
                <w:lang w:eastAsia="pt-BR"/>
              </w:rPr>
              <w:t>party service providers.</w:t>
            </w:r>
          </w:p>
        </w:tc>
      </w:tr>
      <w:tr w:rsidR="00BD49DE" w:rsidRPr="00BF12DB" w14:paraId="08E3A226" w14:textId="77777777" w:rsidTr="00160212">
        <w:tc>
          <w:tcPr>
            <w:tcW w:w="1838" w:type="dxa"/>
          </w:tcPr>
          <w:p w14:paraId="7022B7C7" w14:textId="77777777" w:rsidR="00BD49DE" w:rsidRPr="00500128" w:rsidRDefault="00BD49DE" w:rsidP="00160212">
            <w:pPr>
              <w:pStyle w:val="Tabletext"/>
              <w:rPr>
                <w:lang w:eastAsia="pt-BR"/>
              </w:rPr>
            </w:pPr>
            <w:r>
              <w:rPr>
                <w:lang w:eastAsia="pt-BR"/>
              </w:rPr>
              <w:t>Relevance assigned to interoperability</w:t>
            </w:r>
          </w:p>
        </w:tc>
        <w:tc>
          <w:tcPr>
            <w:tcW w:w="7660" w:type="dxa"/>
          </w:tcPr>
          <w:p w14:paraId="7EF144A6" w14:textId="77777777" w:rsidR="00BD49DE" w:rsidRPr="00500128" w:rsidRDefault="00BD49DE" w:rsidP="00160212">
            <w:pPr>
              <w:pStyle w:val="Tabletext"/>
              <w:rPr>
                <w:lang w:eastAsia="pt-BR"/>
              </w:rPr>
            </w:pPr>
            <w:r>
              <w:rPr>
                <w:lang w:eastAsia="pt-BR"/>
              </w:rPr>
              <w:t>T</w:t>
            </w:r>
            <w:r w:rsidRPr="00E479DC">
              <w:rPr>
                <w:lang w:eastAsia="pt-BR"/>
              </w:rPr>
              <w:t xml:space="preserve">he relevant authorities consider </w:t>
            </w:r>
            <w:r w:rsidR="00A4636C">
              <w:t>interoperability</w:t>
            </w:r>
            <w:r w:rsidRPr="00E479DC">
              <w:rPr>
                <w:lang w:eastAsia="pt-BR"/>
              </w:rPr>
              <w:t xml:space="preserve"> an important </w:t>
            </w:r>
            <w:r>
              <w:rPr>
                <w:lang w:eastAsia="pt-BR"/>
              </w:rPr>
              <w:t xml:space="preserve">policy </w:t>
            </w:r>
            <w:r w:rsidRPr="00E479DC">
              <w:rPr>
                <w:lang w:eastAsia="pt-BR"/>
              </w:rPr>
              <w:t>issue</w:t>
            </w:r>
            <w:r>
              <w:rPr>
                <w:lang w:eastAsia="pt-BR"/>
              </w:rPr>
              <w:t>.</w:t>
            </w:r>
          </w:p>
        </w:tc>
      </w:tr>
      <w:tr w:rsidR="00BD49DE" w:rsidRPr="00BF12DB" w14:paraId="145220F0" w14:textId="77777777" w:rsidTr="00160212">
        <w:tc>
          <w:tcPr>
            <w:tcW w:w="1838" w:type="dxa"/>
          </w:tcPr>
          <w:p w14:paraId="1FD03970" w14:textId="77777777" w:rsidR="00BD49DE" w:rsidRPr="00500128" w:rsidRDefault="00BD49DE" w:rsidP="00160212">
            <w:pPr>
              <w:pStyle w:val="Tabletext"/>
              <w:rPr>
                <w:lang w:eastAsia="pt-BR"/>
              </w:rPr>
            </w:pPr>
            <w:r>
              <w:rPr>
                <w:lang w:eastAsia="pt-BR"/>
              </w:rPr>
              <w:t>Reason to address interoperability</w:t>
            </w:r>
          </w:p>
        </w:tc>
        <w:tc>
          <w:tcPr>
            <w:tcW w:w="7660" w:type="dxa"/>
          </w:tcPr>
          <w:p w14:paraId="123848EB" w14:textId="77777777" w:rsidR="00BD49DE" w:rsidRPr="00500128" w:rsidRDefault="00BD49DE" w:rsidP="00160212">
            <w:pPr>
              <w:pStyle w:val="Tabletext"/>
              <w:rPr>
                <w:lang w:eastAsia="pt-BR"/>
              </w:rPr>
            </w:pPr>
            <w:r w:rsidRPr="00E479DC">
              <w:rPr>
                <w:lang w:eastAsia="pt-BR"/>
              </w:rPr>
              <w:t>Six participants on the market, with two of them</w:t>
            </w:r>
            <w:r>
              <w:rPr>
                <w:lang w:eastAsia="pt-BR"/>
              </w:rPr>
              <w:t xml:space="preserve"> </w:t>
            </w:r>
            <w:r w:rsidRPr="00E479DC">
              <w:rPr>
                <w:lang w:eastAsia="pt-BR"/>
              </w:rPr>
              <w:t xml:space="preserve">having a </w:t>
            </w:r>
            <w:r>
              <w:rPr>
                <w:lang w:eastAsia="pt-BR"/>
              </w:rPr>
              <w:t xml:space="preserve">combined </w:t>
            </w:r>
            <w:r w:rsidRPr="00E479DC">
              <w:rPr>
                <w:lang w:eastAsia="pt-BR"/>
              </w:rPr>
              <w:t>market share of over 80 per</w:t>
            </w:r>
            <w:r w:rsidR="00C939BA">
              <w:rPr>
                <w:lang w:eastAsia="pt-BR"/>
              </w:rPr>
              <w:t xml:space="preserve"> </w:t>
            </w:r>
            <w:r w:rsidRPr="00E479DC">
              <w:rPr>
                <w:lang w:eastAsia="pt-BR"/>
              </w:rPr>
              <w:t>cent</w:t>
            </w:r>
            <w:r>
              <w:rPr>
                <w:lang w:eastAsia="pt-BR"/>
              </w:rPr>
              <w:t>. However</w:t>
            </w:r>
            <w:r w:rsidRPr="00E479DC">
              <w:rPr>
                <w:lang w:eastAsia="pt-BR"/>
              </w:rPr>
              <w:t>, there was no evidence of collusion and no noticeable barrier to entry.</w:t>
            </w:r>
          </w:p>
        </w:tc>
      </w:tr>
      <w:tr w:rsidR="00BD49DE" w:rsidRPr="00BF12DB" w14:paraId="7B6707F5" w14:textId="77777777" w:rsidTr="00160212">
        <w:tc>
          <w:tcPr>
            <w:tcW w:w="1838" w:type="dxa"/>
          </w:tcPr>
          <w:p w14:paraId="2DC64831" w14:textId="7B569B37" w:rsidR="00BD49DE" w:rsidRPr="00500128" w:rsidRDefault="00BD49DE" w:rsidP="00160212">
            <w:pPr>
              <w:pStyle w:val="Tabletext"/>
              <w:rPr>
                <w:lang w:eastAsia="pt-BR"/>
              </w:rPr>
            </w:pPr>
            <w:r>
              <w:rPr>
                <w:lang w:eastAsia="pt-BR"/>
              </w:rPr>
              <w:t>Authority</w:t>
            </w:r>
            <w:r w:rsidR="00BD3731">
              <w:rPr>
                <w:lang w:eastAsia="pt-BR"/>
              </w:rPr>
              <w:t>'</w:t>
            </w:r>
            <w:r>
              <w:rPr>
                <w:lang w:eastAsia="pt-BR"/>
              </w:rPr>
              <w:t>s approach</w:t>
            </w:r>
          </w:p>
        </w:tc>
        <w:tc>
          <w:tcPr>
            <w:tcW w:w="7660" w:type="dxa"/>
          </w:tcPr>
          <w:p w14:paraId="2ACC51B3" w14:textId="77777777" w:rsidR="00BD49DE" w:rsidRPr="00500128" w:rsidRDefault="00BD49DE" w:rsidP="00160212">
            <w:pPr>
              <w:pStyle w:val="Tabletext"/>
              <w:rPr>
                <w:lang w:eastAsia="pt-BR"/>
              </w:rPr>
            </w:pPr>
            <w:r w:rsidRPr="00E479DC">
              <w:rPr>
                <w:lang w:eastAsia="pt-BR"/>
              </w:rPr>
              <w:t>In regard to the non-exclusivity of Agents, all services providers were required to remove exclusivity clauses from their contracts with Agents following the issuance of the mobile money guidelines in 2013.</w:t>
            </w:r>
          </w:p>
        </w:tc>
      </w:tr>
      <w:tr w:rsidR="00BD49DE" w:rsidRPr="00BF12DB" w14:paraId="71242C58" w14:textId="77777777" w:rsidTr="00160212">
        <w:tc>
          <w:tcPr>
            <w:tcW w:w="1838" w:type="dxa"/>
          </w:tcPr>
          <w:p w14:paraId="3AA92A3B" w14:textId="77777777" w:rsidR="00BD49DE" w:rsidRPr="00500128" w:rsidRDefault="00BD49DE" w:rsidP="00160212">
            <w:pPr>
              <w:pStyle w:val="Tabletext"/>
              <w:rPr>
                <w:lang w:eastAsia="pt-BR"/>
              </w:rPr>
            </w:pPr>
            <w:r>
              <w:rPr>
                <w:lang w:eastAsia="pt-BR"/>
              </w:rPr>
              <w:t>O</w:t>
            </w:r>
            <w:r w:rsidRPr="00500128">
              <w:rPr>
                <w:lang w:eastAsia="pt-BR"/>
              </w:rPr>
              <w:t>utcome</w:t>
            </w:r>
            <w:r>
              <w:rPr>
                <w:lang w:eastAsia="pt-BR"/>
              </w:rPr>
              <w:t xml:space="preserve"> (aimed)</w:t>
            </w:r>
          </w:p>
        </w:tc>
        <w:tc>
          <w:tcPr>
            <w:tcW w:w="7660" w:type="dxa"/>
          </w:tcPr>
          <w:p w14:paraId="06C5E664" w14:textId="77777777" w:rsidR="00BD49DE" w:rsidRPr="00500128" w:rsidRDefault="00BD49DE" w:rsidP="00160212">
            <w:pPr>
              <w:pStyle w:val="Tabletext"/>
              <w:rPr>
                <w:lang w:eastAsia="pt-BR"/>
              </w:rPr>
            </w:pPr>
            <w:r w:rsidRPr="00E479DC">
              <w:rPr>
                <w:lang w:eastAsia="pt-BR"/>
              </w:rPr>
              <w:t xml:space="preserve">Agents </w:t>
            </w:r>
            <w:r w:rsidR="00B6647E">
              <w:rPr>
                <w:lang w:eastAsia="pt-BR"/>
              </w:rPr>
              <w:t>are</w:t>
            </w:r>
            <w:r w:rsidRPr="00E479DC">
              <w:rPr>
                <w:lang w:eastAsia="pt-BR"/>
              </w:rPr>
              <w:t xml:space="preserve"> able to serve customers of the various service providers</w:t>
            </w:r>
            <w:r>
              <w:rPr>
                <w:lang w:eastAsia="pt-BR"/>
              </w:rPr>
              <w:t>.</w:t>
            </w:r>
          </w:p>
        </w:tc>
      </w:tr>
      <w:tr w:rsidR="00BD49DE" w:rsidRPr="00BF12DB" w14:paraId="7483413F" w14:textId="77777777" w:rsidTr="00160212">
        <w:tc>
          <w:tcPr>
            <w:tcW w:w="1838" w:type="dxa"/>
          </w:tcPr>
          <w:p w14:paraId="13C617A5" w14:textId="77777777" w:rsidR="00BD49DE" w:rsidRPr="00500128" w:rsidRDefault="00BD49DE" w:rsidP="00160212">
            <w:pPr>
              <w:pStyle w:val="Tabletext"/>
              <w:rPr>
                <w:lang w:eastAsia="pt-BR"/>
              </w:rPr>
            </w:pPr>
            <w:r>
              <w:rPr>
                <w:lang w:eastAsia="pt-BR"/>
              </w:rPr>
              <w:t>Outcome (actual)</w:t>
            </w:r>
          </w:p>
        </w:tc>
        <w:tc>
          <w:tcPr>
            <w:tcW w:w="7660" w:type="dxa"/>
          </w:tcPr>
          <w:p w14:paraId="3185C92B" w14:textId="77777777" w:rsidR="00BD49DE" w:rsidRPr="00E479DC" w:rsidRDefault="00BD49DE" w:rsidP="00160212">
            <w:pPr>
              <w:pStyle w:val="Tabletext"/>
              <w:rPr>
                <w:lang w:eastAsia="pt-BR"/>
              </w:rPr>
            </w:pPr>
            <w:r w:rsidRPr="00E479DC">
              <w:rPr>
                <w:lang w:eastAsia="pt-BR"/>
              </w:rPr>
              <w:t xml:space="preserve">Currently </w:t>
            </w:r>
            <w:r>
              <w:rPr>
                <w:lang w:eastAsia="pt-BR"/>
              </w:rPr>
              <w:t>a</w:t>
            </w:r>
            <w:r w:rsidRPr="00E479DC">
              <w:rPr>
                <w:lang w:eastAsia="pt-BR"/>
              </w:rPr>
              <w:t xml:space="preserve">gents service customers of different service providers and this has increased </w:t>
            </w:r>
            <w:r>
              <w:rPr>
                <w:lang w:eastAsia="pt-BR"/>
              </w:rPr>
              <w:t xml:space="preserve">the </w:t>
            </w:r>
            <w:r w:rsidRPr="00E479DC">
              <w:rPr>
                <w:lang w:eastAsia="pt-BR"/>
              </w:rPr>
              <w:t>uptake of mobile money services</w:t>
            </w:r>
            <w:r>
              <w:rPr>
                <w:lang w:eastAsia="pt-BR"/>
              </w:rPr>
              <w:t>.</w:t>
            </w:r>
          </w:p>
        </w:tc>
      </w:tr>
    </w:tbl>
    <w:p w14:paraId="2789DFCB" w14:textId="48F33F18" w:rsidR="00BD49DE" w:rsidRPr="0015229C" w:rsidRDefault="00160212" w:rsidP="00160212">
      <w:pPr>
        <w:pStyle w:val="Heading1"/>
      </w:pPr>
      <w:bookmarkStart w:id="37" w:name="_Toc8395630"/>
      <w:r>
        <w:t>8</w:t>
      </w:r>
      <w:r>
        <w:tab/>
      </w:r>
      <w:r w:rsidR="00512B26">
        <w:t xml:space="preserve">Final </w:t>
      </w:r>
      <w:r w:rsidR="00681C0A">
        <w:t>r</w:t>
      </w:r>
      <w:r w:rsidR="00512B26">
        <w:t>emarks</w:t>
      </w:r>
      <w:bookmarkEnd w:id="37"/>
    </w:p>
    <w:p w14:paraId="6F5B449D" w14:textId="77777777" w:rsidR="00BD49DE" w:rsidRDefault="00681C0A" w:rsidP="00D709B4">
      <w:pPr>
        <w:spacing w:after="120"/>
      </w:pPr>
      <w:r>
        <w:t>Although it is</w:t>
      </w:r>
      <w:r w:rsidR="00BD49DE">
        <w:t xml:space="preserve"> impossible to generalize conclusions from the survey, some similarities across the surveyed countries can be observed. These aspects may be considered when discussing the timing for intervening for interoperability.</w:t>
      </w:r>
    </w:p>
    <w:p w14:paraId="1B641B05" w14:textId="7CE1A315" w:rsidR="00BD49DE" w:rsidRDefault="00BD49DE" w:rsidP="00D709B4">
      <w:pPr>
        <w:spacing w:after="120"/>
      </w:pPr>
      <w:r>
        <w:t>D</w:t>
      </w:r>
      <w:r w:rsidR="00681C0A">
        <w:t>FS</w:t>
      </w:r>
      <w:r>
        <w:t xml:space="preserve">, like other financial services, are typically the responsibility of financial regulators, often the </w:t>
      </w:r>
      <w:r w:rsidR="00681C0A">
        <w:t>C</w:t>
      </w:r>
      <w:r>
        <w:t xml:space="preserve">entral </w:t>
      </w:r>
      <w:r w:rsidR="00681C0A">
        <w:t>B</w:t>
      </w:r>
      <w:r>
        <w:t>ank. The provision of financial services through mobile networks and/or the provision of DFS by mobile network companies (or their subsidiaries</w:t>
      </w:r>
      <w:r w:rsidR="0066435A">
        <w:t>)</w:t>
      </w:r>
      <w:r>
        <w:t>, might make it difficult for MNOs to determine their relevant regulator for their different service offerings. F</w:t>
      </w:r>
      <w:r w:rsidRPr="005A4182">
        <w:t>inancial regulators traditionally seek fi</w:t>
      </w:r>
      <w:r>
        <w:t xml:space="preserve">nancial stability through safeguarding public confidence </w:t>
      </w:r>
      <w:r w:rsidRPr="00F7581D">
        <w:t>(Khiaonarong 2014)</w:t>
      </w:r>
      <w:r>
        <w:t>.</w:t>
      </w:r>
      <w:r w:rsidR="00084A4C">
        <w:t xml:space="preserve"> </w:t>
      </w:r>
      <w:r>
        <w:t>T</w:t>
      </w:r>
      <w:r w:rsidRPr="005A4182">
        <w:t>elecom regulators focus on</w:t>
      </w:r>
      <w:r>
        <w:t xml:space="preserve"> </w:t>
      </w:r>
      <w:r w:rsidRPr="005A4182">
        <w:t xml:space="preserve">access </w:t>
      </w:r>
      <w:r>
        <w:t>to</w:t>
      </w:r>
      <w:r w:rsidR="00AF1631">
        <w:t>,</w:t>
      </w:r>
      <w:r>
        <w:t xml:space="preserve"> and competition in the telecommunication services</w:t>
      </w:r>
      <w:r w:rsidRPr="005A4182">
        <w:t xml:space="preserve"> </w:t>
      </w:r>
      <w:r w:rsidRPr="00F7581D">
        <w:t>(Blackman e Srivastava 2011)</w:t>
      </w:r>
      <w:r>
        <w:t>.</w:t>
      </w:r>
      <w:r w:rsidRPr="005A4182">
        <w:t xml:space="preserve"> </w:t>
      </w:r>
      <w:r>
        <w:t>Without a clear definition and understanding among regulators, there might be a regulatory overlap or gap</w:t>
      </w:r>
      <w:r w:rsidRPr="005A4182">
        <w:t>.</w:t>
      </w:r>
      <w:r>
        <w:t xml:space="preserve"> Thus, the financial and telco regulator</w:t>
      </w:r>
      <w:r w:rsidR="0066435A">
        <w:t>s</w:t>
      </w:r>
      <w:r>
        <w:t xml:space="preserve"> need to define their roles and responsibilities among each other</w:t>
      </w:r>
      <w:r w:rsidR="0066435A" w:rsidRPr="0066435A">
        <w:t xml:space="preserve"> </w:t>
      </w:r>
      <w:r w:rsidR="0066435A">
        <w:t>before addressing DFS interoperability.</w:t>
      </w:r>
    </w:p>
    <w:p w14:paraId="6A6D5C84" w14:textId="041DC508" w:rsidR="00BD49DE" w:rsidRDefault="00BD49DE" w:rsidP="00D709B4">
      <w:pPr>
        <w:spacing w:after="120"/>
      </w:pPr>
      <w:r>
        <w:t xml:space="preserve">Typically, the financial regulator takes care of the service financial aspect, while the </w:t>
      </w:r>
      <w:r w:rsidR="00C57251">
        <w:t xml:space="preserve">telco </w:t>
      </w:r>
      <w:r>
        <w:t xml:space="preserve">regulator is </w:t>
      </w:r>
      <w:r w:rsidRPr="00D82CF3">
        <w:t>concerned with</w:t>
      </w:r>
      <w:r>
        <w:t xml:space="preserve"> the telecommunication infrastructure aspects of the service provision. The establishment of different </w:t>
      </w:r>
      <w:r w:rsidRPr="005D1F67">
        <w:t>legal entit</w:t>
      </w:r>
      <w:r>
        <w:t>ies has been a way to deal with this topic</w:t>
      </w:r>
      <w:r w:rsidR="00C70B10">
        <w:t xml:space="preserve"> ‒ </w:t>
      </w:r>
      <w:r>
        <w:t>within the same business group, one entity provides the financial service and is under the financial regulation, whereas the other entity</w:t>
      </w:r>
      <w:r w:rsidR="00C70B10">
        <w:t xml:space="preserve"> ‒ </w:t>
      </w:r>
      <w:r>
        <w:t xml:space="preserve">the </w:t>
      </w:r>
      <w:r w:rsidR="00325CD9">
        <w:t>MNO</w:t>
      </w:r>
      <w:r w:rsidR="00C70B10">
        <w:t xml:space="preserve"> ‒ </w:t>
      </w:r>
      <w:r>
        <w:t>provides the data transfer service under the telecommunication authority</w:t>
      </w:r>
      <w:r w:rsidR="00BD3731">
        <w:t>'</w:t>
      </w:r>
      <w:r>
        <w:t>s regulation.</w:t>
      </w:r>
    </w:p>
    <w:p w14:paraId="00831BA8" w14:textId="77777777" w:rsidR="00BD49DE" w:rsidRDefault="00BD49DE" w:rsidP="00D709B4">
      <w:pPr>
        <w:spacing w:after="120"/>
      </w:pPr>
      <w:r>
        <w:lastRenderedPageBreak/>
        <w:t xml:space="preserve">Regulators generally seem to consider interoperability as an important element in the DFS ecosystem, </w:t>
      </w:r>
      <w:r w:rsidR="00CC50ED">
        <w:t xml:space="preserve">though </w:t>
      </w:r>
      <w:r>
        <w:t>the current state of interoperability in the different countries varies substantially.</w:t>
      </w:r>
      <w:r w:rsidRPr="00401FD9">
        <w:t xml:space="preserve"> </w:t>
      </w:r>
      <w:r>
        <w:t xml:space="preserve">Even though </w:t>
      </w:r>
      <w:r w:rsidR="00CC50ED">
        <w:t>these results were</w:t>
      </w:r>
      <w:r>
        <w:t xml:space="preserve"> expected, this survey contributes to stress and re</w:t>
      </w:r>
      <w:r w:rsidR="00F8504C">
        <w:t>veals</w:t>
      </w:r>
      <w:r>
        <w:t xml:space="preserve"> this policy perception.</w:t>
      </w:r>
    </w:p>
    <w:p w14:paraId="40C8BE7E" w14:textId="77777777" w:rsidR="00415AA9" w:rsidRDefault="00BD49DE" w:rsidP="00D709B4">
      <w:pPr>
        <w:spacing w:after="120"/>
      </w:pPr>
      <w:r>
        <w:t>While the Philippines reports some market-driven interoperable solutions, the reports from Nigeria re</w:t>
      </w:r>
      <w:r w:rsidR="00F8504C">
        <w:t>veal</w:t>
      </w:r>
      <w:r>
        <w:t xml:space="preserve"> that, even with early attention to the topic, moral suasion was not enough to drive the market players to interoperate. As expected, regulators tend to act when the market is not developing towards </w:t>
      </w:r>
      <w:r w:rsidR="00F8504C">
        <w:t>a</w:t>
      </w:r>
      <w:r>
        <w:t xml:space="preserve"> scenario that is considered to provide the best welfare results. Yet, the related strategies include not only normative rulings</w:t>
      </w:r>
      <w:r w:rsidR="003C0960">
        <w:t>,</w:t>
      </w:r>
      <w:r>
        <w:t xml:space="preserve"> but also moral suasion and general policies disclosures. </w:t>
      </w:r>
      <w:r w:rsidRPr="00CE2EF4">
        <w:t>Authorities should be transparent on their interoperability strategy to give market participants planning security</w:t>
      </w:r>
      <w:r w:rsidR="00D56461">
        <w:t>.</w:t>
      </w:r>
    </w:p>
    <w:p w14:paraId="7040C608" w14:textId="77777777" w:rsidR="00BD49DE" w:rsidRDefault="00BD49DE" w:rsidP="00D709B4">
      <w:pPr>
        <w:spacing w:after="120"/>
      </w:pPr>
      <w:r>
        <w:t>Positive outcomes are reported</w:t>
      </w:r>
      <w:r w:rsidR="003C0960">
        <w:t xml:space="preserve"> ‒ </w:t>
      </w:r>
      <w:r>
        <w:t>or expected</w:t>
      </w:r>
      <w:r w:rsidR="003C0960">
        <w:t xml:space="preserve"> ‒ </w:t>
      </w:r>
      <w:r>
        <w:t>across countries. This condition suggests that the current policies are going to persist for the time being in those countries. Unfortunately, public</w:t>
      </w:r>
      <w:r w:rsidR="00CC50ED">
        <w:t>al</w:t>
      </w:r>
      <w:r w:rsidR="00386E32">
        <w:t>ly</w:t>
      </w:r>
      <w:r>
        <w:t xml:space="preserve"> available data is limited and these positive outcomes are mainly confirmed by the increase of interoperable systems over time. Without appropriate counterfactuals, no further inference can be made.</w:t>
      </w:r>
    </w:p>
    <w:p w14:paraId="7FFA198A" w14:textId="2FA6E194" w:rsidR="00BD49DE" w:rsidRPr="00353C08" w:rsidRDefault="00BD49DE" w:rsidP="00D709B4">
      <w:pPr>
        <w:spacing w:after="120"/>
      </w:pPr>
      <w:r>
        <w:t xml:space="preserve">Authorities seem to be conscious that any intervention needs to be carefully considered and take place exclusively when no market-driven solution is leading to interoperable services. </w:t>
      </w:r>
      <w:r w:rsidRPr="00353C08">
        <w:t xml:space="preserve">However, they </w:t>
      </w:r>
      <w:r w:rsidR="0044216D">
        <w:t>should</w:t>
      </w:r>
      <w:r w:rsidRPr="00353C08">
        <w:t xml:space="preserve"> not fail to consider inducing </w:t>
      </w:r>
      <w:r>
        <w:t>m</w:t>
      </w:r>
      <w:r w:rsidRPr="00353C08">
        <w:t>arket participant behaviors in order to guarantee</w:t>
      </w:r>
      <w:r>
        <w:t xml:space="preserve"> the system</w:t>
      </w:r>
      <w:r w:rsidR="00BD3731">
        <w:t>'</w:t>
      </w:r>
      <w:r>
        <w:t>s soundness and efficiency</w:t>
      </w:r>
      <w:r>
        <w:rPr>
          <w:rStyle w:val="FootnoteReference"/>
        </w:rPr>
        <w:footnoteReference w:id="12"/>
      </w:r>
      <w:r w:rsidRPr="00353C08">
        <w:t>.</w:t>
      </w:r>
    </w:p>
    <w:p w14:paraId="38B2AE0E" w14:textId="77777777" w:rsidR="00BD49DE" w:rsidRPr="00CE2EF4" w:rsidRDefault="00BD49DE" w:rsidP="00BD49DE">
      <w:pPr>
        <w:rPr>
          <w:rFonts w:asciiTheme="majorHAnsi" w:eastAsiaTheme="majorEastAsia" w:hAnsiTheme="majorHAnsi" w:cstheme="majorBidi"/>
          <w:color w:val="365F91" w:themeColor="accent1" w:themeShade="BF"/>
          <w:sz w:val="32"/>
          <w:szCs w:val="32"/>
        </w:rPr>
      </w:pPr>
      <w:r w:rsidRPr="00CE2EF4">
        <w:br w:type="page"/>
      </w:r>
    </w:p>
    <w:p w14:paraId="39CC30B8" w14:textId="77777777" w:rsidR="00BD49DE" w:rsidRPr="00FB0378" w:rsidRDefault="00734B51" w:rsidP="00160212">
      <w:pPr>
        <w:pStyle w:val="AnnexNoTitle0"/>
        <w:rPr>
          <w:lang w:val="en-US"/>
        </w:rPr>
      </w:pPr>
      <w:bookmarkStart w:id="38" w:name="_Toc8395631"/>
      <w:r>
        <w:rPr>
          <w:lang w:val="en-US"/>
        </w:rPr>
        <w:lastRenderedPageBreak/>
        <w:t>Annex</w:t>
      </w:r>
      <w:r w:rsidR="00084A4C">
        <w:rPr>
          <w:lang w:val="en-US"/>
        </w:rPr>
        <w:t xml:space="preserve"> </w:t>
      </w:r>
      <w:r w:rsidR="00FB0378" w:rsidRPr="00FB0378">
        <w:rPr>
          <w:lang w:val="en-US"/>
        </w:rPr>
        <w:br/>
      </w:r>
      <w:r w:rsidR="00FB0378">
        <w:rPr>
          <w:lang w:val="en-US"/>
        </w:rPr>
        <w:br/>
      </w:r>
      <w:r w:rsidR="00BD49DE" w:rsidRPr="00FB0378">
        <w:rPr>
          <w:lang w:val="en-US"/>
        </w:rPr>
        <w:t>Questionnaire</w:t>
      </w:r>
      <w:bookmarkEnd w:id="38"/>
    </w:p>
    <w:p w14:paraId="6975D051" w14:textId="77777777" w:rsidR="00BD49DE" w:rsidRDefault="00FB0378" w:rsidP="00D709B4">
      <w:pPr>
        <w:pStyle w:val="enumlev10"/>
        <w:spacing w:before="120" w:after="120"/>
      </w:pPr>
      <w:r>
        <w:t>1</w:t>
      </w:r>
      <w:r>
        <w:tab/>
      </w:r>
      <w:r w:rsidR="00BD49DE">
        <w:t xml:space="preserve">How is the mandate over digital financial services (DFS) split between the </w:t>
      </w:r>
      <w:r w:rsidR="0044216D">
        <w:t>C</w:t>
      </w:r>
      <w:r w:rsidR="00BD49DE">
        <w:t xml:space="preserve">entral </w:t>
      </w:r>
      <w:r w:rsidR="0044216D">
        <w:t>B</w:t>
      </w:r>
      <w:r w:rsidR="00BD49DE">
        <w:t>ank and the telecom regulator? Who (if any) has a legal mandate to induce interoperability? Please describe the legal mandate and when it was ruled out.</w:t>
      </w:r>
    </w:p>
    <w:p w14:paraId="67C5AC95" w14:textId="6082669E" w:rsidR="00BD49DE" w:rsidRDefault="00FB0378" w:rsidP="00D709B4">
      <w:pPr>
        <w:pStyle w:val="enumlev10"/>
        <w:spacing w:before="120" w:after="120"/>
      </w:pPr>
      <w:r>
        <w:t>2</w:t>
      </w:r>
      <w:r>
        <w:tab/>
      </w:r>
      <w:r w:rsidR="00BD49DE">
        <w:t xml:space="preserve">Can you describe if there were DFS available prior to </w:t>
      </w:r>
      <w:r w:rsidR="00CC50ED">
        <w:t xml:space="preserve">when </w:t>
      </w:r>
      <w:r w:rsidR="00BD49DE">
        <w:t>your legal mandate was enacted? If so, describe the market conditions of the most relevant DFS available (number of players, market share</w:t>
      </w:r>
      <w:r w:rsidR="00345ED6">
        <w:t>,</w:t>
      </w:r>
      <w:r w:rsidR="00BD49DE">
        <w:t xml:space="preserve"> and economic sector – i.e.</w:t>
      </w:r>
      <w:r w:rsidR="00BD3731">
        <w:t>,</w:t>
      </w:r>
      <w:r w:rsidR="00BD49DE">
        <w:t xml:space="preserve"> financial institution, telecom company or other categories of DFS providers).</w:t>
      </w:r>
    </w:p>
    <w:p w14:paraId="257AC552" w14:textId="77777777" w:rsidR="00BD49DE" w:rsidRDefault="00FB0378" w:rsidP="00D709B4">
      <w:pPr>
        <w:pStyle w:val="enumlev10"/>
        <w:spacing w:before="120" w:after="120"/>
      </w:pPr>
      <w:r>
        <w:t>3</w:t>
      </w:r>
      <w:r>
        <w:tab/>
      </w:r>
      <w:r w:rsidR="00BD49DE">
        <w:t xml:space="preserve">Considering the most relevant DFS, have the relevant authorities considered </w:t>
      </w:r>
      <w:r w:rsidR="00345ED6">
        <w:t>interoperability</w:t>
      </w:r>
      <w:r w:rsidR="00BD49DE">
        <w:t xml:space="preserve"> an impo</w:t>
      </w:r>
      <w:r w:rsidR="00D56461">
        <w:t>rtant issue in terms of policy?</w:t>
      </w:r>
    </w:p>
    <w:p w14:paraId="71F0918F" w14:textId="77777777" w:rsidR="00BD49DE" w:rsidRPr="008B70AD" w:rsidRDefault="00FB0378" w:rsidP="00D709B4">
      <w:pPr>
        <w:pStyle w:val="enumlev20"/>
        <w:spacing w:before="120" w:after="120"/>
      </w:pPr>
      <w:r>
        <w:t>a.</w:t>
      </w:r>
      <w:r>
        <w:tab/>
      </w:r>
      <w:r w:rsidR="00BD49DE">
        <w:t>If so, what were the market conditions that raised the issue and when did it happen? (How</w:t>
      </w:r>
      <w:r w:rsidR="00BD49DE" w:rsidRPr="008B70AD">
        <w:t xml:space="preserve"> many participant</w:t>
      </w:r>
      <w:r w:rsidR="00BD49DE">
        <w:t>s</w:t>
      </w:r>
      <w:r w:rsidR="00BD49DE" w:rsidRPr="008B70AD">
        <w:t xml:space="preserve"> were</w:t>
      </w:r>
      <w:r w:rsidR="00BD49DE">
        <w:t xml:space="preserve"> </w:t>
      </w:r>
      <w:r w:rsidR="00CC50ED">
        <w:t>i</w:t>
      </w:r>
      <w:r w:rsidR="00BD49DE">
        <w:t>n the market?</w:t>
      </w:r>
      <w:r w:rsidR="00BD49DE" w:rsidRPr="008B70AD">
        <w:t xml:space="preserve"> </w:t>
      </w:r>
      <w:r w:rsidR="00BD49DE">
        <w:t>W</w:t>
      </w:r>
      <w:r w:rsidR="00BD49DE" w:rsidRPr="008B70AD">
        <w:t>hich market share d</w:t>
      </w:r>
      <w:r w:rsidR="00BD49DE">
        <w:t>id</w:t>
      </w:r>
      <w:r w:rsidR="00BD49DE" w:rsidRPr="008B70AD">
        <w:t xml:space="preserve"> they have?</w:t>
      </w:r>
      <w:r w:rsidR="00BD49DE">
        <w:t xml:space="preserve"> Was there any evidence of collusion among the participants? Any kind of </w:t>
      </w:r>
      <w:r w:rsidR="00BD49DE" w:rsidRPr="0041783C">
        <w:t>barriers</w:t>
      </w:r>
      <w:r w:rsidR="00BD49DE">
        <w:t xml:space="preserve"> to entry</w:t>
      </w:r>
      <w:r w:rsidR="00BD49DE" w:rsidRPr="0041783C">
        <w:t>,</w:t>
      </w:r>
      <w:r w:rsidR="00BD49DE">
        <w:t xml:space="preserve"> </w:t>
      </w:r>
      <w:r w:rsidR="00BB6D9E">
        <w:t>either</w:t>
      </w:r>
      <w:r w:rsidR="00BD49DE">
        <w:t xml:space="preserve"> horizontal or vertical?</w:t>
      </w:r>
      <w:r w:rsidR="00D56461">
        <w:t>)</w:t>
      </w:r>
    </w:p>
    <w:p w14:paraId="350D12B0" w14:textId="77777777" w:rsidR="00BD49DE" w:rsidRDefault="00FB0378" w:rsidP="00D709B4">
      <w:pPr>
        <w:pStyle w:val="enumlev20"/>
        <w:spacing w:before="120" w:after="120"/>
      </w:pPr>
      <w:r>
        <w:t>b.</w:t>
      </w:r>
      <w:r>
        <w:tab/>
      </w:r>
      <w:r w:rsidR="00BD49DE">
        <w:t xml:space="preserve">If not, why </w:t>
      </w:r>
      <w:r w:rsidR="005B5731">
        <w:t>was interoperability</w:t>
      </w:r>
      <w:r w:rsidR="00BD49DE">
        <w:t xml:space="preserve"> not an </w:t>
      </w:r>
      <w:r w:rsidR="005B5731">
        <w:t xml:space="preserve">important </w:t>
      </w:r>
      <w:r w:rsidR="00BD49DE">
        <w:t xml:space="preserve">issue </w:t>
      </w:r>
      <w:r w:rsidR="00CC50ED">
        <w:t>in</w:t>
      </w:r>
      <w:r w:rsidR="00D56461">
        <w:t xml:space="preserve"> that market?</w:t>
      </w:r>
    </w:p>
    <w:p w14:paraId="5192A79A" w14:textId="77777777" w:rsidR="00BD49DE" w:rsidRDefault="00FB0378" w:rsidP="00D709B4">
      <w:pPr>
        <w:pStyle w:val="enumlev10"/>
        <w:spacing w:before="120" w:after="120"/>
      </w:pPr>
      <w:r>
        <w:t>4</w:t>
      </w:r>
      <w:r>
        <w:tab/>
      </w:r>
      <w:r w:rsidR="00BD49DE">
        <w:t xml:space="preserve">For those cases in which </w:t>
      </w:r>
      <w:r w:rsidR="005B5731">
        <w:t>interoperability</w:t>
      </w:r>
      <w:r w:rsidR="00BD49DE">
        <w:t xml:space="preserve"> was considered an </w:t>
      </w:r>
      <w:r w:rsidR="00D56461">
        <w:t>issue in the previous question:</w:t>
      </w:r>
    </w:p>
    <w:p w14:paraId="0234AB98" w14:textId="77777777" w:rsidR="00BD49DE" w:rsidRDefault="00FB0378" w:rsidP="00D709B4">
      <w:pPr>
        <w:pStyle w:val="enumlev20"/>
        <w:spacing w:before="120" w:after="120"/>
      </w:pPr>
      <w:r>
        <w:t>a.</w:t>
      </w:r>
      <w:r>
        <w:tab/>
      </w:r>
      <w:r w:rsidR="00BD49DE">
        <w:t xml:space="preserve">Have you acted in any way to induce </w:t>
      </w:r>
      <w:r w:rsidR="005B5731">
        <w:t>interoperability</w:t>
      </w:r>
      <w:r w:rsidR="00BD49DE">
        <w:t>? For these cases, how was the induction implemented? (Moral suasion, enhance industry code, non-regulatory pol</w:t>
      </w:r>
      <w:r w:rsidR="00D56461">
        <w:t>icy issuance, regulation, etc.)</w:t>
      </w:r>
    </w:p>
    <w:p w14:paraId="39A7A83B" w14:textId="77777777" w:rsidR="00BD49DE" w:rsidRDefault="00FB0378" w:rsidP="00D709B4">
      <w:pPr>
        <w:pStyle w:val="enumlev20"/>
        <w:spacing w:before="120" w:after="120"/>
      </w:pPr>
      <w:r>
        <w:t>b.</w:t>
      </w:r>
      <w:r>
        <w:tab/>
      </w:r>
      <w:r w:rsidR="00BD49DE">
        <w:t>If you have not acted, why did you choose this strategy? Do you expect to take any action in the future (</w:t>
      </w:r>
      <w:r w:rsidR="00CC50ED">
        <w:t>o</w:t>
      </w:r>
      <w:r w:rsidR="00BD49DE">
        <w:t>n what conditions)?</w:t>
      </w:r>
    </w:p>
    <w:p w14:paraId="6FEDBA3F" w14:textId="77777777" w:rsidR="00BD49DE" w:rsidRDefault="00FB0378" w:rsidP="00D709B4">
      <w:pPr>
        <w:pStyle w:val="enumlev10"/>
        <w:spacing w:before="120" w:after="120"/>
      </w:pPr>
      <w:r>
        <w:t>5</w:t>
      </w:r>
      <w:r>
        <w:tab/>
      </w:r>
      <w:r w:rsidR="00BD49DE">
        <w:t>Regarding the outcomes:</w:t>
      </w:r>
    </w:p>
    <w:p w14:paraId="0E0EF96D" w14:textId="77777777" w:rsidR="00BD49DE" w:rsidRDefault="00FB0378" w:rsidP="00D709B4">
      <w:pPr>
        <w:pStyle w:val="enumlev20"/>
        <w:spacing w:before="120" w:after="120"/>
      </w:pPr>
      <w:r>
        <w:t>a.</w:t>
      </w:r>
      <w:r>
        <w:tab/>
      </w:r>
      <w:r w:rsidR="00BD49DE">
        <w:t>Which were the aimed outcomes when the inducement was implemented?</w:t>
      </w:r>
    </w:p>
    <w:p w14:paraId="6F838BDC" w14:textId="77777777" w:rsidR="00BD49DE" w:rsidRDefault="00FB0378" w:rsidP="00D709B4">
      <w:pPr>
        <w:pStyle w:val="enumlev20"/>
        <w:spacing w:before="120" w:after="120"/>
      </w:pPr>
      <w:r>
        <w:t>b.</w:t>
      </w:r>
      <w:r>
        <w:tab/>
      </w:r>
      <w:r w:rsidR="00BD49DE">
        <w:t>Which were the actual outcomes observed from the inducement? Could you describe the new market conditions? Were the unplanned outcomes positive or negative?</w:t>
      </w:r>
    </w:p>
    <w:p w14:paraId="249958C8" w14:textId="238D4834" w:rsidR="00BD49DE" w:rsidRDefault="00FB0378" w:rsidP="00D709B4">
      <w:pPr>
        <w:pStyle w:val="enumlev10"/>
        <w:spacing w:before="120" w:after="120"/>
      </w:pPr>
      <w:r>
        <w:t>6</w:t>
      </w:r>
      <w:r>
        <w:tab/>
      </w:r>
      <w:r w:rsidR="00BD49DE">
        <w:t>In case</w:t>
      </w:r>
      <w:r w:rsidR="00CC50ED">
        <w:t>s where</w:t>
      </w:r>
      <w:r w:rsidR="00BD49DE">
        <w:t xml:space="preserve"> the regulator</w:t>
      </w:r>
      <w:r w:rsidR="00BD3731">
        <w:t>'</w:t>
      </w:r>
      <w:r w:rsidR="00BD49DE">
        <w:t>s inducement was implemented before, would you expect the outcome to be different (better/worse)? And</w:t>
      </w:r>
      <w:r w:rsidR="003D08E4">
        <w:t>,</w:t>
      </w:r>
      <w:r w:rsidR="00BD49DE">
        <w:t xml:space="preserve"> if it were implemented later</w:t>
      </w:r>
      <w:r w:rsidR="00CC50ED">
        <w:t>, what would you expect</w:t>
      </w:r>
      <w:r w:rsidR="00BD49DE">
        <w:t>? Please elaborate.</w:t>
      </w:r>
    </w:p>
    <w:p w14:paraId="29EFACD3" w14:textId="77777777" w:rsidR="00BD49DE" w:rsidRDefault="00BD49DE" w:rsidP="00BD49DE">
      <w:pPr>
        <w:rPr>
          <w:lang w:eastAsia="ja-JP"/>
        </w:rPr>
      </w:pPr>
    </w:p>
    <w:p w14:paraId="6AC5EF05" w14:textId="77777777" w:rsidR="00CF79DC" w:rsidRPr="00BD49DE" w:rsidRDefault="00CF79DC" w:rsidP="00CF79DC">
      <w:pPr>
        <w:jc w:val="center"/>
        <w:rPr>
          <w:lang w:eastAsia="ja-JP"/>
        </w:rPr>
      </w:pPr>
      <w:r>
        <w:rPr>
          <w:lang w:eastAsia="ja-JP"/>
        </w:rPr>
        <w:t>______________</w:t>
      </w:r>
    </w:p>
    <w:sectPr w:rsidR="00CF79DC" w:rsidRPr="00BD49DE" w:rsidSect="00797729">
      <w:footerReference w:type="even" r:id="rId16"/>
      <w:footerReference w:type="default" r:id="rId17"/>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DD1B7" w14:textId="77777777" w:rsidR="00270E3F" w:rsidRDefault="00270E3F">
      <w:r>
        <w:separator/>
      </w:r>
    </w:p>
  </w:endnote>
  <w:endnote w:type="continuationSeparator" w:id="0">
    <w:p w14:paraId="2DE15CEB" w14:textId="77777777" w:rsidR="00270E3F" w:rsidRDefault="002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Bold">
    <w:altName w:val="Times New Roman"/>
    <w:charset w:val="00"/>
    <w:family w:val="auto"/>
    <w:pitch w:val="variable"/>
    <w:sig w:usb0="00000001"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88004"/>
      <w:docPartObj>
        <w:docPartGallery w:val="Page Numbers (Bottom of Page)"/>
        <w:docPartUnique/>
      </w:docPartObj>
    </w:sdtPr>
    <w:sdtEndPr/>
    <w:sdtContent>
      <w:p w14:paraId="5813DF7A" w14:textId="4103D4CB" w:rsidR="009E1059" w:rsidRDefault="009E1059" w:rsidP="00F23C4A">
        <w:pPr>
          <w:pStyle w:val="Footer"/>
          <w:jc w:val="right"/>
        </w:pPr>
        <w:r w:rsidRPr="00240B46">
          <w:rPr>
            <w:b/>
            <w:sz w:val="20"/>
          </w:rPr>
          <w:t>DSTR-DFSRP</w:t>
        </w:r>
        <w:r w:rsidRPr="0084023B">
          <w:rPr>
            <w:sz w:val="20"/>
          </w:rPr>
          <w:t xml:space="preserve"> </w:t>
        </w:r>
        <w:r w:rsidRPr="0084023B">
          <w:rPr>
            <w:b/>
            <w:sz w:val="20"/>
          </w:rPr>
          <w:t>(</w:t>
        </w:r>
        <w:r>
          <w:rPr>
            <w:b/>
            <w:sz w:val="20"/>
          </w:rPr>
          <w:t>2019</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797729">
          <w:rPr>
            <w:rStyle w:val="PageNumber"/>
            <w:rFonts w:ascii="Times New Roman Bold" w:hAnsi="Times New Roman Bold"/>
            <w:b/>
            <w:bCs/>
            <w:sz w:val="20"/>
          </w:rPr>
          <w:t>3</w:t>
        </w:r>
        <w:r w:rsidRPr="0084023B">
          <w:rPr>
            <w:rStyle w:val="PageNumber"/>
            <w:rFonts w:ascii="Times New Roman Bold" w:hAnsi="Times New Roman Bold"/>
            <w:b/>
            <w:bC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BB01" w14:textId="6BA0222C" w:rsidR="009E1059" w:rsidRDefault="008608E7">
    <w:pPr>
      <w:pStyle w:val="Footer"/>
    </w:pPr>
    <w:r>
      <w:rPr>
        <w:lang w:eastAsia="en-GB"/>
      </w:rPr>
      <w:drawing>
        <wp:anchor distT="0" distB="0" distL="114300" distR="114300" simplePos="0" relativeHeight="251656192" behindDoc="0" locked="0" layoutInCell="1" allowOverlap="1" wp14:anchorId="2E9F99CA" wp14:editId="203DDCDD">
          <wp:simplePos x="0" y="0"/>
          <wp:positionH relativeFrom="margin">
            <wp:posOffset>5643880</wp:posOffset>
          </wp:positionH>
          <wp:positionV relativeFrom="margin">
            <wp:posOffset>8548370</wp:posOffset>
          </wp:positionV>
          <wp:extent cx="864936" cy="12240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
                    <a:extLst>
                      <a:ext uri="{28A0092B-C50C-407E-A947-70E740481C1C}">
                        <a14:useLocalDpi xmlns:a14="http://schemas.microsoft.com/office/drawing/2010/main" val="0"/>
                      </a:ext>
                    </a:extLst>
                  </a:blip>
                  <a:stretch>
                    <a:fillRect/>
                  </a:stretch>
                </pic:blipFill>
                <pic:spPr>
                  <a:xfrm>
                    <a:off x="0" y="0"/>
                    <a:ext cx="864936"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4418"/>
      <w:docPartObj>
        <w:docPartGallery w:val="Page Numbers (Bottom of Page)"/>
        <w:docPartUnique/>
      </w:docPartObj>
    </w:sdtPr>
    <w:sdtEndPr/>
    <w:sdtContent>
      <w:p w14:paraId="3373E491" w14:textId="6ECEB686" w:rsidR="00797729" w:rsidRDefault="00797729" w:rsidP="003523FC">
        <w:pPr>
          <w:pStyle w:val="Footer"/>
          <w:tabs>
            <w:tab w:val="clear" w:pos="5954"/>
            <w:tab w:val="left" w:pos="851"/>
          </w:tabs>
          <w:jc w:val="left"/>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9E5329">
          <w:rPr>
            <w:rStyle w:val="PageNumber"/>
            <w:rFonts w:ascii="Times New Roman Bold" w:hAnsi="Times New Roman Bold"/>
            <w:b/>
            <w:bCs/>
            <w:sz w:val="20"/>
          </w:rPr>
          <w:t>10</w:t>
        </w:r>
        <w:r w:rsidRPr="0084023B">
          <w:rPr>
            <w:rStyle w:val="PageNumber"/>
            <w:rFonts w:ascii="Times New Roman Bold" w:hAnsi="Times New Roman Bold"/>
            <w:b/>
            <w:bCs/>
            <w:sz w:val="20"/>
          </w:rPr>
          <w:fldChar w:fldCharType="end"/>
        </w:r>
        <w:r w:rsidRPr="00240B46">
          <w:rPr>
            <w:b/>
            <w:sz w:val="20"/>
          </w:rPr>
          <w:t xml:space="preserve"> </w:t>
        </w:r>
        <w:r>
          <w:rPr>
            <w:b/>
            <w:sz w:val="20"/>
          </w:rPr>
          <w:tab/>
        </w:r>
        <w:r w:rsidRPr="00240B46">
          <w:rPr>
            <w:b/>
            <w:sz w:val="20"/>
          </w:rPr>
          <w:t>DSTR-DFSRP</w:t>
        </w:r>
        <w:r w:rsidRPr="0084023B">
          <w:rPr>
            <w:sz w:val="20"/>
          </w:rPr>
          <w:t xml:space="preserve"> </w:t>
        </w:r>
        <w:r w:rsidRPr="0084023B">
          <w:rPr>
            <w:b/>
            <w:sz w:val="20"/>
          </w:rPr>
          <w:t>(</w:t>
        </w:r>
        <w:r>
          <w:rPr>
            <w:b/>
            <w:sz w:val="20"/>
          </w:rPr>
          <w:t>2019</w:t>
        </w:r>
        <w:r w:rsidRPr="0084023B">
          <w:rPr>
            <w:b/>
            <w:sz w:val="20"/>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575316"/>
      <w:docPartObj>
        <w:docPartGallery w:val="Page Numbers (Bottom of Page)"/>
        <w:docPartUnique/>
      </w:docPartObj>
    </w:sdtPr>
    <w:sdtEndPr/>
    <w:sdtContent>
      <w:p w14:paraId="68B351C2" w14:textId="773E3712" w:rsidR="00797729" w:rsidRDefault="003523FC" w:rsidP="003523FC">
        <w:pPr>
          <w:pStyle w:val="Footer"/>
          <w:tabs>
            <w:tab w:val="clear" w:pos="5954"/>
            <w:tab w:val="left" w:pos="851"/>
            <w:tab w:val="right" w:pos="8505"/>
          </w:tabs>
          <w:jc w:val="left"/>
        </w:pPr>
        <w:r>
          <w:tab/>
        </w:r>
        <w:r>
          <w:tab/>
        </w:r>
        <w:r w:rsidR="00797729" w:rsidRPr="00240B46">
          <w:rPr>
            <w:b/>
            <w:sz w:val="20"/>
          </w:rPr>
          <w:t>DSTR-DFSRP</w:t>
        </w:r>
        <w:r w:rsidR="00797729" w:rsidRPr="0084023B">
          <w:rPr>
            <w:sz w:val="20"/>
          </w:rPr>
          <w:t xml:space="preserve"> </w:t>
        </w:r>
        <w:r w:rsidR="00797729" w:rsidRPr="0084023B">
          <w:rPr>
            <w:b/>
            <w:sz w:val="20"/>
          </w:rPr>
          <w:t>(</w:t>
        </w:r>
        <w:r w:rsidR="00797729">
          <w:rPr>
            <w:b/>
            <w:sz w:val="20"/>
          </w:rPr>
          <w:t>2019</w:t>
        </w:r>
        <w:r w:rsidR="00797729" w:rsidRPr="0084023B">
          <w:rPr>
            <w:b/>
            <w:sz w:val="20"/>
          </w:rPr>
          <w:t xml:space="preserve">) </w:t>
        </w:r>
        <w:r w:rsidR="00797729" w:rsidRPr="0084023B">
          <w:rPr>
            <w:b/>
            <w:sz w:val="20"/>
          </w:rPr>
          <w:tab/>
        </w:r>
        <w:r w:rsidR="00797729" w:rsidRPr="0084023B">
          <w:rPr>
            <w:rStyle w:val="PageNumber"/>
            <w:rFonts w:ascii="Times New Roman Bold" w:hAnsi="Times New Roman Bold"/>
            <w:b/>
            <w:bCs/>
            <w:sz w:val="20"/>
          </w:rPr>
          <w:fldChar w:fldCharType="begin"/>
        </w:r>
        <w:r w:rsidR="00797729" w:rsidRPr="0084023B">
          <w:rPr>
            <w:rStyle w:val="PageNumber"/>
            <w:rFonts w:ascii="Times New Roman Bold" w:hAnsi="Times New Roman Bold"/>
            <w:b/>
            <w:bCs/>
            <w:sz w:val="20"/>
          </w:rPr>
          <w:instrText xml:space="preserve"> PAGE </w:instrText>
        </w:r>
        <w:r w:rsidR="00797729" w:rsidRPr="0084023B">
          <w:rPr>
            <w:rStyle w:val="PageNumber"/>
            <w:rFonts w:ascii="Times New Roman Bold" w:hAnsi="Times New Roman Bold"/>
            <w:b/>
            <w:bCs/>
            <w:sz w:val="20"/>
          </w:rPr>
          <w:fldChar w:fldCharType="separate"/>
        </w:r>
        <w:r w:rsidR="009E5329">
          <w:rPr>
            <w:rStyle w:val="PageNumber"/>
            <w:rFonts w:ascii="Times New Roman Bold" w:hAnsi="Times New Roman Bold"/>
            <w:b/>
            <w:bCs/>
            <w:sz w:val="20"/>
          </w:rPr>
          <w:t>1</w:t>
        </w:r>
        <w:r w:rsidR="00797729" w:rsidRPr="0084023B">
          <w:rPr>
            <w:rStyle w:val="PageNumber"/>
            <w:rFonts w:ascii="Times New Roman Bold" w:hAnsi="Times New Roman Bold"/>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A9B44" w14:textId="77777777" w:rsidR="00270E3F" w:rsidRDefault="00270E3F">
      <w:r>
        <w:separator/>
      </w:r>
    </w:p>
  </w:footnote>
  <w:footnote w:type="continuationSeparator" w:id="0">
    <w:p w14:paraId="3F2B11FC" w14:textId="77777777" w:rsidR="00270E3F" w:rsidRDefault="00270E3F">
      <w:r>
        <w:continuationSeparator/>
      </w:r>
    </w:p>
  </w:footnote>
  <w:footnote w:id="1">
    <w:p w14:paraId="4FF950D3" w14:textId="71052BE1" w:rsidR="009E1059" w:rsidRPr="006E0505" w:rsidRDefault="009E1059" w:rsidP="0007777A">
      <w:pPr>
        <w:pStyle w:val="FootnoteText"/>
        <w:rPr>
          <w:szCs w:val="28"/>
        </w:rPr>
      </w:pPr>
      <w:r w:rsidRPr="006E0505">
        <w:rPr>
          <w:rStyle w:val="FootnoteReference"/>
          <w:szCs w:val="28"/>
        </w:rPr>
        <w:footnoteRef/>
      </w:r>
      <w:r w:rsidRPr="006E0505">
        <w:rPr>
          <w:szCs w:val="28"/>
        </w:rPr>
        <w:t xml:space="preserve"> </w:t>
      </w:r>
      <w:r w:rsidR="0007777A">
        <w:rPr>
          <w:szCs w:val="28"/>
        </w:rPr>
        <w:tab/>
      </w:r>
      <w:r w:rsidRPr="006E0505">
        <w:rPr>
          <w:szCs w:val="28"/>
        </w:rPr>
        <w:t>According to the ITU Digital Financial Services Focus Group</w:t>
      </w:r>
      <w:r w:rsidR="00BD3731">
        <w:rPr>
          <w:szCs w:val="28"/>
        </w:rPr>
        <w:t>'</w:t>
      </w:r>
      <w:r w:rsidRPr="006E0505">
        <w:rPr>
          <w:szCs w:val="28"/>
        </w:rPr>
        <w:t>s glossary, interoperability is “the ability to exchange payments transactions between and among providers. This can be done by providers participating in a SCHEME or by a variety of bilateral or multilateral arrangements”. “When payment systems are interoperable, they allow two or more proprietary platforms or even different products to interact seamlessly”.</w:t>
      </w:r>
    </w:p>
  </w:footnote>
  <w:footnote w:id="2">
    <w:p w14:paraId="2A9E90AA" w14:textId="165689D8" w:rsidR="009E1059" w:rsidRPr="0007777A" w:rsidRDefault="009E1059" w:rsidP="0007777A">
      <w:pPr>
        <w:pStyle w:val="FootnoteText"/>
        <w:rPr>
          <w:noProof/>
          <w:szCs w:val="22"/>
        </w:rPr>
      </w:pPr>
      <w:r w:rsidRPr="0007777A">
        <w:rPr>
          <w:rStyle w:val="FootnoteReference"/>
        </w:rPr>
        <w:footnoteRef/>
      </w:r>
      <w:r w:rsidRPr="006E0505">
        <w:rPr>
          <w:noProof/>
          <w:sz w:val="18"/>
          <w:szCs w:val="18"/>
          <w:vertAlign w:val="superscript"/>
        </w:rPr>
        <w:t xml:space="preserve"> </w:t>
      </w:r>
      <w:r w:rsidR="0007777A">
        <w:rPr>
          <w:noProof/>
          <w:sz w:val="18"/>
          <w:szCs w:val="18"/>
          <w:vertAlign w:val="superscript"/>
        </w:rPr>
        <w:tab/>
      </w:r>
      <w:r w:rsidRPr="0007777A">
        <w:rPr>
          <w:noProof/>
          <w:szCs w:val="22"/>
        </w:rPr>
        <w:t xml:space="preserve">See the Payment </w:t>
      </w:r>
      <w:r w:rsidRPr="0007777A">
        <w:rPr>
          <w:szCs w:val="22"/>
        </w:rPr>
        <w:t>Aspects</w:t>
      </w:r>
      <w:r w:rsidRPr="0007777A">
        <w:rPr>
          <w:noProof/>
          <w:szCs w:val="22"/>
        </w:rPr>
        <w:t xml:space="preserve"> for Financial Inclusion report (CPMI and World Bank, 2016).</w:t>
      </w:r>
    </w:p>
  </w:footnote>
  <w:footnote w:id="3">
    <w:p w14:paraId="2020845B" w14:textId="35EA213B" w:rsidR="009E1059" w:rsidRPr="0007777A" w:rsidRDefault="009E1059" w:rsidP="0007777A">
      <w:pPr>
        <w:pStyle w:val="FootnoteText"/>
        <w:rPr>
          <w:noProof/>
          <w:szCs w:val="22"/>
        </w:rPr>
      </w:pPr>
      <w:r w:rsidRPr="0007777A">
        <w:rPr>
          <w:rStyle w:val="FootnoteReference"/>
        </w:rPr>
        <w:footnoteRef/>
      </w:r>
      <w:r w:rsidRPr="006E0505">
        <w:rPr>
          <w:noProof/>
          <w:sz w:val="18"/>
          <w:szCs w:val="18"/>
          <w:vertAlign w:val="superscript"/>
        </w:rPr>
        <w:t xml:space="preserve"> </w:t>
      </w:r>
      <w:r w:rsidR="0007777A">
        <w:rPr>
          <w:noProof/>
          <w:sz w:val="18"/>
          <w:szCs w:val="18"/>
          <w:vertAlign w:val="superscript"/>
        </w:rPr>
        <w:tab/>
      </w:r>
      <w:r w:rsidRPr="0007777A">
        <w:rPr>
          <w:noProof/>
          <w:szCs w:val="22"/>
        </w:rPr>
        <w:t>See Albuquerque et al. (2014).</w:t>
      </w:r>
    </w:p>
  </w:footnote>
  <w:footnote w:id="4">
    <w:p w14:paraId="1A824C2F" w14:textId="0E55A5A9" w:rsidR="009E1059" w:rsidRPr="0007777A" w:rsidRDefault="009E1059" w:rsidP="0007777A">
      <w:pPr>
        <w:pStyle w:val="FootnoteText"/>
        <w:rPr>
          <w:noProof/>
          <w:szCs w:val="22"/>
        </w:rPr>
      </w:pPr>
      <w:r w:rsidRPr="0007777A">
        <w:rPr>
          <w:rStyle w:val="FootnoteReference"/>
        </w:rPr>
        <w:footnoteRef/>
      </w:r>
      <w:r w:rsidRPr="006E0505">
        <w:rPr>
          <w:noProof/>
          <w:sz w:val="18"/>
          <w:szCs w:val="18"/>
          <w:vertAlign w:val="superscript"/>
        </w:rPr>
        <w:t xml:space="preserve"> </w:t>
      </w:r>
      <w:r w:rsidR="0007777A">
        <w:rPr>
          <w:noProof/>
          <w:sz w:val="18"/>
          <w:szCs w:val="18"/>
          <w:vertAlign w:val="superscript"/>
        </w:rPr>
        <w:tab/>
      </w:r>
      <w:r w:rsidRPr="0007777A">
        <w:rPr>
          <w:noProof/>
          <w:szCs w:val="22"/>
        </w:rPr>
        <w:t>For recent accordingly claims, see, e.g., David-West (2016); Bankable Frontier Associates (2012).</w:t>
      </w:r>
    </w:p>
  </w:footnote>
  <w:footnote w:id="5">
    <w:p w14:paraId="13B17899" w14:textId="2F834902" w:rsidR="009E1059" w:rsidRPr="0007777A" w:rsidRDefault="009E1059" w:rsidP="0007777A">
      <w:pPr>
        <w:pStyle w:val="FootnoteText"/>
        <w:rPr>
          <w:noProof/>
          <w:szCs w:val="22"/>
        </w:rPr>
      </w:pPr>
      <w:r w:rsidRPr="0007777A">
        <w:rPr>
          <w:rStyle w:val="FootnoteReference"/>
        </w:rPr>
        <w:footnoteRef/>
      </w:r>
      <w:r w:rsidRPr="006E0505">
        <w:rPr>
          <w:noProof/>
          <w:sz w:val="18"/>
          <w:szCs w:val="18"/>
        </w:rPr>
        <w:t xml:space="preserve"> </w:t>
      </w:r>
      <w:r w:rsidR="0007777A">
        <w:rPr>
          <w:noProof/>
          <w:sz w:val="18"/>
          <w:szCs w:val="18"/>
        </w:rPr>
        <w:tab/>
      </w:r>
      <w:r w:rsidRPr="0007777A">
        <w:rPr>
          <w:noProof/>
          <w:szCs w:val="22"/>
        </w:rPr>
        <w:t>There is a lack of quantitative assessment of these assumptions. According to Dahlberg et al. (2015), limited progress seems to have been made even if a large number of articles and notes have been published about digital payments.</w:t>
      </w:r>
    </w:p>
  </w:footnote>
  <w:footnote w:id="6">
    <w:p w14:paraId="1A6C510A" w14:textId="294CF57C" w:rsidR="009E1059" w:rsidRPr="0007777A" w:rsidRDefault="009E1059" w:rsidP="0007777A">
      <w:pPr>
        <w:pStyle w:val="FootnoteText"/>
        <w:rPr>
          <w:caps/>
          <w:noProof/>
          <w:szCs w:val="22"/>
        </w:rPr>
      </w:pPr>
      <w:r w:rsidRPr="0007777A">
        <w:rPr>
          <w:rStyle w:val="FootnoteReference"/>
        </w:rPr>
        <w:footnoteRef/>
      </w:r>
      <w:r w:rsidRPr="006E0505">
        <w:rPr>
          <w:noProof/>
          <w:sz w:val="18"/>
          <w:szCs w:val="18"/>
          <w:vertAlign w:val="superscript"/>
        </w:rPr>
        <w:t xml:space="preserve"> </w:t>
      </w:r>
      <w:r w:rsidR="0007777A">
        <w:rPr>
          <w:noProof/>
          <w:sz w:val="18"/>
          <w:szCs w:val="18"/>
          <w:vertAlign w:val="superscript"/>
        </w:rPr>
        <w:tab/>
      </w:r>
      <w:r w:rsidRPr="0007777A">
        <w:rPr>
          <w:noProof/>
          <w:szCs w:val="22"/>
        </w:rPr>
        <w:t>Indeed, the literature on market power and regulation and on contract theory and incentives is especially applicable to this topic. See, for example, Laffont and Tirole (1993), Laffont and Tirole (1999) and Aghion et al. (2016).</w:t>
      </w:r>
    </w:p>
  </w:footnote>
  <w:footnote w:id="7">
    <w:p w14:paraId="486D9CBD" w14:textId="3591FDC5" w:rsidR="009E1059" w:rsidRPr="0007777A" w:rsidRDefault="009E1059" w:rsidP="0007777A">
      <w:pPr>
        <w:pStyle w:val="FootnoteText"/>
        <w:rPr>
          <w:rStyle w:val="FootnoteTextChar"/>
        </w:rPr>
      </w:pPr>
      <w:r w:rsidRPr="0007777A">
        <w:rPr>
          <w:rStyle w:val="FootnoteReference"/>
        </w:rPr>
        <w:footnoteRef/>
      </w:r>
      <w:r w:rsidRPr="00734B51">
        <w:rPr>
          <w:noProof/>
          <w:sz w:val="18"/>
          <w:szCs w:val="18"/>
        </w:rPr>
        <w:t xml:space="preserve"> </w:t>
      </w:r>
      <w:r w:rsidR="0007777A">
        <w:rPr>
          <w:sz w:val="18"/>
          <w:szCs w:val="18"/>
        </w:rPr>
        <w:tab/>
      </w:r>
      <w:r w:rsidRPr="0007777A">
        <w:rPr>
          <w:rStyle w:val="FootnoteTextChar"/>
        </w:rPr>
        <w:t xml:space="preserve">Central Bank of Brazil was </w:t>
      </w:r>
      <w:r w:rsidRPr="0007777A">
        <w:rPr>
          <w:noProof/>
          <w:szCs w:val="22"/>
        </w:rPr>
        <w:t>represented</w:t>
      </w:r>
      <w:r w:rsidRPr="0007777A">
        <w:rPr>
          <w:rStyle w:val="FootnoteTextChar"/>
        </w:rPr>
        <w:t xml:space="preserve"> by Mr. Ricardo Teixeira Leite Mourão.</w:t>
      </w:r>
    </w:p>
  </w:footnote>
  <w:footnote w:id="8">
    <w:p w14:paraId="3022C9AA" w14:textId="20F5EAC5" w:rsidR="009E1059" w:rsidRPr="00F41BF2" w:rsidRDefault="009E1059" w:rsidP="00F41BF2">
      <w:pPr>
        <w:pStyle w:val="FootnoteText"/>
        <w:rPr>
          <w:szCs w:val="22"/>
        </w:rPr>
      </w:pPr>
      <w:r w:rsidRPr="00F41BF2">
        <w:rPr>
          <w:rStyle w:val="FootnoteReference"/>
        </w:rPr>
        <w:footnoteRef/>
      </w:r>
      <w:r w:rsidRPr="00734B51">
        <w:rPr>
          <w:noProof/>
          <w:sz w:val="18"/>
          <w:szCs w:val="18"/>
        </w:rPr>
        <w:t xml:space="preserve"> </w:t>
      </w:r>
      <w:r w:rsidR="00F41BF2">
        <w:rPr>
          <w:noProof/>
          <w:sz w:val="18"/>
          <w:szCs w:val="18"/>
        </w:rPr>
        <w:tab/>
      </w:r>
      <w:r w:rsidRPr="00F41BF2">
        <w:rPr>
          <w:noProof/>
          <w:szCs w:val="22"/>
        </w:rPr>
        <w:t>Bank of Liberia was represented by Ms. Erica R. Williams.</w:t>
      </w:r>
    </w:p>
  </w:footnote>
  <w:footnote w:id="9">
    <w:p w14:paraId="419F51C7" w14:textId="0A3B87BB" w:rsidR="009E1059" w:rsidRPr="00F41BF2" w:rsidRDefault="009E1059" w:rsidP="00F41BF2">
      <w:pPr>
        <w:pStyle w:val="FootnoteText"/>
        <w:rPr>
          <w:szCs w:val="22"/>
        </w:rPr>
      </w:pPr>
      <w:r w:rsidRPr="00F41BF2">
        <w:rPr>
          <w:rStyle w:val="FootnoteReference"/>
        </w:rPr>
        <w:footnoteRef/>
      </w:r>
      <w:r w:rsidRPr="00734B51">
        <w:rPr>
          <w:noProof/>
          <w:sz w:val="18"/>
          <w:szCs w:val="18"/>
        </w:rPr>
        <w:t xml:space="preserve"> </w:t>
      </w:r>
      <w:r w:rsidR="00F41BF2">
        <w:rPr>
          <w:noProof/>
          <w:sz w:val="18"/>
          <w:szCs w:val="18"/>
        </w:rPr>
        <w:tab/>
      </w:r>
      <w:r w:rsidRPr="00F41BF2">
        <w:rPr>
          <w:noProof/>
          <w:szCs w:val="22"/>
        </w:rPr>
        <w:t>Nigeria Inter-Bank Settlement System was represented by Mr. Niyi Ajao.</w:t>
      </w:r>
    </w:p>
  </w:footnote>
  <w:footnote w:id="10">
    <w:p w14:paraId="18112306" w14:textId="1C4B07D3" w:rsidR="009E1059" w:rsidRPr="00F41BF2" w:rsidRDefault="009E1059" w:rsidP="00F41BF2">
      <w:pPr>
        <w:pStyle w:val="FootnoteText"/>
        <w:rPr>
          <w:szCs w:val="22"/>
        </w:rPr>
      </w:pPr>
      <w:r w:rsidRPr="00F41BF2">
        <w:rPr>
          <w:rStyle w:val="FootnoteReference"/>
        </w:rPr>
        <w:footnoteRef/>
      </w:r>
      <w:r w:rsidRPr="00734B51">
        <w:rPr>
          <w:caps/>
          <w:noProof/>
          <w:sz w:val="18"/>
          <w:szCs w:val="18"/>
          <w:vertAlign w:val="superscript"/>
        </w:rPr>
        <w:t xml:space="preserve"> </w:t>
      </w:r>
      <w:r w:rsidR="00F41BF2">
        <w:rPr>
          <w:caps/>
          <w:noProof/>
          <w:sz w:val="18"/>
          <w:szCs w:val="18"/>
          <w:vertAlign w:val="superscript"/>
        </w:rPr>
        <w:tab/>
      </w:r>
      <w:r w:rsidRPr="00F41BF2">
        <w:rPr>
          <w:noProof/>
          <w:szCs w:val="22"/>
        </w:rPr>
        <w:t>Bangko Sentral ng Pilipinas was represented by Mr. German S. Constantino Jr.</w:t>
      </w:r>
    </w:p>
  </w:footnote>
  <w:footnote w:id="11">
    <w:p w14:paraId="64796DF3" w14:textId="5A0F22FB" w:rsidR="009E1059" w:rsidRPr="00160212" w:rsidRDefault="009E1059" w:rsidP="00160212">
      <w:pPr>
        <w:pStyle w:val="FootnoteText"/>
        <w:rPr>
          <w:szCs w:val="22"/>
        </w:rPr>
      </w:pPr>
      <w:r w:rsidRPr="00160212">
        <w:rPr>
          <w:rStyle w:val="FootnoteReference"/>
        </w:rPr>
        <w:footnoteRef/>
      </w:r>
      <w:r w:rsidRPr="00734B51">
        <w:rPr>
          <w:noProof/>
          <w:sz w:val="18"/>
          <w:szCs w:val="18"/>
        </w:rPr>
        <w:t xml:space="preserve"> </w:t>
      </w:r>
      <w:r w:rsidR="00160212">
        <w:rPr>
          <w:noProof/>
          <w:sz w:val="18"/>
          <w:szCs w:val="18"/>
        </w:rPr>
        <w:tab/>
      </w:r>
      <w:r w:rsidRPr="00160212">
        <w:rPr>
          <w:noProof/>
          <w:szCs w:val="22"/>
        </w:rPr>
        <w:t>Bank of Uganda was represented by Mr. Ivan Ssettimba.</w:t>
      </w:r>
    </w:p>
  </w:footnote>
  <w:footnote w:id="12">
    <w:p w14:paraId="217BFC24" w14:textId="5753CB49" w:rsidR="009E1059" w:rsidRPr="00160212" w:rsidRDefault="009E1059" w:rsidP="00160212">
      <w:pPr>
        <w:pStyle w:val="FootnoteText"/>
        <w:rPr>
          <w:szCs w:val="22"/>
        </w:rPr>
      </w:pPr>
      <w:r w:rsidRPr="00160212">
        <w:rPr>
          <w:rStyle w:val="FootnoteReference"/>
        </w:rPr>
        <w:footnoteRef/>
      </w:r>
      <w:r w:rsidRPr="00160212">
        <w:rPr>
          <w:rStyle w:val="FootnoteReference"/>
        </w:rPr>
        <w:t xml:space="preserve"> </w:t>
      </w:r>
      <w:r w:rsidR="00160212">
        <w:rPr>
          <w:caps/>
          <w:noProof/>
          <w:sz w:val="16"/>
          <w:szCs w:val="16"/>
        </w:rPr>
        <w:tab/>
      </w:r>
      <w:r w:rsidRPr="00160212">
        <w:rPr>
          <w:noProof/>
          <w:szCs w:val="22"/>
        </w:rPr>
        <w:t>See Bossone (2016) for a discussion on interoperability and the oversight of payment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14AF" w14:textId="59FA1DF7" w:rsidR="009E1059" w:rsidRDefault="0068188C" w:rsidP="0068188C">
    <w:pPr>
      <w:pStyle w:val="Header"/>
    </w:pPr>
    <w:r>
      <w:rPr>
        <w:noProof/>
        <w:sz w:val="20"/>
        <w:lang w:eastAsia="en-GB"/>
      </w:rPr>
      <w:drawing>
        <wp:anchor distT="0" distB="0" distL="114300" distR="114300" simplePos="0" relativeHeight="251659264" behindDoc="0" locked="0" layoutInCell="0" allowOverlap="1" wp14:anchorId="6B5C6A8A" wp14:editId="557635E8">
          <wp:simplePos x="0" y="0"/>
          <wp:positionH relativeFrom="column">
            <wp:posOffset>-863194</wp:posOffset>
          </wp:positionH>
          <wp:positionV relativeFrom="paragraph">
            <wp:posOffset>-460858</wp:posOffset>
          </wp:positionV>
          <wp:extent cx="1569600" cy="10771200"/>
          <wp:effectExtent l="0" t="0" r="0" b="0"/>
          <wp:wrapNone/>
          <wp:docPr id="23" name="Picture 2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 cstate="print"/>
                  <a:srcRect/>
                  <a:stretch>
                    <a:fillRect/>
                  </a:stretch>
                </pic:blipFill>
                <pic:spPr bwMode="auto">
                  <a:xfrm>
                    <a:off x="0" y="0"/>
                    <a:ext cx="1569600" cy="1077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62AA2"/>
    <w:multiLevelType w:val="hybridMultilevel"/>
    <w:tmpl w:val="86AAAC12"/>
    <w:lvl w:ilvl="0" w:tplc="E0EC4A5E">
      <w:start w:val="1"/>
      <w:numFmt w:val="bullet"/>
      <w:lvlText w:val=""/>
      <w:lvlJc w:val="left"/>
      <w:pPr>
        <w:tabs>
          <w:tab w:val="num" w:pos="720"/>
        </w:tabs>
        <w:ind w:left="720" w:hanging="360"/>
      </w:pPr>
      <w:rPr>
        <w:rFonts w:ascii="Wingdings" w:hAnsi="Wingdings" w:hint="default"/>
      </w:rPr>
    </w:lvl>
    <w:lvl w:ilvl="1" w:tplc="4D88CCC0" w:tentative="1">
      <w:start w:val="1"/>
      <w:numFmt w:val="bullet"/>
      <w:lvlText w:val=""/>
      <w:lvlJc w:val="left"/>
      <w:pPr>
        <w:tabs>
          <w:tab w:val="num" w:pos="1440"/>
        </w:tabs>
        <w:ind w:left="1440" w:hanging="360"/>
      </w:pPr>
      <w:rPr>
        <w:rFonts w:ascii="Wingdings" w:hAnsi="Wingdings" w:hint="default"/>
      </w:rPr>
    </w:lvl>
    <w:lvl w:ilvl="2" w:tplc="5AC6E712" w:tentative="1">
      <w:start w:val="1"/>
      <w:numFmt w:val="bullet"/>
      <w:lvlText w:val=""/>
      <w:lvlJc w:val="left"/>
      <w:pPr>
        <w:tabs>
          <w:tab w:val="num" w:pos="2160"/>
        </w:tabs>
        <w:ind w:left="2160" w:hanging="360"/>
      </w:pPr>
      <w:rPr>
        <w:rFonts w:ascii="Wingdings" w:hAnsi="Wingdings" w:hint="default"/>
      </w:rPr>
    </w:lvl>
    <w:lvl w:ilvl="3" w:tplc="297AAC80" w:tentative="1">
      <w:start w:val="1"/>
      <w:numFmt w:val="bullet"/>
      <w:lvlText w:val=""/>
      <w:lvlJc w:val="left"/>
      <w:pPr>
        <w:tabs>
          <w:tab w:val="num" w:pos="2880"/>
        </w:tabs>
        <w:ind w:left="2880" w:hanging="360"/>
      </w:pPr>
      <w:rPr>
        <w:rFonts w:ascii="Wingdings" w:hAnsi="Wingdings" w:hint="default"/>
      </w:rPr>
    </w:lvl>
    <w:lvl w:ilvl="4" w:tplc="5080A558" w:tentative="1">
      <w:start w:val="1"/>
      <w:numFmt w:val="bullet"/>
      <w:lvlText w:val=""/>
      <w:lvlJc w:val="left"/>
      <w:pPr>
        <w:tabs>
          <w:tab w:val="num" w:pos="3600"/>
        </w:tabs>
        <w:ind w:left="3600" w:hanging="360"/>
      </w:pPr>
      <w:rPr>
        <w:rFonts w:ascii="Wingdings" w:hAnsi="Wingdings" w:hint="default"/>
      </w:rPr>
    </w:lvl>
    <w:lvl w:ilvl="5" w:tplc="B3ECFDBC" w:tentative="1">
      <w:start w:val="1"/>
      <w:numFmt w:val="bullet"/>
      <w:lvlText w:val=""/>
      <w:lvlJc w:val="left"/>
      <w:pPr>
        <w:tabs>
          <w:tab w:val="num" w:pos="4320"/>
        </w:tabs>
        <w:ind w:left="4320" w:hanging="360"/>
      </w:pPr>
      <w:rPr>
        <w:rFonts w:ascii="Wingdings" w:hAnsi="Wingdings" w:hint="default"/>
      </w:rPr>
    </w:lvl>
    <w:lvl w:ilvl="6" w:tplc="D626FB94" w:tentative="1">
      <w:start w:val="1"/>
      <w:numFmt w:val="bullet"/>
      <w:lvlText w:val=""/>
      <w:lvlJc w:val="left"/>
      <w:pPr>
        <w:tabs>
          <w:tab w:val="num" w:pos="5040"/>
        </w:tabs>
        <w:ind w:left="5040" w:hanging="360"/>
      </w:pPr>
      <w:rPr>
        <w:rFonts w:ascii="Wingdings" w:hAnsi="Wingdings" w:hint="default"/>
      </w:rPr>
    </w:lvl>
    <w:lvl w:ilvl="7" w:tplc="103E9F7E" w:tentative="1">
      <w:start w:val="1"/>
      <w:numFmt w:val="bullet"/>
      <w:lvlText w:val=""/>
      <w:lvlJc w:val="left"/>
      <w:pPr>
        <w:tabs>
          <w:tab w:val="num" w:pos="5760"/>
        </w:tabs>
        <w:ind w:left="5760" w:hanging="360"/>
      </w:pPr>
      <w:rPr>
        <w:rFonts w:ascii="Wingdings" w:hAnsi="Wingdings" w:hint="default"/>
      </w:rPr>
    </w:lvl>
    <w:lvl w:ilvl="8" w:tplc="2CAAC6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4D71"/>
    <w:multiLevelType w:val="hybridMultilevel"/>
    <w:tmpl w:val="63E6DAEA"/>
    <w:lvl w:ilvl="0" w:tplc="01B25CC0">
      <w:start w:val="1"/>
      <w:numFmt w:val="bullet"/>
      <w:lvlText w:val="•"/>
      <w:lvlJc w:val="left"/>
      <w:pPr>
        <w:tabs>
          <w:tab w:val="num" w:pos="720"/>
        </w:tabs>
        <w:ind w:left="720" w:hanging="360"/>
      </w:pPr>
      <w:rPr>
        <w:rFonts w:ascii="Times" w:hAnsi="Times" w:hint="default"/>
      </w:rPr>
    </w:lvl>
    <w:lvl w:ilvl="1" w:tplc="856283DE" w:tentative="1">
      <w:start w:val="1"/>
      <w:numFmt w:val="bullet"/>
      <w:lvlText w:val="•"/>
      <w:lvlJc w:val="left"/>
      <w:pPr>
        <w:tabs>
          <w:tab w:val="num" w:pos="1440"/>
        </w:tabs>
        <w:ind w:left="1440" w:hanging="360"/>
      </w:pPr>
      <w:rPr>
        <w:rFonts w:ascii="Times" w:hAnsi="Times" w:hint="default"/>
      </w:rPr>
    </w:lvl>
    <w:lvl w:ilvl="2" w:tplc="4DF07FB8" w:tentative="1">
      <w:start w:val="1"/>
      <w:numFmt w:val="bullet"/>
      <w:lvlText w:val="•"/>
      <w:lvlJc w:val="left"/>
      <w:pPr>
        <w:tabs>
          <w:tab w:val="num" w:pos="2160"/>
        </w:tabs>
        <w:ind w:left="2160" w:hanging="360"/>
      </w:pPr>
      <w:rPr>
        <w:rFonts w:ascii="Times" w:hAnsi="Times" w:hint="default"/>
      </w:rPr>
    </w:lvl>
    <w:lvl w:ilvl="3" w:tplc="319CB66A" w:tentative="1">
      <w:start w:val="1"/>
      <w:numFmt w:val="bullet"/>
      <w:lvlText w:val="•"/>
      <w:lvlJc w:val="left"/>
      <w:pPr>
        <w:tabs>
          <w:tab w:val="num" w:pos="2880"/>
        </w:tabs>
        <w:ind w:left="2880" w:hanging="360"/>
      </w:pPr>
      <w:rPr>
        <w:rFonts w:ascii="Times" w:hAnsi="Times" w:hint="default"/>
      </w:rPr>
    </w:lvl>
    <w:lvl w:ilvl="4" w:tplc="9104DC7E" w:tentative="1">
      <w:start w:val="1"/>
      <w:numFmt w:val="bullet"/>
      <w:lvlText w:val="•"/>
      <w:lvlJc w:val="left"/>
      <w:pPr>
        <w:tabs>
          <w:tab w:val="num" w:pos="3600"/>
        </w:tabs>
        <w:ind w:left="3600" w:hanging="360"/>
      </w:pPr>
      <w:rPr>
        <w:rFonts w:ascii="Times" w:hAnsi="Times" w:hint="default"/>
      </w:rPr>
    </w:lvl>
    <w:lvl w:ilvl="5" w:tplc="592C4742" w:tentative="1">
      <w:start w:val="1"/>
      <w:numFmt w:val="bullet"/>
      <w:lvlText w:val="•"/>
      <w:lvlJc w:val="left"/>
      <w:pPr>
        <w:tabs>
          <w:tab w:val="num" w:pos="4320"/>
        </w:tabs>
        <w:ind w:left="4320" w:hanging="360"/>
      </w:pPr>
      <w:rPr>
        <w:rFonts w:ascii="Times" w:hAnsi="Times" w:hint="default"/>
      </w:rPr>
    </w:lvl>
    <w:lvl w:ilvl="6" w:tplc="3264AA50" w:tentative="1">
      <w:start w:val="1"/>
      <w:numFmt w:val="bullet"/>
      <w:lvlText w:val="•"/>
      <w:lvlJc w:val="left"/>
      <w:pPr>
        <w:tabs>
          <w:tab w:val="num" w:pos="5040"/>
        </w:tabs>
        <w:ind w:left="5040" w:hanging="360"/>
      </w:pPr>
      <w:rPr>
        <w:rFonts w:ascii="Times" w:hAnsi="Times" w:hint="default"/>
      </w:rPr>
    </w:lvl>
    <w:lvl w:ilvl="7" w:tplc="6B029C7A" w:tentative="1">
      <w:start w:val="1"/>
      <w:numFmt w:val="bullet"/>
      <w:lvlText w:val="•"/>
      <w:lvlJc w:val="left"/>
      <w:pPr>
        <w:tabs>
          <w:tab w:val="num" w:pos="5760"/>
        </w:tabs>
        <w:ind w:left="5760" w:hanging="360"/>
      </w:pPr>
      <w:rPr>
        <w:rFonts w:ascii="Times" w:hAnsi="Times" w:hint="default"/>
      </w:rPr>
    </w:lvl>
    <w:lvl w:ilvl="8" w:tplc="8AB4BCE4"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E4D4308"/>
    <w:multiLevelType w:val="hybridMultilevel"/>
    <w:tmpl w:val="ECDC6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6F62EC"/>
    <w:multiLevelType w:val="hybridMultilevel"/>
    <w:tmpl w:val="7C38E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1101E2"/>
    <w:multiLevelType w:val="hybridMultilevel"/>
    <w:tmpl w:val="F122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E1F99"/>
    <w:multiLevelType w:val="hybridMultilevel"/>
    <w:tmpl w:val="BD8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2A74C5"/>
    <w:multiLevelType w:val="hybridMultilevel"/>
    <w:tmpl w:val="080C2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B0545"/>
    <w:multiLevelType w:val="hybridMultilevel"/>
    <w:tmpl w:val="50B6EABE"/>
    <w:lvl w:ilvl="0" w:tplc="A2D2F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7502E6"/>
    <w:multiLevelType w:val="hybridMultilevel"/>
    <w:tmpl w:val="E9143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6DCD"/>
    <w:multiLevelType w:val="hybridMultilevel"/>
    <w:tmpl w:val="64F6C9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7539A"/>
    <w:multiLevelType w:val="hybridMultilevel"/>
    <w:tmpl w:val="907EA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12C91"/>
    <w:multiLevelType w:val="hybridMultilevel"/>
    <w:tmpl w:val="4CE0BC10"/>
    <w:lvl w:ilvl="0" w:tplc="436C086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92AB3"/>
    <w:multiLevelType w:val="hybridMultilevel"/>
    <w:tmpl w:val="A6D4993A"/>
    <w:lvl w:ilvl="0" w:tplc="2E306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1703E6"/>
    <w:multiLevelType w:val="hybridMultilevel"/>
    <w:tmpl w:val="599E5F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44081"/>
    <w:multiLevelType w:val="hybridMultilevel"/>
    <w:tmpl w:val="DC66E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A044B"/>
    <w:multiLevelType w:val="hybridMultilevel"/>
    <w:tmpl w:val="29F2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B6008"/>
    <w:multiLevelType w:val="hybridMultilevel"/>
    <w:tmpl w:val="403CABEA"/>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pStyle w:val="Bullethyphen"/>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CD641D"/>
    <w:multiLevelType w:val="hybridMultilevel"/>
    <w:tmpl w:val="0AE679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3D308E"/>
    <w:multiLevelType w:val="hybridMultilevel"/>
    <w:tmpl w:val="A340738A"/>
    <w:lvl w:ilvl="0" w:tplc="EB8E2D4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A44E35"/>
    <w:multiLevelType w:val="hybridMultilevel"/>
    <w:tmpl w:val="8C9A95F6"/>
    <w:lvl w:ilvl="0" w:tplc="DDCC730C">
      <w:start w:val="1"/>
      <w:numFmt w:val="decimal"/>
      <w:pStyle w:val="ParagraphNumbering"/>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37C59"/>
    <w:multiLevelType w:val="hybridMultilevel"/>
    <w:tmpl w:val="508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782120C"/>
    <w:multiLevelType w:val="hybridMultilevel"/>
    <w:tmpl w:val="810876BE"/>
    <w:lvl w:ilvl="0" w:tplc="31BA3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4A420D"/>
    <w:multiLevelType w:val="hybridMultilevel"/>
    <w:tmpl w:val="4420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4"/>
  </w:num>
  <w:num w:numId="4">
    <w:abstractNumId w:val="13"/>
  </w:num>
  <w:num w:numId="5">
    <w:abstractNumId w:val="20"/>
  </w:num>
  <w:num w:numId="6">
    <w:abstractNumId w:val="23"/>
  </w:num>
  <w:num w:numId="7">
    <w:abstractNumId w:val="4"/>
  </w:num>
  <w:num w:numId="8">
    <w:abstractNumId w:val="7"/>
  </w:num>
  <w:num w:numId="9">
    <w:abstractNumId w:val="19"/>
  </w:num>
  <w:num w:numId="10">
    <w:abstractNumId w:val="6"/>
  </w:num>
  <w:num w:numId="11">
    <w:abstractNumId w:val="28"/>
  </w:num>
  <w:num w:numId="12">
    <w:abstractNumId w:val="18"/>
  </w:num>
  <w:num w:numId="13">
    <w:abstractNumId w:val="9"/>
  </w:num>
  <w:num w:numId="14">
    <w:abstractNumId w:val="16"/>
  </w:num>
  <w:num w:numId="15">
    <w:abstractNumId w:val="11"/>
  </w:num>
  <w:num w:numId="16">
    <w:abstractNumId w:val="0"/>
  </w:num>
  <w:num w:numId="17">
    <w:abstractNumId w:val="1"/>
  </w:num>
  <w:num w:numId="18">
    <w:abstractNumId w:val="5"/>
  </w:num>
  <w:num w:numId="19">
    <w:abstractNumId w:val="17"/>
  </w:num>
  <w:num w:numId="20">
    <w:abstractNumId w:val="14"/>
  </w:num>
  <w:num w:numId="21">
    <w:abstractNumId w:val="12"/>
  </w:num>
  <w:num w:numId="22">
    <w:abstractNumId w:val="3"/>
  </w:num>
  <w:num w:numId="23">
    <w:abstractNumId w:val="15"/>
  </w:num>
  <w:num w:numId="24">
    <w:abstractNumId w:val="21"/>
  </w:num>
  <w:num w:numId="25">
    <w:abstractNumId w:val="10"/>
  </w:num>
  <w:num w:numId="26">
    <w:abstractNumId w:val="25"/>
  </w:num>
  <w:num w:numId="27">
    <w:abstractNumId w:val="26"/>
  </w:num>
  <w:num w:numId="28">
    <w:abstractNumId w:val="22"/>
  </w:num>
  <w:num w:numId="29">
    <w:abstractNumId w:val="2"/>
  </w:num>
  <w:num w:numId="30">
    <w:abstractNumId w:val="27"/>
  </w:num>
  <w:num w:numId="3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CB"/>
    <w:rsid w:val="00003CAA"/>
    <w:rsid w:val="00004356"/>
    <w:rsid w:val="00004A38"/>
    <w:rsid w:val="00006FD8"/>
    <w:rsid w:val="00010919"/>
    <w:rsid w:val="0001560A"/>
    <w:rsid w:val="00031B1C"/>
    <w:rsid w:val="0003282B"/>
    <w:rsid w:val="00036DC0"/>
    <w:rsid w:val="0003778B"/>
    <w:rsid w:val="00040284"/>
    <w:rsid w:val="00041CEE"/>
    <w:rsid w:val="000500BD"/>
    <w:rsid w:val="00053924"/>
    <w:rsid w:val="0005542E"/>
    <w:rsid w:val="000560A6"/>
    <w:rsid w:val="00056B2D"/>
    <w:rsid w:val="0006229E"/>
    <w:rsid w:val="000630B1"/>
    <w:rsid w:val="00067382"/>
    <w:rsid w:val="000722F4"/>
    <w:rsid w:val="0007461B"/>
    <w:rsid w:val="00076BF6"/>
    <w:rsid w:val="0007777A"/>
    <w:rsid w:val="000817C2"/>
    <w:rsid w:val="00082AFB"/>
    <w:rsid w:val="00084A4C"/>
    <w:rsid w:val="00087100"/>
    <w:rsid w:val="000943CC"/>
    <w:rsid w:val="000951B6"/>
    <w:rsid w:val="000A3E15"/>
    <w:rsid w:val="000A6852"/>
    <w:rsid w:val="000A7F90"/>
    <w:rsid w:val="000B0310"/>
    <w:rsid w:val="000B1907"/>
    <w:rsid w:val="000B48B5"/>
    <w:rsid w:val="000B7CCF"/>
    <w:rsid w:val="000C505F"/>
    <w:rsid w:val="000C6B82"/>
    <w:rsid w:val="000C6CB2"/>
    <w:rsid w:val="000C7653"/>
    <w:rsid w:val="000D3A0A"/>
    <w:rsid w:val="000D5D42"/>
    <w:rsid w:val="000E16ED"/>
    <w:rsid w:val="000E17B9"/>
    <w:rsid w:val="000E73D0"/>
    <w:rsid w:val="000F1C1D"/>
    <w:rsid w:val="000F51DC"/>
    <w:rsid w:val="000F64A3"/>
    <w:rsid w:val="000F76A7"/>
    <w:rsid w:val="001010EC"/>
    <w:rsid w:val="00101683"/>
    <w:rsid w:val="00113841"/>
    <w:rsid w:val="00114DEB"/>
    <w:rsid w:val="00115BBE"/>
    <w:rsid w:val="00116A34"/>
    <w:rsid w:val="0012326A"/>
    <w:rsid w:val="0012413B"/>
    <w:rsid w:val="00127CDE"/>
    <w:rsid w:val="00133E4A"/>
    <w:rsid w:val="001352B6"/>
    <w:rsid w:val="0013762D"/>
    <w:rsid w:val="00143DDF"/>
    <w:rsid w:val="00146A98"/>
    <w:rsid w:val="00152C27"/>
    <w:rsid w:val="00160212"/>
    <w:rsid w:val="00163239"/>
    <w:rsid w:val="001666BB"/>
    <w:rsid w:val="00166A9A"/>
    <w:rsid w:val="00170562"/>
    <w:rsid w:val="0017146C"/>
    <w:rsid w:val="0017515B"/>
    <w:rsid w:val="001814A7"/>
    <w:rsid w:val="00182C33"/>
    <w:rsid w:val="00183165"/>
    <w:rsid w:val="001866DC"/>
    <w:rsid w:val="00190A2B"/>
    <w:rsid w:val="00194D55"/>
    <w:rsid w:val="001A0276"/>
    <w:rsid w:val="001B4A81"/>
    <w:rsid w:val="001B6B75"/>
    <w:rsid w:val="001B7B80"/>
    <w:rsid w:val="001C1902"/>
    <w:rsid w:val="001C6BCB"/>
    <w:rsid w:val="001D2601"/>
    <w:rsid w:val="001D5BBE"/>
    <w:rsid w:val="001E019C"/>
    <w:rsid w:val="001E0564"/>
    <w:rsid w:val="001E0A1C"/>
    <w:rsid w:val="001E62D7"/>
    <w:rsid w:val="001F009E"/>
    <w:rsid w:val="00201D9D"/>
    <w:rsid w:val="00202EF8"/>
    <w:rsid w:val="00210FBF"/>
    <w:rsid w:val="002120C3"/>
    <w:rsid w:val="00212930"/>
    <w:rsid w:val="00214B7B"/>
    <w:rsid w:val="00216074"/>
    <w:rsid w:val="00216E31"/>
    <w:rsid w:val="00221107"/>
    <w:rsid w:val="002213B2"/>
    <w:rsid w:val="00223588"/>
    <w:rsid w:val="00223A12"/>
    <w:rsid w:val="002240A7"/>
    <w:rsid w:val="0022665D"/>
    <w:rsid w:val="00232E2F"/>
    <w:rsid w:val="00236B51"/>
    <w:rsid w:val="002378FD"/>
    <w:rsid w:val="00240B46"/>
    <w:rsid w:val="0024270B"/>
    <w:rsid w:val="002506D1"/>
    <w:rsid w:val="00254062"/>
    <w:rsid w:val="00263541"/>
    <w:rsid w:val="00270E3F"/>
    <w:rsid w:val="00273309"/>
    <w:rsid w:val="00275B01"/>
    <w:rsid w:val="00275FBB"/>
    <w:rsid w:val="002856FA"/>
    <w:rsid w:val="00291042"/>
    <w:rsid w:val="0029185B"/>
    <w:rsid w:val="002943C4"/>
    <w:rsid w:val="00296BCA"/>
    <w:rsid w:val="00296E87"/>
    <w:rsid w:val="002971CA"/>
    <w:rsid w:val="00297C16"/>
    <w:rsid w:val="002A06D6"/>
    <w:rsid w:val="002A0B4F"/>
    <w:rsid w:val="002A0D1E"/>
    <w:rsid w:val="002A1D7B"/>
    <w:rsid w:val="002A45A6"/>
    <w:rsid w:val="002B0E11"/>
    <w:rsid w:val="002C1A6F"/>
    <w:rsid w:val="002C2234"/>
    <w:rsid w:val="002C3A93"/>
    <w:rsid w:val="002C67BB"/>
    <w:rsid w:val="002D0DAB"/>
    <w:rsid w:val="002D41EB"/>
    <w:rsid w:val="002F640C"/>
    <w:rsid w:val="00301EA3"/>
    <w:rsid w:val="0030222D"/>
    <w:rsid w:val="003035B3"/>
    <w:rsid w:val="00305B5B"/>
    <w:rsid w:val="00305FC3"/>
    <w:rsid w:val="003065C4"/>
    <w:rsid w:val="003066B8"/>
    <w:rsid w:val="003076FB"/>
    <w:rsid w:val="00320C88"/>
    <w:rsid w:val="003233ED"/>
    <w:rsid w:val="00323F82"/>
    <w:rsid w:val="0032595E"/>
    <w:rsid w:val="00325CD9"/>
    <w:rsid w:val="00327667"/>
    <w:rsid w:val="00345ED6"/>
    <w:rsid w:val="00346CF1"/>
    <w:rsid w:val="003506DD"/>
    <w:rsid w:val="003523FC"/>
    <w:rsid w:val="003543A2"/>
    <w:rsid w:val="00355736"/>
    <w:rsid w:val="003560F7"/>
    <w:rsid w:val="003561D6"/>
    <w:rsid w:val="00356AA7"/>
    <w:rsid w:val="00356E19"/>
    <w:rsid w:val="003859FC"/>
    <w:rsid w:val="00386E32"/>
    <w:rsid w:val="00387CCF"/>
    <w:rsid w:val="0039348B"/>
    <w:rsid w:val="00397389"/>
    <w:rsid w:val="003A0B78"/>
    <w:rsid w:val="003A4716"/>
    <w:rsid w:val="003B1A17"/>
    <w:rsid w:val="003B1EFC"/>
    <w:rsid w:val="003B5C40"/>
    <w:rsid w:val="003B5C52"/>
    <w:rsid w:val="003B61FA"/>
    <w:rsid w:val="003B6732"/>
    <w:rsid w:val="003C0960"/>
    <w:rsid w:val="003D08E4"/>
    <w:rsid w:val="003D376F"/>
    <w:rsid w:val="003D3FB7"/>
    <w:rsid w:val="003D6ABF"/>
    <w:rsid w:val="003E1AD3"/>
    <w:rsid w:val="003E1CC9"/>
    <w:rsid w:val="003E206F"/>
    <w:rsid w:val="003E2131"/>
    <w:rsid w:val="003E4AF9"/>
    <w:rsid w:val="003F03EC"/>
    <w:rsid w:val="003F69AA"/>
    <w:rsid w:val="0040365C"/>
    <w:rsid w:val="0040627C"/>
    <w:rsid w:val="004076C3"/>
    <w:rsid w:val="00407FC5"/>
    <w:rsid w:val="00412492"/>
    <w:rsid w:val="00412EC7"/>
    <w:rsid w:val="00413CA1"/>
    <w:rsid w:val="00414EFE"/>
    <w:rsid w:val="00415AA9"/>
    <w:rsid w:val="00431B50"/>
    <w:rsid w:val="00433915"/>
    <w:rsid w:val="0044216D"/>
    <w:rsid w:val="00444944"/>
    <w:rsid w:val="004474AD"/>
    <w:rsid w:val="00452236"/>
    <w:rsid w:val="00452460"/>
    <w:rsid w:val="00455E65"/>
    <w:rsid w:val="00456EF6"/>
    <w:rsid w:val="004579C6"/>
    <w:rsid w:val="00463FB1"/>
    <w:rsid w:val="00467172"/>
    <w:rsid w:val="00467B14"/>
    <w:rsid w:val="004713FA"/>
    <w:rsid w:val="00472795"/>
    <w:rsid w:val="004739A6"/>
    <w:rsid w:val="004847B6"/>
    <w:rsid w:val="004875F8"/>
    <w:rsid w:val="0048770B"/>
    <w:rsid w:val="00492BA3"/>
    <w:rsid w:val="004938E3"/>
    <w:rsid w:val="00495B26"/>
    <w:rsid w:val="004A33B3"/>
    <w:rsid w:val="004A3787"/>
    <w:rsid w:val="004B03B0"/>
    <w:rsid w:val="004B22AB"/>
    <w:rsid w:val="004B2553"/>
    <w:rsid w:val="004B39E2"/>
    <w:rsid w:val="004C062A"/>
    <w:rsid w:val="004C46CD"/>
    <w:rsid w:val="004C475B"/>
    <w:rsid w:val="004C5F3E"/>
    <w:rsid w:val="004C6CA1"/>
    <w:rsid w:val="004C73BE"/>
    <w:rsid w:val="004E07EB"/>
    <w:rsid w:val="004E57B9"/>
    <w:rsid w:val="004F05E9"/>
    <w:rsid w:val="004F43A6"/>
    <w:rsid w:val="004F500E"/>
    <w:rsid w:val="004F6D49"/>
    <w:rsid w:val="00501210"/>
    <w:rsid w:val="00501B49"/>
    <w:rsid w:val="00501EB0"/>
    <w:rsid w:val="00512B26"/>
    <w:rsid w:val="00515905"/>
    <w:rsid w:val="0052678B"/>
    <w:rsid w:val="005300E5"/>
    <w:rsid w:val="005337B6"/>
    <w:rsid w:val="005377BB"/>
    <w:rsid w:val="005415F4"/>
    <w:rsid w:val="005422A7"/>
    <w:rsid w:val="005440B4"/>
    <w:rsid w:val="005617D4"/>
    <w:rsid w:val="0057431B"/>
    <w:rsid w:val="00574BAA"/>
    <w:rsid w:val="00574F3A"/>
    <w:rsid w:val="00584C8F"/>
    <w:rsid w:val="0059038E"/>
    <w:rsid w:val="00590591"/>
    <w:rsid w:val="005972C6"/>
    <w:rsid w:val="005A0388"/>
    <w:rsid w:val="005A4AA4"/>
    <w:rsid w:val="005A4F4B"/>
    <w:rsid w:val="005B5731"/>
    <w:rsid w:val="005B5B90"/>
    <w:rsid w:val="005C005A"/>
    <w:rsid w:val="005C1229"/>
    <w:rsid w:val="005C2C33"/>
    <w:rsid w:val="005C6C8F"/>
    <w:rsid w:val="005C712C"/>
    <w:rsid w:val="005D158D"/>
    <w:rsid w:val="005F4765"/>
    <w:rsid w:val="00600FD7"/>
    <w:rsid w:val="00601438"/>
    <w:rsid w:val="00601FE4"/>
    <w:rsid w:val="006023CE"/>
    <w:rsid w:val="0060241A"/>
    <w:rsid w:val="00604A6A"/>
    <w:rsid w:val="00612C19"/>
    <w:rsid w:val="00612E7C"/>
    <w:rsid w:val="00614441"/>
    <w:rsid w:val="00623497"/>
    <w:rsid w:val="00623C06"/>
    <w:rsid w:val="006242B9"/>
    <w:rsid w:val="00633928"/>
    <w:rsid w:val="00637532"/>
    <w:rsid w:val="00642711"/>
    <w:rsid w:val="006434F4"/>
    <w:rsid w:val="0064792C"/>
    <w:rsid w:val="00650761"/>
    <w:rsid w:val="0065099C"/>
    <w:rsid w:val="00650F44"/>
    <w:rsid w:val="00656C91"/>
    <w:rsid w:val="00661FFD"/>
    <w:rsid w:val="00663FB9"/>
    <w:rsid w:val="0066435A"/>
    <w:rsid w:val="00665E46"/>
    <w:rsid w:val="00671522"/>
    <w:rsid w:val="0067256C"/>
    <w:rsid w:val="006727AE"/>
    <w:rsid w:val="006752BB"/>
    <w:rsid w:val="00675621"/>
    <w:rsid w:val="0068188C"/>
    <w:rsid w:val="00681C0A"/>
    <w:rsid w:val="006935CA"/>
    <w:rsid w:val="00695050"/>
    <w:rsid w:val="006A617F"/>
    <w:rsid w:val="006A75A6"/>
    <w:rsid w:val="006A798F"/>
    <w:rsid w:val="006B006E"/>
    <w:rsid w:val="006B1F75"/>
    <w:rsid w:val="006B1FA2"/>
    <w:rsid w:val="006B311D"/>
    <w:rsid w:val="006B6F2B"/>
    <w:rsid w:val="006B7CE6"/>
    <w:rsid w:val="006C0201"/>
    <w:rsid w:val="006C5A70"/>
    <w:rsid w:val="006D1408"/>
    <w:rsid w:val="006D2401"/>
    <w:rsid w:val="006D795E"/>
    <w:rsid w:val="006E0505"/>
    <w:rsid w:val="006E504A"/>
    <w:rsid w:val="006F280F"/>
    <w:rsid w:val="006F619E"/>
    <w:rsid w:val="0070015D"/>
    <w:rsid w:val="00703529"/>
    <w:rsid w:val="007068D4"/>
    <w:rsid w:val="00715EB5"/>
    <w:rsid w:val="00725561"/>
    <w:rsid w:val="00734B51"/>
    <w:rsid w:val="0073632F"/>
    <w:rsid w:val="00737170"/>
    <w:rsid w:val="00742F32"/>
    <w:rsid w:val="00755462"/>
    <w:rsid w:val="00762C3A"/>
    <w:rsid w:val="00774972"/>
    <w:rsid w:val="00785779"/>
    <w:rsid w:val="0078796F"/>
    <w:rsid w:val="00790962"/>
    <w:rsid w:val="0079162C"/>
    <w:rsid w:val="00793AAE"/>
    <w:rsid w:val="00794B7F"/>
    <w:rsid w:val="00797729"/>
    <w:rsid w:val="007A4367"/>
    <w:rsid w:val="007A7127"/>
    <w:rsid w:val="007A777F"/>
    <w:rsid w:val="007B69FF"/>
    <w:rsid w:val="007C3001"/>
    <w:rsid w:val="007C41F4"/>
    <w:rsid w:val="007C5183"/>
    <w:rsid w:val="007D3C14"/>
    <w:rsid w:val="007D52AE"/>
    <w:rsid w:val="007D5C8E"/>
    <w:rsid w:val="007D5FF6"/>
    <w:rsid w:val="007E1AC8"/>
    <w:rsid w:val="007E1F9B"/>
    <w:rsid w:val="007E22A7"/>
    <w:rsid w:val="007E282D"/>
    <w:rsid w:val="007E6B3E"/>
    <w:rsid w:val="007F3528"/>
    <w:rsid w:val="007F3A50"/>
    <w:rsid w:val="007F417E"/>
    <w:rsid w:val="007F5F08"/>
    <w:rsid w:val="008032E3"/>
    <w:rsid w:val="00804B0B"/>
    <w:rsid w:val="00806554"/>
    <w:rsid w:val="00813C64"/>
    <w:rsid w:val="00814C37"/>
    <w:rsid w:val="0082141F"/>
    <w:rsid w:val="00825902"/>
    <w:rsid w:val="008260D2"/>
    <w:rsid w:val="0083023F"/>
    <w:rsid w:val="00830BCC"/>
    <w:rsid w:val="00832AC3"/>
    <w:rsid w:val="00833204"/>
    <w:rsid w:val="00833C4C"/>
    <w:rsid w:val="00833F30"/>
    <w:rsid w:val="0084023B"/>
    <w:rsid w:val="00842A5B"/>
    <w:rsid w:val="00844F16"/>
    <w:rsid w:val="008459E4"/>
    <w:rsid w:val="008535D7"/>
    <w:rsid w:val="008608E7"/>
    <w:rsid w:val="00861971"/>
    <w:rsid w:val="00863C05"/>
    <w:rsid w:val="00865419"/>
    <w:rsid w:val="0087484E"/>
    <w:rsid w:val="00882ABF"/>
    <w:rsid w:val="008971A6"/>
    <w:rsid w:val="008A4EC7"/>
    <w:rsid w:val="008A693C"/>
    <w:rsid w:val="008B001E"/>
    <w:rsid w:val="008B791D"/>
    <w:rsid w:val="008C2F1C"/>
    <w:rsid w:val="008C37EF"/>
    <w:rsid w:val="008C650E"/>
    <w:rsid w:val="008D0C4C"/>
    <w:rsid w:val="008D24BE"/>
    <w:rsid w:val="008D2A77"/>
    <w:rsid w:val="008D2ADC"/>
    <w:rsid w:val="008D4AF2"/>
    <w:rsid w:val="008D5364"/>
    <w:rsid w:val="008D5D02"/>
    <w:rsid w:val="008E2F96"/>
    <w:rsid w:val="008E6D55"/>
    <w:rsid w:val="008F2A4E"/>
    <w:rsid w:val="008F5D86"/>
    <w:rsid w:val="009006EC"/>
    <w:rsid w:val="009062EB"/>
    <w:rsid w:val="00907B6B"/>
    <w:rsid w:val="0091004C"/>
    <w:rsid w:val="009103E3"/>
    <w:rsid w:val="00911869"/>
    <w:rsid w:val="0091529C"/>
    <w:rsid w:val="009162BA"/>
    <w:rsid w:val="00916980"/>
    <w:rsid w:val="00916B16"/>
    <w:rsid w:val="00927FC3"/>
    <w:rsid w:val="00930B6F"/>
    <w:rsid w:val="00935590"/>
    <w:rsid w:val="00950C3E"/>
    <w:rsid w:val="0095330F"/>
    <w:rsid w:val="00956C34"/>
    <w:rsid w:val="00960647"/>
    <w:rsid w:val="009615F0"/>
    <w:rsid w:val="00962404"/>
    <w:rsid w:val="00962424"/>
    <w:rsid w:val="00962725"/>
    <w:rsid w:val="009635CB"/>
    <w:rsid w:val="00967BF3"/>
    <w:rsid w:val="00981C2C"/>
    <w:rsid w:val="00983F21"/>
    <w:rsid w:val="00986AE5"/>
    <w:rsid w:val="009919CD"/>
    <w:rsid w:val="00992841"/>
    <w:rsid w:val="009A0D47"/>
    <w:rsid w:val="009A3467"/>
    <w:rsid w:val="009A4898"/>
    <w:rsid w:val="009A4F98"/>
    <w:rsid w:val="009B2331"/>
    <w:rsid w:val="009B3234"/>
    <w:rsid w:val="009C01D1"/>
    <w:rsid w:val="009C0F53"/>
    <w:rsid w:val="009C3976"/>
    <w:rsid w:val="009C4604"/>
    <w:rsid w:val="009C46D8"/>
    <w:rsid w:val="009C7777"/>
    <w:rsid w:val="009D26EB"/>
    <w:rsid w:val="009D43E9"/>
    <w:rsid w:val="009E1059"/>
    <w:rsid w:val="009E5329"/>
    <w:rsid w:val="009E5A78"/>
    <w:rsid w:val="009E5E37"/>
    <w:rsid w:val="009F15DD"/>
    <w:rsid w:val="009F6D1C"/>
    <w:rsid w:val="009F6DB4"/>
    <w:rsid w:val="00A01C5E"/>
    <w:rsid w:val="00A113D0"/>
    <w:rsid w:val="00A12786"/>
    <w:rsid w:val="00A248A2"/>
    <w:rsid w:val="00A257CA"/>
    <w:rsid w:val="00A272C3"/>
    <w:rsid w:val="00A36E26"/>
    <w:rsid w:val="00A378AA"/>
    <w:rsid w:val="00A44C2D"/>
    <w:rsid w:val="00A460AB"/>
    <w:rsid w:val="00A4636C"/>
    <w:rsid w:val="00A52F52"/>
    <w:rsid w:val="00A55E4F"/>
    <w:rsid w:val="00A5717B"/>
    <w:rsid w:val="00A62E86"/>
    <w:rsid w:val="00A72174"/>
    <w:rsid w:val="00A7318B"/>
    <w:rsid w:val="00A7792D"/>
    <w:rsid w:val="00A874B3"/>
    <w:rsid w:val="00A90B48"/>
    <w:rsid w:val="00A925BF"/>
    <w:rsid w:val="00A93B35"/>
    <w:rsid w:val="00A96856"/>
    <w:rsid w:val="00AA3521"/>
    <w:rsid w:val="00AA4884"/>
    <w:rsid w:val="00AB289C"/>
    <w:rsid w:val="00AC31B1"/>
    <w:rsid w:val="00AD082C"/>
    <w:rsid w:val="00AD1BC1"/>
    <w:rsid w:val="00AD4710"/>
    <w:rsid w:val="00AD6900"/>
    <w:rsid w:val="00AE003D"/>
    <w:rsid w:val="00AE11F2"/>
    <w:rsid w:val="00AE19F0"/>
    <w:rsid w:val="00AE6462"/>
    <w:rsid w:val="00AF02D3"/>
    <w:rsid w:val="00AF0764"/>
    <w:rsid w:val="00AF1631"/>
    <w:rsid w:val="00AF3A7B"/>
    <w:rsid w:val="00AF59ED"/>
    <w:rsid w:val="00B06E4F"/>
    <w:rsid w:val="00B074F9"/>
    <w:rsid w:val="00B07C53"/>
    <w:rsid w:val="00B11D68"/>
    <w:rsid w:val="00B13855"/>
    <w:rsid w:val="00B13A0D"/>
    <w:rsid w:val="00B20DA5"/>
    <w:rsid w:val="00B22DA4"/>
    <w:rsid w:val="00B3022E"/>
    <w:rsid w:val="00B32D5A"/>
    <w:rsid w:val="00B32EBD"/>
    <w:rsid w:val="00B33670"/>
    <w:rsid w:val="00B367A1"/>
    <w:rsid w:val="00B409C9"/>
    <w:rsid w:val="00B42735"/>
    <w:rsid w:val="00B42E0A"/>
    <w:rsid w:val="00B440E4"/>
    <w:rsid w:val="00B50B31"/>
    <w:rsid w:val="00B51CCD"/>
    <w:rsid w:val="00B53968"/>
    <w:rsid w:val="00B548F5"/>
    <w:rsid w:val="00B57748"/>
    <w:rsid w:val="00B6296C"/>
    <w:rsid w:val="00B639E4"/>
    <w:rsid w:val="00B6647E"/>
    <w:rsid w:val="00B673CF"/>
    <w:rsid w:val="00B71315"/>
    <w:rsid w:val="00B72680"/>
    <w:rsid w:val="00B847E7"/>
    <w:rsid w:val="00B87323"/>
    <w:rsid w:val="00B90169"/>
    <w:rsid w:val="00B93849"/>
    <w:rsid w:val="00BB314C"/>
    <w:rsid w:val="00BB6266"/>
    <w:rsid w:val="00BB6D9E"/>
    <w:rsid w:val="00BB7441"/>
    <w:rsid w:val="00BC1E2E"/>
    <w:rsid w:val="00BC50F6"/>
    <w:rsid w:val="00BC73C7"/>
    <w:rsid w:val="00BD3731"/>
    <w:rsid w:val="00BD3AE5"/>
    <w:rsid w:val="00BD49DE"/>
    <w:rsid w:val="00BD6371"/>
    <w:rsid w:val="00BE2A6E"/>
    <w:rsid w:val="00BE2F82"/>
    <w:rsid w:val="00BE47DE"/>
    <w:rsid w:val="00BE48FF"/>
    <w:rsid w:val="00BE6D15"/>
    <w:rsid w:val="00BE78FF"/>
    <w:rsid w:val="00BF1BDA"/>
    <w:rsid w:val="00BF6782"/>
    <w:rsid w:val="00C04F62"/>
    <w:rsid w:val="00C06057"/>
    <w:rsid w:val="00C066A8"/>
    <w:rsid w:val="00C1062C"/>
    <w:rsid w:val="00C10F81"/>
    <w:rsid w:val="00C11623"/>
    <w:rsid w:val="00C11F4E"/>
    <w:rsid w:val="00C14C4C"/>
    <w:rsid w:val="00C16BAD"/>
    <w:rsid w:val="00C208F9"/>
    <w:rsid w:val="00C2182B"/>
    <w:rsid w:val="00C22D8A"/>
    <w:rsid w:val="00C25F46"/>
    <w:rsid w:val="00C26533"/>
    <w:rsid w:val="00C3412B"/>
    <w:rsid w:val="00C35C2C"/>
    <w:rsid w:val="00C36C2F"/>
    <w:rsid w:val="00C37DF4"/>
    <w:rsid w:val="00C42501"/>
    <w:rsid w:val="00C52B32"/>
    <w:rsid w:val="00C57251"/>
    <w:rsid w:val="00C62CF1"/>
    <w:rsid w:val="00C636CB"/>
    <w:rsid w:val="00C652B0"/>
    <w:rsid w:val="00C70B10"/>
    <w:rsid w:val="00C72DC9"/>
    <w:rsid w:val="00C74762"/>
    <w:rsid w:val="00C77396"/>
    <w:rsid w:val="00C80C5B"/>
    <w:rsid w:val="00C8520A"/>
    <w:rsid w:val="00C87646"/>
    <w:rsid w:val="00C90612"/>
    <w:rsid w:val="00C90FB2"/>
    <w:rsid w:val="00C932B1"/>
    <w:rsid w:val="00C939BA"/>
    <w:rsid w:val="00C95D81"/>
    <w:rsid w:val="00C96319"/>
    <w:rsid w:val="00CA3F8B"/>
    <w:rsid w:val="00CA53CB"/>
    <w:rsid w:val="00CA6A4B"/>
    <w:rsid w:val="00CA6F7A"/>
    <w:rsid w:val="00CA7EB6"/>
    <w:rsid w:val="00CC50ED"/>
    <w:rsid w:val="00CD03BC"/>
    <w:rsid w:val="00CD5968"/>
    <w:rsid w:val="00CD7680"/>
    <w:rsid w:val="00CD779B"/>
    <w:rsid w:val="00CE0F10"/>
    <w:rsid w:val="00CE189D"/>
    <w:rsid w:val="00CE1DF9"/>
    <w:rsid w:val="00CE407F"/>
    <w:rsid w:val="00CE5DD9"/>
    <w:rsid w:val="00CE7D7A"/>
    <w:rsid w:val="00CF79DC"/>
    <w:rsid w:val="00D1042B"/>
    <w:rsid w:val="00D13E0E"/>
    <w:rsid w:val="00D14FC7"/>
    <w:rsid w:val="00D1688E"/>
    <w:rsid w:val="00D2006E"/>
    <w:rsid w:val="00D2451B"/>
    <w:rsid w:val="00D246E2"/>
    <w:rsid w:val="00D24ED4"/>
    <w:rsid w:val="00D25033"/>
    <w:rsid w:val="00D2511C"/>
    <w:rsid w:val="00D266D1"/>
    <w:rsid w:val="00D326BE"/>
    <w:rsid w:val="00D36DE2"/>
    <w:rsid w:val="00D375F0"/>
    <w:rsid w:val="00D44559"/>
    <w:rsid w:val="00D46926"/>
    <w:rsid w:val="00D46DA7"/>
    <w:rsid w:val="00D5058F"/>
    <w:rsid w:val="00D509D0"/>
    <w:rsid w:val="00D52662"/>
    <w:rsid w:val="00D52701"/>
    <w:rsid w:val="00D56461"/>
    <w:rsid w:val="00D60255"/>
    <w:rsid w:val="00D62C6F"/>
    <w:rsid w:val="00D66A4E"/>
    <w:rsid w:val="00D709B4"/>
    <w:rsid w:val="00D735A8"/>
    <w:rsid w:val="00D77741"/>
    <w:rsid w:val="00D8104A"/>
    <w:rsid w:val="00D84AC9"/>
    <w:rsid w:val="00D84D39"/>
    <w:rsid w:val="00D9069A"/>
    <w:rsid w:val="00D91EE2"/>
    <w:rsid w:val="00D92E9A"/>
    <w:rsid w:val="00D97E4B"/>
    <w:rsid w:val="00DA1001"/>
    <w:rsid w:val="00DA5976"/>
    <w:rsid w:val="00DB2103"/>
    <w:rsid w:val="00DB351D"/>
    <w:rsid w:val="00DB7792"/>
    <w:rsid w:val="00DC111F"/>
    <w:rsid w:val="00DC21B1"/>
    <w:rsid w:val="00DC6F08"/>
    <w:rsid w:val="00DD1BCA"/>
    <w:rsid w:val="00DD50E2"/>
    <w:rsid w:val="00DD56A6"/>
    <w:rsid w:val="00DE4FA9"/>
    <w:rsid w:val="00DF17E5"/>
    <w:rsid w:val="00DF41E8"/>
    <w:rsid w:val="00DF680F"/>
    <w:rsid w:val="00DF7202"/>
    <w:rsid w:val="00E025B9"/>
    <w:rsid w:val="00E02690"/>
    <w:rsid w:val="00E02A33"/>
    <w:rsid w:val="00E052C7"/>
    <w:rsid w:val="00E073D1"/>
    <w:rsid w:val="00E14760"/>
    <w:rsid w:val="00E16B29"/>
    <w:rsid w:val="00E21ECF"/>
    <w:rsid w:val="00E27A8C"/>
    <w:rsid w:val="00E27B32"/>
    <w:rsid w:val="00E30922"/>
    <w:rsid w:val="00E40C06"/>
    <w:rsid w:val="00E41D57"/>
    <w:rsid w:val="00E46AC6"/>
    <w:rsid w:val="00E51EBC"/>
    <w:rsid w:val="00E550C8"/>
    <w:rsid w:val="00E56A41"/>
    <w:rsid w:val="00E65DC8"/>
    <w:rsid w:val="00E71365"/>
    <w:rsid w:val="00E71CA4"/>
    <w:rsid w:val="00E728B9"/>
    <w:rsid w:val="00E739E7"/>
    <w:rsid w:val="00E7550B"/>
    <w:rsid w:val="00E76EEC"/>
    <w:rsid w:val="00E8757D"/>
    <w:rsid w:val="00E87D99"/>
    <w:rsid w:val="00E92F86"/>
    <w:rsid w:val="00E94969"/>
    <w:rsid w:val="00EA03A4"/>
    <w:rsid w:val="00EA0A04"/>
    <w:rsid w:val="00EA732E"/>
    <w:rsid w:val="00EA7F42"/>
    <w:rsid w:val="00EC0914"/>
    <w:rsid w:val="00EC4BFB"/>
    <w:rsid w:val="00EE0B7C"/>
    <w:rsid w:val="00EE252B"/>
    <w:rsid w:val="00EE5788"/>
    <w:rsid w:val="00EE6BAD"/>
    <w:rsid w:val="00EF289D"/>
    <w:rsid w:val="00EF4107"/>
    <w:rsid w:val="00F014D0"/>
    <w:rsid w:val="00F040F0"/>
    <w:rsid w:val="00F05ED5"/>
    <w:rsid w:val="00F07D06"/>
    <w:rsid w:val="00F12B8C"/>
    <w:rsid w:val="00F14A92"/>
    <w:rsid w:val="00F156D6"/>
    <w:rsid w:val="00F1708F"/>
    <w:rsid w:val="00F23C4A"/>
    <w:rsid w:val="00F270A7"/>
    <w:rsid w:val="00F30E12"/>
    <w:rsid w:val="00F41BF2"/>
    <w:rsid w:val="00F43593"/>
    <w:rsid w:val="00F52672"/>
    <w:rsid w:val="00F55A03"/>
    <w:rsid w:val="00F57577"/>
    <w:rsid w:val="00F61CB0"/>
    <w:rsid w:val="00F62338"/>
    <w:rsid w:val="00F62345"/>
    <w:rsid w:val="00F63025"/>
    <w:rsid w:val="00F64281"/>
    <w:rsid w:val="00F646E3"/>
    <w:rsid w:val="00F67B9A"/>
    <w:rsid w:val="00F73502"/>
    <w:rsid w:val="00F74F4E"/>
    <w:rsid w:val="00F812AC"/>
    <w:rsid w:val="00F82941"/>
    <w:rsid w:val="00F82AB1"/>
    <w:rsid w:val="00F8504C"/>
    <w:rsid w:val="00F855B7"/>
    <w:rsid w:val="00F903B1"/>
    <w:rsid w:val="00F9370F"/>
    <w:rsid w:val="00F93CE3"/>
    <w:rsid w:val="00F9671E"/>
    <w:rsid w:val="00FA01C6"/>
    <w:rsid w:val="00FA0911"/>
    <w:rsid w:val="00FA0E33"/>
    <w:rsid w:val="00FB0378"/>
    <w:rsid w:val="00FB2235"/>
    <w:rsid w:val="00FB54EE"/>
    <w:rsid w:val="00FB6709"/>
    <w:rsid w:val="00FB6AF5"/>
    <w:rsid w:val="00FC1669"/>
    <w:rsid w:val="00FC331F"/>
    <w:rsid w:val="00FC51E5"/>
    <w:rsid w:val="00FC681D"/>
    <w:rsid w:val="00FD181F"/>
    <w:rsid w:val="00FD7800"/>
    <w:rsid w:val="00FE73BE"/>
    <w:rsid w:val="00FF2A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17E0B"/>
  <w15:docId w15:val="{9ED36EB6-6663-49EB-9A46-AA474FD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E7"/>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8608E7"/>
    <w:pPr>
      <w:keepNext/>
      <w:keepLines/>
      <w:spacing w:before="360"/>
      <w:ind w:left="794" w:hanging="794"/>
      <w:jc w:val="left"/>
      <w:outlineLvl w:val="0"/>
    </w:pPr>
    <w:rPr>
      <w:b/>
    </w:rPr>
  </w:style>
  <w:style w:type="paragraph" w:styleId="Heading2">
    <w:name w:val="heading 2"/>
    <w:basedOn w:val="Heading1"/>
    <w:next w:val="Normal"/>
    <w:link w:val="Heading2Char"/>
    <w:qFormat/>
    <w:rsid w:val="008608E7"/>
    <w:pPr>
      <w:spacing w:before="240"/>
      <w:outlineLvl w:val="1"/>
    </w:pPr>
  </w:style>
  <w:style w:type="paragraph" w:styleId="Heading3">
    <w:name w:val="heading 3"/>
    <w:basedOn w:val="Heading1"/>
    <w:next w:val="Normal"/>
    <w:link w:val="Heading3Char"/>
    <w:qFormat/>
    <w:rsid w:val="008608E7"/>
    <w:pPr>
      <w:spacing w:before="160"/>
      <w:outlineLvl w:val="2"/>
    </w:pPr>
  </w:style>
  <w:style w:type="paragraph" w:styleId="Heading4">
    <w:name w:val="heading 4"/>
    <w:basedOn w:val="Heading3"/>
    <w:next w:val="Normal"/>
    <w:link w:val="Heading4Char"/>
    <w:qFormat/>
    <w:rsid w:val="008608E7"/>
    <w:pPr>
      <w:tabs>
        <w:tab w:val="clear" w:pos="794"/>
        <w:tab w:val="left" w:pos="1021"/>
      </w:tabs>
      <w:ind w:left="1021" w:hanging="1021"/>
      <w:outlineLvl w:val="3"/>
    </w:pPr>
  </w:style>
  <w:style w:type="paragraph" w:styleId="Heading5">
    <w:name w:val="heading 5"/>
    <w:basedOn w:val="Heading4"/>
    <w:next w:val="Normal"/>
    <w:qFormat/>
    <w:rsid w:val="008608E7"/>
    <w:pPr>
      <w:outlineLvl w:val="4"/>
    </w:pPr>
  </w:style>
  <w:style w:type="paragraph" w:styleId="Heading6">
    <w:name w:val="heading 6"/>
    <w:basedOn w:val="Heading4"/>
    <w:next w:val="Normal"/>
    <w:qFormat/>
    <w:rsid w:val="008608E7"/>
    <w:pPr>
      <w:tabs>
        <w:tab w:val="clear" w:pos="1021"/>
        <w:tab w:val="clear" w:pos="1191"/>
      </w:tabs>
      <w:ind w:left="1588" w:hanging="1588"/>
      <w:outlineLvl w:val="5"/>
    </w:pPr>
  </w:style>
  <w:style w:type="paragraph" w:styleId="Heading7">
    <w:name w:val="heading 7"/>
    <w:basedOn w:val="Heading6"/>
    <w:next w:val="Normal"/>
    <w:qFormat/>
    <w:rsid w:val="008608E7"/>
    <w:pPr>
      <w:outlineLvl w:val="6"/>
    </w:pPr>
  </w:style>
  <w:style w:type="paragraph" w:styleId="Heading8">
    <w:name w:val="heading 8"/>
    <w:basedOn w:val="Heading6"/>
    <w:next w:val="Normal"/>
    <w:qFormat/>
    <w:rsid w:val="008608E7"/>
    <w:pPr>
      <w:outlineLvl w:val="7"/>
    </w:pPr>
  </w:style>
  <w:style w:type="paragraph" w:styleId="Heading9">
    <w:name w:val="heading 9"/>
    <w:basedOn w:val="Heading6"/>
    <w:next w:val="Normal"/>
    <w:qFormat/>
    <w:rsid w:val="008608E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08E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8608E7"/>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8608E7"/>
  </w:style>
  <w:style w:type="paragraph" w:customStyle="1" w:styleId="ASN1">
    <w:name w:val="ASN.1"/>
    <w:rsid w:val="008608E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rsid w:val="008608E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8608E7"/>
    <w:pPr>
      <w:spacing w:before="80"/>
      <w:ind w:left="1531" w:hanging="851"/>
    </w:pPr>
  </w:style>
  <w:style w:type="paragraph" w:styleId="TOC3">
    <w:name w:val="toc 3"/>
    <w:basedOn w:val="TOC2"/>
    <w:rsid w:val="008608E7"/>
  </w:style>
  <w:style w:type="character" w:styleId="Hyperlink">
    <w:name w:val="Hyperlink"/>
    <w:basedOn w:val="DefaultParagraphFont"/>
    <w:rsid w:val="008608E7"/>
    <w:rPr>
      <w:color w:val="0000FF"/>
      <w:u w:val="single"/>
    </w:rPr>
  </w:style>
  <w:style w:type="paragraph" w:styleId="CommentText">
    <w:name w:val="annotation text"/>
    <w:basedOn w:val="Normal"/>
    <w:link w:val="CommentTextChar"/>
    <w:rsid w:val="008608E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8608E7"/>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8608E7"/>
    <w:rPr>
      <w:sz w:val="16"/>
      <w:szCs w:val="16"/>
    </w:rPr>
  </w:style>
  <w:style w:type="paragraph" w:customStyle="1" w:styleId="Normalaftertitle0">
    <w:name w:val="Normal_after_title"/>
    <w:basedOn w:val="Normal"/>
    <w:next w:val="Normal"/>
    <w:rsid w:val="008608E7"/>
    <w:pPr>
      <w:spacing w:before="360"/>
    </w:pPr>
  </w:style>
  <w:style w:type="paragraph" w:customStyle="1" w:styleId="Rectitle">
    <w:name w:val="Rec_title"/>
    <w:basedOn w:val="Normal"/>
    <w:next w:val="Normalaftertitle0"/>
    <w:rsid w:val="008608E7"/>
    <w:pPr>
      <w:keepNext/>
      <w:keepLines/>
      <w:spacing w:before="360"/>
      <w:jc w:val="center"/>
    </w:pPr>
    <w:rPr>
      <w:b/>
      <w:sz w:val="28"/>
    </w:rPr>
  </w:style>
  <w:style w:type="paragraph" w:customStyle="1" w:styleId="RecNo">
    <w:name w:val="Rec_No"/>
    <w:basedOn w:val="Normal"/>
    <w:next w:val="Rectitle"/>
    <w:rsid w:val="008608E7"/>
    <w:pPr>
      <w:keepNext/>
      <w:keepLines/>
      <w:spacing w:before="0"/>
      <w:jc w:val="left"/>
    </w:pPr>
    <w:rPr>
      <w:b/>
      <w:sz w:val="28"/>
    </w:rPr>
  </w:style>
  <w:style w:type="paragraph" w:styleId="TOC4">
    <w:name w:val="toc 4"/>
    <w:basedOn w:val="TOC3"/>
    <w:rsid w:val="008608E7"/>
  </w:style>
  <w:style w:type="paragraph" w:styleId="TOC5">
    <w:name w:val="toc 5"/>
    <w:basedOn w:val="TOC4"/>
    <w:rsid w:val="008608E7"/>
  </w:style>
  <w:style w:type="paragraph" w:styleId="TOC6">
    <w:name w:val="toc 6"/>
    <w:basedOn w:val="TOC4"/>
    <w:rsid w:val="008608E7"/>
  </w:style>
  <w:style w:type="paragraph" w:styleId="TOC7">
    <w:name w:val="toc 7"/>
    <w:basedOn w:val="TOC4"/>
    <w:rsid w:val="008608E7"/>
  </w:style>
  <w:style w:type="paragraph" w:styleId="TOC8">
    <w:name w:val="toc 8"/>
    <w:basedOn w:val="TOC4"/>
    <w:rsid w:val="008608E7"/>
  </w:style>
  <w:style w:type="paragraph" w:styleId="TOC9">
    <w:name w:val="toc 9"/>
    <w:basedOn w:val="TOC3"/>
    <w:rsid w:val="008608E7"/>
  </w:style>
  <w:style w:type="paragraph" w:customStyle="1" w:styleId="BoxesNotitle">
    <w:name w:val="Boxes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8608E7"/>
    <w:pPr>
      <w:spacing w:before="0"/>
    </w:pPr>
    <w:rPr>
      <w:rFonts w:ascii="Tahoma" w:hAnsi="Tahoma" w:cs="Tahoma"/>
      <w:sz w:val="16"/>
      <w:szCs w:val="16"/>
    </w:rPr>
  </w:style>
  <w:style w:type="paragraph" w:styleId="CommentSubject">
    <w:name w:val="annotation subject"/>
    <w:basedOn w:val="CommentText"/>
    <w:next w:val="CommentText"/>
    <w:link w:val="CommentSubjectChar"/>
    <w:uiPriority w:val="99"/>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8608E7"/>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8608E7"/>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8608E7"/>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8608E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608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8608E7"/>
    <w:pPr>
      <w:keepNext/>
      <w:keepLines/>
      <w:spacing w:before="240" w:after="120"/>
      <w:jc w:val="center"/>
    </w:pPr>
  </w:style>
  <w:style w:type="paragraph" w:customStyle="1" w:styleId="toc0">
    <w:name w:val="toc 0"/>
    <w:basedOn w:val="Normal"/>
    <w:next w:val="TOC1"/>
    <w:rsid w:val="008608E7"/>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link w:val="CaptionChar"/>
    <w:uiPriority w:val="35"/>
    <w:qFormat/>
    <w:rsid w:val="0060241A"/>
    <w:pPr>
      <w:spacing w:after="120"/>
      <w:jc w:val="center"/>
    </w:pPr>
    <w:rPr>
      <w:b/>
      <w:bCs/>
      <w:szCs w:val="24"/>
    </w:rPr>
  </w:style>
  <w:style w:type="paragraph" w:customStyle="1" w:styleId="Tablelegend">
    <w:name w:val="Table_legend"/>
    <w:basedOn w:val="Normal"/>
    <w:rsid w:val="008608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aliases w:val="NUMBERED PARAGRAPH,List Paragraph 1,List Paragraph (numbered (a)),Use Case List Paragraph,References,ReferencesCxSpLast,lp1,EPAR Tables and Footnotes"/>
    <w:basedOn w:val="Normal"/>
    <w:link w:val="ListParagraphChar"/>
    <w:uiPriority w:val="34"/>
    <w:qFormat/>
    <w:rsid w:val="00C8520A"/>
    <w:pPr>
      <w:spacing w:before="0" w:after="200" w:line="276" w:lineRule="auto"/>
      <w:ind w:left="720"/>
      <w:contextualSpacing/>
    </w:pPr>
    <w:rPr>
      <w:rFonts w:ascii="Calibri" w:hAnsi="Calibri" w:cs="Arial"/>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EPAR Tables and Footnotes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8608E7"/>
    <w:pPr>
      <w:spacing w:before="80"/>
      <w:ind w:left="794" w:hanging="794"/>
    </w:p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8608E7"/>
    <w:pPr>
      <w:ind w:left="1191" w:hanging="397"/>
    </w:pPr>
  </w:style>
  <w:style w:type="paragraph" w:customStyle="1" w:styleId="Note">
    <w:name w:val="Note"/>
    <w:basedOn w:val="Normal"/>
    <w:rsid w:val="008608E7"/>
    <w:pPr>
      <w:spacing w:before="80"/>
    </w:pPr>
    <w:rPr>
      <w:sz w:val="22"/>
    </w:rPr>
  </w:style>
  <w:style w:type="paragraph" w:styleId="FootnoteText">
    <w:name w:val="footnote text"/>
    <w:basedOn w:val="Note"/>
    <w:link w:val="FootnoteTextChar"/>
    <w:rsid w:val="008608E7"/>
    <w:pPr>
      <w:keepLines/>
      <w:tabs>
        <w:tab w:val="left" w:pos="255"/>
      </w:tabs>
      <w:ind w:left="255" w:hanging="255"/>
    </w:pPr>
  </w:style>
  <w:style w:type="character" w:customStyle="1" w:styleId="FootnoteTextChar">
    <w:name w:val="Footnote Text Char"/>
    <w:basedOn w:val="DefaultParagraphFont"/>
    <w:link w:val="FootnoteText"/>
    <w:rsid w:val="001866DC"/>
    <w:rPr>
      <w:rFonts w:eastAsia="Times New Roman"/>
      <w:sz w:val="22"/>
      <w:lang w:val="en-GB" w:eastAsia="en-US"/>
    </w:rPr>
  </w:style>
  <w:style w:type="character" w:styleId="FootnoteReference">
    <w:name w:val="footnote reference"/>
    <w:basedOn w:val="DefaultParagraphFont"/>
    <w:rsid w:val="008608E7"/>
    <w:rPr>
      <w:position w:val="6"/>
      <w:sz w:val="18"/>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paragraph" w:customStyle="1" w:styleId="Headingb0">
    <w:name w:val="Heading b"/>
    <w:basedOn w:val="Normal"/>
    <w:qFormat/>
    <w:rsid w:val="00004356"/>
    <w:pPr>
      <w:tabs>
        <w:tab w:val="num" w:pos="1440"/>
      </w:tabs>
      <w:spacing w:after="120" w:line="360" w:lineRule="auto"/>
    </w:pPr>
    <w:rPr>
      <w:rFonts w:asciiTheme="minorHAnsi" w:hAnsiTheme="minorHAnsi" w:cs="Arial"/>
      <w:szCs w:val="24"/>
    </w:rPr>
  </w:style>
  <w:style w:type="character" w:customStyle="1" w:styleId="FootnoteTextChar1">
    <w:name w:val="Footnote Text Char1"/>
    <w:aliases w:val="Footnote Text Char Char,single space Char,FOOTNOTES Char,fn Char,ADB Char,WB-Fuﬂnotentext Char,Footnote Char,Fuﬂnote Char,footnote text Char,WB-Fußnotentext Char,Fußnote Char,ALTS FOOTNOTE Char,Footnote Text Char2 Char Char,ft Char"/>
    <w:basedOn w:val="DefaultParagraphFont"/>
    <w:uiPriority w:val="99"/>
    <w:rsid w:val="00004356"/>
    <w:rPr>
      <w:rFonts w:ascii="Arial" w:hAnsi="Arial"/>
      <w:sz w:val="18"/>
      <w:lang w:val="en-GB"/>
    </w:rPr>
  </w:style>
  <w:style w:type="character" w:customStyle="1" w:styleId="CaptionChar">
    <w:name w:val="Caption Char"/>
    <w:link w:val="Caption"/>
    <w:rsid w:val="00004356"/>
    <w:rPr>
      <w:rFonts w:eastAsia="Times New Roman"/>
      <w:b/>
      <w:bCs/>
      <w:sz w:val="24"/>
      <w:szCs w:val="24"/>
      <w:lang w:val="en-GB" w:eastAsia="en-US"/>
    </w:rPr>
  </w:style>
  <w:style w:type="paragraph" w:customStyle="1" w:styleId="Body">
    <w:name w:val="Body"/>
    <w:basedOn w:val="BodyTextIndent"/>
    <w:link w:val="BodyChar"/>
    <w:rsid w:val="00D375F0"/>
    <w:pPr>
      <w:widowControl w:val="0"/>
      <w:suppressAutoHyphens/>
      <w:spacing w:before="0" w:after="0"/>
      <w:ind w:left="0" w:firstLine="720"/>
    </w:pPr>
    <w:rPr>
      <w:spacing w:val="-3"/>
      <w:lang w:val="es-ES" w:eastAsia="es-ES"/>
    </w:rPr>
  </w:style>
  <w:style w:type="character" w:customStyle="1" w:styleId="BodyChar">
    <w:name w:val="Body Char"/>
    <w:basedOn w:val="DefaultParagraphFont"/>
    <w:link w:val="Body"/>
    <w:locked/>
    <w:rsid w:val="00D375F0"/>
    <w:rPr>
      <w:rFonts w:eastAsia="Times New Roman"/>
      <w:spacing w:val="-3"/>
      <w:sz w:val="24"/>
      <w:lang w:val="es-ES" w:eastAsia="es-ES"/>
    </w:rPr>
  </w:style>
  <w:style w:type="paragraph" w:styleId="BodyTextIndent">
    <w:name w:val="Body Text Indent"/>
    <w:basedOn w:val="Normal"/>
    <w:link w:val="BodyTextIndentChar"/>
    <w:semiHidden/>
    <w:unhideWhenUsed/>
    <w:rsid w:val="00D375F0"/>
    <w:pPr>
      <w:spacing w:after="120"/>
      <w:ind w:left="283"/>
    </w:pPr>
  </w:style>
  <w:style w:type="character" w:customStyle="1" w:styleId="BodyTextIndentChar">
    <w:name w:val="Body Text Indent Char"/>
    <w:basedOn w:val="DefaultParagraphFont"/>
    <w:link w:val="BodyTextIndent"/>
    <w:semiHidden/>
    <w:rsid w:val="00D375F0"/>
    <w:rPr>
      <w:sz w:val="24"/>
    </w:rPr>
  </w:style>
  <w:style w:type="paragraph" w:customStyle="1" w:styleId="Bullethyphen">
    <w:name w:val="Bullet hyphen"/>
    <w:basedOn w:val="Normal"/>
    <w:rsid w:val="00D375F0"/>
    <w:pPr>
      <w:numPr>
        <w:ilvl w:val="1"/>
        <w:numId w:val="5"/>
      </w:numPr>
      <w:spacing w:before="0" w:after="120"/>
    </w:pPr>
    <w:rPr>
      <w:rFonts w:ascii="Arial" w:hAnsi="Arial"/>
      <w:sz w:val="22"/>
    </w:rPr>
  </w:style>
  <w:style w:type="character" w:customStyle="1" w:styleId="HyperlinkBIS">
    <w:name w:val="HyperlinkBIS"/>
    <w:basedOn w:val="DefaultParagraphFont"/>
    <w:uiPriority w:val="1"/>
    <w:qFormat/>
    <w:rsid w:val="00D375F0"/>
    <w:rPr>
      <w:rFonts w:cs="Segoe UI"/>
      <w:u w:val="single" w:color="B3B3B3"/>
      <w:bdr w:val="none" w:sz="0" w:space="0" w:color="auto"/>
    </w:rPr>
  </w:style>
  <w:style w:type="paragraph" w:customStyle="1" w:styleId="Reftext">
    <w:name w:val="Ref_text"/>
    <w:basedOn w:val="Normal"/>
    <w:rsid w:val="008608E7"/>
    <w:pPr>
      <w:ind w:left="794" w:hanging="794"/>
      <w:jc w:val="left"/>
    </w:pPr>
  </w:style>
  <w:style w:type="character" w:customStyle="1" w:styleId="CommentSubjectChar">
    <w:name w:val="Comment Subject Char"/>
    <w:link w:val="CommentSubject"/>
    <w:uiPriority w:val="99"/>
    <w:rsid w:val="00916B16"/>
    <w:rPr>
      <w:b/>
      <w:bCs/>
    </w:rPr>
  </w:style>
  <w:style w:type="paragraph" w:customStyle="1" w:styleId="ParagraphNumbering">
    <w:name w:val="Paragraph Numbering"/>
    <w:basedOn w:val="Normal"/>
    <w:link w:val="ParagraphNumberingCarattere1"/>
    <w:qFormat/>
    <w:rsid w:val="000E17B9"/>
    <w:pPr>
      <w:numPr>
        <w:numId w:val="6"/>
      </w:numPr>
      <w:spacing w:after="120" w:line="264" w:lineRule="auto"/>
    </w:pPr>
    <w:rPr>
      <w:rFonts w:eastAsia="Calibri"/>
      <w:szCs w:val="24"/>
    </w:rPr>
  </w:style>
  <w:style w:type="character" w:customStyle="1" w:styleId="ParagraphNumberingCarattere1">
    <w:name w:val="Paragraph Numbering Carattere1"/>
    <w:basedOn w:val="DefaultParagraphFont"/>
    <w:link w:val="ParagraphNumbering"/>
    <w:rsid w:val="000E17B9"/>
    <w:rPr>
      <w:rFonts w:eastAsia="Calibri"/>
      <w:sz w:val="24"/>
      <w:szCs w:val="24"/>
      <w:lang w:eastAsia="en-US"/>
    </w:rPr>
  </w:style>
  <w:style w:type="paragraph" w:customStyle="1" w:styleId="FigureNotitle">
    <w:name w:val="Figure_No &amp; title"/>
    <w:basedOn w:val="Normal"/>
    <w:next w:val="Normal"/>
    <w:qFormat/>
    <w:rsid w:val="0039348B"/>
    <w:pPr>
      <w:keepLines/>
      <w:spacing w:before="240" w:after="120"/>
      <w:jc w:val="center"/>
    </w:pPr>
    <w:rPr>
      <w:b/>
    </w:rPr>
  </w:style>
  <w:style w:type="character" w:customStyle="1" w:styleId="FooterChar">
    <w:name w:val="Footer Char"/>
    <w:basedOn w:val="DefaultParagraphFont"/>
    <w:link w:val="Footer"/>
    <w:rsid w:val="0065099C"/>
    <w:rPr>
      <w:rFonts w:eastAsia="Times New Roman"/>
      <w:caps/>
      <w:noProof/>
      <w:sz w:val="16"/>
      <w:lang w:val="en-GB" w:eastAsia="en-US"/>
    </w:rPr>
  </w:style>
  <w:style w:type="character" w:customStyle="1" w:styleId="CommentTextChar">
    <w:name w:val="Comment Text Char"/>
    <w:basedOn w:val="DefaultParagraphFont"/>
    <w:link w:val="CommentText"/>
    <w:rsid w:val="00935590"/>
    <w:rPr>
      <w:rFonts w:eastAsia="Times New Roman"/>
      <w:lang w:eastAsia="en-US"/>
    </w:rPr>
  </w:style>
  <w:style w:type="paragraph" w:customStyle="1" w:styleId="EPARHeading1">
    <w:name w:val="EPAR Heading 1"/>
    <w:basedOn w:val="Normal"/>
    <w:next w:val="Normal"/>
    <w:link w:val="EPARHeading1Char"/>
    <w:autoRedefine/>
    <w:qFormat/>
    <w:rsid w:val="00E30922"/>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spacing w:before="0" w:after="200" w:line="276" w:lineRule="auto"/>
      <w:outlineLvl w:val="0"/>
    </w:pPr>
    <w:rPr>
      <w:rFonts w:ascii="Trebuchet MS" w:eastAsia="Trebuchet MS" w:hAnsi="Trebuchet MS" w:cs="Segoe UI"/>
      <w:b/>
      <w:sz w:val="20"/>
      <w:szCs w:val="18"/>
    </w:rPr>
  </w:style>
  <w:style w:type="character" w:customStyle="1" w:styleId="EPARHeading1Char">
    <w:name w:val="EPAR Heading 1 Char"/>
    <w:basedOn w:val="DefaultParagraphFont"/>
    <w:link w:val="EPARHeading1"/>
    <w:rsid w:val="00E30922"/>
    <w:rPr>
      <w:rFonts w:ascii="Trebuchet MS" w:eastAsia="Trebuchet MS" w:hAnsi="Trebuchet MS" w:cs="Segoe UI"/>
      <w:b/>
      <w:szCs w:val="18"/>
      <w:lang w:eastAsia="en-US"/>
    </w:rPr>
  </w:style>
  <w:style w:type="character" w:customStyle="1" w:styleId="normaltextrun">
    <w:name w:val="normaltextrun"/>
    <w:basedOn w:val="DefaultParagraphFont"/>
    <w:rsid w:val="00E30922"/>
  </w:style>
  <w:style w:type="paragraph" w:customStyle="1" w:styleId="EPAREndnotes">
    <w:name w:val="EPAR Endnotes"/>
    <w:basedOn w:val="FootnoteText"/>
    <w:link w:val="EPAREndnotesChar"/>
    <w:qFormat/>
    <w:rsid w:val="00762C3A"/>
    <w:rPr>
      <w:rFonts w:ascii="Trebuchet MS" w:eastAsia="Cambria" w:hAnsi="Trebuchet MS"/>
    </w:rPr>
  </w:style>
  <w:style w:type="character" w:customStyle="1" w:styleId="EPAREndnotesChar">
    <w:name w:val="EPAR Endnotes Char"/>
    <w:basedOn w:val="FootnoteTextChar"/>
    <w:link w:val="EPAREndnotes"/>
    <w:rsid w:val="00762C3A"/>
    <w:rPr>
      <w:rFonts w:ascii="Trebuchet MS" w:eastAsia="Cambria" w:hAnsi="Trebuchet MS" w:cstheme="minorBidi"/>
      <w:sz w:val="18"/>
      <w:szCs w:val="24"/>
      <w:lang w:val="en-GB" w:eastAsia="en-US"/>
    </w:rPr>
  </w:style>
  <w:style w:type="paragraph" w:customStyle="1" w:styleId="EPARSub-heading">
    <w:name w:val="EPAR Sub-heading"/>
    <w:basedOn w:val="Normal"/>
    <w:next w:val="Normal"/>
    <w:link w:val="EPARSub-headingChar"/>
    <w:autoRedefine/>
    <w:qFormat/>
    <w:rsid w:val="00762C3A"/>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spacing w:before="0" w:after="200" w:line="276" w:lineRule="auto"/>
      <w:outlineLvl w:val="1"/>
    </w:pPr>
    <w:rPr>
      <w:rFonts w:ascii="Trebuchet MS" w:eastAsia="Cambria" w:hAnsi="Trebuchet MS"/>
      <w:sz w:val="20"/>
      <w:szCs w:val="16"/>
      <w:u w:val="single"/>
    </w:rPr>
  </w:style>
  <w:style w:type="character" w:customStyle="1" w:styleId="EPARSub-headingChar">
    <w:name w:val="EPAR Sub-heading Char"/>
    <w:basedOn w:val="DefaultParagraphFont"/>
    <w:link w:val="EPARSub-heading"/>
    <w:rsid w:val="00762C3A"/>
    <w:rPr>
      <w:rFonts w:ascii="Trebuchet MS" w:eastAsia="Cambria" w:hAnsi="Trebuchet MS"/>
      <w:szCs w:val="16"/>
      <w:u w:val="single"/>
      <w:lang w:eastAsia="en-US"/>
    </w:rPr>
  </w:style>
  <w:style w:type="paragraph" w:styleId="NoSpacing">
    <w:name w:val="No Spacing"/>
    <w:link w:val="NoSpacingChar"/>
    <w:uiPriority w:val="1"/>
    <w:qFormat/>
    <w:rsid w:val="00762C3A"/>
    <w:pPr>
      <w:spacing w:line="276" w:lineRule="auto"/>
    </w:pPr>
    <w:rPr>
      <w:rFonts w:ascii="Trebuchet MS" w:eastAsiaTheme="minorEastAsia" w:hAnsi="Trebuchet MS" w:cstheme="minorBidi"/>
      <w:szCs w:val="22"/>
      <w:lang w:eastAsia="en-US"/>
    </w:rPr>
  </w:style>
  <w:style w:type="character" w:customStyle="1" w:styleId="NoSpacingChar">
    <w:name w:val="No Spacing Char"/>
    <w:basedOn w:val="DefaultParagraphFont"/>
    <w:link w:val="NoSpacing"/>
    <w:uiPriority w:val="1"/>
    <w:rsid w:val="00762C3A"/>
    <w:rPr>
      <w:rFonts w:ascii="Trebuchet MS" w:eastAsiaTheme="minorEastAsia" w:hAnsi="Trebuchet MS" w:cstheme="minorBidi"/>
      <w:szCs w:val="22"/>
      <w:lang w:eastAsia="en-US"/>
    </w:rPr>
  </w:style>
  <w:style w:type="paragraph" w:customStyle="1" w:styleId="EPARList">
    <w:name w:val="EPAR List"/>
    <w:basedOn w:val="ListParagraph"/>
    <w:link w:val="EPARListChar"/>
    <w:qFormat/>
    <w:rsid w:val="00762C3A"/>
    <w:pPr>
      <w:spacing w:after="0"/>
      <w:ind w:left="0" w:hanging="360"/>
      <w:jc w:val="left"/>
    </w:pPr>
    <w:rPr>
      <w:rFonts w:ascii="Trebuchet MS" w:eastAsiaTheme="minorHAnsi" w:hAnsi="Trebuchet MS" w:cstheme="minorBidi"/>
      <w:sz w:val="18"/>
    </w:rPr>
  </w:style>
  <w:style w:type="character" w:customStyle="1" w:styleId="EPARListChar">
    <w:name w:val="EPAR List Char"/>
    <w:basedOn w:val="ListParagraphChar"/>
    <w:link w:val="EPARList"/>
    <w:rsid w:val="00762C3A"/>
    <w:rPr>
      <w:rFonts w:ascii="Trebuchet MS" w:eastAsiaTheme="minorHAnsi" w:hAnsi="Trebuchet MS" w:cstheme="minorBidi"/>
      <w:sz w:val="18"/>
      <w:szCs w:val="22"/>
      <w:lang w:eastAsia="en-US"/>
    </w:rPr>
  </w:style>
  <w:style w:type="table" w:customStyle="1" w:styleId="GridTable5Dark-Accent41">
    <w:name w:val="Grid Table 5 Dark - Accent 41"/>
    <w:basedOn w:val="TableNormal"/>
    <w:uiPriority w:val="50"/>
    <w:rsid w:val="00B673C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1B6B75"/>
    <w:rPr>
      <w:rFonts w:asciiTheme="minorHAnsi" w:eastAsiaTheme="minorHAnsi"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ge-footnumber">
    <w:name w:val="Page - foot | number"/>
    <w:basedOn w:val="Normal"/>
    <w:uiPriority w:val="99"/>
    <w:rsid w:val="00413CA1"/>
    <w:pPr>
      <w:widowControl w:val="0"/>
      <w:spacing w:before="0" w:after="200" w:line="288" w:lineRule="auto"/>
      <w:jc w:val="right"/>
      <w:textAlignment w:val="center"/>
    </w:pPr>
    <w:rPr>
      <w:rFonts w:ascii="TrebuchetMS-Bold" w:eastAsiaTheme="minorEastAsia" w:hAnsi="TrebuchetMS-Bold" w:cs="TrebuchetMS-Bold"/>
      <w:b/>
      <w:bCs/>
      <w:caps/>
      <w:color w:val="1C00FF"/>
      <w:sz w:val="16"/>
      <w:szCs w:val="16"/>
      <w:lang w:eastAsia="ja-JP"/>
    </w:rPr>
  </w:style>
  <w:style w:type="paragraph" w:customStyle="1" w:styleId="EPARSub-SubHeading">
    <w:name w:val="EPAR Sub-Sub Heading"/>
    <w:basedOn w:val="Normal"/>
    <w:next w:val="Normal"/>
    <w:link w:val="EPARSub-SubHeadingChar"/>
    <w:autoRedefine/>
    <w:qFormat/>
    <w:rsid w:val="005300E5"/>
    <w:pPr>
      <w:keepNext/>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spacing w:before="0" w:after="200" w:line="276" w:lineRule="auto"/>
      <w:outlineLvl w:val="2"/>
    </w:pPr>
    <w:rPr>
      <w:rFonts w:ascii="Trebuchet MS" w:eastAsia="Cambria" w:hAnsi="Trebuchet MS"/>
      <w:sz w:val="20"/>
      <w:szCs w:val="22"/>
    </w:rPr>
  </w:style>
  <w:style w:type="character" w:customStyle="1" w:styleId="EPARSub-SubHeadingChar">
    <w:name w:val="EPAR Sub-Sub Heading Char"/>
    <w:basedOn w:val="DefaultParagraphFont"/>
    <w:link w:val="EPARSub-SubHeading"/>
    <w:rsid w:val="005300E5"/>
    <w:rPr>
      <w:rFonts w:ascii="Trebuchet MS" w:eastAsia="Cambria" w:hAnsi="Trebuchet MS"/>
      <w:szCs w:val="22"/>
      <w:lang w:eastAsia="en-US"/>
    </w:rPr>
  </w:style>
  <w:style w:type="character" w:customStyle="1" w:styleId="BalloonTextChar">
    <w:name w:val="Balloon Text Char"/>
    <w:basedOn w:val="DefaultParagraphFont"/>
    <w:link w:val="BalloonText"/>
    <w:rsid w:val="008608E7"/>
    <w:rPr>
      <w:rFonts w:ascii="Tahoma" w:eastAsia="Times New Roman" w:hAnsi="Tahoma" w:cs="Tahoma"/>
      <w:sz w:val="16"/>
      <w:szCs w:val="16"/>
      <w:lang w:val="en-GB" w:eastAsia="en-US"/>
    </w:rPr>
  </w:style>
  <w:style w:type="character" w:customStyle="1" w:styleId="HeaderChar">
    <w:name w:val="Header Char"/>
    <w:basedOn w:val="DefaultParagraphFont"/>
    <w:link w:val="Header"/>
    <w:rsid w:val="005300E5"/>
    <w:rPr>
      <w:rFonts w:eastAsia="Times New Roman"/>
      <w:sz w:val="18"/>
      <w:lang w:val="en-GB" w:eastAsia="en-US"/>
    </w:rPr>
  </w:style>
  <w:style w:type="character" w:customStyle="1" w:styleId="apple-converted-space">
    <w:name w:val="apple-converted-space"/>
    <w:basedOn w:val="DefaultParagraphFont"/>
    <w:rsid w:val="005300E5"/>
  </w:style>
  <w:style w:type="paragraph" w:styleId="EndnoteText">
    <w:name w:val="endnote text"/>
    <w:basedOn w:val="Normal"/>
    <w:link w:val="EndnoteTextChar"/>
    <w:uiPriority w:val="99"/>
    <w:semiHidden/>
    <w:unhideWhenUsed/>
    <w:rsid w:val="005300E5"/>
    <w:pPr>
      <w:spacing w:before="0"/>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5300E5"/>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5300E5"/>
    <w:rPr>
      <w:vertAlign w:val="superscript"/>
    </w:rPr>
  </w:style>
  <w:style w:type="paragraph" w:styleId="DocumentMap">
    <w:name w:val="Document Map"/>
    <w:basedOn w:val="Normal"/>
    <w:link w:val="DocumentMapChar"/>
    <w:uiPriority w:val="99"/>
    <w:semiHidden/>
    <w:unhideWhenUsed/>
    <w:rsid w:val="005300E5"/>
    <w:pPr>
      <w:spacing w:before="0"/>
    </w:pPr>
    <w:rPr>
      <w:rFonts w:eastAsia="Cambria"/>
      <w:szCs w:val="24"/>
    </w:rPr>
  </w:style>
  <w:style w:type="character" w:customStyle="1" w:styleId="DocumentMapChar">
    <w:name w:val="Document Map Char"/>
    <w:basedOn w:val="DefaultParagraphFont"/>
    <w:link w:val="DocumentMap"/>
    <w:uiPriority w:val="99"/>
    <w:semiHidden/>
    <w:rsid w:val="005300E5"/>
    <w:rPr>
      <w:rFonts w:eastAsia="Cambria"/>
      <w:sz w:val="24"/>
      <w:szCs w:val="24"/>
      <w:lang w:eastAsia="en-US"/>
    </w:rPr>
  </w:style>
  <w:style w:type="character" w:styleId="IntenseEmphasis">
    <w:name w:val="Intense Emphasis"/>
    <w:uiPriority w:val="21"/>
    <w:rsid w:val="003543A2"/>
    <w:rPr>
      <w:b/>
      <w:bCs/>
      <w:i/>
      <w:iCs/>
      <w:color w:val="4F81BD"/>
    </w:rPr>
  </w:style>
  <w:style w:type="paragraph" w:customStyle="1" w:styleId="BullletCompressed">
    <w:name w:val="Bulllet Compressed"/>
    <w:basedOn w:val="bullet"/>
    <w:qFormat/>
    <w:rsid w:val="00AF59ED"/>
    <w:pPr>
      <w:spacing w:after="0" w:line="288" w:lineRule="auto"/>
    </w:pPr>
    <w:rPr>
      <w:rFonts w:eastAsia="MS Mincho" w:cs="Times New Roman"/>
      <w:szCs w:val="24"/>
    </w:rPr>
  </w:style>
  <w:style w:type="paragraph" w:customStyle="1" w:styleId="Enormal">
    <w:name w:val="Enormal"/>
    <w:basedOn w:val="Normal"/>
    <w:qFormat/>
    <w:rsid w:val="009062EB"/>
  </w:style>
  <w:style w:type="character" w:customStyle="1" w:styleId="Heading2Char">
    <w:name w:val="Heading 2 Char"/>
    <w:basedOn w:val="DefaultParagraphFont"/>
    <w:link w:val="Heading2"/>
    <w:rsid w:val="00790962"/>
    <w:rPr>
      <w:rFonts w:eastAsia="Times New Roman"/>
      <w:b/>
      <w:sz w:val="24"/>
      <w:lang w:val="en-GB" w:eastAsia="en-US"/>
    </w:rPr>
  </w:style>
  <w:style w:type="character" w:customStyle="1" w:styleId="Heading3Char">
    <w:name w:val="Heading 3 Char"/>
    <w:basedOn w:val="DefaultParagraphFont"/>
    <w:link w:val="Heading3"/>
    <w:rsid w:val="00790962"/>
    <w:rPr>
      <w:rFonts w:eastAsia="Times New Roman"/>
      <w:b/>
      <w:sz w:val="24"/>
      <w:lang w:val="en-GB" w:eastAsia="en-US"/>
    </w:rPr>
  </w:style>
  <w:style w:type="paragraph" w:customStyle="1" w:styleId="Fig">
    <w:name w:val="Fig"/>
    <w:basedOn w:val="Normal"/>
    <w:rsid w:val="00790962"/>
  </w:style>
  <w:style w:type="paragraph" w:styleId="NormalWeb">
    <w:name w:val="Normal (Web)"/>
    <w:basedOn w:val="Normal"/>
    <w:uiPriority w:val="99"/>
    <w:unhideWhenUsed/>
    <w:rsid w:val="008A4EC7"/>
    <w:pPr>
      <w:spacing w:before="100" w:beforeAutospacing="1" w:after="100" w:afterAutospacing="1"/>
    </w:pPr>
    <w:rPr>
      <w:rFonts w:ascii="Times" w:eastAsiaTheme="minorEastAsia" w:hAnsi="Times"/>
      <w:sz w:val="20"/>
    </w:rPr>
  </w:style>
  <w:style w:type="table" w:styleId="LightShading-Accent1">
    <w:name w:val="Light Shading Accent 1"/>
    <w:basedOn w:val="TableNormal"/>
    <w:uiPriority w:val="60"/>
    <w:rsid w:val="008A4EC7"/>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A4EC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rsid w:val="008A4EC7"/>
    <w:rPr>
      <w:rFonts w:eastAsia="Times New Roman"/>
      <w:b/>
      <w:sz w:val="24"/>
      <w:lang w:val="en-GB" w:eastAsia="en-US"/>
    </w:rPr>
  </w:style>
  <w:style w:type="paragraph" w:styleId="Title">
    <w:name w:val="Title"/>
    <w:basedOn w:val="Normal"/>
    <w:next w:val="Normal"/>
    <w:link w:val="TitleChar"/>
    <w:uiPriority w:val="10"/>
    <w:qFormat/>
    <w:rsid w:val="008A4EC7"/>
    <w:pPr>
      <w:spacing w:after="240" w:line="1120" w:lineRule="exact"/>
      <w:contextualSpacing/>
    </w:pPr>
    <w:rPr>
      <w:rFonts w:ascii="Cambria" w:eastAsia="MS Gothic" w:hAnsi="Cambria"/>
      <w:color w:val="88BBEE"/>
      <w:kern w:val="28"/>
      <w:sz w:val="72"/>
      <w:szCs w:val="60"/>
    </w:rPr>
  </w:style>
  <w:style w:type="character" w:customStyle="1" w:styleId="TitleChar">
    <w:name w:val="Title Char"/>
    <w:basedOn w:val="DefaultParagraphFont"/>
    <w:link w:val="Title"/>
    <w:uiPriority w:val="10"/>
    <w:rsid w:val="008A4EC7"/>
    <w:rPr>
      <w:rFonts w:ascii="Cambria" w:eastAsia="MS Gothic" w:hAnsi="Cambria"/>
      <w:color w:val="88BBEE"/>
      <w:kern w:val="28"/>
      <w:sz w:val="72"/>
      <w:szCs w:val="60"/>
      <w:lang w:eastAsia="en-US"/>
    </w:rPr>
  </w:style>
  <w:style w:type="paragraph" w:customStyle="1" w:styleId="Table">
    <w:name w:val="Table"/>
    <w:basedOn w:val="Caption"/>
    <w:rsid w:val="007C3001"/>
    <w:pPr>
      <w:keepNext/>
      <w:keepLines/>
    </w:pPr>
  </w:style>
  <w:style w:type="paragraph" w:styleId="Bibliography">
    <w:name w:val="Bibliography"/>
    <w:basedOn w:val="Normal"/>
    <w:next w:val="Normal"/>
    <w:uiPriority w:val="37"/>
    <w:semiHidden/>
    <w:unhideWhenUsed/>
    <w:rsid w:val="00BD49DE"/>
  </w:style>
  <w:style w:type="paragraph" w:customStyle="1" w:styleId="AnnexNoTitle0">
    <w:name w:val="Annex_NoTitle"/>
    <w:basedOn w:val="Normal"/>
    <w:next w:val="Normalaftertitle0"/>
    <w:rsid w:val="008608E7"/>
    <w:pPr>
      <w:keepNext/>
      <w:keepLines/>
      <w:spacing w:before="720"/>
      <w:jc w:val="center"/>
      <w:outlineLvl w:val="0"/>
    </w:pPr>
    <w:rPr>
      <w:b/>
      <w:sz w:val="28"/>
    </w:rPr>
  </w:style>
  <w:style w:type="character" w:customStyle="1" w:styleId="Appdef">
    <w:name w:val="App_def"/>
    <w:basedOn w:val="DefaultParagraphFont"/>
    <w:rsid w:val="008608E7"/>
    <w:rPr>
      <w:rFonts w:ascii="Times New Roman" w:hAnsi="Times New Roman"/>
      <w:b/>
    </w:rPr>
  </w:style>
  <w:style w:type="character" w:customStyle="1" w:styleId="Appref">
    <w:name w:val="App_ref"/>
    <w:basedOn w:val="DefaultParagraphFont"/>
    <w:rsid w:val="008608E7"/>
  </w:style>
  <w:style w:type="paragraph" w:customStyle="1" w:styleId="AppendixNoTitle0">
    <w:name w:val="Appendix_NoTitle"/>
    <w:basedOn w:val="AnnexNoTitle0"/>
    <w:next w:val="Normalaftertitle0"/>
    <w:rsid w:val="008608E7"/>
  </w:style>
  <w:style w:type="character" w:customStyle="1" w:styleId="Artdef">
    <w:name w:val="Art_def"/>
    <w:basedOn w:val="DefaultParagraphFont"/>
    <w:rsid w:val="008608E7"/>
    <w:rPr>
      <w:rFonts w:ascii="Times New Roman" w:hAnsi="Times New Roman"/>
      <w:b/>
    </w:rPr>
  </w:style>
  <w:style w:type="paragraph" w:customStyle="1" w:styleId="Artheading">
    <w:name w:val="Art_heading"/>
    <w:basedOn w:val="Normal"/>
    <w:next w:val="Normalaftertitle0"/>
    <w:rsid w:val="008608E7"/>
    <w:pPr>
      <w:spacing w:before="480"/>
      <w:jc w:val="center"/>
    </w:pPr>
    <w:rPr>
      <w:b/>
      <w:sz w:val="28"/>
    </w:rPr>
  </w:style>
  <w:style w:type="paragraph" w:customStyle="1" w:styleId="ArtNo">
    <w:name w:val="Art_No"/>
    <w:basedOn w:val="Normal"/>
    <w:next w:val="Normal"/>
    <w:rsid w:val="008608E7"/>
    <w:pPr>
      <w:keepNext/>
      <w:keepLines/>
      <w:spacing w:before="480"/>
      <w:jc w:val="center"/>
    </w:pPr>
    <w:rPr>
      <w:caps/>
      <w:sz w:val="28"/>
    </w:rPr>
  </w:style>
  <w:style w:type="character" w:customStyle="1" w:styleId="Artref">
    <w:name w:val="Art_ref"/>
    <w:basedOn w:val="DefaultParagraphFont"/>
    <w:rsid w:val="008608E7"/>
  </w:style>
  <w:style w:type="paragraph" w:customStyle="1" w:styleId="Arttitle">
    <w:name w:val="Art_title"/>
    <w:basedOn w:val="Normal"/>
    <w:next w:val="Normalaftertitle0"/>
    <w:rsid w:val="008608E7"/>
    <w:pPr>
      <w:keepNext/>
      <w:keepLines/>
      <w:spacing w:before="240"/>
      <w:jc w:val="center"/>
    </w:pPr>
    <w:rPr>
      <w:b/>
      <w:sz w:val="28"/>
    </w:rPr>
  </w:style>
  <w:style w:type="paragraph" w:customStyle="1" w:styleId="Call">
    <w:name w:val="Call"/>
    <w:basedOn w:val="Normal"/>
    <w:next w:val="Normal"/>
    <w:rsid w:val="008608E7"/>
    <w:pPr>
      <w:keepNext/>
      <w:keepLines/>
      <w:spacing w:before="160"/>
      <w:ind w:left="794"/>
      <w:jc w:val="left"/>
    </w:pPr>
    <w:rPr>
      <w:i/>
    </w:rPr>
  </w:style>
  <w:style w:type="paragraph" w:customStyle="1" w:styleId="ChapNo">
    <w:name w:val="Chap_No"/>
    <w:basedOn w:val="Normal"/>
    <w:next w:val="Normal"/>
    <w:rsid w:val="008608E7"/>
    <w:pPr>
      <w:keepNext/>
      <w:keepLines/>
      <w:spacing w:before="480"/>
      <w:jc w:val="center"/>
    </w:pPr>
    <w:rPr>
      <w:b/>
      <w:caps/>
      <w:sz w:val="28"/>
    </w:rPr>
  </w:style>
  <w:style w:type="paragraph" w:customStyle="1" w:styleId="Chaptitle">
    <w:name w:val="Chap_title"/>
    <w:basedOn w:val="Normal"/>
    <w:next w:val="Normalaftertitle0"/>
    <w:rsid w:val="008608E7"/>
    <w:pPr>
      <w:keepNext/>
      <w:keepLines/>
      <w:spacing w:before="240"/>
      <w:jc w:val="center"/>
    </w:pPr>
    <w:rPr>
      <w:b/>
      <w:sz w:val="28"/>
    </w:rPr>
  </w:style>
  <w:style w:type="paragraph" w:customStyle="1" w:styleId="enumlev3">
    <w:name w:val="enumlev3"/>
    <w:basedOn w:val="enumlev20"/>
    <w:rsid w:val="008608E7"/>
    <w:pPr>
      <w:ind w:left="1588"/>
    </w:pPr>
  </w:style>
  <w:style w:type="paragraph" w:customStyle="1" w:styleId="Equationlegend">
    <w:name w:val="Equation_legend"/>
    <w:basedOn w:val="Normal"/>
    <w:rsid w:val="008608E7"/>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8608E7"/>
    <w:pPr>
      <w:keepLines/>
      <w:spacing w:before="240" w:after="120"/>
      <w:jc w:val="center"/>
    </w:pPr>
    <w:rPr>
      <w:b/>
    </w:rPr>
  </w:style>
  <w:style w:type="paragraph" w:customStyle="1" w:styleId="Figurewithouttitle">
    <w:name w:val="Figure_without_title"/>
    <w:basedOn w:val="Normal"/>
    <w:next w:val="Normalaftertitle0"/>
    <w:rsid w:val="008608E7"/>
    <w:pPr>
      <w:keepLines/>
      <w:spacing w:before="240" w:after="120"/>
      <w:jc w:val="center"/>
    </w:pPr>
  </w:style>
  <w:style w:type="paragraph" w:customStyle="1" w:styleId="FirstFooter">
    <w:name w:val="FirstFooter"/>
    <w:basedOn w:val="Footer"/>
    <w:rsid w:val="008608E7"/>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8608E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ormal">
    <w:name w:val="Formal"/>
    <w:basedOn w:val="ASN1"/>
    <w:rsid w:val="008608E7"/>
    <w:rPr>
      <w:b w:val="0"/>
    </w:rPr>
  </w:style>
  <w:style w:type="paragraph" w:styleId="Index1">
    <w:name w:val="index 1"/>
    <w:basedOn w:val="Normal"/>
    <w:next w:val="Normal"/>
    <w:semiHidden/>
    <w:rsid w:val="008608E7"/>
    <w:pPr>
      <w:jc w:val="left"/>
    </w:pPr>
  </w:style>
  <w:style w:type="paragraph" w:styleId="Index2">
    <w:name w:val="index 2"/>
    <w:basedOn w:val="Normal"/>
    <w:next w:val="Normal"/>
    <w:semiHidden/>
    <w:rsid w:val="008608E7"/>
    <w:pPr>
      <w:ind w:left="284"/>
      <w:jc w:val="left"/>
    </w:pPr>
  </w:style>
  <w:style w:type="paragraph" w:styleId="Index3">
    <w:name w:val="index 3"/>
    <w:basedOn w:val="Normal"/>
    <w:next w:val="Normal"/>
    <w:semiHidden/>
    <w:rsid w:val="008608E7"/>
    <w:pPr>
      <w:ind w:left="567"/>
      <w:jc w:val="left"/>
    </w:pPr>
  </w:style>
  <w:style w:type="paragraph" w:customStyle="1" w:styleId="PartNo">
    <w:name w:val="Part_No"/>
    <w:basedOn w:val="Normal"/>
    <w:next w:val="Normal"/>
    <w:rsid w:val="008608E7"/>
    <w:pPr>
      <w:keepNext/>
      <w:keepLines/>
      <w:spacing w:before="480" w:after="80"/>
      <w:jc w:val="center"/>
    </w:pPr>
    <w:rPr>
      <w:caps/>
      <w:sz w:val="28"/>
    </w:rPr>
  </w:style>
  <w:style w:type="paragraph" w:customStyle="1" w:styleId="Partref">
    <w:name w:val="Part_ref"/>
    <w:basedOn w:val="Normal"/>
    <w:next w:val="Normal"/>
    <w:rsid w:val="008608E7"/>
    <w:pPr>
      <w:keepNext/>
      <w:keepLines/>
      <w:spacing w:before="280"/>
      <w:jc w:val="center"/>
    </w:pPr>
  </w:style>
  <w:style w:type="paragraph" w:customStyle="1" w:styleId="Parttitle">
    <w:name w:val="Part_title"/>
    <w:basedOn w:val="Normal"/>
    <w:next w:val="Normalaftertitle0"/>
    <w:rsid w:val="008608E7"/>
    <w:pPr>
      <w:keepNext/>
      <w:keepLines/>
      <w:spacing w:before="240" w:after="280"/>
      <w:jc w:val="center"/>
    </w:pPr>
    <w:rPr>
      <w:b/>
      <w:sz w:val="28"/>
    </w:rPr>
  </w:style>
  <w:style w:type="paragraph" w:customStyle="1" w:styleId="Recdate">
    <w:name w:val="Rec_date"/>
    <w:basedOn w:val="Normal"/>
    <w:next w:val="Normalaftertitle0"/>
    <w:rsid w:val="008608E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8608E7"/>
  </w:style>
  <w:style w:type="paragraph" w:customStyle="1" w:styleId="QuestionNo">
    <w:name w:val="Question_No"/>
    <w:basedOn w:val="RecNo"/>
    <w:next w:val="Normal"/>
    <w:rsid w:val="008608E7"/>
  </w:style>
  <w:style w:type="paragraph" w:customStyle="1" w:styleId="Recref">
    <w:name w:val="Rec_ref"/>
    <w:basedOn w:val="Normal"/>
    <w:next w:val="Recdate"/>
    <w:rsid w:val="008608E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608E7"/>
  </w:style>
  <w:style w:type="paragraph" w:customStyle="1" w:styleId="Questiontitle">
    <w:name w:val="Question_title"/>
    <w:basedOn w:val="Rectitle"/>
    <w:next w:val="Questionref"/>
    <w:rsid w:val="008608E7"/>
  </w:style>
  <w:style w:type="paragraph" w:customStyle="1" w:styleId="Reftitle">
    <w:name w:val="Ref_title"/>
    <w:basedOn w:val="Normal"/>
    <w:next w:val="Reftext"/>
    <w:rsid w:val="008608E7"/>
    <w:pPr>
      <w:spacing w:before="480"/>
      <w:jc w:val="center"/>
    </w:pPr>
    <w:rPr>
      <w:b/>
    </w:rPr>
  </w:style>
  <w:style w:type="paragraph" w:customStyle="1" w:styleId="Repdate">
    <w:name w:val="Rep_date"/>
    <w:basedOn w:val="Recdate"/>
    <w:next w:val="Normalaftertitle0"/>
    <w:rsid w:val="008608E7"/>
  </w:style>
  <w:style w:type="paragraph" w:customStyle="1" w:styleId="RepNo">
    <w:name w:val="Rep_No"/>
    <w:basedOn w:val="RecNo"/>
    <w:next w:val="Normal"/>
    <w:rsid w:val="008608E7"/>
  </w:style>
  <w:style w:type="paragraph" w:customStyle="1" w:styleId="Repref">
    <w:name w:val="Rep_ref"/>
    <w:basedOn w:val="Recref"/>
    <w:next w:val="Repdate"/>
    <w:rsid w:val="008608E7"/>
  </w:style>
  <w:style w:type="paragraph" w:customStyle="1" w:styleId="Reptitle">
    <w:name w:val="Rep_title"/>
    <w:basedOn w:val="Rectitle"/>
    <w:next w:val="Repref"/>
    <w:rsid w:val="008608E7"/>
  </w:style>
  <w:style w:type="paragraph" w:customStyle="1" w:styleId="Resdate">
    <w:name w:val="Res_date"/>
    <w:basedOn w:val="Recdate"/>
    <w:next w:val="Normalaftertitle0"/>
    <w:rsid w:val="008608E7"/>
  </w:style>
  <w:style w:type="character" w:customStyle="1" w:styleId="Resdef">
    <w:name w:val="Res_def"/>
    <w:basedOn w:val="DefaultParagraphFont"/>
    <w:rsid w:val="008608E7"/>
    <w:rPr>
      <w:rFonts w:ascii="Times New Roman" w:hAnsi="Times New Roman"/>
      <w:b/>
    </w:rPr>
  </w:style>
  <w:style w:type="paragraph" w:customStyle="1" w:styleId="ResNo">
    <w:name w:val="Res_No"/>
    <w:basedOn w:val="RecNo"/>
    <w:next w:val="Normal"/>
    <w:rsid w:val="008608E7"/>
  </w:style>
  <w:style w:type="paragraph" w:customStyle="1" w:styleId="Resref">
    <w:name w:val="Res_ref"/>
    <w:basedOn w:val="Recref"/>
    <w:next w:val="Resdate"/>
    <w:rsid w:val="008608E7"/>
  </w:style>
  <w:style w:type="paragraph" w:customStyle="1" w:styleId="Restitle">
    <w:name w:val="Res_title"/>
    <w:basedOn w:val="Rectitle"/>
    <w:next w:val="Resref"/>
    <w:rsid w:val="008608E7"/>
  </w:style>
  <w:style w:type="paragraph" w:customStyle="1" w:styleId="Section1">
    <w:name w:val="Section_1"/>
    <w:basedOn w:val="Normal"/>
    <w:next w:val="Normal"/>
    <w:rsid w:val="008608E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608E7"/>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608E7"/>
    <w:pPr>
      <w:keepNext/>
      <w:keepLines/>
      <w:spacing w:before="480" w:after="80"/>
      <w:jc w:val="center"/>
    </w:pPr>
    <w:rPr>
      <w:caps/>
      <w:sz w:val="28"/>
    </w:rPr>
  </w:style>
  <w:style w:type="paragraph" w:customStyle="1" w:styleId="Sectiontitle">
    <w:name w:val="Section_title"/>
    <w:basedOn w:val="Normal"/>
    <w:next w:val="Normalaftertitle0"/>
    <w:rsid w:val="008608E7"/>
    <w:pPr>
      <w:keepNext/>
      <w:keepLines/>
      <w:spacing w:before="480" w:after="280"/>
      <w:jc w:val="center"/>
    </w:pPr>
    <w:rPr>
      <w:b/>
      <w:sz w:val="28"/>
    </w:rPr>
  </w:style>
  <w:style w:type="paragraph" w:customStyle="1" w:styleId="Source">
    <w:name w:val="Source"/>
    <w:basedOn w:val="Normal"/>
    <w:next w:val="Normalaftertitle0"/>
    <w:rsid w:val="008608E7"/>
    <w:pPr>
      <w:spacing w:before="840" w:after="200"/>
      <w:jc w:val="center"/>
    </w:pPr>
    <w:rPr>
      <w:b/>
      <w:sz w:val="28"/>
    </w:rPr>
  </w:style>
  <w:style w:type="paragraph" w:customStyle="1" w:styleId="SpecialFooter">
    <w:name w:val="Special Footer"/>
    <w:basedOn w:val="Footer"/>
    <w:rsid w:val="008608E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8608E7"/>
    <w:rPr>
      <w:b/>
      <w:color w:val="auto"/>
    </w:rPr>
  </w:style>
  <w:style w:type="paragraph" w:customStyle="1" w:styleId="TableNoTitle0">
    <w:name w:val="Table_NoTitle"/>
    <w:basedOn w:val="Normal"/>
    <w:next w:val="Tablehead"/>
    <w:rsid w:val="008608E7"/>
    <w:pPr>
      <w:keepNext/>
      <w:keepLines/>
      <w:spacing w:before="360" w:after="120"/>
      <w:jc w:val="center"/>
    </w:pPr>
    <w:rPr>
      <w:b/>
    </w:rPr>
  </w:style>
  <w:style w:type="paragraph" w:customStyle="1" w:styleId="Title1">
    <w:name w:val="Title 1"/>
    <w:basedOn w:val="Source"/>
    <w:next w:val="Normal"/>
    <w:rsid w:val="008608E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608E7"/>
  </w:style>
  <w:style w:type="paragraph" w:customStyle="1" w:styleId="Title3">
    <w:name w:val="Title 3"/>
    <w:basedOn w:val="Title2"/>
    <w:next w:val="Normal"/>
    <w:rsid w:val="008608E7"/>
    <w:rPr>
      <w:caps w:val="0"/>
    </w:rPr>
  </w:style>
  <w:style w:type="paragraph" w:customStyle="1" w:styleId="Title4">
    <w:name w:val="Title 4"/>
    <w:basedOn w:val="Title3"/>
    <w:next w:val="Heading1"/>
    <w:rsid w:val="008608E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2646">
      <w:bodyDiv w:val="1"/>
      <w:marLeft w:val="0"/>
      <w:marRight w:val="0"/>
      <w:marTop w:val="0"/>
      <w:marBottom w:val="0"/>
      <w:divBdr>
        <w:top w:val="none" w:sz="0" w:space="0" w:color="auto"/>
        <w:left w:val="none" w:sz="0" w:space="0" w:color="auto"/>
        <w:bottom w:val="none" w:sz="0" w:space="0" w:color="auto"/>
        <w:right w:val="none" w:sz="0" w:space="0" w:color="auto"/>
      </w:divBdr>
    </w:div>
    <w:div w:id="440689797">
      <w:bodyDiv w:val="1"/>
      <w:marLeft w:val="0"/>
      <w:marRight w:val="0"/>
      <w:marTop w:val="0"/>
      <w:marBottom w:val="0"/>
      <w:divBdr>
        <w:top w:val="none" w:sz="0" w:space="0" w:color="auto"/>
        <w:left w:val="none" w:sz="0" w:space="0" w:color="auto"/>
        <w:bottom w:val="none" w:sz="0" w:space="0" w:color="auto"/>
        <w:right w:val="none" w:sz="0" w:space="0" w:color="auto"/>
      </w:divBdr>
    </w:div>
    <w:div w:id="761224206">
      <w:bodyDiv w:val="1"/>
      <w:marLeft w:val="0"/>
      <w:marRight w:val="0"/>
      <w:marTop w:val="0"/>
      <w:marBottom w:val="0"/>
      <w:divBdr>
        <w:top w:val="none" w:sz="0" w:space="0" w:color="auto"/>
        <w:left w:val="none" w:sz="0" w:space="0" w:color="auto"/>
        <w:bottom w:val="none" w:sz="0" w:space="0" w:color="auto"/>
        <w:right w:val="none" w:sz="0" w:space="0" w:color="auto"/>
      </w:divBdr>
    </w:div>
    <w:div w:id="1334456308">
      <w:bodyDiv w:val="1"/>
      <w:marLeft w:val="0"/>
      <w:marRight w:val="0"/>
      <w:marTop w:val="0"/>
      <w:marBottom w:val="0"/>
      <w:divBdr>
        <w:top w:val="none" w:sz="0" w:space="0" w:color="auto"/>
        <w:left w:val="none" w:sz="0" w:space="0" w:color="auto"/>
        <w:bottom w:val="none" w:sz="0" w:space="0" w:color="auto"/>
        <w:right w:val="none" w:sz="0" w:space="0" w:color="auto"/>
      </w:divBdr>
    </w:div>
    <w:div w:id="15224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cb.gov.br/Pom/Spb/Ing/Payment_Cards_Repor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worldbank.org/curated/en/806481470154477031/pdf/107382-WP-REPLLACEMENT-PUBLIC-PAFI-Report-final-in-A4.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3.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BF677-35F8-4CC4-B5AC-B5AB0A87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72</TotalTime>
  <Pages>14</Pages>
  <Words>4271</Words>
  <Characters>24349</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Technical Report</vt:lpstr>
      <vt:lpstr>Technical Report</vt:lpstr>
    </vt:vector>
  </TitlesOfParts>
  <Manager>ITU-T</Manager>
  <Company>International Telecommunication Union (ITU)</Company>
  <LinksUpToDate>false</LinksUpToDate>
  <CharactersWithSpaces>28563</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subject/>
  <dc:creator>vmauree@hotmail.com</dc:creator>
  <cp:keywords/>
  <dc:description>Template updated 2014-10-15</dc:description>
  <cp:lastModifiedBy>TSB-AC</cp:lastModifiedBy>
  <cp:revision>26</cp:revision>
  <cp:lastPrinted>2019-08-26T13:43:00Z</cp:lastPrinted>
  <dcterms:created xsi:type="dcterms:W3CDTF">2019-07-22T17:02:00Z</dcterms:created>
  <dcterms:modified xsi:type="dcterms:W3CDTF">2019-08-29T12:36:00Z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