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2029"/>
        <w:gridCol w:w="3971"/>
      </w:tblGrid>
      <w:tr w:rsidR="00B74D54" w:rsidRPr="00256A6B" w14:paraId="4829EB74" w14:textId="77777777" w:rsidTr="00B74D54">
        <w:trPr>
          <w:trHeight w:hRule="exact" w:val="1418"/>
        </w:trPr>
        <w:tc>
          <w:tcPr>
            <w:tcW w:w="1428" w:type="dxa"/>
            <w:gridSpan w:val="2"/>
          </w:tcPr>
          <w:p w14:paraId="55EDE966" w14:textId="77777777" w:rsidR="00B74D54" w:rsidRPr="00256A6B" w:rsidRDefault="00B74D54" w:rsidP="00D16D8C">
            <w:pPr>
              <w:rPr>
                <w:b/>
                <w:sz w:val="16"/>
                <w:lang w:val="es-ES_tradnl"/>
              </w:rPr>
            </w:pPr>
            <w:bookmarkStart w:id="0" w:name="_GoBack"/>
            <w:bookmarkEnd w:id="0"/>
          </w:p>
        </w:tc>
        <w:tc>
          <w:tcPr>
            <w:tcW w:w="8520" w:type="dxa"/>
            <w:gridSpan w:val="3"/>
          </w:tcPr>
          <w:p w14:paraId="149235E2" w14:textId="5CCFD28A" w:rsidR="00B74D54" w:rsidRPr="00256A6B" w:rsidRDefault="00787CD5" w:rsidP="009D3F7C">
            <w:pPr>
              <w:tabs>
                <w:tab w:val="left" w:pos="4843"/>
                <w:tab w:val="left" w:pos="7678"/>
              </w:tabs>
              <w:spacing w:before="284"/>
              <w:ind w:right="-366"/>
              <w:rPr>
                <w:rFonts w:ascii="Arial" w:hAnsi="Arial" w:cs="Arial"/>
                <w:b/>
                <w:bCs/>
                <w:sz w:val="18"/>
                <w:lang w:val="es-ES_tradnl"/>
              </w:rPr>
            </w:pPr>
            <w:r w:rsidRPr="00256A6B">
              <w:rPr>
                <w:rFonts w:ascii="Arial" w:hAnsi="Arial" w:cs="Arial"/>
                <w:b/>
                <w:bCs/>
                <w:color w:val="808080"/>
                <w:spacing w:val="100"/>
                <w:lang w:val="es-ES_tradnl"/>
              </w:rPr>
              <w:t>Unión Internacional de T</w:t>
            </w:r>
            <w:r w:rsidR="000215D4" w:rsidRPr="00256A6B">
              <w:rPr>
                <w:rFonts w:ascii="Arial" w:hAnsi="Arial" w:cs="Arial"/>
                <w:b/>
                <w:bCs/>
                <w:color w:val="808080"/>
                <w:spacing w:val="100"/>
                <w:lang w:val="es-ES_tradnl"/>
              </w:rPr>
              <w:t>elecomunicaciones</w:t>
            </w:r>
          </w:p>
        </w:tc>
      </w:tr>
      <w:tr w:rsidR="00B74D54" w:rsidRPr="00256A6B" w14:paraId="3275FBCF" w14:textId="77777777" w:rsidTr="00B74D54">
        <w:trPr>
          <w:trHeight w:hRule="exact" w:val="992"/>
        </w:trPr>
        <w:tc>
          <w:tcPr>
            <w:tcW w:w="1428" w:type="dxa"/>
            <w:gridSpan w:val="2"/>
          </w:tcPr>
          <w:p w14:paraId="0B3A9E81" w14:textId="77777777" w:rsidR="00B74D54" w:rsidRPr="00256A6B" w:rsidRDefault="00B74D54" w:rsidP="00B74D54">
            <w:pPr>
              <w:spacing w:before="0"/>
              <w:rPr>
                <w:lang w:val="es-ES_tradnl"/>
              </w:rPr>
            </w:pPr>
          </w:p>
        </w:tc>
        <w:tc>
          <w:tcPr>
            <w:tcW w:w="8520" w:type="dxa"/>
            <w:gridSpan w:val="3"/>
          </w:tcPr>
          <w:p w14:paraId="62DF7AC6" w14:textId="77777777" w:rsidR="00B74D54" w:rsidRPr="00256A6B" w:rsidRDefault="00B74D54" w:rsidP="00B74D54">
            <w:pPr>
              <w:rPr>
                <w:lang w:val="es-ES_tradnl"/>
              </w:rPr>
            </w:pPr>
          </w:p>
        </w:tc>
      </w:tr>
      <w:tr w:rsidR="00B74D54" w:rsidRPr="00256A6B" w14:paraId="28CE0C21" w14:textId="77777777" w:rsidTr="00B74D54">
        <w:tblPrEx>
          <w:tblCellMar>
            <w:left w:w="85" w:type="dxa"/>
            <w:right w:w="85" w:type="dxa"/>
          </w:tblCellMar>
        </w:tblPrEx>
        <w:trPr>
          <w:gridBefore w:val="2"/>
          <w:wBefore w:w="1428" w:type="dxa"/>
        </w:trPr>
        <w:tc>
          <w:tcPr>
            <w:tcW w:w="2520" w:type="dxa"/>
          </w:tcPr>
          <w:p w14:paraId="734A1408" w14:textId="511E490B" w:rsidR="00B74D54" w:rsidRPr="00256A6B" w:rsidRDefault="009D3F7C" w:rsidP="00B74D54">
            <w:pPr>
              <w:rPr>
                <w:b/>
                <w:sz w:val="18"/>
                <w:lang w:val="es-ES_tradnl"/>
              </w:rPr>
            </w:pPr>
            <w:bookmarkStart w:id="1" w:name="dnume" w:colFirst="1" w:colLast="1"/>
            <w:r w:rsidRPr="00256A6B">
              <w:rPr>
                <w:rFonts w:ascii="Arial" w:hAnsi="Arial"/>
                <w:b/>
                <w:spacing w:val="40"/>
                <w:sz w:val="72"/>
                <w:lang w:val="es-ES_tradnl"/>
              </w:rPr>
              <w:t>UIT</w:t>
            </w:r>
            <w:r w:rsidR="00B74D54" w:rsidRPr="00256A6B">
              <w:rPr>
                <w:rFonts w:ascii="Arial" w:hAnsi="Arial"/>
                <w:b/>
                <w:spacing w:val="40"/>
                <w:sz w:val="72"/>
                <w:lang w:val="es-ES_tradnl"/>
              </w:rPr>
              <w:t>-T</w:t>
            </w:r>
          </w:p>
        </w:tc>
        <w:tc>
          <w:tcPr>
            <w:tcW w:w="6000" w:type="dxa"/>
            <w:gridSpan w:val="2"/>
          </w:tcPr>
          <w:p w14:paraId="7BEF5CF5" w14:textId="39C72553" w:rsidR="00B74D54" w:rsidRPr="00256A6B" w:rsidRDefault="00C85241" w:rsidP="00B74D54">
            <w:pPr>
              <w:spacing w:before="240"/>
              <w:jc w:val="right"/>
              <w:rPr>
                <w:rFonts w:ascii="Arial" w:hAnsi="Arial" w:cs="Arial"/>
                <w:b/>
                <w:sz w:val="60"/>
                <w:lang w:val="es-ES_tradnl"/>
              </w:rPr>
            </w:pPr>
            <w:r w:rsidRPr="00256A6B">
              <w:rPr>
                <w:rFonts w:ascii="Arial" w:hAnsi="Arial"/>
                <w:b/>
                <w:sz w:val="60"/>
                <w:lang w:val="es-ES_tradnl"/>
              </w:rPr>
              <w:t>Informe T</w:t>
            </w:r>
            <w:r w:rsidR="00493594" w:rsidRPr="00256A6B">
              <w:rPr>
                <w:rFonts w:ascii="Arial" w:hAnsi="Arial"/>
                <w:b/>
                <w:sz w:val="60"/>
                <w:lang w:val="es-ES_tradnl"/>
              </w:rPr>
              <w:t>écnico</w:t>
            </w:r>
          </w:p>
        </w:tc>
      </w:tr>
      <w:tr w:rsidR="00B74D54" w:rsidRPr="00256A6B" w14:paraId="63B29285" w14:textId="77777777" w:rsidTr="00B74D54">
        <w:tblPrEx>
          <w:tblCellMar>
            <w:left w:w="85" w:type="dxa"/>
            <w:right w:w="85" w:type="dxa"/>
          </w:tblCellMar>
        </w:tblPrEx>
        <w:trPr>
          <w:gridBefore w:val="2"/>
          <w:wBefore w:w="1428" w:type="dxa"/>
          <w:trHeight w:val="974"/>
        </w:trPr>
        <w:tc>
          <w:tcPr>
            <w:tcW w:w="4549" w:type="dxa"/>
            <w:gridSpan w:val="2"/>
          </w:tcPr>
          <w:p w14:paraId="03B421D6" w14:textId="3E46416E" w:rsidR="00B74D54" w:rsidRPr="00256A6B" w:rsidRDefault="00493594" w:rsidP="00B74D54">
            <w:pPr>
              <w:rPr>
                <w:b/>
                <w:lang w:val="es-ES_tradnl"/>
              </w:rPr>
            </w:pPr>
            <w:bookmarkStart w:id="2" w:name="ddatee" w:colFirst="1" w:colLast="1"/>
            <w:bookmarkEnd w:id="1"/>
            <w:r w:rsidRPr="00256A6B">
              <w:rPr>
                <w:rFonts w:ascii="Arial" w:hAnsi="Arial"/>
                <w:lang w:val="es-ES_tradnl"/>
              </w:rPr>
              <w:t xml:space="preserve">SECTOR DE NORMALIZACIÓN </w:t>
            </w:r>
            <w:r w:rsidR="009D3F7C" w:rsidRPr="00256A6B">
              <w:rPr>
                <w:rFonts w:ascii="Arial" w:hAnsi="Arial"/>
                <w:lang w:val="es-ES_tradnl"/>
              </w:rPr>
              <w:br/>
            </w:r>
            <w:r w:rsidRPr="00256A6B">
              <w:rPr>
                <w:rFonts w:ascii="Arial" w:hAnsi="Arial"/>
                <w:lang w:val="es-ES_tradnl"/>
              </w:rPr>
              <w:t xml:space="preserve">DE LAS TELECOMUNICACIONES </w:t>
            </w:r>
            <w:r w:rsidR="009D3F7C" w:rsidRPr="00256A6B">
              <w:rPr>
                <w:rFonts w:ascii="Arial" w:hAnsi="Arial"/>
                <w:lang w:val="es-ES_tradnl"/>
              </w:rPr>
              <w:br/>
            </w:r>
            <w:r w:rsidRPr="00256A6B">
              <w:rPr>
                <w:rFonts w:ascii="Arial" w:hAnsi="Arial"/>
                <w:lang w:val="es-ES_tradnl"/>
              </w:rPr>
              <w:t>DE LA UIT</w:t>
            </w:r>
          </w:p>
        </w:tc>
        <w:tc>
          <w:tcPr>
            <w:tcW w:w="3971" w:type="dxa"/>
          </w:tcPr>
          <w:p w14:paraId="3082CC09" w14:textId="77777777" w:rsidR="00B74D54" w:rsidRPr="00256A6B" w:rsidRDefault="00B74D54" w:rsidP="00B74D54">
            <w:pPr>
              <w:spacing w:before="284"/>
              <w:rPr>
                <w:lang w:val="es-ES_tradnl"/>
              </w:rPr>
            </w:pPr>
          </w:p>
          <w:p w14:paraId="24DA3F13" w14:textId="2685744F" w:rsidR="00B74D54" w:rsidRPr="00256A6B" w:rsidRDefault="00B74D54" w:rsidP="00C142FB">
            <w:pPr>
              <w:wordWrap w:val="0"/>
              <w:spacing w:before="284"/>
              <w:jc w:val="right"/>
              <w:rPr>
                <w:rFonts w:ascii="Arial" w:hAnsi="Arial"/>
                <w:sz w:val="28"/>
                <w:lang w:val="es-ES_tradnl"/>
              </w:rPr>
            </w:pPr>
            <w:r w:rsidRPr="00256A6B">
              <w:rPr>
                <w:rFonts w:ascii="Arial" w:hAnsi="Arial"/>
                <w:sz w:val="28"/>
                <w:lang w:val="es-ES_tradnl"/>
              </w:rPr>
              <w:t>(</w:t>
            </w:r>
            <w:r w:rsidR="00C142FB">
              <w:rPr>
                <w:rFonts w:ascii="Arial" w:hAnsi="Arial"/>
                <w:sz w:val="28"/>
                <w:lang w:val="es-ES_tradnl"/>
              </w:rPr>
              <w:t>1</w:t>
            </w:r>
            <w:r w:rsidRPr="00256A6B">
              <w:rPr>
                <w:rFonts w:ascii="Arial" w:hAnsi="Arial"/>
                <w:sz w:val="28"/>
                <w:lang w:val="es-ES_tradnl"/>
              </w:rPr>
              <w:t xml:space="preserve">1 </w:t>
            </w:r>
            <w:r w:rsidR="00493594" w:rsidRPr="00256A6B">
              <w:rPr>
                <w:rFonts w:ascii="Arial" w:hAnsi="Arial"/>
                <w:sz w:val="28"/>
                <w:lang w:val="es-ES_tradnl"/>
              </w:rPr>
              <w:t xml:space="preserve">de </w:t>
            </w:r>
            <w:r w:rsidR="00C142FB">
              <w:rPr>
                <w:rFonts w:ascii="Arial" w:hAnsi="Arial"/>
                <w:sz w:val="28"/>
                <w:lang w:val="es-ES_tradnl"/>
              </w:rPr>
              <w:t>diciembre</w:t>
            </w:r>
            <w:r w:rsidR="00493594" w:rsidRPr="00256A6B">
              <w:rPr>
                <w:rFonts w:ascii="Arial" w:hAnsi="Arial"/>
                <w:sz w:val="28"/>
                <w:lang w:val="es-ES_tradnl"/>
              </w:rPr>
              <w:t xml:space="preserve"> de</w:t>
            </w:r>
            <w:r w:rsidRPr="00256A6B">
              <w:rPr>
                <w:rFonts w:ascii="Arial" w:hAnsi="Arial"/>
                <w:sz w:val="28"/>
                <w:lang w:val="es-ES_tradnl"/>
              </w:rPr>
              <w:t xml:space="preserve"> 201</w:t>
            </w:r>
            <w:r w:rsidR="00C142FB">
              <w:rPr>
                <w:rFonts w:ascii="Arial" w:hAnsi="Arial"/>
                <w:sz w:val="28"/>
                <w:lang w:val="es-ES_tradnl"/>
              </w:rPr>
              <w:t>5</w:t>
            </w:r>
            <w:r w:rsidRPr="00256A6B">
              <w:rPr>
                <w:rFonts w:ascii="Arial" w:hAnsi="Arial"/>
                <w:sz w:val="28"/>
                <w:lang w:val="es-ES_tradnl"/>
              </w:rPr>
              <w:t>)</w:t>
            </w:r>
          </w:p>
        </w:tc>
      </w:tr>
      <w:tr w:rsidR="00B74D54" w:rsidRPr="00256A6B" w14:paraId="136F1F98" w14:textId="77777777" w:rsidTr="00B74D54">
        <w:trPr>
          <w:cantSplit/>
          <w:trHeight w:hRule="exact" w:val="3402"/>
        </w:trPr>
        <w:tc>
          <w:tcPr>
            <w:tcW w:w="1418" w:type="dxa"/>
          </w:tcPr>
          <w:p w14:paraId="54ABD141" w14:textId="77777777" w:rsidR="00B74D54" w:rsidRPr="00256A6B" w:rsidRDefault="00B74D54" w:rsidP="00B74D54">
            <w:pPr>
              <w:tabs>
                <w:tab w:val="right" w:pos="9639"/>
              </w:tabs>
              <w:rPr>
                <w:rFonts w:ascii="Arial" w:hAnsi="Arial"/>
                <w:sz w:val="18"/>
                <w:lang w:val="es-ES_tradnl"/>
              </w:rPr>
            </w:pPr>
            <w:bookmarkStart w:id="3" w:name="dsece" w:colFirst="1" w:colLast="1"/>
            <w:bookmarkEnd w:id="2"/>
          </w:p>
        </w:tc>
        <w:tc>
          <w:tcPr>
            <w:tcW w:w="8530" w:type="dxa"/>
            <w:gridSpan w:val="4"/>
            <w:tcBorders>
              <w:bottom w:val="single" w:sz="12" w:space="0" w:color="auto"/>
            </w:tcBorders>
            <w:vAlign w:val="bottom"/>
          </w:tcPr>
          <w:p w14:paraId="5E879BC1" w14:textId="375E64FD" w:rsidR="00B74D54" w:rsidRPr="00256A6B" w:rsidRDefault="00B74D54" w:rsidP="00B83ADF">
            <w:pPr>
              <w:tabs>
                <w:tab w:val="right" w:pos="9639"/>
              </w:tabs>
              <w:rPr>
                <w:rFonts w:ascii="Arial" w:hAnsi="Arial"/>
                <w:sz w:val="32"/>
                <w:lang w:val="es-ES_tradnl"/>
              </w:rPr>
            </w:pPr>
          </w:p>
        </w:tc>
      </w:tr>
      <w:tr w:rsidR="00B74D54" w:rsidRPr="00256A6B" w14:paraId="0927C12A" w14:textId="77777777" w:rsidTr="00B74D54">
        <w:trPr>
          <w:cantSplit/>
          <w:trHeight w:hRule="exact" w:val="4536"/>
        </w:trPr>
        <w:tc>
          <w:tcPr>
            <w:tcW w:w="1418" w:type="dxa"/>
          </w:tcPr>
          <w:p w14:paraId="291BD3F3" w14:textId="77777777" w:rsidR="00B74D54" w:rsidRPr="00256A6B" w:rsidRDefault="00B74D54" w:rsidP="00B74D54">
            <w:pPr>
              <w:tabs>
                <w:tab w:val="right" w:pos="9639"/>
              </w:tabs>
              <w:rPr>
                <w:rFonts w:asciiTheme="minorBidi" w:hAnsiTheme="minorBidi" w:cstheme="minorBidi"/>
                <w:b/>
                <w:bCs/>
                <w:sz w:val="36"/>
                <w:szCs w:val="36"/>
                <w:lang w:val="es-ES_tradnl"/>
              </w:rPr>
            </w:pPr>
            <w:bookmarkStart w:id="4" w:name="c1tite" w:colFirst="1" w:colLast="1"/>
            <w:bookmarkEnd w:id="3"/>
          </w:p>
        </w:tc>
        <w:tc>
          <w:tcPr>
            <w:tcW w:w="8530" w:type="dxa"/>
            <w:gridSpan w:val="4"/>
          </w:tcPr>
          <w:p w14:paraId="5D8F94CF" w14:textId="5BABC03D" w:rsidR="00B74D54" w:rsidRPr="00256A6B" w:rsidRDefault="00493594" w:rsidP="009D3F7C">
            <w:pPr>
              <w:rPr>
                <w:rFonts w:asciiTheme="minorBidi" w:hAnsiTheme="minorBidi" w:cstheme="minorBidi"/>
                <w:b/>
                <w:bCs/>
                <w:sz w:val="36"/>
                <w:szCs w:val="36"/>
                <w:lang w:val="es-ES_tradnl"/>
              </w:rPr>
            </w:pPr>
            <w:r w:rsidRPr="00256A6B">
              <w:rPr>
                <w:rFonts w:asciiTheme="minorBidi" w:hAnsiTheme="minorBidi" w:cstheme="minorBidi"/>
                <w:b/>
                <w:bCs/>
                <w:sz w:val="36"/>
                <w:szCs w:val="36"/>
                <w:lang w:val="es-ES_tradnl"/>
              </w:rPr>
              <w:t>Equipos TIC falsificados</w:t>
            </w:r>
          </w:p>
        </w:tc>
      </w:tr>
      <w:bookmarkEnd w:id="4"/>
      <w:tr w:rsidR="00B74D54" w:rsidRPr="00256A6B" w14:paraId="6AF8EA01" w14:textId="77777777" w:rsidTr="00B74D54">
        <w:trPr>
          <w:cantSplit/>
          <w:trHeight w:hRule="exact" w:val="1418"/>
        </w:trPr>
        <w:tc>
          <w:tcPr>
            <w:tcW w:w="1418" w:type="dxa"/>
          </w:tcPr>
          <w:p w14:paraId="552A0C4C" w14:textId="77777777" w:rsidR="00B74D54" w:rsidRPr="00256A6B" w:rsidRDefault="00B74D54" w:rsidP="00B74D54">
            <w:pPr>
              <w:tabs>
                <w:tab w:val="right" w:pos="9639"/>
              </w:tabs>
              <w:rPr>
                <w:rFonts w:ascii="Arial" w:hAnsi="Arial"/>
                <w:sz w:val="18"/>
                <w:lang w:val="es-ES_tradnl"/>
              </w:rPr>
            </w:pPr>
          </w:p>
        </w:tc>
        <w:tc>
          <w:tcPr>
            <w:tcW w:w="8530" w:type="dxa"/>
            <w:gridSpan w:val="4"/>
            <w:vAlign w:val="bottom"/>
          </w:tcPr>
          <w:p w14:paraId="4926A79C" w14:textId="77777777" w:rsidR="00B74D54" w:rsidRPr="00256A6B" w:rsidRDefault="00B74D54" w:rsidP="00B74D54">
            <w:pPr>
              <w:tabs>
                <w:tab w:val="right" w:pos="9639"/>
              </w:tabs>
              <w:spacing w:before="60"/>
              <w:jc w:val="right"/>
              <w:rPr>
                <w:rFonts w:ascii="Arial" w:hAnsi="Arial" w:cs="Arial"/>
                <w:sz w:val="32"/>
                <w:lang w:val="es-ES_tradnl"/>
              </w:rPr>
            </w:pPr>
            <w:bookmarkStart w:id="5" w:name="dnum2e"/>
            <w:bookmarkEnd w:id="5"/>
          </w:p>
        </w:tc>
      </w:tr>
    </w:tbl>
    <w:p w14:paraId="6A361C80" w14:textId="77777777" w:rsidR="00B74D54" w:rsidRPr="00256A6B" w:rsidRDefault="00B74D54" w:rsidP="00B74D54">
      <w:pPr>
        <w:spacing w:after="120"/>
        <w:jc w:val="center"/>
        <w:rPr>
          <w:lang w:val="es-ES_tradnl"/>
        </w:rPr>
        <w:sectPr w:rsidR="00B74D54" w:rsidRPr="00256A6B" w:rsidSect="00B74D54">
          <w:headerReference w:type="first" r:id="rId8"/>
          <w:footerReference w:type="first" r:id="rId9"/>
          <w:pgSz w:w="11907" w:h="16840"/>
          <w:pgMar w:top="1417" w:right="1134" w:bottom="851" w:left="1134" w:header="720" w:footer="720" w:gutter="0"/>
          <w:cols w:space="720"/>
          <w:titlePg/>
          <w:docGrid w:linePitch="326"/>
        </w:sectPr>
      </w:pPr>
    </w:p>
    <w:p w14:paraId="38F04952" w14:textId="777DEFB2" w:rsidR="00B74D54" w:rsidRPr="00256A6B" w:rsidRDefault="00493594" w:rsidP="00173B3F">
      <w:pPr>
        <w:pStyle w:val="Headingb"/>
        <w:rPr>
          <w:lang w:val="es-ES_tradnl"/>
        </w:rPr>
      </w:pPr>
      <w:bookmarkStart w:id="6" w:name="_Toc44995568"/>
      <w:r w:rsidRPr="00256A6B">
        <w:rPr>
          <w:lang w:val="es-ES_tradnl"/>
        </w:rPr>
        <w:lastRenderedPageBreak/>
        <w:t>Resumen</w:t>
      </w:r>
    </w:p>
    <w:bookmarkEnd w:id="6"/>
    <w:p w14:paraId="75399B10" w14:textId="02FCDC0A" w:rsidR="000159EE" w:rsidRPr="00256A6B" w:rsidRDefault="00493594" w:rsidP="00DC29C8">
      <w:pPr>
        <w:rPr>
          <w:lang w:val="es-ES_tradnl"/>
        </w:rPr>
      </w:pPr>
      <w:r w:rsidRPr="00256A6B">
        <w:rPr>
          <w:lang w:val="es-ES_tradnl"/>
        </w:rPr>
        <w:t xml:space="preserve">La falsificación está </w:t>
      </w:r>
      <w:r w:rsidR="00544BDD" w:rsidRPr="00256A6B">
        <w:rPr>
          <w:lang w:val="es-ES_tradnl"/>
        </w:rPr>
        <w:t>ampliamente</w:t>
      </w:r>
      <w:r w:rsidRPr="00256A6B">
        <w:rPr>
          <w:lang w:val="es-ES_tradnl"/>
        </w:rPr>
        <w:t xml:space="preserve"> reconocida como un problema </w:t>
      </w:r>
      <w:r w:rsidR="00544BDD" w:rsidRPr="00256A6B">
        <w:rPr>
          <w:lang w:val="es-ES_tradnl"/>
        </w:rPr>
        <w:t xml:space="preserve">socioeconómico </w:t>
      </w:r>
      <w:r w:rsidRPr="00256A6B">
        <w:rPr>
          <w:lang w:val="es-ES_tradnl"/>
        </w:rPr>
        <w:t>creciente</w:t>
      </w:r>
      <w:r w:rsidR="000159EE" w:rsidRPr="00256A6B">
        <w:rPr>
          <w:lang w:val="es-ES_tradnl"/>
        </w:rPr>
        <w:t xml:space="preserve"> </w:t>
      </w:r>
      <w:r w:rsidR="00544BDD" w:rsidRPr="00256A6B">
        <w:rPr>
          <w:lang w:val="es-ES_tradnl"/>
        </w:rPr>
        <w:t xml:space="preserve">e importante. El presente Informe Técnico </w:t>
      </w:r>
      <w:r w:rsidR="00350538" w:rsidRPr="00256A6B">
        <w:rPr>
          <w:lang w:val="es-ES_tradnl"/>
        </w:rPr>
        <w:t>proporciona</w:t>
      </w:r>
      <w:r w:rsidR="00544BDD" w:rsidRPr="00256A6B">
        <w:rPr>
          <w:lang w:val="es-ES_tradnl"/>
        </w:rPr>
        <w:t xml:space="preserve"> información</w:t>
      </w:r>
      <w:r w:rsidR="000159EE" w:rsidRPr="00256A6B">
        <w:rPr>
          <w:lang w:val="es-ES_tradnl"/>
        </w:rPr>
        <w:t xml:space="preserve"> </w:t>
      </w:r>
      <w:r w:rsidR="00544BDD" w:rsidRPr="00256A6B">
        <w:rPr>
          <w:lang w:val="es-ES_tradnl"/>
        </w:rPr>
        <w:t>básica sobre la naturaleza de las cuestiones relativas a la falsificación de equipos</w:t>
      </w:r>
      <w:r w:rsidR="000159EE" w:rsidRPr="00256A6B">
        <w:rPr>
          <w:lang w:val="es-ES_tradnl"/>
        </w:rPr>
        <w:t xml:space="preserve"> </w:t>
      </w:r>
      <w:r w:rsidR="00DC29C8">
        <w:rPr>
          <w:lang w:val="es-ES_tradnl"/>
        </w:rPr>
        <w:t>de</w:t>
      </w:r>
      <w:r w:rsidR="00544BDD" w:rsidRPr="00256A6B">
        <w:rPr>
          <w:lang w:val="es-ES_tradnl"/>
        </w:rPr>
        <w:t xml:space="preserve"> tecnologías de la información y de la comunicación (TIC)</w:t>
      </w:r>
      <w:r w:rsidR="00B9522F" w:rsidRPr="00256A6B">
        <w:rPr>
          <w:lang w:val="es-ES_tradnl"/>
        </w:rPr>
        <w:t>,</w:t>
      </w:r>
      <w:r w:rsidR="00350538" w:rsidRPr="00256A6B">
        <w:rPr>
          <w:lang w:val="es-ES_tradnl"/>
        </w:rPr>
        <w:t xml:space="preserve"> considera</w:t>
      </w:r>
      <w:r w:rsidR="00544BDD" w:rsidRPr="00256A6B">
        <w:rPr>
          <w:lang w:val="es-ES_tradnl"/>
        </w:rPr>
        <w:t xml:space="preserve"> los convenios internacionales que </w:t>
      </w:r>
      <w:r w:rsidR="00350538" w:rsidRPr="00256A6B">
        <w:rPr>
          <w:lang w:val="es-ES_tradnl"/>
        </w:rPr>
        <w:t xml:space="preserve">tratan </w:t>
      </w:r>
      <w:r w:rsidR="00544BDD" w:rsidRPr="00256A6B">
        <w:rPr>
          <w:lang w:val="es-ES_tradnl"/>
        </w:rPr>
        <w:t xml:space="preserve">este tipo de infracción de </w:t>
      </w:r>
      <w:r w:rsidR="0016601F" w:rsidRPr="00256A6B">
        <w:rPr>
          <w:lang w:val="es-ES_tradnl"/>
        </w:rPr>
        <w:t>l</w:t>
      </w:r>
      <w:r w:rsidR="00544BDD" w:rsidRPr="00256A6B">
        <w:rPr>
          <w:lang w:val="es-ES_tradnl"/>
        </w:rPr>
        <w:t xml:space="preserve">os derechos </w:t>
      </w:r>
      <w:r w:rsidR="0016601F" w:rsidRPr="00256A6B">
        <w:rPr>
          <w:lang w:val="es-ES_tradnl"/>
        </w:rPr>
        <w:t>de</w:t>
      </w:r>
      <w:r w:rsidR="00544BDD" w:rsidRPr="00256A6B">
        <w:rPr>
          <w:lang w:val="es-ES_tradnl"/>
        </w:rPr>
        <w:t xml:space="preserve"> propiedad intelectual y las actividades de </w:t>
      </w:r>
      <w:r w:rsidR="0016601F" w:rsidRPr="00256A6B">
        <w:rPr>
          <w:lang w:val="es-ES_tradnl"/>
        </w:rPr>
        <w:t xml:space="preserve">las </w:t>
      </w:r>
      <w:r w:rsidR="00544BDD" w:rsidRPr="00256A6B">
        <w:rPr>
          <w:lang w:val="es-ES_tradnl"/>
        </w:rPr>
        <w:t xml:space="preserve">organizaciones para hacer cumplir esos derechos y </w:t>
      </w:r>
      <w:r w:rsidR="00350538" w:rsidRPr="00256A6B">
        <w:rPr>
          <w:lang w:val="es-ES_tradnl"/>
        </w:rPr>
        <w:t>describe</w:t>
      </w:r>
      <w:r w:rsidR="00544BDD" w:rsidRPr="00256A6B">
        <w:rPr>
          <w:lang w:val="es-ES_tradnl"/>
        </w:rPr>
        <w:t xml:space="preserve"> una serie de medios para </w:t>
      </w:r>
      <w:r w:rsidR="007E6677" w:rsidRPr="00256A6B">
        <w:rPr>
          <w:lang w:val="es-ES_tradnl"/>
        </w:rPr>
        <w:t>combatir</w:t>
      </w:r>
      <w:r w:rsidR="00544BDD" w:rsidRPr="00256A6B">
        <w:rPr>
          <w:lang w:val="es-ES_tradnl"/>
        </w:rPr>
        <w:t xml:space="preserve"> el comercio de productos falsificados. Además, en el Anexo A se describen algunas iniciativas </w:t>
      </w:r>
      <w:r w:rsidR="007E6677" w:rsidRPr="00256A6B">
        <w:rPr>
          <w:lang w:val="es-ES_tradnl"/>
        </w:rPr>
        <w:t>nacionales</w:t>
      </w:r>
      <w:r w:rsidR="00544BDD" w:rsidRPr="00256A6B">
        <w:rPr>
          <w:lang w:val="es-ES_tradnl"/>
        </w:rPr>
        <w:t xml:space="preserve"> e internacionales para </w:t>
      </w:r>
      <w:r w:rsidR="007E6677" w:rsidRPr="00256A6B">
        <w:rPr>
          <w:lang w:val="es-ES_tradnl"/>
        </w:rPr>
        <w:t>combatir</w:t>
      </w:r>
      <w:r w:rsidR="00544BDD" w:rsidRPr="00256A6B">
        <w:rPr>
          <w:lang w:val="es-ES_tradnl"/>
        </w:rPr>
        <w:t xml:space="preserve"> la falsificación de dispositivos m</w:t>
      </w:r>
      <w:r w:rsidR="007E6677" w:rsidRPr="00256A6B">
        <w:rPr>
          <w:lang w:val="es-ES_tradnl"/>
        </w:rPr>
        <w:t>óviles</w:t>
      </w:r>
      <w:r w:rsidR="000159EE" w:rsidRPr="00256A6B">
        <w:rPr>
          <w:lang w:val="es-ES_tradnl"/>
        </w:rPr>
        <w:t>.</w:t>
      </w:r>
    </w:p>
    <w:p w14:paraId="3DFEB192" w14:textId="2AF3C0A5" w:rsidR="00B74D54" w:rsidRPr="00173B3F" w:rsidRDefault="007E6677" w:rsidP="00173B3F">
      <w:pPr>
        <w:pStyle w:val="Headingb"/>
        <w:rPr>
          <w:lang w:val="es-ES_tradnl"/>
        </w:rPr>
      </w:pPr>
      <w:r w:rsidRPr="00173B3F">
        <w:rPr>
          <w:lang w:val="es-ES_tradnl"/>
        </w:rPr>
        <w:t>Palabras clave</w:t>
      </w:r>
    </w:p>
    <w:p w14:paraId="6EEEF225" w14:textId="50E28BC9" w:rsidR="00B74D54" w:rsidRPr="00256A6B" w:rsidRDefault="007E6677" w:rsidP="00AC08A3">
      <w:pPr>
        <w:rPr>
          <w:lang w:val="es-ES_tradnl" w:bidi="ar-DZ"/>
        </w:rPr>
      </w:pPr>
      <w:r w:rsidRPr="00256A6B">
        <w:rPr>
          <w:lang w:val="es-ES_tradnl" w:bidi="ar-DZ"/>
        </w:rPr>
        <w:t>Falsificación</w:t>
      </w:r>
      <w:r w:rsidR="000159EE" w:rsidRPr="00256A6B">
        <w:rPr>
          <w:lang w:val="es-ES_tradnl" w:bidi="ar-DZ"/>
        </w:rPr>
        <w:t xml:space="preserve">, </w:t>
      </w:r>
      <w:r w:rsidR="00AC08A3" w:rsidRPr="00256A6B">
        <w:rPr>
          <w:lang w:val="es-ES_tradnl" w:bidi="ar-DZ"/>
        </w:rPr>
        <w:t>de baja calidad</w:t>
      </w:r>
      <w:r w:rsidR="00846884" w:rsidRPr="00256A6B">
        <w:rPr>
          <w:lang w:val="es-ES_tradnl" w:bidi="ar-DZ"/>
        </w:rPr>
        <w:t>.</w:t>
      </w:r>
    </w:p>
    <w:p w14:paraId="61B95EA9" w14:textId="536DD6CE" w:rsidR="00045300" w:rsidRPr="00173B3F" w:rsidRDefault="007E6677" w:rsidP="00173B3F">
      <w:pPr>
        <w:pStyle w:val="Headingb"/>
        <w:rPr>
          <w:lang w:val="es-ES_tradnl"/>
        </w:rPr>
      </w:pPr>
      <w:r w:rsidRPr="00173B3F">
        <w:rPr>
          <w:lang w:val="es-ES_tradnl"/>
        </w:rPr>
        <w:t>Número de referencia</w:t>
      </w:r>
    </w:p>
    <w:p w14:paraId="01FAF66C" w14:textId="4D668024" w:rsidR="00A0191C" w:rsidRPr="00256A6B" w:rsidRDefault="00A0191C" w:rsidP="00A0191C">
      <w:pPr>
        <w:tabs>
          <w:tab w:val="right" w:pos="9639"/>
        </w:tabs>
        <w:rPr>
          <w:rFonts w:asciiTheme="majorBidi" w:hAnsiTheme="majorBidi" w:cstheme="majorBidi"/>
          <w:lang w:val="es-ES_tradnl"/>
        </w:rPr>
      </w:pPr>
      <w:bookmarkStart w:id="7" w:name="TPAcro"/>
      <w:r w:rsidRPr="00256A6B">
        <w:rPr>
          <w:rFonts w:asciiTheme="majorBidi" w:hAnsiTheme="majorBidi" w:cstheme="majorBidi"/>
          <w:lang w:val="es-ES_tradnl"/>
        </w:rPr>
        <w:t>QSTR-COUNTERFEIT</w:t>
      </w:r>
      <w:bookmarkEnd w:id="7"/>
      <w:r w:rsidRPr="00256A6B">
        <w:rPr>
          <w:rFonts w:asciiTheme="majorBidi" w:hAnsiTheme="majorBidi" w:cstheme="majorBidi"/>
          <w:lang w:val="es-ES_tradnl"/>
        </w:rPr>
        <w:t>.</w:t>
      </w:r>
    </w:p>
    <w:p w14:paraId="426DE53E" w14:textId="36F1F6DC" w:rsidR="00B74D54" w:rsidRPr="00173B3F" w:rsidRDefault="00AA4205" w:rsidP="00173B3F">
      <w:pPr>
        <w:pStyle w:val="Headingb"/>
        <w:rPr>
          <w:lang w:val="es-ES_tradnl"/>
        </w:rPr>
      </w:pPr>
      <w:r w:rsidRPr="00AA4205">
        <w:rPr>
          <w:lang w:val="es-ES_tradnl"/>
        </w:rPr>
        <w:t>Registro de cambios</w:t>
      </w:r>
    </w:p>
    <w:p w14:paraId="0D005032" w14:textId="7ECEF663" w:rsidR="00B74D54" w:rsidRPr="00256A6B" w:rsidRDefault="00624E1E">
      <w:pPr>
        <w:rPr>
          <w:lang w:val="es-ES_tradnl"/>
        </w:rPr>
      </w:pPr>
      <w:r w:rsidRPr="00256A6B">
        <w:rPr>
          <w:lang w:val="es-ES_tradnl"/>
        </w:rPr>
        <w:t xml:space="preserve">La presente versión </w:t>
      </w:r>
      <w:r w:rsidR="00C142FB">
        <w:rPr>
          <w:lang w:val="es-ES_tradnl"/>
        </w:rPr>
        <w:t>2</w:t>
      </w:r>
      <w:r w:rsidRPr="00256A6B">
        <w:rPr>
          <w:lang w:val="es-ES_tradnl"/>
        </w:rPr>
        <w:t xml:space="preserve"> del I</w:t>
      </w:r>
      <w:r w:rsidR="006D2DD0" w:rsidRPr="00256A6B">
        <w:rPr>
          <w:lang w:val="es-ES_tradnl"/>
        </w:rPr>
        <w:t>nforme Técnico del UIT-T sobre "</w:t>
      </w:r>
      <w:r w:rsidRPr="00256A6B">
        <w:rPr>
          <w:i/>
          <w:iCs/>
          <w:lang w:val="es-ES_tradnl"/>
        </w:rPr>
        <w:t>Equipos TIC falsificados</w:t>
      </w:r>
      <w:r w:rsidR="006D2DD0" w:rsidRPr="00256A6B">
        <w:rPr>
          <w:lang w:val="es-ES_tradnl"/>
        </w:rPr>
        <w:t>"</w:t>
      </w:r>
      <w:r w:rsidRPr="00256A6B">
        <w:rPr>
          <w:lang w:val="es-ES_tradnl"/>
        </w:rPr>
        <w:t xml:space="preserve"> se aprobó durante la reunión de la Comisión de Estudio 11 del UIT-T celebrada en Gine</w:t>
      </w:r>
      <w:r w:rsidR="00C84F6A" w:rsidRPr="00256A6B">
        <w:rPr>
          <w:lang w:val="es-ES_tradnl"/>
        </w:rPr>
        <w:t xml:space="preserve">bra </w:t>
      </w:r>
      <w:r w:rsidR="00C142FB">
        <w:rPr>
          <w:lang w:val="es-ES_tradnl"/>
        </w:rPr>
        <w:t>d</w:t>
      </w:r>
      <w:r w:rsidR="00C84F6A" w:rsidRPr="00256A6B">
        <w:rPr>
          <w:lang w:val="es-ES_tradnl"/>
        </w:rPr>
        <w:t>el 2</w:t>
      </w:r>
      <w:r w:rsidR="00C142FB">
        <w:rPr>
          <w:lang w:val="es-ES_tradnl"/>
        </w:rPr>
        <w:t xml:space="preserve"> al 1</w:t>
      </w:r>
      <w:r w:rsidR="00C84F6A" w:rsidRPr="00256A6B">
        <w:rPr>
          <w:lang w:val="es-ES_tradnl"/>
        </w:rPr>
        <w:t xml:space="preserve">1 de </w:t>
      </w:r>
      <w:r w:rsidR="00C142FB">
        <w:rPr>
          <w:lang w:val="es-ES_tradnl"/>
        </w:rPr>
        <w:t>diciembre</w:t>
      </w:r>
      <w:r w:rsidR="00C84F6A" w:rsidRPr="00256A6B">
        <w:rPr>
          <w:lang w:val="es-ES_tradnl"/>
        </w:rPr>
        <w:t xml:space="preserve"> de 201</w:t>
      </w:r>
      <w:r w:rsidR="00C142FB">
        <w:rPr>
          <w:lang w:val="es-ES_tradnl"/>
        </w:rPr>
        <w:t>5</w:t>
      </w:r>
      <w:r w:rsidR="00C84F6A" w:rsidRPr="00256A6B">
        <w:rPr>
          <w:lang w:val="es-ES_tradnl"/>
        </w:rPr>
        <w:t>.</w:t>
      </w:r>
    </w:p>
    <w:p w14:paraId="60114B61" w14:textId="77777777" w:rsidR="00B74D54" w:rsidRPr="00256A6B" w:rsidRDefault="00B74D54" w:rsidP="00B74D54">
      <w:pPr>
        <w:rPr>
          <w:lang w:val="es-ES_tradnl"/>
        </w:rPr>
      </w:pPr>
    </w:p>
    <w:tbl>
      <w:tblPr>
        <w:tblW w:w="10065" w:type="dxa"/>
        <w:jc w:val="center"/>
        <w:tblLayout w:type="fixed"/>
        <w:tblCellMar>
          <w:left w:w="57" w:type="dxa"/>
          <w:right w:w="57" w:type="dxa"/>
        </w:tblCellMar>
        <w:tblLook w:val="0000" w:firstRow="0" w:lastRow="0" w:firstColumn="0" w:lastColumn="0" w:noHBand="0" w:noVBand="0"/>
      </w:tblPr>
      <w:tblGrid>
        <w:gridCol w:w="1617"/>
        <w:gridCol w:w="3770"/>
        <w:gridCol w:w="4678"/>
      </w:tblGrid>
      <w:tr w:rsidR="00B74D54" w:rsidRPr="00C869C0" w14:paraId="44013F8F" w14:textId="77777777" w:rsidTr="00FE30A6">
        <w:trPr>
          <w:cantSplit/>
          <w:trHeight w:val="204"/>
          <w:jc w:val="center"/>
        </w:trPr>
        <w:tc>
          <w:tcPr>
            <w:tcW w:w="1617" w:type="dxa"/>
          </w:tcPr>
          <w:p w14:paraId="1285B171" w14:textId="77777777" w:rsidR="00B74D54" w:rsidRPr="00256A6B" w:rsidRDefault="00B74D54" w:rsidP="00C44CA5">
            <w:pPr>
              <w:ind w:firstLine="85"/>
              <w:rPr>
                <w:b/>
                <w:bCs/>
                <w:lang w:val="es-ES_tradnl"/>
              </w:rPr>
            </w:pPr>
            <w:r w:rsidRPr="00256A6B">
              <w:rPr>
                <w:b/>
                <w:bCs/>
                <w:lang w:val="es-ES_tradnl"/>
              </w:rPr>
              <w:t>Editor:</w:t>
            </w:r>
          </w:p>
        </w:tc>
        <w:tc>
          <w:tcPr>
            <w:tcW w:w="3770" w:type="dxa"/>
          </w:tcPr>
          <w:p w14:paraId="2DF4F06D" w14:textId="77777777" w:rsidR="00B74D54" w:rsidRPr="00256A6B" w:rsidRDefault="000159EE" w:rsidP="000159EE">
            <w:pPr>
              <w:rPr>
                <w:lang w:val="es-ES_tradnl"/>
              </w:rPr>
            </w:pPr>
            <w:r w:rsidRPr="00256A6B">
              <w:rPr>
                <w:sz w:val="22"/>
                <w:lang w:val="es-ES_tradnl"/>
              </w:rPr>
              <w:t>Keith Mainwaring</w:t>
            </w:r>
            <w:r w:rsidRPr="00256A6B">
              <w:rPr>
                <w:sz w:val="22"/>
                <w:lang w:val="es-ES_tradnl"/>
              </w:rPr>
              <w:br/>
              <w:t>UNIS</w:t>
            </w:r>
          </w:p>
        </w:tc>
        <w:tc>
          <w:tcPr>
            <w:tcW w:w="4678" w:type="dxa"/>
          </w:tcPr>
          <w:p w14:paraId="28B85E2A" w14:textId="3992203C" w:rsidR="00B74D54" w:rsidRPr="00256A6B" w:rsidRDefault="000159EE" w:rsidP="00FE30A6">
            <w:pPr>
              <w:rPr>
                <w:lang w:val="es-ES_tradnl"/>
              </w:rPr>
            </w:pPr>
            <w:r w:rsidRPr="00256A6B">
              <w:rPr>
                <w:sz w:val="22"/>
                <w:lang w:val="es-ES_tradnl"/>
              </w:rPr>
              <w:t>Tel</w:t>
            </w:r>
            <w:r w:rsidR="00DC29C8">
              <w:rPr>
                <w:sz w:val="22"/>
                <w:lang w:val="es-ES_tradnl"/>
              </w:rPr>
              <w:t>.</w:t>
            </w:r>
            <w:r w:rsidRPr="00256A6B">
              <w:rPr>
                <w:sz w:val="22"/>
                <w:lang w:val="es-ES_tradnl"/>
              </w:rPr>
              <w:t>: +46 76 107 6877</w:t>
            </w:r>
            <w:r w:rsidRPr="00256A6B">
              <w:rPr>
                <w:sz w:val="22"/>
                <w:lang w:val="es-ES_tradnl"/>
              </w:rPr>
              <w:br/>
            </w:r>
            <w:r w:rsidR="00FE30A6" w:rsidRPr="00256A6B">
              <w:rPr>
                <w:sz w:val="22"/>
                <w:lang w:val="es-ES_tradnl"/>
              </w:rPr>
              <w:t>Correo-e</w:t>
            </w:r>
            <w:r w:rsidRPr="00256A6B">
              <w:rPr>
                <w:sz w:val="22"/>
                <w:lang w:val="es-ES_tradnl"/>
              </w:rPr>
              <w:t xml:space="preserve">: </w:t>
            </w:r>
            <w:hyperlink r:id="rId10" w:history="1">
              <w:r w:rsidR="00D024E1" w:rsidRPr="00256A6B">
                <w:rPr>
                  <w:rStyle w:val="Hyperlink"/>
                  <w:sz w:val="22"/>
                  <w:lang w:val="es-ES_tradnl"/>
                </w:rPr>
                <w:t>keith.mainwaring@ukrainesystems.com</w:t>
              </w:r>
            </w:hyperlink>
          </w:p>
        </w:tc>
      </w:tr>
    </w:tbl>
    <w:p w14:paraId="5D954557" w14:textId="77777777" w:rsidR="00B74D54" w:rsidRPr="00256A6B" w:rsidRDefault="00B74D54" w:rsidP="00941C5E">
      <w:pPr>
        <w:rPr>
          <w:lang w:val="es-ES_tradnl"/>
        </w:rPr>
      </w:pPr>
      <w:r w:rsidRPr="00256A6B">
        <w:rPr>
          <w:lang w:val="es-ES_tradnl"/>
        </w:rPr>
        <w:br w:type="page"/>
      </w:r>
    </w:p>
    <w:p w14:paraId="36BFDFDB" w14:textId="29611831" w:rsidR="00D95B2D" w:rsidRDefault="00D95B2D" w:rsidP="00D95B2D">
      <w:pPr>
        <w:keepNext/>
        <w:jc w:val="center"/>
        <w:rPr>
          <w:b/>
          <w:bCs/>
          <w:lang w:val="es-ES_tradnl"/>
        </w:rPr>
      </w:pPr>
    </w:p>
    <w:sdt>
      <w:sdtPr>
        <w:rPr>
          <w:rFonts w:ascii="Times New Roman" w:eastAsia="Times New Roman" w:hAnsi="Times New Roman" w:cs="Times New Roman"/>
          <w:color w:val="auto"/>
          <w:sz w:val="24"/>
          <w:szCs w:val="24"/>
          <w:lang w:val="en-GB"/>
        </w:rPr>
        <w:id w:val="-553078710"/>
        <w:docPartObj>
          <w:docPartGallery w:val="Table of Contents"/>
          <w:docPartUnique/>
        </w:docPartObj>
      </w:sdtPr>
      <w:sdtEndPr>
        <w:rPr>
          <w:b/>
          <w:bCs/>
          <w:noProof/>
        </w:rPr>
      </w:sdtEndPr>
      <w:sdtContent>
        <w:p w14:paraId="034B063D" w14:textId="457EB7E1" w:rsidR="00D95B2D" w:rsidRPr="0000399C" w:rsidRDefault="00D95B2D" w:rsidP="00D95B2D">
          <w:pPr>
            <w:pStyle w:val="TOCHeading"/>
            <w:jc w:val="center"/>
            <w:rPr>
              <w:rFonts w:ascii="Times New Roman" w:hAnsi="Times New Roman" w:cs="Times New Roman"/>
              <w:color w:val="auto"/>
              <w:sz w:val="24"/>
              <w:szCs w:val="24"/>
              <w:lang w:val="es-ES_tradnl"/>
            </w:rPr>
          </w:pPr>
          <w:r w:rsidRPr="0000399C">
            <w:rPr>
              <w:rFonts w:ascii="Times New Roman" w:hAnsi="Times New Roman" w:cs="Times New Roman"/>
              <w:color w:val="auto"/>
              <w:sz w:val="24"/>
              <w:szCs w:val="24"/>
              <w:lang w:val="es-ES_tradnl"/>
            </w:rPr>
            <w:t>ÍNDICE</w:t>
          </w:r>
        </w:p>
        <w:p w14:paraId="41AE0C9B" w14:textId="498B1EF7" w:rsidR="004B1923" w:rsidRPr="004B1923" w:rsidRDefault="004B1923" w:rsidP="00362721">
          <w:pPr>
            <w:pStyle w:val="toc0"/>
            <w:rPr>
              <w:lang w:val="es-ES_tradnl"/>
            </w:rPr>
          </w:pPr>
          <w:r>
            <w:rPr>
              <w:lang w:val="es-ES_tradnl"/>
            </w:rPr>
            <w:tab/>
            <w:t>Página</w:t>
          </w:r>
        </w:p>
        <w:p w14:paraId="0DDEB4F0" w14:textId="0BB3F6E8" w:rsidR="004B1923" w:rsidRPr="004B1923" w:rsidRDefault="004B1923">
          <w:pPr>
            <w:pStyle w:val="TOC1"/>
            <w:rPr>
              <w:rFonts w:asciiTheme="minorHAnsi" w:eastAsiaTheme="minorEastAsia" w:hAnsiTheme="minorHAnsi" w:cstheme="minorBidi"/>
              <w:noProof/>
              <w:sz w:val="22"/>
              <w:szCs w:val="22"/>
              <w:lang w:val="es-ES_tradnl" w:eastAsia="zh-CN"/>
            </w:rPr>
          </w:pPr>
          <w:r>
            <w:fldChar w:fldCharType="begin"/>
          </w:r>
          <w:r w:rsidRPr="004B1923">
            <w:rPr>
              <w:lang w:val="es-ES_tradnl"/>
            </w:rPr>
            <w:instrText xml:space="preserve"> TOC \o "1-2" \t "Annex_No &amp; title,1" </w:instrText>
          </w:r>
          <w:r>
            <w:fldChar w:fldCharType="separate"/>
          </w:r>
          <w:r w:rsidRPr="009F6822">
            <w:rPr>
              <w:noProof/>
              <w:lang w:val="es-ES_tradnl"/>
            </w:rPr>
            <w:t>1</w:t>
          </w:r>
          <w:r w:rsidRPr="004B1923">
            <w:rPr>
              <w:rFonts w:asciiTheme="minorHAnsi" w:eastAsiaTheme="minorEastAsia" w:hAnsiTheme="minorHAnsi" w:cstheme="minorBidi"/>
              <w:noProof/>
              <w:sz w:val="22"/>
              <w:szCs w:val="22"/>
              <w:lang w:val="es-ES_tradnl" w:eastAsia="zh-CN"/>
            </w:rPr>
            <w:tab/>
          </w:r>
          <w:r w:rsidRPr="009F6822">
            <w:rPr>
              <w:noProof/>
              <w:lang w:val="es-ES_tradnl"/>
            </w:rPr>
            <w:t>Introducción: falsificación de productos – un problema creciente</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_Toc447203000 \h </w:instrText>
          </w:r>
          <w:r>
            <w:rPr>
              <w:noProof/>
            </w:rPr>
          </w:r>
          <w:r>
            <w:rPr>
              <w:noProof/>
            </w:rPr>
            <w:fldChar w:fldCharType="separate"/>
          </w:r>
          <w:r w:rsidR="00C869C0">
            <w:rPr>
              <w:noProof/>
              <w:lang w:val="es-ES_tradnl"/>
            </w:rPr>
            <w:t>6</w:t>
          </w:r>
          <w:r>
            <w:rPr>
              <w:noProof/>
            </w:rPr>
            <w:fldChar w:fldCharType="end"/>
          </w:r>
        </w:p>
        <w:p w14:paraId="33D0230B" w14:textId="1213D490" w:rsidR="004B1923" w:rsidRPr="004B1923" w:rsidRDefault="004B1923">
          <w:pPr>
            <w:pStyle w:val="TOC1"/>
            <w:rPr>
              <w:rFonts w:asciiTheme="minorHAnsi" w:eastAsiaTheme="minorEastAsia" w:hAnsiTheme="minorHAnsi" w:cstheme="minorBidi"/>
              <w:noProof/>
              <w:sz w:val="22"/>
              <w:szCs w:val="22"/>
              <w:lang w:val="es-ES_tradnl" w:eastAsia="zh-CN"/>
            </w:rPr>
          </w:pPr>
          <w:r w:rsidRPr="009F6822">
            <w:rPr>
              <w:noProof/>
              <w:lang w:val="es-ES_tradnl"/>
            </w:rPr>
            <w:t>2</w:t>
          </w:r>
          <w:r w:rsidRPr="004B1923">
            <w:rPr>
              <w:rFonts w:asciiTheme="minorHAnsi" w:eastAsiaTheme="minorEastAsia" w:hAnsiTheme="minorHAnsi" w:cstheme="minorBidi"/>
              <w:noProof/>
              <w:sz w:val="22"/>
              <w:szCs w:val="22"/>
              <w:lang w:val="es-ES_tradnl" w:eastAsia="zh-CN"/>
            </w:rPr>
            <w:tab/>
          </w:r>
          <w:r w:rsidRPr="009F6822">
            <w:rPr>
              <w:noProof/>
              <w:lang w:val="es-ES_tradnl"/>
            </w:rPr>
            <w:t>¿Qué se entiende por falsificación?</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_Toc447203001 \h </w:instrText>
          </w:r>
          <w:r>
            <w:rPr>
              <w:noProof/>
            </w:rPr>
          </w:r>
          <w:r>
            <w:rPr>
              <w:noProof/>
            </w:rPr>
            <w:fldChar w:fldCharType="separate"/>
          </w:r>
          <w:r w:rsidR="00C869C0">
            <w:rPr>
              <w:noProof/>
              <w:lang w:val="es-ES_tradnl"/>
            </w:rPr>
            <w:t>8</w:t>
          </w:r>
          <w:r>
            <w:rPr>
              <w:noProof/>
            </w:rPr>
            <w:fldChar w:fldCharType="end"/>
          </w:r>
        </w:p>
        <w:p w14:paraId="52DD3E41" w14:textId="1DCE4738" w:rsidR="004B1923" w:rsidRPr="004B1923" w:rsidRDefault="004B1923">
          <w:pPr>
            <w:pStyle w:val="TOC1"/>
            <w:rPr>
              <w:rFonts w:asciiTheme="minorHAnsi" w:eastAsiaTheme="minorEastAsia" w:hAnsiTheme="minorHAnsi" w:cstheme="minorBidi"/>
              <w:noProof/>
              <w:sz w:val="22"/>
              <w:szCs w:val="22"/>
              <w:lang w:val="es-ES_tradnl" w:eastAsia="zh-CN"/>
            </w:rPr>
          </w:pPr>
          <w:r w:rsidRPr="009F6822">
            <w:rPr>
              <w:noProof/>
              <w:lang w:val="es-ES_tradnl"/>
            </w:rPr>
            <w:t>3</w:t>
          </w:r>
          <w:r w:rsidRPr="004B1923">
            <w:rPr>
              <w:rFonts w:asciiTheme="minorHAnsi" w:eastAsiaTheme="minorEastAsia" w:hAnsiTheme="minorHAnsi" w:cstheme="minorBidi"/>
              <w:noProof/>
              <w:sz w:val="22"/>
              <w:szCs w:val="22"/>
              <w:lang w:val="es-ES_tradnl" w:eastAsia="zh-CN"/>
            </w:rPr>
            <w:tab/>
          </w:r>
          <w:r w:rsidRPr="009F6822">
            <w:rPr>
              <w:noProof/>
              <w:lang w:val="es-ES_tradnl"/>
            </w:rPr>
            <w:t>Repercusiones de la falsificación de equipos y componentes TIC</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_Toc447203002 \h </w:instrText>
          </w:r>
          <w:r>
            <w:rPr>
              <w:noProof/>
            </w:rPr>
          </w:r>
          <w:r>
            <w:rPr>
              <w:noProof/>
            </w:rPr>
            <w:fldChar w:fldCharType="separate"/>
          </w:r>
          <w:r w:rsidR="00C869C0">
            <w:rPr>
              <w:noProof/>
              <w:lang w:val="es-ES_tradnl"/>
            </w:rPr>
            <w:t>8</w:t>
          </w:r>
          <w:r>
            <w:rPr>
              <w:noProof/>
            </w:rPr>
            <w:fldChar w:fldCharType="end"/>
          </w:r>
        </w:p>
        <w:p w14:paraId="0CAA149D" w14:textId="0D8EFDF2"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rFonts w:asciiTheme="majorBidi" w:hAnsiTheme="majorBidi" w:cstheme="majorBidi"/>
              <w:noProof/>
              <w:lang w:val="es-ES_tradnl"/>
            </w:rPr>
            <w:t>3.1</w:t>
          </w:r>
          <w:r w:rsidRPr="004B1923">
            <w:rPr>
              <w:rFonts w:asciiTheme="minorHAnsi" w:eastAsiaTheme="minorEastAsia" w:hAnsiTheme="minorHAnsi" w:cstheme="minorBidi"/>
              <w:noProof/>
              <w:sz w:val="22"/>
              <w:szCs w:val="22"/>
              <w:lang w:val="es-ES_tradnl" w:eastAsia="zh-CN"/>
            </w:rPr>
            <w:tab/>
          </w:r>
          <w:r w:rsidRPr="009F6822">
            <w:rPr>
              <w:rFonts w:asciiTheme="majorBidi" w:hAnsiTheme="majorBidi" w:cstheme="majorBidi"/>
              <w:noProof/>
              <w:lang w:val="es-ES_tradnl"/>
            </w:rPr>
            <w:t>Ejemplos de equipos TIC falsificados</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_Toc447203003 \h </w:instrText>
          </w:r>
          <w:r>
            <w:rPr>
              <w:noProof/>
            </w:rPr>
          </w:r>
          <w:r>
            <w:rPr>
              <w:noProof/>
            </w:rPr>
            <w:fldChar w:fldCharType="separate"/>
          </w:r>
          <w:r w:rsidR="00C869C0">
            <w:rPr>
              <w:noProof/>
              <w:lang w:val="es-ES_tradnl"/>
            </w:rPr>
            <w:t>9</w:t>
          </w:r>
          <w:r>
            <w:rPr>
              <w:noProof/>
            </w:rPr>
            <w:fldChar w:fldCharType="end"/>
          </w:r>
        </w:p>
        <w:p w14:paraId="73E58C12" w14:textId="41B0F525" w:rsidR="004B1923" w:rsidRPr="004B1923" w:rsidRDefault="004B1923">
          <w:pPr>
            <w:pStyle w:val="TOC1"/>
            <w:rPr>
              <w:rFonts w:asciiTheme="minorHAnsi" w:eastAsiaTheme="minorEastAsia" w:hAnsiTheme="minorHAnsi" w:cstheme="minorBidi"/>
              <w:noProof/>
              <w:sz w:val="22"/>
              <w:szCs w:val="22"/>
              <w:lang w:val="es-ES_tradnl" w:eastAsia="zh-CN"/>
            </w:rPr>
          </w:pPr>
          <w:r w:rsidRPr="009F6822">
            <w:rPr>
              <w:noProof/>
              <w:lang w:val="es-ES_tradnl"/>
            </w:rPr>
            <w:t>4</w:t>
          </w:r>
          <w:r w:rsidRPr="004B1923">
            <w:rPr>
              <w:rFonts w:asciiTheme="minorHAnsi" w:eastAsiaTheme="minorEastAsia" w:hAnsiTheme="minorHAnsi" w:cstheme="minorBidi"/>
              <w:noProof/>
              <w:sz w:val="22"/>
              <w:szCs w:val="22"/>
              <w:lang w:val="es-ES_tradnl" w:eastAsia="zh-CN"/>
            </w:rPr>
            <w:tab/>
          </w:r>
          <w:r w:rsidRPr="009F6822">
            <w:rPr>
              <w:noProof/>
              <w:lang w:val="es-ES_tradnl"/>
            </w:rPr>
            <w:t>Convenios sobre Derechos de propiedad intelectual</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_Toc447203004 \h </w:instrText>
          </w:r>
          <w:r>
            <w:rPr>
              <w:noProof/>
            </w:rPr>
          </w:r>
          <w:r>
            <w:rPr>
              <w:noProof/>
            </w:rPr>
            <w:fldChar w:fldCharType="separate"/>
          </w:r>
          <w:r w:rsidR="00C869C0">
            <w:rPr>
              <w:noProof/>
              <w:lang w:val="es-ES_tradnl"/>
            </w:rPr>
            <w:t>12</w:t>
          </w:r>
          <w:r>
            <w:rPr>
              <w:noProof/>
            </w:rPr>
            <w:fldChar w:fldCharType="end"/>
          </w:r>
        </w:p>
        <w:p w14:paraId="483B81DB" w14:textId="3CB96A2D"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4.1</w:t>
          </w:r>
          <w:r w:rsidRPr="004B1923">
            <w:rPr>
              <w:rFonts w:asciiTheme="minorHAnsi" w:eastAsiaTheme="minorEastAsia" w:hAnsiTheme="minorHAnsi" w:cstheme="minorBidi"/>
              <w:noProof/>
              <w:sz w:val="22"/>
              <w:szCs w:val="22"/>
              <w:lang w:val="es-ES_tradnl" w:eastAsia="zh-CN"/>
            </w:rPr>
            <w:tab/>
          </w:r>
          <w:r w:rsidRPr="009F6822">
            <w:rPr>
              <w:noProof/>
              <w:lang w:val="es-ES_tradnl"/>
            </w:rPr>
            <w:t>Convenio de París para la Protección de la propiedad industrial y Convenio de Berna para la Protección de las obras literarias y artísticas</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_Toc447203005 \h </w:instrText>
          </w:r>
          <w:r>
            <w:rPr>
              <w:noProof/>
            </w:rPr>
          </w:r>
          <w:r>
            <w:rPr>
              <w:noProof/>
            </w:rPr>
            <w:fldChar w:fldCharType="separate"/>
          </w:r>
          <w:r w:rsidR="00C869C0">
            <w:rPr>
              <w:noProof/>
              <w:lang w:val="es-ES_tradnl"/>
            </w:rPr>
            <w:t>13</w:t>
          </w:r>
          <w:r>
            <w:rPr>
              <w:noProof/>
            </w:rPr>
            <w:fldChar w:fldCharType="end"/>
          </w:r>
        </w:p>
        <w:p w14:paraId="2DF17704" w14:textId="302B231B"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4.2</w:t>
          </w:r>
          <w:r w:rsidRPr="004B1923">
            <w:rPr>
              <w:rFonts w:asciiTheme="minorHAnsi" w:eastAsiaTheme="minorEastAsia" w:hAnsiTheme="minorHAnsi" w:cstheme="minorBidi"/>
              <w:noProof/>
              <w:sz w:val="22"/>
              <w:szCs w:val="22"/>
              <w:lang w:val="es-ES_tradnl" w:eastAsia="zh-CN"/>
            </w:rPr>
            <w:tab/>
          </w:r>
          <w:r w:rsidRPr="009F6822">
            <w:rPr>
              <w:noProof/>
              <w:lang w:val="es-ES_tradnl"/>
            </w:rPr>
            <w:t>Aspectos de los Derechos de propiedad intelectual relacionados con el comercio (ADPIC) de la Organización Mundial del Comercio (OMC)</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_Toc447203006 \h </w:instrText>
          </w:r>
          <w:r>
            <w:rPr>
              <w:noProof/>
            </w:rPr>
          </w:r>
          <w:r>
            <w:rPr>
              <w:noProof/>
            </w:rPr>
            <w:fldChar w:fldCharType="separate"/>
          </w:r>
          <w:r w:rsidR="00C869C0">
            <w:rPr>
              <w:noProof/>
              <w:lang w:val="es-ES_tradnl"/>
            </w:rPr>
            <w:t>13</w:t>
          </w:r>
          <w:r>
            <w:rPr>
              <w:noProof/>
            </w:rPr>
            <w:fldChar w:fldCharType="end"/>
          </w:r>
        </w:p>
        <w:p w14:paraId="236FA0BB" w14:textId="01EE85B9" w:rsidR="004B1923" w:rsidRPr="004B1923" w:rsidRDefault="004B1923">
          <w:pPr>
            <w:pStyle w:val="TOC1"/>
            <w:rPr>
              <w:rFonts w:asciiTheme="minorHAnsi" w:eastAsiaTheme="minorEastAsia" w:hAnsiTheme="minorHAnsi" w:cstheme="minorBidi"/>
              <w:noProof/>
              <w:sz w:val="22"/>
              <w:szCs w:val="22"/>
              <w:lang w:val="es-ES_tradnl" w:eastAsia="zh-CN"/>
            </w:rPr>
          </w:pPr>
          <w:r w:rsidRPr="009F6822">
            <w:rPr>
              <w:noProof/>
              <w:lang w:val="es-ES_tradnl"/>
            </w:rPr>
            <w:t>5</w:t>
          </w:r>
          <w:r w:rsidRPr="004B1923">
            <w:rPr>
              <w:rFonts w:asciiTheme="minorHAnsi" w:eastAsiaTheme="minorEastAsia" w:hAnsiTheme="minorHAnsi" w:cstheme="minorBidi"/>
              <w:noProof/>
              <w:sz w:val="22"/>
              <w:szCs w:val="22"/>
              <w:lang w:val="es-ES_tradnl" w:eastAsia="zh-CN"/>
            </w:rPr>
            <w:tab/>
          </w:r>
          <w:r w:rsidRPr="009F6822">
            <w:rPr>
              <w:noProof/>
              <w:lang w:val="es-ES_tradnl"/>
            </w:rPr>
            <w:t>Observancia de los Derechos de propiedad intelectual</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_Toc447203007 \h </w:instrText>
          </w:r>
          <w:r>
            <w:rPr>
              <w:noProof/>
            </w:rPr>
          </w:r>
          <w:r>
            <w:rPr>
              <w:noProof/>
            </w:rPr>
            <w:fldChar w:fldCharType="separate"/>
          </w:r>
          <w:r w:rsidR="00C869C0">
            <w:rPr>
              <w:noProof/>
              <w:lang w:val="es-ES_tradnl"/>
            </w:rPr>
            <w:t>14</w:t>
          </w:r>
          <w:r>
            <w:rPr>
              <w:noProof/>
            </w:rPr>
            <w:fldChar w:fldCharType="end"/>
          </w:r>
        </w:p>
        <w:p w14:paraId="0C75FC54" w14:textId="368CC58D"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5.1</w:t>
          </w:r>
          <w:r w:rsidRPr="004B1923">
            <w:rPr>
              <w:rFonts w:asciiTheme="minorHAnsi" w:eastAsiaTheme="minorEastAsia" w:hAnsiTheme="minorHAnsi" w:cstheme="minorBidi"/>
              <w:noProof/>
              <w:sz w:val="22"/>
              <w:szCs w:val="22"/>
              <w:lang w:val="es-ES_tradnl" w:eastAsia="zh-CN"/>
            </w:rPr>
            <w:tab/>
          </w:r>
          <w:r w:rsidRPr="009F6822">
            <w:rPr>
              <w:noProof/>
              <w:lang w:val="es-ES_tradnl"/>
            </w:rPr>
            <w:t>Organización Mundial de la Propiedad Intelectual (OMPI)</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_Toc447203008 \h </w:instrText>
          </w:r>
          <w:r>
            <w:rPr>
              <w:noProof/>
            </w:rPr>
          </w:r>
          <w:r>
            <w:rPr>
              <w:noProof/>
            </w:rPr>
            <w:fldChar w:fldCharType="separate"/>
          </w:r>
          <w:r w:rsidR="00C869C0">
            <w:rPr>
              <w:noProof/>
              <w:lang w:val="es-ES_tradnl"/>
            </w:rPr>
            <w:t>14</w:t>
          </w:r>
          <w:r>
            <w:rPr>
              <w:noProof/>
            </w:rPr>
            <w:fldChar w:fldCharType="end"/>
          </w:r>
        </w:p>
        <w:p w14:paraId="255DE68D" w14:textId="518386AB"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5.2</w:t>
          </w:r>
          <w:r w:rsidRPr="004B1923">
            <w:rPr>
              <w:rFonts w:asciiTheme="minorHAnsi" w:eastAsiaTheme="minorEastAsia" w:hAnsiTheme="minorHAnsi" w:cstheme="minorBidi"/>
              <w:noProof/>
              <w:sz w:val="22"/>
              <w:szCs w:val="22"/>
              <w:lang w:val="es-ES_tradnl" w:eastAsia="zh-CN"/>
            </w:rPr>
            <w:tab/>
          </w:r>
          <w:r w:rsidRPr="009F6822">
            <w:rPr>
              <w:noProof/>
              <w:lang w:val="es-ES_tradnl"/>
            </w:rPr>
            <w:t>Organización Mundial del Comercio – Consejo sobre los ADPIC</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_Toc447203009 \h </w:instrText>
          </w:r>
          <w:r>
            <w:rPr>
              <w:noProof/>
            </w:rPr>
          </w:r>
          <w:r>
            <w:rPr>
              <w:noProof/>
            </w:rPr>
            <w:fldChar w:fldCharType="separate"/>
          </w:r>
          <w:r w:rsidR="00C869C0">
            <w:rPr>
              <w:noProof/>
              <w:lang w:val="es-ES_tradnl"/>
            </w:rPr>
            <w:t>15</w:t>
          </w:r>
          <w:r>
            <w:rPr>
              <w:noProof/>
            </w:rPr>
            <w:fldChar w:fldCharType="end"/>
          </w:r>
        </w:p>
        <w:p w14:paraId="1E62865E" w14:textId="3DD233CD"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5.3</w:t>
          </w:r>
          <w:r w:rsidRPr="004B1923">
            <w:rPr>
              <w:rFonts w:asciiTheme="minorHAnsi" w:eastAsiaTheme="minorEastAsia" w:hAnsiTheme="minorHAnsi" w:cstheme="minorBidi"/>
              <w:noProof/>
              <w:sz w:val="22"/>
              <w:szCs w:val="22"/>
              <w:lang w:val="es-ES_tradnl" w:eastAsia="zh-CN"/>
            </w:rPr>
            <w:tab/>
          </w:r>
          <w:r w:rsidRPr="009F6822">
            <w:rPr>
              <w:bCs/>
              <w:noProof/>
              <w:lang w:val="es-ES_tradnl"/>
            </w:rPr>
            <w:t>La Oficina de las Naciones Unidas contra la Droga y el Delito (ONUDD)</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_Toc447203010 \h </w:instrText>
          </w:r>
          <w:r>
            <w:rPr>
              <w:noProof/>
            </w:rPr>
          </w:r>
          <w:r>
            <w:rPr>
              <w:noProof/>
            </w:rPr>
            <w:fldChar w:fldCharType="separate"/>
          </w:r>
          <w:r w:rsidR="00C869C0">
            <w:rPr>
              <w:noProof/>
              <w:lang w:val="es-ES_tradnl"/>
            </w:rPr>
            <w:t>15</w:t>
          </w:r>
          <w:r>
            <w:rPr>
              <w:noProof/>
            </w:rPr>
            <w:fldChar w:fldCharType="end"/>
          </w:r>
        </w:p>
        <w:p w14:paraId="44C98124" w14:textId="441A059B"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rFonts w:asciiTheme="majorBidi" w:hAnsiTheme="majorBidi" w:cstheme="majorBidi"/>
              <w:noProof/>
              <w:lang w:val="es-ES_tradnl"/>
            </w:rPr>
            <w:t>5.4</w:t>
          </w:r>
          <w:r w:rsidRPr="004B1923">
            <w:rPr>
              <w:rFonts w:asciiTheme="minorHAnsi" w:eastAsiaTheme="minorEastAsia" w:hAnsiTheme="minorHAnsi" w:cstheme="minorBidi"/>
              <w:noProof/>
              <w:sz w:val="22"/>
              <w:szCs w:val="22"/>
              <w:lang w:val="es-ES_tradnl" w:eastAsia="zh-CN"/>
            </w:rPr>
            <w:tab/>
          </w:r>
          <w:r w:rsidRPr="009F6822">
            <w:rPr>
              <w:rFonts w:asciiTheme="majorBidi" w:hAnsiTheme="majorBidi" w:cstheme="majorBidi"/>
              <w:noProof/>
              <w:lang w:val="es-ES_tradnl"/>
            </w:rPr>
            <w:t>Organización Mundial de Aduanas (OMA)</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_Toc447203011 \h </w:instrText>
          </w:r>
          <w:r>
            <w:rPr>
              <w:noProof/>
            </w:rPr>
          </w:r>
          <w:r>
            <w:rPr>
              <w:noProof/>
            </w:rPr>
            <w:fldChar w:fldCharType="separate"/>
          </w:r>
          <w:r w:rsidR="00C869C0">
            <w:rPr>
              <w:noProof/>
              <w:lang w:val="es-ES_tradnl"/>
            </w:rPr>
            <w:t>15</w:t>
          </w:r>
          <w:r>
            <w:rPr>
              <w:noProof/>
            </w:rPr>
            <w:fldChar w:fldCharType="end"/>
          </w:r>
        </w:p>
        <w:p w14:paraId="016C1660" w14:textId="3555E5BF"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5.5</w:t>
          </w:r>
          <w:r w:rsidRPr="004B1923">
            <w:rPr>
              <w:rFonts w:asciiTheme="minorHAnsi" w:eastAsiaTheme="minorEastAsia" w:hAnsiTheme="minorHAnsi" w:cstheme="minorBidi"/>
              <w:noProof/>
              <w:sz w:val="22"/>
              <w:szCs w:val="22"/>
              <w:lang w:val="es-ES_tradnl" w:eastAsia="zh-CN"/>
            </w:rPr>
            <w:tab/>
          </w:r>
          <w:r w:rsidRPr="009F6822">
            <w:rPr>
              <w:noProof/>
              <w:lang w:val="es-ES_tradnl"/>
            </w:rPr>
            <w:t>Unión Europea</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_Toc447203012 \h </w:instrText>
          </w:r>
          <w:r>
            <w:rPr>
              <w:noProof/>
            </w:rPr>
          </w:r>
          <w:r>
            <w:rPr>
              <w:noProof/>
            </w:rPr>
            <w:fldChar w:fldCharType="separate"/>
          </w:r>
          <w:r w:rsidR="00C869C0">
            <w:rPr>
              <w:noProof/>
              <w:lang w:val="es-ES_tradnl"/>
            </w:rPr>
            <w:t>16</w:t>
          </w:r>
          <w:r>
            <w:rPr>
              <w:noProof/>
            </w:rPr>
            <w:fldChar w:fldCharType="end"/>
          </w:r>
        </w:p>
        <w:p w14:paraId="2AA3219D" w14:textId="3B5BB371"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5.6</w:t>
          </w:r>
          <w:r w:rsidRPr="004B1923">
            <w:rPr>
              <w:rFonts w:asciiTheme="minorHAnsi" w:eastAsiaTheme="minorEastAsia" w:hAnsiTheme="minorHAnsi" w:cstheme="minorBidi"/>
              <w:noProof/>
              <w:sz w:val="22"/>
              <w:szCs w:val="22"/>
              <w:lang w:val="es-ES_tradnl" w:eastAsia="zh-CN"/>
            </w:rPr>
            <w:tab/>
          </w:r>
          <w:r w:rsidRPr="009F6822">
            <w:rPr>
              <w:noProof/>
              <w:lang w:val="es-ES_tradnl"/>
            </w:rPr>
            <w:t>Interpol</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_Toc447203013 \h </w:instrText>
          </w:r>
          <w:r>
            <w:rPr>
              <w:noProof/>
            </w:rPr>
          </w:r>
          <w:r>
            <w:rPr>
              <w:noProof/>
            </w:rPr>
            <w:fldChar w:fldCharType="separate"/>
          </w:r>
          <w:r w:rsidR="00C869C0">
            <w:rPr>
              <w:noProof/>
              <w:lang w:val="es-ES_tradnl"/>
            </w:rPr>
            <w:t>17</w:t>
          </w:r>
          <w:r>
            <w:rPr>
              <w:noProof/>
            </w:rPr>
            <w:fldChar w:fldCharType="end"/>
          </w:r>
        </w:p>
        <w:p w14:paraId="4F4D5B7A" w14:textId="47FFD4D6"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5.7</w:t>
          </w:r>
          <w:r w:rsidRPr="004B1923">
            <w:rPr>
              <w:rFonts w:asciiTheme="minorHAnsi" w:eastAsiaTheme="minorEastAsia" w:hAnsiTheme="minorHAnsi" w:cstheme="minorBidi"/>
              <w:noProof/>
              <w:sz w:val="22"/>
              <w:szCs w:val="22"/>
              <w:lang w:val="es-ES_tradnl" w:eastAsia="zh-CN"/>
            </w:rPr>
            <w:tab/>
          </w:r>
          <w:r w:rsidRPr="009F6822">
            <w:rPr>
              <w:noProof/>
              <w:lang w:val="es-ES_tradnl"/>
            </w:rPr>
            <w:t>Comisión Económica de las Naciones Unidas para Europa (CEPE)</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_Toc447203014 \h </w:instrText>
          </w:r>
          <w:r>
            <w:rPr>
              <w:noProof/>
            </w:rPr>
          </w:r>
          <w:r>
            <w:rPr>
              <w:noProof/>
            </w:rPr>
            <w:fldChar w:fldCharType="separate"/>
          </w:r>
          <w:r w:rsidR="00C869C0">
            <w:rPr>
              <w:noProof/>
              <w:lang w:val="es-ES_tradnl"/>
            </w:rPr>
            <w:t>17</w:t>
          </w:r>
          <w:r>
            <w:rPr>
              <w:noProof/>
            </w:rPr>
            <w:fldChar w:fldCharType="end"/>
          </w:r>
        </w:p>
        <w:p w14:paraId="65BB3BAF" w14:textId="3C94E6F7"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5.8</w:t>
          </w:r>
          <w:r w:rsidRPr="004B1923">
            <w:rPr>
              <w:rFonts w:asciiTheme="minorHAnsi" w:eastAsiaTheme="minorEastAsia" w:hAnsiTheme="minorHAnsi" w:cstheme="minorBidi"/>
              <w:noProof/>
              <w:sz w:val="22"/>
              <w:szCs w:val="22"/>
              <w:lang w:val="es-ES_tradnl" w:eastAsia="zh-CN"/>
            </w:rPr>
            <w:tab/>
          </w:r>
          <w:r w:rsidRPr="009F6822">
            <w:rPr>
              <w:noProof/>
              <w:lang w:val="es-ES_tradnl"/>
            </w:rPr>
            <w:t>Iniciativas nacionales (algunos ejemplos)</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_Toc447203015 \h </w:instrText>
          </w:r>
          <w:r>
            <w:rPr>
              <w:noProof/>
            </w:rPr>
          </w:r>
          <w:r>
            <w:rPr>
              <w:noProof/>
            </w:rPr>
            <w:fldChar w:fldCharType="separate"/>
          </w:r>
          <w:r w:rsidR="00C869C0">
            <w:rPr>
              <w:noProof/>
              <w:lang w:val="es-ES_tradnl"/>
            </w:rPr>
            <w:t>17</w:t>
          </w:r>
          <w:r>
            <w:rPr>
              <w:noProof/>
            </w:rPr>
            <w:fldChar w:fldCharType="end"/>
          </w:r>
        </w:p>
        <w:p w14:paraId="5AEDA15B" w14:textId="376D67AD" w:rsidR="004B1923" w:rsidRPr="004B1923" w:rsidRDefault="004B1923">
          <w:pPr>
            <w:pStyle w:val="TOC1"/>
            <w:rPr>
              <w:rFonts w:asciiTheme="minorHAnsi" w:eastAsiaTheme="minorEastAsia" w:hAnsiTheme="minorHAnsi" w:cstheme="minorBidi"/>
              <w:noProof/>
              <w:sz w:val="22"/>
              <w:szCs w:val="22"/>
              <w:lang w:val="es-ES_tradnl" w:eastAsia="zh-CN"/>
            </w:rPr>
          </w:pPr>
          <w:r w:rsidRPr="009F6822">
            <w:rPr>
              <w:noProof/>
              <w:lang w:val="es-ES_tradnl"/>
            </w:rPr>
            <w:t>6</w:t>
          </w:r>
          <w:r w:rsidRPr="004B1923">
            <w:rPr>
              <w:rFonts w:asciiTheme="minorHAnsi" w:eastAsiaTheme="minorEastAsia" w:hAnsiTheme="minorHAnsi" w:cstheme="minorBidi"/>
              <w:noProof/>
              <w:sz w:val="22"/>
              <w:szCs w:val="22"/>
              <w:lang w:val="es-ES_tradnl" w:eastAsia="zh-CN"/>
            </w:rPr>
            <w:tab/>
          </w:r>
          <w:r w:rsidRPr="009F6822">
            <w:rPr>
              <w:noProof/>
              <w:lang w:val="es-ES_tradnl"/>
            </w:rPr>
            <w:t>Foros de la industria contra la falsificación</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_Toc447203016 \h </w:instrText>
          </w:r>
          <w:r>
            <w:rPr>
              <w:noProof/>
            </w:rPr>
          </w:r>
          <w:r>
            <w:rPr>
              <w:noProof/>
            </w:rPr>
            <w:fldChar w:fldCharType="separate"/>
          </w:r>
          <w:r w:rsidR="00C869C0">
            <w:rPr>
              <w:noProof/>
              <w:lang w:val="es-ES_tradnl"/>
            </w:rPr>
            <w:t>18</w:t>
          </w:r>
          <w:r>
            <w:rPr>
              <w:noProof/>
            </w:rPr>
            <w:fldChar w:fldCharType="end"/>
          </w:r>
        </w:p>
        <w:p w14:paraId="695418C4" w14:textId="58C94A31"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6.1</w:t>
          </w:r>
          <w:r w:rsidRPr="004B1923">
            <w:rPr>
              <w:rFonts w:asciiTheme="minorHAnsi" w:eastAsiaTheme="minorEastAsia" w:hAnsiTheme="minorHAnsi" w:cstheme="minorBidi"/>
              <w:noProof/>
              <w:sz w:val="22"/>
              <w:szCs w:val="22"/>
              <w:lang w:val="es-ES_tradnl" w:eastAsia="zh-CN"/>
            </w:rPr>
            <w:tab/>
          </w:r>
          <w:r w:rsidRPr="009F6822">
            <w:rPr>
              <w:noProof/>
              <w:lang w:val="es-ES_tradnl"/>
            </w:rPr>
            <w:t>Cámara de Comercio Internacional (CCI)</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_Toc447203017 \h </w:instrText>
          </w:r>
          <w:r>
            <w:rPr>
              <w:noProof/>
            </w:rPr>
          </w:r>
          <w:r>
            <w:rPr>
              <w:noProof/>
            </w:rPr>
            <w:fldChar w:fldCharType="separate"/>
          </w:r>
          <w:r w:rsidR="00C869C0">
            <w:rPr>
              <w:noProof/>
              <w:lang w:val="es-ES_tradnl"/>
            </w:rPr>
            <w:t>18</w:t>
          </w:r>
          <w:r>
            <w:rPr>
              <w:noProof/>
            </w:rPr>
            <w:fldChar w:fldCharType="end"/>
          </w:r>
        </w:p>
        <w:p w14:paraId="5A4708F1" w14:textId="7B2F186F"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6.2</w:t>
          </w:r>
          <w:r w:rsidRPr="004B1923">
            <w:rPr>
              <w:rFonts w:asciiTheme="minorHAnsi" w:eastAsiaTheme="minorEastAsia" w:hAnsiTheme="minorHAnsi" w:cstheme="minorBidi"/>
              <w:noProof/>
              <w:sz w:val="22"/>
              <w:szCs w:val="22"/>
              <w:lang w:val="es-ES_tradnl" w:eastAsia="zh-CN"/>
            </w:rPr>
            <w:tab/>
          </w:r>
          <w:r w:rsidRPr="009F6822">
            <w:rPr>
              <w:noProof/>
              <w:lang w:val="es-ES_tradnl"/>
            </w:rPr>
            <w:t>Coalición internacional contra la falsificación (IACC)</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_Toc447203018 \h </w:instrText>
          </w:r>
          <w:r>
            <w:rPr>
              <w:noProof/>
            </w:rPr>
          </w:r>
          <w:r>
            <w:rPr>
              <w:noProof/>
            </w:rPr>
            <w:fldChar w:fldCharType="separate"/>
          </w:r>
          <w:r w:rsidR="00C869C0">
            <w:rPr>
              <w:noProof/>
              <w:lang w:val="es-ES_tradnl"/>
            </w:rPr>
            <w:t>18</w:t>
          </w:r>
          <w:r>
            <w:rPr>
              <w:noProof/>
            </w:rPr>
            <w:fldChar w:fldCharType="end"/>
          </w:r>
        </w:p>
        <w:p w14:paraId="722EFB69" w14:textId="3D301AFC"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6.3</w:t>
          </w:r>
          <w:r w:rsidRPr="004B1923">
            <w:rPr>
              <w:rFonts w:asciiTheme="minorHAnsi" w:eastAsiaTheme="minorEastAsia" w:hAnsiTheme="minorHAnsi" w:cstheme="minorBidi"/>
              <w:noProof/>
              <w:sz w:val="22"/>
              <w:szCs w:val="22"/>
              <w:lang w:val="es-ES_tradnl" w:eastAsia="zh-CN"/>
            </w:rPr>
            <w:tab/>
          </w:r>
          <w:r w:rsidRPr="009F6822">
            <w:rPr>
              <w:noProof/>
              <w:lang w:val="es-ES_tradnl"/>
            </w:rPr>
            <w:t>Foro de fabricantes de sistemas móviles (MMF)</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_Toc447203019 \h </w:instrText>
          </w:r>
          <w:r>
            <w:rPr>
              <w:noProof/>
            </w:rPr>
          </w:r>
          <w:r>
            <w:rPr>
              <w:noProof/>
            </w:rPr>
            <w:fldChar w:fldCharType="separate"/>
          </w:r>
          <w:r w:rsidR="00C869C0">
            <w:rPr>
              <w:noProof/>
              <w:lang w:val="es-ES_tradnl"/>
            </w:rPr>
            <w:t>18</w:t>
          </w:r>
          <w:r>
            <w:rPr>
              <w:noProof/>
            </w:rPr>
            <w:fldChar w:fldCharType="end"/>
          </w:r>
        </w:p>
        <w:p w14:paraId="0F6FE0A3" w14:textId="7987FF93" w:rsidR="004B1923" w:rsidRDefault="004B1923">
          <w:pPr>
            <w:pStyle w:val="TOC2"/>
            <w:rPr>
              <w:rFonts w:asciiTheme="minorHAnsi" w:eastAsiaTheme="minorEastAsia" w:hAnsiTheme="minorHAnsi" w:cstheme="minorBidi"/>
              <w:noProof/>
              <w:sz w:val="22"/>
              <w:szCs w:val="22"/>
              <w:lang w:val="en-US" w:eastAsia="zh-CN"/>
            </w:rPr>
          </w:pPr>
          <w:r w:rsidRPr="009F6822">
            <w:rPr>
              <w:noProof/>
              <w:lang w:val="en-US"/>
            </w:rPr>
            <w:t>6.4</w:t>
          </w:r>
          <w:r>
            <w:rPr>
              <w:rFonts w:asciiTheme="minorHAnsi" w:eastAsiaTheme="minorEastAsia" w:hAnsiTheme="minorHAnsi" w:cstheme="minorBidi"/>
              <w:noProof/>
              <w:sz w:val="22"/>
              <w:szCs w:val="22"/>
              <w:lang w:val="en-US" w:eastAsia="zh-CN"/>
            </w:rPr>
            <w:tab/>
          </w:r>
          <w:r w:rsidRPr="009F6822">
            <w:rPr>
              <w:noProof/>
              <w:lang w:val="en-US"/>
            </w:rPr>
            <w:t>Association of Service and Computer Dealers International and North American Association of Telecommunications Dealers (AscdiNatd)</w:t>
          </w:r>
          <w:r>
            <w:rPr>
              <w:noProof/>
            </w:rPr>
            <w:tab/>
          </w:r>
          <w:r w:rsidR="00362721">
            <w:rPr>
              <w:noProof/>
            </w:rPr>
            <w:tab/>
          </w:r>
          <w:r>
            <w:rPr>
              <w:noProof/>
            </w:rPr>
            <w:fldChar w:fldCharType="begin"/>
          </w:r>
          <w:r>
            <w:rPr>
              <w:noProof/>
            </w:rPr>
            <w:instrText xml:space="preserve"> PAGEREF _Toc447203020 \h </w:instrText>
          </w:r>
          <w:r>
            <w:rPr>
              <w:noProof/>
            </w:rPr>
          </w:r>
          <w:r>
            <w:rPr>
              <w:noProof/>
            </w:rPr>
            <w:fldChar w:fldCharType="separate"/>
          </w:r>
          <w:r w:rsidR="00C869C0">
            <w:rPr>
              <w:noProof/>
            </w:rPr>
            <w:t>19</w:t>
          </w:r>
          <w:r>
            <w:rPr>
              <w:noProof/>
            </w:rPr>
            <w:fldChar w:fldCharType="end"/>
          </w:r>
        </w:p>
        <w:p w14:paraId="5209797F" w14:textId="716495EC" w:rsidR="004B1923" w:rsidRDefault="004B1923">
          <w:pPr>
            <w:pStyle w:val="TOC2"/>
            <w:rPr>
              <w:rFonts w:asciiTheme="minorHAnsi" w:eastAsiaTheme="minorEastAsia" w:hAnsiTheme="minorHAnsi" w:cstheme="minorBidi"/>
              <w:noProof/>
              <w:sz w:val="22"/>
              <w:szCs w:val="22"/>
              <w:lang w:val="en-US" w:eastAsia="zh-CN"/>
            </w:rPr>
          </w:pPr>
          <w:r>
            <w:rPr>
              <w:noProof/>
            </w:rPr>
            <w:t>6.5</w:t>
          </w:r>
          <w:r>
            <w:rPr>
              <w:rFonts w:asciiTheme="minorHAnsi" w:eastAsiaTheme="minorEastAsia" w:hAnsiTheme="minorHAnsi" w:cstheme="minorBidi"/>
              <w:noProof/>
              <w:sz w:val="22"/>
              <w:szCs w:val="22"/>
              <w:lang w:val="en-US" w:eastAsia="zh-CN"/>
            </w:rPr>
            <w:tab/>
          </w:r>
          <w:r>
            <w:rPr>
              <w:noProof/>
            </w:rPr>
            <w:t>Alliance for Gray Market and Counterfeit Abatement (AGMA)</w:t>
          </w:r>
          <w:r>
            <w:rPr>
              <w:noProof/>
            </w:rPr>
            <w:tab/>
          </w:r>
          <w:r w:rsidR="00362721">
            <w:rPr>
              <w:noProof/>
            </w:rPr>
            <w:tab/>
          </w:r>
          <w:r>
            <w:rPr>
              <w:noProof/>
            </w:rPr>
            <w:fldChar w:fldCharType="begin"/>
          </w:r>
          <w:r>
            <w:rPr>
              <w:noProof/>
            </w:rPr>
            <w:instrText xml:space="preserve"> PAGEREF _Toc447203021 \h </w:instrText>
          </w:r>
          <w:r>
            <w:rPr>
              <w:noProof/>
            </w:rPr>
          </w:r>
          <w:r>
            <w:rPr>
              <w:noProof/>
            </w:rPr>
            <w:fldChar w:fldCharType="separate"/>
          </w:r>
          <w:r w:rsidR="00C869C0">
            <w:rPr>
              <w:noProof/>
            </w:rPr>
            <w:t>19</w:t>
          </w:r>
          <w:r>
            <w:rPr>
              <w:noProof/>
            </w:rPr>
            <w:fldChar w:fldCharType="end"/>
          </w:r>
        </w:p>
        <w:p w14:paraId="5086E463" w14:textId="3AD871C0" w:rsidR="004B1923" w:rsidRDefault="004B1923">
          <w:pPr>
            <w:pStyle w:val="TOC2"/>
            <w:rPr>
              <w:rFonts w:asciiTheme="minorHAnsi" w:eastAsiaTheme="minorEastAsia" w:hAnsiTheme="minorHAnsi" w:cstheme="minorBidi"/>
              <w:noProof/>
              <w:sz w:val="22"/>
              <w:szCs w:val="22"/>
              <w:lang w:val="en-US" w:eastAsia="zh-CN"/>
            </w:rPr>
          </w:pPr>
          <w:r w:rsidRPr="004B1923">
            <w:rPr>
              <w:noProof/>
              <w:lang w:val="en-US"/>
            </w:rPr>
            <w:t>6.6</w:t>
          </w:r>
          <w:r>
            <w:rPr>
              <w:rFonts w:asciiTheme="minorHAnsi" w:eastAsiaTheme="minorEastAsia" w:hAnsiTheme="minorHAnsi" w:cstheme="minorBidi"/>
              <w:noProof/>
              <w:sz w:val="22"/>
              <w:szCs w:val="22"/>
              <w:lang w:val="en-US" w:eastAsia="zh-CN"/>
            </w:rPr>
            <w:tab/>
          </w:r>
          <w:r w:rsidRPr="004B1923">
            <w:rPr>
              <w:noProof/>
              <w:lang w:val="en-US"/>
            </w:rPr>
            <w:t>Grupo de Trabajo contra la falsificación de la British Electrotechnical and Allied Manufacturers Association (BEAMA)</w:t>
          </w:r>
          <w:r>
            <w:rPr>
              <w:noProof/>
            </w:rPr>
            <w:tab/>
          </w:r>
          <w:r w:rsidR="00362721">
            <w:rPr>
              <w:noProof/>
            </w:rPr>
            <w:tab/>
          </w:r>
          <w:r>
            <w:rPr>
              <w:noProof/>
            </w:rPr>
            <w:fldChar w:fldCharType="begin"/>
          </w:r>
          <w:r>
            <w:rPr>
              <w:noProof/>
            </w:rPr>
            <w:instrText xml:space="preserve"> PAGEREF _Toc447203022 \h </w:instrText>
          </w:r>
          <w:r>
            <w:rPr>
              <w:noProof/>
            </w:rPr>
          </w:r>
          <w:r>
            <w:rPr>
              <w:noProof/>
            </w:rPr>
            <w:fldChar w:fldCharType="separate"/>
          </w:r>
          <w:r w:rsidR="00C869C0">
            <w:rPr>
              <w:noProof/>
            </w:rPr>
            <w:t>19</w:t>
          </w:r>
          <w:r>
            <w:rPr>
              <w:noProof/>
            </w:rPr>
            <w:fldChar w:fldCharType="end"/>
          </w:r>
        </w:p>
        <w:p w14:paraId="61F48F57" w14:textId="1C90A5B3" w:rsidR="004B1923" w:rsidRDefault="004B1923">
          <w:pPr>
            <w:pStyle w:val="TOC2"/>
            <w:rPr>
              <w:rFonts w:asciiTheme="minorHAnsi" w:eastAsiaTheme="minorEastAsia" w:hAnsiTheme="minorHAnsi" w:cstheme="minorBidi"/>
              <w:noProof/>
              <w:sz w:val="22"/>
              <w:szCs w:val="22"/>
              <w:lang w:val="en-US" w:eastAsia="zh-CN"/>
            </w:rPr>
          </w:pPr>
          <w:r>
            <w:rPr>
              <w:noProof/>
            </w:rPr>
            <w:t>6.7</w:t>
          </w:r>
          <w:r>
            <w:rPr>
              <w:rFonts w:asciiTheme="minorHAnsi" w:eastAsiaTheme="minorEastAsia" w:hAnsiTheme="minorHAnsi" w:cstheme="minorBidi"/>
              <w:noProof/>
              <w:sz w:val="22"/>
              <w:szCs w:val="22"/>
              <w:lang w:val="en-US" w:eastAsia="zh-CN"/>
            </w:rPr>
            <w:tab/>
          </w:r>
          <w:r>
            <w:rPr>
              <w:noProof/>
            </w:rPr>
            <w:t>UKEA (United Kingdom Electronics Alliance)</w:t>
          </w:r>
          <w:r>
            <w:rPr>
              <w:noProof/>
            </w:rPr>
            <w:tab/>
          </w:r>
          <w:r w:rsidR="00362721">
            <w:rPr>
              <w:noProof/>
            </w:rPr>
            <w:tab/>
          </w:r>
          <w:r>
            <w:rPr>
              <w:noProof/>
            </w:rPr>
            <w:fldChar w:fldCharType="begin"/>
          </w:r>
          <w:r>
            <w:rPr>
              <w:noProof/>
            </w:rPr>
            <w:instrText xml:space="preserve"> PAGEREF _Toc447203023 \h </w:instrText>
          </w:r>
          <w:r>
            <w:rPr>
              <w:noProof/>
            </w:rPr>
          </w:r>
          <w:r>
            <w:rPr>
              <w:noProof/>
            </w:rPr>
            <w:fldChar w:fldCharType="separate"/>
          </w:r>
          <w:r w:rsidR="00C869C0">
            <w:rPr>
              <w:noProof/>
            </w:rPr>
            <w:t>19</w:t>
          </w:r>
          <w:r>
            <w:rPr>
              <w:noProof/>
            </w:rPr>
            <w:fldChar w:fldCharType="end"/>
          </w:r>
        </w:p>
        <w:p w14:paraId="7E2BF397" w14:textId="74317A6C" w:rsidR="004B1923" w:rsidRDefault="004B1923">
          <w:pPr>
            <w:pStyle w:val="TOC2"/>
            <w:rPr>
              <w:rFonts w:asciiTheme="minorHAnsi" w:eastAsiaTheme="minorEastAsia" w:hAnsiTheme="minorHAnsi" w:cstheme="minorBidi"/>
              <w:noProof/>
              <w:sz w:val="22"/>
              <w:szCs w:val="22"/>
              <w:lang w:val="en-US" w:eastAsia="zh-CN"/>
            </w:rPr>
          </w:pPr>
          <w:r w:rsidRPr="004B1923">
            <w:rPr>
              <w:noProof/>
              <w:lang w:val="en-US"/>
            </w:rPr>
            <w:t>6.8</w:t>
          </w:r>
          <w:r>
            <w:rPr>
              <w:rFonts w:asciiTheme="minorHAnsi" w:eastAsiaTheme="minorEastAsia" w:hAnsiTheme="minorHAnsi" w:cstheme="minorBidi"/>
              <w:noProof/>
              <w:sz w:val="22"/>
              <w:szCs w:val="22"/>
              <w:lang w:val="en-US" w:eastAsia="zh-CN"/>
            </w:rPr>
            <w:tab/>
          </w:r>
          <w:r w:rsidRPr="004B1923">
            <w:rPr>
              <w:noProof/>
              <w:lang w:val="en-US"/>
            </w:rPr>
            <w:t>Anti-Counterfeiting Group (ACG)</w:t>
          </w:r>
          <w:r>
            <w:rPr>
              <w:noProof/>
            </w:rPr>
            <w:tab/>
          </w:r>
          <w:r w:rsidR="00362721">
            <w:rPr>
              <w:noProof/>
            </w:rPr>
            <w:tab/>
          </w:r>
          <w:r>
            <w:rPr>
              <w:noProof/>
            </w:rPr>
            <w:fldChar w:fldCharType="begin"/>
          </w:r>
          <w:r>
            <w:rPr>
              <w:noProof/>
            </w:rPr>
            <w:instrText xml:space="preserve"> PAGEREF _Toc447203024 \h </w:instrText>
          </w:r>
          <w:r>
            <w:rPr>
              <w:noProof/>
            </w:rPr>
          </w:r>
          <w:r>
            <w:rPr>
              <w:noProof/>
            </w:rPr>
            <w:fldChar w:fldCharType="separate"/>
          </w:r>
          <w:r w:rsidR="00C869C0">
            <w:rPr>
              <w:noProof/>
            </w:rPr>
            <w:t>20</w:t>
          </w:r>
          <w:r>
            <w:rPr>
              <w:noProof/>
            </w:rPr>
            <w:fldChar w:fldCharType="end"/>
          </w:r>
        </w:p>
        <w:p w14:paraId="772CD2C6" w14:textId="29327C7E" w:rsidR="004B1923" w:rsidRDefault="004B1923">
          <w:pPr>
            <w:pStyle w:val="TOC2"/>
            <w:rPr>
              <w:rFonts w:asciiTheme="minorHAnsi" w:eastAsiaTheme="minorEastAsia" w:hAnsiTheme="minorHAnsi" w:cstheme="minorBidi"/>
              <w:noProof/>
              <w:sz w:val="22"/>
              <w:szCs w:val="22"/>
              <w:lang w:val="en-US" w:eastAsia="zh-CN"/>
            </w:rPr>
          </w:pPr>
          <w:r w:rsidRPr="004B1923">
            <w:rPr>
              <w:noProof/>
              <w:lang w:val="en-US"/>
            </w:rPr>
            <w:t>6.9</w:t>
          </w:r>
          <w:r>
            <w:rPr>
              <w:rFonts w:asciiTheme="minorHAnsi" w:eastAsiaTheme="minorEastAsia" w:hAnsiTheme="minorHAnsi" w:cstheme="minorBidi"/>
              <w:noProof/>
              <w:sz w:val="22"/>
              <w:szCs w:val="22"/>
              <w:lang w:val="en-US" w:eastAsia="zh-CN"/>
            </w:rPr>
            <w:tab/>
          </w:r>
          <w:r w:rsidRPr="004B1923">
            <w:rPr>
              <w:noProof/>
              <w:lang w:val="en-US"/>
            </w:rPr>
            <w:t xml:space="preserve">UNIFAB – </w:t>
          </w:r>
          <w:r w:rsidRPr="004B1923">
            <w:rPr>
              <w:i/>
              <w:iCs/>
              <w:noProof/>
              <w:lang w:val="en-US"/>
            </w:rPr>
            <w:t>Union des Fabricants</w:t>
          </w:r>
          <w:r>
            <w:rPr>
              <w:noProof/>
            </w:rPr>
            <w:tab/>
          </w:r>
          <w:r w:rsidR="00362721">
            <w:rPr>
              <w:noProof/>
            </w:rPr>
            <w:tab/>
          </w:r>
          <w:r>
            <w:rPr>
              <w:noProof/>
            </w:rPr>
            <w:fldChar w:fldCharType="begin"/>
          </w:r>
          <w:r>
            <w:rPr>
              <w:noProof/>
            </w:rPr>
            <w:instrText xml:space="preserve"> PAGEREF _Toc447203025 \h </w:instrText>
          </w:r>
          <w:r>
            <w:rPr>
              <w:noProof/>
            </w:rPr>
          </w:r>
          <w:r>
            <w:rPr>
              <w:noProof/>
            </w:rPr>
            <w:fldChar w:fldCharType="separate"/>
          </w:r>
          <w:r w:rsidR="00C869C0">
            <w:rPr>
              <w:noProof/>
            </w:rPr>
            <w:t>20</w:t>
          </w:r>
          <w:r>
            <w:rPr>
              <w:noProof/>
            </w:rPr>
            <w:fldChar w:fldCharType="end"/>
          </w:r>
        </w:p>
        <w:p w14:paraId="0D9EFDEE" w14:textId="10DEBFF9" w:rsidR="004B1923" w:rsidRDefault="004B1923">
          <w:pPr>
            <w:pStyle w:val="TOC2"/>
            <w:rPr>
              <w:rFonts w:asciiTheme="minorHAnsi" w:eastAsiaTheme="minorEastAsia" w:hAnsiTheme="minorHAnsi" w:cstheme="minorBidi"/>
              <w:noProof/>
              <w:sz w:val="22"/>
              <w:szCs w:val="22"/>
              <w:lang w:val="en-US" w:eastAsia="zh-CN"/>
            </w:rPr>
          </w:pPr>
          <w:r>
            <w:rPr>
              <w:noProof/>
            </w:rPr>
            <w:t>6.10</w:t>
          </w:r>
          <w:r>
            <w:rPr>
              <w:rFonts w:asciiTheme="minorHAnsi" w:eastAsiaTheme="minorEastAsia" w:hAnsiTheme="minorHAnsi" w:cstheme="minorBidi"/>
              <w:noProof/>
              <w:sz w:val="22"/>
              <w:szCs w:val="22"/>
              <w:lang w:val="en-US" w:eastAsia="zh-CN"/>
            </w:rPr>
            <w:tab/>
          </w:r>
          <w:r>
            <w:rPr>
              <w:noProof/>
            </w:rPr>
            <w:t>International Electronics Manufacturing Initiative (iNEMI)</w:t>
          </w:r>
          <w:r>
            <w:rPr>
              <w:noProof/>
            </w:rPr>
            <w:tab/>
          </w:r>
          <w:r w:rsidR="00362721">
            <w:rPr>
              <w:noProof/>
            </w:rPr>
            <w:tab/>
          </w:r>
          <w:r>
            <w:rPr>
              <w:noProof/>
            </w:rPr>
            <w:fldChar w:fldCharType="begin"/>
          </w:r>
          <w:r>
            <w:rPr>
              <w:noProof/>
            </w:rPr>
            <w:instrText xml:space="preserve"> PAGEREF _Toc447203026 \h </w:instrText>
          </w:r>
          <w:r>
            <w:rPr>
              <w:noProof/>
            </w:rPr>
          </w:r>
          <w:r>
            <w:rPr>
              <w:noProof/>
            </w:rPr>
            <w:fldChar w:fldCharType="separate"/>
          </w:r>
          <w:r w:rsidR="00C869C0">
            <w:rPr>
              <w:noProof/>
            </w:rPr>
            <w:t>20</w:t>
          </w:r>
          <w:r>
            <w:rPr>
              <w:noProof/>
            </w:rPr>
            <w:fldChar w:fldCharType="end"/>
          </w:r>
        </w:p>
        <w:p w14:paraId="27803AA6" w14:textId="4C7770E6" w:rsidR="004B1923" w:rsidRPr="004B1923" w:rsidRDefault="004B1923">
          <w:pPr>
            <w:pStyle w:val="TOC1"/>
            <w:rPr>
              <w:rFonts w:asciiTheme="minorHAnsi" w:eastAsiaTheme="minorEastAsia" w:hAnsiTheme="minorHAnsi" w:cstheme="minorBidi"/>
              <w:noProof/>
              <w:sz w:val="22"/>
              <w:szCs w:val="22"/>
              <w:lang w:val="es-ES_tradnl" w:eastAsia="zh-CN"/>
            </w:rPr>
          </w:pPr>
          <w:r w:rsidRPr="009F6822">
            <w:rPr>
              <w:noProof/>
              <w:lang w:val="es-ES_tradnl"/>
            </w:rPr>
            <w:t>7</w:t>
          </w:r>
          <w:r w:rsidRPr="004B1923">
            <w:rPr>
              <w:rFonts w:asciiTheme="minorHAnsi" w:eastAsiaTheme="minorEastAsia" w:hAnsiTheme="minorHAnsi" w:cstheme="minorBidi"/>
              <w:noProof/>
              <w:sz w:val="22"/>
              <w:szCs w:val="22"/>
              <w:lang w:val="es-ES_tradnl" w:eastAsia="zh-CN"/>
            </w:rPr>
            <w:tab/>
          </w:r>
          <w:r w:rsidRPr="009F6822">
            <w:rPr>
              <w:noProof/>
              <w:lang w:val="es-ES_tradnl"/>
            </w:rPr>
            <w:t>Medidas para luchar contra los equipos falsificados</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_Toc447203027 \h </w:instrText>
          </w:r>
          <w:r>
            <w:rPr>
              <w:noProof/>
            </w:rPr>
          </w:r>
          <w:r>
            <w:rPr>
              <w:noProof/>
            </w:rPr>
            <w:fldChar w:fldCharType="separate"/>
          </w:r>
          <w:r w:rsidR="00C869C0">
            <w:rPr>
              <w:noProof/>
              <w:lang w:val="es-ES_tradnl"/>
            </w:rPr>
            <w:t>20</w:t>
          </w:r>
          <w:r>
            <w:rPr>
              <w:noProof/>
            </w:rPr>
            <w:fldChar w:fldCharType="end"/>
          </w:r>
        </w:p>
        <w:p w14:paraId="7D56CC11" w14:textId="1D32FF4C"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7.1</w:t>
          </w:r>
          <w:r w:rsidRPr="004B1923">
            <w:rPr>
              <w:rFonts w:asciiTheme="minorHAnsi" w:eastAsiaTheme="minorEastAsia" w:hAnsiTheme="minorHAnsi" w:cstheme="minorBidi"/>
              <w:noProof/>
              <w:sz w:val="22"/>
              <w:szCs w:val="22"/>
              <w:lang w:val="es-ES_tradnl" w:eastAsia="zh-CN"/>
            </w:rPr>
            <w:tab/>
          </w:r>
          <w:r w:rsidRPr="009F6822">
            <w:rPr>
              <w:noProof/>
              <w:lang w:val="es-ES_tradnl"/>
            </w:rPr>
            <w:t>Introducción</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_Toc447203028 \h </w:instrText>
          </w:r>
          <w:r>
            <w:rPr>
              <w:noProof/>
            </w:rPr>
          </w:r>
          <w:r>
            <w:rPr>
              <w:noProof/>
            </w:rPr>
            <w:fldChar w:fldCharType="separate"/>
          </w:r>
          <w:r w:rsidR="00C869C0">
            <w:rPr>
              <w:noProof/>
              <w:lang w:val="es-ES_tradnl"/>
            </w:rPr>
            <w:t>20</w:t>
          </w:r>
          <w:r>
            <w:rPr>
              <w:noProof/>
            </w:rPr>
            <w:fldChar w:fldCharType="end"/>
          </w:r>
        </w:p>
        <w:p w14:paraId="05DF993F" w14:textId="4878D4FC"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7.2</w:t>
          </w:r>
          <w:r w:rsidRPr="004B1923">
            <w:rPr>
              <w:rFonts w:asciiTheme="minorHAnsi" w:eastAsiaTheme="minorEastAsia" w:hAnsiTheme="minorHAnsi" w:cstheme="minorBidi"/>
              <w:noProof/>
              <w:sz w:val="22"/>
              <w:szCs w:val="22"/>
              <w:lang w:val="es-ES_tradnl" w:eastAsia="zh-CN"/>
            </w:rPr>
            <w:tab/>
          </w:r>
          <w:r w:rsidRPr="009F6822">
            <w:rPr>
              <w:noProof/>
              <w:lang w:val="es-ES_tradnl"/>
            </w:rPr>
            <w:t>Falsificación de identificadores y de logotipos de homologación</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_Toc447203029 \h </w:instrText>
          </w:r>
          <w:r>
            <w:rPr>
              <w:noProof/>
            </w:rPr>
          </w:r>
          <w:r>
            <w:rPr>
              <w:noProof/>
            </w:rPr>
            <w:fldChar w:fldCharType="separate"/>
          </w:r>
          <w:r w:rsidR="00C869C0">
            <w:rPr>
              <w:noProof/>
              <w:lang w:val="es-ES_tradnl"/>
            </w:rPr>
            <w:t>23</w:t>
          </w:r>
          <w:r>
            <w:rPr>
              <w:noProof/>
            </w:rPr>
            <w:fldChar w:fldCharType="end"/>
          </w:r>
        </w:p>
        <w:p w14:paraId="6E06BD1B" w14:textId="5E8FA13C"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t>7.3</w:t>
          </w:r>
          <w:r w:rsidRPr="004B1923">
            <w:rPr>
              <w:rFonts w:asciiTheme="minorHAnsi" w:eastAsiaTheme="minorEastAsia" w:hAnsiTheme="minorHAnsi" w:cstheme="minorBidi"/>
              <w:noProof/>
              <w:sz w:val="22"/>
              <w:szCs w:val="22"/>
              <w:lang w:val="es-ES_tradnl" w:eastAsia="zh-CN"/>
            </w:rPr>
            <w:tab/>
          </w:r>
          <w:r w:rsidRPr="009F6822">
            <w:rPr>
              <w:noProof/>
              <w:lang w:val="es-ES_tradnl"/>
            </w:rPr>
            <w:t>Identidad internacional de equipo móvil (IMEI)</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_Toc447203030 \h </w:instrText>
          </w:r>
          <w:r>
            <w:rPr>
              <w:noProof/>
            </w:rPr>
          </w:r>
          <w:r>
            <w:rPr>
              <w:noProof/>
            </w:rPr>
            <w:fldChar w:fldCharType="separate"/>
          </w:r>
          <w:r w:rsidR="00C869C0">
            <w:rPr>
              <w:noProof/>
              <w:lang w:val="es-ES_tradnl"/>
            </w:rPr>
            <w:t>23</w:t>
          </w:r>
          <w:r>
            <w:rPr>
              <w:noProof/>
            </w:rPr>
            <w:fldChar w:fldCharType="end"/>
          </w:r>
        </w:p>
        <w:p w14:paraId="1391AFFE" w14:textId="472964E5"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rFonts w:asciiTheme="majorBidi" w:hAnsiTheme="majorBidi" w:cstheme="majorBidi"/>
              <w:noProof/>
              <w:lang w:val="es-ES_tradnl"/>
            </w:rPr>
            <w:t>7.4</w:t>
          </w:r>
          <w:r w:rsidRPr="004B1923">
            <w:rPr>
              <w:rFonts w:asciiTheme="minorHAnsi" w:eastAsiaTheme="minorEastAsia" w:hAnsiTheme="minorHAnsi" w:cstheme="minorBidi"/>
              <w:noProof/>
              <w:sz w:val="22"/>
              <w:szCs w:val="22"/>
              <w:lang w:val="es-ES_tradnl" w:eastAsia="zh-CN"/>
            </w:rPr>
            <w:tab/>
          </w:r>
          <w:r w:rsidRPr="009F6822">
            <w:rPr>
              <w:rFonts w:asciiTheme="majorBidi" w:hAnsiTheme="majorBidi" w:cstheme="majorBidi"/>
              <w:noProof/>
              <w:lang w:val="es-ES_tradnl"/>
            </w:rPr>
            <w:t>Identificadores únicos</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_Toc447203031 \h </w:instrText>
          </w:r>
          <w:r>
            <w:rPr>
              <w:noProof/>
            </w:rPr>
          </w:r>
          <w:r>
            <w:rPr>
              <w:noProof/>
            </w:rPr>
            <w:fldChar w:fldCharType="separate"/>
          </w:r>
          <w:r w:rsidR="00C869C0">
            <w:rPr>
              <w:noProof/>
              <w:lang w:val="es-ES_tradnl"/>
            </w:rPr>
            <w:t>26</w:t>
          </w:r>
          <w:r>
            <w:rPr>
              <w:noProof/>
            </w:rPr>
            <w:fldChar w:fldCharType="end"/>
          </w:r>
        </w:p>
        <w:p w14:paraId="57196E6D" w14:textId="1A1086D3"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noProof/>
              <w:lang w:val="es-ES_tradnl"/>
            </w:rPr>
            <w:lastRenderedPageBreak/>
            <w:t>7.5</w:t>
          </w:r>
          <w:r w:rsidRPr="004B1923">
            <w:rPr>
              <w:rFonts w:asciiTheme="minorHAnsi" w:eastAsiaTheme="minorEastAsia" w:hAnsiTheme="minorHAnsi" w:cstheme="minorBidi"/>
              <w:noProof/>
              <w:sz w:val="22"/>
              <w:szCs w:val="22"/>
              <w:lang w:val="es-ES_tradnl" w:eastAsia="zh-CN"/>
            </w:rPr>
            <w:tab/>
          </w:r>
          <w:r w:rsidRPr="009F6822">
            <w:rPr>
              <w:noProof/>
              <w:lang w:val="es-ES_tradnl"/>
            </w:rPr>
            <w:t>Identificación automática y captura de datos (AIDC)</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_Toc447203032 \h </w:instrText>
          </w:r>
          <w:r>
            <w:rPr>
              <w:noProof/>
            </w:rPr>
          </w:r>
          <w:r>
            <w:rPr>
              <w:noProof/>
            </w:rPr>
            <w:fldChar w:fldCharType="separate"/>
          </w:r>
          <w:r w:rsidR="00C869C0">
            <w:rPr>
              <w:noProof/>
              <w:lang w:val="es-ES_tradnl"/>
            </w:rPr>
            <w:t>29</w:t>
          </w:r>
          <w:r>
            <w:rPr>
              <w:noProof/>
            </w:rPr>
            <w:fldChar w:fldCharType="end"/>
          </w:r>
        </w:p>
        <w:p w14:paraId="05AE2C8F" w14:textId="64E69DAE"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rFonts w:asciiTheme="majorBidi" w:hAnsiTheme="majorBidi" w:cstheme="majorBidi"/>
              <w:noProof/>
              <w:lang w:val="es-ES_tradnl"/>
            </w:rPr>
            <w:t>7.6</w:t>
          </w:r>
          <w:r w:rsidRPr="004B1923">
            <w:rPr>
              <w:rFonts w:asciiTheme="minorHAnsi" w:eastAsiaTheme="minorEastAsia" w:hAnsiTheme="minorHAnsi" w:cstheme="minorBidi"/>
              <w:noProof/>
              <w:sz w:val="22"/>
              <w:szCs w:val="22"/>
              <w:lang w:val="es-ES_tradnl" w:eastAsia="zh-CN"/>
            </w:rPr>
            <w:tab/>
          </w:r>
          <w:r w:rsidRPr="009F6822">
            <w:rPr>
              <w:rFonts w:asciiTheme="majorBidi" w:hAnsiTheme="majorBidi" w:cstheme="majorBidi"/>
              <w:noProof/>
              <w:lang w:val="es-ES_tradnl"/>
            </w:rPr>
            <w:t>Impresión segura y etiquetas de holograma</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_Toc447203033 \h </w:instrText>
          </w:r>
          <w:r>
            <w:rPr>
              <w:noProof/>
            </w:rPr>
          </w:r>
          <w:r>
            <w:rPr>
              <w:noProof/>
            </w:rPr>
            <w:fldChar w:fldCharType="separate"/>
          </w:r>
          <w:r w:rsidR="00C869C0">
            <w:rPr>
              <w:noProof/>
              <w:lang w:val="es-ES_tradnl"/>
            </w:rPr>
            <w:t>34</w:t>
          </w:r>
          <w:r>
            <w:rPr>
              <w:noProof/>
            </w:rPr>
            <w:fldChar w:fldCharType="end"/>
          </w:r>
        </w:p>
        <w:p w14:paraId="05F01F14" w14:textId="613FBA9A" w:rsidR="004B1923" w:rsidRPr="004B1923" w:rsidRDefault="004B1923">
          <w:pPr>
            <w:pStyle w:val="TOC2"/>
            <w:rPr>
              <w:rFonts w:asciiTheme="minorHAnsi" w:eastAsiaTheme="minorEastAsia" w:hAnsiTheme="minorHAnsi" w:cstheme="minorBidi"/>
              <w:noProof/>
              <w:sz w:val="22"/>
              <w:szCs w:val="22"/>
              <w:lang w:val="es-ES_tradnl" w:eastAsia="zh-CN"/>
            </w:rPr>
          </w:pPr>
          <w:r w:rsidRPr="009F6822">
            <w:rPr>
              <w:rFonts w:asciiTheme="majorBidi" w:hAnsiTheme="majorBidi" w:cstheme="majorBidi"/>
              <w:noProof/>
              <w:lang w:val="es-ES_tradnl"/>
            </w:rPr>
            <w:t>7.7</w:t>
          </w:r>
          <w:r w:rsidRPr="004B1923">
            <w:rPr>
              <w:rFonts w:asciiTheme="minorHAnsi" w:eastAsiaTheme="minorEastAsia" w:hAnsiTheme="minorHAnsi" w:cstheme="minorBidi"/>
              <w:noProof/>
              <w:sz w:val="22"/>
              <w:szCs w:val="22"/>
              <w:lang w:val="es-ES_tradnl" w:eastAsia="zh-CN"/>
            </w:rPr>
            <w:tab/>
          </w:r>
          <w:r w:rsidRPr="009F6822">
            <w:rPr>
              <w:rFonts w:asciiTheme="majorBidi" w:hAnsiTheme="majorBidi" w:cstheme="majorBidi"/>
              <w:noProof/>
              <w:lang w:val="es-ES_tradnl"/>
            </w:rPr>
            <w:t>Gestión de la cadena de suministro</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_Toc447203034 \h </w:instrText>
          </w:r>
          <w:r>
            <w:rPr>
              <w:noProof/>
            </w:rPr>
          </w:r>
          <w:r>
            <w:rPr>
              <w:noProof/>
            </w:rPr>
            <w:fldChar w:fldCharType="separate"/>
          </w:r>
          <w:r w:rsidR="00C869C0">
            <w:rPr>
              <w:noProof/>
              <w:lang w:val="es-ES_tradnl"/>
            </w:rPr>
            <w:t>34</w:t>
          </w:r>
          <w:r>
            <w:rPr>
              <w:noProof/>
            </w:rPr>
            <w:fldChar w:fldCharType="end"/>
          </w:r>
        </w:p>
        <w:p w14:paraId="67E4ED6C" w14:textId="26568BD9" w:rsidR="004B1923" w:rsidRPr="004B1923" w:rsidRDefault="004B1923">
          <w:pPr>
            <w:pStyle w:val="TOC2"/>
            <w:rPr>
              <w:rFonts w:asciiTheme="minorHAnsi" w:eastAsiaTheme="minorEastAsia" w:hAnsiTheme="minorHAnsi" w:cstheme="minorBidi"/>
              <w:noProof/>
              <w:sz w:val="22"/>
              <w:szCs w:val="22"/>
              <w:lang w:val="es-ES_tradnl" w:eastAsia="zh-CN"/>
            </w:rPr>
          </w:pPr>
          <w:r>
            <w:rPr>
              <w:noProof/>
              <w:lang w:val="es-ES_tradnl"/>
            </w:rPr>
            <w:t>7.8</w:t>
          </w:r>
          <w:r w:rsidRPr="004B1923">
            <w:rPr>
              <w:rFonts w:asciiTheme="minorHAnsi" w:eastAsiaTheme="minorEastAsia" w:hAnsiTheme="minorHAnsi" w:cstheme="minorBidi"/>
              <w:noProof/>
              <w:sz w:val="22"/>
              <w:szCs w:val="22"/>
              <w:lang w:val="es-ES_tradnl" w:eastAsia="zh-CN"/>
            </w:rPr>
            <w:tab/>
          </w:r>
          <w:r w:rsidRPr="009F6822">
            <w:rPr>
              <w:noProof/>
              <w:lang w:val="es-ES_tradnl"/>
            </w:rPr>
            <w:t>Realización de pruebas</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_Toc447203035 \h </w:instrText>
          </w:r>
          <w:r>
            <w:rPr>
              <w:noProof/>
            </w:rPr>
          </w:r>
          <w:r>
            <w:rPr>
              <w:noProof/>
            </w:rPr>
            <w:fldChar w:fldCharType="separate"/>
          </w:r>
          <w:r w:rsidR="00C869C0">
            <w:rPr>
              <w:noProof/>
              <w:lang w:val="es-ES_tradnl"/>
            </w:rPr>
            <w:t>36</w:t>
          </w:r>
          <w:r>
            <w:rPr>
              <w:noProof/>
            </w:rPr>
            <w:fldChar w:fldCharType="end"/>
          </w:r>
        </w:p>
        <w:p w14:paraId="54753A0D" w14:textId="362436C9" w:rsidR="004B1923" w:rsidRPr="004B1923" w:rsidRDefault="004B1923">
          <w:pPr>
            <w:pStyle w:val="TOC2"/>
            <w:rPr>
              <w:rFonts w:asciiTheme="minorHAnsi" w:eastAsiaTheme="minorEastAsia" w:hAnsiTheme="minorHAnsi" w:cstheme="minorBidi"/>
              <w:noProof/>
              <w:sz w:val="22"/>
              <w:szCs w:val="22"/>
              <w:lang w:val="es-ES_tradnl" w:eastAsia="zh-CN"/>
            </w:rPr>
          </w:pPr>
          <w:r>
            <w:rPr>
              <w:rFonts w:asciiTheme="majorBidi" w:hAnsiTheme="majorBidi" w:cstheme="majorBidi"/>
              <w:noProof/>
              <w:lang w:val="es-ES_tradnl"/>
            </w:rPr>
            <w:t>7.9</w:t>
          </w:r>
          <w:r w:rsidRPr="004B1923">
            <w:rPr>
              <w:rFonts w:asciiTheme="minorHAnsi" w:eastAsiaTheme="minorEastAsia" w:hAnsiTheme="minorHAnsi" w:cstheme="minorBidi"/>
              <w:noProof/>
              <w:sz w:val="22"/>
              <w:szCs w:val="22"/>
              <w:lang w:val="es-ES_tradnl" w:eastAsia="zh-CN"/>
            </w:rPr>
            <w:tab/>
          </w:r>
          <w:r w:rsidRPr="009F6822">
            <w:rPr>
              <w:rFonts w:asciiTheme="majorBidi" w:hAnsiTheme="majorBidi" w:cstheme="majorBidi"/>
              <w:noProof/>
              <w:lang w:val="es-ES_tradnl"/>
            </w:rPr>
            <w:t>Bases de datos</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_Toc447203036 \h </w:instrText>
          </w:r>
          <w:r>
            <w:rPr>
              <w:noProof/>
            </w:rPr>
          </w:r>
          <w:r>
            <w:rPr>
              <w:noProof/>
            </w:rPr>
            <w:fldChar w:fldCharType="separate"/>
          </w:r>
          <w:r w:rsidR="00C869C0">
            <w:rPr>
              <w:noProof/>
              <w:lang w:val="es-ES_tradnl"/>
            </w:rPr>
            <w:t>37</w:t>
          </w:r>
          <w:r>
            <w:rPr>
              <w:noProof/>
            </w:rPr>
            <w:fldChar w:fldCharType="end"/>
          </w:r>
        </w:p>
        <w:p w14:paraId="3040DB31" w14:textId="07111A22" w:rsidR="004B1923" w:rsidRPr="004B1923" w:rsidRDefault="004B1923">
          <w:pPr>
            <w:pStyle w:val="TOC2"/>
            <w:rPr>
              <w:rFonts w:asciiTheme="minorHAnsi" w:eastAsiaTheme="minorEastAsia" w:hAnsiTheme="minorHAnsi" w:cstheme="minorBidi"/>
              <w:noProof/>
              <w:sz w:val="22"/>
              <w:szCs w:val="22"/>
              <w:lang w:val="es-ES_tradnl" w:eastAsia="zh-CN"/>
            </w:rPr>
          </w:pPr>
          <w:r>
            <w:rPr>
              <w:rFonts w:asciiTheme="majorBidi" w:hAnsiTheme="majorBidi" w:cstheme="majorBidi"/>
              <w:noProof/>
              <w:lang w:val="es-ES_tradnl"/>
            </w:rPr>
            <w:t>7.10</w:t>
          </w:r>
          <w:r w:rsidRPr="004B1923">
            <w:rPr>
              <w:rFonts w:asciiTheme="minorHAnsi" w:eastAsiaTheme="minorEastAsia" w:hAnsiTheme="minorHAnsi" w:cstheme="minorBidi"/>
              <w:noProof/>
              <w:sz w:val="22"/>
              <w:szCs w:val="22"/>
              <w:lang w:val="es-ES_tradnl" w:eastAsia="zh-CN"/>
            </w:rPr>
            <w:tab/>
          </w:r>
          <w:r w:rsidRPr="009F6822">
            <w:rPr>
              <w:rFonts w:asciiTheme="majorBidi" w:hAnsiTheme="majorBidi" w:cstheme="majorBidi"/>
              <w:noProof/>
              <w:lang w:val="es-ES_tradnl"/>
            </w:rPr>
            <w:t>Vigilancia del mercado</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_Toc447203037 \h </w:instrText>
          </w:r>
          <w:r>
            <w:rPr>
              <w:noProof/>
            </w:rPr>
          </w:r>
          <w:r>
            <w:rPr>
              <w:noProof/>
            </w:rPr>
            <w:fldChar w:fldCharType="separate"/>
          </w:r>
          <w:r w:rsidR="00C869C0">
            <w:rPr>
              <w:noProof/>
              <w:lang w:val="es-ES_tradnl"/>
            </w:rPr>
            <w:t>37</w:t>
          </w:r>
          <w:r>
            <w:rPr>
              <w:noProof/>
            </w:rPr>
            <w:fldChar w:fldCharType="end"/>
          </w:r>
        </w:p>
        <w:p w14:paraId="4325B1CE" w14:textId="7E3C0016" w:rsidR="004B1923" w:rsidRPr="004B1923" w:rsidRDefault="004B1923">
          <w:pPr>
            <w:pStyle w:val="TOC1"/>
            <w:rPr>
              <w:rFonts w:asciiTheme="minorHAnsi" w:eastAsiaTheme="minorEastAsia" w:hAnsiTheme="minorHAnsi" w:cstheme="minorBidi"/>
              <w:noProof/>
              <w:sz w:val="22"/>
              <w:szCs w:val="22"/>
              <w:lang w:val="es-ES_tradnl" w:eastAsia="zh-CN"/>
            </w:rPr>
          </w:pPr>
          <w:r>
            <w:rPr>
              <w:rFonts w:asciiTheme="majorBidi" w:hAnsiTheme="majorBidi" w:cstheme="majorBidi"/>
              <w:noProof/>
              <w:lang w:val="es-ES_tradnl"/>
            </w:rPr>
            <w:t>8</w:t>
          </w:r>
          <w:r w:rsidRPr="004B1923">
            <w:rPr>
              <w:rFonts w:asciiTheme="minorHAnsi" w:eastAsiaTheme="minorEastAsia" w:hAnsiTheme="minorHAnsi" w:cstheme="minorBidi"/>
              <w:noProof/>
              <w:sz w:val="22"/>
              <w:szCs w:val="22"/>
              <w:lang w:val="es-ES_tradnl" w:eastAsia="zh-CN"/>
            </w:rPr>
            <w:tab/>
          </w:r>
          <w:r w:rsidRPr="009F6822">
            <w:rPr>
              <w:rFonts w:asciiTheme="majorBidi" w:hAnsiTheme="majorBidi" w:cstheme="majorBidi"/>
              <w:noProof/>
              <w:lang w:val="es-ES_tradnl"/>
            </w:rPr>
            <w:t>Organizaciones de normalización</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_Toc447203038 \h </w:instrText>
          </w:r>
          <w:r>
            <w:rPr>
              <w:noProof/>
            </w:rPr>
          </w:r>
          <w:r>
            <w:rPr>
              <w:noProof/>
            </w:rPr>
            <w:fldChar w:fldCharType="separate"/>
          </w:r>
          <w:r w:rsidR="00C869C0">
            <w:rPr>
              <w:noProof/>
              <w:lang w:val="es-ES_tradnl"/>
            </w:rPr>
            <w:t>37</w:t>
          </w:r>
          <w:r>
            <w:rPr>
              <w:noProof/>
            </w:rPr>
            <w:fldChar w:fldCharType="end"/>
          </w:r>
        </w:p>
        <w:p w14:paraId="1822FEDC" w14:textId="5EDC5110" w:rsidR="004B1923" w:rsidRPr="004B1923" w:rsidRDefault="004B1923">
          <w:pPr>
            <w:pStyle w:val="TOC1"/>
            <w:rPr>
              <w:rFonts w:asciiTheme="minorHAnsi" w:eastAsiaTheme="minorEastAsia" w:hAnsiTheme="minorHAnsi" w:cstheme="minorBidi"/>
              <w:noProof/>
              <w:sz w:val="22"/>
              <w:szCs w:val="22"/>
              <w:lang w:val="es-ES_tradnl" w:eastAsia="zh-CN"/>
            </w:rPr>
          </w:pPr>
          <w:r>
            <w:rPr>
              <w:rFonts w:asciiTheme="majorBidi" w:hAnsiTheme="majorBidi" w:cstheme="majorBidi"/>
              <w:noProof/>
              <w:lang w:val="es-ES_tradnl"/>
            </w:rPr>
            <w:t>9</w:t>
          </w:r>
          <w:r w:rsidRPr="004B1923">
            <w:rPr>
              <w:rFonts w:asciiTheme="minorHAnsi" w:eastAsiaTheme="minorEastAsia" w:hAnsiTheme="minorHAnsi" w:cstheme="minorBidi"/>
              <w:noProof/>
              <w:sz w:val="22"/>
              <w:szCs w:val="22"/>
              <w:lang w:val="es-ES_tradnl" w:eastAsia="zh-CN"/>
            </w:rPr>
            <w:tab/>
          </w:r>
          <w:r w:rsidRPr="009F6822">
            <w:rPr>
              <w:rFonts w:asciiTheme="majorBidi" w:hAnsiTheme="majorBidi" w:cstheme="majorBidi"/>
              <w:noProof/>
              <w:lang w:val="es-ES_tradnl"/>
            </w:rPr>
            <w:t>Directrices para luchar contra las falsificaciones</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_Toc447203039 \h </w:instrText>
          </w:r>
          <w:r>
            <w:rPr>
              <w:noProof/>
            </w:rPr>
          </w:r>
          <w:r>
            <w:rPr>
              <w:noProof/>
            </w:rPr>
            <w:fldChar w:fldCharType="separate"/>
          </w:r>
          <w:r w:rsidR="00C869C0">
            <w:rPr>
              <w:noProof/>
              <w:lang w:val="es-ES_tradnl"/>
            </w:rPr>
            <w:t>38</w:t>
          </w:r>
          <w:r>
            <w:rPr>
              <w:noProof/>
            </w:rPr>
            <w:fldChar w:fldCharType="end"/>
          </w:r>
        </w:p>
        <w:p w14:paraId="1197FB4B" w14:textId="451EC36E" w:rsidR="004B1923" w:rsidRPr="004B1923" w:rsidRDefault="004B1923">
          <w:pPr>
            <w:pStyle w:val="TOC1"/>
            <w:rPr>
              <w:rFonts w:asciiTheme="minorHAnsi" w:eastAsiaTheme="minorEastAsia" w:hAnsiTheme="minorHAnsi" w:cstheme="minorBidi"/>
              <w:noProof/>
              <w:sz w:val="22"/>
              <w:szCs w:val="22"/>
              <w:lang w:val="es-ES_tradnl" w:eastAsia="zh-CN"/>
            </w:rPr>
          </w:pPr>
          <w:r w:rsidRPr="009F6822">
            <w:rPr>
              <w:rFonts w:asciiTheme="majorBidi" w:hAnsiTheme="majorBidi" w:cstheme="majorBidi"/>
              <w:noProof/>
              <w:lang w:val="es-ES_tradnl"/>
            </w:rPr>
            <w:t>10</w:t>
          </w:r>
          <w:r w:rsidRPr="004B1923">
            <w:rPr>
              <w:rFonts w:asciiTheme="minorHAnsi" w:eastAsiaTheme="minorEastAsia" w:hAnsiTheme="minorHAnsi" w:cstheme="minorBidi"/>
              <w:noProof/>
              <w:sz w:val="22"/>
              <w:szCs w:val="22"/>
              <w:lang w:val="es-ES_tradnl" w:eastAsia="zh-CN"/>
            </w:rPr>
            <w:tab/>
          </w:r>
          <w:r w:rsidRPr="009F6822">
            <w:rPr>
              <w:rFonts w:asciiTheme="majorBidi" w:hAnsiTheme="majorBidi" w:cstheme="majorBidi"/>
              <w:noProof/>
              <w:lang w:val="es-ES_tradnl"/>
            </w:rPr>
            <w:t>Conclusiones</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_Toc447203040 \h </w:instrText>
          </w:r>
          <w:r>
            <w:rPr>
              <w:noProof/>
            </w:rPr>
          </w:r>
          <w:r>
            <w:rPr>
              <w:noProof/>
            </w:rPr>
            <w:fldChar w:fldCharType="separate"/>
          </w:r>
          <w:r w:rsidR="00C869C0">
            <w:rPr>
              <w:noProof/>
              <w:lang w:val="es-ES_tradnl"/>
            </w:rPr>
            <w:t>40</w:t>
          </w:r>
          <w:r>
            <w:rPr>
              <w:noProof/>
            </w:rPr>
            <w:fldChar w:fldCharType="end"/>
          </w:r>
        </w:p>
        <w:p w14:paraId="0E9016A9" w14:textId="483C2D06" w:rsidR="004B1923" w:rsidRPr="004B1923" w:rsidRDefault="004B1923">
          <w:pPr>
            <w:pStyle w:val="TOC1"/>
            <w:rPr>
              <w:rFonts w:asciiTheme="minorHAnsi" w:eastAsiaTheme="minorEastAsia" w:hAnsiTheme="minorHAnsi" w:cstheme="minorBidi"/>
              <w:noProof/>
              <w:sz w:val="22"/>
              <w:szCs w:val="22"/>
              <w:lang w:val="es-ES_tradnl" w:eastAsia="zh-CN"/>
            </w:rPr>
          </w:pPr>
          <w:r w:rsidRPr="009F6822">
            <w:rPr>
              <w:noProof/>
              <w:lang w:val="es-ES_tradnl"/>
            </w:rPr>
            <w:t>11</w:t>
          </w:r>
          <w:r w:rsidRPr="004B1923">
            <w:rPr>
              <w:rFonts w:asciiTheme="minorHAnsi" w:eastAsiaTheme="minorEastAsia" w:hAnsiTheme="minorHAnsi" w:cstheme="minorBidi"/>
              <w:noProof/>
              <w:sz w:val="22"/>
              <w:szCs w:val="22"/>
              <w:lang w:val="es-ES_tradnl" w:eastAsia="zh-CN"/>
            </w:rPr>
            <w:tab/>
          </w:r>
          <w:r w:rsidRPr="009F6822">
            <w:rPr>
              <w:noProof/>
              <w:lang w:val="es-ES_tradnl"/>
            </w:rPr>
            <w:t>Implicación de la UIT</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_Toc447203041 \h </w:instrText>
          </w:r>
          <w:r>
            <w:rPr>
              <w:noProof/>
            </w:rPr>
          </w:r>
          <w:r>
            <w:rPr>
              <w:noProof/>
            </w:rPr>
            <w:fldChar w:fldCharType="separate"/>
          </w:r>
          <w:r w:rsidR="00C869C0">
            <w:rPr>
              <w:noProof/>
              <w:lang w:val="es-ES_tradnl"/>
            </w:rPr>
            <w:t>42</w:t>
          </w:r>
          <w:r>
            <w:rPr>
              <w:noProof/>
            </w:rPr>
            <w:fldChar w:fldCharType="end"/>
          </w:r>
        </w:p>
        <w:p w14:paraId="48C1FD87" w14:textId="479825C2" w:rsidR="004B1923" w:rsidRPr="004B1923" w:rsidRDefault="004B1923">
          <w:pPr>
            <w:pStyle w:val="TOC1"/>
            <w:rPr>
              <w:rFonts w:asciiTheme="minorHAnsi" w:eastAsiaTheme="minorEastAsia" w:hAnsiTheme="minorHAnsi" w:cstheme="minorBidi"/>
              <w:noProof/>
              <w:sz w:val="22"/>
              <w:szCs w:val="22"/>
              <w:lang w:val="es-ES_tradnl" w:eastAsia="zh-CN"/>
            </w:rPr>
          </w:pPr>
          <w:r w:rsidRPr="004B1923">
            <w:rPr>
              <w:noProof/>
              <w:lang w:val="es-ES_tradnl"/>
            </w:rPr>
            <w:t>12</w:t>
          </w:r>
          <w:r w:rsidRPr="004B1923">
            <w:rPr>
              <w:rFonts w:asciiTheme="minorHAnsi" w:eastAsiaTheme="minorEastAsia" w:hAnsiTheme="minorHAnsi" w:cstheme="minorBidi"/>
              <w:noProof/>
              <w:sz w:val="22"/>
              <w:szCs w:val="22"/>
              <w:lang w:val="es-ES_tradnl" w:eastAsia="zh-CN"/>
            </w:rPr>
            <w:tab/>
          </w:r>
          <w:r w:rsidRPr="004B1923">
            <w:rPr>
              <w:noProof/>
              <w:lang w:val="es-ES_tradnl"/>
            </w:rPr>
            <w:t>Referencias</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_Toc447203042 \h </w:instrText>
          </w:r>
          <w:r>
            <w:rPr>
              <w:noProof/>
            </w:rPr>
          </w:r>
          <w:r>
            <w:rPr>
              <w:noProof/>
            </w:rPr>
            <w:fldChar w:fldCharType="separate"/>
          </w:r>
          <w:r w:rsidR="00C869C0">
            <w:rPr>
              <w:noProof/>
              <w:lang w:val="es-ES_tradnl"/>
            </w:rPr>
            <w:t>46</w:t>
          </w:r>
          <w:r>
            <w:rPr>
              <w:noProof/>
            </w:rPr>
            <w:fldChar w:fldCharType="end"/>
          </w:r>
        </w:p>
        <w:p w14:paraId="5527FD5B" w14:textId="32ED5081" w:rsidR="004B1923" w:rsidRPr="004B1923" w:rsidRDefault="004B1923">
          <w:pPr>
            <w:pStyle w:val="TOC1"/>
            <w:rPr>
              <w:rFonts w:asciiTheme="minorHAnsi" w:eastAsiaTheme="minorEastAsia" w:hAnsiTheme="minorHAnsi" w:cstheme="minorBidi"/>
              <w:noProof/>
              <w:sz w:val="22"/>
              <w:szCs w:val="22"/>
              <w:lang w:val="es-ES_tradnl" w:eastAsia="zh-CN"/>
            </w:rPr>
          </w:pPr>
          <w:r w:rsidRPr="009F6822">
            <w:rPr>
              <w:noProof/>
              <w:lang w:val="es-ES_tradnl"/>
            </w:rPr>
            <w:t xml:space="preserve">Anexo A </w:t>
          </w:r>
          <w:r w:rsidRPr="004B1923">
            <w:rPr>
              <w:noProof/>
              <w:lang w:val="es-ES_tradnl"/>
            </w:rPr>
            <w:t>–</w:t>
          </w:r>
          <w:r w:rsidRPr="009F6822">
            <w:rPr>
              <w:noProof/>
              <w:lang w:val="es-ES_tradnl"/>
            </w:rPr>
            <w:t xml:space="preserve"> Sistemas para la identificación de dispositivos móviles falsificados</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_Toc447203043 \h </w:instrText>
          </w:r>
          <w:r>
            <w:rPr>
              <w:noProof/>
            </w:rPr>
          </w:r>
          <w:r>
            <w:rPr>
              <w:noProof/>
            </w:rPr>
            <w:fldChar w:fldCharType="separate"/>
          </w:r>
          <w:r w:rsidR="00C869C0">
            <w:rPr>
              <w:noProof/>
              <w:lang w:val="es-ES_tradnl"/>
            </w:rPr>
            <w:t>54</w:t>
          </w:r>
          <w:r>
            <w:rPr>
              <w:noProof/>
            </w:rPr>
            <w:fldChar w:fldCharType="end"/>
          </w:r>
        </w:p>
        <w:p w14:paraId="7A2F79AD" w14:textId="55363436" w:rsidR="004B1923" w:rsidRPr="004B1923" w:rsidRDefault="004B1923" w:rsidP="004B1923">
          <w:pPr>
            <w:pStyle w:val="TOC1"/>
            <w:ind w:left="1360"/>
            <w:rPr>
              <w:rFonts w:asciiTheme="minorHAnsi" w:eastAsiaTheme="minorEastAsia" w:hAnsiTheme="minorHAnsi" w:cstheme="minorBidi"/>
              <w:noProof/>
              <w:sz w:val="22"/>
              <w:szCs w:val="22"/>
              <w:lang w:val="es-ES_tradnl" w:eastAsia="zh-CN"/>
            </w:rPr>
          </w:pPr>
          <w:r w:rsidRPr="009F6822">
            <w:rPr>
              <w:noProof/>
              <w:lang w:val="es-ES_tradnl"/>
            </w:rPr>
            <w:t>A.1</w:t>
          </w:r>
          <w:r w:rsidRPr="004B1923">
            <w:rPr>
              <w:rFonts w:asciiTheme="minorHAnsi" w:eastAsiaTheme="minorEastAsia" w:hAnsiTheme="minorHAnsi" w:cstheme="minorBidi"/>
              <w:noProof/>
              <w:sz w:val="22"/>
              <w:szCs w:val="22"/>
              <w:lang w:val="es-ES_tradnl" w:eastAsia="zh-CN"/>
            </w:rPr>
            <w:tab/>
          </w:r>
          <w:r w:rsidRPr="009F6822">
            <w:rPr>
              <w:noProof/>
              <w:lang w:val="es-ES_tradnl"/>
            </w:rPr>
            <w:t>Ejemplos de las medidas tomadas por administraciones y reguladores nacionales</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_Toc447203044 \h </w:instrText>
          </w:r>
          <w:r>
            <w:rPr>
              <w:noProof/>
            </w:rPr>
          </w:r>
          <w:r>
            <w:rPr>
              <w:noProof/>
            </w:rPr>
            <w:fldChar w:fldCharType="separate"/>
          </w:r>
          <w:r w:rsidR="00C869C0">
            <w:rPr>
              <w:noProof/>
              <w:lang w:val="es-ES_tradnl"/>
            </w:rPr>
            <w:t>54</w:t>
          </w:r>
          <w:r>
            <w:rPr>
              <w:noProof/>
            </w:rPr>
            <w:fldChar w:fldCharType="end"/>
          </w:r>
        </w:p>
        <w:p w14:paraId="1319EFCE" w14:textId="1B7DE32C" w:rsidR="004B1923" w:rsidRPr="004B1923" w:rsidRDefault="004B1923" w:rsidP="004B1923">
          <w:pPr>
            <w:pStyle w:val="TOC1"/>
            <w:ind w:left="1360"/>
            <w:rPr>
              <w:rFonts w:asciiTheme="minorHAnsi" w:eastAsiaTheme="minorEastAsia" w:hAnsiTheme="minorHAnsi" w:cstheme="minorBidi"/>
              <w:noProof/>
              <w:sz w:val="22"/>
              <w:szCs w:val="22"/>
              <w:lang w:val="es-ES_tradnl" w:eastAsia="zh-CN"/>
            </w:rPr>
          </w:pPr>
          <w:r w:rsidRPr="009F6822">
            <w:rPr>
              <w:noProof/>
              <w:lang w:val="es-ES_tradnl"/>
            </w:rPr>
            <w:t>A.2</w:t>
          </w:r>
          <w:r w:rsidRPr="004B1923">
            <w:rPr>
              <w:rFonts w:asciiTheme="minorHAnsi" w:eastAsiaTheme="minorEastAsia" w:hAnsiTheme="minorHAnsi" w:cstheme="minorBidi"/>
              <w:noProof/>
              <w:sz w:val="22"/>
              <w:szCs w:val="22"/>
              <w:lang w:val="es-ES_tradnl" w:eastAsia="zh-CN"/>
            </w:rPr>
            <w:tab/>
          </w:r>
          <w:r w:rsidRPr="009F6822">
            <w:rPr>
              <w:noProof/>
              <w:lang w:val="es-ES_tradnl"/>
            </w:rPr>
            <w:t>Ejemplos de medidas conjuntas tomadas a escala regional</w:t>
          </w:r>
          <w:r w:rsidRPr="004B1923">
            <w:rPr>
              <w:noProof/>
              <w:lang w:val="es-ES_tradnl"/>
            </w:rPr>
            <w:tab/>
          </w:r>
          <w:r w:rsidR="00362721">
            <w:rPr>
              <w:noProof/>
              <w:lang w:val="es-ES_tradnl"/>
            </w:rPr>
            <w:tab/>
          </w:r>
          <w:r>
            <w:rPr>
              <w:noProof/>
            </w:rPr>
            <w:fldChar w:fldCharType="begin"/>
          </w:r>
          <w:r w:rsidRPr="004B1923">
            <w:rPr>
              <w:noProof/>
              <w:lang w:val="es-ES_tradnl"/>
            </w:rPr>
            <w:instrText xml:space="preserve"> PAGEREF _Toc447203058 \h </w:instrText>
          </w:r>
          <w:r>
            <w:rPr>
              <w:noProof/>
            </w:rPr>
          </w:r>
          <w:r>
            <w:rPr>
              <w:noProof/>
            </w:rPr>
            <w:fldChar w:fldCharType="separate"/>
          </w:r>
          <w:r w:rsidR="00C869C0">
            <w:rPr>
              <w:noProof/>
              <w:lang w:val="es-ES_tradnl"/>
            </w:rPr>
            <w:t>73</w:t>
          </w:r>
          <w:r>
            <w:rPr>
              <w:noProof/>
            </w:rPr>
            <w:fldChar w:fldCharType="end"/>
          </w:r>
        </w:p>
        <w:p w14:paraId="703B0961" w14:textId="7FF11AEF" w:rsidR="00D95B2D" w:rsidRDefault="004B1923">
          <w:r>
            <w:fldChar w:fldCharType="end"/>
          </w:r>
        </w:p>
      </w:sdtContent>
    </w:sdt>
    <w:p w14:paraId="35F6A06A" w14:textId="77777777" w:rsidR="00362721" w:rsidRDefault="00362721"/>
    <w:p w14:paraId="5174E08B" w14:textId="3105738B" w:rsidR="00362721" w:rsidRPr="00F454AF" w:rsidRDefault="00F454AF" w:rsidP="00F454AF">
      <w:pPr>
        <w:keepNext/>
        <w:spacing w:before="360"/>
        <w:jc w:val="center"/>
        <w:rPr>
          <w:b/>
          <w:bCs/>
        </w:rPr>
      </w:pPr>
      <w:r w:rsidRPr="00F454AF">
        <w:rPr>
          <w:b/>
          <w:bCs/>
        </w:rPr>
        <w:lastRenderedPageBreak/>
        <w:t>Lista de Figuras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62721" w14:paraId="41C6ED11" w14:textId="77777777" w:rsidTr="00F454AF">
        <w:trPr>
          <w:cantSplit/>
        </w:trPr>
        <w:tc>
          <w:tcPr>
            <w:tcW w:w="9639" w:type="dxa"/>
          </w:tcPr>
          <w:p w14:paraId="0B150E01" w14:textId="3AE776F9" w:rsidR="00362721" w:rsidRDefault="00362721" w:rsidP="00F454AF">
            <w:pPr>
              <w:pStyle w:val="toc0"/>
              <w:keepNext/>
              <w:rPr>
                <w:lang w:val="es-ES_tradnl"/>
              </w:rPr>
            </w:pPr>
            <w:r>
              <w:rPr>
                <w:lang w:val="es-ES_tradnl"/>
              </w:rPr>
              <w:tab/>
              <w:t>Página</w:t>
            </w:r>
          </w:p>
        </w:tc>
      </w:tr>
      <w:tr w:rsidR="00362721" w:rsidRPr="00C869C0" w14:paraId="0E5449BB" w14:textId="77777777" w:rsidTr="00F454AF">
        <w:trPr>
          <w:cantSplit/>
        </w:trPr>
        <w:tc>
          <w:tcPr>
            <w:tcW w:w="9639" w:type="dxa"/>
          </w:tcPr>
          <w:p w14:paraId="00557D26" w14:textId="7DC929B7"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Pr>
                <w:lang w:val="es-ES_tradnl"/>
              </w:rPr>
              <w:fldChar w:fldCharType="begin"/>
            </w:r>
            <w:r>
              <w:rPr>
                <w:lang w:val="es-ES_tradnl"/>
              </w:rPr>
              <w:instrText xml:space="preserve"> TOC \t "Figure_No &amp; title,1" </w:instrText>
            </w:r>
            <w:r>
              <w:rPr>
                <w:lang w:val="es-ES_tradnl"/>
              </w:rPr>
              <w:fldChar w:fldCharType="separate"/>
            </w:r>
            <w:r w:rsidR="00F454AF">
              <w:rPr>
                <w:noProof/>
                <w:lang w:val="es-ES_tradnl" w:bidi="ar-DZ"/>
              </w:rPr>
              <w:t>Figura 1:</w:t>
            </w:r>
            <w:r w:rsidRPr="005F54CD">
              <w:rPr>
                <w:noProof/>
                <w:lang w:val="es-ES_tradnl" w:bidi="ar-DZ"/>
              </w:rPr>
              <w:t xml:space="preserve"> Ejemplo de etiqueta segura exigida por Anatel</w:t>
            </w:r>
            <w:r w:rsidR="00F454AF">
              <w:rPr>
                <w:noProof/>
                <w:lang w:val="es-ES_tradnl" w:bidi="ar-DZ"/>
              </w:rPr>
              <w:t xml:space="preserve"> </w:t>
            </w:r>
            <w:r w:rsidRPr="005F54CD">
              <w:rPr>
                <w:noProof/>
                <w:lang w:val="es-ES_tradnl" w:bidi="ar-DZ"/>
              </w:rPr>
              <w:t xml:space="preserve">definida en su </w:t>
            </w:r>
            <w:r w:rsidR="00F454AF">
              <w:rPr>
                <w:noProof/>
                <w:lang w:val="es-ES_tradnl" w:bidi="ar-DZ"/>
              </w:rPr>
              <w:br/>
            </w:r>
            <w:r w:rsidRPr="005F54CD">
              <w:rPr>
                <w:noProof/>
                <w:lang w:val="es-ES_tradnl" w:bidi="ar-DZ"/>
              </w:rPr>
              <w:t>Resolución 481/2007</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_Toc447274536 \h </w:instrText>
            </w:r>
            <w:r>
              <w:rPr>
                <w:noProof/>
              </w:rPr>
            </w:r>
            <w:r>
              <w:rPr>
                <w:noProof/>
              </w:rPr>
              <w:fldChar w:fldCharType="separate"/>
            </w:r>
            <w:r w:rsidR="00C869C0">
              <w:rPr>
                <w:noProof/>
                <w:lang w:val="es-ES_tradnl"/>
              </w:rPr>
              <w:t>21</w:t>
            </w:r>
            <w:r>
              <w:rPr>
                <w:noProof/>
              </w:rPr>
              <w:fldChar w:fldCharType="end"/>
            </w:r>
          </w:p>
          <w:p w14:paraId="6AAECF2D" w14:textId="7EEEF9E5" w:rsidR="00362721" w:rsidRPr="00362721" w:rsidRDefault="00F454AF" w:rsidP="00F454AF">
            <w:pPr>
              <w:pStyle w:val="TOC1"/>
              <w:keepNext/>
              <w:spacing w:before="120"/>
              <w:ind w:left="0" w:firstLine="0"/>
              <w:rPr>
                <w:rFonts w:asciiTheme="minorHAnsi" w:eastAsiaTheme="minorEastAsia" w:hAnsiTheme="minorHAnsi" w:cstheme="minorBidi"/>
                <w:noProof/>
                <w:sz w:val="22"/>
                <w:szCs w:val="22"/>
                <w:lang w:val="es-ES_tradnl" w:eastAsia="zh-CN"/>
              </w:rPr>
            </w:pPr>
            <w:r>
              <w:rPr>
                <w:noProof/>
                <w:lang w:val="es-ES_tradnl" w:bidi="ar-DZ"/>
              </w:rPr>
              <w:t>Figura 2:</w:t>
            </w:r>
            <w:r w:rsidR="00362721" w:rsidRPr="005F54CD">
              <w:rPr>
                <w:noProof/>
                <w:lang w:val="es-ES_tradnl" w:bidi="ar-DZ"/>
              </w:rPr>
              <w:t xml:space="preserve"> Ecosistema de evaluación de la conformidad</w:t>
            </w:r>
            <w:r w:rsidR="00362721" w:rsidRPr="00362721">
              <w:rPr>
                <w:noProof/>
                <w:lang w:val="es-ES_tradnl"/>
              </w:rPr>
              <w:tab/>
            </w:r>
            <w:r>
              <w:rPr>
                <w:noProof/>
                <w:lang w:val="es-ES_tradnl"/>
              </w:rPr>
              <w:tab/>
            </w:r>
            <w:r w:rsidR="00362721">
              <w:rPr>
                <w:noProof/>
              </w:rPr>
              <w:fldChar w:fldCharType="begin"/>
            </w:r>
            <w:r w:rsidR="00362721" w:rsidRPr="00362721">
              <w:rPr>
                <w:noProof/>
                <w:lang w:val="es-ES_tradnl"/>
              </w:rPr>
              <w:instrText xml:space="preserve"> PAGEREF _Toc447274537 \h </w:instrText>
            </w:r>
            <w:r w:rsidR="00362721">
              <w:rPr>
                <w:noProof/>
              </w:rPr>
            </w:r>
            <w:r w:rsidR="00362721">
              <w:rPr>
                <w:noProof/>
              </w:rPr>
              <w:fldChar w:fldCharType="separate"/>
            </w:r>
            <w:r w:rsidR="00C869C0">
              <w:rPr>
                <w:noProof/>
                <w:lang w:val="es-ES_tradnl"/>
              </w:rPr>
              <w:t>22</w:t>
            </w:r>
            <w:r w:rsidR="00362721">
              <w:rPr>
                <w:noProof/>
              </w:rPr>
              <w:fldChar w:fldCharType="end"/>
            </w:r>
          </w:p>
          <w:p w14:paraId="4F4EF047" w14:textId="30F5C113"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3</w:t>
            </w:r>
            <w:r w:rsidR="00F454AF">
              <w:rPr>
                <w:noProof/>
                <w:lang w:val="es-ES_tradnl" w:bidi="ar-DZ"/>
              </w:rPr>
              <w:t>:</w:t>
            </w:r>
            <w:r w:rsidRPr="005F54CD">
              <w:rPr>
                <w:noProof/>
                <w:lang w:val="es-ES_tradnl" w:bidi="ar-DZ"/>
              </w:rPr>
              <w:t xml:space="preserve"> Procedimiento conocido como tropicalização (tropicalización en portugués)</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_Toc447274538 \h </w:instrText>
            </w:r>
            <w:r>
              <w:rPr>
                <w:noProof/>
              </w:rPr>
            </w:r>
            <w:r>
              <w:rPr>
                <w:noProof/>
              </w:rPr>
              <w:fldChar w:fldCharType="separate"/>
            </w:r>
            <w:r w:rsidR="00C869C0">
              <w:rPr>
                <w:noProof/>
                <w:lang w:val="es-ES_tradnl"/>
              </w:rPr>
              <w:t>23</w:t>
            </w:r>
            <w:r>
              <w:rPr>
                <w:noProof/>
              </w:rPr>
              <w:fldChar w:fldCharType="end"/>
            </w:r>
          </w:p>
          <w:p w14:paraId="2264B07B" w14:textId="5EFCCB8B"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 w:bidi="ar-DZ"/>
              </w:rPr>
              <w:t>Figura 4</w:t>
            </w:r>
            <w:r w:rsidR="00F454AF">
              <w:rPr>
                <w:noProof/>
                <w:lang w:val="es-ES" w:bidi="ar-DZ"/>
              </w:rPr>
              <w:t>:</w:t>
            </w:r>
            <w:r w:rsidRPr="005F54CD">
              <w:rPr>
                <w:noProof/>
                <w:lang w:val="es-ES" w:bidi="ar-DZ"/>
              </w:rPr>
              <w:t xml:space="preserve"> Formato de IMEI</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_Toc447274539 \h </w:instrText>
            </w:r>
            <w:r>
              <w:rPr>
                <w:noProof/>
              </w:rPr>
            </w:r>
            <w:r>
              <w:rPr>
                <w:noProof/>
              </w:rPr>
              <w:fldChar w:fldCharType="separate"/>
            </w:r>
            <w:r w:rsidR="00C869C0">
              <w:rPr>
                <w:noProof/>
                <w:lang w:val="es-ES_tradnl"/>
              </w:rPr>
              <w:t>24</w:t>
            </w:r>
            <w:r>
              <w:rPr>
                <w:noProof/>
              </w:rPr>
              <w:fldChar w:fldCharType="end"/>
            </w:r>
          </w:p>
          <w:p w14:paraId="0BD32C9D" w14:textId="231984F1"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5</w:t>
            </w:r>
            <w:r w:rsidR="00F454AF">
              <w:rPr>
                <w:noProof/>
                <w:lang w:val="es-ES_tradnl" w:bidi="ar-DZ"/>
              </w:rPr>
              <w:t>:</w:t>
            </w:r>
            <w:r w:rsidRPr="005F54CD">
              <w:rPr>
                <w:noProof/>
                <w:lang w:val="es-ES_tradnl" w:bidi="ar-DZ"/>
              </w:rPr>
              <w:t xml:space="preserve"> </w:t>
            </w:r>
            <w:r w:rsidRPr="005F54CD">
              <w:rPr>
                <w:noProof/>
                <w:lang w:val="es-ES_tradnl"/>
              </w:rPr>
              <w:t>Formato de ucódigo</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_Toc447274540 \h </w:instrText>
            </w:r>
            <w:r>
              <w:rPr>
                <w:noProof/>
              </w:rPr>
            </w:r>
            <w:r>
              <w:rPr>
                <w:noProof/>
              </w:rPr>
              <w:fldChar w:fldCharType="separate"/>
            </w:r>
            <w:r w:rsidR="00C869C0">
              <w:rPr>
                <w:noProof/>
                <w:lang w:val="es-ES_tradnl"/>
              </w:rPr>
              <w:t>28</w:t>
            </w:r>
            <w:r>
              <w:rPr>
                <w:noProof/>
              </w:rPr>
              <w:fldChar w:fldCharType="end"/>
            </w:r>
          </w:p>
          <w:p w14:paraId="3F6332EA" w14:textId="250DC52E"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rFonts w:asciiTheme="majorBidi" w:hAnsiTheme="majorBidi" w:cstheme="majorBidi"/>
                <w:noProof/>
                <w:lang w:val="es-ES_tradnl"/>
              </w:rPr>
              <w:t>Figura 6</w:t>
            </w:r>
            <w:r w:rsidR="00F454AF">
              <w:rPr>
                <w:rFonts w:asciiTheme="majorBidi" w:hAnsiTheme="majorBidi" w:cstheme="majorBidi"/>
                <w:noProof/>
                <w:lang w:val="es-ES_tradnl"/>
              </w:rPr>
              <w:t>:</w:t>
            </w:r>
            <w:r w:rsidRPr="005F54CD">
              <w:rPr>
                <w:rFonts w:asciiTheme="majorBidi" w:hAnsiTheme="majorBidi" w:cstheme="majorBidi"/>
                <w:noProof/>
                <w:lang w:val="es-ES_tradnl"/>
              </w:rPr>
              <w:t xml:space="preserve"> Arquitectura funcional para el acceso a información multimedios obtenida mediante identificación por etiqueta (Recomendación </w:t>
            </w:r>
            <w:r w:rsidRPr="005F54CD">
              <w:rPr>
                <w:noProof/>
                <w:lang w:val="es-ES_tradnl"/>
              </w:rPr>
              <w:t>UIT-T H.621)</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_Toc447274541 \h </w:instrText>
            </w:r>
            <w:r>
              <w:rPr>
                <w:noProof/>
              </w:rPr>
            </w:r>
            <w:r>
              <w:rPr>
                <w:noProof/>
              </w:rPr>
              <w:fldChar w:fldCharType="separate"/>
            </w:r>
            <w:r w:rsidR="00C869C0">
              <w:rPr>
                <w:noProof/>
                <w:lang w:val="es-ES_tradnl"/>
              </w:rPr>
              <w:t>29</w:t>
            </w:r>
            <w:r>
              <w:rPr>
                <w:noProof/>
              </w:rPr>
              <w:fldChar w:fldCharType="end"/>
            </w:r>
          </w:p>
          <w:p w14:paraId="5BA51778" w14:textId="1C522EF5"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7</w:t>
            </w:r>
            <w:r w:rsidR="00F454AF">
              <w:rPr>
                <w:noProof/>
                <w:lang w:val="es-ES_tradnl" w:bidi="ar-DZ"/>
              </w:rPr>
              <w:t>:</w:t>
            </w:r>
            <w:r w:rsidRPr="005F54CD">
              <w:rPr>
                <w:noProof/>
                <w:lang w:val="es-ES_tradnl" w:bidi="ar-DZ"/>
              </w:rPr>
              <w:t xml:space="preserve"> </w:t>
            </w:r>
            <w:r w:rsidRPr="005F54CD">
              <w:rPr>
                <w:noProof/>
                <w:lang w:val="es-ES_tradnl"/>
              </w:rPr>
              <w:t>Ejemplo de código de barras lineal</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_Toc447274542 \h </w:instrText>
            </w:r>
            <w:r>
              <w:rPr>
                <w:noProof/>
              </w:rPr>
            </w:r>
            <w:r>
              <w:rPr>
                <w:noProof/>
              </w:rPr>
              <w:fldChar w:fldCharType="separate"/>
            </w:r>
            <w:r w:rsidR="00C869C0">
              <w:rPr>
                <w:noProof/>
                <w:lang w:val="es-ES_tradnl"/>
              </w:rPr>
              <w:t>30</w:t>
            </w:r>
            <w:r>
              <w:rPr>
                <w:noProof/>
              </w:rPr>
              <w:fldChar w:fldCharType="end"/>
            </w:r>
          </w:p>
          <w:p w14:paraId="678235FA" w14:textId="17E03E27"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8</w:t>
            </w:r>
            <w:r w:rsidR="00F454AF">
              <w:rPr>
                <w:noProof/>
                <w:lang w:val="es-ES_tradnl" w:bidi="ar-DZ"/>
              </w:rPr>
              <w:t>:</w:t>
            </w:r>
            <w:r w:rsidRPr="005F54CD">
              <w:rPr>
                <w:noProof/>
                <w:lang w:val="es-ES_tradnl" w:bidi="ar-DZ"/>
              </w:rPr>
              <w:t xml:space="preserve"> </w:t>
            </w:r>
            <w:r w:rsidRPr="005F54CD">
              <w:rPr>
                <w:noProof/>
                <w:lang w:val="es-ES_tradnl"/>
              </w:rPr>
              <w:t>Ejemplo de código de barras matricial (bidimensional)</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_Toc447274543 \h </w:instrText>
            </w:r>
            <w:r>
              <w:rPr>
                <w:noProof/>
              </w:rPr>
            </w:r>
            <w:r>
              <w:rPr>
                <w:noProof/>
              </w:rPr>
              <w:fldChar w:fldCharType="separate"/>
            </w:r>
            <w:r w:rsidR="00C869C0">
              <w:rPr>
                <w:noProof/>
                <w:lang w:val="es-ES_tradnl"/>
              </w:rPr>
              <w:t>30</w:t>
            </w:r>
            <w:r>
              <w:rPr>
                <w:noProof/>
              </w:rPr>
              <w:fldChar w:fldCharType="end"/>
            </w:r>
          </w:p>
          <w:p w14:paraId="095D9A6E" w14:textId="10BD2D25"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9</w:t>
            </w:r>
            <w:r w:rsidR="00F454AF">
              <w:rPr>
                <w:noProof/>
                <w:lang w:val="es-ES_tradnl"/>
              </w:rPr>
              <w:t>:</w:t>
            </w:r>
            <w:r w:rsidRPr="005F54CD">
              <w:rPr>
                <w:noProof/>
                <w:lang w:val="es-ES_tradnl"/>
              </w:rPr>
              <w:t xml:space="preserve"> Formato de identificación de etiqueta de </w:t>
            </w:r>
            <w:r w:rsidRPr="005F54CD">
              <w:rPr>
                <w:noProof/>
                <w:lang w:val="es-ES_tradnl" w:bidi="ar-DZ"/>
              </w:rPr>
              <w:t>ISO/CEI 15963</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_Toc447274544 \h </w:instrText>
            </w:r>
            <w:r>
              <w:rPr>
                <w:noProof/>
              </w:rPr>
            </w:r>
            <w:r>
              <w:rPr>
                <w:noProof/>
              </w:rPr>
              <w:fldChar w:fldCharType="separate"/>
            </w:r>
            <w:r w:rsidR="00C869C0">
              <w:rPr>
                <w:noProof/>
                <w:lang w:val="es-ES_tradnl"/>
              </w:rPr>
              <w:t>31</w:t>
            </w:r>
            <w:r>
              <w:rPr>
                <w:noProof/>
              </w:rPr>
              <w:fldChar w:fldCharType="end"/>
            </w:r>
          </w:p>
          <w:p w14:paraId="66FA22EF" w14:textId="4479A927"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10</w:t>
            </w:r>
            <w:r w:rsidR="00F454AF">
              <w:rPr>
                <w:noProof/>
                <w:lang w:val="es-ES_tradnl" w:bidi="ar-DZ"/>
              </w:rPr>
              <w:t>:</w:t>
            </w:r>
            <w:r w:rsidRPr="005F54CD">
              <w:rPr>
                <w:noProof/>
                <w:lang w:val="es-ES_tradnl" w:bidi="ar-DZ"/>
              </w:rPr>
              <w:t xml:space="preserve"> Clases de editores de TID únicos</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_Toc447274545 \h </w:instrText>
            </w:r>
            <w:r>
              <w:rPr>
                <w:noProof/>
              </w:rPr>
            </w:r>
            <w:r>
              <w:rPr>
                <w:noProof/>
              </w:rPr>
              <w:fldChar w:fldCharType="separate"/>
            </w:r>
            <w:r w:rsidR="00C869C0">
              <w:rPr>
                <w:noProof/>
                <w:lang w:val="es-ES_tradnl"/>
              </w:rPr>
              <w:t>32</w:t>
            </w:r>
            <w:r>
              <w:rPr>
                <w:noProof/>
              </w:rPr>
              <w:fldChar w:fldCharType="end"/>
            </w:r>
          </w:p>
          <w:p w14:paraId="251B14C6" w14:textId="0A5B064D"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11</w:t>
            </w:r>
            <w:r w:rsidR="00F454AF">
              <w:rPr>
                <w:noProof/>
                <w:lang w:val="es-ES_tradnl"/>
              </w:rPr>
              <w:t>:</w:t>
            </w:r>
            <w:r w:rsidRPr="005F54CD">
              <w:rPr>
                <w:noProof/>
                <w:lang w:val="es-ES_tradnl"/>
              </w:rPr>
              <w:t xml:space="preserve"> Ejemplo de emblema RFID especificado en ISO/CEI 29160</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_Toc447274546 \h </w:instrText>
            </w:r>
            <w:r>
              <w:rPr>
                <w:noProof/>
              </w:rPr>
            </w:r>
            <w:r>
              <w:rPr>
                <w:noProof/>
              </w:rPr>
              <w:fldChar w:fldCharType="separate"/>
            </w:r>
            <w:r w:rsidR="00C869C0">
              <w:rPr>
                <w:noProof/>
                <w:lang w:val="es-ES_tradnl"/>
              </w:rPr>
              <w:t>33</w:t>
            </w:r>
            <w:r>
              <w:rPr>
                <w:noProof/>
              </w:rPr>
              <w:fldChar w:fldCharType="end"/>
            </w:r>
          </w:p>
          <w:p w14:paraId="1AF8C3A1" w14:textId="610D763D"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12</w:t>
            </w:r>
            <w:r w:rsidR="00F454AF">
              <w:rPr>
                <w:noProof/>
                <w:lang w:val="es-ES_tradnl" w:bidi="ar-DZ"/>
              </w:rPr>
              <w:t>:</w:t>
            </w:r>
            <w:r w:rsidRPr="005F54CD">
              <w:rPr>
                <w:noProof/>
                <w:lang w:val="es-ES_tradnl" w:bidi="ar-DZ"/>
              </w:rPr>
              <w:t xml:space="preserve"> Visión general de las normas de EPCglobal [59]</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_Toc447274547 \h </w:instrText>
            </w:r>
            <w:r>
              <w:rPr>
                <w:noProof/>
              </w:rPr>
            </w:r>
            <w:r>
              <w:rPr>
                <w:noProof/>
              </w:rPr>
              <w:fldChar w:fldCharType="separate"/>
            </w:r>
            <w:r w:rsidR="00C869C0">
              <w:rPr>
                <w:noProof/>
                <w:lang w:val="es-ES_tradnl"/>
              </w:rPr>
              <w:t>34</w:t>
            </w:r>
            <w:r>
              <w:rPr>
                <w:noProof/>
              </w:rPr>
              <w:fldChar w:fldCharType="end"/>
            </w:r>
          </w:p>
          <w:p w14:paraId="5475A6D8" w14:textId="5C7DD9D3"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13</w:t>
            </w:r>
            <w:r w:rsidR="00F454AF">
              <w:rPr>
                <w:noProof/>
                <w:lang w:val="es-ES_tradnl" w:bidi="ar-DZ"/>
              </w:rPr>
              <w:t>:</w:t>
            </w:r>
            <w:r w:rsidRPr="005F54CD">
              <w:rPr>
                <w:noProof/>
                <w:lang w:val="es-ES_tradnl" w:bidi="ar-DZ"/>
              </w:rPr>
              <w:t xml:space="preserve"> Elementos del sistema de gestión de la seguridad de ISO 28000</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_Toc447274548 \h </w:instrText>
            </w:r>
            <w:r>
              <w:rPr>
                <w:noProof/>
              </w:rPr>
            </w:r>
            <w:r>
              <w:rPr>
                <w:noProof/>
              </w:rPr>
              <w:fldChar w:fldCharType="separate"/>
            </w:r>
            <w:r w:rsidR="00C869C0">
              <w:rPr>
                <w:noProof/>
                <w:lang w:val="es-ES_tradnl"/>
              </w:rPr>
              <w:t>35</w:t>
            </w:r>
            <w:r>
              <w:rPr>
                <w:noProof/>
              </w:rPr>
              <w:fldChar w:fldCharType="end"/>
            </w:r>
          </w:p>
          <w:p w14:paraId="408E7E84" w14:textId="3FDB0CDE"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rFonts w:asciiTheme="majorBidi" w:hAnsiTheme="majorBidi" w:cstheme="majorBidi"/>
                <w:noProof/>
                <w:lang w:val="es-ES_tradnl" w:bidi="ar-DZ"/>
              </w:rPr>
              <w:t>Figura 14</w:t>
            </w:r>
            <w:r w:rsidR="00F454AF">
              <w:rPr>
                <w:rFonts w:asciiTheme="majorBidi" w:hAnsiTheme="majorBidi" w:cstheme="majorBidi"/>
                <w:noProof/>
                <w:lang w:val="es-ES_tradnl" w:bidi="ar-DZ"/>
              </w:rPr>
              <w:t>:</w:t>
            </w:r>
            <w:r w:rsidRPr="005F54CD">
              <w:rPr>
                <w:rFonts w:asciiTheme="majorBidi" w:hAnsiTheme="majorBidi" w:cstheme="majorBidi"/>
                <w:noProof/>
                <w:lang w:val="es-ES_tradnl" w:bidi="ar-DZ"/>
              </w:rPr>
              <w:t xml:space="preserve"> Protección de los der</w:t>
            </w:r>
            <w:r w:rsidR="00F454AF">
              <w:rPr>
                <w:rFonts w:asciiTheme="majorBidi" w:hAnsiTheme="majorBidi" w:cstheme="majorBidi"/>
                <w:noProof/>
                <w:lang w:val="es-ES_tradnl" w:bidi="ar-DZ"/>
              </w:rPr>
              <w:t xml:space="preserve">echos de propiedad intelectual </w:t>
            </w:r>
            <w:r w:rsidRPr="005F54CD">
              <w:rPr>
                <w:rFonts w:asciiTheme="majorBidi" w:hAnsiTheme="majorBidi" w:cstheme="majorBidi"/>
                <w:noProof/>
                <w:lang w:val="es-ES_tradnl" w:bidi="ar-DZ"/>
              </w:rPr>
              <w:t xml:space="preserve">(adaptado a partir de la Herramienta del </w:t>
            </w:r>
            <w:r w:rsidRPr="005F54CD">
              <w:rPr>
                <w:rFonts w:asciiTheme="majorBidi" w:hAnsiTheme="majorBidi" w:cstheme="majorBidi"/>
                <w:noProof/>
                <w:lang w:val="es-ES_tradnl"/>
              </w:rPr>
              <w:t>G</w:t>
            </w:r>
            <w:r w:rsidR="00F454AF">
              <w:rPr>
                <w:rFonts w:asciiTheme="majorBidi" w:hAnsiTheme="majorBidi" w:cstheme="majorBidi"/>
                <w:noProof/>
                <w:lang w:val="es-ES_tradnl"/>
              </w:rPr>
              <w:t xml:space="preserve">rupo de Delitos </w:t>
            </w:r>
            <w:r w:rsidRPr="005F54CD">
              <w:rPr>
                <w:rFonts w:asciiTheme="majorBidi" w:hAnsiTheme="majorBidi" w:cstheme="majorBidi"/>
                <w:noProof/>
                <w:lang w:val="es-ES_tradnl"/>
              </w:rPr>
              <w:t xml:space="preserve">sobre Propiedad Intelectual del Reino Unido </w:t>
            </w:r>
            <w:r w:rsidRPr="005F54CD">
              <w:rPr>
                <w:rFonts w:asciiTheme="majorBidi" w:hAnsiTheme="majorBidi" w:cstheme="majorBidi"/>
                <w:noProof/>
                <w:lang w:val="es-ES_tradnl" w:bidi="ar-DZ"/>
              </w:rPr>
              <w:t>[71])</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_Toc447274549 \h </w:instrText>
            </w:r>
            <w:r>
              <w:rPr>
                <w:noProof/>
              </w:rPr>
            </w:r>
            <w:r>
              <w:rPr>
                <w:noProof/>
              </w:rPr>
              <w:fldChar w:fldCharType="separate"/>
            </w:r>
            <w:r w:rsidR="00C869C0">
              <w:rPr>
                <w:noProof/>
                <w:lang w:val="es-ES_tradnl"/>
              </w:rPr>
              <w:t>40</w:t>
            </w:r>
            <w:r>
              <w:rPr>
                <w:noProof/>
              </w:rPr>
              <w:fldChar w:fldCharType="end"/>
            </w:r>
          </w:p>
          <w:p w14:paraId="359863D2" w14:textId="51897F82"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A.1</w:t>
            </w:r>
            <w:r w:rsidR="00F454AF">
              <w:rPr>
                <w:noProof/>
                <w:lang w:val="es-ES_tradnl" w:bidi="ar-DZ"/>
              </w:rPr>
              <w:t xml:space="preserve">: </w:t>
            </w:r>
            <w:r w:rsidRPr="005F54CD">
              <w:rPr>
                <w:noProof/>
                <w:lang w:val="es-ES_tradnl" w:bidi="ar-DZ"/>
              </w:rPr>
              <w:t>Solución de base de datos de IMEI del EIR central en Egipto</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_Toc447274550 \h </w:instrText>
            </w:r>
            <w:r>
              <w:rPr>
                <w:noProof/>
              </w:rPr>
            </w:r>
            <w:r>
              <w:rPr>
                <w:noProof/>
              </w:rPr>
              <w:fldChar w:fldCharType="separate"/>
            </w:r>
            <w:r w:rsidR="00C869C0">
              <w:rPr>
                <w:noProof/>
                <w:lang w:val="es-ES_tradnl"/>
              </w:rPr>
              <w:t>57</w:t>
            </w:r>
            <w:r>
              <w:rPr>
                <w:noProof/>
              </w:rPr>
              <w:fldChar w:fldCharType="end"/>
            </w:r>
          </w:p>
          <w:p w14:paraId="323A4F46" w14:textId="22ED766B"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A.2</w:t>
            </w:r>
            <w:r w:rsidR="00F454AF">
              <w:rPr>
                <w:noProof/>
                <w:lang w:val="es-ES_tradnl" w:bidi="ar-DZ"/>
              </w:rPr>
              <w:t>:</w:t>
            </w:r>
            <w:r w:rsidRPr="005F54CD">
              <w:rPr>
                <w:noProof/>
                <w:lang w:val="es-ES_tradnl" w:bidi="ar-DZ"/>
              </w:rPr>
              <w:t xml:space="preserve"> Estructura del registro central de identidades de equipos</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_Toc447274551 \h </w:instrText>
            </w:r>
            <w:r>
              <w:rPr>
                <w:noProof/>
              </w:rPr>
            </w:r>
            <w:r>
              <w:rPr>
                <w:noProof/>
              </w:rPr>
              <w:fldChar w:fldCharType="separate"/>
            </w:r>
            <w:r w:rsidR="00C869C0">
              <w:rPr>
                <w:noProof/>
                <w:lang w:val="es-ES_tradnl"/>
              </w:rPr>
              <w:t>62</w:t>
            </w:r>
            <w:r>
              <w:rPr>
                <w:noProof/>
              </w:rPr>
              <w:fldChar w:fldCharType="end"/>
            </w:r>
          </w:p>
          <w:p w14:paraId="01FFFE0F" w14:textId="0AE4B8B2"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A.3</w:t>
            </w:r>
            <w:r w:rsidR="00F454AF">
              <w:rPr>
                <w:noProof/>
                <w:lang w:val="es-ES_tradnl" w:bidi="ar-DZ"/>
              </w:rPr>
              <w:t>:</w:t>
            </w:r>
            <w:r w:rsidRPr="005F54CD">
              <w:rPr>
                <w:noProof/>
                <w:lang w:val="es-ES_tradnl" w:bidi="ar-DZ"/>
              </w:rPr>
              <w:t xml:space="preserve"> Funciones del AISMTRU</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_Toc447274552 \h </w:instrText>
            </w:r>
            <w:r>
              <w:rPr>
                <w:noProof/>
              </w:rPr>
            </w:r>
            <w:r>
              <w:rPr>
                <w:noProof/>
              </w:rPr>
              <w:fldChar w:fldCharType="separate"/>
            </w:r>
            <w:r w:rsidR="00C869C0">
              <w:rPr>
                <w:noProof/>
                <w:lang w:val="es-ES_tradnl"/>
              </w:rPr>
              <w:t>66</w:t>
            </w:r>
            <w:r>
              <w:rPr>
                <w:noProof/>
              </w:rPr>
              <w:fldChar w:fldCharType="end"/>
            </w:r>
          </w:p>
          <w:p w14:paraId="54C23FD1" w14:textId="038E45A2"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A.4</w:t>
            </w:r>
            <w:r w:rsidR="00F454AF">
              <w:rPr>
                <w:noProof/>
                <w:lang w:val="es-ES_tradnl" w:bidi="ar-DZ"/>
              </w:rPr>
              <w:t>:</w:t>
            </w:r>
            <w:r w:rsidRPr="005F54CD">
              <w:rPr>
                <w:noProof/>
                <w:lang w:val="es-ES_tradnl" w:bidi="ar-DZ"/>
              </w:rPr>
              <w:t xml:space="preserve"> EIR y base de datos general de IMEI</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_Toc447274553 \h </w:instrText>
            </w:r>
            <w:r>
              <w:rPr>
                <w:noProof/>
              </w:rPr>
            </w:r>
            <w:r>
              <w:rPr>
                <w:noProof/>
              </w:rPr>
              <w:fldChar w:fldCharType="separate"/>
            </w:r>
            <w:r w:rsidR="00C869C0">
              <w:rPr>
                <w:noProof/>
                <w:lang w:val="es-ES_tradnl"/>
              </w:rPr>
              <w:t>68</w:t>
            </w:r>
            <w:r>
              <w:rPr>
                <w:noProof/>
              </w:rPr>
              <w:fldChar w:fldCharType="end"/>
            </w:r>
          </w:p>
          <w:p w14:paraId="3B1721E0" w14:textId="0411F77A"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A.5</w:t>
            </w:r>
            <w:r w:rsidR="00F454AF">
              <w:rPr>
                <w:noProof/>
                <w:lang w:val="es-ES_tradnl" w:bidi="ar-DZ"/>
              </w:rPr>
              <w:t>:</w:t>
            </w:r>
            <w:r w:rsidRPr="005F54CD">
              <w:rPr>
                <w:noProof/>
                <w:lang w:val="es-ES_tradnl" w:bidi="ar-DZ"/>
              </w:rPr>
              <w:t xml:space="preserve"> </w:t>
            </w:r>
            <w:r w:rsidRPr="005F54CD">
              <w:rPr>
                <w:noProof/>
                <w:lang w:val="es-ES_tradnl"/>
              </w:rPr>
              <w:t>Servidor de sincronización</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_Toc447274554 \h </w:instrText>
            </w:r>
            <w:r>
              <w:rPr>
                <w:noProof/>
              </w:rPr>
            </w:r>
            <w:r>
              <w:rPr>
                <w:noProof/>
              </w:rPr>
              <w:fldChar w:fldCharType="separate"/>
            </w:r>
            <w:r w:rsidR="00C869C0">
              <w:rPr>
                <w:noProof/>
                <w:lang w:val="es-ES_tradnl"/>
              </w:rPr>
              <w:t>68</w:t>
            </w:r>
            <w:r>
              <w:rPr>
                <w:noProof/>
              </w:rPr>
              <w:fldChar w:fldCharType="end"/>
            </w:r>
          </w:p>
          <w:p w14:paraId="017B5CE7" w14:textId="404FA976"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A.6</w:t>
            </w:r>
            <w:r w:rsidR="00F454AF">
              <w:rPr>
                <w:noProof/>
                <w:lang w:val="es-ES_tradnl" w:bidi="ar-DZ"/>
              </w:rPr>
              <w:t>:</w:t>
            </w:r>
            <w:r w:rsidRPr="005F54CD">
              <w:rPr>
                <w:noProof/>
                <w:lang w:val="es-ES_tradnl" w:bidi="ar-DZ"/>
              </w:rPr>
              <w:t xml:space="preserve"> </w:t>
            </w:r>
            <w:r w:rsidRPr="005F54CD">
              <w:rPr>
                <w:noProof/>
                <w:lang w:val="es-ES_tradnl"/>
              </w:rPr>
              <w:t>Sistema integral de protección de la información (CIPS) del AISMTRU</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_Toc447274555 \h </w:instrText>
            </w:r>
            <w:r>
              <w:rPr>
                <w:noProof/>
              </w:rPr>
            </w:r>
            <w:r>
              <w:rPr>
                <w:noProof/>
              </w:rPr>
              <w:fldChar w:fldCharType="separate"/>
            </w:r>
            <w:r w:rsidR="00C869C0">
              <w:rPr>
                <w:noProof/>
                <w:lang w:val="es-ES_tradnl"/>
              </w:rPr>
              <w:t>70</w:t>
            </w:r>
            <w:r>
              <w:rPr>
                <w:noProof/>
              </w:rPr>
              <w:fldChar w:fldCharType="end"/>
            </w:r>
          </w:p>
          <w:p w14:paraId="74A7CB2D" w14:textId="4B24D8CD" w:rsidR="00362721" w:rsidRPr="00362721" w:rsidRDefault="00362721" w:rsidP="00F454AF">
            <w:pPr>
              <w:pStyle w:val="TOC1"/>
              <w:keepNext/>
              <w:spacing w:before="120"/>
              <w:ind w:left="0" w:firstLine="0"/>
              <w:rPr>
                <w:rFonts w:asciiTheme="minorHAnsi" w:eastAsiaTheme="minorEastAsia" w:hAnsiTheme="minorHAnsi" w:cstheme="minorBidi"/>
                <w:noProof/>
                <w:sz w:val="22"/>
                <w:szCs w:val="22"/>
                <w:lang w:val="es-ES_tradnl" w:eastAsia="zh-CN"/>
              </w:rPr>
            </w:pPr>
            <w:r w:rsidRPr="005F54CD">
              <w:rPr>
                <w:noProof/>
                <w:lang w:val="es-ES_tradnl" w:bidi="ar-DZ"/>
              </w:rPr>
              <w:t>Figura A.7</w:t>
            </w:r>
            <w:r w:rsidR="00F454AF">
              <w:rPr>
                <w:noProof/>
                <w:lang w:val="es-ES_tradnl" w:bidi="ar-DZ"/>
              </w:rPr>
              <w:t>:</w:t>
            </w:r>
            <w:r w:rsidRPr="005F54CD">
              <w:rPr>
                <w:noProof/>
                <w:lang w:val="es-ES_tradnl" w:bidi="ar-DZ"/>
              </w:rPr>
              <w:t xml:space="preserve"> </w:t>
            </w:r>
            <w:r w:rsidRPr="005F54CD">
              <w:rPr>
                <w:bCs/>
                <w:noProof/>
                <w:lang w:val="es-ES_tradnl" w:bidi="ar-DZ"/>
              </w:rPr>
              <w:t xml:space="preserve">Efectos de la puesta en funcionamiento del </w:t>
            </w:r>
            <w:r w:rsidRPr="005F54CD">
              <w:rPr>
                <w:noProof/>
                <w:lang w:val="es-ES_tradnl" w:bidi="ar-DZ"/>
              </w:rPr>
              <w:t>AISMTRU en Ucrania</w:t>
            </w:r>
            <w:r w:rsidRPr="00362721">
              <w:rPr>
                <w:noProof/>
                <w:lang w:val="es-ES_tradnl"/>
              </w:rPr>
              <w:tab/>
            </w:r>
            <w:r w:rsidR="00F454AF">
              <w:rPr>
                <w:noProof/>
                <w:lang w:val="es-ES_tradnl"/>
              </w:rPr>
              <w:tab/>
            </w:r>
            <w:r>
              <w:rPr>
                <w:noProof/>
              </w:rPr>
              <w:fldChar w:fldCharType="begin"/>
            </w:r>
            <w:r w:rsidRPr="00362721">
              <w:rPr>
                <w:noProof/>
                <w:lang w:val="es-ES_tradnl"/>
              </w:rPr>
              <w:instrText xml:space="preserve"> PAGEREF _Toc447274556 \h </w:instrText>
            </w:r>
            <w:r>
              <w:rPr>
                <w:noProof/>
              </w:rPr>
            </w:r>
            <w:r>
              <w:rPr>
                <w:noProof/>
              </w:rPr>
              <w:fldChar w:fldCharType="separate"/>
            </w:r>
            <w:r w:rsidR="00C869C0">
              <w:rPr>
                <w:noProof/>
                <w:lang w:val="es-ES_tradnl"/>
              </w:rPr>
              <w:t>72</w:t>
            </w:r>
            <w:r>
              <w:rPr>
                <w:noProof/>
              </w:rPr>
              <w:fldChar w:fldCharType="end"/>
            </w:r>
          </w:p>
          <w:p w14:paraId="07818191" w14:textId="1DF9B77A" w:rsidR="00362721" w:rsidRDefault="00362721" w:rsidP="00F454AF">
            <w:pPr>
              <w:keepNext/>
              <w:rPr>
                <w:lang w:val="es-ES_tradnl"/>
              </w:rPr>
            </w:pPr>
            <w:r>
              <w:rPr>
                <w:lang w:val="es-ES_tradnl"/>
              </w:rPr>
              <w:fldChar w:fldCharType="end"/>
            </w:r>
          </w:p>
        </w:tc>
      </w:tr>
    </w:tbl>
    <w:p w14:paraId="33BC1654" w14:textId="77777777" w:rsidR="00362721" w:rsidRPr="00256A6B" w:rsidRDefault="00362721" w:rsidP="003B3604">
      <w:pPr>
        <w:rPr>
          <w:lang w:val="es-ES_tradnl"/>
        </w:rPr>
      </w:pPr>
    </w:p>
    <w:p w14:paraId="0B8680B7" w14:textId="77777777" w:rsidR="00B74D54" w:rsidRPr="00256A6B" w:rsidRDefault="00B74D54" w:rsidP="003B3604">
      <w:pPr>
        <w:rPr>
          <w:lang w:val="es-ES_tradnl"/>
        </w:rPr>
        <w:sectPr w:rsidR="00B74D54" w:rsidRPr="00256A6B" w:rsidSect="00982A3C">
          <w:headerReference w:type="even" r:id="rId11"/>
          <w:headerReference w:type="default" r:id="rId12"/>
          <w:footerReference w:type="default" r:id="rId13"/>
          <w:headerReference w:type="first" r:id="rId14"/>
          <w:footerReference w:type="first" r:id="rId15"/>
          <w:pgSz w:w="11907" w:h="16840" w:code="9"/>
          <w:pgMar w:top="851" w:right="1134" w:bottom="851" w:left="1134" w:header="567" w:footer="567" w:gutter="0"/>
          <w:pgNumType w:fmt="lowerRoman" w:start="2"/>
          <w:cols w:space="720"/>
          <w:docGrid w:linePitch="326"/>
        </w:sectPr>
      </w:pPr>
    </w:p>
    <w:p w14:paraId="4204B0F7" w14:textId="084A1B34" w:rsidR="00846884" w:rsidRPr="00256A6B" w:rsidRDefault="0016601F" w:rsidP="0016601F">
      <w:pPr>
        <w:pStyle w:val="RecNo"/>
        <w:rPr>
          <w:lang w:val="es-ES_tradnl"/>
        </w:rPr>
      </w:pPr>
      <w:bookmarkStart w:id="8" w:name="_Toc200180727"/>
      <w:bookmarkStart w:id="9" w:name="_Toc200181295"/>
      <w:bookmarkStart w:id="10" w:name="_Toc211334002"/>
      <w:bookmarkStart w:id="11" w:name="_Toc404607166"/>
      <w:r w:rsidRPr="00256A6B">
        <w:rPr>
          <w:lang w:val="es-ES_tradnl"/>
        </w:rPr>
        <w:lastRenderedPageBreak/>
        <w:t>Informe Técnico del UIT-T</w:t>
      </w:r>
    </w:p>
    <w:p w14:paraId="7EC8EA6A" w14:textId="2C785EDB" w:rsidR="00846884" w:rsidRPr="00256A6B" w:rsidRDefault="0016601F" w:rsidP="0016601F">
      <w:pPr>
        <w:pStyle w:val="Rectitle"/>
        <w:rPr>
          <w:lang w:val="es-ES_tradnl"/>
        </w:rPr>
      </w:pPr>
      <w:r w:rsidRPr="00256A6B">
        <w:rPr>
          <w:lang w:val="es-ES_tradnl"/>
        </w:rPr>
        <w:t>Equipos TIC falsificados</w:t>
      </w:r>
    </w:p>
    <w:p w14:paraId="7CD5E169" w14:textId="1DFF2822" w:rsidR="00846884" w:rsidRPr="00256A6B" w:rsidRDefault="0016601F" w:rsidP="00846884">
      <w:pPr>
        <w:pStyle w:val="Headingb"/>
        <w:rPr>
          <w:lang w:val="es-ES_tradnl"/>
        </w:rPr>
      </w:pPr>
      <w:r w:rsidRPr="00256A6B">
        <w:rPr>
          <w:lang w:val="es-ES_tradnl"/>
        </w:rPr>
        <w:t>Resumen</w:t>
      </w:r>
    </w:p>
    <w:p w14:paraId="3435718E" w14:textId="75C18E22" w:rsidR="00846884" w:rsidRPr="00256A6B" w:rsidRDefault="00C85241" w:rsidP="00661557">
      <w:pPr>
        <w:rPr>
          <w:lang w:val="es-ES_tradnl"/>
        </w:rPr>
      </w:pPr>
      <w:r w:rsidRPr="00256A6B">
        <w:rPr>
          <w:lang w:val="es-ES_tradnl"/>
        </w:rPr>
        <w:t xml:space="preserve">La falsificación está ampliamente reconocida como un problema socioeconómico creciente e importante. El presente Informe Técnico proporciona información básica sobre la naturaleza de las cuestiones relativas a la falsificación de equipos </w:t>
      </w:r>
      <w:r w:rsidR="00661557">
        <w:rPr>
          <w:lang w:val="es-ES_tradnl"/>
        </w:rPr>
        <w:t>de</w:t>
      </w:r>
      <w:r w:rsidRPr="00256A6B">
        <w:rPr>
          <w:lang w:val="es-ES_tradnl"/>
        </w:rPr>
        <w:t xml:space="preserve"> tecnologías de la información y de la comunicación (TIC), considera los convenios internacionales que tratan este tipo de infracción de los derechos de propiedad intelectual y las actividades de las organizaciones para hacer cumplir esos derechos y describe una serie de medios para combatir el comercio de productos falsificados. Además, en el Anexo A se describen algunas iniciativas nacionales e internacionales para combatir la falsificación de dispositivos móviles.</w:t>
      </w:r>
    </w:p>
    <w:p w14:paraId="01522A88" w14:textId="247AEC78" w:rsidR="0077266D" w:rsidRPr="00001279" w:rsidRDefault="00EB06CC" w:rsidP="0072795B">
      <w:pPr>
        <w:pStyle w:val="Heading1"/>
        <w:rPr>
          <w:lang w:val="es-ES_tradnl"/>
        </w:rPr>
      </w:pPr>
      <w:bookmarkStart w:id="12" w:name="_Toc406670385"/>
      <w:bookmarkStart w:id="13" w:name="_Toc447202509"/>
      <w:bookmarkStart w:id="14" w:name="_Toc447203000"/>
      <w:r w:rsidRPr="00001279">
        <w:rPr>
          <w:lang w:val="es-ES_tradnl"/>
        </w:rPr>
        <w:t>1</w:t>
      </w:r>
      <w:r w:rsidRPr="00001279">
        <w:rPr>
          <w:lang w:val="es-ES_tradnl"/>
        </w:rPr>
        <w:tab/>
      </w:r>
      <w:r w:rsidR="0077266D" w:rsidRPr="00001279">
        <w:rPr>
          <w:lang w:val="es-ES_tradnl"/>
        </w:rPr>
        <w:t>Introduc</w:t>
      </w:r>
      <w:r w:rsidR="0016601F" w:rsidRPr="00001279">
        <w:rPr>
          <w:lang w:val="es-ES_tradnl"/>
        </w:rPr>
        <w:t>ción: falsificación de productos</w:t>
      </w:r>
      <w:r w:rsidR="00C44CA5" w:rsidRPr="00001279">
        <w:rPr>
          <w:lang w:val="es-ES_tradnl"/>
        </w:rPr>
        <w:t xml:space="preserve"> </w:t>
      </w:r>
      <w:r w:rsidR="0077266D" w:rsidRPr="00001279">
        <w:rPr>
          <w:lang w:val="es-ES_tradnl"/>
        </w:rPr>
        <w:t xml:space="preserve">– </w:t>
      </w:r>
      <w:r w:rsidR="0016601F" w:rsidRPr="00001279">
        <w:rPr>
          <w:lang w:val="es-ES_tradnl"/>
        </w:rPr>
        <w:t>un problema creciente</w:t>
      </w:r>
      <w:bookmarkEnd w:id="8"/>
      <w:bookmarkEnd w:id="9"/>
      <w:bookmarkEnd w:id="10"/>
      <w:bookmarkEnd w:id="11"/>
      <w:bookmarkEnd w:id="12"/>
      <w:bookmarkEnd w:id="13"/>
      <w:bookmarkEnd w:id="14"/>
    </w:p>
    <w:p w14:paraId="483663FF" w14:textId="12246AFF" w:rsidR="0077266D" w:rsidRPr="00256A6B" w:rsidRDefault="007965E8" w:rsidP="005900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s-ES_tradnl"/>
        </w:rPr>
      </w:pPr>
      <w:r w:rsidRPr="00256A6B">
        <w:rPr>
          <w:lang w:val="es-ES_tradnl"/>
        </w:rPr>
        <w:t xml:space="preserve">Aunque resulte muy difícil de cuantificar, existen cada vez más evidencias de que la distribución de productos falsificados es un problema </w:t>
      </w:r>
      <w:r w:rsidR="00C85241" w:rsidRPr="00256A6B">
        <w:rPr>
          <w:lang w:val="es-ES_tradnl"/>
        </w:rPr>
        <w:t>en crecimiento</w:t>
      </w:r>
      <w:r w:rsidRPr="00256A6B">
        <w:rPr>
          <w:lang w:val="es-ES_tradnl"/>
        </w:rPr>
        <w:t xml:space="preserve">, tanto </w:t>
      </w:r>
      <w:r w:rsidR="00C85241" w:rsidRPr="00256A6B">
        <w:rPr>
          <w:lang w:val="es-ES_tradnl"/>
        </w:rPr>
        <w:t>por</w:t>
      </w:r>
      <w:r w:rsidRPr="00256A6B">
        <w:rPr>
          <w:lang w:val="es-ES_tradnl"/>
        </w:rPr>
        <w:t xml:space="preserve"> su extensión como </w:t>
      </w:r>
      <w:r w:rsidR="00C85241" w:rsidRPr="00256A6B">
        <w:rPr>
          <w:lang w:val="es-ES_tradnl"/>
        </w:rPr>
        <w:t>por</w:t>
      </w:r>
      <w:r w:rsidRPr="00256A6B">
        <w:rPr>
          <w:lang w:val="es-ES_tradnl"/>
        </w:rPr>
        <w:t xml:space="preserve"> la gama de productos afectados. En 2008, la OCDE [1] publicó un informe en el que se estimaba, basándose en las </w:t>
      </w:r>
      <w:r w:rsidR="00C85241" w:rsidRPr="00256A6B">
        <w:rPr>
          <w:lang w:val="es-ES_tradnl"/>
        </w:rPr>
        <w:t>decomisos en las aduanas,</w:t>
      </w:r>
      <w:r w:rsidRPr="00256A6B">
        <w:rPr>
          <w:lang w:val="es-ES_tradnl"/>
        </w:rPr>
        <w:t xml:space="preserve"> </w:t>
      </w:r>
      <w:r w:rsidR="001D54DB" w:rsidRPr="00256A6B">
        <w:rPr>
          <w:lang w:val="es-ES_tradnl"/>
        </w:rPr>
        <w:t xml:space="preserve">que </w:t>
      </w:r>
      <w:r w:rsidRPr="00256A6B">
        <w:rPr>
          <w:lang w:val="es-ES_tradnl"/>
        </w:rPr>
        <w:t xml:space="preserve">el comercio internacional total de </w:t>
      </w:r>
      <w:r w:rsidR="001D54DB" w:rsidRPr="00256A6B">
        <w:rPr>
          <w:lang w:val="es-ES_tradnl"/>
        </w:rPr>
        <w:t>mercancías</w:t>
      </w:r>
      <w:r w:rsidRPr="00256A6B">
        <w:rPr>
          <w:lang w:val="es-ES_tradnl"/>
        </w:rPr>
        <w:t xml:space="preserve"> falsificadas y </w:t>
      </w:r>
      <w:r w:rsidR="00C85241" w:rsidRPr="00256A6B">
        <w:rPr>
          <w:lang w:val="es-ES_tradnl"/>
        </w:rPr>
        <w:t>pirat</w:t>
      </w:r>
      <w:r w:rsidR="001D54DB" w:rsidRPr="00256A6B">
        <w:rPr>
          <w:lang w:val="es-ES_tradnl"/>
        </w:rPr>
        <w:t xml:space="preserve">as (sin incluir productos digitales y aquellos productos generados y consumidos en el </w:t>
      </w:r>
      <w:r w:rsidR="005F35A4" w:rsidRPr="00256A6B">
        <w:rPr>
          <w:lang w:val="es-ES_tradnl"/>
        </w:rPr>
        <w:t>ámbito do</w:t>
      </w:r>
      <w:r w:rsidR="00E250F8">
        <w:rPr>
          <w:lang w:val="es-ES_tradnl"/>
        </w:rPr>
        <w:t>méstico) superaba los 200 000 m</w:t>
      </w:r>
      <w:r w:rsidR="001D54DB" w:rsidRPr="00256A6B">
        <w:rPr>
          <w:lang w:val="es-ES_tradnl"/>
        </w:rPr>
        <w:t xml:space="preserve">illones </w:t>
      </w:r>
      <w:r w:rsidR="00E250F8">
        <w:rPr>
          <w:lang w:val="es-ES_tradnl"/>
        </w:rPr>
        <w:t>USD</w:t>
      </w:r>
      <w:r w:rsidR="001D54DB" w:rsidRPr="00256A6B">
        <w:rPr>
          <w:lang w:val="es-ES_tradnl"/>
        </w:rPr>
        <w:t xml:space="preserve"> en 2005. Esta estimación se </w:t>
      </w:r>
      <w:r w:rsidR="005F35A4" w:rsidRPr="00256A6B">
        <w:rPr>
          <w:lang w:val="es-ES_tradnl"/>
        </w:rPr>
        <w:t>actualizó</w:t>
      </w:r>
      <w:r w:rsidR="001D54DB" w:rsidRPr="00256A6B">
        <w:rPr>
          <w:lang w:val="es-ES_tradnl"/>
        </w:rPr>
        <w:t xml:space="preserve"> </w:t>
      </w:r>
      <w:r w:rsidR="00C85241" w:rsidRPr="00256A6B">
        <w:rPr>
          <w:lang w:val="es-ES_tradnl"/>
        </w:rPr>
        <w:t>a partir</w:t>
      </w:r>
      <w:r w:rsidR="001D54DB" w:rsidRPr="00256A6B">
        <w:rPr>
          <w:lang w:val="es-ES_tradnl"/>
        </w:rPr>
        <w:t xml:space="preserve"> del crecimiento y d</w:t>
      </w:r>
      <w:r w:rsidR="00C85241" w:rsidRPr="00256A6B">
        <w:rPr>
          <w:lang w:val="es-ES_tradnl"/>
        </w:rPr>
        <w:t xml:space="preserve">e la composición variable del mercado internacional </w:t>
      </w:r>
      <w:r w:rsidR="00006EDA">
        <w:rPr>
          <w:lang w:val="es-ES_tradnl"/>
        </w:rPr>
        <w:t>de 100 000</w:t>
      </w:r>
      <w:r w:rsidR="001D54DB" w:rsidRPr="00256A6B">
        <w:rPr>
          <w:lang w:val="es-ES_tradnl"/>
        </w:rPr>
        <w:t xml:space="preserve"> millones </w:t>
      </w:r>
      <w:r w:rsidR="00006EDA">
        <w:rPr>
          <w:lang w:val="es-ES_tradnl"/>
        </w:rPr>
        <w:t>USD</w:t>
      </w:r>
      <w:r w:rsidR="001D54DB" w:rsidRPr="00256A6B">
        <w:rPr>
          <w:lang w:val="es-ES_tradnl"/>
        </w:rPr>
        <w:t xml:space="preserve"> en el año 2000 </w:t>
      </w:r>
      <w:r w:rsidR="00C85241" w:rsidRPr="00256A6B">
        <w:rPr>
          <w:lang w:val="es-ES_tradnl"/>
        </w:rPr>
        <w:t>a</w:t>
      </w:r>
      <w:r w:rsidR="00006EDA">
        <w:rPr>
          <w:lang w:val="es-ES_tradnl"/>
        </w:rPr>
        <w:t xml:space="preserve"> 250 000</w:t>
      </w:r>
      <w:r w:rsidR="001D54DB" w:rsidRPr="00256A6B">
        <w:rPr>
          <w:lang w:val="es-ES_tradnl"/>
        </w:rPr>
        <w:t xml:space="preserve"> millones</w:t>
      </w:r>
      <w:r w:rsidR="00006EDA">
        <w:rPr>
          <w:lang w:val="es-ES_tradnl"/>
        </w:rPr>
        <w:t xml:space="preserve"> USD</w:t>
      </w:r>
      <w:r w:rsidR="001D54DB" w:rsidRPr="00256A6B">
        <w:rPr>
          <w:lang w:val="es-ES_tradnl"/>
        </w:rPr>
        <w:t xml:space="preserve"> para el año 2007, lo que supone el 1,95% del mercado internacional</w:t>
      </w:r>
      <w:r w:rsidR="005F35A4" w:rsidRPr="00256A6B">
        <w:rPr>
          <w:lang w:val="es-ES_tradnl"/>
        </w:rPr>
        <w:t xml:space="preserve"> </w:t>
      </w:r>
      <w:r w:rsidR="0077266D" w:rsidRPr="00256A6B">
        <w:rPr>
          <w:lang w:val="es-ES_tradnl"/>
        </w:rPr>
        <w:t xml:space="preserve">[2]. </w:t>
      </w:r>
      <w:r w:rsidR="005F35A4" w:rsidRPr="00256A6B">
        <w:rPr>
          <w:lang w:val="es-ES_tradnl"/>
        </w:rPr>
        <w:t xml:space="preserve">Algunas estimaciones son incluso superiores, </w:t>
      </w:r>
      <w:r w:rsidR="007C3C21">
        <w:rPr>
          <w:lang w:val="es-ES_tradnl"/>
        </w:rPr>
        <w:t>la Oficina</w:t>
      </w:r>
      <w:r w:rsidR="000B6894" w:rsidRPr="00256A6B">
        <w:rPr>
          <w:lang w:val="es-ES_tradnl"/>
        </w:rPr>
        <w:t xml:space="preserve"> de Inteligencia contra la F</w:t>
      </w:r>
      <w:r w:rsidR="005F35A4" w:rsidRPr="00256A6B">
        <w:rPr>
          <w:lang w:val="es-ES_tradnl"/>
        </w:rPr>
        <w:t xml:space="preserve">alsificación de la Cámara de Comercio Internacional (CCI) estima que la falsificación </w:t>
      </w:r>
      <w:r w:rsidR="000B6894" w:rsidRPr="00256A6B">
        <w:rPr>
          <w:lang w:val="es-ES_tradnl"/>
        </w:rPr>
        <w:t>supone entre el 5%</w:t>
      </w:r>
      <w:r w:rsidR="005F35A4" w:rsidRPr="00256A6B">
        <w:rPr>
          <w:lang w:val="es-ES_tradnl"/>
        </w:rPr>
        <w:t xml:space="preserve"> y el 7% del merc</w:t>
      </w:r>
      <w:r w:rsidR="00590082">
        <w:rPr>
          <w:lang w:val="es-ES_tradnl"/>
        </w:rPr>
        <w:t>ado mundial por un valor de 600 000 </w:t>
      </w:r>
      <w:r w:rsidR="005F35A4" w:rsidRPr="00256A6B">
        <w:rPr>
          <w:lang w:val="es-ES_tradnl"/>
        </w:rPr>
        <w:t xml:space="preserve">millones </w:t>
      </w:r>
      <w:r w:rsidR="00590082">
        <w:rPr>
          <w:lang w:val="es-ES_tradnl"/>
        </w:rPr>
        <w:t>USD</w:t>
      </w:r>
      <w:r w:rsidR="005F35A4" w:rsidRPr="00256A6B">
        <w:rPr>
          <w:lang w:val="es-ES_tradnl"/>
        </w:rPr>
        <w:t xml:space="preserve"> anuales </w:t>
      </w:r>
      <w:r w:rsidR="0077266D" w:rsidRPr="00256A6B">
        <w:rPr>
          <w:lang w:val="es-ES_tradnl"/>
        </w:rPr>
        <w:t>[3].</w:t>
      </w:r>
    </w:p>
    <w:p w14:paraId="69A6F724" w14:textId="75B63800" w:rsidR="0077266D" w:rsidRPr="00256A6B" w:rsidRDefault="002007E6" w:rsidP="00825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s-ES_tradnl"/>
        </w:rPr>
      </w:pPr>
      <w:r w:rsidRPr="00256A6B">
        <w:rPr>
          <w:lang w:val="es-ES_tradnl"/>
        </w:rPr>
        <w:t>La Iniciativa de lucha contra la falsificación y la piratería</w:t>
      </w:r>
      <w:r w:rsidR="0077266D" w:rsidRPr="00256A6B">
        <w:rPr>
          <w:lang w:val="es-ES_tradnl"/>
        </w:rPr>
        <w:t xml:space="preserve"> (BASCAP) </w:t>
      </w:r>
      <w:r w:rsidR="009C74BF" w:rsidRPr="00256A6B">
        <w:rPr>
          <w:lang w:val="es-ES_tradnl"/>
        </w:rPr>
        <w:t>de la CCI encargó un estudio</w:t>
      </w:r>
      <w:r w:rsidR="0077266D" w:rsidRPr="00256A6B">
        <w:rPr>
          <w:lang w:val="es-ES_tradnl"/>
        </w:rPr>
        <w:t xml:space="preserve"> [4] </w:t>
      </w:r>
      <w:r w:rsidR="009C74BF" w:rsidRPr="00256A6B">
        <w:rPr>
          <w:lang w:val="es-ES_tradnl"/>
        </w:rPr>
        <w:t xml:space="preserve">para completar </w:t>
      </w:r>
      <w:r w:rsidRPr="00256A6B">
        <w:rPr>
          <w:lang w:val="es-ES_tradnl"/>
        </w:rPr>
        <w:t>el</w:t>
      </w:r>
      <w:r w:rsidR="009C74BF" w:rsidRPr="00256A6B">
        <w:rPr>
          <w:lang w:val="es-ES_tradnl"/>
        </w:rPr>
        <w:t xml:space="preserve"> </w:t>
      </w:r>
      <w:r w:rsidRPr="00256A6B">
        <w:rPr>
          <w:lang w:val="es-ES_tradnl"/>
        </w:rPr>
        <w:t>enfoque</w:t>
      </w:r>
      <w:r w:rsidR="0077266D" w:rsidRPr="00256A6B">
        <w:rPr>
          <w:lang w:val="es-ES_tradnl"/>
        </w:rPr>
        <w:t xml:space="preserve"> </w:t>
      </w:r>
      <w:r w:rsidR="009C74BF" w:rsidRPr="00256A6B">
        <w:rPr>
          <w:lang w:val="es-ES_tradnl"/>
        </w:rPr>
        <w:t xml:space="preserve">sobre el impacto social y económico de la falsificación y la </w:t>
      </w:r>
      <w:r w:rsidR="00C84F6A" w:rsidRPr="00256A6B">
        <w:rPr>
          <w:lang w:val="es-ES_tradnl"/>
        </w:rPr>
        <w:t>piratería ofrecido por la OCDE.</w:t>
      </w:r>
      <w:r w:rsidR="009C74BF" w:rsidRPr="00256A6B">
        <w:rPr>
          <w:lang w:val="es-ES_tradnl"/>
        </w:rPr>
        <w:t xml:space="preserve"> Este informe presenta una estimación del valor económico mundial total de los pr</w:t>
      </w:r>
      <w:r w:rsidRPr="00256A6B">
        <w:rPr>
          <w:lang w:val="es-ES_tradnl"/>
        </w:rPr>
        <w:t>oductos falsificados y pirata</w:t>
      </w:r>
      <w:r w:rsidR="00961947">
        <w:rPr>
          <w:lang w:val="es-ES_tradnl"/>
        </w:rPr>
        <w:t>s que asciende a 650 000</w:t>
      </w:r>
      <w:r w:rsidR="009C74BF" w:rsidRPr="00256A6B">
        <w:rPr>
          <w:lang w:val="es-ES_tradnl"/>
        </w:rPr>
        <w:t xml:space="preserve"> millones </w:t>
      </w:r>
      <w:r w:rsidR="00961947">
        <w:rPr>
          <w:lang w:val="es-ES_tradnl"/>
        </w:rPr>
        <w:t>USD</w:t>
      </w:r>
      <w:r w:rsidR="009C74BF" w:rsidRPr="00256A6B">
        <w:rPr>
          <w:lang w:val="es-ES_tradnl"/>
        </w:rPr>
        <w:t xml:space="preserve"> al año, de los cuales </w:t>
      </w:r>
      <w:r w:rsidR="00B737B3" w:rsidRPr="00256A6B">
        <w:rPr>
          <w:lang w:val="es-ES_tradnl"/>
        </w:rPr>
        <w:t xml:space="preserve">más de la mitad </w:t>
      </w:r>
      <w:r w:rsidRPr="00256A6B">
        <w:rPr>
          <w:lang w:val="es-ES_tradnl"/>
        </w:rPr>
        <w:t xml:space="preserve">corresponden </w:t>
      </w:r>
      <w:r w:rsidR="009C74BF" w:rsidRPr="00256A6B">
        <w:rPr>
          <w:lang w:val="es-ES_tradnl"/>
        </w:rPr>
        <w:t xml:space="preserve">al mercado internacional </w:t>
      </w:r>
      <w:r w:rsidR="0077266D" w:rsidRPr="00256A6B">
        <w:rPr>
          <w:lang w:val="es-ES_tradnl"/>
        </w:rPr>
        <w:t>(</w:t>
      </w:r>
      <w:r w:rsidR="009C74BF" w:rsidRPr="00256A6B">
        <w:rPr>
          <w:lang w:val="es-ES_tradnl"/>
        </w:rPr>
        <w:t xml:space="preserve">entre </w:t>
      </w:r>
      <w:r w:rsidR="00526B3D">
        <w:rPr>
          <w:lang w:val="es-ES_tradnl"/>
        </w:rPr>
        <w:t xml:space="preserve">285 000 </w:t>
      </w:r>
      <w:r w:rsidR="009C74BF" w:rsidRPr="00256A6B">
        <w:rPr>
          <w:lang w:val="es-ES_tradnl"/>
        </w:rPr>
        <w:t>y 360</w:t>
      </w:r>
      <w:r w:rsidR="00526B3D">
        <w:rPr>
          <w:lang w:val="es-ES_tradnl"/>
        </w:rPr>
        <w:t> 000</w:t>
      </w:r>
      <w:r w:rsidR="009C74BF" w:rsidRPr="00256A6B">
        <w:rPr>
          <w:lang w:val="es-ES_tradnl"/>
        </w:rPr>
        <w:t xml:space="preserve"> millones </w:t>
      </w:r>
      <w:r w:rsidR="00526B3D">
        <w:rPr>
          <w:lang w:val="es-ES_tradnl"/>
        </w:rPr>
        <w:t>USD</w:t>
      </w:r>
      <w:r w:rsidR="0077266D" w:rsidRPr="00256A6B">
        <w:rPr>
          <w:lang w:val="es-ES_tradnl"/>
        </w:rPr>
        <w:t xml:space="preserve">), </w:t>
      </w:r>
      <w:r w:rsidR="009C74BF" w:rsidRPr="00256A6B">
        <w:rPr>
          <w:lang w:val="es-ES_tradnl"/>
        </w:rPr>
        <w:t>a la producción y consumo nacionales entre 140</w:t>
      </w:r>
      <w:r w:rsidR="00121399">
        <w:rPr>
          <w:lang w:val="es-ES_tradnl"/>
        </w:rPr>
        <w:t> 000</w:t>
      </w:r>
      <w:r w:rsidR="009C74BF" w:rsidRPr="00256A6B">
        <w:rPr>
          <w:lang w:val="es-ES_tradnl"/>
        </w:rPr>
        <w:t xml:space="preserve"> y 215</w:t>
      </w:r>
      <w:r w:rsidR="00121399">
        <w:rPr>
          <w:lang w:val="es-ES_tradnl"/>
        </w:rPr>
        <w:t> 000</w:t>
      </w:r>
      <w:r w:rsidR="009C74BF" w:rsidRPr="00256A6B">
        <w:rPr>
          <w:lang w:val="es-ES_tradnl"/>
        </w:rPr>
        <w:t xml:space="preserve"> millones</w:t>
      </w:r>
      <w:r w:rsidR="00121399">
        <w:rPr>
          <w:lang w:val="es-ES_tradnl"/>
        </w:rPr>
        <w:t xml:space="preserve"> USD,</w:t>
      </w:r>
      <w:r w:rsidR="009C74BF" w:rsidRPr="00256A6B">
        <w:rPr>
          <w:lang w:val="es-ES_tradnl"/>
        </w:rPr>
        <w:t xml:space="preserve"> y al contenido digital (música, películas y programas </w:t>
      </w:r>
      <w:r w:rsidR="00B84630" w:rsidRPr="00256A6B">
        <w:rPr>
          <w:lang w:val="es-ES_tradnl"/>
        </w:rPr>
        <w:t>informáticos</w:t>
      </w:r>
      <w:r w:rsidR="009C74BF" w:rsidRPr="00256A6B">
        <w:rPr>
          <w:lang w:val="es-ES_tradnl"/>
        </w:rPr>
        <w:t>) entre 30</w:t>
      </w:r>
      <w:r w:rsidR="00817875">
        <w:rPr>
          <w:lang w:val="es-ES_tradnl"/>
        </w:rPr>
        <w:t> 000</w:t>
      </w:r>
      <w:r w:rsidR="009C74BF" w:rsidRPr="00256A6B">
        <w:rPr>
          <w:lang w:val="es-ES_tradnl"/>
        </w:rPr>
        <w:t xml:space="preserve"> y 75</w:t>
      </w:r>
      <w:r w:rsidR="00817875">
        <w:rPr>
          <w:lang w:val="es-ES_tradnl"/>
        </w:rPr>
        <w:t> 000</w:t>
      </w:r>
      <w:r w:rsidR="009C74BF" w:rsidRPr="00256A6B">
        <w:rPr>
          <w:lang w:val="es-ES_tradnl"/>
        </w:rPr>
        <w:t xml:space="preserve"> millones </w:t>
      </w:r>
      <w:r w:rsidR="00817875">
        <w:rPr>
          <w:lang w:val="es-ES_tradnl"/>
        </w:rPr>
        <w:t>USD</w:t>
      </w:r>
      <w:r w:rsidR="009C74BF" w:rsidRPr="00256A6B">
        <w:rPr>
          <w:lang w:val="es-ES_tradnl"/>
        </w:rPr>
        <w:t xml:space="preserve">. </w:t>
      </w:r>
      <w:r w:rsidR="00B84630" w:rsidRPr="00256A6B">
        <w:rPr>
          <w:lang w:val="es-ES_tradnl"/>
        </w:rPr>
        <w:t>Además, se estima que la falsificación y la piratería cuestan a los gobiernos y a los consumidores del G20 más de 125</w:t>
      </w:r>
      <w:r w:rsidR="00825BCA">
        <w:rPr>
          <w:lang w:val="es-ES_tradnl"/>
        </w:rPr>
        <w:t> 000</w:t>
      </w:r>
      <w:r w:rsidR="00B84630" w:rsidRPr="00256A6B">
        <w:rPr>
          <w:lang w:val="es-ES_tradnl"/>
        </w:rPr>
        <w:t xml:space="preserve"> </w:t>
      </w:r>
      <w:r w:rsidR="00825BCA">
        <w:rPr>
          <w:lang w:val="es-ES_tradnl"/>
        </w:rPr>
        <w:t>USD</w:t>
      </w:r>
      <w:r w:rsidR="00B84630" w:rsidRPr="00256A6B">
        <w:rPr>
          <w:lang w:val="es-ES_tradnl"/>
        </w:rPr>
        <w:t xml:space="preserve"> cada año (debido a factores tales como </w:t>
      </w:r>
      <w:r w:rsidR="00E431F2">
        <w:rPr>
          <w:lang w:val="es-ES_tradnl"/>
        </w:rPr>
        <w:t xml:space="preserve">la </w:t>
      </w:r>
      <w:r w:rsidR="00B84630" w:rsidRPr="00256A6B">
        <w:rPr>
          <w:lang w:val="es-ES_tradnl"/>
        </w:rPr>
        <w:t xml:space="preserve">disminución de los ingresos por impuestos y </w:t>
      </w:r>
      <w:r w:rsidRPr="00256A6B">
        <w:rPr>
          <w:lang w:val="es-ES_tradnl"/>
        </w:rPr>
        <w:t xml:space="preserve">el </w:t>
      </w:r>
      <w:r w:rsidR="00B84630" w:rsidRPr="00256A6B">
        <w:rPr>
          <w:lang w:val="es-ES_tradnl"/>
        </w:rPr>
        <w:t xml:space="preserve">aumento de los costes de las contramedidas y de la asistencia sanitaria) y </w:t>
      </w:r>
      <w:r w:rsidR="00A806AE">
        <w:rPr>
          <w:lang w:val="es-ES_tradnl"/>
        </w:rPr>
        <w:t xml:space="preserve">a </w:t>
      </w:r>
      <w:r w:rsidRPr="00256A6B">
        <w:rPr>
          <w:lang w:val="es-ES_tradnl"/>
        </w:rPr>
        <w:t xml:space="preserve">la </w:t>
      </w:r>
      <w:r w:rsidR="00B84630" w:rsidRPr="00256A6B">
        <w:rPr>
          <w:lang w:val="es-ES_tradnl"/>
        </w:rPr>
        <w:t>pérdida de aproximadamente 2,5 millones de puestos de trabajo.</w:t>
      </w:r>
    </w:p>
    <w:p w14:paraId="45640CA6" w14:textId="1FA48358" w:rsidR="00987E27" w:rsidRPr="00256A6B" w:rsidRDefault="00B84630" w:rsidP="008C6E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s-ES_tradnl"/>
        </w:rPr>
      </w:pPr>
      <w:r w:rsidRPr="00256A6B">
        <w:rPr>
          <w:lang w:val="es-ES_tradnl"/>
        </w:rPr>
        <w:t>La</w:t>
      </w:r>
      <w:r w:rsidR="008C6ECF" w:rsidRPr="00256A6B">
        <w:rPr>
          <w:lang w:val="es-ES_tradnl"/>
        </w:rPr>
        <w:t>s</w:t>
      </w:r>
      <w:r w:rsidRPr="00256A6B">
        <w:rPr>
          <w:lang w:val="es-ES_tradnl"/>
        </w:rPr>
        <w:t xml:space="preserve"> autoridades nacionales de aduanas de la Unión Europea (UE) han constatado que entre 2005 y 2010 se ha</w:t>
      </w:r>
      <w:r w:rsidR="008C6ECF" w:rsidRPr="00256A6B">
        <w:rPr>
          <w:lang w:val="es-ES_tradnl"/>
        </w:rPr>
        <w:t xml:space="preserve"> triplicado</w:t>
      </w:r>
      <w:r w:rsidR="00987E27" w:rsidRPr="00256A6B">
        <w:rPr>
          <w:lang w:val="es-ES_tradnl"/>
        </w:rPr>
        <w:t xml:space="preserve"> </w:t>
      </w:r>
      <w:r w:rsidRPr="00256A6B">
        <w:rPr>
          <w:lang w:val="es-ES_tradnl"/>
        </w:rPr>
        <w:t xml:space="preserve">la cantidad de </w:t>
      </w:r>
      <w:r w:rsidR="008C6ECF" w:rsidRPr="00256A6B">
        <w:rPr>
          <w:lang w:val="es-ES_tradnl"/>
        </w:rPr>
        <w:t>mercancías</w:t>
      </w:r>
      <w:r w:rsidRPr="00256A6B">
        <w:rPr>
          <w:lang w:val="es-ES_tradnl"/>
        </w:rPr>
        <w:t xml:space="preserve"> falsificadas que se han introducido en </w:t>
      </w:r>
      <w:r w:rsidR="008C6ECF" w:rsidRPr="00256A6B">
        <w:rPr>
          <w:lang w:val="es-ES_tradnl"/>
        </w:rPr>
        <w:t>la UE</w:t>
      </w:r>
      <w:r w:rsidR="00987E27" w:rsidRPr="00256A6B">
        <w:rPr>
          <w:lang w:val="es-ES_tradnl"/>
        </w:rPr>
        <w:t xml:space="preserve">. </w:t>
      </w:r>
      <w:r w:rsidR="008C6ECF" w:rsidRPr="00256A6B">
        <w:rPr>
          <w:lang w:val="es-ES_tradnl"/>
        </w:rPr>
        <w:t xml:space="preserve">Las estadísticas publicadas por la Comisión Europea en julio de 2011 muestran una tendencia ascendente </w:t>
      </w:r>
      <w:r w:rsidR="002007E6" w:rsidRPr="00256A6B">
        <w:rPr>
          <w:lang w:val="es-ES_tradnl"/>
        </w:rPr>
        <w:t>desmedida</w:t>
      </w:r>
      <w:r w:rsidR="008C6ECF" w:rsidRPr="00256A6B">
        <w:rPr>
          <w:lang w:val="es-ES_tradnl"/>
        </w:rPr>
        <w:t xml:space="preserve"> en la cantidad de envíos sospechosos de violar los derechos de propiedad intelectual</w:t>
      </w:r>
      <w:r w:rsidR="00987E27" w:rsidRPr="00256A6B">
        <w:rPr>
          <w:lang w:val="es-ES_tradnl"/>
        </w:rPr>
        <w:t xml:space="preserve"> </w:t>
      </w:r>
      <w:r w:rsidR="00A438A8" w:rsidRPr="00256A6B">
        <w:rPr>
          <w:lang w:val="es-ES_tradnl"/>
        </w:rPr>
        <w:t>(</w:t>
      </w:r>
      <w:r w:rsidR="008C6ECF" w:rsidRPr="00256A6B">
        <w:rPr>
          <w:lang w:val="es-ES_tradnl"/>
        </w:rPr>
        <w:t>DPI</w:t>
      </w:r>
      <w:r w:rsidR="00A438A8" w:rsidRPr="00256A6B">
        <w:rPr>
          <w:lang w:val="es-ES_tradnl"/>
        </w:rPr>
        <w:t>)</w:t>
      </w:r>
      <w:r w:rsidR="00987E27" w:rsidRPr="00256A6B">
        <w:rPr>
          <w:lang w:val="es-ES_tradnl"/>
        </w:rPr>
        <w:t xml:space="preserve">. </w:t>
      </w:r>
      <w:r w:rsidR="008C6ECF" w:rsidRPr="00256A6B">
        <w:rPr>
          <w:lang w:val="es-ES_tradnl"/>
        </w:rPr>
        <w:t xml:space="preserve">Las autoridades de </w:t>
      </w:r>
      <w:r w:rsidR="002A402D">
        <w:rPr>
          <w:lang w:val="es-ES_tradnl"/>
        </w:rPr>
        <w:t>aduanas registraron cerca de 80 </w:t>
      </w:r>
      <w:r w:rsidR="008C6ECF" w:rsidRPr="00256A6B">
        <w:rPr>
          <w:lang w:val="es-ES_tradnl"/>
        </w:rPr>
        <w:t xml:space="preserve">000 casos en 2010, una cifra que prácticamente se ha duplicado desde 2009. Se incautaron más de 130 millones de productos falsificados en las fronteras exteriores de la UE. </w:t>
      </w:r>
      <w:hyperlink r:id="rId16" w:history="1">
        <w:r w:rsidR="00987E27" w:rsidRPr="00256A6B">
          <w:rPr>
            <w:rStyle w:val="Hyperlink"/>
            <w:lang w:val="es-ES_tradnl"/>
          </w:rPr>
          <w:t>http://trade.ec.europa.eu/doclib/docs/2012/january/tradoc_149003.pdf</w:t>
        </w:r>
      </w:hyperlink>
    </w:p>
    <w:p w14:paraId="2A461DB7" w14:textId="26C9AFF8" w:rsidR="00B17A4B" w:rsidRPr="00256A6B" w:rsidRDefault="008C6ECF" w:rsidP="00C43436">
      <w:pPr>
        <w:rPr>
          <w:lang w:val="es-ES_tradnl"/>
        </w:rPr>
      </w:pPr>
      <w:r w:rsidRPr="00256A6B">
        <w:rPr>
          <w:lang w:val="es-ES_tradnl"/>
        </w:rPr>
        <w:t>Se falsifica una</w:t>
      </w:r>
      <w:r w:rsidR="002007E6" w:rsidRPr="00256A6B">
        <w:rPr>
          <w:lang w:val="es-ES_tradnl"/>
        </w:rPr>
        <w:t xml:space="preserve"> </w:t>
      </w:r>
      <w:r w:rsidRPr="00256A6B">
        <w:rPr>
          <w:lang w:val="es-ES_tradnl"/>
        </w:rPr>
        <w:t>gama de productos extraordinariamente amplia</w:t>
      </w:r>
      <w:r w:rsidR="0077266D" w:rsidRPr="00256A6B">
        <w:rPr>
          <w:lang w:val="es-ES_tradnl"/>
        </w:rPr>
        <w:t xml:space="preserve"> </w:t>
      </w:r>
      <w:r w:rsidRPr="00256A6B">
        <w:rPr>
          <w:lang w:val="es-ES_tradnl"/>
        </w:rPr>
        <w:t>–</w:t>
      </w:r>
      <w:r w:rsidR="0077266D" w:rsidRPr="00256A6B">
        <w:rPr>
          <w:lang w:val="es-ES_tradnl"/>
        </w:rPr>
        <w:t xml:space="preserve"> </w:t>
      </w:r>
      <w:r w:rsidRPr="00256A6B">
        <w:rPr>
          <w:lang w:val="es-ES_tradnl"/>
        </w:rPr>
        <w:t xml:space="preserve">alimentos y bebidas, productos </w:t>
      </w:r>
      <w:r w:rsidR="00834BD6" w:rsidRPr="00256A6B">
        <w:rPr>
          <w:lang w:val="es-ES_tradnl"/>
        </w:rPr>
        <w:t>farmacéuticos</w:t>
      </w:r>
      <w:r w:rsidRPr="00256A6B">
        <w:rPr>
          <w:lang w:val="es-ES_tradnl"/>
        </w:rPr>
        <w:t xml:space="preserve">, </w:t>
      </w:r>
      <w:r w:rsidR="00834BD6" w:rsidRPr="00256A6B">
        <w:rPr>
          <w:lang w:val="es-ES_tradnl"/>
        </w:rPr>
        <w:t>componentes</w:t>
      </w:r>
      <w:r w:rsidRPr="00256A6B">
        <w:rPr>
          <w:lang w:val="es-ES_tradnl"/>
        </w:rPr>
        <w:t xml:space="preserve"> eléctricos y de automoción, todo tipo de productos de consumo e incluso tiendas enteras. </w:t>
      </w:r>
      <w:r w:rsidR="00D34B8B" w:rsidRPr="00256A6B">
        <w:rPr>
          <w:lang w:val="es-ES_tradnl"/>
        </w:rPr>
        <w:t>Se falsifican</w:t>
      </w:r>
      <w:r w:rsidRPr="00256A6B">
        <w:rPr>
          <w:lang w:val="es-ES_tradnl"/>
        </w:rPr>
        <w:t xml:space="preserve"> componentes de ordenadores (pantallas, estuches, discos duros)</w:t>
      </w:r>
      <w:r w:rsidR="00D34B8B" w:rsidRPr="00256A6B">
        <w:rPr>
          <w:lang w:val="es-ES_tradnl"/>
        </w:rPr>
        <w:t xml:space="preserve">, equipamiento informático, enrutadores, cámaras web, mandos a distancia, teléfonos </w:t>
      </w:r>
      <w:r w:rsidR="00D34B8B" w:rsidRPr="00256A6B">
        <w:rPr>
          <w:lang w:val="es-ES_tradnl"/>
        </w:rPr>
        <w:lastRenderedPageBreak/>
        <w:t>móviles, televisores</w:t>
      </w:r>
      <w:r w:rsidR="00B67A27">
        <w:rPr>
          <w:lang w:val="es-ES_tradnl"/>
        </w:rPr>
        <w:t xml:space="preserve"> (TV)</w:t>
      </w:r>
      <w:r w:rsidR="00D34B8B" w:rsidRPr="00256A6B">
        <w:rPr>
          <w:lang w:val="es-ES_tradnl"/>
        </w:rPr>
        <w:t>, discos compactos</w:t>
      </w:r>
      <w:r w:rsidR="00B67A27">
        <w:rPr>
          <w:lang w:val="es-ES_tradnl"/>
        </w:rPr>
        <w:t xml:space="preserve"> (CD)</w:t>
      </w:r>
      <w:r w:rsidR="00D34B8B" w:rsidRPr="00256A6B">
        <w:rPr>
          <w:lang w:val="es-ES_tradnl"/>
        </w:rPr>
        <w:t xml:space="preserve"> y reproductores de discos digitales (DVD), altavoces, cámaras, auriculares, adaptadores bus </w:t>
      </w:r>
      <w:r w:rsidR="00C43436" w:rsidRPr="00256A6B">
        <w:rPr>
          <w:lang w:val="es-ES_tradnl"/>
        </w:rPr>
        <w:t xml:space="preserve">en </w:t>
      </w:r>
      <w:r w:rsidR="00D34B8B" w:rsidRPr="00256A6B">
        <w:rPr>
          <w:lang w:val="es-ES_tradnl"/>
        </w:rPr>
        <w:t>seri</w:t>
      </w:r>
      <w:r w:rsidR="00C43436" w:rsidRPr="00256A6B">
        <w:rPr>
          <w:lang w:val="es-ES_tradnl"/>
        </w:rPr>
        <w:t>e</w:t>
      </w:r>
      <w:r w:rsidR="00D34B8B" w:rsidRPr="00256A6B">
        <w:rPr>
          <w:lang w:val="es-ES_tradnl"/>
        </w:rPr>
        <w:t xml:space="preserve"> universal (USB), programas informáticos, certificados, sellos de certificación y datos (como datos biomédicos)</w:t>
      </w:r>
      <w:r w:rsidR="0077266D" w:rsidRPr="00256A6B">
        <w:rPr>
          <w:lang w:val="es-ES_tradnl"/>
        </w:rPr>
        <w:t>.</w:t>
      </w:r>
    </w:p>
    <w:p w14:paraId="5EEEAE0D" w14:textId="7CC2E170" w:rsidR="0077266D" w:rsidRPr="00256A6B" w:rsidRDefault="00D34B8B" w:rsidP="00C43436">
      <w:pPr>
        <w:rPr>
          <w:lang w:val="es-ES_tradnl"/>
        </w:rPr>
      </w:pPr>
      <w:r w:rsidRPr="00256A6B">
        <w:rPr>
          <w:lang w:val="es-ES_tradnl"/>
        </w:rPr>
        <w:t xml:space="preserve">Además, </w:t>
      </w:r>
      <w:r w:rsidR="00C43436" w:rsidRPr="00256A6B">
        <w:rPr>
          <w:lang w:val="es-ES_tradnl"/>
        </w:rPr>
        <w:t>cada vez se utiliza más I</w:t>
      </w:r>
      <w:r w:rsidRPr="00256A6B">
        <w:rPr>
          <w:lang w:val="es-ES_tradnl"/>
        </w:rPr>
        <w:t xml:space="preserve">nternet </w:t>
      </w:r>
      <w:r w:rsidR="00C43436" w:rsidRPr="00256A6B">
        <w:rPr>
          <w:lang w:val="es-ES_tradnl"/>
        </w:rPr>
        <w:t xml:space="preserve">para la piratería digital </w:t>
      </w:r>
      <w:r w:rsidRPr="00256A6B">
        <w:rPr>
          <w:lang w:val="es-ES_tradnl"/>
        </w:rPr>
        <w:t xml:space="preserve">y también </w:t>
      </w:r>
      <w:r w:rsidR="00C43436" w:rsidRPr="00256A6B">
        <w:rPr>
          <w:lang w:val="es-ES_tradnl"/>
        </w:rPr>
        <w:t>para comercializar</w:t>
      </w:r>
      <w:r w:rsidRPr="00256A6B">
        <w:rPr>
          <w:lang w:val="es-ES_tradnl"/>
        </w:rPr>
        <w:t xml:space="preserve"> mercancí</w:t>
      </w:r>
      <w:r w:rsidR="00B67A27">
        <w:rPr>
          <w:lang w:val="es-ES_tradnl"/>
        </w:rPr>
        <w:t>as falsificadas. Todos los facto</w:t>
      </w:r>
      <w:r w:rsidRPr="00256A6B">
        <w:rPr>
          <w:lang w:val="es-ES_tradnl"/>
        </w:rPr>
        <w:t>res que hacen de Internet un recurso atractivo para los minoristas, en particular para aquellos destinados a pequeños merc</w:t>
      </w:r>
      <w:r w:rsidR="00F72370" w:rsidRPr="00256A6B">
        <w:rPr>
          <w:lang w:val="es-ES_tradnl"/>
        </w:rPr>
        <w:t xml:space="preserve">ados (acceso al mercado mundial, facilidad de crear, cambiar y cerrar sitos Web que pueden resultar muy convincentes y el reducido coste de enviar correos electrónicos), junto con la posibilidad del anonimato, resultan </w:t>
      </w:r>
      <w:r w:rsidR="00C43436" w:rsidRPr="00256A6B">
        <w:rPr>
          <w:lang w:val="es-ES_tradnl"/>
        </w:rPr>
        <w:t>atrayentes</w:t>
      </w:r>
      <w:r w:rsidR="00F72370" w:rsidRPr="00256A6B">
        <w:rPr>
          <w:lang w:val="es-ES_tradnl"/>
        </w:rPr>
        <w:t xml:space="preserve"> para los vende</w:t>
      </w:r>
      <w:r w:rsidR="00C43436" w:rsidRPr="00256A6B">
        <w:rPr>
          <w:lang w:val="es-ES_tradnl"/>
        </w:rPr>
        <w:t>dores de</w:t>
      </w:r>
      <w:r w:rsidR="00F72370" w:rsidRPr="00256A6B">
        <w:rPr>
          <w:lang w:val="es-ES_tradnl"/>
        </w:rPr>
        <w:t xml:space="preserve"> mercancías falsificadas. Asimismo, la enorme cant</w:t>
      </w:r>
      <w:r w:rsidR="00C43436" w:rsidRPr="00256A6B">
        <w:rPr>
          <w:lang w:val="es-ES_tradnl"/>
        </w:rPr>
        <w:t>idad de sitios en Internet hace</w:t>
      </w:r>
      <w:r w:rsidR="00F72370" w:rsidRPr="00256A6B">
        <w:rPr>
          <w:lang w:val="es-ES_tradnl"/>
        </w:rPr>
        <w:t xml:space="preserve"> muy difícil a los </w:t>
      </w:r>
      <w:r w:rsidR="00C43436" w:rsidRPr="00256A6B">
        <w:rPr>
          <w:lang w:val="es-ES_tradnl"/>
        </w:rPr>
        <w:t>titulares</w:t>
      </w:r>
      <w:r w:rsidR="00F72370" w:rsidRPr="00256A6B">
        <w:rPr>
          <w:lang w:val="es-ES_tradnl"/>
        </w:rPr>
        <w:t xml:space="preserve"> de derechos de propiedad </w:t>
      </w:r>
      <w:r w:rsidR="00553F7F" w:rsidRPr="00256A6B">
        <w:rPr>
          <w:lang w:val="es-ES_tradnl"/>
        </w:rPr>
        <w:t>in</w:t>
      </w:r>
      <w:r w:rsidR="00C84F6A" w:rsidRPr="00256A6B">
        <w:rPr>
          <w:lang w:val="es-ES_tradnl"/>
        </w:rPr>
        <w:t>telectual y a los organismos de</w:t>
      </w:r>
      <w:r w:rsidR="00B17A4B" w:rsidRPr="00256A6B">
        <w:rPr>
          <w:lang w:val="es-ES_tradnl"/>
        </w:rPr>
        <w:t xml:space="preserve"> </w:t>
      </w:r>
      <w:r w:rsidR="00553F7F" w:rsidRPr="00256A6B">
        <w:rPr>
          <w:lang w:val="es-ES_tradnl"/>
        </w:rPr>
        <w:t xml:space="preserve">aplicación de la ley la identificación de las operaciones ilegales. Para intentar vender mercancías falsificadas se utilizan la publicidad por </w:t>
      </w:r>
      <w:r w:rsidR="00281C1C" w:rsidRPr="00256A6B">
        <w:rPr>
          <w:lang w:val="es-ES_tradnl"/>
        </w:rPr>
        <w:t>Internet</w:t>
      </w:r>
      <w:r w:rsidR="006C28DA" w:rsidRPr="00256A6B">
        <w:rPr>
          <w:lang w:val="es-ES_tradnl"/>
        </w:rPr>
        <w:t>,</w:t>
      </w:r>
      <w:r w:rsidR="00553F7F" w:rsidRPr="00256A6B">
        <w:rPr>
          <w:lang w:val="es-ES_tradnl"/>
        </w:rPr>
        <w:t xml:space="preserve"> el comercio electrónico y los sitios de subastas</w:t>
      </w:r>
      <w:r w:rsidR="00B17A4B" w:rsidRPr="00256A6B">
        <w:rPr>
          <w:lang w:val="es-ES_tradnl"/>
        </w:rPr>
        <w:t>.</w:t>
      </w:r>
    </w:p>
    <w:p w14:paraId="059807E3" w14:textId="3DA25357" w:rsidR="00222C94" w:rsidRPr="00256A6B" w:rsidDel="00222C94" w:rsidRDefault="00834BD6" w:rsidP="00492BD4">
      <w:pPr>
        <w:rPr>
          <w:lang w:val="es-ES_tradnl"/>
        </w:rPr>
      </w:pPr>
      <w:r w:rsidRPr="00256A6B">
        <w:rPr>
          <w:lang w:val="es-ES_tradnl"/>
        </w:rPr>
        <w:t>En lo que respecta al sector de las TIC, un informe del</w:t>
      </w:r>
      <w:r w:rsidR="0077266D" w:rsidRPr="00256A6B">
        <w:rPr>
          <w:lang w:val="es-ES_tradnl"/>
        </w:rPr>
        <w:t xml:space="preserve"> KPMG </w:t>
      </w:r>
      <w:r w:rsidRPr="00256A6B">
        <w:rPr>
          <w:lang w:val="es-ES_tradnl"/>
        </w:rPr>
        <w:t>y de AGMA</w:t>
      </w:r>
      <w:r w:rsidR="0077266D" w:rsidRPr="00256A6B">
        <w:rPr>
          <w:lang w:val="es-ES_tradnl"/>
        </w:rPr>
        <w:t xml:space="preserve"> </w:t>
      </w:r>
      <w:r w:rsidRPr="00256A6B">
        <w:rPr>
          <w:lang w:val="es-ES_tradnl"/>
        </w:rPr>
        <w:t>estimó que en 2007 entre el 8% y el 10% de todas las me</w:t>
      </w:r>
      <w:r w:rsidR="0077266D" w:rsidRPr="00256A6B">
        <w:rPr>
          <w:lang w:val="es-ES_tradnl"/>
        </w:rPr>
        <w:t>r</w:t>
      </w:r>
      <w:r w:rsidRPr="00256A6B">
        <w:rPr>
          <w:lang w:val="es-ES_tradnl"/>
        </w:rPr>
        <w:t>cancías del sector de las tecnologías de la información vendidas en el mundo estaban falsificadas, lo que supone u</w:t>
      </w:r>
      <w:r w:rsidR="00A80E80">
        <w:rPr>
          <w:lang w:val="es-ES_tradnl"/>
        </w:rPr>
        <w:t>nas pérdidas de ingresos de 100 000 </w:t>
      </w:r>
      <w:r w:rsidRPr="00256A6B">
        <w:rPr>
          <w:lang w:val="es-ES_tradnl"/>
        </w:rPr>
        <w:t xml:space="preserve">millones </w:t>
      </w:r>
      <w:r w:rsidR="00A80E80">
        <w:rPr>
          <w:lang w:val="es-ES_tradnl"/>
        </w:rPr>
        <w:t>USD</w:t>
      </w:r>
      <w:r w:rsidRPr="00256A6B">
        <w:rPr>
          <w:lang w:val="es-ES_tradnl"/>
        </w:rPr>
        <w:t xml:space="preserve"> para el sector.</w:t>
      </w:r>
      <w:r w:rsidR="0077266D" w:rsidRPr="00256A6B">
        <w:rPr>
          <w:lang w:val="es-ES_tradnl"/>
        </w:rPr>
        <w:t xml:space="preserve"> Hewlett-Packard </w:t>
      </w:r>
      <w:r w:rsidR="002463F1">
        <w:rPr>
          <w:lang w:val="es-ES_tradnl"/>
        </w:rPr>
        <w:t>realizó más de 4 </w:t>
      </w:r>
      <w:r w:rsidR="0077266D" w:rsidRPr="00256A6B">
        <w:rPr>
          <w:lang w:val="es-ES_tradnl"/>
        </w:rPr>
        <w:t xml:space="preserve">620 </w:t>
      </w:r>
      <w:r w:rsidR="006C28DA" w:rsidRPr="00256A6B">
        <w:rPr>
          <w:lang w:val="es-ES_tradnl"/>
        </w:rPr>
        <w:t>averiguaciones</w:t>
      </w:r>
      <w:r w:rsidRPr="00256A6B">
        <w:rPr>
          <w:lang w:val="es-ES_tradnl"/>
        </w:rPr>
        <w:t xml:space="preserve"> en</w:t>
      </w:r>
      <w:r w:rsidR="002463F1">
        <w:rPr>
          <w:lang w:val="es-ES_tradnl"/>
        </w:rPr>
        <w:t xml:space="preserve"> 55 </w:t>
      </w:r>
      <w:r w:rsidRPr="00256A6B">
        <w:rPr>
          <w:lang w:val="es-ES_tradnl"/>
        </w:rPr>
        <w:t>países entre</w:t>
      </w:r>
      <w:r w:rsidR="0077266D" w:rsidRPr="00256A6B">
        <w:rPr>
          <w:lang w:val="es-ES_tradnl"/>
        </w:rPr>
        <w:t xml:space="preserve"> 2005 </w:t>
      </w:r>
      <w:r w:rsidRPr="00256A6B">
        <w:rPr>
          <w:lang w:val="es-ES_tradnl"/>
        </w:rPr>
        <w:t>y</w:t>
      </w:r>
      <w:r w:rsidR="0077266D" w:rsidRPr="00256A6B">
        <w:rPr>
          <w:lang w:val="es-ES_tradnl"/>
        </w:rPr>
        <w:t xml:space="preserve"> 2009 </w:t>
      </w:r>
      <w:r w:rsidRPr="00256A6B">
        <w:rPr>
          <w:lang w:val="es-ES_tradnl"/>
        </w:rPr>
        <w:t xml:space="preserve">que consiguieron </w:t>
      </w:r>
      <w:r w:rsidR="006C28DA" w:rsidRPr="00256A6B">
        <w:rPr>
          <w:lang w:val="es-ES_tradnl"/>
        </w:rPr>
        <w:t>decomisar</w:t>
      </w:r>
      <w:r w:rsidRPr="00256A6B">
        <w:rPr>
          <w:lang w:val="es-ES_tradnl"/>
        </w:rPr>
        <w:t xml:space="preserve"> suministros de impresión falsificados por valor de </w:t>
      </w:r>
      <w:r w:rsidR="00441C14" w:rsidRPr="00256A6B">
        <w:rPr>
          <w:lang w:val="es-ES_tradnl"/>
        </w:rPr>
        <w:t>más de 7</w:t>
      </w:r>
      <w:r w:rsidR="00492BD4">
        <w:rPr>
          <w:lang w:val="es-ES_tradnl"/>
        </w:rPr>
        <w:t>95</w:t>
      </w:r>
      <w:r w:rsidR="00441C14" w:rsidRPr="00256A6B">
        <w:rPr>
          <w:lang w:val="es-ES_tradnl"/>
        </w:rPr>
        <w:t xml:space="preserve"> millones </w:t>
      </w:r>
      <w:r w:rsidR="00492BD4">
        <w:rPr>
          <w:lang w:val="es-ES_tradnl"/>
        </w:rPr>
        <w:t>USD</w:t>
      </w:r>
      <w:r w:rsidR="0077266D" w:rsidRPr="00256A6B">
        <w:rPr>
          <w:lang w:val="es-ES_tradnl"/>
        </w:rPr>
        <w:t xml:space="preserve"> [6]. </w:t>
      </w:r>
      <w:r w:rsidR="006C28DA" w:rsidRPr="00256A6B">
        <w:rPr>
          <w:lang w:val="es-ES_tradnl"/>
        </w:rPr>
        <w:t>La electrónica de consumo</w:t>
      </w:r>
      <w:r w:rsidR="00441C14" w:rsidRPr="00256A6B">
        <w:rPr>
          <w:lang w:val="es-ES_tradnl"/>
        </w:rPr>
        <w:t xml:space="preserve"> supone el</w:t>
      </w:r>
      <w:r w:rsidR="00222C94" w:rsidRPr="00256A6B">
        <w:rPr>
          <w:lang w:val="es-ES_tradnl"/>
        </w:rPr>
        <w:t xml:space="preserve"> 22% </w:t>
      </w:r>
      <w:r w:rsidR="00441C14" w:rsidRPr="00256A6B">
        <w:rPr>
          <w:lang w:val="es-ES_tradnl"/>
        </w:rPr>
        <w:t xml:space="preserve">de las incautaciones en aduanas de los Estados Unidos en 2011, aumentando el valor de las mercancías más de 16% en 2010. Cerca de un tercio de las mercancías en esta categoría eran teléfonos móviles </w:t>
      </w:r>
      <w:r w:rsidR="00222C94" w:rsidRPr="00256A6B">
        <w:rPr>
          <w:lang w:val="es-ES_tradnl"/>
        </w:rPr>
        <w:t>[5].</w:t>
      </w:r>
    </w:p>
    <w:p w14:paraId="347336CE" w14:textId="2137D5C3" w:rsidR="00485156" w:rsidRPr="00256A6B" w:rsidRDefault="002A106B" w:rsidP="00EA4AF4">
      <w:pPr>
        <w:rPr>
          <w:bCs/>
          <w:lang w:val="es-ES_tradnl"/>
        </w:rPr>
      </w:pPr>
      <w:r w:rsidRPr="00256A6B">
        <w:rPr>
          <w:lang w:val="es-ES_tradnl"/>
        </w:rPr>
        <w:t>E</w:t>
      </w:r>
      <w:r w:rsidR="0077266D" w:rsidRPr="00256A6B">
        <w:rPr>
          <w:lang w:val="es-ES_tradnl"/>
        </w:rPr>
        <w:t>n 201</w:t>
      </w:r>
      <w:r w:rsidR="00987E27" w:rsidRPr="00256A6B">
        <w:rPr>
          <w:lang w:val="es-ES_tradnl"/>
        </w:rPr>
        <w:t>1</w:t>
      </w:r>
      <w:r w:rsidR="00220787" w:rsidRPr="00256A6B">
        <w:rPr>
          <w:lang w:val="es-ES_tradnl"/>
        </w:rPr>
        <w:t xml:space="preserve"> </w:t>
      </w:r>
      <w:r w:rsidRPr="00256A6B">
        <w:rPr>
          <w:lang w:val="es-ES_tradnl"/>
        </w:rPr>
        <w:t>existía un mercado mundial estimado en 250,4 millones de teléfonos móviles falsificados.</w:t>
      </w:r>
      <w:r w:rsidR="00F655C4" w:rsidRPr="00256A6B">
        <w:rPr>
          <w:bCs/>
          <w:lang w:val="es-ES_tradnl"/>
        </w:rPr>
        <w:t xml:space="preserve"> </w:t>
      </w:r>
      <w:hyperlink r:id="rId17" w:history="1">
        <w:r w:rsidR="008E00C0" w:rsidRPr="00E250F8">
          <w:rPr>
            <w:rStyle w:val="Hyperlink"/>
          </w:rPr>
          <w:t>http://press.ihs.com/press-release/design-supply-chain/cellphone-gray-market-goes-legit-sales-continue-decline</w:t>
        </w:r>
      </w:hyperlink>
      <w:r w:rsidR="00FC2B6F" w:rsidRPr="00E250F8">
        <w:t xml:space="preserve">. </w:t>
      </w:r>
      <w:r w:rsidRPr="00256A6B">
        <w:rPr>
          <w:lang w:val="es-ES_tradnl"/>
        </w:rPr>
        <w:t>Esto corresponde a cerca del</w:t>
      </w:r>
      <w:r w:rsidR="00FC2B6F" w:rsidRPr="00256A6B">
        <w:rPr>
          <w:lang w:val="es-ES_tradnl"/>
        </w:rPr>
        <w:t xml:space="preserve"> 16</w:t>
      </w:r>
      <w:r w:rsidR="0077266D" w:rsidRPr="00256A6B">
        <w:rPr>
          <w:lang w:val="es-ES_tradnl"/>
        </w:rPr>
        <w:t xml:space="preserve">% </w:t>
      </w:r>
      <w:r w:rsidR="00BA1703">
        <w:rPr>
          <w:lang w:val="es-ES_tradnl"/>
        </w:rPr>
        <w:t>de los 1 </w:t>
      </w:r>
      <w:r w:rsidR="0077266D" w:rsidRPr="00256A6B">
        <w:rPr>
          <w:lang w:val="es-ES_tradnl"/>
        </w:rPr>
        <w:t xml:space="preserve">546 </w:t>
      </w:r>
      <w:r w:rsidRPr="00256A6B">
        <w:rPr>
          <w:lang w:val="es-ES_tradnl"/>
        </w:rPr>
        <w:t>millones de móviles vendidos en</w:t>
      </w:r>
      <w:r w:rsidR="0077266D" w:rsidRPr="00256A6B">
        <w:rPr>
          <w:lang w:val="es-ES_tradnl"/>
        </w:rPr>
        <w:t xml:space="preserve"> 2011 [8]. </w:t>
      </w:r>
      <w:r w:rsidRPr="00256A6B">
        <w:rPr>
          <w:lang w:val="es-ES_tradnl"/>
        </w:rPr>
        <w:t>Se trata de una estimación d</w:t>
      </w:r>
      <w:r w:rsidR="006C28DA" w:rsidRPr="00256A6B">
        <w:rPr>
          <w:lang w:val="es-ES_tradnl"/>
        </w:rPr>
        <w:t>e la amplitud de la penetración de las falsificaciones en el m</w:t>
      </w:r>
      <w:r w:rsidRPr="00256A6B">
        <w:rPr>
          <w:lang w:val="es-ES_tradnl"/>
        </w:rPr>
        <w:t>ercado de la telefonía móvil similar</w:t>
      </w:r>
      <w:r w:rsidR="00FC2B6F" w:rsidRPr="00256A6B">
        <w:rPr>
          <w:lang w:val="es-ES_tradnl"/>
        </w:rPr>
        <w:t xml:space="preserve"> </w:t>
      </w:r>
      <w:r w:rsidR="00F16993" w:rsidRPr="00256A6B">
        <w:rPr>
          <w:lang w:val="es-ES_tradnl"/>
        </w:rPr>
        <w:t xml:space="preserve">a </w:t>
      </w:r>
      <w:r w:rsidRPr="00256A6B">
        <w:rPr>
          <w:lang w:val="es-ES_tradnl"/>
        </w:rPr>
        <w:t>la del estudio sobre la internacionalización y fragmentación de las cadenas de valor y de la seguridad elaborado en 2011</w:t>
      </w:r>
      <w:r w:rsidR="00F16993" w:rsidRPr="00256A6B">
        <w:rPr>
          <w:lang w:val="es-ES_tradnl"/>
        </w:rPr>
        <w:t xml:space="preserve"> </w:t>
      </w:r>
      <w:r w:rsidRPr="00256A6B">
        <w:rPr>
          <w:lang w:val="es-ES_tradnl"/>
        </w:rPr>
        <w:t>para la Comisión Europea, según el cual</w:t>
      </w:r>
      <w:r w:rsidR="008113F6">
        <w:rPr>
          <w:lang w:val="es-ES_tradnl"/>
        </w:rPr>
        <w:t>,</w:t>
      </w:r>
      <w:r w:rsidRPr="00256A6B">
        <w:rPr>
          <w:lang w:val="es-ES_tradnl"/>
        </w:rPr>
        <w:t xml:space="preserve"> los teléfonos móviles falsificados constituyen entre el 15% y el 20% del mercado mundial en términos de unidades vend</w:t>
      </w:r>
      <w:r w:rsidR="00EA4AF4">
        <w:rPr>
          <w:lang w:val="es-ES_tradnl"/>
        </w:rPr>
        <w:t xml:space="preserve">idas por un valor de cerca de 9 000 </w:t>
      </w:r>
      <w:r w:rsidRPr="00256A6B">
        <w:rPr>
          <w:lang w:val="es-ES_tradnl"/>
        </w:rPr>
        <w:t xml:space="preserve">millones </w:t>
      </w:r>
      <w:r w:rsidR="00EA4AF4">
        <w:rPr>
          <w:lang w:val="es-ES_tradnl"/>
        </w:rPr>
        <w:t>USD</w:t>
      </w:r>
      <w:r w:rsidR="00FC2B6F" w:rsidRPr="00256A6B">
        <w:rPr>
          <w:bCs/>
          <w:lang w:val="es-ES_tradnl"/>
        </w:rPr>
        <w:t>.</w:t>
      </w:r>
    </w:p>
    <w:p w14:paraId="430A3E2C" w14:textId="18D30E95" w:rsidR="00292AF0" w:rsidRPr="00256A6B" w:rsidRDefault="004C513A" w:rsidP="00E941B9">
      <w:pPr>
        <w:rPr>
          <w:lang w:val="es-ES_tradnl"/>
        </w:rPr>
      </w:pPr>
      <w:r w:rsidRPr="00256A6B">
        <w:rPr>
          <w:lang w:val="es-ES_tradnl"/>
        </w:rPr>
        <w:t xml:space="preserve">Además de </w:t>
      </w:r>
      <w:r w:rsidR="006C28DA" w:rsidRPr="00256A6B">
        <w:rPr>
          <w:lang w:val="es-ES_tradnl"/>
        </w:rPr>
        <w:t>la fabricación de</w:t>
      </w:r>
      <w:r w:rsidRPr="00256A6B">
        <w:rPr>
          <w:lang w:val="es-ES_tradnl"/>
        </w:rPr>
        <w:t xml:space="preserve"> dispositivos falsificados, se están introduciendo componentes electrónicos falsificados en las cadenas legales de suministro de productos.</w:t>
      </w:r>
      <w:r w:rsidR="00292AF0" w:rsidRPr="00256A6B">
        <w:rPr>
          <w:lang w:val="es-ES_tradnl"/>
        </w:rPr>
        <w:t xml:space="preserve"> </w:t>
      </w:r>
      <w:r w:rsidR="009F1020">
        <w:rPr>
          <w:lang w:val="es-ES_tradnl"/>
        </w:rPr>
        <w:t xml:space="preserve">En </w:t>
      </w:r>
      <w:r w:rsidRPr="00256A6B">
        <w:rPr>
          <w:lang w:val="es-ES_tradnl"/>
        </w:rPr>
        <w:t xml:space="preserve">otoño de 2011 se publicó en los titulares de la prensa el uso de componentes falsificados en equipamiento militar de los Estados Unidos de América </w:t>
      </w:r>
      <w:r w:rsidR="006C28DA" w:rsidRPr="00256A6B">
        <w:rPr>
          <w:lang w:val="es-ES_tradnl"/>
        </w:rPr>
        <w:t>durante</w:t>
      </w:r>
      <w:r w:rsidRPr="00256A6B">
        <w:rPr>
          <w:lang w:val="es-ES_tradnl"/>
        </w:rPr>
        <w:t xml:space="preserve"> un proceso en el Comité de las fuerzas armadas del senado sobre componentes electrónicos falsificados en las cadenas de producción del Ministerio de Defensa </w:t>
      </w:r>
      <w:r w:rsidR="00292AF0" w:rsidRPr="00256A6B">
        <w:rPr>
          <w:lang w:val="es-ES_tradnl"/>
        </w:rPr>
        <w:t>[</w:t>
      </w:r>
      <w:r w:rsidR="003D307F" w:rsidRPr="00256A6B">
        <w:rPr>
          <w:lang w:val="es-ES_tradnl"/>
        </w:rPr>
        <w:t>9</w:t>
      </w:r>
      <w:r w:rsidR="00292AF0" w:rsidRPr="00256A6B">
        <w:rPr>
          <w:lang w:val="es-ES_tradnl"/>
        </w:rPr>
        <w:t xml:space="preserve">]. </w:t>
      </w:r>
      <w:r w:rsidRPr="00256A6B">
        <w:rPr>
          <w:lang w:val="es-ES_tradnl"/>
        </w:rPr>
        <w:t xml:space="preserve">En un </w:t>
      </w:r>
      <w:r w:rsidR="002C13EE" w:rsidRPr="00256A6B">
        <w:rPr>
          <w:lang w:val="es-ES_tradnl"/>
        </w:rPr>
        <w:t>estudio</w:t>
      </w:r>
      <w:r w:rsidRPr="00256A6B">
        <w:rPr>
          <w:lang w:val="es-ES_tradnl"/>
        </w:rPr>
        <w:t xml:space="preserve"> del Departamento de Industria y Seguridad del Ministerio de Comercio</w:t>
      </w:r>
      <w:r w:rsidR="00202E6D" w:rsidRPr="00256A6B">
        <w:rPr>
          <w:lang w:val="es-ES_tradnl"/>
        </w:rPr>
        <w:t xml:space="preserve"> </w:t>
      </w:r>
      <w:r w:rsidR="00292AF0" w:rsidRPr="00256A6B">
        <w:rPr>
          <w:lang w:val="es-ES_tradnl"/>
        </w:rPr>
        <w:t>[1</w:t>
      </w:r>
      <w:r w:rsidR="003D307F" w:rsidRPr="00256A6B">
        <w:rPr>
          <w:lang w:val="es-ES_tradnl"/>
        </w:rPr>
        <w:t>0</w:t>
      </w:r>
      <w:r w:rsidR="00292AF0" w:rsidRPr="00256A6B">
        <w:rPr>
          <w:lang w:val="es-ES_tradnl"/>
        </w:rPr>
        <w:t xml:space="preserve">] </w:t>
      </w:r>
      <w:r w:rsidR="002C13EE" w:rsidRPr="00256A6B">
        <w:rPr>
          <w:lang w:val="es-ES_tradnl"/>
        </w:rPr>
        <w:t>se estimó que se habían introducido en las cadenas de con</w:t>
      </w:r>
      <w:r w:rsidR="00E941B9">
        <w:rPr>
          <w:lang w:val="es-ES_tradnl"/>
        </w:rPr>
        <w:t>tratación de defensa cerca de 1 </w:t>
      </w:r>
      <w:r w:rsidR="002C13EE" w:rsidRPr="00256A6B">
        <w:rPr>
          <w:lang w:val="es-ES_tradnl"/>
        </w:rPr>
        <w:t>800 casos de componentes electrónicos falsificados</w:t>
      </w:r>
      <w:r w:rsidR="006C28DA" w:rsidRPr="00256A6B">
        <w:rPr>
          <w:lang w:val="es-ES_tradnl"/>
        </w:rPr>
        <w:t>,</w:t>
      </w:r>
      <w:r w:rsidR="002C13EE" w:rsidRPr="00256A6B">
        <w:rPr>
          <w:lang w:val="es-ES_tradnl"/>
        </w:rPr>
        <w:t xml:space="preserve"> implicando a más de un millón de componentes. También se </w:t>
      </w:r>
      <w:r w:rsidR="006C28DA" w:rsidRPr="00256A6B">
        <w:rPr>
          <w:lang w:val="es-ES_tradnl"/>
        </w:rPr>
        <w:t>demostró</w:t>
      </w:r>
      <w:r w:rsidR="002C13EE" w:rsidRPr="00256A6B">
        <w:rPr>
          <w:lang w:val="es-ES_tradnl"/>
        </w:rPr>
        <w:t xml:space="preserve"> que el número de </w:t>
      </w:r>
      <w:r w:rsidR="00E941B9">
        <w:rPr>
          <w:lang w:val="es-ES_tradnl"/>
        </w:rPr>
        <w:t>incidentes había aumentado de 3 </w:t>
      </w:r>
      <w:r w:rsidR="002C13EE" w:rsidRPr="00256A6B">
        <w:rPr>
          <w:lang w:val="es-ES_tradnl"/>
        </w:rPr>
        <w:t>868 en 2005 a 9</w:t>
      </w:r>
      <w:r w:rsidR="00E941B9">
        <w:rPr>
          <w:lang w:val="es-ES_tradnl"/>
        </w:rPr>
        <w:t> </w:t>
      </w:r>
      <w:r w:rsidR="002C13EE" w:rsidRPr="00256A6B">
        <w:rPr>
          <w:lang w:val="es-ES_tradnl"/>
        </w:rPr>
        <w:t xml:space="preserve">356 en 2008. </w:t>
      </w:r>
      <w:r w:rsidR="006C28DA" w:rsidRPr="00256A6B">
        <w:rPr>
          <w:lang w:val="es-ES_tradnl"/>
        </w:rPr>
        <w:t>Como consecuencia de</w:t>
      </w:r>
      <w:r w:rsidR="002C13EE" w:rsidRPr="00256A6B">
        <w:rPr>
          <w:lang w:val="es-ES_tradnl"/>
        </w:rPr>
        <w:t xml:space="preserve"> este proceso, la </w:t>
      </w:r>
      <w:r w:rsidR="00F61AC9" w:rsidRPr="00256A6B">
        <w:rPr>
          <w:lang w:val="es-ES_tradnl"/>
        </w:rPr>
        <w:t xml:space="preserve">Ley </w:t>
      </w:r>
      <w:r w:rsidR="002C13EE" w:rsidRPr="00256A6B">
        <w:rPr>
          <w:lang w:val="es-ES_tradnl"/>
        </w:rPr>
        <w:t>nacional de autorización de la defensa (</w:t>
      </w:r>
      <w:r w:rsidR="00292AF0" w:rsidRPr="00256A6B">
        <w:rPr>
          <w:lang w:val="es-ES_tradnl"/>
        </w:rPr>
        <w:t>National Defence Authorisation Act (NDAA)</w:t>
      </w:r>
      <w:r w:rsidR="002C13EE" w:rsidRPr="00256A6B">
        <w:rPr>
          <w:lang w:val="es-ES_tradnl"/>
        </w:rPr>
        <w:t>)</w:t>
      </w:r>
      <w:r w:rsidR="00292AF0" w:rsidRPr="00256A6B">
        <w:rPr>
          <w:lang w:val="es-ES_tradnl"/>
        </w:rPr>
        <w:t xml:space="preserve"> inclu</w:t>
      </w:r>
      <w:r w:rsidR="002C13EE" w:rsidRPr="00256A6B">
        <w:rPr>
          <w:lang w:val="es-ES_tradnl"/>
        </w:rPr>
        <w:t xml:space="preserve">ye directrices sobre </w:t>
      </w:r>
      <w:r w:rsidR="00106CC2" w:rsidRPr="00256A6B">
        <w:rPr>
          <w:lang w:val="es-ES_tradnl"/>
        </w:rPr>
        <w:t>cómo</w:t>
      </w:r>
      <w:r w:rsidR="002C13EE" w:rsidRPr="00256A6B">
        <w:rPr>
          <w:lang w:val="es-ES_tradnl"/>
        </w:rPr>
        <w:t xml:space="preserve"> tratar</w:t>
      </w:r>
      <w:r w:rsidR="00106CC2" w:rsidRPr="00256A6B">
        <w:rPr>
          <w:lang w:val="es-ES_tradnl"/>
        </w:rPr>
        <w:t xml:space="preserve"> </w:t>
      </w:r>
      <w:r w:rsidR="002C13EE" w:rsidRPr="00256A6B">
        <w:rPr>
          <w:lang w:val="es-ES_tradnl"/>
        </w:rPr>
        <w:t xml:space="preserve">el asunto de los </w:t>
      </w:r>
      <w:r w:rsidR="00106CC2" w:rsidRPr="00256A6B">
        <w:rPr>
          <w:lang w:val="es-ES_tradnl"/>
        </w:rPr>
        <w:t>componentes</w:t>
      </w:r>
      <w:r w:rsidR="002C13EE" w:rsidRPr="00256A6B">
        <w:rPr>
          <w:lang w:val="es-ES_tradnl"/>
        </w:rPr>
        <w:t xml:space="preserve"> falsificados, incluida la realización de inspecciones adicionales a los </w:t>
      </w:r>
      <w:r w:rsidR="00106CC2" w:rsidRPr="00256A6B">
        <w:rPr>
          <w:lang w:val="es-ES_tradnl"/>
        </w:rPr>
        <w:t>componentes</w:t>
      </w:r>
      <w:r w:rsidR="002C13EE" w:rsidRPr="00256A6B">
        <w:rPr>
          <w:lang w:val="es-ES_tradnl"/>
        </w:rPr>
        <w:t xml:space="preserve"> electrónicos</w:t>
      </w:r>
      <w:r w:rsidR="00106CC2" w:rsidRPr="00256A6B">
        <w:rPr>
          <w:lang w:val="es-ES_tradnl"/>
        </w:rPr>
        <w:t xml:space="preserve"> importados, y </w:t>
      </w:r>
      <w:r w:rsidR="006C28DA" w:rsidRPr="00256A6B">
        <w:rPr>
          <w:lang w:val="es-ES_tradnl"/>
        </w:rPr>
        <w:t>atribuye</w:t>
      </w:r>
      <w:r w:rsidR="00106CC2" w:rsidRPr="00256A6B">
        <w:rPr>
          <w:lang w:val="es-ES_tradnl"/>
        </w:rPr>
        <w:t xml:space="preserve"> toda la responsabilidad a los contratistas para que detecten los componentes falsos y para que corrijan cualquier caso en el que </w:t>
      </w:r>
      <w:r w:rsidR="006C28DA" w:rsidRPr="00256A6B">
        <w:rPr>
          <w:lang w:val="es-ES_tradnl"/>
        </w:rPr>
        <w:t xml:space="preserve">se hayan introducido </w:t>
      </w:r>
      <w:r w:rsidR="00106CC2" w:rsidRPr="00256A6B">
        <w:rPr>
          <w:lang w:val="es-ES_tradnl"/>
        </w:rPr>
        <w:t>componentes falsificados en productos</w:t>
      </w:r>
      <w:r w:rsidR="00292AF0" w:rsidRPr="00256A6B">
        <w:rPr>
          <w:lang w:val="es-ES_tradnl"/>
        </w:rPr>
        <w:t xml:space="preserve"> [1</w:t>
      </w:r>
      <w:r w:rsidR="003D307F" w:rsidRPr="00256A6B">
        <w:rPr>
          <w:lang w:val="es-ES_tradnl"/>
        </w:rPr>
        <w:t>1</w:t>
      </w:r>
      <w:r w:rsidR="00292AF0" w:rsidRPr="00256A6B">
        <w:rPr>
          <w:lang w:val="es-ES_tradnl"/>
        </w:rPr>
        <w:t>].</w:t>
      </w:r>
    </w:p>
    <w:p w14:paraId="7B0006CE" w14:textId="29C66E06" w:rsidR="00292AF0" w:rsidRPr="00256A6B" w:rsidRDefault="00106CC2" w:rsidP="00106CC2">
      <w:pPr>
        <w:rPr>
          <w:lang w:val="es-ES_tradnl"/>
        </w:rPr>
      </w:pPr>
      <w:r w:rsidRPr="00256A6B">
        <w:rPr>
          <w:lang w:val="es-ES_tradnl"/>
        </w:rPr>
        <w:t xml:space="preserve">El estudio de la OCDE de </w:t>
      </w:r>
      <w:r w:rsidR="00292AF0" w:rsidRPr="00256A6B">
        <w:rPr>
          <w:lang w:val="es-ES_tradnl"/>
        </w:rPr>
        <w:t xml:space="preserve">2008 </w:t>
      </w:r>
      <w:r w:rsidRPr="00256A6B">
        <w:rPr>
          <w:lang w:val="es-ES_tradnl"/>
        </w:rPr>
        <w:t>concluye que la mayoría de los productos falsificados proviene de un país asiático</w:t>
      </w:r>
      <w:r w:rsidR="00292AF0" w:rsidRPr="00256A6B">
        <w:rPr>
          <w:lang w:val="es-ES_tradnl"/>
        </w:rPr>
        <w:t xml:space="preserve"> (</w:t>
      </w:r>
      <w:r w:rsidRPr="00256A6B">
        <w:rPr>
          <w:lang w:val="es-ES_tradnl"/>
        </w:rPr>
        <w:t>correspondiendo al</w:t>
      </w:r>
      <w:r w:rsidR="006C28DA" w:rsidRPr="00256A6B">
        <w:rPr>
          <w:lang w:val="es-ES_tradnl"/>
        </w:rPr>
        <w:t xml:space="preserve"> 69,</w:t>
      </w:r>
      <w:r w:rsidR="00292AF0" w:rsidRPr="00256A6B">
        <w:rPr>
          <w:lang w:val="es-ES_tradnl"/>
        </w:rPr>
        <w:t xml:space="preserve">7% </w:t>
      </w:r>
      <w:r w:rsidRPr="00256A6B">
        <w:rPr>
          <w:lang w:val="es-ES_tradnl"/>
        </w:rPr>
        <w:t xml:space="preserve">de las </w:t>
      </w:r>
      <w:r w:rsidR="006C28DA" w:rsidRPr="00256A6B">
        <w:rPr>
          <w:lang w:val="es-ES_tradnl"/>
        </w:rPr>
        <w:t>aprehensiones</w:t>
      </w:r>
      <w:r w:rsidRPr="00256A6B">
        <w:rPr>
          <w:lang w:val="es-ES_tradnl"/>
        </w:rPr>
        <w:t xml:space="preserve"> de productos falsificados</w:t>
      </w:r>
      <w:r w:rsidR="00292AF0" w:rsidRPr="00256A6B">
        <w:rPr>
          <w:lang w:val="es-ES_tradnl"/>
        </w:rPr>
        <w:t>).</w:t>
      </w:r>
    </w:p>
    <w:p w14:paraId="4B121175" w14:textId="12366093" w:rsidR="0069398E" w:rsidRPr="00256A6B" w:rsidRDefault="006C28DA" w:rsidP="00AC08A3">
      <w:pPr>
        <w:rPr>
          <w:lang w:val="es-ES_tradnl"/>
        </w:rPr>
      </w:pPr>
      <w:r w:rsidRPr="00256A6B">
        <w:rPr>
          <w:lang w:val="es-ES_tradnl"/>
        </w:rPr>
        <w:t>El presente</w:t>
      </w:r>
      <w:r w:rsidR="00106CC2" w:rsidRPr="00256A6B">
        <w:rPr>
          <w:lang w:val="es-ES_tradnl"/>
        </w:rPr>
        <w:t xml:space="preserve"> Informe Técnico proporciona información básica sobre el problema de la falsificación y sobre cómo se </w:t>
      </w:r>
      <w:r w:rsidR="00AC08A3" w:rsidRPr="00256A6B">
        <w:rPr>
          <w:lang w:val="es-ES_tradnl"/>
        </w:rPr>
        <w:t>puede solucionar</w:t>
      </w:r>
      <w:r w:rsidR="00963142" w:rsidRPr="00256A6B">
        <w:rPr>
          <w:lang w:val="es-ES_tradnl"/>
        </w:rPr>
        <w:t xml:space="preserve">, centrándose en la falsificación </w:t>
      </w:r>
      <w:r w:rsidRPr="00256A6B">
        <w:rPr>
          <w:lang w:val="es-ES_tradnl"/>
        </w:rPr>
        <w:t>d</w:t>
      </w:r>
      <w:r w:rsidR="00963142" w:rsidRPr="00256A6B">
        <w:rPr>
          <w:lang w:val="es-ES_tradnl"/>
        </w:rPr>
        <w:t xml:space="preserve">e equipos TIC y </w:t>
      </w:r>
      <w:r w:rsidRPr="00256A6B">
        <w:rPr>
          <w:lang w:val="es-ES_tradnl"/>
        </w:rPr>
        <w:t>en</w:t>
      </w:r>
      <w:r w:rsidR="00963142" w:rsidRPr="00256A6B">
        <w:rPr>
          <w:lang w:val="es-ES_tradnl"/>
        </w:rPr>
        <w:t xml:space="preserve"> </w:t>
      </w:r>
      <w:r w:rsidR="00AC08A3" w:rsidRPr="00256A6B">
        <w:rPr>
          <w:lang w:val="es-ES_tradnl"/>
        </w:rPr>
        <w:t xml:space="preserve">las </w:t>
      </w:r>
      <w:r w:rsidR="00963142" w:rsidRPr="00256A6B">
        <w:rPr>
          <w:lang w:val="es-ES_tradnl"/>
        </w:rPr>
        <w:t>herramientas TIC que podrían utilizarse para paliar el problema.</w:t>
      </w:r>
    </w:p>
    <w:p w14:paraId="0F34A2D4" w14:textId="46297BB4" w:rsidR="007A3C26" w:rsidRPr="00256A6B" w:rsidRDefault="00963142" w:rsidP="006D2DD0">
      <w:pPr>
        <w:rPr>
          <w:lang w:val="es-ES_tradnl"/>
        </w:rPr>
      </w:pPr>
      <w:r w:rsidRPr="00256A6B">
        <w:rPr>
          <w:lang w:val="es-ES_tradnl"/>
        </w:rPr>
        <w:lastRenderedPageBreak/>
        <w:t>Además d</w:t>
      </w:r>
      <w:r w:rsidR="00AC08A3" w:rsidRPr="00256A6B">
        <w:rPr>
          <w:lang w:val="es-ES_tradnl"/>
        </w:rPr>
        <w:t>e los dispositivos falsificados</w:t>
      </w:r>
      <w:r w:rsidR="00C84F6A" w:rsidRPr="00256A6B">
        <w:rPr>
          <w:lang w:val="es-ES_tradnl"/>
        </w:rPr>
        <w:t xml:space="preserve"> </w:t>
      </w:r>
      <w:r w:rsidRPr="00256A6B">
        <w:rPr>
          <w:lang w:val="es-ES_tradnl"/>
        </w:rPr>
        <w:t>proliferan los equipos y accesorios TIC</w:t>
      </w:r>
      <w:r w:rsidR="00292AF0" w:rsidRPr="00256A6B">
        <w:rPr>
          <w:lang w:val="es-ES_tradnl"/>
        </w:rPr>
        <w:t xml:space="preserve"> </w:t>
      </w:r>
      <w:r w:rsidRPr="00256A6B">
        <w:rPr>
          <w:lang w:val="es-ES_tradnl"/>
        </w:rPr>
        <w:t>a l</w:t>
      </w:r>
      <w:r w:rsidR="006D2DD0" w:rsidRPr="00256A6B">
        <w:rPr>
          <w:lang w:val="es-ES_tradnl"/>
        </w:rPr>
        <w:t>os que normalmente se denomina "</w:t>
      </w:r>
      <w:r w:rsidR="00AC08A3" w:rsidRPr="00256A6B">
        <w:rPr>
          <w:lang w:val="es-ES_tradnl"/>
        </w:rPr>
        <w:t>de baja calidad</w:t>
      </w:r>
      <w:r w:rsidR="006D2DD0" w:rsidRPr="00256A6B">
        <w:rPr>
          <w:lang w:val="es-ES_tradnl"/>
        </w:rPr>
        <w:t>" o "</w:t>
      </w:r>
      <w:r w:rsidR="00AC08A3" w:rsidRPr="00256A6B">
        <w:rPr>
          <w:lang w:val="es-ES_tradnl"/>
        </w:rPr>
        <w:t>no autorizados</w:t>
      </w:r>
      <w:r w:rsidR="006D2DD0" w:rsidRPr="00256A6B">
        <w:rPr>
          <w:lang w:val="es-ES_tradnl"/>
        </w:rPr>
        <w:t>"</w:t>
      </w:r>
      <w:r w:rsidR="00AC08A3" w:rsidRPr="00256A6B">
        <w:rPr>
          <w:lang w:val="es-ES_tradnl"/>
        </w:rPr>
        <w:t>.</w:t>
      </w:r>
      <w:r w:rsidR="00AE4B69" w:rsidRPr="00256A6B">
        <w:rPr>
          <w:lang w:val="es-ES_tradnl"/>
        </w:rPr>
        <w:t xml:space="preserve"> </w:t>
      </w:r>
      <w:r w:rsidRPr="00256A6B">
        <w:rPr>
          <w:lang w:val="es-ES_tradnl"/>
        </w:rPr>
        <w:t>Aunque no existe ninguna definición normalizada universal de estos términos,</w:t>
      </w:r>
      <w:r w:rsidR="00C84F6A" w:rsidRPr="00256A6B">
        <w:rPr>
          <w:lang w:val="es-ES_tradnl"/>
        </w:rPr>
        <w:t xml:space="preserve"> estos dispositivos utilizan a </w:t>
      </w:r>
      <w:r w:rsidRPr="00256A6B">
        <w:rPr>
          <w:lang w:val="es-ES_tradnl"/>
        </w:rPr>
        <w:t xml:space="preserve">menudo </w:t>
      </w:r>
      <w:r w:rsidR="00AE4B69" w:rsidRPr="00256A6B">
        <w:rPr>
          <w:lang w:val="es-ES_tradnl"/>
        </w:rPr>
        <w:t>componentes</w:t>
      </w:r>
      <w:r w:rsidRPr="00256A6B">
        <w:rPr>
          <w:lang w:val="es-ES_tradnl"/>
        </w:rPr>
        <w:t xml:space="preserve"> de menor calidad y, en la mayoría de los casos, no cumplen </w:t>
      </w:r>
      <w:r w:rsidR="00AC08A3" w:rsidRPr="00256A6B">
        <w:rPr>
          <w:lang w:val="es-ES_tradnl"/>
        </w:rPr>
        <w:t xml:space="preserve">los </w:t>
      </w:r>
      <w:r w:rsidR="00AE4B69" w:rsidRPr="00256A6B">
        <w:rPr>
          <w:lang w:val="es-ES_tradnl"/>
        </w:rPr>
        <w:t>requisitos</w:t>
      </w:r>
      <w:r w:rsidRPr="00256A6B">
        <w:rPr>
          <w:lang w:val="es-ES_tradnl"/>
        </w:rPr>
        <w:t xml:space="preserve"> legales nacionales en </w:t>
      </w:r>
      <w:r w:rsidR="00AC08A3" w:rsidRPr="00256A6B">
        <w:rPr>
          <w:lang w:val="es-ES_tradnl"/>
        </w:rPr>
        <w:t>l</w:t>
      </w:r>
      <w:r w:rsidRPr="00256A6B">
        <w:rPr>
          <w:lang w:val="es-ES_tradnl"/>
        </w:rPr>
        <w:t xml:space="preserve">o que </w:t>
      </w:r>
      <w:r w:rsidR="00AE4B69" w:rsidRPr="00256A6B">
        <w:rPr>
          <w:lang w:val="es-ES_tradnl"/>
        </w:rPr>
        <w:t>respecta</w:t>
      </w:r>
      <w:r w:rsidRPr="00256A6B">
        <w:rPr>
          <w:lang w:val="es-ES_tradnl"/>
        </w:rPr>
        <w:t xml:space="preserve"> a la certificación, aprobación, distribución y venta de dispositivos móviles. </w:t>
      </w:r>
      <w:r w:rsidR="00AC08A3" w:rsidRPr="00256A6B">
        <w:rPr>
          <w:lang w:val="es-ES_tradnl"/>
        </w:rPr>
        <w:t>No todos estos</w:t>
      </w:r>
      <w:r w:rsidR="00AE4B69" w:rsidRPr="00256A6B">
        <w:rPr>
          <w:lang w:val="es-ES_tradnl"/>
        </w:rPr>
        <w:t xml:space="preserve"> dispositivos</w:t>
      </w:r>
      <w:r w:rsidR="00AC08A3" w:rsidRPr="00256A6B">
        <w:rPr>
          <w:lang w:val="es-ES_tradnl"/>
        </w:rPr>
        <w:t xml:space="preserve"> </w:t>
      </w:r>
      <w:r w:rsidR="00AE4B69" w:rsidRPr="00256A6B">
        <w:rPr>
          <w:lang w:val="es-ES_tradnl"/>
        </w:rPr>
        <w:t xml:space="preserve">infringen los derechos de propiedad </w:t>
      </w:r>
      <w:r w:rsidR="00004E5D" w:rsidRPr="00256A6B">
        <w:rPr>
          <w:lang w:val="es-ES_tradnl"/>
        </w:rPr>
        <w:t>intelectual</w:t>
      </w:r>
      <w:r w:rsidR="00AE4B69" w:rsidRPr="00256A6B">
        <w:rPr>
          <w:lang w:val="es-ES_tradnl"/>
        </w:rPr>
        <w:t xml:space="preserve"> de los fabricantes y, por tanto, no se ciñen a la definición aceptada de </w:t>
      </w:r>
      <w:r w:rsidR="000B503F" w:rsidRPr="00256A6B">
        <w:rPr>
          <w:lang w:val="es-ES_tradnl"/>
        </w:rPr>
        <w:t>"</w:t>
      </w:r>
      <w:r w:rsidR="00AE4B69" w:rsidRPr="00256A6B">
        <w:rPr>
          <w:lang w:val="es-ES_tradnl"/>
        </w:rPr>
        <w:t>falsificación</w:t>
      </w:r>
      <w:r w:rsidR="000B503F" w:rsidRPr="00256A6B">
        <w:rPr>
          <w:lang w:val="es-ES_tradnl"/>
        </w:rPr>
        <w:t>"</w:t>
      </w:r>
      <w:r w:rsidR="00AC08A3" w:rsidRPr="00256A6B">
        <w:rPr>
          <w:lang w:val="es-ES_tradnl"/>
        </w:rPr>
        <w:t>. P</w:t>
      </w:r>
      <w:r w:rsidR="00AE4B69" w:rsidRPr="00256A6B">
        <w:rPr>
          <w:lang w:val="es-ES_tradnl"/>
        </w:rPr>
        <w:t>or consiguiente, están fuera del ámbito del presente Informe T</w:t>
      </w:r>
      <w:r w:rsidR="00004E5D" w:rsidRPr="00256A6B">
        <w:rPr>
          <w:lang w:val="es-ES_tradnl"/>
        </w:rPr>
        <w:t>écnico que se centra en los dispositivos</w:t>
      </w:r>
      <w:r w:rsidR="00AE4B69" w:rsidRPr="00256A6B">
        <w:rPr>
          <w:lang w:val="es-ES_tradnl"/>
        </w:rPr>
        <w:t xml:space="preserve"> </w:t>
      </w:r>
      <w:r w:rsidR="00004E5D" w:rsidRPr="00256A6B">
        <w:rPr>
          <w:lang w:val="es-ES_tradnl"/>
        </w:rPr>
        <w:t xml:space="preserve">falsificados. Los dispositivos </w:t>
      </w:r>
      <w:r w:rsidR="000B503F" w:rsidRPr="00256A6B">
        <w:rPr>
          <w:lang w:val="es-ES_tradnl"/>
        </w:rPr>
        <w:t>"</w:t>
      </w:r>
      <w:r w:rsidR="00AC08A3" w:rsidRPr="00256A6B">
        <w:rPr>
          <w:lang w:val="es-ES_tradnl"/>
        </w:rPr>
        <w:t>de baja calidad</w:t>
      </w:r>
      <w:r w:rsidR="000B503F" w:rsidRPr="00256A6B">
        <w:rPr>
          <w:lang w:val="es-ES_tradnl"/>
        </w:rPr>
        <w:t>"</w:t>
      </w:r>
      <w:r w:rsidR="00C84F6A" w:rsidRPr="00256A6B">
        <w:rPr>
          <w:lang w:val="es-ES_tradnl"/>
        </w:rPr>
        <w:t xml:space="preserve"> constituyen y presentan </w:t>
      </w:r>
      <w:r w:rsidR="00004E5D" w:rsidRPr="00256A6B">
        <w:rPr>
          <w:lang w:val="es-ES_tradnl"/>
        </w:rPr>
        <w:t>un conjunto propio de problemas y soluciones que precisan especial consideración</w:t>
      </w:r>
      <w:r w:rsidR="007A3C26" w:rsidRPr="00256A6B">
        <w:rPr>
          <w:lang w:val="es-ES_tradnl"/>
        </w:rPr>
        <w:t>.</w:t>
      </w:r>
    </w:p>
    <w:p w14:paraId="71575303" w14:textId="3C7A2ADF" w:rsidR="005C7F4C" w:rsidRPr="00C869C0" w:rsidRDefault="000D5C59" w:rsidP="0072795B">
      <w:pPr>
        <w:pStyle w:val="Heading1"/>
        <w:rPr>
          <w:lang w:val="es-ES_tradnl"/>
        </w:rPr>
      </w:pPr>
      <w:bookmarkStart w:id="15" w:name="_Toc200180728"/>
      <w:bookmarkStart w:id="16" w:name="_Toc200181296"/>
      <w:bookmarkStart w:id="17" w:name="_Toc211334003"/>
      <w:bookmarkStart w:id="18" w:name="_Toc404607167"/>
      <w:bookmarkStart w:id="19" w:name="_Toc406670386"/>
      <w:bookmarkStart w:id="20" w:name="_Toc447202510"/>
      <w:bookmarkStart w:id="21" w:name="_Toc447203001"/>
      <w:r w:rsidRPr="00C869C0">
        <w:rPr>
          <w:lang w:val="es-ES_tradnl"/>
        </w:rPr>
        <w:t>2</w:t>
      </w:r>
      <w:r w:rsidRPr="00C869C0">
        <w:rPr>
          <w:lang w:val="es-ES_tradnl"/>
        </w:rPr>
        <w:tab/>
      </w:r>
      <w:r w:rsidR="00004E5D" w:rsidRPr="00C869C0">
        <w:rPr>
          <w:lang w:val="es-ES_tradnl"/>
        </w:rPr>
        <w:t>¿Qué se entiende por falsificación?</w:t>
      </w:r>
      <w:bookmarkEnd w:id="15"/>
      <w:bookmarkEnd w:id="16"/>
      <w:bookmarkEnd w:id="17"/>
      <w:bookmarkEnd w:id="18"/>
      <w:bookmarkEnd w:id="19"/>
      <w:bookmarkEnd w:id="20"/>
      <w:bookmarkEnd w:id="21"/>
    </w:p>
    <w:p w14:paraId="3E189C8A" w14:textId="0A02E0CA" w:rsidR="00485156" w:rsidRPr="00256A6B" w:rsidRDefault="00B17358" w:rsidP="00F454AF">
      <w:pPr>
        <w:rPr>
          <w:lang w:val="es-ES_tradnl"/>
        </w:rPr>
      </w:pPr>
      <w:r w:rsidRPr="00256A6B">
        <w:rPr>
          <w:lang w:val="es-ES_tradnl"/>
        </w:rPr>
        <w:t>El Acuerdo de la OMC</w:t>
      </w:r>
      <w:r w:rsidR="00EC70F3" w:rsidRPr="00256A6B">
        <w:rPr>
          <w:lang w:val="es-ES_tradnl"/>
        </w:rPr>
        <w:t xml:space="preserve"> sobre</w:t>
      </w:r>
      <w:r w:rsidRPr="00256A6B">
        <w:rPr>
          <w:lang w:val="es-ES_tradnl"/>
        </w:rPr>
        <w:t xml:space="preserve"> </w:t>
      </w:r>
      <w:r w:rsidR="0054397B" w:rsidRPr="00256A6B">
        <w:rPr>
          <w:lang w:val="es-ES_tradnl"/>
        </w:rPr>
        <w:t xml:space="preserve">los </w:t>
      </w:r>
      <w:r w:rsidRPr="00256A6B">
        <w:rPr>
          <w:lang w:val="es-ES_tradnl"/>
        </w:rPr>
        <w:t xml:space="preserve">Aspectos de los Derechos de Propiedad Intelectual relacionados con el Comercio (el Acuerdo ADPIC) </w:t>
      </w:r>
      <w:r w:rsidR="00EC70F3" w:rsidRPr="00256A6B">
        <w:rPr>
          <w:lang w:val="es-ES_tradnl"/>
        </w:rPr>
        <w:t xml:space="preserve">define las mercancías </w:t>
      </w:r>
      <w:r w:rsidRPr="00256A6B">
        <w:rPr>
          <w:lang w:val="es-ES_tradnl"/>
        </w:rPr>
        <w:t>de</w:t>
      </w:r>
      <w:r w:rsidR="00EC70F3" w:rsidRPr="00256A6B">
        <w:rPr>
          <w:lang w:val="es-ES_tradnl"/>
        </w:rPr>
        <w:t xml:space="preserve"> marca</w:t>
      </w:r>
      <w:r w:rsidRPr="00256A6B">
        <w:rPr>
          <w:lang w:val="es-ES_tradnl"/>
        </w:rPr>
        <w:t xml:space="preserve"> fábrica o de comercio </w:t>
      </w:r>
      <w:r w:rsidR="00EC70F3" w:rsidRPr="00256A6B">
        <w:rPr>
          <w:lang w:val="es-ES_tradnl"/>
        </w:rPr>
        <w:t>falsificadas como</w:t>
      </w:r>
      <w:r w:rsidR="00431DF7" w:rsidRPr="00256A6B">
        <w:rPr>
          <w:lang w:val="es-ES_tradnl"/>
        </w:rPr>
        <w:t xml:space="preserve"> </w:t>
      </w:r>
      <w:r w:rsidR="00F454AF">
        <w:rPr>
          <w:sz w:val="20"/>
          <w:szCs w:val="20"/>
          <w:lang w:val="es-ES_tradnl"/>
        </w:rPr>
        <w:t>"</w:t>
      </w:r>
      <w:r w:rsidR="00EC70F3" w:rsidRPr="00256A6B">
        <w:rPr>
          <w:lang w:val="es-ES_tradnl"/>
        </w:rPr>
        <w:t>cualesquiera mercancías, in</w:t>
      </w:r>
      <w:r w:rsidR="00300D52">
        <w:rPr>
          <w:lang w:val="es-ES_tradnl"/>
        </w:rPr>
        <w:t xml:space="preserve">cluido su embalaje, que lleven </w:t>
      </w:r>
      <w:r w:rsidR="00EC70F3" w:rsidRPr="00256A6B">
        <w:rPr>
          <w:lang w:val="es-ES_tradnl"/>
        </w:rPr>
        <w:t>puesta sin autorización una marca de fábrica o de comercio idéntica a la marca válidamente registrada para tales mercancías, o que no pueda distinguirse en sus aspectos esenciales de esa marca, y que de ese modo lesione los derechos que al titular de la marca de que se trate otorga la legislación del país de importación</w:t>
      </w:r>
      <w:r w:rsidR="00431DF7" w:rsidRPr="00256A6B">
        <w:rPr>
          <w:lang w:val="es-ES_tradnl"/>
        </w:rPr>
        <w:t>" (</w:t>
      </w:r>
      <w:r w:rsidR="00EC70F3" w:rsidRPr="00256A6B">
        <w:rPr>
          <w:lang w:val="es-ES_tradnl"/>
        </w:rPr>
        <w:t>nota</w:t>
      </w:r>
      <w:r w:rsidR="00431DF7" w:rsidRPr="00256A6B">
        <w:rPr>
          <w:lang w:val="es-ES_tradnl"/>
        </w:rPr>
        <w:t xml:space="preserve"> 14 </w:t>
      </w:r>
      <w:r w:rsidR="00EC70F3" w:rsidRPr="00256A6B">
        <w:rPr>
          <w:lang w:val="es-ES_tradnl"/>
        </w:rPr>
        <w:t>al Artículo</w:t>
      </w:r>
      <w:r w:rsidR="00431DF7" w:rsidRPr="00256A6B">
        <w:rPr>
          <w:lang w:val="es-ES_tradnl"/>
        </w:rPr>
        <w:t xml:space="preserve"> 51). </w:t>
      </w:r>
      <w:r w:rsidR="00EC70F3" w:rsidRPr="00256A6B">
        <w:rPr>
          <w:lang w:val="es-ES_tradnl"/>
        </w:rPr>
        <w:t>El término</w:t>
      </w:r>
      <w:r w:rsidR="00431DF7" w:rsidRPr="00256A6B">
        <w:rPr>
          <w:lang w:val="es-ES_tradnl"/>
        </w:rPr>
        <w:t xml:space="preserve"> "</w:t>
      </w:r>
      <w:r w:rsidR="00EC70F3" w:rsidRPr="00256A6B">
        <w:rPr>
          <w:lang w:val="es-ES_tradnl"/>
        </w:rPr>
        <w:t>falsificado</w:t>
      </w:r>
      <w:r w:rsidR="00431DF7" w:rsidRPr="00256A6B">
        <w:rPr>
          <w:lang w:val="es-ES_tradnl"/>
        </w:rPr>
        <w:t xml:space="preserve">" </w:t>
      </w:r>
      <w:r w:rsidR="0054397B" w:rsidRPr="00256A6B">
        <w:rPr>
          <w:lang w:val="es-ES_tradnl"/>
        </w:rPr>
        <w:t>se utiliza por lo tanto en el A</w:t>
      </w:r>
      <w:r w:rsidR="00EC70F3" w:rsidRPr="00256A6B">
        <w:rPr>
          <w:lang w:val="es-ES_tradnl"/>
        </w:rPr>
        <w:t>cuerdo</w:t>
      </w:r>
      <w:r w:rsidR="002F7047" w:rsidRPr="00256A6B">
        <w:rPr>
          <w:lang w:val="es-ES_tradnl"/>
        </w:rPr>
        <w:t xml:space="preserve"> </w:t>
      </w:r>
      <w:r w:rsidRPr="00256A6B">
        <w:rPr>
          <w:lang w:val="es-ES_tradnl"/>
        </w:rPr>
        <w:t xml:space="preserve">ADPIC </w:t>
      </w:r>
      <w:r w:rsidR="002F7047" w:rsidRPr="00256A6B">
        <w:rPr>
          <w:lang w:val="es-ES_tradnl"/>
        </w:rPr>
        <w:t>únicamente en el ámbito de las marcas de comercio</w:t>
      </w:r>
      <w:r w:rsidR="00431DF7" w:rsidRPr="00256A6B">
        <w:rPr>
          <w:lang w:val="es-ES_tradnl"/>
        </w:rPr>
        <w:t xml:space="preserve">. </w:t>
      </w:r>
      <w:r w:rsidR="002F7047" w:rsidRPr="00256A6B">
        <w:rPr>
          <w:lang w:val="es-ES_tradnl"/>
        </w:rPr>
        <w:t xml:space="preserve">Se refiere a las mercancías </w:t>
      </w:r>
      <w:r w:rsidR="0054397B" w:rsidRPr="00256A6B">
        <w:rPr>
          <w:lang w:val="es-ES_tradnl"/>
        </w:rPr>
        <w:t>infractoras</w:t>
      </w:r>
      <w:r w:rsidR="002F7047" w:rsidRPr="00256A6B">
        <w:rPr>
          <w:lang w:val="es-ES_tradnl"/>
        </w:rPr>
        <w:t xml:space="preserve"> que están definidas con mayor precisión que las infracciones ordinarias de la marca de comercio</w:t>
      </w:r>
      <w:r w:rsidR="00431DF7" w:rsidRPr="00256A6B">
        <w:rPr>
          <w:lang w:val="es-ES_tradnl"/>
        </w:rPr>
        <w:t xml:space="preserve"> </w:t>
      </w:r>
      <w:r w:rsidR="002F7047" w:rsidRPr="00256A6B">
        <w:rPr>
          <w:lang w:val="es-ES_tradnl"/>
        </w:rPr>
        <w:t xml:space="preserve">debido a que la marca de comercio es idéntica o indistinguible del original. El presente texto no menciona las intenciones ocultas del uso de la marca de comercio falsificada. Define un </w:t>
      </w:r>
      <w:r w:rsidR="00802F16" w:rsidRPr="00256A6B">
        <w:rPr>
          <w:lang w:val="es-ES_tradnl"/>
        </w:rPr>
        <w:t>producto</w:t>
      </w:r>
      <w:r w:rsidR="002F7047" w:rsidRPr="00256A6B">
        <w:rPr>
          <w:lang w:val="es-ES_tradnl"/>
        </w:rPr>
        <w:t xml:space="preserve"> falsificado en </w:t>
      </w:r>
      <w:r w:rsidR="00802F16" w:rsidRPr="00256A6B">
        <w:rPr>
          <w:lang w:val="es-ES_tradnl"/>
        </w:rPr>
        <w:t>términos</w:t>
      </w:r>
      <w:r w:rsidR="002F7047" w:rsidRPr="00256A6B">
        <w:rPr>
          <w:lang w:val="es-ES_tradnl"/>
        </w:rPr>
        <w:t xml:space="preserve"> de parecido con la marca utilizada por un </w:t>
      </w:r>
      <w:r w:rsidR="00802F16" w:rsidRPr="00256A6B">
        <w:rPr>
          <w:lang w:val="es-ES_tradnl"/>
        </w:rPr>
        <w:t>producto</w:t>
      </w:r>
      <w:r w:rsidR="002F7047" w:rsidRPr="00256A6B">
        <w:rPr>
          <w:lang w:val="es-ES_tradnl"/>
        </w:rPr>
        <w:t xml:space="preserve"> registrado y aplica a casos en los que las mercan</w:t>
      </w:r>
      <w:r w:rsidR="0054397B" w:rsidRPr="00256A6B">
        <w:rPr>
          <w:lang w:val="es-ES_tradnl"/>
        </w:rPr>
        <w:t>cías son las mismas que las que</w:t>
      </w:r>
      <w:r w:rsidR="002F7047" w:rsidRPr="00256A6B">
        <w:rPr>
          <w:lang w:val="es-ES_tradnl"/>
        </w:rPr>
        <w:t xml:space="preserve"> se han registrado como </w:t>
      </w:r>
      <w:r w:rsidR="00802F16" w:rsidRPr="00256A6B">
        <w:rPr>
          <w:lang w:val="es-ES_tradnl"/>
        </w:rPr>
        <w:t>marca. En la práctica, este tipo de mercancía infractora incluirá normalmente casos en los que se ha copiado exact</w:t>
      </w:r>
      <w:r w:rsidR="0054397B" w:rsidRPr="00256A6B">
        <w:rPr>
          <w:lang w:val="es-ES_tradnl"/>
        </w:rPr>
        <w:t>amente una marca</w:t>
      </w:r>
      <w:r w:rsidR="00802F16" w:rsidRPr="00256A6B">
        <w:rPr>
          <w:lang w:val="es-ES_tradnl"/>
        </w:rPr>
        <w:t xml:space="preserve"> de forma delibera</w:t>
      </w:r>
      <w:r w:rsidR="0054397B" w:rsidRPr="00256A6B">
        <w:rPr>
          <w:lang w:val="es-ES_tradnl"/>
        </w:rPr>
        <w:t>da para dar la impresión de que</w:t>
      </w:r>
      <w:r w:rsidR="00802F16" w:rsidRPr="00256A6B">
        <w:rPr>
          <w:lang w:val="es-ES_tradnl"/>
        </w:rPr>
        <w:t xml:space="preserve"> s</w:t>
      </w:r>
      <w:r w:rsidR="0054397B" w:rsidRPr="00256A6B">
        <w:rPr>
          <w:lang w:val="es-ES_tradnl"/>
        </w:rPr>
        <w:t>e trata de un producto genuino.</w:t>
      </w:r>
      <w:r w:rsidR="002F7047" w:rsidRPr="00256A6B">
        <w:rPr>
          <w:lang w:val="es-ES_tradnl"/>
        </w:rPr>
        <w:t xml:space="preserve"> </w:t>
      </w:r>
      <w:r w:rsidR="00802F16" w:rsidRPr="00256A6B">
        <w:rPr>
          <w:lang w:val="es-ES_tradnl"/>
        </w:rPr>
        <w:t xml:space="preserve">Normalmente esto implica un intento </w:t>
      </w:r>
      <w:r w:rsidR="0054397B" w:rsidRPr="00256A6B">
        <w:rPr>
          <w:lang w:val="es-ES_tradnl"/>
        </w:rPr>
        <w:t>de fraude</w:t>
      </w:r>
      <w:r w:rsidR="00802F16" w:rsidRPr="00256A6B">
        <w:rPr>
          <w:lang w:val="es-ES_tradnl"/>
        </w:rPr>
        <w:t xml:space="preserve"> puesto que es deliberada la confusión entre un producto</w:t>
      </w:r>
      <w:r w:rsidR="00431DF7" w:rsidRPr="00256A6B">
        <w:rPr>
          <w:lang w:val="es-ES_tradnl"/>
        </w:rPr>
        <w:t xml:space="preserve"> </w:t>
      </w:r>
      <w:r w:rsidR="00802F16" w:rsidRPr="00256A6B">
        <w:rPr>
          <w:lang w:val="es-ES_tradnl"/>
        </w:rPr>
        <w:t>auténtico y una copia.</w:t>
      </w:r>
    </w:p>
    <w:p w14:paraId="513A3D1D" w14:textId="7036F5C6" w:rsidR="00485156" w:rsidRPr="00256A6B" w:rsidRDefault="00802F16" w:rsidP="0054397B">
      <w:pPr>
        <w:rPr>
          <w:lang w:val="es-ES_tradnl"/>
        </w:rPr>
      </w:pPr>
      <w:r w:rsidRPr="00256A6B">
        <w:rPr>
          <w:lang w:val="es-ES_tradnl"/>
        </w:rPr>
        <w:t xml:space="preserve">La misma nota del Acuerdo </w:t>
      </w:r>
      <w:r w:rsidR="0054397B" w:rsidRPr="00256A6B">
        <w:rPr>
          <w:lang w:val="es-ES_tradnl"/>
        </w:rPr>
        <w:t xml:space="preserve">ADPIC </w:t>
      </w:r>
      <w:r w:rsidRPr="00256A6B">
        <w:rPr>
          <w:lang w:val="es-ES_tradnl"/>
        </w:rPr>
        <w:t>define las mercancías pirata que lesionan el derecho de autor</w:t>
      </w:r>
      <w:r w:rsidR="007E1BCE" w:rsidRPr="00256A6B">
        <w:rPr>
          <w:lang w:val="es-ES_tradnl"/>
        </w:rPr>
        <w:t xml:space="preserve"> como </w:t>
      </w:r>
      <w:r w:rsidRPr="00256A6B">
        <w:rPr>
          <w:lang w:val="es-ES_tradnl"/>
        </w:rPr>
        <w:t>"cualesquiera copias hechas sin el consentimiento del titular del derecho o de una persona debidamente autorizada por él en el país de producción y que se realicen directa o indirectamente a partir de un artículo cuando la realización de esa copia habría constituido infracción del derecho de autor o de un derecho conexo en virtud de la legislación del país de importación</w:t>
      </w:r>
      <w:r w:rsidR="000B503F" w:rsidRPr="00256A6B">
        <w:rPr>
          <w:lang w:val="es-ES_tradnl"/>
        </w:rPr>
        <w:t>"</w:t>
      </w:r>
      <w:r w:rsidRPr="00256A6B">
        <w:rPr>
          <w:lang w:val="es-ES_tradnl"/>
        </w:rPr>
        <w:t xml:space="preserve">. </w:t>
      </w:r>
      <w:r w:rsidR="00C84F6A" w:rsidRPr="00256A6B">
        <w:rPr>
          <w:lang w:val="es-ES_tradnl"/>
        </w:rPr>
        <w:t xml:space="preserve">El término </w:t>
      </w:r>
      <w:r w:rsidR="000B503F" w:rsidRPr="00256A6B">
        <w:rPr>
          <w:lang w:val="es-ES_tradnl"/>
        </w:rPr>
        <w:t>"</w:t>
      </w:r>
      <w:r w:rsidR="00C84F6A" w:rsidRPr="00256A6B">
        <w:rPr>
          <w:lang w:val="es-ES_tradnl"/>
        </w:rPr>
        <w:t>pirata</w:t>
      </w:r>
      <w:r w:rsidR="000B503F" w:rsidRPr="00256A6B">
        <w:rPr>
          <w:lang w:val="es-ES_tradnl"/>
        </w:rPr>
        <w:t>"</w:t>
      </w:r>
      <w:r w:rsidR="00C84F6A" w:rsidRPr="00256A6B">
        <w:rPr>
          <w:lang w:val="es-ES_tradnl"/>
        </w:rPr>
        <w:t xml:space="preserve">, </w:t>
      </w:r>
      <w:r w:rsidR="007E1BCE" w:rsidRPr="00256A6B">
        <w:rPr>
          <w:lang w:val="es-ES_tradnl"/>
        </w:rPr>
        <w:t>por tanto, se refiere a la infracción del derecho de autor o de un derecho conexo de</w:t>
      </w:r>
      <w:r w:rsidR="0054397B" w:rsidRPr="00256A6B">
        <w:rPr>
          <w:lang w:val="es-ES_tradnl"/>
        </w:rPr>
        <w:t>l</w:t>
      </w:r>
      <w:r w:rsidR="007E1BCE" w:rsidRPr="00256A6B">
        <w:rPr>
          <w:lang w:val="es-ES_tradnl"/>
        </w:rPr>
        <w:t xml:space="preserve"> Acuerdo </w:t>
      </w:r>
      <w:r w:rsidR="0054397B" w:rsidRPr="00256A6B">
        <w:rPr>
          <w:lang w:val="es-ES_tradnl"/>
        </w:rPr>
        <w:t>ADPIC</w:t>
      </w:r>
      <w:r w:rsidR="00431DF7" w:rsidRPr="00256A6B">
        <w:rPr>
          <w:lang w:val="es-ES_tradnl"/>
        </w:rPr>
        <w:t>.</w:t>
      </w:r>
    </w:p>
    <w:p w14:paraId="4247595A" w14:textId="345DB524" w:rsidR="0077266D" w:rsidRPr="00C869C0" w:rsidRDefault="000D5C59" w:rsidP="0072795B">
      <w:pPr>
        <w:pStyle w:val="Heading1"/>
        <w:rPr>
          <w:lang w:val="es-ES_tradnl"/>
        </w:rPr>
      </w:pPr>
      <w:bookmarkStart w:id="22" w:name="_Toc200180729"/>
      <w:bookmarkStart w:id="23" w:name="_Toc200181297"/>
      <w:bookmarkStart w:id="24" w:name="_Toc211334004"/>
      <w:bookmarkStart w:id="25" w:name="_Toc404607168"/>
      <w:bookmarkStart w:id="26" w:name="_Toc406670387"/>
      <w:bookmarkStart w:id="27" w:name="_Toc447202511"/>
      <w:bookmarkStart w:id="28" w:name="_Toc447203002"/>
      <w:r w:rsidRPr="00C869C0">
        <w:rPr>
          <w:lang w:val="es-ES_tradnl"/>
        </w:rPr>
        <w:t>3</w:t>
      </w:r>
      <w:r w:rsidRPr="00C869C0">
        <w:rPr>
          <w:lang w:val="es-ES_tradnl"/>
        </w:rPr>
        <w:tab/>
      </w:r>
      <w:r w:rsidR="0054397B" w:rsidRPr="00C869C0">
        <w:rPr>
          <w:lang w:val="es-ES_tradnl"/>
        </w:rPr>
        <w:t>Repercusiones</w:t>
      </w:r>
      <w:r w:rsidR="00BB20D5" w:rsidRPr="00C869C0">
        <w:rPr>
          <w:lang w:val="es-ES_tradnl"/>
        </w:rPr>
        <w:t xml:space="preserve"> de la falsificación de equipos y componentes TIC</w:t>
      </w:r>
      <w:bookmarkEnd w:id="22"/>
      <w:bookmarkEnd w:id="23"/>
      <w:bookmarkEnd w:id="24"/>
      <w:bookmarkEnd w:id="25"/>
      <w:bookmarkEnd w:id="26"/>
      <w:bookmarkEnd w:id="27"/>
      <w:bookmarkEnd w:id="28"/>
    </w:p>
    <w:p w14:paraId="463BA70A" w14:textId="2447AC0C" w:rsidR="0077266D" w:rsidRPr="00256A6B" w:rsidRDefault="00BB20D5" w:rsidP="0054397B">
      <w:pPr>
        <w:rPr>
          <w:lang w:val="es-ES_tradnl"/>
        </w:rPr>
      </w:pPr>
      <w:r w:rsidRPr="00256A6B">
        <w:rPr>
          <w:lang w:val="es-ES_tradnl"/>
        </w:rPr>
        <w:t xml:space="preserve">Los equipos TIC falsificados tienen </w:t>
      </w:r>
      <w:r w:rsidR="0054397B" w:rsidRPr="00256A6B">
        <w:rPr>
          <w:lang w:val="es-ES_tradnl"/>
        </w:rPr>
        <w:t>repercusiones</w:t>
      </w:r>
      <w:r w:rsidRPr="00256A6B">
        <w:rPr>
          <w:lang w:val="es-ES_tradnl"/>
        </w:rPr>
        <w:t xml:space="preserve"> </w:t>
      </w:r>
      <w:r w:rsidR="0054397B" w:rsidRPr="00256A6B">
        <w:rPr>
          <w:lang w:val="es-ES_tradnl"/>
        </w:rPr>
        <w:t>particulares</w:t>
      </w:r>
      <w:r w:rsidRPr="00256A6B">
        <w:rPr>
          <w:lang w:val="es-ES_tradnl"/>
        </w:rPr>
        <w:t xml:space="preserve"> en la sociedad que no producen otros tipos de violaciones de los derechos de propiedad intelectual. Los productos falsificados, por ejemplo, normalmente no han </w:t>
      </w:r>
      <w:r w:rsidR="0054397B" w:rsidRPr="00256A6B">
        <w:rPr>
          <w:lang w:val="es-ES_tradnl"/>
        </w:rPr>
        <w:t xml:space="preserve">sido </w:t>
      </w:r>
      <w:r w:rsidRPr="00256A6B">
        <w:rPr>
          <w:lang w:val="es-ES_tradnl"/>
        </w:rPr>
        <w:t>comprobado</w:t>
      </w:r>
      <w:r w:rsidR="0054397B" w:rsidRPr="00256A6B">
        <w:rPr>
          <w:lang w:val="es-ES_tradnl"/>
        </w:rPr>
        <w:t>s</w:t>
      </w:r>
      <w:r w:rsidRPr="00256A6B">
        <w:rPr>
          <w:lang w:val="es-ES_tradnl"/>
        </w:rPr>
        <w:t xml:space="preserve"> ni se han aceptado</w:t>
      </w:r>
      <w:r w:rsidR="00176F7A" w:rsidRPr="00256A6B">
        <w:rPr>
          <w:lang w:val="es-ES_tradnl"/>
        </w:rPr>
        <w:t xml:space="preserve"> </w:t>
      </w:r>
      <w:r w:rsidRPr="00256A6B">
        <w:rPr>
          <w:lang w:val="es-ES_tradnl"/>
        </w:rPr>
        <w:t>formalmente de conformidad con los requisitos legales</w:t>
      </w:r>
      <w:r w:rsidR="00C67B8B" w:rsidRPr="00256A6B">
        <w:rPr>
          <w:lang w:val="es-ES_tradnl"/>
        </w:rPr>
        <w:t xml:space="preserve"> que sean de aplicación. El uso de productos falsificados puede resultar extremadamente peligroso. Por ejemplo, existen </w:t>
      </w:r>
      <w:r w:rsidR="0054397B" w:rsidRPr="00256A6B">
        <w:rPr>
          <w:lang w:val="es-ES_tradnl"/>
        </w:rPr>
        <w:t>casos</w:t>
      </w:r>
      <w:r w:rsidR="00C67B8B" w:rsidRPr="00256A6B">
        <w:rPr>
          <w:lang w:val="es-ES_tradnl"/>
        </w:rPr>
        <w:t xml:space="preserve"> de muertes debidas a la explosión de baterías falsificadas, casos de electrocución y de incendios producidos por cargadores y ejemplos documentados de que estos dispositivos tienen cantidades elevadas de sustancias peligrosas como el plomo y el cadmio</w:t>
      </w:r>
      <w:r w:rsidR="000D5C59" w:rsidRPr="00256A6B">
        <w:rPr>
          <w:lang w:val="es-ES_tradnl"/>
        </w:rPr>
        <w:t>.</w:t>
      </w:r>
    </w:p>
    <w:p w14:paraId="79840033" w14:textId="440B3E97" w:rsidR="0077266D" w:rsidRPr="00256A6B" w:rsidRDefault="00C67B8B" w:rsidP="0054397B">
      <w:pPr>
        <w:rPr>
          <w:rFonts w:asciiTheme="majorBidi" w:hAnsiTheme="majorBidi" w:cstheme="majorBidi"/>
          <w:lang w:val="es-ES_tradnl"/>
        </w:rPr>
      </w:pPr>
      <w:r w:rsidRPr="00256A6B">
        <w:rPr>
          <w:lang w:val="es-ES_tradnl"/>
        </w:rPr>
        <w:t xml:space="preserve">El informe de </w:t>
      </w:r>
      <w:r w:rsidR="0077266D" w:rsidRPr="00256A6B">
        <w:rPr>
          <w:lang w:val="es-ES_tradnl"/>
        </w:rPr>
        <w:t xml:space="preserve">2008 </w:t>
      </w:r>
      <w:r w:rsidRPr="00256A6B">
        <w:rPr>
          <w:lang w:val="es-ES_tradnl"/>
        </w:rPr>
        <w:t xml:space="preserve">de la OCDE incluye evaluaciones de los efectos socioeconómicos y de las consecuencias para los </w:t>
      </w:r>
      <w:r w:rsidR="0054397B" w:rsidRPr="00256A6B">
        <w:rPr>
          <w:lang w:val="es-ES_tradnl"/>
        </w:rPr>
        <w:t>titulares</w:t>
      </w:r>
      <w:r w:rsidRPr="00256A6B">
        <w:rPr>
          <w:lang w:val="es-ES_tradnl"/>
        </w:rPr>
        <w:t xml:space="preserve"> de derechos de autor, los consumidores y los gobiernos:</w:t>
      </w:r>
    </w:p>
    <w:p w14:paraId="58088F00" w14:textId="101FB8D5" w:rsidR="009B7CCA" w:rsidRPr="00256A6B" w:rsidRDefault="000D5C59" w:rsidP="000D5C59">
      <w:pPr>
        <w:pStyle w:val="enumlev1"/>
        <w:rPr>
          <w:lang w:val="es-ES_tradnl"/>
        </w:rPr>
      </w:pPr>
      <w:r w:rsidRPr="00256A6B">
        <w:rPr>
          <w:lang w:val="es-ES_tradnl"/>
        </w:rPr>
        <w:lastRenderedPageBreak/>
        <w:t>•</w:t>
      </w:r>
      <w:r w:rsidRPr="00256A6B">
        <w:rPr>
          <w:lang w:val="es-ES_tradnl"/>
        </w:rPr>
        <w:tab/>
      </w:r>
      <w:r w:rsidR="00C67B8B" w:rsidRPr="00256A6B">
        <w:rPr>
          <w:lang w:val="es-ES_tradnl"/>
        </w:rPr>
        <w:t xml:space="preserve">Habida cuenta de los efectos socioeconómicos, la falsificación puede tener efectos negativos sobre la innovación, las </w:t>
      </w:r>
      <w:r w:rsidR="007445EB" w:rsidRPr="00256A6B">
        <w:rPr>
          <w:lang w:val="es-ES_tradnl"/>
        </w:rPr>
        <w:t>inversiones</w:t>
      </w:r>
      <w:r w:rsidR="00C67B8B" w:rsidRPr="00256A6B">
        <w:rPr>
          <w:lang w:val="es-ES_tradnl"/>
        </w:rPr>
        <w:t xml:space="preserve"> directas del</w:t>
      </w:r>
      <w:r w:rsidR="007445EB" w:rsidRPr="00256A6B">
        <w:rPr>
          <w:lang w:val="es-ES_tradnl"/>
        </w:rPr>
        <w:t xml:space="preserve"> </w:t>
      </w:r>
      <w:r w:rsidR="00C67B8B" w:rsidRPr="00256A6B">
        <w:rPr>
          <w:lang w:val="es-ES_tradnl"/>
        </w:rPr>
        <w:t xml:space="preserve">exterior, el </w:t>
      </w:r>
      <w:r w:rsidR="007445EB" w:rsidRPr="00256A6B">
        <w:rPr>
          <w:lang w:val="es-ES_tradnl"/>
        </w:rPr>
        <w:t>crecimiento</w:t>
      </w:r>
      <w:r w:rsidR="00C67B8B" w:rsidRPr="00256A6B">
        <w:rPr>
          <w:lang w:val="es-ES_tradnl"/>
        </w:rPr>
        <w:t xml:space="preserve"> de la economía y la tasa de empleo y también puede derivar recursos hacia las redes </w:t>
      </w:r>
      <w:r w:rsidR="007445EB" w:rsidRPr="00256A6B">
        <w:rPr>
          <w:lang w:val="es-ES_tradnl"/>
        </w:rPr>
        <w:t>de delincuencia organizada</w:t>
      </w:r>
      <w:r w:rsidRPr="00256A6B">
        <w:rPr>
          <w:lang w:val="es-ES_tradnl"/>
        </w:rPr>
        <w:t>.</w:t>
      </w:r>
    </w:p>
    <w:p w14:paraId="5B62D12F" w14:textId="4B38CE01" w:rsidR="009B7CCA" w:rsidRPr="00256A6B" w:rsidRDefault="000D5C59" w:rsidP="000D5C59">
      <w:pPr>
        <w:pStyle w:val="enumlev1"/>
        <w:rPr>
          <w:lang w:val="es-ES_tradnl"/>
        </w:rPr>
      </w:pPr>
      <w:r w:rsidRPr="00256A6B">
        <w:rPr>
          <w:lang w:val="es-ES_tradnl"/>
        </w:rPr>
        <w:t>•</w:t>
      </w:r>
      <w:r w:rsidRPr="00256A6B">
        <w:rPr>
          <w:lang w:val="es-ES_tradnl"/>
        </w:rPr>
        <w:tab/>
      </w:r>
      <w:r w:rsidR="007445EB" w:rsidRPr="00256A6B">
        <w:rPr>
          <w:lang w:val="es-ES_tradnl"/>
        </w:rPr>
        <w:t>Es probable que la falsificación tenga un impacto económico en los titulares de los derechos puesto que se pueden ver afectados las ventas y los derechos de autor, los precios, el valor y la reputación de la marca, los costes y los objetivos de las operaciones.</w:t>
      </w:r>
    </w:p>
    <w:p w14:paraId="78FFDE46" w14:textId="75546434" w:rsidR="009B7CCA" w:rsidRPr="00256A6B" w:rsidRDefault="000D5C59" w:rsidP="000D5C59">
      <w:pPr>
        <w:pStyle w:val="enumlev1"/>
        <w:rPr>
          <w:lang w:val="es-ES_tradnl"/>
        </w:rPr>
      </w:pPr>
      <w:r w:rsidRPr="00256A6B">
        <w:rPr>
          <w:lang w:val="es-ES_tradnl"/>
        </w:rPr>
        <w:t>•</w:t>
      </w:r>
      <w:r w:rsidRPr="00256A6B">
        <w:rPr>
          <w:lang w:val="es-ES_tradnl"/>
        </w:rPr>
        <w:tab/>
      </w:r>
      <w:r w:rsidR="007445EB" w:rsidRPr="00256A6B">
        <w:rPr>
          <w:lang w:val="es-ES_tradnl"/>
        </w:rPr>
        <w:t>Los consumidores pueden constatar que la calidad de las mercancías falsificadas</w:t>
      </w:r>
      <w:r w:rsidR="0077266D" w:rsidRPr="00256A6B">
        <w:rPr>
          <w:lang w:val="es-ES_tradnl"/>
        </w:rPr>
        <w:t xml:space="preserve"> </w:t>
      </w:r>
      <w:r w:rsidR="007445EB" w:rsidRPr="00256A6B">
        <w:rPr>
          <w:lang w:val="es-ES_tradnl"/>
        </w:rPr>
        <w:t xml:space="preserve">es menor y también se pueden enfrentar a graves riesgos para </w:t>
      </w:r>
      <w:r w:rsidR="0054397B" w:rsidRPr="00256A6B">
        <w:rPr>
          <w:lang w:val="es-ES_tradnl"/>
        </w:rPr>
        <w:t>su</w:t>
      </w:r>
      <w:r w:rsidR="007445EB" w:rsidRPr="00256A6B">
        <w:rPr>
          <w:lang w:val="es-ES_tradnl"/>
        </w:rPr>
        <w:t xml:space="preserve"> salud y segu</w:t>
      </w:r>
      <w:r w:rsidRPr="00256A6B">
        <w:rPr>
          <w:lang w:val="es-ES_tradnl"/>
        </w:rPr>
        <w:t>ridad.</w:t>
      </w:r>
    </w:p>
    <w:p w14:paraId="0AFF1A58" w14:textId="41950A57" w:rsidR="009B7CCA" w:rsidRPr="00256A6B" w:rsidRDefault="000D5C59" w:rsidP="000D5C59">
      <w:pPr>
        <w:pStyle w:val="enumlev1"/>
        <w:rPr>
          <w:lang w:val="es-ES_tradnl"/>
        </w:rPr>
      </w:pPr>
      <w:r w:rsidRPr="00256A6B">
        <w:rPr>
          <w:lang w:val="es-ES_tradnl"/>
        </w:rPr>
        <w:t>•</w:t>
      </w:r>
      <w:r w:rsidRPr="00256A6B">
        <w:rPr>
          <w:lang w:val="es-ES_tradnl"/>
        </w:rPr>
        <w:tab/>
      </w:r>
      <w:r w:rsidR="007445EB" w:rsidRPr="00256A6B">
        <w:rPr>
          <w:lang w:val="es-ES_tradnl"/>
        </w:rPr>
        <w:t xml:space="preserve">Los gobiernos recaudarán </w:t>
      </w:r>
      <w:r w:rsidR="0054397B" w:rsidRPr="00256A6B">
        <w:rPr>
          <w:lang w:val="es-ES_tradnl"/>
        </w:rPr>
        <w:t>menos</w:t>
      </w:r>
      <w:r w:rsidR="007445EB" w:rsidRPr="00256A6B">
        <w:rPr>
          <w:lang w:val="es-ES_tradnl"/>
        </w:rPr>
        <w:t xml:space="preserve"> en impuestos y probablemente se enfrentarán a problemas de corrupción, por lo que tendrán que dedicar más recursos para combatir las actividades de falsificación</w:t>
      </w:r>
      <w:r w:rsidRPr="00256A6B">
        <w:rPr>
          <w:lang w:val="es-ES_tradnl"/>
        </w:rPr>
        <w:t>.</w:t>
      </w:r>
    </w:p>
    <w:p w14:paraId="77A25FA2" w14:textId="4D9D77BF" w:rsidR="00485156" w:rsidRPr="00C869C0" w:rsidRDefault="003E1F47" w:rsidP="00AA287D">
      <w:pPr>
        <w:pStyle w:val="Heading2"/>
        <w:rPr>
          <w:lang w:val="es-ES_tradnl"/>
        </w:rPr>
      </w:pPr>
      <w:bookmarkStart w:id="29" w:name="_Toc404607169"/>
      <w:bookmarkStart w:id="30" w:name="_Toc406670388"/>
      <w:bookmarkStart w:id="31" w:name="_Toc447202512"/>
      <w:bookmarkStart w:id="32" w:name="_Toc447203003"/>
      <w:r w:rsidRPr="00C869C0">
        <w:rPr>
          <w:lang w:val="es-ES_tradnl"/>
        </w:rPr>
        <w:t>3</w:t>
      </w:r>
      <w:r w:rsidR="00233424" w:rsidRPr="00C869C0">
        <w:rPr>
          <w:lang w:val="es-ES_tradnl"/>
        </w:rPr>
        <w:t>.1</w:t>
      </w:r>
      <w:r w:rsidR="00233424" w:rsidRPr="00C869C0">
        <w:rPr>
          <w:lang w:val="es-ES_tradnl"/>
        </w:rPr>
        <w:tab/>
      </w:r>
      <w:r w:rsidR="00DC5FA4" w:rsidRPr="00C869C0">
        <w:rPr>
          <w:lang w:val="es-ES_tradnl"/>
        </w:rPr>
        <w:t>Ejemplos de equipos TIC falsificados</w:t>
      </w:r>
      <w:bookmarkEnd w:id="29"/>
      <w:bookmarkEnd w:id="30"/>
      <w:bookmarkEnd w:id="31"/>
      <w:bookmarkEnd w:id="32"/>
      <w:r w:rsidR="005960A7" w:rsidRPr="00C869C0">
        <w:rPr>
          <w:lang w:val="es-ES_tradnl"/>
        </w:rPr>
        <w:t xml:space="preserve"> </w:t>
      </w:r>
    </w:p>
    <w:p w14:paraId="2B3BB680" w14:textId="5C8812BB" w:rsidR="006C326A" w:rsidRPr="00256A6B" w:rsidRDefault="00DC5FA4" w:rsidP="00242974">
      <w:pPr>
        <w:rPr>
          <w:lang w:val="es-ES_tradnl"/>
        </w:rPr>
      </w:pPr>
      <w:r w:rsidRPr="00256A6B">
        <w:rPr>
          <w:lang w:val="es-ES_tradnl"/>
        </w:rPr>
        <w:t xml:space="preserve">A continuación se presentan ejemplos </w:t>
      </w:r>
      <w:r w:rsidR="00242974" w:rsidRPr="00256A6B">
        <w:rPr>
          <w:lang w:val="es-ES_tradnl"/>
        </w:rPr>
        <w:t>clave de la</w:t>
      </w:r>
      <w:r w:rsidRPr="00256A6B">
        <w:rPr>
          <w:lang w:val="es-ES_tradnl"/>
        </w:rPr>
        <w:t xml:space="preserve">s </w:t>
      </w:r>
      <w:r w:rsidR="00242974" w:rsidRPr="00256A6B">
        <w:rPr>
          <w:lang w:val="es-ES_tradnl"/>
        </w:rPr>
        <w:t>repercusiones</w:t>
      </w:r>
      <w:r w:rsidRPr="00256A6B">
        <w:rPr>
          <w:lang w:val="es-ES_tradnl"/>
        </w:rPr>
        <w:t xml:space="preserve"> de la falsificación de equipos TIC.</w:t>
      </w:r>
    </w:p>
    <w:p w14:paraId="2CD50EAA" w14:textId="2B89F32E" w:rsidR="003A15CB" w:rsidRPr="00C869C0" w:rsidRDefault="003E1F47" w:rsidP="00AA287D">
      <w:pPr>
        <w:pStyle w:val="Heading3"/>
        <w:rPr>
          <w:lang w:val="es-ES_tradnl"/>
        </w:rPr>
      </w:pPr>
      <w:bookmarkStart w:id="33" w:name="_Toc404607170"/>
      <w:bookmarkStart w:id="34" w:name="_Toc447202513"/>
      <w:r w:rsidRPr="00C869C0">
        <w:rPr>
          <w:lang w:val="es-ES_tradnl"/>
        </w:rPr>
        <w:t>3</w:t>
      </w:r>
      <w:r w:rsidR="00233424" w:rsidRPr="00C869C0">
        <w:rPr>
          <w:lang w:val="es-ES_tradnl"/>
        </w:rPr>
        <w:t>.1.1</w:t>
      </w:r>
      <w:r w:rsidR="00233424" w:rsidRPr="00C869C0">
        <w:rPr>
          <w:lang w:val="es-ES_tradnl"/>
        </w:rPr>
        <w:tab/>
      </w:r>
      <w:r w:rsidR="00DC5FA4" w:rsidRPr="00C869C0">
        <w:rPr>
          <w:lang w:val="es-ES_tradnl"/>
        </w:rPr>
        <w:t>Teléfonos móviles</w:t>
      </w:r>
      <w:bookmarkEnd w:id="33"/>
      <w:bookmarkEnd w:id="34"/>
      <w:r w:rsidR="00874758" w:rsidRPr="00C869C0">
        <w:rPr>
          <w:lang w:val="es-ES_tradnl"/>
        </w:rPr>
        <w:t xml:space="preserve"> </w:t>
      </w:r>
    </w:p>
    <w:p w14:paraId="04A05226" w14:textId="278392E0" w:rsidR="001A2DFB" w:rsidRPr="00256A6B" w:rsidRDefault="00DC5FA4" w:rsidP="00DC5FA4">
      <w:pPr>
        <w:pStyle w:val="ListParagraph"/>
        <w:tabs>
          <w:tab w:val="left" w:pos="0"/>
          <w:tab w:val="left" w:pos="142"/>
          <w:tab w:val="left" w:pos="1134"/>
          <w:tab w:val="left" w:pos="1871"/>
          <w:tab w:val="left" w:pos="2268"/>
        </w:tabs>
        <w:spacing w:before="120" w:after="120"/>
        <w:ind w:left="0"/>
        <w:rPr>
          <w:rFonts w:asciiTheme="majorBidi" w:hAnsiTheme="majorBidi" w:cstheme="majorBidi"/>
          <w:lang w:val="es-ES_tradnl"/>
        </w:rPr>
      </w:pPr>
      <w:r w:rsidRPr="00256A6B">
        <w:rPr>
          <w:rFonts w:asciiTheme="majorBidi" w:hAnsiTheme="majorBidi" w:cstheme="majorBidi"/>
          <w:lang w:val="es-ES_tradnl"/>
        </w:rPr>
        <w:t>La falsificación de teléfonos móviles y de sus accesorios afecta a la sociedad, entre otras cosas</w:t>
      </w:r>
      <w:r w:rsidR="00762B83" w:rsidRPr="00256A6B">
        <w:rPr>
          <w:rStyle w:val="FootnoteReference"/>
          <w:rFonts w:asciiTheme="majorBidi" w:hAnsiTheme="majorBidi" w:cstheme="majorBidi"/>
          <w:lang w:val="es-ES_tradnl"/>
        </w:rPr>
        <w:footnoteReference w:id="1"/>
      </w:r>
      <w:r w:rsidR="00FB4E24" w:rsidRPr="00256A6B">
        <w:rPr>
          <w:rFonts w:asciiTheme="majorBidi" w:hAnsiTheme="majorBidi" w:cstheme="majorBidi"/>
          <w:lang w:val="es-ES_tradnl"/>
        </w:rPr>
        <w:t>:</w:t>
      </w:r>
    </w:p>
    <w:p w14:paraId="157C2CBC" w14:textId="26723137" w:rsidR="001A2DFB" w:rsidRPr="00256A6B" w:rsidRDefault="00436CC0" w:rsidP="00436CC0">
      <w:pPr>
        <w:pStyle w:val="enumlev1"/>
        <w:rPr>
          <w:lang w:val="es-ES_tradnl"/>
        </w:rPr>
      </w:pPr>
      <w:r w:rsidRPr="00256A6B">
        <w:rPr>
          <w:lang w:val="es-ES_tradnl"/>
        </w:rPr>
        <w:t>•</w:t>
      </w:r>
      <w:r w:rsidRPr="00256A6B">
        <w:rPr>
          <w:lang w:val="es-ES_tradnl"/>
        </w:rPr>
        <w:tab/>
      </w:r>
      <w:r w:rsidR="00DC5FA4" w:rsidRPr="00256A6B">
        <w:rPr>
          <w:lang w:val="es-ES_tradnl"/>
        </w:rPr>
        <w:t>reduciendo la calidad del servicio de telecomunicaciones móviles, afectando por lo tanto a la percepción de los consumidores y de las empresas</w:t>
      </w:r>
      <w:r w:rsidR="001A2DFB" w:rsidRPr="00256A6B">
        <w:rPr>
          <w:lang w:val="es-ES_tradnl"/>
        </w:rPr>
        <w:t>;</w:t>
      </w:r>
    </w:p>
    <w:p w14:paraId="57CCF339" w14:textId="05D6D610" w:rsidR="001A2DFB" w:rsidRPr="00256A6B" w:rsidRDefault="00436CC0" w:rsidP="00436CC0">
      <w:pPr>
        <w:pStyle w:val="enumlev1"/>
        <w:rPr>
          <w:lang w:val="es-ES_tradnl"/>
        </w:rPr>
      </w:pPr>
      <w:r w:rsidRPr="00256A6B">
        <w:rPr>
          <w:lang w:val="es-ES_tradnl"/>
        </w:rPr>
        <w:t>•</w:t>
      </w:r>
      <w:r w:rsidRPr="00256A6B">
        <w:rPr>
          <w:lang w:val="es-ES_tradnl"/>
        </w:rPr>
        <w:tab/>
      </w:r>
      <w:r w:rsidR="00DC5FA4" w:rsidRPr="00256A6B">
        <w:rPr>
          <w:lang w:val="es-ES_tradnl"/>
        </w:rPr>
        <w:t>generando un riesgo de seguridad para los consumidores debido al uso de componentes o materiales deficientes o inadecuados</w:t>
      </w:r>
      <w:r w:rsidR="001A2DFB" w:rsidRPr="00256A6B">
        <w:rPr>
          <w:lang w:val="es-ES_tradnl"/>
        </w:rPr>
        <w:t>;</w:t>
      </w:r>
    </w:p>
    <w:p w14:paraId="6C9BC41F" w14:textId="1DDED771" w:rsidR="001A2DFB" w:rsidRPr="00256A6B" w:rsidRDefault="00436CC0" w:rsidP="00436CC0">
      <w:pPr>
        <w:pStyle w:val="enumlev1"/>
        <w:rPr>
          <w:lang w:val="es-ES_tradnl"/>
        </w:rPr>
      </w:pPr>
      <w:r w:rsidRPr="00256A6B">
        <w:rPr>
          <w:lang w:val="es-ES_tradnl"/>
        </w:rPr>
        <w:t>•</w:t>
      </w:r>
      <w:r w:rsidRPr="00256A6B">
        <w:rPr>
          <w:lang w:val="es-ES_tradnl"/>
        </w:rPr>
        <w:tab/>
      </w:r>
      <w:r w:rsidR="00DC5FA4" w:rsidRPr="00256A6B">
        <w:rPr>
          <w:lang w:val="es-ES_tradnl"/>
        </w:rPr>
        <w:t>aumentando las amenazas relacionadas con la ciberseguridad</w:t>
      </w:r>
      <w:r w:rsidR="001A2DFB" w:rsidRPr="00256A6B">
        <w:rPr>
          <w:lang w:val="es-ES_tradnl"/>
        </w:rPr>
        <w:t>;</w:t>
      </w:r>
    </w:p>
    <w:p w14:paraId="2EBFC11D" w14:textId="08FBC34D" w:rsidR="001A2DFB" w:rsidRPr="00256A6B" w:rsidRDefault="00436CC0" w:rsidP="00436CC0">
      <w:pPr>
        <w:pStyle w:val="enumlev1"/>
        <w:rPr>
          <w:lang w:val="es-ES_tradnl"/>
        </w:rPr>
      </w:pPr>
      <w:r w:rsidRPr="00256A6B">
        <w:rPr>
          <w:lang w:val="es-ES_tradnl"/>
        </w:rPr>
        <w:t>•</w:t>
      </w:r>
      <w:r w:rsidRPr="00256A6B">
        <w:rPr>
          <w:lang w:val="es-ES_tradnl"/>
        </w:rPr>
        <w:tab/>
      </w:r>
      <w:r w:rsidR="00121722" w:rsidRPr="00256A6B">
        <w:rPr>
          <w:lang w:val="es-ES_tradnl"/>
        </w:rPr>
        <w:t>comprometiendo</w:t>
      </w:r>
      <w:r w:rsidR="00DC5FA4" w:rsidRPr="00256A6B">
        <w:rPr>
          <w:lang w:val="es-ES_tradnl"/>
        </w:rPr>
        <w:t xml:space="preserve"> la privacidad del consumidor</w:t>
      </w:r>
      <w:r w:rsidR="001A2DFB" w:rsidRPr="00256A6B">
        <w:rPr>
          <w:lang w:val="es-ES_tradnl"/>
        </w:rPr>
        <w:t>;</w:t>
      </w:r>
    </w:p>
    <w:p w14:paraId="0D604616" w14:textId="3D800BC2" w:rsidR="001A2DFB" w:rsidRPr="00256A6B" w:rsidRDefault="00436CC0" w:rsidP="00436CC0">
      <w:pPr>
        <w:pStyle w:val="enumlev1"/>
        <w:rPr>
          <w:lang w:val="es-ES_tradnl"/>
        </w:rPr>
      </w:pPr>
      <w:r w:rsidRPr="00256A6B">
        <w:rPr>
          <w:lang w:val="es-ES_tradnl"/>
        </w:rPr>
        <w:t>•</w:t>
      </w:r>
      <w:r w:rsidRPr="00256A6B">
        <w:rPr>
          <w:lang w:val="es-ES_tradnl"/>
        </w:rPr>
        <w:tab/>
      </w:r>
      <w:r w:rsidR="00DC5FA4" w:rsidRPr="00256A6B">
        <w:rPr>
          <w:lang w:val="es-ES_tradnl"/>
        </w:rPr>
        <w:t>menoscabando la seguridad de las transacciones digitales</w:t>
      </w:r>
      <w:r w:rsidRPr="00256A6B">
        <w:rPr>
          <w:lang w:val="es-ES_tradnl"/>
        </w:rPr>
        <w:t>;</w:t>
      </w:r>
    </w:p>
    <w:p w14:paraId="416D7795" w14:textId="744FE073" w:rsidR="001A2DFB" w:rsidRPr="00256A6B" w:rsidRDefault="00436CC0" w:rsidP="00436CC0">
      <w:pPr>
        <w:pStyle w:val="enumlev1"/>
        <w:rPr>
          <w:lang w:val="es-ES_tradnl"/>
        </w:rPr>
      </w:pPr>
      <w:r w:rsidRPr="00256A6B">
        <w:rPr>
          <w:lang w:val="es-ES_tradnl"/>
        </w:rPr>
        <w:t>•</w:t>
      </w:r>
      <w:r w:rsidRPr="00256A6B">
        <w:rPr>
          <w:lang w:val="es-ES_tradnl"/>
        </w:rPr>
        <w:tab/>
      </w:r>
      <w:r w:rsidR="00121722" w:rsidRPr="00256A6B">
        <w:rPr>
          <w:lang w:val="es-ES_tradnl"/>
        </w:rPr>
        <w:t>evadiendo impuestos y aranceles aplicables, afectando por lo tanto negativamente a la recaudación gubernamental de impuestos</w:t>
      </w:r>
      <w:r w:rsidR="00A54B9D" w:rsidRPr="00256A6B">
        <w:rPr>
          <w:lang w:val="es-ES_tradnl"/>
        </w:rPr>
        <w:t>;</w:t>
      </w:r>
    </w:p>
    <w:p w14:paraId="1F9174CF" w14:textId="376286DA" w:rsidR="001A2DFB" w:rsidRPr="00256A6B" w:rsidRDefault="00436CC0" w:rsidP="00436CC0">
      <w:pPr>
        <w:pStyle w:val="enumlev1"/>
        <w:rPr>
          <w:lang w:val="es-ES_tradnl"/>
        </w:rPr>
      </w:pPr>
      <w:r w:rsidRPr="00256A6B">
        <w:rPr>
          <w:lang w:val="es-ES_tradnl"/>
        </w:rPr>
        <w:t>•</w:t>
      </w:r>
      <w:r w:rsidRPr="00256A6B">
        <w:rPr>
          <w:lang w:val="es-ES_tradnl"/>
        </w:rPr>
        <w:tab/>
      </w:r>
      <w:r w:rsidR="00121722" w:rsidRPr="00256A6B">
        <w:rPr>
          <w:lang w:val="es-ES_tradnl"/>
        </w:rPr>
        <w:t xml:space="preserve">perjudicando a los consumidores más vulnerables </w:t>
      </w:r>
      <w:r w:rsidR="00242974" w:rsidRPr="00256A6B">
        <w:rPr>
          <w:color w:val="000000"/>
          <w:lang w:val="es-ES_tradnl"/>
        </w:rPr>
        <w:t>desde el punto de vista financiero</w:t>
      </w:r>
      <w:r w:rsidR="00242974" w:rsidRPr="00256A6B">
        <w:rPr>
          <w:lang w:val="es-ES_tradnl"/>
        </w:rPr>
        <w:t xml:space="preserve"> </w:t>
      </w:r>
      <w:r w:rsidR="00121722" w:rsidRPr="00256A6B">
        <w:rPr>
          <w:lang w:val="es-ES_tradnl"/>
        </w:rPr>
        <w:t>al no proporcionarles garantías y violando a su vez los derechos legales de los consumidores</w:t>
      </w:r>
      <w:r w:rsidRPr="00256A6B">
        <w:rPr>
          <w:lang w:val="es-ES_tradnl"/>
        </w:rPr>
        <w:t>;</w:t>
      </w:r>
    </w:p>
    <w:p w14:paraId="2A3AEF55" w14:textId="59DC2266" w:rsidR="001A2DFB" w:rsidRPr="00256A6B" w:rsidRDefault="00436CC0" w:rsidP="00436CC0">
      <w:pPr>
        <w:pStyle w:val="enumlev1"/>
        <w:rPr>
          <w:lang w:val="es-ES_tradnl"/>
        </w:rPr>
      </w:pPr>
      <w:r w:rsidRPr="00256A6B">
        <w:rPr>
          <w:lang w:val="es-ES_tradnl"/>
        </w:rPr>
        <w:t>•</w:t>
      </w:r>
      <w:r w:rsidRPr="00256A6B">
        <w:rPr>
          <w:lang w:val="es-ES_tradnl"/>
        </w:rPr>
        <w:tab/>
      </w:r>
      <w:r w:rsidR="00121722" w:rsidRPr="00256A6B">
        <w:rPr>
          <w:lang w:val="es-ES_tradnl"/>
        </w:rPr>
        <w:t xml:space="preserve">creando riesgos </w:t>
      </w:r>
      <w:r w:rsidR="00242974" w:rsidRPr="00256A6B">
        <w:rPr>
          <w:lang w:val="es-ES_tradnl"/>
        </w:rPr>
        <w:t>para el</w:t>
      </w:r>
      <w:r w:rsidR="00121722" w:rsidRPr="00256A6B">
        <w:rPr>
          <w:lang w:val="es-ES_tradnl"/>
        </w:rPr>
        <w:t xml:space="preserve"> medio ambiente y la salud de los consumidores debido al uso de sustancias peligrosas en la fabricación de esos dispositivos</w:t>
      </w:r>
      <w:r w:rsidR="001A2DFB" w:rsidRPr="00256A6B">
        <w:rPr>
          <w:lang w:val="es-ES_tradnl"/>
        </w:rPr>
        <w:t>;</w:t>
      </w:r>
    </w:p>
    <w:p w14:paraId="31FC6A52" w14:textId="6D208EA6" w:rsidR="001A2DFB" w:rsidRPr="00256A6B" w:rsidRDefault="00436CC0" w:rsidP="00436CC0">
      <w:pPr>
        <w:pStyle w:val="enumlev1"/>
        <w:rPr>
          <w:lang w:val="es-ES_tradnl"/>
        </w:rPr>
      </w:pPr>
      <w:r w:rsidRPr="00256A6B">
        <w:rPr>
          <w:lang w:val="es-ES_tradnl"/>
        </w:rPr>
        <w:t>•</w:t>
      </w:r>
      <w:r w:rsidRPr="00256A6B">
        <w:rPr>
          <w:lang w:val="es-ES_tradnl"/>
        </w:rPr>
        <w:tab/>
      </w:r>
      <w:r w:rsidR="00121722" w:rsidRPr="00256A6B">
        <w:rPr>
          <w:lang w:val="es-ES_tradnl"/>
        </w:rPr>
        <w:t xml:space="preserve">facilitando el narcotráfico, el terrorismo y otras actividades delictivas </w:t>
      </w:r>
      <w:r w:rsidR="00DC549F" w:rsidRPr="00256A6B">
        <w:rPr>
          <w:lang w:val="es-ES_tradnl"/>
        </w:rPr>
        <w:t xml:space="preserve">nacionales </w:t>
      </w:r>
      <w:r w:rsidR="00121722" w:rsidRPr="00256A6B">
        <w:rPr>
          <w:lang w:val="es-ES_tradnl"/>
        </w:rPr>
        <w:t>e internacionales</w:t>
      </w:r>
      <w:r w:rsidR="001A2DFB" w:rsidRPr="00256A6B">
        <w:rPr>
          <w:lang w:val="es-ES_tradnl"/>
        </w:rPr>
        <w:t>;</w:t>
      </w:r>
    </w:p>
    <w:p w14:paraId="3B87887B" w14:textId="150D7037" w:rsidR="001A2DFB" w:rsidRPr="00256A6B" w:rsidRDefault="00436CC0" w:rsidP="00436CC0">
      <w:pPr>
        <w:pStyle w:val="enumlev1"/>
        <w:rPr>
          <w:lang w:val="es-ES_tradnl"/>
        </w:rPr>
      </w:pPr>
      <w:r w:rsidRPr="00256A6B">
        <w:rPr>
          <w:lang w:val="es-ES_tradnl"/>
        </w:rPr>
        <w:t>•</w:t>
      </w:r>
      <w:r w:rsidRPr="00256A6B">
        <w:rPr>
          <w:lang w:val="es-ES_tradnl"/>
        </w:rPr>
        <w:tab/>
      </w:r>
      <w:r w:rsidR="00242974" w:rsidRPr="00256A6B">
        <w:rPr>
          <w:lang w:val="es-ES_tradnl"/>
        </w:rPr>
        <w:t>causando</w:t>
      </w:r>
      <w:r w:rsidR="00DC549F" w:rsidRPr="00256A6B">
        <w:rPr>
          <w:lang w:val="es-ES_tradnl"/>
        </w:rPr>
        <w:t xml:space="preserve"> un perjuicio económico</w:t>
      </w:r>
      <w:r w:rsidR="001A2DFB" w:rsidRPr="00256A6B">
        <w:rPr>
          <w:lang w:val="es-ES_tradnl"/>
        </w:rPr>
        <w:t xml:space="preserve"> </w:t>
      </w:r>
      <w:r w:rsidR="00242974" w:rsidRPr="00256A6B">
        <w:rPr>
          <w:lang w:val="es-ES_tradnl"/>
        </w:rPr>
        <w:t>dada la distorsión del m</w:t>
      </w:r>
      <w:r w:rsidR="00DC549F" w:rsidRPr="00256A6B">
        <w:rPr>
          <w:lang w:val="es-ES_tradnl"/>
        </w:rPr>
        <w:t>ercado generada por la competencia desleal y las prácticas fraudulentas</w:t>
      </w:r>
      <w:r w:rsidR="001A2DFB" w:rsidRPr="00256A6B">
        <w:rPr>
          <w:lang w:val="es-ES_tradnl"/>
        </w:rPr>
        <w:t xml:space="preserve">; </w:t>
      </w:r>
      <w:r w:rsidR="00DC549F" w:rsidRPr="00256A6B">
        <w:rPr>
          <w:lang w:val="es-ES_tradnl"/>
        </w:rPr>
        <w:t>y</w:t>
      </w:r>
    </w:p>
    <w:p w14:paraId="598BB577" w14:textId="3F96B5D6" w:rsidR="001A2DFB" w:rsidRPr="00256A6B" w:rsidRDefault="00436CC0" w:rsidP="00436CC0">
      <w:pPr>
        <w:pStyle w:val="enumlev1"/>
        <w:rPr>
          <w:lang w:val="es-ES_tradnl"/>
        </w:rPr>
      </w:pPr>
      <w:r w:rsidRPr="00256A6B">
        <w:rPr>
          <w:lang w:val="es-ES_tradnl"/>
        </w:rPr>
        <w:t>•</w:t>
      </w:r>
      <w:r w:rsidRPr="00256A6B">
        <w:rPr>
          <w:lang w:val="es-ES_tradnl"/>
        </w:rPr>
        <w:tab/>
      </w:r>
      <w:r w:rsidR="00DC549F" w:rsidRPr="00256A6B">
        <w:rPr>
          <w:lang w:val="es-ES_tradnl"/>
        </w:rPr>
        <w:t>dañando las marcas registradas de las empresas fabricantes de productos originales</w:t>
      </w:r>
      <w:r w:rsidR="00187EA2" w:rsidRPr="00256A6B">
        <w:rPr>
          <w:lang w:val="es-ES_tradnl"/>
        </w:rPr>
        <w:t>.</w:t>
      </w:r>
    </w:p>
    <w:p w14:paraId="5FBD8DD0" w14:textId="362B0927" w:rsidR="00690FB1" w:rsidRPr="00256A6B" w:rsidRDefault="00046EA8" w:rsidP="00607159">
      <w:pPr>
        <w:rPr>
          <w:rFonts w:asciiTheme="majorBidi" w:hAnsiTheme="majorBidi" w:cstheme="majorBidi"/>
          <w:lang w:val="es-ES_tradnl"/>
        </w:rPr>
      </w:pPr>
      <w:r w:rsidRPr="00256A6B">
        <w:rPr>
          <w:rFonts w:asciiTheme="majorBidi" w:hAnsiTheme="majorBidi" w:cstheme="majorBidi"/>
          <w:lang w:val="es-ES_tradnl"/>
        </w:rPr>
        <w:t>Un estudio realizado por el</w:t>
      </w:r>
      <w:r w:rsidR="000C0568" w:rsidRPr="00256A6B">
        <w:rPr>
          <w:rFonts w:asciiTheme="majorBidi" w:hAnsiTheme="majorBidi" w:cstheme="majorBidi"/>
          <w:lang w:val="es-ES_tradnl"/>
        </w:rPr>
        <w:t xml:space="preserve"> Instituto Nokia de </w:t>
      </w:r>
      <w:r w:rsidR="00242974" w:rsidRPr="00256A6B">
        <w:rPr>
          <w:rFonts w:asciiTheme="majorBidi" w:hAnsiTheme="majorBidi" w:cstheme="majorBidi"/>
          <w:lang w:val="es-ES_tradnl"/>
        </w:rPr>
        <w:t>Tecnología</w:t>
      </w:r>
      <w:r w:rsidR="000C0568" w:rsidRPr="00256A6B">
        <w:rPr>
          <w:rFonts w:asciiTheme="majorBidi" w:hAnsiTheme="majorBidi" w:cstheme="majorBidi"/>
          <w:lang w:val="es-ES_tradnl"/>
        </w:rPr>
        <w:t xml:space="preserve"> (INdT), </w:t>
      </w:r>
      <w:r w:rsidRPr="00256A6B">
        <w:rPr>
          <w:rFonts w:asciiTheme="majorBidi" w:hAnsiTheme="majorBidi" w:cstheme="majorBidi"/>
          <w:lang w:val="es-ES_tradnl"/>
        </w:rPr>
        <w:t>entidad</w:t>
      </w:r>
      <w:r w:rsidR="000C0568" w:rsidRPr="00256A6B">
        <w:rPr>
          <w:rFonts w:asciiTheme="majorBidi" w:hAnsiTheme="majorBidi" w:cstheme="majorBidi"/>
          <w:lang w:val="es-ES_tradnl"/>
        </w:rPr>
        <w:t xml:space="preserve"> </w:t>
      </w:r>
      <w:r w:rsidR="00242974" w:rsidRPr="00256A6B">
        <w:rPr>
          <w:rFonts w:asciiTheme="majorBidi" w:hAnsiTheme="majorBidi" w:cstheme="majorBidi"/>
          <w:lang w:val="es-ES_tradnl"/>
        </w:rPr>
        <w:t xml:space="preserve">independiente </w:t>
      </w:r>
      <w:r w:rsidRPr="00256A6B">
        <w:rPr>
          <w:rFonts w:asciiTheme="majorBidi" w:hAnsiTheme="majorBidi" w:cstheme="majorBidi"/>
          <w:lang w:val="es-ES_tradnl"/>
        </w:rPr>
        <w:t>de investigación y desarrollo</w:t>
      </w:r>
      <w:r w:rsidR="00242974" w:rsidRPr="00256A6B">
        <w:rPr>
          <w:rFonts w:asciiTheme="majorBidi" w:hAnsiTheme="majorBidi" w:cstheme="majorBidi"/>
          <w:lang w:val="es-ES_tradnl"/>
        </w:rPr>
        <w:t xml:space="preserve"> </w:t>
      </w:r>
      <w:r w:rsidRPr="00256A6B">
        <w:rPr>
          <w:rFonts w:asciiTheme="majorBidi" w:hAnsiTheme="majorBidi" w:cstheme="majorBidi"/>
          <w:lang w:val="es-ES_tradnl"/>
        </w:rPr>
        <w:t>con sede en Brasil, confirmó la mala calidad de los teléfonos falsificados y el potencial impacto negativo que pudiera producir en los consumidores, los operadores de tel</w:t>
      </w:r>
      <w:r w:rsidR="00242974" w:rsidRPr="00256A6B">
        <w:rPr>
          <w:rFonts w:asciiTheme="majorBidi" w:hAnsiTheme="majorBidi" w:cstheme="majorBidi"/>
          <w:lang w:val="es-ES_tradnl"/>
        </w:rPr>
        <w:t>efonía y las economías locales. El estudio analiza</w:t>
      </w:r>
      <w:r w:rsidRPr="00256A6B">
        <w:rPr>
          <w:rFonts w:asciiTheme="majorBidi" w:hAnsiTheme="majorBidi" w:cstheme="majorBidi"/>
          <w:lang w:val="es-ES_tradnl"/>
        </w:rPr>
        <w:t xml:space="preserve"> 44 teléfonos celulares falsificados y </w:t>
      </w:r>
      <w:r w:rsidR="00242974" w:rsidRPr="00256A6B">
        <w:rPr>
          <w:rFonts w:asciiTheme="majorBidi" w:hAnsiTheme="majorBidi" w:cstheme="majorBidi"/>
          <w:lang w:val="es-ES_tradnl"/>
        </w:rPr>
        <w:t>de baja calidad</w:t>
      </w:r>
      <w:r w:rsidRPr="00256A6B">
        <w:rPr>
          <w:rFonts w:asciiTheme="majorBidi" w:hAnsiTheme="majorBidi" w:cstheme="majorBidi"/>
          <w:lang w:val="es-ES_tradnl"/>
        </w:rPr>
        <w:t>, comparándolos con equipos genuinos y homologados</w:t>
      </w:r>
      <w:r w:rsidR="000C0568" w:rsidRPr="00256A6B">
        <w:rPr>
          <w:rFonts w:asciiTheme="majorBidi" w:hAnsiTheme="majorBidi" w:cstheme="majorBidi"/>
          <w:lang w:val="es-ES_tradnl"/>
        </w:rPr>
        <w:t xml:space="preserve">. </w:t>
      </w:r>
      <w:r w:rsidRPr="00256A6B">
        <w:rPr>
          <w:rFonts w:asciiTheme="majorBidi" w:hAnsiTheme="majorBidi" w:cstheme="majorBidi"/>
          <w:lang w:val="es-ES_tradnl"/>
        </w:rPr>
        <w:t xml:space="preserve">El estudio muestra que los teléfonos falsificados fallaron en un 26% de los intentos de llamada y </w:t>
      </w:r>
      <w:r w:rsidR="00242974" w:rsidRPr="00256A6B">
        <w:rPr>
          <w:rFonts w:asciiTheme="majorBidi" w:hAnsiTheme="majorBidi" w:cstheme="majorBidi"/>
          <w:lang w:val="es-ES_tradnl"/>
        </w:rPr>
        <w:t>que</w:t>
      </w:r>
      <w:r w:rsidRPr="00256A6B">
        <w:rPr>
          <w:rFonts w:asciiTheme="majorBidi" w:hAnsiTheme="majorBidi" w:cstheme="majorBidi"/>
          <w:lang w:val="es-ES_tradnl"/>
        </w:rPr>
        <w:t xml:space="preserve"> un 24% de las llamadas se </w:t>
      </w:r>
      <w:r w:rsidRPr="00256A6B">
        <w:rPr>
          <w:rFonts w:asciiTheme="majorBidi" w:hAnsiTheme="majorBidi" w:cstheme="majorBidi"/>
          <w:lang w:val="es-ES_tradnl"/>
        </w:rPr>
        <w:lastRenderedPageBreak/>
        <w:t>cortaron</w:t>
      </w:r>
      <w:r w:rsidR="000C0568" w:rsidRPr="00256A6B">
        <w:rPr>
          <w:rFonts w:asciiTheme="majorBidi" w:hAnsiTheme="majorBidi" w:cstheme="majorBidi"/>
          <w:lang w:val="es-ES_tradnl"/>
        </w:rPr>
        <w:t>.</w:t>
      </w:r>
      <w:r w:rsidRPr="00256A6B">
        <w:rPr>
          <w:rFonts w:asciiTheme="majorBidi" w:hAnsiTheme="majorBidi" w:cstheme="majorBidi"/>
          <w:lang w:val="es-ES_tradnl"/>
        </w:rPr>
        <w:t xml:space="preserve"> Además, en lugares en los que un teléfono auténtico funcionaba perfectamente, los teléfonos falsificados no se pudieron </w:t>
      </w:r>
      <w:r w:rsidR="00242974" w:rsidRPr="00256A6B">
        <w:rPr>
          <w:rFonts w:asciiTheme="majorBidi" w:hAnsiTheme="majorBidi" w:cstheme="majorBidi"/>
          <w:lang w:val="es-ES_tradnl"/>
        </w:rPr>
        <w:t>utilizar</w:t>
      </w:r>
      <w:r w:rsidRPr="00256A6B">
        <w:rPr>
          <w:rFonts w:asciiTheme="majorBidi" w:hAnsiTheme="majorBidi" w:cstheme="majorBidi"/>
          <w:lang w:val="es-ES_tradnl"/>
        </w:rPr>
        <w:t xml:space="preserve"> debido a su inferior calidad de transmisión frente a los teléfonos originales. </w:t>
      </w:r>
      <w:r w:rsidR="00862DCB" w:rsidRPr="00256A6B">
        <w:rPr>
          <w:rFonts w:asciiTheme="majorBidi" w:hAnsiTheme="majorBidi" w:cstheme="majorBidi"/>
          <w:lang w:val="es-ES_tradnl"/>
        </w:rPr>
        <w:t xml:space="preserve">También </w:t>
      </w:r>
      <w:r w:rsidR="00242974" w:rsidRPr="00256A6B">
        <w:rPr>
          <w:rFonts w:asciiTheme="majorBidi" w:hAnsiTheme="majorBidi" w:cstheme="majorBidi"/>
          <w:lang w:val="es-ES_tradnl"/>
        </w:rPr>
        <w:t>hubo problemas</w:t>
      </w:r>
      <w:r w:rsidR="00862DCB" w:rsidRPr="00256A6B">
        <w:rPr>
          <w:rFonts w:asciiTheme="majorBidi" w:hAnsiTheme="majorBidi" w:cstheme="majorBidi"/>
          <w:lang w:val="es-ES_tradnl"/>
        </w:rPr>
        <w:t xml:space="preserve"> con la transmisión entre celdas</w:t>
      </w:r>
      <w:r w:rsidR="000C0568" w:rsidRPr="00256A6B">
        <w:rPr>
          <w:rFonts w:asciiTheme="majorBidi" w:hAnsiTheme="majorBidi" w:cstheme="majorBidi"/>
          <w:lang w:val="es-ES_tradnl"/>
        </w:rPr>
        <w:t xml:space="preserve"> (</w:t>
      </w:r>
      <w:r w:rsidR="00862DCB" w:rsidRPr="00256A6B">
        <w:rPr>
          <w:rFonts w:asciiTheme="majorBidi" w:hAnsiTheme="majorBidi" w:cstheme="majorBidi"/>
          <w:lang w:val="es-ES_tradnl"/>
        </w:rPr>
        <w:t>la capacidad de mantener la llamada mientras se mueve entre celdas</w:t>
      </w:r>
      <w:r w:rsidR="003B5F55" w:rsidRPr="00256A6B">
        <w:rPr>
          <w:rFonts w:asciiTheme="majorBidi" w:hAnsiTheme="majorBidi" w:cstheme="majorBidi"/>
          <w:lang w:val="es-ES_tradnl"/>
        </w:rPr>
        <w:t xml:space="preserve">) </w:t>
      </w:r>
      <w:r w:rsidR="00862DCB" w:rsidRPr="00256A6B">
        <w:rPr>
          <w:rFonts w:asciiTheme="majorBidi" w:hAnsiTheme="majorBidi" w:cstheme="majorBidi"/>
          <w:lang w:val="es-ES_tradnl"/>
        </w:rPr>
        <w:t xml:space="preserve">con una duración de </w:t>
      </w:r>
      <w:r w:rsidR="00607159" w:rsidRPr="00256A6B">
        <w:rPr>
          <w:rFonts w:asciiTheme="majorBidi" w:hAnsiTheme="majorBidi" w:cstheme="majorBidi"/>
          <w:lang w:val="es-ES_tradnl"/>
        </w:rPr>
        <w:t xml:space="preserve">la </w:t>
      </w:r>
      <w:r w:rsidR="00862DCB" w:rsidRPr="00256A6B">
        <w:rPr>
          <w:rFonts w:asciiTheme="majorBidi" w:hAnsiTheme="majorBidi" w:cstheme="majorBidi"/>
          <w:lang w:val="es-ES_tradnl"/>
        </w:rPr>
        <w:t>transferencia</w:t>
      </w:r>
      <w:r w:rsidR="003C08EC">
        <w:rPr>
          <w:rFonts w:asciiTheme="majorBidi" w:hAnsiTheme="majorBidi" w:cstheme="majorBidi"/>
          <w:lang w:val="es-ES_tradnl"/>
        </w:rPr>
        <w:t xml:space="preserve"> de</w:t>
      </w:r>
      <w:r w:rsidR="00862DCB" w:rsidRPr="00256A6B">
        <w:rPr>
          <w:rFonts w:asciiTheme="majorBidi" w:hAnsiTheme="majorBidi" w:cstheme="majorBidi"/>
          <w:lang w:val="es-ES_tradnl"/>
        </w:rPr>
        <w:t xml:space="preserve"> un 4</w:t>
      </w:r>
      <w:r w:rsidR="000C0568" w:rsidRPr="00256A6B">
        <w:rPr>
          <w:rFonts w:asciiTheme="majorBidi" w:hAnsiTheme="majorBidi" w:cstheme="majorBidi"/>
          <w:lang w:val="es-ES_tradnl"/>
        </w:rPr>
        <w:t xml:space="preserve">1% </w:t>
      </w:r>
      <w:r w:rsidR="00862DCB" w:rsidRPr="00256A6B">
        <w:rPr>
          <w:rFonts w:asciiTheme="majorBidi" w:hAnsiTheme="majorBidi" w:cstheme="majorBidi"/>
          <w:lang w:val="es-ES_tradnl"/>
        </w:rPr>
        <w:t xml:space="preserve">mayor que la de los teléfonos originales y el </w:t>
      </w:r>
      <w:r w:rsidR="000C0568" w:rsidRPr="00256A6B">
        <w:rPr>
          <w:rFonts w:asciiTheme="majorBidi" w:hAnsiTheme="majorBidi" w:cstheme="majorBidi"/>
          <w:lang w:val="es-ES_tradnl"/>
        </w:rPr>
        <w:t>3</w:t>
      </w:r>
      <w:r w:rsidR="003B5F55" w:rsidRPr="00256A6B">
        <w:rPr>
          <w:rFonts w:asciiTheme="majorBidi" w:hAnsiTheme="majorBidi" w:cstheme="majorBidi"/>
          <w:lang w:val="es-ES_tradnl"/>
        </w:rPr>
        <w:t xml:space="preserve">4% </w:t>
      </w:r>
      <w:r w:rsidR="00862DCB" w:rsidRPr="00256A6B">
        <w:rPr>
          <w:rFonts w:asciiTheme="majorBidi" w:hAnsiTheme="majorBidi" w:cstheme="majorBidi"/>
          <w:lang w:val="es-ES_tradnl"/>
        </w:rPr>
        <w:t>de las llamadas se cor</w:t>
      </w:r>
      <w:r w:rsidR="00607159" w:rsidRPr="00256A6B">
        <w:rPr>
          <w:rFonts w:asciiTheme="majorBidi" w:hAnsiTheme="majorBidi" w:cstheme="majorBidi"/>
          <w:lang w:val="es-ES_tradnl"/>
        </w:rPr>
        <w:t>taron durante la transferencia.</w:t>
      </w:r>
      <w:r w:rsidR="00862DCB" w:rsidRPr="00256A6B">
        <w:rPr>
          <w:rFonts w:asciiTheme="majorBidi" w:hAnsiTheme="majorBidi" w:cstheme="majorBidi"/>
          <w:lang w:val="es-ES_tradnl"/>
        </w:rPr>
        <w:t xml:space="preserve"> Véanse las figuras del Anexo 1 del </w:t>
      </w:r>
      <w:r w:rsidR="00607159" w:rsidRPr="00256A6B">
        <w:rPr>
          <w:rFonts w:asciiTheme="majorBidi" w:hAnsiTheme="majorBidi" w:cstheme="majorBidi"/>
          <w:lang w:val="es-ES_tradnl"/>
        </w:rPr>
        <w:t xml:space="preserve">Foro de Fabricantes de Sistemas Móviles </w:t>
      </w:r>
      <w:r w:rsidR="00862DCB" w:rsidRPr="00256A6B">
        <w:rPr>
          <w:rFonts w:asciiTheme="majorBidi" w:hAnsiTheme="majorBidi" w:cstheme="majorBidi"/>
          <w:lang w:val="es-ES_tradnl"/>
        </w:rPr>
        <w:t xml:space="preserve">(MMF) sobre </w:t>
      </w:r>
      <w:r w:rsidR="00B30843" w:rsidRPr="00256A6B">
        <w:rPr>
          <w:rFonts w:asciiTheme="majorBidi" w:hAnsiTheme="majorBidi" w:cstheme="majorBidi"/>
          <w:lang w:val="es-ES_tradnl"/>
        </w:rPr>
        <w:t xml:space="preserve">Teléfonos </w:t>
      </w:r>
      <w:r w:rsidR="00862DCB" w:rsidRPr="00256A6B">
        <w:rPr>
          <w:rFonts w:asciiTheme="majorBidi" w:hAnsiTheme="majorBidi" w:cstheme="majorBidi"/>
          <w:lang w:val="es-ES_tradnl"/>
        </w:rPr>
        <w:t>m</w:t>
      </w:r>
      <w:r w:rsidR="00607159" w:rsidRPr="00256A6B">
        <w:rPr>
          <w:rFonts w:asciiTheme="majorBidi" w:hAnsiTheme="majorBidi" w:cstheme="majorBidi"/>
          <w:lang w:val="es-ES_tradnl"/>
        </w:rPr>
        <w:t>óviles falsificados/de baja calidad</w:t>
      </w:r>
      <w:r w:rsidR="000C2E48">
        <w:rPr>
          <w:rFonts w:asciiTheme="majorBidi" w:hAnsiTheme="majorBidi" w:cstheme="majorBidi"/>
          <w:lang w:val="es-ES_tradnl"/>
        </w:rPr>
        <w:t xml:space="preserve"> </w:t>
      </w:r>
      <w:r w:rsidR="00862DCB" w:rsidRPr="00256A6B">
        <w:rPr>
          <w:rFonts w:asciiTheme="majorBidi" w:hAnsiTheme="majorBidi" w:cstheme="majorBidi"/>
          <w:lang w:val="es-ES_tradnl"/>
        </w:rPr>
        <w:t>– Guía de recursos para los gobiernos.</w:t>
      </w:r>
      <w:r w:rsidR="000C0568" w:rsidRPr="00256A6B">
        <w:rPr>
          <w:rFonts w:asciiTheme="majorBidi" w:hAnsiTheme="majorBidi" w:cstheme="majorBidi"/>
          <w:lang w:val="es-ES_tradnl"/>
        </w:rPr>
        <w:t xml:space="preserve"> </w:t>
      </w:r>
      <w:hyperlink r:id="rId18" w:history="1">
        <w:r w:rsidR="00121529" w:rsidRPr="00256A6B">
          <w:rPr>
            <w:rStyle w:val="Hyperlink"/>
            <w:rFonts w:asciiTheme="majorBidi" w:hAnsiTheme="majorBidi" w:cstheme="majorBidi"/>
            <w:lang w:val="es-ES_tradnl"/>
          </w:rPr>
          <w:t>http://spotafakephone.com//docs/eng/MMF_CounterfeitPhones_EN.pdf</w:t>
        </w:r>
      </w:hyperlink>
      <w:r w:rsidR="000C0568" w:rsidRPr="00256A6B">
        <w:rPr>
          <w:rFonts w:asciiTheme="majorBidi" w:hAnsiTheme="majorBidi" w:cstheme="majorBidi"/>
          <w:lang w:val="es-ES_tradnl"/>
        </w:rPr>
        <w:t>.</w:t>
      </w:r>
    </w:p>
    <w:p w14:paraId="05F660DF" w14:textId="63DE8ED4" w:rsidR="00690FB1" w:rsidRPr="00256A6B" w:rsidRDefault="009C4887" w:rsidP="00CC6146">
      <w:pPr>
        <w:rPr>
          <w:rFonts w:asciiTheme="majorBidi" w:hAnsiTheme="majorBidi" w:cstheme="majorBidi"/>
          <w:lang w:val="es-ES_tradnl"/>
        </w:rPr>
      </w:pPr>
      <w:r w:rsidRPr="00256A6B">
        <w:rPr>
          <w:rFonts w:asciiTheme="majorBidi" w:hAnsiTheme="majorBidi" w:cstheme="majorBidi"/>
          <w:lang w:val="es-ES_tradnl"/>
        </w:rPr>
        <w:t>La falsificación de teléfonos móviles también plantea riesgos significativos para la salud y la seguridad. Estos dispositivos pueden contener cantidades de productos químicos que superan las normas de seguridad establecidas y que son más difíciles de recuperar mediante programas de gestión de residuos electrónicos. Esto repercute en particular en los países en desarrollo</w:t>
      </w:r>
      <w:r w:rsidR="006B314F">
        <w:rPr>
          <w:rFonts w:asciiTheme="majorBidi" w:hAnsiTheme="majorBidi" w:cstheme="majorBidi"/>
          <w:lang w:val="es-ES_tradnl"/>
        </w:rPr>
        <w:t>,</w:t>
      </w:r>
      <w:r w:rsidR="00690FB1" w:rsidRPr="00256A6B">
        <w:rPr>
          <w:rFonts w:asciiTheme="majorBidi" w:hAnsiTheme="majorBidi" w:cstheme="majorBidi"/>
          <w:lang w:val="es-ES_tradnl"/>
        </w:rPr>
        <w:t xml:space="preserve"> </w:t>
      </w:r>
      <w:r w:rsidRPr="00256A6B">
        <w:rPr>
          <w:rFonts w:asciiTheme="majorBidi" w:hAnsiTheme="majorBidi" w:cstheme="majorBidi"/>
          <w:lang w:val="es-ES_tradnl"/>
        </w:rPr>
        <w:t>que prácticamente no disponen de instalaciones de reciclaje adecuadas desde el punto de vista medioambiental y que tienen grandes cantidades de dispositivos móviles falsificados.</w:t>
      </w:r>
      <w:r w:rsidR="00690FB1" w:rsidRPr="00256A6B">
        <w:rPr>
          <w:rFonts w:asciiTheme="majorBidi" w:hAnsiTheme="majorBidi" w:cstheme="majorBidi"/>
          <w:lang w:val="es-ES_tradnl"/>
        </w:rPr>
        <w:t xml:space="preserve"> </w:t>
      </w:r>
      <w:r w:rsidRPr="00256A6B">
        <w:rPr>
          <w:rFonts w:asciiTheme="majorBidi" w:hAnsiTheme="majorBidi" w:cstheme="majorBidi"/>
          <w:lang w:val="es-ES_tradnl"/>
        </w:rPr>
        <w:t xml:space="preserve">Abordar el </w:t>
      </w:r>
      <w:r w:rsidR="00225F08" w:rsidRPr="00256A6B">
        <w:rPr>
          <w:rFonts w:asciiTheme="majorBidi" w:hAnsiTheme="majorBidi" w:cstheme="majorBidi"/>
          <w:lang w:val="es-ES_tradnl"/>
        </w:rPr>
        <w:t>asunto</w:t>
      </w:r>
      <w:r w:rsidRPr="00256A6B">
        <w:rPr>
          <w:rFonts w:asciiTheme="majorBidi" w:hAnsiTheme="majorBidi" w:cstheme="majorBidi"/>
          <w:lang w:val="es-ES_tradnl"/>
        </w:rPr>
        <w:t xml:space="preserve"> de los dispositivos falsificados </w:t>
      </w:r>
      <w:r w:rsidR="00225F08" w:rsidRPr="00256A6B">
        <w:rPr>
          <w:rFonts w:asciiTheme="majorBidi" w:hAnsiTheme="majorBidi" w:cstheme="majorBidi"/>
          <w:lang w:val="es-ES_tradnl"/>
        </w:rPr>
        <w:t>inhabilitando</w:t>
      </w:r>
      <w:r w:rsidRPr="00256A6B">
        <w:rPr>
          <w:rFonts w:asciiTheme="majorBidi" w:hAnsiTheme="majorBidi" w:cstheme="majorBidi"/>
          <w:lang w:val="es-ES_tradnl"/>
        </w:rPr>
        <w:t xml:space="preserve"> estos dispositivos</w:t>
      </w:r>
      <w:r w:rsidR="00225F08" w:rsidRPr="00256A6B">
        <w:rPr>
          <w:rFonts w:asciiTheme="majorBidi" w:hAnsiTheme="majorBidi" w:cstheme="majorBidi"/>
          <w:lang w:val="es-ES_tradnl"/>
        </w:rPr>
        <w:t xml:space="preserve"> complica aún más el problema</w:t>
      </w:r>
      <w:r w:rsidR="0048398D" w:rsidRPr="00256A6B">
        <w:rPr>
          <w:rFonts w:asciiTheme="majorBidi" w:hAnsiTheme="majorBidi" w:cstheme="majorBidi"/>
          <w:lang w:val="es-ES_tradnl"/>
        </w:rPr>
        <w:t xml:space="preserve"> para los países en desarrollo.</w:t>
      </w:r>
    </w:p>
    <w:p w14:paraId="57EF0B99" w14:textId="45464216" w:rsidR="00690FB1" w:rsidRPr="00256A6B" w:rsidRDefault="00225F08" w:rsidP="0048398D">
      <w:pPr>
        <w:rPr>
          <w:lang w:val="es-ES_tradnl"/>
        </w:rPr>
      </w:pPr>
      <w:r w:rsidRPr="00256A6B">
        <w:rPr>
          <w:lang w:val="es-ES_tradnl"/>
        </w:rPr>
        <w:t>Los productos falsificados, debido a su mal ensamblado y la utilización</w:t>
      </w:r>
      <w:r w:rsidR="00690FB1" w:rsidRPr="00256A6B">
        <w:rPr>
          <w:lang w:val="es-ES_tradnl"/>
        </w:rPr>
        <w:t xml:space="preserve"> </w:t>
      </w:r>
      <w:r w:rsidRPr="00256A6B">
        <w:rPr>
          <w:lang w:val="es-ES_tradnl"/>
        </w:rPr>
        <w:t xml:space="preserve">de componentes de baja calidad, contienen sustancias peligrosas que están prohibidas en muchos países </w:t>
      </w:r>
      <w:r w:rsidR="00CC6146" w:rsidRPr="00256A6B">
        <w:rPr>
          <w:lang w:val="es-ES_tradnl"/>
        </w:rPr>
        <w:t>en cumplimiento de</w:t>
      </w:r>
      <w:r w:rsidRPr="00256A6B">
        <w:rPr>
          <w:lang w:val="es-ES_tradnl"/>
        </w:rPr>
        <w:t xml:space="preserve"> la normativa sobre restricciones a la utilización de sustancias peligrosas (RUSP) o </w:t>
      </w:r>
      <w:r w:rsidR="00CC6146" w:rsidRPr="00256A6B">
        <w:rPr>
          <w:lang w:val="es-ES_tradnl"/>
        </w:rPr>
        <w:t xml:space="preserve">de </w:t>
      </w:r>
      <w:r w:rsidRPr="00256A6B">
        <w:rPr>
          <w:lang w:val="es-ES_tradnl"/>
        </w:rPr>
        <w:t>la le</w:t>
      </w:r>
      <w:r w:rsidR="0048398D" w:rsidRPr="00256A6B">
        <w:rPr>
          <w:lang w:val="es-ES_tradnl"/>
        </w:rPr>
        <w:t>gislación nacional equivalente.</w:t>
      </w:r>
    </w:p>
    <w:p w14:paraId="089CDC74" w14:textId="1DA0A754" w:rsidR="0093097F" w:rsidRPr="00256A6B" w:rsidRDefault="00225F08" w:rsidP="00867BB2">
      <w:pPr>
        <w:rPr>
          <w:rFonts w:asciiTheme="majorBidi" w:hAnsiTheme="majorBidi" w:cstheme="majorBidi"/>
          <w:lang w:val="es-ES_tradnl"/>
        </w:rPr>
      </w:pPr>
      <w:r w:rsidRPr="00256A6B">
        <w:rPr>
          <w:rFonts w:asciiTheme="majorBidi" w:hAnsiTheme="majorBidi" w:cstheme="majorBidi"/>
          <w:lang w:val="es-ES_tradnl"/>
        </w:rPr>
        <w:t xml:space="preserve">Otro </w:t>
      </w:r>
      <w:r w:rsidR="00393689" w:rsidRPr="00256A6B">
        <w:rPr>
          <w:rFonts w:asciiTheme="majorBidi" w:hAnsiTheme="majorBidi" w:cstheme="majorBidi"/>
          <w:lang w:val="es-ES_tradnl"/>
        </w:rPr>
        <w:t>estudio</w:t>
      </w:r>
      <w:r w:rsidRPr="00256A6B">
        <w:rPr>
          <w:rFonts w:asciiTheme="majorBidi" w:hAnsiTheme="majorBidi" w:cstheme="majorBidi"/>
          <w:lang w:val="es-ES_tradnl"/>
        </w:rPr>
        <w:t xml:space="preserve"> reciente llevado a cabo p</w:t>
      </w:r>
      <w:r w:rsidR="00393689" w:rsidRPr="00256A6B">
        <w:rPr>
          <w:rFonts w:asciiTheme="majorBidi" w:hAnsiTheme="majorBidi" w:cstheme="majorBidi"/>
          <w:lang w:val="es-ES_tradnl"/>
        </w:rPr>
        <w:t xml:space="preserve">or el Instituto </w:t>
      </w:r>
      <w:r w:rsidR="00867BB2" w:rsidRPr="00256A6B">
        <w:rPr>
          <w:rFonts w:asciiTheme="majorBidi" w:hAnsiTheme="majorBidi" w:cstheme="majorBidi"/>
          <w:lang w:val="es-ES_tradnl"/>
        </w:rPr>
        <w:t xml:space="preserve">Nokia </w:t>
      </w:r>
      <w:r w:rsidR="00393689" w:rsidRPr="00256A6B">
        <w:rPr>
          <w:rFonts w:asciiTheme="majorBidi" w:hAnsiTheme="majorBidi" w:cstheme="majorBidi"/>
          <w:lang w:val="es-ES_tradnl"/>
        </w:rPr>
        <w:t>de Tecnología</w:t>
      </w:r>
      <w:r w:rsidR="00B5074A" w:rsidRPr="00256A6B">
        <w:rPr>
          <w:rFonts w:asciiTheme="majorBidi" w:hAnsiTheme="majorBidi" w:cstheme="majorBidi"/>
          <w:lang w:val="es-ES_tradnl"/>
        </w:rPr>
        <w:t xml:space="preserve"> </w:t>
      </w:r>
      <w:r w:rsidR="00393689" w:rsidRPr="00256A6B">
        <w:rPr>
          <w:rFonts w:asciiTheme="majorBidi" w:hAnsiTheme="majorBidi" w:cstheme="majorBidi"/>
          <w:lang w:val="es-ES_tradnl"/>
        </w:rPr>
        <w:t>en Brasil</w:t>
      </w:r>
      <w:r w:rsidR="00B5074A" w:rsidRPr="00256A6B">
        <w:rPr>
          <w:rFonts w:asciiTheme="majorBidi" w:hAnsiTheme="majorBidi" w:cstheme="majorBidi"/>
          <w:lang w:val="es-ES_tradnl"/>
        </w:rPr>
        <w:t xml:space="preserve"> (INdT) </w:t>
      </w:r>
      <w:r w:rsidR="00393689" w:rsidRPr="00256A6B">
        <w:rPr>
          <w:rFonts w:asciiTheme="majorBidi" w:hAnsiTheme="majorBidi" w:cstheme="majorBidi"/>
          <w:lang w:val="es-ES_tradnl"/>
        </w:rPr>
        <w:t>sobre sustancias peligrosas ilustra los peligros potenciales de los teléfonos falsificados. En particular, el objetivo consistía en evaluar si los teléfonos falsificados cumplían la normativa RUSP y la Directiva de</w:t>
      </w:r>
      <w:r w:rsidR="00CC6146" w:rsidRPr="00256A6B">
        <w:rPr>
          <w:rFonts w:asciiTheme="majorBidi" w:hAnsiTheme="majorBidi" w:cstheme="majorBidi"/>
          <w:lang w:val="es-ES_tradnl"/>
        </w:rPr>
        <w:t xml:space="preserve"> la</w:t>
      </w:r>
      <w:r w:rsidR="00393689" w:rsidRPr="00256A6B">
        <w:rPr>
          <w:rFonts w:asciiTheme="majorBidi" w:hAnsiTheme="majorBidi" w:cstheme="majorBidi"/>
          <w:lang w:val="es-ES_tradnl"/>
        </w:rPr>
        <w:t xml:space="preserve"> UE sobre las restricciones a la utilización de algunas sustancias peligrosas en equipos eléctricos y electrónicos. Esta directiva limita el uso de seis materiales peligrosos en diversos tipos de equipos eléctricos y electrónicos</w:t>
      </w:r>
      <w:r w:rsidR="00B5074A" w:rsidRPr="00256A6B">
        <w:rPr>
          <w:rFonts w:asciiTheme="majorBidi" w:hAnsiTheme="majorBidi" w:cstheme="majorBidi"/>
          <w:lang w:val="es-ES_tradnl"/>
        </w:rPr>
        <w:t>.</w:t>
      </w:r>
    </w:p>
    <w:p w14:paraId="04C208E3" w14:textId="04B82D73" w:rsidR="00B5074A" w:rsidRPr="00256A6B" w:rsidRDefault="008D3541" w:rsidP="0048398D">
      <w:pPr>
        <w:rPr>
          <w:sz w:val="22"/>
          <w:szCs w:val="22"/>
          <w:lang w:val="es-ES_tradnl"/>
        </w:rPr>
      </w:pPr>
      <w:r w:rsidRPr="00256A6B">
        <w:rPr>
          <w:lang w:val="es-ES_tradnl"/>
        </w:rPr>
        <w:t>Durante el estudio, que utilizó el método de pruebas de la norma</w:t>
      </w:r>
      <w:r w:rsidR="00B5074A" w:rsidRPr="00256A6B">
        <w:rPr>
          <w:lang w:val="es-ES_tradnl"/>
        </w:rPr>
        <w:t xml:space="preserve"> </w:t>
      </w:r>
      <w:r w:rsidRPr="00256A6B">
        <w:rPr>
          <w:lang w:val="es-ES_tradnl"/>
        </w:rPr>
        <w:t>CEI</w:t>
      </w:r>
      <w:r w:rsidR="00B5074A" w:rsidRPr="00256A6B">
        <w:rPr>
          <w:lang w:val="es-ES_tradnl"/>
        </w:rPr>
        <w:t xml:space="preserve"> 62321 </w:t>
      </w:r>
      <w:r w:rsidR="00F07158" w:rsidRPr="00256A6B">
        <w:rPr>
          <w:lang w:val="es-ES_tradnl"/>
        </w:rPr>
        <w:t>[75</w:t>
      </w:r>
      <w:r w:rsidR="0021572A" w:rsidRPr="00256A6B">
        <w:rPr>
          <w:lang w:val="es-ES_tradnl"/>
        </w:rPr>
        <w:t>]</w:t>
      </w:r>
      <w:r w:rsidRPr="00256A6B">
        <w:rPr>
          <w:lang w:val="es-ES_tradnl"/>
        </w:rPr>
        <w:t xml:space="preserve">, se realizaron pruebas a cinco teléfonos falsificados y a 158 partes como tapas, pantallas, circuitos integrados, teclados y otros componentes montados sobre su superficie. El estudio </w:t>
      </w:r>
      <w:r w:rsidR="00CC6146" w:rsidRPr="00256A6B">
        <w:rPr>
          <w:lang w:val="es-ES_tradnl"/>
        </w:rPr>
        <w:t xml:space="preserve">del </w:t>
      </w:r>
      <w:r w:rsidR="00B5074A" w:rsidRPr="00256A6B">
        <w:rPr>
          <w:lang w:val="es-ES_tradnl"/>
        </w:rPr>
        <w:t xml:space="preserve">INdT </w:t>
      </w:r>
      <w:r w:rsidRPr="00256A6B">
        <w:rPr>
          <w:lang w:val="es-ES_tradnl"/>
        </w:rPr>
        <w:t>reveló la presencia de dos substancias peligrosas</w:t>
      </w:r>
      <w:r w:rsidR="00B5074A" w:rsidRPr="00256A6B">
        <w:rPr>
          <w:lang w:val="es-ES_tradnl"/>
        </w:rPr>
        <w:t xml:space="preserve"> </w:t>
      </w:r>
      <w:r w:rsidR="000D2C46" w:rsidRPr="00256A6B">
        <w:rPr>
          <w:lang w:val="es-ES_tradnl"/>
        </w:rPr>
        <w:t xml:space="preserve">(plomo y cadmio) tanto en componentes internos como externos y concentraciones muy superiores a los valores máximos permitidos por la normativa RUSP. </w:t>
      </w:r>
      <w:r w:rsidR="00CC6146" w:rsidRPr="00256A6B">
        <w:rPr>
          <w:lang w:val="es-ES_tradnl"/>
        </w:rPr>
        <w:t>La F</w:t>
      </w:r>
      <w:r w:rsidR="000D2C46" w:rsidRPr="00256A6B">
        <w:rPr>
          <w:lang w:val="es-ES_tradnl"/>
        </w:rPr>
        <w:t>igura A: Análisis químico de sustancias peligrosas en teléfon</w:t>
      </w:r>
      <w:r w:rsidR="00CC6146" w:rsidRPr="00256A6B">
        <w:rPr>
          <w:lang w:val="es-ES_tradnl"/>
        </w:rPr>
        <w:t>os móviles falsificados o de baja calidad</w:t>
      </w:r>
      <w:r w:rsidR="000D2C46" w:rsidRPr="00256A6B">
        <w:rPr>
          <w:lang w:val="es-ES_tradnl"/>
        </w:rPr>
        <w:t xml:space="preserve"> del MMF – Guía de recursos para los gobiernos</w:t>
      </w:r>
      <w:r w:rsidR="00121529" w:rsidRPr="00256A6B">
        <w:rPr>
          <w:lang w:val="es-ES_tradnl"/>
        </w:rPr>
        <w:t xml:space="preserve"> </w:t>
      </w:r>
      <w:hyperlink r:id="rId19" w:history="1">
        <w:r w:rsidR="00121529" w:rsidRPr="00256A6B">
          <w:rPr>
            <w:rStyle w:val="Hyperlink"/>
            <w:rFonts w:asciiTheme="majorBidi" w:hAnsiTheme="majorBidi" w:cstheme="majorBidi"/>
            <w:lang w:val="es-ES_tradnl"/>
          </w:rPr>
          <w:t>http://spotafakephone.com//docs/eng/MMF_CounterfeitPhones_EN.pdf</w:t>
        </w:r>
      </w:hyperlink>
      <w:r w:rsidR="004114D7" w:rsidRPr="00256A6B">
        <w:rPr>
          <w:lang w:val="es-ES_tradnl"/>
        </w:rPr>
        <w:t xml:space="preserve"> </w:t>
      </w:r>
      <w:r w:rsidR="000D2C46" w:rsidRPr="00256A6B">
        <w:rPr>
          <w:lang w:val="es-ES_tradnl"/>
        </w:rPr>
        <w:t xml:space="preserve">ilustra la cantidad excesiva de plomo y cadmio encontrada en componentes internos y externos de </w:t>
      </w:r>
      <w:r w:rsidR="00CC6146" w:rsidRPr="00256A6B">
        <w:rPr>
          <w:lang w:val="es-ES_tradnl"/>
        </w:rPr>
        <w:t>l</w:t>
      </w:r>
      <w:r w:rsidR="00A75629">
        <w:rPr>
          <w:lang w:val="es-ES_tradnl"/>
        </w:rPr>
        <w:t>os teléfonos móviles probados.</w:t>
      </w:r>
    </w:p>
    <w:p w14:paraId="22DBAF87" w14:textId="175406E9" w:rsidR="00B5074A" w:rsidRPr="00256A6B" w:rsidRDefault="000D2C46" w:rsidP="0048398D">
      <w:pPr>
        <w:rPr>
          <w:lang w:val="es-ES_tradnl"/>
        </w:rPr>
      </w:pPr>
      <w:r w:rsidRPr="00256A6B">
        <w:rPr>
          <w:lang w:val="es-ES_tradnl"/>
        </w:rPr>
        <w:t>Otros estudios llevados a cabo en otros países han confirmado la existencia de sustancias peligrosas en teléfonos móviles falsificados. El Centro de Materiales</w:t>
      </w:r>
      <w:r w:rsidR="00B5074A" w:rsidRPr="00256A6B">
        <w:rPr>
          <w:lang w:val="es-ES_tradnl"/>
        </w:rPr>
        <w:t xml:space="preserve"> </w:t>
      </w:r>
      <w:r w:rsidRPr="00256A6B">
        <w:rPr>
          <w:lang w:val="es-ES_tradnl"/>
        </w:rPr>
        <w:t>para Tecnologías Electrónicas (</w:t>
      </w:r>
      <w:r w:rsidR="00B5074A" w:rsidRPr="00256A6B">
        <w:rPr>
          <w:lang w:val="es-ES_tradnl"/>
        </w:rPr>
        <w:t>Centre for Materials for Electronics Technology (C-MET)</w:t>
      </w:r>
      <w:r w:rsidRPr="00256A6B">
        <w:rPr>
          <w:lang w:val="es-ES_tradnl"/>
        </w:rPr>
        <w:t>)</w:t>
      </w:r>
      <w:r w:rsidR="00B5074A" w:rsidRPr="00256A6B">
        <w:rPr>
          <w:lang w:val="es-ES_tradnl"/>
        </w:rPr>
        <w:t xml:space="preserve">, </w:t>
      </w:r>
      <w:r w:rsidRPr="00256A6B">
        <w:rPr>
          <w:lang w:val="es-ES_tradnl"/>
        </w:rPr>
        <w:t>de</w:t>
      </w:r>
      <w:r w:rsidR="00B5074A" w:rsidRPr="00256A6B">
        <w:rPr>
          <w:lang w:val="es-ES_tradnl"/>
        </w:rPr>
        <w:t xml:space="preserve"> Hyderabad, India</w:t>
      </w:r>
      <w:r w:rsidR="00DF7E21" w:rsidRPr="00256A6B">
        <w:rPr>
          <w:lang w:val="es-ES_tradnl"/>
        </w:rPr>
        <w:t>,</w:t>
      </w:r>
      <w:r w:rsidR="00B5074A" w:rsidRPr="00256A6B">
        <w:rPr>
          <w:lang w:val="es-ES_tradnl"/>
        </w:rPr>
        <w:t xml:space="preserve"> </w:t>
      </w:r>
      <w:r w:rsidRPr="00256A6B">
        <w:rPr>
          <w:lang w:val="es-ES_tradnl"/>
        </w:rPr>
        <w:t>emprendió un estudio para comprobar el cumplimiento de la normativa RUSP de los dispositivos móviles</w:t>
      </w:r>
      <w:r w:rsidR="00B5074A" w:rsidRPr="00256A6B">
        <w:rPr>
          <w:lang w:val="es-ES_tradnl"/>
        </w:rPr>
        <w:t xml:space="preserve"> </w:t>
      </w:r>
      <w:r w:rsidRPr="00256A6B">
        <w:rPr>
          <w:lang w:val="es-ES_tradnl"/>
        </w:rPr>
        <w:t>introducidos en el mercado</w:t>
      </w:r>
      <w:r w:rsidR="00205E8A">
        <w:rPr>
          <w:lang w:val="es-ES_tradnl"/>
        </w:rPr>
        <w:t xml:space="preserve"> indio. Para este estudio, el C-</w:t>
      </w:r>
      <w:r w:rsidRPr="00256A6B">
        <w:rPr>
          <w:lang w:val="es-ES_tradnl"/>
        </w:rPr>
        <w:t>MET seleccionó para las pruebas 15 modelos de teléfono móvil ampliamente disponibles. Los teléfonos se eligieron en función de su popularidad y disponibilidad en el mercado indio y las pruebas se realizaron siguiendo los procedimientos de la norma CEI</w:t>
      </w:r>
      <w:r w:rsidR="00B5074A" w:rsidRPr="00256A6B">
        <w:rPr>
          <w:lang w:val="es-ES_tradnl"/>
        </w:rPr>
        <w:t xml:space="preserve"> 62321</w:t>
      </w:r>
      <w:r w:rsidR="000F4D46" w:rsidRPr="00256A6B">
        <w:rPr>
          <w:lang w:val="es-ES_tradnl"/>
        </w:rPr>
        <w:t xml:space="preserve"> (</w:t>
      </w:r>
      <w:r w:rsidR="00B5074A" w:rsidRPr="00256A6B">
        <w:rPr>
          <w:lang w:val="es-ES_tradnl"/>
        </w:rPr>
        <w:t>200</w:t>
      </w:r>
      <w:r w:rsidR="000F4D46" w:rsidRPr="00256A6B">
        <w:rPr>
          <w:lang w:val="es-ES_tradnl"/>
        </w:rPr>
        <w:t>8)</w:t>
      </w:r>
      <w:r w:rsidR="00F8389F">
        <w:rPr>
          <w:lang w:val="es-ES_tradnl"/>
        </w:rPr>
        <w:t>.</w:t>
      </w:r>
    </w:p>
    <w:p w14:paraId="60E99752" w14:textId="6D1E9166" w:rsidR="00B5074A" w:rsidRPr="00256A6B" w:rsidRDefault="000D2C46" w:rsidP="0048398D">
      <w:pPr>
        <w:rPr>
          <w:lang w:val="es-ES_tradnl"/>
        </w:rPr>
      </w:pPr>
      <w:r w:rsidRPr="00256A6B">
        <w:rPr>
          <w:lang w:val="es-ES_tradnl"/>
        </w:rPr>
        <w:t>El resultado fue que todos los teléfonos móviles falsificados contenían tasas alarmantemente altas de sustancias peligrosas, en particular plomo (Pb). En alg</w:t>
      </w:r>
      <w:r w:rsidR="00CC6146" w:rsidRPr="00256A6B">
        <w:rPr>
          <w:lang w:val="es-ES_tradnl"/>
        </w:rPr>
        <w:t>unos casos, las cantidades eran</w:t>
      </w:r>
      <w:r w:rsidRPr="00256A6B">
        <w:rPr>
          <w:lang w:val="es-ES_tradnl"/>
        </w:rPr>
        <w:t xml:space="preserve"> </w:t>
      </w:r>
      <w:r w:rsidR="00CC6146" w:rsidRPr="00256A6B">
        <w:rPr>
          <w:lang w:val="es-ES_tradnl"/>
        </w:rPr>
        <w:t>35 y hasta</w:t>
      </w:r>
      <w:r w:rsidRPr="00256A6B">
        <w:rPr>
          <w:lang w:val="es-ES_tradnl"/>
        </w:rPr>
        <w:t xml:space="preserve"> 40 veces superiores a los límites aceptables para el plomo en todo el mundo.</w:t>
      </w:r>
      <w:r w:rsidR="00B5074A" w:rsidRPr="00256A6B">
        <w:rPr>
          <w:lang w:val="es-ES_tradnl"/>
        </w:rPr>
        <w:t xml:space="preserve"> </w:t>
      </w:r>
      <w:r w:rsidRPr="00256A6B">
        <w:rPr>
          <w:lang w:val="es-ES_tradnl"/>
        </w:rPr>
        <w:t>Muchos de los componentes críticos</w:t>
      </w:r>
      <w:r w:rsidR="00085EC8">
        <w:rPr>
          <w:lang w:val="es-ES_tradnl"/>
        </w:rPr>
        <w:t>,</w:t>
      </w:r>
      <w:r w:rsidRPr="00256A6B">
        <w:rPr>
          <w:lang w:val="es-ES_tradnl"/>
        </w:rPr>
        <w:t xml:space="preserve"> como la ranura de la tarjeta de memoria, la ranura del módulo de identificación de usuario (SIM), la cámara, etc., que se encuentran en contacto directo con el </w:t>
      </w:r>
      <w:r w:rsidR="007135DA" w:rsidRPr="00256A6B">
        <w:rPr>
          <w:lang w:val="es-ES_tradnl"/>
        </w:rPr>
        <w:lastRenderedPageBreak/>
        <w:t>usuario,</w:t>
      </w:r>
      <w:r w:rsidRPr="00256A6B">
        <w:rPr>
          <w:lang w:val="es-ES_tradnl"/>
        </w:rPr>
        <w:t xml:space="preserve"> demostraron ser los peores en cuanto a contenido de materiales peligrosos</w:t>
      </w:r>
      <w:r w:rsidR="007135DA" w:rsidRPr="00256A6B">
        <w:rPr>
          <w:lang w:val="es-ES_tradnl"/>
        </w:rPr>
        <w:t>,</w:t>
      </w:r>
      <w:r w:rsidRPr="00256A6B">
        <w:rPr>
          <w:lang w:val="es-ES_tradnl"/>
        </w:rPr>
        <w:t xml:space="preserve"> lo que obviamente supone un mayor riesgo para los consumidores</w:t>
      </w:r>
      <w:r w:rsidR="00B5074A" w:rsidRPr="00256A6B">
        <w:rPr>
          <w:lang w:val="es-ES_tradnl"/>
        </w:rPr>
        <w:t xml:space="preserve"> </w:t>
      </w:r>
      <w:r w:rsidRPr="00256A6B">
        <w:rPr>
          <w:lang w:val="es-ES_tradnl"/>
        </w:rPr>
        <w:t>que si estos componentes estuvieran en el interior del dispositivo</w:t>
      </w:r>
      <w:r w:rsidR="007135DA" w:rsidRPr="00256A6B">
        <w:rPr>
          <w:lang w:val="es-ES_tradnl"/>
        </w:rPr>
        <w:t>.</w:t>
      </w:r>
      <w:r w:rsidRPr="00256A6B">
        <w:rPr>
          <w:lang w:val="es-ES_tradnl"/>
        </w:rPr>
        <w:t xml:space="preserve"> Por el contrario</w:t>
      </w:r>
      <w:r w:rsidR="00B5074A" w:rsidRPr="00256A6B">
        <w:rPr>
          <w:lang w:val="es-ES_tradnl"/>
        </w:rPr>
        <w:t>,</w:t>
      </w:r>
      <w:r w:rsidRPr="00256A6B">
        <w:rPr>
          <w:lang w:val="es-ES_tradnl"/>
        </w:rPr>
        <w:t xml:space="preserve"> los teléfonos móviles comprobados provenientes de marcas mundiales y reconocidas demostraron cumplir los límites RUSP y ser, por tan</w:t>
      </w:r>
      <w:r w:rsidR="00C84F6A" w:rsidRPr="00256A6B">
        <w:rPr>
          <w:lang w:val="es-ES_tradnl"/>
        </w:rPr>
        <w:t>to, seguros para el consumidor.</w:t>
      </w:r>
      <w:r w:rsidRPr="00256A6B">
        <w:rPr>
          <w:lang w:val="es-ES_tradnl"/>
        </w:rPr>
        <w:t xml:space="preserve"> La Figura B</w:t>
      </w:r>
      <w:r w:rsidR="00B5074A" w:rsidRPr="00256A6B">
        <w:rPr>
          <w:lang w:val="es-ES_tradnl"/>
        </w:rPr>
        <w:t xml:space="preserve"> </w:t>
      </w:r>
      <w:r w:rsidRPr="00256A6B">
        <w:rPr>
          <w:lang w:val="es-ES_tradnl"/>
        </w:rPr>
        <w:t xml:space="preserve">de la Guía de recursos para los gobiernos del MMF </w:t>
      </w:r>
      <w:hyperlink r:id="rId20" w:history="1">
        <w:r w:rsidR="004B57E5" w:rsidRPr="00256A6B">
          <w:rPr>
            <w:rStyle w:val="Hyperlink"/>
            <w:rFonts w:cstheme="majorBidi"/>
            <w:lang w:val="es-ES_tradnl"/>
          </w:rPr>
          <w:t>http://spotafakephone.com//docs/eng/MMF_CounterfeitPhones_EN.pdf</w:t>
        </w:r>
      </w:hyperlink>
      <w:r w:rsidR="004B57E5" w:rsidRPr="00256A6B">
        <w:rPr>
          <w:lang w:val="es-ES_tradnl"/>
        </w:rPr>
        <w:t xml:space="preserve"> </w:t>
      </w:r>
      <w:r w:rsidRPr="00256A6B">
        <w:rPr>
          <w:lang w:val="es-ES_tradnl"/>
        </w:rPr>
        <w:t>presenta un resumen de los resultados</w:t>
      </w:r>
      <w:r w:rsidR="00B5074A" w:rsidRPr="00256A6B">
        <w:rPr>
          <w:lang w:val="es-ES_tradnl"/>
        </w:rPr>
        <w:t xml:space="preserve"> </w:t>
      </w:r>
      <w:r w:rsidRPr="00256A6B">
        <w:rPr>
          <w:lang w:val="es-ES_tradnl"/>
        </w:rPr>
        <w:t xml:space="preserve">del estudio, mientras la Figura C </w:t>
      </w:r>
      <w:hyperlink r:id="rId21" w:history="1">
        <w:r w:rsidR="004B57E5" w:rsidRPr="00256A6B">
          <w:rPr>
            <w:rStyle w:val="Hyperlink"/>
            <w:rFonts w:cstheme="majorBidi"/>
            <w:lang w:val="es-ES_tradnl"/>
          </w:rPr>
          <w:t>http://spotafakephone.com//docs/eng/MMF_CounterfeitPhones_EN.pdf</w:t>
        </w:r>
      </w:hyperlink>
      <w:r w:rsidR="004B57E5" w:rsidRPr="00256A6B">
        <w:rPr>
          <w:lang w:val="es-ES_tradnl"/>
        </w:rPr>
        <w:t xml:space="preserve"> </w:t>
      </w:r>
      <w:r w:rsidRPr="00256A6B">
        <w:rPr>
          <w:lang w:val="es-ES_tradnl"/>
        </w:rPr>
        <w:t xml:space="preserve">muestra gráficamente las zonas en las que se pueden encontrar </w:t>
      </w:r>
      <w:r w:rsidR="0048398D" w:rsidRPr="00256A6B">
        <w:rPr>
          <w:lang w:val="es-ES_tradnl"/>
        </w:rPr>
        <w:t>altas concentraciones de plomo.</w:t>
      </w:r>
    </w:p>
    <w:p w14:paraId="7C5F175A" w14:textId="782204FB" w:rsidR="009B7CCA" w:rsidRPr="00256A6B" w:rsidRDefault="00815E04" w:rsidP="00815E04">
      <w:pPr>
        <w:rPr>
          <w:rFonts w:asciiTheme="majorBidi" w:hAnsiTheme="majorBidi" w:cstheme="majorBidi"/>
          <w:lang w:val="es-ES_tradnl"/>
        </w:rPr>
      </w:pPr>
      <w:r w:rsidRPr="00256A6B">
        <w:rPr>
          <w:rFonts w:asciiTheme="majorBidi" w:hAnsiTheme="majorBidi" w:cstheme="majorBidi"/>
          <w:lang w:val="es-ES_tradnl"/>
        </w:rPr>
        <w:t xml:space="preserve">Además, el uso de teléfonos con números de identidad internacional de equipos móviles (IMEI) duplicados/falsos/perdidos puede presentar amenazas para la seguridad nacional y personal que son difíciles de rastrear en la red. </w:t>
      </w:r>
    </w:p>
    <w:p w14:paraId="670FCD7B" w14:textId="2321FCFE" w:rsidR="009B7CCA" w:rsidRPr="00256A6B" w:rsidRDefault="00E12A5C" w:rsidP="001A3B27">
      <w:pPr>
        <w:rPr>
          <w:lang w:val="es-ES_tradnl"/>
        </w:rPr>
      </w:pPr>
      <w:r w:rsidRPr="00256A6B">
        <w:rPr>
          <w:rFonts w:asciiTheme="majorBidi" w:hAnsiTheme="majorBidi" w:cstheme="majorBidi"/>
          <w:lang w:val="es-ES_tradnl"/>
        </w:rPr>
        <w:t>Final</w:t>
      </w:r>
      <w:r w:rsidR="00815E04" w:rsidRPr="00256A6B">
        <w:rPr>
          <w:rFonts w:asciiTheme="majorBidi" w:hAnsiTheme="majorBidi" w:cstheme="majorBidi"/>
          <w:lang w:val="es-ES_tradnl"/>
        </w:rPr>
        <w:t>mente</w:t>
      </w:r>
      <w:r w:rsidRPr="00256A6B">
        <w:rPr>
          <w:rFonts w:asciiTheme="majorBidi" w:hAnsiTheme="majorBidi" w:cstheme="majorBidi"/>
          <w:lang w:val="es-ES_tradnl"/>
        </w:rPr>
        <w:t xml:space="preserve">, </w:t>
      </w:r>
      <w:r w:rsidR="00815E04" w:rsidRPr="00256A6B">
        <w:rPr>
          <w:rFonts w:asciiTheme="majorBidi" w:hAnsiTheme="majorBidi" w:cstheme="majorBidi"/>
          <w:lang w:val="es-ES_tradnl"/>
        </w:rPr>
        <w:t xml:space="preserve">como ejemplo de los ingresos que se pueden perder en el comercio de dispositivos móviles falsificados, la autoridad de Kenia contra la falsificación indica que el país perdió en torno a 38,5 millones </w:t>
      </w:r>
      <w:r w:rsidR="004C1DB7">
        <w:rPr>
          <w:rFonts w:asciiTheme="majorBidi" w:hAnsiTheme="majorBidi" w:cstheme="majorBidi"/>
          <w:lang w:val="es-ES_tradnl"/>
        </w:rPr>
        <w:t>USD</w:t>
      </w:r>
      <w:r w:rsidR="00815E04" w:rsidRPr="00256A6B">
        <w:rPr>
          <w:rFonts w:asciiTheme="majorBidi" w:hAnsiTheme="majorBidi" w:cstheme="majorBidi"/>
          <w:lang w:val="es-ES_tradnl"/>
        </w:rPr>
        <w:t xml:space="preserve"> debido a la comercialización de teléfonos falsificados </w:t>
      </w:r>
      <w:r w:rsidR="003E4D6F" w:rsidRPr="00256A6B">
        <w:rPr>
          <w:rFonts w:asciiTheme="majorBidi" w:hAnsiTheme="majorBidi" w:cstheme="majorBidi"/>
          <w:lang w:val="es-ES_tradnl"/>
        </w:rPr>
        <w:t>[</w:t>
      </w:r>
      <w:r w:rsidR="00F126D5" w:rsidRPr="00256A6B">
        <w:rPr>
          <w:rFonts w:asciiTheme="majorBidi" w:hAnsiTheme="majorBidi" w:cstheme="majorBidi"/>
          <w:lang w:val="es-ES_tradnl"/>
        </w:rPr>
        <w:t>39</w:t>
      </w:r>
      <w:r w:rsidR="003E4D6F" w:rsidRPr="00256A6B">
        <w:rPr>
          <w:rFonts w:asciiTheme="majorBidi" w:hAnsiTheme="majorBidi" w:cstheme="majorBidi"/>
          <w:lang w:val="es-ES_tradnl"/>
        </w:rPr>
        <w:t xml:space="preserve">]. </w:t>
      </w:r>
      <w:r w:rsidR="00815E04" w:rsidRPr="00256A6B">
        <w:rPr>
          <w:rFonts w:asciiTheme="majorBidi" w:hAnsiTheme="majorBidi" w:cstheme="majorBidi"/>
          <w:lang w:val="es-ES_tradnl"/>
        </w:rPr>
        <w:t>La instalación de un sistema automatizado de información</w:t>
      </w:r>
      <w:r w:rsidR="009B37C3" w:rsidRPr="00256A6B">
        <w:rPr>
          <w:rFonts w:asciiTheme="majorBidi" w:hAnsiTheme="majorBidi" w:cstheme="majorBidi"/>
          <w:lang w:val="es-ES_tradnl"/>
        </w:rPr>
        <w:t xml:space="preserve"> para el registro de terminales móviles en Ucrania </w:t>
      </w:r>
      <w:r w:rsidR="00152686" w:rsidRPr="00256A6B">
        <w:rPr>
          <w:rFonts w:asciiTheme="majorBidi" w:hAnsiTheme="majorBidi" w:cstheme="majorBidi"/>
          <w:bCs/>
          <w:shd w:val="clear" w:color="auto" w:fill="FFFFFF"/>
          <w:lang w:val="es-ES_tradnl"/>
        </w:rPr>
        <w:t>(AISMTRU)</w:t>
      </w:r>
      <w:r w:rsidR="00152686" w:rsidRPr="00256A6B">
        <w:rPr>
          <w:rFonts w:asciiTheme="majorBidi" w:hAnsiTheme="majorBidi" w:cstheme="majorBidi"/>
          <w:lang w:val="es-ES_tradnl"/>
        </w:rPr>
        <w:t xml:space="preserve"> </w:t>
      </w:r>
      <w:r w:rsidR="009B37C3" w:rsidRPr="00256A6B">
        <w:rPr>
          <w:rFonts w:asciiTheme="majorBidi" w:hAnsiTheme="majorBidi" w:cstheme="majorBidi"/>
          <w:lang w:val="es-ES_tradnl"/>
        </w:rPr>
        <w:t>en</w:t>
      </w:r>
      <w:r w:rsidR="00152686" w:rsidRPr="00256A6B">
        <w:rPr>
          <w:rFonts w:asciiTheme="majorBidi" w:hAnsiTheme="majorBidi" w:cstheme="majorBidi"/>
          <w:lang w:val="es-ES_tradnl"/>
        </w:rPr>
        <w:t xml:space="preserve"> 2009 </w:t>
      </w:r>
      <w:r w:rsidR="009B37C3" w:rsidRPr="00256A6B">
        <w:rPr>
          <w:rFonts w:asciiTheme="majorBidi" w:hAnsiTheme="majorBidi" w:cstheme="majorBidi"/>
          <w:lang w:val="es-ES_tradnl"/>
        </w:rPr>
        <w:t xml:space="preserve">dio como resultado unos ingresos adicionales de </w:t>
      </w:r>
      <w:r w:rsidR="00152686" w:rsidRPr="00256A6B">
        <w:rPr>
          <w:rFonts w:asciiTheme="majorBidi" w:hAnsiTheme="majorBidi" w:cstheme="majorBidi"/>
          <w:lang w:val="es-ES_tradnl"/>
        </w:rPr>
        <w:t>500 mill</w:t>
      </w:r>
      <w:r w:rsidR="009B37C3" w:rsidRPr="00256A6B">
        <w:rPr>
          <w:rFonts w:asciiTheme="majorBidi" w:hAnsiTheme="majorBidi" w:cstheme="majorBidi"/>
          <w:lang w:val="es-ES_tradnl"/>
        </w:rPr>
        <w:t xml:space="preserve">ones </w:t>
      </w:r>
      <w:r w:rsidR="001A3B27">
        <w:rPr>
          <w:rFonts w:asciiTheme="majorBidi" w:hAnsiTheme="majorBidi" w:cstheme="majorBidi"/>
          <w:lang w:val="es-ES_tradnl"/>
        </w:rPr>
        <w:t>USD</w:t>
      </w:r>
      <w:r w:rsidR="009B37C3" w:rsidRPr="00256A6B">
        <w:rPr>
          <w:rFonts w:asciiTheme="majorBidi" w:hAnsiTheme="majorBidi" w:cstheme="majorBidi"/>
          <w:lang w:val="es-ES_tradnl"/>
        </w:rPr>
        <w:t xml:space="preserve"> entre </w:t>
      </w:r>
      <w:r w:rsidR="00152686" w:rsidRPr="00256A6B">
        <w:rPr>
          <w:rFonts w:asciiTheme="majorBidi" w:hAnsiTheme="majorBidi" w:cstheme="majorBidi"/>
          <w:lang w:val="es-ES_tradnl"/>
        </w:rPr>
        <w:t xml:space="preserve">2010 </w:t>
      </w:r>
      <w:r w:rsidR="009B37C3" w:rsidRPr="00256A6B">
        <w:rPr>
          <w:rFonts w:asciiTheme="majorBidi" w:hAnsiTheme="majorBidi" w:cstheme="majorBidi"/>
          <w:lang w:val="es-ES_tradnl"/>
        </w:rPr>
        <w:t>y</w:t>
      </w:r>
      <w:r w:rsidR="00152686" w:rsidRPr="00256A6B">
        <w:rPr>
          <w:rFonts w:asciiTheme="majorBidi" w:hAnsiTheme="majorBidi" w:cstheme="majorBidi"/>
          <w:lang w:val="es-ES_tradnl"/>
        </w:rPr>
        <w:t xml:space="preserve"> 2012</w:t>
      </w:r>
      <w:r w:rsidR="007135DA" w:rsidRPr="00256A6B">
        <w:rPr>
          <w:rFonts w:asciiTheme="majorBidi" w:hAnsiTheme="majorBidi" w:cstheme="majorBidi"/>
          <w:lang w:val="es-ES_tradnl"/>
        </w:rPr>
        <w:t>,</w:t>
      </w:r>
      <w:r w:rsidR="00152686" w:rsidRPr="00256A6B">
        <w:rPr>
          <w:rFonts w:asciiTheme="majorBidi" w:hAnsiTheme="majorBidi" w:cstheme="majorBidi"/>
          <w:lang w:val="es-ES_tradnl"/>
        </w:rPr>
        <w:t xml:space="preserve"> </w:t>
      </w:r>
      <w:r w:rsidR="009B37C3" w:rsidRPr="00256A6B">
        <w:rPr>
          <w:rFonts w:asciiTheme="majorBidi" w:hAnsiTheme="majorBidi" w:cstheme="majorBidi"/>
          <w:lang w:val="es-ES_tradnl"/>
        </w:rPr>
        <w:t>obtenidos del pago de aranceles a la importación de terminales móviles</w:t>
      </w:r>
      <w:r w:rsidR="00152686" w:rsidRPr="00256A6B">
        <w:rPr>
          <w:rFonts w:asciiTheme="majorBidi" w:hAnsiTheme="majorBidi" w:cstheme="majorBidi"/>
          <w:lang w:val="es-ES_tradnl"/>
        </w:rPr>
        <w:t>.</w:t>
      </w:r>
      <w:r w:rsidR="000B3C61" w:rsidRPr="00256A6B">
        <w:rPr>
          <w:rFonts w:asciiTheme="majorBidi" w:hAnsiTheme="majorBidi" w:cstheme="majorBidi"/>
          <w:lang w:val="es-ES_tradnl"/>
        </w:rPr>
        <w:t xml:space="preserve"> </w:t>
      </w:r>
      <w:r w:rsidR="009B37C3" w:rsidRPr="00256A6B">
        <w:rPr>
          <w:rFonts w:asciiTheme="majorBidi" w:hAnsiTheme="majorBidi" w:cstheme="majorBidi"/>
          <w:lang w:val="es-ES_tradnl"/>
        </w:rPr>
        <w:t>An</w:t>
      </w:r>
      <w:r w:rsidR="007135DA" w:rsidRPr="00256A6B">
        <w:rPr>
          <w:rFonts w:asciiTheme="majorBidi" w:hAnsiTheme="majorBidi" w:cstheme="majorBidi"/>
          <w:lang w:val="es-ES_tradnl"/>
        </w:rPr>
        <w:t>tes de la implantación de este s</w:t>
      </w:r>
      <w:r w:rsidR="009B37C3" w:rsidRPr="00256A6B">
        <w:rPr>
          <w:rFonts w:asciiTheme="majorBidi" w:hAnsiTheme="majorBidi" w:cstheme="majorBidi"/>
          <w:lang w:val="es-ES_tradnl"/>
        </w:rPr>
        <w:t xml:space="preserve">istema en 2009, solo entre el 5% y el 7% de los dispositivos móviles utilizados en Ucrania se importaban legalmente, mientras que hoy en día del </w:t>
      </w:r>
      <w:r w:rsidR="000B3C61" w:rsidRPr="00256A6B">
        <w:rPr>
          <w:lang w:val="es-ES_tradnl"/>
        </w:rPr>
        <w:t>92</w:t>
      </w:r>
      <w:r w:rsidR="00000D21" w:rsidRPr="00256A6B">
        <w:rPr>
          <w:lang w:val="es-ES_tradnl"/>
        </w:rPr>
        <w:t>%</w:t>
      </w:r>
      <w:r w:rsidR="009B37C3" w:rsidRPr="00256A6B">
        <w:rPr>
          <w:lang w:val="es-ES_tradnl"/>
        </w:rPr>
        <w:t xml:space="preserve"> al </w:t>
      </w:r>
      <w:r w:rsidR="000B3C61" w:rsidRPr="00256A6B">
        <w:rPr>
          <w:lang w:val="es-ES_tradnl"/>
        </w:rPr>
        <w:t xml:space="preserve">95% </w:t>
      </w:r>
      <w:r w:rsidR="009B37C3" w:rsidRPr="00256A6B">
        <w:rPr>
          <w:lang w:val="es-ES_tradnl"/>
        </w:rPr>
        <w:t>se importan legalmente</w:t>
      </w:r>
      <w:r w:rsidR="000B3C61" w:rsidRPr="00256A6B">
        <w:rPr>
          <w:lang w:val="es-ES_tradnl"/>
        </w:rPr>
        <w:t xml:space="preserve"> [4</w:t>
      </w:r>
      <w:r w:rsidR="00F126D5" w:rsidRPr="00256A6B">
        <w:rPr>
          <w:lang w:val="es-ES_tradnl"/>
        </w:rPr>
        <w:t>0</w:t>
      </w:r>
      <w:r w:rsidR="005D5D3A">
        <w:rPr>
          <w:lang w:val="es-ES_tradnl"/>
        </w:rPr>
        <w:t>].</w:t>
      </w:r>
    </w:p>
    <w:p w14:paraId="644AD633" w14:textId="64241C8B" w:rsidR="00030455" w:rsidRPr="00C869C0" w:rsidRDefault="0048398D" w:rsidP="00AA287D">
      <w:pPr>
        <w:pStyle w:val="Heading3"/>
        <w:rPr>
          <w:lang w:val="es-ES_tradnl"/>
        </w:rPr>
      </w:pPr>
      <w:bookmarkStart w:id="35" w:name="_Toc404607171"/>
      <w:bookmarkStart w:id="36" w:name="_Toc447202514"/>
      <w:r w:rsidRPr="00C869C0">
        <w:rPr>
          <w:lang w:val="es-ES_tradnl"/>
        </w:rPr>
        <w:t>3.1.2</w:t>
      </w:r>
      <w:r w:rsidRPr="00C869C0">
        <w:rPr>
          <w:lang w:val="es-ES_tradnl"/>
        </w:rPr>
        <w:tab/>
      </w:r>
      <w:r w:rsidR="00030455" w:rsidRPr="00C869C0">
        <w:rPr>
          <w:lang w:val="es-ES_tradnl"/>
        </w:rPr>
        <w:t>Acces</w:t>
      </w:r>
      <w:r w:rsidR="007C7299" w:rsidRPr="00C869C0">
        <w:rPr>
          <w:lang w:val="es-ES_tradnl"/>
        </w:rPr>
        <w:t>orios y componentes para productos TIC</w:t>
      </w:r>
      <w:bookmarkEnd w:id="35"/>
      <w:bookmarkEnd w:id="36"/>
    </w:p>
    <w:p w14:paraId="26085FA9" w14:textId="2B2F4C04" w:rsidR="00536332" w:rsidRPr="00B84B16" w:rsidRDefault="007C7299" w:rsidP="00C142FB">
      <w:r w:rsidRPr="00256A6B">
        <w:rPr>
          <w:lang w:val="es-ES_tradnl"/>
        </w:rPr>
        <w:t xml:space="preserve">A menudo son los accesorios de los productos TIC que se venden los que están falsificados. En el </w:t>
      </w:r>
      <w:r w:rsidR="0007371A" w:rsidRPr="00256A6B">
        <w:rPr>
          <w:lang w:val="es-ES_tradnl"/>
        </w:rPr>
        <w:t>caso</w:t>
      </w:r>
      <w:r w:rsidRPr="00256A6B">
        <w:rPr>
          <w:lang w:val="es-ES_tradnl"/>
        </w:rPr>
        <w:t xml:space="preserve"> de los teléfonos móviles, así como de otros productos TIC, se trata de las baterías, los cargadores y los auriculares. En el caso de </w:t>
      </w:r>
      <w:r w:rsidR="007135DA" w:rsidRPr="00256A6B">
        <w:rPr>
          <w:lang w:val="es-ES_tradnl"/>
        </w:rPr>
        <w:t xml:space="preserve">las </w:t>
      </w:r>
      <w:r w:rsidRPr="00256A6B">
        <w:rPr>
          <w:lang w:val="es-ES_tradnl"/>
        </w:rPr>
        <w:t>impresoras</w:t>
      </w:r>
      <w:r w:rsidR="0007371A" w:rsidRPr="00256A6B">
        <w:rPr>
          <w:lang w:val="es-ES_tradnl"/>
        </w:rPr>
        <w:t>, a menudo se falsifican los cartuchos de tinta</w:t>
      </w:r>
      <w:r w:rsidR="00030455" w:rsidRPr="00256A6B">
        <w:rPr>
          <w:lang w:val="es-ES_tradnl"/>
        </w:rPr>
        <w:t xml:space="preserve">. </w:t>
      </w:r>
      <w:r w:rsidR="0007371A" w:rsidRPr="00256A6B">
        <w:rPr>
          <w:lang w:val="es-ES_tradnl"/>
        </w:rPr>
        <w:t xml:space="preserve">En lo que respecta a las cámaras digitales, </w:t>
      </w:r>
      <w:r w:rsidR="007135DA" w:rsidRPr="00256A6B">
        <w:rPr>
          <w:lang w:val="es-ES_tradnl"/>
        </w:rPr>
        <w:t>destacan</w:t>
      </w:r>
      <w:r w:rsidR="0007371A" w:rsidRPr="00256A6B">
        <w:rPr>
          <w:lang w:val="es-ES_tradnl"/>
        </w:rPr>
        <w:t xml:space="preserve"> lentes falsas que se adaptan correctamente al cuerpo de la cámara entre otros accesorios falsos como los cables y las tarjetas de memoria. Estos componentes falsificados pueden incluso llegar a ser los </w:t>
      </w:r>
      <w:r w:rsidR="007135DA" w:rsidRPr="00256A6B">
        <w:rPr>
          <w:lang w:val="es-ES_tradnl"/>
        </w:rPr>
        <w:t>propios circuitos electrónicos</w:t>
      </w:r>
      <w:r w:rsidR="0007371A" w:rsidRPr="00256A6B">
        <w:rPr>
          <w:lang w:val="es-ES_tradnl"/>
        </w:rPr>
        <w:t>. La sustitución accidental o intencionada con componentes electrónicos falsificados podría causar problemas graves a los usuarios cuando se utilizan en equipos médicos u otros productos TIC críticos desde el punto de vista de la seguridad</w:t>
      </w:r>
      <w:r w:rsidR="00030455" w:rsidRPr="00256A6B">
        <w:rPr>
          <w:lang w:val="es-ES_tradnl"/>
        </w:rPr>
        <w:t xml:space="preserve">. </w:t>
      </w:r>
      <w:r w:rsidR="0007371A" w:rsidRPr="00256A6B">
        <w:rPr>
          <w:lang w:val="es-ES_tradnl"/>
        </w:rPr>
        <w:t xml:space="preserve">En </w:t>
      </w:r>
      <w:r w:rsidR="00030455" w:rsidRPr="00256A6B">
        <w:rPr>
          <w:lang w:val="es-ES_tradnl"/>
        </w:rPr>
        <w:t xml:space="preserve">2013, </w:t>
      </w:r>
      <w:r w:rsidR="0007371A" w:rsidRPr="00256A6B">
        <w:rPr>
          <w:lang w:val="es-ES_tradnl"/>
        </w:rPr>
        <w:t>se incautaron clones no autorizados</w:t>
      </w:r>
      <w:r w:rsidR="00030455" w:rsidRPr="00256A6B">
        <w:rPr>
          <w:lang w:val="es-ES_tradnl"/>
        </w:rPr>
        <w:t xml:space="preserve"> MIFARE </w:t>
      </w:r>
      <w:r w:rsidR="0007371A" w:rsidRPr="00256A6B">
        <w:rPr>
          <w:lang w:val="es-ES_tradnl"/>
        </w:rPr>
        <w:t>sin contrato durante la conferencia</w:t>
      </w:r>
      <w:r w:rsidR="00030455" w:rsidRPr="00256A6B">
        <w:rPr>
          <w:lang w:val="es-ES_tradnl"/>
        </w:rPr>
        <w:t xml:space="preserve"> CarteS </w:t>
      </w:r>
      <w:r w:rsidR="0007371A" w:rsidRPr="00256A6B">
        <w:rPr>
          <w:lang w:val="es-ES_tradnl"/>
        </w:rPr>
        <w:t>en Parí</w:t>
      </w:r>
      <w:r w:rsidR="00030455" w:rsidRPr="00256A6B">
        <w:rPr>
          <w:lang w:val="es-ES_tradnl"/>
        </w:rPr>
        <w:t>s</w:t>
      </w:r>
      <w:r w:rsidR="004B57E5" w:rsidRPr="00256A6B">
        <w:rPr>
          <w:lang w:val="es-ES_tradnl"/>
        </w:rPr>
        <w:t>.</w:t>
      </w:r>
      <w:r w:rsidR="00030455" w:rsidRPr="00256A6B">
        <w:rPr>
          <w:lang w:val="es-ES_tradnl"/>
        </w:rPr>
        <w:t xml:space="preserve"> </w:t>
      </w:r>
      <w:hyperlink r:id="rId22" w:history="1">
        <w:r w:rsidR="00C142FB" w:rsidRPr="002D04E1">
          <w:rPr>
            <w:rStyle w:val="Hyperlink"/>
          </w:rPr>
          <w:t>http://www.mifare.net/files/6114/2295/3702/NXP_Whitepaper_Protect_your_reputation_with_genuine_MIFARE_products_2015.pdf</w:t>
        </w:r>
      </w:hyperlink>
      <w:r w:rsidR="0048398D" w:rsidRPr="00B84B16">
        <w:t>.</w:t>
      </w:r>
    </w:p>
    <w:p w14:paraId="2A4A96E9" w14:textId="78662789" w:rsidR="00030455" w:rsidRPr="00256A6B" w:rsidRDefault="00E85120" w:rsidP="0048398D">
      <w:pPr>
        <w:rPr>
          <w:lang w:val="es-ES_tradnl"/>
        </w:rPr>
      </w:pPr>
      <w:r w:rsidRPr="00256A6B">
        <w:rPr>
          <w:lang w:val="es-ES_tradnl"/>
        </w:rPr>
        <w:t>La falsificación de baterías está muy extendida en todo el mundo y es causa de gran preocupación. Las baterías falsificadas son responsables de al</w:t>
      </w:r>
      <w:r w:rsidR="003903EB">
        <w:rPr>
          <w:lang w:val="es-ES_tradnl"/>
        </w:rPr>
        <w:t>gunos incendios. Los tipos de ba</w:t>
      </w:r>
      <w:r w:rsidRPr="00256A6B">
        <w:rPr>
          <w:lang w:val="es-ES_tradnl"/>
        </w:rPr>
        <w:t xml:space="preserve">terías falsificadas van desde las alcalinas AA a las baterías recargables de litio-ión que </w:t>
      </w:r>
      <w:r w:rsidR="007135DA" w:rsidRPr="00256A6B">
        <w:rPr>
          <w:lang w:val="es-ES_tradnl"/>
        </w:rPr>
        <w:t>utilizan</w:t>
      </w:r>
      <w:r w:rsidRPr="00256A6B">
        <w:rPr>
          <w:lang w:val="es-ES_tradnl"/>
        </w:rPr>
        <w:t xml:space="preserve"> muchos tipos diferentes de productos, en particular los teléfonos móviles</w:t>
      </w:r>
      <w:r w:rsidR="00030455" w:rsidRPr="00256A6B">
        <w:rPr>
          <w:lang w:val="es-ES_tradnl"/>
        </w:rPr>
        <w:t>.</w:t>
      </w:r>
    </w:p>
    <w:p w14:paraId="0A8C2B2F" w14:textId="4ACF9327" w:rsidR="00030455" w:rsidRPr="00256A6B" w:rsidRDefault="00E85120" w:rsidP="00292FA4">
      <w:pPr>
        <w:rPr>
          <w:lang w:val="es-ES_tradnl"/>
        </w:rPr>
      </w:pPr>
      <w:r w:rsidRPr="00256A6B">
        <w:rPr>
          <w:lang w:val="es-ES_tradnl"/>
        </w:rPr>
        <w:t>Se ha informado de que las baterías falsificadas han causado muertes.</w:t>
      </w:r>
      <w:r w:rsidR="004B57E5" w:rsidRPr="00256A6B">
        <w:rPr>
          <w:lang w:val="es-ES_tradnl"/>
        </w:rPr>
        <w:t xml:space="preserve"> </w:t>
      </w:r>
      <w:hyperlink r:id="rId23" w:history="1">
        <w:r w:rsidR="004B57E5" w:rsidRPr="00E250F8">
          <w:rPr>
            <w:rStyle w:val="Hyperlink"/>
          </w:rPr>
          <w:t>http://www.bloomberg.com/apps/news?pid=newsarchive&amp;sid=aLWvmmrHx9F0</w:t>
        </w:r>
      </w:hyperlink>
      <w:r w:rsidR="00030455" w:rsidRPr="00E250F8">
        <w:t xml:space="preserve">. </w:t>
      </w:r>
      <w:r w:rsidRPr="00256A6B">
        <w:rPr>
          <w:lang w:val="es-ES_tradnl"/>
        </w:rPr>
        <w:t>En relación con ese informe, se destacó que las baterías falsificadas están muy extendidas en las zonas más pobres, dado que se usan más los teléfonos y, por tanto, se precis</w:t>
      </w:r>
      <w:r w:rsidR="00292FA4">
        <w:rPr>
          <w:lang w:val="es-ES_tradnl"/>
        </w:rPr>
        <w:t>a</w:t>
      </w:r>
      <w:r w:rsidRPr="00256A6B">
        <w:rPr>
          <w:lang w:val="es-ES_tradnl"/>
        </w:rPr>
        <w:t xml:space="preserve"> c</w:t>
      </w:r>
      <w:r w:rsidR="0048398D" w:rsidRPr="00256A6B">
        <w:rPr>
          <w:lang w:val="es-ES_tradnl"/>
        </w:rPr>
        <w:t>ambiar de batería más a menudo.</w:t>
      </w:r>
    </w:p>
    <w:p w14:paraId="3E6168F1" w14:textId="30C70ABB" w:rsidR="00030455" w:rsidRPr="00256A6B" w:rsidRDefault="007135DA" w:rsidP="007135DA">
      <w:pPr>
        <w:rPr>
          <w:lang w:val="es-ES_tradnl"/>
        </w:rPr>
      </w:pPr>
      <w:r w:rsidRPr="00256A6B">
        <w:rPr>
          <w:lang w:val="es-ES_tradnl"/>
        </w:rPr>
        <w:t>S</w:t>
      </w:r>
      <w:r w:rsidR="00BF4FD8" w:rsidRPr="00256A6B">
        <w:rPr>
          <w:lang w:val="es-ES_tradnl"/>
        </w:rPr>
        <w:t>e han producido incidentes similares</w:t>
      </w:r>
      <w:r w:rsidRPr="00256A6B">
        <w:rPr>
          <w:lang w:val="es-ES_tradnl"/>
        </w:rPr>
        <w:t xml:space="preserve"> en países en todo el mundo</w:t>
      </w:r>
      <w:r w:rsidR="00BF4FD8" w:rsidRPr="00256A6B">
        <w:rPr>
          <w:lang w:val="es-ES_tradnl"/>
        </w:rPr>
        <w:t>. Resulta cada vez más preocupante que estas baterías causen problemas a bordo de aviones</w:t>
      </w:r>
      <w:r w:rsidR="00030455" w:rsidRPr="00256A6B">
        <w:rPr>
          <w:lang w:val="es-ES_tradnl"/>
        </w:rPr>
        <w:t xml:space="preserve"> </w:t>
      </w:r>
      <w:r w:rsidR="00BF4FD8" w:rsidRPr="00256A6B">
        <w:rPr>
          <w:lang w:val="es-ES_tradnl"/>
        </w:rPr>
        <w:t xml:space="preserve">después de que se haya informado de algunos </w:t>
      </w:r>
      <w:r w:rsidR="00C84F6A" w:rsidRPr="00256A6B">
        <w:rPr>
          <w:lang w:val="es-ES_tradnl"/>
        </w:rPr>
        <w:t>incidentes.</w:t>
      </w:r>
      <w:r w:rsidR="00BF4FD8" w:rsidRPr="00256A6B">
        <w:rPr>
          <w:lang w:val="es-ES_tradnl"/>
        </w:rPr>
        <w:t xml:space="preserve"> E</w:t>
      </w:r>
      <w:r w:rsidR="00030455" w:rsidRPr="00256A6B">
        <w:rPr>
          <w:lang w:val="es-ES_tradnl"/>
        </w:rPr>
        <w:t xml:space="preserve">n </w:t>
      </w:r>
      <w:r w:rsidR="00BF4FD8" w:rsidRPr="00256A6B">
        <w:rPr>
          <w:lang w:val="es-ES_tradnl"/>
        </w:rPr>
        <w:t xml:space="preserve">febrero de </w:t>
      </w:r>
      <w:r w:rsidR="00030455" w:rsidRPr="00256A6B">
        <w:rPr>
          <w:lang w:val="es-ES_tradnl"/>
        </w:rPr>
        <w:t xml:space="preserve">2014, </w:t>
      </w:r>
      <w:r w:rsidR="00BF4FD8" w:rsidRPr="00256A6B">
        <w:rPr>
          <w:lang w:val="es-ES_tradnl"/>
        </w:rPr>
        <w:t>la filtración Geoff</w:t>
      </w:r>
      <w:r w:rsidR="00030455" w:rsidRPr="00256A6B">
        <w:rPr>
          <w:lang w:val="es-ES_tradnl"/>
        </w:rPr>
        <w:t xml:space="preserve"> </w:t>
      </w:r>
      <w:r w:rsidR="00BF4FD8" w:rsidRPr="00256A6B">
        <w:rPr>
          <w:lang w:val="es-ES_tradnl"/>
        </w:rPr>
        <w:t xml:space="preserve">Leach de la </w:t>
      </w:r>
      <w:r w:rsidR="00D931E1" w:rsidRPr="00256A6B">
        <w:rPr>
          <w:lang w:val="es-ES_tradnl"/>
        </w:rPr>
        <w:t xml:space="preserve">Autoridad </w:t>
      </w:r>
      <w:r w:rsidR="00BF4FD8" w:rsidRPr="00256A6B">
        <w:rPr>
          <w:lang w:val="es-ES_tradnl"/>
        </w:rPr>
        <w:t>de aviación civil del R</w:t>
      </w:r>
      <w:r w:rsidRPr="00256A6B">
        <w:rPr>
          <w:lang w:val="es-ES_tradnl"/>
        </w:rPr>
        <w:t xml:space="preserve">eino </w:t>
      </w:r>
      <w:r w:rsidR="00BF4FD8" w:rsidRPr="00256A6B">
        <w:rPr>
          <w:lang w:val="es-ES_tradnl"/>
        </w:rPr>
        <w:t>U</w:t>
      </w:r>
      <w:r w:rsidRPr="00256A6B">
        <w:rPr>
          <w:lang w:val="es-ES_tradnl"/>
        </w:rPr>
        <w:t>nido</w:t>
      </w:r>
      <w:r w:rsidR="00BF4FD8" w:rsidRPr="00256A6B">
        <w:rPr>
          <w:lang w:val="es-ES_tradnl"/>
        </w:rPr>
        <w:t xml:space="preserve"> dijo que estaban preocupados porque </w:t>
      </w:r>
      <w:r w:rsidR="000B503F" w:rsidRPr="00256A6B">
        <w:rPr>
          <w:lang w:val="es-ES_tradnl"/>
        </w:rPr>
        <w:t>"</w:t>
      </w:r>
      <w:r w:rsidR="00BF4FD8" w:rsidRPr="00256A6B">
        <w:rPr>
          <w:lang w:val="es-ES_tradnl"/>
        </w:rPr>
        <w:t>las baterías baratas y falsificadas de origen dudos</w:t>
      </w:r>
      <w:r w:rsidRPr="00256A6B">
        <w:rPr>
          <w:lang w:val="es-ES_tradnl"/>
        </w:rPr>
        <w:t>o adquiridas por Internet</w:t>
      </w:r>
      <w:r w:rsidR="00BF4FD8" w:rsidRPr="00256A6B">
        <w:rPr>
          <w:lang w:val="es-ES_tradnl"/>
        </w:rPr>
        <w:t xml:space="preserve"> podrían fallar con consecuencias dramáticas</w:t>
      </w:r>
      <w:r w:rsidR="000B503F" w:rsidRPr="00256A6B">
        <w:rPr>
          <w:lang w:val="es-ES_tradnl"/>
        </w:rPr>
        <w:t>"</w:t>
      </w:r>
      <w:r w:rsidR="005642DD" w:rsidRPr="00256A6B">
        <w:rPr>
          <w:lang w:val="es-ES_tradnl"/>
        </w:rPr>
        <w:t>.</w:t>
      </w:r>
      <w:r w:rsidR="004B57E5" w:rsidRPr="00256A6B">
        <w:rPr>
          <w:lang w:val="es-ES_tradnl"/>
        </w:rPr>
        <w:t xml:space="preserve"> </w:t>
      </w:r>
      <w:hyperlink r:id="rId24" w:history="1">
        <w:r w:rsidR="004B57E5" w:rsidRPr="00256A6B">
          <w:rPr>
            <w:rStyle w:val="Hyperlink"/>
            <w:lang w:val="es-ES_tradnl"/>
          </w:rPr>
          <w:t>http://www.bbc.co.uk/news/business-25733346</w:t>
        </w:r>
      </w:hyperlink>
      <w:r w:rsidR="0048398D" w:rsidRPr="00256A6B">
        <w:rPr>
          <w:lang w:val="es-ES_tradnl"/>
        </w:rPr>
        <w:t>.</w:t>
      </w:r>
    </w:p>
    <w:p w14:paraId="3A03A83D" w14:textId="7877BFA6" w:rsidR="00030455" w:rsidRPr="001E3FD7" w:rsidRDefault="00BF4FD8" w:rsidP="00C142FB">
      <w:r w:rsidRPr="00256A6B">
        <w:rPr>
          <w:lang w:val="es-ES_tradnl"/>
        </w:rPr>
        <w:lastRenderedPageBreak/>
        <w:t>E</w:t>
      </w:r>
      <w:r w:rsidR="00030455" w:rsidRPr="00256A6B">
        <w:rPr>
          <w:lang w:val="es-ES_tradnl"/>
        </w:rPr>
        <w:t xml:space="preserve">n 2004, </w:t>
      </w:r>
      <w:r w:rsidR="00AF4CD7" w:rsidRPr="00256A6B">
        <w:rPr>
          <w:lang w:val="es-ES_tradnl"/>
        </w:rPr>
        <w:t xml:space="preserve">un representante de Gillette, que declaraba como testigo ante el Comité Judicial del Senado de los Estados Unidos, explicó que en una operación de una semana habían incautado un millón de baterías Duracell entre muchos otros artículos falsificados. </w:t>
      </w:r>
      <w:hyperlink r:id="rId25" w:tgtFrame="_blank" w:history="1">
        <w:r w:rsidR="00C142FB" w:rsidRPr="00021B3F">
          <w:rPr>
            <w:rStyle w:val="Hyperlink"/>
          </w:rPr>
          <w:t>http://www.judiciary.senate.gov/meetings/counterfeiting-and-theft-of-tangible-intellectual-property-challenges-and-solutions</w:t>
        </w:r>
      </w:hyperlink>
      <w:r w:rsidR="00C142FB" w:rsidRPr="00021B3F">
        <w:t xml:space="preserve"> &amp; </w:t>
      </w:r>
      <w:hyperlink r:id="rId26" w:tgtFrame="_blank" w:history="1">
        <w:r w:rsidR="00C142FB" w:rsidRPr="00021B3F">
          <w:rPr>
            <w:rStyle w:val="Hyperlink"/>
          </w:rPr>
          <w:t>http://www.judiciary.senate.gov/imo/media/doc/Willard%20Testimony%20032304.pdf</w:t>
        </w:r>
      </w:hyperlink>
      <w:r w:rsidR="001E3FD7" w:rsidRPr="001E3FD7">
        <w:t>.</w:t>
      </w:r>
    </w:p>
    <w:p w14:paraId="3959F8F6" w14:textId="14D651B1" w:rsidR="00030455" w:rsidRPr="00E250F8" w:rsidRDefault="00AF4CD7" w:rsidP="00E54F6B">
      <w:r w:rsidRPr="00256A6B">
        <w:rPr>
          <w:lang w:val="es-ES_tradnl"/>
        </w:rPr>
        <w:t>Los auriculares plantean un problema debido a que la mala calidad de los auriculares falsificados no solo puede afectar al oído sino también puede suponer un riesgo de incendio</w:t>
      </w:r>
      <w:r w:rsidR="00030455" w:rsidRPr="00256A6B">
        <w:rPr>
          <w:lang w:val="es-ES_tradnl"/>
        </w:rPr>
        <w:t xml:space="preserve">. </w:t>
      </w:r>
      <w:r w:rsidRPr="00256A6B">
        <w:rPr>
          <w:lang w:val="es-ES_tradnl"/>
        </w:rPr>
        <w:t>E</w:t>
      </w:r>
      <w:r w:rsidR="00030455" w:rsidRPr="00256A6B">
        <w:rPr>
          <w:lang w:val="es-ES_tradnl"/>
        </w:rPr>
        <w:t xml:space="preserve">n 2013, </w:t>
      </w:r>
      <w:r w:rsidRPr="00256A6B">
        <w:rPr>
          <w:lang w:val="es-ES_tradnl"/>
        </w:rPr>
        <w:t>se informó que la policía había incautado</w:t>
      </w:r>
      <w:r w:rsidR="00030455" w:rsidRPr="00256A6B">
        <w:rPr>
          <w:lang w:val="es-ES_tradnl"/>
        </w:rPr>
        <w:t xml:space="preserve"> </w:t>
      </w:r>
      <w:r w:rsidRPr="00256A6B">
        <w:rPr>
          <w:lang w:val="es-ES_tradnl"/>
        </w:rPr>
        <w:t>teléfonos móviles falsificados por valor de 15</w:t>
      </w:r>
      <w:r w:rsidR="00E24E07" w:rsidRPr="00256A6B">
        <w:rPr>
          <w:lang w:val="es-ES_tradnl"/>
        </w:rPr>
        <w:t xml:space="preserve"> millones de libras esterlinas.</w:t>
      </w:r>
      <w:r w:rsidR="004B57E5" w:rsidRPr="00256A6B">
        <w:rPr>
          <w:lang w:val="es-ES_tradnl"/>
        </w:rPr>
        <w:t xml:space="preserve"> </w:t>
      </w:r>
      <w:hyperlink r:id="rId27" w:history="1">
        <w:r w:rsidR="004B57E5" w:rsidRPr="00E250F8">
          <w:rPr>
            <w:rStyle w:val="Hyperlink"/>
          </w:rPr>
          <w:t>http://www.express.co.uk/news/uk/387869/Designer-headphones-top-16m-deluge-of-fake-goods</w:t>
        </w:r>
      </w:hyperlink>
      <w:r w:rsidR="00E24E07" w:rsidRPr="00E250F8">
        <w:t>.</w:t>
      </w:r>
    </w:p>
    <w:p w14:paraId="4BB0D62D" w14:textId="04AFEE9E" w:rsidR="00030455" w:rsidRPr="00C869C0" w:rsidRDefault="00030455" w:rsidP="00AA287D">
      <w:pPr>
        <w:pStyle w:val="Heading3"/>
        <w:rPr>
          <w:lang w:val="es-ES_tradnl"/>
        </w:rPr>
      </w:pPr>
      <w:bookmarkStart w:id="37" w:name="_Toc404607172"/>
      <w:bookmarkStart w:id="38" w:name="_Toc447202515"/>
      <w:r w:rsidRPr="00C869C0">
        <w:rPr>
          <w:lang w:val="es-ES_tradnl"/>
        </w:rPr>
        <w:t>3.1.</w:t>
      </w:r>
      <w:r w:rsidR="001B35F1" w:rsidRPr="00C869C0">
        <w:rPr>
          <w:lang w:val="es-ES_tradnl"/>
        </w:rPr>
        <w:t>3</w:t>
      </w:r>
      <w:bookmarkEnd w:id="37"/>
      <w:r w:rsidR="00E24E07" w:rsidRPr="00C869C0">
        <w:rPr>
          <w:lang w:val="es-ES_tradnl"/>
        </w:rPr>
        <w:tab/>
      </w:r>
      <w:r w:rsidR="00A73577" w:rsidRPr="00C869C0">
        <w:rPr>
          <w:lang w:val="es-ES_tradnl"/>
        </w:rPr>
        <w:t>Radioteléfonos</w:t>
      </w:r>
      <w:bookmarkEnd w:id="38"/>
    </w:p>
    <w:p w14:paraId="5A1549E6" w14:textId="2E503CFC" w:rsidR="00030455" w:rsidRPr="003A77F7" w:rsidRDefault="00C869C0" w:rsidP="003A77F7">
      <w:pPr>
        <w:rPr>
          <w:lang w:val="es-ES_tradnl"/>
        </w:rPr>
      </w:pPr>
      <w:hyperlink r:id="rId28" w:history="1">
        <w:r w:rsidR="00030455" w:rsidRPr="00256A6B">
          <w:rPr>
            <w:szCs w:val="20"/>
            <w:lang w:val="es-ES_tradnl"/>
          </w:rPr>
          <w:t>Motorola Solutions Inc.</w:t>
        </w:r>
      </w:hyperlink>
      <w:r w:rsidR="00030455" w:rsidRPr="00256A6B">
        <w:rPr>
          <w:szCs w:val="20"/>
          <w:lang w:val="es-ES_tradnl"/>
        </w:rPr>
        <w:t xml:space="preserve"> </w:t>
      </w:r>
      <w:r w:rsidR="00A73577" w:rsidRPr="00256A6B">
        <w:rPr>
          <w:szCs w:val="20"/>
          <w:lang w:val="es-ES_tradnl"/>
        </w:rPr>
        <w:t xml:space="preserve">ha advertido a sus </w:t>
      </w:r>
      <w:r w:rsidR="00F056DA" w:rsidRPr="00256A6B">
        <w:rPr>
          <w:szCs w:val="20"/>
          <w:lang w:val="es-ES_tradnl"/>
        </w:rPr>
        <w:t>clientes</w:t>
      </w:r>
      <w:r w:rsidR="00A73577" w:rsidRPr="00256A6B">
        <w:rPr>
          <w:szCs w:val="20"/>
          <w:lang w:val="es-ES_tradnl"/>
        </w:rPr>
        <w:t xml:space="preserve"> que no compren los radioteléfonos falsificados que se encontraron en Viet</w:t>
      </w:r>
      <w:r w:rsidR="003A77F7">
        <w:rPr>
          <w:szCs w:val="20"/>
          <w:lang w:val="es-ES_tradnl"/>
        </w:rPr>
        <w:t> N</w:t>
      </w:r>
      <w:r w:rsidR="00A73577" w:rsidRPr="00256A6B">
        <w:rPr>
          <w:szCs w:val="20"/>
          <w:lang w:val="es-ES_tradnl"/>
        </w:rPr>
        <w:t>am en 2013. Estos radioteléfonos falsificados pued</w:t>
      </w:r>
      <w:r w:rsidR="003F7EF0" w:rsidRPr="00256A6B">
        <w:rPr>
          <w:szCs w:val="20"/>
          <w:lang w:val="es-ES_tradnl"/>
        </w:rPr>
        <w:t>en resultar peligrosos para los</w:t>
      </w:r>
      <w:r w:rsidR="00A73577" w:rsidRPr="00256A6B">
        <w:rPr>
          <w:szCs w:val="20"/>
          <w:lang w:val="es-ES_tradnl"/>
        </w:rPr>
        <w:t xml:space="preserve"> usuarios; no solo se trata de copias de diseños de Motorola, sino que también </w:t>
      </w:r>
      <w:r w:rsidR="00F056DA" w:rsidRPr="00256A6B">
        <w:rPr>
          <w:szCs w:val="20"/>
          <w:lang w:val="es-ES_tradnl"/>
        </w:rPr>
        <w:t>muestran</w:t>
      </w:r>
      <w:r w:rsidR="00A73577" w:rsidRPr="00256A6B">
        <w:rPr>
          <w:szCs w:val="20"/>
          <w:lang w:val="es-ES_tradnl"/>
        </w:rPr>
        <w:t xml:space="preserve"> el logo </w:t>
      </w:r>
      <w:r w:rsidR="00F056DA" w:rsidRPr="00256A6B">
        <w:rPr>
          <w:szCs w:val="20"/>
          <w:lang w:val="es-ES_tradnl"/>
        </w:rPr>
        <w:t xml:space="preserve">y los números de serie </w:t>
      </w:r>
      <w:r w:rsidR="00A73577" w:rsidRPr="00256A6B">
        <w:rPr>
          <w:szCs w:val="20"/>
          <w:lang w:val="es-ES_tradnl"/>
        </w:rPr>
        <w:t>de Motorola sin autorización</w:t>
      </w:r>
      <w:r w:rsidR="00F056DA" w:rsidRPr="00256A6B">
        <w:rPr>
          <w:szCs w:val="20"/>
          <w:lang w:val="es-ES_tradnl"/>
        </w:rPr>
        <w:t>, lo que hace que resulte difícil distinguirlos</w:t>
      </w:r>
      <w:r w:rsidR="00F655C4" w:rsidRPr="00256A6B">
        <w:rPr>
          <w:szCs w:val="20"/>
          <w:lang w:val="es-ES_tradnl"/>
        </w:rPr>
        <w:t>.</w:t>
      </w:r>
      <w:r w:rsidR="003A77F7" w:rsidRPr="003A77F7">
        <w:rPr>
          <w:lang w:val="es-ES_tradnl"/>
        </w:rPr>
        <w:t xml:space="preserve"> </w:t>
      </w:r>
      <w:hyperlink r:id="rId29" w:history="1">
        <w:r w:rsidR="003A77F7" w:rsidRPr="00AE1F2D">
          <w:rPr>
            <w:rStyle w:val="Hyperlink"/>
            <w:szCs w:val="20"/>
            <w:lang w:val="es-ES_tradnl"/>
          </w:rPr>
          <w:t>http://uk.reuters.com/article/2013/07/09/motorola-solutions-idUSnBw085384a+100+BSW20130709</w:t>
        </w:r>
      </w:hyperlink>
      <w:r w:rsidR="001E3FD7" w:rsidRPr="003A77F7">
        <w:rPr>
          <w:lang w:val="es-ES_tradnl"/>
        </w:rPr>
        <w:t>.</w:t>
      </w:r>
    </w:p>
    <w:p w14:paraId="7DC0D651" w14:textId="4CF8CCB2" w:rsidR="00030455" w:rsidRPr="00C869C0" w:rsidRDefault="00030455" w:rsidP="00AA287D">
      <w:pPr>
        <w:pStyle w:val="Heading3"/>
        <w:rPr>
          <w:lang w:val="es-ES_tradnl"/>
        </w:rPr>
      </w:pPr>
      <w:bookmarkStart w:id="39" w:name="_Toc404607173"/>
      <w:bookmarkStart w:id="40" w:name="_Toc447202516"/>
      <w:r w:rsidRPr="00C869C0">
        <w:rPr>
          <w:lang w:val="es-ES_tradnl"/>
        </w:rPr>
        <w:t>3.1.</w:t>
      </w:r>
      <w:r w:rsidR="0069220D" w:rsidRPr="00C869C0">
        <w:rPr>
          <w:lang w:val="es-ES_tradnl"/>
        </w:rPr>
        <w:t>4</w:t>
      </w:r>
      <w:r w:rsidR="00E24E07" w:rsidRPr="00C869C0">
        <w:rPr>
          <w:lang w:val="es-ES_tradnl"/>
        </w:rPr>
        <w:tab/>
      </w:r>
      <w:r w:rsidR="00F056DA" w:rsidRPr="00C869C0">
        <w:rPr>
          <w:lang w:val="es-ES_tradnl"/>
        </w:rPr>
        <w:t>Cámaras digitales</w:t>
      </w:r>
      <w:bookmarkEnd w:id="39"/>
      <w:bookmarkEnd w:id="40"/>
    </w:p>
    <w:p w14:paraId="69EAD27E" w14:textId="1824ADD8" w:rsidR="00030455" w:rsidRPr="00256A6B" w:rsidRDefault="00F056DA" w:rsidP="00C84F6A">
      <w:pPr>
        <w:rPr>
          <w:lang w:val="es-ES_tradnl"/>
        </w:rPr>
      </w:pPr>
      <w:r w:rsidRPr="00256A6B">
        <w:rPr>
          <w:lang w:val="es-ES_tradnl"/>
        </w:rPr>
        <w:t>Las cámaras digitales forman parte de la larga lista de productos TIC que se están falsificando. Como ocurre con otros productos</w:t>
      </w:r>
      <w:r w:rsidR="00030455" w:rsidRPr="00256A6B">
        <w:rPr>
          <w:lang w:val="es-ES_tradnl"/>
        </w:rPr>
        <w:t xml:space="preserve"> </w:t>
      </w:r>
      <w:r w:rsidRPr="00256A6B">
        <w:rPr>
          <w:lang w:val="es-ES_tradnl"/>
        </w:rPr>
        <w:t xml:space="preserve">son muy difíciles de identificar y los vendedores, comerciantes y clientes voluntariosos ayudan a los </w:t>
      </w:r>
      <w:r w:rsidR="00F56015" w:rsidRPr="00256A6B">
        <w:rPr>
          <w:lang w:val="es-ES_tradnl"/>
        </w:rPr>
        <w:t>consumidores</w:t>
      </w:r>
      <w:r w:rsidRPr="00256A6B">
        <w:rPr>
          <w:lang w:val="es-ES_tradnl"/>
        </w:rPr>
        <w:t xml:space="preserve"> para que sepan identificar las falsificaciones.</w:t>
      </w:r>
      <w:r w:rsidR="00030455" w:rsidRPr="00256A6B">
        <w:rPr>
          <w:lang w:val="es-ES_tradnl"/>
        </w:rPr>
        <w:t xml:space="preserve"> </w:t>
      </w:r>
      <w:hyperlink r:id="rId30" w:history="1">
        <w:r w:rsidR="004B57E5" w:rsidRPr="001E3FD7">
          <w:rPr>
            <w:rStyle w:val="Hyperlink"/>
          </w:rPr>
          <w:t>http://www.ebay.co.uk/gds/How-to-Identify-a-Fake-Nikon-Camera-/10000000177984982/g.html</w:t>
        </w:r>
      </w:hyperlink>
      <w:r w:rsidR="001E3FD7" w:rsidRPr="001E3FD7">
        <w:t>.</w:t>
      </w:r>
      <w:r w:rsidR="00030455" w:rsidRPr="001E3FD7">
        <w:t xml:space="preserve"> </w:t>
      </w:r>
      <w:r w:rsidRPr="00256A6B">
        <w:rPr>
          <w:lang w:val="es-ES_tradnl"/>
        </w:rPr>
        <w:t>Los riesgos para la seguridad y la privacidad de dispositivos falsificados tales como las cámaras web pueden ser elevados para los usuarios</w:t>
      </w:r>
      <w:r w:rsidR="00030455" w:rsidRPr="00256A6B">
        <w:rPr>
          <w:lang w:val="es-ES_tradnl"/>
        </w:rPr>
        <w:t xml:space="preserve">. </w:t>
      </w:r>
      <w:r w:rsidRPr="00256A6B">
        <w:rPr>
          <w:lang w:val="es-ES_tradnl"/>
        </w:rPr>
        <w:t>El</w:t>
      </w:r>
      <w:r w:rsidR="00030455" w:rsidRPr="00256A6B">
        <w:rPr>
          <w:lang w:val="es-ES_tradnl"/>
        </w:rPr>
        <w:t xml:space="preserve"> software </w:t>
      </w:r>
      <w:r w:rsidRPr="00256A6B">
        <w:rPr>
          <w:lang w:val="es-ES_tradnl"/>
        </w:rPr>
        <w:t xml:space="preserve">en estos productos no solo es de mala calidad e </w:t>
      </w:r>
      <w:r w:rsidR="00460E3E" w:rsidRPr="00256A6B">
        <w:rPr>
          <w:lang w:val="es-ES_tradnl"/>
        </w:rPr>
        <w:t>imperfecto</w:t>
      </w:r>
      <w:r w:rsidRPr="00256A6B">
        <w:rPr>
          <w:lang w:val="es-ES_tradnl"/>
        </w:rPr>
        <w:t xml:space="preserve"> inicialmente sino que el usuario tampoco tendrá actualizaciones de seguridad</w:t>
      </w:r>
      <w:r w:rsidR="00460E3E" w:rsidRPr="00256A6B">
        <w:rPr>
          <w:lang w:val="es-ES_tradnl"/>
        </w:rPr>
        <w:t xml:space="preserve"> ni servicio técnico posteriormente, exponiéndose a riesgos en el ciberespacio</w:t>
      </w:r>
      <w:r w:rsidR="00030455" w:rsidRPr="00256A6B">
        <w:rPr>
          <w:lang w:val="es-ES_tradnl"/>
        </w:rPr>
        <w:t>.</w:t>
      </w:r>
    </w:p>
    <w:p w14:paraId="709A095B" w14:textId="47DEBF2F" w:rsidR="00030455" w:rsidRPr="00C869C0" w:rsidRDefault="00030455" w:rsidP="00AA287D">
      <w:pPr>
        <w:pStyle w:val="Heading3"/>
        <w:rPr>
          <w:lang w:val="es-ES_tradnl"/>
        </w:rPr>
      </w:pPr>
      <w:bookmarkStart w:id="41" w:name="_Toc404607174"/>
      <w:bookmarkStart w:id="42" w:name="_Toc447202517"/>
      <w:r w:rsidRPr="00C869C0">
        <w:rPr>
          <w:lang w:val="es-ES_tradnl"/>
        </w:rPr>
        <w:t>3.1.</w:t>
      </w:r>
      <w:r w:rsidR="00636B6B" w:rsidRPr="00C869C0">
        <w:rPr>
          <w:lang w:val="es-ES_tradnl"/>
        </w:rPr>
        <w:t>5</w:t>
      </w:r>
      <w:r w:rsidR="00E24E07" w:rsidRPr="00C869C0">
        <w:rPr>
          <w:lang w:val="es-ES_tradnl"/>
        </w:rPr>
        <w:tab/>
      </w:r>
      <w:r w:rsidR="008E419F" w:rsidRPr="00C869C0">
        <w:rPr>
          <w:lang w:val="es-ES_tradnl"/>
        </w:rPr>
        <w:t>Ordenadores personales y tabletas</w:t>
      </w:r>
      <w:bookmarkEnd w:id="41"/>
      <w:bookmarkEnd w:id="42"/>
    </w:p>
    <w:p w14:paraId="6065E33D" w14:textId="753B22B5" w:rsidR="00030455" w:rsidRPr="009243CB" w:rsidRDefault="008E419F" w:rsidP="00AE6A9E">
      <w:r w:rsidRPr="00256A6B">
        <w:rPr>
          <w:lang w:val="es-ES_tradnl"/>
        </w:rPr>
        <w:t xml:space="preserve">La popularidad de ciertos tipos de ordenador y de tableta ha dado lugar a una falsificación muy extendida. </w:t>
      </w:r>
      <w:r w:rsidR="00F56015" w:rsidRPr="00256A6B">
        <w:rPr>
          <w:lang w:val="es-ES_tradnl"/>
        </w:rPr>
        <w:t>En algunos casos</w:t>
      </w:r>
      <w:r w:rsidRPr="00256A6B">
        <w:rPr>
          <w:lang w:val="es-ES_tradnl"/>
        </w:rPr>
        <w:t xml:space="preserve"> estos productos son realmente</w:t>
      </w:r>
      <w:r w:rsidR="00030455" w:rsidRPr="00256A6B">
        <w:rPr>
          <w:lang w:val="es-ES_tradnl"/>
        </w:rPr>
        <w:t xml:space="preserve"> </w:t>
      </w:r>
      <w:r w:rsidR="000B503F" w:rsidRPr="00256A6B">
        <w:rPr>
          <w:lang w:val="es-ES_tradnl"/>
        </w:rPr>
        <w:t>"</w:t>
      </w:r>
      <w:r w:rsidRPr="00256A6B">
        <w:rPr>
          <w:lang w:val="es-ES_tradnl"/>
        </w:rPr>
        <w:t>señuelos</w:t>
      </w:r>
      <w:r w:rsidR="000B503F" w:rsidRPr="00256A6B">
        <w:rPr>
          <w:lang w:val="es-ES_tradnl"/>
        </w:rPr>
        <w:t>"</w:t>
      </w:r>
      <w:r w:rsidRPr="00256A6B">
        <w:rPr>
          <w:lang w:val="es-ES_tradnl"/>
        </w:rPr>
        <w:t xml:space="preserve"> que ni siquiera tienen una tarjeta electrónica</w:t>
      </w:r>
      <w:r w:rsidR="000F1A8B" w:rsidRPr="00256A6B">
        <w:rPr>
          <w:lang w:val="es-ES_tradnl"/>
        </w:rPr>
        <w:t>.</w:t>
      </w:r>
      <w:r w:rsidR="00030455" w:rsidRPr="00256A6B">
        <w:rPr>
          <w:lang w:val="es-ES_tradnl"/>
        </w:rPr>
        <w:t xml:space="preserve"> </w:t>
      </w:r>
      <w:hyperlink r:id="rId31" w:history="1">
        <w:r w:rsidR="004B57E5" w:rsidRPr="00256A6B">
          <w:rPr>
            <w:rStyle w:val="Hyperlink"/>
            <w:lang w:val="es-ES_tradnl"/>
          </w:rPr>
          <w:t>http://www.cnn.com/2013/03/22/tech/mobile/fake-ipads-walmart/</w:t>
        </w:r>
      </w:hyperlink>
      <w:r w:rsidR="004B57E5" w:rsidRPr="00256A6B">
        <w:rPr>
          <w:lang w:val="es-ES_tradnl"/>
        </w:rPr>
        <w:t xml:space="preserve">. </w:t>
      </w:r>
      <w:r w:rsidRPr="00256A6B">
        <w:rPr>
          <w:lang w:val="es-ES_tradnl"/>
        </w:rPr>
        <w:t xml:space="preserve">Para los que </w:t>
      </w:r>
      <w:r w:rsidR="00AE6A9E" w:rsidRPr="00256A6B">
        <w:rPr>
          <w:lang w:val="es-ES_tradnl"/>
        </w:rPr>
        <w:t>sí</w:t>
      </w:r>
      <w:r w:rsidRPr="00256A6B">
        <w:rPr>
          <w:lang w:val="es-ES_tradnl"/>
        </w:rPr>
        <w:t xml:space="preserve"> tienen </w:t>
      </w:r>
      <w:r w:rsidR="00AE6A9E" w:rsidRPr="00256A6B">
        <w:rPr>
          <w:lang w:val="es-ES_tradnl"/>
        </w:rPr>
        <w:t>electrónica</w:t>
      </w:r>
      <w:r w:rsidRPr="00256A6B">
        <w:rPr>
          <w:lang w:val="es-ES_tradnl"/>
        </w:rPr>
        <w:t xml:space="preserve">, algunos </w:t>
      </w:r>
      <w:r w:rsidR="00AE6A9E" w:rsidRPr="00256A6B">
        <w:rPr>
          <w:lang w:val="es-ES_tradnl"/>
        </w:rPr>
        <w:t>tienen</w:t>
      </w:r>
      <w:r w:rsidRPr="00256A6B">
        <w:rPr>
          <w:lang w:val="es-ES_tradnl"/>
        </w:rPr>
        <w:t xml:space="preserve"> preinstalado </w:t>
      </w:r>
      <w:r w:rsidR="00AE6A9E" w:rsidRPr="00256A6B">
        <w:rPr>
          <w:lang w:val="es-ES_tradnl"/>
        </w:rPr>
        <w:t>software malicioso en las versiones falsificadas de los sistemas operativos</w:t>
      </w:r>
      <w:r w:rsidR="009243CB">
        <w:rPr>
          <w:lang w:val="es-ES_tradnl"/>
        </w:rPr>
        <w:t>.</w:t>
      </w:r>
      <w:r w:rsidR="00AE6A9E" w:rsidRPr="00256A6B">
        <w:rPr>
          <w:lang w:val="es-ES_tradnl"/>
        </w:rPr>
        <w:t xml:space="preserve"> </w:t>
      </w:r>
      <w:hyperlink r:id="rId32" w:history="1">
        <w:r w:rsidR="004B57E5" w:rsidRPr="009243CB">
          <w:rPr>
            <w:rStyle w:val="Hyperlink"/>
          </w:rPr>
          <w:t>http://www.computerworld.com/s/article/9231277/Microsoft_finds_new_computers_in_China_preinstalled_with_malware</w:t>
        </w:r>
      </w:hyperlink>
      <w:r w:rsidR="001E3FD7" w:rsidRPr="009243CB">
        <w:t>.</w:t>
      </w:r>
    </w:p>
    <w:p w14:paraId="3FCB8CAD" w14:textId="39FA73AB" w:rsidR="00030455" w:rsidRPr="00C869C0" w:rsidRDefault="00030455" w:rsidP="00AA287D">
      <w:pPr>
        <w:pStyle w:val="Heading3"/>
        <w:rPr>
          <w:lang w:val="es-ES_tradnl"/>
        </w:rPr>
      </w:pPr>
      <w:bookmarkStart w:id="43" w:name="_Toc404607175"/>
      <w:bookmarkStart w:id="44" w:name="_Toc447202518"/>
      <w:r w:rsidRPr="00C869C0">
        <w:rPr>
          <w:lang w:val="es-ES_tradnl"/>
        </w:rPr>
        <w:t>3.1.</w:t>
      </w:r>
      <w:r w:rsidR="00136D15" w:rsidRPr="00C869C0">
        <w:rPr>
          <w:lang w:val="es-ES_tradnl"/>
        </w:rPr>
        <w:t>6</w:t>
      </w:r>
      <w:r w:rsidR="00E24E07" w:rsidRPr="00C869C0">
        <w:rPr>
          <w:lang w:val="es-ES_tradnl"/>
        </w:rPr>
        <w:tab/>
      </w:r>
      <w:r w:rsidR="00AE6A9E" w:rsidRPr="00C869C0">
        <w:rPr>
          <w:lang w:val="es-ES_tradnl"/>
        </w:rPr>
        <w:t>Juegos electrónicos para niños</w:t>
      </w:r>
      <w:bookmarkEnd w:id="43"/>
      <w:bookmarkEnd w:id="44"/>
    </w:p>
    <w:p w14:paraId="7EE0A9CD" w14:textId="07A14716" w:rsidR="00030455" w:rsidRPr="00E250F8" w:rsidRDefault="00AE6A9E" w:rsidP="00F56015">
      <w:pPr>
        <w:rPr>
          <w:color w:val="000000" w:themeColor="text1"/>
        </w:rPr>
      </w:pPr>
      <w:r w:rsidRPr="00256A6B">
        <w:rPr>
          <w:lang w:val="es-ES_tradnl"/>
        </w:rPr>
        <w:t>En</w:t>
      </w:r>
      <w:r w:rsidR="00030455" w:rsidRPr="00256A6B">
        <w:rPr>
          <w:lang w:val="es-ES_tradnl"/>
        </w:rPr>
        <w:t xml:space="preserve"> 2014, </w:t>
      </w:r>
      <w:r w:rsidRPr="00256A6B">
        <w:rPr>
          <w:lang w:val="es-ES_tradnl"/>
        </w:rPr>
        <w:t>la mayoría de los juegos para niños contienen elementos electrónicos de algún tipo. Desde las consolas de juego a los dispositivos de juego portátiles</w:t>
      </w:r>
      <w:r w:rsidR="00F56015" w:rsidRPr="00256A6B">
        <w:rPr>
          <w:lang w:val="es-ES_tradnl"/>
        </w:rPr>
        <w:t xml:space="preserve"> falsos</w:t>
      </w:r>
      <w:r w:rsidRPr="00256A6B">
        <w:rPr>
          <w:lang w:val="es-ES_tradnl"/>
        </w:rPr>
        <w:t>, todos son potencialmente peligrosos para los niños</w:t>
      </w:r>
      <w:r w:rsidR="00030455" w:rsidRPr="00256A6B">
        <w:rPr>
          <w:lang w:val="es-ES_tradnl"/>
        </w:rPr>
        <w:t xml:space="preserve">. </w:t>
      </w:r>
      <w:r w:rsidR="00AC7CE0" w:rsidRPr="00256A6B">
        <w:rPr>
          <w:lang w:val="es-ES_tradnl"/>
        </w:rPr>
        <w:t>Como ejemplo de riesgo de seguridad se puede</w:t>
      </w:r>
      <w:r w:rsidR="00F56015" w:rsidRPr="00256A6B">
        <w:rPr>
          <w:lang w:val="es-ES_tradnl"/>
        </w:rPr>
        <w:t>n</w:t>
      </w:r>
      <w:r w:rsidR="00AC7CE0" w:rsidRPr="00256A6B">
        <w:rPr>
          <w:lang w:val="es-ES_tradnl"/>
        </w:rPr>
        <w:t xml:space="preserve"> citar las fuentes de alimentación sin toma de tierra que plantean riesgo de electrocución. </w:t>
      </w:r>
      <w:hyperlink r:id="rId33" w:history="1">
        <w:r w:rsidR="004B57E5" w:rsidRPr="00E250F8">
          <w:rPr>
            <w:rStyle w:val="Hyperlink"/>
          </w:rPr>
          <w:t>http://www.theguardian.com/money/2011/dec/07/christmas-shopping-counterfeit-toys</w:t>
        </w:r>
      </w:hyperlink>
      <w:r w:rsidR="00C84F6A" w:rsidRPr="00E250F8">
        <w:t>.</w:t>
      </w:r>
    </w:p>
    <w:p w14:paraId="0BDF1F54" w14:textId="64A253ED" w:rsidR="000228E0" w:rsidRPr="00C869C0" w:rsidRDefault="0077266D" w:rsidP="00AA287D">
      <w:pPr>
        <w:pStyle w:val="Heading1"/>
        <w:rPr>
          <w:lang w:val="es-ES_tradnl"/>
        </w:rPr>
      </w:pPr>
      <w:bookmarkStart w:id="45" w:name="_Toc200180730"/>
      <w:bookmarkStart w:id="46" w:name="_Toc200181298"/>
      <w:bookmarkStart w:id="47" w:name="_Toc211334005"/>
      <w:bookmarkStart w:id="48" w:name="_Toc404607176"/>
      <w:bookmarkStart w:id="49" w:name="_Toc406670389"/>
      <w:bookmarkStart w:id="50" w:name="_Toc447202519"/>
      <w:bookmarkStart w:id="51" w:name="_Toc447203004"/>
      <w:r w:rsidRPr="00C869C0">
        <w:rPr>
          <w:lang w:val="es-ES_tradnl"/>
        </w:rPr>
        <w:t>4</w:t>
      </w:r>
      <w:r w:rsidR="00E24E07" w:rsidRPr="00C869C0">
        <w:rPr>
          <w:lang w:val="es-ES_tradnl"/>
        </w:rPr>
        <w:tab/>
      </w:r>
      <w:r w:rsidR="00AC7CE0" w:rsidRPr="00C869C0">
        <w:rPr>
          <w:lang w:val="es-ES_tradnl"/>
        </w:rPr>
        <w:t xml:space="preserve">Convenios sobre </w:t>
      </w:r>
      <w:r w:rsidR="00F446DB" w:rsidRPr="00C869C0">
        <w:rPr>
          <w:lang w:val="es-ES_tradnl"/>
        </w:rPr>
        <w:t xml:space="preserve">Derechos </w:t>
      </w:r>
      <w:r w:rsidR="00AC7CE0" w:rsidRPr="00C869C0">
        <w:rPr>
          <w:lang w:val="es-ES_tradnl"/>
        </w:rPr>
        <w:t>de propiedad intelectual</w:t>
      </w:r>
      <w:bookmarkEnd w:id="45"/>
      <w:bookmarkEnd w:id="46"/>
      <w:bookmarkEnd w:id="47"/>
      <w:bookmarkEnd w:id="48"/>
      <w:bookmarkEnd w:id="49"/>
      <w:bookmarkEnd w:id="50"/>
      <w:bookmarkEnd w:id="51"/>
    </w:p>
    <w:p w14:paraId="09C184C1" w14:textId="5F048B70" w:rsidR="00485156" w:rsidRPr="00256A6B" w:rsidRDefault="00B67019" w:rsidP="00F56015">
      <w:pPr>
        <w:rPr>
          <w:lang w:val="es-ES_tradnl"/>
        </w:rPr>
      </w:pPr>
      <w:r w:rsidRPr="00256A6B">
        <w:rPr>
          <w:lang w:val="es-ES_tradnl"/>
        </w:rPr>
        <w:t>A</w:t>
      </w:r>
      <w:r w:rsidR="00AC7CE0" w:rsidRPr="00256A6B">
        <w:rPr>
          <w:lang w:val="es-ES_tradnl"/>
        </w:rPr>
        <w:t xml:space="preserve">lgunos acuerdos y convenios internacionales han promovido normas adecuadas para la protección de los derechos de propiedad intelectual, así como las excepciones y limitaciones permisibles, </w:t>
      </w:r>
      <w:r w:rsidR="00F56015" w:rsidRPr="00256A6B">
        <w:rPr>
          <w:lang w:val="es-ES_tradnl"/>
        </w:rPr>
        <w:t xml:space="preserve">en leyes nacionales </w:t>
      </w:r>
      <w:r w:rsidR="00AC7CE0" w:rsidRPr="00256A6B">
        <w:rPr>
          <w:lang w:val="es-ES_tradnl"/>
        </w:rPr>
        <w:t>y definen los procedimientos necesarios que llevan a cabo los gobiernos para facilitar a la judicatura que tome medidas efectivas contra los actos delictivos</w:t>
      </w:r>
      <w:r w:rsidR="00C65A4A" w:rsidRPr="00256A6B">
        <w:rPr>
          <w:lang w:val="es-ES_tradnl"/>
        </w:rPr>
        <w:t>.</w:t>
      </w:r>
    </w:p>
    <w:p w14:paraId="600E8C2B" w14:textId="0F27B126" w:rsidR="0077266D" w:rsidRPr="00C869C0" w:rsidRDefault="0077266D" w:rsidP="00AA287D">
      <w:pPr>
        <w:pStyle w:val="Heading2"/>
        <w:rPr>
          <w:lang w:val="es-ES_tradnl"/>
        </w:rPr>
      </w:pPr>
      <w:bookmarkStart w:id="52" w:name="_Toc200180731"/>
      <w:bookmarkStart w:id="53" w:name="_Toc200181299"/>
      <w:bookmarkStart w:id="54" w:name="_Toc211334006"/>
      <w:bookmarkStart w:id="55" w:name="_Toc404607177"/>
      <w:bookmarkStart w:id="56" w:name="_Toc406670390"/>
      <w:bookmarkStart w:id="57" w:name="_Toc447202520"/>
      <w:bookmarkStart w:id="58" w:name="_Toc447203005"/>
      <w:r w:rsidRPr="00C869C0">
        <w:rPr>
          <w:lang w:val="es-ES_tradnl"/>
        </w:rPr>
        <w:lastRenderedPageBreak/>
        <w:t>4.1</w:t>
      </w:r>
      <w:r w:rsidR="00E24E07" w:rsidRPr="00C869C0">
        <w:rPr>
          <w:lang w:val="es-ES_tradnl"/>
        </w:rPr>
        <w:tab/>
      </w:r>
      <w:r w:rsidR="00C84F6A" w:rsidRPr="00C869C0">
        <w:rPr>
          <w:lang w:val="es-ES_tradnl"/>
        </w:rPr>
        <w:t xml:space="preserve">Convenio </w:t>
      </w:r>
      <w:r w:rsidR="00AC7CE0" w:rsidRPr="00C869C0">
        <w:rPr>
          <w:lang w:val="es-ES_tradnl"/>
        </w:rPr>
        <w:t xml:space="preserve">de </w:t>
      </w:r>
      <w:r w:rsidRPr="00C869C0">
        <w:rPr>
          <w:lang w:val="es-ES_tradnl"/>
        </w:rPr>
        <w:t>Par</w:t>
      </w:r>
      <w:r w:rsidR="00F56749" w:rsidRPr="00C869C0">
        <w:rPr>
          <w:lang w:val="es-ES_tradnl"/>
        </w:rPr>
        <w:t>í</w:t>
      </w:r>
      <w:r w:rsidRPr="00C869C0">
        <w:rPr>
          <w:lang w:val="es-ES_tradnl"/>
        </w:rPr>
        <w:t xml:space="preserve">s </w:t>
      </w:r>
      <w:r w:rsidR="00F56749" w:rsidRPr="00C869C0">
        <w:rPr>
          <w:lang w:val="es-ES_tradnl"/>
        </w:rPr>
        <w:t xml:space="preserve">para la Protección de la </w:t>
      </w:r>
      <w:r w:rsidR="00D767C3" w:rsidRPr="00C869C0">
        <w:rPr>
          <w:lang w:val="es-ES_tradnl"/>
        </w:rPr>
        <w:t xml:space="preserve">propiedad industrial </w:t>
      </w:r>
      <w:r w:rsidR="00F56749" w:rsidRPr="00C869C0">
        <w:rPr>
          <w:lang w:val="es-ES_tradnl"/>
        </w:rPr>
        <w:t xml:space="preserve">y Convenio de Berna para la Protección de las </w:t>
      </w:r>
      <w:r w:rsidR="00D767C3" w:rsidRPr="00C869C0">
        <w:rPr>
          <w:lang w:val="es-ES_tradnl"/>
        </w:rPr>
        <w:t xml:space="preserve">obras literarias </w:t>
      </w:r>
      <w:r w:rsidR="00F56749" w:rsidRPr="00C869C0">
        <w:rPr>
          <w:lang w:val="es-ES_tradnl"/>
        </w:rPr>
        <w:t xml:space="preserve">y </w:t>
      </w:r>
      <w:r w:rsidR="00D767C3" w:rsidRPr="00C869C0">
        <w:rPr>
          <w:lang w:val="es-ES_tradnl"/>
        </w:rPr>
        <w:t>artísticas</w:t>
      </w:r>
      <w:bookmarkEnd w:id="52"/>
      <w:bookmarkEnd w:id="53"/>
      <w:bookmarkEnd w:id="54"/>
      <w:bookmarkEnd w:id="55"/>
      <w:bookmarkEnd w:id="56"/>
      <w:bookmarkEnd w:id="57"/>
      <w:bookmarkEnd w:id="58"/>
    </w:p>
    <w:p w14:paraId="29244655" w14:textId="2E426DB2" w:rsidR="0077266D" w:rsidRPr="00256A6B" w:rsidRDefault="00F56749" w:rsidP="00F56015">
      <w:pPr>
        <w:rPr>
          <w:lang w:val="es-ES_tradnl"/>
        </w:rPr>
      </w:pPr>
      <w:r w:rsidRPr="00256A6B">
        <w:rPr>
          <w:lang w:val="es-ES_tradnl"/>
        </w:rPr>
        <w:t xml:space="preserve">La Organización Mundial de la Propiedad Intelectual (OMPI) administra tratados multilaterales relativos a la propiedad intelectual. Los tratados fundamentales son el Convenio de París para la Protección de la </w:t>
      </w:r>
      <w:r w:rsidR="00D767C3" w:rsidRPr="00256A6B">
        <w:rPr>
          <w:lang w:val="es-ES_tradnl"/>
        </w:rPr>
        <w:t xml:space="preserve">propiedad industrial </w:t>
      </w:r>
      <w:r w:rsidRPr="00256A6B">
        <w:rPr>
          <w:lang w:val="es-ES_tradnl"/>
        </w:rPr>
        <w:t xml:space="preserve">y </w:t>
      </w:r>
      <w:r w:rsidR="00F56015" w:rsidRPr="00256A6B">
        <w:rPr>
          <w:lang w:val="es-ES_tradnl"/>
        </w:rPr>
        <w:t xml:space="preserve">el </w:t>
      </w:r>
      <w:r w:rsidRPr="00256A6B">
        <w:rPr>
          <w:lang w:val="es-ES_tradnl"/>
        </w:rPr>
        <w:t xml:space="preserve">Convenio de Berna para la Protección de las </w:t>
      </w:r>
      <w:r w:rsidR="00D767C3" w:rsidRPr="00256A6B">
        <w:rPr>
          <w:lang w:val="es-ES_tradnl"/>
        </w:rPr>
        <w:t xml:space="preserve">obras literarias </w:t>
      </w:r>
      <w:r w:rsidRPr="00256A6B">
        <w:rPr>
          <w:lang w:val="es-ES_tradnl"/>
        </w:rPr>
        <w:t xml:space="preserve">y </w:t>
      </w:r>
      <w:r w:rsidR="00D767C3" w:rsidRPr="00256A6B">
        <w:rPr>
          <w:lang w:val="es-ES_tradnl"/>
        </w:rPr>
        <w:t>artísticas</w:t>
      </w:r>
      <w:r w:rsidR="00D767C3">
        <w:rPr>
          <w:lang w:val="es-ES_tradnl"/>
        </w:rPr>
        <w:t>.</w:t>
      </w:r>
    </w:p>
    <w:p w14:paraId="6FAAF641" w14:textId="142242C7" w:rsidR="0077266D" w:rsidRPr="00256A6B" w:rsidRDefault="00F56749" w:rsidP="00F56015">
      <w:pPr>
        <w:rPr>
          <w:lang w:val="es-ES_tradnl"/>
        </w:rPr>
      </w:pPr>
      <w:r w:rsidRPr="00256A6B">
        <w:rPr>
          <w:lang w:val="es-ES_tradnl"/>
        </w:rPr>
        <w:t xml:space="preserve">El Convenio de París se </w:t>
      </w:r>
      <w:r w:rsidR="00F56015" w:rsidRPr="00256A6B">
        <w:rPr>
          <w:lang w:val="es-ES_tradnl"/>
        </w:rPr>
        <w:t>ultimó</w:t>
      </w:r>
      <w:r w:rsidRPr="00256A6B">
        <w:rPr>
          <w:lang w:val="es-ES_tradnl"/>
        </w:rPr>
        <w:t xml:space="preserve"> en 1883 y ha </w:t>
      </w:r>
      <w:r w:rsidR="00F56015" w:rsidRPr="00256A6B">
        <w:rPr>
          <w:lang w:val="es-ES_tradnl"/>
        </w:rPr>
        <w:t xml:space="preserve">sido </w:t>
      </w:r>
      <w:r w:rsidRPr="00256A6B">
        <w:rPr>
          <w:lang w:val="es-ES_tradnl"/>
        </w:rPr>
        <w:t xml:space="preserve">revisado posteriormente en varias ocasiones. Su objeto es la protección de </w:t>
      </w:r>
      <w:r w:rsidR="000B503F" w:rsidRPr="00256A6B">
        <w:rPr>
          <w:lang w:val="es-ES_tradnl"/>
        </w:rPr>
        <w:t>"</w:t>
      </w:r>
      <w:r w:rsidRPr="00256A6B">
        <w:rPr>
          <w:lang w:val="es-ES_tradnl"/>
        </w:rPr>
        <w:t>las patentes de invención, los modelos de utilidad, los dibujos o modelos industriales, las marcas de fábrica o de comercio, las marcas de servicio, el nombre comercial, las indicaciones de procedencia o denominaciones de origen, así como la represión de la competencia desleal</w:t>
      </w:r>
      <w:r w:rsidR="000B503F" w:rsidRPr="00256A6B">
        <w:rPr>
          <w:lang w:val="es-ES_tradnl"/>
        </w:rPr>
        <w:t>"</w:t>
      </w:r>
      <w:r w:rsidR="007F0C9E" w:rsidRPr="00256A6B">
        <w:rPr>
          <w:lang w:val="es-ES_tradnl"/>
        </w:rPr>
        <w:t xml:space="preserve"> </w:t>
      </w:r>
      <w:r w:rsidR="0077266D" w:rsidRPr="00256A6B">
        <w:rPr>
          <w:lang w:val="es-ES_tradnl"/>
        </w:rPr>
        <w:t xml:space="preserve">[18]. </w:t>
      </w:r>
      <w:r w:rsidR="009E2104" w:rsidRPr="00256A6B">
        <w:rPr>
          <w:lang w:val="es-ES_tradnl"/>
        </w:rPr>
        <w:t xml:space="preserve">En lo que se refiere a la falsificación, este convenio requiere a los estados contratantes que tomen medidas contra </w:t>
      </w:r>
      <w:r w:rsidR="000B503F" w:rsidRPr="00256A6B">
        <w:rPr>
          <w:lang w:val="es-ES_tradnl"/>
        </w:rPr>
        <w:t>"</w:t>
      </w:r>
      <w:r w:rsidR="009E2104" w:rsidRPr="00256A6B">
        <w:rPr>
          <w:lang w:val="es-ES_tradnl"/>
        </w:rPr>
        <w:t>la utilización directa o indirecta de una indicación falsa concerniente a la procedencia del producto o a la identidad del productor, fabricante o comerciante</w:t>
      </w:r>
      <w:r w:rsidR="000B503F" w:rsidRPr="00256A6B">
        <w:rPr>
          <w:lang w:val="es-ES_tradnl"/>
        </w:rPr>
        <w:t>"</w:t>
      </w:r>
      <w:r w:rsidR="009E2104" w:rsidRPr="00256A6B">
        <w:rPr>
          <w:lang w:val="es-ES_tradnl"/>
        </w:rPr>
        <w:t>.</w:t>
      </w:r>
      <w:r w:rsidR="0077266D" w:rsidRPr="00256A6B">
        <w:rPr>
          <w:lang w:val="es-ES_tradnl"/>
        </w:rPr>
        <w:t xml:space="preserve"> </w:t>
      </w:r>
    </w:p>
    <w:p w14:paraId="0CB6117B" w14:textId="6D183C3E" w:rsidR="0077266D" w:rsidRPr="00C869C0" w:rsidRDefault="00E24E07" w:rsidP="00AA287D">
      <w:pPr>
        <w:pStyle w:val="Heading2"/>
        <w:rPr>
          <w:lang w:val="es-ES_tradnl"/>
        </w:rPr>
      </w:pPr>
      <w:bookmarkStart w:id="59" w:name="_Toc200180732"/>
      <w:bookmarkStart w:id="60" w:name="_Toc200181300"/>
      <w:bookmarkStart w:id="61" w:name="_Toc211334007"/>
      <w:bookmarkStart w:id="62" w:name="_Toc404607178"/>
      <w:bookmarkStart w:id="63" w:name="_Toc406670391"/>
      <w:bookmarkStart w:id="64" w:name="_Toc447202521"/>
      <w:bookmarkStart w:id="65" w:name="_Toc447203006"/>
      <w:r w:rsidRPr="00C869C0">
        <w:rPr>
          <w:lang w:val="es-ES_tradnl"/>
        </w:rPr>
        <w:t>4.2</w:t>
      </w:r>
      <w:r w:rsidRPr="00C869C0">
        <w:rPr>
          <w:lang w:val="es-ES_tradnl"/>
        </w:rPr>
        <w:tab/>
      </w:r>
      <w:r w:rsidR="001D4E2C" w:rsidRPr="00C869C0">
        <w:rPr>
          <w:lang w:val="es-ES_tradnl"/>
        </w:rPr>
        <w:t xml:space="preserve">Aspectos de los </w:t>
      </w:r>
      <w:r w:rsidR="00F446DB" w:rsidRPr="00C869C0">
        <w:rPr>
          <w:lang w:val="es-ES_tradnl"/>
        </w:rPr>
        <w:t xml:space="preserve">Derechos </w:t>
      </w:r>
      <w:r w:rsidR="001D4E2C" w:rsidRPr="00C869C0">
        <w:rPr>
          <w:lang w:val="es-ES_tradnl"/>
        </w:rPr>
        <w:t xml:space="preserve">de </w:t>
      </w:r>
      <w:r w:rsidR="003D3D7F" w:rsidRPr="00C869C0">
        <w:rPr>
          <w:lang w:val="es-ES_tradnl"/>
        </w:rPr>
        <w:t xml:space="preserve">propiedad intelectual </w:t>
      </w:r>
      <w:r w:rsidR="001D4E2C" w:rsidRPr="00C869C0">
        <w:rPr>
          <w:lang w:val="es-ES_tradnl"/>
        </w:rPr>
        <w:t xml:space="preserve">relacionados con el </w:t>
      </w:r>
      <w:r w:rsidR="003D3D7F" w:rsidRPr="00C869C0">
        <w:rPr>
          <w:lang w:val="es-ES_tradnl"/>
        </w:rPr>
        <w:t xml:space="preserve">comercio </w:t>
      </w:r>
      <w:r w:rsidR="001D4E2C" w:rsidRPr="00C869C0">
        <w:rPr>
          <w:lang w:val="es-ES_tradnl"/>
        </w:rPr>
        <w:t xml:space="preserve">(ADPIC) de la </w:t>
      </w:r>
      <w:r w:rsidR="009E2104" w:rsidRPr="00C869C0">
        <w:rPr>
          <w:lang w:val="es-ES_tradnl"/>
        </w:rPr>
        <w:t xml:space="preserve">Organización </w:t>
      </w:r>
      <w:r w:rsidR="003D3D7F" w:rsidRPr="00C869C0">
        <w:rPr>
          <w:lang w:val="es-ES_tradnl"/>
        </w:rPr>
        <w:t xml:space="preserve">Mundial </w:t>
      </w:r>
      <w:r w:rsidR="009E2104" w:rsidRPr="00C869C0">
        <w:rPr>
          <w:lang w:val="es-ES_tradnl"/>
        </w:rPr>
        <w:t xml:space="preserve">del </w:t>
      </w:r>
      <w:r w:rsidR="003D3D7F" w:rsidRPr="00C869C0">
        <w:rPr>
          <w:lang w:val="es-ES_tradnl"/>
        </w:rPr>
        <w:t xml:space="preserve">Comercio </w:t>
      </w:r>
      <w:r w:rsidR="0077266D" w:rsidRPr="00C869C0">
        <w:rPr>
          <w:lang w:val="es-ES_tradnl"/>
        </w:rPr>
        <w:t>(</w:t>
      </w:r>
      <w:r w:rsidR="009E2104" w:rsidRPr="00C869C0">
        <w:rPr>
          <w:lang w:val="es-ES_tradnl"/>
        </w:rPr>
        <w:t>OMC</w:t>
      </w:r>
      <w:r w:rsidR="0077266D" w:rsidRPr="00C869C0">
        <w:rPr>
          <w:lang w:val="es-ES_tradnl"/>
        </w:rPr>
        <w:t>)</w:t>
      </w:r>
      <w:bookmarkEnd w:id="59"/>
      <w:bookmarkEnd w:id="60"/>
      <w:bookmarkEnd w:id="61"/>
      <w:bookmarkEnd w:id="62"/>
      <w:bookmarkEnd w:id="63"/>
      <w:bookmarkEnd w:id="64"/>
      <w:bookmarkEnd w:id="65"/>
    </w:p>
    <w:p w14:paraId="3FC94485" w14:textId="49276C99" w:rsidR="00485156" w:rsidRPr="00256A6B" w:rsidRDefault="001D4E2C" w:rsidP="00F56015">
      <w:pPr>
        <w:rPr>
          <w:lang w:val="es-ES_tradnl"/>
        </w:rPr>
      </w:pPr>
      <w:r w:rsidRPr="00256A6B">
        <w:rPr>
          <w:lang w:val="es-ES_tradnl"/>
        </w:rPr>
        <w:t>La Organización Mundial del Comercio (OMC) administra el Acuerdo sobre los ADPIC que establece las normas mínimas que deben aplicar todos los Miembros</w:t>
      </w:r>
      <w:r w:rsidR="002D65FC" w:rsidRPr="00256A6B">
        <w:rPr>
          <w:lang w:val="es-ES_tradnl"/>
        </w:rPr>
        <w:t xml:space="preserve"> </w:t>
      </w:r>
      <w:r w:rsidRPr="00256A6B">
        <w:rPr>
          <w:lang w:val="es-ES_tradnl"/>
        </w:rPr>
        <w:t xml:space="preserve">de la OMC tanto para proteger como para hacer valer </w:t>
      </w:r>
      <w:r w:rsidR="00D71000" w:rsidRPr="00256A6B">
        <w:rPr>
          <w:lang w:val="es-ES_tradnl"/>
        </w:rPr>
        <w:t xml:space="preserve">los </w:t>
      </w:r>
      <w:r w:rsidR="00F446DB" w:rsidRPr="00256A6B">
        <w:rPr>
          <w:lang w:val="es-ES_tradnl"/>
        </w:rPr>
        <w:t xml:space="preserve">Derechos </w:t>
      </w:r>
      <w:r w:rsidR="00D71000" w:rsidRPr="00256A6B">
        <w:rPr>
          <w:lang w:val="es-ES_tradnl"/>
        </w:rPr>
        <w:t>de propiedad intelectual</w:t>
      </w:r>
      <w:r w:rsidR="00F56015" w:rsidRPr="00256A6B">
        <w:rPr>
          <w:lang w:val="es-ES_tradnl"/>
        </w:rPr>
        <w:t xml:space="preserve"> en permanencia</w:t>
      </w:r>
      <w:r w:rsidR="00D71000" w:rsidRPr="00256A6B">
        <w:rPr>
          <w:lang w:val="es-ES_tradnl"/>
        </w:rPr>
        <w:t>. El Acuerdo sobre los ADPIC introduce por lo tanto un conjunto completo de disposiciones sobre</w:t>
      </w:r>
      <w:r w:rsidRPr="00256A6B">
        <w:rPr>
          <w:lang w:val="es-ES_tradnl"/>
        </w:rPr>
        <w:t xml:space="preserve"> </w:t>
      </w:r>
      <w:r w:rsidR="00C84F6A" w:rsidRPr="00256A6B">
        <w:rPr>
          <w:lang w:val="es-ES_tradnl"/>
        </w:rPr>
        <w:t>observancia por primera vez</w:t>
      </w:r>
      <w:r w:rsidR="00D71000" w:rsidRPr="00256A6B">
        <w:rPr>
          <w:lang w:val="es-ES_tradnl"/>
        </w:rPr>
        <w:t xml:space="preserve"> en un acuerdo multilateral. Cualquier diferencia entre los Miembros de la OMC en este ámbito se resolverá según lo dispuesto en el Entendimiento sobre </w:t>
      </w:r>
      <w:r w:rsidR="00F446DB" w:rsidRPr="00256A6B">
        <w:rPr>
          <w:lang w:val="es-ES_tradnl"/>
        </w:rPr>
        <w:t xml:space="preserve">solución </w:t>
      </w:r>
      <w:r w:rsidR="00D71000" w:rsidRPr="00256A6B">
        <w:rPr>
          <w:lang w:val="es-ES_tradnl"/>
        </w:rPr>
        <w:t xml:space="preserve">de </w:t>
      </w:r>
      <w:r w:rsidR="00F446DB" w:rsidRPr="00256A6B">
        <w:rPr>
          <w:lang w:val="es-ES_tradnl"/>
        </w:rPr>
        <w:t xml:space="preserve">diferencias </w:t>
      </w:r>
      <w:r w:rsidR="00D71000" w:rsidRPr="00256A6B">
        <w:rPr>
          <w:lang w:val="es-ES_tradnl"/>
        </w:rPr>
        <w:t>de la OMC.</w:t>
      </w:r>
    </w:p>
    <w:p w14:paraId="27567BEF" w14:textId="1DC8E909" w:rsidR="00485156" w:rsidRPr="00256A6B" w:rsidRDefault="00304EBD" w:rsidP="00AA7D3D">
      <w:pPr>
        <w:rPr>
          <w:lang w:val="es-ES_tradnl"/>
        </w:rPr>
      </w:pPr>
      <w:r w:rsidRPr="00256A6B">
        <w:rPr>
          <w:lang w:val="es-ES_tradnl"/>
        </w:rPr>
        <w:t>Las disposiciones de los ADPIC sobre observancia tienen dos objetivos básicos, a saber, poner a disposición de los beneficiarios medios efectivos para la observancia y garantizar que los procedimientos de observancia son equilibrados y proporcionados y no impiden el comercio legítimo.</w:t>
      </w:r>
      <w:r w:rsidR="00CF1F0F" w:rsidRPr="00256A6B">
        <w:rPr>
          <w:lang w:val="es-ES_tradnl"/>
        </w:rPr>
        <w:t xml:space="preserve"> </w:t>
      </w:r>
      <w:r w:rsidR="008F6A61" w:rsidRPr="00256A6B">
        <w:rPr>
          <w:lang w:val="es-ES_tradnl"/>
        </w:rPr>
        <w:t xml:space="preserve">Se dividen en cinco secciones. La primera sección establece las obligaciones generales que deben cumplir todos los procedimientos de </w:t>
      </w:r>
      <w:r w:rsidR="00CF1F0F" w:rsidRPr="00256A6B">
        <w:rPr>
          <w:lang w:val="es-ES_tradnl"/>
        </w:rPr>
        <w:t>observancia</w:t>
      </w:r>
      <w:r w:rsidR="002D65FC" w:rsidRPr="00256A6B">
        <w:rPr>
          <w:lang w:val="es-ES_tradnl"/>
        </w:rPr>
        <w:t xml:space="preserve">. </w:t>
      </w:r>
      <w:r w:rsidR="00CF1F0F" w:rsidRPr="00256A6B">
        <w:rPr>
          <w:lang w:val="es-ES_tradnl"/>
        </w:rPr>
        <w:t>Estos, sobretodo, se destinan a garantizar su eficacia y a que se cumplan ciertos principios básicos del proceso correspondiente. Las secciones siguientes tratan de los procedimientos y recursos administrativos y civiles, las medidas provisionales, las prescripciones especiales relacionad</w:t>
      </w:r>
      <w:r w:rsidR="00C84F6A" w:rsidRPr="00256A6B">
        <w:rPr>
          <w:lang w:val="es-ES_tradnl"/>
        </w:rPr>
        <w:t xml:space="preserve">as con las medidas en frontera </w:t>
      </w:r>
      <w:r w:rsidR="00CF1F0F" w:rsidRPr="00256A6B">
        <w:rPr>
          <w:lang w:val="es-ES_tradnl"/>
        </w:rPr>
        <w:t xml:space="preserve">y </w:t>
      </w:r>
      <w:r w:rsidR="00AA7D3D" w:rsidRPr="00256A6B">
        <w:rPr>
          <w:lang w:val="es-ES_tradnl"/>
        </w:rPr>
        <w:t>los procedimientos penales</w:t>
      </w:r>
      <w:r w:rsidR="002D65FC" w:rsidRPr="00256A6B">
        <w:rPr>
          <w:lang w:val="es-ES_tradnl"/>
        </w:rPr>
        <w:t>.</w:t>
      </w:r>
    </w:p>
    <w:p w14:paraId="3BDD3C97" w14:textId="5D88B505" w:rsidR="00485156" w:rsidRPr="00256A6B" w:rsidRDefault="00AA7D3D" w:rsidP="00C53818">
      <w:pPr>
        <w:rPr>
          <w:lang w:val="es-ES_tradnl"/>
        </w:rPr>
      </w:pPr>
      <w:r w:rsidRPr="00256A6B">
        <w:rPr>
          <w:lang w:val="es-ES_tradnl"/>
        </w:rPr>
        <w:t>El Acuerdo establece una distinción entre actividades de infracción en general, para las que deben estar disponibles los procedimiento</w:t>
      </w:r>
      <w:r w:rsidR="004567B3">
        <w:rPr>
          <w:lang w:val="es-ES_tradnl"/>
        </w:rPr>
        <w:t xml:space="preserve">s y recursos administrativos, </w:t>
      </w:r>
      <w:r w:rsidRPr="00256A6B">
        <w:rPr>
          <w:lang w:val="es-ES_tradnl"/>
        </w:rPr>
        <w:t xml:space="preserve">la falsificación y la piratería – las formas más </w:t>
      </w:r>
      <w:r w:rsidR="00C53818" w:rsidRPr="00256A6B">
        <w:rPr>
          <w:lang w:val="es-ES_tradnl"/>
        </w:rPr>
        <w:t xml:space="preserve">evidentes e importantes </w:t>
      </w:r>
      <w:r w:rsidR="00FB5333" w:rsidRPr="00256A6B">
        <w:rPr>
          <w:lang w:val="es-ES_tradnl"/>
        </w:rPr>
        <w:t xml:space="preserve">de actividad delictiva – </w:t>
      </w:r>
      <w:r w:rsidRPr="00256A6B">
        <w:rPr>
          <w:lang w:val="es-ES_tradnl"/>
        </w:rPr>
        <w:t xml:space="preserve">para los que son obligatorios ciertos procedimientos y recursos adicionales como </w:t>
      </w:r>
      <w:r w:rsidR="00FB5333" w:rsidRPr="00256A6B">
        <w:rPr>
          <w:lang w:val="es-ES_tradnl"/>
        </w:rPr>
        <w:t>las medidas en frontera y los procedimientos penales. Con este fin, se definen las mercancías falsificadas fundamentalmente como mercancías que implican la copia literal de la marca de fábrica y las mercancías pirata</w:t>
      </w:r>
      <w:r w:rsidR="00C53818" w:rsidRPr="00256A6B">
        <w:rPr>
          <w:lang w:val="es-ES_tradnl"/>
        </w:rPr>
        <w:t>s</w:t>
      </w:r>
      <w:r w:rsidR="00FB5333" w:rsidRPr="00256A6B">
        <w:rPr>
          <w:lang w:val="es-ES_tradnl"/>
        </w:rPr>
        <w:t xml:space="preserve"> como aquellas mercancías que </w:t>
      </w:r>
      <w:r w:rsidR="00EC426D" w:rsidRPr="00256A6B">
        <w:rPr>
          <w:lang w:val="es-ES_tradnl"/>
        </w:rPr>
        <w:t>constituyan infracción del derecho de</w:t>
      </w:r>
      <w:r w:rsidR="00C84F6A" w:rsidRPr="00256A6B">
        <w:rPr>
          <w:lang w:val="es-ES_tradnl"/>
        </w:rPr>
        <w:t xml:space="preserve"> autor o de un derecho conexo.</w:t>
      </w:r>
    </w:p>
    <w:p w14:paraId="316A529C" w14:textId="4D30C859" w:rsidR="00485156" w:rsidRPr="00256A6B" w:rsidRDefault="00EC426D" w:rsidP="00EB06FB">
      <w:pPr>
        <w:rPr>
          <w:lang w:val="es-ES_tradnl"/>
        </w:rPr>
      </w:pPr>
      <w:r w:rsidRPr="00256A6B">
        <w:rPr>
          <w:lang w:val="es-ES_tradnl"/>
        </w:rPr>
        <w:t>Concretamente</w:t>
      </w:r>
      <w:r w:rsidR="002D65FC" w:rsidRPr="00256A6B">
        <w:rPr>
          <w:lang w:val="es-ES_tradnl"/>
        </w:rPr>
        <w:t xml:space="preserve">, </w:t>
      </w:r>
      <w:r w:rsidRPr="00256A6B">
        <w:rPr>
          <w:lang w:val="es-ES_tradnl"/>
        </w:rPr>
        <w:t>las obligaciones de los Miembros de la OMC son l</w:t>
      </w:r>
      <w:r w:rsidR="00EB06FB">
        <w:rPr>
          <w:lang w:val="es-ES_tradnl"/>
        </w:rPr>
        <w:t>a</w:t>
      </w:r>
      <w:r w:rsidRPr="00256A6B">
        <w:rPr>
          <w:lang w:val="es-ES_tradnl"/>
        </w:rPr>
        <w:t>s siguientes:</w:t>
      </w:r>
    </w:p>
    <w:p w14:paraId="56EFF7C6" w14:textId="5E7BA706" w:rsidR="00485156" w:rsidRPr="00256A6B" w:rsidRDefault="005269D3" w:rsidP="00AA287D">
      <w:pPr>
        <w:rPr>
          <w:lang w:val="es-ES_tradnl"/>
        </w:rPr>
      </w:pPr>
      <w:r w:rsidRPr="00256A6B">
        <w:rPr>
          <w:lang w:val="es-ES_tradnl"/>
        </w:rPr>
        <w:t>a)</w:t>
      </w:r>
      <w:r w:rsidRPr="00256A6B">
        <w:rPr>
          <w:lang w:val="es-ES_tradnl"/>
        </w:rPr>
        <w:tab/>
      </w:r>
      <w:r w:rsidR="00EC426D" w:rsidRPr="00256A6B">
        <w:rPr>
          <w:u w:val="single"/>
          <w:lang w:val="es-ES_tradnl"/>
        </w:rPr>
        <w:t>Procedimientos civiles y administrativos</w:t>
      </w:r>
      <w:r w:rsidR="002D65FC" w:rsidRPr="00256A6B">
        <w:rPr>
          <w:lang w:val="es-ES_tradnl"/>
        </w:rPr>
        <w:t xml:space="preserve">: </w:t>
      </w:r>
      <w:r w:rsidR="00EC426D" w:rsidRPr="00256A6B">
        <w:rPr>
          <w:lang w:val="es-ES_tradnl"/>
        </w:rPr>
        <w:t>Los titulares de derechos deben poder iniciar procedimientos judiciales civiles</w:t>
      </w:r>
      <w:r w:rsidR="00C53818" w:rsidRPr="00256A6B">
        <w:rPr>
          <w:lang w:val="es-ES_tradnl"/>
        </w:rPr>
        <w:t xml:space="preserve"> u, opcionalmente,</w:t>
      </w:r>
      <w:r w:rsidR="002D65FC" w:rsidRPr="00256A6B">
        <w:rPr>
          <w:lang w:val="es-ES_tradnl"/>
        </w:rPr>
        <w:t xml:space="preserve"> </w:t>
      </w:r>
      <w:r w:rsidR="00EC426D" w:rsidRPr="00256A6B">
        <w:rPr>
          <w:lang w:val="es-ES_tradnl"/>
        </w:rPr>
        <w:t>administrativos contra los infractores de los derechos de propiedad intelectual. Estos procedimientos serán justos y equitativos. Se establecen</w:t>
      </w:r>
      <w:r w:rsidR="0011419D" w:rsidRPr="00256A6B">
        <w:rPr>
          <w:lang w:val="es-ES_tradnl"/>
        </w:rPr>
        <w:t xml:space="preserve"> ciertas normas para sustanciar</w:t>
      </w:r>
      <w:r w:rsidR="00BD6887" w:rsidRPr="00256A6B">
        <w:rPr>
          <w:lang w:val="es-ES_tradnl"/>
        </w:rPr>
        <w:t xml:space="preserve"> pruebas. Ade</w:t>
      </w:r>
      <w:r w:rsidR="00C53818" w:rsidRPr="00256A6B">
        <w:rPr>
          <w:lang w:val="es-ES_tradnl"/>
        </w:rPr>
        <w:t xml:space="preserve">más, se insta a los Miembros </w:t>
      </w:r>
      <w:r w:rsidR="00BD6887" w:rsidRPr="00256A6B">
        <w:rPr>
          <w:lang w:val="es-ES_tradnl"/>
        </w:rPr>
        <w:t xml:space="preserve">a que faculten a las autoridades judiciales </w:t>
      </w:r>
      <w:r w:rsidR="00C53818" w:rsidRPr="00256A6B">
        <w:rPr>
          <w:lang w:val="es-ES_tradnl"/>
        </w:rPr>
        <w:t>para decretar</w:t>
      </w:r>
      <w:r w:rsidR="00BD6887" w:rsidRPr="00256A6B">
        <w:rPr>
          <w:lang w:val="es-ES_tradnl"/>
        </w:rPr>
        <w:t xml:space="preserve"> tres tipos de recursos: amonestaciones, perjuicios y otros recursos. P</w:t>
      </w:r>
      <w:r w:rsidR="0011419D" w:rsidRPr="00256A6B">
        <w:rPr>
          <w:lang w:val="es-ES_tradnl"/>
        </w:rPr>
        <w:t>ara disuadir de lo</w:t>
      </w:r>
      <w:r w:rsidR="00BD6887" w:rsidRPr="00256A6B">
        <w:rPr>
          <w:lang w:val="es-ES_tradnl"/>
        </w:rPr>
        <w:t xml:space="preserve">s </w:t>
      </w:r>
      <w:r w:rsidR="0011419D" w:rsidRPr="00256A6B">
        <w:rPr>
          <w:lang w:val="es-ES_tradnl"/>
        </w:rPr>
        <w:t>abusos</w:t>
      </w:r>
      <w:r w:rsidR="00BD6887" w:rsidRPr="00256A6B">
        <w:rPr>
          <w:lang w:val="es-ES_tradnl"/>
        </w:rPr>
        <w:t>, las obligaciones tambi</w:t>
      </w:r>
      <w:r w:rsidR="0011419D" w:rsidRPr="00256A6B">
        <w:rPr>
          <w:lang w:val="es-ES_tradnl"/>
        </w:rPr>
        <w:t>én contemplan la indemnización</w:t>
      </w:r>
      <w:r w:rsidR="00BD6887" w:rsidRPr="00256A6B">
        <w:rPr>
          <w:lang w:val="es-ES_tradnl"/>
        </w:rPr>
        <w:t xml:space="preserve"> </w:t>
      </w:r>
      <w:r w:rsidR="0011419D" w:rsidRPr="00256A6B">
        <w:rPr>
          <w:lang w:val="es-ES_tradnl"/>
        </w:rPr>
        <w:t>del demandado cuando el titular de los derechos haya abusado de los procedimientos de observancia</w:t>
      </w:r>
      <w:r w:rsidRPr="00256A6B">
        <w:rPr>
          <w:lang w:val="es-ES_tradnl"/>
        </w:rPr>
        <w:t>.</w:t>
      </w:r>
    </w:p>
    <w:p w14:paraId="4F013D3F" w14:textId="5A6DA8B8" w:rsidR="00485156" w:rsidRPr="00256A6B" w:rsidRDefault="005269D3" w:rsidP="00AA287D">
      <w:pPr>
        <w:rPr>
          <w:lang w:val="es-ES_tradnl"/>
        </w:rPr>
      </w:pPr>
      <w:r w:rsidRPr="00256A6B">
        <w:rPr>
          <w:lang w:val="es-ES_tradnl"/>
        </w:rPr>
        <w:t>b)</w:t>
      </w:r>
      <w:r w:rsidRPr="00256A6B">
        <w:rPr>
          <w:lang w:val="es-ES_tradnl"/>
        </w:rPr>
        <w:tab/>
      </w:r>
      <w:r w:rsidR="0011419D" w:rsidRPr="00256A6B">
        <w:rPr>
          <w:u w:val="single"/>
          <w:lang w:val="es-ES_tradnl"/>
        </w:rPr>
        <w:t>Medidas provisionales</w:t>
      </w:r>
      <w:r w:rsidR="002D65FC" w:rsidRPr="00256A6B">
        <w:rPr>
          <w:lang w:val="es-ES_tradnl"/>
        </w:rPr>
        <w:t xml:space="preserve">: </w:t>
      </w:r>
      <w:r w:rsidR="00FC456A" w:rsidRPr="00256A6B">
        <w:rPr>
          <w:lang w:val="es-ES_tradnl"/>
        </w:rPr>
        <w:t>L</w:t>
      </w:r>
      <w:r w:rsidR="0011419D" w:rsidRPr="00256A6B">
        <w:rPr>
          <w:lang w:val="es-ES_tradnl"/>
        </w:rPr>
        <w:t xml:space="preserve">os requerimientos judiciales provisionales constituyen un </w:t>
      </w:r>
      <w:r w:rsidR="00FF3B6C" w:rsidRPr="00256A6B">
        <w:rPr>
          <w:lang w:val="es-ES_tradnl"/>
        </w:rPr>
        <w:t>instrumento</w:t>
      </w:r>
      <w:r w:rsidR="0011419D" w:rsidRPr="00256A6B">
        <w:rPr>
          <w:lang w:val="es-ES_tradnl"/>
        </w:rPr>
        <w:t xml:space="preserve"> importante </w:t>
      </w:r>
      <w:r w:rsidR="00FF3B6C" w:rsidRPr="00256A6B">
        <w:rPr>
          <w:lang w:val="es-ES_tradnl"/>
        </w:rPr>
        <w:t xml:space="preserve">para la solución de una disputa en un juicio. Por tanto, las autoridades judiciales deben estar facultadas para ordenar medidas provisionales rápidas y eficaces </w:t>
      </w:r>
      <w:r w:rsidR="00C53818" w:rsidRPr="00256A6B">
        <w:rPr>
          <w:lang w:val="es-ES_tradnl"/>
        </w:rPr>
        <w:t>a la hora de</w:t>
      </w:r>
      <w:r w:rsidR="00FF3B6C" w:rsidRPr="00256A6B">
        <w:rPr>
          <w:lang w:val="es-ES_tradnl"/>
        </w:rPr>
        <w:t xml:space="preserve"> </w:t>
      </w:r>
      <w:r w:rsidR="00FF3B6C" w:rsidRPr="00256A6B">
        <w:rPr>
          <w:lang w:val="es-ES_tradnl"/>
        </w:rPr>
        <w:lastRenderedPageBreak/>
        <w:t>actuar contra las infracciones alegadas. Como en otras secciones sobre observancia, se proporcionan ciertos requisitos de procedimiento y s</w:t>
      </w:r>
      <w:r w:rsidR="00C53818" w:rsidRPr="00256A6B">
        <w:rPr>
          <w:lang w:val="es-ES_tradnl"/>
        </w:rPr>
        <w:t>alvaguardias contra los abusos.</w:t>
      </w:r>
    </w:p>
    <w:p w14:paraId="7D977D50" w14:textId="2E0CA78A" w:rsidR="00485156" w:rsidRPr="00256A6B" w:rsidRDefault="005269D3" w:rsidP="00AA287D">
      <w:pPr>
        <w:rPr>
          <w:lang w:val="es-ES_tradnl"/>
        </w:rPr>
      </w:pPr>
      <w:r w:rsidRPr="00256A6B">
        <w:rPr>
          <w:lang w:val="es-ES_tradnl"/>
        </w:rPr>
        <w:t>c)</w:t>
      </w:r>
      <w:r w:rsidRPr="00256A6B">
        <w:rPr>
          <w:lang w:val="es-ES_tradnl"/>
        </w:rPr>
        <w:tab/>
      </w:r>
      <w:r w:rsidR="00FF3B6C" w:rsidRPr="00256A6B">
        <w:rPr>
          <w:u w:val="single"/>
          <w:lang w:val="es-ES_tradnl"/>
        </w:rPr>
        <w:t>Medidas en frontera</w:t>
      </w:r>
      <w:r w:rsidR="002D65FC" w:rsidRPr="00256A6B">
        <w:rPr>
          <w:lang w:val="es-ES_tradnl"/>
        </w:rPr>
        <w:t xml:space="preserve">: </w:t>
      </w:r>
      <w:r w:rsidR="00FF3B6C" w:rsidRPr="00256A6B">
        <w:rPr>
          <w:lang w:val="es-ES_tradnl"/>
        </w:rPr>
        <w:t>Permiten al titular de los derechos obtener la cooperaci</w:t>
      </w:r>
      <w:r w:rsidR="00C53818" w:rsidRPr="00256A6B">
        <w:rPr>
          <w:lang w:val="es-ES_tradnl"/>
        </w:rPr>
        <w:t>ón de las administraciones de aduanas para interceptar</w:t>
      </w:r>
      <w:r w:rsidR="00DB760D" w:rsidRPr="00256A6B">
        <w:rPr>
          <w:lang w:val="es-ES_tradnl"/>
        </w:rPr>
        <w:t xml:space="preserve"> mercancías infractoras en la frontera y </w:t>
      </w:r>
      <w:r w:rsidR="00C53818" w:rsidRPr="00256A6B">
        <w:rPr>
          <w:lang w:val="es-ES_tradnl"/>
        </w:rPr>
        <w:t>evitar</w:t>
      </w:r>
      <w:r w:rsidR="00DB760D" w:rsidRPr="00256A6B">
        <w:rPr>
          <w:lang w:val="es-ES_tradnl"/>
        </w:rPr>
        <w:t xml:space="preserve"> que esas mercancías sigan en circulación. Son obligatorias para mercancías </w:t>
      </w:r>
      <w:r w:rsidR="005E1686" w:rsidRPr="00256A6B">
        <w:rPr>
          <w:lang w:val="es-ES_tradnl"/>
        </w:rPr>
        <w:t>infractoras</w:t>
      </w:r>
      <w:r w:rsidR="00833061">
        <w:rPr>
          <w:lang w:val="es-ES_tradnl"/>
        </w:rPr>
        <w:t>,</w:t>
      </w:r>
      <w:r w:rsidR="005E1686" w:rsidRPr="00256A6B">
        <w:rPr>
          <w:lang w:val="es-ES_tradnl"/>
        </w:rPr>
        <w:t xml:space="preserve"> </w:t>
      </w:r>
      <w:r w:rsidR="00DB760D" w:rsidRPr="00256A6B">
        <w:rPr>
          <w:lang w:val="es-ES_tradnl"/>
        </w:rPr>
        <w:t xml:space="preserve">falsificadas y </w:t>
      </w:r>
      <w:r w:rsidR="005E1686" w:rsidRPr="00256A6B">
        <w:rPr>
          <w:lang w:val="es-ES_tradnl"/>
        </w:rPr>
        <w:t>pirata</w:t>
      </w:r>
      <w:r w:rsidR="00833061">
        <w:rPr>
          <w:lang w:val="es-ES_tradnl"/>
        </w:rPr>
        <w:t>s,</w:t>
      </w:r>
      <w:r w:rsidR="005E1686" w:rsidRPr="00256A6B">
        <w:rPr>
          <w:lang w:val="es-ES_tradnl"/>
        </w:rPr>
        <w:t xml:space="preserve"> y los Miembros pueden también disponer de estas medidas ante la infracción de otros derechos de </w:t>
      </w:r>
      <w:r w:rsidR="00C53818" w:rsidRPr="00256A6B">
        <w:rPr>
          <w:lang w:val="es-ES_tradnl"/>
        </w:rPr>
        <w:t>propiedad intelectual,</w:t>
      </w:r>
      <w:r w:rsidR="005E1686" w:rsidRPr="00256A6B">
        <w:rPr>
          <w:lang w:val="es-ES_tradnl"/>
        </w:rPr>
        <w:t xml:space="preserve"> mercancías infractoras destinadas a la exportación, mercancías en tránsito, importaciones insignificantes e importaciones paralelas. Las medidas en frontera están sujetas a ciertos </w:t>
      </w:r>
      <w:r w:rsidR="00C53818" w:rsidRPr="00256A6B">
        <w:rPr>
          <w:lang w:val="es-ES_tradnl"/>
        </w:rPr>
        <w:t>requisitos</w:t>
      </w:r>
      <w:r w:rsidR="005E1686" w:rsidRPr="00256A6B">
        <w:rPr>
          <w:lang w:val="es-ES_tradnl"/>
        </w:rPr>
        <w:t xml:space="preserve"> de procedimiento y </w:t>
      </w:r>
      <w:r w:rsidR="00C53818" w:rsidRPr="00256A6B">
        <w:rPr>
          <w:lang w:val="es-ES_tradnl"/>
        </w:rPr>
        <w:t>garantías</w:t>
      </w:r>
      <w:r w:rsidR="005E1686" w:rsidRPr="00256A6B">
        <w:rPr>
          <w:lang w:val="es-ES_tradnl"/>
        </w:rPr>
        <w:t xml:space="preserve"> </w:t>
      </w:r>
      <w:r w:rsidR="00C53818" w:rsidRPr="00256A6B">
        <w:rPr>
          <w:lang w:val="es-ES_tradnl"/>
        </w:rPr>
        <w:t>contra los abusos similares a lo</w:t>
      </w:r>
      <w:r w:rsidR="005E1686" w:rsidRPr="00256A6B">
        <w:rPr>
          <w:lang w:val="es-ES_tradnl"/>
        </w:rPr>
        <w:t xml:space="preserve">s de las medidas provisionales. En lo que respecta a los recursos, las autoridades competentes estarán facultadas para ordenar la destrucción o eliminación </w:t>
      </w:r>
      <w:r w:rsidR="00C53818" w:rsidRPr="00256A6B">
        <w:rPr>
          <w:lang w:val="es-ES_tradnl"/>
        </w:rPr>
        <w:t xml:space="preserve">de las mercancías infractoras de </w:t>
      </w:r>
      <w:r w:rsidR="005E1686" w:rsidRPr="00256A6B">
        <w:rPr>
          <w:lang w:val="es-ES_tradnl"/>
        </w:rPr>
        <w:t>los canales comerciales</w:t>
      </w:r>
      <w:r w:rsidR="002D65FC" w:rsidRPr="00256A6B">
        <w:rPr>
          <w:lang w:val="es-ES_tradnl"/>
        </w:rPr>
        <w:t>.</w:t>
      </w:r>
    </w:p>
    <w:p w14:paraId="37AF67B0" w14:textId="013E8743" w:rsidR="00485156" w:rsidRPr="00256A6B" w:rsidRDefault="005269D3" w:rsidP="00AA287D">
      <w:pPr>
        <w:rPr>
          <w:lang w:val="es-ES_tradnl"/>
        </w:rPr>
      </w:pPr>
      <w:r w:rsidRPr="00256A6B">
        <w:rPr>
          <w:lang w:val="es-ES_tradnl"/>
        </w:rPr>
        <w:t>d)</w:t>
      </w:r>
      <w:r w:rsidRPr="00256A6B">
        <w:rPr>
          <w:lang w:val="es-ES_tradnl"/>
        </w:rPr>
        <w:tab/>
      </w:r>
      <w:r w:rsidR="005E1686" w:rsidRPr="00256A6B">
        <w:rPr>
          <w:u w:val="single"/>
          <w:lang w:val="es-ES_tradnl"/>
        </w:rPr>
        <w:t>Procedimientos penales</w:t>
      </w:r>
      <w:r w:rsidR="002D65FC" w:rsidRPr="00256A6B">
        <w:rPr>
          <w:lang w:val="es-ES_tradnl"/>
        </w:rPr>
        <w:t xml:space="preserve">: </w:t>
      </w:r>
      <w:r w:rsidR="003A72AB" w:rsidRPr="00256A6B">
        <w:rPr>
          <w:lang w:val="es-ES_tradnl"/>
        </w:rPr>
        <w:t>E</w:t>
      </w:r>
      <w:r w:rsidR="005E1686" w:rsidRPr="00256A6B">
        <w:rPr>
          <w:lang w:val="es-ES_tradnl"/>
        </w:rPr>
        <w:t>stos procedimientos</w:t>
      </w:r>
      <w:r w:rsidR="003A72AB" w:rsidRPr="00256A6B">
        <w:rPr>
          <w:lang w:val="es-ES_tradnl"/>
        </w:rPr>
        <w:t xml:space="preserve"> deben establecerse </w:t>
      </w:r>
      <w:r w:rsidR="001853BF" w:rsidRPr="00256A6B">
        <w:rPr>
          <w:lang w:val="es-ES_tradnl"/>
        </w:rPr>
        <w:t xml:space="preserve">para solucionar los casos de falsificación de marcas de fábrica o de piratería </w:t>
      </w:r>
      <w:r w:rsidR="003A72AB" w:rsidRPr="00256A6B">
        <w:rPr>
          <w:lang w:val="es-ES_tradnl"/>
        </w:rPr>
        <w:t>lesiva</w:t>
      </w:r>
      <w:r w:rsidR="001853BF" w:rsidRPr="00256A6B">
        <w:rPr>
          <w:lang w:val="es-ES_tradnl"/>
        </w:rPr>
        <w:t xml:space="preserve"> del derecho de autor a escala comercial. Su aplicación a otros derechos de propiedad intelectual es optativa. En términos de recursos, el acuerdo estipula que las sanciones deben incluir la prisión y/o sanciones pecuniarias y, cuando proceda, la confiscación, el decomiso y la destrucción de las mercancías infractoras y de todos los materiales y accesorios utilizados</w:t>
      </w:r>
      <w:r w:rsidR="003A72AB" w:rsidRPr="00256A6B">
        <w:rPr>
          <w:lang w:val="es-ES_tradnl"/>
        </w:rPr>
        <w:t xml:space="preserve"> para producirla</w:t>
      </w:r>
      <w:r w:rsidR="00A078C2" w:rsidRPr="00256A6B">
        <w:rPr>
          <w:lang w:val="es-ES_tradnl"/>
        </w:rPr>
        <w:t>s</w:t>
      </w:r>
      <w:r w:rsidR="002D65FC" w:rsidRPr="00256A6B">
        <w:rPr>
          <w:lang w:val="es-ES_tradnl"/>
        </w:rPr>
        <w:t>.</w:t>
      </w:r>
    </w:p>
    <w:p w14:paraId="5F29AE11" w14:textId="6C3F07C5" w:rsidR="00485156" w:rsidRPr="00256A6B" w:rsidRDefault="003A72AB" w:rsidP="00BC1B80">
      <w:pPr>
        <w:rPr>
          <w:lang w:val="es-ES_tradnl"/>
        </w:rPr>
      </w:pPr>
      <w:r w:rsidRPr="00256A6B">
        <w:rPr>
          <w:lang w:val="es-ES_tradnl"/>
        </w:rPr>
        <w:t xml:space="preserve">Los países menos desarrollados </w:t>
      </w:r>
      <w:r w:rsidR="009D55AA" w:rsidRPr="00256A6B">
        <w:rPr>
          <w:lang w:val="es-ES_tradnl"/>
        </w:rPr>
        <w:t xml:space="preserve">Miembros </w:t>
      </w:r>
      <w:r w:rsidR="00A078C2" w:rsidRPr="00256A6B">
        <w:rPr>
          <w:lang w:val="es-ES_tradnl"/>
        </w:rPr>
        <w:t xml:space="preserve">de la OMC se benefician actualmente de disposiciones transitorias </w:t>
      </w:r>
      <w:r w:rsidRPr="00256A6B">
        <w:rPr>
          <w:lang w:val="es-ES_tradnl"/>
        </w:rPr>
        <w:t xml:space="preserve">que </w:t>
      </w:r>
      <w:r w:rsidR="00A078C2" w:rsidRPr="00256A6B">
        <w:rPr>
          <w:lang w:val="es-ES_tradnl"/>
        </w:rPr>
        <w:t>les eximen de la obligación de aplicar las normas de protección y observancia establecidas en el Acuerdo sobre los</w:t>
      </w:r>
      <w:r w:rsidR="002D65FC" w:rsidRPr="00256A6B">
        <w:rPr>
          <w:lang w:val="es-ES_tradnl"/>
        </w:rPr>
        <w:t xml:space="preserve"> </w:t>
      </w:r>
      <w:r w:rsidR="00A078C2" w:rsidRPr="00256A6B">
        <w:rPr>
          <w:lang w:val="es-ES_tradnl"/>
        </w:rPr>
        <w:t xml:space="preserve">ADPIC en general hasta el mes de julio de 2021, así como de cumplir las disposiciones relativas a la protección y observancia de las patentes y de los datos no publicados del sector farmacéutico hasta enero de 2016. </w:t>
      </w:r>
      <w:r w:rsidR="00BC1B80" w:rsidRPr="00256A6B">
        <w:rPr>
          <w:lang w:val="es-ES_tradnl"/>
        </w:rPr>
        <w:t>El objetivo es, entre otros, permitir que estos países puedan do</w:t>
      </w:r>
      <w:r w:rsidR="005269D3" w:rsidRPr="00256A6B">
        <w:rPr>
          <w:lang w:val="es-ES_tradnl"/>
        </w:rPr>
        <w:t>tarse de una tecnología viable.</w:t>
      </w:r>
    </w:p>
    <w:p w14:paraId="5D07A7ED" w14:textId="62B34AB2" w:rsidR="0077266D" w:rsidRPr="00C869C0" w:rsidRDefault="00E24E07" w:rsidP="00AA287D">
      <w:pPr>
        <w:pStyle w:val="Heading1"/>
        <w:rPr>
          <w:lang w:val="es-ES_tradnl"/>
        </w:rPr>
      </w:pPr>
      <w:bookmarkStart w:id="66" w:name="_Toc200180733"/>
      <w:bookmarkStart w:id="67" w:name="_Toc200181301"/>
      <w:bookmarkStart w:id="68" w:name="_Toc211334008"/>
      <w:bookmarkStart w:id="69" w:name="_Toc404607179"/>
      <w:bookmarkStart w:id="70" w:name="_Toc406670392"/>
      <w:bookmarkStart w:id="71" w:name="_Toc447202522"/>
      <w:bookmarkStart w:id="72" w:name="_Toc447203007"/>
      <w:r w:rsidRPr="00C869C0">
        <w:rPr>
          <w:lang w:val="es-ES_tradnl"/>
        </w:rPr>
        <w:t>5</w:t>
      </w:r>
      <w:r w:rsidRPr="00C869C0">
        <w:rPr>
          <w:lang w:val="es-ES_tradnl"/>
        </w:rPr>
        <w:tab/>
      </w:r>
      <w:r w:rsidR="00BC1B80" w:rsidRPr="00C869C0">
        <w:rPr>
          <w:lang w:val="es-ES_tradnl"/>
        </w:rPr>
        <w:t xml:space="preserve">Observancia de los </w:t>
      </w:r>
      <w:r w:rsidR="008900A8" w:rsidRPr="00C869C0">
        <w:rPr>
          <w:lang w:val="es-ES_tradnl"/>
        </w:rPr>
        <w:t xml:space="preserve">Derechos </w:t>
      </w:r>
      <w:r w:rsidR="00BC1B80" w:rsidRPr="00C869C0">
        <w:rPr>
          <w:lang w:val="es-ES_tradnl"/>
        </w:rPr>
        <w:t>de propiedad intelectual</w:t>
      </w:r>
      <w:bookmarkEnd w:id="66"/>
      <w:bookmarkEnd w:id="67"/>
      <w:bookmarkEnd w:id="68"/>
      <w:bookmarkEnd w:id="69"/>
      <w:bookmarkEnd w:id="70"/>
      <w:bookmarkEnd w:id="71"/>
      <w:bookmarkEnd w:id="72"/>
    </w:p>
    <w:p w14:paraId="09C22291" w14:textId="222786E6" w:rsidR="0077266D" w:rsidRPr="00256A6B" w:rsidRDefault="00BC1B80" w:rsidP="003E5412">
      <w:pPr>
        <w:rPr>
          <w:lang w:val="es-ES_tradnl"/>
        </w:rPr>
      </w:pPr>
      <w:r w:rsidRPr="00256A6B">
        <w:rPr>
          <w:lang w:val="es-ES_tradnl"/>
        </w:rPr>
        <w:t xml:space="preserve">Aunque están vigentes tratados internacionales relativos a la protección de los </w:t>
      </w:r>
      <w:r w:rsidR="00135626" w:rsidRPr="00256A6B">
        <w:rPr>
          <w:lang w:val="es-ES_tradnl"/>
        </w:rPr>
        <w:t xml:space="preserve">Derechos </w:t>
      </w:r>
      <w:r w:rsidRPr="00256A6B">
        <w:rPr>
          <w:lang w:val="es-ES_tradnl"/>
        </w:rPr>
        <w:t>de propiedad intelectual desde hace más de un siglo, la observancia solo se ha tratado recientemente en los foros internacionales. Esto se debe a los fundamentos que figuran</w:t>
      </w:r>
      <w:r w:rsidR="003A72AB" w:rsidRPr="00256A6B">
        <w:rPr>
          <w:lang w:val="es-ES_tradnl"/>
        </w:rPr>
        <w:t xml:space="preserve"> en el Acuerdo sobre los ADPIC </w:t>
      </w:r>
      <w:r w:rsidRPr="00256A6B">
        <w:rPr>
          <w:lang w:val="es-ES_tradnl"/>
        </w:rPr>
        <w:t>y también a las repercusiones socioeconómicas crecientes de las infracciones de los derechos de propiedad intelectual. La observancia de estos derechos se encuentra ahora en los órdenes del día de muchas organizaciones internacionales</w:t>
      </w:r>
      <w:r w:rsidR="003E5412" w:rsidRPr="00256A6B">
        <w:rPr>
          <w:lang w:val="es-ES_tradnl"/>
        </w:rPr>
        <w:t xml:space="preserve">, tales como la OMPI, la </w:t>
      </w:r>
      <w:r w:rsidR="003A72AB" w:rsidRPr="00256A6B">
        <w:rPr>
          <w:lang w:val="es-ES_tradnl"/>
        </w:rPr>
        <w:t>Organización Mundial de A</w:t>
      </w:r>
      <w:r w:rsidR="003E5412" w:rsidRPr="00256A6B">
        <w:rPr>
          <w:lang w:val="es-ES_tradnl"/>
        </w:rPr>
        <w:t xml:space="preserve">duanas (OMA) y la Interpol, de la Unión Europea y de muchas naciones. </w:t>
      </w:r>
    </w:p>
    <w:p w14:paraId="77B4C4A0" w14:textId="50CA2F58" w:rsidR="0077266D" w:rsidRPr="00C869C0" w:rsidRDefault="00E24E07" w:rsidP="00AA287D">
      <w:pPr>
        <w:pStyle w:val="Heading2"/>
        <w:rPr>
          <w:lang w:val="es-ES_tradnl"/>
        </w:rPr>
      </w:pPr>
      <w:bookmarkStart w:id="73" w:name="_Toc211334009"/>
      <w:bookmarkStart w:id="74" w:name="_Toc404607180"/>
      <w:bookmarkStart w:id="75" w:name="_Toc406670393"/>
      <w:bookmarkStart w:id="76" w:name="_Toc447202523"/>
      <w:bookmarkStart w:id="77" w:name="_Toc447203008"/>
      <w:r w:rsidRPr="00C869C0">
        <w:rPr>
          <w:lang w:val="es-ES_tradnl"/>
        </w:rPr>
        <w:t>5.1</w:t>
      </w:r>
      <w:r w:rsidRPr="00C869C0">
        <w:rPr>
          <w:lang w:val="es-ES_tradnl"/>
        </w:rPr>
        <w:tab/>
      </w:r>
      <w:r w:rsidR="003E5412" w:rsidRPr="00C869C0">
        <w:rPr>
          <w:lang w:val="es-ES_tradnl"/>
        </w:rPr>
        <w:t>Organización Mundial de la Propiedad Intelectual (OMPI)</w:t>
      </w:r>
      <w:bookmarkEnd w:id="73"/>
      <w:bookmarkEnd w:id="74"/>
      <w:bookmarkEnd w:id="75"/>
      <w:bookmarkEnd w:id="76"/>
      <w:bookmarkEnd w:id="77"/>
    </w:p>
    <w:p w14:paraId="65589D27" w14:textId="77777777" w:rsidR="00D91B05" w:rsidRDefault="003E5412" w:rsidP="00D91B05">
      <w:pPr>
        <w:rPr>
          <w:lang w:val="es-ES_tradnl"/>
        </w:rPr>
      </w:pPr>
      <w:r w:rsidRPr="00256A6B">
        <w:rPr>
          <w:lang w:val="es-ES_tradnl"/>
        </w:rPr>
        <w:t xml:space="preserve">La Organización Mundial de la Propiedad Intelectual (OMPI) creó su </w:t>
      </w:r>
      <w:r w:rsidR="00D85A49" w:rsidRPr="00256A6B">
        <w:rPr>
          <w:lang w:val="es-ES_tradnl"/>
        </w:rPr>
        <w:t xml:space="preserve">Comité </w:t>
      </w:r>
      <w:r w:rsidR="00C50875" w:rsidRPr="00256A6B">
        <w:rPr>
          <w:lang w:val="es-ES_tradnl"/>
        </w:rPr>
        <w:t xml:space="preserve">asesor </w:t>
      </w:r>
      <w:r w:rsidR="00D85A49" w:rsidRPr="00256A6B">
        <w:rPr>
          <w:lang w:val="es-ES_tradnl"/>
        </w:rPr>
        <w:t xml:space="preserve">sobre </w:t>
      </w:r>
      <w:r w:rsidR="00C50875" w:rsidRPr="00256A6B">
        <w:rPr>
          <w:lang w:val="es-ES_tradnl"/>
        </w:rPr>
        <w:t xml:space="preserve">observancia </w:t>
      </w:r>
      <w:r w:rsidR="00D85A49" w:rsidRPr="00256A6B">
        <w:rPr>
          <w:lang w:val="es-ES_tradnl"/>
        </w:rPr>
        <w:t>(ACE) en 2012 con fines de coordinación con otras organizaciones internacionales y el sector privado</w:t>
      </w:r>
      <w:r w:rsidR="00ED4676">
        <w:rPr>
          <w:lang w:val="es-ES_tradnl"/>
        </w:rPr>
        <w:t>,</w:t>
      </w:r>
      <w:r w:rsidR="00D85A49" w:rsidRPr="00256A6B">
        <w:rPr>
          <w:lang w:val="es-ES_tradnl"/>
        </w:rPr>
        <w:t xml:space="preserve"> para combatir la falsificación y la piratería. El Comité facilita programas de formación y realiza actividades de asistencia técnica</w:t>
      </w:r>
      <w:r w:rsidR="0077266D" w:rsidRPr="00256A6B">
        <w:rPr>
          <w:lang w:val="es-ES_tradnl"/>
        </w:rPr>
        <w:t>.</w:t>
      </w:r>
    </w:p>
    <w:p w14:paraId="23B60DB6" w14:textId="6CF12BCE" w:rsidR="00FE6112" w:rsidRPr="00AA287D" w:rsidRDefault="00D85A49" w:rsidP="00D91B05">
      <w:r w:rsidRPr="00256A6B">
        <w:rPr>
          <w:lang w:val="es-ES_tradnl"/>
        </w:rPr>
        <w:t xml:space="preserve">La OMPI también está colaborando </w:t>
      </w:r>
      <w:r w:rsidR="00C84F6A" w:rsidRPr="00256A6B">
        <w:rPr>
          <w:lang w:val="es-ES_tradnl"/>
        </w:rPr>
        <w:t xml:space="preserve">con el </w:t>
      </w:r>
      <w:r w:rsidRPr="00256A6B">
        <w:rPr>
          <w:lang w:val="es-ES_tradnl"/>
        </w:rPr>
        <w:t>Programa de las Naciones</w:t>
      </w:r>
      <w:r w:rsidR="00C84F6A" w:rsidRPr="00256A6B">
        <w:rPr>
          <w:lang w:val="es-ES_tradnl"/>
        </w:rPr>
        <w:t xml:space="preserve"> Unidas para el Medio Ambiente </w:t>
      </w:r>
      <w:r w:rsidRPr="00256A6B">
        <w:rPr>
          <w:lang w:val="es-ES_tradnl"/>
        </w:rPr>
        <w:t>(PNUMA) y con otras organizaciones como la Comisión</w:t>
      </w:r>
      <w:r w:rsidR="00314B4F" w:rsidRPr="00256A6B">
        <w:rPr>
          <w:lang w:val="es-ES_tradnl"/>
        </w:rPr>
        <w:t xml:space="preserve"> </w:t>
      </w:r>
      <w:r w:rsidRPr="00256A6B">
        <w:rPr>
          <w:vanish/>
          <w:lang w:val="es-ES_tradnl"/>
        </w:rPr>
        <w:t xml:space="preserve">[...] </w:t>
      </w:r>
      <w:r w:rsidRPr="00256A6B">
        <w:rPr>
          <w:lang w:val="es-ES_tradnl"/>
        </w:rPr>
        <w:t>Económica y Social par</w:t>
      </w:r>
      <w:r w:rsidR="00546CAB" w:rsidRPr="00256A6B">
        <w:rPr>
          <w:lang w:val="es-ES_tradnl"/>
        </w:rPr>
        <w:t>a Asia y</w:t>
      </w:r>
      <w:r w:rsidRPr="00256A6B">
        <w:rPr>
          <w:vanish/>
          <w:lang w:val="es-ES_tradnl"/>
        </w:rPr>
        <w:t>[...]</w:t>
      </w:r>
      <w:r w:rsidRPr="00256A6B">
        <w:rPr>
          <w:lang w:val="es-ES_tradnl"/>
        </w:rPr>
        <w:t xml:space="preserve"> el Pacífico (CESPAP) </w:t>
      </w:r>
      <w:r w:rsidR="00314B4F" w:rsidRPr="00256A6B">
        <w:rPr>
          <w:lang w:val="es-ES_tradnl"/>
        </w:rPr>
        <w:t>de</w:t>
      </w:r>
      <w:r w:rsidRPr="00256A6B">
        <w:rPr>
          <w:lang w:val="es-ES_tradnl"/>
        </w:rPr>
        <w:t xml:space="preserve"> las Naciones Unidas</w:t>
      </w:r>
      <w:r w:rsidR="00FE6112" w:rsidRPr="00256A6B">
        <w:rPr>
          <w:lang w:val="es-ES_tradnl"/>
        </w:rPr>
        <w:t xml:space="preserve"> </w:t>
      </w:r>
      <w:r w:rsidR="00314B4F" w:rsidRPr="00256A6B">
        <w:rPr>
          <w:lang w:val="es-ES_tradnl"/>
        </w:rPr>
        <w:t>para sensibilizar sobre los retos del reciclaje y la eliminación de cantidades crecientes de productos falsificados</w:t>
      </w:r>
      <w:r w:rsidR="00FE6112" w:rsidRPr="00256A6B">
        <w:rPr>
          <w:lang w:val="es-ES_tradnl"/>
        </w:rPr>
        <w:t xml:space="preserve">. </w:t>
      </w:r>
      <w:hyperlink r:id="rId34" w:history="1">
        <w:r w:rsidR="004B57E5" w:rsidRPr="00E250F8">
          <w:rPr>
            <w:rStyle w:val="Hyperlink"/>
          </w:rPr>
          <w:t>http://www.wipo.int/wipo_magazine/en/2012/06/article_0007.html</w:t>
        </w:r>
      </w:hyperlink>
      <w:r w:rsidR="00AA287D">
        <w:t xml:space="preserve"> </w:t>
      </w:r>
      <w:hyperlink r:id="rId35" w:history="1">
        <w:r w:rsidR="004B57E5" w:rsidRPr="00E250F8">
          <w:rPr>
            <w:rStyle w:val="Hyperlink"/>
          </w:rPr>
          <w:t>http://www.unep.org/ozonaction/News/Features/2012/SoutheastAsiaexploressynergies/tabid/104354/Default.aspx</w:t>
        </w:r>
      </w:hyperlink>
      <w:r w:rsidR="00AA287D">
        <w:t xml:space="preserve"> </w:t>
      </w:r>
      <w:hyperlink r:id="rId36" w:history="1">
        <w:r w:rsidR="004B57E5" w:rsidRPr="00E250F8">
          <w:rPr>
            <w:rStyle w:val="Hyperlink"/>
          </w:rPr>
          <w:t>http://www.unescap.org/events/wipoescapunep-workshop-environmentally-safe-disposal-ip-infringing-goods</w:t>
        </w:r>
      </w:hyperlink>
    </w:p>
    <w:p w14:paraId="1A38C2C8" w14:textId="3BB74D83" w:rsidR="00485156" w:rsidRPr="00AA287D" w:rsidRDefault="00E24E07" w:rsidP="00AA287D">
      <w:pPr>
        <w:pStyle w:val="Heading2"/>
        <w:rPr>
          <w:lang w:val="es-ES_tradnl"/>
        </w:rPr>
      </w:pPr>
      <w:bookmarkStart w:id="78" w:name="_Toc404607181"/>
      <w:bookmarkStart w:id="79" w:name="_Toc406670394"/>
      <w:bookmarkStart w:id="80" w:name="_Toc447202524"/>
      <w:bookmarkStart w:id="81" w:name="_Toc447203009"/>
      <w:r w:rsidRPr="00AA287D">
        <w:rPr>
          <w:lang w:val="es-ES_tradnl"/>
        </w:rPr>
        <w:lastRenderedPageBreak/>
        <w:t>5.2</w:t>
      </w:r>
      <w:r w:rsidRPr="00AA287D">
        <w:rPr>
          <w:lang w:val="es-ES_tradnl"/>
        </w:rPr>
        <w:tab/>
      </w:r>
      <w:r w:rsidR="00546CAB" w:rsidRPr="00AA287D">
        <w:rPr>
          <w:lang w:val="es-ES_tradnl"/>
        </w:rPr>
        <w:t xml:space="preserve">Organización Mundial del </w:t>
      </w:r>
      <w:r w:rsidR="008D676A" w:rsidRPr="00AA287D">
        <w:rPr>
          <w:lang w:val="es-ES_tradnl"/>
        </w:rPr>
        <w:t xml:space="preserve">Comercio </w:t>
      </w:r>
      <w:r w:rsidR="00AE5C98" w:rsidRPr="00AA287D">
        <w:rPr>
          <w:lang w:val="es-ES_tradnl"/>
        </w:rPr>
        <w:t xml:space="preserve">– </w:t>
      </w:r>
      <w:r w:rsidR="00546CAB" w:rsidRPr="00AA287D">
        <w:rPr>
          <w:lang w:val="es-ES_tradnl"/>
        </w:rPr>
        <w:t>Consejo sobre</w:t>
      </w:r>
      <w:r w:rsidR="00AE5C98" w:rsidRPr="00AA287D">
        <w:rPr>
          <w:lang w:val="es-ES_tradnl"/>
        </w:rPr>
        <w:t xml:space="preserve"> </w:t>
      </w:r>
      <w:r w:rsidR="00546CAB" w:rsidRPr="00AA287D">
        <w:rPr>
          <w:lang w:val="es-ES_tradnl"/>
        </w:rPr>
        <w:t>los ADPIC</w:t>
      </w:r>
      <w:bookmarkEnd w:id="78"/>
      <w:bookmarkEnd w:id="79"/>
      <w:bookmarkEnd w:id="80"/>
      <w:bookmarkEnd w:id="81"/>
    </w:p>
    <w:p w14:paraId="0E9526F6" w14:textId="06DEE7D6" w:rsidR="00611D83" w:rsidRPr="00256A6B" w:rsidRDefault="00546CAB" w:rsidP="00B64BF2">
      <w:pPr>
        <w:rPr>
          <w:lang w:val="es-ES_tradnl"/>
        </w:rPr>
      </w:pPr>
      <w:r w:rsidRPr="00256A6B">
        <w:rPr>
          <w:lang w:val="es-ES_tradnl"/>
        </w:rPr>
        <w:t xml:space="preserve">El Consejo sobre los ADPIC es uno de los Consejos sectoriales de </w:t>
      </w:r>
      <w:r w:rsidR="003A72AB" w:rsidRPr="00256A6B">
        <w:rPr>
          <w:lang w:val="es-ES_tradnl"/>
        </w:rPr>
        <w:t>la OMC dependiente del Consejo G</w:t>
      </w:r>
      <w:r w:rsidRPr="00256A6B">
        <w:rPr>
          <w:lang w:val="es-ES_tradnl"/>
        </w:rPr>
        <w:t>eneral de la OMC. Está encargado de administrar el Acuerdo sobre los ADPIC y, en particular, de hacer un seguimiento de la ejecución del Acuerdo y del cumplimiento</w:t>
      </w:r>
      <w:r w:rsidR="009F661E" w:rsidRPr="00256A6B">
        <w:rPr>
          <w:lang w:val="es-ES_tradnl"/>
        </w:rPr>
        <w:t xml:space="preserve"> de las obligaciones de los Miembros relativas a este Acuerdo. El Consejo celebra reuniones formales en Ginebra tres veces al año y también mantiene reuniones informales cuando procede. Las reuniones constituyen un foro para el debate y la consulta de cualquier asunto relacionado con el Acuerdo sobre los </w:t>
      </w:r>
      <w:r w:rsidR="003A72AB" w:rsidRPr="00256A6B">
        <w:rPr>
          <w:lang w:val="es-ES_tradnl"/>
        </w:rPr>
        <w:t xml:space="preserve">ADPIC </w:t>
      </w:r>
      <w:r w:rsidR="009F661E" w:rsidRPr="00256A6B">
        <w:rPr>
          <w:lang w:val="es-ES_tradnl"/>
        </w:rPr>
        <w:t>y, asimi</w:t>
      </w:r>
      <w:r w:rsidR="003A72AB" w:rsidRPr="00256A6B">
        <w:rPr>
          <w:lang w:val="es-ES_tradnl"/>
        </w:rPr>
        <w:t>smo, para aclarar o interpretar</w:t>
      </w:r>
      <w:r w:rsidR="009F661E" w:rsidRPr="00256A6B">
        <w:rPr>
          <w:lang w:val="es-ES_tradnl"/>
        </w:rPr>
        <w:t xml:space="preserve"> las disposiciones del Acuerdo. La observancia de los </w:t>
      </w:r>
      <w:r w:rsidR="00657BF5" w:rsidRPr="00256A6B">
        <w:rPr>
          <w:lang w:val="es-ES_tradnl"/>
        </w:rPr>
        <w:t xml:space="preserve">Derechos </w:t>
      </w:r>
      <w:r w:rsidR="009F661E" w:rsidRPr="00256A6B">
        <w:rPr>
          <w:lang w:val="es-ES_tradnl"/>
        </w:rPr>
        <w:t>de propiedad intelectual se ha debatido según las necesidades en el Consejo de los ADPIC en diversas ocasiones, siendo la última en 2012.</w:t>
      </w:r>
    </w:p>
    <w:p w14:paraId="0B04569B" w14:textId="335B119A" w:rsidR="00897A5C" w:rsidRPr="00C869C0" w:rsidRDefault="00DD29CB" w:rsidP="00AA287D">
      <w:pPr>
        <w:pStyle w:val="Heading2"/>
        <w:rPr>
          <w:lang w:val="es-ES_tradnl"/>
        </w:rPr>
      </w:pPr>
      <w:bookmarkStart w:id="82" w:name="_Toc404607182"/>
      <w:bookmarkStart w:id="83" w:name="_Toc406670395"/>
      <w:bookmarkStart w:id="84" w:name="_Toc447202525"/>
      <w:bookmarkStart w:id="85" w:name="_Toc447203010"/>
      <w:r w:rsidRPr="00C869C0">
        <w:rPr>
          <w:lang w:val="es-ES_tradnl"/>
        </w:rPr>
        <w:t>5.</w:t>
      </w:r>
      <w:r w:rsidR="00391B60" w:rsidRPr="00C869C0">
        <w:rPr>
          <w:lang w:val="es-ES_tradnl"/>
        </w:rPr>
        <w:t>3</w:t>
      </w:r>
      <w:bookmarkEnd w:id="82"/>
      <w:bookmarkEnd w:id="83"/>
      <w:r w:rsidR="00E24E07" w:rsidRPr="00C869C0">
        <w:rPr>
          <w:lang w:val="es-ES_tradnl"/>
        </w:rPr>
        <w:tab/>
      </w:r>
      <w:r w:rsidR="009F661E" w:rsidRPr="00C869C0">
        <w:rPr>
          <w:lang w:val="es-ES_tradnl"/>
        </w:rPr>
        <w:t>La Oficina de las Naciones Unidas contra la Droga y el Delito (ONUDD)</w:t>
      </w:r>
      <w:bookmarkEnd w:id="84"/>
      <w:bookmarkEnd w:id="85"/>
    </w:p>
    <w:p w14:paraId="407B245E" w14:textId="0A9D5A84" w:rsidR="00164806" w:rsidRPr="00256A6B" w:rsidRDefault="00B64BF2" w:rsidP="001C7E0B">
      <w:pPr>
        <w:rPr>
          <w:bCs/>
          <w:lang w:val="es-ES_tradnl"/>
        </w:rPr>
      </w:pPr>
      <w:r w:rsidRPr="00256A6B">
        <w:rPr>
          <w:lang w:val="es-ES_tradnl"/>
        </w:rPr>
        <w:t xml:space="preserve">La </w:t>
      </w:r>
      <w:r w:rsidRPr="00256A6B">
        <w:rPr>
          <w:bCs/>
          <w:lang w:val="es-ES_tradnl"/>
        </w:rPr>
        <w:t>ONUDD es quien custodia la Convención de las Naciones Unidas contra la Delincuencia Organizada Transnacional</w:t>
      </w:r>
      <w:r w:rsidR="003344C9">
        <w:rPr>
          <w:bCs/>
          <w:lang w:val="es-ES_tradnl"/>
        </w:rPr>
        <w:t>,</w:t>
      </w:r>
      <w:r w:rsidR="00164806" w:rsidRPr="00256A6B">
        <w:rPr>
          <w:lang w:val="es-ES_tradnl"/>
        </w:rPr>
        <w:t xml:space="preserve"> </w:t>
      </w:r>
      <w:r w:rsidRPr="00256A6B">
        <w:rPr>
          <w:lang w:val="es-ES_tradnl"/>
        </w:rPr>
        <w:t>que es la plataforma mundial para la cooperación en la lucha contra todas las formas de delincuencia organizada. Actualmente forman parte de la Convención</w:t>
      </w:r>
      <w:r w:rsidR="00007011" w:rsidRPr="00256A6B">
        <w:rPr>
          <w:lang w:val="es-ES_tradnl"/>
        </w:rPr>
        <w:t xml:space="preserve"> 167 países que se han comprometido a luchar contra la delincuencia organizada mediante la colaboración y a garantizar que se estructuran adecuadamente </w:t>
      </w:r>
      <w:r w:rsidR="001C7E0B" w:rsidRPr="00256A6B">
        <w:rPr>
          <w:lang w:val="es-ES_tradnl"/>
        </w:rPr>
        <w:t>sus</w:t>
      </w:r>
      <w:r w:rsidR="00007011" w:rsidRPr="00256A6B">
        <w:rPr>
          <w:lang w:val="es-ES_tradnl"/>
        </w:rPr>
        <w:t xml:space="preserve"> legislaciones nacionales</w:t>
      </w:r>
      <w:r w:rsidR="00164806" w:rsidRPr="00256A6B">
        <w:rPr>
          <w:lang w:val="es-ES_tradnl"/>
        </w:rPr>
        <w:t xml:space="preserve">. </w:t>
      </w:r>
    </w:p>
    <w:p w14:paraId="4F2EFC7E" w14:textId="7C39C0FF" w:rsidR="00164806" w:rsidRPr="00256A6B" w:rsidRDefault="00007011" w:rsidP="00ED50E0">
      <w:pPr>
        <w:rPr>
          <w:lang w:val="es-ES_tradnl"/>
        </w:rPr>
      </w:pPr>
      <w:r w:rsidRPr="00256A6B">
        <w:rPr>
          <w:lang w:val="es-ES_tradnl"/>
        </w:rPr>
        <w:t>La ONUDD</w:t>
      </w:r>
      <w:r w:rsidR="00164806" w:rsidRPr="00256A6B">
        <w:rPr>
          <w:lang w:val="es-ES_tradnl"/>
        </w:rPr>
        <w:t xml:space="preserve"> </w:t>
      </w:r>
      <w:r w:rsidR="001C7E0B" w:rsidRPr="00256A6B">
        <w:rPr>
          <w:lang w:val="es-ES_tradnl"/>
        </w:rPr>
        <w:t>celebra reuniones semestrales de las Partes de la Convención</w:t>
      </w:r>
      <w:r w:rsidR="00164806" w:rsidRPr="00256A6B">
        <w:rPr>
          <w:lang w:val="es-ES_tradnl"/>
        </w:rPr>
        <w:t xml:space="preserve"> </w:t>
      </w:r>
      <w:r w:rsidR="001C7E0B" w:rsidRPr="00256A6B">
        <w:rPr>
          <w:bCs/>
          <w:lang w:val="es-ES_tradnl"/>
        </w:rPr>
        <w:t xml:space="preserve">de las Naciones Unidas contra la </w:t>
      </w:r>
      <w:r w:rsidR="00BC5D9F" w:rsidRPr="00256A6B">
        <w:rPr>
          <w:bCs/>
          <w:lang w:val="es-ES_tradnl"/>
        </w:rPr>
        <w:t>delincuencia organizada transnacional</w:t>
      </w:r>
      <w:r w:rsidR="001C7E0B" w:rsidRPr="00256A6B">
        <w:rPr>
          <w:bCs/>
          <w:lang w:val="es-ES_tradnl"/>
        </w:rPr>
        <w:t xml:space="preserve">. Estas reuniones reúnen a los gobiernos de todo el mundo para promover y analizar la ejecución de la Convención con el fin de </w:t>
      </w:r>
      <w:r w:rsidR="001C7E0B" w:rsidRPr="00256A6B">
        <w:rPr>
          <w:lang w:val="es-ES_tradnl"/>
        </w:rPr>
        <w:t xml:space="preserve">garantizar mejores planteamientos en la lucha contra la delincuencia organizada. La última reunión </w:t>
      </w:r>
      <w:r w:rsidR="00ED50E0" w:rsidRPr="00256A6B">
        <w:rPr>
          <w:lang w:val="es-ES_tradnl"/>
        </w:rPr>
        <w:t>tuvo lugar</w:t>
      </w:r>
      <w:r w:rsidR="001C7E0B" w:rsidRPr="00256A6B">
        <w:rPr>
          <w:lang w:val="es-ES_tradnl"/>
        </w:rPr>
        <w:t xml:space="preserve"> en octubre de 2012</w:t>
      </w:r>
      <w:r w:rsidR="00164806" w:rsidRPr="00256A6B">
        <w:rPr>
          <w:lang w:val="es-ES_tradnl"/>
        </w:rPr>
        <w:t>.</w:t>
      </w:r>
    </w:p>
    <w:p w14:paraId="58995F83" w14:textId="263DCC90" w:rsidR="009D64E7" w:rsidRPr="00256A6B" w:rsidRDefault="001C7E0B" w:rsidP="00F642A8">
      <w:pPr>
        <w:rPr>
          <w:lang w:val="es-ES_tradnl" w:eastAsia="ko-KR"/>
        </w:rPr>
      </w:pPr>
      <w:r w:rsidRPr="00256A6B">
        <w:rPr>
          <w:lang w:val="es-ES_tradnl"/>
        </w:rPr>
        <w:t>La Oficina de las Naciones Unidas contra la Droga</w:t>
      </w:r>
      <w:r w:rsidR="00ED50E0" w:rsidRPr="00256A6B">
        <w:rPr>
          <w:lang w:val="es-ES_tradnl"/>
        </w:rPr>
        <w:t xml:space="preserve"> y el Delito</w:t>
      </w:r>
      <w:r w:rsidRPr="00256A6B">
        <w:rPr>
          <w:lang w:val="es-ES_tradnl"/>
        </w:rPr>
        <w:t xml:space="preserve"> se ha centrado en el vínculo entre el comercio de mercancías falsificadas y la delincuencia organizada transnacional</w:t>
      </w:r>
      <w:r w:rsidR="004B57E5" w:rsidRPr="00256A6B">
        <w:rPr>
          <w:lang w:val="es-ES_tradnl"/>
        </w:rPr>
        <w:t xml:space="preserve"> </w:t>
      </w:r>
      <w:hyperlink r:id="rId37" w:history="1">
        <w:r w:rsidR="004B57E5" w:rsidRPr="00256A6B">
          <w:rPr>
            <w:rStyle w:val="Hyperlink"/>
            <w:rFonts w:asciiTheme="majorBidi" w:hAnsiTheme="majorBidi" w:cstheme="majorBidi"/>
            <w:lang w:val="es-ES_tradnl"/>
          </w:rPr>
          <w:t>http://www.unodc.org/counterfeit/</w:t>
        </w:r>
      </w:hyperlink>
      <w:r w:rsidR="009B7CCA" w:rsidRPr="00256A6B">
        <w:rPr>
          <w:rFonts w:asciiTheme="majorBidi" w:hAnsiTheme="majorBidi" w:cstheme="majorBidi"/>
          <w:lang w:val="es-ES_tradnl"/>
        </w:rPr>
        <w:t>.</w:t>
      </w:r>
      <w:r w:rsidR="009B7CCA" w:rsidRPr="00256A6B">
        <w:rPr>
          <w:lang w:val="es-ES_tradnl"/>
        </w:rPr>
        <w:t xml:space="preserve"> </w:t>
      </w:r>
      <w:r w:rsidRPr="00256A6B">
        <w:rPr>
          <w:lang w:val="es-ES_tradnl"/>
        </w:rPr>
        <w:t>La ONUDD lanzó en en</w:t>
      </w:r>
      <w:r w:rsidR="00741714" w:rsidRPr="00256A6B">
        <w:rPr>
          <w:lang w:val="es-ES_tradnl"/>
        </w:rPr>
        <w:t>e</w:t>
      </w:r>
      <w:r w:rsidRPr="00256A6B">
        <w:rPr>
          <w:lang w:val="es-ES_tradnl"/>
        </w:rPr>
        <w:t xml:space="preserve">ro de 2014 la campaña </w:t>
      </w:r>
      <w:r w:rsidR="00086EEC" w:rsidRPr="00256A6B">
        <w:rPr>
          <w:lang w:val="es-ES_tradnl"/>
        </w:rPr>
        <w:t>"</w:t>
      </w:r>
      <w:r w:rsidR="00741714" w:rsidRPr="00256A6B">
        <w:rPr>
          <w:lang w:val="es-ES_tradnl"/>
        </w:rPr>
        <w:t>Productos falsificados</w:t>
      </w:r>
      <w:r w:rsidR="009B7CCA" w:rsidRPr="00256A6B">
        <w:rPr>
          <w:lang w:val="es-ES_tradnl"/>
        </w:rPr>
        <w:t xml:space="preserve">: </w:t>
      </w:r>
      <w:r w:rsidR="00334A06" w:rsidRPr="00256A6B">
        <w:rPr>
          <w:lang w:val="es-ES_tradnl"/>
        </w:rPr>
        <w:t xml:space="preserve">no </w:t>
      </w:r>
      <w:r w:rsidR="00741714" w:rsidRPr="00256A6B">
        <w:rPr>
          <w:lang w:val="es-ES_tradnl"/>
        </w:rPr>
        <w:t>apoyes el crimen organizado</w:t>
      </w:r>
      <w:r w:rsidR="00D2218C" w:rsidRPr="00256A6B">
        <w:rPr>
          <w:lang w:val="es-ES_tradnl"/>
        </w:rPr>
        <w:t>"</w:t>
      </w:r>
      <w:r w:rsidR="009B7CCA" w:rsidRPr="00256A6B">
        <w:rPr>
          <w:lang w:val="es-ES_tradnl"/>
        </w:rPr>
        <w:t xml:space="preserve"> </w:t>
      </w:r>
      <w:r w:rsidR="00741714" w:rsidRPr="00256A6B">
        <w:rPr>
          <w:lang w:val="es-ES_tradnl"/>
        </w:rPr>
        <w:t>para sensibilizar al consumidor sobre el tráfico ilícito de mercancías falsif</w:t>
      </w:r>
      <w:r w:rsidR="00F642A8">
        <w:rPr>
          <w:lang w:val="es-ES_tradnl"/>
        </w:rPr>
        <w:t>icadas por valor de 250 000</w:t>
      </w:r>
      <w:r w:rsidR="00ED50E0" w:rsidRPr="00256A6B">
        <w:rPr>
          <w:lang w:val="es-ES_tradnl"/>
        </w:rPr>
        <w:t xml:space="preserve"> millones </w:t>
      </w:r>
      <w:r w:rsidR="00F642A8">
        <w:rPr>
          <w:lang w:val="es-ES_tradnl"/>
        </w:rPr>
        <w:t>USD</w:t>
      </w:r>
      <w:r w:rsidR="00741714" w:rsidRPr="00256A6B">
        <w:rPr>
          <w:lang w:val="es-ES_tradnl"/>
        </w:rPr>
        <w:t xml:space="preserve"> al año. La campaña "Productos falsificados: </w:t>
      </w:r>
      <w:r w:rsidR="00250FBC" w:rsidRPr="00256A6B">
        <w:rPr>
          <w:lang w:val="es-ES_tradnl"/>
        </w:rPr>
        <w:t xml:space="preserve">no </w:t>
      </w:r>
      <w:r w:rsidR="00741714" w:rsidRPr="00256A6B">
        <w:rPr>
          <w:lang w:val="es-ES_tradnl"/>
        </w:rPr>
        <w:t xml:space="preserve">apoyes el crimen organizado" informa a los consumidores de que </w:t>
      </w:r>
      <w:r w:rsidR="00ED50E0" w:rsidRPr="00256A6B">
        <w:rPr>
          <w:lang w:val="es-ES_tradnl"/>
        </w:rPr>
        <w:t>la</w:t>
      </w:r>
      <w:r w:rsidR="00741714" w:rsidRPr="00256A6B">
        <w:rPr>
          <w:lang w:val="es-ES_tradnl"/>
        </w:rPr>
        <w:t xml:space="preserve"> compra</w:t>
      </w:r>
      <w:r w:rsidR="00ED50E0" w:rsidRPr="00256A6B">
        <w:rPr>
          <w:lang w:val="es-ES_tradnl"/>
        </w:rPr>
        <w:t xml:space="preserve"> de</w:t>
      </w:r>
      <w:r w:rsidR="00741714" w:rsidRPr="00256A6B">
        <w:rPr>
          <w:lang w:val="es-ES_tradnl"/>
        </w:rPr>
        <w:t xml:space="preserve"> mercancías falsificada puede estar financiando a grupos de delincuentes organizados, amenaza la salud y la seguridad del consumidor</w:t>
      </w:r>
      <w:r w:rsidR="00AA3345">
        <w:rPr>
          <w:lang w:val="es-ES_tradnl"/>
        </w:rPr>
        <w:t>,</w:t>
      </w:r>
      <w:r w:rsidR="00741714" w:rsidRPr="00256A6B">
        <w:rPr>
          <w:lang w:val="es-ES_tradnl"/>
        </w:rPr>
        <w:t xml:space="preserve"> y contribuye a otros probl</w:t>
      </w:r>
      <w:r w:rsidR="00190C82" w:rsidRPr="00256A6B">
        <w:rPr>
          <w:lang w:val="es-ES_tradnl"/>
        </w:rPr>
        <w:t>emas éticos y medioambientales.</w:t>
      </w:r>
    </w:p>
    <w:p w14:paraId="0EF21A75" w14:textId="64E31311" w:rsidR="009D64E7" w:rsidRPr="00256A6B" w:rsidRDefault="00741714" w:rsidP="004D2C1D">
      <w:pPr>
        <w:rPr>
          <w:rFonts w:asciiTheme="majorBidi" w:hAnsiTheme="majorBidi" w:cstheme="majorBidi"/>
          <w:lang w:val="es-ES_tradnl" w:eastAsia="ko-KR"/>
        </w:rPr>
      </w:pPr>
      <w:r w:rsidRPr="00256A6B">
        <w:rPr>
          <w:lang w:val="es-ES_tradnl"/>
        </w:rPr>
        <w:t>La ONUDD también trabaja para detener el flujo de mercancías ilícitas tales como productos falsificados y drogas</w:t>
      </w:r>
      <w:r w:rsidR="009D64E7" w:rsidRPr="00256A6B">
        <w:rPr>
          <w:lang w:val="es-ES_tradnl"/>
        </w:rPr>
        <w:t xml:space="preserve"> </w:t>
      </w:r>
      <w:r w:rsidRPr="00256A6B">
        <w:rPr>
          <w:lang w:val="es-ES_tradnl"/>
        </w:rPr>
        <w:t>mediante p</w:t>
      </w:r>
      <w:r w:rsidR="00ED50E0" w:rsidRPr="00256A6B">
        <w:rPr>
          <w:lang w:val="es-ES_tradnl"/>
        </w:rPr>
        <w:t>rogramas de asistencia técnica.</w:t>
      </w:r>
      <w:r w:rsidRPr="00256A6B">
        <w:rPr>
          <w:lang w:val="es-ES_tradnl"/>
        </w:rPr>
        <w:t xml:space="preserve"> La </w:t>
      </w:r>
      <w:r w:rsidR="00C62B94" w:rsidRPr="00256A6B">
        <w:rPr>
          <w:lang w:val="es-ES_tradnl"/>
        </w:rPr>
        <w:t>ONUDD y</w:t>
      </w:r>
      <w:r w:rsidRPr="00256A6B">
        <w:rPr>
          <w:lang w:val="es-ES_tradnl"/>
        </w:rPr>
        <w:t xml:space="preserve"> la Organización Mundial de Aduanas</w:t>
      </w:r>
      <w:r w:rsidR="00C62B94" w:rsidRPr="00256A6B">
        <w:rPr>
          <w:lang w:val="es-ES_tradnl"/>
        </w:rPr>
        <w:t xml:space="preserve"> </w:t>
      </w:r>
      <w:r w:rsidR="00ED50E0" w:rsidRPr="00256A6B">
        <w:rPr>
          <w:lang w:val="es-ES_tradnl"/>
        </w:rPr>
        <w:t>iniciaron</w:t>
      </w:r>
      <w:r w:rsidR="00C62B94" w:rsidRPr="00256A6B">
        <w:rPr>
          <w:lang w:val="es-ES_tradnl"/>
        </w:rPr>
        <w:t xml:space="preserve"> en 2006 el Programa de </w:t>
      </w:r>
      <w:r w:rsidR="00BC3E42" w:rsidRPr="00256A6B">
        <w:rPr>
          <w:lang w:val="es-ES_tradnl"/>
        </w:rPr>
        <w:t xml:space="preserve">fiscalización </w:t>
      </w:r>
      <w:r w:rsidR="00C62B94" w:rsidRPr="00256A6B">
        <w:rPr>
          <w:lang w:val="es-ES_tradnl"/>
        </w:rPr>
        <w:t xml:space="preserve">de </w:t>
      </w:r>
      <w:r w:rsidR="00BC3E42" w:rsidRPr="00256A6B">
        <w:rPr>
          <w:lang w:val="es-ES_tradnl"/>
        </w:rPr>
        <w:t>contenedores</w:t>
      </w:r>
      <w:r w:rsidR="003F53AD">
        <w:rPr>
          <w:lang w:val="es-ES_tradnl"/>
        </w:rPr>
        <w:t xml:space="preserve"> (Container Control Programme (CCP))</w:t>
      </w:r>
      <w:r w:rsidR="00C62B94" w:rsidRPr="00256A6B">
        <w:rPr>
          <w:lang w:val="es-ES_tradnl"/>
        </w:rPr>
        <w:t>. Este programa</w:t>
      </w:r>
      <w:r w:rsidR="00F2551A">
        <w:rPr>
          <w:lang w:val="es-ES_tradnl"/>
        </w:rPr>
        <w:t xml:space="preserve"> ha logrado la incautación de 48</w:t>
      </w:r>
      <w:r w:rsidR="00C62B94" w:rsidRPr="00256A6B">
        <w:rPr>
          <w:lang w:val="es-ES_tradnl"/>
        </w:rPr>
        <w:t>7 contenedores con mercancías fraudulentas y de contrabando</w:t>
      </w:r>
      <w:r w:rsidR="00B57DC9">
        <w:rPr>
          <w:lang w:val="es-ES_tradnl"/>
        </w:rPr>
        <w:t>,</w:t>
      </w:r>
      <w:r w:rsidR="00C62B94" w:rsidRPr="00256A6B">
        <w:rPr>
          <w:lang w:val="es-ES_tradnl"/>
        </w:rPr>
        <w:t xml:space="preserve"> junto con 195 contenedores de droga</w:t>
      </w:r>
      <w:r w:rsidR="009D64E7" w:rsidRPr="00256A6B">
        <w:rPr>
          <w:rFonts w:asciiTheme="majorBidi" w:hAnsiTheme="majorBidi" w:cstheme="majorBidi"/>
          <w:lang w:val="es-ES_tradnl"/>
        </w:rPr>
        <w:t>.</w:t>
      </w:r>
    </w:p>
    <w:p w14:paraId="78EDA343" w14:textId="1FCE8A76" w:rsidR="009D64E7" w:rsidRPr="00256A6B" w:rsidRDefault="00C869C0" w:rsidP="009D64E7">
      <w:pPr>
        <w:pStyle w:val="PlainText"/>
        <w:spacing w:before="240"/>
        <w:rPr>
          <w:rFonts w:asciiTheme="majorBidi" w:hAnsiTheme="majorBidi" w:cstheme="majorBidi"/>
          <w:sz w:val="24"/>
          <w:szCs w:val="24"/>
          <w:lang w:val="es-ES_tradnl"/>
        </w:rPr>
      </w:pPr>
      <w:hyperlink r:id="rId38" w:history="1">
        <w:r w:rsidR="009D64E7" w:rsidRPr="00256A6B">
          <w:rPr>
            <w:rStyle w:val="Hyperlink"/>
            <w:rFonts w:asciiTheme="majorBidi" w:hAnsiTheme="majorBidi" w:cstheme="majorBidi"/>
            <w:sz w:val="24"/>
            <w:szCs w:val="24"/>
            <w:lang w:val="es-ES_tradnl"/>
          </w:rPr>
          <w:t>https://www.unodc.org/unodc/en/frontpage/2014/January/counterfeit-dont-buy-into-organized-crime---unodc-launches-new-outreach-campaign-on-250-billion-a-year-counterfeit-business.html</w:t>
        </w:r>
      </w:hyperlink>
    </w:p>
    <w:p w14:paraId="4F9D3A59" w14:textId="66E39CCA" w:rsidR="00EF7A74" w:rsidRPr="00256A6B" w:rsidRDefault="00C869C0">
      <w:pPr>
        <w:pStyle w:val="PlainText"/>
        <w:spacing w:before="240"/>
        <w:rPr>
          <w:rFonts w:asciiTheme="majorBidi" w:hAnsiTheme="majorBidi" w:cstheme="majorBidi"/>
          <w:lang w:val="es-ES_tradnl"/>
        </w:rPr>
      </w:pPr>
      <w:hyperlink r:id="rId39" w:history="1">
        <w:r w:rsidR="009D64E7" w:rsidRPr="00256A6B">
          <w:rPr>
            <w:rStyle w:val="Hyperlink"/>
            <w:rFonts w:asciiTheme="majorBidi" w:hAnsiTheme="majorBidi" w:cstheme="majorBidi"/>
            <w:sz w:val="24"/>
            <w:szCs w:val="24"/>
            <w:lang w:val="es-ES_tradnl"/>
          </w:rPr>
          <w:t>https://www.unodc.org/unodc/en/frontpage/2012/July/criminals-rake-in-250-billion-per-year-in-counterfeit-goods-that-pose-health-security-risks-to-unsuspecting-public.html</w:t>
        </w:r>
      </w:hyperlink>
    </w:p>
    <w:p w14:paraId="5DD44FA8" w14:textId="028418DA" w:rsidR="0077266D" w:rsidRPr="00C869C0" w:rsidRDefault="0077266D" w:rsidP="00AA287D">
      <w:pPr>
        <w:pStyle w:val="Heading2"/>
        <w:rPr>
          <w:lang w:val="es-ES_tradnl"/>
        </w:rPr>
      </w:pPr>
      <w:bookmarkStart w:id="86" w:name="_Toc211334010"/>
      <w:bookmarkStart w:id="87" w:name="_Toc404607183"/>
      <w:bookmarkStart w:id="88" w:name="_Toc406670396"/>
      <w:bookmarkStart w:id="89" w:name="_Toc447202526"/>
      <w:bookmarkStart w:id="90" w:name="_Toc447203011"/>
      <w:r w:rsidRPr="00C869C0">
        <w:rPr>
          <w:lang w:val="es-ES_tradnl"/>
        </w:rPr>
        <w:t>5.</w:t>
      </w:r>
      <w:r w:rsidR="00391B60" w:rsidRPr="00C869C0">
        <w:rPr>
          <w:lang w:val="es-ES_tradnl"/>
        </w:rPr>
        <w:t>4</w:t>
      </w:r>
      <w:r w:rsidR="00E24E07" w:rsidRPr="00C869C0">
        <w:rPr>
          <w:lang w:val="es-ES_tradnl"/>
        </w:rPr>
        <w:tab/>
      </w:r>
      <w:r w:rsidR="00C62B94" w:rsidRPr="00C869C0">
        <w:rPr>
          <w:lang w:val="es-ES_tradnl"/>
        </w:rPr>
        <w:t>Organización Mundial de Aduanas</w:t>
      </w:r>
      <w:r w:rsidRPr="00C869C0">
        <w:rPr>
          <w:lang w:val="es-ES_tradnl"/>
        </w:rPr>
        <w:t xml:space="preserve"> (</w:t>
      </w:r>
      <w:r w:rsidR="00C62B94" w:rsidRPr="00C869C0">
        <w:rPr>
          <w:lang w:val="es-ES_tradnl"/>
        </w:rPr>
        <w:t>OMA</w:t>
      </w:r>
      <w:r w:rsidRPr="00C869C0">
        <w:rPr>
          <w:lang w:val="es-ES_tradnl"/>
        </w:rPr>
        <w:t>)</w:t>
      </w:r>
      <w:bookmarkEnd w:id="86"/>
      <w:bookmarkEnd w:id="87"/>
      <w:bookmarkEnd w:id="88"/>
      <w:bookmarkEnd w:id="89"/>
      <w:bookmarkEnd w:id="90"/>
    </w:p>
    <w:p w14:paraId="3500CC61" w14:textId="6069F4EC" w:rsidR="001B05CD" w:rsidRPr="00256A6B" w:rsidRDefault="00C62B94" w:rsidP="001145EA">
      <w:pPr>
        <w:jc w:val="both"/>
        <w:rPr>
          <w:lang w:val="es-ES_tradnl"/>
        </w:rPr>
      </w:pPr>
      <w:r w:rsidRPr="00256A6B">
        <w:rPr>
          <w:rFonts w:asciiTheme="majorBidi" w:hAnsiTheme="majorBidi" w:cstheme="majorBidi"/>
          <w:lang w:val="es-ES_tradnl"/>
        </w:rPr>
        <w:t xml:space="preserve">La OMA es una organización intergubernamental que comprende 179 administraciones de aduanas y </w:t>
      </w:r>
      <w:r w:rsidR="00FC456A" w:rsidRPr="00256A6B">
        <w:rPr>
          <w:rFonts w:asciiTheme="majorBidi" w:hAnsiTheme="majorBidi" w:cstheme="majorBidi"/>
          <w:lang w:val="es-ES_tradnl"/>
        </w:rPr>
        <w:t>proporciona</w:t>
      </w:r>
      <w:r w:rsidRPr="00256A6B">
        <w:rPr>
          <w:rFonts w:asciiTheme="majorBidi" w:hAnsiTheme="majorBidi" w:cstheme="majorBidi"/>
          <w:lang w:val="es-ES_tradnl"/>
        </w:rPr>
        <w:t xml:space="preserve"> liderazgo, asesoría y apoyo a sus Miembros para </w:t>
      </w:r>
      <w:r w:rsidR="00FC456A" w:rsidRPr="00256A6B">
        <w:rPr>
          <w:rFonts w:asciiTheme="majorBidi" w:hAnsiTheme="majorBidi" w:cstheme="majorBidi"/>
          <w:lang w:val="es-ES_tradnl"/>
        </w:rPr>
        <w:t>asegurar y facilitar el comercio legal, obtener beneficios, proteger a la sociedad y crear capacidad. Puesto que las administraciones de aduanas están encargadas de proteger las fronteras nacionales contra el flujo ilegal de mercancías falsificadas y pirata</w:t>
      </w:r>
      <w:r w:rsidR="00ED50E0" w:rsidRPr="00256A6B">
        <w:rPr>
          <w:rFonts w:asciiTheme="majorBidi" w:hAnsiTheme="majorBidi" w:cstheme="majorBidi"/>
          <w:lang w:val="es-ES_tradnl"/>
        </w:rPr>
        <w:t>s</w:t>
      </w:r>
      <w:r w:rsidR="00FC456A" w:rsidRPr="00256A6B">
        <w:rPr>
          <w:rFonts w:asciiTheme="majorBidi" w:hAnsiTheme="majorBidi" w:cstheme="majorBidi"/>
          <w:lang w:val="es-ES_tradnl"/>
        </w:rPr>
        <w:t xml:space="preserve">, la OMA lidera los debates sobre los esfuerzos mundiales para combatir dichos delitos. Esto implica potenciar los esfuerzos para </w:t>
      </w:r>
      <w:r w:rsidR="001145EA" w:rsidRPr="00256A6B">
        <w:rPr>
          <w:rFonts w:asciiTheme="majorBidi" w:hAnsiTheme="majorBidi" w:cstheme="majorBidi"/>
          <w:lang w:val="es-ES_tradnl"/>
        </w:rPr>
        <w:t>combatir</w:t>
      </w:r>
      <w:r w:rsidR="00FC456A" w:rsidRPr="00256A6B">
        <w:rPr>
          <w:rFonts w:asciiTheme="majorBidi" w:hAnsiTheme="majorBidi" w:cstheme="majorBidi"/>
          <w:lang w:val="es-ES_tradnl"/>
        </w:rPr>
        <w:t xml:space="preserve"> la falsificación y la piratería mejorando </w:t>
      </w:r>
      <w:r w:rsidR="00FC456A" w:rsidRPr="00256A6B">
        <w:rPr>
          <w:rFonts w:asciiTheme="majorBidi" w:hAnsiTheme="majorBidi" w:cstheme="majorBidi"/>
          <w:lang w:val="es-ES_tradnl"/>
        </w:rPr>
        <w:lastRenderedPageBreak/>
        <w:t>los métodos de observancia y promoviendo el intercambio de información entre aduanas</w:t>
      </w:r>
      <w:r w:rsidR="001145EA" w:rsidRPr="00256A6B">
        <w:rPr>
          <w:rFonts w:asciiTheme="majorBidi" w:hAnsiTheme="majorBidi" w:cstheme="majorBidi"/>
          <w:lang w:val="es-ES_tradnl"/>
        </w:rPr>
        <w:t>, así como entre aduanas y el sector privado</w:t>
      </w:r>
      <w:r w:rsidR="001B05CD" w:rsidRPr="00256A6B">
        <w:rPr>
          <w:lang w:val="es-ES_tradnl"/>
        </w:rPr>
        <w:t>.</w:t>
      </w:r>
    </w:p>
    <w:p w14:paraId="7AAD71BD" w14:textId="13BD2E15" w:rsidR="001B05CD" w:rsidRPr="00256A6B" w:rsidRDefault="001145EA" w:rsidP="00ED50E0">
      <w:pPr>
        <w:jc w:val="both"/>
        <w:rPr>
          <w:lang w:val="es-ES_tradnl"/>
        </w:rPr>
      </w:pPr>
      <w:r w:rsidRPr="00256A6B">
        <w:rPr>
          <w:lang w:val="es-ES_tradnl"/>
        </w:rPr>
        <w:t xml:space="preserve">El fin </w:t>
      </w:r>
      <w:r w:rsidR="0022749E" w:rsidRPr="00256A6B">
        <w:rPr>
          <w:lang w:val="es-ES_tradnl"/>
        </w:rPr>
        <w:t>último</w:t>
      </w:r>
      <w:r w:rsidRPr="00256A6B">
        <w:rPr>
          <w:lang w:val="es-ES_tradnl"/>
        </w:rPr>
        <w:t xml:space="preserve"> del Programa sobre derechos de propiedad intelectual y salud y seguridad de la OMA es captar la atención de los </w:t>
      </w:r>
      <w:r w:rsidR="00ED50E0" w:rsidRPr="00256A6B">
        <w:rPr>
          <w:lang w:val="es-ES_tradnl"/>
        </w:rPr>
        <w:t>agentes de aduana</w:t>
      </w:r>
      <w:r w:rsidRPr="00256A6B">
        <w:rPr>
          <w:lang w:val="es-ES_tradnl"/>
        </w:rPr>
        <w:t xml:space="preserve"> y de la industria en todo el mundo y garantizar su vigilancia </w:t>
      </w:r>
      <w:r w:rsidR="0022749E" w:rsidRPr="00256A6B">
        <w:rPr>
          <w:lang w:val="es-ES_tradnl"/>
        </w:rPr>
        <w:t>respecto</w:t>
      </w:r>
      <w:r w:rsidRPr="00256A6B">
        <w:rPr>
          <w:lang w:val="es-ES_tradnl"/>
        </w:rPr>
        <w:t xml:space="preserve"> de los productos falsificados. Siendo la protección de la salud y de la seguridad de los consumid</w:t>
      </w:r>
      <w:r w:rsidR="00ED50E0" w:rsidRPr="00256A6B">
        <w:rPr>
          <w:lang w:val="es-ES_tradnl"/>
        </w:rPr>
        <w:t xml:space="preserve">ores la prioridad principal, la </w:t>
      </w:r>
      <w:r w:rsidRPr="00256A6B">
        <w:rPr>
          <w:lang w:val="es-ES_tradnl"/>
        </w:rPr>
        <w:t xml:space="preserve">OMA es extraordinariamente activa en </w:t>
      </w:r>
      <w:r w:rsidR="0022749E" w:rsidRPr="00256A6B">
        <w:rPr>
          <w:lang w:val="es-ES_tradnl"/>
        </w:rPr>
        <w:t>la organización de</w:t>
      </w:r>
      <w:r w:rsidRPr="00256A6B">
        <w:rPr>
          <w:lang w:val="es-ES_tradnl"/>
        </w:rPr>
        <w:t xml:space="preserve"> </w:t>
      </w:r>
      <w:r w:rsidR="0022749E" w:rsidRPr="00256A6B">
        <w:rPr>
          <w:lang w:val="es-ES_tradnl"/>
        </w:rPr>
        <w:t>actividades</w:t>
      </w:r>
      <w:r w:rsidRPr="00256A6B">
        <w:rPr>
          <w:lang w:val="es-ES_tradnl"/>
        </w:rPr>
        <w:t xml:space="preserve"> intensivas de creación de capacidad</w:t>
      </w:r>
      <w:r w:rsidR="001B05CD" w:rsidRPr="00256A6B">
        <w:rPr>
          <w:lang w:val="es-ES_tradnl"/>
        </w:rPr>
        <w:t xml:space="preserve"> </w:t>
      </w:r>
      <w:r w:rsidR="0022749E" w:rsidRPr="00256A6B">
        <w:rPr>
          <w:lang w:val="es-ES_tradnl"/>
        </w:rPr>
        <w:t>y en el desarrollo de divers</w:t>
      </w:r>
      <w:r w:rsidR="00190C82" w:rsidRPr="00256A6B">
        <w:rPr>
          <w:lang w:val="es-ES_tradnl"/>
        </w:rPr>
        <w:t>as herramientas de observancia.</w:t>
      </w:r>
    </w:p>
    <w:p w14:paraId="6AF14AF5" w14:textId="4242ACDB" w:rsidR="001B05CD" w:rsidRPr="00256A6B" w:rsidRDefault="0022749E" w:rsidP="00ED50E0">
      <w:pPr>
        <w:jc w:val="both"/>
        <w:rPr>
          <w:lang w:val="es-ES_tradnl"/>
        </w:rPr>
      </w:pPr>
      <w:r w:rsidRPr="00256A6B">
        <w:rPr>
          <w:lang w:val="es-ES_tradnl"/>
        </w:rPr>
        <w:t>Consciente de la importancia de la colaboración con el sector privado, la OMA trabaja muy estrechamente con los miembro</w:t>
      </w:r>
      <w:r w:rsidR="00ED50E0" w:rsidRPr="00256A6B">
        <w:rPr>
          <w:lang w:val="es-ES_tradnl"/>
        </w:rPr>
        <w:t>s del sector y con asociaciones</w:t>
      </w:r>
      <w:r w:rsidRPr="00256A6B">
        <w:rPr>
          <w:lang w:val="es-ES_tradnl"/>
        </w:rPr>
        <w:t xml:space="preserve"> con el fin de evaluar sus necesidades y dificultades cuando se enfrentan a este fenómeno. La OMA invita periódicamente a los titulares de derechos para que participen en sus diversas actividades contra la falsificación, tales como operaciones sobre el terreno y seminarios nacionales o regionales, y ha elaborado una herramienta en </w:t>
      </w:r>
      <w:r w:rsidR="00ED50E0" w:rsidRPr="00256A6B">
        <w:rPr>
          <w:lang w:val="es-ES_tradnl"/>
        </w:rPr>
        <w:t>Internet</w:t>
      </w:r>
      <w:r w:rsidRPr="00256A6B">
        <w:rPr>
          <w:lang w:val="es-ES_tradnl"/>
        </w:rPr>
        <w:t xml:space="preserve">, interfaz </w:t>
      </w:r>
      <w:r w:rsidR="005366A1">
        <w:rPr>
          <w:lang w:val="es-ES_tradnl"/>
        </w:rPr>
        <w:t>entre el público y los miembros</w:t>
      </w:r>
      <w:r w:rsidRPr="00256A6B">
        <w:rPr>
          <w:lang w:val="es-ES_tradnl"/>
        </w:rPr>
        <w:t xml:space="preserve"> (IPM), para dotar a los </w:t>
      </w:r>
      <w:r w:rsidR="00ED50E0" w:rsidRPr="00256A6B">
        <w:rPr>
          <w:lang w:val="es-ES_tradnl"/>
        </w:rPr>
        <w:t>agentes de aduana</w:t>
      </w:r>
      <w:r w:rsidRPr="00256A6B">
        <w:rPr>
          <w:lang w:val="es-ES_tradnl"/>
        </w:rPr>
        <w:t xml:space="preserve"> con medios para detectar productos falsificados y pirata</w:t>
      </w:r>
      <w:r w:rsidR="00ED50E0" w:rsidRPr="00256A6B">
        <w:rPr>
          <w:lang w:val="es-ES_tradnl"/>
        </w:rPr>
        <w:t>s</w:t>
      </w:r>
      <w:r w:rsidRPr="00256A6B">
        <w:rPr>
          <w:lang w:val="es-ES_tradnl"/>
        </w:rPr>
        <w:t xml:space="preserve"> y para comunicar con los agen</w:t>
      </w:r>
      <w:r w:rsidR="00C84F6A" w:rsidRPr="00256A6B">
        <w:rPr>
          <w:lang w:val="es-ES_tradnl"/>
        </w:rPr>
        <w:t>tes económicos en tiempo real.</w:t>
      </w:r>
    </w:p>
    <w:p w14:paraId="45D5770A" w14:textId="055DB122" w:rsidR="001B05CD" w:rsidRPr="00256A6B" w:rsidRDefault="001B05CD" w:rsidP="00BF0B1C">
      <w:pPr>
        <w:rPr>
          <w:lang w:val="es-ES_tradnl"/>
        </w:rPr>
      </w:pPr>
      <w:r w:rsidRPr="00256A6B">
        <w:rPr>
          <w:lang w:val="es-ES_tradnl"/>
        </w:rPr>
        <w:t>La</w:t>
      </w:r>
      <w:r w:rsidR="00C82324" w:rsidRPr="00256A6B">
        <w:rPr>
          <w:lang w:val="es-ES_tradnl"/>
        </w:rPr>
        <w:t xml:space="preserve">s operaciones a gran escala son una parte vital de las </w:t>
      </w:r>
      <w:r w:rsidR="00BF0B1C" w:rsidRPr="00256A6B">
        <w:rPr>
          <w:lang w:val="es-ES_tradnl"/>
        </w:rPr>
        <w:t>iniciativas</w:t>
      </w:r>
      <w:r w:rsidR="00C82324" w:rsidRPr="00256A6B">
        <w:rPr>
          <w:lang w:val="es-ES_tradnl"/>
        </w:rPr>
        <w:t xml:space="preserve"> contra la falsificación de la OMA</w:t>
      </w:r>
      <w:r w:rsidR="001B15CB">
        <w:rPr>
          <w:lang w:val="es-ES_tradnl"/>
        </w:rPr>
        <w:t>,</w:t>
      </w:r>
      <w:r w:rsidR="00C82324" w:rsidRPr="00256A6B">
        <w:rPr>
          <w:lang w:val="es-ES_tradnl"/>
        </w:rPr>
        <w:t xml:space="preserve"> en las que un gran número de administraciones de aduanas aumentan </w:t>
      </w:r>
      <w:r w:rsidR="00BF0B1C" w:rsidRPr="00256A6B">
        <w:rPr>
          <w:lang w:val="es-ES_tradnl"/>
        </w:rPr>
        <w:t>simultáneamente</w:t>
      </w:r>
      <w:r w:rsidR="00C82324" w:rsidRPr="00256A6B">
        <w:rPr>
          <w:lang w:val="es-ES_tradnl"/>
        </w:rPr>
        <w:t xml:space="preserve"> su nivel de </w:t>
      </w:r>
      <w:r w:rsidR="00BF0B1C" w:rsidRPr="00256A6B">
        <w:rPr>
          <w:lang w:val="es-ES_tradnl"/>
        </w:rPr>
        <w:t>persecución de los elementos falsificados para cuantificar y calificar el impacto de las actividades mundiales de falsificación. Solo durante el año 2</w:t>
      </w:r>
      <w:r w:rsidR="00C84F6A" w:rsidRPr="00256A6B">
        <w:rPr>
          <w:lang w:val="es-ES_tradnl"/>
        </w:rPr>
        <w:t>013, las autoridades de aduanas</w:t>
      </w:r>
      <w:r w:rsidR="0052037D">
        <w:rPr>
          <w:lang w:val="es-ES_tradnl"/>
        </w:rPr>
        <w:t xml:space="preserve"> interceptaron más de 1 </w:t>
      </w:r>
      <w:r w:rsidR="00BF0B1C" w:rsidRPr="00256A6B">
        <w:rPr>
          <w:lang w:val="es-ES_tradnl"/>
        </w:rPr>
        <w:t>100 mil</w:t>
      </w:r>
      <w:r w:rsidR="00ED50E0" w:rsidRPr="00256A6B">
        <w:rPr>
          <w:lang w:val="es-ES_tradnl"/>
        </w:rPr>
        <w:t>lones de elementos falsificados</w:t>
      </w:r>
      <w:r w:rsidR="00BF0B1C" w:rsidRPr="00256A6B">
        <w:rPr>
          <w:lang w:val="es-ES_tradnl"/>
        </w:rPr>
        <w:t xml:space="preserve"> en una operación en la región de África y en una operación en la región de América Latina. </w:t>
      </w:r>
    </w:p>
    <w:p w14:paraId="294492FA" w14:textId="2CE4A147" w:rsidR="001B05CD" w:rsidRPr="00256A6B" w:rsidRDefault="006165F1" w:rsidP="00856076">
      <w:pPr>
        <w:rPr>
          <w:lang w:val="es-ES_tradnl"/>
        </w:rPr>
      </w:pPr>
      <w:r w:rsidRPr="00256A6B">
        <w:rPr>
          <w:color w:val="000000"/>
          <w:lang w:val="es-ES_tradnl"/>
        </w:rPr>
        <w:t>La OMA también ha elaborado una herramienta de detecci</w:t>
      </w:r>
      <w:r w:rsidR="00ED50E0" w:rsidRPr="00256A6B">
        <w:rPr>
          <w:color w:val="000000"/>
          <w:lang w:val="es-ES_tradnl"/>
        </w:rPr>
        <w:t>ón mundial por Internet</w:t>
      </w:r>
      <w:r w:rsidRPr="00256A6B">
        <w:rPr>
          <w:color w:val="000000"/>
          <w:lang w:val="es-ES_tradnl"/>
        </w:rPr>
        <w:t xml:space="preserve">, IPM, destinada a los </w:t>
      </w:r>
      <w:r w:rsidR="00ED50E0" w:rsidRPr="00256A6B">
        <w:rPr>
          <w:color w:val="000000"/>
          <w:lang w:val="es-ES_tradnl"/>
        </w:rPr>
        <w:t>agentes de aduana</w:t>
      </w:r>
      <w:r w:rsidRPr="00256A6B">
        <w:rPr>
          <w:color w:val="000000"/>
          <w:lang w:val="es-ES_tradnl"/>
        </w:rPr>
        <w:t xml:space="preserve"> en activo para</w:t>
      </w:r>
      <w:r w:rsidR="001B05CD" w:rsidRPr="00256A6B">
        <w:rPr>
          <w:color w:val="000000"/>
          <w:lang w:val="es-ES_tradnl"/>
        </w:rPr>
        <w:t xml:space="preserve"> </w:t>
      </w:r>
      <w:r w:rsidRPr="00256A6B">
        <w:rPr>
          <w:color w:val="000000"/>
          <w:lang w:val="es-ES_tradnl"/>
        </w:rPr>
        <w:t>facilitar la distinción entre productos genuinos y s</w:t>
      </w:r>
      <w:r w:rsidR="00856076" w:rsidRPr="00256A6B">
        <w:rPr>
          <w:color w:val="000000"/>
          <w:lang w:val="es-ES_tradnl"/>
        </w:rPr>
        <w:t>us reproducciones falsificadas.</w:t>
      </w:r>
      <w:r w:rsidR="007F35B8" w:rsidRPr="00256A6B">
        <w:rPr>
          <w:color w:val="000000"/>
          <w:lang w:val="es-ES_tradnl"/>
        </w:rPr>
        <w:t xml:space="preserve"> Desde su lanzamiento en 2010, IPM se ha convertido en un centro real de comunicaciones entre </w:t>
      </w:r>
      <w:r w:rsidR="00856076" w:rsidRPr="00256A6B">
        <w:rPr>
          <w:color w:val="000000"/>
          <w:lang w:val="es-ES_tradnl"/>
        </w:rPr>
        <w:t>agentes de aduana</w:t>
      </w:r>
      <w:r w:rsidR="007F35B8" w:rsidRPr="00256A6B">
        <w:rPr>
          <w:color w:val="000000"/>
          <w:lang w:val="es-ES_tradnl"/>
        </w:rPr>
        <w:t xml:space="preserve"> sobre el terreno y el sector privado permitiendo el intercambio de información crucial en tiempo real con el fin de interceptar mercancías falsificadas. </w:t>
      </w:r>
    </w:p>
    <w:p w14:paraId="46C73A37" w14:textId="1BD717BA" w:rsidR="00485156" w:rsidRPr="00256A6B" w:rsidRDefault="00EF5769" w:rsidP="00856076">
      <w:pPr>
        <w:rPr>
          <w:lang w:val="es-ES_tradnl"/>
        </w:rPr>
      </w:pPr>
      <w:r w:rsidRPr="00256A6B">
        <w:rPr>
          <w:lang w:val="es-ES_tradnl"/>
        </w:rPr>
        <w:t>Con el lanzamiento reciente de IPM</w:t>
      </w:r>
      <w:r w:rsidR="0087343D">
        <w:rPr>
          <w:lang w:val="es-ES_tradnl"/>
        </w:rPr>
        <w:t>,</w:t>
      </w:r>
      <w:r w:rsidRPr="00256A6B">
        <w:rPr>
          <w:lang w:val="es-ES_tradnl"/>
        </w:rPr>
        <w:t xml:space="preserve"> los </w:t>
      </w:r>
      <w:r w:rsidR="00856076" w:rsidRPr="00256A6B">
        <w:rPr>
          <w:lang w:val="es-ES_tradnl"/>
        </w:rPr>
        <w:t>agentes de aduana</w:t>
      </w:r>
      <w:r w:rsidRPr="00256A6B">
        <w:rPr>
          <w:lang w:val="es-ES_tradnl"/>
        </w:rPr>
        <w:t xml:space="preserve"> pueden ahora accede</w:t>
      </w:r>
      <w:r w:rsidR="00856076" w:rsidRPr="00256A6B">
        <w:rPr>
          <w:lang w:val="es-ES_tradnl"/>
        </w:rPr>
        <w:t>r</w:t>
      </w:r>
      <w:r w:rsidRPr="00256A6B">
        <w:rPr>
          <w:lang w:val="es-ES_tradnl"/>
        </w:rPr>
        <w:t xml:space="preserve"> a IPM mediante sus dispositivos móviles y recopilar toda la información pertinente incluida en la base de datos. Esta nueva versión ofrece la posibilidad de utilizar dispositivos móviles para escanear los códigos de barras normalizados GS1 del sector que figuran en millones de productos, permitiendo la búsqueda en la base de datos de productos de una f</w:t>
      </w:r>
      <w:r w:rsidR="00856076" w:rsidRPr="00256A6B">
        <w:rPr>
          <w:lang w:val="es-ES_tradnl"/>
        </w:rPr>
        <w:t>orma más rápida y eficiente.</w:t>
      </w:r>
      <w:r w:rsidR="001B05CD" w:rsidRPr="00256A6B">
        <w:rPr>
          <w:lang w:val="es-ES_tradnl"/>
        </w:rPr>
        <w:t xml:space="preserve"> </w:t>
      </w:r>
      <w:r w:rsidRPr="00256A6B">
        <w:rPr>
          <w:lang w:val="es-ES_tradnl"/>
        </w:rPr>
        <w:t>Es más</w:t>
      </w:r>
      <w:r w:rsidR="00165E0A">
        <w:rPr>
          <w:lang w:val="es-ES_tradnl"/>
        </w:rPr>
        <w:t>, el examen de los códigos de ba</w:t>
      </w:r>
      <w:r w:rsidRPr="00256A6B">
        <w:rPr>
          <w:lang w:val="es-ES_tradnl"/>
        </w:rPr>
        <w:t xml:space="preserve">rras permitirá la conexión automática a cualquier servicio de autenticación vinculado al producto controlado. Esta nueva característica se conoce como </w:t>
      </w:r>
      <w:r w:rsidR="009F14E0" w:rsidRPr="00256A6B">
        <w:rPr>
          <w:lang w:val="es-ES_tradnl"/>
        </w:rPr>
        <w:t xml:space="preserve">Conectado </w:t>
      </w:r>
      <w:r w:rsidRPr="00256A6B">
        <w:rPr>
          <w:lang w:val="es-ES_tradnl"/>
        </w:rPr>
        <w:t xml:space="preserve">a IPM – una red mundial de </w:t>
      </w:r>
      <w:r w:rsidR="00964BC4" w:rsidRPr="00256A6B">
        <w:rPr>
          <w:lang w:val="es-ES_tradnl"/>
        </w:rPr>
        <w:t xml:space="preserve">proveedores de características de seguridad (SFP) que hace </w:t>
      </w:r>
      <w:r w:rsidR="00856076" w:rsidRPr="00256A6B">
        <w:rPr>
          <w:lang w:val="es-ES_tradnl"/>
        </w:rPr>
        <w:t>de</w:t>
      </w:r>
      <w:r w:rsidR="00964BC4" w:rsidRPr="00256A6B">
        <w:rPr>
          <w:lang w:val="es-ES_tradnl"/>
        </w:rPr>
        <w:t xml:space="preserve"> interfaz con el IPM. Con esta red de SFP en crecimiento, también se está incrementando el número de titulares de derechos que se unen al IPM</w:t>
      </w:r>
      <w:r w:rsidR="00856076" w:rsidRPr="00256A6B">
        <w:rPr>
          <w:lang w:val="es-ES_tradnl"/>
        </w:rPr>
        <w:t>,</w:t>
      </w:r>
      <w:r w:rsidR="00964BC4" w:rsidRPr="00256A6B">
        <w:rPr>
          <w:lang w:val="es-ES_tradnl"/>
        </w:rPr>
        <w:t xml:space="preserve"> superando actualmente las 700 marcas</w:t>
      </w:r>
      <w:r w:rsidR="00856076" w:rsidRPr="00256A6B">
        <w:rPr>
          <w:lang w:val="es-ES_tradnl"/>
        </w:rPr>
        <w:t>,</w:t>
      </w:r>
      <w:r w:rsidR="001B05CD" w:rsidRPr="00256A6B">
        <w:rPr>
          <w:lang w:val="es-ES_tradnl"/>
        </w:rPr>
        <w:t xml:space="preserve"> </w:t>
      </w:r>
      <w:r w:rsidR="00964BC4" w:rsidRPr="00256A6B">
        <w:rPr>
          <w:lang w:val="es-ES_tradnl"/>
        </w:rPr>
        <w:t>que cubren una amplia gama de sectores industriales desde el farmacéutico</w:t>
      </w:r>
      <w:r w:rsidR="00C84F6A" w:rsidRPr="00256A6B">
        <w:rPr>
          <w:lang w:val="es-ES_tradnl"/>
        </w:rPr>
        <w:t>, la</w:t>
      </w:r>
      <w:r w:rsidR="00856076" w:rsidRPr="00256A6B">
        <w:rPr>
          <w:lang w:val="es-ES_tradnl"/>
        </w:rPr>
        <w:t xml:space="preserve"> alimentación o los pesticidas</w:t>
      </w:r>
      <w:r w:rsidR="00964BC4" w:rsidRPr="00256A6B">
        <w:rPr>
          <w:lang w:val="es-ES_tradnl"/>
        </w:rPr>
        <w:t xml:space="preserve"> hasta mercancías de rápido consumo y artículos de lujo</w:t>
      </w:r>
      <w:r w:rsidR="00D76DB9" w:rsidRPr="00256A6B">
        <w:rPr>
          <w:lang w:val="es-ES_tradnl"/>
        </w:rPr>
        <w:t xml:space="preserve"> [</w:t>
      </w:r>
      <w:r w:rsidR="003D307F" w:rsidRPr="00256A6B">
        <w:rPr>
          <w:lang w:val="es-ES_tradnl"/>
        </w:rPr>
        <w:t>16</w:t>
      </w:r>
      <w:r w:rsidR="00D76DB9" w:rsidRPr="00256A6B">
        <w:rPr>
          <w:lang w:val="es-ES_tradnl"/>
        </w:rPr>
        <w:t>]</w:t>
      </w:r>
      <w:r w:rsidR="00391B60" w:rsidRPr="00256A6B">
        <w:rPr>
          <w:lang w:val="es-ES_tradnl"/>
        </w:rPr>
        <w:t>.</w:t>
      </w:r>
    </w:p>
    <w:p w14:paraId="64112F10" w14:textId="18461AA0" w:rsidR="0077266D" w:rsidRPr="00C869C0" w:rsidRDefault="0077266D" w:rsidP="00AA287D">
      <w:pPr>
        <w:pStyle w:val="Heading2"/>
        <w:rPr>
          <w:lang w:val="es-ES_tradnl"/>
        </w:rPr>
      </w:pPr>
      <w:bookmarkStart w:id="91" w:name="_Toc211334011"/>
      <w:bookmarkStart w:id="92" w:name="_Toc404607184"/>
      <w:bookmarkStart w:id="93" w:name="_Toc406670397"/>
      <w:bookmarkStart w:id="94" w:name="_Toc447202527"/>
      <w:bookmarkStart w:id="95" w:name="_Toc447203012"/>
      <w:r w:rsidRPr="00C869C0">
        <w:rPr>
          <w:lang w:val="es-ES_tradnl"/>
        </w:rPr>
        <w:t>5.</w:t>
      </w:r>
      <w:r w:rsidR="00391B60" w:rsidRPr="00C869C0">
        <w:rPr>
          <w:lang w:val="es-ES_tradnl"/>
        </w:rPr>
        <w:t>5</w:t>
      </w:r>
      <w:r w:rsidR="00E24E07" w:rsidRPr="00C869C0">
        <w:rPr>
          <w:lang w:val="es-ES_tradnl"/>
        </w:rPr>
        <w:tab/>
      </w:r>
      <w:r w:rsidR="00964BC4" w:rsidRPr="00C869C0">
        <w:rPr>
          <w:lang w:val="es-ES_tradnl"/>
        </w:rPr>
        <w:t>Unión Europea</w:t>
      </w:r>
      <w:bookmarkEnd w:id="91"/>
      <w:bookmarkEnd w:id="92"/>
      <w:bookmarkEnd w:id="93"/>
      <w:bookmarkEnd w:id="94"/>
      <w:bookmarkEnd w:id="95"/>
    </w:p>
    <w:p w14:paraId="0CDB3D4B" w14:textId="51D43C80" w:rsidR="00C142FB" w:rsidRDefault="00C142FB">
      <w:pPr>
        <w:rPr>
          <w:rFonts w:cs="Helvetica"/>
          <w:szCs w:val="22"/>
          <w:lang w:val="es-ES_tradnl"/>
        </w:rPr>
      </w:pPr>
      <w:r>
        <w:rPr>
          <w:rFonts w:cs="Helvetica"/>
          <w:szCs w:val="22"/>
          <w:lang w:val="es-ES_tradnl"/>
        </w:rPr>
        <w:t>En la Unión Europea se lleva a cabo, desde 2011, una serie de consultas públicas sobre la Directiva 2004/48/EC relativa al respeto de los derechos de propiedad intelectual. La anterior consulta pública sobre la eficacia de los sistemas de observancia civil en materia de propiedad intelectual en los Estados Miembros de la UE finalizó en marzo de 2013. La Comisión Europea publicó un resumen de las respuestas en julio de 2013.</w:t>
      </w:r>
    </w:p>
    <w:p w14:paraId="3516A780" w14:textId="13FDA5C3" w:rsidR="00C142FB" w:rsidRDefault="00C142FB" w:rsidP="0064347D">
      <w:pPr>
        <w:rPr>
          <w:rFonts w:cs="Helvetica"/>
          <w:szCs w:val="22"/>
          <w:lang w:val="es-ES_tradnl"/>
        </w:rPr>
      </w:pPr>
      <w:r>
        <w:rPr>
          <w:rFonts w:cs="Helvetica"/>
          <w:szCs w:val="22"/>
          <w:lang w:val="es-ES_tradnl"/>
        </w:rPr>
        <w:t xml:space="preserve">La Comisión adoptó, el 1 de julio, la Comunicación </w:t>
      </w:r>
      <w:r w:rsidR="0064347D">
        <w:rPr>
          <w:rFonts w:cs="Helvetica"/>
          <w:szCs w:val="22"/>
          <w:lang w:val="es-ES_tradnl"/>
        </w:rPr>
        <w:t>"</w:t>
      </w:r>
      <w:r>
        <w:rPr>
          <w:rFonts w:cs="Helvetica"/>
          <w:szCs w:val="22"/>
          <w:lang w:val="es-ES_tradnl"/>
        </w:rPr>
        <w:t>Hacia un consenso renovado sobre el respeto de los derechos de propiedad intelectual: Un p</w:t>
      </w:r>
      <w:r w:rsidR="00C430AD">
        <w:rPr>
          <w:rFonts w:cs="Helvetica"/>
          <w:szCs w:val="22"/>
          <w:lang w:val="es-ES_tradnl"/>
        </w:rPr>
        <w:t>lan de acción de la UE</w:t>
      </w:r>
      <w:r w:rsidR="0064347D">
        <w:rPr>
          <w:rFonts w:cs="Helvetica"/>
          <w:szCs w:val="22"/>
          <w:lang w:val="es-ES_tradnl"/>
        </w:rPr>
        <w:t>"</w:t>
      </w:r>
      <w:r w:rsidR="00C430AD">
        <w:rPr>
          <w:rFonts w:cs="Helvetica"/>
          <w:szCs w:val="22"/>
          <w:lang w:val="es-ES_tradnl"/>
        </w:rPr>
        <w:t xml:space="preserve"> – COM</w:t>
      </w:r>
      <w:r w:rsidR="0064347D">
        <w:rPr>
          <w:rFonts w:cs="Helvetica"/>
          <w:szCs w:val="22"/>
          <w:lang w:val="es-ES_tradnl"/>
        </w:rPr>
        <w:t xml:space="preserve"> </w:t>
      </w:r>
      <w:r w:rsidR="00C430AD">
        <w:rPr>
          <w:rFonts w:cs="Helvetica"/>
          <w:szCs w:val="22"/>
          <w:lang w:val="es-ES_tradnl"/>
        </w:rPr>
        <w:t>(2014)932.</w:t>
      </w:r>
    </w:p>
    <w:p w14:paraId="6CE19BB4" w14:textId="2CAAAAD0" w:rsidR="00C430AD" w:rsidRDefault="00C430AD" w:rsidP="00642DE5">
      <w:pPr>
        <w:rPr>
          <w:rFonts w:cs="Helvetica"/>
          <w:szCs w:val="22"/>
          <w:lang w:val="es-ES_tradnl"/>
        </w:rPr>
      </w:pPr>
      <w:r>
        <w:rPr>
          <w:rFonts w:cs="Helvetica"/>
          <w:szCs w:val="22"/>
          <w:lang w:val="es-ES_tradnl"/>
        </w:rPr>
        <w:lastRenderedPageBreak/>
        <w:t xml:space="preserve">Las diez acciones enumeradas en el Plan de Acción se centran en las infracciones a nivel comercial (el denominado método de </w:t>
      </w:r>
      <w:r w:rsidR="00642DE5">
        <w:rPr>
          <w:rFonts w:cs="Helvetica"/>
          <w:szCs w:val="22"/>
          <w:lang w:val="es-ES_tradnl"/>
        </w:rPr>
        <w:t>"</w:t>
      </w:r>
      <w:r>
        <w:rPr>
          <w:rFonts w:cs="Helvetica"/>
          <w:szCs w:val="22"/>
          <w:lang w:val="es-ES_tradnl"/>
        </w:rPr>
        <w:t>seguir el dinero</w:t>
      </w:r>
      <w:r w:rsidR="00642DE5">
        <w:rPr>
          <w:rFonts w:cs="Helvetica"/>
          <w:szCs w:val="22"/>
          <w:lang w:val="es-ES_tradnl"/>
        </w:rPr>
        <w:t>"</w:t>
      </w:r>
      <w:r>
        <w:rPr>
          <w:rFonts w:cs="Helvetica"/>
          <w:szCs w:val="22"/>
          <w:lang w:val="es-ES_tradnl"/>
        </w:rPr>
        <w:t>) y están destinadas a mejorar la prevención, aumentar la cooperación transfronteriza entre Estados Miembros y dar prioridad a la política de observancia en materia de propiedad intelectual a partir de datos objetivos.</w:t>
      </w:r>
    </w:p>
    <w:p w14:paraId="105A6E2D" w14:textId="14D1165E" w:rsidR="00C430AD" w:rsidRDefault="00C430AD" w:rsidP="00AE4812">
      <w:pPr>
        <w:rPr>
          <w:rFonts w:cs="Helvetica"/>
          <w:szCs w:val="22"/>
          <w:lang w:val="es-ES_tradnl"/>
        </w:rPr>
      </w:pPr>
      <w:r>
        <w:rPr>
          <w:rFonts w:cs="Helvetica"/>
          <w:szCs w:val="22"/>
          <w:lang w:val="es-ES_tradnl"/>
        </w:rPr>
        <w:t xml:space="preserve">El Observatorio Europeo de la Falsificación y la Piratería fue creado en 2009 como parte de la Comisión Europea. Mediante el Reglamento </w:t>
      </w:r>
      <w:r w:rsidR="00AE4812">
        <w:rPr>
          <w:rFonts w:cs="Helvetica"/>
          <w:szCs w:val="22"/>
          <w:lang w:val="es-ES_tradnl"/>
        </w:rPr>
        <w:t>N</w:t>
      </w:r>
      <w:r>
        <w:rPr>
          <w:rFonts w:cs="Helvetica"/>
          <w:szCs w:val="22"/>
          <w:lang w:val="es-ES_tradnl"/>
        </w:rPr>
        <w:t>º</w:t>
      </w:r>
      <w:r w:rsidR="00AE4812">
        <w:rPr>
          <w:rFonts w:cs="Helvetica"/>
          <w:szCs w:val="22"/>
          <w:lang w:val="es-ES_tradnl"/>
        </w:rPr>
        <w:t xml:space="preserve"> </w:t>
      </w:r>
      <w:r>
        <w:rPr>
          <w:rFonts w:cs="Helvetica"/>
          <w:szCs w:val="22"/>
          <w:lang w:val="es-ES_tradnl"/>
        </w:rPr>
        <w:t>386/2012 del Parlamento Europeo y el Consejo pasó a llamarse Observatorio Europeo de las Vulneraciones de los Derechos de Propiedad Intelectual, plenamente dependiente de la Oficina de Armonización del Mercado Interior desde el 5 de junio de 2012. El Observatorio sirve de plataforma donde los actores públicos y privados pueden compartir prácticas idóneas y experiencias en materia de aplicación de los DPI</w:t>
      </w:r>
      <w:r w:rsidR="007F4892">
        <w:rPr>
          <w:rFonts w:cs="Helvetica"/>
          <w:szCs w:val="22"/>
          <w:lang w:val="es-ES_tradnl"/>
        </w:rPr>
        <w:t>, pueden sensibilizar al público y colaborar en la recopilación de datos y su examen.</w:t>
      </w:r>
    </w:p>
    <w:p w14:paraId="34FD1842" w14:textId="4D9F697E" w:rsidR="007F4892" w:rsidRDefault="007F4892">
      <w:pPr>
        <w:rPr>
          <w:rFonts w:cs="Helvetica"/>
          <w:szCs w:val="22"/>
          <w:lang w:val="es-ES_tradnl"/>
        </w:rPr>
      </w:pPr>
      <w:r>
        <w:rPr>
          <w:rFonts w:cs="Helvetica"/>
          <w:szCs w:val="22"/>
          <w:lang w:val="es-ES_tradnl"/>
        </w:rPr>
        <w:t>La Comisión Europea</w:t>
      </w:r>
      <w:r w:rsidR="00F454AF">
        <w:rPr>
          <w:rFonts w:cs="Helvetica"/>
          <w:szCs w:val="22"/>
          <w:lang w:val="es-ES_tradnl"/>
        </w:rPr>
        <w:t xml:space="preserve"> </w:t>
      </w:r>
      <w:r>
        <w:rPr>
          <w:rFonts w:cs="Helvetica"/>
          <w:szCs w:val="22"/>
          <w:lang w:val="es-ES_tradnl"/>
        </w:rPr>
        <w:t xml:space="preserve">elevó al nivel de la UE un Memorándum de Acuerdo sobre la venta de mercancías falsificadas a través de </w:t>
      </w:r>
      <w:r w:rsidR="00AE4812">
        <w:rPr>
          <w:rFonts w:cs="Helvetica"/>
          <w:szCs w:val="22"/>
          <w:lang w:val="es-ES_tradnl"/>
        </w:rPr>
        <w:t>Internet</w:t>
      </w:r>
      <w:r>
        <w:rPr>
          <w:rFonts w:cs="Helvetica"/>
          <w:szCs w:val="22"/>
          <w:lang w:val="es-ES_tradnl"/>
        </w:rPr>
        <w:t>. Este Memorándum fue concluido en mayo de 2011 entre plataformas Internet, titulares de derechos de propiedad intelectual y asociaciones profesionales. En el Memorándum de Acuerdo se establece un código de práctica para luchar contra la venta de mercancías falsificadas en Internet y para aumentar la colaboración entre los signatarios.</w:t>
      </w:r>
    </w:p>
    <w:p w14:paraId="271B3EEA" w14:textId="458CF837" w:rsidR="007F4892" w:rsidRPr="00AE4812" w:rsidRDefault="007F4892">
      <w:pPr>
        <w:rPr>
          <w:rFonts w:cs="Helvetica"/>
          <w:szCs w:val="22"/>
          <w:u w:val="single"/>
          <w:lang w:val="es-ES_tradnl"/>
        </w:rPr>
      </w:pPr>
      <w:r w:rsidRPr="00AE4812">
        <w:rPr>
          <w:rFonts w:cs="Helvetica"/>
          <w:szCs w:val="22"/>
          <w:u w:val="single"/>
          <w:lang w:val="es-ES_tradnl"/>
        </w:rPr>
        <w:t>Aduanas</w:t>
      </w:r>
    </w:p>
    <w:p w14:paraId="29D75963" w14:textId="24F37A85" w:rsidR="007F4892" w:rsidRDefault="007F4892">
      <w:pPr>
        <w:rPr>
          <w:rFonts w:cs="Helvetica"/>
          <w:szCs w:val="22"/>
          <w:lang w:val="es-ES_tradnl"/>
        </w:rPr>
      </w:pPr>
      <w:r>
        <w:rPr>
          <w:rFonts w:cs="Helvetica"/>
          <w:szCs w:val="22"/>
          <w:lang w:val="es-ES_tradnl"/>
        </w:rPr>
        <w:t xml:space="preserve">El Reglamento </w:t>
      </w:r>
      <w:r w:rsidR="00AE4812">
        <w:rPr>
          <w:rFonts w:cs="Helvetica"/>
          <w:szCs w:val="22"/>
          <w:lang w:val="es-ES_tradnl"/>
        </w:rPr>
        <w:t>N</w:t>
      </w:r>
      <w:r>
        <w:rPr>
          <w:rFonts w:cs="Helvetica"/>
          <w:szCs w:val="22"/>
          <w:lang w:val="es-ES_tradnl"/>
        </w:rPr>
        <w:t>º</w:t>
      </w:r>
      <w:r w:rsidR="00AE4812">
        <w:rPr>
          <w:rFonts w:cs="Helvetica"/>
          <w:szCs w:val="22"/>
          <w:lang w:val="es-ES_tradnl"/>
        </w:rPr>
        <w:t xml:space="preserve"> </w:t>
      </w:r>
      <w:r>
        <w:rPr>
          <w:rFonts w:cs="Helvetica"/>
          <w:szCs w:val="22"/>
          <w:lang w:val="es-ES_tradnl"/>
        </w:rPr>
        <w:t>1383/2003 del Consejo, de 22 de julio de 2003,</w:t>
      </w:r>
      <w:r w:rsidR="00F454AF">
        <w:rPr>
          <w:rFonts w:cs="Helvetica"/>
          <w:szCs w:val="22"/>
          <w:lang w:val="es-ES_tradnl"/>
        </w:rPr>
        <w:t xml:space="preserve"> </w:t>
      </w:r>
      <w:r>
        <w:rPr>
          <w:rFonts w:cs="Helvetica"/>
          <w:szCs w:val="22"/>
          <w:lang w:val="es-ES_tradnl"/>
        </w:rPr>
        <w:t>relativo a la intervención de las autoridades aduaneras en los casos de mercancías sospechosas de vulnerar determinados derechos de propiedad intelectual, fue sustituido por el Reglamento 608/2013.</w:t>
      </w:r>
    </w:p>
    <w:p w14:paraId="6749EEC3" w14:textId="3B6C0BD9" w:rsidR="0077266D" w:rsidRPr="00C869C0" w:rsidRDefault="0077266D" w:rsidP="00AA287D">
      <w:pPr>
        <w:pStyle w:val="Heading2"/>
        <w:rPr>
          <w:lang w:val="es-ES_tradnl"/>
        </w:rPr>
      </w:pPr>
      <w:bookmarkStart w:id="96" w:name="_Toc211334013"/>
      <w:bookmarkStart w:id="97" w:name="_Toc404607185"/>
      <w:bookmarkStart w:id="98" w:name="_Toc406670398"/>
      <w:bookmarkStart w:id="99" w:name="_Toc447202528"/>
      <w:bookmarkStart w:id="100" w:name="_Toc447203013"/>
      <w:r w:rsidRPr="00C869C0">
        <w:rPr>
          <w:lang w:val="es-ES_tradnl"/>
        </w:rPr>
        <w:t>5.</w:t>
      </w:r>
      <w:r w:rsidR="006B56CA" w:rsidRPr="00C869C0">
        <w:rPr>
          <w:lang w:val="es-ES_tradnl"/>
        </w:rPr>
        <w:t>6</w:t>
      </w:r>
      <w:r w:rsidR="00E24E07" w:rsidRPr="00C869C0">
        <w:rPr>
          <w:lang w:val="es-ES_tradnl"/>
        </w:rPr>
        <w:tab/>
      </w:r>
      <w:r w:rsidRPr="00C869C0">
        <w:rPr>
          <w:lang w:val="es-ES_tradnl"/>
        </w:rPr>
        <w:t>Interpol</w:t>
      </w:r>
      <w:bookmarkEnd w:id="96"/>
      <w:bookmarkEnd w:id="97"/>
      <w:bookmarkEnd w:id="98"/>
      <w:bookmarkEnd w:id="99"/>
      <w:bookmarkEnd w:id="100"/>
    </w:p>
    <w:p w14:paraId="1A59A4A1" w14:textId="0BCE1963" w:rsidR="0077266D" w:rsidRDefault="0077266D" w:rsidP="00F16046">
      <w:pPr>
        <w:rPr>
          <w:lang w:val="es-ES_tradnl"/>
        </w:rPr>
      </w:pPr>
      <w:r w:rsidRPr="00256A6B">
        <w:rPr>
          <w:lang w:val="es-ES_tradnl"/>
        </w:rPr>
        <w:t xml:space="preserve">Interpol, </w:t>
      </w:r>
      <w:r w:rsidR="00AB2E43" w:rsidRPr="00256A6B">
        <w:rPr>
          <w:lang w:val="es-ES_tradnl"/>
        </w:rPr>
        <w:t xml:space="preserve">la organización internacional de la policía con 190 países miembros, creó </w:t>
      </w:r>
      <w:r w:rsidR="00097176" w:rsidRPr="00256A6B">
        <w:rPr>
          <w:lang w:val="es-ES_tradnl"/>
        </w:rPr>
        <w:t xml:space="preserve">en 2002 un </w:t>
      </w:r>
      <w:r w:rsidR="00E15E4A" w:rsidRPr="00256A6B">
        <w:rPr>
          <w:lang w:val="es-ES_tradnl"/>
        </w:rPr>
        <w:t xml:space="preserve">Grupo </w:t>
      </w:r>
      <w:r w:rsidR="00097176" w:rsidRPr="00256A6B">
        <w:rPr>
          <w:lang w:val="es-ES_tradnl"/>
        </w:rPr>
        <w:t xml:space="preserve">de acción dedicado a combatir </w:t>
      </w:r>
      <w:r w:rsidR="00F16046" w:rsidRPr="00256A6B">
        <w:rPr>
          <w:lang w:val="es-ES_tradnl"/>
        </w:rPr>
        <w:t>los delitos que atentan</w:t>
      </w:r>
      <w:r w:rsidR="00097176" w:rsidRPr="00256A6B">
        <w:rPr>
          <w:lang w:val="es-ES_tradnl"/>
        </w:rPr>
        <w:t xml:space="preserve"> contra la propiedad intelectual</w:t>
      </w:r>
      <w:r w:rsidRPr="00256A6B">
        <w:rPr>
          <w:lang w:val="es-ES_tradnl"/>
        </w:rPr>
        <w:t xml:space="preserve">. </w:t>
      </w:r>
      <w:r w:rsidR="00097176" w:rsidRPr="00256A6B">
        <w:rPr>
          <w:lang w:val="es-ES_tradnl"/>
        </w:rPr>
        <w:t>Este grupo apoya las operaciones regional</w:t>
      </w:r>
      <w:r w:rsidR="00F16046" w:rsidRPr="00256A6B">
        <w:rPr>
          <w:lang w:val="es-ES_tradnl"/>
        </w:rPr>
        <w:t>e</w:t>
      </w:r>
      <w:r w:rsidR="00097176" w:rsidRPr="00256A6B">
        <w:rPr>
          <w:lang w:val="es-ES_tradnl"/>
        </w:rPr>
        <w:t xml:space="preserve">s y mundiales para decomisar mercancías falsificadas, organiza cursos de formación </w:t>
      </w:r>
      <w:r w:rsidR="00F16046" w:rsidRPr="00256A6B">
        <w:rPr>
          <w:lang w:val="es-ES_tradnl"/>
        </w:rPr>
        <w:t>con el</w:t>
      </w:r>
      <w:r w:rsidRPr="00256A6B">
        <w:rPr>
          <w:lang w:val="es-ES_tradnl"/>
        </w:rPr>
        <w:t xml:space="preserve"> International IP Crime </w:t>
      </w:r>
      <w:r w:rsidR="00F16046" w:rsidRPr="00256A6B">
        <w:rPr>
          <w:lang w:val="es-ES_tradnl"/>
        </w:rPr>
        <w:t>Investigators College (IIPCIC) y</w:t>
      </w:r>
      <w:r w:rsidR="00785917" w:rsidRPr="00256A6B">
        <w:rPr>
          <w:lang w:val="es-ES_tradnl"/>
        </w:rPr>
        <w:t xml:space="preserve"> </w:t>
      </w:r>
      <w:r w:rsidR="00F16046" w:rsidRPr="00256A6B">
        <w:rPr>
          <w:lang w:val="es-ES_tradnl"/>
        </w:rPr>
        <w:t>ha creado una base de datos relativa a los delitos internacionales c</w:t>
      </w:r>
      <w:r w:rsidR="00E24E07" w:rsidRPr="00256A6B">
        <w:rPr>
          <w:lang w:val="es-ES_tradnl"/>
        </w:rPr>
        <w:t>ontra la propiedad intelectual.</w:t>
      </w:r>
    </w:p>
    <w:p w14:paraId="608936AD" w14:textId="705EE0D1" w:rsidR="00533114" w:rsidRPr="007956D3" w:rsidRDefault="00533114" w:rsidP="00C142FB">
      <w:pPr>
        <w:pStyle w:val="Heading2"/>
        <w:rPr>
          <w:lang w:val="es-ES_tradnl"/>
        </w:rPr>
      </w:pPr>
      <w:bookmarkStart w:id="101" w:name="_Toc211334014"/>
      <w:bookmarkStart w:id="102" w:name="_Toc404607186"/>
      <w:bookmarkStart w:id="103" w:name="_Toc406670399"/>
      <w:bookmarkStart w:id="104" w:name="_Toc447202529"/>
      <w:bookmarkStart w:id="105" w:name="_Toc447203014"/>
      <w:r w:rsidRPr="007956D3">
        <w:rPr>
          <w:lang w:val="es-ES_tradnl"/>
        </w:rPr>
        <w:t>5.7</w:t>
      </w:r>
      <w:r>
        <w:rPr>
          <w:lang w:val="es-ES_tradnl"/>
        </w:rPr>
        <w:tab/>
      </w:r>
      <w:r w:rsidRPr="007956D3">
        <w:rPr>
          <w:lang w:val="es-ES_tradnl"/>
        </w:rPr>
        <w:t>Comisión Econ</w:t>
      </w:r>
      <w:r>
        <w:rPr>
          <w:lang w:val="es-ES_tradnl"/>
        </w:rPr>
        <w:t>ómica de las Naciones Unidas para Europa (CEP</w:t>
      </w:r>
      <w:r w:rsidRPr="007956D3">
        <w:rPr>
          <w:lang w:val="es-ES_tradnl"/>
        </w:rPr>
        <w:t>E)</w:t>
      </w:r>
      <w:bookmarkEnd w:id="101"/>
      <w:bookmarkEnd w:id="102"/>
      <w:bookmarkEnd w:id="103"/>
      <w:bookmarkEnd w:id="104"/>
      <w:bookmarkEnd w:id="105"/>
    </w:p>
    <w:p w14:paraId="0B037BC5" w14:textId="77777777" w:rsidR="00533114" w:rsidRPr="00B10A07" w:rsidRDefault="00533114" w:rsidP="00C142FB">
      <w:pPr>
        <w:rPr>
          <w:lang w:val="es-ES_tradnl"/>
        </w:rPr>
      </w:pPr>
      <w:r w:rsidRPr="00B10A07">
        <w:rPr>
          <w:lang w:val="es-ES_tradnl"/>
        </w:rPr>
        <w:t>El Grupo de Trabajo de la CEPE</w:t>
      </w:r>
      <w:r>
        <w:rPr>
          <w:lang w:val="es-ES_tradnl"/>
        </w:rPr>
        <w:t xml:space="preserve"> </w:t>
      </w:r>
      <w:r w:rsidRPr="00B10A07">
        <w:rPr>
          <w:lang w:val="es-ES_tradnl"/>
        </w:rPr>
        <w:t>sobre cooperación en materia</w:t>
      </w:r>
      <w:r>
        <w:rPr>
          <w:lang w:val="es-ES_tradnl"/>
        </w:rPr>
        <w:t xml:space="preserve"> </w:t>
      </w:r>
      <w:r w:rsidRPr="00B10A07">
        <w:rPr>
          <w:lang w:val="es-ES_tradnl"/>
        </w:rPr>
        <w:t>de reglamentación y políticas de normalización (GT.6) ha creado un grupo asesor</w:t>
      </w:r>
      <w:r>
        <w:rPr>
          <w:lang w:val="es-ES_tradnl"/>
        </w:rPr>
        <w:t xml:space="preserve"> sobre vigilancia del m</w:t>
      </w:r>
      <w:r w:rsidRPr="00B10A07">
        <w:rPr>
          <w:lang w:val="es-ES_tradnl"/>
        </w:rPr>
        <w:t>ercado (grupo MARS) que pretende alentar a los estados miembros a que coordinen sus esfuerzos par</w:t>
      </w:r>
      <w:r>
        <w:rPr>
          <w:lang w:val="es-ES_tradnl"/>
        </w:rPr>
        <w:t>a</w:t>
      </w:r>
      <w:r w:rsidRPr="00B10A07">
        <w:rPr>
          <w:lang w:val="es-ES_tradnl"/>
        </w:rPr>
        <w:t xml:space="preserve"> </w:t>
      </w:r>
      <w:r>
        <w:rPr>
          <w:lang w:val="es-ES_tradnl"/>
        </w:rPr>
        <w:t>reducir</w:t>
      </w:r>
      <w:r w:rsidRPr="00B10A07">
        <w:rPr>
          <w:lang w:val="es-ES_tradnl"/>
        </w:rPr>
        <w:t xml:space="preserve"> el problema de </w:t>
      </w:r>
      <w:r>
        <w:rPr>
          <w:lang w:val="es-ES_tradnl"/>
        </w:rPr>
        <w:t>las mercancías</w:t>
      </w:r>
      <w:r w:rsidRPr="00B10A07">
        <w:rPr>
          <w:lang w:val="es-ES_tradnl"/>
        </w:rPr>
        <w:t xml:space="preserve"> falsifica</w:t>
      </w:r>
      <w:r>
        <w:rPr>
          <w:lang w:val="es-ES_tradnl"/>
        </w:rPr>
        <w:t xml:space="preserve">das. </w:t>
      </w:r>
      <w:r w:rsidRPr="00B10A07">
        <w:rPr>
          <w:lang w:val="es-ES_tradnl"/>
        </w:rPr>
        <w:t>Han elaborado la Recomendación M</w:t>
      </w:r>
      <w:r>
        <w:rPr>
          <w:lang w:val="es-ES_tradnl"/>
        </w:rPr>
        <w:t>.</w:t>
      </w:r>
      <w:r w:rsidRPr="00B10A07">
        <w:rPr>
          <w:lang w:val="es-ES_tradnl"/>
        </w:rPr>
        <w:t xml:space="preserve"> sobre el </w:t>
      </w:r>
      <w:r>
        <w:rPr>
          <w:lang w:val="es-ES_tradnl"/>
        </w:rPr>
        <w:t>"</w:t>
      </w:r>
      <w:r w:rsidRPr="00B10A07">
        <w:rPr>
          <w:lang w:val="es-ES_tradnl"/>
        </w:rPr>
        <w:t>Uso de inf</w:t>
      </w:r>
      <w:r>
        <w:rPr>
          <w:lang w:val="es-ES_tradnl"/>
        </w:rPr>
        <w:t>raestructuras de vigilancia del</w:t>
      </w:r>
      <w:r w:rsidRPr="00B10A07">
        <w:rPr>
          <w:lang w:val="es-ES_tradnl"/>
        </w:rPr>
        <w:t xml:space="preserve"> </w:t>
      </w:r>
      <w:r>
        <w:rPr>
          <w:lang w:val="es-ES_tradnl"/>
        </w:rPr>
        <w:t>m</w:t>
      </w:r>
      <w:r w:rsidRPr="00B10A07">
        <w:rPr>
          <w:lang w:val="es-ES_tradnl"/>
        </w:rPr>
        <w:t>ercado como medio complementario para proteger a los consumidores y usuarios contra las mercancías falsificadas</w:t>
      </w:r>
      <w:r>
        <w:rPr>
          <w:lang w:val="es-ES_tradnl"/>
        </w:rPr>
        <w:t>"</w:t>
      </w:r>
      <w:r w:rsidRPr="00B10A07">
        <w:rPr>
          <w:lang w:val="es-ES_tradnl"/>
        </w:rPr>
        <w:t xml:space="preserve"> [18].</w:t>
      </w:r>
    </w:p>
    <w:p w14:paraId="1FAFDDC7" w14:textId="5182255D" w:rsidR="00533114" w:rsidRPr="00B10A07" w:rsidRDefault="00533114" w:rsidP="00C142FB">
      <w:pPr>
        <w:pStyle w:val="Heading2"/>
        <w:rPr>
          <w:lang w:val="es-ES_tradnl"/>
        </w:rPr>
      </w:pPr>
      <w:bookmarkStart w:id="106" w:name="_Toc211334015"/>
      <w:bookmarkStart w:id="107" w:name="_Toc404607187"/>
      <w:bookmarkStart w:id="108" w:name="_Toc406670400"/>
      <w:bookmarkStart w:id="109" w:name="_Toc447202530"/>
      <w:bookmarkStart w:id="110" w:name="_Toc447203015"/>
      <w:r w:rsidRPr="00B10A07">
        <w:rPr>
          <w:lang w:val="es-ES_tradnl"/>
        </w:rPr>
        <w:t>5.8</w:t>
      </w:r>
      <w:r>
        <w:rPr>
          <w:lang w:val="es-ES_tradnl"/>
        </w:rPr>
        <w:tab/>
      </w:r>
      <w:r w:rsidRPr="00B10A07">
        <w:rPr>
          <w:lang w:val="es-ES_tradnl"/>
        </w:rPr>
        <w:t>Iniciativas nacionales</w:t>
      </w:r>
      <w:r>
        <w:rPr>
          <w:lang w:val="es-ES_tradnl"/>
        </w:rPr>
        <w:t xml:space="preserve"> (algunos ejemplos</w:t>
      </w:r>
      <w:r w:rsidRPr="00B10A07">
        <w:rPr>
          <w:lang w:val="es-ES_tradnl"/>
        </w:rPr>
        <w:t>)</w:t>
      </w:r>
      <w:bookmarkEnd w:id="106"/>
      <w:bookmarkEnd w:id="107"/>
      <w:bookmarkEnd w:id="108"/>
      <w:bookmarkEnd w:id="109"/>
      <w:bookmarkEnd w:id="110"/>
    </w:p>
    <w:p w14:paraId="38DBF163" w14:textId="64483B17" w:rsidR="00533114" w:rsidRPr="00B10A07" w:rsidRDefault="00533114" w:rsidP="00C142FB">
      <w:pPr>
        <w:pStyle w:val="Heading3"/>
        <w:rPr>
          <w:lang w:val="es-ES_tradnl"/>
        </w:rPr>
      </w:pPr>
      <w:bookmarkStart w:id="111" w:name="_Toc211334016"/>
      <w:bookmarkStart w:id="112" w:name="_Toc404607188"/>
      <w:bookmarkStart w:id="113" w:name="_Toc447202531"/>
      <w:r w:rsidRPr="00B10A07">
        <w:rPr>
          <w:lang w:val="es-ES_tradnl"/>
        </w:rPr>
        <w:t>5.8.1</w:t>
      </w:r>
      <w:r>
        <w:rPr>
          <w:lang w:val="es-ES_tradnl"/>
        </w:rPr>
        <w:tab/>
      </w:r>
      <w:r w:rsidRPr="00B10A07">
        <w:rPr>
          <w:lang w:val="es-ES_tradnl"/>
        </w:rPr>
        <w:t>Franc</w:t>
      </w:r>
      <w:bookmarkEnd w:id="111"/>
      <w:bookmarkEnd w:id="112"/>
      <w:r w:rsidRPr="00B10A07">
        <w:rPr>
          <w:lang w:val="es-ES_tradnl"/>
        </w:rPr>
        <w:t>ia</w:t>
      </w:r>
      <w:bookmarkEnd w:id="113"/>
    </w:p>
    <w:p w14:paraId="68C8317D" w14:textId="77777777" w:rsidR="00533114" w:rsidRPr="00B10A07" w:rsidRDefault="00533114" w:rsidP="00C142FB">
      <w:pPr>
        <w:rPr>
          <w:lang w:val="es-ES_tradnl"/>
        </w:rPr>
      </w:pPr>
      <w:r w:rsidRPr="00B10A07">
        <w:rPr>
          <w:lang w:val="es-ES_tradnl"/>
        </w:rPr>
        <w:t>El CNAC (</w:t>
      </w:r>
      <w:r w:rsidRPr="00B10A07">
        <w:rPr>
          <w:i/>
          <w:iCs/>
          <w:lang w:val="es-ES_tradnl"/>
        </w:rPr>
        <w:t>Comité National Anti Contrefaçon</w:t>
      </w:r>
      <w:r w:rsidRPr="00B10A07">
        <w:rPr>
          <w:lang w:val="es-ES_tradnl"/>
        </w:rPr>
        <w:t>) es el comité nacional franc</w:t>
      </w:r>
      <w:r>
        <w:rPr>
          <w:lang w:val="es-ES_tradnl"/>
        </w:rPr>
        <w:t>és contra la falsificación</w:t>
      </w:r>
      <w:r w:rsidRPr="00B10A07">
        <w:rPr>
          <w:lang w:val="es-ES_tradnl"/>
        </w:rPr>
        <w:t xml:space="preserve"> </w:t>
      </w:r>
      <w:hyperlink r:id="rId40" w:history="1">
        <w:r w:rsidRPr="00B10A07">
          <w:rPr>
            <w:rStyle w:val="Hyperlink"/>
            <w:lang w:val="es-ES_tradnl"/>
          </w:rPr>
          <w:t>http://www.industrie.gouv.fr/enjeux/pi/cnac.php</w:t>
        </w:r>
      </w:hyperlink>
      <w:r w:rsidRPr="00B10A07">
        <w:rPr>
          <w:lang w:val="es-ES_tradnl"/>
        </w:rPr>
        <w:t xml:space="preserve"> </w:t>
      </w:r>
    </w:p>
    <w:p w14:paraId="631F7009" w14:textId="0463D42B" w:rsidR="00533114" w:rsidRDefault="00533114">
      <w:r>
        <w:rPr>
          <w:lang w:val="es-ES_tradnl"/>
        </w:rPr>
        <w:t>y</w:t>
      </w:r>
      <w:r w:rsidRPr="00B10A07">
        <w:rPr>
          <w:lang w:val="es-ES_tradnl"/>
        </w:rPr>
        <w:t xml:space="preserve"> el INPI (</w:t>
      </w:r>
      <w:r w:rsidRPr="00B10A07">
        <w:rPr>
          <w:i/>
          <w:iCs/>
          <w:lang w:val="es-ES_tradnl"/>
        </w:rPr>
        <w:t>Institut National pour la Propriété Industrielle</w:t>
      </w:r>
      <w:r w:rsidRPr="00B10A07">
        <w:rPr>
          <w:lang w:val="es-ES_tradnl"/>
        </w:rPr>
        <w:t xml:space="preserve">) es el instituto nacional para la propiedad industrial </w:t>
      </w:r>
      <w:hyperlink r:id="rId41" w:history="1">
        <w:r w:rsidR="007F4892" w:rsidRPr="00876CDA">
          <w:rPr>
            <w:rStyle w:val="Hyperlink"/>
            <w:lang w:val="es-ES_tradnl"/>
          </w:rPr>
          <w:t>http://www.inpi.fr/fr/accueil.html</w:t>
        </w:r>
      </w:hyperlink>
      <w:r w:rsidRPr="00B10A07">
        <w:rPr>
          <w:lang w:val="es-ES_tradnl"/>
        </w:rPr>
        <w:t>. El Ministerio de Finanzas (</w:t>
      </w:r>
      <w:r w:rsidRPr="00B10A07">
        <w:rPr>
          <w:i/>
          <w:iCs/>
          <w:lang w:val="es-ES_tradnl"/>
        </w:rPr>
        <w:t>Ministère de l’économie et des finances</w:t>
      </w:r>
      <w:r w:rsidRPr="00B10A07">
        <w:rPr>
          <w:lang w:val="es-ES_tradnl"/>
        </w:rPr>
        <w:t>) también está implicado en las actividades contra la falsificaci</w:t>
      </w:r>
      <w:r>
        <w:rPr>
          <w:lang w:val="es-ES_tradnl"/>
        </w:rPr>
        <w:t>ón</w:t>
      </w:r>
      <w:r w:rsidRPr="00B10A07">
        <w:rPr>
          <w:lang w:val="es-ES_tradnl"/>
        </w:rPr>
        <w:t xml:space="preserve">. </w:t>
      </w:r>
      <w:hyperlink r:id="rId42" w:history="1">
        <w:r w:rsidRPr="00EB58F3">
          <w:rPr>
            <w:rStyle w:val="Hyperlink"/>
          </w:rPr>
          <w:t>http://www.economie.gouv.fr/signature-deux-nouvelles-chartes-lutte-contre-contrefacon-sur-internet</w:t>
        </w:r>
      </w:hyperlink>
    </w:p>
    <w:p w14:paraId="4819EB20" w14:textId="1615DB8B" w:rsidR="00533114" w:rsidRPr="00477007" w:rsidRDefault="00533114" w:rsidP="00C142FB">
      <w:pPr>
        <w:pStyle w:val="Heading3"/>
        <w:rPr>
          <w:lang w:val="es-ES_tradnl"/>
        </w:rPr>
      </w:pPr>
      <w:bookmarkStart w:id="114" w:name="_Toc211334017"/>
      <w:bookmarkStart w:id="115" w:name="_Toc404607189"/>
      <w:bookmarkStart w:id="116" w:name="_Toc447202532"/>
      <w:r w:rsidRPr="00477007">
        <w:rPr>
          <w:lang w:val="es-ES_tradnl"/>
        </w:rPr>
        <w:lastRenderedPageBreak/>
        <w:t>5.8.2</w:t>
      </w:r>
      <w:r>
        <w:rPr>
          <w:lang w:val="es-ES_tradnl"/>
        </w:rPr>
        <w:tab/>
      </w:r>
      <w:r w:rsidRPr="00477007">
        <w:rPr>
          <w:lang w:val="es-ES_tradnl"/>
        </w:rPr>
        <w:t>Oficina de la propiedad intelectual del R</w:t>
      </w:r>
      <w:bookmarkEnd w:id="114"/>
      <w:bookmarkEnd w:id="115"/>
      <w:r w:rsidRPr="00477007">
        <w:rPr>
          <w:lang w:val="es-ES_tradnl"/>
        </w:rPr>
        <w:t>eino Unido</w:t>
      </w:r>
      <w:bookmarkEnd w:id="116"/>
    </w:p>
    <w:p w14:paraId="255E0D02" w14:textId="77777777" w:rsidR="00533114" w:rsidRPr="00477007" w:rsidRDefault="00533114" w:rsidP="00C142FB">
      <w:pPr>
        <w:rPr>
          <w:lang w:val="es-ES_tradnl"/>
        </w:rPr>
      </w:pPr>
      <w:r w:rsidRPr="009E0D81">
        <w:rPr>
          <w:lang w:val="es-ES_tradnl"/>
        </w:rPr>
        <w:t xml:space="preserve">La oficina de la propiedad intelectual del </w:t>
      </w:r>
      <w:r>
        <w:rPr>
          <w:lang w:val="es-ES_tradnl"/>
        </w:rPr>
        <w:t>G</w:t>
      </w:r>
      <w:r w:rsidRPr="009E0D81">
        <w:rPr>
          <w:lang w:val="es-ES_tradnl"/>
        </w:rPr>
        <w:t>obierno del Reino Unido cre</w:t>
      </w:r>
      <w:r>
        <w:rPr>
          <w:lang w:val="es-ES_tradnl"/>
        </w:rPr>
        <w:t>ó el Grupo de delitos contra la propiedad intelectual en 2004. Elabora un informe anual sobre los delitos contra la propiedad intelectual y también ha proporcionado una herramienta para la cadena de suministro</w:t>
      </w:r>
      <w:r w:rsidRPr="009E0D81">
        <w:rPr>
          <w:lang w:val="es-ES_tradnl"/>
        </w:rPr>
        <w:t xml:space="preserve"> </w:t>
      </w:r>
      <w:r w:rsidRPr="003A2E7E">
        <w:rPr>
          <w:lang w:val="es-ES_tradnl"/>
        </w:rPr>
        <w:t>[19]. El Reino Unido dispone también de un Ministerio para la propiedad intelectual.</w:t>
      </w:r>
      <w:r>
        <w:rPr>
          <w:lang w:val="es-ES_tradnl"/>
        </w:rPr>
        <w:t xml:space="preserve"> </w:t>
      </w:r>
    </w:p>
    <w:p w14:paraId="2425CC29" w14:textId="634FAAB1" w:rsidR="00533114" w:rsidRPr="007D72C4" w:rsidRDefault="00533114" w:rsidP="00C142FB">
      <w:pPr>
        <w:pStyle w:val="Heading3"/>
        <w:rPr>
          <w:lang w:val="es-ES_tradnl"/>
        </w:rPr>
      </w:pPr>
      <w:bookmarkStart w:id="117" w:name="_Toc211334018"/>
      <w:bookmarkStart w:id="118" w:name="_Toc404607190"/>
      <w:bookmarkStart w:id="119" w:name="_Toc447202533"/>
      <w:r w:rsidRPr="007D72C4">
        <w:rPr>
          <w:lang w:val="es-ES_tradnl"/>
        </w:rPr>
        <w:t>5.8.3</w:t>
      </w:r>
      <w:r>
        <w:rPr>
          <w:lang w:val="es-ES_tradnl"/>
        </w:rPr>
        <w:tab/>
      </w:r>
      <w:r w:rsidRPr="007D72C4">
        <w:rPr>
          <w:lang w:val="es-ES_tradnl"/>
        </w:rPr>
        <w:t>Agencia contra la falsificación de Ken</w:t>
      </w:r>
      <w:r>
        <w:rPr>
          <w:lang w:val="es-ES_tradnl"/>
        </w:rPr>
        <w:t>y</w:t>
      </w:r>
      <w:r w:rsidRPr="007D72C4">
        <w:rPr>
          <w:lang w:val="es-ES_tradnl"/>
        </w:rPr>
        <w:t>a</w:t>
      </w:r>
      <w:bookmarkEnd w:id="117"/>
      <w:bookmarkEnd w:id="118"/>
      <w:bookmarkEnd w:id="119"/>
    </w:p>
    <w:p w14:paraId="591610D8" w14:textId="77777777" w:rsidR="00533114" w:rsidRPr="007248C7" w:rsidRDefault="00533114" w:rsidP="00C142FB">
      <w:pPr>
        <w:rPr>
          <w:lang w:val="es-ES_tradnl"/>
        </w:rPr>
      </w:pPr>
      <w:r w:rsidRPr="007248C7">
        <w:rPr>
          <w:lang w:val="es-ES_tradnl"/>
        </w:rPr>
        <w:t xml:space="preserve">El Parlamento de </w:t>
      </w:r>
      <w:r>
        <w:rPr>
          <w:lang w:val="es-ES_tradnl"/>
        </w:rPr>
        <w:t>Keny</w:t>
      </w:r>
      <w:r w:rsidRPr="007248C7">
        <w:rPr>
          <w:lang w:val="es-ES_tradnl"/>
        </w:rPr>
        <w:t>a aprobó la ley contra la falsificaci</w:t>
      </w:r>
      <w:r>
        <w:rPr>
          <w:lang w:val="es-ES_tradnl"/>
        </w:rPr>
        <w:t>ón</w:t>
      </w:r>
      <w:r w:rsidRPr="007248C7">
        <w:rPr>
          <w:lang w:val="es-ES_tradnl"/>
        </w:rPr>
        <w:t xml:space="preserve"> (N</w:t>
      </w:r>
      <w:r>
        <w:rPr>
          <w:lang w:val="es-ES_tradnl"/>
        </w:rPr>
        <w:t xml:space="preserve">º </w:t>
      </w:r>
      <w:r w:rsidRPr="007248C7">
        <w:rPr>
          <w:lang w:val="es-ES_tradnl"/>
        </w:rPr>
        <w:t xml:space="preserve">13) </w:t>
      </w:r>
      <w:r>
        <w:rPr>
          <w:lang w:val="es-ES_tradnl"/>
        </w:rPr>
        <w:t>en</w:t>
      </w:r>
      <w:r w:rsidRPr="007248C7">
        <w:rPr>
          <w:lang w:val="es-ES_tradnl"/>
        </w:rPr>
        <w:t xml:space="preserve"> 2008. Esta ley prohíbe el comercio de mercancías falsificadas y también crea la Agencia contra la falsificaci</w:t>
      </w:r>
      <w:r>
        <w:rPr>
          <w:lang w:val="es-ES_tradnl"/>
        </w:rPr>
        <w:t>ón</w:t>
      </w:r>
      <w:r w:rsidRPr="007248C7">
        <w:rPr>
          <w:lang w:val="es-ES_tradnl"/>
        </w:rPr>
        <w:t xml:space="preserve"> [20]. </w:t>
      </w:r>
    </w:p>
    <w:p w14:paraId="3E91010A" w14:textId="4E4E9FBA" w:rsidR="00533114" w:rsidRPr="007D72C4" w:rsidRDefault="00533114" w:rsidP="00C142FB">
      <w:pPr>
        <w:pStyle w:val="Heading3"/>
        <w:rPr>
          <w:lang w:val="es-ES_tradnl"/>
        </w:rPr>
      </w:pPr>
      <w:bookmarkStart w:id="120" w:name="_Toc447202534"/>
      <w:r w:rsidRPr="007D72C4">
        <w:rPr>
          <w:lang w:val="es-ES_tradnl"/>
        </w:rPr>
        <w:t>5.8.4</w:t>
      </w:r>
      <w:r>
        <w:rPr>
          <w:lang w:val="es-ES_tradnl"/>
        </w:rPr>
        <w:tab/>
      </w:r>
      <w:r w:rsidRPr="007D72C4">
        <w:rPr>
          <w:lang w:val="es-ES_tradnl"/>
        </w:rPr>
        <w:t>US – Comisión conjunta sobre comercio y transacciones comerciales de China</w:t>
      </w:r>
      <w:bookmarkEnd w:id="120"/>
    </w:p>
    <w:p w14:paraId="5BE1BCEA" w14:textId="77777777" w:rsidR="00533114" w:rsidRPr="0017542E" w:rsidRDefault="00533114" w:rsidP="00C142FB">
      <w:r>
        <w:rPr>
          <w:lang w:val="es-ES_tradnl"/>
        </w:rPr>
        <w:t>Los Estados Unidos y C</w:t>
      </w:r>
      <w:r w:rsidRPr="007248C7">
        <w:rPr>
          <w:lang w:val="es-ES_tradnl"/>
        </w:rPr>
        <w:t>hina han establecido</w:t>
      </w:r>
      <w:r>
        <w:rPr>
          <w:lang w:val="es-ES_tradnl"/>
        </w:rPr>
        <w:t xml:space="preserve"> una C</w:t>
      </w:r>
      <w:r w:rsidRPr="007248C7">
        <w:rPr>
          <w:lang w:val="es-ES_tradnl"/>
        </w:rPr>
        <w:t>omisi</w:t>
      </w:r>
      <w:r>
        <w:rPr>
          <w:lang w:val="es-ES_tradnl"/>
        </w:rPr>
        <w:t xml:space="preserve">ón conjunta sobre comercio. </w:t>
      </w:r>
      <w:r w:rsidRPr="007248C7">
        <w:rPr>
          <w:lang w:val="es-ES_tradnl"/>
        </w:rPr>
        <w:t xml:space="preserve">En su vigesimocuarta reunión en diciembre de 2013, el grupo nacional rector de China en materia </w:t>
      </w:r>
      <w:r>
        <w:rPr>
          <w:lang w:val="es-ES_tradnl"/>
        </w:rPr>
        <w:t>de lucha contra la infracción de los derechos de propiedad intelectual y el grupo sobre fabricación y venta de mercancías falsificadas y de baja calidad se comprometieron a adoptar un plan de acción en 2014 que incluyera la sensibilización de la población, los requisitos para el cumplimiento de todas las leyes y reglamentos relativos a la protección de la propiedad intelectual y las políticas de observancia de la ley</w:t>
      </w:r>
      <w:r w:rsidRPr="00302AD1">
        <w:rPr>
          <w:lang w:val="es-ES_tradnl"/>
        </w:rPr>
        <w:t xml:space="preserve">. </w:t>
      </w:r>
      <w:hyperlink r:id="rId43" w:history="1">
        <w:r w:rsidRPr="00A739D7">
          <w:rPr>
            <w:rStyle w:val="Hyperlink"/>
          </w:rPr>
          <w:t>www.commerce.gov/news/fact-sheets/2013/12/20/fact-sheet-24th-us-china-joint-commission-commerce-and-trade-fact-sheet</w:t>
        </w:r>
      </w:hyperlink>
      <w:r>
        <w:t xml:space="preserve"> </w:t>
      </w:r>
    </w:p>
    <w:p w14:paraId="7E194681" w14:textId="16D48593" w:rsidR="00533114" w:rsidRPr="00302AD1" w:rsidRDefault="00533114" w:rsidP="00C142FB">
      <w:pPr>
        <w:pStyle w:val="Heading1"/>
        <w:rPr>
          <w:lang w:val="es-ES_tradnl"/>
        </w:rPr>
      </w:pPr>
      <w:bookmarkStart w:id="121" w:name="_Toc200180734"/>
      <w:bookmarkStart w:id="122" w:name="_Toc200181302"/>
      <w:bookmarkStart w:id="123" w:name="_Toc211334019"/>
      <w:bookmarkStart w:id="124" w:name="_Toc404607191"/>
      <w:bookmarkStart w:id="125" w:name="_Toc406670401"/>
      <w:bookmarkStart w:id="126" w:name="_Toc447202535"/>
      <w:bookmarkStart w:id="127" w:name="_Toc447203016"/>
      <w:r w:rsidRPr="00302AD1">
        <w:rPr>
          <w:lang w:val="es-ES_tradnl"/>
        </w:rPr>
        <w:t>6</w:t>
      </w:r>
      <w:r>
        <w:rPr>
          <w:lang w:val="es-ES_tradnl"/>
        </w:rPr>
        <w:tab/>
      </w:r>
      <w:r w:rsidRPr="00302AD1">
        <w:rPr>
          <w:lang w:val="es-ES_tradnl"/>
        </w:rPr>
        <w:t>Foros de la industria contra la falsificaci</w:t>
      </w:r>
      <w:r>
        <w:rPr>
          <w:lang w:val="es-ES_tradnl"/>
        </w:rPr>
        <w:t>ón</w:t>
      </w:r>
      <w:bookmarkEnd w:id="121"/>
      <w:bookmarkEnd w:id="122"/>
      <w:bookmarkEnd w:id="123"/>
      <w:bookmarkEnd w:id="124"/>
      <w:bookmarkEnd w:id="125"/>
      <w:bookmarkEnd w:id="126"/>
      <w:bookmarkEnd w:id="127"/>
    </w:p>
    <w:p w14:paraId="2AB2B97A" w14:textId="77777777" w:rsidR="00533114" w:rsidRPr="00EC374D" w:rsidRDefault="00533114" w:rsidP="00C142FB">
      <w:pPr>
        <w:rPr>
          <w:lang w:val="es-ES_tradnl"/>
        </w:rPr>
      </w:pPr>
      <w:r>
        <w:rPr>
          <w:lang w:val="es-ES_tradnl"/>
        </w:rPr>
        <w:t>Las empres</w:t>
      </w:r>
      <w:r w:rsidRPr="00302AD1">
        <w:rPr>
          <w:lang w:val="es-ES_tradnl"/>
        </w:rPr>
        <w:t>as han reaccionado ante el problema de la falsificación mediante la creaci</w:t>
      </w:r>
      <w:r>
        <w:rPr>
          <w:lang w:val="es-ES_tradnl"/>
        </w:rPr>
        <w:t xml:space="preserve">ón de foros para defender sus intereses. </w:t>
      </w:r>
      <w:r w:rsidRPr="00EC374D">
        <w:rPr>
          <w:lang w:val="es-ES_tradnl"/>
        </w:rPr>
        <w:t>Estos foros facilitan información sobre la amplitud del problema, sugieren formas de reducir los efectos de la falsificaci</w:t>
      </w:r>
      <w:r>
        <w:rPr>
          <w:lang w:val="es-ES_tradnl"/>
        </w:rPr>
        <w:t>ón y colaboran con los gobiernos y con organizaciones internacionales para tomar medidas contra la falsificación</w:t>
      </w:r>
      <w:r w:rsidRPr="00EC374D">
        <w:rPr>
          <w:lang w:val="es-ES_tradnl"/>
        </w:rPr>
        <w:t xml:space="preserve">. </w:t>
      </w:r>
    </w:p>
    <w:p w14:paraId="2582457A" w14:textId="7FE4E69A" w:rsidR="00533114" w:rsidRPr="00EC374D" w:rsidRDefault="00533114" w:rsidP="00C142FB">
      <w:pPr>
        <w:pStyle w:val="Heading2"/>
        <w:rPr>
          <w:lang w:val="es-ES_tradnl"/>
        </w:rPr>
      </w:pPr>
      <w:bookmarkStart w:id="128" w:name="_Toc211334020"/>
      <w:bookmarkStart w:id="129" w:name="_Toc404607192"/>
      <w:bookmarkStart w:id="130" w:name="_Toc406670402"/>
      <w:bookmarkStart w:id="131" w:name="_Toc447202536"/>
      <w:bookmarkStart w:id="132" w:name="_Toc447203017"/>
      <w:r w:rsidRPr="00EC374D">
        <w:rPr>
          <w:lang w:val="es-ES_tradnl"/>
        </w:rPr>
        <w:t>6.1</w:t>
      </w:r>
      <w:r>
        <w:rPr>
          <w:lang w:val="es-ES_tradnl"/>
        </w:rPr>
        <w:tab/>
      </w:r>
      <w:r w:rsidRPr="00EC374D">
        <w:rPr>
          <w:lang w:val="es-ES_tradnl"/>
        </w:rPr>
        <w:t>Cámara de Comercio Internacional (CCI)</w:t>
      </w:r>
      <w:bookmarkEnd w:id="128"/>
      <w:bookmarkEnd w:id="129"/>
      <w:bookmarkEnd w:id="130"/>
      <w:bookmarkEnd w:id="131"/>
      <w:bookmarkEnd w:id="132"/>
    </w:p>
    <w:p w14:paraId="11B03017" w14:textId="77777777" w:rsidR="00533114" w:rsidRPr="000C09FC" w:rsidRDefault="00533114" w:rsidP="00C142FB">
      <w:pPr>
        <w:rPr>
          <w:lang w:val="es-ES_tradnl"/>
        </w:rPr>
      </w:pPr>
      <w:r w:rsidRPr="00EC374D">
        <w:rPr>
          <w:lang w:val="es-ES_tradnl"/>
        </w:rPr>
        <w:t>La CCI representa a las empresas de</w:t>
      </w:r>
      <w:r>
        <w:rPr>
          <w:lang w:val="es-ES_tradnl"/>
        </w:rPr>
        <w:t xml:space="preserve"> todo el</w:t>
      </w:r>
      <w:r w:rsidRPr="00EC374D">
        <w:rPr>
          <w:lang w:val="es-ES_tradnl"/>
        </w:rPr>
        <w:t xml:space="preserve"> mundo</w:t>
      </w:r>
      <w:r>
        <w:rPr>
          <w:lang w:val="es-ES_tradnl"/>
        </w:rPr>
        <w:t xml:space="preserve">. Son miembros miles de empresas y asociaciones de cerca de 120 países. </w:t>
      </w:r>
      <w:r w:rsidRPr="00C17091">
        <w:rPr>
          <w:lang w:val="es-ES_tradnl"/>
        </w:rPr>
        <w:t xml:space="preserve">Actúa en </w:t>
      </w:r>
      <w:r>
        <w:rPr>
          <w:lang w:val="es-ES_tradnl"/>
        </w:rPr>
        <w:t>nombre de las empresas</w:t>
      </w:r>
      <w:r w:rsidRPr="00C17091">
        <w:rPr>
          <w:lang w:val="es-ES_tradnl"/>
        </w:rPr>
        <w:t xml:space="preserve"> </w:t>
      </w:r>
      <w:r>
        <w:rPr>
          <w:lang w:val="es-ES_tradnl"/>
        </w:rPr>
        <w:t xml:space="preserve">creando representaciones ante los gobiernos y organizaciones intergubernamentales. </w:t>
      </w:r>
      <w:r w:rsidRPr="00C17091">
        <w:rPr>
          <w:lang w:val="es-ES_tradnl"/>
        </w:rPr>
        <w:t xml:space="preserve">La CCI se fundó en 1919 y creó el Tribunal Internacional de Arbitraje de </w:t>
      </w:r>
      <w:r>
        <w:rPr>
          <w:lang w:val="es-ES_tradnl"/>
        </w:rPr>
        <w:t>la CCI</w:t>
      </w:r>
      <w:r w:rsidRPr="00C17091">
        <w:rPr>
          <w:lang w:val="es-ES_tradnl"/>
        </w:rPr>
        <w:t xml:space="preserve"> </w:t>
      </w:r>
      <w:r>
        <w:rPr>
          <w:lang w:val="es-ES_tradnl"/>
        </w:rPr>
        <w:t xml:space="preserve">en 1923. </w:t>
      </w:r>
    </w:p>
    <w:p w14:paraId="2F31A2DF" w14:textId="77777777" w:rsidR="00533114" w:rsidRPr="00922AD7" w:rsidRDefault="00533114" w:rsidP="00C142FB">
      <w:pPr>
        <w:rPr>
          <w:lang w:val="es-ES_tradnl"/>
        </w:rPr>
      </w:pPr>
      <w:r w:rsidRPr="00922AD7">
        <w:rPr>
          <w:lang w:val="es-ES_tradnl"/>
        </w:rPr>
        <w:t xml:space="preserve">La CCI estableció la Oficina de información sobre falsificación en 1985 y, recientemente, la </w:t>
      </w:r>
      <w:r w:rsidRPr="00922AD7">
        <w:rPr>
          <w:color w:val="000000"/>
          <w:lang w:val="es-ES_tradnl"/>
        </w:rPr>
        <w:t>iniciativa de lucha contra la falsificación y la piratería</w:t>
      </w:r>
      <w:r w:rsidRPr="00922AD7">
        <w:rPr>
          <w:lang w:val="es-ES_tradnl"/>
        </w:rPr>
        <w:t xml:space="preserve"> (BASCAP). </w:t>
      </w:r>
    </w:p>
    <w:p w14:paraId="1E42078D" w14:textId="77777777" w:rsidR="00533114" w:rsidRPr="007457FC" w:rsidRDefault="00533114" w:rsidP="00C142FB">
      <w:pPr>
        <w:rPr>
          <w:lang w:val="es-ES_tradnl"/>
        </w:rPr>
      </w:pPr>
      <w:r>
        <w:rPr>
          <w:lang w:val="es-ES_tradnl"/>
        </w:rPr>
        <w:t xml:space="preserve">La </w:t>
      </w:r>
      <w:r w:rsidRPr="00922AD7">
        <w:rPr>
          <w:lang w:val="es-ES_tradnl"/>
        </w:rPr>
        <w:t xml:space="preserve">Oficina de información sobre falsificación </w:t>
      </w:r>
      <w:r>
        <w:rPr>
          <w:lang w:val="es-ES_tradnl"/>
        </w:rPr>
        <w:t>de la CCI</w:t>
      </w:r>
      <w:r w:rsidRPr="00922AD7">
        <w:rPr>
          <w:lang w:val="es-ES_tradnl"/>
        </w:rPr>
        <w:t xml:space="preserve"> </w:t>
      </w:r>
      <w:r>
        <w:rPr>
          <w:lang w:val="es-ES_tradnl"/>
        </w:rPr>
        <w:t xml:space="preserve">mantiene una base de datos de estudios de caso y también presta servicios de investigación. </w:t>
      </w:r>
    </w:p>
    <w:p w14:paraId="66286B16" w14:textId="77777777" w:rsidR="00533114" w:rsidRPr="00922AD7" w:rsidRDefault="00533114" w:rsidP="00C142FB">
      <w:pPr>
        <w:rPr>
          <w:lang w:val="es-ES_tradnl"/>
        </w:rPr>
      </w:pPr>
      <w:r w:rsidRPr="00922AD7">
        <w:rPr>
          <w:lang w:val="es-ES_tradnl"/>
        </w:rPr>
        <w:t>La BASCAP prosiguió el estudio de las repercusiones económicas y sociales de la falsificación y la piratería que inició la OCDE [4] y ha creado un centro de intercambio de informaci</w:t>
      </w:r>
      <w:r>
        <w:rPr>
          <w:lang w:val="es-ES_tradnl"/>
        </w:rPr>
        <w:t>ón que facilita información por países</w:t>
      </w:r>
      <w:r w:rsidRPr="00922AD7">
        <w:rPr>
          <w:lang w:val="es-ES_tradnl"/>
        </w:rPr>
        <w:t xml:space="preserve"> [21] </w:t>
      </w:r>
      <w:r>
        <w:rPr>
          <w:lang w:val="es-ES_tradnl"/>
        </w:rPr>
        <w:t>y sectores</w:t>
      </w:r>
      <w:r w:rsidRPr="00922AD7">
        <w:rPr>
          <w:lang w:val="es-ES_tradnl"/>
        </w:rPr>
        <w:t xml:space="preserve"> [22] </w:t>
      </w:r>
      <w:r>
        <w:rPr>
          <w:lang w:val="es-ES_tradnl"/>
        </w:rPr>
        <w:t>así como la protección de marcas</w:t>
      </w:r>
      <w:r w:rsidRPr="00922AD7">
        <w:rPr>
          <w:lang w:val="es-ES_tradnl"/>
        </w:rPr>
        <w:t xml:space="preserve"> [23] </w:t>
      </w:r>
      <w:r>
        <w:rPr>
          <w:lang w:val="es-ES_tradnl"/>
        </w:rPr>
        <w:t>y</w:t>
      </w:r>
      <w:r w:rsidRPr="00922AD7">
        <w:rPr>
          <w:lang w:val="es-ES_tradnl"/>
        </w:rPr>
        <w:t xml:space="preserve"> </w:t>
      </w:r>
      <w:r>
        <w:rPr>
          <w:lang w:val="es-ES_tradnl"/>
        </w:rPr>
        <w:t>directorios de contactos de todo el mundo</w:t>
      </w:r>
      <w:r w:rsidRPr="00922AD7">
        <w:rPr>
          <w:lang w:val="es-ES_tradnl"/>
        </w:rPr>
        <w:t xml:space="preserve"> [24].</w:t>
      </w:r>
    </w:p>
    <w:p w14:paraId="37A1140B" w14:textId="77777777" w:rsidR="00533114" w:rsidRPr="007457FC" w:rsidRDefault="00533114" w:rsidP="00C142FB">
      <w:pPr>
        <w:rPr>
          <w:lang w:val="es-ES_tradnl"/>
        </w:rPr>
      </w:pPr>
      <w:r w:rsidRPr="007457FC">
        <w:rPr>
          <w:lang w:val="es-ES_tradnl"/>
        </w:rPr>
        <w:t>La CCI publica también un programa de trabajo sobre la propiedad intelectual [25].</w:t>
      </w:r>
    </w:p>
    <w:p w14:paraId="398AB6CC" w14:textId="25221A78" w:rsidR="00533114" w:rsidRPr="003B4515" w:rsidRDefault="00533114" w:rsidP="00C142FB">
      <w:pPr>
        <w:pStyle w:val="Heading2"/>
        <w:rPr>
          <w:lang w:val="es-ES_tradnl"/>
        </w:rPr>
      </w:pPr>
      <w:bookmarkStart w:id="133" w:name="_Toc211334021"/>
      <w:bookmarkStart w:id="134" w:name="_Toc404607193"/>
      <w:bookmarkStart w:id="135" w:name="_Toc406670403"/>
      <w:bookmarkStart w:id="136" w:name="_Toc447202537"/>
      <w:bookmarkStart w:id="137" w:name="_Toc447203018"/>
      <w:r w:rsidRPr="003B4515">
        <w:rPr>
          <w:lang w:val="es-ES_tradnl"/>
        </w:rPr>
        <w:t>6.2</w:t>
      </w:r>
      <w:r>
        <w:rPr>
          <w:lang w:val="es-ES_tradnl"/>
        </w:rPr>
        <w:tab/>
      </w:r>
      <w:r w:rsidRPr="003B4515">
        <w:rPr>
          <w:lang w:val="es-ES_tradnl"/>
        </w:rPr>
        <w:t>Coalición</w:t>
      </w:r>
      <w:r>
        <w:rPr>
          <w:lang w:val="es-ES_tradnl"/>
        </w:rPr>
        <w:t xml:space="preserve"> internacional c</w:t>
      </w:r>
      <w:r w:rsidRPr="003B4515">
        <w:rPr>
          <w:lang w:val="es-ES_tradnl"/>
        </w:rPr>
        <w:t xml:space="preserve">ontra la </w:t>
      </w:r>
      <w:r>
        <w:rPr>
          <w:lang w:val="es-ES_tradnl"/>
        </w:rPr>
        <w:t>f</w:t>
      </w:r>
      <w:r w:rsidRPr="003B4515">
        <w:rPr>
          <w:lang w:val="es-ES_tradnl"/>
        </w:rPr>
        <w:t>alsificación (IACC)</w:t>
      </w:r>
      <w:bookmarkEnd w:id="133"/>
      <w:bookmarkEnd w:id="134"/>
      <w:bookmarkEnd w:id="135"/>
      <w:bookmarkEnd w:id="136"/>
      <w:bookmarkEnd w:id="137"/>
    </w:p>
    <w:p w14:paraId="199390EB" w14:textId="77777777" w:rsidR="00533114" w:rsidRPr="003B4515" w:rsidRDefault="00533114" w:rsidP="00C142FB">
      <w:pPr>
        <w:rPr>
          <w:lang w:val="es-ES_tradnl"/>
        </w:rPr>
      </w:pPr>
      <w:r w:rsidRPr="003B4515">
        <w:rPr>
          <w:lang w:val="es-ES_tradnl"/>
        </w:rPr>
        <w:t>La IACC [26] se fundó en 1979 y tiene miembros de todos los sectores industriales. Su objeto es la lucha contra la falsificación y la pirater</w:t>
      </w:r>
      <w:r>
        <w:rPr>
          <w:lang w:val="es-ES_tradnl"/>
        </w:rPr>
        <w:t>ía promoviendo leyes contra la falsificación.</w:t>
      </w:r>
    </w:p>
    <w:p w14:paraId="4D2B54EC" w14:textId="47F5A9F9" w:rsidR="00533114" w:rsidRPr="003B4515" w:rsidRDefault="00533114" w:rsidP="00C142FB">
      <w:pPr>
        <w:pStyle w:val="Heading2"/>
        <w:rPr>
          <w:lang w:val="es-ES_tradnl"/>
        </w:rPr>
      </w:pPr>
      <w:bookmarkStart w:id="138" w:name="_Toc211334022"/>
      <w:bookmarkStart w:id="139" w:name="_Toc404607194"/>
      <w:bookmarkStart w:id="140" w:name="_Toc406670404"/>
      <w:bookmarkStart w:id="141" w:name="_Toc447202538"/>
      <w:bookmarkStart w:id="142" w:name="_Toc447203019"/>
      <w:r w:rsidRPr="003B4515">
        <w:rPr>
          <w:lang w:val="es-ES_tradnl"/>
        </w:rPr>
        <w:t>6.3</w:t>
      </w:r>
      <w:r>
        <w:rPr>
          <w:lang w:val="es-ES_tradnl"/>
        </w:rPr>
        <w:tab/>
      </w:r>
      <w:r w:rsidRPr="003B4515">
        <w:rPr>
          <w:lang w:val="es-ES_tradnl"/>
        </w:rPr>
        <w:t xml:space="preserve">Foro de </w:t>
      </w:r>
      <w:r>
        <w:rPr>
          <w:lang w:val="es-ES_tradnl"/>
        </w:rPr>
        <w:t>f</w:t>
      </w:r>
      <w:r w:rsidRPr="003B4515">
        <w:rPr>
          <w:lang w:val="es-ES_tradnl"/>
        </w:rPr>
        <w:t xml:space="preserve">abricantes de </w:t>
      </w:r>
      <w:r>
        <w:rPr>
          <w:lang w:val="es-ES_tradnl"/>
        </w:rPr>
        <w:t>s</w:t>
      </w:r>
      <w:r w:rsidRPr="003B4515">
        <w:rPr>
          <w:lang w:val="es-ES_tradnl"/>
        </w:rPr>
        <w:t xml:space="preserve">istemas </w:t>
      </w:r>
      <w:r>
        <w:rPr>
          <w:lang w:val="es-ES_tradnl"/>
        </w:rPr>
        <w:t>m</w:t>
      </w:r>
      <w:r w:rsidRPr="003B4515">
        <w:rPr>
          <w:lang w:val="es-ES_tradnl"/>
        </w:rPr>
        <w:t>óviles (MMF)</w:t>
      </w:r>
      <w:bookmarkEnd w:id="138"/>
      <w:bookmarkEnd w:id="139"/>
      <w:bookmarkEnd w:id="140"/>
      <w:bookmarkEnd w:id="141"/>
      <w:bookmarkEnd w:id="142"/>
    </w:p>
    <w:p w14:paraId="1265BB80" w14:textId="77777777" w:rsidR="00533114" w:rsidRPr="003B4515" w:rsidRDefault="00533114" w:rsidP="00C142FB">
      <w:pPr>
        <w:rPr>
          <w:lang w:val="es-ES_tradnl"/>
        </w:rPr>
      </w:pPr>
      <w:r w:rsidRPr="003B4515">
        <w:rPr>
          <w:lang w:val="es-ES_tradnl"/>
        </w:rPr>
        <w:t xml:space="preserve">El Foro de Fabricantes de Sistemas Móviles mantiene una página en Internet (spotafakephone.com) </w:t>
      </w:r>
      <w:r>
        <w:rPr>
          <w:lang w:val="es-ES_tradnl"/>
        </w:rPr>
        <w:t xml:space="preserve">que facilita información sobre teléfonos y baterías falsificados. </w:t>
      </w:r>
    </w:p>
    <w:p w14:paraId="63D6E834" w14:textId="2BFB3570" w:rsidR="00533114" w:rsidRPr="004A45D6" w:rsidRDefault="00533114" w:rsidP="00C142FB">
      <w:pPr>
        <w:pStyle w:val="Heading2"/>
        <w:rPr>
          <w:lang w:val="en-US"/>
        </w:rPr>
      </w:pPr>
      <w:bookmarkStart w:id="143" w:name="_Toc211334023"/>
      <w:bookmarkStart w:id="144" w:name="_Toc404607195"/>
      <w:bookmarkStart w:id="145" w:name="_Toc406670405"/>
      <w:bookmarkStart w:id="146" w:name="_Toc447202539"/>
      <w:bookmarkStart w:id="147" w:name="_Toc447203020"/>
      <w:r w:rsidRPr="004A45D6">
        <w:rPr>
          <w:lang w:val="en-US"/>
        </w:rPr>
        <w:lastRenderedPageBreak/>
        <w:t>6.4</w:t>
      </w:r>
      <w:r w:rsidRPr="004A45D6">
        <w:rPr>
          <w:lang w:val="en-US"/>
        </w:rPr>
        <w:tab/>
        <w:t>Association of Service and Computer Dealers International and North American Association of Telecommunications Dealers (AscdiNatd)</w:t>
      </w:r>
      <w:bookmarkEnd w:id="143"/>
      <w:bookmarkEnd w:id="144"/>
      <w:bookmarkEnd w:id="145"/>
      <w:bookmarkEnd w:id="146"/>
      <w:bookmarkEnd w:id="147"/>
    </w:p>
    <w:p w14:paraId="4696F067" w14:textId="77777777" w:rsidR="00533114" w:rsidRPr="003B4515" w:rsidRDefault="00533114" w:rsidP="00C142FB">
      <w:pPr>
        <w:rPr>
          <w:lang w:val="es-ES_tradnl"/>
        </w:rPr>
      </w:pPr>
      <w:r w:rsidRPr="003B4515">
        <w:rPr>
          <w:lang w:val="es-ES_tradnl"/>
        </w:rPr>
        <w:t>La AscdiNatd ha elaborado un programa contra la falsificación que incluye una política contra la falsificación que adoptan las empresas miembro y recursos de información sobre productos falsificados, incluida informaci</w:t>
      </w:r>
      <w:r>
        <w:rPr>
          <w:lang w:val="es-ES_tradnl"/>
        </w:rPr>
        <w:t xml:space="preserve">ón proveniente de </w:t>
      </w:r>
      <w:r w:rsidRPr="003B4515">
        <w:rPr>
          <w:lang w:val="es-ES_tradnl"/>
        </w:rPr>
        <w:t xml:space="preserve">HP </w:t>
      </w:r>
      <w:r>
        <w:rPr>
          <w:lang w:val="es-ES_tradnl"/>
        </w:rPr>
        <w:t>y</w:t>
      </w:r>
      <w:r w:rsidRPr="003B4515">
        <w:rPr>
          <w:lang w:val="es-ES_tradnl"/>
        </w:rPr>
        <w:t xml:space="preserve"> Cisco [27].</w:t>
      </w:r>
    </w:p>
    <w:p w14:paraId="27916D45" w14:textId="68D1925F" w:rsidR="00533114" w:rsidRDefault="00533114" w:rsidP="00C142FB">
      <w:pPr>
        <w:pStyle w:val="Heading2"/>
      </w:pPr>
      <w:bookmarkStart w:id="148" w:name="_Toc211334024"/>
      <w:bookmarkStart w:id="149" w:name="_Toc404607196"/>
      <w:bookmarkStart w:id="150" w:name="_Toc406670406"/>
      <w:bookmarkStart w:id="151" w:name="_Toc447202540"/>
      <w:bookmarkStart w:id="152" w:name="_Toc447203021"/>
      <w:r>
        <w:t>6.5</w:t>
      </w:r>
      <w:r>
        <w:tab/>
      </w:r>
      <w:r w:rsidRPr="00D816F8">
        <w:t>Alliance for Gray Market and Counterfeit Abatement (AGMA)</w:t>
      </w:r>
      <w:bookmarkEnd w:id="148"/>
      <w:bookmarkEnd w:id="149"/>
      <w:bookmarkEnd w:id="150"/>
      <w:bookmarkEnd w:id="151"/>
      <w:bookmarkEnd w:id="152"/>
    </w:p>
    <w:p w14:paraId="1119BF58" w14:textId="77777777" w:rsidR="00533114" w:rsidRPr="00066C71" w:rsidRDefault="00533114" w:rsidP="00C142FB">
      <w:pPr>
        <w:rPr>
          <w:lang w:val="es-ES_tradnl"/>
        </w:rPr>
      </w:pPr>
      <w:r w:rsidRPr="00066C71">
        <w:rPr>
          <w:lang w:val="es-ES_tradnl"/>
        </w:rPr>
        <w:t xml:space="preserve">3Com, Cisco Systems, Hewlett-Packard, Nortel y Xerox formaron la AGMA en 2001 con el objetivo de </w:t>
      </w:r>
      <w:r>
        <w:rPr>
          <w:lang w:val="es-ES_tradnl"/>
        </w:rPr>
        <w:t>combati</w:t>
      </w:r>
      <w:r w:rsidRPr="00066C71">
        <w:rPr>
          <w:lang w:val="es-ES_tradnl"/>
        </w:rPr>
        <w:t>r el comercio de productos de alta tecnolog</w:t>
      </w:r>
      <w:r>
        <w:rPr>
          <w:lang w:val="es-ES_tradnl"/>
        </w:rPr>
        <w:t xml:space="preserve">ía falsificados. </w:t>
      </w:r>
    </w:p>
    <w:p w14:paraId="23CE4D31" w14:textId="33AC08AD" w:rsidR="00533114" w:rsidRPr="006971C5" w:rsidRDefault="00533114" w:rsidP="00C142FB">
      <w:pPr>
        <w:pStyle w:val="Heading2"/>
        <w:rPr>
          <w:lang w:val="es-ES_tradnl"/>
        </w:rPr>
      </w:pPr>
      <w:bookmarkStart w:id="153" w:name="_Toc211334025"/>
      <w:bookmarkStart w:id="154" w:name="_Toc404607197"/>
      <w:bookmarkStart w:id="155" w:name="_Toc406670407"/>
      <w:bookmarkStart w:id="156" w:name="_Toc447202541"/>
      <w:bookmarkStart w:id="157" w:name="_Toc447203022"/>
      <w:r w:rsidRPr="006971C5">
        <w:rPr>
          <w:lang w:val="es-ES_tradnl"/>
        </w:rPr>
        <w:t>6.6</w:t>
      </w:r>
      <w:r>
        <w:rPr>
          <w:lang w:val="es-ES_tradnl"/>
        </w:rPr>
        <w:tab/>
      </w:r>
      <w:r w:rsidRPr="006971C5">
        <w:rPr>
          <w:lang w:val="es-ES_tradnl"/>
        </w:rPr>
        <w:t>Grupo de Trabajo contra la falsificación de la British Electrotechnical and Allied Manufacturers Association (BEAMA)</w:t>
      </w:r>
      <w:bookmarkEnd w:id="153"/>
      <w:bookmarkEnd w:id="154"/>
      <w:bookmarkEnd w:id="155"/>
      <w:bookmarkEnd w:id="156"/>
      <w:bookmarkEnd w:id="157"/>
    </w:p>
    <w:p w14:paraId="3C740972" w14:textId="77777777" w:rsidR="00533114" w:rsidRPr="007961C4" w:rsidRDefault="00533114" w:rsidP="00C142FB">
      <w:pPr>
        <w:rPr>
          <w:lang w:val="es-ES_tradnl"/>
        </w:rPr>
      </w:pPr>
      <w:r w:rsidRPr="00066C71">
        <w:rPr>
          <w:lang w:val="es-ES_tradnl"/>
        </w:rPr>
        <w:t>La BEAMA es una base de conocimientos y un foro d</w:t>
      </w:r>
      <w:r>
        <w:rPr>
          <w:lang w:val="es-ES_tradnl"/>
        </w:rPr>
        <w:t xml:space="preserve">e expertos independientes para </w:t>
      </w:r>
      <w:r w:rsidRPr="00066C71">
        <w:rPr>
          <w:lang w:val="es-ES_tradnl"/>
        </w:rPr>
        <w:t>la in</w:t>
      </w:r>
      <w:r>
        <w:rPr>
          <w:lang w:val="es-ES_tradnl"/>
        </w:rPr>
        <w:t>dustria electrotécnica para el Reino U</w:t>
      </w:r>
      <w:r w:rsidRPr="00066C71">
        <w:rPr>
          <w:lang w:val="es-ES_tradnl"/>
        </w:rPr>
        <w:t>nido y toda Europa.</w:t>
      </w:r>
      <w:r>
        <w:rPr>
          <w:lang w:val="es-ES_tradnl"/>
        </w:rPr>
        <w:t xml:space="preserve"> </w:t>
      </w:r>
      <w:r w:rsidRPr="00066C71">
        <w:rPr>
          <w:lang w:val="es-ES_tradnl"/>
        </w:rPr>
        <w:t>Representa a más de 300 fabricantes del sector electrotécnico y tiene una influencia notable a escala internacional</w:t>
      </w:r>
      <w:r>
        <w:rPr>
          <w:lang w:val="es-ES_tradnl"/>
        </w:rPr>
        <w:t xml:space="preserve"> así como en las políticas comerciales y de normalización del Reino Unido.</w:t>
      </w:r>
    </w:p>
    <w:p w14:paraId="4A9B408A" w14:textId="77777777" w:rsidR="00533114" w:rsidRPr="008D6967" w:rsidRDefault="00533114" w:rsidP="00C142FB">
      <w:pPr>
        <w:rPr>
          <w:lang w:val="es-ES_tradnl"/>
        </w:rPr>
      </w:pPr>
      <w:r w:rsidRPr="007961C4">
        <w:rPr>
          <w:lang w:val="es-ES_tradnl"/>
        </w:rPr>
        <w:t>El Grupo de Trabajo de la BEAMA contra la falsificaci</w:t>
      </w:r>
      <w:r>
        <w:rPr>
          <w:lang w:val="es-ES_tradnl"/>
        </w:rPr>
        <w:t>ón</w:t>
      </w:r>
      <w:r w:rsidRPr="007961C4">
        <w:rPr>
          <w:lang w:val="es-ES_tradnl"/>
        </w:rPr>
        <w:t xml:space="preserve"> (ACWG) </w:t>
      </w:r>
      <w:r>
        <w:rPr>
          <w:lang w:val="es-ES_tradnl"/>
        </w:rPr>
        <w:t>se constituyó en</w:t>
      </w:r>
      <w:r w:rsidRPr="007961C4">
        <w:rPr>
          <w:lang w:val="es-ES_tradnl"/>
        </w:rPr>
        <w:t xml:space="preserve"> 2000. Su objetivo es actuar contra los fabricantes de productos de instalaciones eléctricas falsificados y contra los comerciantes que los distribuyen en muchos mercados internacionales, incluidos los </w:t>
      </w:r>
      <w:r>
        <w:rPr>
          <w:lang w:val="es-ES_tradnl"/>
        </w:rPr>
        <w:t xml:space="preserve">de Europa, Oriente Medio y África. </w:t>
      </w:r>
      <w:r w:rsidRPr="007961C4">
        <w:rPr>
          <w:lang w:val="es-ES_tradnl"/>
        </w:rPr>
        <w:t>Al igual que los miembros de la BEAMA, el GT incluye muchas de las asociaciones l</w:t>
      </w:r>
      <w:r>
        <w:rPr>
          <w:lang w:val="es-ES_tradnl"/>
        </w:rPr>
        <w:t>íder</w:t>
      </w:r>
      <w:r w:rsidRPr="007961C4">
        <w:rPr>
          <w:lang w:val="es-ES_tradnl"/>
        </w:rPr>
        <w:t xml:space="preserve">es del sector </w:t>
      </w:r>
      <w:r>
        <w:rPr>
          <w:lang w:val="es-ES_tradnl"/>
        </w:rPr>
        <w:t>dedicadas a la instalación</w:t>
      </w:r>
      <w:r w:rsidRPr="007961C4">
        <w:rPr>
          <w:lang w:val="es-ES_tradnl"/>
        </w:rPr>
        <w:t>, distribu</w:t>
      </w:r>
      <w:r>
        <w:rPr>
          <w:lang w:val="es-ES_tradnl"/>
        </w:rPr>
        <w:t>ción</w:t>
      </w:r>
      <w:r w:rsidRPr="007961C4">
        <w:rPr>
          <w:lang w:val="es-ES_tradnl"/>
        </w:rPr>
        <w:t xml:space="preserve">, </w:t>
      </w:r>
      <w:r>
        <w:rPr>
          <w:lang w:val="es-ES_tradnl"/>
        </w:rPr>
        <w:t>pruebas y certificación y los sectores responsables del cumplimiento de las leyes. Ha conseguido el reconocimiento mundial por su trabajo proactivo y colabora con asociaciones comerciales y organismos dedicados a la aplicación de las leyes de todo el mundo</w:t>
      </w:r>
      <w:r w:rsidRPr="008D6967">
        <w:rPr>
          <w:lang w:val="es-ES_tradnl"/>
        </w:rPr>
        <w:t>.</w:t>
      </w:r>
    </w:p>
    <w:p w14:paraId="4107DE13" w14:textId="77777777" w:rsidR="00533114" w:rsidRPr="00291B57" w:rsidRDefault="00533114" w:rsidP="00C142FB">
      <w:pPr>
        <w:rPr>
          <w:lang w:val="es-ES_tradnl"/>
        </w:rPr>
      </w:pPr>
      <w:r w:rsidRPr="00291B57">
        <w:rPr>
          <w:lang w:val="es-ES_tradnl"/>
        </w:rPr>
        <w:t xml:space="preserve">Se ha creado una base de datos de falsificadores para que la </w:t>
      </w:r>
      <w:r>
        <w:rPr>
          <w:lang w:val="es-ES_tradnl"/>
        </w:rPr>
        <w:t>utilice el sector de instalaciones</w:t>
      </w:r>
      <w:r w:rsidRPr="00291B57">
        <w:rPr>
          <w:lang w:val="es-ES_tradnl"/>
        </w:rPr>
        <w:t xml:space="preserve"> eléctrica</w:t>
      </w:r>
      <w:r>
        <w:rPr>
          <w:lang w:val="es-ES_tradnl"/>
        </w:rPr>
        <w:t>s</w:t>
      </w:r>
      <w:r w:rsidRPr="00291B57">
        <w:rPr>
          <w:lang w:val="es-ES_tradnl"/>
        </w:rPr>
        <w:t>, que se ha trasferido a las autoridades en todo el mundo para que realicen el seguimiento en los mercado</w:t>
      </w:r>
      <w:r>
        <w:rPr>
          <w:lang w:val="es-ES_tradnl"/>
        </w:rPr>
        <w:t>s locales</w:t>
      </w:r>
      <w:r w:rsidRPr="00291B57">
        <w:rPr>
          <w:lang w:val="es-ES_tradnl"/>
        </w:rPr>
        <w:t>.</w:t>
      </w:r>
    </w:p>
    <w:p w14:paraId="65DF66FA" w14:textId="77777777" w:rsidR="00533114" w:rsidRPr="00477007" w:rsidRDefault="00533114" w:rsidP="00C142FB">
      <w:pPr>
        <w:rPr>
          <w:lang w:val="es-ES_tradnl"/>
        </w:rPr>
      </w:pPr>
      <w:r w:rsidRPr="00291B57">
        <w:rPr>
          <w:lang w:val="es-ES_tradnl"/>
        </w:rPr>
        <w:t xml:space="preserve">Las actividades de los grupos de trabajo se divulgan mediante artículos en revistas, presentaciones, participaciones en conferencias y mediante la elaboración de guías y carteles para sensibilizar </w:t>
      </w:r>
      <w:r>
        <w:rPr>
          <w:lang w:val="es-ES_tradnl"/>
        </w:rPr>
        <w:t xml:space="preserve">sobre esta amenaza para la seguridad del consumidor y la integridad de las empresas que crece con rapidez y puede ser perniciosa. </w:t>
      </w:r>
    </w:p>
    <w:p w14:paraId="467E6A20" w14:textId="77777777" w:rsidR="00533114" w:rsidRPr="00477007" w:rsidRDefault="00533114" w:rsidP="00C142FB">
      <w:pPr>
        <w:rPr>
          <w:lang w:val="es-ES_tradnl"/>
        </w:rPr>
      </w:pPr>
      <w:r w:rsidRPr="00291B57">
        <w:rPr>
          <w:lang w:val="es-ES_tradnl"/>
        </w:rPr>
        <w:t>Este Grupo de Trabajo es responsable de gestionar proyectos de acción contra la falsificación, recopilando y difundiendo información sobre asuntos relacionados con la protección de los derechos de propiedad intelectual y de responder ante el gobierno y otros organismos en nombre de</w:t>
      </w:r>
      <w:r>
        <w:rPr>
          <w:lang w:val="es-ES_tradnl"/>
        </w:rPr>
        <w:t xml:space="preserve"> la asociación. </w:t>
      </w:r>
      <w:r w:rsidRPr="00F07A1E">
        <w:rPr>
          <w:lang w:val="es-ES_tradnl"/>
        </w:rPr>
        <w:t>Ofrece también asesoramiento e información a cualquier empresa o asociación que tenga algún problema con asuntos relacionados con los derechos de propiedad intelectual.</w:t>
      </w:r>
      <w:r>
        <w:rPr>
          <w:lang w:val="es-ES_tradnl"/>
        </w:rPr>
        <w:t xml:space="preserve"> </w:t>
      </w:r>
    </w:p>
    <w:p w14:paraId="7ABA1747" w14:textId="77777777" w:rsidR="00533114" w:rsidRPr="00F07A1E" w:rsidRDefault="00533114" w:rsidP="00C142FB">
      <w:pPr>
        <w:rPr>
          <w:lang w:val="es-ES_tradnl"/>
        </w:rPr>
      </w:pPr>
      <w:r w:rsidRPr="00F07A1E">
        <w:rPr>
          <w:lang w:val="es-ES_tradnl"/>
        </w:rPr>
        <w:t xml:space="preserve">Entre las actividades actuales figuran proyectos en China, los Emiratos </w:t>
      </w:r>
      <w:r>
        <w:rPr>
          <w:lang w:val="es-ES_tradnl"/>
        </w:rPr>
        <w:t>Árabes Unidos</w:t>
      </w:r>
      <w:r w:rsidRPr="00F07A1E">
        <w:rPr>
          <w:lang w:val="es-ES_tradnl"/>
        </w:rPr>
        <w:t xml:space="preserve">, </w:t>
      </w:r>
      <w:r>
        <w:rPr>
          <w:lang w:val="es-ES_tradnl"/>
        </w:rPr>
        <w:t>el Reino Unido</w:t>
      </w:r>
      <w:r w:rsidRPr="00F07A1E">
        <w:rPr>
          <w:lang w:val="es-ES_tradnl"/>
        </w:rPr>
        <w:t xml:space="preserve">, Nigeria </w:t>
      </w:r>
      <w:r>
        <w:rPr>
          <w:lang w:val="es-ES_tradnl"/>
        </w:rPr>
        <w:t>e</w:t>
      </w:r>
      <w:r w:rsidRPr="00F07A1E">
        <w:rPr>
          <w:lang w:val="es-ES_tradnl"/>
        </w:rPr>
        <w:t xml:space="preserve"> Iraq, </w:t>
      </w:r>
      <w:r>
        <w:rPr>
          <w:lang w:val="es-ES_tradnl"/>
        </w:rPr>
        <w:t xml:space="preserve">además de programas completos de vigilancia de puertos y en la web. </w:t>
      </w:r>
    </w:p>
    <w:p w14:paraId="501BEDD6" w14:textId="77777777" w:rsidR="00533114" w:rsidRPr="00F07A1E" w:rsidRDefault="00533114" w:rsidP="00C142FB">
      <w:pPr>
        <w:rPr>
          <w:lang w:val="es-ES_tradnl"/>
        </w:rPr>
      </w:pPr>
      <w:r w:rsidRPr="00F07A1E">
        <w:rPr>
          <w:lang w:val="es-ES_tradnl"/>
        </w:rPr>
        <w:t xml:space="preserve">En el Reino Unido, la BEAMA </w:t>
      </w:r>
      <w:r>
        <w:rPr>
          <w:lang w:val="es-ES_tradnl"/>
        </w:rPr>
        <w:t>está trabajando con mucho</w:t>
      </w:r>
      <w:r w:rsidRPr="00F07A1E">
        <w:rPr>
          <w:lang w:val="es-ES_tradnl"/>
        </w:rPr>
        <w:t>s de los organismos industriales punteros para sensibilizar y luchar contra los productos falsificados o de baja calidad</w:t>
      </w:r>
      <w:r>
        <w:rPr>
          <w:lang w:val="es-ES_tradnl"/>
        </w:rPr>
        <w:t xml:space="preserve"> </w:t>
      </w:r>
      <w:r w:rsidRPr="00F07A1E">
        <w:rPr>
          <w:lang w:val="es-ES_tradnl"/>
        </w:rPr>
        <w:t xml:space="preserve">– </w:t>
      </w:r>
      <w:r>
        <w:rPr>
          <w:lang w:val="es-ES_tradnl"/>
        </w:rPr>
        <w:t>se ha creado el portal</w:t>
      </w:r>
      <w:r w:rsidRPr="00F07A1E">
        <w:rPr>
          <w:lang w:val="es-ES_tradnl"/>
        </w:rPr>
        <w:t xml:space="preserve"> </w:t>
      </w:r>
      <w:hyperlink r:id="rId44" w:history="1">
        <w:r w:rsidRPr="00F07A1E">
          <w:rPr>
            <w:rStyle w:val="Hyperlink"/>
            <w:lang w:val="es-ES_tradnl"/>
          </w:rPr>
          <w:t>www.counterfeit-kills.co.uk</w:t>
        </w:r>
      </w:hyperlink>
      <w:r w:rsidRPr="00F07A1E">
        <w:rPr>
          <w:lang w:val="es-ES_tradnl"/>
        </w:rPr>
        <w:t xml:space="preserve"> </w:t>
      </w:r>
      <w:r>
        <w:rPr>
          <w:lang w:val="es-ES_tradnl"/>
        </w:rPr>
        <w:t xml:space="preserve">para este fin concreto. </w:t>
      </w:r>
    </w:p>
    <w:p w14:paraId="5A800C13" w14:textId="1A888B35" w:rsidR="00533114" w:rsidRDefault="00533114" w:rsidP="00C142FB">
      <w:pPr>
        <w:pStyle w:val="Heading2"/>
      </w:pPr>
      <w:bookmarkStart w:id="158" w:name="_Toc211334026"/>
      <w:bookmarkStart w:id="159" w:name="_Toc404607198"/>
      <w:bookmarkStart w:id="160" w:name="_Toc406670408"/>
      <w:bookmarkStart w:id="161" w:name="_Toc447202542"/>
      <w:bookmarkStart w:id="162" w:name="_Toc447203023"/>
      <w:r>
        <w:t>6.7</w:t>
      </w:r>
      <w:r>
        <w:tab/>
      </w:r>
      <w:r w:rsidRPr="00D816F8">
        <w:t>UKEA (United Kingdom Electronics Alliance)</w:t>
      </w:r>
      <w:bookmarkEnd w:id="158"/>
      <w:bookmarkEnd w:id="159"/>
      <w:bookmarkEnd w:id="160"/>
      <w:bookmarkEnd w:id="161"/>
      <w:bookmarkEnd w:id="162"/>
    </w:p>
    <w:p w14:paraId="7D5C0CDD" w14:textId="77777777" w:rsidR="00533114" w:rsidRPr="00132CDD" w:rsidRDefault="00533114" w:rsidP="00C142FB">
      <w:pPr>
        <w:rPr>
          <w:lang w:val="es-ES_tradnl"/>
        </w:rPr>
      </w:pPr>
      <w:r w:rsidRPr="00132CDD">
        <w:rPr>
          <w:lang w:val="es-ES_tradnl"/>
        </w:rPr>
        <w:t>La UKEA es un consorcio d</w:t>
      </w:r>
      <w:r>
        <w:rPr>
          <w:lang w:val="es-ES_tradnl"/>
        </w:rPr>
        <w:t>e asociaciones comerciales del R</w:t>
      </w:r>
      <w:r w:rsidRPr="00132CDD">
        <w:rPr>
          <w:lang w:val="es-ES_tradnl"/>
        </w:rPr>
        <w:t xml:space="preserve">eino Unido que </w:t>
      </w:r>
      <w:r>
        <w:rPr>
          <w:lang w:val="es-ES_tradnl"/>
        </w:rPr>
        <w:t>representan al sector de la ele</w:t>
      </w:r>
      <w:r w:rsidRPr="00132CDD">
        <w:rPr>
          <w:lang w:val="es-ES_tradnl"/>
        </w:rPr>
        <w:t>ctr</w:t>
      </w:r>
      <w:r>
        <w:rPr>
          <w:lang w:val="es-ES_tradnl"/>
        </w:rPr>
        <w:t xml:space="preserve">ónica. </w:t>
      </w:r>
      <w:r w:rsidRPr="00132CDD">
        <w:rPr>
          <w:lang w:val="es-ES_tradnl"/>
        </w:rPr>
        <w:t>Su ob</w:t>
      </w:r>
      <w:r>
        <w:rPr>
          <w:lang w:val="es-ES_tradnl"/>
        </w:rPr>
        <w:t>jetivo es coordinar los debates</w:t>
      </w:r>
      <w:r w:rsidRPr="00132CDD">
        <w:rPr>
          <w:lang w:val="es-ES_tradnl"/>
        </w:rPr>
        <w:t xml:space="preserve"> sobre asuntos relativos al sector e informar al gobierno. La UKEA ha creado un Foro contra la falsificación [28] que publica informaci</w:t>
      </w:r>
      <w:r>
        <w:rPr>
          <w:lang w:val="es-ES_tradnl"/>
        </w:rPr>
        <w:t>ón sobre el problema de los componentes electrónicos</w:t>
      </w:r>
      <w:r w:rsidRPr="00132CDD">
        <w:rPr>
          <w:lang w:val="es-ES_tradnl"/>
        </w:rPr>
        <w:t xml:space="preserve"> falsifica</w:t>
      </w:r>
      <w:r>
        <w:rPr>
          <w:lang w:val="es-ES_tradnl"/>
        </w:rPr>
        <w:t xml:space="preserve">dos, las posibles soluciones y las mejores prácticas. </w:t>
      </w:r>
    </w:p>
    <w:p w14:paraId="4F6683EE" w14:textId="64EB60EF" w:rsidR="00533114" w:rsidRPr="00477007" w:rsidRDefault="00533114" w:rsidP="00C142FB">
      <w:pPr>
        <w:pStyle w:val="Heading2"/>
        <w:rPr>
          <w:lang w:val="es-ES_tradnl"/>
        </w:rPr>
      </w:pPr>
      <w:bookmarkStart w:id="163" w:name="_Toc211334027"/>
      <w:bookmarkStart w:id="164" w:name="_Toc404607199"/>
      <w:bookmarkStart w:id="165" w:name="_Toc406670409"/>
      <w:bookmarkStart w:id="166" w:name="_Toc447202543"/>
      <w:bookmarkStart w:id="167" w:name="_Toc447203024"/>
      <w:r w:rsidRPr="00477007">
        <w:rPr>
          <w:lang w:val="es-ES_tradnl"/>
        </w:rPr>
        <w:lastRenderedPageBreak/>
        <w:t>6.8</w:t>
      </w:r>
      <w:r>
        <w:rPr>
          <w:lang w:val="es-ES_tradnl"/>
        </w:rPr>
        <w:tab/>
      </w:r>
      <w:r w:rsidRPr="00477007">
        <w:rPr>
          <w:lang w:val="es-ES_tradnl"/>
        </w:rPr>
        <w:t>Anti-Counterfeiting Group (ACG)</w:t>
      </w:r>
      <w:bookmarkEnd w:id="163"/>
      <w:bookmarkEnd w:id="164"/>
      <w:bookmarkEnd w:id="165"/>
      <w:bookmarkEnd w:id="166"/>
      <w:bookmarkEnd w:id="167"/>
    </w:p>
    <w:p w14:paraId="2AE00EDD" w14:textId="77777777" w:rsidR="00533114" w:rsidRPr="006D36CA" w:rsidRDefault="00533114" w:rsidP="00C142FB">
      <w:pPr>
        <w:rPr>
          <w:lang w:val="es-ES_tradnl"/>
        </w:rPr>
      </w:pPr>
      <w:r w:rsidRPr="006D36CA">
        <w:rPr>
          <w:lang w:val="es-ES_tradnl"/>
        </w:rPr>
        <w:t xml:space="preserve">El ACG es una asociación </w:t>
      </w:r>
      <w:r>
        <w:rPr>
          <w:lang w:val="es-ES_tradnl"/>
        </w:rPr>
        <w:t>de comercio del R</w:t>
      </w:r>
      <w:r w:rsidRPr="006D36CA">
        <w:rPr>
          <w:lang w:val="es-ES_tradnl"/>
        </w:rPr>
        <w:t xml:space="preserve">eino Unido creada en 1980 con miembros </w:t>
      </w:r>
      <w:r>
        <w:rPr>
          <w:lang w:val="es-ES_tradnl"/>
        </w:rPr>
        <w:t>provenientes</w:t>
      </w:r>
      <w:r w:rsidRPr="006D36CA">
        <w:rPr>
          <w:lang w:val="es-ES_tradnl"/>
        </w:rPr>
        <w:t xml:space="preserve"> fundamentalmente</w:t>
      </w:r>
      <w:r>
        <w:rPr>
          <w:lang w:val="es-ES_tradnl"/>
        </w:rPr>
        <w:t xml:space="preserve"> del sector de la automoción, aunque actualmente representa a la mayoría de los sectores industriales. </w:t>
      </w:r>
    </w:p>
    <w:p w14:paraId="70A7001C" w14:textId="2451BE5F" w:rsidR="00533114" w:rsidRPr="00477007" w:rsidRDefault="00533114" w:rsidP="00C142FB">
      <w:pPr>
        <w:pStyle w:val="Heading2"/>
        <w:rPr>
          <w:lang w:val="es-ES_tradnl"/>
        </w:rPr>
      </w:pPr>
      <w:bookmarkStart w:id="168" w:name="_Toc211334028"/>
      <w:bookmarkStart w:id="169" w:name="_Toc404607200"/>
      <w:bookmarkStart w:id="170" w:name="_Toc406670410"/>
      <w:bookmarkStart w:id="171" w:name="_Toc447202544"/>
      <w:bookmarkStart w:id="172" w:name="_Toc447203025"/>
      <w:r w:rsidRPr="00477007">
        <w:rPr>
          <w:lang w:val="es-ES_tradnl"/>
        </w:rPr>
        <w:t>6.9</w:t>
      </w:r>
      <w:r>
        <w:rPr>
          <w:lang w:val="es-ES_tradnl"/>
        </w:rPr>
        <w:tab/>
      </w:r>
      <w:r w:rsidRPr="00477007">
        <w:rPr>
          <w:lang w:val="es-ES_tradnl"/>
        </w:rPr>
        <w:t xml:space="preserve">UNIFAB </w:t>
      </w:r>
      <w:r w:rsidRPr="00CA2EAA">
        <w:rPr>
          <w:lang w:val="es-ES_tradnl"/>
        </w:rPr>
        <w:t>–</w:t>
      </w:r>
      <w:r w:rsidRPr="00477007">
        <w:rPr>
          <w:lang w:val="es-ES_tradnl"/>
        </w:rPr>
        <w:t xml:space="preserve"> </w:t>
      </w:r>
      <w:r w:rsidRPr="00477007">
        <w:rPr>
          <w:i/>
          <w:iCs/>
          <w:lang w:val="es-ES_tradnl"/>
        </w:rPr>
        <w:t>Union des Fabricants</w:t>
      </w:r>
      <w:bookmarkEnd w:id="168"/>
      <w:bookmarkEnd w:id="169"/>
      <w:bookmarkEnd w:id="170"/>
      <w:bookmarkEnd w:id="171"/>
      <w:bookmarkEnd w:id="172"/>
      <w:r w:rsidRPr="00477007">
        <w:rPr>
          <w:lang w:val="es-ES_tradnl"/>
        </w:rPr>
        <w:t> </w:t>
      </w:r>
    </w:p>
    <w:p w14:paraId="51BC2B7B" w14:textId="77777777" w:rsidR="00533114" w:rsidRDefault="00533114" w:rsidP="00C142FB">
      <w:r w:rsidRPr="006D36CA">
        <w:rPr>
          <w:lang w:val="es-ES_tradnl"/>
        </w:rPr>
        <w:t xml:space="preserve">La </w:t>
      </w:r>
      <w:r w:rsidRPr="006D36CA">
        <w:rPr>
          <w:i/>
          <w:iCs/>
          <w:lang w:val="es-ES_tradnl"/>
        </w:rPr>
        <w:t>Union des Fabricants</w:t>
      </w:r>
      <w:r w:rsidRPr="006D36CA">
        <w:rPr>
          <w:lang w:val="es-ES_tradnl"/>
        </w:rPr>
        <w:t xml:space="preserve"> es una organización francesa dedicada a la lucha contra la falsificación mediante la sensibilización de la población (gracias a la apertura de un museo de la falsificación entre otras actividades), que facilita información a las empresas</w:t>
      </w:r>
      <w:r>
        <w:rPr>
          <w:lang w:val="es-ES_tradnl"/>
        </w:rPr>
        <w:t xml:space="preserve"> </w:t>
      </w:r>
      <w:r w:rsidRPr="006D36CA">
        <w:rPr>
          <w:lang w:val="es-ES_tradnl"/>
        </w:rPr>
        <w:t>y medios de presi</w:t>
      </w:r>
      <w:r>
        <w:rPr>
          <w:lang w:val="es-ES_tradnl"/>
        </w:rPr>
        <w:t>ón</w:t>
      </w:r>
      <w:r w:rsidRPr="006D36CA">
        <w:rPr>
          <w:lang w:val="es-ES_tradnl"/>
        </w:rPr>
        <w:t xml:space="preserve">. </w:t>
      </w:r>
      <w:hyperlink r:id="rId45" w:history="1">
        <w:r w:rsidRPr="004556CA">
          <w:rPr>
            <w:rStyle w:val="Hyperlink"/>
          </w:rPr>
          <w:t>http://www.unifab.com/en/</w:t>
        </w:r>
      </w:hyperlink>
    </w:p>
    <w:p w14:paraId="3ADCEA85" w14:textId="59E33055" w:rsidR="00533114" w:rsidRDefault="00533114" w:rsidP="00C142FB">
      <w:pPr>
        <w:pStyle w:val="Heading2"/>
      </w:pPr>
      <w:bookmarkStart w:id="173" w:name="_Toc404607201"/>
      <w:bookmarkStart w:id="174" w:name="_Toc406670411"/>
      <w:bookmarkStart w:id="175" w:name="_Toc447202545"/>
      <w:bookmarkStart w:id="176" w:name="_Toc447203026"/>
      <w:r>
        <w:t>6.10</w:t>
      </w:r>
      <w:r>
        <w:tab/>
        <w:t>International Electronics Manufacturing Initiative (iNEMI)</w:t>
      </w:r>
      <w:bookmarkEnd w:id="173"/>
      <w:bookmarkEnd w:id="174"/>
      <w:bookmarkEnd w:id="175"/>
      <w:bookmarkEnd w:id="176"/>
    </w:p>
    <w:p w14:paraId="481DCC2E" w14:textId="07749EF8" w:rsidR="00533114" w:rsidRPr="00C869C0" w:rsidRDefault="00533114" w:rsidP="007F4892">
      <w:r w:rsidRPr="006D36CA">
        <w:rPr>
          <w:lang w:val="es-ES_tradnl"/>
        </w:rPr>
        <w:t xml:space="preserve">La iNEMI ha definido un </w:t>
      </w:r>
      <w:r>
        <w:rPr>
          <w:lang w:val="es-ES_tradnl"/>
        </w:rPr>
        <w:t>p</w:t>
      </w:r>
      <w:r w:rsidRPr="006D36CA">
        <w:rPr>
          <w:lang w:val="es-ES_tradnl"/>
        </w:rPr>
        <w:t xml:space="preserve">royecto sobre </w:t>
      </w:r>
      <w:r>
        <w:rPr>
          <w:lang w:val="es-ES_tradnl"/>
        </w:rPr>
        <w:t>"</w:t>
      </w:r>
      <w:r w:rsidRPr="006D36CA">
        <w:rPr>
          <w:lang w:val="es-ES_tradnl"/>
        </w:rPr>
        <w:t xml:space="preserve">Componentes falsificados – </w:t>
      </w:r>
      <w:r>
        <w:rPr>
          <w:lang w:val="es-ES_tradnl"/>
        </w:rPr>
        <w:t>Metodología</w:t>
      </w:r>
      <w:r w:rsidRPr="006D36CA">
        <w:rPr>
          <w:lang w:val="es-ES_tradnl"/>
        </w:rPr>
        <w:t xml:space="preserve"> </w:t>
      </w:r>
      <w:r>
        <w:rPr>
          <w:lang w:val="es-ES_tradnl"/>
        </w:rPr>
        <w:t>de evaluación y desarrollo</w:t>
      </w:r>
      <w:r w:rsidRPr="006D36CA">
        <w:rPr>
          <w:lang w:val="es-ES_tradnl"/>
        </w:rPr>
        <w:t xml:space="preserve"> </w:t>
      </w:r>
      <w:r>
        <w:rPr>
          <w:lang w:val="es-ES_tradnl"/>
        </w:rPr>
        <w:t>de medidas"</w:t>
      </w:r>
      <w:r w:rsidRPr="006D36CA">
        <w:rPr>
          <w:lang w:val="es-ES_tradnl"/>
        </w:rPr>
        <w:t xml:space="preserve">. </w:t>
      </w:r>
      <w:hyperlink r:id="rId46" w:history="1">
        <w:r w:rsidR="00C95773" w:rsidRPr="00C869C0">
          <w:rPr>
            <w:rStyle w:val="Hyperlink"/>
          </w:rPr>
          <w:t>http://thor.inemi.org/webdownload/projects/Miniaturization/Counterfeit_WhitePaper_110513.pdf</w:t>
        </w:r>
      </w:hyperlink>
      <w:r w:rsidR="00C95773" w:rsidRPr="00C869C0">
        <w:t>.</w:t>
      </w:r>
    </w:p>
    <w:p w14:paraId="3A2ECEB6" w14:textId="14B0F986" w:rsidR="00533114" w:rsidRPr="000B19D6" w:rsidRDefault="00533114" w:rsidP="00C142FB">
      <w:pPr>
        <w:pStyle w:val="Heading1"/>
        <w:rPr>
          <w:lang w:val="es-ES_tradnl"/>
        </w:rPr>
      </w:pPr>
      <w:bookmarkStart w:id="177" w:name="_DV_M3"/>
      <w:bookmarkStart w:id="178" w:name="_DV_M5"/>
      <w:bookmarkStart w:id="179" w:name="_Toc200180736"/>
      <w:bookmarkStart w:id="180" w:name="_Toc200181304"/>
      <w:bookmarkStart w:id="181" w:name="_Toc211334030"/>
      <w:bookmarkStart w:id="182" w:name="_Toc404607202"/>
      <w:bookmarkStart w:id="183" w:name="_Toc406670412"/>
      <w:bookmarkStart w:id="184" w:name="_Toc447202546"/>
      <w:bookmarkStart w:id="185" w:name="_Toc447203027"/>
      <w:bookmarkEnd w:id="177"/>
      <w:bookmarkEnd w:id="178"/>
      <w:r w:rsidRPr="000B19D6">
        <w:rPr>
          <w:lang w:val="es-ES_tradnl"/>
        </w:rPr>
        <w:t>7</w:t>
      </w:r>
      <w:r>
        <w:rPr>
          <w:lang w:val="es-ES_tradnl"/>
        </w:rPr>
        <w:tab/>
      </w:r>
      <w:r w:rsidRPr="000B19D6">
        <w:rPr>
          <w:lang w:val="es-ES_tradnl"/>
        </w:rPr>
        <w:t>Medidas para luchar contra los equipos falsificados</w:t>
      </w:r>
      <w:bookmarkEnd w:id="179"/>
      <w:bookmarkEnd w:id="180"/>
      <w:bookmarkEnd w:id="181"/>
      <w:bookmarkEnd w:id="182"/>
      <w:bookmarkEnd w:id="183"/>
      <w:bookmarkEnd w:id="184"/>
      <w:bookmarkEnd w:id="185"/>
    </w:p>
    <w:p w14:paraId="30BCF954" w14:textId="6E053D88" w:rsidR="00533114" w:rsidRPr="00477007" w:rsidRDefault="00533114" w:rsidP="00C142FB">
      <w:pPr>
        <w:pStyle w:val="Heading2"/>
        <w:rPr>
          <w:lang w:val="es-ES_tradnl"/>
        </w:rPr>
      </w:pPr>
      <w:bookmarkStart w:id="186" w:name="_Toc200180737"/>
      <w:bookmarkStart w:id="187" w:name="_Toc200181305"/>
      <w:bookmarkStart w:id="188" w:name="_Toc211334031"/>
      <w:bookmarkStart w:id="189" w:name="_Toc404607203"/>
      <w:bookmarkStart w:id="190" w:name="_Toc406670413"/>
      <w:bookmarkStart w:id="191" w:name="_Toc447202547"/>
      <w:bookmarkStart w:id="192" w:name="_Toc447203028"/>
      <w:r w:rsidRPr="00477007">
        <w:rPr>
          <w:lang w:val="es-ES_tradnl"/>
        </w:rPr>
        <w:t>7.1</w:t>
      </w:r>
      <w:r>
        <w:rPr>
          <w:lang w:val="es-ES_tradnl"/>
        </w:rPr>
        <w:tab/>
      </w:r>
      <w:r w:rsidRPr="00477007">
        <w:rPr>
          <w:lang w:val="es-ES_tradnl"/>
        </w:rPr>
        <w:t>Introducción</w:t>
      </w:r>
      <w:bookmarkEnd w:id="186"/>
      <w:bookmarkEnd w:id="187"/>
      <w:bookmarkEnd w:id="188"/>
      <w:bookmarkEnd w:id="189"/>
      <w:bookmarkEnd w:id="190"/>
      <w:bookmarkEnd w:id="191"/>
      <w:bookmarkEnd w:id="192"/>
    </w:p>
    <w:p w14:paraId="5CB5E3DB" w14:textId="77777777" w:rsidR="00533114" w:rsidRPr="009A2378" w:rsidRDefault="00533114" w:rsidP="00C142FB">
      <w:pPr>
        <w:rPr>
          <w:lang w:val="es-ES_tradnl"/>
        </w:rPr>
      </w:pPr>
      <w:r w:rsidRPr="009A2378">
        <w:rPr>
          <w:lang w:val="es-ES_tradnl"/>
        </w:rPr>
        <w:t>Se puede luchar contra la falsificación fabricando productos de forma que se puedan autentificar mediante un control estricto de sus ciclos de vida. Se pueden adosar a los productos etiquetas difíciles de fabricar y asignar n</w:t>
      </w:r>
      <w:r>
        <w:rPr>
          <w:lang w:val="es-ES_tradnl"/>
        </w:rPr>
        <w:t>úmero</w:t>
      </w:r>
      <w:r w:rsidRPr="009A2378">
        <w:rPr>
          <w:lang w:val="es-ES_tradnl"/>
        </w:rPr>
        <w:t>s</w:t>
      </w:r>
      <w:r>
        <w:rPr>
          <w:lang w:val="es-ES_tradnl"/>
        </w:rPr>
        <w:t xml:space="preserve"> </w:t>
      </w:r>
      <w:r w:rsidRPr="009A2378">
        <w:rPr>
          <w:lang w:val="es-ES_tradnl"/>
        </w:rPr>
        <w:t>de serie que se puedan utilizar para demostrar que el elemento es auténtico (</w:t>
      </w:r>
      <w:r>
        <w:rPr>
          <w:lang w:val="es-ES_tradnl"/>
        </w:rPr>
        <w:t>accediendo a una base de datos, por ejemplo).</w:t>
      </w:r>
      <w:r w:rsidRPr="009A2378">
        <w:rPr>
          <w:lang w:val="es-ES_tradnl"/>
        </w:rPr>
        <w:t xml:space="preserve"> </w:t>
      </w:r>
    </w:p>
    <w:p w14:paraId="48F32851" w14:textId="77777777" w:rsidR="00533114" w:rsidRPr="003255B1" w:rsidRDefault="00533114" w:rsidP="00C142FB">
      <w:pPr>
        <w:rPr>
          <w:lang w:val="es-ES_tradnl"/>
        </w:rPr>
      </w:pPr>
      <w:r w:rsidRPr="009A2378">
        <w:rPr>
          <w:lang w:val="es-ES_tradnl"/>
        </w:rPr>
        <w:t>Se pueden asignar identificadores únicos a cada element</w:t>
      </w:r>
      <w:r>
        <w:rPr>
          <w:lang w:val="es-ES_tradnl"/>
        </w:rPr>
        <w:t>o. mPedigree es un ejemplo de sistema utilizado para combatir la falsificación de productos farmacéuticos en África. Este sistema permite que los consumidores comprueben si los medicamentos son genuinos o falsificados y potencialmente peligrosos enviando sin coste un mensaje corto (SMS) a un registro de productos farmacéuticos</w:t>
      </w:r>
      <w:r w:rsidRPr="003255B1">
        <w:rPr>
          <w:lang w:val="es-ES_tradnl"/>
        </w:rPr>
        <w:t xml:space="preserve">. </w:t>
      </w:r>
    </w:p>
    <w:p w14:paraId="335E8A83" w14:textId="77777777" w:rsidR="00533114" w:rsidRPr="006971C5" w:rsidRDefault="00533114" w:rsidP="00C142FB">
      <w:pPr>
        <w:rPr>
          <w:lang w:val="es-ES_tradnl"/>
        </w:rPr>
      </w:pPr>
      <w:r w:rsidRPr="003255B1">
        <w:rPr>
          <w:lang w:val="es-ES_tradnl"/>
        </w:rPr>
        <w:t>Para garantizar la seguridad del producto y que se mantiene la adecuada calidad, es necesario un control estricto de las cadenas de suministro, y probablemente de todos ciclos de vida de los productos, mediante pruebas, evaluaciones y certificaci</w:t>
      </w:r>
      <w:r>
        <w:rPr>
          <w:lang w:val="es-ES_tradnl"/>
        </w:rPr>
        <w:t>ón.</w:t>
      </w:r>
      <w:r w:rsidRPr="003255B1">
        <w:rPr>
          <w:lang w:val="es-ES_tradnl"/>
        </w:rPr>
        <w:t xml:space="preserve"> </w:t>
      </w:r>
      <w:r>
        <w:rPr>
          <w:lang w:val="es-ES_tradnl"/>
        </w:rPr>
        <w:t xml:space="preserve">Además, es preciso dotar a los funcionarios de aduanas con herramientas para identificar productos falsificados y se pueden emplear mecanismos de vigilancia del mercado. </w:t>
      </w:r>
    </w:p>
    <w:p w14:paraId="4CF48A52" w14:textId="77777777" w:rsidR="00533114" w:rsidRPr="00EA5078" w:rsidRDefault="00533114" w:rsidP="00C142FB">
      <w:pPr>
        <w:rPr>
          <w:lang w:val="es-ES_tradnl"/>
        </w:rPr>
      </w:pPr>
      <w:r w:rsidRPr="005F0C8F">
        <w:rPr>
          <w:lang w:val="es-ES_tradnl"/>
        </w:rPr>
        <w:t xml:space="preserve">Los identificadores se pueden </w:t>
      </w:r>
      <w:r>
        <w:rPr>
          <w:lang w:val="es-ES_tradnl"/>
        </w:rPr>
        <w:t>adosar a</w:t>
      </w:r>
      <w:r w:rsidRPr="005F0C8F">
        <w:rPr>
          <w:lang w:val="es-ES_tradnl"/>
        </w:rPr>
        <w:t xml:space="preserve"> un objeto en texto sin cifrar o se puede codificar en un</w:t>
      </w:r>
      <w:r>
        <w:rPr>
          <w:lang w:val="es-ES_tradnl"/>
        </w:rPr>
        <w:t>a</w:t>
      </w:r>
      <w:r w:rsidRPr="005F0C8F">
        <w:rPr>
          <w:lang w:val="es-ES_tradnl"/>
        </w:rPr>
        <w:t xml:space="preserve"> </w:t>
      </w:r>
      <w:r>
        <w:rPr>
          <w:lang w:val="es-ES_tradnl"/>
        </w:rPr>
        <w:t>"etiqueta</w:t>
      </w:r>
      <w:r w:rsidRPr="005F0C8F">
        <w:rPr>
          <w:lang w:val="es-ES_tradnl"/>
        </w:rPr>
        <w:t xml:space="preserve"> de identificación (ID)</w:t>
      </w:r>
      <w:r>
        <w:rPr>
          <w:lang w:val="es-ES_tradnl"/>
        </w:rPr>
        <w:t>"</w:t>
      </w:r>
      <w:r w:rsidRPr="005F0C8F">
        <w:rPr>
          <w:lang w:val="es-ES_tradnl"/>
        </w:rPr>
        <w:t xml:space="preserve"> como un código de barras, un</w:t>
      </w:r>
      <w:r>
        <w:rPr>
          <w:lang w:val="es-ES_tradnl"/>
        </w:rPr>
        <w:t>a</w:t>
      </w:r>
      <w:r w:rsidRPr="005F0C8F">
        <w:rPr>
          <w:lang w:val="es-ES_tradnl"/>
        </w:rPr>
        <w:t xml:space="preserve"> </w:t>
      </w:r>
      <w:r>
        <w:rPr>
          <w:lang w:val="es-ES_tradnl"/>
        </w:rPr>
        <w:t>etiqueta</w:t>
      </w:r>
      <w:r w:rsidRPr="005F0C8F">
        <w:rPr>
          <w:lang w:val="es-ES_tradnl"/>
        </w:rPr>
        <w:t xml:space="preserve"> de identificación por radiofrecuencia (RFID), una tarjeta in</w:t>
      </w:r>
      <w:r>
        <w:rPr>
          <w:lang w:val="es-ES_tradnl"/>
        </w:rPr>
        <w:t>teligente o un marcador</w:t>
      </w:r>
      <w:r w:rsidRPr="005F0C8F">
        <w:rPr>
          <w:lang w:val="es-ES_tradnl"/>
        </w:rPr>
        <w:t xml:space="preserve"> </w:t>
      </w:r>
      <w:r>
        <w:rPr>
          <w:lang w:val="es-ES_tradnl"/>
        </w:rPr>
        <w:t xml:space="preserve">por infrarrojos de forma que se pueda leer automáticamente. </w:t>
      </w:r>
      <w:r w:rsidRPr="005F0C8F">
        <w:rPr>
          <w:lang w:val="es-ES_tradnl"/>
        </w:rPr>
        <w:t>En la identificación de un objeto se pueden distinguir tres niveles.</w:t>
      </w:r>
      <w:r>
        <w:rPr>
          <w:lang w:val="es-ES_tradnl"/>
        </w:rPr>
        <w:t xml:space="preserve"> </w:t>
      </w:r>
      <w:r w:rsidRPr="005F0C8F">
        <w:rPr>
          <w:lang w:val="es-ES_tradnl"/>
        </w:rPr>
        <w:t>En primer lugar, se encuentra el nivel del propio identificador</w:t>
      </w:r>
      <w:r>
        <w:rPr>
          <w:lang w:val="es-ES_tradnl"/>
        </w:rPr>
        <w:t xml:space="preserve"> en el que los objetos se identifican de manera exclusiva, por ejemplo,</w:t>
      </w:r>
      <w:r w:rsidRPr="005F0C8F">
        <w:rPr>
          <w:lang w:val="es-ES_tradnl"/>
        </w:rPr>
        <w:t xml:space="preserve"> </w:t>
      </w:r>
      <w:r>
        <w:rPr>
          <w:lang w:val="es-ES_tradnl"/>
        </w:rPr>
        <w:t xml:space="preserve">mediante un </w:t>
      </w:r>
      <w:r>
        <w:rPr>
          <w:color w:val="000000"/>
          <w:lang w:val="es-ES_tradnl"/>
        </w:rPr>
        <w:t>c</w:t>
      </w:r>
      <w:r w:rsidRPr="005F0C8F">
        <w:rPr>
          <w:color w:val="000000"/>
          <w:lang w:val="es-ES_tradnl"/>
        </w:rPr>
        <w:t>ódigo de producto electrónico</w:t>
      </w:r>
      <w:r w:rsidRPr="005F0C8F">
        <w:rPr>
          <w:lang w:val="es-ES_tradnl"/>
        </w:rPr>
        <w:t xml:space="preserve"> (EPC). El segundo nivel es un nivel de codificación puesto que los propios identificadores se pueden codificar en diferentes formatos, y finalmente est</w:t>
      </w:r>
      <w:r>
        <w:rPr>
          <w:lang w:val="es-ES_tradnl"/>
        </w:rPr>
        <w:t>á la ejecución física, en la que se escribe la identidad codificada, por ejemplo, en una etiqueta RFID.</w:t>
      </w:r>
    </w:p>
    <w:p w14:paraId="5C6B579C" w14:textId="77777777" w:rsidR="00533114" w:rsidRPr="00F265E0" w:rsidRDefault="00533114" w:rsidP="00C142FB">
      <w:pPr>
        <w:rPr>
          <w:lang w:val="es-ES_tradnl"/>
        </w:rPr>
      </w:pPr>
      <w:r w:rsidRPr="00EA5078">
        <w:rPr>
          <w:lang w:val="es-ES_tradnl"/>
        </w:rPr>
        <w:t>Para garantizar que los identificadores son únicos en todo el mundo para aplicaciones concretas, deben gestionarse de forma organizada, con alg</w:t>
      </w:r>
      <w:r>
        <w:rPr>
          <w:lang w:val="es-ES_tradnl"/>
        </w:rPr>
        <w:t xml:space="preserve">ún tipo de procedimiento de atribución. </w:t>
      </w:r>
      <w:r w:rsidRPr="00EA5078">
        <w:rPr>
          <w:lang w:val="es-ES_tradnl"/>
        </w:rPr>
        <w:t xml:space="preserve">Por ejemplo, la Asociación GSM (GSMA) gestiona las identidades internacionales de los equipos móviles (IMEI) para el </w:t>
      </w:r>
      <w:r>
        <w:rPr>
          <w:color w:val="000000"/>
          <w:lang w:val="es-ES_tradnl"/>
        </w:rPr>
        <w:t>s</w:t>
      </w:r>
      <w:r w:rsidRPr="00EA5078">
        <w:rPr>
          <w:color w:val="000000"/>
          <w:lang w:val="es-ES_tradnl"/>
        </w:rPr>
        <w:t>istema mundial de comunicaciones móviles</w:t>
      </w:r>
      <w:r w:rsidRPr="00EA5078">
        <w:rPr>
          <w:lang w:val="es-ES_tradnl"/>
        </w:rPr>
        <w:t xml:space="preserve"> </w:t>
      </w:r>
      <w:r w:rsidRPr="00EA5078">
        <w:rPr>
          <w:rFonts w:cs="Helvetica Neue"/>
          <w:szCs w:val="26"/>
          <w:lang w:val="es-ES_tradnl" w:eastAsia="zh-CN"/>
        </w:rPr>
        <w:t xml:space="preserve">(GSM), </w:t>
      </w:r>
      <w:r>
        <w:rPr>
          <w:rFonts w:cs="Helvetica Neue"/>
          <w:szCs w:val="26"/>
          <w:lang w:val="es-ES_tradnl" w:eastAsia="zh-CN"/>
        </w:rPr>
        <w:t>para el s</w:t>
      </w:r>
      <w:r w:rsidRPr="00EA5078">
        <w:rPr>
          <w:color w:val="000000"/>
          <w:lang w:val="es-ES_tradnl"/>
        </w:rPr>
        <w:t>istema de telecomunicaciones móviles universales (UMTS)</w:t>
      </w:r>
      <w:r>
        <w:rPr>
          <w:color w:val="000000"/>
          <w:lang w:val="es-ES_tradnl"/>
        </w:rPr>
        <w:t xml:space="preserve"> y para dispositivos de </w:t>
      </w:r>
      <w:r w:rsidRPr="001964E9">
        <w:rPr>
          <w:color w:val="000000"/>
          <w:lang w:val="es-ES_tradnl"/>
        </w:rPr>
        <w:t>evolución a largo plazo (LTE)</w:t>
      </w:r>
      <w:r>
        <w:rPr>
          <w:color w:val="000000"/>
          <w:lang w:val="es-ES_tradnl"/>
        </w:rPr>
        <w:t>; la Asociación del sector de las telecomunicaciones atribuye los identificadores</w:t>
      </w:r>
      <w:r w:rsidRPr="00EA5078">
        <w:rPr>
          <w:rFonts w:cs="Helvetica Neue"/>
          <w:szCs w:val="26"/>
          <w:lang w:val="es-ES_tradnl" w:eastAsia="zh-CN"/>
        </w:rPr>
        <w:t xml:space="preserve"> </w:t>
      </w:r>
      <w:r>
        <w:rPr>
          <w:rFonts w:cs="Helvetica Neue"/>
          <w:szCs w:val="26"/>
          <w:lang w:val="es-ES_tradnl" w:eastAsia="zh-CN"/>
        </w:rPr>
        <w:t>de los equipos móviles</w:t>
      </w:r>
      <w:r w:rsidRPr="00EA5078">
        <w:rPr>
          <w:rFonts w:cs="Helvetica Neue"/>
          <w:szCs w:val="26"/>
          <w:lang w:val="es-ES_tradnl" w:eastAsia="zh-CN"/>
        </w:rPr>
        <w:t xml:space="preserve"> </w:t>
      </w:r>
      <w:r>
        <w:rPr>
          <w:rFonts w:cs="Helvetica Neue"/>
          <w:szCs w:val="26"/>
          <w:lang w:val="es-ES_tradnl" w:eastAsia="zh-CN"/>
        </w:rPr>
        <w:t>(MEID</w:t>
      </w:r>
      <w:r w:rsidRPr="00EA5078">
        <w:rPr>
          <w:rFonts w:cs="Helvetica Neue"/>
          <w:szCs w:val="26"/>
          <w:lang w:val="es-ES_tradnl" w:eastAsia="zh-CN"/>
        </w:rPr>
        <w:t xml:space="preserve">) </w:t>
      </w:r>
      <w:r>
        <w:rPr>
          <w:rFonts w:cs="Helvetica Neue"/>
          <w:szCs w:val="26"/>
          <w:lang w:val="es-ES_tradnl" w:eastAsia="zh-CN"/>
        </w:rPr>
        <w:t xml:space="preserve">para dispositivos con acceso múltiple por división de código (AMDC) y </w:t>
      </w:r>
      <w:r>
        <w:rPr>
          <w:rFonts w:cs="Helvetica Neue"/>
          <w:szCs w:val="26"/>
          <w:lang w:val="es-ES_tradnl" w:eastAsia="zh-CN"/>
        </w:rPr>
        <w:lastRenderedPageBreak/>
        <w:t xml:space="preserve">GS1 gestiona los identificadores de código de barras. La ISO gestiona algunos dominios de identificadores y también actúa como la autoridad superior, incorporando los esquemas de identificador de otras organizaciones como la GS1. </w:t>
      </w:r>
    </w:p>
    <w:p w14:paraId="1D0CE420" w14:textId="0EDB13E2" w:rsidR="00533114" w:rsidRPr="006067B3" w:rsidRDefault="00533114" w:rsidP="002A3466">
      <w:pPr>
        <w:rPr>
          <w:lang w:val="es-ES_tradnl"/>
        </w:rPr>
      </w:pPr>
      <w:r w:rsidRPr="006067B3">
        <w:rPr>
          <w:lang w:val="es-ES_tradnl"/>
        </w:rPr>
        <w:t>Otro ejemplo es la marcación de los equipos para indicar que han sido aprobado</w:t>
      </w:r>
      <w:r>
        <w:rPr>
          <w:lang w:val="es-ES_tradnl"/>
        </w:rPr>
        <w:t>s</w:t>
      </w:r>
      <w:r w:rsidRPr="006067B3">
        <w:rPr>
          <w:lang w:val="es-ES_tradnl"/>
        </w:rPr>
        <w:t xml:space="preserve"> para su comercialización en un determinado país. Por ejemplo, Anatel </w:t>
      </w:r>
      <w:r>
        <w:rPr>
          <w:lang w:val="es-ES_tradnl"/>
        </w:rPr>
        <w:t>obliga</w:t>
      </w:r>
      <w:r w:rsidRPr="006067B3">
        <w:rPr>
          <w:lang w:val="es-ES_tradnl"/>
        </w:rPr>
        <w:t xml:space="preserve"> a que los cargadores y baterías de sus teléfonos móviles lleven una etiqueta segura definida en su Resolución 481/2007</w:t>
      </w:r>
      <w:r w:rsidR="002A3466">
        <w:rPr>
          <w:rStyle w:val="FootnoteReference"/>
          <w:lang w:val="es-ES_tradnl"/>
        </w:rPr>
        <w:footnoteReference w:id="2"/>
      </w:r>
      <w:r w:rsidRPr="006067B3">
        <w:rPr>
          <w:lang w:val="es-ES_tradnl"/>
        </w:rPr>
        <w:t xml:space="preserve">. </w:t>
      </w:r>
      <w:r>
        <w:rPr>
          <w:lang w:val="es-ES_tradnl"/>
        </w:rPr>
        <w:t>Véase la Figura 1</w:t>
      </w:r>
      <w:r w:rsidRPr="006067B3">
        <w:rPr>
          <w:lang w:val="es-ES_tradnl"/>
        </w:rPr>
        <w:t>.</w:t>
      </w:r>
    </w:p>
    <w:p w14:paraId="12985B0C" w14:textId="77777777" w:rsidR="00533114" w:rsidRDefault="00533114" w:rsidP="00C142FB">
      <w:pPr>
        <w:pStyle w:val="Figure"/>
      </w:pPr>
      <w:r w:rsidRPr="00536332">
        <w:rPr>
          <w:noProof/>
          <w:lang w:eastAsia="zh-CN"/>
        </w:rPr>
        <w:drawing>
          <wp:inline distT="0" distB="0" distL="0" distR="0" wp14:anchorId="2AB37B71" wp14:editId="42935DD1">
            <wp:extent cx="2409825" cy="1737917"/>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d label.png"/>
                    <pic:cNvPicPr/>
                  </pic:nvPicPr>
                  <pic:blipFill>
                    <a:blip r:embed="rId47">
                      <a:extLst>
                        <a:ext uri="{28A0092B-C50C-407E-A947-70E740481C1C}">
                          <a14:useLocalDpi xmlns:a14="http://schemas.microsoft.com/office/drawing/2010/main" val="0"/>
                        </a:ext>
                      </a:extLst>
                    </a:blip>
                    <a:stretch>
                      <a:fillRect/>
                    </a:stretch>
                  </pic:blipFill>
                  <pic:spPr>
                    <a:xfrm>
                      <a:off x="0" y="0"/>
                      <a:ext cx="2414876" cy="1741560"/>
                    </a:xfrm>
                    <a:prstGeom prst="rect">
                      <a:avLst/>
                    </a:prstGeom>
                  </pic:spPr>
                </pic:pic>
              </a:graphicData>
            </a:graphic>
          </wp:inline>
        </w:drawing>
      </w:r>
    </w:p>
    <w:p w14:paraId="79E99068" w14:textId="77777777" w:rsidR="00533114" w:rsidRPr="00AB08A4" w:rsidRDefault="00533114" w:rsidP="00C142FB">
      <w:pPr>
        <w:pStyle w:val="FigureNotitle"/>
        <w:rPr>
          <w:lang w:val="es-ES_tradnl"/>
        </w:rPr>
      </w:pPr>
      <w:bookmarkStart w:id="193" w:name="_Toc286237446"/>
      <w:bookmarkStart w:id="194" w:name="_Toc286246115"/>
      <w:bookmarkStart w:id="195" w:name="_Toc404785084"/>
      <w:bookmarkStart w:id="196" w:name="_Toc447274536"/>
      <w:r w:rsidRPr="00AB08A4">
        <w:rPr>
          <w:lang w:val="es-ES_tradnl" w:bidi="ar-DZ"/>
        </w:rPr>
        <w:t>Figura 1 – Ejemplo de etiqueta segura exi</w:t>
      </w:r>
      <w:r>
        <w:rPr>
          <w:lang w:val="es-ES_tradnl" w:bidi="ar-DZ"/>
        </w:rPr>
        <w:t xml:space="preserve">gida por Anatel </w:t>
      </w:r>
      <w:r>
        <w:rPr>
          <w:lang w:val="es-ES_tradnl" w:bidi="ar-DZ"/>
        </w:rPr>
        <w:br/>
        <w:t>definida en su R</w:t>
      </w:r>
      <w:r w:rsidRPr="00AB08A4">
        <w:rPr>
          <w:lang w:val="es-ES_tradnl" w:bidi="ar-DZ"/>
        </w:rPr>
        <w:t>esoluci</w:t>
      </w:r>
      <w:r>
        <w:rPr>
          <w:lang w:val="es-ES_tradnl" w:bidi="ar-DZ"/>
        </w:rPr>
        <w:t>ón</w:t>
      </w:r>
      <w:r w:rsidRPr="00AB08A4">
        <w:rPr>
          <w:lang w:val="es-ES_tradnl" w:bidi="ar-DZ"/>
        </w:rPr>
        <w:t xml:space="preserve"> 481/2007</w:t>
      </w:r>
      <w:bookmarkEnd w:id="193"/>
      <w:bookmarkEnd w:id="194"/>
      <w:bookmarkEnd w:id="195"/>
      <w:bookmarkEnd w:id="196"/>
    </w:p>
    <w:p w14:paraId="1055D6B4" w14:textId="15DFF34E" w:rsidR="00533114" w:rsidRPr="00AB08A4" w:rsidRDefault="00533114" w:rsidP="00340355">
      <w:pPr>
        <w:pStyle w:val="Normalaftertitle"/>
        <w:rPr>
          <w:lang w:val="es-ES_tradnl"/>
        </w:rPr>
      </w:pPr>
      <w:r w:rsidRPr="00AB08A4">
        <w:rPr>
          <w:lang w:val="es-ES_tradnl"/>
        </w:rPr>
        <w:t>Este planteamiento se ha utilizado en el sector de los equ</w:t>
      </w:r>
      <w:r>
        <w:rPr>
          <w:lang w:val="es-ES_tradnl"/>
        </w:rPr>
        <w:t>ipos de telecomunicaciones dura</w:t>
      </w:r>
      <w:r w:rsidRPr="00AB08A4">
        <w:rPr>
          <w:lang w:val="es-ES_tradnl"/>
        </w:rPr>
        <w:t xml:space="preserve">nte muchos años </w:t>
      </w:r>
      <w:r>
        <w:rPr>
          <w:lang w:val="es-ES_tradnl"/>
        </w:rPr>
        <w:t>y se llevó a cabo con éxito en algunos países y algunas regiones</w:t>
      </w:r>
      <w:r w:rsidR="002A3466">
        <w:rPr>
          <w:rStyle w:val="FootnoteReference"/>
          <w:lang w:val="es-ES_tradnl"/>
        </w:rPr>
        <w:footnoteReference w:id="3"/>
      </w:r>
      <w:r w:rsidRPr="00AB08A4">
        <w:rPr>
          <w:lang w:val="es-ES_tradnl"/>
        </w:rPr>
        <w:t xml:space="preserve"> </w:t>
      </w:r>
      <w:r>
        <w:rPr>
          <w:lang w:val="es-ES_tradnl"/>
        </w:rPr>
        <w:t>(por ejemplo,</w:t>
      </w:r>
      <w:r w:rsidRPr="00AB08A4">
        <w:rPr>
          <w:lang w:val="es-ES_tradnl"/>
        </w:rPr>
        <w:t xml:space="preserve"> FCC</w:t>
      </w:r>
      <w:r w:rsidR="002A3466">
        <w:rPr>
          <w:rStyle w:val="FootnoteReference"/>
          <w:lang w:val="es-ES_tradnl"/>
        </w:rPr>
        <w:footnoteReference w:id="4"/>
      </w:r>
      <w:r w:rsidRPr="00AB08A4">
        <w:rPr>
          <w:lang w:val="es-ES_tradnl"/>
        </w:rPr>
        <w:t>, Anatel</w:t>
      </w:r>
      <w:r w:rsidR="002A3466">
        <w:rPr>
          <w:rStyle w:val="FootnoteReference"/>
          <w:lang w:val="es-ES_tradnl"/>
        </w:rPr>
        <w:footnoteReference w:id="5"/>
      </w:r>
      <w:r w:rsidRPr="00AB08A4">
        <w:rPr>
          <w:lang w:val="es-ES_tradnl"/>
        </w:rPr>
        <w:t xml:space="preserve">, </w:t>
      </w:r>
      <w:r>
        <w:rPr>
          <w:lang w:val="es-ES_tradnl"/>
        </w:rPr>
        <w:t>UE</w:t>
      </w:r>
      <w:r w:rsidR="00340355">
        <w:rPr>
          <w:rStyle w:val="FootnoteReference"/>
          <w:lang w:val="es-ES_tradnl"/>
        </w:rPr>
        <w:footnoteReference w:id="6"/>
      </w:r>
      <w:r w:rsidRPr="00AB08A4">
        <w:rPr>
          <w:lang w:val="es-ES_tradnl"/>
        </w:rPr>
        <w:t>).</w:t>
      </w:r>
    </w:p>
    <w:p w14:paraId="481A60AD" w14:textId="77777777" w:rsidR="00533114" w:rsidRPr="00011D2D" w:rsidRDefault="00533114" w:rsidP="00C142FB">
      <w:pPr>
        <w:rPr>
          <w:lang w:val="es-ES_tradnl"/>
        </w:rPr>
      </w:pPr>
      <w:r w:rsidRPr="00AB08A4">
        <w:rPr>
          <w:lang w:val="es-ES_tradnl"/>
        </w:rPr>
        <w:t xml:space="preserve">Los </w:t>
      </w:r>
      <w:r>
        <w:rPr>
          <w:lang w:val="es-ES_tradnl"/>
        </w:rPr>
        <w:t>funcionarios</w:t>
      </w:r>
      <w:r w:rsidRPr="00AB08A4">
        <w:rPr>
          <w:lang w:val="es-ES_tradnl"/>
        </w:rPr>
        <w:t xml:space="preserve"> de aduanas deben ser capaces de identificar productos falsificados y </w:t>
      </w:r>
      <w:r>
        <w:rPr>
          <w:lang w:val="es-ES_tradnl"/>
        </w:rPr>
        <w:t>de vigilar</w:t>
      </w:r>
      <w:r w:rsidRPr="00AB08A4">
        <w:rPr>
          <w:lang w:val="es-ES_tradnl"/>
        </w:rPr>
        <w:t xml:space="preserve"> el </w:t>
      </w:r>
      <w:r>
        <w:rPr>
          <w:lang w:val="es-ES_tradnl"/>
        </w:rPr>
        <w:t>m</w:t>
      </w:r>
      <w:r w:rsidRPr="00AB08A4">
        <w:rPr>
          <w:lang w:val="es-ES_tradnl"/>
        </w:rPr>
        <w:t xml:space="preserve">ercado y </w:t>
      </w:r>
      <w:r>
        <w:rPr>
          <w:lang w:val="es-ES_tradnl"/>
        </w:rPr>
        <w:t xml:space="preserve">de aplicar </w:t>
      </w:r>
      <w:r w:rsidRPr="00AB08A4">
        <w:rPr>
          <w:lang w:val="es-ES_tradnl"/>
        </w:rPr>
        <w:t>otras medidas</w:t>
      </w:r>
      <w:r w:rsidRPr="00F265E0">
        <w:rPr>
          <w:lang w:val="es-ES_tradnl"/>
        </w:rPr>
        <w:t xml:space="preserve"> </w:t>
      </w:r>
      <w:r>
        <w:rPr>
          <w:lang w:val="es-ES_tradnl"/>
        </w:rPr>
        <w:t>necesarias</w:t>
      </w:r>
      <w:r w:rsidRPr="00AB08A4">
        <w:rPr>
          <w:lang w:val="es-ES_tradnl"/>
        </w:rPr>
        <w:t xml:space="preserve"> </w:t>
      </w:r>
      <w:r>
        <w:rPr>
          <w:lang w:val="es-ES_tradnl"/>
        </w:rPr>
        <w:t>para la observancia de la ley. Además, se puede</w:t>
      </w:r>
      <w:r w:rsidRPr="00011D2D">
        <w:rPr>
          <w:lang w:val="es-ES_tradnl"/>
        </w:rPr>
        <w:t xml:space="preserve"> identificar a los importadores con antecedente</w:t>
      </w:r>
      <w:r>
        <w:rPr>
          <w:lang w:val="es-ES_tradnl"/>
        </w:rPr>
        <w:t>s</w:t>
      </w:r>
      <w:r w:rsidRPr="00011D2D">
        <w:rPr>
          <w:lang w:val="es-ES_tradnl"/>
        </w:rPr>
        <w:t xml:space="preserve"> de ignorar los controles de importación e incluirlos en una lista especial.</w:t>
      </w:r>
      <w:r>
        <w:rPr>
          <w:lang w:val="es-ES_tradnl"/>
        </w:rPr>
        <w:t xml:space="preserve"> </w:t>
      </w:r>
      <w:r w:rsidRPr="00011D2D">
        <w:rPr>
          <w:lang w:val="es-ES_tradnl"/>
        </w:rPr>
        <w:t>Cuando importadores clandestinos importan envíos de</w:t>
      </w:r>
      <w:r>
        <w:rPr>
          <w:lang w:val="es-ES_tradnl"/>
        </w:rPr>
        <w:t xml:space="preserve"> equipos TIC se puede alertar al organismo regulador </w:t>
      </w:r>
      <w:r w:rsidRPr="00011D2D">
        <w:rPr>
          <w:lang w:val="es-ES_tradnl"/>
        </w:rPr>
        <w:t>para que pueda tomar medidas y llevar a cabo inspecciones con el fin de garantizar el cumplimiento de las leyes.</w:t>
      </w:r>
      <w:r>
        <w:rPr>
          <w:lang w:val="es-ES_tradnl"/>
        </w:rPr>
        <w:t xml:space="preserve"> Véase la Figura 2.</w:t>
      </w:r>
    </w:p>
    <w:p w14:paraId="36FBA9E9" w14:textId="77777777" w:rsidR="00533114" w:rsidRDefault="00533114" w:rsidP="00C142FB">
      <w:pPr>
        <w:pStyle w:val="Figure"/>
      </w:pPr>
      <w:r>
        <w:object w:dxaOrig="6031" w:dyaOrig="4352" w14:anchorId="52627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289.5pt" o:ole="">
            <v:imagedata r:id="rId48" o:title=""/>
          </v:shape>
          <o:OLEObject Type="Embed" ProgID="CorelDraw.Graphic.16" ShapeID="_x0000_i1025" DrawAspect="Content" ObjectID="_1521536381" r:id="rId49"/>
        </w:object>
      </w:r>
    </w:p>
    <w:p w14:paraId="6FB21A0C" w14:textId="77777777" w:rsidR="00533114" w:rsidRDefault="00533114" w:rsidP="00C142FB">
      <w:pPr>
        <w:pStyle w:val="FigureNotitle"/>
        <w:rPr>
          <w:lang w:val="es-ES_tradnl" w:bidi="ar-DZ"/>
        </w:rPr>
      </w:pPr>
      <w:bookmarkStart w:id="197" w:name="_Toc404785085"/>
      <w:bookmarkStart w:id="198" w:name="_Toc447274537"/>
      <w:r w:rsidRPr="001A1235">
        <w:rPr>
          <w:lang w:val="es-ES_tradnl" w:bidi="ar-DZ"/>
        </w:rPr>
        <w:t xml:space="preserve">Figura 2 – Ecosistema de evaluación de </w:t>
      </w:r>
      <w:r>
        <w:rPr>
          <w:lang w:val="es-ES_tradnl" w:bidi="ar-DZ"/>
        </w:rPr>
        <w:t xml:space="preserve">la </w:t>
      </w:r>
      <w:r w:rsidRPr="001A1235">
        <w:rPr>
          <w:lang w:val="es-ES_tradnl" w:bidi="ar-DZ"/>
        </w:rPr>
        <w:t>conformidad</w:t>
      </w:r>
      <w:bookmarkEnd w:id="197"/>
      <w:bookmarkEnd w:id="198"/>
    </w:p>
    <w:p w14:paraId="1E9E265D" w14:textId="77777777" w:rsidR="00533114" w:rsidRPr="00DD5816" w:rsidRDefault="00533114" w:rsidP="00C142FB">
      <w:pPr>
        <w:pStyle w:val="Normalaftertitle"/>
        <w:rPr>
          <w:lang w:val="es-ES_tradnl"/>
        </w:rPr>
      </w:pPr>
      <w:r w:rsidRPr="00DD5816">
        <w:rPr>
          <w:lang w:val="es-ES_tradnl"/>
        </w:rPr>
        <w:t>Cabe destacar que</w:t>
      </w:r>
      <w:r>
        <w:rPr>
          <w:lang w:val="es-ES_tradnl"/>
        </w:rPr>
        <w:t xml:space="preserve"> </w:t>
      </w:r>
      <w:r w:rsidRPr="00DD5816">
        <w:rPr>
          <w:lang w:val="es-ES_tradnl"/>
        </w:rPr>
        <w:t>los productos falsificados podrían de hecho cumplir determinados requisitos, interactuar con productos auténticos y, por tanto, superar las pruebas de conformidad y de interfuncionamiento.</w:t>
      </w:r>
      <w:r>
        <w:rPr>
          <w:lang w:val="es-ES_tradnl"/>
        </w:rPr>
        <w:t xml:space="preserve"> </w:t>
      </w:r>
      <w:r w:rsidRPr="00DD5816">
        <w:rPr>
          <w:lang w:val="es-ES_tradnl"/>
        </w:rPr>
        <w:t>En este caso, puede ser necesaria la evaluaci</w:t>
      </w:r>
      <w:r>
        <w:rPr>
          <w:lang w:val="es-ES_tradnl"/>
        </w:rPr>
        <w:t>ón</w:t>
      </w:r>
      <w:r w:rsidRPr="00DD5816">
        <w:rPr>
          <w:lang w:val="es-ES_tradnl"/>
        </w:rPr>
        <w:t xml:space="preserve"> por el propietario de la marca registrada para identificar con precisi</w:t>
      </w:r>
      <w:r>
        <w:rPr>
          <w:lang w:val="es-ES_tradnl"/>
        </w:rPr>
        <w:t>ón los productos falsificados y distinguirlos de los productos auténticos</w:t>
      </w:r>
      <w:r w:rsidRPr="00DD5816">
        <w:rPr>
          <w:lang w:val="es-ES_tradnl"/>
        </w:rPr>
        <w:t>.</w:t>
      </w:r>
    </w:p>
    <w:p w14:paraId="343275C2" w14:textId="77777777" w:rsidR="00533114" w:rsidRPr="00DD5816" w:rsidRDefault="00533114" w:rsidP="00C142FB">
      <w:pPr>
        <w:rPr>
          <w:lang w:val="es-ES_tradnl"/>
        </w:rPr>
      </w:pPr>
      <w:r w:rsidRPr="00DD5816">
        <w:rPr>
          <w:lang w:val="es-ES_tradnl"/>
        </w:rPr>
        <w:t xml:space="preserve">El sector de las TIC se </w:t>
      </w:r>
      <w:r>
        <w:rPr>
          <w:lang w:val="es-ES_tradnl"/>
        </w:rPr>
        <w:t>distingue</w:t>
      </w:r>
      <w:r w:rsidRPr="00DD5816">
        <w:rPr>
          <w:lang w:val="es-ES_tradnl"/>
        </w:rPr>
        <w:t xml:space="preserve"> por la amplia presencia de competidores internacionales que promueven una innovaci</w:t>
      </w:r>
      <w:r>
        <w:rPr>
          <w:lang w:val="es-ES_tradnl"/>
        </w:rPr>
        <w:t xml:space="preserve">ón constante. </w:t>
      </w:r>
      <w:r w:rsidRPr="00DD5816">
        <w:rPr>
          <w:lang w:val="es-ES_tradnl"/>
        </w:rPr>
        <w:t>Aunque sea una condición deseable, el mercad</w:t>
      </w:r>
      <w:r>
        <w:rPr>
          <w:lang w:val="es-ES_tradnl"/>
        </w:rPr>
        <w:t>o</w:t>
      </w:r>
      <w:r w:rsidRPr="00DD5816">
        <w:rPr>
          <w:lang w:val="es-ES_tradnl"/>
        </w:rPr>
        <w:t>, al mismo tiempo, est</w:t>
      </w:r>
      <w:r>
        <w:rPr>
          <w:lang w:val="es-ES_tradnl"/>
        </w:rPr>
        <w:t>á expuesto a fabricantes y vendedores nada comprometidos con el cumplimiento de las normas vigentes internacionales, regionales o nacionales</w:t>
      </w:r>
      <w:r w:rsidRPr="00DD5816">
        <w:rPr>
          <w:lang w:val="es-ES_tradnl"/>
        </w:rPr>
        <w:t xml:space="preserve">. </w:t>
      </w:r>
    </w:p>
    <w:p w14:paraId="0EDC6141" w14:textId="77777777" w:rsidR="00533114" w:rsidRDefault="00533114" w:rsidP="00C142FB">
      <w:pPr>
        <w:rPr>
          <w:lang w:val="es-ES_tradnl"/>
        </w:rPr>
      </w:pPr>
      <w:r w:rsidRPr="004E57BD">
        <w:rPr>
          <w:lang w:val="es-ES_tradnl"/>
        </w:rPr>
        <w:t>El problema de la información asimétrica resulta más evidente en los países en desarrollo, en los que poco o nada se han desarrollado tecnolog</w:t>
      </w:r>
      <w:r>
        <w:rPr>
          <w:lang w:val="es-ES_tradnl"/>
        </w:rPr>
        <w:t xml:space="preserve">ías y procedimientos de evaluación de la conformidad. </w:t>
      </w:r>
      <w:r w:rsidRPr="004E57BD">
        <w:rPr>
          <w:lang w:val="es-ES_tradnl"/>
        </w:rPr>
        <w:t>Los problemas típicos a los que habitualmente se enfrentan al gestionar sistemas de evaluación de la conformidad son la falta de informaci</w:t>
      </w:r>
      <w:r>
        <w:rPr>
          <w:lang w:val="es-ES_tradnl"/>
        </w:rPr>
        <w:t>ón contrastada y</w:t>
      </w:r>
      <w:r w:rsidRPr="004E57BD">
        <w:rPr>
          <w:lang w:val="es-ES_tradnl"/>
        </w:rPr>
        <w:t xml:space="preserve"> </w:t>
      </w:r>
      <w:r>
        <w:rPr>
          <w:lang w:val="es-ES_tradnl"/>
        </w:rPr>
        <w:t>comprobable como en los casos siguientes</w:t>
      </w:r>
      <w:r w:rsidRPr="004E57BD">
        <w:rPr>
          <w:lang w:val="es-ES_tradnl"/>
        </w:rPr>
        <w:t>: i)</w:t>
      </w:r>
      <w:r>
        <w:rPr>
          <w:lang w:val="es-ES_tradnl"/>
        </w:rPr>
        <w:t> identificación del origen o del responsable jurídico de los productos</w:t>
      </w:r>
      <w:r w:rsidRPr="004E57BD">
        <w:rPr>
          <w:lang w:val="es-ES_tradnl"/>
        </w:rPr>
        <w:t xml:space="preserve">; ii) </w:t>
      </w:r>
      <w:r>
        <w:rPr>
          <w:lang w:val="es-ES_tradnl"/>
        </w:rPr>
        <w:t>emplazamientos de los fabricantes</w:t>
      </w:r>
      <w:r w:rsidRPr="004E57BD">
        <w:rPr>
          <w:lang w:val="es-ES_tradnl"/>
        </w:rPr>
        <w:t xml:space="preserve">; iii) </w:t>
      </w:r>
      <w:r>
        <w:rPr>
          <w:lang w:val="es-ES_tradnl"/>
        </w:rPr>
        <w:t>organismos de certificación</w:t>
      </w:r>
      <w:r w:rsidRPr="004E57BD">
        <w:rPr>
          <w:lang w:val="es-ES_tradnl"/>
        </w:rPr>
        <w:t xml:space="preserve">; </w:t>
      </w:r>
      <w:r>
        <w:rPr>
          <w:lang w:val="es-ES_tradnl"/>
        </w:rPr>
        <w:t>y</w:t>
      </w:r>
      <w:r w:rsidRPr="004E57BD">
        <w:rPr>
          <w:lang w:val="es-ES_tradnl"/>
        </w:rPr>
        <w:t xml:space="preserve"> iv) </w:t>
      </w:r>
      <w:r>
        <w:rPr>
          <w:lang w:val="es-ES_tradnl"/>
        </w:rPr>
        <w:t>laboratorios cualificados con certificados de acreditación legitimados</w:t>
      </w:r>
      <w:r w:rsidRPr="004E57BD">
        <w:rPr>
          <w:lang w:val="es-ES_tradnl"/>
        </w:rPr>
        <w:t xml:space="preserve">. </w:t>
      </w:r>
      <w:r w:rsidRPr="00650E9E">
        <w:rPr>
          <w:lang w:val="es-ES_tradnl"/>
        </w:rPr>
        <w:t>En algunos casos, importadores sin conocimientos técnicos ni capacidad para proporcionar asistencia pueden rep</w:t>
      </w:r>
      <w:r>
        <w:rPr>
          <w:lang w:val="es-ES_tradnl"/>
        </w:rPr>
        <w:t>resentar a empresas extranjeras</w:t>
      </w:r>
      <w:r w:rsidRPr="00650E9E">
        <w:rPr>
          <w:lang w:val="es-ES_tradnl"/>
        </w:rPr>
        <w:t xml:space="preserve"> que han </w:t>
      </w:r>
      <w:r>
        <w:rPr>
          <w:lang w:val="es-ES_tradnl"/>
        </w:rPr>
        <w:t>subcontratado</w:t>
      </w:r>
      <w:r w:rsidRPr="00650E9E">
        <w:rPr>
          <w:lang w:val="es-ES_tradnl"/>
        </w:rPr>
        <w:t xml:space="preserve"> sus unidades de ingenier</w:t>
      </w:r>
      <w:r>
        <w:rPr>
          <w:lang w:val="es-ES_tradnl"/>
        </w:rPr>
        <w:t xml:space="preserve">ía y de fabricación en otros países (por ejemplo, </w:t>
      </w:r>
      <w:r w:rsidRPr="00650E9E">
        <w:rPr>
          <w:lang w:val="es-ES_tradnl"/>
        </w:rPr>
        <w:t>esquemas de subcontratación). Aun</w:t>
      </w:r>
      <w:r>
        <w:rPr>
          <w:lang w:val="es-ES_tradnl"/>
        </w:rPr>
        <w:t>que estos procesos supongan un</w:t>
      </w:r>
      <w:r w:rsidRPr="00650E9E">
        <w:rPr>
          <w:lang w:val="es-ES_tradnl"/>
        </w:rPr>
        <w:t xml:space="preserve"> ahorro en los procesos de producción, la calidad y la responsabilidad en la fabricación de equipos de telecomunicaciones y de las TIC se ven disminuidas</w:t>
      </w:r>
      <w:r>
        <w:rPr>
          <w:lang w:val="es-ES_tradnl"/>
        </w:rPr>
        <w:t>.</w:t>
      </w:r>
    </w:p>
    <w:p w14:paraId="378BC2EC" w14:textId="77777777" w:rsidR="00533114" w:rsidRPr="00650E9E" w:rsidRDefault="00533114" w:rsidP="00C142FB">
      <w:pPr>
        <w:rPr>
          <w:lang w:val="es-ES_tradnl"/>
        </w:rPr>
      </w:pPr>
      <w:r w:rsidRPr="00650E9E">
        <w:rPr>
          <w:lang w:val="es-ES_tradnl"/>
        </w:rPr>
        <w:t>Uno puede suponer que los intereses, la codicia, la falta de normas y/o su escasa aplicación redundan en equipos de baja calidad. En algunos casos, equipos de la misma marca o modelo, certifi</w:t>
      </w:r>
      <w:r>
        <w:rPr>
          <w:lang w:val="es-ES_tradnl"/>
        </w:rPr>
        <w:t>cados</w:t>
      </w:r>
      <w:r w:rsidRPr="00650E9E">
        <w:rPr>
          <w:lang w:val="es-ES_tradnl"/>
        </w:rPr>
        <w:t xml:space="preserve">, están hechos y vendidos con componentes electrónicos diferentes, algunos buenos, otros malos, y enviados a un destino u otro, en función de su laxitud con la calidad. El procedimiento conocido como tropicalização (tropicalización en portugués) viene a la mente como </w:t>
      </w:r>
      <w:r w:rsidRPr="00650E9E">
        <w:rPr>
          <w:lang w:val="es-ES_tradnl"/>
        </w:rPr>
        <w:lastRenderedPageBreak/>
        <w:t>un ejemplo de este comportamiento con los equipos destinados a la venta al Sur del Ecuador.</w:t>
      </w:r>
      <w:r>
        <w:rPr>
          <w:lang w:val="es-ES_tradnl"/>
        </w:rPr>
        <w:t xml:space="preserve"> Véase la Figura 3.</w:t>
      </w:r>
    </w:p>
    <w:p w14:paraId="07C19614" w14:textId="77777777" w:rsidR="00533114" w:rsidRDefault="00533114" w:rsidP="00C142FB">
      <w:pPr>
        <w:pStyle w:val="Figure"/>
      </w:pPr>
      <w:r>
        <w:object w:dxaOrig="6073" w:dyaOrig="4667" w14:anchorId="278C186A">
          <v:shape id="_x0000_i1026" type="#_x0000_t75" style="width:402pt;height:309pt" o:ole="">
            <v:imagedata r:id="rId50" o:title=""/>
          </v:shape>
          <o:OLEObject Type="Embed" ProgID="CorelDraw.Graphic.16" ShapeID="_x0000_i1026" DrawAspect="Content" ObjectID="_1521536382" r:id="rId51"/>
        </w:object>
      </w:r>
    </w:p>
    <w:p w14:paraId="28A7358A" w14:textId="77777777" w:rsidR="00533114" w:rsidRDefault="00533114" w:rsidP="00C142FB">
      <w:pPr>
        <w:pStyle w:val="FigureNotitle"/>
        <w:rPr>
          <w:lang w:val="es-ES_tradnl" w:bidi="ar-DZ"/>
        </w:rPr>
      </w:pPr>
      <w:bookmarkStart w:id="199" w:name="_Toc401159833"/>
      <w:bookmarkStart w:id="200" w:name="_Toc404785086"/>
      <w:bookmarkStart w:id="201" w:name="_Toc447274538"/>
      <w:r w:rsidRPr="003A291F">
        <w:rPr>
          <w:lang w:val="es-ES_tradnl" w:bidi="ar-DZ"/>
        </w:rPr>
        <w:t>Figura 3 – Procedimiento conocido como tropicalização (</w:t>
      </w:r>
      <w:r>
        <w:rPr>
          <w:lang w:val="es-ES_tradnl" w:bidi="ar-DZ"/>
        </w:rPr>
        <w:t>tropicalización en portugués</w:t>
      </w:r>
      <w:bookmarkEnd w:id="199"/>
      <w:bookmarkEnd w:id="200"/>
      <w:r>
        <w:rPr>
          <w:lang w:val="es-ES_tradnl" w:bidi="ar-DZ"/>
        </w:rPr>
        <w:t>)</w:t>
      </w:r>
      <w:bookmarkEnd w:id="201"/>
    </w:p>
    <w:p w14:paraId="31BDB26B" w14:textId="0BF375EA" w:rsidR="00533114" w:rsidRPr="007435A4" w:rsidRDefault="00533114" w:rsidP="00C142FB">
      <w:pPr>
        <w:pStyle w:val="Heading2"/>
        <w:rPr>
          <w:lang w:val="es-ES_tradnl"/>
        </w:rPr>
      </w:pPr>
      <w:bookmarkStart w:id="202" w:name="_Toc404607204"/>
      <w:bookmarkStart w:id="203" w:name="_Toc406670414"/>
      <w:bookmarkStart w:id="204" w:name="_Toc447202548"/>
      <w:bookmarkStart w:id="205" w:name="_Toc447203029"/>
      <w:r w:rsidRPr="007435A4">
        <w:rPr>
          <w:lang w:val="es-ES_tradnl"/>
        </w:rPr>
        <w:t>7.2</w:t>
      </w:r>
      <w:r>
        <w:rPr>
          <w:lang w:val="es-ES_tradnl"/>
        </w:rPr>
        <w:tab/>
        <w:t>Falsificación</w:t>
      </w:r>
      <w:r w:rsidRPr="007435A4">
        <w:rPr>
          <w:lang w:val="es-ES_tradnl"/>
        </w:rPr>
        <w:t xml:space="preserve"> de identificadores y de logotipos de homologaci</w:t>
      </w:r>
      <w:r>
        <w:rPr>
          <w:lang w:val="es-ES_tradnl"/>
        </w:rPr>
        <w:t>ón</w:t>
      </w:r>
      <w:bookmarkEnd w:id="202"/>
      <w:bookmarkEnd w:id="203"/>
      <w:bookmarkEnd w:id="204"/>
      <w:bookmarkEnd w:id="205"/>
    </w:p>
    <w:p w14:paraId="5572910E" w14:textId="77777777" w:rsidR="00533114" w:rsidRPr="000836F0" w:rsidDel="002915F3" w:rsidRDefault="00533114" w:rsidP="00C142FB">
      <w:pPr>
        <w:rPr>
          <w:lang w:val="es-ES_tradnl"/>
        </w:rPr>
      </w:pPr>
      <w:r w:rsidRPr="00B44D2B">
        <w:rPr>
          <w:lang w:val="es-ES_tradnl"/>
        </w:rPr>
        <w:t xml:space="preserve">Todos los identificadores generados por fabricantes de mercancías </w:t>
      </w:r>
      <w:r>
        <w:rPr>
          <w:lang w:val="es-ES_tradnl"/>
        </w:rPr>
        <w:t>auténtica</w:t>
      </w:r>
      <w:r w:rsidRPr="00B44D2B">
        <w:rPr>
          <w:lang w:val="es-ES_tradnl"/>
        </w:rPr>
        <w:t xml:space="preserve">s pueden y son falsificados por falsificadores con el fin de lograr sus objetivos de engañar al consumidor y a las autoridades para hacerles creer que el producto es genuino. </w:t>
      </w:r>
      <w:r w:rsidRPr="00A73C9A">
        <w:rPr>
          <w:lang w:val="es-ES"/>
        </w:rPr>
        <w:t>Es un problema para muchos sectores, no s</w:t>
      </w:r>
      <w:r>
        <w:rPr>
          <w:lang w:val="es-ES"/>
        </w:rPr>
        <w:t>ó</w:t>
      </w:r>
      <w:r w:rsidRPr="00A73C9A">
        <w:rPr>
          <w:lang w:val="es-ES"/>
        </w:rPr>
        <w:t>lo para el de las TIC. E</w:t>
      </w:r>
      <w:r w:rsidRPr="00FB037D">
        <w:rPr>
          <w:lang w:val="es-ES_tradnl"/>
        </w:rPr>
        <w:t>l lector debe tener en cuenta que cualquier mecanismo de identificación y su seguridad pueden ser el objetivo de los falsificadores y de los delincuentes.</w:t>
      </w:r>
      <w:r>
        <w:rPr>
          <w:lang w:val="es-ES_tradnl"/>
        </w:rPr>
        <w:t xml:space="preserve"> </w:t>
      </w:r>
      <w:r w:rsidRPr="00FB037D">
        <w:rPr>
          <w:lang w:val="es-ES_tradnl"/>
        </w:rPr>
        <w:t xml:space="preserve">Los logotipos e iconos de homologación así como los identificadores electrónicos a menudo se subvierten </w:t>
      </w:r>
      <w:r>
        <w:rPr>
          <w:lang w:val="es-ES_tradnl"/>
        </w:rPr>
        <w:t xml:space="preserve">deliberadamente </w:t>
      </w:r>
      <w:r w:rsidRPr="00FB037D">
        <w:rPr>
          <w:lang w:val="es-ES_tradnl"/>
        </w:rPr>
        <w:t xml:space="preserve">con el fin de </w:t>
      </w:r>
      <w:r>
        <w:rPr>
          <w:lang w:val="es-ES_tradnl"/>
        </w:rPr>
        <w:t xml:space="preserve">evadir el control de las aduanas y </w:t>
      </w:r>
      <w:r w:rsidRPr="00FB037D">
        <w:rPr>
          <w:lang w:val="es-ES_tradnl"/>
        </w:rPr>
        <w:t xml:space="preserve">el cumplimiento de la ley en las fronteras. Esto genera problemas prácticos para los fabricantes, </w:t>
      </w:r>
      <w:r>
        <w:rPr>
          <w:lang w:val="es-ES_tradnl"/>
        </w:rPr>
        <w:t xml:space="preserve">los </w:t>
      </w:r>
      <w:r w:rsidRPr="00FB037D">
        <w:rPr>
          <w:lang w:val="es-ES_tradnl"/>
        </w:rPr>
        <w:t xml:space="preserve">consumidores y </w:t>
      </w:r>
      <w:r>
        <w:rPr>
          <w:lang w:val="es-ES_tradnl"/>
        </w:rPr>
        <w:t xml:space="preserve">los </w:t>
      </w:r>
      <w:r w:rsidRPr="00FB037D">
        <w:rPr>
          <w:color w:val="000000"/>
          <w:lang w:val="es-ES_tradnl"/>
        </w:rPr>
        <w:t xml:space="preserve">funcionarios encargados de las aduanas y </w:t>
      </w:r>
      <w:r>
        <w:rPr>
          <w:color w:val="000000"/>
          <w:lang w:val="es-ES_tradnl"/>
        </w:rPr>
        <w:t>de</w:t>
      </w:r>
      <w:r w:rsidRPr="00FB037D">
        <w:rPr>
          <w:color w:val="000000"/>
          <w:lang w:val="es-ES_tradnl"/>
        </w:rPr>
        <w:t xml:space="preserve"> observancia de la ley</w:t>
      </w:r>
      <w:r>
        <w:rPr>
          <w:color w:val="000000"/>
          <w:lang w:val="es-ES_tradnl"/>
        </w:rPr>
        <w:t xml:space="preserve"> que tienen dificultades a la hora de identificar las marcas de identificación fraudulentas de las auténticas, incluso antes de tomar en consideración el propio producto</w:t>
      </w:r>
      <w:r w:rsidRPr="000836F0">
        <w:rPr>
          <w:lang w:val="es-ES_tradnl"/>
        </w:rPr>
        <w:t>.</w:t>
      </w:r>
      <w:r>
        <w:rPr>
          <w:lang w:val="es-ES_tradnl"/>
        </w:rPr>
        <w:t xml:space="preserve"> </w:t>
      </w:r>
    </w:p>
    <w:p w14:paraId="2733AC4A" w14:textId="2803030D" w:rsidR="00533114" w:rsidRPr="000836F0" w:rsidRDefault="00533114" w:rsidP="00C142FB">
      <w:pPr>
        <w:pStyle w:val="Heading2"/>
        <w:rPr>
          <w:lang w:val="es-ES_tradnl"/>
        </w:rPr>
      </w:pPr>
      <w:bookmarkStart w:id="206" w:name="_Toc447202549"/>
      <w:bookmarkStart w:id="207" w:name="_Toc447203030"/>
      <w:bookmarkStart w:id="208" w:name="_Toc200180738"/>
      <w:bookmarkStart w:id="209" w:name="_Toc200181306"/>
      <w:bookmarkStart w:id="210" w:name="_Toc211334032"/>
      <w:bookmarkStart w:id="211" w:name="_Toc404607205"/>
      <w:bookmarkStart w:id="212" w:name="_Toc406670415"/>
      <w:r w:rsidRPr="000836F0">
        <w:rPr>
          <w:lang w:val="es-ES_tradnl"/>
        </w:rPr>
        <w:t>7.3</w:t>
      </w:r>
      <w:r>
        <w:rPr>
          <w:lang w:val="es-ES_tradnl"/>
        </w:rPr>
        <w:tab/>
        <w:t>I</w:t>
      </w:r>
      <w:r w:rsidRPr="000836F0">
        <w:rPr>
          <w:lang w:val="es-ES_tradnl"/>
        </w:rPr>
        <w:t>dentidad internacional de equipo móvil (IMEI)</w:t>
      </w:r>
      <w:bookmarkEnd w:id="206"/>
      <w:bookmarkEnd w:id="207"/>
      <w:r w:rsidRPr="000836F0">
        <w:rPr>
          <w:lang w:val="es-ES_tradnl"/>
        </w:rPr>
        <w:t xml:space="preserve"> </w:t>
      </w:r>
      <w:bookmarkEnd w:id="208"/>
      <w:bookmarkEnd w:id="209"/>
      <w:bookmarkEnd w:id="210"/>
      <w:bookmarkEnd w:id="211"/>
      <w:bookmarkEnd w:id="212"/>
    </w:p>
    <w:p w14:paraId="0465636F" w14:textId="77777777" w:rsidR="00533114" w:rsidRPr="00F343B9" w:rsidRDefault="00533114" w:rsidP="00C142FB">
      <w:pPr>
        <w:spacing w:before="0"/>
        <w:rPr>
          <w:lang w:val="es-ES_tradnl"/>
        </w:rPr>
      </w:pPr>
      <w:r w:rsidRPr="000836F0">
        <w:rPr>
          <w:lang w:val="es-ES_tradnl"/>
        </w:rPr>
        <w:t>Como se ha indicado anteriormente, los teléfonos móviles han sido un objetivo particularment</w:t>
      </w:r>
      <w:r>
        <w:rPr>
          <w:lang w:val="es-ES_tradnl"/>
        </w:rPr>
        <w:t>e atractivo par</w:t>
      </w:r>
      <w:r w:rsidRPr="000836F0">
        <w:rPr>
          <w:lang w:val="es-ES_tradnl"/>
        </w:rPr>
        <w:t>a</w:t>
      </w:r>
      <w:r>
        <w:rPr>
          <w:lang w:val="es-ES_tradnl"/>
        </w:rPr>
        <w:t xml:space="preserve"> </w:t>
      </w:r>
      <w:r w:rsidRPr="000836F0">
        <w:rPr>
          <w:lang w:val="es-ES_tradnl"/>
        </w:rPr>
        <w:t>los falsificadores y, a su vez, el Foro de fabricantes de dispositivos m</w:t>
      </w:r>
      <w:r>
        <w:rPr>
          <w:lang w:val="es-ES_tradnl"/>
        </w:rPr>
        <w:t>óviles (MMF) ha creado una</w:t>
      </w:r>
      <w:r w:rsidRPr="000836F0">
        <w:rPr>
          <w:lang w:val="es-ES_tradnl"/>
        </w:rPr>
        <w:t xml:space="preserve"> </w:t>
      </w:r>
      <w:r>
        <w:rPr>
          <w:lang w:val="es-ES_tradnl"/>
        </w:rPr>
        <w:t>página web que ofrece información a los consumidores sobre cómo detectar teléfonos y baterías falsificados</w:t>
      </w:r>
      <w:r w:rsidRPr="000836F0">
        <w:rPr>
          <w:lang w:val="es-ES_tradnl"/>
        </w:rPr>
        <w:t xml:space="preserve">. </w:t>
      </w:r>
      <w:hyperlink r:id="rId52" w:history="1">
        <w:r w:rsidRPr="00477007">
          <w:rPr>
            <w:rStyle w:val="Hyperlink"/>
            <w:lang w:val="es-ES_tradnl"/>
          </w:rPr>
          <w:t>http://spotafakephone.com</w:t>
        </w:r>
      </w:hyperlink>
      <w:r w:rsidRPr="00477007">
        <w:rPr>
          <w:lang w:val="es-ES_tradnl"/>
        </w:rPr>
        <w:t xml:space="preserve">. </w:t>
      </w:r>
      <w:r w:rsidRPr="000836F0">
        <w:rPr>
          <w:lang w:val="es-ES_tradnl"/>
        </w:rPr>
        <w:t>Advierten de que se debe conocer la apariencia, capacidades, disponibilidad y precio de los artículos auténticos y también se debe comprobar el número de identidad internacional del equipo móvil</w:t>
      </w:r>
      <w:r>
        <w:rPr>
          <w:lang w:val="es-ES_tradnl"/>
        </w:rPr>
        <w:t xml:space="preserve"> (IMEI)</w:t>
      </w:r>
      <w:r w:rsidRPr="000836F0">
        <w:rPr>
          <w:lang w:val="es-ES_tradnl"/>
        </w:rPr>
        <w:t xml:space="preserve">. La IMEI es un identificador </w:t>
      </w:r>
      <w:r>
        <w:rPr>
          <w:lang w:val="es-ES_tradnl"/>
        </w:rPr>
        <w:t>exclusivo</w:t>
      </w:r>
      <w:r w:rsidRPr="000836F0">
        <w:rPr>
          <w:lang w:val="es-ES_tradnl"/>
        </w:rPr>
        <w:t xml:space="preserve"> para cada teléfono móvil y las falsificaciones a menudo no tienen una IMEI o tienen un número falso. </w:t>
      </w:r>
      <w:r w:rsidRPr="00F343B9">
        <w:rPr>
          <w:lang w:val="es-ES_tradnl"/>
        </w:rPr>
        <w:t>Un problema para los fabricantes, operadores de red y autoridades es que los falsificadores han mejorado su fabricación de</w:t>
      </w:r>
      <w:r>
        <w:rPr>
          <w:lang w:val="es-ES_tradnl"/>
        </w:rPr>
        <w:t xml:space="preserve"> </w:t>
      </w:r>
      <w:r w:rsidRPr="00F343B9">
        <w:rPr>
          <w:lang w:val="es-ES_tradnl"/>
        </w:rPr>
        <w:t xml:space="preserve">forma que a veces </w:t>
      </w:r>
      <w:r>
        <w:rPr>
          <w:lang w:val="es-ES_tradnl"/>
        </w:rPr>
        <w:t>el robo de</w:t>
      </w:r>
      <w:r w:rsidRPr="00F343B9">
        <w:rPr>
          <w:lang w:val="es-ES_tradnl"/>
        </w:rPr>
        <w:t xml:space="preserve"> números leg</w:t>
      </w:r>
      <w:r>
        <w:rPr>
          <w:lang w:val="es-ES_tradnl"/>
        </w:rPr>
        <w:t xml:space="preserve">ítimos de los fabricantes </w:t>
      </w:r>
      <w:r>
        <w:rPr>
          <w:lang w:val="es-ES_tradnl"/>
        </w:rPr>
        <w:lastRenderedPageBreak/>
        <w:t xml:space="preserve">forma parte de su estrategia de falsificación y se puede utilizar este método para que sus sistemas superen las comprobaciones de los números </w:t>
      </w:r>
      <w:r w:rsidRPr="00F343B9">
        <w:rPr>
          <w:lang w:val="es-ES_tradnl"/>
        </w:rPr>
        <w:t xml:space="preserve">IMEI. </w:t>
      </w:r>
    </w:p>
    <w:p w14:paraId="40A456EA" w14:textId="77777777" w:rsidR="00533114" w:rsidRPr="005D4B77" w:rsidRDefault="00533114" w:rsidP="00C142FB">
      <w:pPr>
        <w:rPr>
          <w:lang w:val="es-ES_tradnl"/>
        </w:rPr>
      </w:pPr>
      <w:r w:rsidRPr="00F343B9">
        <w:rPr>
          <w:lang w:val="es-ES_tradnl"/>
        </w:rPr>
        <w:t xml:space="preserve">La atribución de las IMEI corresponde a la GSMA para </w:t>
      </w:r>
      <w:r>
        <w:rPr>
          <w:lang w:val="es-ES_tradnl"/>
        </w:rPr>
        <w:t>garantizar</w:t>
      </w:r>
      <w:r w:rsidRPr="00F343B9">
        <w:rPr>
          <w:lang w:val="es-ES_tradnl"/>
        </w:rPr>
        <w:t xml:space="preserve"> que </w:t>
      </w:r>
      <w:r>
        <w:rPr>
          <w:lang w:val="es-ES_tradnl"/>
        </w:rPr>
        <w:t>sean</w:t>
      </w:r>
      <w:r w:rsidRPr="00F343B9">
        <w:rPr>
          <w:lang w:val="es-ES_tradnl"/>
        </w:rPr>
        <w:t xml:space="preserve"> </w:t>
      </w:r>
      <w:r>
        <w:rPr>
          <w:lang w:val="es-ES_tradnl"/>
        </w:rPr>
        <w:t>únicos. El esquema de atribución es jerárquico, asignando la GSMA identificadores de dos dígitos a órganos notificantes que atribuyen posteriormente</w:t>
      </w:r>
      <w:r w:rsidRPr="00F343B9">
        <w:rPr>
          <w:lang w:val="es-ES_tradnl"/>
        </w:rPr>
        <w:t xml:space="preserve"> </w:t>
      </w:r>
      <w:r>
        <w:rPr>
          <w:lang w:val="es-ES_tradnl"/>
        </w:rPr>
        <w:t xml:space="preserve">la IMEI y el número de serie a cada equipo. </w:t>
      </w:r>
      <w:r w:rsidRPr="005D4B77">
        <w:rPr>
          <w:lang w:val="es-ES_tradnl"/>
        </w:rPr>
        <w:t xml:space="preserve">Los órganos notificantes autorizados actualmente para asignar IMEI son la CTIA – </w:t>
      </w:r>
      <w:r w:rsidRPr="005D4B77">
        <w:rPr>
          <w:color w:val="000000"/>
          <w:lang w:val="es-ES_tradnl"/>
        </w:rPr>
        <w:t>Asociación Inalámbrica, la</w:t>
      </w:r>
      <w:r w:rsidRPr="005D4B77">
        <w:rPr>
          <w:lang w:val="es-ES_tradnl"/>
        </w:rPr>
        <w:t xml:space="preserve"> BABT (British Approvals Board for Telecommunications),</w:t>
      </w:r>
      <w:r>
        <w:rPr>
          <w:lang w:val="es-ES_tradnl"/>
        </w:rPr>
        <w:t xml:space="preserve"> </w:t>
      </w:r>
      <w:r w:rsidRPr="005D4B77">
        <w:rPr>
          <w:lang w:val="es-ES_tradnl"/>
        </w:rPr>
        <w:t>el TAF (Telecommunications Terminal Testing and Approval Forum) (China</w:t>
      </w:r>
      <w:r>
        <w:rPr>
          <w:lang w:val="es-ES_tradnl"/>
        </w:rPr>
        <w:t>)</w:t>
      </w:r>
      <w:r w:rsidRPr="005D4B77">
        <w:rPr>
          <w:lang w:val="es-ES_tradnl"/>
        </w:rPr>
        <w:t xml:space="preserve"> </w:t>
      </w:r>
      <w:r>
        <w:rPr>
          <w:lang w:val="es-ES_tradnl"/>
        </w:rPr>
        <w:t>y la</w:t>
      </w:r>
      <w:r w:rsidRPr="005D4B77">
        <w:rPr>
          <w:lang w:val="es-ES_tradnl"/>
        </w:rPr>
        <w:t xml:space="preserve"> MSAI (Mobile Standards Alliance of India).</w:t>
      </w:r>
    </w:p>
    <w:p w14:paraId="7BA734AF" w14:textId="77777777" w:rsidR="00533114" w:rsidRPr="005D4B77" w:rsidRDefault="00533114" w:rsidP="00C142FB">
      <w:pPr>
        <w:spacing w:after="240"/>
        <w:rPr>
          <w:lang w:val="es-ES_tradnl"/>
        </w:rPr>
      </w:pPr>
      <w:r w:rsidRPr="005D4B77">
        <w:rPr>
          <w:lang w:val="es-ES_tradnl"/>
        </w:rPr>
        <w:t>El format</w:t>
      </w:r>
      <w:r>
        <w:rPr>
          <w:lang w:val="es-ES_tradnl"/>
        </w:rPr>
        <w:t>o</w:t>
      </w:r>
      <w:r w:rsidRPr="005D4B77">
        <w:rPr>
          <w:lang w:val="es-ES_tradnl"/>
        </w:rPr>
        <w:t xml:space="preserve"> de IMEI válido desde el 1 de enero de 2013 se muestra en la Figura</w:t>
      </w:r>
      <w:r>
        <w:rPr>
          <w:lang w:val="es-ES_tradnl"/>
        </w:rPr>
        <w:t> </w:t>
      </w:r>
      <w:r w:rsidRPr="005D4B77">
        <w:rPr>
          <w:lang w:val="es-ES_tradnl"/>
        </w:rPr>
        <w:t>4 [37]:</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2693"/>
        <w:gridCol w:w="2738"/>
      </w:tblGrid>
      <w:tr w:rsidR="00533114" w:rsidRPr="003E65EF" w14:paraId="4C20E329" w14:textId="77777777">
        <w:tc>
          <w:tcPr>
            <w:tcW w:w="3085" w:type="dxa"/>
            <w:tcBorders>
              <w:top w:val="single" w:sz="4" w:space="0" w:color="000000"/>
              <w:left w:val="single" w:sz="4" w:space="0" w:color="000000"/>
              <w:bottom w:val="single" w:sz="4" w:space="0" w:color="000000"/>
              <w:right w:val="single" w:sz="4" w:space="0" w:color="000000"/>
            </w:tcBorders>
          </w:tcPr>
          <w:p w14:paraId="589D0A12" w14:textId="77777777" w:rsidR="00533114" w:rsidRPr="002E4B47" w:rsidRDefault="00533114" w:rsidP="00C142FB">
            <w:pPr>
              <w:pStyle w:val="Tablehead"/>
              <w:rPr>
                <w:b w:val="0"/>
                <w:bCs/>
                <w:lang w:val="es-ES"/>
              </w:rPr>
            </w:pPr>
            <w:r w:rsidRPr="002E4B47">
              <w:rPr>
                <w:b w:val="0"/>
                <w:bCs/>
                <w:lang w:val="es-ES"/>
              </w:rPr>
              <w:t>Código de homologación (TAC)</w:t>
            </w:r>
          </w:p>
        </w:tc>
        <w:tc>
          <w:tcPr>
            <w:tcW w:w="2693" w:type="dxa"/>
            <w:tcBorders>
              <w:top w:val="single" w:sz="4" w:space="0" w:color="000000"/>
              <w:left w:val="single" w:sz="4" w:space="0" w:color="000000"/>
              <w:bottom w:val="single" w:sz="4" w:space="0" w:color="000000"/>
              <w:right w:val="single" w:sz="4" w:space="0" w:color="000000"/>
            </w:tcBorders>
          </w:tcPr>
          <w:p w14:paraId="1B982EFB" w14:textId="77777777" w:rsidR="00533114" w:rsidRPr="002E4B47" w:rsidRDefault="00533114" w:rsidP="00C142FB">
            <w:pPr>
              <w:pStyle w:val="Tablehead"/>
              <w:rPr>
                <w:b w:val="0"/>
                <w:bCs/>
                <w:lang w:val="es-ES"/>
              </w:rPr>
            </w:pPr>
            <w:r w:rsidRPr="002E4B47">
              <w:rPr>
                <w:b w:val="0"/>
                <w:bCs/>
                <w:lang w:val="es-ES"/>
              </w:rPr>
              <w:t xml:space="preserve">Número de serie </w:t>
            </w:r>
          </w:p>
        </w:tc>
        <w:tc>
          <w:tcPr>
            <w:tcW w:w="2738" w:type="dxa"/>
            <w:tcBorders>
              <w:top w:val="single" w:sz="4" w:space="0" w:color="000000"/>
              <w:left w:val="single" w:sz="4" w:space="0" w:color="000000"/>
              <w:bottom w:val="single" w:sz="4" w:space="0" w:color="000000"/>
              <w:right w:val="single" w:sz="4" w:space="0" w:color="000000"/>
            </w:tcBorders>
          </w:tcPr>
          <w:p w14:paraId="384F0FE0" w14:textId="77777777" w:rsidR="00533114" w:rsidRPr="002E4B47" w:rsidRDefault="00533114" w:rsidP="00C142FB">
            <w:pPr>
              <w:pStyle w:val="Tablehead"/>
              <w:rPr>
                <w:b w:val="0"/>
                <w:bCs/>
                <w:lang w:val="es-ES"/>
              </w:rPr>
            </w:pPr>
            <w:r w:rsidRPr="002E4B47">
              <w:rPr>
                <w:b w:val="0"/>
                <w:bCs/>
                <w:lang w:val="es-ES"/>
              </w:rPr>
              <w:t>Dígito de comprobación</w:t>
            </w:r>
          </w:p>
        </w:tc>
      </w:tr>
      <w:tr w:rsidR="00533114" w:rsidRPr="003E65EF" w14:paraId="406960F4" w14:textId="77777777">
        <w:tc>
          <w:tcPr>
            <w:tcW w:w="3085" w:type="dxa"/>
            <w:tcBorders>
              <w:top w:val="single" w:sz="4" w:space="0" w:color="000000"/>
              <w:left w:val="single" w:sz="4" w:space="0" w:color="000000"/>
              <w:bottom w:val="single" w:sz="4" w:space="0" w:color="000000"/>
              <w:right w:val="single" w:sz="4" w:space="0" w:color="000000"/>
            </w:tcBorders>
          </w:tcPr>
          <w:p w14:paraId="24B76D1E" w14:textId="77777777" w:rsidR="00533114" w:rsidRPr="003E65EF" w:rsidRDefault="00533114" w:rsidP="00C142FB">
            <w:pPr>
              <w:pStyle w:val="Tabletext"/>
              <w:jc w:val="center"/>
              <w:rPr>
                <w:lang w:val="es-ES"/>
              </w:rPr>
            </w:pPr>
            <w:r w:rsidRPr="003E65EF">
              <w:rPr>
                <w:lang w:val="es-ES"/>
              </w:rPr>
              <w:t>NNXXXX YY</w:t>
            </w:r>
          </w:p>
        </w:tc>
        <w:tc>
          <w:tcPr>
            <w:tcW w:w="2693" w:type="dxa"/>
            <w:tcBorders>
              <w:top w:val="single" w:sz="4" w:space="0" w:color="000000"/>
              <w:left w:val="single" w:sz="4" w:space="0" w:color="000000"/>
              <w:bottom w:val="single" w:sz="4" w:space="0" w:color="000000"/>
              <w:right w:val="single" w:sz="4" w:space="0" w:color="000000"/>
            </w:tcBorders>
          </w:tcPr>
          <w:p w14:paraId="2BE1EDD8" w14:textId="77777777" w:rsidR="00533114" w:rsidRPr="003E65EF" w:rsidRDefault="00533114" w:rsidP="00C142FB">
            <w:pPr>
              <w:pStyle w:val="Tabletext"/>
              <w:jc w:val="center"/>
              <w:rPr>
                <w:lang w:val="es-ES"/>
              </w:rPr>
            </w:pPr>
            <w:r w:rsidRPr="003E65EF">
              <w:rPr>
                <w:lang w:val="es-ES"/>
              </w:rPr>
              <w:t>ZZZZZZ</w:t>
            </w:r>
          </w:p>
        </w:tc>
        <w:tc>
          <w:tcPr>
            <w:tcW w:w="2738" w:type="dxa"/>
            <w:tcBorders>
              <w:top w:val="single" w:sz="4" w:space="0" w:color="000000"/>
              <w:left w:val="single" w:sz="4" w:space="0" w:color="000000"/>
              <w:bottom w:val="single" w:sz="4" w:space="0" w:color="000000"/>
              <w:right w:val="single" w:sz="4" w:space="0" w:color="000000"/>
            </w:tcBorders>
          </w:tcPr>
          <w:p w14:paraId="156E380F" w14:textId="77777777" w:rsidR="00533114" w:rsidRPr="003E65EF" w:rsidRDefault="00533114" w:rsidP="00C142FB">
            <w:pPr>
              <w:pStyle w:val="Tabletext"/>
              <w:jc w:val="center"/>
              <w:rPr>
                <w:lang w:val="es-ES"/>
              </w:rPr>
            </w:pPr>
            <w:r w:rsidRPr="003E65EF">
              <w:rPr>
                <w:lang w:val="es-ES"/>
              </w:rPr>
              <w:t>A</w:t>
            </w:r>
          </w:p>
        </w:tc>
      </w:tr>
    </w:tbl>
    <w:p w14:paraId="25B951C0" w14:textId="77777777" w:rsidR="00533114" w:rsidRPr="003E65EF" w:rsidRDefault="00533114" w:rsidP="00B15207">
      <w:pPr>
        <w:keepNext/>
        <w:rPr>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7"/>
        <w:gridCol w:w="7654"/>
      </w:tblGrid>
      <w:tr w:rsidR="00533114" w:rsidRPr="003E65EF" w14:paraId="3C472BAC" w14:textId="77777777" w:rsidTr="00C142FB">
        <w:trPr>
          <w:jc w:val="center"/>
        </w:trPr>
        <w:tc>
          <w:tcPr>
            <w:tcW w:w="1247" w:type="dxa"/>
            <w:tcBorders>
              <w:top w:val="single" w:sz="4" w:space="0" w:color="000000"/>
              <w:left w:val="single" w:sz="4" w:space="0" w:color="000000"/>
              <w:bottom w:val="single" w:sz="4" w:space="0" w:color="000000"/>
              <w:right w:val="single" w:sz="4" w:space="0" w:color="000000"/>
            </w:tcBorders>
          </w:tcPr>
          <w:p w14:paraId="5181F5CF" w14:textId="77777777" w:rsidR="00533114" w:rsidRPr="003E65EF" w:rsidRDefault="00533114" w:rsidP="00C142FB">
            <w:pPr>
              <w:pStyle w:val="Tabletext"/>
              <w:rPr>
                <w:lang w:val="es-ES"/>
              </w:rPr>
            </w:pPr>
            <w:r w:rsidRPr="003E65EF">
              <w:rPr>
                <w:lang w:val="es-ES"/>
              </w:rPr>
              <w:t>TAC</w:t>
            </w:r>
          </w:p>
        </w:tc>
        <w:tc>
          <w:tcPr>
            <w:tcW w:w="7654" w:type="dxa"/>
            <w:tcBorders>
              <w:top w:val="single" w:sz="4" w:space="0" w:color="000000"/>
              <w:left w:val="single" w:sz="4" w:space="0" w:color="000000"/>
              <w:bottom w:val="single" w:sz="4" w:space="0" w:color="000000"/>
              <w:right w:val="single" w:sz="4" w:space="0" w:color="000000"/>
            </w:tcBorders>
          </w:tcPr>
          <w:p w14:paraId="01BFF5D9" w14:textId="77777777" w:rsidR="00533114" w:rsidRPr="003E65EF" w:rsidRDefault="00533114" w:rsidP="00C142FB">
            <w:pPr>
              <w:pStyle w:val="Tabletext"/>
              <w:rPr>
                <w:lang w:val="es-ES"/>
              </w:rPr>
            </w:pPr>
            <w:r w:rsidRPr="003E65EF">
              <w:rPr>
                <w:lang w:val="es-ES"/>
              </w:rPr>
              <w:t>Código de homologación</w:t>
            </w:r>
          </w:p>
        </w:tc>
      </w:tr>
      <w:tr w:rsidR="00533114" w:rsidRPr="003E65EF" w14:paraId="43A58589" w14:textId="77777777" w:rsidTr="00C142FB">
        <w:trPr>
          <w:jc w:val="center"/>
        </w:trPr>
        <w:tc>
          <w:tcPr>
            <w:tcW w:w="1247" w:type="dxa"/>
            <w:tcBorders>
              <w:top w:val="single" w:sz="4" w:space="0" w:color="000000"/>
              <w:left w:val="single" w:sz="4" w:space="0" w:color="000000"/>
              <w:bottom w:val="single" w:sz="4" w:space="0" w:color="000000"/>
              <w:right w:val="single" w:sz="4" w:space="0" w:color="000000"/>
            </w:tcBorders>
          </w:tcPr>
          <w:p w14:paraId="116334EA" w14:textId="77777777" w:rsidR="00533114" w:rsidRPr="003E65EF" w:rsidRDefault="00533114" w:rsidP="00C142FB">
            <w:pPr>
              <w:pStyle w:val="Tabletext"/>
              <w:rPr>
                <w:lang w:val="es-ES"/>
              </w:rPr>
            </w:pPr>
            <w:r w:rsidRPr="003E65EF">
              <w:rPr>
                <w:lang w:val="es-ES"/>
              </w:rPr>
              <w:t>NN</w:t>
            </w:r>
          </w:p>
        </w:tc>
        <w:tc>
          <w:tcPr>
            <w:tcW w:w="7654" w:type="dxa"/>
            <w:tcBorders>
              <w:top w:val="single" w:sz="4" w:space="0" w:color="000000"/>
              <w:left w:val="single" w:sz="4" w:space="0" w:color="000000"/>
              <w:bottom w:val="single" w:sz="4" w:space="0" w:color="000000"/>
              <w:right w:val="single" w:sz="4" w:space="0" w:color="000000"/>
            </w:tcBorders>
          </w:tcPr>
          <w:p w14:paraId="25F1ADCE" w14:textId="77777777" w:rsidR="00533114" w:rsidRPr="003E65EF" w:rsidRDefault="00533114" w:rsidP="00C142FB">
            <w:pPr>
              <w:pStyle w:val="Tabletext"/>
              <w:rPr>
                <w:lang w:val="es-ES"/>
              </w:rPr>
            </w:pPr>
            <w:r w:rsidRPr="003E65EF">
              <w:rPr>
                <w:lang w:val="es-ES"/>
              </w:rPr>
              <w:t>Identificador del órgano notificador</w:t>
            </w:r>
          </w:p>
        </w:tc>
      </w:tr>
      <w:tr w:rsidR="00533114" w:rsidRPr="00C869C0" w14:paraId="19847B22" w14:textId="77777777" w:rsidTr="00C142FB">
        <w:trPr>
          <w:jc w:val="center"/>
        </w:trPr>
        <w:tc>
          <w:tcPr>
            <w:tcW w:w="1247" w:type="dxa"/>
            <w:tcBorders>
              <w:top w:val="single" w:sz="4" w:space="0" w:color="000000"/>
              <w:left w:val="single" w:sz="4" w:space="0" w:color="000000"/>
              <w:bottom w:val="single" w:sz="4" w:space="0" w:color="000000"/>
              <w:right w:val="single" w:sz="4" w:space="0" w:color="000000"/>
            </w:tcBorders>
          </w:tcPr>
          <w:p w14:paraId="4000C078" w14:textId="77777777" w:rsidR="00533114" w:rsidRPr="003E65EF" w:rsidRDefault="00533114" w:rsidP="00C142FB">
            <w:pPr>
              <w:pStyle w:val="Tabletext"/>
              <w:rPr>
                <w:lang w:val="es-ES"/>
              </w:rPr>
            </w:pPr>
            <w:r w:rsidRPr="003E65EF">
              <w:rPr>
                <w:lang w:val="es-ES"/>
              </w:rPr>
              <w:t>XXXXYY</w:t>
            </w:r>
          </w:p>
        </w:tc>
        <w:tc>
          <w:tcPr>
            <w:tcW w:w="7654" w:type="dxa"/>
            <w:tcBorders>
              <w:top w:val="single" w:sz="4" w:space="0" w:color="000000"/>
              <w:left w:val="single" w:sz="4" w:space="0" w:color="000000"/>
              <w:bottom w:val="single" w:sz="4" w:space="0" w:color="000000"/>
              <w:right w:val="single" w:sz="4" w:space="0" w:color="000000"/>
            </w:tcBorders>
          </w:tcPr>
          <w:p w14:paraId="77E4A46A" w14:textId="77777777" w:rsidR="00533114" w:rsidRPr="003E65EF" w:rsidRDefault="00533114" w:rsidP="00C142FB">
            <w:pPr>
              <w:pStyle w:val="Tabletext"/>
              <w:rPr>
                <w:lang w:val="es-ES"/>
              </w:rPr>
            </w:pPr>
            <w:r w:rsidRPr="003E65EF">
              <w:rPr>
                <w:lang w:val="es-ES"/>
              </w:rPr>
              <w:t>Identificador del tipo de equipo móvil definido por el órgano notificador</w:t>
            </w:r>
          </w:p>
        </w:tc>
      </w:tr>
      <w:tr w:rsidR="00533114" w:rsidRPr="00C869C0" w14:paraId="51A70CE6" w14:textId="77777777" w:rsidTr="00C142FB">
        <w:trPr>
          <w:jc w:val="center"/>
        </w:trPr>
        <w:tc>
          <w:tcPr>
            <w:tcW w:w="1247" w:type="dxa"/>
            <w:tcBorders>
              <w:top w:val="single" w:sz="4" w:space="0" w:color="000000"/>
              <w:left w:val="single" w:sz="4" w:space="0" w:color="000000"/>
              <w:bottom w:val="single" w:sz="4" w:space="0" w:color="000000"/>
              <w:right w:val="single" w:sz="4" w:space="0" w:color="000000"/>
            </w:tcBorders>
          </w:tcPr>
          <w:p w14:paraId="0A748E50" w14:textId="77777777" w:rsidR="00533114" w:rsidRPr="003E65EF" w:rsidRDefault="00533114" w:rsidP="00C142FB">
            <w:pPr>
              <w:pStyle w:val="Tabletext"/>
              <w:rPr>
                <w:lang w:val="es-ES"/>
              </w:rPr>
            </w:pPr>
            <w:r w:rsidRPr="003E65EF">
              <w:rPr>
                <w:lang w:val="es-ES"/>
              </w:rPr>
              <w:t>ZZZZZZ</w:t>
            </w:r>
          </w:p>
        </w:tc>
        <w:tc>
          <w:tcPr>
            <w:tcW w:w="7654" w:type="dxa"/>
            <w:tcBorders>
              <w:top w:val="single" w:sz="4" w:space="0" w:color="000000"/>
              <w:left w:val="single" w:sz="4" w:space="0" w:color="000000"/>
              <w:bottom w:val="single" w:sz="4" w:space="0" w:color="000000"/>
              <w:right w:val="single" w:sz="4" w:space="0" w:color="000000"/>
            </w:tcBorders>
          </w:tcPr>
          <w:p w14:paraId="34844710" w14:textId="77777777" w:rsidR="00533114" w:rsidRPr="003E65EF" w:rsidRDefault="00533114" w:rsidP="00C142FB">
            <w:pPr>
              <w:pStyle w:val="Tabletext"/>
              <w:rPr>
                <w:lang w:val="es-ES"/>
              </w:rPr>
            </w:pPr>
            <w:r w:rsidRPr="003E65EF">
              <w:rPr>
                <w:lang w:val="es-ES"/>
              </w:rPr>
              <w:t>Atribuido por el órgano notificador pero asignado a cada equipo móvil por el fabricante</w:t>
            </w:r>
          </w:p>
        </w:tc>
      </w:tr>
      <w:tr w:rsidR="00533114" w:rsidRPr="00C869C0" w14:paraId="6D594EF1" w14:textId="77777777" w:rsidTr="00C142FB">
        <w:trPr>
          <w:jc w:val="center"/>
        </w:trPr>
        <w:tc>
          <w:tcPr>
            <w:tcW w:w="1247" w:type="dxa"/>
            <w:tcBorders>
              <w:top w:val="single" w:sz="4" w:space="0" w:color="000000"/>
              <w:left w:val="single" w:sz="4" w:space="0" w:color="000000"/>
              <w:bottom w:val="single" w:sz="4" w:space="0" w:color="000000"/>
              <w:right w:val="single" w:sz="4" w:space="0" w:color="000000"/>
            </w:tcBorders>
          </w:tcPr>
          <w:p w14:paraId="10A6B677" w14:textId="77777777" w:rsidR="00533114" w:rsidRPr="003E65EF" w:rsidRDefault="00533114" w:rsidP="00C142FB">
            <w:pPr>
              <w:pStyle w:val="Tabletext"/>
              <w:rPr>
                <w:lang w:val="es-ES"/>
              </w:rPr>
            </w:pPr>
            <w:r w:rsidRPr="003E65EF">
              <w:rPr>
                <w:lang w:val="es-ES"/>
              </w:rPr>
              <w:t>A</w:t>
            </w:r>
          </w:p>
        </w:tc>
        <w:tc>
          <w:tcPr>
            <w:tcW w:w="7654" w:type="dxa"/>
            <w:tcBorders>
              <w:top w:val="single" w:sz="4" w:space="0" w:color="000000"/>
              <w:left w:val="single" w:sz="4" w:space="0" w:color="000000"/>
              <w:bottom w:val="single" w:sz="4" w:space="0" w:color="000000"/>
              <w:right w:val="single" w:sz="4" w:space="0" w:color="000000"/>
            </w:tcBorders>
          </w:tcPr>
          <w:p w14:paraId="66B29DB6" w14:textId="77777777" w:rsidR="00533114" w:rsidRPr="003E65EF" w:rsidRDefault="00533114" w:rsidP="00C142FB">
            <w:pPr>
              <w:pStyle w:val="Tabletext"/>
              <w:rPr>
                <w:lang w:val="es-ES"/>
              </w:rPr>
            </w:pPr>
            <w:r w:rsidRPr="003E65EF">
              <w:rPr>
                <w:lang w:val="es-ES"/>
              </w:rPr>
              <w:t>Dígito de comprobación, definido como una función del resto de dígitos de la IMEI</w:t>
            </w:r>
          </w:p>
        </w:tc>
      </w:tr>
    </w:tbl>
    <w:p w14:paraId="16366F1C" w14:textId="77777777" w:rsidR="00533114" w:rsidRPr="003E65EF" w:rsidRDefault="00533114" w:rsidP="00C142FB">
      <w:pPr>
        <w:pStyle w:val="FigureNotitle"/>
        <w:rPr>
          <w:lang w:val="es-ES" w:bidi="ar-DZ"/>
        </w:rPr>
      </w:pPr>
      <w:bookmarkStart w:id="213" w:name="_Toc447274539"/>
      <w:bookmarkStart w:id="214" w:name="_Toc404785087"/>
      <w:r w:rsidRPr="003E65EF">
        <w:rPr>
          <w:lang w:val="es-ES" w:bidi="ar-DZ"/>
        </w:rPr>
        <w:t>Figura 4 – Formato de IMEI</w:t>
      </w:r>
      <w:bookmarkEnd w:id="213"/>
      <w:r w:rsidRPr="003E65EF">
        <w:rPr>
          <w:lang w:val="es-ES" w:bidi="ar-DZ"/>
        </w:rPr>
        <w:t xml:space="preserve"> </w:t>
      </w:r>
      <w:bookmarkEnd w:id="214"/>
    </w:p>
    <w:p w14:paraId="41514CE1" w14:textId="77777777" w:rsidR="00533114" w:rsidRPr="00FD6FAA" w:rsidRDefault="00533114" w:rsidP="00C142FB">
      <w:pPr>
        <w:pStyle w:val="Normalaftertitle"/>
        <w:rPr>
          <w:lang w:val="es-ES_tradnl"/>
        </w:rPr>
      </w:pPr>
      <w:r w:rsidRPr="00FD6FAA">
        <w:rPr>
          <w:lang w:val="es-ES_tradnl"/>
        </w:rPr>
        <w:t>La GSMA registra información adicional, como el nombre del fabricante y el número de modelo y características técnicas como las</w:t>
      </w:r>
      <w:r>
        <w:rPr>
          <w:lang w:val="es-ES_tradnl"/>
        </w:rPr>
        <w:t xml:space="preserve"> </w:t>
      </w:r>
      <w:r w:rsidRPr="00FD6FAA">
        <w:rPr>
          <w:lang w:val="es-ES_tradnl"/>
        </w:rPr>
        <w:t>ba</w:t>
      </w:r>
      <w:r>
        <w:rPr>
          <w:lang w:val="es-ES_tradnl"/>
        </w:rPr>
        <w:t>ndas de frecuencias y el consumo</w:t>
      </w:r>
      <w:r w:rsidRPr="00FD6FAA">
        <w:rPr>
          <w:lang w:val="es-ES_tradnl"/>
        </w:rPr>
        <w:t xml:space="preserve"> de potencia, para cada dispositivo identificado por su IMEI.</w:t>
      </w:r>
    </w:p>
    <w:p w14:paraId="66FF270E" w14:textId="77777777" w:rsidR="00533114" w:rsidRPr="00A230AE" w:rsidRDefault="00533114" w:rsidP="00C142FB">
      <w:r w:rsidRPr="00FD6FAA">
        <w:rPr>
          <w:lang w:val="es-ES_tradnl"/>
        </w:rPr>
        <w:t>La GSMA mantiene la base de datos de IMEI (IMEI DB</w:t>
      </w:r>
      <w:r>
        <w:rPr>
          <w:lang w:val="es-ES_tradnl"/>
        </w:rPr>
        <w:t>)</w:t>
      </w:r>
      <w:r w:rsidRPr="00FD6FAA">
        <w:rPr>
          <w:lang w:val="es-ES_tradnl"/>
        </w:rPr>
        <w:t xml:space="preserve"> [38], </w:t>
      </w:r>
      <w:r>
        <w:rPr>
          <w:lang w:val="es-ES_tradnl"/>
        </w:rPr>
        <w:t>denominada anteriormente</w:t>
      </w:r>
      <w:r w:rsidRPr="00FD6FAA">
        <w:rPr>
          <w:lang w:val="es-ES_tradnl"/>
        </w:rPr>
        <w:t xml:space="preserve"> </w:t>
      </w:r>
      <w:r>
        <w:rPr>
          <w:lang w:val="es-ES_tradnl"/>
        </w:rPr>
        <w:t>como el</w:t>
      </w:r>
      <w:r w:rsidRPr="00FD6FAA">
        <w:rPr>
          <w:lang w:val="es-ES_tradnl"/>
        </w:rPr>
        <w:t xml:space="preserve"> </w:t>
      </w:r>
      <w:r>
        <w:rPr>
          <w:color w:val="000000"/>
          <w:lang w:val="es-ES_tradnl"/>
        </w:rPr>
        <w:t>Registro Central de Identidad de Equipos (CEIR).</w:t>
      </w:r>
      <w:r w:rsidRPr="00FD6FAA">
        <w:rPr>
          <w:lang w:val="es-ES_tradnl"/>
        </w:rPr>
        <w:t xml:space="preserve"> La IMEI DB incluye una </w:t>
      </w:r>
      <w:r>
        <w:rPr>
          <w:lang w:val="es-ES_tradnl"/>
        </w:rPr>
        <w:t>"</w:t>
      </w:r>
      <w:r w:rsidRPr="00FD6FAA">
        <w:rPr>
          <w:lang w:val="es-ES_tradnl"/>
        </w:rPr>
        <w:t>lista blanca</w:t>
      </w:r>
      <w:r>
        <w:rPr>
          <w:lang w:val="es-ES_tradnl"/>
        </w:rPr>
        <w:t>"</w:t>
      </w:r>
      <w:r w:rsidRPr="00FD6FAA">
        <w:rPr>
          <w:lang w:val="es-ES_tradnl"/>
        </w:rPr>
        <w:t xml:space="preserve"> con los equipos que se consideran adecuados para su uso en todo el mundo y una </w:t>
      </w:r>
      <w:r>
        <w:rPr>
          <w:lang w:val="es-ES_tradnl"/>
        </w:rPr>
        <w:t>"</w:t>
      </w:r>
      <w:r w:rsidRPr="00FD6FAA">
        <w:rPr>
          <w:lang w:val="es-ES_tradnl"/>
        </w:rPr>
        <w:t>lista negra</w:t>
      </w:r>
      <w:r>
        <w:rPr>
          <w:lang w:val="es-ES_tradnl"/>
        </w:rPr>
        <w:t>" de IMEI relativa</w:t>
      </w:r>
      <w:r w:rsidRPr="00FD6FAA">
        <w:rPr>
          <w:lang w:val="es-ES_tradnl"/>
        </w:rPr>
        <w:t xml:space="preserve"> a dispositivos que no se co</w:t>
      </w:r>
      <w:r>
        <w:rPr>
          <w:lang w:val="es-ES_tradnl"/>
        </w:rPr>
        <w:t xml:space="preserve">nsideran adecuados para su uso </w:t>
      </w:r>
      <w:r w:rsidRPr="00FD6FAA">
        <w:rPr>
          <w:lang w:val="es-ES_tradnl"/>
        </w:rPr>
        <w:t>por haber sido perdidos, robados o ser defectuosos planteando una amenaza para la integridad de la</w:t>
      </w:r>
      <w:r>
        <w:rPr>
          <w:lang w:val="es-ES_tradnl"/>
        </w:rPr>
        <w:t xml:space="preserve"> </w:t>
      </w:r>
      <w:r w:rsidRPr="00FD6FAA">
        <w:rPr>
          <w:lang w:val="es-ES_tradnl"/>
        </w:rPr>
        <w:t>red.</w:t>
      </w:r>
      <w:r>
        <w:rPr>
          <w:lang w:val="es-ES_tradnl"/>
        </w:rPr>
        <w:t xml:space="preserve"> </w:t>
      </w:r>
      <w:r w:rsidRPr="00FD6FAA">
        <w:rPr>
          <w:lang w:val="es-ES_tradnl"/>
        </w:rPr>
        <w:t xml:space="preserve">Conviene destacar que la lista blanca de la IMEI DB es una </w:t>
      </w:r>
      <w:r>
        <w:rPr>
          <w:lang w:val="es-ES_tradnl"/>
        </w:rPr>
        <w:t>l</w:t>
      </w:r>
      <w:r w:rsidRPr="00FD6FAA">
        <w:rPr>
          <w:lang w:val="es-ES_tradnl"/>
        </w:rPr>
        <w:t xml:space="preserve">ista de TAC en lugar de IMEI </w:t>
      </w:r>
      <w:r>
        <w:rPr>
          <w:lang w:val="es-ES_tradnl"/>
        </w:rPr>
        <w:t>completos y los datos están disponibles</w:t>
      </w:r>
      <w:r w:rsidRPr="00FD6FAA">
        <w:rPr>
          <w:lang w:val="es-ES_tradnl"/>
        </w:rPr>
        <w:t xml:space="preserve"> </w:t>
      </w:r>
      <w:r>
        <w:rPr>
          <w:lang w:val="es-ES_tradnl"/>
        </w:rPr>
        <w:t xml:space="preserve">gratuitamente a determinadas entidades, incluidos los reguladores nacionales, agencias responsables del cumplimiento de la ley y agentes de aduanas. </w:t>
      </w:r>
      <w:r w:rsidRPr="00A72060">
        <w:rPr>
          <w:lang w:val="es-ES_tradnl"/>
        </w:rPr>
        <w:t xml:space="preserve">Además de la IMEI DB, los propios operadores de redes pueden implementar sus propios registros de identidad de equipos (EIR), </w:t>
      </w:r>
      <w:r>
        <w:rPr>
          <w:lang w:val="es-ES_tradnl"/>
        </w:rPr>
        <w:t>en los que pueden descargar la "lista blanca",</w:t>
      </w:r>
      <w:r w:rsidRPr="00A72060">
        <w:rPr>
          <w:lang w:val="es-ES_tradnl"/>
        </w:rPr>
        <w:t xml:space="preserve"> </w:t>
      </w:r>
      <w:r>
        <w:rPr>
          <w:lang w:val="es-ES_tradnl"/>
        </w:rPr>
        <w:t>lo que les permite controlar qué dispositivos pueden acceder a sus redes.</w:t>
      </w:r>
      <w:r w:rsidRPr="00A72060">
        <w:rPr>
          <w:lang w:val="es-ES_tradnl"/>
        </w:rPr>
        <w:t xml:space="preserve"> </w:t>
      </w:r>
      <w:hyperlink r:id="rId53" w:history="1">
        <w:r w:rsidRPr="00A66D08">
          <w:rPr>
            <w:rStyle w:val="Hyperlink"/>
          </w:rPr>
          <w:t>http://www.gsma.com/managedservices/mobile-equipment-identity/the-imei-database/accessing-the-imei-database/</w:t>
        </w:r>
      </w:hyperlink>
      <w:r>
        <w:t xml:space="preserve"> </w:t>
      </w:r>
    </w:p>
    <w:p w14:paraId="658A43B0" w14:textId="77777777" w:rsidR="00533114" w:rsidRPr="00DE2D97" w:rsidRDefault="00533114" w:rsidP="00C142FB">
      <w:pPr>
        <w:rPr>
          <w:lang w:val="es-ES_tradnl"/>
        </w:rPr>
      </w:pPr>
      <w:r w:rsidRPr="00DE2D97">
        <w:rPr>
          <w:lang w:val="es-ES_tradnl"/>
        </w:rPr>
        <w:t xml:space="preserve">El </w:t>
      </w:r>
      <w:r>
        <w:rPr>
          <w:lang w:val="es-ES_tradnl"/>
        </w:rPr>
        <w:t>fin</w:t>
      </w:r>
      <w:r w:rsidRPr="00DE2D97">
        <w:rPr>
          <w:lang w:val="es-ES_tradnl"/>
        </w:rPr>
        <w:t xml:space="preserve"> fundamental de </w:t>
      </w:r>
      <w:r>
        <w:rPr>
          <w:lang w:val="es-ES_tradnl"/>
        </w:rPr>
        <w:t>la</w:t>
      </w:r>
      <w:r w:rsidRPr="00DE2D97">
        <w:rPr>
          <w:lang w:val="es-ES_tradnl"/>
        </w:rPr>
        <w:t xml:space="preserve"> IMEI DB </w:t>
      </w:r>
      <w:r>
        <w:rPr>
          <w:lang w:val="es-ES_tradnl"/>
        </w:rPr>
        <w:t>consiste en</w:t>
      </w:r>
      <w:r w:rsidRPr="00DE2D97">
        <w:rPr>
          <w:lang w:val="es-ES_tradnl"/>
        </w:rPr>
        <w:t xml:space="preserve"> ayudar a los operadores a identificar los dispositivos, y sus características, q</w:t>
      </w:r>
      <w:r>
        <w:rPr>
          <w:lang w:val="es-ES_tradnl"/>
        </w:rPr>
        <w:t xml:space="preserve">ue se utilizan en sus redes y en </w:t>
      </w:r>
      <w:r w:rsidRPr="00DE2D97">
        <w:rPr>
          <w:lang w:val="es-ES_tradnl"/>
        </w:rPr>
        <w:t>bloquear los tel</w:t>
      </w:r>
      <w:r>
        <w:rPr>
          <w:lang w:val="es-ES_tradnl"/>
        </w:rPr>
        <w:t xml:space="preserve">éfonos perdidos. </w:t>
      </w:r>
      <w:r w:rsidRPr="00DE2D97">
        <w:rPr>
          <w:lang w:val="es-ES_tradnl"/>
        </w:rPr>
        <w:t>La IMEI DB ta</w:t>
      </w:r>
      <w:r>
        <w:rPr>
          <w:lang w:val="es-ES_tradnl"/>
        </w:rPr>
        <w:t>mbién se puede usar para detecta</w:t>
      </w:r>
      <w:r w:rsidRPr="00DE2D97">
        <w:rPr>
          <w:lang w:val="es-ES_tradnl"/>
        </w:rPr>
        <w:t>r dispositivos falsificados</w:t>
      </w:r>
      <w:r>
        <w:rPr>
          <w:lang w:val="es-ES_tradnl"/>
        </w:rPr>
        <w:t>, lo que contribuye a imped</w:t>
      </w:r>
      <w:r w:rsidRPr="00DE2D97">
        <w:rPr>
          <w:lang w:val="es-ES_tradnl"/>
        </w:rPr>
        <w:t>i</w:t>
      </w:r>
      <w:r>
        <w:rPr>
          <w:lang w:val="es-ES_tradnl"/>
        </w:rPr>
        <w:t>r el blanqueo de dispositivos y la delincuencia y contribuye a su persecución</w:t>
      </w:r>
      <w:r w:rsidRPr="00DE2D97">
        <w:rPr>
          <w:lang w:val="es-ES_tradnl"/>
        </w:rPr>
        <w:t xml:space="preserve">. </w:t>
      </w:r>
    </w:p>
    <w:p w14:paraId="04539D98" w14:textId="77777777" w:rsidR="00533114" w:rsidRPr="008F4E90" w:rsidRDefault="00533114" w:rsidP="00C142FB">
      <w:pPr>
        <w:rPr>
          <w:lang w:val="es-ES_tradnl"/>
        </w:rPr>
      </w:pPr>
      <w:r w:rsidRPr="00DE2D97">
        <w:rPr>
          <w:lang w:val="es-ES_tradnl"/>
        </w:rPr>
        <w:t>No obstante, surgieron problemas a la hora de implementar la</w:t>
      </w:r>
      <w:r>
        <w:rPr>
          <w:lang w:val="es-ES_tradnl"/>
        </w:rPr>
        <w:t xml:space="preserve"> </w:t>
      </w:r>
      <w:r w:rsidRPr="00DE2D97">
        <w:rPr>
          <w:lang w:val="es-ES_tradnl"/>
        </w:rPr>
        <w:t>IMEI. Se ha informado de casos de equipos sin IMEI, con una IMEI con solo ceros, IMEI duplicadas e IMEI asignadas por organizaciones no autorizadas.</w:t>
      </w:r>
      <w:r>
        <w:rPr>
          <w:lang w:val="es-ES_tradnl"/>
        </w:rPr>
        <w:t xml:space="preserve"> </w:t>
      </w:r>
      <w:r w:rsidRPr="008F4E90">
        <w:rPr>
          <w:lang w:val="es-ES_tradnl"/>
        </w:rPr>
        <w:t>Algunos de estos dispositivos con IMEI no válidos o no únicos son falsificaciones pero otros son aut</w:t>
      </w:r>
      <w:r>
        <w:rPr>
          <w:lang w:val="es-ES_tradnl"/>
        </w:rPr>
        <w:t xml:space="preserve">énticos aunque no cumplan el procedimiento de atribución de IMEI de la </w:t>
      </w:r>
      <w:r w:rsidRPr="008F4E90">
        <w:rPr>
          <w:lang w:val="es-ES_tradnl"/>
        </w:rPr>
        <w:t xml:space="preserve">GSMA </w:t>
      </w:r>
      <w:r>
        <w:rPr>
          <w:lang w:val="es-ES_tradnl"/>
        </w:rPr>
        <w:t xml:space="preserve">debido a malentendidos de los fabricantes. </w:t>
      </w:r>
      <w:r w:rsidRPr="008F4E90">
        <w:rPr>
          <w:lang w:val="es-ES_tradnl"/>
        </w:rPr>
        <w:t>Por ejemplo, se estima que existen 30</w:t>
      </w:r>
      <w:r>
        <w:rPr>
          <w:lang w:val="es-ES_tradnl"/>
        </w:rPr>
        <w:t> </w:t>
      </w:r>
      <w:r w:rsidRPr="008F4E90">
        <w:rPr>
          <w:lang w:val="es-ES_tradnl"/>
        </w:rPr>
        <w:t xml:space="preserve">millones de teléfonos GSM en India sin IMEI y la GSMA autorizó a la MSAI para que </w:t>
      </w:r>
      <w:r w:rsidRPr="008F4E90">
        <w:rPr>
          <w:lang w:val="es-ES_tradnl"/>
        </w:rPr>
        <w:lastRenderedPageBreak/>
        <w:t>propusiera un programa temporal de amnistía para implantar IMEI genuinos (programa de implantación de IMEI g</w:t>
      </w:r>
      <w:r>
        <w:rPr>
          <w:lang w:val="es-ES_tradnl"/>
        </w:rPr>
        <w:t>enuinos (GII)) con el fin de po</w:t>
      </w:r>
      <w:r w:rsidRPr="008F4E90">
        <w:rPr>
          <w:lang w:val="es-ES_tradnl"/>
        </w:rPr>
        <w:t>der identificar cada dispositivo de forma un</w:t>
      </w:r>
      <w:r>
        <w:rPr>
          <w:lang w:val="es-ES_tradnl"/>
        </w:rPr>
        <w:t>ívoca</w:t>
      </w:r>
      <w:r w:rsidRPr="008F4E90">
        <w:rPr>
          <w:lang w:val="es-ES_tradnl"/>
        </w:rPr>
        <w:t>.</w:t>
      </w:r>
    </w:p>
    <w:p w14:paraId="16D17DDA" w14:textId="77777777" w:rsidR="00533114" w:rsidRPr="00746E6D" w:rsidRDefault="00533114" w:rsidP="00C142FB">
      <w:pPr>
        <w:rPr>
          <w:lang w:val="es-ES_tradnl"/>
        </w:rPr>
      </w:pPr>
      <w:r w:rsidRPr="008F4E90">
        <w:rPr>
          <w:lang w:val="es-ES_tradnl"/>
        </w:rPr>
        <w:t>Como ejemplo de IMEI duplicado, en Australia se han detectado 6</w:t>
      </w:r>
      <w:r>
        <w:rPr>
          <w:lang w:val="es-ES_tradnl"/>
        </w:rPr>
        <w:t xml:space="preserve"> 500 teléfonos con la </w:t>
      </w:r>
      <w:r w:rsidRPr="008F4E90">
        <w:rPr>
          <w:lang w:val="es-ES_tradnl"/>
        </w:rPr>
        <w:t xml:space="preserve">IMEI 135790246811220. </w:t>
      </w:r>
      <w:r w:rsidRPr="00746E6D">
        <w:rPr>
          <w:lang w:val="es-ES_tradnl"/>
        </w:rPr>
        <w:t>En lo que respecta a las IMEI no registradas, un operador de red en Uganda ha inf</w:t>
      </w:r>
      <w:r>
        <w:rPr>
          <w:lang w:val="es-ES_tradnl"/>
        </w:rPr>
        <w:t xml:space="preserve">ormado que la cantidad </w:t>
      </w:r>
      <w:r w:rsidRPr="00746E6D">
        <w:rPr>
          <w:lang w:val="es-ES_tradnl"/>
        </w:rPr>
        <w:t xml:space="preserve">de TAC que no están registrados en la IMEI DB </w:t>
      </w:r>
      <w:r>
        <w:rPr>
          <w:lang w:val="es-ES_tradnl"/>
        </w:rPr>
        <w:t xml:space="preserve">es mayor que el número atribuido por la </w:t>
      </w:r>
      <w:r w:rsidRPr="00746E6D">
        <w:rPr>
          <w:lang w:val="es-ES_tradnl"/>
        </w:rPr>
        <w:t xml:space="preserve">GSMA </w:t>
      </w:r>
      <w:r>
        <w:rPr>
          <w:lang w:val="es-ES_tradnl"/>
        </w:rPr>
        <w:t>y que están registrados en la</w:t>
      </w:r>
      <w:r w:rsidRPr="00746E6D">
        <w:rPr>
          <w:lang w:val="es-ES_tradnl"/>
        </w:rPr>
        <w:t xml:space="preserve"> IMEI DB.</w:t>
      </w:r>
    </w:p>
    <w:p w14:paraId="7DD5DF6B" w14:textId="77777777" w:rsidR="00533114" w:rsidRPr="00F26BDD" w:rsidRDefault="00533114" w:rsidP="00C142FB">
      <w:pPr>
        <w:rPr>
          <w:lang w:val="es-ES_tradnl"/>
        </w:rPr>
      </w:pPr>
      <w:r w:rsidRPr="00C846CA">
        <w:rPr>
          <w:lang w:val="es-ES_tradnl"/>
        </w:rPr>
        <w:t>Existe, por lo</w:t>
      </w:r>
      <w:r>
        <w:rPr>
          <w:lang w:val="es-ES_tradnl"/>
        </w:rPr>
        <w:t xml:space="preserve"> </w:t>
      </w:r>
      <w:r w:rsidRPr="00C846CA">
        <w:rPr>
          <w:lang w:val="es-ES_tradnl"/>
        </w:rPr>
        <w:t xml:space="preserve">tanto, una </w:t>
      </w:r>
      <w:r>
        <w:rPr>
          <w:lang w:val="es-ES_tradnl"/>
        </w:rPr>
        <w:t>b</w:t>
      </w:r>
      <w:r w:rsidRPr="00C846CA">
        <w:rPr>
          <w:lang w:val="es-ES_tradnl"/>
        </w:rPr>
        <w:t xml:space="preserve">uena razón para garantizar </w:t>
      </w:r>
      <w:r>
        <w:rPr>
          <w:lang w:val="es-ES_tradnl"/>
        </w:rPr>
        <w:t xml:space="preserve">que </w:t>
      </w:r>
      <w:r w:rsidRPr="00C846CA">
        <w:rPr>
          <w:lang w:val="es-ES_tradnl"/>
        </w:rPr>
        <w:t xml:space="preserve">el uso de la IMEI </w:t>
      </w:r>
      <w:r>
        <w:rPr>
          <w:lang w:val="es-ES_tradnl"/>
        </w:rPr>
        <w:t xml:space="preserve">esté controlado y que se asignen las IMEI de conformidad con el proceso de la </w:t>
      </w:r>
      <w:r w:rsidRPr="00C846CA">
        <w:rPr>
          <w:lang w:val="es-ES_tradnl"/>
        </w:rPr>
        <w:t xml:space="preserve">GSMA. La IMEI DB es una herramienta para </w:t>
      </w:r>
      <w:r>
        <w:rPr>
          <w:lang w:val="es-ES_tradnl"/>
        </w:rPr>
        <w:t>detecta</w:t>
      </w:r>
      <w:r w:rsidRPr="00C846CA">
        <w:rPr>
          <w:lang w:val="es-ES_tradnl"/>
        </w:rPr>
        <w:t>r móviles falsific</w:t>
      </w:r>
      <w:r>
        <w:rPr>
          <w:lang w:val="es-ES_tradnl"/>
        </w:rPr>
        <w:t>ados y, por dar un ejemplo, Keny</w:t>
      </w:r>
      <w:r w:rsidRPr="00C846CA">
        <w:rPr>
          <w:lang w:val="es-ES_tradnl"/>
        </w:rPr>
        <w:t>a negó el acceso a m</w:t>
      </w:r>
      <w:r>
        <w:rPr>
          <w:lang w:val="es-ES_tradnl"/>
        </w:rPr>
        <w:t>óviles con I</w:t>
      </w:r>
      <w:r w:rsidRPr="00C846CA">
        <w:rPr>
          <w:lang w:val="es-ES_tradnl"/>
        </w:rPr>
        <w:t>MEI no válidos a partir de finales de septiembre de 2012 puesto que se estimaba que exist</w:t>
      </w:r>
      <w:r>
        <w:rPr>
          <w:lang w:val="es-ES_tradnl"/>
        </w:rPr>
        <w:t xml:space="preserve">ían 2,3 millones de abonados con teléfonos falsificados. </w:t>
      </w:r>
      <w:r w:rsidRPr="00C846CA">
        <w:rPr>
          <w:lang w:val="es-ES_tradnl"/>
        </w:rPr>
        <w:t xml:space="preserve">El Anexo A facilita más información sobre estos ejemplos y otros casos en </w:t>
      </w:r>
      <w:r>
        <w:rPr>
          <w:lang w:val="es-ES_tradnl"/>
        </w:rPr>
        <w:t>l</w:t>
      </w:r>
      <w:r w:rsidRPr="00C846CA">
        <w:rPr>
          <w:lang w:val="es-ES_tradnl"/>
        </w:rPr>
        <w:t xml:space="preserve">os que se han utilizado las IMEI para identificar los teléfonos móviles falsificados. </w:t>
      </w:r>
      <w:r w:rsidRPr="00F26BDD">
        <w:rPr>
          <w:lang w:val="es-ES_tradnl"/>
        </w:rPr>
        <w:t xml:space="preserve">Puesto que varias iniciativas nacionales destinadas a afrontar el problema de los dispositivos móviles falsificados se basan en el uso de IMEI, es fundamental que el procedimiento de asignación de IMEI y la base de datos </w:t>
      </w:r>
      <w:r>
        <w:rPr>
          <w:lang w:val="es-ES_tradnl"/>
        </w:rPr>
        <w:t>sean</w:t>
      </w:r>
      <w:r w:rsidRPr="00F26BDD">
        <w:rPr>
          <w:lang w:val="es-ES_tradnl"/>
        </w:rPr>
        <w:t xml:space="preserve"> seguros y fiables y que la IMEI</w:t>
      </w:r>
      <w:r>
        <w:rPr>
          <w:lang w:val="es-ES_tradnl"/>
        </w:rPr>
        <w:t xml:space="preserve"> esté</w:t>
      </w:r>
      <w:r w:rsidRPr="00F26BDD">
        <w:rPr>
          <w:lang w:val="es-ES_tradnl"/>
        </w:rPr>
        <w:t xml:space="preserve"> codificada con segur</w:t>
      </w:r>
      <w:r>
        <w:rPr>
          <w:lang w:val="es-ES_tradnl"/>
        </w:rPr>
        <w:t>idad dentro de los dispositivos</w:t>
      </w:r>
      <w:r w:rsidRPr="00F26BDD">
        <w:rPr>
          <w:lang w:val="es-ES_tradnl"/>
        </w:rPr>
        <w:t xml:space="preserve">. </w:t>
      </w:r>
    </w:p>
    <w:p w14:paraId="10E91A2A" w14:textId="77777777" w:rsidR="00533114" w:rsidRPr="00477007" w:rsidRDefault="00533114" w:rsidP="00C142FB">
      <w:pPr>
        <w:rPr>
          <w:lang w:val="es-ES_tradnl"/>
        </w:rPr>
      </w:pPr>
      <w:r>
        <w:rPr>
          <w:lang w:val="es-ES_tradnl"/>
        </w:rPr>
        <w:t>Un</w:t>
      </w:r>
      <w:r w:rsidRPr="00F80217">
        <w:rPr>
          <w:lang w:val="es-ES_tradnl"/>
        </w:rPr>
        <w:t>a posibilidad es exigir a los operadores que bloqueen los dispositivos con una IMEI duplicada o no válida ya que estos dispositivos deben ser autenticados en la red para poder funcionar.</w:t>
      </w:r>
      <w:r>
        <w:rPr>
          <w:lang w:val="es-ES_tradnl"/>
        </w:rPr>
        <w:t xml:space="preserve"> </w:t>
      </w:r>
      <w:r w:rsidRPr="00F80217">
        <w:rPr>
          <w:lang w:val="es-ES_tradnl"/>
        </w:rPr>
        <w:t>B</w:t>
      </w:r>
      <w:r>
        <w:rPr>
          <w:lang w:val="es-ES_tradnl"/>
        </w:rPr>
        <w:t>loquear esto</w:t>
      </w:r>
      <w:r w:rsidRPr="00F80217">
        <w:rPr>
          <w:lang w:val="es-ES_tradnl"/>
        </w:rPr>
        <w:t>s</w:t>
      </w:r>
      <w:r>
        <w:rPr>
          <w:lang w:val="es-ES_tradnl"/>
        </w:rPr>
        <w:t xml:space="preserve"> </w:t>
      </w:r>
      <w:r w:rsidRPr="00F80217">
        <w:rPr>
          <w:lang w:val="es-ES_tradnl"/>
        </w:rPr>
        <w:t>dispositivos cuando se conectan por primera vez es probablemente la forma más efectiva de resolver el problema actualmente.</w:t>
      </w:r>
      <w:r>
        <w:rPr>
          <w:lang w:val="es-ES_tradnl"/>
        </w:rPr>
        <w:t xml:space="preserve"> </w:t>
      </w:r>
    </w:p>
    <w:p w14:paraId="599D6E56" w14:textId="77777777" w:rsidR="00533114" w:rsidRPr="00ED29FF" w:rsidRDefault="00533114" w:rsidP="00C142FB">
      <w:pPr>
        <w:rPr>
          <w:lang w:val="es-ES_tradnl"/>
        </w:rPr>
      </w:pPr>
      <w:r w:rsidRPr="00F80217">
        <w:rPr>
          <w:lang w:val="es-ES_tradnl"/>
        </w:rPr>
        <w:t>No obstante, se pla</w:t>
      </w:r>
      <w:r>
        <w:rPr>
          <w:lang w:val="es-ES_tradnl"/>
        </w:rPr>
        <w:t xml:space="preserve">ntean varias limitaciones para </w:t>
      </w:r>
      <w:r w:rsidRPr="00F80217">
        <w:rPr>
          <w:lang w:val="es-ES_tradnl"/>
        </w:rPr>
        <w:t>bloquear los dispositivos.</w:t>
      </w:r>
      <w:r>
        <w:rPr>
          <w:lang w:val="es-ES_tradnl"/>
        </w:rPr>
        <w:t xml:space="preserve"> La primera es que la GSMA no mantiene una lista blanca completa sino más bien una lista blanca de códigos TAC. En segundo lugar, las IMEI de dispositivos legítimos se han clonado en dispositivos falsificados y de baja calidad lo que complica el proceso de bloqueo</w:t>
      </w:r>
      <w:r w:rsidRPr="00F80217">
        <w:rPr>
          <w:lang w:val="es-ES_tradnl"/>
        </w:rPr>
        <w:t xml:space="preserve"> </w:t>
      </w:r>
      <w:r>
        <w:rPr>
          <w:lang w:val="es-ES_tradnl"/>
        </w:rPr>
        <w:t xml:space="preserve">y, finalmente, cualquier solución de bloqueo debe evitar o prohibir que se copien otros IMEI clonados en los dispositivos en cuestión. </w:t>
      </w:r>
    </w:p>
    <w:p w14:paraId="079EB21C" w14:textId="77777777" w:rsidR="00533114" w:rsidRPr="00A82ABF" w:rsidRDefault="00533114" w:rsidP="00C142FB">
      <w:pPr>
        <w:rPr>
          <w:rFonts w:asciiTheme="majorBidi" w:hAnsiTheme="majorBidi" w:cstheme="majorBidi"/>
          <w:lang w:val="es-ES_tradnl"/>
        </w:rPr>
      </w:pPr>
      <w:r w:rsidRPr="00ED29FF">
        <w:rPr>
          <w:lang w:val="es-ES_tradnl"/>
        </w:rPr>
        <w:t xml:space="preserve">Aunque el bloqueo plantea retos, existen soluciones disponibles en el </w:t>
      </w:r>
      <w:r>
        <w:rPr>
          <w:lang w:val="es-ES_tradnl"/>
        </w:rPr>
        <w:t>m</w:t>
      </w:r>
      <w:r w:rsidRPr="00ED29FF">
        <w:rPr>
          <w:lang w:val="es-ES_tradnl"/>
        </w:rPr>
        <w:t>ercado.</w:t>
      </w:r>
      <w:r>
        <w:rPr>
          <w:lang w:val="es-ES_tradnl"/>
        </w:rPr>
        <w:t xml:space="preserve"> </w:t>
      </w:r>
      <w:r w:rsidRPr="00ED29FF">
        <w:rPr>
          <w:lang w:val="es-ES_tradnl"/>
        </w:rPr>
        <w:t>Al mismo tiempo, resulta importante evitar la aplicación parcial de soluciones nacionales propias que sencillamente trasladar</w:t>
      </w:r>
      <w:r>
        <w:rPr>
          <w:lang w:val="es-ES_tradnl"/>
        </w:rPr>
        <w:t>án el problema a través de las fronteras nacionales</w:t>
      </w:r>
      <w:r w:rsidRPr="00ED29FF">
        <w:rPr>
          <w:rFonts w:asciiTheme="majorBidi" w:hAnsiTheme="majorBidi" w:cstheme="majorBidi"/>
          <w:lang w:val="es-ES_tradnl"/>
        </w:rPr>
        <w:t xml:space="preserve">. Puesto que las IMEI son </w:t>
      </w:r>
      <w:r>
        <w:rPr>
          <w:rFonts w:asciiTheme="majorBidi" w:hAnsiTheme="majorBidi" w:cstheme="majorBidi"/>
          <w:lang w:val="es-ES_tradnl"/>
        </w:rPr>
        <w:t>atribuidas</w:t>
      </w:r>
      <w:r w:rsidRPr="00ED29FF">
        <w:rPr>
          <w:rFonts w:asciiTheme="majorBidi" w:hAnsiTheme="majorBidi" w:cstheme="majorBidi"/>
          <w:lang w:val="es-ES_tradnl"/>
        </w:rPr>
        <w:t xml:space="preserve"> por la GSMA y que </w:t>
      </w:r>
      <w:r>
        <w:rPr>
          <w:rFonts w:asciiTheme="majorBidi" w:hAnsiTheme="majorBidi" w:cstheme="majorBidi"/>
          <w:lang w:val="es-ES_tradnl"/>
        </w:rPr>
        <w:t xml:space="preserve">es </w:t>
      </w:r>
      <w:r w:rsidRPr="00ED29FF">
        <w:rPr>
          <w:rFonts w:asciiTheme="majorBidi" w:hAnsiTheme="majorBidi" w:cstheme="majorBidi"/>
          <w:lang w:val="es-ES_tradnl"/>
        </w:rPr>
        <w:t xml:space="preserve">la GSMA </w:t>
      </w:r>
      <w:r>
        <w:rPr>
          <w:rFonts w:asciiTheme="majorBidi" w:hAnsiTheme="majorBidi" w:cstheme="majorBidi"/>
          <w:lang w:val="es-ES_tradnl"/>
        </w:rPr>
        <w:t xml:space="preserve">quien mantiene la </w:t>
      </w:r>
      <w:r w:rsidRPr="00ED29FF">
        <w:rPr>
          <w:rFonts w:asciiTheme="majorBidi" w:hAnsiTheme="majorBidi" w:cstheme="majorBidi"/>
          <w:lang w:val="es-ES_tradnl"/>
        </w:rPr>
        <w:t>IMEI DB, parecería l</w:t>
      </w:r>
      <w:r>
        <w:rPr>
          <w:rFonts w:asciiTheme="majorBidi" w:hAnsiTheme="majorBidi" w:cstheme="majorBidi"/>
          <w:lang w:val="es-ES_tradnl"/>
        </w:rPr>
        <w:t>ógico que se imp</w:t>
      </w:r>
      <w:r w:rsidRPr="00ED29FF">
        <w:rPr>
          <w:rFonts w:asciiTheme="majorBidi" w:hAnsiTheme="majorBidi" w:cstheme="majorBidi"/>
          <w:lang w:val="es-ES_tradnl"/>
        </w:rPr>
        <w:t>licara de alguna manera en las iniciativas nacionales</w:t>
      </w:r>
      <w:r>
        <w:rPr>
          <w:rFonts w:asciiTheme="majorBidi" w:hAnsiTheme="majorBidi" w:cstheme="majorBidi"/>
          <w:lang w:val="es-ES_tradnl"/>
        </w:rPr>
        <w:t xml:space="preserve"> con el fin de utilizar la serie completa de listas disponibles y otras medidas técnicas. </w:t>
      </w:r>
    </w:p>
    <w:p w14:paraId="6E239FFB" w14:textId="77777777" w:rsidR="00533114" w:rsidRPr="00C944CB" w:rsidRDefault="00533114" w:rsidP="00C142FB">
      <w:pPr>
        <w:rPr>
          <w:lang w:val="es-ES_tradnl"/>
        </w:rPr>
      </w:pPr>
      <w:r w:rsidRPr="00C944CB">
        <w:rPr>
          <w:lang w:val="es-ES_tradnl"/>
        </w:rPr>
        <w:t xml:space="preserve">Sin embargo, teniendo en cuenta que la cantidad de dispositivos falsificados es sencillamente enorme, no se puede </w:t>
      </w:r>
      <w:r>
        <w:rPr>
          <w:lang w:val="es-ES_tradnl"/>
        </w:rPr>
        <w:t>pasar por alto</w:t>
      </w:r>
      <w:r w:rsidRPr="00C944CB">
        <w:rPr>
          <w:lang w:val="es-ES_tradnl"/>
        </w:rPr>
        <w:t xml:space="preserve"> que bloquear s</w:t>
      </w:r>
      <w:r>
        <w:rPr>
          <w:lang w:val="es-ES_tradnl"/>
        </w:rPr>
        <w:t>ó</w:t>
      </w:r>
      <w:r w:rsidRPr="00C944CB">
        <w:rPr>
          <w:lang w:val="es-ES_tradnl"/>
        </w:rPr>
        <w:t>lo los terminales operativos causaría serios e inesperados problemas a las redes y a</w:t>
      </w:r>
      <w:r>
        <w:rPr>
          <w:lang w:val="es-ES_tradnl"/>
        </w:rPr>
        <w:t xml:space="preserve"> </w:t>
      </w:r>
      <w:r w:rsidRPr="00C944CB">
        <w:rPr>
          <w:lang w:val="es-ES_tradnl"/>
        </w:rPr>
        <w:t>los usuari</w:t>
      </w:r>
      <w:r>
        <w:rPr>
          <w:lang w:val="es-ES_tradnl"/>
        </w:rPr>
        <w:t>os finales</w:t>
      </w:r>
      <w:r w:rsidRPr="00C944CB">
        <w:rPr>
          <w:lang w:val="es-ES_tradnl"/>
        </w:rPr>
        <w:t xml:space="preserve">. </w:t>
      </w:r>
    </w:p>
    <w:p w14:paraId="67BD48C8" w14:textId="0DD8F5CE" w:rsidR="00533114" w:rsidRPr="00C944CB" w:rsidRDefault="00533114" w:rsidP="00340355">
      <w:pPr>
        <w:rPr>
          <w:lang w:val="es-ES_tradnl"/>
        </w:rPr>
      </w:pPr>
      <w:r w:rsidRPr="00C944CB">
        <w:rPr>
          <w:lang w:val="es-ES_tradnl"/>
        </w:rPr>
        <w:t>A este respecto, es importante tener en cuenta el hecho de que en los países en desarrollo, con condiciones sociales y económicas limitadas, los teléfonos m</w:t>
      </w:r>
      <w:r>
        <w:rPr>
          <w:lang w:val="es-ES_tradnl"/>
        </w:rPr>
        <w:t>óviles son el principal medio de comunicación y de participación en la sociedad de la información</w:t>
      </w:r>
      <w:r w:rsidR="00340355">
        <w:rPr>
          <w:rStyle w:val="FootnoteReference"/>
          <w:lang w:val="es-ES_tradnl"/>
        </w:rPr>
        <w:footnoteReference w:id="7"/>
      </w:r>
      <w:r w:rsidRPr="00C944CB">
        <w:rPr>
          <w:lang w:val="es-ES_tradnl"/>
        </w:rPr>
        <w:t>. Desgraciadamente, esto se consigue utilizando una cantidad considerable de dispositivos baratos y falsificados.</w:t>
      </w:r>
      <w:r>
        <w:rPr>
          <w:lang w:val="es-ES_tradnl"/>
        </w:rPr>
        <w:t xml:space="preserve"> </w:t>
      </w:r>
    </w:p>
    <w:p w14:paraId="639E105F" w14:textId="77777777" w:rsidR="00533114" w:rsidRPr="003E3468" w:rsidRDefault="00533114" w:rsidP="00C142FB">
      <w:pPr>
        <w:rPr>
          <w:lang w:val="es-ES_tradnl"/>
        </w:rPr>
      </w:pPr>
      <w:r w:rsidRPr="003E3468">
        <w:rPr>
          <w:lang w:val="es-ES_tradnl"/>
        </w:rPr>
        <w:t xml:space="preserve">Por esta razón, toda la sociedad debe estar </w:t>
      </w:r>
      <w:r>
        <w:rPr>
          <w:lang w:val="es-ES_tradnl"/>
        </w:rPr>
        <w:t>preparada para este cambio. Hay que estudiar, considerar y planificar los mejores planteamientos. Por ejemplo, se deben explicar con claridad a los consumidores los motivos (riesgos de seguridad, baja calidad del servicio y aumento consiguiente de las reclamaciones, riesgos de interferencias e incumplimiento de</w:t>
      </w:r>
      <w:r w:rsidRPr="003E3468">
        <w:rPr>
          <w:lang w:val="es-ES_tradnl"/>
        </w:rPr>
        <w:t xml:space="preserve"> </w:t>
      </w:r>
      <w:r>
        <w:rPr>
          <w:lang w:val="es-ES_tradnl"/>
        </w:rPr>
        <w:t>los derechos de propiedad intelectual, etc.) para no permitir el uso de dispositivos falsificados.</w:t>
      </w:r>
      <w:r w:rsidRPr="003E3468">
        <w:rPr>
          <w:lang w:val="es-ES_tradnl"/>
        </w:rPr>
        <w:t xml:space="preserve"> </w:t>
      </w:r>
    </w:p>
    <w:p w14:paraId="41E7060C" w14:textId="780BBDE3" w:rsidR="00533114" w:rsidRPr="003E3468" w:rsidRDefault="00533114" w:rsidP="00340355">
      <w:pPr>
        <w:rPr>
          <w:lang w:val="es-ES_tradnl"/>
        </w:rPr>
      </w:pPr>
      <w:r w:rsidRPr="003E3468">
        <w:rPr>
          <w:lang w:val="es-ES_tradnl"/>
        </w:rPr>
        <w:lastRenderedPageBreak/>
        <w:t>En este sentido, si los reguladores y los gobiernos eligen poner en práctica el bloqueo de terminales, resulta importante adoptar políticas de transición, tales como empezar bloqueando únicamente los terminales nuevos y permitir que sigan funcionando dispositivos que están de alta en la red</w:t>
      </w:r>
      <w:r>
        <w:rPr>
          <w:lang w:val="es-ES_tradnl"/>
        </w:rPr>
        <w:t>, aunque finalmente, los usuarios tendrán que cambiar sus dispositivos por dispositivos auténticos puesto que el ciclo de vida estimado de un terminal móvil es de 18 meses</w:t>
      </w:r>
      <w:r w:rsidR="00340355">
        <w:rPr>
          <w:rStyle w:val="FootnoteReference"/>
          <w:lang w:val="es-ES_tradnl"/>
        </w:rPr>
        <w:footnoteReference w:id="8"/>
      </w:r>
      <w:r w:rsidRPr="003E3468">
        <w:rPr>
          <w:lang w:val="es-ES_tradnl"/>
        </w:rPr>
        <w:t>.</w:t>
      </w:r>
    </w:p>
    <w:p w14:paraId="56DFC5A9" w14:textId="73BF7E03" w:rsidR="00533114" w:rsidRPr="00477007" w:rsidRDefault="00533114" w:rsidP="00C142FB">
      <w:pPr>
        <w:pStyle w:val="Heading2"/>
        <w:spacing w:before="120"/>
        <w:rPr>
          <w:rFonts w:asciiTheme="majorBidi" w:hAnsiTheme="majorBidi" w:cstheme="majorBidi"/>
          <w:lang w:val="es-ES_tradnl"/>
        </w:rPr>
      </w:pPr>
      <w:bookmarkStart w:id="215" w:name="_Toc200180739"/>
      <w:bookmarkStart w:id="216" w:name="_Toc200181307"/>
      <w:bookmarkStart w:id="217" w:name="_Toc211334033"/>
      <w:bookmarkStart w:id="218" w:name="_Toc404607206"/>
      <w:bookmarkStart w:id="219" w:name="_Toc406670416"/>
      <w:bookmarkStart w:id="220" w:name="_Toc447202550"/>
      <w:bookmarkStart w:id="221" w:name="_Toc447203031"/>
      <w:r w:rsidRPr="00477007">
        <w:rPr>
          <w:rFonts w:asciiTheme="majorBidi" w:hAnsiTheme="majorBidi" w:cstheme="majorBidi"/>
          <w:lang w:val="es-ES_tradnl"/>
        </w:rPr>
        <w:t>7.4</w:t>
      </w:r>
      <w:r>
        <w:rPr>
          <w:rFonts w:asciiTheme="majorBidi" w:hAnsiTheme="majorBidi" w:cstheme="majorBidi"/>
          <w:lang w:val="es-ES_tradnl"/>
        </w:rPr>
        <w:tab/>
      </w:r>
      <w:r w:rsidRPr="00477007">
        <w:rPr>
          <w:rFonts w:asciiTheme="majorBidi" w:hAnsiTheme="majorBidi" w:cstheme="majorBidi"/>
          <w:lang w:val="es-ES_tradnl"/>
        </w:rPr>
        <w:t>Identificadores únicos</w:t>
      </w:r>
      <w:bookmarkEnd w:id="215"/>
      <w:bookmarkEnd w:id="216"/>
      <w:bookmarkEnd w:id="217"/>
      <w:bookmarkEnd w:id="218"/>
      <w:bookmarkEnd w:id="219"/>
      <w:bookmarkEnd w:id="220"/>
      <w:bookmarkEnd w:id="221"/>
      <w:r w:rsidRPr="00477007">
        <w:rPr>
          <w:rFonts w:asciiTheme="majorBidi" w:hAnsiTheme="majorBidi" w:cstheme="majorBidi"/>
          <w:lang w:val="es-ES_tradnl"/>
        </w:rPr>
        <w:t xml:space="preserve"> </w:t>
      </w:r>
    </w:p>
    <w:p w14:paraId="61AED349" w14:textId="77777777" w:rsidR="00533114" w:rsidRPr="0052609B" w:rsidRDefault="00533114" w:rsidP="00C142FB">
      <w:pPr>
        <w:rPr>
          <w:rFonts w:asciiTheme="majorBidi" w:hAnsiTheme="majorBidi" w:cstheme="majorBidi"/>
          <w:lang w:val="es-ES_tradnl"/>
        </w:rPr>
      </w:pPr>
      <w:r w:rsidRPr="001E1E14">
        <w:rPr>
          <w:rFonts w:asciiTheme="majorBidi" w:hAnsiTheme="majorBidi" w:cstheme="majorBidi"/>
          <w:lang w:val="es-ES_tradnl"/>
        </w:rPr>
        <w:t xml:space="preserve">Los códigos de producto electrónico (EPC) se desarrollaron en primer lugar en el Centro Auto-ID del </w:t>
      </w:r>
      <w:r>
        <w:rPr>
          <w:rFonts w:asciiTheme="majorBidi" w:hAnsiTheme="majorBidi" w:cstheme="majorBidi"/>
          <w:lang w:val="es-ES_tradnl"/>
        </w:rPr>
        <w:t xml:space="preserve">Instituto Tecnológico de </w:t>
      </w:r>
      <w:r w:rsidRPr="001E1E14">
        <w:rPr>
          <w:rFonts w:asciiTheme="majorBidi" w:hAnsiTheme="majorBidi" w:cstheme="majorBidi"/>
          <w:lang w:val="es-ES_tradnl"/>
        </w:rPr>
        <w:t>Massa</w:t>
      </w:r>
      <w:r>
        <w:rPr>
          <w:rFonts w:asciiTheme="majorBidi" w:hAnsiTheme="majorBidi" w:cstheme="majorBidi"/>
          <w:lang w:val="es-ES_tradnl"/>
        </w:rPr>
        <w:t>chusetts</w:t>
      </w:r>
      <w:r w:rsidRPr="001E1E14">
        <w:rPr>
          <w:rFonts w:asciiTheme="majorBidi" w:hAnsiTheme="majorBidi" w:cstheme="majorBidi"/>
          <w:lang w:val="es-ES_tradnl"/>
        </w:rPr>
        <w:t xml:space="preserve"> que se creó en 1999 y, actualmente</w:t>
      </w:r>
      <w:r>
        <w:rPr>
          <w:rFonts w:asciiTheme="majorBidi" w:hAnsiTheme="majorBidi" w:cstheme="majorBidi"/>
          <w:lang w:val="es-ES_tradnl"/>
        </w:rPr>
        <w:t>,</w:t>
      </w:r>
      <w:r w:rsidRPr="001E1E14">
        <w:rPr>
          <w:rFonts w:asciiTheme="majorBidi" w:hAnsiTheme="majorBidi" w:cstheme="majorBidi"/>
          <w:lang w:val="es-ES_tradnl"/>
        </w:rPr>
        <w:t xml:space="preserve"> está</w:t>
      </w:r>
      <w:r>
        <w:rPr>
          <w:rFonts w:asciiTheme="majorBidi" w:hAnsiTheme="majorBidi" w:cstheme="majorBidi"/>
          <w:lang w:val="es-ES_tradnl"/>
        </w:rPr>
        <w:t>n</w:t>
      </w:r>
      <w:r w:rsidRPr="001E1E14">
        <w:rPr>
          <w:rFonts w:asciiTheme="majorBidi" w:hAnsiTheme="majorBidi" w:cstheme="majorBidi"/>
          <w:lang w:val="es-ES_tradnl"/>
        </w:rPr>
        <w:t xml:space="preserve"> gestionados por</w:t>
      </w:r>
      <w:r>
        <w:rPr>
          <w:rFonts w:asciiTheme="majorBidi" w:hAnsiTheme="majorBidi" w:cstheme="majorBidi"/>
          <w:lang w:val="es-ES_tradnl"/>
        </w:rPr>
        <w:t xml:space="preserve"> </w:t>
      </w:r>
      <w:r w:rsidRPr="001E1E14">
        <w:rPr>
          <w:rFonts w:asciiTheme="majorBidi" w:hAnsiTheme="majorBidi" w:cstheme="majorBidi"/>
          <w:lang w:val="es-ES_tradnl"/>
        </w:rPr>
        <w:t>EPCglobal, una</w:t>
      </w:r>
      <w:r>
        <w:rPr>
          <w:rFonts w:asciiTheme="majorBidi" w:hAnsiTheme="majorBidi" w:cstheme="majorBidi"/>
          <w:lang w:val="es-ES_tradnl"/>
        </w:rPr>
        <w:t xml:space="preserve"> </w:t>
      </w:r>
      <w:r w:rsidRPr="001E1E14">
        <w:rPr>
          <w:rFonts w:asciiTheme="majorBidi" w:hAnsiTheme="majorBidi" w:cstheme="majorBidi"/>
          <w:lang w:val="es-ES_tradnl"/>
        </w:rPr>
        <w:t xml:space="preserve">filial de GS1 </w:t>
      </w:r>
      <w:r>
        <w:rPr>
          <w:rFonts w:asciiTheme="majorBidi" w:hAnsiTheme="majorBidi" w:cstheme="majorBidi"/>
          <w:lang w:val="es-ES_tradnl"/>
        </w:rPr>
        <w:t xml:space="preserve">que ha definido la especificación más ampliamente utilizada por los sistemas mundiales de cadenas de suministro. </w:t>
      </w:r>
      <w:r w:rsidRPr="0052609B">
        <w:rPr>
          <w:rFonts w:asciiTheme="majorBidi" w:hAnsiTheme="majorBidi" w:cstheme="majorBidi"/>
          <w:lang w:val="es-ES_tradnl"/>
        </w:rPr>
        <w:t xml:space="preserve">La </w:t>
      </w:r>
      <w:r>
        <w:rPr>
          <w:rFonts w:asciiTheme="majorBidi" w:hAnsiTheme="majorBidi" w:cstheme="majorBidi"/>
          <w:lang w:val="es-ES_tradnl"/>
        </w:rPr>
        <w:t>Organización Internacional</w:t>
      </w:r>
      <w:r w:rsidRPr="0052609B">
        <w:rPr>
          <w:rFonts w:asciiTheme="majorBidi" w:hAnsiTheme="majorBidi" w:cstheme="majorBidi"/>
          <w:lang w:val="es-ES_tradnl"/>
        </w:rPr>
        <w:t xml:space="preserve"> de Normalización (ISO) y el </w:t>
      </w:r>
      <w:r>
        <w:rPr>
          <w:rFonts w:asciiTheme="majorBidi" w:hAnsiTheme="majorBidi" w:cstheme="majorBidi"/>
          <w:lang w:val="es-ES_tradnl"/>
        </w:rPr>
        <w:t>Ubiquitous ID Centre</w:t>
      </w:r>
      <w:r w:rsidRPr="0052609B">
        <w:rPr>
          <w:rFonts w:asciiTheme="majorBidi" w:hAnsiTheme="majorBidi" w:cstheme="majorBidi"/>
          <w:lang w:val="es-ES_tradnl"/>
        </w:rPr>
        <w:t xml:space="preserve"> (Japón) </w:t>
      </w:r>
      <w:r>
        <w:rPr>
          <w:rFonts w:asciiTheme="majorBidi" w:hAnsiTheme="majorBidi" w:cstheme="majorBidi"/>
          <w:lang w:val="es-ES_tradnl"/>
        </w:rPr>
        <w:t>también han definido identificadores para algunas aplicaciones</w:t>
      </w:r>
      <w:r w:rsidRPr="0052609B">
        <w:rPr>
          <w:rFonts w:asciiTheme="majorBidi" w:hAnsiTheme="majorBidi" w:cstheme="majorBidi"/>
          <w:lang w:val="es-ES_tradnl"/>
        </w:rPr>
        <w:t>.</w:t>
      </w:r>
    </w:p>
    <w:p w14:paraId="0AEC9122" w14:textId="77777777" w:rsidR="00533114" w:rsidRPr="0052609B" w:rsidRDefault="00533114" w:rsidP="00C142FB">
      <w:pPr>
        <w:rPr>
          <w:rFonts w:asciiTheme="majorBidi" w:hAnsiTheme="majorBidi" w:cstheme="majorBidi"/>
          <w:lang w:val="es-ES_tradnl"/>
        </w:rPr>
      </w:pPr>
      <w:r w:rsidRPr="0052609B">
        <w:rPr>
          <w:rFonts w:asciiTheme="majorBidi" w:hAnsiTheme="majorBidi" w:cstheme="majorBidi"/>
          <w:lang w:val="es-ES_tradnl"/>
        </w:rPr>
        <w:t xml:space="preserve">GS1 define nueve </w:t>
      </w:r>
      <w:r>
        <w:rPr>
          <w:rFonts w:asciiTheme="majorBidi" w:hAnsiTheme="majorBidi" w:cstheme="majorBidi"/>
          <w:lang w:val="es-ES_tradnl"/>
        </w:rPr>
        <w:t>"</w:t>
      </w:r>
      <w:r w:rsidRPr="0052609B">
        <w:rPr>
          <w:rFonts w:asciiTheme="majorBidi" w:hAnsiTheme="majorBidi" w:cstheme="majorBidi"/>
          <w:lang w:val="es-ES_tradnl"/>
        </w:rPr>
        <w:t>claves de identificación</w:t>
      </w:r>
      <w:r>
        <w:rPr>
          <w:rFonts w:asciiTheme="majorBidi" w:hAnsiTheme="majorBidi" w:cstheme="majorBidi"/>
          <w:lang w:val="es-ES_tradnl"/>
        </w:rPr>
        <w:t>"</w:t>
      </w:r>
      <w:r w:rsidRPr="0052609B">
        <w:rPr>
          <w:rFonts w:asciiTheme="majorBidi" w:hAnsiTheme="majorBidi" w:cstheme="majorBidi"/>
          <w:lang w:val="es-ES_tradnl"/>
        </w:rPr>
        <w:t xml:space="preserve"> para la identificación de elementos, emplazamientos, contenedores de transporte, bienes, servicios, documentos, env</w:t>
      </w:r>
      <w:r>
        <w:rPr>
          <w:rFonts w:asciiTheme="majorBidi" w:hAnsiTheme="majorBidi" w:cstheme="majorBidi"/>
          <w:lang w:val="es-ES_tradnl"/>
        </w:rPr>
        <w:t>íos y transporte, de la forma siguiente</w:t>
      </w:r>
      <w:r w:rsidRPr="0052609B">
        <w:rPr>
          <w:rFonts w:asciiTheme="majorBidi" w:hAnsiTheme="majorBidi" w:cstheme="majorBidi"/>
          <w:lang w:val="es-ES_tradnl"/>
        </w:rPr>
        <w:t xml:space="preserve">: </w:t>
      </w:r>
    </w:p>
    <w:p w14:paraId="30887143" w14:textId="77777777" w:rsidR="00533114" w:rsidRPr="00637787" w:rsidRDefault="00533114" w:rsidP="00C142FB">
      <w:pPr>
        <w:pStyle w:val="enumlev1"/>
        <w:rPr>
          <w:rFonts w:asciiTheme="majorBidi" w:hAnsiTheme="majorBidi" w:cstheme="majorBidi"/>
          <w:lang w:val="es-ES_tradnl"/>
        </w:rPr>
      </w:pPr>
      <w:r w:rsidRPr="00A230AE">
        <w:rPr>
          <w:lang w:val="es-ES_tradnl"/>
        </w:rPr>
        <w:t>•</w:t>
      </w:r>
      <w:r w:rsidRPr="00A230AE">
        <w:rPr>
          <w:lang w:val="es-ES_tradnl"/>
        </w:rPr>
        <w:tab/>
      </w:r>
      <w:hyperlink r:id="rId54" w:history="1">
        <w:r w:rsidRPr="00637787">
          <w:rPr>
            <w:rStyle w:val="Hyperlink"/>
            <w:rFonts w:asciiTheme="majorBidi" w:hAnsiTheme="majorBidi" w:cstheme="majorBidi"/>
            <w:color w:val="auto"/>
            <w:u w:val="none"/>
            <w:lang w:val="es-ES_tradnl"/>
          </w:rPr>
          <w:t>GTIN – número mundial de artículo comercial</w:t>
        </w:r>
      </w:hyperlink>
    </w:p>
    <w:p w14:paraId="7D6DDBBF" w14:textId="77777777" w:rsidR="00533114" w:rsidRPr="00637787" w:rsidRDefault="00533114" w:rsidP="00C142FB">
      <w:pPr>
        <w:pStyle w:val="enumlev1"/>
        <w:rPr>
          <w:rFonts w:asciiTheme="majorBidi" w:hAnsiTheme="majorBidi" w:cstheme="majorBidi"/>
          <w:lang w:val="es-ES_tradnl"/>
        </w:rPr>
      </w:pPr>
      <w:r w:rsidRPr="00A230AE">
        <w:rPr>
          <w:lang w:val="es-ES_tradnl"/>
        </w:rPr>
        <w:t>•</w:t>
      </w:r>
      <w:r w:rsidRPr="00A230AE">
        <w:rPr>
          <w:lang w:val="es-ES_tradnl"/>
        </w:rPr>
        <w:tab/>
      </w:r>
      <w:hyperlink r:id="rId55" w:history="1">
        <w:r w:rsidRPr="00637787">
          <w:rPr>
            <w:rStyle w:val="Hyperlink"/>
            <w:rFonts w:asciiTheme="majorBidi" w:hAnsiTheme="majorBidi" w:cstheme="majorBidi"/>
            <w:color w:val="auto"/>
            <w:u w:val="none"/>
            <w:lang w:val="es-ES_tradnl"/>
          </w:rPr>
          <w:t xml:space="preserve">GLN – número </w:t>
        </w:r>
        <w:r>
          <w:rPr>
            <w:rStyle w:val="Hyperlink"/>
            <w:rFonts w:asciiTheme="majorBidi" w:hAnsiTheme="majorBidi" w:cstheme="majorBidi"/>
            <w:color w:val="auto"/>
            <w:u w:val="none"/>
            <w:lang w:val="es-ES_tradnl"/>
          </w:rPr>
          <w:t xml:space="preserve">mundial </w:t>
        </w:r>
        <w:r w:rsidRPr="00637787">
          <w:rPr>
            <w:rStyle w:val="Hyperlink"/>
            <w:rFonts w:asciiTheme="majorBidi" w:hAnsiTheme="majorBidi" w:cstheme="majorBidi"/>
            <w:color w:val="auto"/>
            <w:u w:val="none"/>
            <w:lang w:val="es-ES_tradnl"/>
          </w:rPr>
          <w:t xml:space="preserve">de </w:t>
        </w:r>
        <w:r>
          <w:rPr>
            <w:rStyle w:val="Hyperlink"/>
            <w:rFonts w:asciiTheme="majorBidi" w:hAnsiTheme="majorBidi" w:cstheme="majorBidi"/>
            <w:color w:val="auto"/>
            <w:u w:val="none"/>
            <w:lang w:val="es-ES_tradnl"/>
          </w:rPr>
          <w:t xml:space="preserve">localización </w:t>
        </w:r>
      </w:hyperlink>
    </w:p>
    <w:p w14:paraId="7A94285E" w14:textId="77777777" w:rsidR="00533114" w:rsidRPr="00EB6655" w:rsidRDefault="00533114" w:rsidP="00C142FB">
      <w:pPr>
        <w:pStyle w:val="enumlev1"/>
        <w:rPr>
          <w:rFonts w:asciiTheme="majorBidi" w:hAnsiTheme="majorBidi" w:cstheme="majorBidi"/>
          <w:lang w:val="es-ES_tradnl"/>
        </w:rPr>
      </w:pPr>
      <w:r w:rsidRPr="00A230AE">
        <w:rPr>
          <w:lang w:val="es-ES_tradnl"/>
        </w:rPr>
        <w:t>•</w:t>
      </w:r>
      <w:r>
        <w:rPr>
          <w:lang w:val="es-ES_tradnl"/>
        </w:rPr>
        <w:tab/>
      </w:r>
      <w:hyperlink r:id="rId56" w:history="1">
        <w:r w:rsidRPr="00EB6655">
          <w:rPr>
            <w:rStyle w:val="Hyperlink"/>
            <w:rFonts w:asciiTheme="majorBidi" w:hAnsiTheme="majorBidi" w:cstheme="majorBidi"/>
            <w:color w:val="auto"/>
            <w:u w:val="none"/>
            <w:lang w:val="es-ES_tradnl"/>
          </w:rPr>
          <w:t>SSCC – código seriado de contenedor de embarque</w:t>
        </w:r>
      </w:hyperlink>
    </w:p>
    <w:p w14:paraId="20DD9343" w14:textId="77777777" w:rsidR="00533114" w:rsidRPr="00EB6655" w:rsidRDefault="00533114" w:rsidP="00C142FB">
      <w:pPr>
        <w:pStyle w:val="enumlev1"/>
        <w:rPr>
          <w:rFonts w:asciiTheme="majorBidi" w:hAnsiTheme="majorBidi" w:cstheme="majorBidi"/>
          <w:lang w:val="es-ES_tradnl"/>
        </w:rPr>
      </w:pPr>
      <w:r w:rsidRPr="00A230AE">
        <w:rPr>
          <w:lang w:val="es-ES_tradnl"/>
        </w:rPr>
        <w:t>•</w:t>
      </w:r>
      <w:r w:rsidRPr="00A230AE">
        <w:rPr>
          <w:lang w:val="es-ES_tradnl"/>
        </w:rPr>
        <w:tab/>
      </w:r>
      <w:hyperlink r:id="rId57" w:history="1">
        <w:r w:rsidRPr="00EB6655">
          <w:rPr>
            <w:rStyle w:val="Hyperlink"/>
            <w:rFonts w:asciiTheme="majorBidi" w:hAnsiTheme="majorBidi" w:cstheme="majorBidi"/>
            <w:color w:val="auto"/>
            <w:u w:val="none"/>
            <w:lang w:val="es-ES_tradnl"/>
          </w:rPr>
          <w:t>GRAI – identificador mundial de bien</w:t>
        </w:r>
        <w:r>
          <w:rPr>
            <w:rStyle w:val="Hyperlink"/>
            <w:rFonts w:asciiTheme="majorBidi" w:hAnsiTheme="majorBidi" w:cstheme="majorBidi"/>
            <w:color w:val="auto"/>
            <w:u w:val="none"/>
            <w:lang w:val="es-ES_tradnl"/>
          </w:rPr>
          <w:t>es</w:t>
        </w:r>
        <w:r w:rsidRPr="00EB6655">
          <w:rPr>
            <w:rStyle w:val="Hyperlink"/>
            <w:rFonts w:asciiTheme="majorBidi" w:hAnsiTheme="majorBidi" w:cstheme="majorBidi"/>
            <w:color w:val="auto"/>
            <w:u w:val="none"/>
            <w:lang w:val="es-ES_tradnl"/>
          </w:rPr>
          <w:t xml:space="preserve"> retornable</w:t>
        </w:r>
      </w:hyperlink>
      <w:r w:rsidRPr="00FD5B81">
        <w:rPr>
          <w:rStyle w:val="Hyperlink"/>
          <w:rFonts w:asciiTheme="majorBidi" w:hAnsiTheme="majorBidi" w:cstheme="majorBidi"/>
          <w:color w:val="auto"/>
          <w:u w:val="none"/>
          <w:lang w:val="es-ES_tradnl"/>
        </w:rPr>
        <w:t>s</w:t>
      </w:r>
    </w:p>
    <w:p w14:paraId="6F674794" w14:textId="77777777" w:rsidR="00533114" w:rsidRPr="00FD5B81" w:rsidRDefault="00533114" w:rsidP="00C142FB">
      <w:pPr>
        <w:pStyle w:val="enumlev1"/>
        <w:rPr>
          <w:rFonts w:asciiTheme="majorBidi" w:hAnsiTheme="majorBidi" w:cstheme="majorBidi"/>
          <w:lang w:val="es-ES_tradnl"/>
        </w:rPr>
      </w:pPr>
      <w:r w:rsidRPr="00A230AE">
        <w:rPr>
          <w:lang w:val="es-ES_tradnl"/>
        </w:rPr>
        <w:t>•</w:t>
      </w:r>
      <w:r w:rsidRPr="00A230AE">
        <w:rPr>
          <w:lang w:val="es-ES_tradnl"/>
        </w:rPr>
        <w:tab/>
      </w:r>
      <w:hyperlink r:id="rId58" w:history="1">
        <w:r w:rsidRPr="00FD5B81">
          <w:rPr>
            <w:rStyle w:val="Hyperlink"/>
            <w:rFonts w:asciiTheme="majorBidi" w:hAnsiTheme="majorBidi" w:cstheme="majorBidi"/>
            <w:color w:val="auto"/>
            <w:u w:val="none"/>
            <w:lang w:val="es-ES_tradnl"/>
          </w:rPr>
          <w:t>GIAI – identificador mundial de bien</w:t>
        </w:r>
        <w:r>
          <w:rPr>
            <w:rStyle w:val="Hyperlink"/>
            <w:rFonts w:asciiTheme="majorBidi" w:hAnsiTheme="majorBidi" w:cstheme="majorBidi"/>
            <w:color w:val="auto"/>
            <w:u w:val="none"/>
            <w:lang w:val="es-ES_tradnl"/>
          </w:rPr>
          <w:t>es</w:t>
        </w:r>
        <w:r w:rsidRPr="00FD5B81">
          <w:rPr>
            <w:rStyle w:val="Hyperlink"/>
            <w:rFonts w:asciiTheme="majorBidi" w:hAnsiTheme="majorBidi" w:cstheme="majorBidi"/>
            <w:color w:val="auto"/>
            <w:u w:val="none"/>
            <w:lang w:val="es-ES_tradnl"/>
          </w:rPr>
          <w:t xml:space="preserve"> individual</w:t>
        </w:r>
      </w:hyperlink>
      <w:r w:rsidRPr="00FD5B81">
        <w:rPr>
          <w:rStyle w:val="Hyperlink"/>
          <w:rFonts w:asciiTheme="majorBidi" w:hAnsiTheme="majorBidi" w:cstheme="majorBidi"/>
          <w:color w:val="auto"/>
          <w:u w:val="none"/>
          <w:lang w:val="es-ES_tradnl"/>
        </w:rPr>
        <w:t>es</w:t>
      </w:r>
    </w:p>
    <w:p w14:paraId="6831FB97" w14:textId="77777777" w:rsidR="00533114" w:rsidRPr="00FD5B81" w:rsidRDefault="00533114" w:rsidP="00C142FB">
      <w:pPr>
        <w:pStyle w:val="enumlev1"/>
        <w:rPr>
          <w:rFonts w:asciiTheme="majorBidi" w:hAnsiTheme="majorBidi" w:cstheme="majorBidi"/>
          <w:lang w:val="es-ES_tradnl"/>
        </w:rPr>
      </w:pPr>
      <w:r w:rsidRPr="00A230AE">
        <w:rPr>
          <w:lang w:val="es-ES_tradnl"/>
        </w:rPr>
        <w:t>•</w:t>
      </w:r>
      <w:r w:rsidRPr="00A230AE">
        <w:rPr>
          <w:lang w:val="es-ES_tradnl"/>
        </w:rPr>
        <w:tab/>
      </w:r>
      <w:hyperlink r:id="rId59" w:history="1">
        <w:r w:rsidRPr="00FD5B81">
          <w:rPr>
            <w:rStyle w:val="Hyperlink"/>
            <w:rFonts w:asciiTheme="majorBidi" w:hAnsiTheme="majorBidi" w:cstheme="majorBidi"/>
            <w:color w:val="auto"/>
            <w:u w:val="none"/>
            <w:lang w:val="es-ES_tradnl"/>
          </w:rPr>
          <w:t>GSRN – número mundial de relaci</w:t>
        </w:r>
        <w:r>
          <w:rPr>
            <w:rStyle w:val="Hyperlink"/>
            <w:rFonts w:asciiTheme="majorBidi" w:hAnsiTheme="majorBidi" w:cstheme="majorBidi"/>
            <w:color w:val="auto"/>
            <w:u w:val="none"/>
            <w:lang w:val="es-ES_tradnl"/>
          </w:rPr>
          <w:t>ón de servicio</w:t>
        </w:r>
      </w:hyperlink>
    </w:p>
    <w:p w14:paraId="608DAF63" w14:textId="77777777" w:rsidR="00533114" w:rsidRPr="00FD5B81" w:rsidRDefault="00533114" w:rsidP="00C142FB">
      <w:pPr>
        <w:pStyle w:val="enumlev1"/>
        <w:rPr>
          <w:rFonts w:asciiTheme="majorBidi" w:hAnsiTheme="majorBidi" w:cstheme="majorBidi"/>
          <w:lang w:val="es-ES_tradnl"/>
        </w:rPr>
      </w:pPr>
      <w:r w:rsidRPr="00A230AE">
        <w:rPr>
          <w:lang w:val="es-ES_tradnl"/>
        </w:rPr>
        <w:t>•</w:t>
      </w:r>
      <w:r w:rsidRPr="00A230AE">
        <w:rPr>
          <w:lang w:val="es-ES_tradnl"/>
        </w:rPr>
        <w:tab/>
      </w:r>
      <w:hyperlink r:id="rId60" w:history="1">
        <w:r w:rsidRPr="00FD5B81">
          <w:rPr>
            <w:rStyle w:val="Hyperlink"/>
            <w:rFonts w:asciiTheme="majorBidi" w:hAnsiTheme="majorBidi" w:cstheme="majorBidi"/>
            <w:color w:val="auto"/>
            <w:u w:val="none"/>
            <w:lang w:val="es-ES_tradnl"/>
          </w:rPr>
          <w:t>GDTI – identificador mundial de tipo de documento</w:t>
        </w:r>
      </w:hyperlink>
    </w:p>
    <w:p w14:paraId="368E5982" w14:textId="77777777" w:rsidR="00533114" w:rsidRPr="00FD5B81" w:rsidRDefault="00533114" w:rsidP="00C142FB">
      <w:pPr>
        <w:pStyle w:val="enumlev1"/>
        <w:rPr>
          <w:rFonts w:asciiTheme="majorBidi" w:hAnsiTheme="majorBidi" w:cstheme="majorBidi"/>
          <w:lang w:val="es-ES_tradnl"/>
        </w:rPr>
      </w:pPr>
      <w:r w:rsidRPr="00A230AE">
        <w:rPr>
          <w:lang w:val="es-ES_tradnl"/>
        </w:rPr>
        <w:t>•</w:t>
      </w:r>
      <w:r w:rsidRPr="00A230AE">
        <w:rPr>
          <w:lang w:val="es-ES_tradnl"/>
        </w:rPr>
        <w:tab/>
      </w:r>
      <w:hyperlink r:id="rId61" w:history="1">
        <w:r w:rsidRPr="00FD5B81">
          <w:rPr>
            <w:rStyle w:val="Hyperlink"/>
            <w:rFonts w:asciiTheme="majorBidi" w:hAnsiTheme="majorBidi" w:cstheme="majorBidi"/>
            <w:color w:val="auto"/>
            <w:u w:val="none"/>
            <w:lang w:val="es-ES_tradnl"/>
          </w:rPr>
          <w:t>GSIN – número mundial de identificaci</w:t>
        </w:r>
        <w:r>
          <w:rPr>
            <w:rStyle w:val="Hyperlink"/>
            <w:rFonts w:asciiTheme="majorBidi" w:hAnsiTheme="majorBidi" w:cstheme="majorBidi"/>
            <w:color w:val="auto"/>
            <w:u w:val="none"/>
            <w:lang w:val="es-ES_tradnl"/>
          </w:rPr>
          <w:t>ón de embarque</w:t>
        </w:r>
      </w:hyperlink>
    </w:p>
    <w:p w14:paraId="0E0CA353" w14:textId="77777777" w:rsidR="00533114" w:rsidRPr="00FD5B81" w:rsidRDefault="00533114" w:rsidP="00C142FB">
      <w:pPr>
        <w:pStyle w:val="enumlev1"/>
        <w:rPr>
          <w:rFonts w:asciiTheme="majorBidi" w:hAnsiTheme="majorBidi" w:cstheme="majorBidi"/>
          <w:lang w:val="es-ES_tradnl"/>
        </w:rPr>
      </w:pPr>
      <w:r w:rsidRPr="00A230AE">
        <w:rPr>
          <w:lang w:val="es-ES_tradnl"/>
        </w:rPr>
        <w:t>•</w:t>
      </w:r>
      <w:r w:rsidRPr="00A230AE">
        <w:rPr>
          <w:lang w:val="es-ES_tradnl"/>
        </w:rPr>
        <w:tab/>
      </w:r>
      <w:hyperlink r:id="rId62" w:history="1">
        <w:r w:rsidRPr="00FD5B81">
          <w:rPr>
            <w:rStyle w:val="Hyperlink"/>
            <w:rFonts w:asciiTheme="majorBidi" w:hAnsiTheme="majorBidi" w:cstheme="majorBidi"/>
            <w:color w:val="auto"/>
            <w:u w:val="none"/>
            <w:lang w:val="es-ES_tradnl"/>
          </w:rPr>
          <w:t>GINC – número mundial de identificac</w:t>
        </w:r>
        <w:r>
          <w:rPr>
            <w:rStyle w:val="Hyperlink"/>
            <w:rFonts w:asciiTheme="majorBidi" w:hAnsiTheme="majorBidi" w:cstheme="majorBidi"/>
            <w:color w:val="auto"/>
            <w:u w:val="none"/>
            <w:lang w:val="es-ES_tradnl"/>
          </w:rPr>
          <w:t>ión para el envío</w:t>
        </w:r>
      </w:hyperlink>
    </w:p>
    <w:p w14:paraId="15E26B7D" w14:textId="77777777" w:rsidR="00533114" w:rsidRPr="00A230AE" w:rsidRDefault="00533114" w:rsidP="00C142FB">
      <w:pPr>
        <w:rPr>
          <w:rFonts w:asciiTheme="majorBidi" w:hAnsiTheme="majorBidi" w:cstheme="majorBidi"/>
          <w:lang w:val="es-ES_tradnl"/>
        </w:rPr>
      </w:pPr>
      <w:r w:rsidRPr="00EC22B2">
        <w:rPr>
          <w:rFonts w:asciiTheme="majorBidi" w:hAnsiTheme="majorBidi" w:cstheme="majorBidi"/>
          <w:lang w:val="es-ES_tradnl"/>
        </w:rPr>
        <w:t xml:space="preserve">El GTIN se utiliza para identificar categorías de objetos mientras GLN, SSCC, GIAI </w:t>
      </w:r>
      <w:r>
        <w:rPr>
          <w:rFonts w:asciiTheme="majorBidi" w:hAnsiTheme="majorBidi" w:cstheme="majorBidi"/>
          <w:lang w:val="es-ES_tradnl"/>
        </w:rPr>
        <w:t>y</w:t>
      </w:r>
      <w:r w:rsidRPr="00EC22B2">
        <w:rPr>
          <w:rFonts w:asciiTheme="majorBidi" w:hAnsiTheme="majorBidi" w:cstheme="majorBidi"/>
          <w:lang w:val="es-ES_tradnl"/>
        </w:rPr>
        <w:t xml:space="preserve"> GSRN identifican objetos individuales; GRAI y GDTI se pueden utilizar para identificar categorías de objetos o artículos individuales dependiendo de si disponen o no de un número de serie. El GINC y el GSIN identifican agrupaciones lógicas en lugar de objetos f</w:t>
      </w:r>
      <w:r>
        <w:rPr>
          <w:rFonts w:asciiTheme="majorBidi" w:hAnsiTheme="majorBidi" w:cstheme="majorBidi"/>
          <w:lang w:val="es-ES_tradnl"/>
        </w:rPr>
        <w:t>ísicos. Estas claves de identificación</w:t>
      </w:r>
      <w:r w:rsidRPr="00EC22B2">
        <w:rPr>
          <w:rFonts w:asciiTheme="majorBidi" w:hAnsiTheme="majorBidi" w:cstheme="majorBidi"/>
          <w:lang w:val="es-ES_tradnl"/>
        </w:rPr>
        <w:t xml:space="preserve"> </w:t>
      </w:r>
      <w:r>
        <w:rPr>
          <w:rFonts w:asciiTheme="majorBidi" w:hAnsiTheme="majorBidi" w:cstheme="majorBidi"/>
          <w:lang w:val="es-ES_tradnl"/>
        </w:rPr>
        <w:t xml:space="preserve">pretenden racionalizar del uso de los códigos de barras. Existe una correspondencia entre estos códigos y los EPC definidos por </w:t>
      </w:r>
      <w:r w:rsidRPr="00EC22B2">
        <w:rPr>
          <w:rFonts w:asciiTheme="majorBidi" w:hAnsiTheme="majorBidi" w:cstheme="majorBidi"/>
          <w:lang w:val="es-ES_tradnl"/>
        </w:rPr>
        <w:t xml:space="preserve">EPCglobal </w:t>
      </w:r>
      <w:r>
        <w:rPr>
          <w:rFonts w:asciiTheme="majorBidi" w:hAnsiTheme="majorBidi" w:cstheme="majorBidi"/>
          <w:lang w:val="es-ES_tradnl"/>
        </w:rPr>
        <w:t>para su uso con etiquetas</w:t>
      </w:r>
      <w:r w:rsidRPr="00EC22B2">
        <w:rPr>
          <w:rFonts w:asciiTheme="majorBidi" w:hAnsiTheme="majorBidi" w:cstheme="majorBidi"/>
          <w:lang w:val="es-ES_tradnl"/>
        </w:rPr>
        <w:t xml:space="preserve"> RFID. El GTIN se complementa en el esquema EPC añadiendo un número de serie de forma a identificar </w:t>
      </w:r>
      <w:r>
        <w:rPr>
          <w:rFonts w:asciiTheme="majorBidi" w:hAnsiTheme="majorBidi" w:cstheme="majorBidi"/>
          <w:lang w:val="es-ES_tradnl"/>
        </w:rPr>
        <w:t>un</w:t>
      </w:r>
      <w:r w:rsidRPr="00EC22B2">
        <w:rPr>
          <w:rFonts w:asciiTheme="majorBidi" w:hAnsiTheme="majorBidi" w:cstheme="majorBidi"/>
          <w:lang w:val="es-ES_tradnl"/>
        </w:rPr>
        <w:t xml:space="preserve"> objeto unívocamente.</w:t>
      </w:r>
      <w:r>
        <w:rPr>
          <w:rFonts w:asciiTheme="majorBidi" w:hAnsiTheme="majorBidi" w:cstheme="majorBidi"/>
          <w:lang w:val="es-ES_tradnl"/>
        </w:rPr>
        <w:t xml:space="preserve"> </w:t>
      </w:r>
      <w:r w:rsidRPr="00EC22B2">
        <w:rPr>
          <w:rFonts w:asciiTheme="majorBidi" w:hAnsiTheme="majorBidi" w:cstheme="majorBidi"/>
          <w:lang w:val="es-ES_tradnl"/>
        </w:rPr>
        <w:t xml:space="preserve">Las restantes claves que se usan para identificar objetos individuales tienen un equivalente directo en EPC. </w:t>
      </w:r>
      <w:r>
        <w:rPr>
          <w:rFonts w:asciiTheme="majorBidi" w:hAnsiTheme="majorBidi" w:cstheme="majorBidi"/>
          <w:lang w:val="es-ES_tradnl"/>
        </w:rPr>
        <w:t>Se han definido los siguientes EPC</w:t>
      </w:r>
      <w:r w:rsidRPr="00A230AE">
        <w:rPr>
          <w:rFonts w:asciiTheme="majorBidi" w:hAnsiTheme="majorBidi" w:cstheme="majorBidi"/>
          <w:lang w:val="es-ES_tradnl"/>
        </w:rPr>
        <w:t xml:space="preserve"> [41]:</w:t>
      </w:r>
    </w:p>
    <w:p w14:paraId="2A426710" w14:textId="77777777" w:rsidR="00533114" w:rsidRPr="001C558E" w:rsidRDefault="00533114" w:rsidP="00C142FB">
      <w:pPr>
        <w:pStyle w:val="enumlev1"/>
        <w:rPr>
          <w:lang w:val="es-ES"/>
        </w:rPr>
      </w:pPr>
      <w:r w:rsidRPr="00A230AE">
        <w:rPr>
          <w:lang w:val="es-ES"/>
        </w:rPr>
        <w:t>•</w:t>
      </w:r>
      <w:r>
        <w:rPr>
          <w:lang w:val="es-ES"/>
        </w:rPr>
        <w:tab/>
      </w:r>
      <w:r w:rsidRPr="001C558E">
        <w:rPr>
          <w:lang w:val="es-ES"/>
        </w:rPr>
        <w:t>Identif</w:t>
      </w:r>
      <w:r>
        <w:rPr>
          <w:lang w:val="es-ES"/>
        </w:rPr>
        <w:t>i</w:t>
      </w:r>
      <w:r w:rsidRPr="001C558E">
        <w:rPr>
          <w:lang w:val="es-ES"/>
        </w:rPr>
        <w:t>cador general (GID)</w:t>
      </w:r>
    </w:p>
    <w:p w14:paraId="5078A3AF" w14:textId="77777777" w:rsidR="00533114" w:rsidRPr="001C558E" w:rsidRDefault="00533114" w:rsidP="00C142FB">
      <w:pPr>
        <w:pStyle w:val="enumlev2"/>
        <w:rPr>
          <w:lang w:val="es-ES"/>
        </w:rPr>
      </w:pPr>
      <w:r w:rsidRPr="00D1631B">
        <w:rPr>
          <w:lang w:val="es-ES"/>
        </w:rPr>
        <w:t>–</w:t>
      </w:r>
      <w:r>
        <w:rPr>
          <w:lang w:val="es-ES"/>
        </w:rPr>
        <w:tab/>
      </w:r>
      <w:r w:rsidRPr="001C558E">
        <w:rPr>
          <w:lang w:val="es-ES"/>
        </w:rPr>
        <w:t>urn:epc:id:gid:</w:t>
      </w:r>
      <w:r>
        <w:rPr>
          <w:i/>
          <w:iCs/>
          <w:lang w:val="es-ES"/>
        </w:rPr>
        <w:t>Númerode</w:t>
      </w:r>
      <w:r w:rsidRPr="00D1631B">
        <w:rPr>
          <w:i/>
          <w:iCs/>
          <w:lang w:val="es-ES"/>
        </w:rPr>
        <w:t>gestor.</w:t>
      </w:r>
      <w:r>
        <w:rPr>
          <w:i/>
          <w:iCs/>
          <w:lang w:val="es-ES"/>
        </w:rPr>
        <w:t>Clasede</w:t>
      </w:r>
      <w:r w:rsidRPr="00D1631B">
        <w:rPr>
          <w:i/>
          <w:iCs/>
          <w:lang w:val="es-ES"/>
        </w:rPr>
        <w:t>objeto.</w:t>
      </w:r>
      <w:r>
        <w:rPr>
          <w:i/>
          <w:iCs/>
          <w:lang w:val="es-ES"/>
        </w:rPr>
        <w:t>Númerode</w:t>
      </w:r>
      <w:r w:rsidRPr="00D1631B">
        <w:rPr>
          <w:i/>
          <w:iCs/>
          <w:lang w:val="es-ES"/>
        </w:rPr>
        <w:t>serie</w:t>
      </w:r>
    </w:p>
    <w:p w14:paraId="3F2C465E" w14:textId="77777777" w:rsidR="00533114" w:rsidRPr="001C558E" w:rsidRDefault="00533114" w:rsidP="00C142FB">
      <w:pPr>
        <w:pStyle w:val="enumlev1"/>
        <w:rPr>
          <w:lang w:val="es-ES"/>
        </w:rPr>
      </w:pPr>
      <w:r w:rsidRPr="00A230AE">
        <w:rPr>
          <w:lang w:val="es-ES"/>
        </w:rPr>
        <w:t>•</w:t>
      </w:r>
      <w:r>
        <w:rPr>
          <w:lang w:val="es-ES"/>
        </w:rPr>
        <w:tab/>
      </w:r>
      <w:r w:rsidRPr="001C558E">
        <w:rPr>
          <w:lang w:val="es-ES"/>
        </w:rPr>
        <w:t>Número mundial seriado artículo comercial (SGTIN)</w:t>
      </w:r>
    </w:p>
    <w:p w14:paraId="20945D2A" w14:textId="77777777" w:rsidR="00533114" w:rsidRPr="001C558E" w:rsidRDefault="00533114" w:rsidP="00C142FB">
      <w:pPr>
        <w:pStyle w:val="enumlev2"/>
        <w:rPr>
          <w:lang w:val="es-ES"/>
        </w:rPr>
      </w:pPr>
      <w:r w:rsidRPr="00D1631B">
        <w:rPr>
          <w:lang w:val="es-ES"/>
        </w:rPr>
        <w:t>–</w:t>
      </w:r>
      <w:r>
        <w:rPr>
          <w:lang w:val="es-ES"/>
        </w:rPr>
        <w:tab/>
      </w:r>
      <w:r w:rsidRPr="001C558E">
        <w:rPr>
          <w:lang w:val="es-ES"/>
        </w:rPr>
        <w:t>urn:epc:id:sgtin:</w:t>
      </w:r>
      <w:r>
        <w:rPr>
          <w:i/>
          <w:iCs/>
          <w:lang w:val="es-ES"/>
        </w:rPr>
        <w:t>Prefijodela</w:t>
      </w:r>
      <w:r w:rsidRPr="00D1631B">
        <w:rPr>
          <w:i/>
          <w:iCs/>
          <w:lang w:val="es-ES"/>
        </w:rPr>
        <w:t>compañia.</w:t>
      </w:r>
      <w:r>
        <w:rPr>
          <w:i/>
          <w:iCs/>
          <w:lang w:val="es-ES"/>
        </w:rPr>
        <w:t>Referenciadel</w:t>
      </w:r>
      <w:r w:rsidRPr="00D1631B">
        <w:rPr>
          <w:i/>
          <w:iCs/>
          <w:lang w:val="es-ES"/>
        </w:rPr>
        <w:t>artículo.</w:t>
      </w:r>
      <w:r>
        <w:rPr>
          <w:i/>
          <w:iCs/>
          <w:lang w:val="es-ES"/>
        </w:rPr>
        <w:t>Númerode</w:t>
      </w:r>
      <w:r w:rsidRPr="00D1631B">
        <w:rPr>
          <w:i/>
          <w:iCs/>
          <w:lang w:val="es-ES"/>
        </w:rPr>
        <w:t>serie</w:t>
      </w:r>
    </w:p>
    <w:p w14:paraId="76C6E600" w14:textId="77777777" w:rsidR="00533114" w:rsidRPr="001C558E" w:rsidRDefault="00533114" w:rsidP="00C142FB">
      <w:pPr>
        <w:pStyle w:val="enumlev1"/>
        <w:rPr>
          <w:lang w:val="es-ES"/>
        </w:rPr>
      </w:pPr>
      <w:r w:rsidRPr="00A230AE">
        <w:rPr>
          <w:lang w:val="es-ES"/>
        </w:rPr>
        <w:t>•</w:t>
      </w:r>
      <w:r>
        <w:rPr>
          <w:lang w:val="es-ES"/>
        </w:rPr>
        <w:tab/>
      </w:r>
      <w:r w:rsidRPr="001C558E">
        <w:rPr>
          <w:lang w:val="es-ES"/>
        </w:rPr>
        <w:t>Código seriado de contenedor de embarque (SSCC)</w:t>
      </w:r>
    </w:p>
    <w:p w14:paraId="477294B9" w14:textId="77777777" w:rsidR="00533114" w:rsidRPr="001C558E" w:rsidRDefault="00533114" w:rsidP="00C142FB">
      <w:pPr>
        <w:pStyle w:val="enumlev2"/>
        <w:rPr>
          <w:lang w:val="es-ES"/>
        </w:rPr>
      </w:pPr>
      <w:r w:rsidRPr="00D1631B">
        <w:rPr>
          <w:lang w:val="es-ES"/>
        </w:rPr>
        <w:t>–</w:t>
      </w:r>
      <w:r>
        <w:rPr>
          <w:lang w:val="es-ES"/>
        </w:rPr>
        <w:tab/>
      </w:r>
      <w:r w:rsidRPr="001C558E">
        <w:rPr>
          <w:lang w:val="es-ES"/>
        </w:rPr>
        <w:t>urn:epc:id:sscc:</w:t>
      </w:r>
      <w:r>
        <w:rPr>
          <w:i/>
          <w:iCs/>
          <w:lang w:val="es-ES"/>
        </w:rPr>
        <w:t>Prefijodelacompañía.Referenciadela</w:t>
      </w:r>
      <w:r w:rsidRPr="00D1631B">
        <w:rPr>
          <w:i/>
          <w:iCs/>
          <w:lang w:val="es-ES"/>
        </w:rPr>
        <w:t>serie</w:t>
      </w:r>
    </w:p>
    <w:p w14:paraId="11C04777" w14:textId="77777777" w:rsidR="00533114" w:rsidRPr="001C558E" w:rsidRDefault="00533114" w:rsidP="00C142FB">
      <w:pPr>
        <w:pStyle w:val="enumlev1"/>
        <w:rPr>
          <w:lang w:val="es-ES"/>
        </w:rPr>
      </w:pPr>
      <w:r w:rsidRPr="00A230AE">
        <w:rPr>
          <w:lang w:val="es-ES"/>
        </w:rPr>
        <w:t>•</w:t>
      </w:r>
      <w:r>
        <w:rPr>
          <w:lang w:val="es-ES"/>
        </w:rPr>
        <w:tab/>
      </w:r>
      <w:r w:rsidRPr="001C558E">
        <w:rPr>
          <w:lang w:val="es-ES"/>
        </w:rPr>
        <w:t>Número mundial de localización con o sin ampliación (SGLN)</w:t>
      </w:r>
    </w:p>
    <w:p w14:paraId="188253EF" w14:textId="77777777" w:rsidR="00533114" w:rsidRPr="001C558E" w:rsidRDefault="00533114" w:rsidP="00C142FB">
      <w:pPr>
        <w:pStyle w:val="enumlev2"/>
        <w:rPr>
          <w:lang w:val="es-ES"/>
        </w:rPr>
      </w:pPr>
      <w:r w:rsidRPr="00D1631B">
        <w:rPr>
          <w:lang w:val="es-ES"/>
        </w:rPr>
        <w:lastRenderedPageBreak/>
        <w:t>–</w:t>
      </w:r>
      <w:r>
        <w:rPr>
          <w:lang w:val="es-ES"/>
        </w:rPr>
        <w:tab/>
      </w:r>
      <w:r w:rsidRPr="001C558E">
        <w:rPr>
          <w:lang w:val="es-ES"/>
        </w:rPr>
        <w:t>urn:epc:id:sgln:</w:t>
      </w:r>
      <w:r>
        <w:rPr>
          <w:i/>
          <w:iCs/>
          <w:lang w:val="es-ES"/>
        </w:rPr>
        <w:t>Prefijodela</w:t>
      </w:r>
      <w:r w:rsidRPr="00D1631B">
        <w:rPr>
          <w:i/>
          <w:iCs/>
          <w:lang w:val="es-ES"/>
        </w:rPr>
        <w:t>compañ</w:t>
      </w:r>
      <w:r>
        <w:rPr>
          <w:i/>
          <w:iCs/>
          <w:lang w:val="es-ES"/>
        </w:rPr>
        <w:t>í</w:t>
      </w:r>
      <w:r w:rsidRPr="00D1631B">
        <w:rPr>
          <w:i/>
          <w:iCs/>
          <w:lang w:val="es-ES"/>
        </w:rPr>
        <w:t>a.</w:t>
      </w:r>
      <w:r>
        <w:rPr>
          <w:i/>
          <w:iCs/>
          <w:lang w:val="es-ES"/>
        </w:rPr>
        <w:t>Referenciade</w:t>
      </w:r>
      <w:r w:rsidRPr="00D1631B">
        <w:rPr>
          <w:i/>
          <w:iCs/>
          <w:lang w:val="es-ES"/>
        </w:rPr>
        <w:t>localización.Ampliación</w:t>
      </w:r>
    </w:p>
    <w:p w14:paraId="5ADAB809" w14:textId="77777777" w:rsidR="00533114" w:rsidRPr="001C558E" w:rsidRDefault="00533114" w:rsidP="00C142FB">
      <w:pPr>
        <w:pStyle w:val="enumlev1"/>
        <w:rPr>
          <w:rFonts w:asciiTheme="majorBidi" w:hAnsiTheme="majorBidi" w:cstheme="majorBidi"/>
          <w:lang w:val="es-ES"/>
        </w:rPr>
      </w:pPr>
      <w:r w:rsidRPr="00A230AE">
        <w:rPr>
          <w:lang w:val="es-ES_tradnl"/>
        </w:rPr>
        <w:t>•</w:t>
      </w:r>
      <w:r w:rsidRPr="00A230AE">
        <w:rPr>
          <w:lang w:val="es-ES_tradnl"/>
        </w:rPr>
        <w:tab/>
      </w:r>
      <w:hyperlink r:id="rId63" w:history="1">
        <w:r w:rsidRPr="001C558E">
          <w:rPr>
            <w:rStyle w:val="Hyperlink"/>
            <w:rFonts w:asciiTheme="majorBidi" w:hAnsiTheme="majorBidi" w:cstheme="majorBidi"/>
            <w:color w:val="auto"/>
            <w:u w:val="none"/>
            <w:lang w:val="es-ES"/>
          </w:rPr>
          <w:t>Identificador mundial de bienes retornable</w:t>
        </w:r>
      </w:hyperlink>
      <w:r>
        <w:rPr>
          <w:rStyle w:val="Hyperlink"/>
          <w:rFonts w:asciiTheme="majorBidi" w:hAnsiTheme="majorBidi" w:cstheme="majorBidi"/>
          <w:color w:val="auto"/>
          <w:u w:val="none"/>
          <w:lang w:val="es-ES"/>
        </w:rPr>
        <w:t>s</w:t>
      </w:r>
      <w:r w:rsidRPr="001C558E">
        <w:rPr>
          <w:rFonts w:asciiTheme="majorBidi" w:hAnsiTheme="majorBidi" w:cstheme="majorBidi"/>
          <w:lang w:val="es-ES"/>
        </w:rPr>
        <w:t xml:space="preserve"> (GRAI)</w:t>
      </w:r>
    </w:p>
    <w:p w14:paraId="13D324AA" w14:textId="77777777" w:rsidR="00533114" w:rsidRPr="001C558E" w:rsidRDefault="00533114" w:rsidP="00C142FB">
      <w:pPr>
        <w:pStyle w:val="enumlev2"/>
        <w:rPr>
          <w:lang w:val="es-ES"/>
        </w:rPr>
      </w:pPr>
      <w:r w:rsidRPr="00D1631B">
        <w:rPr>
          <w:lang w:val="es-ES"/>
        </w:rPr>
        <w:t>–</w:t>
      </w:r>
      <w:r>
        <w:rPr>
          <w:lang w:val="es-ES"/>
        </w:rPr>
        <w:tab/>
      </w:r>
      <w:r w:rsidRPr="001C558E">
        <w:rPr>
          <w:lang w:val="es-ES"/>
        </w:rPr>
        <w:t>urn:epc:id:grai:</w:t>
      </w:r>
      <w:r>
        <w:rPr>
          <w:i/>
          <w:iCs/>
          <w:lang w:val="es-ES"/>
        </w:rPr>
        <w:t>Prefijodela</w:t>
      </w:r>
      <w:r w:rsidRPr="00D1631B">
        <w:rPr>
          <w:i/>
          <w:iCs/>
          <w:lang w:val="es-ES"/>
        </w:rPr>
        <w:t>compañ</w:t>
      </w:r>
      <w:r>
        <w:rPr>
          <w:i/>
          <w:iCs/>
          <w:lang w:val="es-ES"/>
        </w:rPr>
        <w:t>í</w:t>
      </w:r>
      <w:r w:rsidRPr="00D1631B">
        <w:rPr>
          <w:i/>
          <w:iCs/>
          <w:lang w:val="es-ES"/>
        </w:rPr>
        <w:t>a.</w:t>
      </w:r>
      <w:r>
        <w:rPr>
          <w:i/>
          <w:iCs/>
          <w:lang w:val="es-ES"/>
        </w:rPr>
        <w:t>Tipode</w:t>
      </w:r>
      <w:r w:rsidRPr="00D1631B">
        <w:rPr>
          <w:i/>
          <w:iCs/>
          <w:lang w:val="es-ES"/>
        </w:rPr>
        <w:t>bien.</w:t>
      </w:r>
      <w:r>
        <w:rPr>
          <w:i/>
          <w:iCs/>
          <w:lang w:val="es-ES"/>
        </w:rPr>
        <w:t>Númerode</w:t>
      </w:r>
      <w:r w:rsidRPr="00D1631B">
        <w:rPr>
          <w:i/>
          <w:iCs/>
          <w:lang w:val="es-ES"/>
        </w:rPr>
        <w:t>serie</w:t>
      </w:r>
    </w:p>
    <w:p w14:paraId="263236BF" w14:textId="77777777" w:rsidR="00533114" w:rsidRPr="001C558E" w:rsidRDefault="00533114" w:rsidP="00C142FB">
      <w:pPr>
        <w:pStyle w:val="enumlev1"/>
        <w:rPr>
          <w:rFonts w:asciiTheme="majorBidi" w:hAnsiTheme="majorBidi" w:cstheme="majorBidi"/>
          <w:lang w:val="es-ES"/>
        </w:rPr>
      </w:pPr>
      <w:r w:rsidRPr="00A230AE">
        <w:rPr>
          <w:lang w:val="es-ES_tradnl"/>
        </w:rPr>
        <w:t>•</w:t>
      </w:r>
      <w:r w:rsidRPr="00A230AE">
        <w:rPr>
          <w:lang w:val="es-ES_tradnl"/>
        </w:rPr>
        <w:tab/>
      </w:r>
      <w:hyperlink r:id="rId64" w:history="1">
        <w:r w:rsidRPr="001C558E">
          <w:rPr>
            <w:lang w:val="es-ES"/>
          </w:rPr>
          <w:t>I</w:t>
        </w:r>
        <w:r w:rsidRPr="001C558E">
          <w:rPr>
            <w:rStyle w:val="Hyperlink"/>
            <w:rFonts w:asciiTheme="majorBidi" w:hAnsiTheme="majorBidi" w:cstheme="majorBidi"/>
            <w:color w:val="auto"/>
            <w:u w:val="none"/>
            <w:lang w:val="es-ES"/>
          </w:rPr>
          <w:t>dentificador mundial de bienes individual</w:t>
        </w:r>
      </w:hyperlink>
      <w:r w:rsidRPr="001C558E">
        <w:rPr>
          <w:rStyle w:val="Hyperlink"/>
          <w:rFonts w:asciiTheme="majorBidi" w:hAnsiTheme="majorBidi" w:cstheme="majorBidi"/>
          <w:color w:val="auto"/>
          <w:u w:val="none"/>
          <w:lang w:val="es-ES"/>
        </w:rPr>
        <w:t xml:space="preserve">es </w:t>
      </w:r>
      <w:r w:rsidRPr="001C558E">
        <w:rPr>
          <w:rFonts w:asciiTheme="majorBidi" w:hAnsiTheme="majorBidi" w:cstheme="majorBidi"/>
          <w:lang w:val="es-ES"/>
        </w:rPr>
        <w:t>(GIAI)</w:t>
      </w:r>
    </w:p>
    <w:p w14:paraId="6F6AFE92" w14:textId="77777777" w:rsidR="00533114" w:rsidRPr="001C558E" w:rsidRDefault="00533114" w:rsidP="00C142FB">
      <w:pPr>
        <w:pStyle w:val="enumlev2"/>
        <w:rPr>
          <w:lang w:val="es-ES"/>
        </w:rPr>
      </w:pPr>
      <w:r w:rsidRPr="00D1631B">
        <w:rPr>
          <w:lang w:val="es-ES"/>
        </w:rPr>
        <w:t>–</w:t>
      </w:r>
      <w:r>
        <w:rPr>
          <w:lang w:val="es-ES"/>
        </w:rPr>
        <w:tab/>
      </w:r>
      <w:r w:rsidRPr="001C558E">
        <w:rPr>
          <w:lang w:val="es-ES"/>
        </w:rPr>
        <w:t>urn:epc:id:giai:</w:t>
      </w:r>
      <w:r>
        <w:rPr>
          <w:i/>
          <w:iCs/>
          <w:lang w:val="es-ES"/>
        </w:rPr>
        <w:t>Prefijodela</w:t>
      </w:r>
      <w:r w:rsidRPr="00D1631B">
        <w:rPr>
          <w:i/>
          <w:iCs/>
          <w:lang w:val="es-ES"/>
        </w:rPr>
        <w:t>compañ</w:t>
      </w:r>
      <w:r>
        <w:rPr>
          <w:i/>
          <w:iCs/>
          <w:lang w:val="es-ES"/>
        </w:rPr>
        <w:t>í</w:t>
      </w:r>
      <w:r w:rsidRPr="00D1631B">
        <w:rPr>
          <w:i/>
          <w:iCs/>
          <w:lang w:val="es-ES"/>
        </w:rPr>
        <w:t>a.</w:t>
      </w:r>
      <w:r>
        <w:rPr>
          <w:i/>
          <w:iCs/>
          <w:lang w:val="es-ES"/>
        </w:rPr>
        <w:t>Referenciadelbien</w:t>
      </w:r>
      <w:r w:rsidRPr="00D1631B">
        <w:rPr>
          <w:i/>
          <w:iCs/>
          <w:lang w:val="es-ES"/>
        </w:rPr>
        <w:t>individual</w:t>
      </w:r>
    </w:p>
    <w:p w14:paraId="76B5284A" w14:textId="77777777" w:rsidR="00533114" w:rsidRPr="001C558E" w:rsidRDefault="00533114" w:rsidP="00C142FB">
      <w:pPr>
        <w:pStyle w:val="enumlev1"/>
        <w:rPr>
          <w:lang w:val="es-ES"/>
        </w:rPr>
      </w:pPr>
      <w:r w:rsidRPr="00A230AE">
        <w:rPr>
          <w:lang w:val="es-ES"/>
        </w:rPr>
        <w:t>•</w:t>
      </w:r>
      <w:r>
        <w:rPr>
          <w:lang w:val="es-ES"/>
        </w:rPr>
        <w:tab/>
        <w:t>I</w:t>
      </w:r>
      <w:r w:rsidRPr="001C558E">
        <w:rPr>
          <w:lang w:val="es-ES"/>
        </w:rPr>
        <w:t>dentificador mundial de tipo de do</w:t>
      </w:r>
      <w:r>
        <w:rPr>
          <w:lang w:val="es-ES"/>
        </w:rPr>
        <w:t>cumento</w:t>
      </w:r>
      <w:r w:rsidRPr="001C558E">
        <w:rPr>
          <w:lang w:val="es-ES"/>
        </w:rPr>
        <w:t xml:space="preserve"> (GDTI)</w:t>
      </w:r>
    </w:p>
    <w:p w14:paraId="1ED78576" w14:textId="77777777" w:rsidR="00533114" w:rsidRPr="001C558E" w:rsidRDefault="00533114" w:rsidP="00C142FB">
      <w:pPr>
        <w:pStyle w:val="enumlev2"/>
        <w:rPr>
          <w:lang w:val="es-ES"/>
        </w:rPr>
      </w:pPr>
      <w:r w:rsidRPr="00D1631B">
        <w:rPr>
          <w:lang w:val="es-ES"/>
        </w:rPr>
        <w:t>–</w:t>
      </w:r>
      <w:r>
        <w:rPr>
          <w:lang w:val="es-ES"/>
        </w:rPr>
        <w:tab/>
      </w:r>
      <w:r w:rsidRPr="001C558E">
        <w:rPr>
          <w:lang w:val="es-ES"/>
        </w:rPr>
        <w:t>urn:epc:id:gdti:</w:t>
      </w:r>
      <w:r>
        <w:rPr>
          <w:i/>
          <w:iCs/>
          <w:lang w:val="es-ES"/>
        </w:rPr>
        <w:t>Prefijodela</w:t>
      </w:r>
      <w:r w:rsidRPr="00D1631B">
        <w:rPr>
          <w:i/>
          <w:iCs/>
          <w:lang w:val="es-ES"/>
        </w:rPr>
        <w:t>compañ</w:t>
      </w:r>
      <w:r>
        <w:rPr>
          <w:i/>
          <w:iCs/>
          <w:lang w:val="es-ES"/>
        </w:rPr>
        <w:t>í</w:t>
      </w:r>
      <w:r w:rsidRPr="00D1631B">
        <w:rPr>
          <w:i/>
          <w:iCs/>
          <w:lang w:val="es-ES"/>
        </w:rPr>
        <w:t>a.</w:t>
      </w:r>
      <w:r>
        <w:rPr>
          <w:i/>
          <w:iCs/>
          <w:lang w:val="es-ES"/>
        </w:rPr>
        <w:t>Tipode</w:t>
      </w:r>
      <w:r w:rsidRPr="00D1631B">
        <w:rPr>
          <w:i/>
          <w:iCs/>
          <w:lang w:val="es-ES"/>
        </w:rPr>
        <w:t>documento.</w:t>
      </w:r>
      <w:r>
        <w:rPr>
          <w:i/>
          <w:iCs/>
          <w:lang w:val="es-ES"/>
        </w:rPr>
        <w:t>Númerode</w:t>
      </w:r>
      <w:r w:rsidRPr="00D1631B">
        <w:rPr>
          <w:i/>
          <w:iCs/>
          <w:lang w:val="es-ES"/>
        </w:rPr>
        <w:t>serie</w:t>
      </w:r>
    </w:p>
    <w:p w14:paraId="4D27CCF8" w14:textId="77777777" w:rsidR="00533114" w:rsidRPr="001C558E" w:rsidRDefault="00533114" w:rsidP="00C142FB">
      <w:pPr>
        <w:pStyle w:val="enumlev1"/>
        <w:rPr>
          <w:lang w:val="es-ES"/>
        </w:rPr>
      </w:pPr>
      <w:r w:rsidRPr="00A230AE">
        <w:rPr>
          <w:lang w:val="es-ES"/>
        </w:rPr>
        <w:t>•</w:t>
      </w:r>
      <w:r>
        <w:rPr>
          <w:lang w:val="es-ES"/>
        </w:rPr>
        <w:tab/>
        <w:t>N</w:t>
      </w:r>
      <w:r w:rsidRPr="001C558E">
        <w:rPr>
          <w:lang w:val="es-ES"/>
        </w:rPr>
        <w:t>úmero mundial de relación de serv</w:t>
      </w:r>
      <w:r>
        <w:rPr>
          <w:lang w:val="es-ES"/>
        </w:rPr>
        <w:t>icio</w:t>
      </w:r>
      <w:r w:rsidRPr="001C558E">
        <w:rPr>
          <w:lang w:val="es-ES"/>
        </w:rPr>
        <w:t xml:space="preserve"> (GSRN)</w:t>
      </w:r>
    </w:p>
    <w:p w14:paraId="0AEF1C6A" w14:textId="77777777" w:rsidR="00533114" w:rsidRPr="001C558E" w:rsidRDefault="00533114" w:rsidP="00C142FB">
      <w:pPr>
        <w:pStyle w:val="enumlev2"/>
        <w:rPr>
          <w:lang w:val="es-ES"/>
        </w:rPr>
      </w:pPr>
      <w:r w:rsidRPr="00D1631B">
        <w:rPr>
          <w:lang w:val="es-ES"/>
        </w:rPr>
        <w:t>–</w:t>
      </w:r>
      <w:r>
        <w:rPr>
          <w:lang w:val="es-ES"/>
        </w:rPr>
        <w:tab/>
      </w:r>
      <w:r w:rsidRPr="001C558E">
        <w:rPr>
          <w:lang w:val="es-ES"/>
        </w:rPr>
        <w:t>urn:epc:id:gsrn:</w:t>
      </w:r>
      <w:r>
        <w:rPr>
          <w:i/>
          <w:iCs/>
          <w:lang w:val="es-ES"/>
        </w:rPr>
        <w:t>Prefijodela</w:t>
      </w:r>
      <w:r w:rsidRPr="00D1631B">
        <w:rPr>
          <w:i/>
          <w:iCs/>
          <w:lang w:val="es-ES"/>
        </w:rPr>
        <w:t>compañ</w:t>
      </w:r>
      <w:r>
        <w:rPr>
          <w:i/>
          <w:iCs/>
          <w:lang w:val="es-ES"/>
        </w:rPr>
        <w:t>í</w:t>
      </w:r>
      <w:r w:rsidRPr="00D1631B">
        <w:rPr>
          <w:i/>
          <w:iCs/>
          <w:lang w:val="es-ES"/>
        </w:rPr>
        <w:t>a.</w:t>
      </w:r>
      <w:r>
        <w:rPr>
          <w:i/>
          <w:iCs/>
          <w:lang w:val="es-ES"/>
        </w:rPr>
        <w:t>Referenciadel</w:t>
      </w:r>
      <w:r w:rsidRPr="00D1631B">
        <w:rPr>
          <w:i/>
          <w:iCs/>
          <w:lang w:val="es-ES"/>
        </w:rPr>
        <w:t>servicio</w:t>
      </w:r>
    </w:p>
    <w:p w14:paraId="1221CB94" w14:textId="77777777" w:rsidR="00533114" w:rsidRPr="001C558E" w:rsidRDefault="00533114" w:rsidP="00C142FB">
      <w:pPr>
        <w:pStyle w:val="enumlev1"/>
        <w:rPr>
          <w:lang w:val="es-ES"/>
        </w:rPr>
      </w:pPr>
      <w:r w:rsidRPr="00A230AE">
        <w:rPr>
          <w:lang w:val="es-ES"/>
        </w:rPr>
        <w:t>•</w:t>
      </w:r>
      <w:r>
        <w:rPr>
          <w:lang w:val="es-ES"/>
        </w:rPr>
        <w:tab/>
        <w:t>Ministerio de Defensa de EE.UU.</w:t>
      </w:r>
      <w:r w:rsidRPr="001C558E">
        <w:rPr>
          <w:lang w:val="es-ES"/>
        </w:rPr>
        <w:t xml:space="preserve"> (DoD)</w:t>
      </w:r>
    </w:p>
    <w:p w14:paraId="358BA1AA" w14:textId="77777777" w:rsidR="00533114" w:rsidRPr="001C558E" w:rsidRDefault="00533114" w:rsidP="00C142FB">
      <w:pPr>
        <w:pStyle w:val="enumlev2"/>
        <w:rPr>
          <w:lang w:val="es-ES"/>
        </w:rPr>
      </w:pPr>
      <w:r w:rsidRPr="00D1631B">
        <w:rPr>
          <w:lang w:val="es-ES"/>
        </w:rPr>
        <w:t>–</w:t>
      </w:r>
      <w:r>
        <w:rPr>
          <w:lang w:val="es-ES"/>
        </w:rPr>
        <w:tab/>
      </w:r>
      <w:r w:rsidRPr="001C558E">
        <w:rPr>
          <w:lang w:val="es-ES"/>
        </w:rPr>
        <w:t>urn:epc:id:usdod:</w:t>
      </w:r>
      <w:r w:rsidRPr="00D1631B">
        <w:rPr>
          <w:i/>
          <w:iCs/>
          <w:lang w:val="es-ES"/>
        </w:rPr>
        <w:t>CAGEOrDODAAC.</w:t>
      </w:r>
      <w:r>
        <w:rPr>
          <w:i/>
          <w:iCs/>
          <w:lang w:val="es-ES"/>
        </w:rPr>
        <w:t>Númerode</w:t>
      </w:r>
      <w:r w:rsidRPr="00D1631B">
        <w:rPr>
          <w:i/>
          <w:iCs/>
          <w:lang w:val="es-ES"/>
        </w:rPr>
        <w:t>serie</w:t>
      </w:r>
    </w:p>
    <w:p w14:paraId="48C5D9BD" w14:textId="77777777" w:rsidR="00533114" w:rsidRPr="001C558E" w:rsidRDefault="00533114" w:rsidP="00C142FB">
      <w:pPr>
        <w:pStyle w:val="enumlev1"/>
        <w:rPr>
          <w:lang w:val="es-ES"/>
        </w:rPr>
      </w:pPr>
      <w:r w:rsidRPr="00A230AE">
        <w:rPr>
          <w:lang w:val="es-ES"/>
        </w:rPr>
        <w:t>•</w:t>
      </w:r>
      <w:r>
        <w:rPr>
          <w:lang w:val="es-ES"/>
        </w:rPr>
        <w:tab/>
        <w:t>Identificador aeroespacial y de defensa</w:t>
      </w:r>
      <w:r w:rsidRPr="001C558E">
        <w:rPr>
          <w:lang w:val="es-ES"/>
        </w:rPr>
        <w:t xml:space="preserve"> (ADI)</w:t>
      </w:r>
    </w:p>
    <w:p w14:paraId="693EFF79" w14:textId="77777777" w:rsidR="00533114" w:rsidRPr="001C558E" w:rsidRDefault="00533114" w:rsidP="00C142FB">
      <w:pPr>
        <w:pStyle w:val="enumlev2"/>
        <w:rPr>
          <w:lang w:val="es-ES"/>
        </w:rPr>
      </w:pPr>
      <w:r w:rsidRPr="00D1631B">
        <w:rPr>
          <w:lang w:val="es-ES"/>
        </w:rPr>
        <w:t>–</w:t>
      </w:r>
      <w:r>
        <w:rPr>
          <w:lang w:val="es-ES"/>
        </w:rPr>
        <w:tab/>
      </w:r>
      <w:r w:rsidRPr="001C558E">
        <w:rPr>
          <w:lang w:val="es-ES"/>
        </w:rPr>
        <w:t>urn:epc:id:adi:</w:t>
      </w:r>
      <w:r w:rsidRPr="00D1631B">
        <w:rPr>
          <w:i/>
          <w:iCs/>
          <w:lang w:val="es-ES"/>
        </w:rPr>
        <w:t>CAGEOrDODAAC.</w:t>
      </w:r>
      <w:r>
        <w:rPr>
          <w:i/>
          <w:iCs/>
          <w:lang w:val="es-ES"/>
        </w:rPr>
        <w:t>Númerooriginalde</w:t>
      </w:r>
      <w:r w:rsidRPr="00D1631B">
        <w:rPr>
          <w:i/>
          <w:iCs/>
          <w:lang w:val="es-ES"/>
        </w:rPr>
        <w:t>parte.Serie</w:t>
      </w:r>
    </w:p>
    <w:p w14:paraId="30DBC0AA" w14:textId="77777777" w:rsidR="00533114" w:rsidRPr="00865968" w:rsidRDefault="00533114" w:rsidP="00C142FB">
      <w:pPr>
        <w:rPr>
          <w:rFonts w:asciiTheme="majorBidi" w:hAnsiTheme="majorBidi" w:cstheme="majorBidi"/>
          <w:bCs/>
          <w:lang w:val="es-ES_tradnl"/>
        </w:rPr>
      </w:pPr>
      <w:r w:rsidRPr="00865968">
        <w:rPr>
          <w:rFonts w:asciiTheme="majorBidi" w:hAnsiTheme="majorBidi" w:cstheme="majorBidi"/>
          <w:bCs/>
          <w:lang w:val="es-ES_tradnl"/>
        </w:rPr>
        <w:t xml:space="preserve">La norma ISO/CEI 15459 [42] define identificadores únicos </w:t>
      </w:r>
      <w:r>
        <w:rPr>
          <w:rFonts w:asciiTheme="majorBidi" w:hAnsiTheme="majorBidi" w:cstheme="majorBidi"/>
          <w:bCs/>
          <w:lang w:val="es-ES_tradnl"/>
        </w:rPr>
        <w:t>p</w:t>
      </w:r>
      <w:r w:rsidRPr="00865968">
        <w:rPr>
          <w:rFonts w:asciiTheme="majorBidi" w:hAnsiTheme="majorBidi" w:cstheme="majorBidi"/>
          <w:bCs/>
          <w:lang w:val="es-ES_tradnl"/>
        </w:rPr>
        <w:t xml:space="preserve">ara el seguimiento de la cadena de producto que se pueden representar en medios </w:t>
      </w:r>
      <w:r>
        <w:rPr>
          <w:color w:val="000000"/>
          <w:lang w:val="es-ES_tradnl"/>
        </w:rPr>
        <w:t>automáticos</w:t>
      </w:r>
      <w:r w:rsidRPr="00865968">
        <w:rPr>
          <w:color w:val="000000"/>
          <w:lang w:val="es-ES_tradnl"/>
        </w:rPr>
        <w:t xml:space="preserve"> </w:t>
      </w:r>
      <w:r w:rsidRPr="00865968">
        <w:rPr>
          <w:rFonts w:asciiTheme="majorBidi" w:hAnsiTheme="majorBidi" w:cstheme="majorBidi"/>
          <w:bCs/>
          <w:lang w:val="es-ES_tradnl"/>
        </w:rPr>
        <w:t xml:space="preserve">de </w:t>
      </w:r>
      <w:r w:rsidRPr="00865968">
        <w:rPr>
          <w:color w:val="000000"/>
          <w:lang w:val="es-ES_tradnl"/>
        </w:rPr>
        <w:t xml:space="preserve">identificación y captura de datos </w:t>
      </w:r>
      <w:r w:rsidRPr="00865968">
        <w:rPr>
          <w:rFonts w:asciiTheme="majorBidi" w:hAnsiTheme="majorBidi" w:cstheme="majorBidi"/>
          <w:lang w:val="es-ES_tradnl"/>
        </w:rPr>
        <w:t>(</w:t>
      </w:r>
      <w:r w:rsidRPr="00865968">
        <w:rPr>
          <w:rFonts w:asciiTheme="majorBidi" w:hAnsiTheme="majorBidi" w:cstheme="majorBidi"/>
          <w:bCs/>
          <w:lang w:val="es-ES_tradnl"/>
        </w:rPr>
        <w:t xml:space="preserve">AIDC) </w:t>
      </w:r>
      <w:r>
        <w:rPr>
          <w:rFonts w:asciiTheme="majorBidi" w:hAnsiTheme="majorBidi" w:cstheme="majorBidi"/>
          <w:bCs/>
          <w:lang w:val="es-ES_tradnl"/>
        </w:rPr>
        <w:t xml:space="preserve">tales como los códigos de barras y los </w:t>
      </w:r>
      <w:r w:rsidRPr="00865968">
        <w:rPr>
          <w:rFonts w:asciiTheme="majorBidi" w:hAnsiTheme="majorBidi" w:cstheme="majorBidi"/>
          <w:bCs/>
          <w:lang w:val="es-ES_tradnl"/>
        </w:rPr>
        <w:t>RFID.</w:t>
      </w:r>
    </w:p>
    <w:p w14:paraId="797B0F53" w14:textId="77777777" w:rsidR="00533114" w:rsidRPr="00254368" w:rsidRDefault="00533114" w:rsidP="00C142FB">
      <w:pPr>
        <w:rPr>
          <w:rFonts w:asciiTheme="majorBidi" w:hAnsiTheme="majorBidi" w:cstheme="majorBidi"/>
          <w:bCs/>
          <w:lang w:val="es-ES_tradnl"/>
        </w:rPr>
      </w:pPr>
      <w:r w:rsidRPr="00254368">
        <w:rPr>
          <w:rFonts w:asciiTheme="majorBidi" w:hAnsiTheme="majorBidi" w:cstheme="majorBidi"/>
          <w:bCs/>
          <w:lang w:val="es-ES_tradnl"/>
        </w:rPr>
        <w:t>Las partes 1, 4, 5, 6 y 8 de ISO/CEI 15459 especifican la cadena de caracteres única para identificar las unidades de transporte, l</w:t>
      </w:r>
      <w:r>
        <w:rPr>
          <w:rFonts w:asciiTheme="majorBidi" w:hAnsiTheme="majorBidi" w:cstheme="majorBidi"/>
          <w:bCs/>
          <w:lang w:val="es-ES_tradnl"/>
        </w:rPr>
        <w:t xml:space="preserve">os artículos individuales, las unidades de transporte restituibles, agrupaciones de productos y unidades de transporte, respectivamente. </w:t>
      </w:r>
      <w:r w:rsidRPr="00254368">
        <w:rPr>
          <w:rFonts w:asciiTheme="majorBidi" w:hAnsiTheme="majorBidi" w:cstheme="majorBidi"/>
          <w:bCs/>
          <w:lang w:val="es-ES_tradnl"/>
        </w:rPr>
        <w:t>En cada caso, el identificador único se estructura en diferentes clases para facilitar la gesti</w:t>
      </w:r>
      <w:r>
        <w:rPr>
          <w:rFonts w:asciiTheme="majorBidi" w:hAnsiTheme="majorBidi" w:cstheme="majorBidi"/>
          <w:bCs/>
          <w:lang w:val="es-ES_tradnl"/>
        </w:rPr>
        <w:t>ón eficiente de los identificadores para esa clase de objeto</w:t>
      </w:r>
      <w:r w:rsidRPr="00254368">
        <w:rPr>
          <w:rFonts w:asciiTheme="majorBidi" w:hAnsiTheme="majorBidi" w:cstheme="majorBidi"/>
          <w:bCs/>
          <w:lang w:val="es-ES_tradnl"/>
        </w:rPr>
        <w:t>.</w:t>
      </w:r>
    </w:p>
    <w:p w14:paraId="0107CDA1" w14:textId="77777777" w:rsidR="00533114" w:rsidRPr="00A230AE" w:rsidRDefault="00533114" w:rsidP="00C142FB">
      <w:pPr>
        <w:rPr>
          <w:rFonts w:asciiTheme="majorBidi" w:hAnsiTheme="majorBidi" w:cstheme="majorBidi"/>
          <w:bCs/>
          <w:lang w:val="es-ES_tradnl"/>
        </w:rPr>
      </w:pPr>
      <w:r w:rsidRPr="00254368">
        <w:rPr>
          <w:rFonts w:asciiTheme="majorBidi" w:hAnsiTheme="majorBidi" w:cstheme="majorBidi"/>
          <w:bCs/>
          <w:lang w:val="es-ES_tradnl"/>
        </w:rPr>
        <w:t xml:space="preserve">La parte 2 especifica los requisitos de procedimiento para </w:t>
      </w:r>
      <w:r>
        <w:rPr>
          <w:rFonts w:asciiTheme="majorBidi" w:hAnsiTheme="majorBidi" w:cstheme="majorBidi"/>
          <w:bCs/>
          <w:lang w:val="es-ES_tradnl"/>
        </w:rPr>
        <w:t>atribuir</w:t>
      </w:r>
      <w:r w:rsidRPr="00254368">
        <w:rPr>
          <w:rFonts w:asciiTheme="majorBidi" w:hAnsiTheme="majorBidi" w:cstheme="majorBidi"/>
          <w:bCs/>
          <w:lang w:val="es-ES_tradnl"/>
        </w:rPr>
        <w:t xml:space="preserve"> identificadores únicos para aplicaciones de gesti</w:t>
      </w:r>
      <w:r>
        <w:rPr>
          <w:rFonts w:asciiTheme="majorBidi" w:hAnsiTheme="majorBidi" w:cstheme="majorBidi"/>
          <w:bCs/>
          <w:lang w:val="es-ES_tradnl"/>
        </w:rPr>
        <w:t xml:space="preserve">ón de artículos y describe las obligaciones de la autoridad de registro y de las agencias editoras. </w:t>
      </w:r>
      <w:r w:rsidRPr="00DF3B11">
        <w:rPr>
          <w:rFonts w:asciiTheme="majorBidi" w:hAnsiTheme="majorBidi" w:cstheme="majorBidi"/>
          <w:bCs/>
          <w:lang w:val="es-ES_tradnl"/>
        </w:rPr>
        <w:t>Estos procedimientos no aplican a aquellos artículos</w:t>
      </w:r>
      <w:r w:rsidRPr="00DF3B11">
        <w:rPr>
          <w:bCs/>
          <w:lang w:val="es-ES_tradnl"/>
        </w:rPr>
        <w:t xml:space="preserve"> para los que la ISO ya haya designado autoridades de registro </w:t>
      </w:r>
      <w:r>
        <w:rPr>
          <w:bCs/>
          <w:lang w:val="es-ES_tradnl"/>
        </w:rPr>
        <w:t>o</w:t>
      </w:r>
      <w:r w:rsidRPr="00DF3B11">
        <w:rPr>
          <w:bCs/>
          <w:lang w:val="es-ES_tradnl"/>
        </w:rPr>
        <w:t xml:space="preserve"> agencias</w:t>
      </w:r>
      <w:r>
        <w:rPr>
          <w:bCs/>
          <w:lang w:val="es-ES_tradnl"/>
        </w:rPr>
        <w:t xml:space="preserve"> de mantenimiento para proporcionar esquemas de identificación. Por tanto, no aplica a</w:t>
      </w:r>
      <w:r w:rsidRPr="00A230AE">
        <w:rPr>
          <w:rFonts w:asciiTheme="majorBidi" w:hAnsiTheme="majorBidi" w:cstheme="majorBidi"/>
          <w:bCs/>
          <w:lang w:val="es-ES_tradnl"/>
        </w:rPr>
        <w:t>:</w:t>
      </w:r>
    </w:p>
    <w:p w14:paraId="23685150" w14:textId="77777777" w:rsidR="00533114" w:rsidRPr="00DF3B11" w:rsidRDefault="00533114" w:rsidP="00C142FB">
      <w:pPr>
        <w:pStyle w:val="enumlev1"/>
        <w:rPr>
          <w:lang w:val="es-ES_tradnl"/>
        </w:rPr>
      </w:pPr>
      <w:r w:rsidRPr="00A230AE">
        <w:rPr>
          <w:lang w:val="es-ES_tradnl"/>
        </w:rPr>
        <w:t>•</w:t>
      </w:r>
      <w:r>
        <w:rPr>
          <w:lang w:val="es-ES_tradnl"/>
        </w:rPr>
        <w:tab/>
      </w:r>
      <w:r w:rsidRPr="00DF3B11">
        <w:rPr>
          <w:lang w:val="es-ES_tradnl"/>
        </w:rPr>
        <w:t>contenedores de carga, puesto que su única codificaci</w:t>
      </w:r>
      <w:r>
        <w:rPr>
          <w:lang w:val="es-ES_tradnl"/>
        </w:rPr>
        <w:t>ón se especifica en la norma</w:t>
      </w:r>
      <w:r w:rsidRPr="00DF3B11">
        <w:rPr>
          <w:lang w:val="es-ES_tradnl"/>
        </w:rPr>
        <w:t xml:space="preserve"> ISO 6346 [43</w:t>
      </w:r>
      <w:r w:rsidRPr="00DF3B11">
        <w:rPr>
          <w:iCs/>
          <w:lang w:val="es-ES_tradnl"/>
        </w:rPr>
        <w:t>]</w:t>
      </w:r>
      <w:r w:rsidRPr="00DF3B11">
        <w:rPr>
          <w:lang w:val="es-ES_tradnl"/>
        </w:rPr>
        <w:t xml:space="preserve">; </w:t>
      </w:r>
    </w:p>
    <w:p w14:paraId="740429E6" w14:textId="77777777" w:rsidR="00533114" w:rsidRPr="00DF3B11" w:rsidRDefault="00533114" w:rsidP="00C142FB">
      <w:pPr>
        <w:pStyle w:val="enumlev1"/>
        <w:rPr>
          <w:lang w:val="es-ES_tradnl"/>
        </w:rPr>
      </w:pPr>
      <w:r w:rsidRPr="00A230AE">
        <w:rPr>
          <w:lang w:val="es-ES_tradnl"/>
        </w:rPr>
        <w:t>•</w:t>
      </w:r>
      <w:r>
        <w:rPr>
          <w:lang w:val="es-ES_tradnl"/>
        </w:rPr>
        <w:tab/>
      </w:r>
      <w:r w:rsidRPr="00DF3B11">
        <w:rPr>
          <w:lang w:val="es-ES_tradnl"/>
        </w:rPr>
        <w:t>vehículos, puesto que su única codificaci</w:t>
      </w:r>
      <w:r>
        <w:rPr>
          <w:lang w:val="es-ES_tradnl"/>
        </w:rPr>
        <w:t>ón se especifica en la norma</w:t>
      </w:r>
      <w:r w:rsidRPr="00DF3B11">
        <w:rPr>
          <w:lang w:val="es-ES_tradnl"/>
        </w:rPr>
        <w:t xml:space="preserve"> ISO 3779 [44</w:t>
      </w:r>
      <w:r w:rsidRPr="00DF3B11">
        <w:rPr>
          <w:iCs/>
          <w:lang w:val="es-ES_tradnl"/>
        </w:rPr>
        <w:t>]</w:t>
      </w:r>
      <w:r w:rsidRPr="00DF3B11">
        <w:rPr>
          <w:lang w:val="es-ES_tradnl"/>
        </w:rPr>
        <w:t xml:space="preserve">; </w:t>
      </w:r>
    </w:p>
    <w:p w14:paraId="5EC85EF7" w14:textId="77777777" w:rsidR="00533114" w:rsidRPr="00DF3B11" w:rsidRDefault="00533114" w:rsidP="00C142FB">
      <w:pPr>
        <w:pStyle w:val="enumlev1"/>
        <w:rPr>
          <w:lang w:val="es-ES_tradnl"/>
        </w:rPr>
      </w:pPr>
      <w:r w:rsidRPr="00A230AE">
        <w:rPr>
          <w:lang w:val="es-ES_tradnl"/>
        </w:rPr>
        <w:t>•</w:t>
      </w:r>
      <w:r>
        <w:rPr>
          <w:lang w:val="es-ES_tradnl"/>
        </w:rPr>
        <w:tab/>
      </w:r>
      <w:r w:rsidRPr="00DF3B11">
        <w:rPr>
          <w:lang w:val="es-ES_tradnl"/>
        </w:rPr>
        <w:t>radios de automóvil, puesto que su única codificaci</w:t>
      </w:r>
      <w:r>
        <w:rPr>
          <w:lang w:val="es-ES_tradnl"/>
        </w:rPr>
        <w:t>ón se especifica en la norma</w:t>
      </w:r>
      <w:r w:rsidRPr="00DF3B11">
        <w:rPr>
          <w:lang w:val="es-ES_tradnl"/>
        </w:rPr>
        <w:t xml:space="preserve"> ISO 10486 [45</w:t>
      </w:r>
      <w:r w:rsidRPr="00DF3B11">
        <w:rPr>
          <w:iCs/>
          <w:lang w:val="es-ES_tradnl"/>
        </w:rPr>
        <w:t>]</w:t>
      </w:r>
      <w:r w:rsidRPr="00DF3B11">
        <w:rPr>
          <w:lang w:val="es-ES_tradnl"/>
        </w:rPr>
        <w:t xml:space="preserve">; </w:t>
      </w:r>
      <w:r>
        <w:rPr>
          <w:lang w:val="es-ES_tradnl"/>
        </w:rPr>
        <w:t>y</w:t>
      </w:r>
      <w:r w:rsidRPr="00DF3B11">
        <w:rPr>
          <w:lang w:val="es-ES_tradnl"/>
        </w:rPr>
        <w:t xml:space="preserve"> </w:t>
      </w:r>
    </w:p>
    <w:p w14:paraId="47F01C72" w14:textId="77777777" w:rsidR="00533114" w:rsidRPr="007B44D8" w:rsidRDefault="00533114" w:rsidP="00C142FB">
      <w:pPr>
        <w:pStyle w:val="enumlev1"/>
        <w:rPr>
          <w:lang w:val="es-ES_tradnl"/>
        </w:rPr>
      </w:pPr>
      <w:r w:rsidRPr="00A230AE">
        <w:rPr>
          <w:lang w:val="es-ES_tradnl"/>
        </w:rPr>
        <w:t>•</w:t>
      </w:r>
      <w:r>
        <w:rPr>
          <w:lang w:val="es-ES_tradnl"/>
        </w:rPr>
        <w:tab/>
      </w:r>
      <w:r w:rsidRPr="007B44D8">
        <w:rPr>
          <w:lang w:val="es-ES_tradnl"/>
        </w:rPr>
        <w:t>los esquemas ISBN [46] y ISSN [47]</w:t>
      </w:r>
      <w:r w:rsidRPr="007B44D8">
        <w:rPr>
          <w:iCs/>
          <w:lang w:val="es-ES_tradnl"/>
        </w:rPr>
        <w:t>.</w:t>
      </w:r>
    </w:p>
    <w:p w14:paraId="61801EC6" w14:textId="77777777" w:rsidR="00533114" w:rsidRPr="007B44D8" w:rsidRDefault="00533114" w:rsidP="00C142FB">
      <w:pPr>
        <w:rPr>
          <w:rFonts w:asciiTheme="majorBidi" w:hAnsiTheme="majorBidi" w:cstheme="majorBidi"/>
          <w:bCs/>
          <w:lang w:val="es-ES_tradnl"/>
        </w:rPr>
      </w:pPr>
      <w:r w:rsidRPr="007B44D8">
        <w:rPr>
          <w:rFonts w:asciiTheme="majorBidi" w:hAnsiTheme="majorBidi" w:cstheme="majorBidi"/>
          <w:bCs/>
          <w:lang w:val="es-ES_tradnl"/>
        </w:rPr>
        <w:t>La parte 3 especifica las reglas comunes que aplican a identificadores únicos par</w:t>
      </w:r>
      <w:r>
        <w:rPr>
          <w:rFonts w:asciiTheme="majorBidi" w:hAnsiTheme="majorBidi" w:cstheme="majorBidi"/>
          <w:bCs/>
          <w:lang w:val="es-ES_tradnl"/>
        </w:rPr>
        <w:t>a</w:t>
      </w:r>
      <w:r w:rsidRPr="007B44D8">
        <w:rPr>
          <w:rFonts w:asciiTheme="majorBidi" w:hAnsiTheme="majorBidi" w:cstheme="majorBidi"/>
          <w:bCs/>
          <w:lang w:val="es-ES_tradnl"/>
        </w:rPr>
        <w:t xml:space="preserve"> </w:t>
      </w:r>
      <w:r>
        <w:rPr>
          <w:rFonts w:asciiTheme="majorBidi" w:hAnsiTheme="majorBidi" w:cstheme="majorBidi"/>
          <w:bCs/>
          <w:lang w:val="es-ES_tradnl"/>
        </w:rPr>
        <w:t>la</w:t>
      </w:r>
      <w:r w:rsidRPr="007B44D8">
        <w:rPr>
          <w:rFonts w:asciiTheme="majorBidi" w:hAnsiTheme="majorBidi" w:cstheme="majorBidi"/>
          <w:bCs/>
          <w:lang w:val="es-ES_tradnl"/>
        </w:rPr>
        <w:t xml:space="preserve"> gestión de artículos </w:t>
      </w:r>
      <w:r>
        <w:rPr>
          <w:rFonts w:asciiTheme="majorBidi" w:hAnsiTheme="majorBidi" w:cstheme="majorBidi"/>
          <w:bCs/>
          <w:lang w:val="es-ES_tradnl"/>
        </w:rPr>
        <w:t>necesarios</w:t>
      </w:r>
      <w:r w:rsidRPr="007B44D8">
        <w:rPr>
          <w:rFonts w:asciiTheme="majorBidi" w:hAnsiTheme="majorBidi" w:cstheme="majorBidi"/>
          <w:bCs/>
          <w:lang w:val="es-ES_tradnl"/>
        </w:rPr>
        <w:t xml:space="preserve"> para garant</w:t>
      </w:r>
      <w:r>
        <w:rPr>
          <w:rFonts w:asciiTheme="majorBidi" w:hAnsiTheme="majorBidi" w:cstheme="majorBidi"/>
          <w:bCs/>
          <w:lang w:val="es-ES_tradnl"/>
        </w:rPr>
        <w:t>izar una compatibilidad completa</w:t>
      </w:r>
      <w:r w:rsidRPr="007B44D8">
        <w:rPr>
          <w:rFonts w:asciiTheme="majorBidi" w:hAnsiTheme="majorBidi" w:cstheme="majorBidi"/>
          <w:bCs/>
          <w:lang w:val="es-ES_tradnl"/>
        </w:rPr>
        <w:t xml:space="preserve"> entre clases de identificadores </w:t>
      </w:r>
      <w:r>
        <w:rPr>
          <w:rFonts w:asciiTheme="majorBidi" w:hAnsiTheme="majorBidi" w:cstheme="majorBidi"/>
          <w:bCs/>
          <w:lang w:val="es-ES_tradnl"/>
        </w:rPr>
        <w:t>únicos</w:t>
      </w:r>
      <w:r w:rsidRPr="007B44D8">
        <w:rPr>
          <w:rFonts w:asciiTheme="majorBidi" w:hAnsiTheme="majorBidi" w:cstheme="majorBidi"/>
          <w:bCs/>
          <w:lang w:val="es-ES_tradnl"/>
        </w:rPr>
        <w:t>.</w:t>
      </w:r>
    </w:p>
    <w:p w14:paraId="0B297836" w14:textId="77777777" w:rsidR="00533114" w:rsidRPr="006528EC" w:rsidRDefault="00533114" w:rsidP="00C142FB">
      <w:pPr>
        <w:rPr>
          <w:rFonts w:asciiTheme="majorBidi" w:hAnsiTheme="majorBidi" w:cstheme="majorBidi"/>
          <w:lang w:val="es-ES_tradnl"/>
        </w:rPr>
      </w:pPr>
      <w:r w:rsidRPr="007B44D8">
        <w:rPr>
          <w:rFonts w:asciiTheme="majorBidi" w:hAnsiTheme="majorBidi" w:cstheme="majorBidi"/>
          <w:lang w:val="es-ES_tradnl"/>
        </w:rPr>
        <w:t>El Comité Técnico 246 de la ISO tiene como cometido elaborar herramientas normalizadas contra la falsificaci</w:t>
      </w:r>
      <w:r>
        <w:rPr>
          <w:rFonts w:asciiTheme="majorBidi" w:hAnsiTheme="majorBidi" w:cstheme="majorBidi"/>
          <w:lang w:val="es-ES_tradnl"/>
        </w:rPr>
        <w:t xml:space="preserve">ón. </w:t>
      </w:r>
      <w:r w:rsidRPr="007B44D8">
        <w:rPr>
          <w:rFonts w:asciiTheme="majorBidi" w:hAnsiTheme="majorBidi" w:cstheme="majorBidi"/>
          <w:lang w:val="es-ES_tradnl"/>
        </w:rPr>
        <w:t xml:space="preserve">Este Comité está desarrollando una norma sobre </w:t>
      </w:r>
      <w:r>
        <w:rPr>
          <w:rFonts w:asciiTheme="majorBidi" w:hAnsiTheme="majorBidi" w:cstheme="majorBidi"/>
          <w:lang w:val="es-ES_tradnl"/>
        </w:rPr>
        <w:t>los criterios de calidad</w:t>
      </w:r>
      <w:r w:rsidRPr="007B44D8">
        <w:rPr>
          <w:rFonts w:asciiTheme="majorBidi" w:hAnsiTheme="majorBidi" w:cstheme="majorBidi"/>
          <w:lang w:val="es-ES_tradnl"/>
        </w:rPr>
        <w:t xml:space="preserve"> de funcionamiento </w:t>
      </w:r>
      <w:r>
        <w:rPr>
          <w:rFonts w:asciiTheme="majorBidi" w:hAnsiTheme="majorBidi" w:cstheme="majorBidi"/>
          <w:lang w:val="es-ES_tradnl"/>
        </w:rPr>
        <w:t xml:space="preserve">para soluciones de autenticación con el fin de luchar contra la producción de mercancías falsificadas </w:t>
      </w:r>
      <w:r w:rsidRPr="006528EC">
        <w:rPr>
          <w:rFonts w:asciiTheme="majorBidi" w:hAnsiTheme="majorBidi" w:cstheme="majorBidi"/>
          <w:bCs/>
          <w:lang w:val="es-ES_tradnl"/>
        </w:rPr>
        <w:t>[</w:t>
      </w:r>
      <w:r w:rsidRPr="006528EC">
        <w:rPr>
          <w:rFonts w:asciiTheme="majorBidi" w:hAnsiTheme="majorBidi" w:cstheme="majorBidi"/>
          <w:lang w:val="es-ES_tradnl"/>
        </w:rPr>
        <w:t>48].</w:t>
      </w:r>
    </w:p>
    <w:p w14:paraId="50F560C5" w14:textId="77777777" w:rsidR="00533114" w:rsidRPr="002F411D" w:rsidRDefault="00533114" w:rsidP="00C142FB">
      <w:pPr>
        <w:spacing w:after="240"/>
        <w:rPr>
          <w:lang w:val="es-ES_tradnl"/>
        </w:rPr>
      </w:pPr>
      <w:r w:rsidRPr="006528EC">
        <w:rPr>
          <w:rFonts w:asciiTheme="majorBidi" w:hAnsiTheme="majorBidi" w:cstheme="majorBidi"/>
          <w:lang w:val="es-ES_tradnl"/>
        </w:rPr>
        <w:t>Además de la ISO y de</w:t>
      </w:r>
      <w:r w:rsidRPr="006528EC">
        <w:rPr>
          <w:lang w:val="es-ES_tradnl"/>
        </w:rPr>
        <w:t xml:space="preserve"> EPCglobal, el </w:t>
      </w:r>
      <w:r>
        <w:rPr>
          <w:rFonts w:asciiTheme="majorBidi" w:hAnsiTheme="majorBidi" w:cstheme="majorBidi"/>
          <w:lang w:val="es-ES_tradnl"/>
        </w:rPr>
        <w:t>Ubiquitous ID Centre</w:t>
      </w:r>
      <w:r w:rsidRPr="0052609B">
        <w:rPr>
          <w:rFonts w:asciiTheme="majorBidi" w:hAnsiTheme="majorBidi" w:cstheme="majorBidi"/>
          <w:lang w:val="es-ES_tradnl"/>
        </w:rPr>
        <w:t xml:space="preserve"> </w:t>
      </w:r>
      <w:r w:rsidRPr="006528EC">
        <w:rPr>
          <w:lang w:val="es-ES_tradnl"/>
        </w:rPr>
        <w:t xml:space="preserve">de Japón ha definido identificadores genéricos denominados </w:t>
      </w:r>
      <w:r>
        <w:rPr>
          <w:lang w:val="es-ES_tradnl"/>
        </w:rPr>
        <w:t>"ucódigos"</w:t>
      </w:r>
      <w:r w:rsidRPr="006528EC">
        <w:rPr>
          <w:lang w:val="es-ES_tradnl"/>
        </w:rPr>
        <w:t xml:space="preserve"> [49], </w:t>
      </w:r>
      <w:r>
        <w:rPr>
          <w:lang w:val="es-ES_tradnl"/>
        </w:rPr>
        <w:t xml:space="preserve">que no sólo pretenden identificar objetos físicos sino que también se pueden utilizar para identificar lugares e información digital, véase la Figura </w:t>
      </w:r>
      <w:r w:rsidRPr="006528EC">
        <w:rPr>
          <w:lang w:val="es-ES_tradnl"/>
        </w:rPr>
        <w:t xml:space="preserve">5. </w:t>
      </w:r>
      <w:r w:rsidRPr="00ED4594">
        <w:rPr>
          <w:lang w:val="es-ES_tradnl"/>
        </w:rPr>
        <w:t xml:space="preserve">Los </w:t>
      </w:r>
      <w:r>
        <w:rPr>
          <w:lang w:val="es-ES_tradnl"/>
        </w:rPr>
        <w:t>u</w:t>
      </w:r>
      <w:r w:rsidRPr="00ED4594">
        <w:rPr>
          <w:lang w:val="es-ES_tradnl"/>
        </w:rPr>
        <w:t>códigos b</w:t>
      </w:r>
      <w:r>
        <w:rPr>
          <w:lang w:val="es-ES_tradnl"/>
        </w:rPr>
        <w:t>ásicos tiene un</w:t>
      </w:r>
      <w:r w:rsidRPr="00ED4594">
        <w:rPr>
          <w:lang w:val="es-ES_tradnl"/>
        </w:rPr>
        <w:t>a</w:t>
      </w:r>
      <w:r>
        <w:rPr>
          <w:lang w:val="es-ES_tradnl"/>
        </w:rPr>
        <w:t xml:space="preserve"> </w:t>
      </w:r>
      <w:r w:rsidRPr="00ED4594">
        <w:rPr>
          <w:lang w:val="es-ES_tradnl"/>
        </w:rPr>
        <w:t xml:space="preserve">longitud de 128 bits (pero se pueden ampliar en múltiplos de 128 bits) </w:t>
      </w:r>
      <w:r>
        <w:rPr>
          <w:lang w:val="es-ES_tradnl"/>
        </w:rPr>
        <w:t>y pueden incluir otros identificadores como los</w:t>
      </w:r>
      <w:r w:rsidRPr="00ED4594">
        <w:rPr>
          <w:lang w:val="es-ES_tradnl"/>
        </w:rPr>
        <w:t xml:space="preserve"> ISBN, </w:t>
      </w:r>
      <w:r>
        <w:rPr>
          <w:lang w:val="es-ES_tradnl"/>
        </w:rPr>
        <w:t>direcciones de protocolo de Internet</w:t>
      </w:r>
      <w:r w:rsidRPr="00ED4594">
        <w:rPr>
          <w:lang w:val="es-ES_tradnl"/>
        </w:rPr>
        <w:t xml:space="preserve"> (IP) </w:t>
      </w:r>
      <w:r>
        <w:rPr>
          <w:lang w:val="es-ES_tradnl"/>
        </w:rPr>
        <w:t>o números de teléfono UIT</w:t>
      </w:r>
      <w:r w:rsidRPr="00ED4594">
        <w:rPr>
          <w:lang w:val="es-ES_tradnl"/>
        </w:rPr>
        <w:t xml:space="preserve">-T E.164 [76]. El </w:t>
      </w:r>
      <w:r>
        <w:rPr>
          <w:lang w:val="es-ES_tradnl"/>
        </w:rPr>
        <w:t>u</w:t>
      </w:r>
      <w:r w:rsidRPr="00ED4594">
        <w:rPr>
          <w:lang w:val="es-ES_tradnl"/>
        </w:rPr>
        <w:t xml:space="preserve">código es fundamentalmente un número que </w:t>
      </w:r>
      <w:r>
        <w:rPr>
          <w:lang w:val="es-ES_tradnl"/>
        </w:rPr>
        <w:t xml:space="preserve">necesita </w:t>
      </w:r>
      <w:r>
        <w:rPr>
          <w:lang w:val="es-ES_tradnl"/>
        </w:rPr>
        <w:lastRenderedPageBreak/>
        <w:t>que se le a</w:t>
      </w:r>
      <w:r w:rsidRPr="00ED4594">
        <w:rPr>
          <w:lang w:val="es-ES_tradnl"/>
        </w:rPr>
        <w:t>sign</w:t>
      </w:r>
      <w:r>
        <w:rPr>
          <w:lang w:val="es-ES_tradnl"/>
        </w:rPr>
        <w:t xml:space="preserve">e un significado en una base de datos racional. Cualquier individuo u organización puede obtener ucódigos del </w:t>
      </w:r>
      <w:r>
        <w:rPr>
          <w:rFonts w:asciiTheme="majorBidi" w:hAnsiTheme="majorBidi" w:cstheme="majorBidi"/>
          <w:lang w:val="es-ES_tradnl"/>
        </w:rPr>
        <w:t>Ubiquitous ID Centre</w:t>
      </w:r>
      <w:r>
        <w:rPr>
          <w:lang w:val="es-ES_tradnl"/>
        </w:rPr>
        <w:t xml:space="preserve">, que ejerce de autoridad de registro para estos números.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9"/>
        <w:gridCol w:w="1934"/>
        <w:gridCol w:w="1134"/>
        <w:gridCol w:w="1985"/>
        <w:gridCol w:w="2454"/>
      </w:tblGrid>
      <w:tr w:rsidR="00533114" w:rsidRPr="00CA2EAA" w14:paraId="2EDA9135" w14:textId="77777777" w:rsidTr="009A57BD">
        <w:trPr>
          <w:jc w:val="center"/>
        </w:trPr>
        <w:tc>
          <w:tcPr>
            <w:tcW w:w="1009" w:type="dxa"/>
            <w:tcBorders>
              <w:top w:val="single" w:sz="4" w:space="0" w:color="000000"/>
              <w:left w:val="single" w:sz="4" w:space="0" w:color="000000"/>
              <w:bottom w:val="single" w:sz="4" w:space="0" w:color="000000"/>
              <w:right w:val="single" w:sz="4" w:space="0" w:color="000000"/>
            </w:tcBorders>
          </w:tcPr>
          <w:p w14:paraId="708E4566" w14:textId="77777777" w:rsidR="00533114" w:rsidRPr="00CA2EAA" w:rsidRDefault="00533114" w:rsidP="00C142FB">
            <w:pPr>
              <w:pStyle w:val="Tablehead"/>
              <w:rPr>
                <w:b w:val="0"/>
                <w:bCs/>
                <w:lang w:val="es-ES_tradnl"/>
              </w:rPr>
            </w:pPr>
            <w:r w:rsidRPr="00CA2EAA">
              <w:rPr>
                <w:b w:val="0"/>
                <w:bCs/>
                <w:lang w:val="es-ES_tradnl"/>
              </w:rPr>
              <w:t>Versión</w:t>
            </w:r>
            <w:r w:rsidRPr="00CA2EAA">
              <w:rPr>
                <w:b w:val="0"/>
                <w:bCs/>
                <w:lang w:val="es-ES_tradnl"/>
              </w:rPr>
              <w:br/>
              <w:t>(4 bits)</w:t>
            </w:r>
          </w:p>
        </w:tc>
        <w:tc>
          <w:tcPr>
            <w:tcW w:w="1934" w:type="dxa"/>
            <w:tcBorders>
              <w:top w:val="single" w:sz="4" w:space="0" w:color="000000"/>
              <w:left w:val="single" w:sz="4" w:space="0" w:color="000000"/>
              <w:bottom w:val="single" w:sz="4" w:space="0" w:color="000000"/>
              <w:right w:val="single" w:sz="4" w:space="0" w:color="000000"/>
            </w:tcBorders>
          </w:tcPr>
          <w:p w14:paraId="1D09401C" w14:textId="77777777" w:rsidR="00533114" w:rsidRPr="00CA2EAA" w:rsidRDefault="00533114" w:rsidP="00C142FB">
            <w:pPr>
              <w:pStyle w:val="Tablehead"/>
              <w:rPr>
                <w:b w:val="0"/>
                <w:bCs/>
                <w:lang w:val="es-ES_tradnl"/>
              </w:rPr>
            </w:pPr>
            <w:r w:rsidRPr="00CA2EAA">
              <w:rPr>
                <w:b w:val="0"/>
                <w:bCs/>
                <w:lang w:val="es-ES_tradnl"/>
              </w:rPr>
              <w:t>TLDc</w:t>
            </w:r>
            <w:r>
              <w:rPr>
                <w:b w:val="0"/>
                <w:bCs/>
                <w:lang w:val="es-ES_tradnl"/>
              </w:rPr>
              <w:br/>
            </w:r>
            <w:r w:rsidRPr="00CA2EAA">
              <w:rPr>
                <w:b w:val="0"/>
                <w:bCs/>
                <w:lang w:val="es-ES_tradnl"/>
              </w:rPr>
              <w:t>(16 bits)</w:t>
            </w:r>
          </w:p>
        </w:tc>
        <w:tc>
          <w:tcPr>
            <w:tcW w:w="1134" w:type="dxa"/>
            <w:tcBorders>
              <w:top w:val="single" w:sz="4" w:space="0" w:color="000000"/>
              <w:left w:val="single" w:sz="4" w:space="0" w:color="000000"/>
              <w:bottom w:val="single" w:sz="4" w:space="0" w:color="000000"/>
              <w:right w:val="single" w:sz="4" w:space="0" w:color="000000"/>
            </w:tcBorders>
          </w:tcPr>
          <w:p w14:paraId="06ED34F0" w14:textId="77777777" w:rsidR="00533114" w:rsidRPr="00CA2EAA" w:rsidRDefault="00533114" w:rsidP="00C142FB">
            <w:pPr>
              <w:pStyle w:val="Tablehead"/>
              <w:rPr>
                <w:b w:val="0"/>
                <w:bCs/>
                <w:lang w:val="es-ES_tradnl"/>
              </w:rPr>
            </w:pPr>
            <w:r w:rsidRPr="00CA2EAA">
              <w:rPr>
                <w:b w:val="0"/>
                <w:bCs/>
                <w:lang w:val="es-ES_tradnl"/>
              </w:rPr>
              <w:t>cc</w:t>
            </w:r>
            <w:r>
              <w:rPr>
                <w:b w:val="0"/>
                <w:bCs/>
                <w:lang w:val="es-ES_tradnl"/>
              </w:rPr>
              <w:br/>
            </w:r>
            <w:r w:rsidRPr="00CA2EAA">
              <w:rPr>
                <w:b w:val="0"/>
                <w:bCs/>
                <w:lang w:val="es-ES_tradnl"/>
              </w:rPr>
              <w:t>(4 bits)</w:t>
            </w:r>
          </w:p>
        </w:tc>
        <w:tc>
          <w:tcPr>
            <w:tcW w:w="1985" w:type="dxa"/>
            <w:tcBorders>
              <w:top w:val="single" w:sz="4" w:space="0" w:color="000000"/>
              <w:left w:val="single" w:sz="4" w:space="0" w:color="000000"/>
              <w:bottom w:val="single" w:sz="4" w:space="0" w:color="000000"/>
              <w:right w:val="single" w:sz="4" w:space="0" w:color="000000"/>
            </w:tcBorders>
          </w:tcPr>
          <w:p w14:paraId="55148898" w14:textId="77777777" w:rsidR="00533114" w:rsidRPr="00CA2EAA" w:rsidRDefault="00533114" w:rsidP="00C142FB">
            <w:pPr>
              <w:pStyle w:val="Tablehead"/>
              <w:rPr>
                <w:b w:val="0"/>
                <w:bCs/>
                <w:lang w:val="es-ES_tradnl"/>
              </w:rPr>
            </w:pPr>
            <w:r w:rsidRPr="00CA2EAA">
              <w:rPr>
                <w:b w:val="0"/>
                <w:bCs/>
                <w:lang w:val="es-ES_tradnl"/>
              </w:rPr>
              <w:t>SLDc</w:t>
            </w:r>
            <w:r>
              <w:rPr>
                <w:b w:val="0"/>
                <w:bCs/>
                <w:lang w:val="es-ES_tradnl"/>
              </w:rPr>
              <w:br/>
            </w:r>
            <w:r w:rsidRPr="00CA2EAA">
              <w:rPr>
                <w:b w:val="0"/>
                <w:bCs/>
                <w:lang w:val="es-ES_tradnl"/>
              </w:rPr>
              <w:t>(variable)</w:t>
            </w:r>
          </w:p>
        </w:tc>
        <w:tc>
          <w:tcPr>
            <w:tcW w:w="2454" w:type="dxa"/>
            <w:tcBorders>
              <w:top w:val="single" w:sz="4" w:space="0" w:color="000000"/>
              <w:left w:val="single" w:sz="4" w:space="0" w:color="000000"/>
              <w:bottom w:val="single" w:sz="4" w:space="0" w:color="000000"/>
              <w:right w:val="single" w:sz="4" w:space="0" w:color="000000"/>
            </w:tcBorders>
          </w:tcPr>
          <w:p w14:paraId="0FC90BE9" w14:textId="77777777" w:rsidR="00533114" w:rsidRPr="00CA2EAA" w:rsidRDefault="00533114" w:rsidP="00C142FB">
            <w:pPr>
              <w:pStyle w:val="Tablehead"/>
              <w:rPr>
                <w:b w:val="0"/>
                <w:bCs/>
                <w:lang w:val="es-ES_tradnl"/>
              </w:rPr>
            </w:pPr>
            <w:r w:rsidRPr="00CA2EAA">
              <w:rPr>
                <w:b w:val="0"/>
                <w:bCs/>
                <w:lang w:val="es-ES_tradnl"/>
              </w:rPr>
              <w:t>ic</w:t>
            </w:r>
            <w:r>
              <w:rPr>
                <w:b w:val="0"/>
                <w:bCs/>
                <w:lang w:val="es-ES_tradnl"/>
              </w:rPr>
              <w:br/>
            </w:r>
            <w:r w:rsidRPr="00CA2EAA">
              <w:rPr>
                <w:b w:val="0"/>
                <w:bCs/>
                <w:lang w:val="es-ES_tradnl"/>
              </w:rPr>
              <w:t>(variable)</w:t>
            </w:r>
          </w:p>
        </w:tc>
      </w:tr>
      <w:tr w:rsidR="00533114" w:rsidRPr="00C869C0" w14:paraId="7BB0A094" w14:textId="77777777" w:rsidTr="009A57BD">
        <w:trPr>
          <w:jc w:val="center"/>
        </w:trPr>
        <w:tc>
          <w:tcPr>
            <w:tcW w:w="8516" w:type="dxa"/>
            <w:gridSpan w:val="5"/>
            <w:tcBorders>
              <w:top w:val="single" w:sz="4" w:space="0" w:color="000000"/>
              <w:left w:val="single" w:sz="4" w:space="0" w:color="000000"/>
              <w:bottom w:val="single" w:sz="4" w:space="0" w:color="000000"/>
              <w:right w:val="single" w:sz="4" w:space="0" w:color="000000"/>
            </w:tcBorders>
          </w:tcPr>
          <w:p w14:paraId="12017480" w14:textId="77777777" w:rsidR="00533114" w:rsidRPr="00ED4594" w:rsidRDefault="00533114" w:rsidP="00C142FB">
            <w:pPr>
              <w:pStyle w:val="Tabletext"/>
              <w:rPr>
                <w:lang w:val="es-ES_tradnl"/>
              </w:rPr>
            </w:pPr>
            <w:r w:rsidRPr="00ED4594">
              <w:rPr>
                <w:lang w:val="es-ES_tradnl"/>
              </w:rPr>
              <w:t xml:space="preserve">TLDc: </w:t>
            </w:r>
            <w:r w:rsidRPr="00ED4594">
              <w:rPr>
                <w:lang w:val="es-ES_tradnl"/>
              </w:rPr>
              <w:tab/>
              <w:t xml:space="preserve">código de dominio de nivel superior (asignado por el </w:t>
            </w:r>
            <w:r>
              <w:rPr>
                <w:rFonts w:asciiTheme="majorBidi" w:hAnsiTheme="majorBidi" w:cstheme="majorBidi"/>
                <w:lang w:val="es-ES_tradnl"/>
              </w:rPr>
              <w:t>Ubiquitous ID Centre</w:t>
            </w:r>
            <w:r w:rsidRPr="00ED4594">
              <w:rPr>
                <w:lang w:val="es-ES_tradnl"/>
              </w:rPr>
              <w:t>)</w:t>
            </w:r>
          </w:p>
          <w:p w14:paraId="5CDF0899" w14:textId="77777777" w:rsidR="00533114" w:rsidRPr="00ED4594" w:rsidRDefault="00533114" w:rsidP="00C142FB">
            <w:pPr>
              <w:pStyle w:val="Tabletext"/>
              <w:tabs>
                <w:tab w:val="clear" w:pos="284"/>
                <w:tab w:val="clear" w:pos="567"/>
                <w:tab w:val="clear" w:pos="851"/>
                <w:tab w:val="left" w:pos="853"/>
                <w:tab w:val="left" w:pos="880"/>
              </w:tabs>
              <w:rPr>
                <w:lang w:val="es-ES_tradnl"/>
              </w:rPr>
            </w:pPr>
            <w:r>
              <w:rPr>
                <w:lang w:val="es-ES_tradnl"/>
              </w:rPr>
              <w:t>cc:</w:t>
            </w:r>
            <w:r w:rsidRPr="00ED4594">
              <w:rPr>
                <w:lang w:val="es-ES_tradnl"/>
              </w:rPr>
              <w:tab/>
              <w:t xml:space="preserve">código de clase (indica la frontera entre SLDc </w:t>
            </w:r>
            <w:r>
              <w:rPr>
                <w:lang w:val="es-ES_tradnl"/>
              </w:rPr>
              <w:t>e</w:t>
            </w:r>
            <w:r w:rsidRPr="00ED4594">
              <w:rPr>
                <w:lang w:val="es-ES_tradnl"/>
              </w:rPr>
              <w:t xml:space="preserve"> ic)</w:t>
            </w:r>
          </w:p>
          <w:p w14:paraId="7359B4F7" w14:textId="77777777" w:rsidR="00533114" w:rsidRPr="00EB39AD" w:rsidRDefault="00533114" w:rsidP="00C142FB">
            <w:pPr>
              <w:pStyle w:val="Tabletext"/>
              <w:rPr>
                <w:lang w:val="es-ES_tradnl"/>
              </w:rPr>
            </w:pPr>
            <w:r>
              <w:rPr>
                <w:lang w:val="es-ES_tradnl"/>
              </w:rPr>
              <w:t>SLDc:</w:t>
            </w:r>
            <w:r w:rsidRPr="00EB39AD">
              <w:rPr>
                <w:lang w:val="es-ES_tradnl"/>
              </w:rPr>
              <w:tab/>
              <w:t xml:space="preserve">código de dominio de </w:t>
            </w:r>
            <w:r>
              <w:rPr>
                <w:lang w:val="es-ES_tradnl"/>
              </w:rPr>
              <w:t>s</w:t>
            </w:r>
            <w:r w:rsidRPr="00EB39AD">
              <w:rPr>
                <w:lang w:val="es-ES_tradnl"/>
              </w:rPr>
              <w:t>egundo nivel</w:t>
            </w:r>
          </w:p>
          <w:p w14:paraId="53804A56" w14:textId="77777777" w:rsidR="00533114" w:rsidRPr="00EB39AD" w:rsidRDefault="00533114" w:rsidP="00C142FB">
            <w:pPr>
              <w:pStyle w:val="Tabletext"/>
              <w:tabs>
                <w:tab w:val="clear" w:pos="284"/>
                <w:tab w:val="clear" w:pos="567"/>
                <w:tab w:val="left" w:pos="880"/>
              </w:tabs>
              <w:rPr>
                <w:lang w:val="es-ES_tradnl"/>
              </w:rPr>
            </w:pPr>
            <w:r w:rsidRPr="00EB39AD">
              <w:rPr>
                <w:lang w:val="es-ES_tradnl"/>
              </w:rPr>
              <w:t>ic:</w:t>
            </w:r>
            <w:r w:rsidRPr="00EB39AD">
              <w:rPr>
                <w:lang w:val="es-ES_tradnl"/>
              </w:rPr>
              <w:tab/>
              <w:t>código de identificación para objetos individuales</w:t>
            </w:r>
          </w:p>
        </w:tc>
      </w:tr>
    </w:tbl>
    <w:p w14:paraId="420D37B7" w14:textId="77777777" w:rsidR="00533114" w:rsidRPr="00477007" w:rsidRDefault="00533114" w:rsidP="00C142FB">
      <w:pPr>
        <w:pStyle w:val="FigureNotitle"/>
        <w:rPr>
          <w:lang w:val="es-ES_tradnl" w:bidi="ar-DZ"/>
        </w:rPr>
      </w:pPr>
      <w:bookmarkStart w:id="222" w:name="_Toc404785088"/>
      <w:bookmarkStart w:id="223" w:name="_Toc447274540"/>
      <w:r w:rsidRPr="00477007">
        <w:rPr>
          <w:lang w:val="es-ES_tradnl" w:bidi="ar-DZ"/>
        </w:rPr>
        <w:t xml:space="preserve">Figura 5 – </w:t>
      </w:r>
      <w:r w:rsidRPr="00477007">
        <w:rPr>
          <w:lang w:val="es-ES_tradnl"/>
        </w:rPr>
        <w:t xml:space="preserve">Formato de </w:t>
      </w:r>
      <w:r>
        <w:rPr>
          <w:lang w:val="es-ES_tradnl"/>
        </w:rPr>
        <w:t>u</w:t>
      </w:r>
      <w:r w:rsidRPr="00477007">
        <w:rPr>
          <w:lang w:val="es-ES_tradnl"/>
        </w:rPr>
        <w:t>código</w:t>
      </w:r>
      <w:bookmarkEnd w:id="222"/>
      <w:bookmarkEnd w:id="223"/>
    </w:p>
    <w:p w14:paraId="101F3B54" w14:textId="77777777" w:rsidR="00533114" w:rsidRPr="00E1132E" w:rsidRDefault="00533114" w:rsidP="00C142FB">
      <w:pPr>
        <w:pStyle w:val="Normalaftertitle"/>
        <w:rPr>
          <w:lang w:val="es-ES_tradnl"/>
        </w:rPr>
      </w:pPr>
      <w:r w:rsidRPr="005E470F">
        <w:rPr>
          <w:lang w:val="es-ES_tradnl"/>
        </w:rPr>
        <w:t>El UIT-T está trabajando en sistemas para acceder a información multimedios en respuesta a la identificación de las cosas</w:t>
      </w:r>
      <w:r>
        <w:rPr>
          <w:lang w:val="es-ES_tradnl"/>
        </w:rPr>
        <w:t xml:space="preserve"> basada en</w:t>
      </w:r>
      <w:r w:rsidRPr="005E470F">
        <w:rPr>
          <w:lang w:val="es-ES_tradnl"/>
        </w:rPr>
        <w:t xml:space="preserve"> etiquetas. Como parte de estos trabajos se está elaborando una descripc</w:t>
      </w:r>
      <w:r>
        <w:rPr>
          <w:lang w:val="es-ES_tradnl"/>
        </w:rPr>
        <w:t>ió</w:t>
      </w:r>
      <w:r w:rsidRPr="005E470F">
        <w:rPr>
          <w:lang w:val="es-ES_tradnl"/>
        </w:rPr>
        <w:t xml:space="preserve">n de los diversos esquemas ID que se </w:t>
      </w:r>
      <w:r>
        <w:rPr>
          <w:lang w:val="es-ES_tradnl"/>
        </w:rPr>
        <w:t>podrían</w:t>
      </w:r>
      <w:r w:rsidRPr="005E470F">
        <w:rPr>
          <w:lang w:val="es-ES_tradnl"/>
        </w:rPr>
        <w:t xml:space="preserve"> utilizar </w:t>
      </w:r>
      <w:r>
        <w:rPr>
          <w:lang w:val="es-ES_tradnl"/>
        </w:rPr>
        <w:t>par</w:t>
      </w:r>
      <w:r w:rsidRPr="005E470F">
        <w:rPr>
          <w:lang w:val="es-ES_tradnl"/>
        </w:rPr>
        <w:t>a</w:t>
      </w:r>
      <w:r>
        <w:rPr>
          <w:lang w:val="es-ES_tradnl"/>
        </w:rPr>
        <w:t xml:space="preserve"> esta</w:t>
      </w:r>
      <w:r w:rsidRPr="005E470F">
        <w:rPr>
          <w:lang w:val="es-ES_tradnl"/>
        </w:rPr>
        <w:t xml:space="preserve"> identificaci</w:t>
      </w:r>
      <w:r>
        <w:rPr>
          <w:lang w:val="es-ES_tradnl"/>
        </w:rPr>
        <w:t>ón</w:t>
      </w:r>
      <w:r w:rsidRPr="005E470F">
        <w:rPr>
          <w:lang w:val="es-ES_tradnl"/>
        </w:rPr>
        <w:t xml:space="preserve">. El </w:t>
      </w:r>
      <w:r>
        <w:rPr>
          <w:rFonts w:asciiTheme="majorBidi" w:hAnsiTheme="majorBidi" w:cstheme="majorBidi"/>
          <w:lang w:val="es-ES_tradnl"/>
        </w:rPr>
        <w:t>Ubiquitous ID Centre</w:t>
      </w:r>
      <w:r w:rsidRPr="005E470F">
        <w:rPr>
          <w:lang w:val="es-ES_tradnl"/>
        </w:rPr>
        <w:t xml:space="preserve"> ha presentado su esquema de </w:t>
      </w:r>
      <w:r>
        <w:rPr>
          <w:lang w:val="es-ES_tradnl"/>
        </w:rPr>
        <w:t>u</w:t>
      </w:r>
      <w:r w:rsidRPr="005E470F">
        <w:rPr>
          <w:lang w:val="es-ES_tradnl"/>
        </w:rPr>
        <w:t>códigos de forma que a cada ucódigo se le asigne un identificador de objeto (OID)</w:t>
      </w:r>
      <w:r>
        <w:rPr>
          <w:lang w:val="es-ES_tradnl"/>
        </w:rPr>
        <w:t xml:space="preserve"> registrado según la rama </w:t>
      </w:r>
      <w:r w:rsidRPr="005E470F">
        <w:rPr>
          <w:lang w:val="es-ES_tradnl"/>
        </w:rPr>
        <w:t xml:space="preserve">{joint-iso-itu-t(2) tag-based(27)} </w:t>
      </w:r>
      <w:r>
        <w:rPr>
          <w:lang w:val="es-ES_tradnl"/>
        </w:rPr>
        <w:t>cumpliendo así la Recomendación UIT</w:t>
      </w:r>
      <w:r w:rsidRPr="005E470F">
        <w:rPr>
          <w:lang w:val="es-ES_tradnl"/>
        </w:rPr>
        <w:t xml:space="preserve">-T X.668 [50]. </w:t>
      </w:r>
      <w:r>
        <w:rPr>
          <w:lang w:val="es-ES_tradnl"/>
        </w:rPr>
        <w:t>Al esquema de ID único</w:t>
      </w:r>
      <w:r w:rsidRPr="00647910">
        <w:rPr>
          <w:lang w:val="es-ES_tradnl"/>
        </w:rPr>
        <w:t xml:space="preserve"> de ISO/CEI descrito anteriormente </w:t>
      </w:r>
      <w:r>
        <w:rPr>
          <w:lang w:val="es-ES_tradnl"/>
        </w:rPr>
        <w:t>se le asigna un i</w:t>
      </w:r>
      <w:r w:rsidRPr="00647910">
        <w:rPr>
          <w:lang w:val="es-ES_tradnl"/>
        </w:rPr>
        <w:t>dentificador de objeto</w:t>
      </w:r>
      <w:r>
        <w:rPr>
          <w:lang w:val="es-ES_tradnl"/>
        </w:rPr>
        <w:t>s</w:t>
      </w:r>
      <w:r w:rsidRPr="00647910">
        <w:rPr>
          <w:lang w:val="es-ES_tradnl"/>
        </w:rPr>
        <w:t xml:space="preserve"> seg</w:t>
      </w:r>
      <w:r>
        <w:rPr>
          <w:lang w:val="es-ES_tradnl"/>
        </w:rPr>
        <w:t xml:space="preserve">ún la rama </w:t>
      </w:r>
      <w:r w:rsidRPr="00647910">
        <w:rPr>
          <w:lang w:val="es-ES_tradnl"/>
        </w:rPr>
        <w:t xml:space="preserve">{iso(1)} </w:t>
      </w:r>
      <w:r>
        <w:rPr>
          <w:lang w:val="es-ES_tradnl"/>
        </w:rPr>
        <w:t>del árbol de identificadores de objeto</w:t>
      </w:r>
      <w:r w:rsidRPr="00647910">
        <w:rPr>
          <w:lang w:val="es-ES_tradnl"/>
        </w:rPr>
        <w:t xml:space="preserve">. </w:t>
      </w:r>
      <w:r w:rsidRPr="00E1132E">
        <w:rPr>
          <w:lang w:val="es-ES_tradnl"/>
        </w:rPr>
        <w:t xml:space="preserve">El resultado es que los esquemas de identificación del ISO/CEI (incluido EPCglobal) y del </w:t>
      </w:r>
      <w:r>
        <w:rPr>
          <w:rFonts w:asciiTheme="majorBidi" w:hAnsiTheme="majorBidi" w:cstheme="majorBidi"/>
          <w:lang w:val="es-ES_tradnl"/>
        </w:rPr>
        <w:t>Ubiquitous ID Centre</w:t>
      </w:r>
      <w:r w:rsidRPr="00E1132E">
        <w:rPr>
          <w:lang w:val="es-ES_tradnl"/>
        </w:rPr>
        <w:t xml:space="preserve"> asignan identificadores de objetos </w:t>
      </w:r>
      <w:r>
        <w:rPr>
          <w:lang w:val="es-ES_tradnl"/>
        </w:rPr>
        <w:t xml:space="preserve">ya sea según la rama </w:t>
      </w:r>
      <w:r w:rsidRPr="00E1132E">
        <w:rPr>
          <w:b/>
          <w:bCs/>
          <w:lang w:val="es-ES_tradnl"/>
        </w:rPr>
        <w:t>{iso}</w:t>
      </w:r>
      <w:r w:rsidRPr="00E1132E">
        <w:rPr>
          <w:lang w:val="es-ES_tradnl"/>
        </w:rPr>
        <w:t xml:space="preserve"> (ISO </w:t>
      </w:r>
      <w:r>
        <w:rPr>
          <w:lang w:val="es-ES_tradnl"/>
        </w:rPr>
        <w:t>y</w:t>
      </w:r>
      <w:r w:rsidRPr="00E1132E">
        <w:rPr>
          <w:lang w:val="es-ES_tradnl"/>
        </w:rPr>
        <w:t xml:space="preserve"> EPCglobal) </w:t>
      </w:r>
      <w:r>
        <w:rPr>
          <w:lang w:val="es-ES_tradnl"/>
        </w:rPr>
        <w:t>o según la rama</w:t>
      </w:r>
      <w:r w:rsidRPr="00E1132E">
        <w:rPr>
          <w:lang w:val="es-ES_tradnl"/>
        </w:rPr>
        <w:t xml:space="preserve"> </w:t>
      </w:r>
      <w:r w:rsidRPr="00E1132E">
        <w:rPr>
          <w:b/>
          <w:bCs/>
          <w:lang w:val="es-ES_tradnl"/>
        </w:rPr>
        <w:t>{joint-iso-itu-t}</w:t>
      </w:r>
      <w:r>
        <w:rPr>
          <w:lang w:val="es-ES_tradnl"/>
        </w:rPr>
        <w:t xml:space="preserve"> </w:t>
      </w:r>
      <w:r w:rsidRPr="00E1132E">
        <w:rPr>
          <w:lang w:val="es-ES_tradnl"/>
        </w:rPr>
        <w:t>(</w:t>
      </w:r>
      <w:r>
        <w:rPr>
          <w:rFonts w:asciiTheme="majorBidi" w:hAnsiTheme="majorBidi" w:cstheme="majorBidi"/>
          <w:lang w:val="es-ES_tradnl"/>
        </w:rPr>
        <w:t>Ubiquitous ID Centre</w:t>
      </w:r>
      <w:r w:rsidRPr="00E1132E">
        <w:rPr>
          <w:lang w:val="es-ES_tradnl"/>
        </w:rPr>
        <w:t xml:space="preserve">) </w:t>
      </w:r>
      <w:r>
        <w:rPr>
          <w:lang w:val="es-ES_tradnl"/>
        </w:rPr>
        <w:t>y permite la coexistencia de los diversos esquemas de identificación que tienen diferentes autoridades de registro. Para la etiquetas</w:t>
      </w:r>
      <w:r w:rsidRPr="00E1132E">
        <w:rPr>
          <w:lang w:val="es-ES_tradnl"/>
        </w:rPr>
        <w:t xml:space="preserve"> RFID, el identificador de objetos (OID) y el ID </w:t>
      </w:r>
      <w:r>
        <w:rPr>
          <w:lang w:val="es-ES_tradnl"/>
        </w:rPr>
        <w:t>se codificarían según la norma</w:t>
      </w:r>
      <w:r w:rsidRPr="00E1132E">
        <w:rPr>
          <w:lang w:val="es-ES_tradnl"/>
        </w:rPr>
        <w:t xml:space="preserve"> ISO/</w:t>
      </w:r>
      <w:r>
        <w:rPr>
          <w:lang w:val="es-ES_tradnl"/>
        </w:rPr>
        <w:t>CEI</w:t>
      </w:r>
      <w:r w:rsidRPr="00E1132E">
        <w:rPr>
          <w:lang w:val="es-ES_tradnl"/>
        </w:rPr>
        <w:t xml:space="preserve"> 15962 [77].</w:t>
      </w:r>
    </w:p>
    <w:p w14:paraId="1933C2CF" w14:textId="77777777" w:rsidR="00533114" w:rsidRPr="00FD6650" w:rsidRDefault="00533114" w:rsidP="00C142FB">
      <w:pPr>
        <w:pStyle w:val="Note"/>
        <w:rPr>
          <w:lang w:val="es-ES_tradnl"/>
        </w:rPr>
      </w:pPr>
      <w:r w:rsidRPr="0041583F">
        <w:rPr>
          <w:lang w:val="es-ES_tradnl"/>
        </w:rPr>
        <w:t xml:space="preserve">NOTA – El término </w:t>
      </w:r>
      <w:r>
        <w:rPr>
          <w:lang w:val="es-ES_tradnl"/>
        </w:rPr>
        <w:t>"</w:t>
      </w:r>
      <w:r w:rsidRPr="0041583F">
        <w:rPr>
          <w:lang w:val="es-ES_tradnl"/>
        </w:rPr>
        <w:t>objeto</w:t>
      </w:r>
      <w:r>
        <w:rPr>
          <w:lang w:val="es-ES_tradnl"/>
        </w:rPr>
        <w:t>"</w:t>
      </w:r>
      <w:r w:rsidRPr="0041583F">
        <w:rPr>
          <w:lang w:val="es-ES_tradnl"/>
        </w:rPr>
        <w:t xml:space="preserve"> de </w:t>
      </w:r>
      <w:r>
        <w:rPr>
          <w:lang w:val="es-ES_tradnl"/>
        </w:rPr>
        <w:t>"</w:t>
      </w:r>
      <w:r w:rsidRPr="0041583F">
        <w:rPr>
          <w:lang w:val="es-ES_tradnl"/>
        </w:rPr>
        <w:t>identificador de objetos</w:t>
      </w:r>
      <w:r>
        <w:rPr>
          <w:lang w:val="es-ES_tradnl"/>
        </w:rPr>
        <w:t>"</w:t>
      </w:r>
      <w:r w:rsidRPr="0041583F">
        <w:rPr>
          <w:lang w:val="es-ES_tradnl"/>
        </w:rPr>
        <w:t xml:space="preserve"> no se utiliza aquí para referirse a una </w:t>
      </w:r>
      <w:r>
        <w:rPr>
          <w:lang w:val="es-ES_tradnl"/>
        </w:rPr>
        <w:t>"</w:t>
      </w:r>
      <w:r w:rsidRPr="0041583F">
        <w:rPr>
          <w:lang w:val="es-ES_tradnl"/>
        </w:rPr>
        <w:t>cosa</w:t>
      </w:r>
      <w:r>
        <w:rPr>
          <w:lang w:val="es-ES_tradnl"/>
        </w:rPr>
        <w:t>"</w:t>
      </w:r>
      <w:r w:rsidRPr="0041583F">
        <w:rPr>
          <w:lang w:val="es-ES_tradnl"/>
        </w:rPr>
        <w:t xml:space="preserve"> en general sino que se usa más bien de conformidad con la definición que figura en la </w:t>
      </w:r>
      <w:r>
        <w:rPr>
          <w:lang w:val="es-ES_tradnl"/>
        </w:rPr>
        <w:t xml:space="preserve">norma </w:t>
      </w:r>
      <w:r w:rsidRPr="0041583F">
        <w:rPr>
          <w:lang w:val="es-ES_tradnl"/>
        </w:rPr>
        <w:t>ISO/</w:t>
      </w:r>
      <w:r>
        <w:rPr>
          <w:lang w:val="es-ES_tradnl"/>
        </w:rPr>
        <w:t>CEI</w:t>
      </w:r>
      <w:r w:rsidRPr="0041583F">
        <w:rPr>
          <w:lang w:val="es-ES_tradnl"/>
        </w:rPr>
        <w:t xml:space="preserve"> 15961 [78] </w:t>
      </w:r>
      <w:r>
        <w:rPr>
          <w:lang w:val="es-ES_tradnl"/>
        </w:rPr>
        <w:t>como</w:t>
      </w:r>
      <w:r w:rsidRPr="0041583F">
        <w:rPr>
          <w:lang w:val="es-ES_tradnl"/>
        </w:rPr>
        <w:t xml:space="preserve">: </w:t>
      </w:r>
      <w:r>
        <w:rPr>
          <w:lang w:val="es-ES_tradnl"/>
        </w:rPr>
        <w:t>"información, definición o especificación bien definidas que requiere un nombre para poder identificar su uso en una instancia de comunicación"</w:t>
      </w:r>
      <w:r w:rsidRPr="0041583F">
        <w:rPr>
          <w:lang w:val="es-ES_tradnl"/>
        </w:rPr>
        <w:t xml:space="preserve">. </w:t>
      </w:r>
      <w:r>
        <w:rPr>
          <w:lang w:val="es-ES_tradnl"/>
        </w:rPr>
        <w:t>Un</w:t>
      </w:r>
      <w:r w:rsidRPr="00FD6650">
        <w:rPr>
          <w:lang w:val="es-ES_tradnl"/>
        </w:rPr>
        <w:t xml:space="preserve"> identificador de objetos identifica sin ambigüedades tales objetos. Los identificadores de objetos están organizados jerárquicamente, indicando las raíces del árbol </w:t>
      </w:r>
      <w:r>
        <w:rPr>
          <w:lang w:val="es-ES_tradnl"/>
        </w:rPr>
        <w:t>o</w:t>
      </w:r>
      <w:r w:rsidRPr="00FD6650">
        <w:rPr>
          <w:lang w:val="es-ES_tradnl"/>
        </w:rPr>
        <w:t xml:space="preserve"> </w:t>
      </w:r>
      <w:r>
        <w:rPr>
          <w:lang w:val="es-ES_tradnl"/>
        </w:rPr>
        <w:t>"</w:t>
      </w:r>
      <w:r w:rsidRPr="00FD6650">
        <w:rPr>
          <w:lang w:val="es-ES_tradnl"/>
        </w:rPr>
        <w:t>arcos</w:t>
      </w:r>
      <w:r>
        <w:rPr>
          <w:lang w:val="es-ES_tradnl"/>
        </w:rPr>
        <w:t>"</w:t>
      </w:r>
      <w:r w:rsidRPr="00FD6650">
        <w:rPr>
          <w:lang w:val="es-ES_tradnl"/>
        </w:rPr>
        <w:t xml:space="preserve"> superiores la organización responsable de la definición de la información. Los arcos superiore</w:t>
      </w:r>
      <w:r>
        <w:rPr>
          <w:lang w:val="es-ES_tradnl"/>
        </w:rPr>
        <w:t>s representan al UIT-T, la ISO y conjuntamente a</w:t>
      </w:r>
      <w:r w:rsidRPr="00FD6650">
        <w:rPr>
          <w:lang w:val="es-ES_tradnl"/>
        </w:rPr>
        <w:t xml:space="preserve"> ISO-UIT-T</w:t>
      </w:r>
      <w:r>
        <w:rPr>
          <w:lang w:val="es-ES_tradnl"/>
        </w:rPr>
        <w:t>. S</w:t>
      </w:r>
      <w:r w:rsidRPr="00FD6650">
        <w:rPr>
          <w:lang w:val="es-ES_tradnl"/>
        </w:rPr>
        <w:t xml:space="preserve">e les asigna los valores numéricos 0, 1 </w:t>
      </w:r>
      <w:r>
        <w:rPr>
          <w:lang w:val="es-ES_tradnl"/>
        </w:rPr>
        <w:t>y</w:t>
      </w:r>
      <w:r w:rsidRPr="00FD6650">
        <w:rPr>
          <w:lang w:val="es-ES_tradnl"/>
        </w:rPr>
        <w:t xml:space="preserve"> 2, respectiv</w:t>
      </w:r>
      <w:r>
        <w:rPr>
          <w:lang w:val="es-ES_tradnl"/>
        </w:rPr>
        <w:t>amente</w:t>
      </w:r>
      <w:r w:rsidRPr="00FD6650">
        <w:rPr>
          <w:lang w:val="es-ES_tradnl"/>
        </w:rPr>
        <w:t xml:space="preserve">. </w:t>
      </w:r>
      <w:r>
        <w:rPr>
          <w:lang w:val="es-ES_tradnl"/>
        </w:rPr>
        <w:t>A</w:t>
      </w:r>
      <w:r w:rsidRPr="00FD6650">
        <w:rPr>
          <w:lang w:val="es-ES_tradnl"/>
        </w:rPr>
        <w:t xml:space="preserve">l arco </w:t>
      </w:r>
      <w:r>
        <w:rPr>
          <w:lang w:val="es-ES_tradnl"/>
        </w:rPr>
        <w:t>"</w:t>
      </w:r>
      <w:r w:rsidRPr="00FD6650">
        <w:rPr>
          <w:lang w:val="es-ES_tradnl"/>
        </w:rPr>
        <w:t>basado en etiquetas</w:t>
      </w:r>
      <w:r>
        <w:rPr>
          <w:lang w:val="es-ES_tradnl"/>
        </w:rPr>
        <w:t>"</w:t>
      </w:r>
      <w:r w:rsidRPr="00FD6650">
        <w:rPr>
          <w:lang w:val="es-ES_tradnl"/>
        </w:rPr>
        <w:t xml:space="preserve"> en el árbol conjunto ISO</w:t>
      </w:r>
      <w:r>
        <w:rPr>
          <w:lang w:val="es-ES_tradnl"/>
        </w:rPr>
        <w:t>-UIT</w:t>
      </w:r>
      <w:r w:rsidRPr="00FD6650">
        <w:rPr>
          <w:lang w:val="es-ES_tradnl"/>
        </w:rPr>
        <w:t xml:space="preserve">-T </w:t>
      </w:r>
      <w:r>
        <w:rPr>
          <w:lang w:val="es-ES_tradnl"/>
        </w:rPr>
        <w:t>se le asigna el valor numérico</w:t>
      </w:r>
      <w:r w:rsidRPr="00FD6650">
        <w:rPr>
          <w:lang w:val="es-ES_tradnl"/>
        </w:rPr>
        <w:t xml:space="preserve"> 27. </w:t>
      </w:r>
    </w:p>
    <w:p w14:paraId="71C54900" w14:textId="77777777" w:rsidR="00533114" w:rsidRPr="002E07DE" w:rsidRDefault="00533114" w:rsidP="00C142FB">
      <w:pPr>
        <w:rPr>
          <w:lang w:val="es-ES_tradnl"/>
        </w:rPr>
      </w:pPr>
      <w:r w:rsidRPr="003902B7">
        <w:rPr>
          <w:lang w:val="es-ES_tradnl"/>
        </w:rPr>
        <w:t>Los datos asociados con un objeto se pueden almacenar en una etiqueta junto con el identificador</w:t>
      </w:r>
      <w:r>
        <w:rPr>
          <w:lang w:val="es-ES_tradnl"/>
        </w:rPr>
        <w:t xml:space="preserve"> si la etiqueta tiene suficiente memoria. </w:t>
      </w:r>
      <w:r w:rsidRPr="002E07DE">
        <w:rPr>
          <w:lang w:val="es-ES_tradnl"/>
        </w:rPr>
        <w:t xml:space="preserve">No obstante, otro medio posible </w:t>
      </w:r>
      <w:r>
        <w:rPr>
          <w:lang w:val="es-ES_tradnl"/>
        </w:rPr>
        <w:t>para</w:t>
      </w:r>
      <w:r w:rsidRPr="002E07DE">
        <w:rPr>
          <w:lang w:val="es-ES_tradnl"/>
        </w:rPr>
        <w:t xml:space="preserve"> encontrar información asociada con un identificador consiste en utilizar un mecanismo de resoluci</w:t>
      </w:r>
      <w:r>
        <w:rPr>
          <w:lang w:val="es-ES_tradnl"/>
        </w:rPr>
        <w:t>ón de identificadores</w:t>
      </w:r>
      <w:r w:rsidRPr="002E07DE">
        <w:rPr>
          <w:lang w:val="es-ES_tradnl"/>
        </w:rPr>
        <w:t>.</w:t>
      </w:r>
    </w:p>
    <w:p w14:paraId="388E81FB" w14:textId="77777777" w:rsidR="00533114" w:rsidRPr="00C244B1" w:rsidRDefault="00533114" w:rsidP="00C142FB">
      <w:pPr>
        <w:rPr>
          <w:lang w:val="es-ES_tradnl"/>
        </w:rPr>
      </w:pPr>
      <w:r w:rsidRPr="00C244B1">
        <w:rPr>
          <w:lang w:val="es-ES_tradnl"/>
        </w:rPr>
        <w:t>Cabe prever una amplia gama de servicios y aplicaciones, ya que la información inherente al identificador de la etiqueta</w:t>
      </w:r>
      <w:r>
        <w:rPr>
          <w:lang w:val="es-ES_tradnl"/>
        </w:rPr>
        <w:t xml:space="preserve"> se</w:t>
      </w:r>
      <w:r w:rsidRPr="00C244B1">
        <w:rPr>
          <w:lang w:val="es-ES_tradnl"/>
        </w:rPr>
        <w:t xml:space="preserve"> pue</w:t>
      </w:r>
      <w:r>
        <w:rPr>
          <w:lang w:val="es-ES_tradnl"/>
        </w:rPr>
        <w:t>de proporcionar</w:t>
      </w:r>
      <w:r w:rsidRPr="00C244B1">
        <w:rPr>
          <w:lang w:val="es-ES_tradnl"/>
        </w:rPr>
        <w:t xml:space="preserve"> </w:t>
      </w:r>
      <w:r>
        <w:rPr>
          <w:lang w:val="es-ES_tradnl"/>
        </w:rPr>
        <w:t>de</w:t>
      </w:r>
      <w:r w:rsidRPr="00C244B1">
        <w:rPr>
          <w:lang w:val="es-ES_tradnl"/>
        </w:rPr>
        <w:t xml:space="preserve"> diversas formas (texto, audio o imagen). Por ejemplo en un museo, se puede utilizar un identificador en una etiqueta pegada a una pintura para recibir información adicional sobre la obra y el artista. En un almacén de comestibles se puede usar un identificador en un paquete de productos alimentarios para verificar que su ingestión es segura y no pertenece a una clase de alimento que podría estar contaminada. Otras esferas en las que puede resultar útil el acceso a información a través de un identificador son la medicina/los productos farmacéuticos, la agricultura, las bibliotecas, el comercio minorista, la industria turística, la logística y la gestión de la cadena de suministro.</w:t>
      </w:r>
      <w:r>
        <w:rPr>
          <w:lang w:val="es-ES_tradnl"/>
        </w:rPr>
        <w:t xml:space="preserve"> Estos mecanismos podrían utilizarse para luchar contra la falsificación.</w:t>
      </w:r>
      <w:r w:rsidRPr="00C244B1">
        <w:rPr>
          <w:lang w:val="es-ES_tradnl"/>
        </w:rPr>
        <w:t xml:space="preserve"> En la Recomendación UIT-T F.771</w:t>
      </w:r>
      <w:r>
        <w:rPr>
          <w:lang w:val="es-ES_tradnl"/>
        </w:rPr>
        <w:t xml:space="preserve"> </w:t>
      </w:r>
      <w:r w:rsidRPr="0041583F">
        <w:rPr>
          <w:sz w:val="22"/>
          <w:szCs w:val="22"/>
          <w:lang w:val="es-ES_tradnl"/>
        </w:rPr>
        <w:t>[</w:t>
      </w:r>
      <w:r>
        <w:rPr>
          <w:sz w:val="22"/>
          <w:szCs w:val="22"/>
          <w:lang w:val="es-ES_tradnl"/>
        </w:rPr>
        <w:t>55</w:t>
      </w:r>
      <w:r w:rsidRPr="0041583F">
        <w:rPr>
          <w:sz w:val="22"/>
          <w:szCs w:val="22"/>
          <w:lang w:val="es-ES_tradnl"/>
        </w:rPr>
        <w:t xml:space="preserve">] </w:t>
      </w:r>
      <w:r w:rsidRPr="00C244B1">
        <w:rPr>
          <w:lang w:val="es-ES_tradnl"/>
        </w:rPr>
        <w:t>se describen algunos servicios que podrían basarse en el empleo de la información inherente a los objetos etiquetados, así como los requisitos de esos servicios.</w:t>
      </w:r>
    </w:p>
    <w:p w14:paraId="4E1D531F" w14:textId="77777777" w:rsidR="00533114" w:rsidRDefault="00533114" w:rsidP="00C142FB">
      <w:pPr>
        <w:rPr>
          <w:rFonts w:asciiTheme="majorBidi" w:hAnsiTheme="majorBidi" w:cstheme="majorBidi"/>
          <w:lang w:val="es-ES_tradnl"/>
        </w:rPr>
      </w:pPr>
      <w:r w:rsidRPr="00C244B1">
        <w:rPr>
          <w:rFonts w:asciiTheme="majorBidi" w:hAnsiTheme="majorBidi" w:cstheme="majorBidi"/>
          <w:lang w:val="es-ES_tradnl"/>
        </w:rPr>
        <w:lastRenderedPageBreak/>
        <w:t xml:space="preserve">En la Recomendación </w:t>
      </w:r>
      <w:r w:rsidRPr="00C244B1">
        <w:rPr>
          <w:lang w:val="es-ES_tradnl"/>
        </w:rPr>
        <w:t>UIT-T H.621</w:t>
      </w:r>
      <w:r>
        <w:rPr>
          <w:lang w:val="es-ES_tradnl"/>
        </w:rPr>
        <w:t xml:space="preserve"> </w:t>
      </w:r>
      <w:r w:rsidRPr="0041583F">
        <w:rPr>
          <w:sz w:val="22"/>
          <w:szCs w:val="22"/>
          <w:lang w:val="es-ES_tradnl"/>
        </w:rPr>
        <w:t>[</w:t>
      </w:r>
      <w:r>
        <w:rPr>
          <w:sz w:val="22"/>
          <w:szCs w:val="22"/>
          <w:lang w:val="es-ES_tradnl"/>
        </w:rPr>
        <w:t>52</w:t>
      </w:r>
      <w:r w:rsidRPr="0041583F">
        <w:rPr>
          <w:sz w:val="22"/>
          <w:szCs w:val="22"/>
          <w:lang w:val="es-ES_tradnl"/>
        </w:rPr>
        <w:t xml:space="preserve">] </w:t>
      </w:r>
      <w:r w:rsidRPr="00C244B1">
        <w:rPr>
          <w:rFonts w:asciiTheme="majorBidi" w:hAnsiTheme="majorBidi" w:cstheme="majorBidi"/>
          <w:lang w:val="es-ES_tradnl"/>
        </w:rPr>
        <w:t xml:space="preserve">se especifica un modelo para acceder a la información sobre un objeto etiquetado (véase </w:t>
      </w:r>
      <w:r>
        <w:rPr>
          <w:rFonts w:asciiTheme="majorBidi" w:hAnsiTheme="majorBidi" w:cstheme="majorBidi"/>
          <w:lang w:val="es-ES_tradnl"/>
        </w:rPr>
        <w:t>la Figura 6</w:t>
      </w:r>
      <w:r w:rsidRPr="00C244B1">
        <w:rPr>
          <w:rFonts w:asciiTheme="majorBidi" w:hAnsiTheme="majorBidi" w:cstheme="majorBidi"/>
          <w:lang w:val="es-ES_tradnl"/>
        </w:rPr>
        <w:t xml:space="preserve">). Conforme a ese modelo, una función de descubrimiento de información multimedios puede enviar el identificador obtenido de un lector de etiqueta ID a una función de resolución ID, obteniendo de ese modo un puntero (tal como un URL) para el correspondiente gestor de información multimedios. Como resultado de ello se puede acceder a la información asociada al ID de la etiqueta. Como se prevé que el número de identificadores será muy elevado, es probable que la función de resolución ID esté distribuida en una estructura arborescente. </w:t>
      </w:r>
    </w:p>
    <w:p w14:paraId="560ABD67" w14:textId="77777777" w:rsidR="00533114" w:rsidRPr="00C244B1" w:rsidRDefault="00533114" w:rsidP="00C142FB">
      <w:pPr>
        <w:rPr>
          <w:rFonts w:asciiTheme="majorBidi" w:hAnsiTheme="majorBidi" w:cstheme="majorBidi"/>
          <w:lang w:val="es-ES_tradnl"/>
        </w:rPr>
      </w:pPr>
      <w:r>
        <w:rPr>
          <w:rFonts w:asciiTheme="majorBidi" w:hAnsiTheme="majorBidi" w:cstheme="majorBidi"/>
          <w:lang w:val="es-ES_tradnl"/>
        </w:rPr>
        <w:t>L</w:t>
      </w:r>
      <w:r w:rsidRPr="00C244B1">
        <w:rPr>
          <w:rFonts w:asciiTheme="majorBidi" w:hAnsiTheme="majorBidi" w:cstheme="majorBidi"/>
          <w:lang w:val="es-ES_tradnl"/>
        </w:rPr>
        <w:t xml:space="preserve">a función </w:t>
      </w:r>
      <w:r>
        <w:rPr>
          <w:rFonts w:asciiTheme="majorBidi" w:hAnsiTheme="majorBidi" w:cstheme="majorBidi"/>
          <w:lang w:val="es-ES_tradnl"/>
        </w:rPr>
        <w:t xml:space="preserve">de resolución ID </w:t>
      </w:r>
      <w:r w:rsidRPr="00C244B1">
        <w:rPr>
          <w:rFonts w:asciiTheme="majorBidi" w:hAnsiTheme="majorBidi" w:cstheme="majorBidi"/>
          <w:lang w:val="es-ES_tradnl"/>
        </w:rPr>
        <w:t>puede estar basada en el sistema de nombres de dominio de Internet (DNS) que se utiliza para proporcionar la dirección IP correspondiente a un localizador de recursos uniforme (URL).</w:t>
      </w:r>
      <w:r>
        <w:rPr>
          <w:rFonts w:asciiTheme="majorBidi" w:hAnsiTheme="majorBidi" w:cstheme="majorBidi"/>
          <w:lang w:val="es-ES_tradnl"/>
        </w:rPr>
        <w:t xml:space="preserve"> El servicio de denominación de objetos (ONS) descrito por EPCglobal emplea mecanismos DNS para encontrar la información asociada a los códigos de productos electrónicos. </w:t>
      </w:r>
    </w:p>
    <w:p w14:paraId="7510FCE5" w14:textId="77777777" w:rsidR="00533114" w:rsidRPr="00462779" w:rsidRDefault="00533114" w:rsidP="00C142FB">
      <w:pPr>
        <w:pStyle w:val="Figure"/>
        <w:rPr>
          <w:rFonts w:asciiTheme="majorBidi" w:hAnsiTheme="majorBidi" w:cstheme="majorBidi"/>
          <w:lang w:val="en-US"/>
        </w:rPr>
      </w:pPr>
      <w:r w:rsidRPr="008F3209">
        <w:rPr>
          <w:rFonts w:asciiTheme="majorBidi" w:hAnsiTheme="majorBidi" w:cstheme="majorBidi"/>
          <w:noProof/>
          <w:lang w:val="en-US" w:eastAsia="zh-CN"/>
        </w:rPr>
        <w:object w:dxaOrig="9463" w:dyaOrig="5152" w14:anchorId="44916F1A">
          <v:shape id="_x0000_i1027" type="#_x0000_t75" style="width:474pt;height:257.25pt" o:ole="">
            <v:imagedata r:id="rId65" o:title=""/>
          </v:shape>
          <o:OLEObject Type="Embed" ProgID="CorelDRAW.Graphic.14" ShapeID="_x0000_i1027" DrawAspect="Content" ObjectID="_1521536383" r:id="rId66"/>
        </w:object>
      </w:r>
    </w:p>
    <w:p w14:paraId="27C2CD49" w14:textId="77777777" w:rsidR="00533114" w:rsidRPr="00C244B1" w:rsidRDefault="00533114" w:rsidP="00C142FB">
      <w:pPr>
        <w:pStyle w:val="FigureNotitle"/>
        <w:rPr>
          <w:lang w:val="es-ES_tradnl"/>
        </w:rPr>
      </w:pPr>
      <w:bookmarkStart w:id="224" w:name="_Toc447274541"/>
      <w:r>
        <w:rPr>
          <w:rFonts w:asciiTheme="majorBidi" w:hAnsiTheme="majorBidi" w:cstheme="majorBidi"/>
          <w:lang w:val="es-ES_tradnl"/>
        </w:rPr>
        <w:t>Figura 6</w:t>
      </w:r>
      <w:r w:rsidRPr="00C244B1">
        <w:rPr>
          <w:rFonts w:asciiTheme="majorBidi" w:hAnsiTheme="majorBidi" w:cstheme="majorBidi"/>
          <w:lang w:val="es-ES_tradnl"/>
        </w:rPr>
        <w:t xml:space="preserve"> – Arquitectura funcional para el acceso a información multimedios</w:t>
      </w:r>
      <w:r w:rsidRPr="00C244B1">
        <w:rPr>
          <w:rFonts w:asciiTheme="majorBidi" w:hAnsiTheme="majorBidi" w:cstheme="majorBidi"/>
          <w:lang w:val="es-ES_tradnl"/>
        </w:rPr>
        <w:br/>
        <w:t>obtenida mediante identificación por etiqueta</w:t>
      </w:r>
      <w:r>
        <w:rPr>
          <w:rFonts w:asciiTheme="majorBidi" w:hAnsiTheme="majorBidi" w:cstheme="majorBidi"/>
          <w:lang w:val="es-ES_tradnl"/>
        </w:rPr>
        <w:t xml:space="preserve"> (</w:t>
      </w:r>
      <w:r w:rsidRPr="00C244B1">
        <w:rPr>
          <w:rFonts w:asciiTheme="majorBidi" w:hAnsiTheme="majorBidi" w:cstheme="majorBidi"/>
          <w:lang w:val="es-ES_tradnl"/>
        </w:rPr>
        <w:t xml:space="preserve">Recomendación </w:t>
      </w:r>
      <w:r>
        <w:rPr>
          <w:lang w:val="es-ES_tradnl"/>
        </w:rPr>
        <w:t>UIT-T H.621)</w:t>
      </w:r>
      <w:bookmarkEnd w:id="224"/>
    </w:p>
    <w:p w14:paraId="774A392A" w14:textId="77777777" w:rsidR="00533114" w:rsidRPr="009312DD" w:rsidRDefault="00533114" w:rsidP="00C142FB">
      <w:pPr>
        <w:pStyle w:val="Normalaftertitle"/>
        <w:rPr>
          <w:b/>
          <w:lang w:val="es-ES_tradnl"/>
        </w:rPr>
      </w:pPr>
      <w:bookmarkStart w:id="225" w:name="_Toc200180740"/>
      <w:bookmarkStart w:id="226" w:name="_Toc200181308"/>
      <w:bookmarkStart w:id="227" w:name="_Toc211334034"/>
      <w:r w:rsidRPr="009312DD">
        <w:rPr>
          <w:lang w:val="es-ES_tradnl"/>
        </w:rPr>
        <w:t xml:space="preserve">Además, la Recomendación UIT-T X.1255 [79] </w:t>
      </w:r>
      <w:hyperlink r:id="rId67" w:history="1">
        <w:r w:rsidRPr="009312DD">
          <w:rPr>
            <w:rStyle w:val="Hyperlink"/>
            <w:lang w:val="es-ES_tradnl"/>
          </w:rPr>
          <w:t>https://www.itu.int/rec/T-REC-X.1255-201309-I/en</w:t>
        </w:r>
      </w:hyperlink>
      <w:r w:rsidRPr="009312DD">
        <w:rPr>
          <w:lang w:val="es-ES_tradnl"/>
        </w:rPr>
        <w:t xml:space="preserve"> proporciona un marco para el descubrimiento de la información de gestión de identidades que se ha reconocido </w:t>
      </w:r>
      <w:r>
        <w:rPr>
          <w:lang w:val="es-ES_tradnl"/>
        </w:rPr>
        <w:t>en la R</w:t>
      </w:r>
      <w:r w:rsidRPr="009312DD">
        <w:rPr>
          <w:lang w:val="es-ES_tradnl"/>
        </w:rPr>
        <w:t>esoluci</w:t>
      </w:r>
      <w:r>
        <w:rPr>
          <w:lang w:val="es-ES_tradnl"/>
        </w:rPr>
        <w:t>ón</w:t>
      </w:r>
      <w:r w:rsidRPr="009312DD">
        <w:rPr>
          <w:lang w:val="es-ES_tradnl"/>
        </w:rPr>
        <w:t xml:space="preserve"> </w:t>
      </w:r>
      <w:r>
        <w:rPr>
          <w:lang w:val="es-ES_tradnl"/>
        </w:rPr>
        <w:t>de la Conferencia de Plenipotenciarios de la UIT sobre la lucha contra la falsificación de las telecomunicaciones y de la información y de los dispositivos de las tecnologías de comunicación.</w:t>
      </w:r>
    </w:p>
    <w:p w14:paraId="758003AE" w14:textId="6BBF347E" w:rsidR="00533114" w:rsidRPr="00420816" w:rsidRDefault="00533114" w:rsidP="00C142FB">
      <w:pPr>
        <w:pStyle w:val="Heading2"/>
        <w:rPr>
          <w:lang w:val="es-ES_tradnl"/>
        </w:rPr>
      </w:pPr>
      <w:bookmarkStart w:id="228" w:name="_Toc404607207"/>
      <w:bookmarkStart w:id="229" w:name="_Toc406670417"/>
      <w:bookmarkStart w:id="230" w:name="_Toc447202551"/>
      <w:bookmarkStart w:id="231" w:name="_Toc447203032"/>
      <w:r w:rsidRPr="00420816">
        <w:rPr>
          <w:lang w:val="es-ES_tradnl"/>
        </w:rPr>
        <w:t>7.5</w:t>
      </w:r>
      <w:r>
        <w:rPr>
          <w:lang w:val="es-ES_tradnl"/>
        </w:rPr>
        <w:tab/>
      </w:r>
      <w:r w:rsidRPr="00420816">
        <w:rPr>
          <w:lang w:val="es-ES_tradnl"/>
        </w:rPr>
        <w:t>Identificación automática y captura de datos (AIDC)</w:t>
      </w:r>
      <w:bookmarkEnd w:id="225"/>
      <w:bookmarkEnd w:id="226"/>
      <w:bookmarkEnd w:id="227"/>
      <w:bookmarkEnd w:id="228"/>
      <w:bookmarkEnd w:id="229"/>
      <w:bookmarkEnd w:id="230"/>
      <w:bookmarkEnd w:id="231"/>
    </w:p>
    <w:p w14:paraId="4B1A1B21" w14:textId="2DE9DA36" w:rsidR="00533114" w:rsidRPr="00420816" w:rsidRDefault="00533114" w:rsidP="00C142FB">
      <w:pPr>
        <w:pStyle w:val="Heading3"/>
        <w:rPr>
          <w:lang w:val="es-ES_tradnl"/>
        </w:rPr>
      </w:pPr>
      <w:bookmarkStart w:id="232" w:name="_Toc200180741"/>
      <w:bookmarkStart w:id="233" w:name="_Toc200181309"/>
      <w:bookmarkStart w:id="234" w:name="_Toc211334035"/>
      <w:bookmarkStart w:id="235" w:name="_Toc404607208"/>
      <w:bookmarkStart w:id="236" w:name="_Toc447202552"/>
      <w:r w:rsidRPr="00420816">
        <w:rPr>
          <w:lang w:val="es-ES_tradnl"/>
        </w:rPr>
        <w:t>7.5.1</w:t>
      </w:r>
      <w:bookmarkEnd w:id="232"/>
      <w:bookmarkEnd w:id="233"/>
      <w:bookmarkEnd w:id="234"/>
      <w:bookmarkEnd w:id="235"/>
      <w:r>
        <w:rPr>
          <w:lang w:val="es-ES_tradnl"/>
        </w:rPr>
        <w:tab/>
      </w:r>
      <w:r w:rsidRPr="00420816">
        <w:rPr>
          <w:lang w:val="es-ES_tradnl"/>
        </w:rPr>
        <w:t>Códigos de barras</w:t>
      </w:r>
      <w:bookmarkEnd w:id="236"/>
    </w:p>
    <w:p w14:paraId="438F90A3" w14:textId="77777777" w:rsidR="00533114" w:rsidRPr="0053002E" w:rsidRDefault="00533114" w:rsidP="00C142FB">
      <w:pPr>
        <w:spacing w:after="120"/>
        <w:rPr>
          <w:lang w:val="es-ES_tradnl"/>
        </w:rPr>
      </w:pPr>
      <w:r w:rsidRPr="00420816">
        <w:rPr>
          <w:lang w:val="es-ES_tradnl"/>
        </w:rPr>
        <w:t>Los códigos de barras se utilizan a menudo</w:t>
      </w:r>
      <w:r>
        <w:rPr>
          <w:lang w:val="es-ES_tradnl"/>
        </w:rPr>
        <w:t xml:space="preserve"> para identificar productos. Tienen formas muy variadas desde los códigos de barras de código universal de producto </w:t>
      </w:r>
      <w:r w:rsidRPr="0053002E">
        <w:rPr>
          <w:lang w:val="es-ES_tradnl"/>
        </w:rPr>
        <w:t xml:space="preserve">(UPC) </w:t>
      </w:r>
      <w:r>
        <w:rPr>
          <w:lang w:val="es-ES_tradnl"/>
        </w:rPr>
        <w:t>que están presentes en los supermercados a los códigos de barras matriciales</w:t>
      </w:r>
      <w:r w:rsidRPr="0053002E">
        <w:rPr>
          <w:lang w:val="es-ES_tradnl"/>
        </w:rPr>
        <w:t xml:space="preserve"> (2D). </w:t>
      </w:r>
      <w:r>
        <w:rPr>
          <w:lang w:val="es-ES_tradnl"/>
        </w:rPr>
        <w:t xml:space="preserve">Se pueden falsificar con facilidad y los falsificadores pueden copiarlos. </w:t>
      </w:r>
    </w:p>
    <w:p w14:paraId="75AC9A46" w14:textId="77777777" w:rsidR="00533114" w:rsidRDefault="00533114" w:rsidP="00C142FB">
      <w:pPr>
        <w:pStyle w:val="Figure"/>
      </w:pPr>
      <w:r>
        <w:rPr>
          <w:noProof/>
          <w:lang w:eastAsia="zh-CN"/>
        </w:rPr>
        <w:lastRenderedPageBreak/>
        <w:drawing>
          <wp:inline distT="0" distB="0" distL="0" distR="0" wp14:anchorId="2A82E482" wp14:editId="7A8510EF">
            <wp:extent cx="5232400" cy="1803400"/>
            <wp:effectExtent l="25400" t="0" r="0" b="0"/>
            <wp:docPr id="4" name="Picture 3" descr="code128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128bar.jpg"/>
                    <pic:cNvPicPr>
                      <a:picLocks noChangeAspect="1" noChangeArrowheads="1"/>
                    </pic:cNvPicPr>
                  </pic:nvPicPr>
                  <pic:blipFill>
                    <a:blip r:embed="rId68" cstate="print"/>
                    <a:srcRect/>
                    <a:stretch>
                      <a:fillRect/>
                    </a:stretch>
                  </pic:blipFill>
                  <pic:spPr bwMode="auto">
                    <a:xfrm>
                      <a:off x="0" y="0"/>
                      <a:ext cx="5232400" cy="1803400"/>
                    </a:xfrm>
                    <a:prstGeom prst="rect">
                      <a:avLst/>
                    </a:prstGeom>
                    <a:noFill/>
                    <a:ln w="9525">
                      <a:noFill/>
                      <a:miter lim="800000"/>
                      <a:headEnd/>
                      <a:tailEnd/>
                    </a:ln>
                  </pic:spPr>
                </pic:pic>
              </a:graphicData>
            </a:graphic>
          </wp:inline>
        </w:drawing>
      </w:r>
    </w:p>
    <w:p w14:paraId="79A76032" w14:textId="77777777" w:rsidR="00533114" w:rsidRPr="0053002E" w:rsidRDefault="00533114" w:rsidP="00C142FB">
      <w:pPr>
        <w:pStyle w:val="FigureNotitle"/>
        <w:rPr>
          <w:lang w:val="es-ES_tradnl"/>
        </w:rPr>
      </w:pPr>
      <w:bookmarkStart w:id="237" w:name="_Toc404785090"/>
      <w:bookmarkStart w:id="238" w:name="_Toc447274542"/>
      <w:r w:rsidRPr="0053002E">
        <w:rPr>
          <w:lang w:val="es-ES_tradnl" w:bidi="ar-DZ"/>
        </w:rPr>
        <w:t xml:space="preserve">Figura 7 – </w:t>
      </w:r>
      <w:r w:rsidRPr="0053002E">
        <w:rPr>
          <w:lang w:val="es-ES_tradnl"/>
        </w:rPr>
        <w:t>Ejemplo de código de barras lineal</w:t>
      </w:r>
      <w:bookmarkEnd w:id="237"/>
      <w:bookmarkEnd w:id="238"/>
    </w:p>
    <w:p w14:paraId="2522463E" w14:textId="77777777" w:rsidR="00533114" w:rsidRPr="0053002E" w:rsidRDefault="00533114" w:rsidP="00C142FB">
      <w:pPr>
        <w:pStyle w:val="Normalaftertitle"/>
        <w:rPr>
          <w:lang w:val="es-ES_tradnl"/>
        </w:rPr>
      </w:pPr>
      <w:r w:rsidRPr="0053002E">
        <w:rPr>
          <w:lang w:val="es-ES_tradnl"/>
        </w:rPr>
        <w:t>La Figura 7 muestra un ejemplo de c</w:t>
      </w:r>
      <w:r>
        <w:rPr>
          <w:lang w:val="es-ES_tradnl"/>
        </w:rPr>
        <w:t>ódigo de barras lineal.</w:t>
      </w:r>
    </w:p>
    <w:p w14:paraId="2EED778A" w14:textId="77777777" w:rsidR="00533114" w:rsidRPr="00477007" w:rsidRDefault="00533114" w:rsidP="00C142FB">
      <w:pPr>
        <w:rPr>
          <w:lang w:val="es-ES_tradnl"/>
        </w:rPr>
      </w:pPr>
      <w:r w:rsidRPr="00477007">
        <w:rPr>
          <w:lang w:val="es-ES_tradnl"/>
        </w:rPr>
        <w:t>UPC ISO/CEI 15420 [80]</w:t>
      </w:r>
    </w:p>
    <w:p w14:paraId="670FB9C1" w14:textId="77777777" w:rsidR="00533114" w:rsidRPr="00821E47" w:rsidRDefault="00533114" w:rsidP="00C142FB">
      <w:pPr>
        <w:rPr>
          <w:lang w:val="it-IT"/>
        </w:rPr>
      </w:pPr>
      <w:r>
        <w:rPr>
          <w:lang w:val="it-IT"/>
        </w:rPr>
        <w:t>Código</w:t>
      </w:r>
      <w:r w:rsidRPr="00821E47">
        <w:rPr>
          <w:lang w:val="it-IT"/>
        </w:rPr>
        <w:t xml:space="preserve"> </w:t>
      </w:r>
      <w:r>
        <w:rPr>
          <w:lang w:val="it-IT"/>
        </w:rPr>
        <w:t xml:space="preserve">de código de barras </w:t>
      </w:r>
      <w:r w:rsidRPr="00821E47">
        <w:rPr>
          <w:lang w:val="it-IT"/>
        </w:rPr>
        <w:t>39 ISO/</w:t>
      </w:r>
      <w:r>
        <w:rPr>
          <w:lang w:val="it-IT"/>
        </w:rPr>
        <w:t>CEI</w:t>
      </w:r>
      <w:r w:rsidRPr="00821E47">
        <w:rPr>
          <w:lang w:val="it-IT"/>
        </w:rPr>
        <w:t xml:space="preserve"> 16388</w:t>
      </w:r>
      <w:r>
        <w:rPr>
          <w:lang w:val="it-IT"/>
        </w:rPr>
        <w:t xml:space="preserve"> [81]</w:t>
      </w:r>
    </w:p>
    <w:p w14:paraId="61560C09" w14:textId="77777777" w:rsidR="00533114" w:rsidRPr="005C0646" w:rsidRDefault="00533114" w:rsidP="00C142FB">
      <w:pPr>
        <w:spacing w:after="120"/>
        <w:rPr>
          <w:lang w:val="it-IT"/>
        </w:rPr>
      </w:pPr>
      <w:r>
        <w:rPr>
          <w:lang w:val="it-IT"/>
        </w:rPr>
        <w:t xml:space="preserve">Código de código de barras </w:t>
      </w:r>
      <w:r w:rsidRPr="00821E47">
        <w:rPr>
          <w:lang w:val="it-IT"/>
        </w:rPr>
        <w:t>128 ISO/</w:t>
      </w:r>
      <w:r>
        <w:rPr>
          <w:lang w:val="it-IT"/>
        </w:rPr>
        <w:t>CEI</w:t>
      </w:r>
      <w:r w:rsidRPr="00821E47">
        <w:rPr>
          <w:lang w:val="it-IT"/>
        </w:rPr>
        <w:t xml:space="preserve"> 15417</w:t>
      </w:r>
      <w:r>
        <w:rPr>
          <w:lang w:val="it-IT"/>
        </w:rPr>
        <w:t xml:space="preserve"> [82]</w:t>
      </w:r>
    </w:p>
    <w:p w14:paraId="3D1896D4" w14:textId="77777777" w:rsidR="00533114" w:rsidRDefault="00533114" w:rsidP="00C142FB">
      <w:pPr>
        <w:pStyle w:val="Figure"/>
      </w:pPr>
      <w:r>
        <w:object w:dxaOrig="2690" w:dyaOrig="2690" w14:anchorId="1A60150F">
          <v:shape id="_x0000_i1028" type="#_x0000_t75" style="width:162.75pt;height:162.75pt" o:ole="">
            <v:imagedata r:id="rId69" o:title=""/>
          </v:shape>
          <o:OLEObject Type="Embed" ProgID="CorelDraw.Graphic.16" ShapeID="_x0000_i1028" DrawAspect="Content" ObjectID="_1521536384" r:id="rId70"/>
        </w:object>
      </w:r>
    </w:p>
    <w:p w14:paraId="735F0985" w14:textId="77777777" w:rsidR="00533114" w:rsidRPr="00BE4092" w:rsidRDefault="00533114" w:rsidP="00C142FB">
      <w:pPr>
        <w:pStyle w:val="FigureNotitle"/>
        <w:rPr>
          <w:lang w:val="es-ES_tradnl"/>
        </w:rPr>
      </w:pPr>
      <w:bookmarkStart w:id="239" w:name="_Toc404785091"/>
      <w:bookmarkStart w:id="240" w:name="_Toc447274543"/>
      <w:r w:rsidRPr="00BE4092">
        <w:rPr>
          <w:lang w:val="es-ES_tradnl" w:bidi="ar-DZ"/>
        </w:rPr>
        <w:t xml:space="preserve">Figura 8 – </w:t>
      </w:r>
      <w:r w:rsidRPr="00BE4092">
        <w:rPr>
          <w:lang w:val="es-ES_tradnl"/>
        </w:rPr>
        <w:t>Ejemplo de código de barras matricial (bidimensional)</w:t>
      </w:r>
      <w:bookmarkEnd w:id="239"/>
      <w:bookmarkEnd w:id="240"/>
    </w:p>
    <w:p w14:paraId="1FFD3099" w14:textId="77777777" w:rsidR="00533114" w:rsidRPr="00BE4092" w:rsidRDefault="00533114" w:rsidP="00C142FB">
      <w:pPr>
        <w:pStyle w:val="Normalaftertitle"/>
        <w:keepNext/>
        <w:rPr>
          <w:lang w:val="es-ES_tradnl"/>
        </w:rPr>
      </w:pPr>
      <w:r w:rsidRPr="0053002E">
        <w:rPr>
          <w:lang w:val="es-ES_tradnl"/>
        </w:rPr>
        <w:t>L</w:t>
      </w:r>
      <w:r>
        <w:rPr>
          <w:lang w:val="es-ES_tradnl"/>
        </w:rPr>
        <w:t>a Figura 8</w:t>
      </w:r>
      <w:r w:rsidRPr="0053002E">
        <w:rPr>
          <w:lang w:val="es-ES_tradnl"/>
        </w:rPr>
        <w:t xml:space="preserve"> muestra un ejemplo de c</w:t>
      </w:r>
      <w:r>
        <w:rPr>
          <w:lang w:val="es-ES_tradnl"/>
        </w:rPr>
        <w:t xml:space="preserve">ódigo de barras </w:t>
      </w:r>
      <w:r w:rsidRPr="00BE4092">
        <w:rPr>
          <w:lang w:val="es-ES_tradnl"/>
        </w:rPr>
        <w:t>matri</w:t>
      </w:r>
      <w:r>
        <w:rPr>
          <w:lang w:val="es-ES_tradnl"/>
        </w:rPr>
        <w:t>cial</w:t>
      </w:r>
      <w:r w:rsidRPr="00BE4092">
        <w:rPr>
          <w:lang w:val="es-ES_tradnl"/>
        </w:rPr>
        <w:t xml:space="preserve"> (</w:t>
      </w:r>
      <w:r>
        <w:rPr>
          <w:lang w:val="es-ES_tradnl"/>
        </w:rPr>
        <w:t>bidimensional</w:t>
      </w:r>
      <w:r w:rsidRPr="00BE4092">
        <w:rPr>
          <w:lang w:val="es-ES_tradnl"/>
        </w:rPr>
        <w:t>):</w:t>
      </w:r>
    </w:p>
    <w:p w14:paraId="4F3E2C08" w14:textId="77777777" w:rsidR="00533114" w:rsidRPr="00477007" w:rsidRDefault="00533114" w:rsidP="00C142FB">
      <w:pPr>
        <w:rPr>
          <w:lang w:val="es-ES_tradnl"/>
        </w:rPr>
      </w:pPr>
      <w:r w:rsidRPr="00477007">
        <w:rPr>
          <w:lang w:val="es-ES_tradnl"/>
        </w:rPr>
        <w:t>Codablock F ISO/CEI 15417+</w:t>
      </w:r>
    </w:p>
    <w:p w14:paraId="1F2C0F91" w14:textId="77777777" w:rsidR="00533114" w:rsidRPr="00477007" w:rsidRDefault="00533114" w:rsidP="00C142FB">
      <w:pPr>
        <w:rPr>
          <w:lang w:val="es-ES_tradnl"/>
        </w:rPr>
      </w:pPr>
      <w:r w:rsidRPr="00477007">
        <w:rPr>
          <w:lang w:val="es-ES_tradnl"/>
        </w:rPr>
        <w:t>PDF 417 ISO/CEI 15438 [83]</w:t>
      </w:r>
    </w:p>
    <w:p w14:paraId="785DED49" w14:textId="77777777" w:rsidR="00533114" w:rsidRPr="00477007" w:rsidRDefault="00533114" w:rsidP="00C142FB">
      <w:pPr>
        <w:rPr>
          <w:lang w:val="es-ES_tradnl"/>
        </w:rPr>
      </w:pPr>
      <w:r w:rsidRPr="00477007">
        <w:rPr>
          <w:lang w:val="es-ES_tradnl"/>
        </w:rPr>
        <w:t>Maxicode ISO/CEI 16023 [84]</w:t>
      </w:r>
    </w:p>
    <w:p w14:paraId="466511E4" w14:textId="77777777" w:rsidR="00533114" w:rsidRPr="0048278F" w:rsidRDefault="00533114" w:rsidP="00C142FB">
      <w:pPr>
        <w:rPr>
          <w:lang w:val="pt-BR"/>
        </w:rPr>
      </w:pPr>
      <w:r>
        <w:rPr>
          <w:lang w:val="pt-BR"/>
        </w:rPr>
        <w:t xml:space="preserve">Código </w:t>
      </w:r>
      <w:r w:rsidRPr="0048278F">
        <w:rPr>
          <w:lang w:val="pt-BR"/>
        </w:rPr>
        <w:t>QR ISO/</w:t>
      </w:r>
      <w:r>
        <w:rPr>
          <w:lang w:val="pt-BR"/>
        </w:rPr>
        <w:t>CEI</w:t>
      </w:r>
      <w:r w:rsidRPr="0048278F">
        <w:rPr>
          <w:lang w:val="pt-BR"/>
        </w:rPr>
        <w:t xml:space="preserve"> 18004</w:t>
      </w:r>
      <w:r>
        <w:rPr>
          <w:lang w:val="pt-BR"/>
        </w:rPr>
        <w:t xml:space="preserve"> [85]</w:t>
      </w:r>
    </w:p>
    <w:p w14:paraId="2E6C21C9" w14:textId="77777777" w:rsidR="00533114" w:rsidRPr="00522273" w:rsidRDefault="00533114" w:rsidP="00C142FB">
      <w:pPr>
        <w:rPr>
          <w:lang w:val="pt-BR"/>
        </w:rPr>
      </w:pPr>
      <w:r>
        <w:rPr>
          <w:lang w:val="pt-BR"/>
        </w:rPr>
        <w:t>Matriz de datos</w:t>
      </w:r>
      <w:r w:rsidRPr="0048278F">
        <w:rPr>
          <w:lang w:val="pt-BR"/>
        </w:rPr>
        <w:t xml:space="preserve"> ISO/</w:t>
      </w:r>
      <w:r>
        <w:rPr>
          <w:lang w:val="pt-BR"/>
        </w:rPr>
        <w:t>CEI</w:t>
      </w:r>
      <w:r w:rsidRPr="0048278F">
        <w:rPr>
          <w:lang w:val="pt-BR"/>
        </w:rPr>
        <w:t xml:space="preserve"> 16022</w:t>
      </w:r>
      <w:r>
        <w:rPr>
          <w:lang w:val="pt-BR"/>
        </w:rPr>
        <w:t xml:space="preserve"> [86]</w:t>
      </w:r>
    </w:p>
    <w:p w14:paraId="0558DA37" w14:textId="77777777" w:rsidR="00533114" w:rsidRPr="00B35D0E" w:rsidRDefault="00533114" w:rsidP="00C142FB">
      <w:pPr>
        <w:rPr>
          <w:lang w:val="es-ES_tradnl"/>
        </w:rPr>
      </w:pPr>
      <w:r w:rsidRPr="00BE4092">
        <w:rPr>
          <w:lang w:val="es-ES_tradnl"/>
        </w:rPr>
        <w:t xml:space="preserve">Los códigos de barras se pueden emplear para codificar </w:t>
      </w:r>
      <w:r>
        <w:rPr>
          <w:lang w:val="es-ES_tradnl"/>
        </w:rPr>
        <w:t xml:space="preserve">un número de serie. </w:t>
      </w:r>
      <w:r w:rsidRPr="00BE4092">
        <w:rPr>
          <w:lang w:val="es-ES_tradnl"/>
        </w:rPr>
        <w:t>Por ejemplo, DIN</w:t>
      </w:r>
      <w:r>
        <w:rPr>
          <w:lang w:val="es-ES_tradnl"/>
        </w:rPr>
        <w:t> </w:t>
      </w:r>
      <w:r w:rsidRPr="00BE4092">
        <w:rPr>
          <w:lang w:val="es-ES_tradnl"/>
        </w:rPr>
        <w:t>66401 [87] define una marca de identificación única (UIM) constituida por un s</w:t>
      </w:r>
      <w:r>
        <w:rPr>
          <w:lang w:val="es-ES_tradnl"/>
        </w:rPr>
        <w:t xml:space="preserve">ímbolo matricial </w:t>
      </w:r>
      <w:r w:rsidRPr="00BE4092">
        <w:rPr>
          <w:lang w:val="es-ES_tradnl"/>
        </w:rPr>
        <w:t>(ISO/</w:t>
      </w:r>
      <w:r>
        <w:rPr>
          <w:lang w:val="es-ES_tradnl"/>
        </w:rPr>
        <w:t>CEI</w:t>
      </w:r>
      <w:r w:rsidRPr="00BE4092">
        <w:rPr>
          <w:lang w:val="es-ES_tradnl"/>
        </w:rPr>
        <w:t xml:space="preserve"> 16022 o ISO/</w:t>
      </w:r>
      <w:r>
        <w:rPr>
          <w:lang w:val="es-ES_tradnl"/>
        </w:rPr>
        <w:t>CEI</w:t>
      </w:r>
      <w:r w:rsidRPr="00BE4092">
        <w:rPr>
          <w:lang w:val="es-ES_tradnl"/>
        </w:rPr>
        <w:t xml:space="preserve"> 18004) </w:t>
      </w:r>
      <w:r>
        <w:rPr>
          <w:lang w:val="es-ES_tradnl"/>
        </w:rPr>
        <w:t>y un identificador de datos único</w:t>
      </w:r>
      <w:r w:rsidRPr="00BE4092">
        <w:rPr>
          <w:lang w:val="es-ES_tradnl"/>
        </w:rPr>
        <w:t xml:space="preserve"> (</w:t>
      </w:r>
      <w:r>
        <w:rPr>
          <w:lang w:val="es-ES_tradnl"/>
        </w:rPr>
        <w:t>de conformidad con</w:t>
      </w:r>
      <w:r w:rsidRPr="00BE4092">
        <w:rPr>
          <w:lang w:val="es-ES_tradnl"/>
        </w:rPr>
        <w:t xml:space="preserve"> ANSI MH10.8.2 [88] </w:t>
      </w:r>
      <w:r>
        <w:rPr>
          <w:lang w:val="es-ES_tradnl"/>
        </w:rPr>
        <w:t>y el símbolo</w:t>
      </w:r>
      <w:r w:rsidRPr="00BE4092">
        <w:rPr>
          <w:lang w:val="es-ES_tradnl"/>
        </w:rPr>
        <w:t xml:space="preserve"> </w:t>
      </w:r>
      <w:r>
        <w:rPr>
          <w:lang w:val="es-ES_tradnl"/>
        </w:rPr>
        <w:t>"</w:t>
      </w:r>
      <w:r w:rsidRPr="00BE4092">
        <w:rPr>
          <w:lang w:val="es-ES_tradnl"/>
        </w:rPr>
        <w:t>+</w:t>
      </w:r>
      <w:r>
        <w:rPr>
          <w:lang w:val="es-ES_tradnl"/>
        </w:rPr>
        <w:t>"</w:t>
      </w:r>
      <w:r w:rsidRPr="00BE4092">
        <w:rPr>
          <w:lang w:val="es-ES_tradnl"/>
        </w:rPr>
        <w:t xml:space="preserve"> </w:t>
      </w:r>
      <w:r>
        <w:rPr>
          <w:lang w:val="es-ES_tradnl"/>
        </w:rPr>
        <w:t>según</w:t>
      </w:r>
      <w:r w:rsidRPr="00BE4092">
        <w:rPr>
          <w:lang w:val="es-ES_tradnl"/>
        </w:rPr>
        <w:t xml:space="preserve"> ANSI/HIBC 2.3 [89]). </w:t>
      </w:r>
      <w:r w:rsidRPr="00B35D0E">
        <w:rPr>
          <w:lang w:val="es-ES_tradnl"/>
        </w:rPr>
        <w:t>Se trata de una aplicación normalizada para marcar artículos pequeños en el ámbito de la electr</w:t>
      </w:r>
      <w:r>
        <w:rPr>
          <w:lang w:val="es-ES_tradnl"/>
        </w:rPr>
        <w:t xml:space="preserve">ónica y de la sanidad, por ejemplo. </w:t>
      </w:r>
      <w:r w:rsidRPr="00B35D0E">
        <w:rPr>
          <w:lang w:val="es-ES_tradnl"/>
        </w:rPr>
        <w:t>Resultan particularmente adecuados para la marcación directa usando chorro de tinta o laser así como para la impresi</w:t>
      </w:r>
      <w:r>
        <w:rPr>
          <w:lang w:val="es-ES_tradnl"/>
        </w:rPr>
        <w:t>ón de etiquetas.</w:t>
      </w:r>
    </w:p>
    <w:p w14:paraId="3CB81A51" w14:textId="77777777" w:rsidR="00533114" w:rsidRPr="0001522E" w:rsidRDefault="00533114" w:rsidP="00C142FB">
      <w:pPr>
        <w:rPr>
          <w:lang w:val="es-ES_tradnl"/>
        </w:rPr>
      </w:pPr>
      <w:r w:rsidRPr="00B35D0E">
        <w:rPr>
          <w:lang w:val="es-ES_tradnl"/>
        </w:rPr>
        <w:lastRenderedPageBreak/>
        <w:t>En la norma ISO 28219 [</w:t>
      </w:r>
      <w:r w:rsidRPr="00B35D0E">
        <w:rPr>
          <w:bCs/>
          <w:lang w:val="es-ES_tradnl"/>
        </w:rPr>
        <w:t>53</w:t>
      </w:r>
      <w:r w:rsidRPr="00B35D0E">
        <w:rPr>
          <w:lang w:val="es-ES_tradnl"/>
        </w:rPr>
        <w:t>] se especifican los requisitos para el etiquetado de artículos y la marcaci</w:t>
      </w:r>
      <w:r>
        <w:rPr>
          <w:lang w:val="es-ES_tradnl"/>
        </w:rPr>
        <w:t xml:space="preserve">ón directa de productos con códigos de barras lineales y matriciales. </w:t>
      </w:r>
      <w:r w:rsidRPr="0001522E">
        <w:rPr>
          <w:lang w:val="es-ES_tradnl"/>
        </w:rPr>
        <w:t>Los requisitos para el diseño de etiquetas de códigos de barras lineales y 2D para el empaquetado de productos se especifican en la norma ISO 22742 [</w:t>
      </w:r>
      <w:r w:rsidRPr="0001522E">
        <w:rPr>
          <w:bCs/>
          <w:lang w:val="es-ES_tradnl"/>
        </w:rPr>
        <w:t>54</w:t>
      </w:r>
      <w:r w:rsidRPr="0001522E">
        <w:rPr>
          <w:lang w:val="es-ES_tradnl"/>
        </w:rPr>
        <w:t xml:space="preserve">] </w:t>
      </w:r>
      <w:r>
        <w:rPr>
          <w:lang w:val="es-ES_tradnl"/>
        </w:rPr>
        <w:t>y los de las etiquetas para el envío, transporte</w:t>
      </w:r>
      <w:r w:rsidRPr="0001522E">
        <w:rPr>
          <w:lang w:val="es-ES_tradnl"/>
        </w:rPr>
        <w:t xml:space="preserve"> </w:t>
      </w:r>
      <w:r>
        <w:rPr>
          <w:lang w:val="es-ES_tradnl"/>
        </w:rPr>
        <w:t>y recepción en la norma</w:t>
      </w:r>
      <w:r w:rsidRPr="0001522E">
        <w:rPr>
          <w:lang w:val="es-ES_tradnl"/>
        </w:rPr>
        <w:t xml:space="preserve"> ISO 15394 [</w:t>
      </w:r>
      <w:r w:rsidRPr="0001522E">
        <w:rPr>
          <w:bCs/>
          <w:lang w:val="es-ES_tradnl"/>
        </w:rPr>
        <w:t>55</w:t>
      </w:r>
      <w:r w:rsidRPr="0001522E">
        <w:rPr>
          <w:lang w:val="es-ES_tradnl"/>
        </w:rPr>
        <w:t>].</w:t>
      </w:r>
    </w:p>
    <w:p w14:paraId="7DD660F3" w14:textId="23A03342" w:rsidR="00533114" w:rsidRPr="00477007" w:rsidRDefault="00533114" w:rsidP="00C142FB">
      <w:pPr>
        <w:pStyle w:val="Heading3"/>
        <w:rPr>
          <w:lang w:val="es-ES_tradnl"/>
        </w:rPr>
      </w:pPr>
      <w:bookmarkStart w:id="241" w:name="_Toc200180742"/>
      <w:bookmarkStart w:id="242" w:name="_Toc200181310"/>
      <w:bookmarkStart w:id="243" w:name="_Toc211334036"/>
      <w:bookmarkStart w:id="244" w:name="_Toc404607209"/>
      <w:bookmarkStart w:id="245" w:name="_Toc447202553"/>
      <w:r w:rsidRPr="00477007">
        <w:rPr>
          <w:lang w:val="es-ES_tradnl"/>
        </w:rPr>
        <w:t>7.5.2</w:t>
      </w:r>
      <w:r>
        <w:rPr>
          <w:lang w:val="es-ES_tradnl"/>
        </w:rPr>
        <w:tab/>
      </w:r>
      <w:r w:rsidRPr="00477007">
        <w:rPr>
          <w:lang w:val="es-ES_tradnl"/>
        </w:rPr>
        <w:t>RFID</w:t>
      </w:r>
      <w:bookmarkEnd w:id="241"/>
      <w:bookmarkEnd w:id="242"/>
      <w:bookmarkEnd w:id="243"/>
      <w:bookmarkEnd w:id="244"/>
      <w:bookmarkEnd w:id="245"/>
    </w:p>
    <w:p w14:paraId="24524E14" w14:textId="77777777" w:rsidR="00533114" w:rsidRPr="0001522E" w:rsidRDefault="00533114" w:rsidP="00C142FB">
      <w:pPr>
        <w:rPr>
          <w:lang w:val="es-ES_tradnl"/>
        </w:rPr>
      </w:pPr>
      <w:r w:rsidRPr="0001522E">
        <w:rPr>
          <w:lang w:val="es-ES_tradnl"/>
        </w:rPr>
        <w:t>La RFID permite etiquetar objetos y almacenar información en las etiquetas que se leen utilizando</w:t>
      </w:r>
      <w:r>
        <w:rPr>
          <w:lang w:val="es-ES_tradnl"/>
        </w:rPr>
        <w:t xml:space="preserve"> </w:t>
      </w:r>
      <w:r w:rsidRPr="0001522E">
        <w:rPr>
          <w:lang w:val="es-ES_tradnl"/>
        </w:rPr>
        <w:t>tecnología inalámbrica de corto alcance. Las especificaciones para la RFID incluyen la identificación de objetos, las características de las interfaces a</w:t>
      </w:r>
      <w:r>
        <w:rPr>
          <w:lang w:val="es-ES_tradnl"/>
        </w:rPr>
        <w:t>éreas y los protocolos de comunicación de datos</w:t>
      </w:r>
      <w:r w:rsidRPr="0001522E">
        <w:rPr>
          <w:lang w:val="es-ES_tradnl"/>
        </w:rPr>
        <w:t>.</w:t>
      </w:r>
      <w:r>
        <w:rPr>
          <w:lang w:val="es-ES_tradnl"/>
        </w:rPr>
        <w:t xml:space="preserve"> </w:t>
      </w:r>
    </w:p>
    <w:p w14:paraId="048A1C3A" w14:textId="77777777" w:rsidR="00533114" w:rsidRPr="00702A19" w:rsidRDefault="00533114" w:rsidP="00C142FB">
      <w:pPr>
        <w:rPr>
          <w:lang w:val="es-ES_tradnl"/>
        </w:rPr>
      </w:pPr>
      <w:r w:rsidRPr="0001522E">
        <w:rPr>
          <w:lang w:val="es-ES_tradnl"/>
        </w:rPr>
        <w:t xml:space="preserve">La norma ISO/CEI 15963 [56] especifica cómo se asignan identificadores únicos a las etiquetas de radio frecuencia (RF). </w:t>
      </w:r>
      <w:r>
        <w:rPr>
          <w:lang w:val="es-ES_tradnl"/>
        </w:rPr>
        <w:t xml:space="preserve">Las etiquetas RF tienen un identificador asignado por el fabricante del circuito integrado </w:t>
      </w:r>
      <w:r w:rsidRPr="0001522E">
        <w:rPr>
          <w:lang w:val="es-ES_tradnl"/>
        </w:rPr>
        <w:t xml:space="preserve">– </w:t>
      </w:r>
      <w:r>
        <w:rPr>
          <w:lang w:val="es-ES_tradnl"/>
        </w:rPr>
        <w:t>el ID de etiqueta</w:t>
      </w:r>
      <w:r w:rsidRPr="0001522E">
        <w:rPr>
          <w:lang w:val="es-ES_tradnl"/>
        </w:rPr>
        <w:t xml:space="preserve">. </w:t>
      </w:r>
      <w:r w:rsidRPr="00702A19">
        <w:rPr>
          <w:lang w:val="es-ES_tradnl"/>
        </w:rPr>
        <w:t>El ID de etiqueta (TID) se puede usar como un identificador único de artículo (UII) cuando la etiqueta est</w:t>
      </w:r>
      <w:r>
        <w:rPr>
          <w:lang w:val="es-ES_tradnl"/>
        </w:rPr>
        <w:t xml:space="preserve">á adherida a algún elemento o cuando el </w:t>
      </w:r>
      <w:r w:rsidRPr="00702A19">
        <w:rPr>
          <w:lang w:val="es-ES_tradnl"/>
        </w:rPr>
        <w:t xml:space="preserve">UII </w:t>
      </w:r>
      <w:r>
        <w:rPr>
          <w:lang w:val="es-ES_tradnl"/>
        </w:rPr>
        <w:t xml:space="preserve">puede almacenarse en una parte separada de la memoria en la etiqueta. </w:t>
      </w:r>
      <w:r w:rsidRPr="00702A19">
        <w:rPr>
          <w:lang w:val="es-ES_tradnl"/>
        </w:rPr>
        <w:t xml:space="preserve">El UII en este caso podría ser un EPC especificado por EPCglobal. </w:t>
      </w:r>
    </w:p>
    <w:p w14:paraId="41699112" w14:textId="77777777" w:rsidR="00533114" w:rsidRPr="00702A19" w:rsidRDefault="00533114" w:rsidP="00C142FB">
      <w:pPr>
        <w:spacing w:after="240"/>
        <w:rPr>
          <w:lang w:val="es-ES_tradnl"/>
        </w:rPr>
      </w:pPr>
      <w:r w:rsidRPr="00702A19">
        <w:rPr>
          <w:lang w:val="es-ES_tradnl"/>
        </w:rPr>
        <w:t xml:space="preserve">La Figura 9 muestra el formato de </w:t>
      </w:r>
      <w:r>
        <w:rPr>
          <w:lang w:val="es-ES_tradnl"/>
        </w:rPr>
        <w:t xml:space="preserve">identificación de </w:t>
      </w:r>
      <w:r w:rsidRPr="00702A19">
        <w:rPr>
          <w:lang w:val="es-ES_tradnl"/>
        </w:rPr>
        <w:t xml:space="preserve">etiqueta </w:t>
      </w:r>
      <w:r>
        <w:rPr>
          <w:lang w:val="es-ES_tradnl"/>
        </w:rPr>
        <w:t>de</w:t>
      </w:r>
      <w:r w:rsidRPr="00702A19">
        <w:rPr>
          <w:lang w:val="es-ES_tradnl"/>
        </w:rPr>
        <w:t xml:space="preserve"> </w:t>
      </w:r>
      <w:r w:rsidRPr="00702A19">
        <w:rPr>
          <w:lang w:val="es-ES_tradnl" w:bidi="ar-DZ"/>
        </w:rPr>
        <w:t>ISO/</w:t>
      </w:r>
      <w:r>
        <w:rPr>
          <w:lang w:val="es-ES_tradnl" w:bidi="ar-DZ"/>
        </w:rPr>
        <w:t>CEI</w:t>
      </w:r>
      <w:r w:rsidRPr="00702A19">
        <w:rPr>
          <w:lang w:val="es-ES_tradnl" w:bidi="ar-DZ"/>
        </w:rPr>
        <w:t xml:space="preserve"> 15963</w:t>
      </w:r>
      <w:r w:rsidRPr="00702A19">
        <w:rPr>
          <w:lang w:val="es-ES_tradn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4"/>
        <w:gridCol w:w="3572"/>
        <w:gridCol w:w="2738"/>
      </w:tblGrid>
      <w:tr w:rsidR="00533114" w:rsidRPr="0069124E" w14:paraId="26918894" w14:textId="77777777" w:rsidTr="00C142FB">
        <w:trPr>
          <w:jc w:val="center"/>
        </w:trPr>
        <w:tc>
          <w:tcPr>
            <w:tcW w:w="2494" w:type="dxa"/>
            <w:tcBorders>
              <w:top w:val="single" w:sz="4" w:space="0" w:color="000000"/>
              <w:left w:val="single" w:sz="4" w:space="0" w:color="000000"/>
              <w:bottom w:val="single" w:sz="4" w:space="0" w:color="000000"/>
              <w:right w:val="single" w:sz="4" w:space="0" w:color="000000"/>
            </w:tcBorders>
          </w:tcPr>
          <w:p w14:paraId="09EF3BA1" w14:textId="77777777" w:rsidR="00533114" w:rsidRPr="00962FB3" w:rsidRDefault="00533114" w:rsidP="00C142FB">
            <w:pPr>
              <w:pStyle w:val="Tablehead"/>
              <w:rPr>
                <w:b w:val="0"/>
                <w:bCs/>
              </w:rPr>
            </w:pPr>
            <w:r w:rsidRPr="00962FB3">
              <w:rPr>
                <w:b w:val="0"/>
                <w:bCs/>
              </w:rPr>
              <w:t>Clase de atribución (AC)</w:t>
            </w:r>
          </w:p>
        </w:tc>
        <w:tc>
          <w:tcPr>
            <w:tcW w:w="3572" w:type="dxa"/>
            <w:tcBorders>
              <w:top w:val="single" w:sz="4" w:space="0" w:color="000000"/>
              <w:left w:val="single" w:sz="4" w:space="0" w:color="000000"/>
              <w:bottom w:val="single" w:sz="4" w:space="0" w:color="000000"/>
              <w:right w:val="single" w:sz="4" w:space="0" w:color="000000"/>
            </w:tcBorders>
          </w:tcPr>
          <w:p w14:paraId="39CF4C08" w14:textId="77777777" w:rsidR="00533114" w:rsidRPr="00962FB3" w:rsidRDefault="00533114" w:rsidP="00C142FB">
            <w:pPr>
              <w:pStyle w:val="Tablehead"/>
              <w:rPr>
                <w:b w:val="0"/>
                <w:bCs/>
                <w:lang w:val="es-ES_tradnl"/>
              </w:rPr>
            </w:pPr>
            <w:r w:rsidRPr="00962FB3">
              <w:rPr>
                <w:b w:val="0"/>
                <w:bCs/>
                <w:lang w:val="es-ES_tradnl"/>
              </w:rPr>
              <w:t xml:space="preserve">Número de registro del editor del TID </w:t>
            </w:r>
          </w:p>
        </w:tc>
        <w:tc>
          <w:tcPr>
            <w:tcW w:w="2738" w:type="dxa"/>
            <w:tcBorders>
              <w:top w:val="single" w:sz="4" w:space="0" w:color="000000"/>
              <w:left w:val="single" w:sz="4" w:space="0" w:color="000000"/>
              <w:bottom w:val="single" w:sz="4" w:space="0" w:color="000000"/>
              <w:right w:val="single" w:sz="4" w:space="0" w:color="000000"/>
            </w:tcBorders>
          </w:tcPr>
          <w:p w14:paraId="60A49FC1" w14:textId="77777777" w:rsidR="00533114" w:rsidRPr="00962FB3" w:rsidRDefault="00533114" w:rsidP="00C142FB">
            <w:pPr>
              <w:pStyle w:val="Tablehead"/>
              <w:rPr>
                <w:b w:val="0"/>
                <w:bCs/>
              </w:rPr>
            </w:pPr>
            <w:r w:rsidRPr="00962FB3">
              <w:rPr>
                <w:b w:val="0"/>
                <w:bCs/>
              </w:rPr>
              <w:t>Número de serie</w:t>
            </w:r>
          </w:p>
        </w:tc>
      </w:tr>
      <w:tr w:rsidR="00533114" w:rsidRPr="00C869C0" w14:paraId="029B150F" w14:textId="77777777" w:rsidTr="00C142FB">
        <w:trPr>
          <w:jc w:val="center"/>
        </w:trPr>
        <w:tc>
          <w:tcPr>
            <w:tcW w:w="2494" w:type="dxa"/>
            <w:tcBorders>
              <w:top w:val="single" w:sz="4" w:space="0" w:color="000000"/>
              <w:left w:val="single" w:sz="4" w:space="0" w:color="000000"/>
              <w:bottom w:val="single" w:sz="4" w:space="0" w:color="000000"/>
              <w:right w:val="single" w:sz="4" w:space="0" w:color="000000"/>
            </w:tcBorders>
          </w:tcPr>
          <w:p w14:paraId="38316AF6" w14:textId="77777777" w:rsidR="00533114" w:rsidRPr="0069124E" w:rsidRDefault="00533114" w:rsidP="00C142FB">
            <w:pPr>
              <w:pStyle w:val="Tabletext"/>
              <w:jc w:val="center"/>
            </w:pPr>
            <w:r w:rsidRPr="0069124E">
              <w:t>8 bits</w:t>
            </w:r>
          </w:p>
        </w:tc>
        <w:tc>
          <w:tcPr>
            <w:tcW w:w="3572" w:type="dxa"/>
            <w:tcBorders>
              <w:top w:val="single" w:sz="4" w:space="0" w:color="000000"/>
              <w:left w:val="single" w:sz="4" w:space="0" w:color="000000"/>
              <w:bottom w:val="single" w:sz="4" w:space="0" w:color="000000"/>
              <w:right w:val="single" w:sz="4" w:space="0" w:color="000000"/>
            </w:tcBorders>
          </w:tcPr>
          <w:p w14:paraId="5AE126FF" w14:textId="77777777" w:rsidR="00533114" w:rsidRPr="00702A19" w:rsidRDefault="00533114" w:rsidP="00C142FB">
            <w:pPr>
              <w:pStyle w:val="Tabletext"/>
              <w:jc w:val="center"/>
              <w:rPr>
                <w:lang w:val="es-ES_tradnl"/>
              </w:rPr>
            </w:pPr>
            <w:r w:rsidRPr="00702A19">
              <w:rPr>
                <w:lang w:val="es-ES_tradnl"/>
              </w:rPr>
              <w:t xml:space="preserve">Tamaño definido por </w:t>
            </w:r>
            <w:r>
              <w:rPr>
                <w:lang w:val="es-ES_tradnl"/>
              </w:rPr>
              <w:br/>
            </w:r>
            <w:r w:rsidRPr="00702A19">
              <w:rPr>
                <w:lang w:val="es-ES_tradnl"/>
              </w:rPr>
              <w:t>el valor de AC</w:t>
            </w:r>
          </w:p>
        </w:tc>
        <w:tc>
          <w:tcPr>
            <w:tcW w:w="2738" w:type="dxa"/>
            <w:tcBorders>
              <w:top w:val="single" w:sz="4" w:space="0" w:color="000000"/>
              <w:left w:val="single" w:sz="4" w:space="0" w:color="000000"/>
              <w:bottom w:val="single" w:sz="4" w:space="0" w:color="000000"/>
              <w:right w:val="single" w:sz="4" w:space="0" w:color="000000"/>
            </w:tcBorders>
          </w:tcPr>
          <w:p w14:paraId="0AA1F75B" w14:textId="77777777" w:rsidR="00533114" w:rsidRPr="00702A19" w:rsidRDefault="00533114" w:rsidP="00C142FB">
            <w:pPr>
              <w:pStyle w:val="Tabletext"/>
              <w:jc w:val="center"/>
              <w:rPr>
                <w:lang w:val="es-ES_tradnl"/>
              </w:rPr>
            </w:pPr>
            <w:r w:rsidRPr="00702A19">
              <w:rPr>
                <w:lang w:val="es-ES_tradnl"/>
              </w:rPr>
              <w:t xml:space="preserve">Tamaño definido por el valor de editor de AC </w:t>
            </w:r>
            <w:r>
              <w:rPr>
                <w:lang w:val="es-ES_tradnl"/>
              </w:rPr>
              <w:t>y</w:t>
            </w:r>
            <w:r w:rsidRPr="00702A19">
              <w:rPr>
                <w:lang w:val="es-ES_tradnl"/>
              </w:rPr>
              <w:t xml:space="preserve"> TID</w:t>
            </w:r>
          </w:p>
        </w:tc>
      </w:tr>
    </w:tbl>
    <w:p w14:paraId="1283A05E" w14:textId="77777777" w:rsidR="00533114" w:rsidRPr="00702A19" w:rsidRDefault="00533114" w:rsidP="00C142FB">
      <w:pPr>
        <w:pStyle w:val="FigureNotitle"/>
        <w:rPr>
          <w:lang w:val="es-ES_tradnl"/>
        </w:rPr>
      </w:pPr>
      <w:bookmarkStart w:id="246" w:name="_Toc404785092"/>
      <w:bookmarkStart w:id="247" w:name="_Toc447274544"/>
      <w:r w:rsidRPr="00702A19">
        <w:rPr>
          <w:lang w:val="es-ES_tradnl" w:bidi="ar-DZ"/>
        </w:rPr>
        <w:t>Figur</w:t>
      </w:r>
      <w:r>
        <w:rPr>
          <w:lang w:val="es-ES_tradnl" w:bidi="ar-DZ"/>
        </w:rPr>
        <w:t>a</w:t>
      </w:r>
      <w:r w:rsidRPr="00702A19">
        <w:rPr>
          <w:lang w:val="es-ES_tradnl" w:bidi="ar-DZ"/>
        </w:rPr>
        <w:t xml:space="preserve"> 9</w:t>
      </w:r>
      <w:r w:rsidRPr="00702A19">
        <w:rPr>
          <w:lang w:val="es-ES_tradnl"/>
        </w:rPr>
        <w:t xml:space="preserve"> – </w:t>
      </w:r>
      <w:bookmarkEnd w:id="246"/>
      <w:r>
        <w:rPr>
          <w:lang w:val="es-ES_tradnl"/>
        </w:rPr>
        <w:t>F</w:t>
      </w:r>
      <w:r w:rsidRPr="00702A19">
        <w:rPr>
          <w:lang w:val="es-ES_tradnl"/>
        </w:rPr>
        <w:t xml:space="preserve">ormato de </w:t>
      </w:r>
      <w:r>
        <w:rPr>
          <w:lang w:val="es-ES_tradnl"/>
        </w:rPr>
        <w:t xml:space="preserve">identificación de </w:t>
      </w:r>
      <w:r w:rsidRPr="00702A19">
        <w:rPr>
          <w:lang w:val="es-ES_tradnl"/>
        </w:rPr>
        <w:t xml:space="preserve">etiqueta </w:t>
      </w:r>
      <w:r>
        <w:rPr>
          <w:lang w:val="es-ES_tradnl"/>
        </w:rPr>
        <w:t>de</w:t>
      </w:r>
      <w:r w:rsidRPr="00702A19">
        <w:rPr>
          <w:lang w:val="es-ES_tradnl"/>
        </w:rPr>
        <w:t xml:space="preserve"> </w:t>
      </w:r>
      <w:r w:rsidRPr="00702A19">
        <w:rPr>
          <w:lang w:val="es-ES_tradnl" w:bidi="ar-DZ"/>
        </w:rPr>
        <w:t>ISO/</w:t>
      </w:r>
      <w:r>
        <w:rPr>
          <w:lang w:val="es-ES_tradnl" w:bidi="ar-DZ"/>
        </w:rPr>
        <w:t>CEI</w:t>
      </w:r>
      <w:r w:rsidRPr="00702A19">
        <w:rPr>
          <w:lang w:val="es-ES_tradnl" w:bidi="ar-DZ"/>
        </w:rPr>
        <w:t xml:space="preserve"> 15963</w:t>
      </w:r>
      <w:bookmarkEnd w:id="247"/>
    </w:p>
    <w:p w14:paraId="5EABE74D" w14:textId="77777777" w:rsidR="00533114" w:rsidRPr="007E2377" w:rsidRDefault="00533114" w:rsidP="00C142FB">
      <w:pPr>
        <w:pStyle w:val="Normalaftertitle"/>
        <w:rPr>
          <w:lang w:val="es-ES_tradnl"/>
        </w:rPr>
      </w:pPr>
      <w:r w:rsidRPr="003E75D7">
        <w:rPr>
          <w:lang w:val="es-ES_tradnl"/>
        </w:rPr>
        <w:t>La clase</w:t>
      </w:r>
      <w:r>
        <w:rPr>
          <w:lang w:val="es-ES_tradnl"/>
        </w:rPr>
        <w:t xml:space="preserve"> </w:t>
      </w:r>
      <w:r w:rsidRPr="003E75D7">
        <w:rPr>
          <w:lang w:val="es-ES_tradnl"/>
        </w:rPr>
        <w:t>de atribución indica la autoridad que asigna los n</w:t>
      </w:r>
      <w:r>
        <w:rPr>
          <w:lang w:val="es-ES_tradnl"/>
        </w:rPr>
        <w:t>úmeros</w:t>
      </w:r>
      <w:r w:rsidRPr="003E75D7">
        <w:rPr>
          <w:lang w:val="es-ES_tradnl"/>
        </w:rPr>
        <w:t xml:space="preserve"> – </w:t>
      </w:r>
      <w:r>
        <w:rPr>
          <w:lang w:val="es-ES_tradnl"/>
        </w:rPr>
        <w:t>el editor de</w:t>
      </w:r>
      <w:r w:rsidRPr="003E75D7">
        <w:rPr>
          <w:lang w:val="es-ES_tradnl"/>
        </w:rPr>
        <w:t xml:space="preserve"> TID. Los fabricantes de tarjetas de circuitos integrados pueden registrarse para asignar identificadores únicos siguiendo el esquema de la norma ISO/CEI 7816-6 [90] o el esquema del American National Standards Institute INCITS (</w:t>
      </w:r>
      <w:r>
        <w:rPr>
          <w:lang w:val="es-ES_tradnl"/>
        </w:rPr>
        <w:t>Comité internacional para normas de tecnología de la información), también pueden hacerlo los fabricantes de etiquetas para contenedores y aplicaciones</w:t>
      </w:r>
      <w:r w:rsidRPr="003E75D7">
        <w:rPr>
          <w:lang w:val="es-ES_tradnl"/>
        </w:rPr>
        <w:t xml:space="preserve"> </w:t>
      </w:r>
      <w:r>
        <w:rPr>
          <w:lang w:val="es-ES_tradnl"/>
        </w:rPr>
        <w:t>de transporte siguiendo los procedimientos de la norma</w:t>
      </w:r>
      <w:r w:rsidRPr="003E75D7">
        <w:rPr>
          <w:lang w:val="es-ES_tradnl"/>
        </w:rPr>
        <w:t xml:space="preserve"> ISO 14816 [91]. </w:t>
      </w:r>
      <w:r w:rsidRPr="007E2377">
        <w:rPr>
          <w:lang w:val="es-ES_tradnl"/>
        </w:rPr>
        <w:t>Los identificadores de EPCglobal son conformes al esquema de ISO/</w:t>
      </w:r>
      <w:r>
        <w:rPr>
          <w:lang w:val="es-ES_tradnl"/>
        </w:rPr>
        <w:t>CEI</w:t>
      </w:r>
      <w:r w:rsidRPr="007E2377">
        <w:rPr>
          <w:lang w:val="es-ES_tradnl"/>
        </w:rPr>
        <w:t xml:space="preserve"> 15963 </w:t>
      </w:r>
      <w:r>
        <w:rPr>
          <w:lang w:val="es-ES_tradnl"/>
        </w:rPr>
        <w:t>como clase</w:t>
      </w:r>
      <w:r w:rsidRPr="007E2377">
        <w:rPr>
          <w:lang w:val="es-ES_tradnl"/>
        </w:rPr>
        <w:t xml:space="preserve"> </w:t>
      </w:r>
      <w:r>
        <w:rPr>
          <w:lang w:val="es-ES_tradnl"/>
        </w:rPr>
        <w:t>GS1</w:t>
      </w:r>
      <w:r w:rsidRPr="007E2377">
        <w:rPr>
          <w:lang w:val="es-ES_tradnl"/>
        </w:rPr>
        <w:t>.</w:t>
      </w:r>
    </w:p>
    <w:p w14:paraId="03D56BD0" w14:textId="77777777" w:rsidR="00533114" w:rsidRPr="007E2377" w:rsidRDefault="00533114" w:rsidP="00C142FB">
      <w:pPr>
        <w:spacing w:after="240"/>
        <w:rPr>
          <w:lang w:val="es-ES_tradnl"/>
        </w:rPr>
      </w:pPr>
      <w:r w:rsidRPr="007E2377">
        <w:rPr>
          <w:lang w:val="es-ES_tradnl"/>
        </w:rPr>
        <w:t>La Figura 10 muestra las 10 clases de editores de TID</w:t>
      </w:r>
      <w:r>
        <w:rPr>
          <w:lang w:val="es-ES_tradnl"/>
        </w:rPr>
        <w:t>.</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7"/>
        <w:gridCol w:w="1701"/>
        <w:gridCol w:w="2211"/>
        <w:gridCol w:w="2041"/>
        <w:gridCol w:w="2438"/>
      </w:tblGrid>
      <w:tr w:rsidR="00533114" w:rsidRPr="00C869C0" w14:paraId="1E1F3656" w14:textId="77777777" w:rsidTr="00C142FB">
        <w:trPr>
          <w:jc w:val="center"/>
        </w:trPr>
        <w:tc>
          <w:tcPr>
            <w:tcW w:w="1247" w:type="dxa"/>
            <w:tcBorders>
              <w:top w:val="single" w:sz="4" w:space="0" w:color="000000"/>
              <w:left w:val="single" w:sz="4" w:space="0" w:color="000000"/>
              <w:bottom w:val="single" w:sz="4" w:space="0" w:color="000000"/>
              <w:right w:val="single" w:sz="4" w:space="0" w:color="000000"/>
            </w:tcBorders>
          </w:tcPr>
          <w:p w14:paraId="2D95C130" w14:textId="77777777" w:rsidR="00533114" w:rsidRPr="001216E3" w:rsidRDefault="00533114" w:rsidP="00C142FB">
            <w:pPr>
              <w:pStyle w:val="Tablehead"/>
              <w:rPr>
                <w:b w:val="0"/>
                <w:bCs/>
              </w:rPr>
            </w:pPr>
            <w:r w:rsidRPr="001216E3">
              <w:rPr>
                <w:b w:val="0"/>
                <w:bCs/>
              </w:rPr>
              <w:t xml:space="preserve">Valor AC </w:t>
            </w:r>
          </w:p>
        </w:tc>
        <w:tc>
          <w:tcPr>
            <w:tcW w:w="1701" w:type="dxa"/>
            <w:tcBorders>
              <w:top w:val="single" w:sz="4" w:space="0" w:color="000000"/>
              <w:left w:val="single" w:sz="4" w:space="0" w:color="000000"/>
              <w:bottom w:val="single" w:sz="4" w:space="0" w:color="000000"/>
              <w:right w:val="single" w:sz="4" w:space="0" w:color="000000"/>
            </w:tcBorders>
          </w:tcPr>
          <w:p w14:paraId="652111DF" w14:textId="77777777" w:rsidR="00533114" w:rsidRPr="001216E3" w:rsidRDefault="00533114" w:rsidP="00C142FB">
            <w:pPr>
              <w:pStyle w:val="Tablehead"/>
              <w:rPr>
                <w:b w:val="0"/>
                <w:bCs/>
              </w:rPr>
            </w:pPr>
            <w:r w:rsidRPr="001216E3">
              <w:rPr>
                <w:b w:val="0"/>
                <w:bCs/>
              </w:rPr>
              <w:t>Clase</w:t>
            </w:r>
          </w:p>
        </w:tc>
        <w:tc>
          <w:tcPr>
            <w:tcW w:w="2211" w:type="dxa"/>
            <w:tcBorders>
              <w:top w:val="single" w:sz="4" w:space="0" w:color="000000"/>
              <w:left w:val="single" w:sz="4" w:space="0" w:color="000000"/>
              <w:bottom w:val="single" w:sz="4" w:space="0" w:color="000000"/>
              <w:right w:val="single" w:sz="4" w:space="0" w:color="000000"/>
            </w:tcBorders>
          </w:tcPr>
          <w:p w14:paraId="40B78422" w14:textId="77777777" w:rsidR="00533114" w:rsidRPr="001216E3" w:rsidRDefault="00533114" w:rsidP="00C142FB">
            <w:pPr>
              <w:pStyle w:val="Tablehead"/>
              <w:rPr>
                <w:b w:val="0"/>
                <w:bCs/>
                <w:lang w:val="es-ES_tradnl"/>
              </w:rPr>
            </w:pPr>
            <w:r w:rsidRPr="001216E3">
              <w:rPr>
                <w:b w:val="0"/>
                <w:bCs/>
                <w:lang w:val="es-ES_tradnl"/>
              </w:rPr>
              <w:t xml:space="preserve">Tamaño del identificador de editor de TID </w:t>
            </w:r>
          </w:p>
        </w:tc>
        <w:tc>
          <w:tcPr>
            <w:tcW w:w="2041" w:type="dxa"/>
            <w:tcBorders>
              <w:top w:val="single" w:sz="4" w:space="0" w:color="000000"/>
              <w:left w:val="single" w:sz="4" w:space="0" w:color="000000"/>
              <w:bottom w:val="single" w:sz="4" w:space="0" w:color="000000"/>
              <w:right w:val="single" w:sz="4" w:space="0" w:color="000000"/>
            </w:tcBorders>
          </w:tcPr>
          <w:p w14:paraId="5B54EA4F" w14:textId="77777777" w:rsidR="00533114" w:rsidRPr="001216E3" w:rsidRDefault="00533114" w:rsidP="00C142FB">
            <w:pPr>
              <w:pStyle w:val="Tablehead"/>
              <w:rPr>
                <w:b w:val="0"/>
                <w:bCs/>
                <w:lang w:val="es-ES_tradnl"/>
              </w:rPr>
            </w:pPr>
            <w:r w:rsidRPr="001216E3">
              <w:rPr>
                <w:b w:val="0"/>
                <w:bCs/>
                <w:lang w:val="es-ES_tradnl"/>
              </w:rPr>
              <w:t>Tamaño del número de serie</w:t>
            </w:r>
          </w:p>
        </w:tc>
        <w:tc>
          <w:tcPr>
            <w:tcW w:w="2438" w:type="dxa"/>
            <w:tcBorders>
              <w:top w:val="single" w:sz="4" w:space="0" w:color="000000"/>
              <w:left w:val="single" w:sz="4" w:space="0" w:color="000000"/>
              <w:bottom w:val="single" w:sz="4" w:space="0" w:color="000000"/>
              <w:right w:val="single" w:sz="4" w:space="0" w:color="000000"/>
            </w:tcBorders>
          </w:tcPr>
          <w:p w14:paraId="63ADD05C" w14:textId="77777777" w:rsidR="00533114" w:rsidRPr="001216E3" w:rsidRDefault="00533114" w:rsidP="00C142FB">
            <w:pPr>
              <w:pStyle w:val="Tablehead"/>
              <w:rPr>
                <w:b w:val="0"/>
                <w:bCs/>
                <w:lang w:val="es-ES_tradnl"/>
              </w:rPr>
            </w:pPr>
            <w:r w:rsidRPr="001216E3">
              <w:rPr>
                <w:b w:val="0"/>
                <w:bCs/>
                <w:lang w:val="es-ES_tradnl"/>
              </w:rPr>
              <w:t>Autoridad de registro (del número de registro del editor de TID)</w:t>
            </w:r>
          </w:p>
        </w:tc>
      </w:tr>
      <w:tr w:rsidR="00533114" w:rsidRPr="0069124E" w14:paraId="32A7401F" w14:textId="77777777" w:rsidTr="00C142FB">
        <w:trPr>
          <w:jc w:val="center"/>
        </w:trPr>
        <w:tc>
          <w:tcPr>
            <w:tcW w:w="1247" w:type="dxa"/>
            <w:tcBorders>
              <w:top w:val="single" w:sz="4" w:space="0" w:color="000000"/>
              <w:left w:val="single" w:sz="4" w:space="0" w:color="000000"/>
              <w:bottom w:val="single" w:sz="4" w:space="0" w:color="000000"/>
              <w:right w:val="single" w:sz="4" w:space="0" w:color="000000"/>
            </w:tcBorders>
          </w:tcPr>
          <w:p w14:paraId="2E743DB6" w14:textId="77777777" w:rsidR="00533114" w:rsidRPr="0069124E" w:rsidRDefault="00533114" w:rsidP="00C142FB">
            <w:pPr>
              <w:pStyle w:val="Tabletext"/>
            </w:pPr>
            <w:r w:rsidRPr="0069124E">
              <w:t>000xxxxx</w:t>
            </w:r>
          </w:p>
        </w:tc>
        <w:tc>
          <w:tcPr>
            <w:tcW w:w="1701" w:type="dxa"/>
            <w:tcBorders>
              <w:top w:val="single" w:sz="4" w:space="0" w:color="000000"/>
              <w:left w:val="single" w:sz="4" w:space="0" w:color="000000"/>
              <w:bottom w:val="single" w:sz="4" w:space="0" w:color="000000"/>
              <w:right w:val="single" w:sz="4" w:space="0" w:color="000000"/>
            </w:tcBorders>
          </w:tcPr>
          <w:p w14:paraId="3C7038FF" w14:textId="77777777" w:rsidR="00533114" w:rsidRPr="0069124E" w:rsidRDefault="00533114" w:rsidP="00C142FB">
            <w:pPr>
              <w:pStyle w:val="Tabletext"/>
            </w:pPr>
            <w:r w:rsidRPr="0069124E">
              <w:t>INCITS 256</w:t>
            </w:r>
          </w:p>
        </w:tc>
        <w:tc>
          <w:tcPr>
            <w:tcW w:w="2211" w:type="dxa"/>
            <w:tcBorders>
              <w:top w:val="single" w:sz="4" w:space="0" w:color="000000"/>
              <w:left w:val="single" w:sz="4" w:space="0" w:color="000000"/>
              <w:bottom w:val="single" w:sz="4" w:space="0" w:color="000000"/>
              <w:right w:val="single" w:sz="4" w:space="0" w:color="000000"/>
            </w:tcBorders>
          </w:tcPr>
          <w:p w14:paraId="38476C39" w14:textId="77777777" w:rsidR="00533114" w:rsidRPr="0069124E" w:rsidRDefault="00533114" w:rsidP="00C142FB">
            <w:pPr>
              <w:pStyle w:val="Tabletext"/>
            </w:pPr>
            <w:r>
              <w:t>Véase</w:t>
            </w:r>
            <w:r w:rsidRPr="0069124E">
              <w:t xml:space="preserve"> ANS</w:t>
            </w:r>
            <w:r>
              <w:t>I</w:t>
            </w:r>
            <w:r w:rsidRPr="0069124E">
              <w:t xml:space="preserve"> INCITS 256 </w:t>
            </w:r>
            <w:r>
              <w:t xml:space="preserve">[92] </w:t>
            </w:r>
            <w:r w:rsidRPr="0069124E">
              <w:t>&amp; 371</w:t>
            </w:r>
            <w:r>
              <w:t>.1 [93]</w:t>
            </w:r>
          </w:p>
        </w:tc>
        <w:tc>
          <w:tcPr>
            <w:tcW w:w="2041" w:type="dxa"/>
            <w:tcBorders>
              <w:top w:val="single" w:sz="4" w:space="0" w:color="000000"/>
              <w:left w:val="single" w:sz="4" w:space="0" w:color="000000"/>
              <w:bottom w:val="single" w:sz="4" w:space="0" w:color="000000"/>
              <w:right w:val="single" w:sz="4" w:space="0" w:color="000000"/>
            </w:tcBorders>
          </w:tcPr>
          <w:p w14:paraId="270F9B87" w14:textId="77777777" w:rsidR="00533114" w:rsidRPr="0069124E" w:rsidRDefault="00533114" w:rsidP="00C142FB">
            <w:pPr>
              <w:pStyle w:val="Tabletext"/>
            </w:pPr>
            <w:r>
              <w:t>Véase</w:t>
            </w:r>
            <w:r w:rsidRPr="0069124E">
              <w:t xml:space="preserve"> ANS</w:t>
            </w:r>
            <w:r>
              <w:t>I</w:t>
            </w:r>
            <w:r w:rsidRPr="0069124E">
              <w:t xml:space="preserve"> INCITS 256 </w:t>
            </w:r>
            <w:r>
              <w:t>y</w:t>
            </w:r>
            <w:r w:rsidRPr="0069124E">
              <w:t xml:space="preserve"> 371</w:t>
            </w:r>
            <w:r>
              <w:t>.1</w:t>
            </w:r>
          </w:p>
        </w:tc>
        <w:tc>
          <w:tcPr>
            <w:tcW w:w="2438" w:type="dxa"/>
            <w:tcBorders>
              <w:top w:val="single" w:sz="4" w:space="0" w:color="000000"/>
              <w:left w:val="single" w:sz="4" w:space="0" w:color="000000"/>
              <w:bottom w:val="single" w:sz="4" w:space="0" w:color="000000"/>
              <w:right w:val="single" w:sz="4" w:space="0" w:color="000000"/>
            </w:tcBorders>
          </w:tcPr>
          <w:p w14:paraId="1CCE5533" w14:textId="77777777" w:rsidR="00533114" w:rsidRPr="0069124E" w:rsidRDefault="00533114" w:rsidP="00C142FB">
            <w:pPr>
              <w:pStyle w:val="Tabletext"/>
            </w:pPr>
            <w:r w:rsidRPr="0069124E">
              <w:t>autoid.org</w:t>
            </w:r>
          </w:p>
        </w:tc>
      </w:tr>
      <w:tr w:rsidR="00533114" w:rsidRPr="0069124E" w14:paraId="12B0B818" w14:textId="77777777" w:rsidTr="00C142FB">
        <w:trPr>
          <w:jc w:val="center"/>
        </w:trPr>
        <w:tc>
          <w:tcPr>
            <w:tcW w:w="1247" w:type="dxa"/>
            <w:tcBorders>
              <w:top w:val="single" w:sz="4" w:space="0" w:color="000000"/>
              <w:left w:val="single" w:sz="4" w:space="0" w:color="000000"/>
              <w:bottom w:val="single" w:sz="4" w:space="0" w:color="000000"/>
              <w:right w:val="single" w:sz="4" w:space="0" w:color="000000"/>
            </w:tcBorders>
          </w:tcPr>
          <w:p w14:paraId="5553C0C0" w14:textId="77777777" w:rsidR="00533114" w:rsidRPr="0069124E" w:rsidRDefault="00533114" w:rsidP="00C142FB">
            <w:pPr>
              <w:pStyle w:val="Tabletext"/>
            </w:pPr>
            <w:r w:rsidRPr="0069124E">
              <w:t>11100000</w:t>
            </w:r>
          </w:p>
        </w:tc>
        <w:tc>
          <w:tcPr>
            <w:tcW w:w="1701" w:type="dxa"/>
            <w:tcBorders>
              <w:top w:val="single" w:sz="4" w:space="0" w:color="000000"/>
              <w:left w:val="single" w:sz="4" w:space="0" w:color="000000"/>
              <w:bottom w:val="single" w:sz="4" w:space="0" w:color="000000"/>
              <w:right w:val="single" w:sz="4" w:space="0" w:color="000000"/>
            </w:tcBorders>
          </w:tcPr>
          <w:p w14:paraId="09165747" w14:textId="77777777" w:rsidR="00533114" w:rsidRPr="0069124E" w:rsidRDefault="00533114" w:rsidP="00C142FB">
            <w:pPr>
              <w:pStyle w:val="Tabletext"/>
            </w:pPr>
            <w:r w:rsidRPr="0069124E">
              <w:t>ISO/</w:t>
            </w:r>
            <w:r>
              <w:t>CEI</w:t>
            </w:r>
            <w:r w:rsidRPr="0069124E">
              <w:t xml:space="preserve"> 7816-6</w:t>
            </w:r>
          </w:p>
        </w:tc>
        <w:tc>
          <w:tcPr>
            <w:tcW w:w="2211" w:type="dxa"/>
            <w:tcBorders>
              <w:top w:val="single" w:sz="4" w:space="0" w:color="000000"/>
              <w:left w:val="single" w:sz="4" w:space="0" w:color="000000"/>
              <w:bottom w:val="single" w:sz="4" w:space="0" w:color="000000"/>
              <w:right w:val="single" w:sz="4" w:space="0" w:color="000000"/>
            </w:tcBorders>
          </w:tcPr>
          <w:p w14:paraId="391EE3E2" w14:textId="77777777" w:rsidR="00533114" w:rsidRPr="0069124E" w:rsidRDefault="00533114" w:rsidP="00C142FB">
            <w:pPr>
              <w:pStyle w:val="Tabletext"/>
            </w:pPr>
            <w:r w:rsidRPr="0069124E">
              <w:t>8 bits</w:t>
            </w:r>
          </w:p>
        </w:tc>
        <w:tc>
          <w:tcPr>
            <w:tcW w:w="2041" w:type="dxa"/>
            <w:tcBorders>
              <w:top w:val="single" w:sz="4" w:space="0" w:color="000000"/>
              <w:left w:val="single" w:sz="4" w:space="0" w:color="000000"/>
              <w:bottom w:val="single" w:sz="4" w:space="0" w:color="000000"/>
              <w:right w:val="single" w:sz="4" w:space="0" w:color="000000"/>
            </w:tcBorders>
          </w:tcPr>
          <w:p w14:paraId="71192B91" w14:textId="77777777" w:rsidR="00533114" w:rsidRPr="0069124E" w:rsidRDefault="00533114" w:rsidP="00C142FB">
            <w:pPr>
              <w:pStyle w:val="Tabletext"/>
            </w:pPr>
            <w:r w:rsidRPr="0069124E">
              <w:t>48 bits</w:t>
            </w:r>
          </w:p>
        </w:tc>
        <w:tc>
          <w:tcPr>
            <w:tcW w:w="2438" w:type="dxa"/>
            <w:tcBorders>
              <w:top w:val="single" w:sz="4" w:space="0" w:color="000000"/>
              <w:left w:val="single" w:sz="4" w:space="0" w:color="000000"/>
              <w:bottom w:val="single" w:sz="4" w:space="0" w:color="000000"/>
              <w:right w:val="single" w:sz="4" w:space="0" w:color="000000"/>
            </w:tcBorders>
          </w:tcPr>
          <w:p w14:paraId="6DA94B0A" w14:textId="77777777" w:rsidR="00533114" w:rsidRPr="0069124E" w:rsidRDefault="00533114" w:rsidP="00C142FB">
            <w:pPr>
              <w:pStyle w:val="Tabletext"/>
            </w:pPr>
            <w:r w:rsidRPr="0069124E">
              <w:t>APACS (UK Payments Administration)</w:t>
            </w:r>
          </w:p>
        </w:tc>
      </w:tr>
      <w:tr w:rsidR="00533114" w:rsidRPr="0069124E" w14:paraId="4A6C4026" w14:textId="77777777" w:rsidTr="00C142FB">
        <w:trPr>
          <w:jc w:val="center"/>
        </w:trPr>
        <w:tc>
          <w:tcPr>
            <w:tcW w:w="1247" w:type="dxa"/>
            <w:tcBorders>
              <w:top w:val="single" w:sz="4" w:space="0" w:color="000000"/>
              <w:left w:val="single" w:sz="4" w:space="0" w:color="000000"/>
              <w:bottom w:val="single" w:sz="4" w:space="0" w:color="000000"/>
              <w:right w:val="single" w:sz="4" w:space="0" w:color="000000"/>
            </w:tcBorders>
          </w:tcPr>
          <w:p w14:paraId="20933521" w14:textId="77777777" w:rsidR="00533114" w:rsidRPr="0069124E" w:rsidRDefault="00533114" w:rsidP="00C142FB">
            <w:pPr>
              <w:pStyle w:val="Tabletext"/>
            </w:pPr>
            <w:r w:rsidRPr="0069124E">
              <w:t>11100001</w:t>
            </w:r>
          </w:p>
        </w:tc>
        <w:tc>
          <w:tcPr>
            <w:tcW w:w="1701" w:type="dxa"/>
            <w:tcBorders>
              <w:top w:val="single" w:sz="4" w:space="0" w:color="000000"/>
              <w:left w:val="single" w:sz="4" w:space="0" w:color="000000"/>
              <w:bottom w:val="single" w:sz="4" w:space="0" w:color="000000"/>
              <w:right w:val="single" w:sz="4" w:space="0" w:color="000000"/>
            </w:tcBorders>
          </w:tcPr>
          <w:p w14:paraId="4A6A069C" w14:textId="77777777" w:rsidR="00533114" w:rsidRPr="0069124E" w:rsidRDefault="00533114" w:rsidP="00C142FB">
            <w:pPr>
              <w:pStyle w:val="Tabletext"/>
            </w:pPr>
            <w:r w:rsidRPr="0069124E">
              <w:t>ISO 14816</w:t>
            </w:r>
          </w:p>
        </w:tc>
        <w:tc>
          <w:tcPr>
            <w:tcW w:w="2211" w:type="dxa"/>
            <w:tcBorders>
              <w:top w:val="single" w:sz="4" w:space="0" w:color="000000"/>
              <w:left w:val="single" w:sz="4" w:space="0" w:color="000000"/>
              <w:bottom w:val="single" w:sz="4" w:space="0" w:color="000000"/>
              <w:right w:val="single" w:sz="4" w:space="0" w:color="000000"/>
            </w:tcBorders>
          </w:tcPr>
          <w:p w14:paraId="608C5D6B" w14:textId="77777777" w:rsidR="00533114" w:rsidRPr="0069124E" w:rsidRDefault="00533114" w:rsidP="00C142FB">
            <w:pPr>
              <w:pStyle w:val="Tabletext"/>
            </w:pPr>
            <w:r>
              <w:t>Véase</w:t>
            </w:r>
            <w:r w:rsidRPr="0069124E">
              <w:t xml:space="preserve"> NEN</w:t>
            </w:r>
          </w:p>
        </w:tc>
        <w:tc>
          <w:tcPr>
            <w:tcW w:w="2041" w:type="dxa"/>
            <w:tcBorders>
              <w:top w:val="single" w:sz="4" w:space="0" w:color="000000"/>
              <w:left w:val="single" w:sz="4" w:space="0" w:color="000000"/>
              <w:bottom w:val="single" w:sz="4" w:space="0" w:color="000000"/>
              <w:right w:val="single" w:sz="4" w:space="0" w:color="000000"/>
            </w:tcBorders>
          </w:tcPr>
          <w:p w14:paraId="03E8CE68" w14:textId="77777777" w:rsidR="00533114" w:rsidRPr="0069124E" w:rsidRDefault="00533114" w:rsidP="00C142FB">
            <w:pPr>
              <w:pStyle w:val="Tabletext"/>
            </w:pPr>
            <w:r>
              <w:t>Véase</w:t>
            </w:r>
            <w:r w:rsidRPr="0069124E">
              <w:t xml:space="preserve"> NEN</w:t>
            </w:r>
          </w:p>
        </w:tc>
        <w:tc>
          <w:tcPr>
            <w:tcW w:w="2438" w:type="dxa"/>
            <w:tcBorders>
              <w:top w:val="single" w:sz="4" w:space="0" w:color="000000"/>
              <w:left w:val="single" w:sz="4" w:space="0" w:color="000000"/>
              <w:bottom w:val="single" w:sz="4" w:space="0" w:color="000000"/>
              <w:right w:val="single" w:sz="4" w:space="0" w:color="000000"/>
            </w:tcBorders>
          </w:tcPr>
          <w:p w14:paraId="15431AEA" w14:textId="77777777" w:rsidR="00533114" w:rsidRPr="0069124E" w:rsidRDefault="00533114" w:rsidP="00C142FB">
            <w:pPr>
              <w:pStyle w:val="Tabletext"/>
            </w:pPr>
            <w:r w:rsidRPr="0069124E">
              <w:t xml:space="preserve">NEN (Netherlands </w:t>
            </w:r>
            <w:r>
              <w:t>S</w:t>
            </w:r>
            <w:r w:rsidRPr="0069124E">
              <w:t>tandardi</w:t>
            </w:r>
            <w:r>
              <w:t>z</w:t>
            </w:r>
            <w:r w:rsidRPr="0069124E">
              <w:t xml:space="preserve">ation </w:t>
            </w:r>
            <w:r>
              <w:t>I</w:t>
            </w:r>
            <w:r w:rsidRPr="0069124E">
              <w:t>nstitute)</w:t>
            </w:r>
          </w:p>
        </w:tc>
      </w:tr>
      <w:tr w:rsidR="00533114" w:rsidRPr="0069124E" w14:paraId="0089EE5C" w14:textId="77777777" w:rsidTr="00C142FB">
        <w:trPr>
          <w:jc w:val="center"/>
        </w:trPr>
        <w:tc>
          <w:tcPr>
            <w:tcW w:w="1247" w:type="dxa"/>
            <w:tcBorders>
              <w:top w:val="single" w:sz="4" w:space="0" w:color="000000"/>
              <w:left w:val="single" w:sz="4" w:space="0" w:color="000000"/>
              <w:bottom w:val="single" w:sz="4" w:space="0" w:color="000000"/>
              <w:right w:val="single" w:sz="4" w:space="0" w:color="000000"/>
            </w:tcBorders>
          </w:tcPr>
          <w:p w14:paraId="35E5D409" w14:textId="77777777" w:rsidR="00533114" w:rsidRPr="0069124E" w:rsidRDefault="00533114" w:rsidP="00C142FB">
            <w:pPr>
              <w:pStyle w:val="Tabletext"/>
            </w:pPr>
            <w:r w:rsidRPr="0069124E">
              <w:t>11100010</w:t>
            </w:r>
          </w:p>
        </w:tc>
        <w:tc>
          <w:tcPr>
            <w:tcW w:w="1701" w:type="dxa"/>
            <w:tcBorders>
              <w:top w:val="single" w:sz="4" w:space="0" w:color="000000"/>
              <w:left w:val="single" w:sz="4" w:space="0" w:color="000000"/>
              <w:bottom w:val="single" w:sz="4" w:space="0" w:color="000000"/>
              <w:right w:val="single" w:sz="4" w:space="0" w:color="000000"/>
            </w:tcBorders>
          </w:tcPr>
          <w:p w14:paraId="4D043C21" w14:textId="77777777" w:rsidR="00533114" w:rsidRPr="0069124E" w:rsidRDefault="00533114" w:rsidP="00C142FB">
            <w:pPr>
              <w:pStyle w:val="Tabletext"/>
            </w:pPr>
            <w:r w:rsidRPr="0069124E">
              <w:t>GS1</w:t>
            </w:r>
          </w:p>
        </w:tc>
        <w:tc>
          <w:tcPr>
            <w:tcW w:w="2211" w:type="dxa"/>
            <w:tcBorders>
              <w:top w:val="single" w:sz="4" w:space="0" w:color="000000"/>
              <w:left w:val="single" w:sz="4" w:space="0" w:color="000000"/>
              <w:bottom w:val="single" w:sz="4" w:space="0" w:color="000000"/>
              <w:right w:val="single" w:sz="4" w:space="0" w:color="000000"/>
            </w:tcBorders>
          </w:tcPr>
          <w:p w14:paraId="3683962E" w14:textId="77777777" w:rsidR="00533114" w:rsidRPr="007E2377" w:rsidRDefault="00533114" w:rsidP="00C142FB">
            <w:pPr>
              <w:pStyle w:val="Tabletext"/>
              <w:rPr>
                <w:lang w:val="es-ES_tradnl"/>
              </w:rPr>
            </w:pPr>
            <w:r w:rsidRPr="007E2377">
              <w:rPr>
                <w:lang w:val="es-ES_tradnl"/>
              </w:rPr>
              <w:t xml:space="preserve">Véase ISO/CEI 18000-6 Type C [94] &amp; ISO/IEC 18000-3 Modo 3 [95] </w:t>
            </w:r>
          </w:p>
        </w:tc>
        <w:tc>
          <w:tcPr>
            <w:tcW w:w="2041" w:type="dxa"/>
            <w:tcBorders>
              <w:top w:val="single" w:sz="4" w:space="0" w:color="000000"/>
              <w:left w:val="single" w:sz="4" w:space="0" w:color="000000"/>
              <w:bottom w:val="single" w:sz="4" w:space="0" w:color="000000"/>
              <w:right w:val="single" w:sz="4" w:space="0" w:color="000000"/>
            </w:tcBorders>
          </w:tcPr>
          <w:p w14:paraId="71253488" w14:textId="77777777" w:rsidR="00533114" w:rsidRPr="007E2377" w:rsidRDefault="00533114" w:rsidP="00C142FB">
            <w:pPr>
              <w:pStyle w:val="Tabletext"/>
              <w:rPr>
                <w:lang w:val="es-ES_tradnl"/>
              </w:rPr>
            </w:pPr>
            <w:r w:rsidRPr="007E2377">
              <w:rPr>
                <w:lang w:val="es-ES_tradnl"/>
              </w:rPr>
              <w:t>Véase ISO/CEI 18000-6 Type C &amp; 18000-3 Modo 3</w:t>
            </w:r>
          </w:p>
        </w:tc>
        <w:tc>
          <w:tcPr>
            <w:tcW w:w="2438" w:type="dxa"/>
            <w:tcBorders>
              <w:top w:val="single" w:sz="4" w:space="0" w:color="000000"/>
              <w:left w:val="single" w:sz="4" w:space="0" w:color="000000"/>
              <w:bottom w:val="single" w:sz="4" w:space="0" w:color="000000"/>
              <w:right w:val="single" w:sz="4" w:space="0" w:color="000000"/>
            </w:tcBorders>
          </w:tcPr>
          <w:p w14:paraId="3B5D2CBC" w14:textId="77777777" w:rsidR="00533114" w:rsidRPr="0069124E" w:rsidRDefault="00533114" w:rsidP="00C142FB">
            <w:pPr>
              <w:pStyle w:val="Tabletext"/>
            </w:pPr>
            <w:r w:rsidRPr="0069124E">
              <w:t>GS1</w:t>
            </w:r>
          </w:p>
        </w:tc>
      </w:tr>
      <w:tr w:rsidR="00533114" w:rsidRPr="00C869C0" w14:paraId="666E73E8" w14:textId="77777777" w:rsidTr="00C142FB">
        <w:trPr>
          <w:jc w:val="center"/>
        </w:trPr>
        <w:tc>
          <w:tcPr>
            <w:tcW w:w="1247" w:type="dxa"/>
            <w:tcBorders>
              <w:top w:val="single" w:sz="4" w:space="0" w:color="000000"/>
              <w:left w:val="single" w:sz="4" w:space="0" w:color="000000"/>
              <w:bottom w:val="single" w:sz="4" w:space="0" w:color="000000"/>
              <w:right w:val="single" w:sz="4" w:space="0" w:color="000000"/>
            </w:tcBorders>
          </w:tcPr>
          <w:p w14:paraId="4689EC87" w14:textId="77777777" w:rsidR="00533114" w:rsidRPr="0069124E" w:rsidRDefault="00533114" w:rsidP="00C142FB">
            <w:pPr>
              <w:pStyle w:val="Tabletext"/>
            </w:pPr>
            <w:r w:rsidRPr="0069124E">
              <w:lastRenderedPageBreak/>
              <w:t>11100011</w:t>
            </w:r>
          </w:p>
        </w:tc>
        <w:tc>
          <w:tcPr>
            <w:tcW w:w="1701" w:type="dxa"/>
            <w:tcBorders>
              <w:top w:val="single" w:sz="4" w:space="0" w:color="000000"/>
              <w:left w:val="single" w:sz="4" w:space="0" w:color="000000"/>
              <w:bottom w:val="single" w:sz="4" w:space="0" w:color="000000"/>
              <w:right w:val="single" w:sz="4" w:space="0" w:color="000000"/>
            </w:tcBorders>
          </w:tcPr>
          <w:p w14:paraId="3443DE39" w14:textId="77777777" w:rsidR="00533114" w:rsidRPr="0069124E" w:rsidRDefault="00533114" w:rsidP="00C142FB">
            <w:pPr>
              <w:pStyle w:val="Tabletext"/>
            </w:pPr>
            <w:r w:rsidRPr="0069124E">
              <w:t>ISO/</w:t>
            </w:r>
            <w:r>
              <w:t>CEI</w:t>
            </w:r>
            <w:r w:rsidRPr="0069124E">
              <w:t xml:space="preserve"> 7816-6</w:t>
            </w:r>
          </w:p>
        </w:tc>
        <w:tc>
          <w:tcPr>
            <w:tcW w:w="2211" w:type="dxa"/>
            <w:tcBorders>
              <w:top w:val="single" w:sz="4" w:space="0" w:color="000000"/>
              <w:left w:val="single" w:sz="4" w:space="0" w:color="000000"/>
              <w:bottom w:val="single" w:sz="4" w:space="0" w:color="000000"/>
              <w:right w:val="single" w:sz="4" w:space="0" w:color="000000"/>
            </w:tcBorders>
          </w:tcPr>
          <w:p w14:paraId="2AB0F438" w14:textId="77777777" w:rsidR="00533114" w:rsidRPr="0069124E" w:rsidRDefault="00533114" w:rsidP="00C142FB">
            <w:pPr>
              <w:pStyle w:val="Tabletext"/>
            </w:pPr>
            <w:r w:rsidRPr="0069124E">
              <w:t>8 bits</w:t>
            </w:r>
          </w:p>
        </w:tc>
        <w:tc>
          <w:tcPr>
            <w:tcW w:w="2041" w:type="dxa"/>
            <w:tcBorders>
              <w:top w:val="single" w:sz="4" w:space="0" w:color="000000"/>
              <w:left w:val="single" w:sz="4" w:space="0" w:color="000000"/>
              <w:bottom w:val="single" w:sz="4" w:space="0" w:color="000000"/>
              <w:right w:val="single" w:sz="4" w:space="0" w:color="000000"/>
            </w:tcBorders>
          </w:tcPr>
          <w:p w14:paraId="6195D512" w14:textId="77777777" w:rsidR="00533114" w:rsidRPr="0069124E" w:rsidRDefault="00533114" w:rsidP="00C142FB">
            <w:pPr>
              <w:pStyle w:val="Tabletext"/>
            </w:pPr>
            <w:r w:rsidRPr="0069124E">
              <w:t>48 bits</w:t>
            </w:r>
          </w:p>
        </w:tc>
        <w:tc>
          <w:tcPr>
            <w:tcW w:w="2438" w:type="dxa"/>
            <w:tcBorders>
              <w:top w:val="single" w:sz="4" w:space="0" w:color="000000"/>
              <w:left w:val="single" w:sz="4" w:space="0" w:color="000000"/>
              <w:bottom w:val="single" w:sz="4" w:space="0" w:color="000000"/>
              <w:right w:val="single" w:sz="4" w:space="0" w:color="000000"/>
            </w:tcBorders>
          </w:tcPr>
          <w:p w14:paraId="4C1BED61" w14:textId="77777777" w:rsidR="00533114" w:rsidRPr="007E2377" w:rsidRDefault="00533114" w:rsidP="00C142FB">
            <w:pPr>
              <w:pStyle w:val="Tabletext"/>
              <w:rPr>
                <w:lang w:val="es-ES_tradnl"/>
              </w:rPr>
            </w:pPr>
            <w:r w:rsidRPr="007E2377">
              <w:rPr>
                <w:lang w:val="es-ES_tradnl"/>
              </w:rPr>
              <w:t>APACS (incluye el tamaño de la memoria y el encabezamiento de TID ampliado)</w:t>
            </w:r>
          </w:p>
        </w:tc>
      </w:tr>
      <w:tr w:rsidR="00533114" w:rsidRPr="0069124E" w14:paraId="7001551A" w14:textId="77777777" w:rsidTr="00C142FB">
        <w:trPr>
          <w:jc w:val="center"/>
        </w:trPr>
        <w:tc>
          <w:tcPr>
            <w:tcW w:w="1247" w:type="dxa"/>
            <w:tcBorders>
              <w:top w:val="single" w:sz="4" w:space="0" w:color="000000"/>
              <w:left w:val="single" w:sz="4" w:space="0" w:color="000000"/>
              <w:bottom w:val="single" w:sz="4" w:space="0" w:color="000000"/>
              <w:right w:val="single" w:sz="4" w:space="0" w:color="000000"/>
            </w:tcBorders>
          </w:tcPr>
          <w:p w14:paraId="36618B09" w14:textId="77777777" w:rsidR="00533114" w:rsidRPr="0069124E" w:rsidRDefault="00533114" w:rsidP="00C142FB">
            <w:pPr>
              <w:pStyle w:val="Tabletext"/>
            </w:pPr>
            <w:r>
              <w:t>Valores restantes</w:t>
            </w:r>
          </w:p>
        </w:tc>
        <w:tc>
          <w:tcPr>
            <w:tcW w:w="1701" w:type="dxa"/>
            <w:tcBorders>
              <w:top w:val="single" w:sz="4" w:space="0" w:color="000000"/>
              <w:left w:val="single" w:sz="4" w:space="0" w:color="000000"/>
              <w:bottom w:val="single" w:sz="4" w:space="0" w:color="000000"/>
              <w:right w:val="single" w:sz="4" w:space="0" w:color="000000"/>
            </w:tcBorders>
          </w:tcPr>
          <w:p w14:paraId="571FA67E" w14:textId="77777777" w:rsidR="00533114" w:rsidRPr="0069124E" w:rsidRDefault="00533114" w:rsidP="00C142FB">
            <w:pPr>
              <w:pStyle w:val="Tabletext"/>
            </w:pPr>
            <w:r w:rsidRPr="0069124E">
              <w:t>Reserv</w:t>
            </w:r>
            <w:r>
              <w:t>ado</w:t>
            </w:r>
          </w:p>
        </w:tc>
        <w:tc>
          <w:tcPr>
            <w:tcW w:w="2211" w:type="dxa"/>
            <w:tcBorders>
              <w:top w:val="single" w:sz="4" w:space="0" w:color="000000"/>
              <w:left w:val="single" w:sz="4" w:space="0" w:color="000000"/>
              <w:bottom w:val="single" w:sz="4" w:space="0" w:color="000000"/>
              <w:right w:val="single" w:sz="4" w:space="0" w:color="000000"/>
            </w:tcBorders>
          </w:tcPr>
          <w:p w14:paraId="744321E3" w14:textId="77777777" w:rsidR="00533114" w:rsidRPr="0069124E" w:rsidRDefault="00533114" w:rsidP="00C142FB">
            <w:pPr>
              <w:pStyle w:val="Tabletext"/>
            </w:pPr>
          </w:p>
        </w:tc>
        <w:tc>
          <w:tcPr>
            <w:tcW w:w="2041" w:type="dxa"/>
            <w:tcBorders>
              <w:top w:val="single" w:sz="4" w:space="0" w:color="000000"/>
              <w:left w:val="single" w:sz="4" w:space="0" w:color="000000"/>
              <w:bottom w:val="single" w:sz="4" w:space="0" w:color="000000"/>
              <w:right w:val="single" w:sz="4" w:space="0" w:color="000000"/>
            </w:tcBorders>
          </w:tcPr>
          <w:p w14:paraId="4E77F3CE" w14:textId="77777777" w:rsidR="00533114" w:rsidRPr="0069124E" w:rsidRDefault="00533114" w:rsidP="00C142FB">
            <w:pPr>
              <w:pStyle w:val="Tabletext"/>
            </w:pPr>
          </w:p>
        </w:tc>
        <w:tc>
          <w:tcPr>
            <w:tcW w:w="2438" w:type="dxa"/>
            <w:tcBorders>
              <w:top w:val="single" w:sz="4" w:space="0" w:color="000000"/>
              <w:left w:val="single" w:sz="4" w:space="0" w:color="000000"/>
              <w:bottom w:val="single" w:sz="4" w:space="0" w:color="000000"/>
              <w:right w:val="single" w:sz="4" w:space="0" w:color="000000"/>
            </w:tcBorders>
          </w:tcPr>
          <w:p w14:paraId="6AD106DE" w14:textId="77777777" w:rsidR="00533114" w:rsidRPr="0069124E" w:rsidRDefault="00533114" w:rsidP="00C142FB">
            <w:pPr>
              <w:pStyle w:val="Tabletext"/>
            </w:pPr>
            <w:r w:rsidRPr="0069124E">
              <w:t>Reserv</w:t>
            </w:r>
            <w:r>
              <w:t>ado</w:t>
            </w:r>
          </w:p>
        </w:tc>
      </w:tr>
    </w:tbl>
    <w:p w14:paraId="7E2ABA5B" w14:textId="77777777" w:rsidR="00533114" w:rsidRPr="007E2377" w:rsidRDefault="00533114" w:rsidP="00C142FB">
      <w:pPr>
        <w:pStyle w:val="FigureNotitle"/>
        <w:rPr>
          <w:lang w:val="es-ES_tradnl" w:bidi="ar-DZ"/>
        </w:rPr>
      </w:pPr>
      <w:bookmarkStart w:id="248" w:name="_Toc404785093"/>
      <w:bookmarkStart w:id="249" w:name="_Toc447274545"/>
      <w:r w:rsidRPr="007E2377">
        <w:rPr>
          <w:lang w:val="es-ES_tradnl" w:bidi="ar-DZ"/>
        </w:rPr>
        <w:t>Figura 10 – Clases de editores de TID únicos</w:t>
      </w:r>
      <w:bookmarkEnd w:id="248"/>
      <w:bookmarkEnd w:id="249"/>
    </w:p>
    <w:p w14:paraId="483C3543" w14:textId="77777777" w:rsidR="00533114" w:rsidRPr="005E50E7" w:rsidRDefault="00533114" w:rsidP="00C142FB">
      <w:pPr>
        <w:pStyle w:val="Normalaftertitle"/>
        <w:rPr>
          <w:lang w:val="es-ES_tradnl"/>
        </w:rPr>
      </w:pPr>
      <w:r w:rsidRPr="00A379F0">
        <w:rPr>
          <w:lang w:val="es-ES_tradnl"/>
        </w:rPr>
        <w:t xml:space="preserve">Una de las primeras aplicaciones de la RFID </w:t>
      </w:r>
      <w:r>
        <w:rPr>
          <w:lang w:val="es-ES_tradnl"/>
        </w:rPr>
        <w:t>fue la identificación de animales. La ISO completó una norma que define la estructura de un código de identificación RFID para animales</w:t>
      </w:r>
      <w:r w:rsidRPr="00A379F0">
        <w:rPr>
          <w:lang w:val="es-ES_tradnl"/>
        </w:rPr>
        <w:t xml:space="preserve"> (ISO 11784 [96]). </w:t>
      </w:r>
      <w:r w:rsidRPr="005E50E7">
        <w:rPr>
          <w:lang w:val="es-ES_tradnl"/>
        </w:rPr>
        <w:t>La norma complementaria ISO 11785 [97] describe cómo se lee esta informaci</w:t>
      </w:r>
      <w:r>
        <w:rPr>
          <w:lang w:val="es-ES_tradnl"/>
        </w:rPr>
        <w:t xml:space="preserve">ón de etiqueta. </w:t>
      </w:r>
    </w:p>
    <w:p w14:paraId="48D41D16" w14:textId="77777777" w:rsidR="00533114" w:rsidRPr="005E50E7" w:rsidRDefault="00533114" w:rsidP="00C142FB">
      <w:pPr>
        <w:rPr>
          <w:lang w:val="es-ES_tradnl"/>
        </w:rPr>
      </w:pPr>
      <w:r w:rsidRPr="005E50E7">
        <w:rPr>
          <w:lang w:val="es-ES_tradnl"/>
        </w:rPr>
        <w:t>La ISO ha procedid</w:t>
      </w:r>
      <w:r>
        <w:rPr>
          <w:lang w:val="es-ES_tradnl"/>
        </w:rPr>
        <w:t>o a definir un conjunto completo</w:t>
      </w:r>
      <w:r w:rsidRPr="005E50E7">
        <w:rPr>
          <w:lang w:val="es-ES_tradnl"/>
        </w:rPr>
        <w:t xml:space="preserve"> de especificaciones para la gestión de artículos: </w:t>
      </w:r>
      <w:r>
        <w:rPr>
          <w:lang w:val="es-ES_tradnl"/>
        </w:rPr>
        <w:t xml:space="preserve">las </w:t>
      </w:r>
      <w:r w:rsidRPr="005E50E7">
        <w:rPr>
          <w:lang w:val="es-ES_tradnl"/>
        </w:rPr>
        <w:t>normas ISO/</w:t>
      </w:r>
      <w:r>
        <w:rPr>
          <w:lang w:val="es-ES_tradnl"/>
        </w:rPr>
        <w:t>CEI</w:t>
      </w:r>
      <w:r w:rsidRPr="005E50E7">
        <w:rPr>
          <w:lang w:val="es-ES_tradnl"/>
        </w:rPr>
        <w:t xml:space="preserve"> 15961 </w:t>
      </w:r>
      <w:r>
        <w:rPr>
          <w:lang w:val="es-ES_tradnl"/>
        </w:rPr>
        <w:t>hasta</w:t>
      </w:r>
      <w:r w:rsidRPr="005E50E7">
        <w:rPr>
          <w:lang w:val="es-ES_tradnl"/>
        </w:rPr>
        <w:t xml:space="preserve"> 15963 describe</w:t>
      </w:r>
      <w:r>
        <w:rPr>
          <w:lang w:val="es-ES_tradnl"/>
        </w:rPr>
        <w:t>n el protocolo de datos común y los formatos de identificador aplicables a la serie de normas</w:t>
      </w:r>
      <w:r w:rsidRPr="005E50E7">
        <w:rPr>
          <w:lang w:val="es-ES_tradnl"/>
        </w:rPr>
        <w:t xml:space="preserve"> ISO/</w:t>
      </w:r>
      <w:r>
        <w:rPr>
          <w:lang w:val="es-ES_tradnl"/>
        </w:rPr>
        <w:t>CEI</w:t>
      </w:r>
      <w:r w:rsidRPr="005E50E7">
        <w:rPr>
          <w:lang w:val="es-ES_tradnl"/>
        </w:rPr>
        <w:t xml:space="preserve"> 18000 [98] </w:t>
      </w:r>
      <w:r>
        <w:rPr>
          <w:lang w:val="es-ES_tradnl"/>
        </w:rPr>
        <w:t>que describen las interfaces</w:t>
      </w:r>
      <w:r w:rsidRPr="005E50E7">
        <w:rPr>
          <w:lang w:val="es-ES_tradnl"/>
        </w:rPr>
        <w:t xml:space="preserve"> </w:t>
      </w:r>
      <w:r>
        <w:rPr>
          <w:lang w:val="es-ES_tradnl"/>
        </w:rPr>
        <w:t>aéreas en diversas frecuencias. Se precisan especificaciones separadas para las diferentes bandas de frecuencias porque la frecuencia de funcionamiento determina las características de la capacidad de comunicación, es decir, la gama de funcionamiento, o si la transmisión se ve afectada por la presencia de agua</w:t>
      </w:r>
      <w:r w:rsidRPr="005E50E7">
        <w:rPr>
          <w:lang w:val="es-ES_tradnl"/>
        </w:rPr>
        <w:t xml:space="preserve">. </w:t>
      </w:r>
    </w:p>
    <w:p w14:paraId="0C6CB55A" w14:textId="77777777" w:rsidR="00533114" w:rsidRPr="006D6230" w:rsidRDefault="00533114" w:rsidP="00C142FB">
      <w:pPr>
        <w:rPr>
          <w:lang w:val="es-ES_tradnl"/>
        </w:rPr>
      </w:pPr>
      <w:r w:rsidRPr="005E50E7">
        <w:rPr>
          <w:lang w:val="es-ES_tradnl"/>
        </w:rPr>
        <w:t>La norma ISO/CEI 29167-1 [</w:t>
      </w:r>
      <w:r w:rsidRPr="005E50E7">
        <w:rPr>
          <w:bCs/>
          <w:lang w:val="es-ES_tradnl"/>
        </w:rPr>
        <w:t xml:space="preserve">57] </w:t>
      </w:r>
      <w:r w:rsidRPr="005E50E7">
        <w:rPr>
          <w:lang w:val="es-ES_tradnl"/>
        </w:rPr>
        <w:t>define la arquitectura p</w:t>
      </w:r>
      <w:r>
        <w:rPr>
          <w:lang w:val="es-ES_tradnl"/>
        </w:rPr>
        <w:t>ar</w:t>
      </w:r>
      <w:r w:rsidRPr="005E50E7">
        <w:rPr>
          <w:lang w:val="es-ES_tradnl"/>
        </w:rPr>
        <w:t>a</w:t>
      </w:r>
      <w:r>
        <w:rPr>
          <w:lang w:val="es-ES_tradnl"/>
        </w:rPr>
        <w:t xml:space="preserve"> </w:t>
      </w:r>
      <w:r w:rsidRPr="005E50E7">
        <w:rPr>
          <w:lang w:val="es-ES_tradnl"/>
        </w:rPr>
        <w:t xml:space="preserve">la gestión de la seguridad y de los archivos </w:t>
      </w:r>
      <w:r>
        <w:rPr>
          <w:lang w:val="es-ES_tradnl"/>
        </w:rPr>
        <w:t xml:space="preserve">para las normas sobre interfaces aéreas </w:t>
      </w:r>
      <w:r w:rsidRPr="005E50E7">
        <w:rPr>
          <w:lang w:val="es-ES_tradnl"/>
        </w:rPr>
        <w:t>ISO/</w:t>
      </w:r>
      <w:r>
        <w:rPr>
          <w:lang w:val="es-ES_tradnl"/>
        </w:rPr>
        <w:t>CEI</w:t>
      </w:r>
      <w:r w:rsidRPr="005E50E7">
        <w:rPr>
          <w:lang w:val="es-ES_tradnl"/>
        </w:rPr>
        <w:t xml:space="preserve"> 18000.</w:t>
      </w:r>
      <w:r>
        <w:rPr>
          <w:lang w:val="es-ES_tradnl"/>
        </w:rPr>
        <w:t xml:space="preserve"> Se definen l</w:t>
      </w:r>
      <w:r w:rsidRPr="006D6230">
        <w:rPr>
          <w:lang w:val="es-ES_tradnl"/>
        </w:rPr>
        <w:t>os mecanismos de segurida</w:t>
      </w:r>
      <w:r>
        <w:rPr>
          <w:lang w:val="es-ES_tradnl"/>
        </w:rPr>
        <w:t>d que depend</w:t>
      </w:r>
      <w:r w:rsidRPr="006D6230">
        <w:rPr>
          <w:lang w:val="es-ES_tradnl"/>
        </w:rPr>
        <w:t>en de la aplicación</w:t>
      </w:r>
      <w:r>
        <w:rPr>
          <w:lang w:val="es-ES_tradnl"/>
        </w:rPr>
        <w:t xml:space="preserve"> y una etiqueta puede soportar todos o parte de ellos. </w:t>
      </w:r>
      <w:r w:rsidRPr="006D6230">
        <w:rPr>
          <w:lang w:val="es-ES_tradnl"/>
        </w:rPr>
        <w:t>Un interrogador de etiqueta RFID puede acceder a la información sobre los mecanismos de seguridad soportados por una etiqueta y a m</w:t>
      </w:r>
      <w:r>
        <w:rPr>
          <w:lang w:val="es-ES_tradnl"/>
        </w:rPr>
        <w:t>ás información como el algoritmo de</w:t>
      </w:r>
      <w:r w:rsidRPr="006D6230">
        <w:rPr>
          <w:lang w:val="es-ES_tradnl"/>
        </w:rPr>
        <w:t xml:space="preserve"> </w:t>
      </w:r>
      <w:r>
        <w:rPr>
          <w:lang w:val="es-ES_tradnl"/>
        </w:rPr>
        <w:t>encriptación y la longitud de la clave empleada</w:t>
      </w:r>
      <w:r w:rsidRPr="006D6230">
        <w:rPr>
          <w:lang w:val="es-ES_tradnl"/>
        </w:rPr>
        <w:t>.</w:t>
      </w:r>
    </w:p>
    <w:p w14:paraId="417607CD" w14:textId="77777777" w:rsidR="00533114" w:rsidRPr="00DD2B7C" w:rsidRDefault="00533114" w:rsidP="00C142FB">
      <w:pPr>
        <w:rPr>
          <w:bCs/>
          <w:lang w:val="es-ES_tradnl"/>
        </w:rPr>
      </w:pPr>
      <w:r w:rsidRPr="007F399C">
        <w:rPr>
          <w:lang w:val="es-ES_tradnl"/>
        </w:rPr>
        <w:t>La norma ISO/</w:t>
      </w:r>
      <w:r>
        <w:rPr>
          <w:lang w:val="es-ES_tradnl"/>
        </w:rPr>
        <w:t>CEI</w:t>
      </w:r>
      <w:r w:rsidRPr="007F399C">
        <w:rPr>
          <w:lang w:val="es-ES_tradnl"/>
        </w:rPr>
        <w:t xml:space="preserve"> TR 24729-4 [</w:t>
      </w:r>
      <w:r w:rsidRPr="007F399C">
        <w:rPr>
          <w:bCs/>
          <w:lang w:val="es-ES_tradnl"/>
        </w:rPr>
        <w:t>58]</w:t>
      </w:r>
      <w:r>
        <w:rPr>
          <w:bCs/>
          <w:lang w:val="es-ES_tradnl"/>
        </w:rPr>
        <w:t xml:space="preserve"> incluye las directrices de implementación para que los diseñadores de sistemas evalúen las posibles amenazas a la seguridad de los datos en la comunicación entre la etiqueta y el lector de etiquetas, junto con una descripción de las contramedidas adecuadas para garantizar la seguridad de los datos de etiqueta. </w:t>
      </w:r>
    </w:p>
    <w:p w14:paraId="68160F99" w14:textId="77777777" w:rsidR="00533114" w:rsidRPr="00117EBD" w:rsidRDefault="00533114" w:rsidP="00C142FB">
      <w:pPr>
        <w:rPr>
          <w:lang w:val="es-ES_tradnl"/>
        </w:rPr>
      </w:pPr>
      <w:r w:rsidRPr="007F399C">
        <w:rPr>
          <w:lang w:val="es-ES_tradnl"/>
        </w:rPr>
        <w:t>Las aplicaciones de la cadena de sumi</w:t>
      </w:r>
      <w:r>
        <w:rPr>
          <w:lang w:val="es-ES_tradnl"/>
        </w:rPr>
        <w:t>ni</w:t>
      </w:r>
      <w:r w:rsidRPr="007F399C">
        <w:rPr>
          <w:lang w:val="es-ES_tradnl"/>
        </w:rPr>
        <w:t>stro de la RFID (con partes que aplican a los contenedores de transporte, artículos de transporte retornables, unidades de transporte, empaquetamiento de productos y etiquetado de productos) se especifican en la</w:t>
      </w:r>
      <w:r>
        <w:rPr>
          <w:lang w:val="es-ES_tradnl"/>
        </w:rPr>
        <w:t>s</w:t>
      </w:r>
      <w:r w:rsidRPr="007F399C">
        <w:rPr>
          <w:lang w:val="es-ES_tradnl"/>
        </w:rPr>
        <w:t xml:space="preserve"> normas ISO 17363 </w:t>
      </w:r>
      <w:r>
        <w:rPr>
          <w:lang w:val="es-ES_tradnl"/>
        </w:rPr>
        <w:t>a</w:t>
      </w:r>
      <w:r w:rsidRPr="007F399C">
        <w:rPr>
          <w:lang w:val="es-ES_tradnl"/>
        </w:rPr>
        <w:t xml:space="preserve"> 17367 [99] </w:t>
      </w:r>
      <w:r>
        <w:rPr>
          <w:lang w:val="es-ES_tradnl"/>
        </w:rPr>
        <w:t>a</w:t>
      </w:r>
      <w:r w:rsidRPr="007F399C">
        <w:rPr>
          <w:lang w:val="es-ES_tradnl"/>
        </w:rPr>
        <w:t xml:space="preserve"> [103]; ISO 18185 [104] </w:t>
      </w:r>
      <w:r>
        <w:rPr>
          <w:lang w:val="es-ES_tradnl"/>
        </w:rPr>
        <w:t xml:space="preserve">describe cómo se puede utilizar la RFID para seguir los movimientos de un contenedor de transporte. </w:t>
      </w:r>
      <w:r w:rsidRPr="00117EBD">
        <w:rPr>
          <w:lang w:val="es-ES_tradnl"/>
        </w:rPr>
        <w:t>La ISO también ha elaborado especificaciones de pruebas de calidad de f</w:t>
      </w:r>
      <w:r>
        <w:rPr>
          <w:lang w:val="es-ES_tradnl"/>
        </w:rPr>
        <w:t>uncionamiento y de conformidad</w:t>
      </w:r>
      <w:r w:rsidRPr="00117EBD">
        <w:rPr>
          <w:lang w:val="es-ES_tradnl"/>
        </w:rPr>
        <w:t xml:space="preserve">. </w:t>
      </w:r>
    </w:p>
    <w:p w14:paraId="31614F67" w14:textId="77777777" w:rsidR="00533114" w:rsidRPr="00117EBD" w:rsidRDefault="00533114" w:rsidP="00C142FB">
      <w:pPr>
        <w:spacing w:after="120"/>
        <w:rPr>
          <w:lang w:val="es-ES_tradnl"/>
        </w:rPr>
      </w:pPr>
      <w:r w:rsidRPr="00117EBD">
        <w:rPr>
          <w:lang w:val="es-ES_tradnl"/>
        </w:rPr>
        <w:t>El emblema de la RFID especificado en la norma ISO/CEI 29160 [105] puede utilizar</w:t>
      </w:r>
      <w:r>
        <w:rPr>
          <w:lang w:val="es-ES_tradnl"/>
        </w:rPr>
        <w:t>se</w:t>
      </w:r>
      <w:r w:rsidRPr="00117EBD">
        <w:rPr>
          <w:lang w:val="es-ES_tradnl"/>
        </w:rPr>
        <w:t xml:space="preserve"> como</w:t>
      </w:r>
      <w:r>
        <w:rPr>
          <w:lang w:val="es-ES_tradnl"/>
        </w:rPr>
        <w:t xml:space="preserve"> </w:t>
      </w:r>
      <w:r w:rsidRPr="00117EBD">
        <w:rPr>
          <w:lang w:val="es-ES_tradnl"/>
        </w:rPr>
        <w:t>un</w:t>
      </w:r>
      <w:r>
        <w:rPr>
          <w:lang w:val="es-ES_tradnl"/>
        </w:rPr>
        <w:t>a etiqueta en los productos par</w:t>
      </w:r>
      <w:r w:rsidRPr="00117EBD">
        <w:rPr>
          <w:lang w:val="es-ES_tradnl"/>
        </w:rPr>
        <w:t>a</w:t>
      </w:r>
      <w:r>
        <w:rPr>
          <w:lang w:val="es-ES_tradnl"/>
        </w:rPr>
        <w:t xml:space="preserve"> </w:t>
      </w:r>
      <w:r w:rsidRPr="00117EBD">
        <w:rPr>
          <w:lang w:val="es-ES_tradnl"/>
        </w:rPr>
        <w:t>indicar que dispone</w:t>
      </w:r>
      <w:r>
        <w:rPr>
          <w:lang w:val="es-ES_tradnl"/>
        </w:rPr>
        <w:t>n</w:t>
      </w:r>
      <w:r w:rsidRPr="00117EBD">
        <w:rPr>
          <w:lang w:val="es-ES_tradnl"/>
        </w:rPr>
        <w:t xml:space="preserve"> de una etiqueta RFID. Vé</w:t>
      </w:r>
      <w:r>
        <w:rPr>
          <w:lang w:val="es-ES_tradnl"/>
        </w:rPr>
        <w:t>a</w:t>
      </w:r>
      <w:r w:rsidRPr="00117EBD">
        <w:rPr>
          <w:lang w:val="es-ES_tradnl"/>
        </w:rPr>
        <w:t>se la Figura 11.</w:t>
      </w:r>
    </w:p>
    <w:p w14:paraId="7D2FEEB1" w14:textId="77777777" w:rsidR="00533114" w:rsidRDefault="00533114" w:rsidP="00C142FB">
      <w:pPr>
        <w:pStyle w:val="Figure"/>
      </w:pPr>
      <w:r>
        <w:rPr>
          <w:noProof/>
          <w:lang w:eastAsia="zh-CN"/>
        </w:rPr>
        <w:lastRenderedPageBreak/>
        <w:drawing>
          <wp:inline distT="0" distB="0" distL="0" distR="0" wp14:anchorId="5DE7AC7D" wp14:editId="1BD1276E">
            <wp:extent cx="1943100" cy="1803400"/>
            <wp:effectExtent l="25400" t="0" r="0" b="0"/>
            <wp:docPr id="6" name="Picture 1" descr="rfidemblem-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idemblem-generic.jpg"/>
                    <pic:cNvPicPr>
                      <a:picLocks noChangeAspect="1" noChangeArrowheads="1"/>
                    </pic:cNvPicPr>
                  </pic:nvPicPr>
                  <pic:blipFill>
                    <a:blip r:embed="rId71" cstate="print"/>
                    <a:srcRect/>
                    <a:stretch>
                      <a:fillRect/>
                    </a:stretch>
                  </pic:blipFill>
                  <pic:spPr bwMode="auto">
                    <a:xfrm>
                      <a:off x="0" y="0"/>
                      <a:ext cx="1943100" cy="1803400"/>
                    </a:xfrm>
                    <a:prstGeom prst="rect">
                      <a:avLst/>
                    </a:prstGeom>
                    <a:noFill/>
                    <a:ln w="9525">
                      <a:noFill/>
                      <a:miter lim="800000"/>
                      <a:headEnd/>
                      <a:tailEnd/>
                    </a:ln>
                  </pic:spPr>
                </pic:pic>
              </a:graphicData>
            </a:graphic>
          </wp:inline>
        </w:drawing>
      </w:r>
    </w:p>
    <w:p w14:paraId="32E4F90F" w14:textId="77777777" w:rsidR="00533114" w:rsidRPr="00117EBD" w:rsidRDefault="00533114" w:rsidP="00C142FB">
      <w:pPr>
        <w:pStyle w:val="FigureNotitle"/>
        <w:rPr>
          <w:lang w:val="es-ES_tradnl"/>
        </w:rPr>
      </w:pPr>
      <w:bookmarkStart w:id="250" w:name="_Toc404785094"/>
      <w:bookmarkStart w:id="251" w:name="_Toc447274546"/>
      <w:r w:rsidRPr="00117EBD">
        <w:rPr>
          <w:lang w:val="es-ES_tradnl" w:bidi="ar-DZ"/>
        </w:rPr>
        <w:t>Figura 11</w:t>
      </w:r>
      <w:r w:rsidRPr="00117EBD">
        <w:rPr>
          <w:lang w:val="es-ES_tradnl"/>
        </w:rPr>
        <w:t xml:space="preserve"> – E</w:t>
      </w:r>
      <w:r>
        <w:rPr>
          <w:lang w:val="es-ES_tradnl"/>
        </w:rPr>
        <w:t>jemplo d</w:t>
      </w:r>
      <w:r w:rsidRPr="00117EBD">
        <w:rPr>
          <w:lang w:val="es-ES_tradnl"/>
        </w:rPr>
        <w:t>e</w:t>
      </w:r>
      <w:r>
        <w:rPr>
          <w:lang w:val="es-ES_tradnl"/>
        </w:rPr>
        <w:t xml:space="preserve"> </w:t>
      </w:r>
      <w:r w:rsidRPr="00117EBD">
        <w:rPr>
          <w:lang w:val="es-ES_tradnl"/>
        </w:rPr>
        <w:t>emblema RFID especificado en ISO/</w:t>
      </w:r>
      <w:r>
        <w:rPr>
          <w:lang w:val="es-ES_tradnl"/>
        </w:rPr>
        <w:t>CEI</w:t>
      </w:r>
      <w:r w:rsidRPr="00117EBD">
        <w:rPr>
          <w:lang w:val="es-ES_tradnl"/>
        </w:rPr>
        <w:t xml:space="preserve"> 29160</w:t>
      </w:r>
      <w:bookmarkEnd w:id="250"/>
      <w:bookmarkEnd w:id="251"/>
      <w:r w:rsidRPr="00117EBD">
        <w:rPr>
          <w:lang w:val="es-ES_tradnl"/>
        </w:rPr>
        <w:t xml:space="preserve"> </w:t>
      </w:r>
    </w:p>
    <w:p w14:paraId="15337890" w14:textId="77777777" w:rsidR="00533114" w:rsidRPr="00117EBD" w:rsidRDefault="00533114" w:rsidP="00C142FB">
      <w:pPr>
        <w:pStyle w:val="Normalaftertitle"/>
        <w:rPr>
          <w:lang w:val="es-ES_tradnl"/>
        </w:rPr>
      </w:pPr>
      <w:r w:rsidRPr="00117EBD">
        <w:rPr>
          <w:lang w:val="es-ES_tradnl"/>
        </w:rPr>
        <w:t>EPCglobal es la filial de GS1 que elabora especificaciones para el uso de c</w:t>
      </w:r>
      <w:r>
        <w:rPr>
          <w:lang w:val="es-ES_tradnl"/>
        </w:rPr>
        <w:t>ódigos de productos electrónicos.</w:t>
      </w:r>
      <w:r w:rsidRPr="00117EBD">
        <w:rPr>
          <w:lang w:val="es-ES_tradnl"/>
        </w:rPr>
        <w:t xml:space="preserve"> EPCglobal ha generado una serie de normas que incluyen especificaciones para la codificaci</w:t>
      </w:r>
      <w:r>
        <w:rPr>
          <w:lang w:val="es-ES_tradnl"/>
        </w:rPr>
        <w:t xml:space="preserve">ón de datos de etiquetas, protocolos de interfaz, protocolos de lector y servicios de información y de denominación de objetos. </w:t>
      </w:r>
      <w:r w:rsidRPr="00117EBD">
        <w:rPr>
          <w:lang w:val="es-ES_tradnl"/>
        </w:rPr>
        <w:t xml:space="preserve">La Figura 12 muestra una visión general de la serie de normas de EPCglobal. </w:t>
      </w:r>
    </w:p>
    <w:p w14:paraId="72A4E40E" w14:textId="77777777" w:rsidR="00533114" w:rsidRPr="00117EBD" w:rsidRDefault="00533114" w:rsidP="00C142FB">
      <w:pPr>
        <w:rPr>
          <w:rFonts w:asciiTheme="majorBidi" w:hAnsiTheme="majorBidi" w:cstheme="majorBidi"/>
          <w:lang w:val="es-ES_tradnl"/>
        </w:rPr>
      </w:pPr>
      <w:r w:rsidRPr="00117EBD">
        <w:rPr>
          <w:rFonts w:asciiTheme="majorBidi" w:hAnsiTheme="majorBidi" w:cstheme="majorBidi"/>
          <w:lang w:val="es-ES_tradnl"/>
        </w:rPr>
        <w:t>Los principales elementos</w:t>
      </w:r>
      <w:r>
        <w:rPr>
          <w:rFonts w:asciiTheme="majorBidi" w:hAnsiTheme="majorBidi" w:cstheme="majorBidi"/>
          <w:lang w:val="es-ES_tradnl"/>
        </w:rPr>
        <w:t xml:space="preserve"> </w:t>
      </w:r>
      <w:r w:rsidRPr="00117EBD">
        <w:rPr>
          <w:rFonts w:asciiTheme="majorBidi" w:hAnsiTheme="majorBidi" w:cstheme="majorBidi"/>
          <w:lang w:val="es-ES_tradnl"/>
        </w:rPr>
        <w:t>de la serie de normas de EPCglobal son los siguientes:</w:t>
      </w:r>
    </w:p>
    <w:p w14:paraId="3ACDF2AF" w14:textId="77777777" w:rsidR="00533114" w:rsidRPr="005E4E6E" w:rsidRDefault="00533114" w:rsidP="00C142FB">
      <w:pPr>
        <w:pStyle w:val="enumlev1"/>
        <w:rPr>
          <w:lang w:val="es-ES_tradnl"/>
        </w:rPr>
      </w:pPr>
      <w:r w:rsidRPr="00A230AE">
        <w:rPr>
          <w:lang w:val="es-ES_tradnl"/>
        </w:rPr>
        <w:t>•</w:t>
      </w:r>
      <w:r>
        <w:rPr>
          <w:lang w:val="es-ES_tradnl"/>
        </w:rPr>
        <w:tab/>
      </w:r>
      <w:r w:rsidRPr="005E4E6E">
        <w:rPr>
          <w:lang w:val="es-ES_tradnl"/>
        </w:rPr>
        <w:t>La norma sobre datos de etiquetas (TDS) de EPC define algunos esquemas de identificación y describe cómo se codifican estos datos en las etiquetas y tambi</w:t>
      </w:r>
      <w:r>
        <w:rPr>
          <w:lang w:val="es-ES_tradnl"/>
        </w:rPr>
        <w:t xml:space="preserve">én cómo se codifican de forma que sean adecuados para su uso en la red de sistemas </w:t>
      </w:r>
      <w:r w:rsidRPr="005E4E6E">
        <w:rPr>
          <w:lang w:val="es-ES_tradnl"/>
        </w:rPr>
        <w:t>EPC.</w:t>
      </w:r>
    </w:p>
    <w:p w14:paraId="09E3F852" w14:textId="77777777" w:rsidR="00533114" w:rsidRPr="005E4E6E" w:rsidRDefault="00533114" w:rsidP="00C142FB">
      <w:pPr>
        <w:pStyle w:val="enumlev1"/>
        <w:rPr>
          <w:lang w:val="es-ES_tradnl"/>
        </w:rPr>
      </w:pPr>
      <w:r w:rsidRPr="00A230AE">
        <w:rPr>
          <w:lang w:val="es-ES_tradnl"/>
        </w:rPr>
        <w:t>•</w:t>
      </w:r>
      <w:r>
        <w:rPr>
          <w:lang w:val="es-ES_tradnl"/>
        </w:rPr>
        <w:tab/>
      </w:r>
      <w:r w:rsidRPr="005E4E6E">
        <w:rPr>
          <w:lang w:val="es-ES_tradnl"/>
        </w:rPr>
        <w:t>En la norma EPC sobre traducción de datos de etiquetas (TDT) figura una versi</w:t>
      </w:r>
      <w:r>
        <w:rPr>
          <w:lang w:val="es-ES_tradnl"/>
        </w:rPr>
        <w:t xml:space="preserve">ón legible por una máquina de los formatos de datos EPC que se puede utilizar para validar identificadores EPC y traducir entre varias representaciones de los datos. </w:t>
      </w:r>
    </w:p>
    <w:p w14:paraId="09BA25FA" w14:textId="77777777" w:rsidR="00533114" w:rsidRPr="00477007" w:rsidRDefault="00533114" w:rsidP="00C142FB">
      <w:pPr>
        <w:pStyle w:val="enumlev1"/>
        <w:rPr>
          <w:lang w:val="es-ES_tradnl"/>
        </w:rPr>
      </w:pPr>
      <w:r w:rsidRPr="00A230AE">
        <w:rPr>
          <w:lang w:val="es-ES_tradnl"/>
        </w:rPr>
        <w:t>•</w:t>
      </w:r>
      <w:r>
        <w:rPr>
          <w:lang w:val="es-ES_tradnl"/>
        </w:rPr>
        <w:tab/>
      </w:r>
      <w:r w:rsidRPr="005E4E6E">
        <w:rPr>
          <w:lang w:val="es-ES_tradnl"/>
        </w:rPr>
        <w:t xml:space="preserve">Los protocolos de etiqueta son interfaces aéreas de RFID. En la </w:t>
      </w:r>
      <w:r>
        <w:rPr>
          <w:lang w:val="es-ES_tradnl"/>
        </w:rPr>
        <w:t>"</w:t>
      </w:r>
      <w:r w:rsidRPr="005E4E6E">
        <w:rPr>
          <w:lang w:val="es-ES_tradnl"/>
        </w:rPr>
        <w:t>Gen 2</w:t>
      </w:r>
      <w:r>
        <w:rPr>
          <w:lang w:val="es-ES_tradnl"/>
        </w:rPr>
        <w:t>"</w:t>
      </w:r>
      <w:r w:rsidRPr="005E4E6E">
        <w:rPr>
          <w:lang w:val="es-ES_tradnl"/>
        </w:rPr>
        <w:t xml:space="preserve"> un lector envía información a una etiqueta modulando una señal de radiofrecuencia en la gama 860</w:t>
      </w:r>
      <w:r>
        <w:rPr>
          <w:lang w:val="es-ES_tradnl"/>
        </w:rPr>
        <w:noBreakHyphen/>
      </w:r>
      <w:r w:rsidRPr="005E4E6E">
        <w:rPr>
          <w:lang w:val="es-ES_tradnl"/>
        </w:rPr>
        <w:t>960</w:t>
      </w:r>
      <w:r>
        <w:rPr>
          <w:lang w:val="es-ES_tradnl"/>
        </w:rPr>
        <w:t> </w:t>
      </w:r>
      <w:r w:rsidRPr="005E4E6E">
        <w:rPr>
          <w:lang w:val="es-ES_tradnl"/>
        </w:rPr>
        <w:t xml:space="preserve">MHz. </w:t>
      </w:r>
      <w:r w:rsidRPr="00B67B54">
        <w:rPr>
          <w:lang w:val="es-ES_tradnl"/>
        </w:rPr>
        <w:t>Las etiquetas son pasivas en el sentido de que reciben energía de la señal transmitida por el lector.</w:t>
      </w:r>
      <w:r>
        <w:rPr>
          <w:lang w:val="es-ES_tradnl"/>
        </w:rPr>
        <w:t xml:space="preserve"> </w:t>
      </w:r>
      <w:r w:rsidRPr="00B67B54">
        <w:rPr>
          <w:lang w:val="es-ES_tradnl"/>
        </w:rPr>
        <w:t>Este p</w:t>
      </w:r>
      <w:r>
        <w:rPr>
          <w:lang w:val="es-ES_tradnl"/>
        </w:rPr>
        <w:t>rotocolo de interfaz aérea se</w:t>
      </w:r>
      <w:r w:rsidRPr="00B67B54">
        <w:rPr>
          <w:lang w:val="es-ES_tradnl"/>
        </w:rPr>
        <w:t xml:space="preserve"> ha incluido en la serie de especificaciones</w:t>
      </w:r>
      <w:r>
        <w:rPr>
          <w:lang w:val="es-ES_tradnl"/>
        </w:rPr>
        <w:t xml:space="preserve"> </w:t>
      </w:r>
      <w:r w:rsidRPr="00B67B54">
        <w:rPr>
          <w:lang w:val="es-ES_tradnl"/>
        </w:rPr>
        <w:t>ISO/</w:t>
      </w:r>
      <w:r>
        <w:rPr>
          <w:lang w:val="es-ES_tradnl"/>
        </w:rPr>
        <w:t>CEI</w:t>
      </w:r>
      <w:r w:rsidRPr="00B67B54">
        <w:rPr>
          <w:lang w:val="es-ES_tradnl"/>
        </w:rPr>
        <w:t xml:space="preserve"> 18000 </w:t>
      </w:r>
      <w:r>
        <w:rPr>
          <w:lang w:val="es-ES_tradnl"/>
        </w:rPr>
        <w:t xml:space="preserve">como de Tipo C en la Parte 6. La interfaz aérea de alta frecuencia funciona en </w:t>
      </w:r>
      <w:r w:rsidRPr="00B67B54">
        <w:rPr>
          <w:lang w:val="es-ES_tradnl"/>
        </w:rPr>
        <w:t xml:space="preserve">13,65 MHz. </w:t>
      </w:r>
      <w:r w:rsidRPr="00477007">
        <w:rPr>
          <w:lang w:val="es-ES_tradnl"/>
        </w:rPr>
        <w:t>Este protocolo es retrocompatible con la norma ISO/CEI 15693 [106].</w:t>
      </w:r>
    </w:p>
    <w:p w14:paraId="454FA689" w14:textId="77777777" w:rsidR="00533114" w:rsidRPr="00B67B54" w:rsidRDefault="00533114" w:rsidP="00C142FB">
      <w:pPr>
        <w:pStyle w:val="enumlev1"/>
        <w:rPr>
          <w:lang w:val="es-ES_tradnl"/>
        </w:rPr>
      </w:pPr>
      <w:r w:rsidRPr="00A230AE">
        <w:rPr>
          <w:lang w:val="es-ES_tradnl"/>
        </w:rPr>
        <w:t>•</w:t>
      </w:r>
      <w:r>
        <w:rPr>
          <w:lang w:val="es-ES_tradnl"/>
        </w:rPr>
        <w:tab/>
      </w:r>
      <w:r w:rsidRPr="00B67B54">
        <w:rPr>
          <w:lang w:val="es-ES_tradnl"/>
        </w:rPr>
        <w:t xml:space="preserve">Un cliente emplea el protocolo de lectura de bajo nivel (LLRP) para controlar un lector a nivel de funcionamiento del protocolo aéreo y proporciona una interfaz entre el software de la aplicación y los lectores (el protocolo de lectores (RP)). </w:t>
      </w:r>
    </w:p>
    <w:p w14:paraId="1BB4B0E3" w14:textId="77777777" w:rsidR="00533114" w:rsidRPr="0001715F" w:rsidRDefault="00533114" w:rsidP="00C142FB">
      <w:pPr>
        <w:pStyle w:val="enumlev1"/>
        <w:rPr>
          <w:lang w:val="es-ES_tradnl"/>
        </w:rPr>
      </w:pPr>
      <w:r w:rsidRPr="00A230AE">
        <w:rPr>
          <w:lang w:val="es-ES_tradnl"/>
        </w:rPr>
        <w:t>•</w:t>
      </w:r>
      <w:r>
        <w:rPr>
          <w:lang w:val="es-ES_tradnl"/>
        </w:rPr>
        <w:tab/>
      </w:r>
      <w:r w:rsidRPr="0001715F">
        <w:rPr>
          <w:lang w:val="es-ES_tradnl"/>
        </w:rPr>
        <w:t>Los lectores descubren clientes mediante los procedimientos</w:t>
      </w:r>
      <w:r>
        <w:rPr>
          <w:lang w:val="es-ES_tradnl"/>
        </w:rPr>
        <w:t xml:space="preserve"> especificados en la norma sobre descubrimiento, configuración e inicialización</w:t>
      </w:r>
      <w:r w:rsidRPr="0001715F">
        <w:rPr>
          <w:lang w:val="es-ES_tradnl"/>
        </w:rPr>
        <w:t xml:space="preserve"> (DCI). </w:t>
      </w:r>
    </w:p>
    <w:p w14:paraId="7DF2A324" w14:textId="77777777" w:rsidR="00533114" w:rsidRPr="0001715F" w:rsidRDefault="00533114" w:rsidP="00C142FB">
      <w:pPr>
        <w:pStyle w:val="enumlev1"/>
        <w:rPr>
          <w:lang w:val="es-ES_tradnl"/>
        </w:rPr>
      </w:pPr>
      <w:r w:rsidRPr="00A230AE">
        <w:rPr>
          <w:lang w:val="es-ES_tradnl"/>
        </w:rPr>
        <w:t>•</w:t>
      </w:r>
      <w:r>
        <w:rPr>
          <w:lang w:val="es-ES_tradnl"/>
        </w:rPr>
        <w:tab/>
      </w:r>
      <w:r w:rsidRPr="0001715F">
        <w:rPr>
          <w:lang w:val="es-ES_tradnl"/>
        </w:rPr>
        <w:t xml:space="preserve">La norma sobre gestión de lectores (RM) se emplea para verificar el estado de funcionamiento de los </w:t>
      </w:r>
      <w:r>
        <w:rPr>
          <w:lang w:val="es-ES_tradnl"/>
        </w:rPr>
        <w:t xml:space="preserve">lectores </w:t>
      </w:r>
      <w:r w:rsidRPr="0001715F">
        <w:rPr>
          <w:lang w:val="es-ES_tradnl"/>
        </w:rPr>
        <w:t>RFID. Se basa en el uso del sencillo protocol</w:t>
      </w:r>
      <w:r>
        <w:rPr>
          <w:lang w:val="es-ES_tradnl"/>
        </w:rPr>
        <w:t>o</w:t>
      </w:r>
      <w:r w:rsidRPr="0001715F">
        <w:rPr>
          <w:lang w:val="es-ES_tradnl"/>
        </w:rPr>
        <w:t xml:space="preserve"> de gestión de redes (SNMP) </w:t>
      </w:r>
      <w:r>
        <w:rPr>
          <w:lang w:val="es-ES_tradnl"/>
        </w:rPr>
        <w:t xml:space="preserve">definido por el </w:t>
      </w:r>
      <w:r w:rsidRPr="0001715F">
        <w:rPr>
          <w:color w:val="000000"/>
          <w:lang w:val="es-ES_tradnl"/>
        </w:rPr>
        <w:t>Grupo Especial sobre Ingeniería de Internet</w:t>
      </w:r>
      <w:r w:rsidRPr="0001715F">
        <w:rPr>
          <w:lang w:val="es-ES_tradnl"/>
        </w:rPr>
        <w:t xml:space="preserve"> (IETF).</w:t>
      </w:r>
    </w:p>
    <w:p w14:paraId="6069A27F" w14:textId="77777777" w:rsidR="00533114" w:rsidRPr="00477007" w:rsidRDefault="00533114" w:rsidP="00C142FB">
      <w:pPr>
        <w:pStyle w:val="enumlev1"/>
        <w:rPr>
          <w:lang w:val="es-ES_tradnl"/>
        </w:rPr>
      </w:pPr>
      <w:r w:rsidRPr="00A230AE">
        <w:rPr>
          <w:lang w:val="es-ES_tradnl"/>
        </w:rPr>
        <w:t>•</w:t>
      </w:r>
      <w:r>
        <w:rPr>
          <w:lang w:val="es-ES_tradnl"/>
        </w:rPr>
        <w:tab/>
      </w:r>
      <w:r w:rsidRPr="0001715F">
        <w:rPr>
          <w:lang w:val="es-ES_tradnl"/>
        </w:rPr>
        <w:t>La norma sobre eventos de capa de aplicaci</w:t>
      </w:r>
      <w:r>
        <w:rPr>
          <w:lang w:val="es-ES_tradnl"/>
        </w:rPr>
        <w:t>ón</w:t>
      </w:r>
      <w:r w:rsidRPr="0001715F">
        <w:rPr>
          <w:lang w:val="es-ES_tradnl"/>
        </w:rPr>
        <w:t xml:space="preserve"> (ALE) </w:t>
      </w:r>
      <w:r>
        <w:rPr>
          <w:lang w:val="es-ES_tradnl"/>
        </w:rPr>
        <w:t>facilita un medio para que los clientes obtengan datos EPC filtrados</w:t>
      </w:r>
      <w:r w:rsidRPr="0001715F">
        <w:rPr>
          <w:lang w:val="es-ES_tradnl"/>
        </w:rPr>
        <w:t xml:space="preserve">. Esta interfaz proporciona independencia entre los componentes de infraestructura que obtienen los datos </w:t>
      </w:r>
      <w:r>
        <w:rPr>
          <w:lang w:val="es-ES_tradnl"/>
        </w:rPr>
        <w:t xml:space="preserve">EPC </w:t>
      </w:r>
      <w:r w:rsidRPr="0001715F">
        <w:rPr>
          <w:lang w:val="es-ES_tradnl"/>
        </w:rPr>
        <w:t>brutos, los componentes que procesan esos datos y las aplicaciones que hacen uso de esos datos.</w:t>
      </w:r>
      <w:r>
        <w:rPr>
          <w:lang w:val="es-ES_tradnl"/>
        </w:rPr>
        <w:t xml:space="preserve"> </w:t>
      </w:r>
    </w:p>
    <w:p w14:paraId="4F8BDD3E" w14:textId="77777777" w:rsidR="00533114" w:rsidRPr="00477007" w:rsidRDefault="00533114" w:rsidP="00C142FB">
      <w:pPr>
        <w:pStyle w:val="enumlev1"/>
        <w:rPr>
          <w:lang w:val="es-ES_tradnl"/>
        </w:rPr>
      </w:pPr>
      <w:r w:rsidRPr="00A230AE">
        <w:rPr>
          <w:lang w:val="es-ES_tradnl"/>
        </w:rPr>
        <w:t>•</w:t>
      </w:r>
      <w:r>
        <w:rPr>
          <w:lang w:val="es-ES_tradnl"/>
        </w:rPr>
        <w:tab/>
      </w:r>
      <w:r w:rsidRPr="0001715F">
        <w:rPr>
          <w:lang w:val="es-ES_tradnl"/>
        </w:rPr>
        <w:t>La norma sobre servicios de información EPC (EPCIS) permite compartir</w:t>
      </w:r>
      <w:r>
        <w:rPr>
          <w:lang w:val="es-ES_tradnl"/>
        </w:rPr>
        <w:t xml:space="preserve"> datos EPC en y entre empresas.</w:t>
      </w:r>
    </w:p>
    <w:p w14:paraId="43B37E12" w14:textId="77777777" w:rsidR="00533114" w:rsidRPr="0035633D" w:rsidRDefault="00533114" w:rsidP="00C142FB">
      <w:pPr>
        <w:pStyle w:val="enumlev1"/>
        <w:rPr>
          <w:lang w:val="es-ES_tradnl"/>
        </w:rPr>
      </w:pPr>
      <w:r w:rsidRPr="00A230AE">
        <w:rPr>
          <w:lang w:val="es-ES_tradnl"/>
        </w:rPr>
        <w:t>•</w:t>
      </w:r>
      <w:r>
        <w:rPr>
          <w:lang w:val="es-ES_tradnl"/>
        </w:rPr>
        <w:tab/>
      </w:r>
      <w:r w:rsidRPr="0035633D">
        <w:rPr>
          <w:lang w:val="es-ES_tradnl"/>
        </w:rPr>
        <w:t xml:space="preserve">El vocabulario principal de negocio (CBV) pretende garantizar que todas las partes que intercambian datos EPCIS </w:t>
      </w:r>
      <w:r>
        <w:rPr>
          <w:lang w:val="es-ES_tradnl"/>
        </w:rPr>
        <w:t>tengan un</w:t>
      </w:r>
      <w:r w:rsidRPr="0035633D">
        <w:rPr>
          <w:lang w:val="es-ES_tradnl"/>
        </w:rPr>
        <w:t xml:space="preserve"> entendimiento com</w:t>
      </w:r>
      <w:r>
        <w:rPr>
          <w:lang w:val="es-ES_tradnl"/>
        </w:rPr>
        <w:t>ún del significado de esos datos</w:t>
      </w:r>
      <w:r w:rsidRPr="0035633D">
        <w:rPr>
          <w:lang w:val="es-ES_tradnl"/>
        </w:rPr>
        <w:t>.</w:t>
      </w:r>
    </w:p>
    <w:p w14:paraId="57F85D9E" w14:textId="77777777" w:rsidR="00533114" w:rsidRPr="0035633D" w:rsidRDefault="00533114" w:rsidP="00C142FB">
      <w:pPr>
        <w:pStyle w:val="enumlev1"/>
        <w:rPr>
          <w:lang w:val="es-ES_tradnl"/>
        </w:rPr>
      </w:pPr>
      <w:r w:rsidRPr="00A230AE">
        <w:rPr>
          <w:lang w:val="es-ES_tradnl"/>
        </w:rPr>
        <w:lastRenderedPageBreak/>
        <w:t>•</w:t>
      </w:r>
      <w:r>
        <w:rPr>
          <w:lang w:val="es-ES_tradnl"/>
        </w:rPr>
        <w:tab/>
        <w:t>La nor</w:t>
      </w:r>
      <w:r w:rsidRPr="0035633D">
        <w:rPr>
          <w:lang w:val="es-ES_tradnl"/>
        </w:rPr>
        <w:t xml:space="preserve">ma sobre el servicio de denominación de objetos (ONS) </w:t>
      </w:r>
      <w:r>
        <w:rPr>
          <w:lang w:val="es-ES_tradnl"/>
        </w:rPr>
        <w:t>describe cómo</w:t>
      </w:r>
      <w:r w:rsidRPr="0035633D">
        <w:rPr>
          <w:lang w:val="es-ES_tradnl"/>
        </w:rPr>
        <w:t xml:space="preserve"> se</w:t>
      </w:r>
      <w:r>
        <w:rPr>
          <w:lang w:val="es-ES_tradnl"/>
        </w:rPr>
        <w:t xml:space="preserve"> puede</w:t>
      </w:r>
      <w:r w:rsidRPr="0035633D">
        <w:rPr>
          <w:lang w:val="es-ES_tradnl"/>
        </w:rPr>
        <w:t xml:space="preserve"> emplear el sistema </w:t>
      </w:r>
      <w:r>
        <w:rPr>
          <w:lang w:val="es-ES_tradnl"/>
        </w:rPr>
        <w:t>de nombres de dominio</w:t>
      </w:r>
      <w:r w:rsidRPr="0035633D">
        <w:rPr>
          <w:lang w:val="es-ES_tradnl"/>
        </w:rPr>
        <w:t xml:space="preserve"> (DNS) </w:t>
      </w:r>
      <w:r>
        <w:rPr>
          <w:lang w:val="es-ES_tradnl"/>
        </w:rPr>
        <w:t xml:space="preserve">para obtener información asociada con un </w:t>
      </w:r>
      <w:r w:rsidRPr="0035633D">
        <w:rPr>
          <w:lang w:val="es-ES_tradnl"/>
        </w:rPr>
        <w:t>EPC</w:t>
      </w:r>
      <w:r>
        <w:rPr>
          <w:lang w:val="es-ES_tradnl"/>
        </w:rPr>
        <w:t xml:space="preserve"> concreto.</w:t>
      </w:r>
    </w:p>
    <w:p w14:paraId="6E2C5182" w14:textId="77777777" w:rsidR="00533114" w:rsidRPr="00B43E74" w:rsidRDefault="00533114" w:rsidP="00C142FB">
      <w:pPr>
        <w:pStyle w:val="enumlev1"/>
        <w:rPr>
          <w:lang w:val="es-ES_tradnl"/>
        </w:rPr>
      </w:pPr>
      <w:r w:rsidRPr="00A230AE">
        <w:rPr>
          <w:lang w:val="es-ES_tradnl"/>
        </w:rPr>
        <w:t>•</w:t>
      </w:r>
      <w:r>
        <w:rPr>
          <w:lang w:val="es-ES_tradnl"/>
        </w:rPr>
        <w:tab/>
      </w:r>
      <w:r w:rsidRPr="00B43E74">
        <w:rPr>
          <w:lang w:val="es-ES_tradnl"/>
        </w:rPr>
        <w:t xml:space="preserve">La norma sobre perfiles de certificados de EPCglobal </w:t>
      </w:r>
      <w:r>
        <w:rPr>
          <w:lang w:val="es-ES_tradnl"/>
        </w:rPr>
        <w:t>describe cómo se pueden autenticar entidades dentro de la red mundial de</w:t>
      </w:r>
      <w:r w:rsidRPr="00B43E74">
        <w:rPr>
          <w:lang w:val="es-ES_tradnl"/>
        </w:rPr>
        <w:t xml:space="preserve"> EPC. Se utilizan la red de autenticación de la Recomendación UIT-T X.509 [60] </w:t>
      </w:r>
      <w:r>
        <w:rPr>
          <w:lang w:val="es-ES_tradnl"/>
        </w:rPr>
        <w:t>y los perfiles de infraestructura de clave pública de Internet definidos en</w:t>
      </w:r>
      <w:r w:rsidRPr="00B43E74">
        <w:rPr>
          <w:lang w:val="es-ES_tradnl"/>
        </w:rPr>
        <w:t xml:space="preserve"> IETF RFC 3280 [61] </w:t>
      </w:r>
      <w:r>
        <w:rPr>
          <w:lang w:val="es-ES_tradnl"/>
        </w:rPr>
        <w:t>e</w:t>
      </w:r>
      <w:r w:rsidRPr="00B43E74">
        <w:rPr>
          <w:lang w:val="es-ES_tradnl"/>
        </w:rPr>
        <w:t xml:space="preserve"> IETF RFC 3279 [62].</w:t>
      </w:r>
    </w:p>
    <w:p w14:paraId="353FE3A2" w14:textId="77777777" w:rsidR="00533114" w:rsidRPr="002469EB" w:rsidRDefault="00533114" w:rsidP="00C142FB">
      <w:pPr>
        <w:pStyle w:val="enumlev1"/>
        <w:rPr>
          <w:lang w:val="es-ES_tradnl"/>
        </w:rPr>
      </w:pPr>
      <w:r w:rsidRPr="00A230AE">
        <w:rPr>
          <w:lang w:val="es-ES_tradnl"/>
        </w:rPr>
        <w:t>•</w:t>
      </w:r>
      <w:r>
        <w:rPr>
          <w:lang w:val="es-ES_tradnl"/>
        </w:rPr>
        <w:tab/>
      </w:r>
      <w:r w:rsidRPr="00B43E74">
        <w:rPr>
          <w:lang w:val="es-ES_tradnl"/>
        </w:rPr>
        <w:t xml:space="preserve">La norma sobre </w:t>
      </w:r>
      <w:r>
        <w:rPr>
          <w:lang w:val="es-ES_tradnl"/>
        </w:rPr>
        <w:t>historial</w:t>
      </w:r>
      <w:r w:rsidRPr="00B43E74">
        <w:rPr>
          <w:lang w:val="es-ES_tradnl"/>
        </w:rPr>
        <w:t xml:space="preserve"> especifica los medios para manejar documentos electrónicos </w:t>
      </w:r>
      <w:r>
        <w:rPr>
          <w:lang w:val="es-ES_tradnl"/>
        </w:rPr>
        <w:t>del "historial" para que se usen en aplicaciones de la cadena de suministro farmacéutica.</w:t>
      </w:r>
    </w:p>
    <w:p w14:paraId="6F0C9DFB" w14:textId="77777777" w:rsidR="00533114" w:rsidRDefault="00533114" w:rsidP="00C142FB">
      <w:pPr>
        <w:pStyle w:val="Figure"/>
      </w:pPr>
      <w:r>
        <w:object w:dxaOrig="6179" w:dyaOrig="4965" w14:anchorId="7314A767">
          <v:shape id="_x0000_i1029" type="#_x0000_t75" style="width:442.5pt;height:355.5pt" o:ole="">
            <v:imagedata r:id="rId72" o:title=""/>
          </v:shape>
          <o:OLEObject Type="Embed" ProgID="CorelDraw.Graphic.16" ShapeID="_x0000_i1029" DrawAspect="Content" ObjectID="_1521536385" r:id="rId73"/>
        </w:object>
      </w:r>
    </w:p>
    <w:p w14:paraId="5215A81C" w14:textId="77777777" w:rsidR="00533114" w:rsidRPr="002469EB" w:rsidRDefault="00533114" w:rsidP="00C142FB">
      <w:pPr>
        <w:pStyle w:val="FigureNotitle"/>
        <w:rPr>
          <w:lang w:val="es-ES_tradnl" w:bidi="ar-DZ"/>
        </w:rPr>
      </w:pPr>
      <w:bookmarkStart w:id="252" w:name="_Toc404785095"/>
      <w:bookmarkStart w:id="253" w:name="_Toc447274547"/>
      <w:r w:rsidRPr="002469EB">
        <w:rPr>
          <w:lang w:val="es-ES_tradnl" w:bidi="ar-DZ"/>
        </w:rPr>
        <w:t>Figura 12 – Visión general de las normas de EPCglobal [59]</w:t>
      </w:r>
      <w:bookmarkEnd w:id="252"/>
      <w:bookmarkEnd w:id="253"/>
    </w:p>
    <w:p w14:paraId="23DF12D0" w14:textId="42E66342" w:rsidR="00533114" w:rsidRPr="00283676" w:rsidRDefault="00533114" w:rsidP="00C142FB">
      <w:pPr>
        <w:pStyle w:val="Heading2"/>
        <w:rPr>
          <w:rFonts w:asciiTheme="majorBidi" w:hAnsiTheme="majorBidi" w:cstheme="majorBidi"/>
          <w:lang w:val="es-ES_tradnl"/>
        </w:rPr>
      </w:pPr>
      <w:bookmarkStart w:id="254" w:name="_Toc200180743"/>
      <w:bookmarkStart w:id="255" w:name="_Toc200181311"/>
      <w:bookmarkStart w:id="256" w:name="_Toc211334037"/>
      <w:bookmarkStart w:id="257" w:name="_Toc404607210"/>
      <w:bookmarkStart w:id="258" w:name="_Toc406670418"/>
      <w:bookmarkStart w:id="259" w:name="_Toc447202554"/>
      <w:bookmarkStart w:id="260" w:name="_Toc447203033"/>
      <w:r w:rsidRPr="00283676">
        <w:rPr>
          <w:rFonts w:asciiTheme="majorBidi" w:hAnsiTheme="majorBidi" w:cstheme="majorBidi"/>
          <w:lang w:val="es-ES_tradnl"/>
        </w:rPr>
        <w:t>7.6</w:t>
      </w:r>
      <w:r>
        <w:rPr>
          <w:rFonts w:asciiTheme="majorBidi" w:hAnsiTheme="majorBidi" w:cstheme="majorBidi"/>
          <w:lang w:val="es-ES_tradnl"/>
        </w:rPr>
        <w:tab/>
      </w:r>
      <w:r w:rsidRPr="00283676">
        <w:rPr>
          <w:rFonts w:asciiTheme="majorBidi" w:hAnsiTheme="majorBidi" w:cstheme="majorBidi"/>
          <w:lang w:val="es-ES_tradnl"/>
        </w:rPr>
        <w:t>Impresión segura y etiquetas de holograma</w:t>
      </w:r>
      <w:bookmarkEnd w:id="254"/>
      <w:bookmarkEnd w:id="255"/>
      <w:bookmarkEnd w:id="256"/>
      <w:bookmarkEnd w:id="257"/>
      <w:bookmarkEnd w:id="258"/>
      <w:bookmarkEnd w:id="259"/>
      <w:bookmarkEnd w:id="260"/>
    </w:p>
    <w:p w14:paraId="3FE18AD5" w14:textId="77777777" w:rsidR="00533114" w:rsidRPr="00865E9B" w:rsidRDefault="00533114" w:rsidP="00C142FB">
      <w:pPr>
        <w:rPr>
          <w:rFonts w:asciiTheme="majorBidi" w:hAnsiTheme="majorBidi" w:cstheme="majorBidi"/>
          <w:lang w:val="es-ES_tradnl"/>
        </w:rPr>
      </w:pPr>
      <w:r w:rsidRPr="00865E9B">
        <w:rPr>
          <w:rFonts w:asciiTheme="majorBidi" w:hAnsiTheme="majorBidi" w:cstheme="majorBidi"/>
          <w:lang w:val="es-ES_tradnl"/>
        </w:rPr>
        <w:t>Se pueden utilizar tecnologías de impresión segura para crear etiquetas a prueba de manipulaciones y las etiquetas se pueden complementar tambi</w:t>
      </w:r>
      <w:r>
        <w:rPr>
          <w:rFonts w:asciiTheme="majorBidi" w:hAnsiTheme="majorBidi" w:cstheme="majorBidi"/>
          <w:lang w:val="es-ES_tradnl"/>
        </w:rPr>
        <w:t xml:space="preserve">én con imágenes holográficas que son difíciles de generar. </w:t>
      </w:r>
      <w:r w:rsidRPr="00865E9B">
        <w:rPr>
          <w:rFonts w:asciiTheme="majorBidi" w:hAnsiTheme="majorBidi" w:cstheme="majorBidi"/>
          <w:lang w:val="es-ES_tradnl"/>
        </w:rPr>
        <w:t>Cabe destacar, sin embargo, que los falsificadores han falsificad</w:t>
      </w:r>
      <w:r>
        <w:rPr>
          <w:rFonts w:asciiTheme="majorBidi" w:hAnsiTheme="majorBidi" w:cstheme="majorBidi"/>
          <w:lang w:val="es-ES_tradnl"/>
        </w:rPr>
        <w:t>o y copiado estos mecanismos en muchas ocasiones</w:t>
      </w:r>
      <w:r w:rsidRPr="00865E9B">
        <w:rPr>
          <w:rFonts w:asciiTheme="majorBidi" w:hAnsiTheme="majorBidi" w:cstheme="majorBidi"/>
          <w:lang w:val="es-ES_tradnl"/>
        </w:rPr>
        <w:t>.</w:t>
      </w:r>
      <w:r>
        <w:rPr>
          <w:rFonts w:asciiTheme="majorBidi" w:hAnsiTheme="majorBidi" w:cstheme="majorBidi"/>
          <w:lang w:val="es-ES_tradnl"/>
        </w:rPr>
        <w:t xml:space="preserve"> </w:t>
      </w:r>
    </w:p>
    <w:p w14:paraId="4A97DBFA" w14:textId="4D7B4496" w:rsidR="00533114" w:rsidRPr="00865E9B" w:rsidRDefault="00533114" w:rsidP="00C142FB">
      <w:pPr>
        <w:pStyle w:val="Heading2"/>
        <w:rPr>
          <w:rFonts w:asciiTheme="majorBidi" w:hAnsiTheme="majorBidi" w:cstheme="majorBidi"/>
          <w:lang w:val="es-ES_tradnl"/>
        </w:rPr>
      </w:pPr>
      <w:bookmarkStart w:id="261" w:name="_Toc200180744"/>
      <w:bookmarkStart w:id="262" w:name="_Toc200181312"/>
      <w:bookmarkStart w:id="263" w:name="_Toc211334038"/>
      <w:bookmarkStart w:id="264" w:name="_Toc404607211"/>
      <w:bookmarkStart w:id="265" w:name="_Toc406670419"/>
      <w:bookmarkStart w:id="266" w:name="_Toc447202555"/>
      <w:bookmarkStart w:id="267" w:name="_Toc447203034"/>
      <w:r w:rsidRPr="00865E9B">
        <w:rPr>
          <w:rFonts w:asciiTheme="majorBidi" w:hAnsiTheme="majorBidi" w:cstheme="majorBidi"/>
          <w:lang w:val="es-ES_tradnl"/>
        </w:rPr>
        <w:t>7.7</w:t>
      </w:r>
      <w:r>
        <w:rPr>
          <w:rFonts w:asciiTheme="majorBidi" w:hAnsiTheme="majorBidi" w:cstheme="majorBidi"/>
          <w:lang w:val="es-ES_tradnl"/>
        </w:rPr>
        <w:tab/>
      </w:r>
      <w:r w:rsidRPr="00865E9B">
        <w:rPr>
          <w:rFonts w:asciiTheme="majorBidi" w:hAnsiTheme="majorBidi" w:cstheme="majorBidi"/>
          <w:lang w:val="es-ES_tradnl"/>
        </w:rPr>
        <w:t>G</w:t>
      </w:r>
      <w:r>
        <w:rPr>
          <w:rFonts w:asciiTheme="majorBidi" w:hAnsiTheme="majorBidi" w:cstheme="majorBidi"/>
          <w:lang w:val="es-ES_tradnl"/>
        </w:rPr>
        <w:t>es</w:t>
      </w:r>
      <w:r w:rsidRPr="00865E9B">
        <w:rPr>
          <w:rFonts w:asciiTheme="majorBidi" w:hAnsiTheme="majorBidi" w:cstheme="majorBidi"/>
          <w:lang w:val="es-ES_tradnl"/>
        </w:rPr>
        <w:t>tión de la cadena de suministro</w:t>
      </w:r>
      <w:bookmarkEnd w:id="261"/>
      <w:bookmarkEnd w:id="262"/>
      <w:bookmarkEnd w:id="263"/>
      <w:bookmarkEnd w:id="264"/>
      <w:bookmarkEnd w:id="265"/>
      <w:bookmarkEnd w:id="266"/>
      <w:bookmarkEnd w:id="267"/>
    </w:p>
    <w:p w14:paraId="3EDEF46A" w14:textId="77777777" w:rsidR="00533114" w:rsidRPr="003B3604" w:rsidRDefault="00533114" w:rsidP="00C142FB">
      <w:pPr>
        <w:rPr>
          <w:rFonts w:asciiTheme="majorBidi" w:hAnsiTheme="majorBidi" w:cstheme="majorBidi"/>
        </w:rPr>
      </w:pPr>
      <w:r w:rsidRPr="00865E9B">
        <w:rPr>
          <w:rFonts w:asciiTheme="majorBidi" w:hAnsiTheme="majorBidi" w:cstheme="majorBidi"/>
          <w:lang w:val="es-ES_tradnl"/>
        </w:rPr>
        <w:t>Mantener la seguridad de la</w:t>
      </w:r>
      <w:r>
        <w:rPr>
          <w:rFonts w:asciiTheme="majorBidi" w:hAnsiTheme="majorBidi" w:cstheme="majorBidi"/>
          <w:lang w:val="es-ES_tradnl"/>
        </w:rPr>
        <w:t xml:space="preserve"> cadena de suministro es muy im</w:t>
      </w:r>
      <w:r w:rsidRPr="00865E9B">
        <w:rPr>
          <w:rFonts w:asciiTheme="majorBidi" w:hAnsiTheme="majorBidi" w:cstheme="majorBidi"/>
          <w:lang w:val="es-ES_tradnl"/>
        </w:rPr>
        <w:t>portante para luchar contra las actividades de falsificaci</w:t>
      </w:r>
      <w:r>
        <w:rPr>
          <w:rFonts w:asciiTheme="majorBidi" w:hAnsiTheme="majorBidi" w:cstheme="majorBidi"/>
          <w:lang w:val="es-ES_tradnl"/>
        </w:rPr>
        <w:t xml:space="preserve">ón. </w:t>
      </w:r>
      <w:r w:rsidRPr="00865E9B">
        <w:rPr>
          <w:rFonts w:asciiTheme="majorBidi" w:hAnsiTheme="majorBidi" w:cstheme="majorBidi"/>
          <w:lang w:val="es-ES_tradnl"/>
        </w:rPr>
        <w:t>La serie de normas ISO 28000 de la Organización Internacional de Normalizaci</w:t>
      </w:r>
      <w:r>
        <w:rPr>
          <w:rFonts w:asciiTheme="majorBidi" w:hAnsiTheme="majorBidi" w:cstheme="majorBidi"/>
          <w:lang w:val="es-ES_tradnl"/>
        </w:rPr>
        <w:t xml:space="preserve">ón especifica los requisitos para la gestión segura de las cadenas de suministro. Estas normas aplican a organizaciones de cualquier tamaño implicadas en la fabricación, servicio, </w:t>
      </w:r>
      <w:r>
        <w:rPr>
          <w:rFonts w:asciiTheme="majorBidi" w:hAnsiTheme="majorBidi" w:cstheme="majorBidi"/>
          <w:lang w:val="es-ES_tradnl"/>
        </w:rPr>
        <w:lastRenderedPageBreak/>
        <w:t xml:space="preserve">almacenamiento y transporte por tierra, mar y aire en cualquier fase de los procesos de producción y de suministro. </w:t>
      </w:r>
      <w:r w:rsidRPr="00962FB3">
        <w:rPr>
          <w:rFonts w:asciiTheme="majorBidi" w:hAnsiTheme="majorBidi" w:cstheme="majorBidi"/>
          <w:lang w:val="en-US"/>
        </w:rPr>
        <w:t>Están disponibles las normas siguientes</w:t>
      </w:r>
      <w:r w:rsidRPr="003B3604">
        <w:rPr>
          <w:rFonts w:asciiTheme="majorBidi" w:hAnsiTheme="majorBidi" w:cstheme="majorBidi"/>
        </w:rPr>
        <w:t>:</w:t>
      </w:r>
    </w:p>
    <w:p w14:paraId="0A53643F" w14:textId="77777777" w:rsidR="00533114" w:rsidRPr="003B3604" w:rsidRDefault="00533114" w:rsidP="00C142FB">
      <w:pPr>
        <w:pStyle w:val="enumlev1"/>
      </w:pPr>
      <w:r>
        <w:t>•</w:t>
      </w:r>
      <w:r>
        <w:tab/>
      </w:r>
      <w:r w:rsidRPr="003B3604">
        <w:t xml:space="preserve">ISO 28000:2007, </w:t>
      </w:r>
      <w:r w:rsidRPr="00D1631B">
        <w:rPr>
          <w:i/>
          <w:iCs/>
        </w:rPr>
        <w:t>Specification for security management systems for the supply chain</w:t>
      </w:r>
      <w:r>
        <w:t>. [107]</w:t>
      </w:r>
    </w:p>
    <w:p w14:paraId="3C398148" w14:textId="77777777" w:rsidR="00533114" w:rsidRPr="003B3604" w:rsidRDefault="00533114" w:rsidP="00C142FB">
      <w:pPr>
        <w:pStyle w:val="enumlev1"/>
      </w:pPr>
      <w:r>
        <w:t>•</w:t>
      </w:r>
      <w:r>
        <w:tab/>
      </w:r>
      <w:r w:rsidRPr="003B3604">
        <w:t xml:space="preserve">ISO 28001:2007, </w:t>
      </w:r>
      <w:r w:rsidRPr="00D1631B">
        <w:rPr>
          <w:i/>
          <w:iCs/>
        </w:rPr>
        <w:t>Security management systems for the supply chain – Best practices for implementing supply chain security assessments and plans – Requirements and guidance</w:t>
      </w:r>
      <w:r>
        <w:t>. [108]</w:t>
      </w:r>
    </w:p>
    <w:p w14:paraId="05216A12" w14:textId="77777777" w:rsidR="00533114" w:rsidRPr="003B3604" w:rsidRDefault="00533114" w:rsidP="00C142FB">
      <w:pPr>
        <w:pStyle w:val="enumlev1"/>
      </w:pPr>
      <w:r>
        <w:t>•</w:t>
      </w:r>
      <w:r>
        <w:tab/>
      </w:r>
      <w:r w:rsidRPr="003B3604">
        <w:t xml:space="preserve">ISO 28003:2007, </w:t>
      </w:r>
      <w:r w:rsidRPr="00D1631B">
        <w:rPr>
          <w:i/>
          <w:iCs/>
        </w:rPr>
        <w:t>Security management systems for the supply chain – Requirements for bodies providing audit and certification of supply chain security management systems</w:t>
      </w:r>
      <w:r>
        <w:t>. [109]</w:t>
      </w:r>
    </w:p>
    <w:p w14:paraId="6DEEEFE1" w14:textId="77777777" w:rsidR="00533114" w:rsidRPr="003B3604" w:rsidRDefault="00533114" w:rsidP="00C142FB">
      <w:pPr>
        <w:pStyle w:val="enumlev1"/>
      </w:pPr>
      <w:r>
        <w:t>•</w:t>
      </w:r>
      <w:r>
        <w:tab/>
      </w:r>
      <w:r w:rsidRPr="003B3604">
        <w:t>ISO 28004</w:t>
      </w:r>
      <w:r>
        <w:t>-1</w:t>
      </w:r>
      <w:r w:rsidRPr="003B3604">
        <w:t xml:space="preserve">:2007, </w:t>
      </w:r>
      <w:r w:rsidRPr="00D1631B">
        <w:rPr>
          <w:i/>
          <w:iCs/>
        </w:rPr>
        <w:t>Security management systems for the supply chain – Guidelines for the implementation of ISO 28000 – Part 1: General principles</w:t>
      </w:r>
      <w:r>
        <w:t>. [110]</w:t>
      </w:r>
    </w:p>
    <w:p w14:paraId="0275858D" w14:textId="77777777" w:rsidR="00533114" w:rsidRPr="00D1631B" w:rsidRDefault="00533114" w:rsidP="00C142FB">
      <w:pPr>
        <w:pStyle w:val="enumlev1"/>
        <w:rPr>
          <w:lang w:val="es-ES_tradnl"/>
        </w:rPr>
      </w:pPr>
      <w:r w:rsidRPr="00962FB3">
        <w:rPr>
          <w:lang w:val="en-US"/>
        </w:rPr>
        <w:t>•</w:t>
      </w:r>
      <w:r w:rsidRPr="00962FB3">
        <w:rPr>
          <w:lang w:val="en-US"/>
        </w:rPr>
        <w:tab/>
        <w:t xml:space="preserve">ISO 28005-2:2011, </w:t>
      </w:r>
      <w:r w:rsidRPr="00962FB3">
        <w:rPr>
          <w:i/>
          <w:iCs/>
          <w:lang w:val="en-US"/>
        </w:rPr>
        <w:t>Security management systems for the supply chain – Electronic port clearance (EPC) – Part 2: Core data elements</w:t>
      </w:r>
      <w:r w:rsidRPr="00962FB3">
        <w:rPr>
          <w:lang w:val="en-US"/>
        </w:rPr>
        <w:t xml:space="preserve">. </w:t>
      </w:r>
      <w:r w:rsidRPr="00D1631B">
        <w:rPr>
          <w:lang w:val="es-ES_tradnl"/>
        </w:rPr>
        <w:t>[111]</w:t>
      </w:r>
    </w:p>
    <w:p w14:paraId="71911A9B" w14:textId="77777777" w:rsidR="00533114" w:rsidRPr="00DD2B7C" w:rsidRDefault="00533114" w:rsidP="00C142FB">
      <w:pPr>
        <w:spacing w:after="240"/>
        <w:rPr>
          <w:lang w:val="es-ES_tradnl"/>
        </w:rPr>
      </w:pPr>
      <w:r w:rsidRPr="00DD2B7C">
        <w:rPr>
          <w:rFonts w:asciiTheme="majorBidi" w:hAnsiTheme="majorBidi" w:cstheme="majorBidi"/>
          <w:lang w:val="es-ES_tradnl"/>
        </w:rPr>
        <w:t>Las normas ISO 28000 necesitan organizaciones para evaluar el entorno de seguridad en el que funcionan y para determinar si se han implementado medidas de seguridad adecuadas. En la Figura</w:t>
      </w:r>
      <w:r>
        <w:rPr>
          <w:rFonts w:asciiTheme="majorBidi" w:hAnsiTheme="majorBidi" w:cstheme="majorBidi"/>
          <w:lang w:val="es-ES_tradnl"/>
        </w:rPr>
        <w:t> </w:t>
      </w:r>
      <w:r w:rsidRPr="00DD2B7C">
        <w:rPr>
          <w:rFonts w:asciiTheme="majorBidi" w:hAnsiTheme="majorBidi" w:cstheme="majorBidi"/>
          <w:lang w:val="es-ES_tradnl"/>
        </w:rPr>
        <w:t xml:space="preserve">13 se muestran los elementos del </w:t>
      </w:r>
      <w:r>
        <w:rPr>
          <w:rFonts w:asciiTheme="majorBidi" w:hAnsiTheme="majorBidi" w:cstheme="majorBidi"/>
          <w:lang w:val="es-ES_tradnl"/>
        </w:rPr>
        <w:t>s</w:t>
      </w:r>
      <w:r w:rsidRPr="00DD2B7C">
        <w:rPr>
          <w:rFonts w:asciiTheme="majorBidi" w:hAnsiTheme="majorBidi" w:cstheme="majorBidi"/>
          <w:lang w:val="es-ES_tradnl"/>
        </w:rPr>
        <w:t>istema de gestión de la seguridad</w:t>
      </w:r>
      <w:r w:rsidRPr="00DD2B7C">
        <w:rPr>
          <w:lang w:val="es-ES_tradnl"/>
        </w:rPr>
        <w:t>.</w:t>
      </w:r>
    </w:p>
    <w:p w14:paraId="66B6A8D7" w14:textId="77777777" w:rsidR="00533114" w:rsidRDefault="00533114" w:rsidP="00C142FB">
      <w:pPr>
        <w:pStyle w:val="Figure"/>
      </w:pPr>
      <w:r>
        <w:object w:dxaOrig="6541" w:dyaOrig="3817" w14:anchorId="7A671B24">
          <v:shape id="_x0000_i1030" type="#_x0000_t75" style="width:432.75pt;height:252pt" o:ole="">
            <v:imagedata r:id="rId74" o:title=""/>
          </v:shape>
          <o:OLEObject Type="Embed" ProgID="CorelDraw.Graphic.16" ShapeID="_x0000_i1030" DrawAspect="Content" ObjectID="_1521536386" r:id="rId75"/>
        </w:object>
      </w:r>
    </w:p>
    <w:p w14:paraId="08782CAE" w14:textId="77777777" w:rsidR="00533114" w:rsidRDefault="00533114" w:rsidP="00C142FB">
      <w:pPr>
        <w:pStyle w:val="FigureNotitle"/>
        <w:spacing w:after="240"/>
        <w:rPr>
          <w:lang w:val="es-ES_tradnl" w:bidi="ar-DZ"/>
        </w:rPr>
      </w:pPr>
      <w:bookmarkStart w:id="268" w:name="_Toc404785096"/>
      <w:bookmarkStart w:id="269" w:name="_Toc447274548"/>
      <w:r w:rsidRPr="005C58F5">
        <w:rPr>
          <w:lang w:val="es-ES_tradnl" w:bidi="ar-DZ"/>
        </w:rPr>
        <w:t xml:space="preserve">Figura 13 – Elementos del </w:t>
      </w:r>
      <w:r>
        <w:rPr>
          <w:lang w:val="es-ES_tradnl" w:bidi="ar-DZ"/>
        </w:rPr>
        <w:t>s</w:t>
      </w:r>
      <w:r w:rsidRPr="005C58F5">
        <w:rPr>
          <w:lang w:val="es-ES_tradnl" w:bidi="ar-DZ"/>
        </w:rPr>
        <w:t>istema de gesti</w:t>
      </w:r>
      <w:r>
        <w:rPr>
          <w:lang w:val="es-ES_tradnl" w:bidi="ar-DZ"/>
        </w:rPr>
        <w:t xml:space="preserve">ón de la seguridad de </w:t>
      </w:r>
      <w:r w:rsidRPr="005C58F5">
        <w:rPr>
          <w:lang w:val="es-ES_tradnl" w:bidi="ar-DZ"/>
        </w:rPr>
        <w:t>ISO 28000</w:t>
      </w:r>
      <w:bookmarkEnd w:id="268"/>
      <w:bookmarkEnd w:id="269"/>
    </w:p>
    <w:p w14:paraId="0556CA42" w14:textId="77777777" w:rsidR="00533114" w:rsidRPr="0083404E" w:rsidRDefault="00533114" w:rsidP="00C142FB">
      <w:pPr>
        <w:pStyle w:val="Normalaftertitle"/>
        <w:rPr>
          <w:lang w:val="es-ES_tradnl"/>
        </w:rPr>
      </w:pPr>
      <w:r w:rsidRPr="0083404E">
        <w:rPr>
          <w:lang w:val="es-ES_tradnl"/>
        </w:rPr>
        <w:t xml:space="preserve">El marco normativo SAFE [63] de la Organización Mundial de Aduanas (OMA) pretende garantizar la seguridad de las cadenas mundiales de suministro e incluye un manual que describe los factores que indican </w:t>
      </w:r>
      <w:r>
        <w:rPr>
          <w:lang w:val="es-ES_tradnl"/>
        </w:rPr>
        <w:t>cuando</w:t>
      </w:r>
      <w:r w:rsidRPr="0083404E">
        <w:rPr>
          <w:lang w:val="es-ES_tradnl"/>
        </w:rPr>
        <w:t xml:space="preserve"> un env</w:t>
      </w:r>
      <w:r>
        <w:rPr>
          <w:lang w:val="es-ES_tradnl"/>
        </w:rPr>
        <w:t xml:space="preserve">ío tiene una probabilidad elevada de contener mercancías falsificadas. </w:t>
      </w:r>
      <w:r w:rsidRPr="0083404E">
        <w:rPr>
          <w:lang w:val="es-ES_tradnl"/>
        </w:rPr>
        <w:t xml:space="preserve">El marco SAFE se basa en acuerdos entre aduanas y también en asociaciones entre aduanas y empresas </w:t>
      </w:r>
      <w:r>
        <w:rPr>
          <w:lang w:val="es-ES_tradnl"/>
        </w:rPr>
        <w:t>de las que se benefician</w:t>
      </w:r>
      <w:r w:rsidRPr="0083404E">
        <w:rPr>
          <w:lang w:val="es-ES_tradnl"/>
        </w:rPr>
        <w:t xml:space="preserve"> las empresas que cumplen las normas de seguridad de la cadena de suministro.</w:t>
      </w:r>
      <w:r>
        <w:rPr>
          <w:lang w:val="es-ES_tradnl"/>
        </w:rPr>
        <w:t xml:space="preserve"> </w:t>
      </w:r>
    </w:p>
    <w:p w14:paraId="6D99FE8C" w14:textId="77777777" w:rsidR="00533114" w:rsidRPr="00BB798A" w:rsidRDefault="00533114" w:rsidP="00C142FB">
      <w:pPr>
        <w:rPr>
          <w:lang w:val="es-ES_tradnl"/>
        </w:rPr>
      </w:pPr>
      <w:r w:rsidRPr="00BB798A">
        <w:rPr>
          <w:lang w:val="es-ES_tradnl"/>
        </w:rPr>
        <w:t xml:space="preserve">El Comité Técnico 107 de la CEI, cuyo ámbito de actividad es la gestión de procesos para el sector </w:t>
      </w:r>
      <w:r>
        <w:rPr>
          <w:lang w:val="es-ES_tradnl"/>
        </w:rPr>
        <w:t xml:space="preserve">de la </w:t>
      </w:r>
      <w:r w:rsidRPr="00BB798A">
        <w:rPr>
          <w:lang w:val="es-ES_tradnl"/>
        </w:rPr>
        <w:t>aviónica</w:t>
      </w:r>
      <w:r>
        <w:rPr>
          <w:lang w:val="es-ES_tradnl"/>
        </w:rPr>
        <w:t xml:space="preserve">, ha elaborado una especificación relativa a cómo evitar el uso de componentes electrónicos falsificados, fraudulentos y reciclados </w:t>
      </w:r>
      <w:r w:rsidRPr="00BB798A">
        <w:rPr>
          <w:lang w:val="es-ES_tradnl"/>
        </w:rPr>
        <w:t xml:space="preserve">[64]. </w:t>
      </w:r>
      <w:r w:rsidRPr="00BB798A">
        <w:rPr>
          <w:bCs/>
          <w:lang w:val="es-ES_tradnl"/>
        </w:rPr>
        <w:t>Este Comité está trabajando actualmente en una especificación para la gestión de componentes electrónicos provenientes de fuentes sin franquicia</w:t>
      </w:r>
      <w:r>
        <w:rPr>
          <w:bCs/>
          <w:lang w:val="es-ES_tradnl"/>
        </w:rPr>
        <w:t xml:space="preserve"> para evitar que los productos falsificados se introduzcan en la cadena de suministro</w:t>
      </w:r>
      <w:r w:rsidRPr="00BB798A">
        <w:rPr>
          <w:bCs/>
          <w:lang w:val="es-ES_tradnl"/>
        </w:rPr>
        <w:t xml:space="preserve"> [65].</w:t>
      </w:r>
    </w:p>
    <w:p w14:paraId="47C72005" w14:textId="77777777" w:rsidR="00533114" w:rsidRPr="00655FFD" w:rsidRDefault="00533114" w:rsidP="00C142FB">
      <w:pPr>
        <w:rPr>
          <w:lang w:val="es-ES_tradnl"/>
        </w:rPr>
      </w:pPr>
      <w:r w:rsidRPr="00655FFD">
        <w:rPr>
          <w:lang w:val="es-ES_tradnl"/>
        </w:rPr>
        <w:lastRenderedPageBreak/>
        <w:t>SAE International (originalmente la Society for Automotive Engineers) ha elaborado algunas especificaciones que pretenden concretamente evitar que se introduzcan componentes electr</w:t>
      </w:r>
      <w:r>
        <w:rPr>
          <w:lang w:val="es-ES_tradnl"/>
        </w:rPr>
        <w:t>ónicos falsificados</w:t>
      </w:r>
      <w:r w:rsidRPr="00655FFD">
        <w:rPr>
          <w:lang w:val="es-ES_tradnl"/>
        </w:rPr>
        <w:t xml:space="preserve"> en las cadenas de suministro de los sectores aeroespaciales y de automoci</w:t>
      </w:r>
      <w:r>
        <w:rPr>
          <w:lang w:val="es-ES_tradnl"/>
        </w:rPr>
        <w:t>ón que se conocen normalmente como el sector de la electrónica. La SAE ha elaborado dos documentos destinados a aquellos que tienen que tomar decisiones de compra</w:t>
      </w:r>
      <w:r w:rsidRPr="00655FFD">
        <w:rPr>
          <w:lang w:val="es-ES_tradnl"/>
        </w:rPr>
        <w:t>:</w:t>
      </w:r>
    </w:p>
    <w:p w14:paraId="3D242DAB" w14:textId="77777777" w:rsidR="00533114" w:rsidRDefault="00533114" w:rsidP="00C142FB">
      <w:r>
        <w:t>SAE AS5553 [112]: "</w:t>
      </w:r>
      <w:r w:rsidRPr="00E249AC">
        <w:t>Counterfeit Electronic Parts; A</w:t>
      </w:r>
      <w:r>
        <w:t xml:space="preserve">voidance, Detection, Mitigation"; y </w:t>
      </w:r>
    </w:p>
    <w:p w14:paraId="2FF8C866" w14:textId="77777777" w:rsidR="00533114" w:rsidRPr="0072795B" w:rsidRDefault="00533114" w:rsidP="00C142FB">
      <w:pPr>
        <w:rPr>
          <w:lang w:val="es-ES_tradnl"/>
        </w:rPr>
      </w:pPr>
      <w:r w:rsidRPr="00C869C0">
        <w:t xml:space="preserve">SAE ARP6178 [113]: "Counterfeit Electronic Parts; Tool for Risk Assessment of Distributors"; y una especificación para su uso por los distribuidores: SAE AS6081 [114]: "Counterfeit Electronic Parts; Avoidance Protocol, Distributors". </w:t>
      </w:r>
      <w:r w:rsidRPr="0072795B">
        <w:rPr>
          <w:lang w:val="es-ES_tradnl"/>
        </w:rPr>
        <w:t>La SAE también ha elaborado una especificación sobre pruebas: SAE AS6171 [115]: "Test Methods Standard; Counterfeit Electronic Parts".</w:t>
      </w:r>
    </w:p>
    <w:p w14:paraId="762CAB45" w14:textId="77777777" w:rsidR="00533114" w:rsidRPr="00655FFD" w:rsidRDefault="00533114" w:rsidP="00C142FB">
      <w:pPr>
        <w:rPr>
          <w:lang w:val="es-ES_tradnl"/>
        </w:rPr>
      </w:pPr>
      <w:r w:rsidRPr="00655FFD">
        <w:rPr>
          <w:lang w:val="es-ES_tradnl"/>
        </w:rPr>
        <w:t>La TC 107 de la CEI trabaja estrechamente con SAE International en relación con SAE AS5553 mediante un acuerdo de coordinaci</w:t>
      </w:r>
      <w:r>
        <w:rPr>
          <w:lang w:val="es-ES_tradnl"/>
        </w:rPr>
        <w:t>ón.</w:t>
      </w:r>
    </w:p>
    <w:p w14:paraId="41E68958" w14:textId="77777777" w:rsidR="00B928DF" w:rsidRPr="009D5053" w:rsidRDefault="00B928DF" w:rsidP="00941C5E">
      <w:pPr>
        <w:rPr>
          <w:b/>
          <w:lang w:val="es-ES_tradnl"/>
        </w:rPr>
      </w:pPr>
      <w:bookmarkStart w:id="270" w:name="_Toc417464617"/>
      <w:bookmarkStart w:id="271" w:name="_Toc447202556"/>
      <w:bookmarkStart w:id="272" w:name="_Toc200180745"/>
      <w:bookmarkStart w:id="273" w:name="_Toc200181313"/>
      <w:bookmarkStart w:id="274" w:name="_Toc211334039"/>
      <w:bookmarkStart w:id="275" w:name="_Toc404607212"/>
      <w:bookmarkStart w:id="276" w:name="_Toc406670420"/>
      <w:r w:rsidRPr="009D5053">
        <w:rPr>
          <w:lang w:val="es-ES_tradnl"/>
        </w:rPr>
        <w:t>En la mayoría de los foros que se ocupan del problema de los productos falsificados anteriormente mencionados se ofrece asesoramiento o directrices sobre la gestión de la cadena de suministro. En general, incluyen los requisitos para la trazabilidad de los productos, su inspección y la realización de pruebas (por tres actores distintos). En 2011, el Grupo de Delitos sobre Propiedad Intelectual del Reino Unido elaboró un Conjunto de Herramientas para la cadena de suministro.</w:t>
      </w:r>
      <w:bookmarkEnd w:id="270"/>
      <w:bookmarkEnd w:id="271"/>
    </w:p>
    <w:p w14:paraId="442FCAEA" w14:textId="3937BCD2" w:rsidR="00B928DF" w:rsidRPr="009D5053" w:rsidRDefault="00B928DF" w:rsidP="00C142FB">
      <w:pPr>
        <w:pStyle w:val="Heading2"/>
        <w:rPr>
          <w:lang w:val="es-ES_tradnl"/>
        </w:rPr>
      </w:pPr>
      <w:bookmarkStart w:id="277" w:name="_Toc447202557"/>
      <w:bookmarkStart w:id="278" w:name="_Toc447203035"/>
      <w:r w:rsidRPr="009D5053">
        <w:rPr>
          <w:lang w:val="es-ES_tradnl"/>
        </w:rPr>
        <w:t>7.8</w:t>
      </w:r>
      <w:bookmarkEnd w:id="272"/>
      <w:bookmarkEnd w:id="273"/>
      <w:bookmarkEnd w:id="274"/>
      <w:bookmarkEnd w:id="275"/>
      <w:bookmarkEnd w:id="276"/>
      <w:r>
        <w:rPr>
          <w:lang w:val="es-ES_tradnl"/>
        </w:rPr>
        <w:tab/>
      </w:r>
      <w:r w:rsidRPr="007804FD">
        <w:rPr>
          <w:lang w:val="es-ES_tradnl"/>
        </w:rPr>
        <w:t>Realización</w:t>
      </w:r>
      <w:r w:rsidRPr="009D5053">
        <w:rPr>
          <w:lang w:val="es-ES_tradnl"/>
        </w:rPr>
        <w:t xml:space="preserve"> de pruebas</w:t>
      </w:r>
      <w:bookmarkEnd w:id="277"/>
      <w:bookmarkEnd w:id="278"/>
    </w:p>
    <w:p w14:paraId="78884A99"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 xml:space="preserve">La </w:t>
      </w:r>
      <w:r w:rsidRPr="009D5053">
        <w:rPr>
          <w:rFonts w:asciiTheme="majorBidi" w:hAnsiTheme="majorBidi" w:cstheme="majorBidi"/>
          <w:color w:val="000080"/>
          <w:lang w:val="es-ES_tradnl"/>
        </w:rPr>
        <w:t>Comisión Electrotécnica Internacional</w:t>
      </w:r>
      <w:r w:rsidRPr="009D5053">
        <w:rPr>
          <w:rFonts w:asciiTheme="majorBidi" w:hAnsiTheme="majorBidi" w:cstheme="majorBidi"/>
          <w:lang w:val="es-ES_tradnl"/>
        </w:rPr>
        <w:t xml:space="preserve"> (CEI) utiliza los </w:t>
      </w:r>
      <w:r w:rsidRPr="009D5053">
        <w:rPr>
          <w:rFonts w:asciiTheme="majorBidi" w:hAnsiTheme="majorBidi" w:cstheme="majorBidi"/>
          <w:color w:val="000000"/>
          <w:lang w:val="es-ES_tradnl"/>
        </w:rPr>
        <w:t>siguientes</w:t>
      </w:r>
      <w:r w:rsidRPr="009D5053">
        <w:rPr>
          <w:rFonts w:asciiTheme="majorBidi" w:hAnsiTheme="majorBidi" w:cstheme="majorBidi"/>
          <w:lang w:val="es-ES_tradnl"/>
        </w:rPr>
        <w:t xml:space="preserve"> </w:t>
      </w:r>
      <w:r w:rsidRPr="009D5053">
        <w:rPr>
          <w:rFonts w:asciiTheme="majorBidi" w:hAnsiTheme="majorBidi" w:cstheme="majorBidi"/>
          <w:color w:val="000000"/>
          <w:lang w:val="es-ES_tradnl"/>
        </w:rPr>
        <w:t xml:space="preserve">programas de evaluación de la conformidad </w:t>
      </w:r>
      <w:hyperlink r:id="rId76" w:history="1">
        <w:r w:rsidRPr="009D5053">
          <w:rPr>
            <w:rStyle w:val="Hyperlink"/>
            <w:rFonts w:asciiTheme="majorBidi" w:hAnsiTheme="majorBidi" w:cstheme="majorBidi"/>
            <w:lang w:val="es-ES_tradnl"/>
          </w:rPr>
          <w:t>http://www.iec.ch/about/activities/conformity.htm</w:t>
        </w:r>
      </w:hyperlink>
      <w:r w:rsidRPr="009D5053">
        <w:rPr>
          <w:rFonts w:asciiTheme="majorBidi" w:hAnsiTheme="majorBidi" w:cstheme="majorBidi"/>
          <w:lang w:val="es-ES_tradnl"/>
        </w:rPr>
        <w:t>:</w:t>
      </w:r>
    </w:p>
    <w:p w14:paraId="1FA2B663"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 xml:space="preserve">IECEE – esquema de la CEI de evaluación de la conformidad de </w:t>
      </w:r>
      <w:r w:rsidRPr="009D5053">
        <w:rPr>
          <w:color w:val="000000"/>
          <w:lang w:val="es-ES_tradnl"/>
        </w:rPr>
        <w:t>equipos y componentes electrotécnicos</w:t>
      </w:r>
      <w:r w:rsidRPr="009D5053">
        <w:rPr>
          <w:lang w:val="es-ES_tradnl"/>
        </w:rPr>
        <w:t>;</w:t>
      </w:r>
    </w:p>
    <w:p w14:paraId="403BAF88"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IECEx – Sistema de la CEI para la certificación de normas relativas a los equipos que deben usarse en atmósferas explosivas;</w:t>
      </w:r>
    </w:p>
    <w:p w14:paraId="4CC9DDC1"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IECQ – Sistema de evaluación de la calidad de la CEI para componentes electrónicos.</w:t>
      </w:r>
    </w:p>
    <w:p w14:paraId="774D1DC9"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Estos programas de evaluación de la conformidad de la CEI se basan en certificados de terceros y utilizan sistemas en línea para facilitar información sobre certificados que pueden utilizarse a fin de identificar productos falsificados.</w:t>
      </w:r>
    </w:p>
    <w:p w14:paraId="647C9EB4"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 xml:space="preserve">El IECEE utiliza el programa del organismo de certificación (CB) que se basa en el principio de reconocimiento mutuo por parte de los miembros de los resultados de las pruebas realizadas a fin de obtener la certificación o de aprobación a nivel nacional. El Boletín del CB </w:t>
      </w:r>
      <w:hyperlink r:id="rId77" w:history="1">
        <w:r w:rsidRPr="009D5053">
          <w:rPr>
            <w:rStyle w:val="Hyperlink"/>
            <w:rFonts w:asciiTheme="majorBidi" w:hAnsiTheme="majorBidi" w:cstheme="majorBidi"/>
            <w:lang w:val="es-ES_tradnl"/>
          </w:rPr>
          <w:t>http://members.iecee.org/iecee/ieceemembers.nsf/cb_bulletin?OpenForm</w:t>
        </w:r>
      </w:hyperlink>
      <w:r w:rsidRPr="009D5053">
        <w:rPr>
          <w:rFonts w:asciiTheme="majorBidi" w:hAnsiTheme="majorBidi" w:cstheme="majorBidi"/>
          <w:lang w:val="es-ES_tradnl"/>
        </w:rPr>
        <w:t xml:space="preserve"> constituye una base de datos para los usuarios del programa CB que contiene información sobre:</w:t>
      </w:r>
    </w:p>
    <w:p w14:paraId="1BE154CE"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Las normas que pueden utilizarse con este programa;</w:t>
      </w:r>
    </w:p>
    <w:p w14:paraId="2E7F2E84"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Los organismos nacionales de certificación participantes, incluidas las categorías de productos y las normas respecto de las cuales han sido reconocidos; y</w:t>
      </w:r>
    </w:p>
    <w:p w14:paraId="602842F6"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Las diferencias nacionales para cada norma en el caso de cada país miembro.</w:t>
      </w:r>
    </w:p>
    <w:p w14:paraId="039DBC60"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IECEE CBTC Online es un sistema de registro de certificados de prueba en línea para organismos nacionales de certificación que también es accesible al público.</w:t>
      </w:r>
    </w:p>
    <w:p w14:paraId="55505CA8"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El IECEE ha establecido un equipo de trabajo para estudiar las medidas para combatir las falsificaciones (CMC-WG23, "Falsificaciones").</w:t>
      </w:r>
    </w:p>
    <w:p w14:paraId="06FF7233"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El sistema internacional de certificación IECEx consta de los elementos siguientes:</w:t>
      </w:r>
    </w:p>
    <w:p w14:paraId="10CCC7DA"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Programa IECEx de equipos certificados;</w:t>
      </w:r>
    </w:p>
    <w:p w14:paraId="1B1BA7F3"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Programa IECEx de instalaciones de servicio certificadas;</w:t>
      </w:r>
    </w:p>
    <w:p w14:paraId="0F06E022"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lastRenderedPageBreak/>
        <w:t>Sistema IECEx de licencias de la marca de conformidad;</w:t>
      </w:r>
    </w:p>
    <w:p w14:paraId="15D13D70"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Certificación de competencias personales IECEx (CoPC).</w:t>
      </w:r>
    </w:p>
    <w:p w14:paraId="172EB74C"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La plataforma en línea CoC de IECEx proporciona información sobre los certificados y las licencias expedidas por estos programas.</w:t>
      </w:r>
    </w:p>
    <w:p w14:paraId="763AAEA1" w14:textId="1AFCE3D5"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El IECQ utiliza el Plan de Gestión de Componentes Electrónicos (ECMP) de IECQ para sistemas aviónicos y el</w:t>
      </w:r>
      <w:r w:rsidR="00F454AF">
        <w:rPr>
          <w:rFonts w:asciiTheme="majorBidi" w:hAnsiTheme="majorBidi" w:cstheme="majorBidi"/>
          <w:lang w:val="es-ES_tradnl"/>
        </w:rPr>
        <w:t xml:space="preserve"> </w:t>
      </w:r>
      <w:r w:rsidRPr="009D5053">
        <w:rPr>
          <w:rFonts w:asciiTheme="majorBidi" w:hAnsiTheme="majorBidi" w:cstheme="majorBidi"/>
          <w:lang w:val="es-ES_tradnl"/>
        </w:rPr>
        <w:t>programa de Gestión del Tratamiento de Sustancias Peligrosas (HSPM) del IECQ. Los certificados pueden obtenerse en línea.</w:t>
      </w:r>
    </w:p>
    <w:p w14:paraId="444A5664" w14:textId="7A1CD4E6" w:rsidR="00B928DF" w:rsidRPr="009D5053" w:rsidRDefault="00B928DF" w:rsidP="00C142FB">
      <w:pPr>
        <w:pStyle w:val="Heading2"/>
        <w:rPr>
          <w:rFonts w:asciiTheme="majorBidi" w:hAnsiTheme="majorBidi" w:cstheme="majorBidi"/>
          <w:lang w:val="es-ES_tradnl"/>
        </w:rPr>
      </w:pPr>
      <w:bookmarkStart w:id="279" w:name="_Toc200180746"/>
      <w:bookmarkStart w:id="280" w:name="_Toc200181314"/>
      <w:bookmarkStart w:id="281" w:name="_Toc211334040"/>
      <w:bookmarkStart w:id="282" w:name="_Toc404607213"/>
      <w:bookmarkStart w:id="283" w:name="_Toc406670421"/>
      <w:bookmarkStart w:id="284" w:name="_Toc447202558"/>
      <w:bookmarkStart w:id="285" w:name="_Toc447203036"/>
      <w:r w:rsidRPr="009D5053">
        <w:rPr>
          <w:rFonts w:asciiTheme="majorBidi" w:hAnsiTheme="majorBidi" w:cstheme="majorBidi"/>
          <w:lang w:val="es-ES_tradnl"/>
        </w:rPr>
        <w:t>7.9</w:t>
      </w:r>
      <w:bookmarkEnd w:id="279"/>
      <w:bookmarkEnd w:id="280"/>
      <w:bookmarkEnd w:id="281"/>
      <w:bookmarkEnd w:id="282"/>
      <w:bookmarkEnd w:id="283"/>
      <w:r>
        <w:rPr>
          <w:rFonts w:asciiTheme="majorBidi" w:hAnsiTheme="majorBidi" w:cstheme="majorBidi"/>
          <w:lang w:val="es-ES_tradnl"/>
        </w:rPr>
        <w:tab/>
      </w:r>
      <w:r w:rsidRPr="009D5053">
        <w:rPr>
          <w:rFonts w:asciiTheme="majorBidi" w:hAnsiTheme="majorBidi" w:cstheme="majorBidi"/>
          <w:lang w:val="es-ES_tradnl"/>
        </w:rPr>
        <w:t>Bases de datos</w:t>
      </w:r>
      <w:bookmarkEnd w:id="284"/>
      <w:bookmarkEnd w:id="285"/>
    </w:p>
    <w:p w14:paraId="72E11690" w14:textId="77777777" w:rsidR="00B928DF" w:rsidRPr="000C4D5F" w:rsidRDefault="00B928DF" w:rsidP="00C142FB">
      <w:pPr>
        <w:rPr>
          <w:lang w:val="es-ES_tradnl"/>
        </w:rPr>
      </w:pPr>
      <w:r w:rsidRPr="009D5053">
        <w:rPr>
          <w:rFonts w:asciiTheme="majorBidi" w:hAnsiTheme="majorBidi" w:cstheme="majorBidi"/>
          <w:lang w:val="es-ES_tradnl"/>
        </w:rPr>
        <w:t xml:space="preserve">Los destinatarios de las bases de datos de las falsificaciones conocidas son los organismos encargados de velar por el cumplimiento de la ley, como los gestionados por la OMC o la Interpol, así como los consumidores. La Oficina de Información sobre Falsificaciones de la </w:t>
      </w:r>
      <w:r w:rsidRPr="000C4D5F">
        <w:rPr>
          <w:lang w:val="es-ES_tradnl"/>
        </w:rPr>
        <w:t xml:space="preserve">Cámara de Comercio Internacional mantiene una base de datos de estudios de caso. </w:t>
      </w:r>
    </w:p>
    <w:p w14:paraId="402B8328" w14:textId="3F207DC8" w:rsidR="00B928DF" w:rsidRPr="009D5053" w:rsidRDefault="00B928DF" w:rsidP="00C142FB">
      <w:pPr>
        <w:pStyle w:val="Heading2"/>
        <w:rPr>
          <w:rFonts w:asciiTheme="majorBidi" w:hAnsiTheme="majorBidi" w:cstheme="majorBidi"/>
          <w:lang w:val="es-ES_tradnl"/>
        </w:rPr>
      </w:pPr>
      <w:bookmarkStart w:id="286" w:name="_Toc200180747"/>
      <w:bookmarkStart w:id="287" w:name="_Toc200181315"/>
      <w:bookmarkStart w:id="288" w:name="_Toc211334041"/>
      <w:bookmarkStart w:id="289" w:name="_Toc404607214"/>
      <w:bookmarkStart w:id="290" w:name="_Toc406670422"/>
      <w:bookmarkStart w:id="291" w:name="_Toc447202559"/>
      <w:bookmarkStart w:id="292" w:name="_Toc447203037"/>
      <w:r w:rsidRPr="009D5053">
        <w:rPr>
          <w:rFonts w:asciiTheme="majorBidi" w:hAnsiTheme="majorBidi" w:cstheme="majorBidi"/>
          <w:lang w:val="es-ES_tradnl"/>
        </w:rPr>
        <w:t>7.10</w:t>
      </w:r>
      <w:bookmarkEnd w:id="286"/>
      <w:bookmarkEnd w:id="287"/>
      <w:bookmarkEnd w:id="288"/>
      <w:bookmarkEnd w:id="289"/>
      <w:bookmarkEnd w:id="290"/>
      <w:r>
        <w:rPr>
          <w:rFonts w:asciiTheme="majorBidi" w:hAnsiTheme="majorBidi" w:cstheme="majorBidi"/>
          <w:lang w:val="es-ES_tradnl"/>
        </w:rPr>
        <w:tab/>
      </w:r>
      <w:r w:rsidRPr="009D5053">
        <w:rPr>
          <w:rFonts w:asciiTheme="majorBidi" w:hAnsiTheme="majorBidi" w:cstheme="majorBidi"/>
          <w:lang w:val="es-ES_tradnl"/>
        </w:rPr>
        <w:t>Vigilancia del mercado</w:t>
      </w:r>
      <w:bookmarkEnd w:id="291"/>
      <w:bookmarkEnd w:id="292"/>
    </w:p>
    <w:p w14:paraId="60535E49" w14:textId="2B764D19"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Se entiende por vigilancia del mercado las "</w:t>
      </w:r>
      <w:r w:rsidRPr="009D5053">
        <w:rPr>
          <w:rFonts w:asciiTheme="majorBidi" w:hAnsiTheme="majorBidi" w:cstheme="majorBidi"/>
          <w:color w:val="000000"/>
          <w:shd w:val="clear" w:color="auto" w:fill="FFFFFF"/>
          <w:lang w:val="es-ES_tradnl"/>
        </w:rPr>
        <w:t>actividades llevadas a cabo y medidas tomadas por las autoridades públicas para velar por que los productos cumplan los requisitos legales establecidos por la legislación pertinente y no entrañen un riesgo para la salud y la seguridad o para otros asuntos relacionados con la protección del interés público</w:t>
      </w:r>
      <w:r w:rsidRPr="009D5053">
        <w:rPr>
          <w:rFonts w:asciiTheme="majorBidi" w:hAnsiTheme="majorBidi" w:cstheme="majorBidi"/>
          <w:lang w:val="es-ES_tradnl"/>
        </w:rPr>
        <w:t>" [66].</w:t>
      </w:r>
    </w:p>
    <w:p w14:paraId="7954FEAB"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Las actividades de vigilancia del mercado pueden permitir identificar productos falsificados, y las autoridades encargadas de la vigilancia del mercado pueden intervenir en las iniciativas encaminadas a combatir el comercio de esos productos. La UNECE recomienda que se coordinen las actividades aduaneras y las de vigilancia del mercado nacional, y que los titulares de derechos tengan la posibilidad de informar sobre toda falsificación a las autoridades encargadas de la vigilancia del mercado nacional [67].</w:t>
      </w:r>
    </w:p>
    <w:p w14:paraId="4CBAD264"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Algunos países imponen el registro de los productos como condición para su comercialización. Por ejemplo, la Organización de Normas de Nigeria introdujo recientemente un programa electrónico de registro de productos para intentar limitar la venta de productos falsificados.</w:t>
      </w:r>
    </w:p>
    <w:p w14:paraId="3626324D" w14:textId="5C862FCE" w:rsidR="00B928DF" w:rsidRPr="009D5053" w:rsidRDefault="00B928DF" w:rsidP="00C142FB">
      <w:pPr>
        <w:pStyle w:val="Heading1"/>
        <w:rPr>
          <w:rFonts w:asciiTheme="majorBidi" w:hAnsiTheme="majorBidi" w:cstheme="majorBidi"/>
          <w:lang w:val="es-ES_tradnl"/>
        </w:rPr>
      </w:pPr>
      <w:bookmarkStart w:id="293" w:name="_Toc200180748"/>
      <w:bookmarkStart w:id="294" w:name="_Toc200181316"/>
      <w:bookmarkStart w:id="295" w:name="_Toc211334042"/>
      <w:bookmarkStart w:id="296" w:name="_Toc404607215"/>
      <w:bookmarkStart w:id="297" w:name="_Toc406670423"/>
      <w:bookmarkStart w:id="298" w:name="_Toc447202560"/>
      <w:bookmarkStart w:id="299" w:name="_Toc447203038"/>
      <w:r w:rsidRPr="009D5053">
        <w:rPr>
          <w:rFonts w:asciiTheme="majorBidi" w:hAnsiTheme="majorBidi" w:cstheme="majorBidi"/>
          <w:lang w:val="es-ES_tradnl"/>
        </w:rPr>
        <w:t>8</w:t>
      </w:r>
      <w:bookmarkEnd w:id="293"/>
      <w:bookmarkEnd w:id="294"/>
      <w:bookmarkEnd w:id="295"/>
      <w:bookmarkEnd w:id="296"/>
      <w:bookmarkEnd w:id="297"/>
      <w:r>
        <w:rPr>
          <w:rFonts w:asciiTheme="majorBidi" w:hAnsiTheme="majorBidi" w:cstheme="majorBidi"/>
          <w:lang w:val="es-ES_tradnl"/>
        </w:rPr>
        <w:tab/>
      </w:r>
      <w:r w:rsidRPr="009D5053">
        <w:rPr>
          <w:rFonts w:asciiTheme="majorBidi" w:hAnsiTheme="majorBidi" w:cstheme="majorBidi"/>
          <w:lang w:val="es-ES_tradnl"/>
        </w:rPr>
        <w:t>Organizaciones de normalización</w:t>
      </w:r>
      <w:bookmarkEnd w:id="298"/>
      <w:bookmarkEnd w:id="299"/>
    </w:p>
    <w:p w14:paraId="726483FE"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 xml:space="preserve">Las principales organizaciones internacionales de normalización que se ocupan de cuestiones pertinentes para la lucha contra las falsificaciones son la </w:t>
      </w:r>
      <w:r w:rsidRPr="00C869C0">
        <w:rPr>
          <w:lang w:val="es-ES_tradnl"/>
        </w:rPr>
        <w:t>Organización Internacional de Normalización (ISO) y la Comisión Electrotécnica Internacional (CEI).</w:t>
      </w:r>
    </w:p>
    <w:p w14:paraId="1528A72E" w14:textId="77777777" w:rsidR="00B928DF" w:rsidRPr="009D5053" w:rsidRDefault="00B928DF" w:rsidP="00C142FB">
      <w:pPr>
        <w:rPr>
          <w:rStyle w:val="Strong"/>
          <w:rFonts w:asciiTheme="majorBidi" w:hAnsiTheme="majorBidi" w:cstheme="majorBidi"/>
          <w:lang w:val="es-ES_tradnl"/>
        </w:rPr>
      </w:pPr>
      <w:r w:rsidRPr="009D5053">
        <w:rPr>
          <w:rFonts w:asciiTheme="majorBidi" w:hAnsiTheme="majorBidi" w:cstheme="majorBidi"/>
          <w:lang w:val="es-ES_tradnl"/>
        </w:rPr>
        <w:t>En 2009, la ISO creó un comité técnico encargado de elaborar las especificaciones relativas a las herramientas para la lucha contra la falsificación (ISO TC 246). Dicho comité preparó una especificación sobre los criterios de desempeño de las soluciones de autenticación que se emplean para combatir la falsificación de bienes materiales (ISO 12931) [48]. E</w:t>
      </w:r>
      <w:r w:rsidRPr="009D5053">
        <w:rPr>
          <w:rFonts w:asciiTheme="majorBidi" w:hAnsiTheme="majorBidi" w:cstheme="majorBidi"/>
          <w:shd w:val="clear" w:color="auto" w:fill="FFFFFF"/>
          <w:lang w:val="es-ES_tradnl"/>
        </w:rPr>
        <w:t xml:space="preserve">sta especificación tiene por fin mejorar la confianza de los consumidores, reforzar la seguridad de las cadenas de suministro y ayudar a las autoridades públicas a formular unas políticas que prevengan, disuadan y castiguen. Aunque el </w:t>
      </w:r>
      <w:r w:rsidRPr="009D5053">
        <w:rPr>
          <w:rFonts w:asciiTheme="majorBidi" w:hAnsiTheme="majorBidi" w:cstheme="majorBidi"/>
          <w:lang w:val="es-ES_tradnl"/>
        </w:rPr>
        <w:t xml:space="preserve">ISO TC 246 ya no está vigente, el </w:t>
      </w:r>
      <w:r w:rsidRPr="009D5053">
        <w:rPr>
          <w:rStyle w:val="Strong"/>
          <w:rFonts w:asciiTheme="majorBidi" w:hAnsiTheme="majorBidi" w:cstheme="majorBidi"/>
          <w:b w:val="0"/>
          <w:bdr w:val="none" w:sz="0" w:space="0" w:color="auto" w:frame="1"/>
          <w:shd w:val="clear" w:color="auto" w:fill="FFFFFF"/>
          <w:lang w:val="es-ES_tradnl"/>
        </w:rPr>
        <w:t xml:space="preserve">ISO TC 247 permitirá seguir trabajando en este ámbito. </w:t>
      </w:r>
    </w:p>
    <w:p w14:paraId="53A24595" w14:textId="77777777" w:rsidR="00B928DF" w:rsidRPr="009D5053" w:rsidDel="00E65A0D" w:rsidRDefault="00B928DF" w:rsidP="00C142FB">
      <w:pPr>
        <w:rPr>
          <w:rFonts w:asciiTheme="majorBidi" w:hAnsiTheme="majorBidi" w:cstheme="majorBidi"/>
          <w:lang w:val="es-ES_tradnl"/>
        </w:rPr>
      </w:pPr>
      <w:r w:rsidRPr="009D5053">
        <w:rPr>
          <w:rFonts w:asciiTheme="majorBidi" w:hAnsiTheme="majorBidi" w:cstheme="majorBidi"/>
          <w:lang w:val="es-ES_tradnl"/>
        </w:rPr>
        <w:t xml:space="preserve">El ISO TC 247, "Medidas y mecanismos de control para combatir el fraude", aborda la normalización es la esfera de la detección, la prevención y el control del fraude en la identidad, financiero, en los productos u otras formas de fraude económico y social. Este comité es el autor de la norma de orientación de la ISO sobre la compatibilidad de los identificadores de objeto para luchar contra la falsificación, ISO 16678 [116]: "Orientaciones para una identificación compatible de los objetos y sistemas de autenticación conexos para disuadir la falsificación y el comercio ilícito". Este nuevo proyecto gira alrededor de la utilización masiva de los números de serie para </w:t>
      </w:r>
      <w:r w:rsidRPr="009D5053">
        <w:rPr>
          <w:rFonts w:asciiTheme="majorBidi" w:hAnsiTheme="majorBidi" w:cstheme="majorBidi"/>
          <w:lang w:val="es-ES_tradnl"/>
        </w:rPr>
        <w:lastRenderedPageBreak/>
        <w:t xml:space="preserve">identificar productos a partir de una base de datos, a fin de determinar su grado de autenticidad. Esta norma internacional tiene como objetivo hacer realidad un mecanismo de identificación de los objetos fiable y seguro que evite la introducción de objetos ilegales en el mercado. Los productos que disponen de un número de serie pueden autentificarse a lo largo de la cadena de fabricación y distribución, e incluso cuando han llegado al consumidor. </w:t>
      </w:r>
    </w:p>
    <w:p w14:paraId="135455F9" w14:textId="77777777" w:rsidR="00B928DF" w:rsidRPr="009D5053" w:rsidRDefault="00B928DF" w:rsidP="00C142FB">
      <w:pPr>
        <w:rPr>
          <w:rFonts w:asciiTheme="majorBidi" w:hAnsiTheme="majorBidi" w:cstheme="majorBidi"/>
        </w:rPr>
      </w:pPr>
      <w:r w:rsidRPr="009D5053">
        <w:rPr>
          <w:rFonts w:asciiTheme="majorBidi" w:hAnsiTheme="majorBidi" w:cstheme="majorBidi"/>
          <w:lang w:val="es-ES_tradnl"/>
        </w:rPr>
        <w:t xml:space="preserve">La ISO reconoció que las falsificaciones y la piratería afectan a un amplio abanico de bienes de consumo, entre otros ropa, calzado, medicamentos, automóviles y recambios de automóviles, alimentos y bebidas, cosméticos, películas y música, productos eléctricos, dispositivos de seguridad y piezas de aeronaves. Entre las cuestiones que preocupan específicamente al consumidor cabe destacar los riesgos para la seguridad y la salud, los aspectos vinculados al rendimiento del producto, la usabilidad/la idoneidad, la accesibilidad, la protección de datos, la pérdida de puestos de trabajo, los el daño económico y los vínculos con la delincuencia organizada. </w:t>
      </w:r>
      <w:hyperlink r:id="rId78" w:history="1">
        <w:r w:rsidRPr="009D5053">
          <w:rPr>
            <w:rStyle w:val="Hyperlink"/>
            <w:rFonts w:asciiTheme="majorBidi" w:hAnsiTheme="majorBidi" w:cstheme="majorBidi"/>
          </w:rPr>
          <w:t>http://www.iso.org/iso/copolco_priority-programme_annual-report_2012.pdf</w:t>
        </w:r>
      </w:hyperlink>
    </w:p>
    <w:p w14:paraId="2572FA11"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El Comité Técnico Mixto ISO/CEI ISO/IEC JTC 1/ SC 31 trabaja en técnicas de identificación automática y adquisición de datos. El Comité se compone de siete grupos de trabajo, sobre las cuestiones siguientes:</w:t>
      </w:r>
    </w:p>
    <w:p w14:paraId="46F01207"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GT1 sobre la portadora de datos;</w:t>
      </w:r>
    </w:p>
    <w:p w14:paraId="02F064B2"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GT2 sobre la estructura de los datos;</w:t>
      </w:r>
    </w:p>
    <w:p w14:paraId="5B53C572"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GT4 sobre la identificación por radiofrecuencia para la gestión de elementos;</w:t>
      </w:r>
    </w:p>
    <w:p w14:paraId="37CA9CE1"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GT5 sobre sistemas de localización en tiempo real;</w:t>
      </w:r>
    </w:p>
    <w:p w14:paraId="72F134E2"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 xml:space="preserve">GT6 sobre </w:t>
      </w:r>
      <w:r w:rsidRPr="009D5053">
        <w:rPr>
          <w:color w:val="000000"/>
          <w:lang w:val="es-ES_tradnl"/>
        </w:rPr>
        <w:t>identificación y gestión de elementos móviles</w:t>
      </w:r>
      <w:r w:rsidRPr="009D5053">
        <w:rPr>
          <w:lang w:val="es-ES_tradnl"/>
        </w:rPr>
        <w:t xml:space="preserve"> (MIIM);</w:t>
      </w:r>
    </w:p>
    <w:p w14:paraId="2A86B771"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GT7 sobre consideraciones de seguridad para la gestión de los elementos</w:t>
      </w:r>
      <w:r>
        <w:rPr>
          <w:lang w:val="es-ES_tradnl"/>
        </w:rPr>
        <w:t>.</w:t>
      </w:r>
    </w:p>
    <w:p w14:paraId="0D382EEA"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El Comité Europeo de Normalización (CEN) también trabaja en tecnologías de identificación automática y adquisición de datos en el seno del CT 225.</w:t>
      </w:r>
    </w:p>
    <w:p w14:paraId="3F6C77B6" w14:textId="77777777" w:rsidR="00B928DF" w:rsidRPr="009D5053" w:rsidRDefault="00B928DF" w:rsidP="00C142FB">
      <w:pPr>
        <w:rPr>
          <w:rFonts w:asciiTheme="majorBidi" w:hAnsiTheme="majorBidi" w:cstheme="majorBidi"/>
          <w:bCs/>
          <w:lang w:val="es-ES_tradnl"/>
        </w:rPr>
      </w:pPr>
      <w:r w:rsidRPr="009D5053">
        <w:rPr>
          <w:rFonts w:asciiTheme="majorBidi" w:hAnsiTheme="majorBidi" w:cstheme="majorBidi"/>
          <w:lang w:val="es-ES_tradnl"/>
        </w:rPr>
        <w:t xml:space="preserve">Muchas organizaciones nacionales de normalización han establecido comités análogos a los comités técnicos de la ISO/CEI. Por ejemplo, el Instituto Alemán de Normalización ha creado el DIN NA 043-01-31, que trabaja en técnicas de identificación automática y adquisición de datos [68] </w:t>
      </w:r>
      <w:r w:rsidRPr="009D5053">
        <w:rPr>
          <w:rFonts w:asciiTheme="majorBidi" w:hAnsiTheme="majorBidi" w:cstheme="majorBidi"/>
          <w:bCs/>
          <w:lang w:val="es-ES_tradnl"/>
        </w:rPr>
        <w:t>y el DIN NA 043-01-31-04 UA, sobre la identificación por radiofrecuencia para la gestión de elementos.</w:t>
      </w:r>
    </w:p>
    <w:p w14:paraId="3F395D81"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El CEI TC 107 sobre gestión de procesos para sistemas aviónicos trabaja en la prevención de las falsificaciones.</w:t>
      </w:r>
    </w:p>
    <w:p w14:paraId="16C4F648" w14:textId="77777777" w:rsidR="00B928DF" w:rsidRPr="009D5053" w:rsidDel="00F555F9" w:rsidRDefault="00B928DF" w:rsidP="00C142FB">
      <w:pPr>
        <w:rPr>
          <w:rFonts w:asciiTheme="majorBidi" w:hAnsiTheme="majorBidi" w:cstheme="majorBidi"/>
          <w:lang w:val="es-ES_tradnl"/>
        </w:rPr>
      </w:pPr>
      <w:r w:rsidRPr="009D5053">
        <w:rPr>
          <w:rFonts w:asciiTheme="majorBidi" w:hAnsiTheme="majorBidi" w:cstheme="majorBidi"/>
          <w:lang w:val="es-ES_tradnl"/>
        </w:rPr>
        <w:t>Además, SAE International está elaborando especificaciones para evitar la utilización de componentes electrónicos falsificados en industrias de tecnología punta, y el GS1 ha elaborado un conjunto de especificaciones sobre identificación de elementos y gestión de la cadena de suministro.</w:t>
      </w:r>
    </w:p>
    <w:p w14:paraId="1D28E886" w14:textId="619ECF6C" w:rsidR="00B928DF" w:rsidRPr="009D5053" w:rsidRDefault="000C4D5F" w:rsidP="00C142FB">
      <w:pPr>
        <w:pStyle w:val="Heading1"/>
        <w:rPr>
          <w:rFonts w:asciiTheme="majorBidi" w:hAnsiTheme="majorBidi" w:cstheme="majorBidi"/>
          <w:lang w:val="es-ES_tradnl"/>
        </w:rPr>
      </w:pPr>
      <w:bookmarkStart w:id="300" w:name="_Toc200180749"/>
      <w:bookmarkStart w:id="301" w:name="_Toc200181317"/>
      <w:bookmarkStart w:id="302" w:name="_Toc211334043"/>
      <w:bookmarkStart w:id="303" w:name="_Toc404607216"/>
      <w:bookmarkStart w:id="304" w:name="_Toc406670424"/>
      <w:bookmarkStart w:id="305" w:name="_Toc447202561"/>
      <w:bookmarkStart w:id="306" w:name="_Toc447203039"/>
      <w:r>
        <w:rPr>
          <w:rFonts w:asciiTheme="majorBidi" w:hAnsiTheme="majorBidi" w:cstheme="majorBidi"/>
          <w:lang w:val="es-ES_tradnl"/>
        </w:rPr>
        <w:t>9</w:t>
      </w:r>
      <w:r w:rsidR="00B928DF">
        <w:rPr>
          <w:rFonts w:asciiTheme="majorBidi" w:hAnsiTheme="majorBidi" w:cstheme="majorBidi"/>
          <w:lang w:val="es-ES_tradnl"/>
        </w:rPr>
        <w:tab/>
      </w:r>
      <w:r w:rsidR="00B928DF" w:rsidRPr="009D5053">
        <w:rPr>
          <w:rFonts w:asciiTheme="majorBidi" w:hAnsiTheme="majorBidi" w:cstheme="majorBidi"/>
          <w:lang w:val="es-ES_tradnl"/>
        </w:rPr>
        <w:t>Directrices para luchar contra las falsificaciones</w:t>
      </w:r>
      <w:bookmarkEnd w:id="300"/>
      <w:bookmarkEnd w:id="301"/>
      <w:bookmarkEnd w:id="302"/>
      <w:bookmarkEnd w:id="303"/>
      <w:bookmarkEnd w:id="304"/>
      <w:bookmarkEnd w:id="305"/>
      <w:bookmarkEnd w:id="306"/>
    </w:p>
    <w:p w14:paraId="456D1148"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Son varias las organizaciones que, desde distintos puntos de vista (el de los fabricantes y los distribuidores, el de los gobiernos y sus organismos encargados de velar por el cumplimiento de la ley y el de los consumidores), han presentado las directrices para luchar contra los productos falsificados.</w:t>
      </w:r>
    </w:p>
    <w:p w14:paraId="043CBE44"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En el Foro para la Lucha contra la Falsificación pueden encontrarse prácticas óptimas para fabricantes de equipos originales, distribuidores y fabricantes de componentes [69]. Estas directrices incluyen:</w:t>
      </w:r>
    </w:p>
    <w:p w14:paraId="295BF8A4"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acudir directamente al fabricante o a un distribuidor autorizado o, si no fuera posible, a una fuente local del mercado gris;</w:t>
      </w:r>
    </w:p>
    <w:p w14:paraId="485E7F6C"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insistir en la obtención de pruebas documentales de la autenticidad del producto cuando se recurra a fuentes del mercado gris;</w:t>
      </w:r>
    </w:p>
    <w:p w14:paraId="6C4B35E3" w14:textId="77777777" w:rsidR="00B928DF" w:rsidRPr="009D5053" w:rsidRDefault="00B928DF" w:rsidP="00C142FB">
      <w:pPr>
        <w:pStyle w:val="enumlev1"/>
        <w:rPr>
          <w:lang w:val="es-ES_tradnl"/>
        </w:rPr>
      </w:pPr>
      <w:r w:rsidRPr="009D5053">
        <w:rPr>
          <w:lang w:val="es-ES_tradnl"/>
        </w:rPr>
        <w:lastRenderedPageBreak/>
        <w:t>•</w:t>
      </w:r>
      <w:r>
        <w:rPr>
          <w:lang w:val="es-ES_tradnl"/>
        </w:rPr>
        <w:tab/>
      </w:r>
      <w:r w:rsidRPr="009D5053">
        <w:rPr>
          <w:lang w:val="es-ES_tradnl"/>
        </w:rPr>
        <w:t>reforzar la coordinación entre el producto y la gestión del ciclo de vida de los componentes;</w:t>
      </w:r>
    </w:p>
    <w:p w14:paraId="1C5F35A3"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velar por que se desechan los productos defectuosos o dañados una vez han sido utilizados; y</w:t>
      </w:r>
    </w:p>
    <w:p w14:paraId="0B995E8C"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mejorar la trazabilidad del producto mediante la utilización de indicadores únicos y de mecanismos de control de la documentación.</w:t>
      </w:r>
    </w:p>
    <w:p w14:paraId="15CCDA68"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 xml:space="preserve">El Components Technology Institute Inc. (CTI) ha diseñado un Programa para Evitar Componentes Falsificados (CCAP-101, por sus siglas en inglés) [70] para la certificación de distribuidores independientes de componentes electrónicos, en el que se detallan una serie de requisitos que han de permitir a los distribuidores detecta y evitar el envío a sus clientes de componentes falsificados. Este programa de certificación, que prevé la realización de pruebas eléctricas, tiene por fin cumplir los objetivos que se enumeran en la especificación SAE AS5553. </w:t>
      </w:r>
    </w:p>
    <w:p w14:paraId="6EE38E70"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Asimismo, la Independent Distributors of Electronics Association (IDEA) ha elaborado una especificación para llevar a cabo inspecciones que permitan reducir el número de productos falsificados (IDEA-STD-1010A) [117] así como una especificación sobre gestión de la calidad (IDEA-QMS-9090) [118].</w:t>
      </w:r>
    </w:p>
    <w:p w14:paraId="2ADC438B" w14:textId="4C4FCCC6"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La Hoja de Ruta sobre IP de la CCI incluye recomendaciones relativas a las medidas que pueden adoptar empresas y gobiernos relativas a la protección de la propiedad intelectual en sentido amplio, incluida la lucha contra la falsificación y la piratería. En particular, la CCI insta a los gobiernos a redoblar sus esfuerzos para velar por el cumplimiento de la normativa en materia de propiedad intelectual dado que, "desafortunadamente, los recursos gubernamentales que se destinan a la lucha contra la piratería y la falsificación suelen ser inadecuados a la vista de las dimensiones del problem</w:t>
      </w:r>
      <w:r w:rsidR="00F454AF">
        <w:rPr>
          <w:rFonts w:asciiTheme="majorBidi" w:hAnsiTheme="majorBidi" w:cstheme="majorBidi"/>
          <w:lang w:val="es-ES_tradnl"/>
        </w:rPr>
        <w:t>a</w:t>
      </w:r>
      <w:r w:rsidRPr="009D5053">
        <w:rPr>
          <w:rFonts w:asciiTheme="majorBidi" w:hAnsiTheme="majorBidi" w:cstheme="majorBidi"/>
          <w:lang w:val="es-ES_tradnl"/>
        </w:rPr>
        <w:t>".</w:t>
      </w:r>
    </w:p>
    <w:p w14:paraId="5F17F1DA"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 xml:space="preserve">La OCDE ha observado que el mercado de los productos falsificados y pirateados puede dividirse en un "mercado primario", en el que los consumidores creen que los productos son auténticos, y un "mercado secundario" en el que los compradores adquieren conscientemente productos falsificados o pirateados ya que lo que su interés principal es dar con productos a buen precio. Sin embargo, una persona que no tenga el menor reparo en comprar una camisa o un bolso falsificados, puede no estar interesada en adquirir un medicamento o un aparato eléctrico falsificado. La lucha contra las falsificaciones en uno y otro mercado requiere estrategias diferentes, de modo que es necesario saber en qué mercado se sitúa un producto concreto. </w:t>
      </w:r>
    </w:p>
    <w:p w14:paraId="34A6278A" w14:textId="77777777" w:rsidR="00B928DF" w:rsidRPr="009D5053" w:rsidRDefault="00B928DF" w:rsidP="00C142FB">
      <w:pPr>
        <w:rPr>
          <w:rFonts w:asciiTheme="majorBidi" w:hAnsiTheme="majorBidi" w:cstheme="majorBidi"/>
          <w:lang w:val="es-ES_tradnl"/>
        </w:rPr>
      </w:pPr>
      <w:r w:rsidRPr="009D5053">
        <w:rPr>
          <w:rFonts w:asciiTheme="majorBidi" w:hAnsiTheme="majorBidi" w:cstheme="majorBidi"/>
          <w:lang w:val="es-ES_tradnl"/>
        </w:rPr>
        <w:t>Es posible luchar de manera eficaz contra la falsificación de productos en el mercado primario, por ejemplo mediante campañas de información en las que se destaquen los peligros asociados a la compra de productos falsificados; en el caso del mercado secundario, sin embargo, puede ser necesario imponer sanciones más contundentes.</w:t>
      </w:r>
    </w:p>
    <w:p w14:paraId="6547AFD3" w14:textId="77777777" w:rsidR="00B928DF" w:rsidRDefault="00B928DF" w:rsidP="00C142FB">
      <w:pPr>
        <w:rPr>
          <w:rFonts w:asciiTheme="majorBidi" w:hAnsiTheme="majorBidi" w:cstheme="majorBidi"/>
          <w:lang w:val="es-ES_tradnl"/>
        </w:rPr>
      </w:pPr>
      <w:r w:rsidRPr="009D5053">
        <w:rPr>
          <w:rFonts w:asciiTheme="majorBidi" w:hAnsiTheme="majorBidi" w:cstheme="majorBidi"/>
          <w:lang w:val="es-ES_tradnl"/>
        </w:rPr>
        <w:t xml:space="preserve">El Conjunto de Herramientas para la cadena de suministro del Grupo de Delitos sobre Propiedad Intelectual del Reino Unido [71] tiene por objetivo concienciar sobre el problema de los productos falsificados que se introducen en las cadenas de suministro legítimas de las empresas, y ofrece una serie de pautas para proteger los activos que incluyen elementos de propiedad intelectual. En la Figura 14 se presenta una panorámica general del proceso a través del cual una empresa puede reducir el riesgo de que un producto falsificado se introduzca en su cadena de suministro. </w:t>
      </w:r>
    </w:p>
    <w:p w14:paraId="0A311190" w14:textId="77777777" w:rsidR="00B928DF" w:rsidRDefault="00B928DF">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lang w:val="es-ES_tradnl"/>
        </w:rPr>
      </w:pPr>
      <w:r>
        <w:rPr>
          <w:rFonts w:asciiTheme="majorBidi" w:hAnsiTheme="majorBidi" w:cstheme="majorBidi"/>
          <w:lang w:val="es-ES_tradnl"/>
        </w:rPr>
        <w:br w:type="page"/>
      </w:r>
    </w:p>
    <w:p w14:paraId="177B87F9" w14:textId="77777777" w:rsidR="00B928DF" w:rsidRPr="009D5053" w:rsidRDefault="00B928DF" w:rsidP="00C142FB">
      <w:pPr>
        <w:rPr>
          <w:rFonts w:asciiTheme="majorBidi" w:hAnsiTheme="majorBidi" w:cstheme="majorBidi"/>
          <w:lang w:val="es-ES_tradnl"/>
        </w:rPr>
      </w:pPr>
    </w:p>
    <w:p w14:paraId="791C19F2" w14:textId="77777777" w:rsidR="00B928DF" w:rsidRPr="009D5053" w:rsidRDefault="00B928DF" w:rsidP="00B14626">
      <w:pPr>
        <w:jc w:val="center"/>
        <w:rPr>
          <w:rFonts w:asciiTheme="majorBidi" w:hAnsiTheme="majorBidi" w:cstheme="majorBidi"/>
        </w:rPr>
      </w:pPr>
      <w:r w:rsidRPr="009D5053">
        <w:rPr>
          <w:rFonts w:asciiTheme="majorBidi" w:hAnsiTheme="majorBidi" w:cstheme="majorBidi"/>
        </w:rPr>
        <w:object w:dxaOrig="4969" w:dyaOrig="3607" w14:anchorId="028EF8AC">
          <v:shape id="_x0000_i1031" type="#_x0000_t75" style="width:328.5pt;height:238.5pt" o:ole="">
            <v:imagedata r:id="rId79" o:title=""/>
          </v:shape>
          <o:OLEObject Type="Embed" ProgID="CorelDraw.Graphic.16" ShapeID="_x0000_i1031" DrawAspect="Content" ObjectID="_1521536387" r:id="rId80"/>
        </w:object>
      </w:r>
    </w:p>
    <w:p w14:paraId="461C457C" w14:textId="248849B6" w:rsidR="00B928DF" w:rsidRPr="009D5053" w:rsidRDefault="00B928DF" w:rsidP="00C142FB">
      <w:pPr>
        <w:pStyle w:val="FigureNotitle"/>
        <w:rPr>
          <w:rFonts w:asciiTheme="majorBidi" w:hAnsiTheme="majorBidi" w:cstheme="majorBidi"/>
          <w:lang w:val="es-ES_tradnl" w:bidi="ar-DZ"/>
        </w:rPr>
      </w:pPr>
      <w:bookmarkStart w:id="307" w:name="_Toc404785097"/>
      <w:bookmarkStart w:id="308" w:name="_Toc447274549"/>
      <w:r w:rsidRPr="009D5053">
        <w:rPr>
          <w:rFonts w:asciiTheme="majorBidi" w:hAnsiTheme="majorBidi" w:cstheme="majorBidi"/>
          <w:lang w:val="es-ES_tradnl" w:bidi="ar-DZ"/>
        </w:rPr>
        <w:t xml:space="preserve">Figura 14 – Protección de los derechos de propiedad intelectual </w:t>
      </w:r>
      <w:r w:rsidRPr="009D5053">
        <w:rPr>
          <w:rFonts w:asciiTheme="majorBidi" w:hAnsiTheme="majorBidi" w:cstheme="majorBidi"/>
          <w:lang w:val="es-ES_tradnl" w:bidi="ar-DZ"/>
        </w:rPr>
        <w:br/>
        <w:t xml:space="preserve">(adaptado a partir de la Herramienta del </w:t>
      </w:r>
      <w:r w:rsidRPr="009D5053">
        <w:rPr>
          <w:rFonts w:asciiTheme="majorBidi" w:hAnsiTheme="majorBidi" w:cstheme="majorBidi"/>
          <w:lang w:val="es-ES_tradnl"/>
        </w:rPr>
        <w:t xml:space="preserve">Grupo de Delitos </w:t>
      </w:r>
      <w:r w:rsidR="000C4D5F">
        <w:rPr>
          <w:rFonts w:asciiTheme="majorBidi" w:hAnsiTheme="majorBidi" w:cstheme="majorBidi"/>
          <w:lang w:val="es-ES_tradnl"/>
        </w:rPr>
        <w:br/>
      </w:r>
      <w:r w:rsidRPr="009D5053">
        <w:rPr>
          <w:rFonts w:asciiTheme="majorBidi" w:hAnsiTheme="majorBidi" w:cstheme="majorBidi"/>
          <w:lang w:val="es-ES_tradnl"/>
        </w:rPr>
        <w:t xml:space="preserve">sobre Propiedad Intelectual del Reino Unido </w:t>
      </w:r>
      <w:r w:rsidRPr="009D5053">
        <w:rPr>
          <w:rFonts w:asciiTheme="majorBidi" w:hAnsiTheme="majorBidi" w:cstheme="majorBidi"/>
          <w:lang w:val="es-ES_tradnl" w:bidi="ar-DZ"/>
        </w:rPr>
        <w:t>[71])</w:t>
      </w:r>
      <w:bookmarkEnd w:id="307"/>
      <w:bookmarkEnd w:id="308"/>
    </w:p>
    <w:p w14:paraId="45A28787" w14:textId="77777777" w:rsidR="00B928DF" w:rsidRPr="009D5053" w:rsidRDefault="00B928DF" w:rsidP="00C142FB">
      <w:pPr>
        <w:pStyle w:val="ListParagraph"/>
        <w:tabs>
          <w:tab w:val="left" w:pos="0"/>
          <w:tab w:val="left" w:pos="142"/>
          <w:tab w:val="left" w:pos="1134"/>
          <w:tab w:val="left" w:pos="1871"/>
          <w:tab w:val="left" w:pos="2268"/>
        </w:tabs>
        <w:spacing w:before="120" w:after="120"/>
        <w:ind w:left="0"/>
        <w:rPr>
          <w:rFonts w:asciiTheme="majorBidi" w:hAnsiTheme="majorBidi" w:cstheme="majorBidi"/>
          <w:lang w:val="es-ES_tradnl"/>
        </w:rPr>
      </w:pPr>
      <w:bookmarkStart w:id="309" w:name="_Toc200180750"/>
      <w:bookmarkStart w:id="310" w:name="_Toc200181318"/>
      <w:bookmarkStart w:id="311" w:name="_Toc211334044"/>
      <w:r w:rsidRPr="009D5053">
        <w:rPr>
          <w:rFonts w:asciiTheme="majorBidi" w:hAnsiTheme="majorBidi" w:cstheme="majorBidi"/>
          <w:lang w:val="es-ES_tradnl"/>
        </w:rPr>
        <w:t>El MMF ha elaborado una Guía de Recursos para los Gobiernos en la que se proponen distintas medidas, entre otras:</w:t>
      </w:r>
    </w:p>
    <w:p w14:paraId="07362BF3"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introducción de cambios en los marcos legal y reglamentario para limitar la activación de dispositivos falsificados en redes de telecomunicaciones;</w:t>
      </w:r>
    </w:p>
    <w:p w14:paraId="4440BDF4"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restricciones a la importación de dispositivos móviles y accesorios que no cumplan las normas del sector o que no estén en consonancia con el marco legal y reglamentario del país;</w:t>
      </w:r>
    </w:p>
    <w:p w14:paraId="02C407B8"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 xml:space="preserve">establecimiento de las alianzas y las soluciones necesarias a escala mundial entre la industria y los gobiernos para la validación de productos originales por parte de autoridades, consumidores y el canal de venta; </w:t>
      </w:r>
    </w:p>
    <w:p w14:paraId="3568DBA9"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 xml:space="preserve">desarrollo de unas soluciones tecnológicas armonizadas e innovadores que limiten la posibilidad de activar en las redes de telecomunicaciones dispositivos móviles falsificados; y </w:t>
      </w:r>
    </w:p>
    <w:p w14:paraId="12BFB69F" w14:textId="77777777" w:rsidR="00B928DF" w:rsidRPr="009D5053" w:rsidRDefault="00B928DF" w:rsidP="00C142FB">
      <w:pPr>
        <w:pStyle w:val="enumlev1"/>
        <w:rPr>
          <w:lang w:val="es-ES_tradnl"/>
        </w:rPr>
      </w:pPr>
      <w:r w:rsidRPr="009D5053">
        <w:rPr>
          <w:lang w:val="es-ES_tradnl"/>
        </w:rPr>
        <w:t>•</w:t>
      </w:r>
      <w:r>
        <w:rPr>
          <w:lang w:val="es-ES_tradnl"/>
        </w:rPr>
        <w:tab/>
      </w:r>
      <w:r w:rsidRPr="009D5053">
        <w:rPr>
          <w:lang w:val="es-ES_tradnl"/>
        </w:rPr>
        <w:t>promoción de las normas encaminadas a mejorar las características de seguridad (como los números únicos de identificación individual) que disuaden a las empresas implicadas de fabricar productos falsificados y otros productos ilegales.</w:t>
      </w:r>
    </w:p>
    <w:p w14:paraId="5FCD9C2B" w14:textId="77777777" w:rsidR="00B928DF" w:rsidRPr="009D5053" w:rsidRDefault="00B928DF" w:rsidP="00C142FB">
      <w:pPr>
        <w:rPr>
          <w:rFonts w:asciiTheme="majorBidi" w:hAnsiTheme="majorBidi" w:cstheme="majorBidi"/>
          <w:b/>
          <w:bCs/>
          <w:lang w:val="es-ES_tradnl"/>
        </w:rPr>
      </w:pPr>
      <w:r w:rsidRPr="009D5053">
        <w:rPr>
          <w:rFonts w:asciiTheme="majorBidi" w:hAnsiTheme="majorBidi" w:cstheme="majorBidi"/>
          <w:lang w:val="es-ES_tradnl"/>
        </w:rPr>
        <w:t xml:space="preserve">Este enfoque va necesariamente más allá de las medidas tradicionales de control de la aplicación y pretende conseguir realmente el bloqueo de estos dispositivos a fin de que no puedan utilizarse en las redes. Pese a todo, las medidas de control de la aplicación, las campañas de sensibilización y la vigilancia de los mercados seguirán siendo elementos importantes, y los fabricantes de teléfonos móviles continuarán trabajando con las autoridades nacionales siempre que sea posible. </w:t>
      </w:r>
      <w:bookmarkEnd w:id="309"/>
      <w:bookmarkEnd w:id="310"/>
      <w:bookmarkEnd w:id="311"/>
    </w:p>
    <w:p w14:paraId="2327FA84" w14:textId="3F210BA5" w:rsidR="006B1268" w:rsidRPr="00D449AA" w:rsidRDefault="006B1268" w:rsidP="00C142FB">
      <w:pPr>
        <w:pStyle w:val="Heading1"/>
        <w:rPr>
          <w:rFonts w:asciiTheme="majorBidi" w:hAnsiTheme="majorBidi" w:cstheme="majorBidi"/>
          <w:lang w:val="es-ES_tradnl"/>
        </w:rPr>
      </w:pPr>
      <w:bookmarkStart w:id="312" w:name="_Toc406670425"/>
      <w:bookmarkStart w:id="313" w:name="_Toc404607217"/>
      <w:bookmarkStart w:id="314" w:name="_Toc447202562"/>
      <w:bookmarkStart w:id="315" w:name="_Toc447203040"/>
      <w:r w:rsidRPr="00D449AA">
        <w:rPr>
          <w:rFonts w:asciiTheme="majorBidi" w:hAnsiTheme="majorBidi" w:cstheme="majorBidi"/>
          <w:lang w:val="es-ES_tradnl"/>
        </w:rPr>
        <w:t>10</w:t>
      </w:r>
      <w:r w:rsidRPr="00D449AA">
        <w:rPr>
          <w:rFonts w:asciiTheme="majorBidi" w:hAnsiTheme="majorBidi" w:cstheme="majorBidi"/>
          <w:lang w:val="es-ES_tradnl"/>
        </w:rPr>
        <w:tab/>
        <w:t>Conclusiones</w:t>
      </w:r>
      <w:bookmarkEnd w:id="312"/>
      <w:bookmarkEnd w:id="313"/>
      <w:bookmarkEnd w:id="314"/>
      <w:bookmarkEnd w:id="315"/>
    </w:p>
    <w:p w14:paraId="4FC25AD7" w14:textId="77777777" w:rsidR="006B1268" w:rsidRPr="00D449AA" w:rsidRDefault="006B1268" w:rsidP="00C142FB">
      <w:pPr>
        <w:rPr>
          <w:lang w:val="es-ES_tradnl"/>
        </w:rPr>
      </w:pPr>
      <w:r w:rsidRPr="00D449AA">
        <w:rPr>
          <w:lang w:val="es-ES_tradnl"/>
        </w:rPr>
        <w:t xml:space="preserve">La falsificación es un problema creciente que afecta a un amplio abanico de productos. En el sector de las TIC, los teléfonos móviles constituyen uno de los productos principales objeto de falsificación. Cada año se venden unos 250 millones, lo que representa entre un 15% y un 20% del </w:t>
      </w:r>
      <w:r w:rsidRPr="00D449AA">
        <w:rPr>
          <w:lang w:val="es-ES_tradnl"/>
        </w:rPr>
        <w:lastRenderedPageBreak/>
        <w:t>mercado mundial. Aparte de las evidentes repercusiones económicas para los fabricantes de productos genuinos (devaluación de la marca, pérdida de ingresos, infracción de la marca y de los derechos de autor, competencia desleal), para los distribuidores autorizados y gobiernos (evasión de impuestos, coste adicional para garantizar el cumplimiento de la legislación nacional, la necesidad de reaccionar ante los peligros para la seguridad pública y la pérdida de empleo), también conllevan peligros para la salud, la seguridad y la privacidad del consumidor, para la seguridad pública y tiene efectos negativos para los operadores de red (debido a la menor calidad del servicio (QoS), los posibles problemas de interferencia y de compatibilidad electromagnética (CEM) y la perturbación de la red). La mayoría de estos teléfonos móviles falsificados se producen en un país de Asia y es de este país de donde proceden la mayor parte de los componentes electrónicos falsificados como resultado del reciclaje en el sector informal de residuos electrónicos procedentes de países desarrollados, según ha determinado el Comité del Senado sobre las Fuerzas Armadas en la audiencia sobre componentes electrónicos falsificados en la cadena de suministros de sistemas de defensa [9]. Es evidente que queda mucho por hacer para determinar las fuentes de equipos falsificados y reaccionar antes de su exportación al resto del mundo.</w:t>
      </w:r>
    </w:p>
    <w:p w14:paraId="6E23CF7B" w14:textId="77777777" w:rsidR="006B1268" w:rsidRPr="00D449AA" w:rsidRDefault="006B1268" w:rsidP="00C142FB">
      <w:pPr>
        <w:rPr>
          <w:lang w:val="es-ES_tradnl"/>
        </w:rPr>
      </w:pPr>
      <w:r w:rsidRPr="00D449AA">
        <w:rPr>
          <w:lang w:val="es-ES_tradnl"/>
        </w:rPr>
        <w:t xml:space="preserve">Ya existen instrumentos jurídicos para luchar contra la falsificación, pero su aplicación sigue siendo deficiente. En su informe de 2008, la OCDE llega a la conclusión de que </w:t>
      </w:r>
      <w:r>
        <w:rPr>
          <w:lang w:val="es-ES_tradnl"/>
        </w:rPr>
        <w:t>"</w:t>
      </w:r>
      <w:r w:rsidRPr="00D449AA">
        <w:rPr>
          <w:lang w:val="es-ES_tradnl"/>
        </w:rPr>
        <w:t>la magnitud y los efectos de la falsificación y la piratería son tan importantes que obligan a gobiernos, empresas y consumidores a tomar medidas contundentes y continuas. A este respecto es fundamental una aplicación más eficaz, ya que es necesario fomentar el apoyo de los ciudadanos para combatir la falsificación y la piratería. Aumentar la cooperación entre gobiernos y con la industria sería conveniente y facilitaría la recopilación de datos</w:t>
      </w:r>
      <w:r>
        <w:rPr>
          <w:lang w:val="es-ES_tradnl"/>
        </w:rPr>
        <w:t>"</w:t>
      </w:r>
      <w:r w:rsidRPr="00D449AA">
        <w:rPr>
          <w:lang w:val="es-ES_tradnl"/>
        </w:rPr>
        <w:t>.</w:t>
      </w:r>
    </w:p>
    <w:p w14:paraId="6EDB98AB" w14:textId="77777777" w:rsidR="006B1268" w:rsidRPr="00D449AA" w:rsidRDefault="006B1268" w:rsidP="00C142FB">
      <w:pPr>
        <w:rPr>
          <w:lang w:val="es-ES_tradnl"/>
        </w:rPr>
      </w:pPr>
      <w:r w:rsidRPr="00D449AA">
        <w:rPr>
          <w:lang w:val="es-ES_tradnl"/>
        </w:rPr>
        <w:t>Los gobiernos se han implicado más en este asunto y muchos están realizando campañas de sensibilización, ofreciendo asesoramiento y persiguiendo más rigurosamente a los infractores, como en el caso de China recientemente. Los gobiernos no sólo tienen que velar por el cumplimiento de la normativa sobre DPI, sino también aplicar el Convenio de Basilea a fin de garantizar que una vez llegado al final de su vida útil, el equipo usado se manipula de manera inocua para el medio ambiente, en lugar de utilizarse en la economía sumergida de falsificación. Se deben adoptar prácticas éticas de reciclaje a escala mundial.</w:t>
      </w:r>
    </w:p>
    <w:p w14:paraId="797CC30A"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Los gobiernos quizá también deseen vincular las actividades de vigilancia del mercado con las de las autoridades aduaneras a fin de mejorar las capacidades de detectar productos falsificados. Los equipos de TIC falsificados incautados deben considerarse residuos electrónicos y manipulares con arreglo a los mecanismos de gestión ecológica de residuos.</w:t>
      </w:r>
    </w:p>
    <w:p w14:paraId="42535EA1"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Las empresas e industrias afectadas por la falsificación han organizado campañas de información y presionado en defensa de sus intereses. No parece ser necesaria una mayor sensibilización acerca de los problemas de la falsificación. En EE</w:t>
      </w:r>
      <w:r>
        <w:rPr>
          <w:rFonts w:asciiTheme="majorBidi" w:hAnsiTheme="majorBidi" w:cstheme="majorBidi"/>
          <w:lang w:val="es-ES_tradnl"/>
        </w:rPr>
        <w:t>.</w:t>
      </w:r>
      <w:r w:rsidRPr="00D449AA">
        <w:rPr>
          <w:rFonts w:asciiTheme="majorBidi" w:hAnsiTheme="majorBidi" w:cstheme="majorBidi"/>
          <w:lang w:val="es-ES_tradnl"/>
        </w:rPr>
        <w:t>UU</w:t>
      </w:r>
      <w:r>
        <w:rPr>
          <w:rFonts w:asciiTheme="majorBidi" w:hAnsiTheme="majorBidi" w:cstheme="majorBidi"/>
          <w:lang w:val="es-ES_tradnl"/>
        </w:rPr>
        <w:t>.</w:t>
      </w:r>
      <w:r w:rsidRPr="00D449AA">
        <w:rPr>
          <w:rFonts w:asciiTheme="majorBidi" w:hAnsiTheme="majorBidi" w:cstheme="majorBidi"/>
          <w:lang w:val="es-ES_tradnl"/>
        </w:rPr>
        <w:t>, la Ley de autorización de defensa nacional (NDAA) asigna a los contratistas la responsabilidad de detectar componentes falsificados y, en su caso, reemplazar los que detecten en sus productos.</w:t>
      </w:r>
    </w:p>
    <w:p w14:paraId="1362140B"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Los consumidores tienen que ser conscientes de los peligros de comprar equipos falsificados, que quizá no sean tan seguros ni funcionen igual que los artículos genuinos. Es evidente que muchísimos organismos nacionales e internacionales, así como los fabricantes, los distribuidores y los medios de comunicación, subrayan regularmente los problemas que presentan los productos falsificados para los consumidores. No obstante, puede darse el caso de que los consumidores decidan voluntariamente comprar bienes falsificados, con independencia de las posibles consecuencias, aparentemente por su precio.</w:t>
      </w:r>
    </w:p>
    <w:p w14:paraId="34A79D66"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 xml:space="preserve">También se puede luchar contra la falsificación mediante la gestión de la vida útil del equipo, no sólo en la cadena de suministro, sino también en las fases de devolución, reutilización y reciclaje de toda la vida útil del equipo. A fin de gestionar la vida útil es necesario disponer de mecanismos para identificar y autentificar los artículos y de procedimientos para rastrearlos con seguridad. El rastreo </w:t>
      </w:r>
      <w:r w:rsidRPr="00D449AA">
        <w:rPr>
          <w:rFonts w:asciiTheme="majorBidi" w:hAnsiTheme="majorBidi" w:cstheme="majorBidi"/>
          <w:lang w:val="es-ES_tradnl"/>
        </w:rPr>
        <w:lastRenderedPageBreak/>
        <w:t xml:space="preserve">debe ser adecuado y suficiente para su finalidad, dado que las tecnologías de identificación automática y adquisición de datos (AIDC), como la RFID, presentan de hecho problemas considerables de privacidad al poder vincular los objetos con sus propietarios. Se debe prestar atención en los procesos normalizados a respetar la privacidad del consumidor y no facilitar la opresión de usuarios de productos TIC a través de los mecanismos de registro del identificador. También debe protegerse al consumidor contra la desconexión arbitraria de las redes. </w:t>
      </w:r>
    </w:p>
    <w:p w14:paraId="1D4E1CC3"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 xml:space="preserve">Se puede recurrir a la tecnología de AIDC y las normas de gestión de la cadena de suministro para luchar contra la falsificación. </w:t>
      </w:r>
    </w:p>
    <w:p w14:paraId="58B21BFC"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La lucha contra la falsificación exige la cooperación de todos los sectores industriales. Las fuerzas del orden, como las autoridades aduaneras, podrían disponer de herramientas genéricas (similares a las de detección de pasaportes y billetes falsos) así como una serie de mecanismos específicos del sector y del producto y medidas concretas con la cooperación de los sectores público y privado.</w:t>
      </w:r>
    </w:p>
    <w:p w14:paraId="43E886C3"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 xml:space="preserve">Existen en el sector de telefonía móvil varios sistemas basados en registro IMEI, que las administraciones y organismos reguladores utilizan o tienen previsto utilizar para identificar terminales móviles genuinos e importados legalmente. También existen varias iniciativas regionales para el intercambio de información sobre dispositivo móviles de origen ilícito. Tales mecanismos también pueden causar problemas a los usuarios legítimos. Por ejemplo, un extranjero que viaje a un país y luego utilice una tarjeta SIM local en su dispositivo puede quedar registrado en una lista blanca y no poder utilizar su dispositivo. Estos mecanismos pueden causar problemas de libre circulación de bienes. En otros sectores de TIC no existen este tipo de mecanismos, dada la naturaleza de los productos y la estructura de las industrias. </w:t>
      </w:r>
    </w:p>
    <w:p w14:paraId="4A86B61D"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Aun cuando algunos países han desarrollado soluciones satisfactorias basadas en IMEI para disuadir la proliferación de teléfonos móviles falsificados, otros, especialmente los países en desarrollo, siguen experimentando grandes dificultades para encontrar una solución eficaz contra los dispositivos falsificados. Hoy en día, las soluciones disponibles en algunos países se basan en bloquear los teléfonos móviles con números IMEI no válidos en sus redes, bloquear la utiliza</w:t>
      </w:r>
      <w:r>
        <w:rPr>
          <w:rFonts w:asciiTheme="majorBidi" w:hAnsiTheme="majorBidi" w:cstheme="majorBidi"/>
          <w:lang w:val="es-ES_tradnl"/>
        </w:rPr>
        <w:t>ción</w:t>
      </w:r>
      <w:r w:rsidRPr="00D449AA">
        <w:rPr>
          <w:rFonts w:asciiTheme="majorBidi" w:hAnsiTheme="majorBidi" w:cstheme="majorBidi"/>
          <w:lang w:val="es-ES_tradnl"/>
        </w:rPr>
        <w:t xml:space="preserve"> de equipo no homologado por el regulador, o bloquear la importación ilícita de estos dispositivos, o bien tomar otras medidas de sensibilización del consumidor, de aplicación de la ley y de modificación de la legislación a escala nacional. </w:t>
      </w:r>
    </w:p>
    <w:p w14:paraId="2D05571F"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Las principales organizaciones de normalización internacionales han abordado temas relacionados con la lucha con</w:t>
      </w:r>
      <w:r>
        <w:rPr>
          <w:rFonts w:asciiTheme="majorBidi" w:hAnsiTheme="majorBidi" w:cstheme="majorBidi"/>
          <w:lang w:val="es-ES_tradnl"/>
        </w:rPr>
        <w:t>tra</w:t>
      </w:r>
      <w:r w:rsidRPr="00D449AA">
        <w:rPr>
          <w:rFonts w:asciiTheme="majorBidi" w:hAnsiTheme="majorBidi" w:cstheme="majorBidi"/>
          <w:lang w:val="es-ES_tradnl"/>
        </w:rPr>
        <w:t xml:space="preserve"> la falsificación. No existe hoy por hoy una Recomendación de la UIT disponible que, por ejemplo, compare los diferentes sistemas de lucha contra la falsificación, describa un marco pertinente y examine el rendimiento e interoperatividad a escala mundial. La UIT y otros interesados pertinentes tienen funciones esenciales que cumplir en el fomento de la coordinación entre las partes interesadas para identificar maneras de afrontar esta cuestión a escala internacional y regional. Además, se ha encargado a la UIT que realice las acciones necesarias para prevenir o detectar la alteración y/o duplicación de identificadores exclusivos de dispositivos.</w:t>
      </w:r>
    </w:p>
    <w:p w14:paraId="40EBF8E8"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En el presente Informe Técnico se tratan exclusivamente temas relativos a la lucha contra la falsificación, como su definición, sus repercusiones, los convenios de DPI y su observancia, los foros antifalsificación de la industria, las medidas para luchar contra la falsificación y las organizaciones que se encargan de este asunto. A fin de ayudar a los organismos reguladores a proteger al consumidor, a los operadores y a los gobiernos contra los efectos negativos de los dispositivos falsificados, la UIT debería estudiar más detalladamente este asunto.</w:t>
      </w:r>
    </w:p>
    <w:p w14:paraId="37B8C269" w14:textId="62A49049" w:rsidR="006B1268" w:rsidRPr="00D449AA" w:rsidRDefault="006B1268" w:rsidP="00C142FB">
      <w:pPr>
        <w:pStyle w:val="Heading1"/>
        <w:rPr>
          <w:lang w:val="es-ES_tradnl"/>
        </w:rPr>
      </w:pPr>
      <w:bookmarkStart w:id="316" w:name="_Toc406670426"/>
      <w:bookmarkStart w:id="317" w:name="_Toc404607218"/>
      <w:bookmarkStart w:id="318" w:name="_Toc211334045"/>
      <w:bookmarkStart w:id="319" w:name="_Toc200181319"/>
      <w:bookmarkStart w:id="320" w:name="_Toc200180751"/>
      <w:bookmarkStart w:id="321" w:name="_Toc447202563"/>
      <w:bookmarkStart w:id="322" w:name="_Toc447203041"/>
      <w:r w:rsidRPr="00D449AA">
        <w:rPr>
          <w:lang w:val="es-ES_tradnl"/>
        </w:rPr>
        <w:t>11</w:t>
      </w:r>
      <w:r>
        <w:rPr>
          <w:lang w:val="es-ES_tradnl"/>
        </w:rPr>
        <w:tab/>
      </w:r>
      <w:r w:rsidRPr="00D449AA">
        <w:rPr>
          <w:lang w:val="es-ES_tradnl"/>
        </w:rPr>
        <w:t>Implicación de la UIT</w:t>
      </w:r>
      <w:bookmarkEnd w:id="316"/>
      <w:bookmarkEnd w:id="317"/>
      <w:bookmarkEnd w:id="318"/>
      <w:bookmarkEnd w:id="319"/>
      <w:bookmarkEnd w:id="320"/>
      <w:bookmarkEnd w:id="321"/>
      <w:bookmarkEnd w:id="322"/>
    </w:p>
    <w:p w14:paraId="4606FFB9" w14:textId="77777777" w:rsidR="006B1268" w:rsidRPr="00D449AA" w:rsidRDefault="006B1268" w:rsidP="00C142FB">
      <w:pPr>
        <w:rPr>
          <w:lang w:val="es-ES_tradnl"/>
        </w:rPr>
      </w:pPr>
      <w:r w:rsidRPr="00D449AA">
        <w:rPr>
          <w:lang w:val="es-ES_tradnl"/>
        </w:rPr>
        <w:t xml:space="preserve">En la Resolución 177 de la Conferencia de Plenipotenciarios de la UIT de 2010 (PP-10) se </w:t>
      </w:r>
      <w:r>
        <w:rPr>
          <w:lang w:val="es-ES_tradnl"/>
        </w:rPr>
        <w:t>"</w:t>
      </w:r>
      <w:r w:rsidRPr="00D449AA">
        <w:rPr>
          <w:lang w:val="es-ES_tradnl"/>
        </w:rPr>
        <w:t xml:space="preserve">invita además a los Estados Miembros y a los Miembros de Sector a tener presentes los marcos jurídico y reglamentario de otros países relativos a los equipos que afectan negativamente a la calidad de la </w:t>
      </w:r>
      <w:r w:rsidRPr="00D449AA">
        <w:rPr>
          <w:lang w:val="es-ES_tradnl"/>
        </w:rPr>
        <w:lastRenderedPageBreak/>
        <w:t>infraestructura y a los servicios de telecomunicaciones de esos países, reconociendo, en particular, las inquietudes de los países en desarrollo en relación con la falsificación de equipos</w:t>
      </w:r>
      <w:r>
        <w:rPr>
          <w:lang w:val="es-ES_tradnl"/>
        </w:rPr>
        <w:t xml:space="preserve">" </w:t>
      </w:r>
      <w:r w:rsidRPr="00D449AA">
        <w:rPr>
          <w:lang w:val="es-ES_tradnl"/>
        </w:rPr>
        <w:t>[72].</w:t>
      </w:r>
    </w:p>
    <w:p w14:paraId="158D4449"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 xml:space="preserve">En la Resolución 79 de la CMDT-14, </w:t>
      </w:r>
      <w:r>
        <w:rPr>
          <w:rFonts w:asciiTheme="majorBidi" w:hAnsiTheme="majorBidi" w:cstheme="majorBidi"/>
          <w:lang w:val="es-ES_tradnl"/>
        </w:rPr>
        <w:t>"F</w:t>
      </w:r>
      <w:r w:rsidRPr="00D449AA">
        <w:rPr>
          <w:rFonts w:asciiTheme="majorBidi" w:hAnsiTheme="majorBidi" w:cstheme="majorBidi"/>
          <w:lang w:val="es-ES_tradnl"/>
        </w:rPr>
        <w:t>unción de las telecomunicaciones/tecnologías de la información y la comunicación en la gestión y lucha contra la falsificación de dispositivos de telecomunicaciones/tecnologías de la información y la comunicación</w:t>
      </w:r>
      <w:r>
        <w:rPr>
          <w:rFonts w:asciiTheme="majorBidi" w:hAnsiTheme="majorBidi" w:cstheme="majorBidi"/>
          <w:lang w:val="es-ES_tradnl"/>
        </w:rPr>
        <w:t>"</w:t>
      </w:r>
      <w:r w:rsidRPr="00D449AA">
        <w:rPr>
          <w:rFonts w:asciiTheme="majorBidi" w:hAnsiTheme="majorBidi" w:cstheme="majorBidi"/>
          <w:lang w:val="es-ES_tradnl"/>
        </w:rPr>
        <w:t>, y en la Resolución</w:t>
      </w:r>
      <w:r>
        <w:rPr>
          <w:rFonts w:asciiTheme="majorBidi" w:hAnsiTheme="majorBidi" w:cstheme="majorBidi"/>
          <w:lang w:val="es-ES_tradnl"/>
        </w:rPr>
        <w:t xml:space="preserve"> </w:t>
      </w:r>
      <w:r w:rsidRPr="00D449AA">
        <w:rPr>
          <w:rFonts w:asciiTheme="majorBidi" w:hAnsiTheme="majorBidi" w:cstheme="majorBidi"/>
          <w:lang w:val="es-ES_tradnl"/>
        </w:rPr>
        <w:t xml:space="preserve">COM5/4 de la PP-14, </w:t>
      </w:r>
      <w:r>
        <w:rPr>
          <w:rFonts w:asciiTheme="majorBidi" w:hAnsiTheme="majorBidi" w:cstheme="majorBidi"/>
          <w:lang w:val="es-ES_tradnl"/>
        </w:rPr>
        <w:t>"</w:t>
      </w:r>
      <w:r w:rsidRPr="00D449AA">
        <w:rPr>
          <w:rFonts w:asciiTheme="majorBidi" w:hAnsiTheme="majorBidi" w:cstheme="majorBidi"/>
          <w:lang w:val="es-ES_tradnl"/>
        </w:rPr>
        <w:t>Lucha contra la falsificación de dispositivos de telecomunicaciones/tecnologías de la información y la comunicación</w:t>
      </w:r>
      <w:r>
        <w:rPr>
          <w:rFonts w:asciiTheme="majorBidi" w:hAnsiTheme="majorBidi" w:cstheme="majorBidi"/>
          <w:lang w:val="es-ES_tradnl"/>
        </w:rPr>
        <w:t>"</w:t>
      </w:r>
      <w:r w:rsidRPr="00D449AA">
        <w:rPr>
          <w:rFonts w:asciiTheme="majorBidi" w:hAnsiTheme="majorBidi" w:cstheme="majorBidi"/>
          <w:lang w:val="es-ES_tradnl"/>
        </w:rPr>
        <w:t xml:space="preserve"> se encarga a la UIT que estudie el problema de la falsificación de equipos de TIC.</w:t>
      </w:r>
    </w:p>
    <w:p w14:paraId="67816375" w14:textId="77777777" w:rsidR="006B1268" w:rsidRPr="00D449AA" w:rsidRDefault="006B1268" w:rsidP="00C142FB">
      <w:pPr>
        <w:rPr>
          <w:rFonts w:asciiTheme="majorBidi" w:hAnsiTheme="majorBidi" w:cstheme="majorBidi"/>
        </w:rPr>
      </w:pPr>
      <w:r w:rsidRPr="00D449AA">
        <w:rPr>
          <w:rFonts w:asciiTheme="majorBidi" w:hAnsiTheme="majorBidi" w:cstheme="majorBidi"/>
          <w:lang w:val="es-ES_tradnl"/>
        </w:rPr>
        <w:t>La Comisión de Estudio 11 (CE</w:t>
      </w:r>
      <w:r>
        <w:rPr>
          <w:rFonts w:asciiTheme="majorBidi" w:hAnsiTheme="majorBidi" w:cstheme="majorBidi"/>
          <w:lang w:val="es-ES_tradnl"/>
        </w:rPr>
        <w:t> </w:t>
      </w:r>
      <w:r w:rsidRPr="00D449AA">
        <w:rPr>
          <w:rFonts w:asciiTheme="majorBidi" w:hAnsiTheme="majorBidi" w:cstheme="majorBidi"/>
          <w:lang w:val="es-ES_tradnl"/>
        </w:rPr>
        <w:t xml:space="preserve">11) estudia este problema en el marco de la Cuestión 8 y la UIT celebró un taller sobre la </w:t>
      </w:r>
      <w:r>
        <w:rPr>
          <w:rFonts w:asciiTheme="majorBidi" w:hAnsiTheme="majorBidi" w:cstheme="majorBidi"/>
          <w:lang w:val="es-ES_tradnl"/>
        </w:rPr>
        <w:t>"</w:t>
      </w:r>
      <w:r w:rsidRPr="00D449AA">
        <w:rPr>
          <w:rFonts w:asciiTheme="majorBidi" w:hAnsiTheme="majorBidi" w:cstheme="majorBidi"/>
          <w:lang w:val="es-ES_tradnl"/>
        </w:rPr>
        <w:t>lucha contra dispositivos falsificados y de baja calidad</w:t>
      </w:r>
      <w:r>
        <w:rPr>
          <w:rFonts w:asciiTheme="majorBidi" w:hAnsiTheme="majorBidi" w:cstheme="majorBidi"/>
          <w:lang w:val="es-ES_tradnl"/>
        </w:rPr>
        <w:t>"</w:t>
      </w:r>
      <w:r w:rsidRPr="00D449AA">
        <w:rPr>
          <w:rFonts w:asciiTheme="majorBidi" w:hAnsiTheme="majorBidi" w:cstheme="majorBidi"/>
          <w:lang w:val="es-ES_tradnl"/>
        </w:rPr>
        <w:t xml:space="preserve"> en Ginebra el mes de noviembre de 2014. </w:t>
      </w:r>
      <w:hyperlink r:id="rId81" w:history="1">
        <w:r w:rsidRPr="00D449AA">
          <w:rPr>
            <w:rStyle w:val="Hyperlink"/>
            <w:rFonts w:asciiTheme="majorBidi" w:hAnsiTheme="majorBidi" w:cstheme="majorBidi"/>
          </w:rPr>
          <w:t>http://www.itu.int/en/ITU-T/C-I/Pages/WSHP_counterfeit.aspx</w:t>
        </w:r>
      </w:hyperlink>
      <w:r w:rsidRPr="00AC2D98">
        <w:rPr>
          <w:rStyle w:val="Hyperlink"/>
          <w:rFonts w:asciiTheme="majorBidi" w:hAnsiTheme="majorBidi" w:cstheme="majorBidi"/>
        </w:rPr>
        <w:t>.</w:t>
      </w:r>
      <w:r w:rsidRPr="00D449AA">
        <w:rPr>
          <w:rFonts w:asciiTheme="majorBidi" w:hAnsiTheme="majorBidi" w:cstheme="majorBidi"/>
          <w:color w:val="0000FF"/>
        </w:rPr>
        <w:t xml:space="preserve"> </w:t>
      </w:r>
    </w:p>
    <w:p w14:paraId="69D16F85"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 xml:space="preserve">Las Comisiones de Estudio 16 y 17 del UIT-T han preparado Recomendaciones relativas a la identificación y autentificación de objetos. </w:t>
      </w:r>
    </w:p>
    <w:p w14:paraId="22B0305D"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La Comisión de Estudio 5 (CE</w:t>
      </w:r>
      <w:r>
        <w:rPr>
          <w:rFonts w:asciiTheme="majorBidi" w:hAnsiTheme="majorBidi" w:cstheme="majorBidi"/>
          <w:lang w:val="es-ES_tradnl"/>
        </w:rPr>
        <w:t> </w:t>
      </w:r>
      <w:r w:rsidRPr="00D449AA">
        <w:rPr>
          <w:rFonts w:asciiTheme="majorBidi" w:hAnsiTheme="majorBidi" w:cstheme="majorBidi"/>
          <w:lang w:val="es-ES_tradnl"/>
        </w:rPr>
        <w:t>5) del UIT-T se encarga de estudiar las metodologías de diseño para reducir el impacto ambiental de la utilización de las TIC mediante meca</w:t>
      </w:r>
      <w:r>
        <w:rPr>
          <w:rFonts w:asciiTheme="majorBidi" w:hAnsiTheme="majorBidi" w:cstheme="majorBidi"/>
          <w:lang w:val="es-ES_tradnl"/>
        </w:rPr>
        <w:t>nismos tales como el reciclaje.</w:t>
      </w:r>
    </w:p>
    <w:p w14:paraId="5C3C1A9A" w14:textId="5A8389A9" w:rsidR="006B1268" w:rsidRPr="00D449AA" w:rsidRDefault="006B1268">
      <w:pPr>
        <w:rPr>
          <w:rFonts w:asciiTheme="majorBidi" w:hAnsiTheme="majorBidi" w:cstheme="majorBidi"/>
          <w:lang w:val="es-ES_tradnl"/>
        </w:rPr>
      </w:pPr>
      <w:r w:rsidRPr="00D449AA">
        <w:rPr>
          <w:rFonts w:asciiTheme="majorBidi" w:hAnsiTheme="majorBidi" w:cstheme="majorBidi"/>
          <w:lang w:val="es-ES_tradnl"/>
        </w:rPr>
        <w:t xml:space="preserve">El Director de la TSB ha constituido un Grupo ad hoc (GAH) sobre DPI: </w:t>
      </w:r>
      <w:hyperlink r:id="rId82" w:history="1">
        <w:r w:rsidRPr="00D449AA">
          <w:rPr>
            <w:rStyle w:val="Hyperlink"/>
            <w:rFonts w:asciiTheme="majorBidi" w:hAnsiTheme="majorBidi" w:cstheme="majorBidi"/>
            <w:lang w:val="es-ES_tradnl"/>
          </w:rPr>
          <w:t>http://www.itu.int/en/ITU-T/ipr/Pages/adhoc.aspx</w:t>
        </w:r>
      </w:hyperlink>
      <w:r>
        <w:rPr>
          <w:rStyle w:val="Hyperlink"/>
          <w:rFonts w:asciiTheme="majorBidi" w:hAnsiTheme="majorBidi" w:cstheme="majorBidi"/>
          <w:lang w:val="es-ES_tradnl"/>
        </w:rPr>
        <w:t xml:space="preserve"> </w:t>
      </w:r>
      <w:r w:rsidRPr="00D449AA">
        <w:rPr>
          <w:rFonts w:asciiTheme="majorBidi" w:hAnsiTheme="majorBidi" w:cstheme="majorBidi"/>
          <w:lang w:val="es-ES_tradnl"/>
        </w:rPr>
        <w:t xml:space="preserve">para estudiar la política de patentes, directrices sobre marcas y derecho de autor del software, y otras cuestiones afines. Este Grupo se viene reuniendo desde 1998. La UIT y la OMPI también han organizado de consuno simposios sobre temas tales como los nombres de dominio plurilingües en 2001 y sobre </w:t>
      </w:r>
      <w:r>
        <w:rPr>
          <w:rFonts w:asciiTheme="majorBidi" w:hAnsiTheme="majorBidi" w:cstheme="majorBidi"/>
          <w:lang w:val="es-ES_tradnl"/>
        </w:rPr>
        <w:t>"</w:t>
      </w:r>
      <w:r w:rsidRPr="00D449AA">
        <w:rPr>
          <w:rFonts w:asciiTheme="majorBidi" w:hAnsiTheme="majorBidi" w:cstheme="majorBidi"/>
          <w:lang w:val="es-ES_tradnl"/>
        </w:rPr>
        <w:t>solución de controversias en la encrucijada de las tecnologías de la información y la comunicación y la propiedad intelectual</w:t>
      </w:r>
      <w:r>
        <w:rPr>
          <w:rFonts w:asciiTheme="majorBidi" w:hAnsiTheme="majorBidi" w:cstheme="majorBidi"/>
          <w:lang w:val="es-ES_tradnl"/>
        </w:rPr>
        <w:t>"</w:t>
      </w:r>
      <w:r w:rsidRPr="00D449AA">
        <w:rPr>
          <w:rFonts w:asciiTheme="majorBidi" w:hAnsiTheme="majorBidi" w:cstheme="majorBidi"/>
          <w:lang w:val="es-ES_tradnl"/>
        </w:rPr>
        <w:t xml:space="preserve"> en 2009: </w:t>
      </w:r>
      <w:hyperlink r:id="rId83" w:history="1">
        <w:r w:rsidRPr="00D449AA">
          <w:rPr>
            <w:rStyle w:val="Hyperlink"/>
            <w:rFonts w:asciiTheme="majorBidi" w:hAnsiTheme="majorBidi" w:cstheme="majorBidi"/>
            <w:lang w:val="es-ES_tradnl"/>
          </w:rPr>
          <w:t>http://www.wipo.int/amc/en/events/workshops/2009/itu/index.html</w:t>
        </w:r>
      </w:hyperlink>
      <w:r w:rsidRPr="00D449AA">
        <w:rPr>
          <w:rFonts w:asciiTheme="majorBidi" w:hAnsiTheme="majorBidi" w:cstheme="majorBidi"/>
          <w:lang w:val="es-ES_tradnl"/>
        </w:rPr>
        <w:t>. La UIT también organizó una mesa redonda en 2012 a fin de proporcionar un lugar de encuentro neutro para la industria, los organismos de normalización y los reguladores, donde deliberar acerca de si las actuales políticas de patente y prácticas existentes en la industria responden adecuadamente a las necesidades de los diversos interesados.</w:t>
      </w:r>
      <w:r w:rsidR="00F454AF">
        <w:rPr>
          <w:rFonts w:asciiTheme="majorBidi" w:hAnsiTheme="majorBidi" w:cstheme="majorBidi"/>
          <w:lang w:val="es-ES_tradnl"/>
        </w:rPr>
        <w:t xml:space="preserve"> </w:t>
      </w:r>
      <w:hyperlink r:id="rId84" w:history="1">
        <w:r w:rsidRPr="00D449AA">
          <w:rPr>
            <w:rStyle w:val="Hyperlink"/>
            <w:rFonts w:asciiTheme="majorBidi" w:hAnsiTheme="majorBidi" w:cstheme="majorBidi"/>
          </w:rPr>
          <w:t>http://www.itu.int/en/ITU-T/Workshops-and-Seminars/patent/Pages/default.aspx</w:t>
        </w:r>
      </w:hyperlink>
      <w:r w:rsidRPr="00D449AA">
        <w:rPr>
          <w:rFonts w:asciiTheme="majorBidi" w:hAnsiTheme="majorBidi" w:cstheme="majorBidi"/>
        </w:rPr>
        <w:t xml:space="preserve">. </w:t>
      </w:r>
      <w:r w:rsidRPr="00D449AA">
        <w:rPr>
          <w:rFonts w:asciiTheme="majorBidi" w:hAnsiTheme="majorBidi" w:cstheme="majorBidi"/>
          <w:lang w:val="es-ES_tradnl"/>
        </w:rPr>
        <w:t>Hasta la fecha este Grupo no ha abordado el tema de la falsificación.</w:t>
      </w:r>
    </w:p>
    <w:p w14:paraId="08D57657"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Es innegable el papel que tiene la UIT en la resolución del problema de la falsificación de equipos de TIC.</w:t>
      </w:r>
    </w:p>
    <w:p w14:paraId="0029ACC5"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En el informe de la CE</w:t>
      </w:r>
      <w:r>
        <w:rPr>
          <w:rFonts w:asciiTheme="majorBidi" w:hAnsiTheme="majorBidi" w:cstheme="majorBidi"/>
          <w:lang w:val="es-ES_tradnl"/>
        </w:rPr>
        <w:t> </w:t>
      </w:r>
      <w:r w:rsidRPr="00D449AA">
        <w:rPr>
          <w:rFonts w:asciiTheme="majorBidi" w:hAnsiTheme="majorBidi" w:cstheme="majorBidi"/>
          <w:lang w:val="es-ES_tradnl"/>
        </w:rPr>
        <w:t>1 del Sector de Desarrollo de las Telecomunicaciones de la UIT (UIT-D) titulado regulación y protección del consumidor en el contexto de la convergencia (marzo de 2013), preparado en el marco de la Resolución 64 de la Conferencia Mundial de Desarrollo de las Telecomunicaciones de la UI</w:t>
      </w:r>
      <w:r>
        <w:rPr>
          <w:rFonts w:asciiTheme="majorBidi" w:hAnsiTheme="majorBidi" w:cstheme="majorBidi"/>
          <w:lang w:val="es-ES_tradnl"/>
        </w:rPr>
        <w:t>T</w:t>
      </w:r>
      <w:r w:rsidRPr="00D449AA">
        <w:rPr>
          <w:rFonts w:asciiTheme="majorBidi" w:hAnsiTheme="majorBidi" w:cstheme="majorBidi"/>
          <w:lang w:val="es-ES_tradnl"/>
        </w:rPr>
        <w:t xml:space="preserve"> (Hyderabad, 2010), se indica que la protección de los innovadores, creadores y consumidores contra la falsificación y piratería derivada de la distribución en línea (y cada vez más transfronteriza) de bienes y servicios, supone un reto para los organismos reguladores.</w:t>
      </w:r>
    </w:p>
    <w:p w14:paraId="59D5A7C7" w14:textId="09ED985D" w:rsidR="006B1268" w:rsidRPr="00D449AA" w:rsidRDefault="006B1268" w:rsidP="00C142FB">
      <w:pPr>
        <w:ind w:right="-57"/>
        <w:rPr>
          <w:rFonts w:asciiTheme="majorBidi" w:hAnsiTheme="majorBidi" w:cstheme="majorBidi"/>
          <w:lang w:val="es-ES_tradnl"/>
        </w:rPr>
      </w:pPr>
      <w:r w:rsidRPr="00D449AA">
        <w:rPr>
          <w:rFonts w:asciiTheme="majorBidi" w:hAnsiTheme="majorBidi" w:cstheme="majorBidi"/>
          <w:lang w:val="es-ES_tradnl"/>
        </w:rPr>
        <w:t xml:space="preserve">Según las directrices para países en desarrollo sobre la creación de laboratorios de pruebas y evaluación de la conformidad en diferentes regiones, publicado por el Sector de Desarrollo de las Telecomunicaciones de la UIT en mayo de 2012, los Estados Miembros indicaron </w:t>
      </w:r>
      <w:r>
        <w:rPr>
          <w:rFonts w:asciiTheme="majorBidi" w:hAnsiTheme="majorBidi" w:cstheme="majorBidi"/>
          <w:lang w:val="es-ES_tradnl"/>
        </w:rPr>
        <w:t xml:space="preserve">que </w:t>
      </w:r>
      <w:r w:rsidRPr="00D449AA">
        <w:rPr>
          <w:rFonts w:asciiTheme="majorBidi" w:hAnsiTheme="majorBidi" w:cstheme="majorBidi"/>
          <w:lang w:val="es-ES_tradnl"/>
        </w:rPr>
        <w:t xml:space="preserve">los equipos falsificados están agravando los problemas de conformidad e interoperatividad </w:t>
      </w:r>
      <w:hyperlink r:id="rId85" w:history="1">
        <w:r w:rsidRPr="000D4F8C">
          <w:rPr>
            <w:rStyle w:val="Hyperlink"/>
            <w:spacing w:val="-3"/>
            <w:lang w:val="es-ES_tradnl"/>
          </w:rPr>
          <w:t>http://www.UIT.int/UIT-D/tech/ConformanceInteroperability/ConformanceInterop/Guidelines/</w:t>
        </w:r>
        <w:r w:rsidRPr="000D4F8C">
          <w:rPr>
            <w:rStyle w:val="Hyperlink"/>
            <w:spacing w:val="-3"/>
            <w:lang w:val="es-ES_tradnl"/>
          </w:rPr>
          <w:br/>
          <w:t>Test_lab_guidelines_EV8.pdf</w:t>
        </w:r>
      </w:hyperlink>
      <w:r>
        <w:rPr>
          <w:rStyle w:val="Hyperlink"/>
          <w:spacing w:val="-3"/>
          <w:lang w:val="es-ES_tradnl"/>
        </w:rPr>
        <w:t xml:space="preserve">. </w:t>
      </w:r>
      <w:r w:rsidRPr="00D449AA">
        <w:rPr>
          <w:rFonts w:asciiTheme="majorBidi" w:hAnsiTheme="majorBidi" w:cstheme="majorBidi"/>
          <w:lang w:val="es-ES_tradnl"/>
        </w:rPr>
        <w:t xml:space="preserve">Se ha observado que </w:t>
      </w:r>
      <w:r>
        <w:rPr>
          <w:rFonts w:asciiTheme="majorBidi" w:hAnsiTheme="majorBidi" w:cstheme="majorBidi"/>
          <w:lang w:val="es-ES_tradnl"/>
        </w:rPr>
        <w:t>"</w:t>
      </w:r>
      <w:r w:rsidRPr="00D449AA">
        <w:rPr>
          <w:rFonts w:asciiTheme="majorBidi" w:hAnsiTheme="majorBidi" w:cstheme="majorBidi"/>
          <w:lang w:val="es-ES_tradnl"/>
        </w:rPr>
        <w:t>la sospecha del dumping comercial de productos que no se ajustan a las normas establecidas y no han superado las pruebas necesarias en otros países es una causa adicional de preocupación, al igual que la importación y distribución de productos falsificados. Un componente fundamental de la respuesta que se ha de dar a estas preocupaciones es la creación de un régimen de homologación sólido y de una serie de laboratorios de prueba que</w:t>
      </w:r>
      <w:r w:rsidR="00F454AF">
        <w:rPr>
          <w:rFonts w:asciiTheme="majorBidi" w:hAnsiTheme="majorBidi" w:cstheme="majorBidi"/>
          <w:lang w:val="es-ES_tradnl"/>
        </w:rPr>
        <w:t xml:space="preserve"> </w:t>
      </w:r>
      <w:r w:rsidRPr="00D449AA">
        <w:rPr>
          <w:rFonts w:asciiTheme="majorBidi" w:hAnsiTheme="majorBidi" w:cstheme="majorBidi"/>
          <w:lang w:val="es-ES_tradnl"/>
        </w:rPr>
        <w:t xml:space="preserve">trabaje basándose en un conjunto de normas técnicas, un régimen de realización de </w:t>
      </w:r>
      <w:r w:rsidRPr="00D449AA">
        <w:rPr>
          <w:rFonts w:asciiTheme="majorBidi" w:hAnsiTheme="majorBidi" w:cstheme="majorBidi"/>
          <w:lang w:val="es-ES_tradnl"/>
        </w:rPr>
        <w:lastRenderedPageBreak/>
        <w:t>pruebas y una capacidad de ensayo, con el fin de aprobar y controlar las tecnologías de la comunicación que se están implantando en el mercado, con el respaldo de un sistema de control, auditoría y cumplimiento de las normas. Si no se establecen previamente unos requisitos técnicos, un régimen de homologación y unos laboratorios de prueba en el país o región en cuestión, el mercado queda en gran medida desprotegido</w:t>
      </w:r>
      <w:r>
        <w:rPr>
          <w:rFonts w:asciiTheme="majorBidi" w:hAnsiTheme="majorBidi" w:cstheme="majorBidi"/>
          <w:lang w:val="es-ES_tradnl"/>
        </w:rPr>
        <w:t>"</w:t>
      </w:r>
      <w:r w:rsidRPr="00D449AA">
        <w:rPr>
          <w:rFonts w:asciiTheme="majorBidi" w:hAnsiTheme="majorBidi" w:cstheme="majorBidi"/>
          <w:lang w:val="es-ES_tradnl"/>
        </w:rPr>
        <w:t>. Las pruebas y la interoperatividad puede</w:t>
      </w:r>
      <w:r>
        <w:rPr>
          <w:rFonts w:asciiTheme="majorBidi" w:hAnsiTheme="majorBidi" w:cstheme="majorBidi"/>
          <w:lang w:val="es-ES_tradnl"/>
        </w:rPr>
        <w:t>n</w:t>
      </w:r>
      <w:r w:rsidRPr="00D449AA">
        <w:rPr>
          <w:rFonts w:asciiTheme="majorBidi" w:hAnsiTheme="majorBidi" w:cstheme="majorBidi"/>
          <w:lang w:val="es-ES_tradnl"/>
        </w:rPr>
        <w:t xml:space="preserve"> verse gravemente limitada si</w:t>
      </w:r>
      <w:r>
        <w:rPr>
          <w:rFonts w:asciiTheme="majorBidi" w:hAnsiTheme="majorBidi" w:cstheme="majorBidi"/>
          <w:lang w:val="es-ES_tradnl"/>
        </w:rPr>
        <w:t xml:space="preserve"> se aplican a un mismo producto</w:t>
      </w:r>
      <w:r w:rsidRPr="00D449AA">
        <w:rPr>
          <w:rFonts w:asciiTheme="majorBidi" w:hAnsiTheme="majorBidi" w:cstheme="majorBidi"/>
          <w:lang w:val="es-ES_tradnl"/>
        </w:rPr>
        <w:t xml:space="preserve"> múltiples normas de diferentes organismos. Es preciso reconocer que aunque parezca atractivo, un régimen de pruebas por sí solo no generará probablemente ningún cambio real de la situación a la hora de resolver el problema de la falsificación.</w:t>
      </w:r>
    </w:p>
    <w:p w14:paraId="74926F8F"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Cabe señalar asimismo que la falsificación es cada vez más sofisticada y que algunos productos falsificados pueden ser conformes con determinados requisitos técnicos y ser interoperativos con productos genuinos. Así, los productos falsificados pueden ser conformes con una serie de normas técnicas pertinentes y pasar las pruebas de conformidad e interoperatividad. En este caso, sólo el titular de la marc</w:t>
      </w:r>
      <w:r>
        <w:rPr>
          <w:rFonts w:asciiTheme="majorBidi" w:hAnsiTheme="majorBidi" w:cstheme="majorBidi"/>
          <w:lang w:val="es-ES_tradnl"/>
        </w:rPr>
        <w:t>a</w:t>
      </w:r>
      <w:r w:rsidRPr="00D449AA">
        <w:rPr>
          <w:rFonts w:asciiTheme="majorBidi" w:hAnsiTheme="majorBidi" w:cstheme="majorBidi"/>
          <w:lang w:val="es-ES_tradnl"/>
        </w:rPr>
        <w:t xml:space="preserve"> puede diferenciar con exactitud los productos falsificados de los genuinos realizando una evaluación del producto. </w:t>
      </w:r>
    </w:p>
    <w:p w14:paraId="30CEA940" w14:textId="77777777" w:rsidR="006B1268" w:rsidRPr="00D449AA" w:rsidRDefault="006B1268" w:rsidP="00C142FB">
      <w:pPr>
        <w:rPr>
          <w:rFonts w:asciiTheme="majorBidi" w:hAnsiTheme="majorBidi" w:cstheme="majorBidi"/>
        </w:rPr>
      </w:pPr>
      <w:r w:rsidRPr="00D449AA">
        <w:rPr>
          <w:rFonts w:asciiTheme="majorBidi" w:hAnsiTheme="majorBidi" w:cstheme="majorBidi"/>
          <w:lang w:val="es-ES_tradnl"/>
        </w:rPr>
        <w:t xml:space="preserve">El problema de la falsificación de equipos de TIC se examinó en el taller regional de la UIT sobre reducción de la brecha de normalización (BSG) para la Región de África y los Estados Árabes (Argelia, 26-28 de septiembre de 2011) y se preparó una directiva para fomentar la compartición de información a nivel regional por medio de una base de datos de productos falsificados. </w:t>
      </w:r>
      <w:hyperlink r:id="rId86" w:history="1">
        <w:r w:rsidRPr="00D449AA">
          <w:rPr>
            <w:rStyle w:val="Hyperlink"/>
            <w:rFonts w:asciiTheme="majorBidi" w:hAnsiTheme="majorBidi" w:cstheme="majorBidi"/>
          </w:rPr>
          <w:t>http://www.itu.int/ITU-T/newslog/ITU+Regional+Workshop+On+Bridging+The+Standardization+Gap+For+Arab+And+Africa+Regions+Interactive+Training+Session+And+Academia+Session.aspx</w:t>
        </w:r>
      </w:hyperlink>
      <w:r w:rsidRPr="00E235F8">
        <w:rPr>
          <w:rStyle w:val="Hyperlink"/>
          <w:rFonts w:asciiTheme="majorBidi" w:hAnsiTheme="majorBidi" w:cstheme="majorBidi"/>
        </w:rPr>
        <w:t>.</w:t>
      </w:r>
      <w:r w:rsidRPr="00D449AA">
        <w:rPr>
          <w:rFonts w:asciiTheme="majorBidi" w:hAnsiTheme="majorBidi" w:cstheme="majorBidi"/>
          <w:color w:val="0000FF"/>
        </w:rPr>
        <w:t xml:space="preserve"> </w:t>
      </w:r>
    </w:p>
    <w:p w14:paraId="033FD019" w14:textId="77777777" w:rsidR="006B1268" w:rsidRPr="00E235F8" w:rsidRDefault="006B1268" w:rsidP="00C142FB">
      <w:pPr>
        <w:rPr>
          <w:rFonts w:asciiTheme="majorBidi" w:hAnsiTheme="majorBidi" w:cstheme="majorBidi"/>
        </w:rPr>
      </w:pPr>
      <w:r w:rsidRPr="00D449AA">
        <w:rPr>
          <w:rFonts w:asciiTheme="majorBidi" w:hAnsiTheme="majorBidi" w:cstheme="majorBidi"/>
          <w:lang w:val="es-ES_tradnl"/>
        </w:rPr>
        <w:t xml:space="preserve">El Grupo Asesor de Normalización de las Telecomunicaciones (GANT) del UIT-T subrayó, en su reunión de información sobre evaluación de la conformidad y la interoperatividad (Ginebra, 13 de enero de 2012) y el Foro de la UIT sobre conformidad e interoperatividad para las Regiones de África y los Estados Árabes (Túnez, 5-7 de noviembre de 2012) la conclusión de la Región Árabe de que el equipo falsificado es un problema difícil, especialmente en el mercado de teléfonos móviles, y que es necesaria la cooperación mundial a este respecto. </w:t>
      </w:r>
      <w:hyperlink r:id="rId87" w:history="1">
        <w:r w:rsidRPr="00D449AA">
          <w:rPr>
            <w:rStyle w:val="Hyperlink"/>
            <w:rFonts w:asciiTheme="majorBidi" w:hAnsiTheme="majorBidi" w:cstheme="majorBidi"/>
          </w:rPr>
          <w:t>http://www.itu.int/ITU-D/tech/events/2012/CI_ARB_AFR_Tunis_November12/Presentations/Session5/CI%20Forum%202012_Tunis_AAlDin_S5_4.pdf</w:t>
        </w:r>
      </w:hyperlink>
      <w:r w:rsidRPr="00D449AA">
        <w:rPr>
          <w:rFonts w:asciiTheme="majorBidi" w:hAnsiTheme="majorBidi" w:cstheme="majorBidi"/>
        </w:rPr>
        <w:t>], [</w:t>
      </w:r>
      <w:hyperlink r:id="rId88" w:history="1">
        <w:r w:rsidRPr="00D449AA">
          <w:rPr>
            <w:rStyle w:val="Hyperlink"/>
            <w:rFonts w:asciiTheme="majorBidi" w:hAnsiTheme="majorBidi" w:cstheme="majorBidi"/>
          </w:rPr>
          <w:t>http://www.itu.int/dms_pub/itu-t/oth/06/5B/T065B00000E0005PPTE.pptx</w:t>
        </w:r>
      </w:hyperlink>
      <w:r w:rsidRPr="00E235F8">
        <w:rPr>
          <w:rStyle w:val="Hyperlink"/>
          <w:rFonts w:asciiTheme="majorBidi" w:hAnsiTheme="majorBidi" w:cstheme="majorBidi"/>
        </w:rPr>
        <w:t>.</w:t>
      </w:r>
    </w:p>
    <w:p w14:paraId="421F0C60"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 xml:space="preserve">El problema del robo de dispositivos móviles, del mercado gris y de los dispositivos falsificados, así como su incidencia en la industria, los operadores, los gobiernos y los usuarios, se examinó en la reunión de Asociaciones de reguladores organizada por el Sector de Desarrollo de las Telecomunicaciones de la UIT (Sri Lanka, Colombo, 1 de octubre de 2012) de conformidad con la Resolución 48 (Rev. Hyderabad, 2010) </w:t>
      </w:r>
      <w:r>
        <w:rPr>
          <w:rFonts w:asciiTheme="majorBidi" w:hAnsiTheme="majorBidi" w:cstheme="majorBidi"/>
          <w:lang w:val="es-ES_tradnl"/>
        </w:rPr>
        <w:t>"</w:t>
      </w:r>
      <w:r w:rsidRPr="00D449AA">
        <w:rPr>
          <w:rFonts w:asciiTheme="majorBidi" w:hAnsiTheme="majorBidi" w:cstheme="majorBidi"/>
          <w:lang w:val="es-ES_tradnl"/>
        </w:rPr>
        <w:t>Fortalecimiento de la cooperación entre organismos reguladores de las telecomunicaciones</w:t>
      </w:r>
      <w:r>
        <w:rPr>
          <w:rFonts w:asciiTheme="majorBidi" w:hAnsiTheme="majorBidi" w:cstheme="majorBidi"/>
          <w:lang w:val="es-ES_tradnl"/>
        </w:rPr>
        <w:t>"</w:t>
      </w:r>
      <w:r w:rsidRPr="00D449AA">
        <w:rPr>
          <w:rFonts w:asciiTheme="majorBidi" w:hAnsiTheme="majorBidi" w:cstheme="majorBidi"/>
          <w:lang w:val="es-ES_tradnl"/>
        </w:rPr>
        <w:t>, en la que se pide a la UIT que organice, coordine y facilite la realización de actividades encaminadas a promover el intercambio de información entre organismos reguladores y las asociaciones de reglamentación sobre asuntos clave de reglamentación a nivel internacional y regional. Representantes de 10 asociaciones reguladoras regionales, comprendidas ARCTEL-CPLP, AREGNET, ARTAC, EMERG, FRATEL, REGULATEL, OCCUR, FTRA, SATRC y APT, destacaron las medidas regionales que podría ser sumamente eficaces a este respecto, tales como:</w:t>
      </w:r>
    </w:p>
    <w:p w14:paraId="3C2A88AF" w14:textId="77777777" w:rsidR="006B1268" w:rsidRPr="00D449AA" w:rsidRDefault="006B1268" w:rsidP="00C142FB">
      <w:pPr>
        <w:pStyle w:val="enumlev1"/>
        <w:rPr>
          <w:rFonts w:asciiTheme="majorBidi" w:hAnsiTheme="majorBidi" w:cstheme="majorBidi"/>
          <w:lang w:val="es-ES_tradnl"/>
        </w:rPr>
      </w:pPr>
      <w:r w:rsidRPr="00D449AA">
        <w:rPr>
          <w:rFonts w:asciiTheme="majorBidi" w:hAnsiTheme="majorBidi" w:cstheme="majorBidi"/>
          <w:lang w:val="es-ES_tradnl"/>
        </w:rPr>
        <w:t>•</w:t>
      </w:r>
      <w:r w:rsidRPr="00D449AA">
        <w:rPr>
          <w:rFonts w:asciiTheme="majorBidi" w:hAnsiTheme="majorBidi" w:cstheme="majorBidi"/>
          <w:lang w:val="es-ES_tradnl"/>
        </w:rPr>
        <w:tab/>
        <w:t>el intercambio de bases de datos con listas negras de GSM y CDMA mediante la firma de acuerdos bilaterales o multilaterales;</w:t>
      </w:r>
    </w:p>
    <w:p w14:paraId="46CA68D5" w14:textId="77777777" w:rsidR="006B1268" w:rsidRPr="00D449AA" w:rsidRDefault="006B1268" w:rsidP="00C142FB">
      <w:pPr>
        <w:pStyle w:val="enumlev1"/>
        <w:rPr>
          <w:rFonts w:asciiTheme="majorBidi" w:hAnsiTheme="majorBidi" w:cstheme="majorBidi"/>
          <w:lang w:val="es-ES_tradnl"/>
        </w:rPr>
      </w:pPr>
      <w:r w:rsidRPr="00D449AA">
        <w:rPr>
          <w:rFonts w:asciiTheme="majorBidi" w:hAnsiTheme="majorBidi" w:cstheme="majorBidi"/>
          <w:lang w:val="es-ES_tradnl"/>
        </w:rPr>
        <w:t>•</w:t>
      </w:r>
      <w:r w:rsidRPr="00D449AA">
        <w:rPr>
          <w:rFonts w:asciiTheme="majorBidi" w:hAnsiTheme="majorBidi" w:cstheme="majorBidi"/>
          <w:lang w:val="es-ES_tradnl"/>
        </w:rPr>
        <w:tab/>
        <w:t>la conformidad de la industria con las recomendaciones en materia de seguridad relativas a la reprogramación de la duplicación de la IMEI o el número electrónico de identificación de serie del fabricante;</w:t>
      </w:r>
    </w:p>
    <w:p w14:paraId="5E248340" w14:textId="77777777" w:rsidR="006B1268" w:rsidRPr="00D449AA" w:rsidRDefault="006B1268" w:rsidP="00C142FB">
      <w:pPr>
        <w:pStyle w:val="enumlev1"/>
        <w:rPr>
          <w:rFonts w:asciiTheme="majorBidi" w:hAnsiTheme="majorBidi" w:cstheme="majorBidi"/>
          <w:lang w:val="es-ES_tradnl"/>
        </w:rPr>
      </w:pPr>
      <w:r w:rsidRPr="00D449AA">
        <w:rPr>
          <w:rFonts w:asciiTheme="majorBidi" w:hAnsiTheme="majorBidi" w:cstheme="majorBidi"/>
          <w:lang w:val="es-ES_tradnl"/>
        </w:rPr>
        <w:lastRenderedPageBreak/>
        <w:t>•</w:t>
      </w:r>
      <w:r w:rsidRPr="00D449AA">
        <w:rPr>
          <w:rFonts w:asciiTheme="majorBidi" w:hAnsiTheme="majorBidi" w:cstheme="majorBidi"/>
          <w:lang w:val="es-ES_tradnl"/>
        </w:rPr>
        <w:tab/>
        <w:t>el establecimiento de mecanismos reguladores fiscales y/o aduaneros que garanticen un mayor control sobre los terminales importados, evitando la salida o la reexportación de terminales móviles robados y/o sus componentes;</w:t>
      </w:r>
    </w:p>
    <w:p w14:paraId="39CC2037" w14:textId="77777777" w:rsidR="006B1268" w:rsidRPr="00D449AA" w:rsidRDefault="006B1268" w:rsidP="00C142FB">
      <w:pPr>
        <w:pStyle w:val="enumlev1"/>
        <w:rPr>
          <w:rFonts w:asciiTheme="majorBidi" w:hAnsiTheme="majorBidi" w:cstheme="majorBidi"/>
          <w:lang w:val="es-ES_tradnl"/>
        </w:rPr>
      </w:pPr>
      <w:r w:rsidRPr="00D449AA">
        <w:rPr>
          <w:rFonts w:asciiTheme="majorBidi" w:hAnsiTheme="majorBidi" w:cstheme="majorBidi"/>
          <w:lang w:val="es-ES_tradnl"/>
        </w:rPr>
        <w:t>•</w:t>
      </w:r>
      <w:r w:rsidRPr="00D449AA">
        <w:rPr>
          <w:rFonts w:asciiTheme="majorBidi" w:hAnsiTheme="majorBidi" w:cstheme="majorBidi"/>
          <w:lang w:val="es-ES_tradnl"/>
        </w:rPr>
        <w:tab/>
        <w:t xml:space="preserve">el desarrollo de campañas para sensibilizar a la población sobre la importancia de denunciar el robo y la pérdida de sus terminales móviles. </w:t>
      </w:r>
    </w:p>
    <w:p w14:paraId="66FCC262" w14:textId="77777777" w:rsidR="006B1268" w:rsidRPr="00D449AA" w:rsidRDefault="006B1268" w:rsidP="00C142FB">
      <w:pPr>
        <w:rPr>
          <w:rFonts w:asciiTheme="majorBidi" w:hAnsiTheme="majorBidi" w:cstheme="majorBidi"/>
        </w:rPr>
      </w:pPr>
      <w:r w:rsidRPr="00D449AA">
        <w:rPr>
          <w:rFonts w:asciiTheme="majorBidi" w:hAnsiTheme="majorBidi" w:cstheme="majorBidi"/>
          <w:lang w:val="es-ES_tradnl"/>
        </w:rPr>
        <w:t xml:space="preserve">Muchas asociaciones regionales describieron sus experiencias sobre este particular y reconocieron que es un problema crucial que se ha de resolver en cooperación con la industria y los operadores. La reunión de asociaciones de reguladores adoptó la recomendación de que la UIT, en colaboración con la Asociación GSM, lleve a cabo estudios sobre la cuestión del robo de móviles, el mercado gris y la falsificación de dispositivos y formule orientaciones y recomendaciones. </w:t>
      </w:r>
      <w:hyperlink r:id="rId89" w:history="1">
        <w:r w:rsidRPr="00D449AA">
          <w:rPr>
            <w:rStyle w:val="Hyperlink"/>
            <w:rFonts w:asciiTheme="majorBidi" w:hAnsiTheme="majorBidi" w:cstheme="majorBidi"/>
          </w:rPr>
          <w:t>http://www.itu.int/ITU-D/treg/Events/Seminars/GSR/GSR12/RA12/pdf/FinalReport_RA12.pdf</w:t>
        </w:r>
      </w:hyperlink>
      <w:r>
        <w:rPr>
          <w:rFonts w:asciiTheme="majorBidi" w:hAnsiTheme="majorBidi" w:cstheme="majorBidi"/>
          <w:color w:val="0000FF"/>
        </w:rPr>
        <w:t>.</w:t>
      </w:r>
    </w:p>
    <w:p w14:paraId="09BA12BB" w14:textId="77777777" w:rsidR="006B1268" w:rsidRPr="00D449AA" w:rsidRDefault="006B1268" w:rsidP="00C142FB">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b/>
          <w:lang w:val="en-US"/>
        </w:rPr>
      </w:pPr>
      <w:bookmarkStart w:id="323" w:name="_Toc200180770"/>
      <w:bookmarkStart w:id="324" w:name="_Toc200181338"/>
      <w:bookmarkStart w:id="325" w:name="_Toc211334046"/>
      <w:bookmarkStart w:id="326" w:name="_Toc404607219"/>
      <w:bookmarkStart w:id="327" w:name="_Toc406670427"/>
      <w:r w:rsidRPr="00D449AA">
        <w:rPr>
          <w:rFonts w:asciiTheme="majorBidi" w:hAnsiTheme="majorBidi" w:cstheme="majorBidi"/>
          <w:lang w:val="en-US"/>
        </w:rPr>
        <w:br w:type="page"/>
      </w:r>
    </w:p>
    <w:p w14:paraId="426D3D57" w14:textId="085D3459" w:rsidR="006B1268" w:rsidRPr="00D449AA" w:rsidRDefault="006B1268" w:rsidP="00C142FB">
      <w:pPr>
        <w:pStyle w:val="Heading1"/>
        <w:rPr>
          <w:lang w:val="en-US"/>
        </w:rPr>
      </w:pPr>
      <w:bookmarkStart w:id="328" w:name="_Toc447202564"/>
      <w:bookmarkStart w:id="329" w:name="_Toc447203042"/>
      <w:r w:rsidRPr="00D449AA">
        <w:rPr>
          <w:lang w:val="en-US"/>
        </w:rPr>
        <w:lastRenderedPageBreak/>
        <w:t>12</w:t>
      </w:r>
      <w:r w:rsidRPr="00D449AA">
        <w:rPr>
          <w:lang w:val="en-US"/>
        </w:rPr>
        <w:tab/>
      </w:r>
      <w:r w:rsidRPr="00E235F8">
        <w:t>Referencias</w:t>
      </w:r>
      <w:bookmarkEnd w:id="323"/>
      <w:bookmarkEnd w:id="324"/>
      <w:bookmarkEnd w:id="325"/>
      <w:bookmarkEnd w:id="326"/>
      <w:bookmarkEnd w:id="327"/>
      <w:bookmarkEnd w:id="328"/>
      <w:bookmarkEnd w:id="329"/>
    </w:p>
    <w:p w14:paraId="73D70F4A"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[1]</w:t>
      </w:r>
      <w:r w:rsidRPr="00D449AA">
        <w:rPr>
          <w:rFonts w:asciiTheme="majorBidi" w:hAnsiTheme="majorBidi" w:cstheme="majorBidi"/>
          <w:lang w:val="en-US"/>
        </w:rPr>
        <w:tab/>
      </w:r>
      <w:r w:rsidRPr="00D449AA">
        <w:rPr>
          <w:rFonts w:asciiTheme="majorBidi" w:hAnsiTheme="majorBidi" w:cstheme="majorBidi"/>
          <w:i/>
          <w:iCs/>
          <w:lang w:val="en-US"/>
        </w:rPr>
        <w:t>The Economic Impact of Counterfeiting and Piracy</w:t>
      </w:r>
      <w:r w:rsidRPr="00D449AA">
        <w:rPr>
          <w:rFonts w:asciiTheme="majorBidi" w:hAnsiTheme="majorBidi" w:cstheme="majorBidi"/>
          <w:lang w:val="en-US"/>
        </w:rPr>
        <w:t>, OECD, June 2008.</w:t>
      </w:r>
    </w:p>
    <w:p w14:paraId="1C727E2D" w14:textId="10896350" w:rsidR="006B1268" w:rsidRPr="00D449AA" w:rsidRDefault="006B1268">
      <w:pPr>
        <w:pStyle w:val="Reftext"/>
        <w:rPr>
          <w:rFonts w:asciiTheme="majorBidi" w:hAnsiTheme="majorBidi" w:cstheme="majorBidi"/>
          <w:lang w:val="en-US"/>
        </w:rPr>
      </w:pPr>
      <w:r w:rsidRPr="00D449AA">
        <w:rPr>
          <w:rFonts w:asciiTheme="majorBidi" w:hAnsiTheme="majorBidi" w:cstheme="majorBidi"/>
          <w:lang w:val="en-US"/>
        </w:rPr>
        <w:t>[2]</w:t>
      </w:r>
      <w:r w:rsidRPr="00D449AA">
        <w:rPr>
          <w:rFonts w:asciiTheme="majorBidi" w:hAnsiTheme="majorBidi" w:cstheme="majorBidi"/>
          <w:lang w:val="en-US"/>
        </w:rPr>
        <w:tab/>
      </w:r>
      <w:hyperlink r:id="rId90" w:history="1">
        <w:r w:rsidR="008A70B3" w:rsidRPr="00876CDA">
          <w:rPr>
            <w:rStyle w:val="Hyperlink"/>
            <w:rFonts w:asciiTheme="majorBidi" w:hAnsiTheme="majorBidi" w:cstheme="majorBidi"/>
            <w:lang w:val="en-US"/>
          </w:rPr>
          <w:t>http://www.oecd.org/sti/ind/44088872.pdf</w:t>
        </w:r>
      </w:hyperlink>
    </w:p>
    <w:p w14:paraId="6F5F3439"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[3]</w:t>
      </w:r>
      <w:r w:rsidRPr="00D449AA">
        <w:rPr>
          <w:rFonts w:asciiTheme="majorBidi" w:hAnsiTheme="majorBidi" w:cstheme="majorBidi"/>
          <w:lang w:val="en-US"/>
        </w:rPr>
        <w:tab/>
      </w:r>
      <w:hyperlink r:id="rId91" w:history="1">
        <w:r w:rsidRPr="00D449AA">
          <w:rPr>
            <w:rStyle w:val="Hyperlink"/>
            <w:rFonts w:asciiTheme="majorBidi" w:hAnsiTheme="majorBidi" w:cstheme="majorBidi"/>
            <w:lang w:val="en-US"/>
          </w:rPr>
          <w:t>http://www.icc-ccs.org/icc/cib</w:t>
        </w:r>
      </w:hyperlink>
    </w:p>
    <w:p w14:paraId="32637188" w14:textId="77777777" w:rsidR="006B1268" w:rsidRPr="00D449AA" w:rsidRDefault="006B1268" w:rsidP="00C142FB">
      <w:pPr>
        <w:pStyle w:val="Reftext"/>
        <w:rPr>
          <w:rFonts w:asciiTheme="majorBidi" w:hAnsiTheme="majorBidi" w:cstheme="majorBidi"/>
        </w:rPr>
      </w:pPr>
      <w:r w:rsidRPr="00D449AA">
        <w:rPr>
          <w:rFonts w:asciiTheme="majorBidi" w:hAnsiTheme="majorBidi" w:cstheme="majorBidi"/>
          <w:lang w:val="en-US"/>
        </w:rPr>
        <w:t>[4]</w:t>
      </w:r>
      <w:r w:rsidRPr="00D449AA">
        <w:rPr>
          <w:rFonts w:asciiTheme="majorBidi" w:hAnsiTheme="majorBidi" w:cstheme="majorBidi"/>
          <w:lang w:val="en-US"/>
        </w:rPr>
        <w:tab/>
      </w:r>
      <w:r w:rsidRPr="00D449AA">
        <w:rPr>
          <w:rFonts w:asciiTheme="majorBidi" w:hAnsiTheme="majorBidi" w:cstheme="majorBidi"/>
          <w:i/>
          <w:iCs/>
          <w:lang w:val="en-US"/>
        </w:rPr>
        <w:t>Estimating the global economic and social impacts of counterfeiting and piracy</w:t>
      </w:r>
      <w:r w:rsidRPr="00D449AA">
        <w:rPr>
          <w:rFonts w:asciiTheme="majorBidi" w:hAnsiTheme="majorBidi" w:cstheme="majorBidi"/>
          <w:lang w:val="en-US"/>
        </w:rPr>
        <w:t xml:space="preserve">. </w:t>
      </w:r>
      <w:hyperlink r:id="rId92" w:history="1">
        <w:r w:rsidRPr="00D449AA">
          <w:rPr>
            <w:rStyle w:val="Hyperlink"/>
            <w:rFonts w:asciiTheme="majorBidi" w:hAnsiTheme="majorBidi" w:cstheme="majorBidi"/>
          </w:rPr>
          <w:t>http://www.iccwbo.org/uploadedFiles/BASCAP/Pages/Global%20Impacts%20-%20Final.pdf</w:t>
        </w:r>
      </w:hyperlink>
    </w:p>
    <w:p w14:paraId="2C074DF1" w14:textId="77777777" w:rsidR="006B1268" w:rsidRPr="00D449AA" w:rsidRDefault="006B1268" w:rsidP="00C142FB">
      <w:pPr>
        <w:pStyle w:val="Reftext"/>
        <w:rPr>
          <w:rFonts w:asciiTheme="majorBidi" w:hAnsiTheme="majorBidi" w:cstheme="majorBidi"/>
        </w:rPr>
      </w:pPr>
      <w:r w:rsidRPr="00D449AA">
        <w:rPr>
          <w:rFonts w:asciiTheme="majorBidi" w:hAnsiTheme="majorBidi" w:cstheme="majorBidi"/>
          <w:lang w:val="en-US"/>
        </w:rPr>
        <w:t>[5]</w:t>
      </w:r>
      <w:r w:rsidRPr="00D449AA">
        <w:rPr>
          <w:rFonts w:asciiTheme="majorBidi" w:hAnsiTheme="majorBidi" w:cstheme="majorBidi"/>
          <w:lang w:val="en-US"/>
        </w:rPr>
        <w:tab/>
      </w:r>
      <w:r w:rsidRPr="00D449AA">
        <w:rPr>
          <w:rFonts w:asciiTheme="majorBidi" w:hAnsiTheme="majorBidi" w:cstheme="majorBidi"/>
          <w:i/>
          <w:iCs/>
          <w:lang w:val="en-US"/>
        </w:rPr>
        <w:t>Intellectual Property Rights Fiscal Year 2100 Seizure Statistics U.S. Customs and Border Protection</w:t>
      </w:r>
      <w:r w:rsidRPr="00D449AA">
        <w:rPr>
          <w:rFonts w:asciiTheme="majorBidi" w:hAnsiTheme="majorBidi" w:cstheme="majorBidi"/>
          <w:lang w:val="en-US"/>
        </w:rPr>
        <w:t xml:space="preserve">. </w:t>
      </w:r>
      <w:hyperlink r:id="rId93" w:history="1">
        <w:r w:rsidRPr="00D449AA">
          <w:rPr>
            <w:rStyle w:val="Hyperlink"/>
            <w:rFonts w:asciiTheme="majorBidi" w:hAnsiTheme="majorBidi" w:cstheme="majorBidi"/>
          </w:rPr>
          <w:t>http://www.ice.gov/doclib/iprcenter/pdf/ipr-fy-2011-seizure-report.pdf</w:t>
        </w:r>
      </w:hyperlink>
      <w:r w:rsidRPr="00D449AA">
        <w:rPr>
          <w:rFonts w:asciiTheme="majorBidi" w:hAnsiTheme="majorBidi" w:cstheme="majorBidi"/>
        </w:rPr>
        <w:t xml:space="preserve"> </w:t>
      </w:r>
    </w:p>
    <w:p w14:paraId="2F45E0BB" w14:textId="77777777" w:rsidR="006B1268" w:rsidRPr="00D449AA" w:rsidRDefault="006B1268" w:rsidP="00C142FB">
      <w:pPr>
        <w:pStyle w:val="Reftext"/>
        <w:rPr>
          <w:rFonts w:asciiTheme="majorBidi" w:hAnsiTheme="majorBidi" w:cstheme="majorBidi"/>
        </w:rPr>
      </w:pPr>
      <w:r w:rsidRPr="00D449AA">
        <w:rPr>
          <w:rFonts w:asciiTheme="majorBidi" w:hAnsiTheme="majorBidi" w:cstheme="majorBidi"/>
        </w:rPr>
        <w:t>[6]</w:t>
      </w:r>
      <w:r w:rsidRPr="00D449AA">
        <w:rPr>
          <w:rFonts w:asciiTheme="majorBidi" w:hAnsiTheme="majorBidi" w:cstheme="majorBidi"/>
        </w:rPr>
        <w:tab/>
      </w:r>
      <w:hyperlink r:id="rId94" w:history="1">
        <w:r w:rsidRPr="00D449AA">
          <w:rPr>
            <w:rStyle w:val="Hyperlink"/>
            <w:rFonts w:asciiTheme="majorBidi" w:hAnsiTheme="majorBidi" w:cstheme="majorBidi"/>
          </w:rPr>
          <w:t>http://www.havocscope.com/counterfeit-hp-printing-supplies</w:t>
        </w:r>
      </w:hyperlink>
    </w:p>
    <w:p w14:paraId="26CB3908"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[7]</w:t>
      </w:r>
      <w:r w:rsidRPr="00D449AA">
        <w:rPr>
          <w:rFonts w:asciiTheme="majorBidi" w:hAnsiTheme="majorBidi" w:cstheme="majorBidi"/>
          <w:lang w:val="en-US"/>
        </w:rPr>
        <w:tab/>
      </w:r>
      <w:hyperlink r:id="rId95" w:history="1">
        <w:r w:rsidRPr="00D449AA">
          <w:rPr>
            <w:rStyle w:val="Hyperlink"/>
            <w:rFonts w:asciiTheme="majorBidi" w:hAnsiTheme="majorBidi" w:cstheme="majorBidi"/>
            <w:lang w:val="en-US"/>
          </w:rPr>
          <w:t>http://www.spotafakephone.com/</w:t>
        </w:r>
      </w:hyperlink>
    </w:p>
    <w:p w14:paraId="5D57AC3D"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[8]</w:t>
      </w:r>
      <w:r w:rsidRPr="00D449AA">
        <w:rPr>
          <w:rFonts w:asciiTheme="majorBidi" w:hAnsiTheme="majorBidi" w:cstheme="majorBidi"/>
          <w:lang w:val="en-US"/>
        </w:rPr>
        <w:tab/>
        <w:t xml:space="preserve">IDC February 2012 </w:t>
      </w:r>
      <w:hyperlink r:id="rId96" w:history="1">
        <w:r w:rsidRPr="00D449AA">
          <w:rPr>
            <w:rStyle w:val="Hyperlink"/>
            <w:rFonts w:asciiTheme="majorBidi" w:hAnsiTheme="majorBidi" w:cstheme="majorBidi"/>
            <w:lang w:val="en-US"/>
          </w:rPr>
          <w:t>http://www.idc.com/getdoc.jsp?containerId=prUS23297412</w:t>
        </w:r>
      </w:hyperlink>
    </w:p>
    <w:p w14:paraId="0777932E" w14:textId="01B3AA51" w:rsidR="006B1268" w:rsidRPr="00D449AA" w:rsidRDefault="006B1268" w:rsidP="008A70B3">
      <w:pPr>
        <w:pStyle w:val="Reftext"/>
        <w:rPr>
          <w:rFonts w:asciiTheme="majorBidi" w:hAnsiTheme="majorBidi" w:cstheme="majorBidi"/>
          <w:lang w:val="en-US"/>
        </w:rPr>
      </w:pPr>
      <w:r w:rsidRPr="00D449AA">
        <w:rPr>
          <w:rFonts w:asciiTheme="majorBidi" w:hAnsiTheme="majorBidi" w:cstheme="majorBidi"/>
          <w:lang w:val="en-US"/>
        </w:rPr>
        <w:t>[9]</w:t>
      </w:r>
      <w:r w:rsidRPr="00D449AA">
        <w:rPr>
          <w:rFonts w:asciiTheme="majorBidi" w:hAnsiTheme="majorBidi" w:cstheme="majorBidi"/>
          <w:lang w:val="en-US"/>
        </w:rPr>
        <w:tab/>
      </w:r>
      <w:hyperlink r:id="rId97" w:tgtFrame="_blank" w:history="1">
        <w:r w:rsidR="008A70B3" w:rsidRPr="00021B3F">
          <w:rPr>
            <w:rStyle w:val="Hyperlink"/>
          </w:rPr>
          <w:t>http://www.gpo.gov/fdsys/pkg/CRPT-112srpt167/pdf/CRPT-112srpt167.pdf</w:t>
        </w:r>
      </w:hyperlink>
      <w:r w:rsidRPr="00D449AA">
        <w:rPr>
          <w:rFonts w:asciiTheme="majorBidi" w:hAnsiTheme="majorBidi" w:cstheme="majorBidi"/>
          <w:lang w:val="en-US"/>
        </w:rPr>
        <w:t xml:space="preserve"> </w:t>
      </w:r>
    </w:p>
    <w:p w14:paraId="1155F839" w14:textId="64998605" w:rsidR="006B1268" w:rsidRPr="00D449AA" w:rsidRDefault="006B1268" w:rsidP="008A70B3">
      <w:pPr>
        <w:pStyle w:val="Reftext"/>
        <w:rPr>
          <w:rFonts w:asciiTheme="majorBidi" w:hAnsiTheme="majorBidi" w:cstheme="majorBidi"/>
          <w:lang w:val="en-US"/>
        </w:rPr>
      </w:pPr>
      <w:r w:rsidRPr="00D449AA">
        <w:rPr>
          <w:rFonts w:asciiTheme="majorBidi" w:hAnsiTheme="majorBidi" w:cstheme="majorBidi"/>
          <w:lang w:val="en-US"/>
        </w:rPr>
        <w:t>[10]</w:t>
      </w:r>
      <w:r w:rsidRPr="00D449AA">
        <w:rPr>
          <w:rFonts w:asciiTheme="majorBidi" w:hAnsiTheme="majorBidi" w:cstheme="majorBidi"/>
          <w:lang w:val="en-US"/>
        </w:rPr>
        <w:tab/>
      </w:r>
      <w:r w:rsidRPr="00D449AA">
        <w:rPr>
          <w:rFonts w:asciiTheme="majorBidi" w:hAnsiTheme="majorBidi" w:cstheme="majorBidi"/>
          <w:i/>
          <w:iCs/>
          <w:lang w:val="en-US"/>
        </w:rPr>
        <w:t>Defence Industrial Base Assessment: Counterfeit Electronics</w:t>
      </w:r>
      <w:r w:rsidRPr="00D449AA">
        <w:rPr>
          <w:rFonts w:asciiTheme="majorBidi" w:hAnsiTheme="majorBidi" w:cstheme="majorBidi"/>
          <w:lang w:val="en-US"/>
        </w:rPr>
        <w:t xml:space="preserve">, January 2010 </w:t>
      </w:r>
      <w:hyperlink r:id="rId98" w:tgtFrame="_blank" w:history="1">
        <w:r w:rsidR="008A70B3" w:rsidRPr="00021B3F">
          <w:rPr>
            <w:rStyle w:val="Hyperlink"/>
          </w:rPr>
          <w:t>http://www.bis.doc.gov/index.php/forms-documents/doc_view/37-defense-industrial-base-assessment-of-count</w:t>
        </w:r>
      </w:hyperlink>
    </w:p>
    <w:p w14:paraId="2A205223" w14:textId="53235A34" w:rsidR="006B1268" w:rsidRPr="00D449AA" w:rsidRDefault="006B1268" w:rsidP="00C142FB">
      <w:pPr>
        <w:pStyle w:val="Reftext"/>
        <w:rPr>
          <w:rFonts w:asciiTheme="majorBidi" w:hAnsiTheme="majorBidi" w:cstheme="majorBidi"/>
          <w:lang w:val="fr-CH"/>
        </w:rPr>
      </w:pPr>
      <w:r w:rsidRPr="00D449AA">
        <w:rPr>
          <w:rFonts w:asciiTheme="majorBidi" w:hAnsiTheme="majorBidi" w:cstheme="majorBidi"/>
          <w:lang w:val="fr-CH"/>
        </w:rPr>
        <w:t>[11]</w:t>
      </w:r>
      <w:r w:rsidRPr="00D449AA">
        <w:rPr>
          <w:rFonts w:asciiTheme="majorBidi" w:hAnsiTheme="majorBidi" w:cstheme="majorBidi"/>
          <w:lang w:val="fr-CH"/>
        </w:rPr>
        <w:tab/>
      </w:r>
      <w:hyperlink r:id="rId99" w:history="1">
        <w:r w:rsidRPr="00D449AA">
          <w:rPr>
            <w:rStyle w:val="Hyperlink"/>
            <w:rFonts w:asciiTheme="majorBidi" w:hAnsiTheme="majorBidi" w:cstheme="majorBidi"/>
            <w:lang w:val="fr-CH"/>
          </w:rPr>
          <w:t>http://www.gpo.gov/fdsys/pkg/BILLS-112hr1540enr/pdf/BILLS-112hr1540enr.pdf</w:t>
        </w:r>
      </w:hyperlink>
      <w:r w:rsidR="00F454AF">
        <w:rPr>
          <w:rFonts w:asciiTheme="majorBidi" w:hAnsiTheme="majorBidi" w:cstheme="majorBidi"/>
          <w:lang w:val="fr-CH"/>
        </w:rPr>
        <w:t xml:space="preserve"> </w:t>
      </w:r>
      <w:r w:rsidRPr="00D449AA">
        <w:rPr>
          <w:rFonts w:asciiTheme="majorBidi" w:hAnsiTheme="majorBidi" w:cstheme="majorBidi"/>
          <w:lang w:val="fr-CH"/>
        </w:rPr>
        <w:t>HR 1540 SEC. 818</w:t>
      </w:r>
    </w:p>
    <w:p w14:paraId="34FBE1BB" w14:textId="14AD9981" w:rsidR="006B1268" w:rsidRPr="00D449AA" w:rsidRDefault="006B1268" w:rsidP="00173B3F">
      <w:pPr>
        <w:pStyle w:val="Reftext"/>
        <w:rPr>
          <w:rFonts w:asciiTheme="majorBidi" w:hAnsiTheme="majorBidi" w:cstheme="majorBidi"/>
          <w:lang w:val="en-US"/>
        </w:rPr>
      </w:pPr>
      <w:r w:rsidRPr="00D449AA">
        <w:rPr>
          <w:rFonts w:asciiTheme="majorBidi" w:hAnsiTheme="majorBidi" w:cstheme="majorBidi"/>
          <w:lang w:val="en-US"/>
        </w:rPr>
        <w:t>[12]</w:t>
      </w:r>
      <w:r w:rsidRPr="00D449AA">
        <w:rPr>
          <w:rFonts w:asciiTheme="majorBidi" w:hAnsiTheme="majorBidi" w:cstheme="majorBidi"/>
          <w:lang w:val="en-US"/>
        </w:rPr>
        <w:tab/>
      </w:r>
      <w:r w:rsidRPr="00D449AA">
        <w:rPr>
          <w:rFonts w:asciiTheme="majorBidi" w:hAnsiTheme="majorBidi" w:cstheme="majorBidi"/>
          <w:i/>
          <w:iCs/>
          <w:lang w:val="en-US"/>
        </w:rPr>
        <w:t>In WIPO Intellectual Property Handbook</w:t>
      </w:r>
      <w:r w:rsidRPr="00D449AA">
        <w:rPr>
          <w:rFonts w:asciiTheme="majorBidi" w:hAnsiTheme="majorBidi" w:cstheme="majorBidi"/>
          <w:lang w:val="en-US"/>
        </w:rPr>
        <w:t xml:space="preserve"> </w:t>
      </w:r>
      <w:hyperlink r:id="rId100" w:history="1">
        <w:r w:rsidR="00173B3F" w:rsidRPr="000300A2">
          <w:rPr>
            <w:rStyle w:val="Hyperlink"/>
            <w:rFonts w:asciiTheme="majorBidi" w:hAnsiTheme="majorBidi" w:cstheme="majorBidi"/>
            <w:lang w:val="en-US"/>
          </w:rPr>
          <w:t>http://www.wipo.int/edocs/pubdocs/en/intproperty/489/wipo_pub_489.pdf</w:t>
        </w:r>
      </w:hyperlink>
    </w:p>
    <w:p w14:paraId="3E0F94AE"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[13]</w:t>
      </w:r>
      <w:r w:rsidRPr="00D449AA">
        <w:rPr>
          <w:rFonts w:asciiTheme="majorBidi" w:hAnsiTheme="majorBidi" w:cstheme="majorBidi"/>
          <w:lang w:val="en-US"/>
        </w:rPr>
        <w:tab/>
        <w:t>UK IP Toolkit 2009.</w:t>
      </w:r>
    </w:p>
    <w:p w14:paraId="76C7B791"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[14]</w:t>
      </w:r>
      <w:r w:rsidRPr="00D449AA">
        <w:rPr>
          <w:rFonts w:asciiTheme="majorBidi" w:hAnsiTheme="majorBidi" w:cstheme="majorBidi"/>
          <w:lang w:val="en-US"/>
        </w:rPr>
        <w:tab/>
      </w:r>
      <w:hyperlink r:id="rId101" w:history="1">
        <w:r w:rsidRPr="00D449AA">
          <w:rPr>
            <w:rStyle w:val="Hyperlink"/>
            <w:rFonts w:asciiTheme="majorBidi" w:hAnsiTheme="majorBidi" w:cstheme="majorBidi"/>
            <w:lang w:val="en-US"/>
          </w:rPr>
          <w:t>http://www.wipo.int/treaties/en/ip/paris/trtdocs_wo020.html</w:t>
        </w:r>
      </w:hyperlink>
    </w:p>
    <w:p w14:paraId="66DA2624"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[15]</w:t>
      </w:r>
      <w:r w:rsidRPr="00D449AA">
        <w:rPr>
          <w:rFonts w:asciiTheme="majorBidi" w:hAnsiTheme="majorBidi" w:cstheme="majorBidi"/>
          <w:lang w:val="en-US"/>
        </w:rPr>
        <w:tab/>
      </w:r>
      <w:hyperlink r:id="rId102" w:history="1">
        <w:r w:rsidRPr="00D449AA">
          <w:rPr>
            <w:rStyle w:val="Hyperlink"/>
            <w:rFonts w:asciiTheme="majorBidi" w:hAnsiTheme="majorBidi" w:cstheme="majorBidi"/>
            <w:lang w:val="en-US"/>
          </w:rPr>
          <w:t>http://www.wipo.int/treaties/en/ip/washington</w:t>
        </w:r>
      </w:hyperlink>
      <w:r w:rsidRPr="00D449AA">
        <w:rPr>
          <w:rFonts w:asciiTheme="majorBidi" w:hAnsiTheme="majorBidi" w:cstheme="majorBidi"/>
          <w:lang w:val="en-US"/>
        </w:rPr>
        <w:t xml:space="preserve"> </w:t>
      </w:r>
    </w:p>
    <w:p w14:paraId="59F625A4" w14:textId="3A87DE83" w:rsidR="006B1268" w:rsidRPr="0072795B" w:rsidRDefault="006B1268" w:rsidP="00C142FB">
      <w:pPr>
        <w:pStyle w:val="Reftext"/>
        <w:rPr>
          <w:rFonts w:asciiTheme="majorBidi" w:hAnsiTheme="majorBidi" w:cstheme="majorBidi"/>
          <w:lang w:val="es-ES_tradnl"/>
        </w:rPr>
      </w:pPr>
      <w:r w:rsidRPr="0072795B">
        <w:rPr>
          <w:rFonts w:asciiTheme="majorBidi" w:hAnsiTheme="majorBidi" w:cstheme="majorBidi"/>
          <w:lang w:val="es-ES_tradnl"/>
        </w:rPr>
        <w:t>[16]</w:t>
      </w:r>
      <w:r w:rsidRPr="0072795B">
        <w:rPr>
          <w:rFonts w:asciiTheme="majorBidi" w:hAnsiTheme="majorBidi" w:cstheme="majorBidi"/>
          <w:lang w:val="es-ES_tradnl"/>
        </w:rPr>
        <w:tab/>
      </w:r>
      <w:hyperlink r:id="rId103" w:history="1">
        <w:r w:rsidRPr="0072795B">
          <w:rPr>
            <w:rStyle w:val="Hyperlink"/>
            <w:rFonts w:asciiTheme="majorBidi" w:hAnsiTheme="majorBidi" w:cstheme="majorBidi"/>
            <w:lang w:val="es-ES_tradnl"/>
          </w:rPr>
          <w:t>www.wcoipm.org</w:t>
        </w:r>
      </w:hyperlink>
      <w:r w:rsidRPr="0072795B">
        <w:rPr>
          <w:rFonts w:asciiTheme="majorBidi" w:hAnsiTheme="majorBidi" w:cstheme="majorBidi"/>
          <w:lang w:val="es-ES_tradnl"/>
        </w:rPr>
        <w:t xml:space="preserve"> </w:t>
      </w:r>
      <w:r w:rsidRPr="0072795B">
        <w:rPr>
          <w:rFonts w:asciiTheme="majorBidi" w:hAnsiTheme="majorBidi" w:cstheme="majorBidi"/>
          <w:lang w:val="es-ES_tradnl" w:eastAsia="ja-JP"/>
        </w:rPr>
        <w:t>y</w:t>
      </w:r>
      <w:r w:rsidR="008A70B3" w:rsidRPr="0072795B">
        <w:rPr>
          <w:rFonts w:asciiTheme="majorBidi" w:hAnsiTheme="majorBidi" w:cstheme="majorBidi"/>
          <w:lang w:val="es-ES_tradnl" w:eastAsia="ja-JP"/>
        </w:rPr>
        <w:t xml:space="preserve"> </w:t>
      </w:r>
      <w:hyperlink r:id="rId104" w:history="1">
        <w:r w:rsidR="008A70B3" w:rsidRPr="00DC7E23">
          <w:rPr>
            <w:rStyle w:val="Hyperlink"/>
            <w:lang w:val="nl-BE" w:eastAsia="ja-JP"/>
          </w:rPr>
          <w:t>http://ipmpromo.wcoomdpublications.org/</w:t>
        </w:r>
      </w:hyperlink>
    </w:p>
    <w:p w14:paraId="00A7B04F" w14:textId="21810898" w:rsidR="006B1268" w:rsidRPr="00C869C0" w:rsidRDefault="006B1268" w:rsidP="00173B3F">
      <w:pPr>
        <w:pStyle w:val="Reftext"/>
        <w:rPr>
          <w:rFonts w:asciiTheme="majorBidi" w:hAnsiTheme="majorBidi" w:cstheme="majorBidi"/>
          <w:lang w:val="es-ES_tradnl"/>
        </w:rPr>
      </w:pPr>
      <w:r w:rsidRPr="00C869C0">
        <w:rPr>
          <w:rFonts w:asciiTheme="majorBidi" w:hAnsiTheme="majorBidi" w:cstheme="majorBidi"/>
          <w:lang w:val="es-ES_tradnl"/>
        </w:rPr>
        <w:t>[17]</w:t>
      </w:r>
      <w:r w:rsidRPr="00C869C0">
        <w:rPr>
          <w:rFonts w:asciiTheme="majorBidi" w:hAnsiTheme="majorBidi" w:cstheme="majorBidi"/>
          <w:lang w:val="es-ES_tradnl"/>
        </w:rPr>
        <w:tab/>
      </w:r>
      <w:r w:rsidR="008A70B3" w:rsidRPr="00C869C0">
        <w:rPr>
          <w:rFonts w:asciiTheme="majorBidi" w:hAnsiTheme="majorBidi" w:cstheme="majorBidi"/>
          <w:lang w:val="es-ES_tradnl"/>
        </w:rPr>
        <w:t>v</w:t>
      </w:r>
      <w:r w:rsidR="00173B3F" w:rsidRPr="00C869C0">
        <w:rPr>
          <w:rFonts w:asciiTheme="majorBidi" w:hAnsiTheme="majorBidi" w:cstheme="majorBidi"/>
          <w:lang w:val="es-ES_tradnl"/>
        </w:rPr>
        <w:t>acío</w:t>
      </w:r>
    </w:p>
    <w:p w14:paraId="3C23771A" w14:textId="77777777" w:rsidR="006B1268" w:rsidRPr="00C869C0" w:rsidRDefault="006B1268">
      <w:pPr>
        <w:pStyle w:val="Reftext"/>
        <w:rPr>
          <w:rFonts w:asciiTheme="majorBidi" w:hAnsiTheme="majorBidi" w:cstheme="majorBidi"/>
          <w:lang w:val="es-ES_tradnl"/>
        </w:rPr>
      </w:pPr>
      <w:r w:rsidRPr="00C869C0">
        <w:rPr>
          <w:rFonts w:asciiTheme="majorBidi" w:hAnsiTheme="majorBidi" w:cstheme="majorBidi"/>
          <w:lang w:val="es-ES_tradnl"/>
        </w:rPr>
        <w:t>[18]</w:t>
      </w:r>
      <w:r w:rsidRPr="00C869C0">
        <w:rPr>
          <w:rFonts w:asciiTheme="majorBidi" w:hAnsiTheme="majorBidi" w:cstheme="majorBidi"/>
          <w:lang w:val="es-ES_tradnl"/>
        </w:rPr>
        <w:tab/>
      </w:r>
      <w:hyperlink r:id="rId105" w:history="1">
        <w:r w:rsidRPr="00C869C0">
          <w:rPr>
            <w:rStyle w:val="Hyperlink"/>
            <w:rFonts w:asciiTheme="majorBidi" w:hAnsiTheme="majorBidi" w:cstheme="majorBidi"/>
            <w:lang w:val="es-ES_tradnl"/>
          </w:rPr>
          <w:t>http://www.unece.org/trade/wp6/SectoralInitiatives/MARS/MARS.html</w:t>
        </w:r>
      </w:hyperlink>
    </w:p>
    <w:p w14:paraId="379D0753" w14:textId="5BB4CE8F" w:rsidR="006B1268" w:rsidRPr="00C869C0" w:rsidRDefault="006B1268" w:rsidP="008A70B3">
      <w:pPr>
        <w:pStyle w:val="Reftext"/>
        <w:rPr>
          <w:rFonts w:asciiTheme="majorBidi" w:hAnsiTheme="majorBidi" w:cstheme="majorBidi"/>
          <w:lang w:val="es-ES_tradnl"/>
        </w:rPr>
      </w:pPr>
      <w:r w:rsidRPr="00C869C0">
        <w:rPr>
          <w:rFonts w:asciiTheme="majorBidi" w:hAnsiTheme="majorBidi" w:cstheme="majorBidi"/>
          <w:lang w:val="es-ES_tradnl"/>
        </w:rPr>
        <w:t>[19]</w:t>
      </w:r>
      <w:r w:rsidRPr="00C869C0">
        <w:rPr>
          <w:rFonts w:asciiTheme="majorBidi" w:hAnsiTheme="majorBidi" w:cstheme="majorBidi"/>
          <w:lang w:val="es-ES_tradnl"/>
        </w:rPr>
        <w:tab/>
      </w:r>
      <w:hyperlink r:id="rId106" w:history="1">
        <w:r w:rsidR="008A70B3" w:rsidRPr="001B2B14">
          <w:rPr>
            <w:rStyle w:val="Hyperlink"/>
            <w:lang w:val="nl-BE"/>
          </w:rPr>
          <w:t>https://www.gov.uk/government/publications/annual-ip-crime-report-2013-to-2014</w:t>
        </w:r>
      </w:hyperlink>
    </w:p>
    <w:p w14:paraId="1E2EC928" w14:textId="18E2B301" w:rsidR="006B1268" w:rsidRPr="00C869C0" w:rsidRDefault="006B1268">
      <w:pPr>
        <w:pStyle w:val="Reftext"/>
        <w:rPr>
          <w:rFonts w:asciiTheme="majorBidi" w:hAnsiTheme="majorBidi" w:cstheme="majorBidi"/>
          <w:lang w:val="es-ES_tradnl"/>
        </w:rPr>
      </w:pPr>
      <w:r w:rsidRPr="00C869C0">
        <w:rPr>
          <w:rFonts w:asciiTheme="majorBidi" w:hAnsiTheme="majorBidi" w:cstheme="majorBidi"/>
          <w:lang w:val="es-ES_tradnl"/>
        </w:rPr>
        <w:t>[20]</w:t>
      </w:r>
      <w:r w:rsidRPr="00C869C0">
        <w:rPr>
          <w:rFonts w:asciiTheme="majorBidi" w:hAnsiTheme="majorBidi" w:cstheme="majorBidi"/>
          <w:lang w:val="es-ES_tradnl"/>
        </w:rPr>
        <w:tab/>
      </w:r>
      <w:hyperlink r:id="rId107" w:history="1">
        <w:r w:rsidR="008A70B3" w:rsidRPr="00C869C0">
          <w:rPr>
            <w:rStyle w:val="Hyperlink"/>
            <w:rFonts w:asciiTheme="majorBidi" w:hAnsiTheme="majorBidi" w:cstheme="majorBidi"/>
            <w:lang w:val="es-ES_tradnl"/>
          </w:rPr>
          <w:t>http://www.aca.go.ke</w:t>
        </w:r>
      </w:hyperlink>
      <w:r w:rsidRPr="00C869C0">
        <w:rPr>
          <w:rFonts w:asciiTheme="majorBidi" w:hAnsiTheme="majorBidi" w:cstheme="majorBidi"/>
          <w:lang w:val="es-ES_tradnl"/>
        </w:rPr>
        <w:t xml:space="preserve"> </w:t>
      </w:r>
    </w:p>
    <w:p w14:paraId="03E7BA62" w14:textId="4BF9E602" w:rsidR="006B1268" w:rsidRPr="00C869C0" w:rsidRDefault="006B1268" w:rsidP="008A70B3">
      <w:pPr>
        <w:pStyle w:val="Reftext"/>
        <w:rPr>
          <w:rFonts w:asciiTheme="majorBidi" w:hAnsiTheme="majorBidi" w:cstheme="majorBidi"/>
          <w:lang w:val="es-ES_tradnl"/>
        </w:rPr>
      </w:pPr>
      <w:r w:rsidRPr="00C869C0">
        <w:rPr>
          <w:rFonts w:asciiTheme="majorBidi" w:hAnsiTheme="majorBidi" w:cstheme="majorBidi"/>
          <w:lang w:val="es-ES_tradnl"/>
        </w:rPr>
        <w:t>[21]</w:t>
      </w:r>
      <w:r w:rsidRPr="00C869C0">
        <w:rPr>
          <w:rFonts w:asciiTheme="majorBidi" w:hAnsiTheme="majorBidi" w:cstheme="majorBidi"/>
          <w:lang w:val="es-ES_tradnl"/>
        </w:rPr>
        <w:tab/>
      </w:r>
      <w:r w:rsidR="008A70B3" w:rsidRPr="003266A2">
        <w:rPr>
          <w:rStyle w:val="Hyperlink"/>
          <w:lang w:val="nl-BE"/>
        </w:rPr>
        <w:t>http://www.iccwbo.org/advocacy-codes-and-rules/bascap/welcome-to-bascap/</w:t>
      </w:r>
    </w:p>
    <w:p w14:paraId="6BE5F394" w14:textId="77777777" w:rsidR="006B1268" w:rsidRPr="00C869C0" w:rsidRDefault="006B1268" w:rsidP="00C142FB">
      <w:pPr>
        <w:pStyle w:val="Reftext"/>
        <w:rPr>
          <w:rFonts w:asciiTheme="majorBidi" w:hAnsiTheme="majorBidi" w:cstheme="majorBidi"/>
          <w:lang w:val="es-ES_tradnl"/>
        </w:rPr>
      </w:pPr>
      <w:r w:rsidRPr="00C869C0">
        <w:rPr>
          <w:rFonts w:asciiTheme="majorBidi" w:hAnsiTheme="majorBidi" w:cstheme="majorBidi"/>
          <w:lang w:val="es-ES_tradnl"/>
        </w:rPr>
        <w:t>[22]</w:t>
      </w:r>
      <w:r w:rsidRPr="00C869C0">
        <w:rPr>
          <w:rFonts w:asciiTheme="majorBidi" w:hAnsiTheme="majorBidi" w:cstheme="majorBidi"/>
          <w:lang w:val="es-ES_tradnl"/>
        </w:rPr>
        <w:tab/>
      </w:r>
      <w:hyperlink r:id="rId108" w:history="1">
        <w:r w:rsidRPr="00C869C0">
          <w:rPr>
            <w:rStyle w:val="Hyperlink"/>
            <w:rFonts w:asciiTheme="majorBidi" w:hAnsiTheme="majorBidi" w:cstheme="majorBidi"/>
            <w:lang w:val="es-ES_tradnl"/>
          </w:rPr>
          <w:t>http://www.iccwbo.org/bascap/id7608/index.html</w:t>
        </w:r>
      </w:hyperlink>
    </w:p>
    <w:p w14:paraId="6FBE5485" w14:textId="77777777" w:rsidR="006B1268" w:rsidRPr="00C869C0" w:rsidRDefault="006B1268" w:rsidP="00C142FB">
      <w:pPr>
        <w:pStyle w:val="Reftext"/>
        <w:rPr>
          <w:rFonts w:asciiTheme="majorBidi" w:hAnsiTheme="majorBidi" w:cstheme="majorBidi"/>
          <w:lang w:val="es-ES_tradnl"/>
        </w:rPr>
      </w:pPr>
      <w:r w:rsidRPr="00C869C0">
        <w:rPr>
          <w:rFonts w:asciiTheme="majorBidi" w:hAnsiTheme="majorBidi" w:cstheme="majorBidi"/>
          <w:lang w:val="es-ES_tradnl"/>
        </w:rPr>
        <w:t>[23]</w:t>
      </w:r>
      <w:r w:rsidRPr="00C869C0">
        <w:rPr>
          <w:rFonts w:asciiTheme="majorBidi" w:hAnsiTheme="majorBidi" w:cstheme="majorBidi"/>
          <w:lang w:val="es-ES_tradnl"/>
        </w:rPr>
        <w:tab/>
      </w:r>
      <w:hyperlink r:id="rId109" w:history="1">
        <w:r w:rsidRPr="00C869C0">
          <w:rPr>
            <w:rStyle w:val="Hyperlink"/>
            <w:rFonts w:asciiTheme="majorBidi" w:hAnsiTheme="majorBidi" w:cstheme="majorBidi"/>
            <w:lang w:val="es-ES_tradnl"/>
          </w:rPr>
          <w:t>http://www.pasdirectory.com</w:t>
        </w:r>
      </w:hyperlink>
      <w:r w:rsidRPr="00C869C0">
        <w:rPr>
          <w:rFonts w:asciiTheme="majorBidi" w:hAnsiTheme="majorBidi" w:cstheme="majorBidi"/>
          <w:lang w:val="es-ES_tradnl"/>
        </w:rPr>
        <w:t xml:space="preserve"> </w:t>
      </w:r>
    </w:p>
    <w:p w14:paraId="73BD77E9" w14:textId="77777777" w:rsidR="006B1268" w:rsidRPr="00C869C0" w:rsidRDefault="006B1268" w:rsidP="00C142FB">
      <w:pPr>
        <w:pStyle w:val="Reftext"/>
        <w:rPr>
          <w:rFonts w:asciiTheme="majorBidi" w:hAnsiTheme="majorBidi" w:cstheme="majorBidi"/>
          <w:lang w:val="es-ES_tradnl"/>
        </w:rPr>
      </w:pPr>
      <w:r w:rsidRPr="00C869C0">
        <w:rPr>
          <w:rFonts w:asciiTheme="majorBidi" w:hAnsiTheme="majorBidi" w:cstheme="majorBidi"/>
          <w:lang w:val="es-ES_tradnl"/>
        </w:rPr>
        <w:t>[24]</w:t>
      </w:r>
      <w:r w:rsidRPr="00C869C0">
        <w:rPr>
          <w:rFonts w:asciiTheme="majorBidi" w:hAnsiTheme="majorBidi" w:cstheme="majorBidi"/>
          <w:lang w:val="es-ES_tradnl"/>
        </w:rPr>
        <w:tab/>
      </w:r>
      <w:hyperlink r:id="rId110" w:history="1">
        <w:r w:rsidRPr="00C869C0">
          <w:rPr>
            <w:rStyle w:val="Hyperlink"/>
            <w:rFonts w:asciiTheme="majorBidi" w:hAnsiTheme="majorBidi" w:cstheme="majorBidi"/>
            <w:lang w:val="es-ES_tradnl"/>
          </w:rPr>
          <w:t>http://www.iccwbo.org/bascap/id42204/index.html</w:t>
        </w:r>
      </w:hyperlink>
    </w:p>
    <w:p w14:paraId="46AE20C0" w14:textId="77777777" w:rsidR="006B1268" w:rsidRPr="00C869C0" w:rsidRDefault="006B1268" w:rsidP="00C142FB">
      <w:pPr>
        <w:pStyle w:val="Reftext"/>
        <w:rPr>
          <w:rFonts w:asciiTheme="majorBidi" w:hAnsiTheme="majorBidi" w:cstheme="majorBidi"/>
          <w:lang w:val="es-ES_tradnl"/>
        </w:rPr>
      </w:pPr>
      <w:r w:rsidRPr="00C869C0">
        <w:rPr>
          <w:rFonts w:asciiTheme="majorBidi" w:hAnsiTheme="majorBidi" w:cstheme="majorBidi"/>
          <w:lang w:val="es-ES_tradnl"/>
        </w:rPr>
        <w:t>[25]</w:t>
      </w:r>
      <w:r w:rsidRPr="00C869C0">
        <w:rPr>
          <w:rFonts w:asciiTheme="majorBidi" w:hAnsiTheme="majorBidi" w:cstheme="majorBidi"/>
          <w:lang w:val="es-ES_tradnl"/>
        </w:rPr>
        <w:tab/>
      </w:r>
      <w:hyperlink r:id="rId111" w:history="1">
        <w:r w:rsidRPr="00C869C0">
          <w:rPr>
            <w:rStyle w:val="Hyperlink"/>
            <w:rFonts w:asciiTheme="majorBidi" w:hAnsiTheme="majorBidi" w:cstheme="majorBidi"/>
            <w:lang w:val="es-ES_tradnl"/>
          </w:rPr>
          <w:t>http://www.iccwbo.org/policy/ip/id2950/index.html</w:t>
        </w:r>
      </w:hyperlink>
    </w:p>
    <w:p w14:paraId="212B5060" w14:textId="2CF828C8" w:rsidR="006B1268" w:rsidRPr="00C869C0" w:rsidRDefault="006B1268" w:rsidP="00C142FB">
      <w:pPr>
        <w:pStyle w:val="Reftext"/>
        <w:rPr>
          <w:rFonts w:asciiTheme="majorBidi" w:hAnsiTheme="majorBidi" w:cstheme="majorBidi"/>
          <w:lang w:val="es-ES_tradnl"/>
        </w:rPr>
      </w:pPr>
      <w:r w:rsidRPr="00C869C0">
        <w:rPr>
          <w:rFonts w:asciiTheme="majorBidi" w:hAnsiTheme="majorBidi" w:cstheme="majorBidi"/>
          <w:lang w:val="es-ES_tradnl"/>
        </w:rPr>
        <w:t>[26]</w:t>
      </w:r>
      <w:r w:rsidRPr="00C869C0">
        <w:rPr>
          <w:rFonts w:asciiTheme="majorBidi" w:hAnsiTheme="majorBidi" w:cstheme="majorBidi"/>
          <w:lang w:val="es-ES_tradnl"/>
        </w:rPr>
        <w:tab/>
      </w:r>
      <w:hyperlink r:id="rId112" w:history="1">
        <w:r w:rsidR="008A70B3" w:rsidRPr="00C869C0">
          <w:rPr>
            <w:rStyle w:val="Hyperlink"/>
            <w:rFonts w:asciiTheme="majorBidi" w:hAnsiTheme="majorBidi" w:cstheme="majorBidi"/>
            <w:lang w:val="es-ES_tradnl"/>
          </w:rPr>
          <w:t>https://www.iacc.org</w:t>
        </w:r>
      </w:hyperlink>
    </w:p>
    <w:p w14:paraId="15B73890" w14:textId="2B9884C2" w:rsidR="006B1268" w:rsidRPr="00C869C0" w:rsidRDefault="006B1268">
      <w:pPr>
        <w:pStyle w:val="Reftext"/>
        <w:rPr>
          <w:rFonts w:asciiTheme="majorBidi" w:hAnsiTheme="majorBidi" w:cstheme="majorBidi"/>
          <w:lang w:val="es-ES_tradnl"/>
        </w:rPr>
      </w:pPr>
      <w:r w:rsidRPr="00C869C0">
        <w:rPr>
          <w:rFonts w:asciiTheme="majorBidi" w:hAnsiTheme="majorBidi" w:cstheme="majorBidi"/>
          <w:lang w:val="es-ES_tradnl"/>
        </w:rPr>
        <w:t>[27]</w:t>
      </w:r>
      <w:r w:rsidRPr="00C869C0">
        <w:rPr>
          <w:rFonts w:asciiTheme="majorBidi" w:hAnsiTheme="majorBidi" w:cstheme="majorBidi"/>
          <w:lang w:val="es-ES_tradnl"/>
        </w:rPr>
        <w:tab/>
      </w:r>
      <w:hyperlink r:id="rId113" w:history="1">
        <w:r w:rsidR="008A70B3" w:rsidRPr="00C869C0">
          <w:rPr>
            <w:rStyle w:val="Hyperlink"/>
            <w:rFonts w:asciiTheme="majorBidi" w:hAnsiTheme="majorBidi" w:cstheme="majorBidi"/>
            <w:lang w:val="es-ES_tradnl"/>
          </w:rPr>
          <w:t>http://www.ascdi.com/</w:t>
        </w:r>
      </w:hyperlink>
    </w:p>
    <w:p w14:paraId="31019CF1" w14:textId="77777777" w:rsidR="006B1268" w:rsidRPr="00C869C0" w:rsidRDefault="006B1268" w:rsidP="00C142FB">
      <w:pPr>
        <w:pStyle w:val="Reftext"/>
        <w:rPr>
          <w:rFonts w:asciiTheme="majorBidi" w:hAnsiTheme="majorBidi" w:cstheme="majorBidi"/>
          <w:lang w:val="es-ES_tradnl"/>
        </w:rPr>
      </w:pPr>
      <w:r w:rsidRPr="00C869C0">
        <w:rPr>
          <w:rFonts w:asciiTheme="majorBidi" w:hAnsiTheme="majorBidi" w:cstheme="majorBidi"/>
          <w:lang w:val="es-ES_tradnl"/>
        </w:rPr>
        <w:t>[28]</w:t>
      </w:r>
      <w:r w:rsidRPr="00C869C0">
        <w:rPr>
          <w:rFonts w:asciiTheme="majorBidi" w:hAnsiTheme="majorBidi" w:cstheme="majorBidi"/>
          <w:lang w:val="es-ES_tradnl"/>
        </w:rPr>
        <w:tab/>
      </w:r>
      <w:hyperlink r:id="rId114" w:history="1">
        <w:r w:rsidRPr="00C869C0">
          <w:rPr>
            <w:rStyle w:val="Hyperlink"/>
            <w:rFonts w:asciiTheme="majorBidi" w:hAnsiTheme="majorBidi" w:cstheme="majorBidi"/>
            <w:lang w:val="es-ES_tradnl"/>
          </w:rPr>
          <w:t>http://www.anticounterfeitingforum.org.uk</w:t>
        </w:r>
      </w:hyperlink>
    </w:p>
    <w:p w14:paraId="25EE9EF9" w14:textId="77777777" w:rsidR="006B1268" w:rsidRPr="00C869C0" w:rsidRDefault="006B1268" w:rsidP="00C142FB">
      <w:pPr>
        <w:pStyle w:val="Reftext"/>
        <w:rPr>
          <w:rFonts w:asciiTheme="majorBidi" w:hAnsiTheme="majorBidi" w:cstheme="majorBidi"/>
          <w:lang w:val="es-ES_tradnl"/>
        </w:rPr>
      </w:pPr>
      <w:r w:rsidRPr="00C869C0">
        <w:rPr>
          <w:rFonts w:asciiTheme="majorBidi" w:hAnsiTheme="majorBidi" w:cstheme="majorBidi"/>
          <w:lang w:val="es-ES_tradnl"/>
        </w:rPr>
        <w:t>[29]</w:t>
      </w:r>
      <w:r w:rsidRPr="00C869C0">
        <w:rPr>
          <w:rFonts w:asciiTheme="majorBidi" w:hAnsiTheme="majorBidi" w:cstheme="majorBidi"/>
          <w:lang w:val="es-ES_tradnl"/>
        </w:rPr>
        <w:tab/>
      </w:r>
      <w:hyperlink r:id="rId115" w:history="1">
        <w:r w:rsidRPr="00C869C0">
          <w:rPr>
            <w:rStyle w:val="Hyperlink"/>
            <w:rFonts w:asciiTheme="majorBidi" w:hAnsiTheme="majorBidi" w:cstheme="majorBidi"/>
            <w:lang w:val="es-ES_tradnl"/>
          </w:rPr>
          <w:t>http://archive.basel.int/convention/basics.html</w:t>
        </w:r>
      </w:hyperlink>
    </w:p>
    <w:p w14:paraId="4E556CA1" w14:textId="77777777" w:rsidR="006B1268" w:rsidRPr="00C869C0" w:rsidRDefault="006B1268" w:rsidP="00C142FB">
      <w:pPr>
        <w:pStyle w:val="Reftext"/>
        <w:rPr>
          <w:rFonts w:asciiTheme="majorBidi" w:hAnsiTheme="majorBidi" w:cstheme="majorBidi"/>
          <w:lang w:val="es-ES_tradnl"/>
        </w:rPr>
      </w:pPr>
      <w:r w:rsidRPr="00C869C0">
        <w:rPr>
          <w:rFonts w:asciiTheme="majorBidi" w:hAnsiTheme="majorBidi" w:cstheme="majorBidi"/>
          <w:lang w:val="es-ES_tradnl"/>
        </w:rPr>
        <w:t>[30]</w:t>
      </w:r>
      <w:r w:rsidRPr="00C869C0">
        <w:rPr>
          <w:rFonts w:asciiTheme="majorBidi" w:hAnsiTheme="majorBidi" w:cstheme="majorBidi"/>
          <w:lang w:val="es-ES_tradnl"/>
        </w:rPr>
        <w:tab/>
      </w:r>
      <w:hyperlink r:id="rId116" w:history="1">
        <w:r w:rsidRPr="00C869C0">
          <w:rPr>
            <w:rStyle w:val="Hyperlink"/>
            <w:rFonts w:asciiTheme="majorBidi" w:hAnsiTheme="majorBidi" w:cstheme="majorBidi"/>
            <w:lang w:val="es-ES_tradnl"/>
          </w:rPr>
          <w:t>http://www.ier.org.tw/smm/6_PAS_141_2011_Reuse_Of_WEEE_And_UEEE.pdf</w:t>
        </w:r>
      </w:hyperlink>
      <w:r w:rsidRPr="00C869C0">
        <w:rPr>
          <w:rFonts w:asciiTheme="majorBidi" w:hAnsiTheme="majorBidi" w:cstheme="majorBidi"/>
          <w:lang w:val="es-ES_tradnl"/>
        </w:rPr>
        <w:t xml:space="preserve"> </w:t>
      </w:r>
    </w:p>
    <w:p w14:paraId="3E3542D7" w14:textId="77777777" w:rsidR="006B1268" w:rsidRPr="00C869C0" w:rsidRDefault="006B1268" w:rsidP="00C142FB">
      <w:pPr>
        <w:pStyle w:val="Reftext"/>
        <w:rPr>
          <w:rFonts w:asciiTheme="majorBidi" w:hAnsiTheme="majorBidi" w:cstheme="majorBidi"/>
          <w:lang w:val="es-ES_tradnl"/>
        </w:rPr>
      </w:pPr>
      <w:r w:rsidRPr="00C869C0">
        <w:rPr>
          <w:rFonts w:asciiTheme="majorBidi" w:hAnsiTheme="majorBidi" w:cstheme="majorBidi"/>
          <w:lang w:val="es-ES_tradnl"/>
        </w:rPr>
        <w:lastRenderedPageBreak/>
        <w:t>[31]</w:t>
      </w:r>
      <w:r w:rsidRPr="00C869C0">
        <w:rPr>
          <w:rFonts w:asciiTheme="majorBidi" w:hAnsiTheme="majorBidi" w:cstheme="majorBidi"/>
          <w:lang w:val="es-ES_tradnl"/>
        </w:rPr>
        <w:tab/>
      </w:r>
      <w:hyperlink r:id="rId117" w:history="1">
        <w:r w:rsidRPr="00C869C0">
          <w:rPr>
            <w:rStyle w:val="Hyperlink"/>
            <w:rFonts w:asciiTheme="majorBidi" w:hAnsiTheme="majorBidi" w:cstheme="majorBidi"/>
            <w:lang w:val="es-ES_tradnl"/>
          </w:rPr>
          <w:t>http://www.bbc.co.uk/panorama/hi/front_page/newsid_9483000/9483148.stm</w:t>
        </w:r>
      </w:hyperlink>
    </w:p>
    <w:p w14:paraId="1C521098" w14:textId="77777777" w:rsidR="006B1268" w:rsidRPr="00C869C0" w:rsidRDefault="006B1268" w:rsidP="00C142FB">
      <w:pPr>
        <w:pStyle w:val="Reftext"/>
        <w:rPr>
          <w:rFonts w:asciiTheme="majorBidi" w:hAnsiTheme="majorBidi" w:cstheme="majorBidi"/>
          <w:lang w:val="es-ES_tradnl"/>
        </w:rPr>
      </w:pPr>
      <w:r w:rsidRPr="00C869C0">
        <w:rPr>
          <w:rFonts w:asciiTheme="majorBidi" w:hAnsiTheme="majorBidi" w:cstheme="majorBidi"/>
          <w:lang w:val="es-ES_tradnl"/>
        </w:rPr>
        <w:t>[32]</w:t>
      </w:r>
      <w:r w:rsidRPr="00C869C0">
        <w:rPr>
          <w:rFonts w:asciiTheme="majorBidi" w:hAnsiTheme="majorBidi" w:cstheme="majorBidi"/>
          <w:lang w:val="es-ES_tradnl"/>
        </w:rPr>
        <w:tab/>
      </w:r>
      <w:hyperlink r:id="rId118" w:history="1">
        <w:r w:rsidRPr="00C869C0">
          <w:rPr>
            <w:rStyle w:val="Hyperlink"/>
            <w:rFonts w:asciiTheme="majorBidi" w:hAnsiTheme="majorBidi" w:cstheme="majorBidi"/>
            <w:lang w:val="es-ES_tradnl"/>
          </w:rPr>
          <w:t>http://www.bbc.co.uk/news/world-europe-10846395</w:t>
        </w:r>
      </w:hyperlink>
    </w:p>
    <w:p w14:paraId="13534C92"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[33]</w:t>
      </w:r>
      <w:r w:rsidRPr="00D449AA">
        <w:rPr>
          <w:rFonts w:asciiTheme="majorBidi" w:hAnsiTheme="majorBidi" w:cstheme="majorBidi"/>
          <w:lang w:val="en-US"/>
        </w:rPr>
        <w:tab/>
      </w:r>
      <w:r w:rsidRPr="00D449AA">
        <w:rPr>
          <w:rFonts w:asciiTheme="majorBidi" w:hAnsiTheme="majorBidi" w:cstheme="majorBidi"/>
          <w:i/>
          <w:iCs/>
          <w:lang w:val="en-US"/>
        </w:rPr>
        <w:t>Recycling – From E-Waste to Resources</w:t>
      </w:r>
      <w:r w:rsidRPr="00D449AA">
        <w:rPr>
          <w:rFonts w:asciiTheme="majorBidi" w:hAnsiTheme="majorBidi" w:cstheme="majorBidi"/>
          <w:lang w:val="en-US"/>
        </w:rPr>
        <w:t>, UNEP, 2009.</w:t>
      </w:r>
    </w:p>
    <w:p w14:paraId="7DAD3D19"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[34]</w:t>
      </w:r>
      <w:r w:rsidRPr="00D449AA">
        <w:rPr>
          <w:rFonts w:asciiTheme="majorBidi" w:hAnsiTheme="majorBidi" w:cstheme="majorBidi"/>
          <w:lang w:val="en-US"/>
        </w:rPr>
        <w:tab/>
        <w:t>Directive 2002/96/EC.</w:t>
      </w:r>
    </w:p>
    <w:p w14:paraId="7A0DF3E5"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[35]</w:t>
      </w:r>
      <w:r w:rsidRPr="00D449AA">
        <w:rPr>
          <w:rFonts w:asciiTheme="majorBidi" w:hAnsiTheme="majorBidi" w:cstheme="majorBidi"/>
          <w:lang w:val="en-US"/>
        </w:rPr>
        <w:tab/>
      </w:r>
      <w:r w:rsidRPr="00D449AA">
        <w:rPr>
          <w:rFonts w:asciiTheme="majorBidi" w:hAnsiTheme="majorBidi" w:cstheme="majorBidi"/>
          <w:bCs/>
          <w:lang w:val="en-US"/>
        </w:rPr>
        <w:t xml:space="preserve">BSI PAS141:2011, </w:t>
      </w:r>
      <w:r w:rsidRPr="00D449AA">
        <w:rPr>
          <w:rFonts w:asciiTheme="majorBidi" w:hAnsiTheme="majorBidi" w:cstheme="majorBidi"/>
          <w:bCs/>
          <w:i/>
          <w:iCs/>
          <w:lang w:val="en-US"/>
        </w:rPr>
        <w:t>Reuse of used and waste electrical and electronic equipment</w:t>
      </w:r>
      <w:r w:rsidRPr="00D449AA">
        <w:rPr>
          <w:rFonts w:asciiTheme="majorBidi" w:hAnsiTheme="majorBidi" w:cstheme="majorBidi"/>
          <w:bCs/>
          <w:lang w:val="en-US"/>
        </w:rPr>
        <w:t xml:space="preserve"> (UEEE and WEEE). Process Management Specification (March 2011) </w:t>
      </w:r>
      <w:hyperlink r:id="rId119" w:history="1">
        <w:r w:rsidRPr="00D449AA">
          <w:rPr>
            <w:rStyle w:val="Hyperlink"/>
            <w:rFonts w:asciiTheme="majorBidi" w:hAnsiTheme="majorBidi" w:cstheme="majorBidi"/>
            <w:bCs/>
            <w:lang w:val="en-US"/>
          </w:rPr>
          <w:t>http://shop.bsigroup.com/en/ProductDetail/?pid=000000000030245346</w:t>
        </w:r>
      </w:hyperlink>
    </w:p>
    <w:p w14:paraId="0452964D"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[36]</w:t>
      </w:r>
      <w:r w:rsidRPr="00D449AA">
        <w:rPr>
          <w:rFonts w:asciiTheme="majorBidi" w:hAnsiTheme="majorBidi" w:cstheme="majorBidi"/>
          <w:lang w:val="en-US"/>
        </w:rPr>
        <w:tab/>
      </w:r>
      <w:hyperlink r:id="rId120" w:history="1">
        <w:r w:rsidRPr="00D449AA">
          <w:rPr>
            <w:rStyle w:val="Hyperlink"/>
            <w:rFonts w:asciiTheme="majorBidi" w:hAnsiTheme="majorBidi" w:cstheme="majorBidi"/>
            <w:lang w:val="en-US"/>
          </w:rPr>
          <w:t>http://www.numberingplans.com/?page=analysis&amp;sub=imeinr</w:t>
        </w:r>
      </w:hyperlink>
    </w:p>
    <w:p w14:paraId="6F5CB00F"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[37]</w:t>
      </w:r>
      <w:r w:rsidRPr="00D449AA">
        <w:rPr>
          <w:rFonts w:asciiTheme="majorBidi" w:hAnsiTheme="majorBidi" w:cstheme="majorBidi"/>
          <w:lang w:val="en-US"/>
        </w:rPr>
        <w:tab/>
        <w:t>IMEI Allocation and Approval Process, Version 7.0, GSMA, 31 October 2013.</w:t>
      </w:r>
    </w:p>
    <w:p w14:paraId="51DB101B"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[38]</w:t>
      </w:r>
      <w:r w:rsidRPr="00D449AA">
        <w:rPr>
          <w:rFonts w:asciiTheme="majorBidi" w:hAnsiTheme="majorBidi" w:cstheme="majorBidi"/>
          <w:lang w:val="en-US"/>
        </w:rPr>
        <w:tab/>
      </w:r>
      <w:hyperlink r:id="rId121" w:history="1">
        <w:r w:rsidRPr="00D449AA">
          <w:rPr>
            <w:rStyle w:val="Hyperlink"/>
            <w:rFonts w:asciiTheme="majorBidi" w:hAnsiTheme="majorBidi" w:cstheme="majorBidi"/>
            <w:lang w:val="en-US"/>
          </w:rPr>
          <w:t>http://www.gsma.com/imei-database</w:t>
        </w:r>
      </w:hyperlink>
      <w:r w:rsidRPr="00D449AA">
        <w:rPr>
          <w:rFonts w:asciiTheme="majorBidi" w:hAnsiTheme="majorBidi" w:cstheme="majorBidi"/>
          <w:lang w:val="en-US"/>
        </w:rPr>
        <w:t xml:space="preserve"> </w:t>
      </w:r>
    </w:p>
    <w:p w14:paraId="5C05C1EF" w14:textId="1529CD5D" w:rsidR="006B1268" w:rsidRPr="00D449AA" w:rsidRDefault="006B1268" w:rsidP="008A70B3">
      <w:pPr>
        <w:pStyle w:val="Reftext"/>
        <w:rPr>
          <w:rFonts w:asciiTheme="majorBidi" w:hAnsiTheme="majorBidi" w:cstheme="majorBidi"/>
          <w:lang w:val="en-US"/>
        </w:rPr>
      </w:pPr>
      <w:r w:rsidRPr="00D449AA">
        <w:rPr>
          <w:rFonts w:asciiTheme="majorBidi" w:hAnsiTheme="majorBidi" w:cstheme="majorBidi"/>
          <w:lang w:val="en-US"/>
        </w:rPr>
        <w:t>[39]</w:t>
      </w:r>
      <w:r w:rsidRPr="00D449AA">
        <w:rPr>
          <w:rFonts w:asciiTheme="majorBidi" w:hAnsiTheme="majorBidi" w:cstheme="majorBidi"/>
          <w:lang w:val="en-US"/>
        </w:rPr>
        <w:tab/>
      </w:r>
      <w:hyperlink r:id="rId122" w:history="1">
        <w:r w:rsidR="008A70B3" w:rsidRPr="001B2B14">
          <w:rPr>
            <w:rStyle w:val="Hyperlink"/>
          </w:rPr>
          <w:t>http://www.c4dlab.ac.ke/wp-content/uploads/2014/04/VAT-Report_TKO.pdf</w:t>
        </w:r>
      </w:hyperlink>
    </w:p>
    <w:p w14:paraId="63EDDDC4" w14:textId="7FB815D0" w:rsidR="006B1268" w:rsidRPr="00D449AA" w:rsidRDefault="006B1268" w:rsidP="008A70B3">
      <w:pPr>
        <w:pStyle w:val="Reftext"/>
        <w:rPr>
          <w:rFonts w:asciiTheme="majorBidi" w:hAnsiTheme="majorBidi" w:cstheme="majorBidi"/>
          <w:lang w:val="en-US"/>
        </w:rPr>
      </w:pPr>
      <w:r w:rsidRPr="00D449AA">
        <w:rPr>
          <w:rFonts w:asciiTheme="majorBidi" w:hAnsiTheme="majorBidi" w:cstheme="majorBidi"/>
          <w:lang w:val="en-US"/>
        </w:rPr>
        <w:t>[40]</w:t>
      </w:r>
      <w:r w:rsidRPr="00D449AA">
        <w:rPr>
          <w:rFonts w:asciiTheme="majorBidi" w:hAnsiTheme="majorBidi" w:cstheme="majorBidi"/>
          <w:lang w:val="en-US"/>
        </w:rPr>
        <w:tab/>
        <w:t xml:space="preserve">Annual Report of the National Commission for the State Regulation of Communications and Informatization for 2012. </w:t>
      </w:r>
      <w:hyperlink r:id="rId123" w:tgtFrame="_blank" w:history="1">
        <w:r w:rsidR="008A70B3" w:rsidRPr="00021B3F">
          <w:rPr>
            <w:rStyle w:val="Hyperlink"/>
          </w:rPr>
          <w:t>http://www.nkrzi.gov.ua/images/upload/142/3963/4b2c475b68c147860c36a6e1fc2a3e47.pdf</w:t>
        </w:r>
      </w:hyperlink>
      <w:r w:rsidRPr="00D449AA">
        <w:rPr>
          <w:rFonts w:asciiTheme="majorBidi" w:hAnsiTheme="majorBidi" w:cstheme="majorBidi"/>
          <w:lang w:val="en-US"/>
        </w:rPr>
        <w:t xml:space="preserve"> </w:t>
      </w:r>
    </w:p>
    <w:p w14:paraId="37619048" w14:textId="62EF08F8" w:rsidR="006B1268" w:rsidRPr="00D449AA" w:rsidRDefault="006B1268" w:rsidP="00173B3F">
      <w:pPr>
        <w:pStyle w:val="Reftext"/>
        <w:rPr>
          <w:rFonts w:asciiTheme="majorBidi" w:hAnsiTheme="majorBidi" w:cstheme="majorBidi"/>
        </w:rPr>
      </w:pPr>
      <w:r w:rsidRPr="00D449AA">
        <w:rPr>
          <w:rFonts w:asciiTheme="majorBidi" w:hAnsiTheme="majorBidi" w:cstheme="majorBidi"/>
          <w:lang w:val="en-US"/>
        </w:rPr>
        <w:t>[41]</w:t>
      </w:r>
      <w:r w:rsidRPr="00D449AA">
        <w:rPr>
          <w:rFonts w:asciiTheme="majorBidi" w:hAnsiTheme="majorBidi" w:cstheme="majorBidi"/>
          <w:lang w:val="en-US"/>
        </w:rPr>
        <w:tab/>
        <w:t xml:space="preserve">GS1 EPC Tag Data Standard 1.6, 9 September 2011. </w:t>
      </w:r>
      <w:hyperlink r:id="rId124" w:history="1">
        <w:r w:rsidR="00173B3F" w:rsidRPr="000300A2">
          <w:rPr>
            <w:rStyle w:val="Hyperlink"/>
            <w:rFonts w:asciiTheme="majorBidi" w:hAnsiTheme="majorBidi" w:cstheme="majorBidi"/>
            <w:lang w:val="en-US"/>
          </w:rPr>
          <w:t>http://www.gs1.org/sites/default/files/docs/epc/tds_1_6-RatifiedStd-20110922.pdf</w:t>
        </w:r>
      </w:hyperlink>
    </w:p>
    <w:p w14:paraId="34E8D919" w14:textId="77777777" w:rsidR="006B1268" w:rsidRPr="00D449AA" w:rsidRDefault="006B1268" w:rsidP="00C142FB">
      <w:pPr>
        <w:pStyle w:val="Reftext"/>
        <w:rPr>
          <w:rFonts w:asciiTheme="majorBidi" w:hAnsiTheme="majorBidi" w:cstheme="majorBidi"/>
          <w:bCs/>
        </w:rPr>
      </w:pPr>
      <w:r w:rsidRPr="00D449AA">
        <w:rPr>
          <w:rFonts w:asciiTheme="majorBidi" w:hAnsiTheme="majorBidi" w:cstheme="majorBidi"/>
        </w:rPr>
        <w:t>[42]</w:t>
      </w:r>
      <w:r w:rsidRPr="00D449AA">
        <w:rPr>
          <w:rFonts w:asciiTheme="majorBidi" w:hAnsiTheme="majorBidi" w:cstheme="majorBidi"/>
        </w:rPr>
        <w:tab/>
      </w:r>
      <w:r w:rsidRPr="00D449AA">
        <w:rPr>
          <w:rFonts w:asciiTheme="majorBidi" w:hAnsiTheme="majorBidi" w:cstheme="majorBidi"/>
          <w:bCs/>
        </w:rPr>
        <w:t xml:space="preserve">ISO/IEC 15459, </w:t>
      </w:r>
      <w:r w:rsidRPr="00D449AA">
        <w:rPr>
          <w:rFonts w:asciiTheme="majorBidi" w:hAnsiTheme="majorBidi" w:cstheme="majorBidi"/>
          <w:bCs/>
          <w:i/>
          <w:iCs/>
        </w:rPr>
        <w:t>Unique identifiers</w:t>
      </w:r>
      <w:r w:rsidRPr="00D449AA">
        <w:rPr>
          <w:rFonts w:asciiTheme="majorBidi" w:hAnsiTheme="majorBidi" w:cstheme="majorBidi"/>
          <w:bCs/>
        </w:rPr>
        <w:t>.</w:t>
      </w:r>
    </w:p>
    <w:p w14:paraId="63DD5DBC" w14:textId="77777777" w:rsidR="006B1268" w:rsidRPr="00D449AA" w:rsidRDefault="006B1268" w:rsidP="00C142FB">
      <w:pPr>
        <w:pStyle w:val="Reftext"/>
        <w:rPr>
          <w:rFonts w:asciiTheme="majorBidi" w:hAnsiTheme="majorBidi" w:cstheme="majorBidi"/>
          <w:bCs/>
        </w:rPr>
      </w:pPr>
      <w:r w:rsidRPr="00D449AA">
        <w:rPr>
          <w:rFonts w:asciiTheme="majorBidi" w:hAnsiTheme="majorBidi" w:cstheme="majorBidi"/>
          <w:bCs/>
        </w:rPr>
        <w:t xml:space="preserve">Part 1:2014, </w:t>
      </w:r>
      <w:r w:rsidRPr="00D449AA">
        <w:rPr>
          <w:rFonts w:asciiTheme="majorBidi" w:hAnsiTheme="majorBidi" w:cstheme="majorBidi"/>
          <w:bCs/>
          <w:i/>
          <w:iCs/>
        </w:rPr>
        <w:t>Information technology – Automatic identification and data capture techniques – Unique identification</w:t>
      </w:r>
      <w:r w:rsidRPr="00D449AA">
        <w:rPr>
          <w:rFonts w:asciiTheme="majorBidi" w:hAnsiTheme="majorBidi" w:cstheme="majorBidi"/>
          <w:bCs/>
        </w:rPr>
        <w:t xml:space="preserve"> – </w:t>
      </w:r>
      <w:r w:rsidRPr="00D449AA">
        <w:rPr>
          <w:rFonts w:asciiTheme="majorBidi" w:hAnsiTheme="majorBidi" w:cstheme="majorBidi"/>
          <w:bCs/>
          <w:i/>
          <w:iCs/>
        </w:rPr>
        <w:t>Part 1: Individual transport units</w:t>
      </w:r>
      <w:r w:rsidRPr="00D449AA">
        <w:rPr>
          <w:rFonts w:asciiTheme="majorBidi" w:hAnsiTheme="majorBidi" w:cstheme="majorBidi"/>
          <w:bCs/>
        </w:rPr>
        <w:t>.</w:t>
      </w:r>
    </w:p>
    <w:p w14:paraId="3E61E457" w14:textId="77777777" w:rsidR="006B1268" w:rsidRPr="00D449AA" w:rsidRDefault="006B1268" w:rsidP="00C142FB">
      <w:pPr>
        <w:pStyle w:val="Reftext"/>
        <w:rPr>
          <w:rFonts w:asciiTheme="majorBidi" w:hAnsiTheme="majorBidi" w:cstheme="majorBidi"/>
          <w:bCs/>
        </w:rPr>
      </w:pPr>
      <w:r w:rsidRPr="00D449AA">
        <w:rPr>
          <w:rFonts w:asciiTheme="majorBidi" w:hAnsiTheme="majorBidi" w:cstheme="majorBidi"/>
          <w:bCs/>
        </w:rPr>
        <w:t xml:space="preserve">Part 2:2006, </w:t>
      </w:r>
      <w:r w:rsidRPr="00D449AA">
        <w:rPr>
          <w:rFonts w:asciiTheme="majorBidi" w:hAnsiTheme="majorBidi" w:cstheme="majorBidi"/>
          <w:bCs/>
          <w:i/>
          <w:iCs/>
        </w:rPr>
        <w:t xml:space="preserve">Information technology </w:t>
      </w:r>
      <w:r w:rsidRPr="00D449AA">
        <w:rPr>
          <w:rFonts w:asciiTheme="majorBidi" w:hAnsiTheme="majorBidi" w:cstheme="majorBidi"/>
          <w:bCs/>
        </w:rPr>
        <w:t>–</w:t>
      </w:r>
      <w:r w:rsidRPr="00D449AA">
        <w:rPr>
          <w:rFonts w:asciiTheme="majorBidi" w:hAnsiTheme="majorBidi" w:cstheme="majorBidi"/>
          <w:bCs/>
          <w:i/>
          <w:iCs/>
        </w:rPr>
        <w:t xml:space="preserve"> Unique identifiers – Registration procedures</w:t>
      </w:r>
      <w:r w:rsidRPr="00D449AA">
        <w:rPr>
          <w:rFonts w:asciiTheme="majorBidi" w:hAnsiTheme="majorBidi" w:cstheme="majorBidi"/>
          <w:bCs/>
        </w:rPr>
        <w:t>.</w:t>
      </w:r>
    </w:p>
    <w:p w14:paraId="4C81BEC9" w14:textId="77777777" w:rsidR="006B1268" w:rsidRPr="00D449AA" w:rsidRDefault="006B1268" w:rsidP="00C142FB">
      <w:pPr>
        <w:pStyle w:val="Reftext"/>
        <w:rPr>
          <w:rFonts w:asciiTheme="majorBidi" w:hAnsiTheme="majorBidi" w:cstheme="majorBidi"/>
          <w:bCs/>
          <w:i/>
          <w:iCs/>
        </w:rPr>
      </w:pPr>
      <w:r w:rsidRPr="00D449AA">
        <w:rPr>
          <w:rFonts w:asciiTheme="majorBidi" w:hAnsiTheme="majorBidi" w:cstheme="majorBidi"/>
          <w:bCs/>
        </w:rPr>
        <w:t xml:space="preserve">Part 3:2014, </w:t>
      </w:r>
      <w:r w:rsidRPr="00D449AA">
        <w:rPr>
          <w:rFonts w:asciiTheme="majorBidi" w:hAnsiTheme="majorBidi" w:cstheme="majorBidi"/>
          <w:bCs/>
          <w:i/>
          <w:iCs/>
        </w:rPr>
        <w:t>Information technology – Automatic identification and data capture techniques – Unique identification – Part 3: Common rules.</w:t>
      </w:r>
    </w:p>
    <w:p w14:paraId="2881156A" w14:textId="77777777" w:rsidR="006B1268" w:rsidRPr="00D449AA" w:rsidRDefault="006B1268" w:rsidP="00C142FB">
      <w:pPr>
        <w:pStyle w:val="Reftext"/>
        <w:rPr>
          <w:rFonts w:asciiTheme="majorBidi" w:hAnsiTheme="majorBidi" w:cstheme="majorBidi"/>
          <w:bCs/>
        </w:rPr>
      </w:pPr>
      <w:r w:rsidRPr="00D449AA">
        <w:rPr>
          <w:rFonts w:asciiTheme="majorBidi" w:hAnsiTheme="majorBidi" w:cstheme="majorBidi"/>
          <w:bCs/>
        </w:rPr>
        <w:t xml:space="preserve">Part 4:2014, </w:t>
      </w:r>
      <w:r w:rsidRPr="00D449AA">
        <w:rPr>
          <w:rFonts w:asciiTheme="majorBidi" w:hAnsiTheme="majorBidi" w:cstheme="majorBidi"/>
          <w:bCs/>
          <w:i/>
          <w:iCs/>
        </w:rPr>
        <w:t>Information technology – Automatic identification and data capture techniques – Unique identification – Part 4: Individual products and product packages</w:t>
      </w:r>
      <w:r w:rsidRPr="00D449AA">
        <w:rPr>
          <w:rFonts w:asciiTheme="majorBidi" w:hAnsiTheme="majorBidi" w:cstheme="majorBidi"/>
          <w:bCs/>
        </w:rPr>
        <w:t xml:space="preserve">. </w:t>
      </w:r>
    </w:p>
    <w:p w14:paraId="7B1F48AA" w14:textId="77777777" w:rsidR="006B1268" w:rsidRPr="00D449AA" w:rsidRDefault="006B1268" w:rsidP="00C142FB">
      <w:pPr>
        <w:pStyle w:val="Reftext"/>
        <w:rPr>
          <w:rFonts w:asciiTheme="majorBidi" w:hAnsiTheme="majorBidi" w:cstheme="majorBidi"/>
          <w:bCs/>
        </w:rPr>
      </w:pPr>
      <w:r w:rsidRPr="00D449AA">
        <w:rPr>
          <w:rFonts w:asciiTheme="majorBidi" w:hAnsiTheme="majorBidi" w:cstheme="majorBidi"/>
          <w:bCs/>
        </w:rPr>
        <w:t xml:space="preserve">Part 5:2014, </w:t>
      </w:r>
      <w:r w:rsidRPr="00D449AA">
        <w:rPr>
          <w:rFonts w:asciiTheme="majorBidi" w:hAnsiTheme="majorBidi" w:cstheme="majorBidi"/>
          <w:bCs/>
          <w:i/>
          <w:iCs/>
        </w:rPr>
        <w:t>Information technology – Automatic identification and data capture techniques – Unique identification – Part 5: Individual returnable transport items (RTIs)</w:t>
      </w:r>
      <w:r w:rsidRPr="00D449AA">
        <w:rPr>
          <w:rFonts w:asciiTheme="majorBidi" w:hAnsiTheme="majorBidi" w:cstheme="majorBidi"/>
          <w:bCs/>
        </w:rPr>
        <w:t xml:space="preserve">. </w:t>
      </w:r>
    </w:p>
    <w:p w14:paraId="7A3394B2" w14:textId="77777777" w:rsidR="006B1268" w:rsidRPr="00D449AA" w:rsidRDefault="006B1268" w:rsidP="00C142FB">
      <w:pPr>
        <w:pStyle w:val="Reftext"/>
        <w:rPr>
          <w:rFonts w:asciiTheme="majorBidi" w:hAnsiTheme="majorBidi" w:cstheme="majorBidi"/>
          <w:bCs/>
        </w:rPr>
      </w:pPr>
      <w:r w:rsidRPr="00D449AA">
        <w:rPr>
          <w:rFonts w:asciiTheme="majorBidi" w:hAnsiTheme="majorBidi" w:cstheme="majorBidi"/>
          <w:bCs/>
        </w:rPr>
        <w:t xml:space="preserve">Part 6:2014, </w:t>
      </w:r>
      <w:r w:rsidRPr="00D449AA">
        <w:rPr>
          <w:rFonts w:asciiTheme="majorBidi" w:hAnsiTheme="majorBidi" w:cstheme="majorBidi"/>
          <w:bCs/>
          <w:i/>
          <w:iCs/>
        </w:rPr>
        <w:t>Information technology – Automatic identification and data capture techniques – Unique identification – Part 6: Groupings</w:t>
      </w:r>
      <w:r w:rsidRPr="00D449AA">
        <w:rPr>
          <w:rFonts w:asciiTheme="majorBidi" w:hAnsiTheme="majorBidi" w:cstheme="majorBidi"/>
          <w:bCs/>
        </w:rPr>
        <w:t>.</w:t>
      </w:r>
    </w:p>
    <w:p w14:paraId="27DC6315"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 xml:space="preserve">Part 8:2009, </w:t>
      </w:r>
      <w:r w:rsidRPr="00D449AA">
        <w:rPr>
          <w:rFonts w:asciiTheme="majorBidi" w:hAnsiTheme="majorBidi" w:cstheme="majorBidi"/>
          <w:bCs/>
          <w:i/>
          <w:iCs/>
          <w:lang w:val="en-US"/>
        </w:rPr>
        <w:t>Information technology – Part 8: Grouping of transport units</w:t>
      </w:r>
      <w:r w:rsidRPr="00D449AA">
        <w:rPr>
          <w:rFonts w:asciiTheme="majorBidi" w:hAnsiTheme="majorBidi" w:cstheme="majorBidi"/>
          <w:bCs/>
          <w:lang w:val="en-US"/>
        </w:rPr>
        <w:t xml:space="preserve">. </w:t>
      </w:r>
    </w:p>
    <w:p w14:paraId="4CD1DE31"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[43]</w:t>
      </w:r>
      <w:r w:rsidRPr="00D449AA">
        <w:rPr>
          <w:rFonts w:asciiTheme="majorBidi" w:hAnsiTheme="majorBidi" w:cstheme="majorBidi"/>
          <w:bCs/>
          <w:lang w:val="en-US"/>
        </w:rPr>
        <w:tab/>
        <w:t>ISO 6346:1995, Freight containers – Coding, identification and marking.</w:t>
      </w:r>
    </w:p>
    <w:p w14:paraId="2A45D52B"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[44]</w:t>
      </w:r>
      <w:r w:rsidRPr="00D449AA">
        <w:rPr>
          <w:rFonts w:asciiTheme="majorBidi" w:hAnsiTheme="majorBidi" w:cstheme="majorBidi"/>
          <w:bCs/>
          <w:lang w:val="en-US"/>
        </w:rPr>
        <w:tab/>
        <w:t>ISO 3779:2009, Road vehicles – Vehicle identification number (VIN) – Content and structure.</w:t>
      </w:r>
    </w:p>
    <w:p w14:paraId="540FA484"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lang w:val="en-US"/>
        </w:rPr>
        <w:t>[45]</w:t>
      </w:r>
      <w:r w:rsidRPr="00D449AA">
        <w:rPr>
          <w:rFonts w:asciiTheme="majorBidi" w:hAnsiTheme="majorBidi" w:cstheme="majorBidi"/>
          <w:lang w:val="en-US"/>
        </w:rPr>
        <w:tab/>
      </w:r>
      <w:r w:rsidRPr="00D449AA">
        <w:rPr>
          <w:rFonts w:asciiTheme="majorBidi" w:hAnsiTheme="majorBidi" w:cstheme="majorBidi"/>
          <w:bCs/>
          <w:lang w:val="en-US"/>
        </w:rPr>
        <w:t xml:space="preserve">ISO 10486:1992, </w:t>
      </w:r>
      <w:r w:rsidRPr="00D449AA">
        <w:rPr>
          <w:rFonts w:asciiTheme="majorBidi" w:hAnsiTheme="majorBidi" w:cstheme="majorBidi"/>
          <w:bCs/>
          <w:i/>
          <w:iCs/>
          <w:lang w:val="en-US"/>
        </w:rPr>
        <w:t>Passenger cars – Car radio identification number (CRIN)</w:t>
      </w:r>
      <w:r w:rsidRPr="00D449AA">
        <w:rPr>
          <w:rFonts w:asciiTheme="majorBidi" w:hAnsiTheme="majorBidi" w:cstheme="majorBidi"/>
          <w:bCs/>
          <w:lang w:val="en-US"/>
        </w:rPr>
        <w:t>.</w:t>
      </w:r>
    </w:p>
    <w:p w14:paraId="77274A3F"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[46]</w:t>
      </w:r>
      <w:r w:rsidRPr="00D449AA">
        <w:rPr>
          <w:rFonts w:asciiTheme="majorBidi" w:hAnsiTheme="majorBidi" w:cstheme="majorBidi"/>
          <w:bCs/>
          <w:lang w:val="en-US"/>
        </w:rPr>
        <w:tab/>
        <w:t xml:space="preserve">ISO 2108:2005, </w:t>
      </w:r>
      <w:r w:rsidRPr="00D449AA">
        <w:rPr>
          <w:rFonts w:asciiTheme="majorBidi" w:hAnsiTheme="majorBidi" w:cstheme="majorBidi"/>
          <w:bCs/>
          <w:i/>
          <w:iCs/>
          <w:lang w:val="en-US"/>
        </w:rPr>
        <w:t>Information and documentation – International standard book number (ISBN)</w:t>
      </w:r>
      <w:r w:rsidRPr="00D449AA">
        <w:rPr>
          <w:rFonts w:asciiTheme="majorBidi" w:hAnsiTheme="majorBidi" w:cstheme="majorBidi"/>
          <w:bCs/>
          <w:lang w:val="en-US"/>
        </w:rPr>
        <w:t>.</w:t>
      </w:r>
    </w:p>
    <w:p w14:paraId="39583B1D"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[47]</w:t>
      </w:r>
      <w:r w:rsidRPr="00D449AA">
        <w:rPr>
          <w:rFonts w:asciiTheme="majorBidi" w:hAnsiTheme="majorBidi" w:cstheme="majorBidi"/>
          <w:bCs/>
          <w:lang w:val="en-US"/>
        </w:rPr>
        <w:tab/>
        <w:t xml:space="preserve">ISO 3297:2007, </w:t>
      </w:r>
      <w:r w:rsidRPr="00D449AA">
        <w:rPr>
          <w:rFonts w:asciiTheme="majorBidi" w:hAnsiTheme="majorBidi" w:cstheme="majorBidi"/>
          <w:bCs/>
          <w:i/>
          <w:iCs/>
          <w:lang w:val="en-US"/>
        </w:rPr>
        <w:t>Information and documentation – International standard serial number (ISSN)</w:t>
      </w:r>
      <w:r w:rsidRPr="00D449AA">
        <w:rPr>
          <w:rFonts w:asciiTheme="majorBidi" w:hAnsiTheme="majorBidi" w:cstheme="majorBidi"/>
          <w:bCs/>
          <w:lang w:val="en-US"/>
        </w:rPr>
        <w:t>.</w:t>
      </w:r>
    </w:p>
    <w:p w14:paraId="08E0947D"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bCs/>
          <w:lang w:val="en-US"/>
        </w:rPr>
        <w:t>[48]</w:t>
      </w:r>
      <w:r w:rsidRPr="00D449AA">
        <w:rPr>
          <w:rFonts w:asciiTheme="majorBidi" w:hAnsiTheme="majorBidi" w:cstheme="majorBidi"/>
          <w:bCs/>
          <w:lang w:val="en-US"/>
        </w:rPr>
        <w:tab/>
        <w:t xml:space="preserve">ISO 12931:2012, </w:t>
      </w:r>
      <w:r w:rsidRPr="00D449AA">
        <w:rPr>
          <w:rFonts w:asciiTheme="majorBidi" w:hAnsiTheme="majorBidi" w:cstheme="majorBidi"/>
          <w:bCs/>
          <w:i/>
          <w:iCs/>
          <w:lang w:val="en-US"/>
        </w:rPr>
        <w:t>Performance criteria for authentication solutions used to combat counterfeiting of material goods</w:t>
      </w:r>
      <w:r w:rsidRPr="00D449AA">
        <w:rPr>
          <w:rFonts w:asciiTheme="majorBidi" w:hAnsiTheme="majorBidi" w:cstheme="majorBidi"/>
          <w:lang w:val="en-US"/>
        </w:rPr>
        <w:t>.</w:t>
      </w:r>
    </w:p>
    <w:p w14:paraId="2AAD47CB"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[49]</w:t>
      </w:r>
      <w:r w:rsidRPr="00D449AA">
        <w:rPr>
          <w:rFonts w:asciiTheme="majorBidi" w:hAnsiTheme="majorBidi" w:cstheme="majorBidi"/>
          <w:lang w:val="en-US"/>
        </w:rPr>
        <w:tab/>
      </w:r>
      <w:hyperlink r:id="rId125" w:history="1">
        <w:r w:rsidRPr="00D449AA">
          <w:rPr>
            <w:rStyle w:val="Hyperlink"/>
            <w:rFonts w:asciiTheme="majorBidi" w:hAnsiTheme="majorBidi" w:cstheme="majorBidi"/>
            <w:lang w:val="en-US"/>
          </w:rPr>
          <w:t>http://www.uidcenter.org/learning-about-ucode</w:t>
        </w:r>
      </w:hyperlink>
    </w:p>
    <w:p w14:paraId="54A7FC0E" w14:textId="77777777" w:rsidR="006B1268" w:rsidRPr="00D449AA" w:rsidRDefault="006B1268" w:rsidP="00C142FB">
      <w:pPr>
        <w:pStyle w:val="Reftext"/>
        <w:rPr>
          <w:rFonts w:asciiTheme="majorBidi" w:hAnsiTheme="majorBidi" w:cstheme="majorBidi"/>
          <w:lang w:val="es-ES_tradnl"/>
        </w:rPr>
      </w:pPr>
      <w:r w:rsidRPr="00D449AA">
        <w:rPr>
          <w:rFonts w:asciiTheme="majorBidi" w:hAnsiTheme="majorBidi" w:cstheme="majorBidi"/>
          <w:lang w:val="es-ES_tradnl"/>
        </w:rPr>
        <w:lastRenderedPageBreak/>
        <w:t>[50]</w:t>
      </w:r>
      <w:r w:rsidRPr="00D449AA">
        <w:rPr>
          <w:rFonts w:asciiTheme="majorBidi" w:hAnsiTheme="majorBidi" w:cstheme="majorBidi"/>
          <w:lang w:val="es-ES_tradnl"/>
        </w:rPr>
        <w:tab/>
        <w:t xml:space="preserve">Recomendación UIT-T X.668 (2008) | ISO/IEC 9834-9:2008, </w:t>
      </w:r>
      <w:r w:rsidRPr="00D449AA">
        <w:rPr>
          <w:rFonts w:asciiTheme="majorBidi" w:hAnsiTheme="majorBidi" w:cstheme="majorBidi"/>
          <w:i/>
          <w:iCs/>
          <w:lang w:val="es-ES_tradnl"/>
        </w:rPr>
        <w:t>Tecnología de la información – Interconexión de sistemas abiertos – Procedimientos para la operación de autoridades de registro de interconexión de sistemas abiertos: Registro de arcos de identificadores de objetos para aplicaciones y servicios que utilizan la identificación basada en etiquetas.</w:t>
      </w:r>
    </w:p>
    <w:p w14:paraId="4B7D7F99" w14:textId="77777777" w:rsidR="006B1268" w:rsidRPr="00D449AA" w:rsidRDefault="006B1268" w:rsidP="00C142FB">
      <w:pPr>
        <w:pStyle w:val="Reftext"/>
        <w:rPr>
          <w:rFonts w:asciiTheme="majorBidi" w:hAnsiTheme="majorBidi" w:cstheme="majorBidi"/>
          <w:lang w:val="es-ES_tradnl"/>
        </w:rPr>
      </w:pPr>
      <w:r w:rsidRPr="00D449AA">
        <w:rPr>
          <w:rFonts w:asciiTheme="majorBidi" w:hAnsiTheme="majorBidi" w:cstheme="majorBidi"/>
          <w:lang w:val="es-ES_tradnl"/>
        </w:rPr>
        <w:t>[51]</w:t>
      </w:r>
      <w:r w:rsidRPr="00D449AA">
        <w:rPr>
          <w:rFonts w:asciiTheme="majorBidi" w:hAnsiTheme="majorBidi" w:cstheme="majorBidi"/>
          <w:lang w:val="es-ES_tradnl"/>
        </w:rPr>
        <w:tab/>
        <w:t xml:space="preserve">Recomendación UIT-T F.771 (2008), </w:t>
      </w:r>
      <w:r w:rsidRPr="00D449AA">
        <w:rPr>
          <w:rFonts w:asciiTheme="majorBidi" w:hAnsiTheme="majorBidi" w:cstheme="majorBidi"/>
          <w:i/>
          <w:iCs/>
          <w:lang w:val="es-ES_tradnl"/>
        </w:rPr>
        <w:t>Descripción y requisitos del servicio de acceso a las informaciones multimedios según identificación basada en etiquetas</w:t>
      </w:r>
      <w:r w:rsidRPr="00D449AA">
        <w:rPr>
          <w:rFonts w:asciiTheme="majorBidi" w:hAnsiTheme="majorBidi" w:cstheme="majorBidi"/>
          <w:lang w:val="es-ES_tradnl"/>
        </w:rPr>
        <w:t>.</w:t>
      </w:r>
    </w:p>
    <w:p w14:paraId="2894FA9B" w14:textId="77777777" w:rsidR="006B1268" w:rsidRPr="00D449AA" w:rsidRDefault="006B1268" w:rsidP="00C142FB">
      <w:pPr>
        <w:pStyle w:val="Reftext"/>
        <w:rPr>
          <w:rFonts w:asciiTheme="majorBidi" w:hAnsiTheme="majorBidi" w:cstheme="majorBidi"/>
          <w:lang w:val="es-ES_tradnl"/>
        </w:rPr>
      </w:pPr>
      <w:r w:rsidRPr="00D449AA">
        <w:rPr>
          <w:rFonts w:asciiTheme="majorBidi" w:hAnsiTheme="majorBidi" w:cstheme="majorBidi"/>
          <w:lang w:val="es-ES_tradnl"/>
        </w:rPr>
        <w:t>[52]</w:t>
      </w:r>
      <w:r w:rsidRPr="00D449AA">
        <w:rPr>
          <w:rFonts w:asciiTheme="majorBidi" w:hAnsiTheme="majorBidi" w:cstheme="majorBidi"/>
          <w:lang w:val="es-ES_tradnl"/>
        </w:rPr>
        <w:tab/>
        <w:t xml:space="preserve">Recomendación UIT-T H.621 (2008), </w:t>
      </w:r>
      <w:r w:rsidRPr="00D449AA">
        <w:rPr>
          <w:rFonts w:asciiTheme="majorBidi" w:hAnsiTheme="majorBidi" w:cstheme="majorBidi"/>
          <w:i/>
          <w:iCs/>
          <w:lang w:val="es-ES_tradnl"/>
        </w:rPr>
        <w:t>Arquitectura del sistema de acceso a las informaciones multimedios según identificación basada en etiquetas</w:t>
      </w:r>
      <w:r w:rsidRPr="00D449AA">
        <w:rPr>
          <w:rFonts w:asciiTheme="majorBidi" w:hAnsiTheme="majorBidi" w:cstheme="majorBidi"/>
          <w:lang w:val="es-ES_tradnl"/>
        </w:rPr>
        <w:t>.</w:t>
      </w:r>
    </w:p>
    <w:p w14:paraId="765EE6F8"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lang w:val="en-US"/>
        </w:rPr>
        <w:t>[53]</w:t>
      </w:r>
      <w:r w:rsidRPr="00D449AA">
        <w:rPr>
          <w:rFonts w:asciiTheme="majorBidi" w:hAnsiTheme="majorBidi" w:cstheme="majorBidi"/>
          <w:lang w:val="en-US"/>
        </w:rPr>
        <w:tab/>
        <w:t xml:space="preserve">ISO 28219:2009, </w:t>
      </w:r>
      <w:r w:rsidRPr="00D449AA">
        <w:rPr>
          <w:rFonts w:asciiTheme="majorBidi" w:hAnsiTheme="majorBidi" w:cstheme="majorBidi"/>
          <w:bCs/>
          <w:i/>
          <w:iCs/>
          <w:lang w:val="en-US"/>
        </w:rPr>
        <w:t>Packaging – Labelling and direct product marking with linear bar code and two-dimensional symbols</w:t>
      </w:r>
      <w:r w:rsidRPr="00D449AA">
        <w:rPr>
          <w:rFonts w:asciiTheme="majorBidi" w:hAnsiTheme="majorBidi" w:cstheme="majorBidi"/>
          <w:bCs/>
          <w:lang w:val="en-US"/>
        </w:rPr>
        <w:t>.</w:t>
      </w:r>
    </w:p>
    <w:p w14:paraId="31CFB00E"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[54]</w:t>
      </w:r>
      <w:r w:rsidRPr="00D449AA">
        <w:rPr>
          <w:rFonts w:asciiTheme="majorBidi" w:hAnsiTheme="majorBidi" w:cstheme="majorBidi"/>
          <w:bCs/>
          <w:lang w:val="en-US"/>
        </w:rPr>
        <w:tab/>
      </w:r>
      <w:r w:rsidRPr="00D449AA">
        <w:rPr>
          <w:rFonts w:asciiTheme="majorBidi" w:hAnsiTheme="majorBidi" w:cstheme="majorBidi"/>
          <w:lang w:val="en-US"/>
        </w:rPr>
        <w:t xml:space="preserve">ISO 22742:2010, </w:t>
      </w:r>
      <w:r w:rsidRPr="00D449AA">
        <w:rPr>
          <w:rFonts w:asciiTheme="majorBidi" w:hAnsiTheme="majorBidi" w:cstheme="majorBidi"/>
          <w:bCs/>
          <w:i/>
          <w:iCs/>
          <w:lang w:val="en-US"/>
        </w:rPr>
        <w:t>Packaging – Linear bar code and two-dimensional symbols for product packaging</w:t>
      </w:r>
      <w:r w:rsidRPr="00D449AA">
        <w:rPr>
          <w:rFonts w:asciiTheme="majorBidi" w:hAnsiTheme="majorBidi" w:cstheme="majorBidi"/>
          <w:bCs/>
          <w:lang w:val="en-US"/>
        </w:rPr>
        <w:t>.</w:t>
      </w:r>
    </w:p>
    <w:p w14:paraId="07A1DB96"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[55]</w:t>
      </w:r>
      <w:r w:rsidRPr="00D449AA">
        <w:rPr>
          <w:rFonts w:asciiTheme="majorBidi" w:hAnsiTheme="majorBidi" w:cstheme="majorBidi"/>
          <w:bCs/>
          <w:lang w:val="en-US"/>
        </w:rPr>
        <w:tab/>
      </w:r>
      <w:r w:rsidRPr="00D449AA">
        <w:rPr>
          <w:rFonts w:asciiTheme="majorBidi" w:hAnsiTheme="majorBidi" w:cstheme="majorBidi"/>
          <w:lang w:val="en-US"/>
        </w:rPr>
        <w:t xml:space="preserve">ISO 15394:2009, </w:t>
      </w:r>
      <w:r w:rsidRPr="00D449AA">
        <w:rPr>
          <w:rFonts w:asciiTheme="majorBidi" w:hAnsiTheme="majorBidi" w:cstheme="majorBidi"/>
          <w:bCs/>
          <w:i/>
          <w:iCs/>
          <w:lang w:val="en-US"/>
        </w:rPr>
        <w:t>Packaging – Bar code and two-dimensional symbols for shipping, transport and receiving labels</w:t>
      </w:r>
      <w:r w:rsidRPr="00D449AA">
        <w:rPr>
          <w:rFonts w:asciiTheme="majorBidi" w:hAnsiTheme="majorBidi" w:cstheme="majorBidi"/>
          <w:bCs/>
          <w:lang w:val="en-US"/>
        </w:rPr>
        <w:t>.</w:t>
      </w:r>
    </w:p>
    <w:p w14:paraId="6771BC71"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[56]</w:t>
      </w:r>
      <w:r w:rsidRPr="00D449AA">
        <w:rPr>
          <w:rFonts w:asciiTheme="majorBidi" w:hAnsiTheme="majorBidi" w:cstheme="majorBidi"/>
          <w:bCs/>
          <w:lang w:val="en-US"/>
        </w:rPr>
        <w:tab/>
      </w:r>
      <w:r w:rsidRPr="00D449AA">
        <w:rPr>
          <w:rFonts w:asciiTheme="majorBidi" w:hAnsiTheme="majorBidi" w:cstheme="majorBidi"/>
          <w:lang w:val="en-US"/>
        </w:rPr>
        <w:t xml:space="preserve">ISO/IEC 15963:2009, </w:t>
      </w:r>
      <w:r w:rsidRPr="00D449AA">
        <w:rPr>
          <w:rFonts w:asciiTheme="majorBidi" w:hAnsiTheme="majorBidi" w:cstheme="majorBidi"/>
          <w:bCs/>
          <w:i/>
          <w:iCs/>
          <w:lang w:val="en-US"/>
        </w:rPr>
        <w:t>Information technology – Radio frequency identification for item management – Unique identification for RF tags</w:t>
      </w:r>
      <w:r w:rsidRPr="00D449AA">
        <w:rPr>
          <w:rFonts w:asciiTheme="majorBidi" w:hAnsiTheme="majorBidi" w:cstheme="majorBidi"/>
          <w:bCs/>
          <w:lang w:val="en-US"/>
        </w:rPr>
        <w:t>.</w:t>
      </w:r>
    </w:p>
    <w:p w14:paraId="115728AD"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[57]</w:t>
      </w:r>
      <w:r w:rsidRPr="00D449AA">
        <w:rPr>
          <w:rFonts w:asciiTheme="majorBidi" w:hAnsiTheme="majorBidi" w:cstheme="majorBidi"/>
          <w:bCs/>
          <w:lang w:val="en-US"/>
        </w:rPr>
        <w:tab/>
      </w:r>
      <w:r w:rsidRPr="00D449AA">
        <w:rPr>
          <w:rFonts w:asciiTheme="majorBidi" w:hAnsiTheme="majorBidi" w:cstheme="majorBidi"/>
          <w:lang w:val="en-US"/>
        </w:rPr>
        <w:t xml:space="preserve">ISO/IEC 29167-1:2014, </w:t>
      </w:r>
      <w:r w:rsidRPr="00D449AA">
        <w:rPr>
          <w:rFonts w:asciiTheme="majorBidi" w:hAnsiTheme="majorBidi" w:cstheme="majorBidi"/>
          <w:bCs/>
          <w:i/>
          <w:iCs/>
          <w:lang w:val="en-US"/>
        </w:rPr>
        <w:t>Information technology – Automatic identification and data capture techniques – Part 1: Security services for RFID air interfaces</w:t>
      </w:r>
      <w:r w:rsidRPr="00D449AA">
        <w:rPr>
          <w:rFonts w:asciiTheme="majorBidi" w:hAnsiTheme="majorBidi" w:cstheme="majorBidi"/>
          <w:bCs/>
          <w:lang w:val="en-US"/>
        </w:rPr>
        <w:t>.</w:t>
      </w:r>
    </w:p>
    <w:p w14:paraId="57C01E5B"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[58]</w:t>
      </w:r>
      <w:r w:rsidRPr="00D449AA">
        <w:rPr>
          <w:rFonts w:asciiTheme="majorBidi" w:hAnsiTheme="majorBidi" w:cstheme="majorBidi"/>
          <w:bCs/>
          <w:lang w:val="en-US"/>
        </w:rPr>
        <w:tab/>
      </w:r>
      <w:r w:rsidRPr="00D449AA">
        <w:rPr>
          <w:rFonts w:asciiTheme="majorBidi" w:hAnsiTheme="majorBidi" w:cstheme="majorBidi"/>
          <w:lang w:val="en-US"/>
        </w:rPr>
        <w:t xml:space="preserve">ISO/IEC TR 24729-4:2009, </w:t>
      </w:r>
      <w:r w:rsidRPr="00D449AA">
        <w:rPr>
          <w:rFonts w:asciiTheme="majorBidi" w:hAnsiTheme="majorBidi" w:cstheme="majorBidi"/>
          <w:i/>
          <w:iCs/>
          <w:lang w:val="en-US"/>
        </w:rPr>
        <w:t xml:space="preserve">Information technology – Radio frequency identification for item management – Implementation guidelines – Part 4: </w:t>
      </w:r>
      <w:r w:rsidRPr="00D449AA">
        <w:rPr>
          <w:rFonts w:asciiTheme="majorBidi" w:hAnsiTheme="majorBidi" w:cstheme="majorBidi"/>
          <w:bCs/>
          <w:i/>
          <w:iCs/>
          <w:lang w:val="en-US"/>
        </w:rPr>
        <w:t>Tag data security</w:t>
      </w:r>
      <w:r w:rsidRPr="00D449AA">
        <w:rPr>
          <w:rFonts w:asciiTheme="majorBidi" w:hAnsiTheme="majorBidi" w:cstheme="majorBidi"/>
          <w:bCs/>
          <w:lang w:val="en-US"/>
        </w:rPr>
        <w:t>.</w:t>
      </w:r>
    </w:p>
    <w:p w14:paraId="00597B07"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bCs/>
          <w:lang w:val="en-US"/>
        </w:rPr>
        <w:t>[59]</w:t>
      </w:r>
      <w:r w:rsidRPr="00D449AA">
        <w:rPr>
          <w:rFonts w:asciiTheme="majorBidi" w:hAnsiTheme="majorBidi" w:cstheme="majorBidi"/>
          <w:bCs/>
          <w:lang w:val="en-US"/>
        </w:rPr>
        <w:tab/>
      </w:r>
      <w:hyperlink r:id="rId126" w:history="1">
        <w:r w:rsidRPr="00D449AA">
          <w:rPr>
            <w:rStyle w:val="Hyperlink"/>
            <w:rFonts w:asciiTheme="majorBidi" w:hAnsiTheme="majorBidi" w:cstheme="majorBidi"/>
            <w:lang w:val="en-US"/>
          </w:rPr>
          <w:t>http://www.gs1.org/gsmp/kc/epcglobal</w:t>
        </w:r>
      </w:hyperlink>
    </w:p>
    <w:p w14:paraId="03D17996" w14:textId="77777777" w:rsidR="006B1268" w:rsidRPr="00D449AA" w:rsidRDefault="006B1268" w:rsidP="00C142FB">
      <w:pPr>
        <w:pStyle w:val="Reftext"/>
        <w:rPr>
          <w:rFonts w:asciiTheme="majorBidi" w:hAnsiTheme="majorBidi" w:cstheme="majorBidi"/>
          <w:lang w:val="es-ES_tradnl"/>
        </w:rPr>
      </w:pPr>
      <w:r w:rsidRPr="00D449AA">
        <w:rPr>
          <w:rFonts w:asciiTheme="majorBidi" w:hAnsiTheme="majorBidi" w:cstheme="majorBidi"/>
          <w:lang w:val="es-ES_tradnl"/>
        </w:rPr>
        <w:t>[60]</w:t>
      </w:r>
      <w:r w:rsidRPr="00D449AA">
        <w:rPr>
          <w:rFonts w:asciiTheme="majorBidi" w:hAnsiTheme="majorBidi" w:cstheme="majorBidi"/>
          <w:lang w:val="es-ES_tradnl"/>
        </w:rPr>
        <w:tab/>
        <w:t xml:space="preserve">Recomendación UIT-T X.509 (2012) | ISO/IEC 9594-8:2014, </w:t>
      </w:r>
      <w:r w:rsidRPr="00D87A22">
        <w:rPr>
          <w:rFonts w:asciiTheme="majorBidi" w:hAnsiTheme="majorBidi" w:cstheme="majorBidi"/>
          <w:i/>
          <w:iCs/>
          <w:lang w:val="es-ES_tradnl"/>
        </w:rPr>
        <w:t>Interconexión de sistemas abiertos – El directorio: Marcos para certificados de claves públicas y atributos</w:t>
      </w:r>
      <w:r w:rsidRPr="00D449AA">
        <w:rPr>
          <w:rFonts w:asciiTheme="majorBidi" w:hAnsiTheme="majorBidi" w:cstheme="majorBidi"/>
          <w:lang w:val="es-ES_tradnl"/>
        </w:rPr>
        <w:t>.</w:t>
      </w:r>
    </w:p>
    <w:p w14:paraId="16323242" w14:textId="77777777" w:rsidR="006B1268" w:rsidRPr="00D449AA" w:rsidRDefault="006B1268" w:rsidP="00C142FB">
      <w:pPr>
        <w:pStyle w:val="Reftext"/>
        <w:rPr>
          <w:rFonts w:asciiTheme="majorBidi" w:hAnsiTheme="majorBidi" w:cstheme="majorBidi"/>
          <w:lang w:val="es-ES_tradnl"/>
        </w:rPr>
      </w:pPr>
      <w:r w:rsidRPr="00D449AA">
        <w:rPr>
          <w:rFonts w:asciiTheme="majorBidi" w:hAnsiTheme="majorBidi" w:cstheme="majorBidi"/>
          <w:lang w:val="es-ES_tradnl"/>
        </w:rPr>
        <w:t>[61]</w:t>
      </w:r>
      <w:r w:rsidRPr="00D449AA">
        <w:rPr>
          <w:rFonts w:asciiTheme="majorBidi" w:hAnsiTheme="majorBidi" w:cstheme="majorBidi"/>
          <w:lang w:val="es-ES_tradnl"/>
        </w:rPr>
        <w:tab/>
        <w:t>IETF RFC 3280 (2002), Internet X.509 Public Key Infrastructure Certificate and Certificate Revocation List (CRL) Profile.</w:t>
      </w:r>
    </w:p>
    <w:p w14:paraId="1EBEC9C2" w14:textId="77777777" w:rsidR="006B1268" w:rsidRPr="00D449AA" w:rsidRDefault="006B1268" w:rsidP="00C142FB">
      <w:pPr>
        <w:pStyle w:val="Reftext"/>
        <w:rPr>
          <w:rFonts w:asciiTheme="majorBidi" w:hAnsiTheme="majorBidi" w:cstheme="majorBidi"/>
          <w:lang w:val="es-ES_tradnl"/>
        </w:rPr>
      </w:pPr>
      <w:r w:rsidRPr="00D449AA">
        <w:rPr>
          <w:rFonts w:asciiTheme="majorBidi" w:hAnsiTheme="majorBidi" w:cstheme="majorBidi"/>
          <w:lang w:val="es-ES_tradnl"/>
        </w:rPr>
        <w:t>[62]</w:t>
      </w:r>
      <w:r w:rsidRPr="00D449AA">
        <w:rPr>
          <w:rFonts w:asciiTheme="majorBidi" w:hAnsiTheme="majorBidi" w:cstheme="majorBidi"/>
          <w:lang w:val="es-ES_tradnl"/>
        </w:rPr>
        <w:tab/>
        <w:t>IETF RFC 3279 (2002), Algorithms and Identifiers for the Internet X.509 Public Key Infrastructure Certificate and Certificate Revocation List (CRL) Profile.</w:t>
      </w:r>
    </w:p>
    <w:p w14:paraId="184ED87B" w14:textId="795478DD" w:rsidR="006B1268" w:rsidRPr="00AA4205" w:rsidRDefault="006B1268" w:rsidP="00AA4205">
      <w:pPr>
        <w:pStyle w:val="Reftext"/>
        <w:rPr>
          <w:rFonts w:asciiTheme="majorBidi" w:hAnsiTheme="majorBidi" w:cstheme="majorBidi"/>
          <w:lang w:val="en-US"/>
        </w:rPr>
      </w:pPr>
      <w:r w:rsidRPr="00AA4205">
        <w:rPr>
          <w:rFonts w:asciiTheme="majorBidi" w:hAnsiTheme="majorBidi" w:cstheme="majorBidi"/>
          <w:lang w:val="en-US"/>
        </w:rPr>
        <w:t>[63]</w:t>
      </w:r>
      <w:r w:rsidRPr="00AA4205">
        <w:rPr>
          <w:rFonts w:asciiTheme="majorBidi" w:hAnsiTheme="majorBidi" w:cstheme="majorBidi"/>
          <w:lang w:val="en-US"/>
        </w:rPr>
        <w:tab/>
      </w:r>
      <w:hyperlink r:id="rId127" w:history="1">
        <w:r w:rsidR="00AA4205" w:rsidRPr="000300A2">
          <w:rPr>
            <w:rStyle w:val="Hyperlink"/>
            <w:rFonts w:asciiTheme="majorBidi" w:hAnsiTheme="majorBidi" w:cstheme="majorBidi"/>
            <w:lang w:val="en-US"/>
          </w:rPr>
          <w:t>http://www.wcoomd.org</w:t>
        </w:r>
      </w:hyperlink>
    </w:p>
    <w:p w14:paraId="23D39CF9"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[64]</w:t>
      </w:r>
      <w:r w:rsidRPr="00D449AA">
        <w:rPr>
          <w:rFonts w:asciiTheme="majorBidi" w:hAnsiTheme="majorBidi" w:cstheme="majorBidi"/>
          <w:lang w:val="en-US"/>
        </w:rPr>
        <w:tab/>
      </w:r>
      <w:r w:rsidRPr="00D449AA">
        <w:rPr>
          <w:rFonts w:asciiTheme="majorBidi" w:hAnsiTheme="majorBidi" w:cstheme="majorBidi"/>
          <w:bCs/>
          <w:lang w:val="en-US"/>
        </w:rPr>
        <w:t xml:space="preserve">IEC/TS 62668-1 ed2.0 (2014), </w:t>
      </w:r>
      <w:r w:rsidRPr="00D449AA">
        <w:rPr>
          <w:rFonts w:asciiTheme="majorBidi" w:hAnsiTheme="majorBidi" w:cstheme="majorBidi"/>
          <w:bCs/>
          <w:i/>
          <w:iCs/>
          <w:lang w:val="en-US"/>
        </w:rPr>
        <w:t>Process management for avionics – Counterfeiting prevention – Part 1</w:t>
      </w:r>
      <w:r w:rsidRPr="00D449AA">
        <w:rPr>
          <w:rFonts w:asciiTheme="majorBidi" w:hAnsiTheme="majorBidi" w:cstheme="majorBidi"/>
          <w:i/>
          <w:iCs/>
          <w:lang w:val="en-US"/>
        </w:rPr>
        <w:t>: Avoiding the use of counterfeit, fraudulent and recycled electronic components</w:t>
      </w:r>
      <w:r w:rsidRPr="00D449AA">
        <w:rPr>
          <w:rFonts w:asciiTheme="majorBidi" w:hAnsiTheme="majorBidi" w:cstheme="majorBidi"/>
          <w:lang w:val="en-US"/>
        </w:rPr>
        <w:t>.</w:t>
      </w:r>
    </w:p>
    <w:p w14:paraId="0839B3B8"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[65]</w:t>
      </w:r>
      <w:r w:rsidRPr="00D449AA">
        <w:rPr>
          <w:rFonts w:asciiTheme="majorBidi" w:hAnsiTheme="majorBidi" w:cstheme="majorBidi"/>
          <w:lang w:val="en-US"/>
        </w:rPr>
        <w:tab/>
      </w:r>
      <w:r w:rsidRPr="00D449AA">
        <w:rPr>
          <w:rFonts w:asciiTheme="majorBidi" w:hAnsiTheme="majorBidi" w:cstheme="majorBidi"/>
          <w:bCs/>
          <w:lang w:val="en-US"/>
        </w:rPr>
        <w:t xml:space="preserve">IEC/TS 62668-2 ed1.0 (2014), </w:t>
      </w:r>
      <w:r w:rsidRPr="00D449AA">
        <w:rPr>
          <w:rFonts w:asciiTheme="majorBidi" w:hAnsiTheme="majorBidi" w:cstheme="majorBidi"/>
          <w:bCs/>
          <w:i/>
          <w:iCs/>
          <w:lang w:val="en-US"/>
        </w:rPr>
        <w:t>Process management for avionics – Counterfeit prevention – Part 2: Managing electronic components from non-franchised sources</w:t>
      </w:r>
      <w:r w:rsidRPr="00D449AA">
        <w:rPr>
          <w:rFonts w:asciiTheme="majorBidi" w:hAnsiTheme="majorBidi" w:cstheme="majorBidi"/>
          <w:lang w:val="en-US"/>
        </w:rPr>
        <w:t>.</w:t>
      </w:r>
    </w:p>
    <w:p w14:paraId="28B05EF8" w14:textId="1DB0CF4F"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[66]</w:t>
      </w:r>
      <w:r w:rsidRPr="00D449AA">
        <w:rPr>
          <w:rFonts w:asciiTheme="majorBidi" w:hAnsiTheme="majorBidi" w:cstheme="majorBidi"/>
          <w:lang w:val="en-US"/>
        </w:rPr>
        <w:tab/>
        <w:t xml:space="preserve">Adapted from Market Surveillance Regulation EC no 765/2008, art 2 (17), </w:t>
      </w:r>
      <w:hyperlink r:id="rId128" w:history="1">
        <w:r w:rsidR="00AA4205" w:rsidRPr="000300A2">
          <w:rPr>
            <w:rStyle w:val="Hyperlink"/>
            <w:rFonts w:asciiTheme="majorBidi" w:hAnsiTheme="majorBidi" w:cstheme="majorBidi"/>
            <w:lang w:val="en-US"/>
          </w:rPr>
          <w:t>http://www.unece.org/fileadmin/DAM/trade/wp6/documents/2009/WP6_2009_13e_final.pdf</w:t>
        </w:r>
      </w:hyperlink>
    </w:p>
    <w:p w14:paraId="11380602" w14:textId="77777777" w:rsidR="006B1268" w:rsidRPr="00D449AA" w:rsidRDefault="006B1268" w:rsidP="00C142FB">
      <w:pPr>
        <w:pStyle w:val="Reftext"/>
        <w:rPr>
          <w:rFonts w:asciiTheme="majorBidi" w:hAnsiTheme="majorBidi" w:cstheme="majorBidi"/>
        </w:rPr>
      </w:pPr>
      <w:r w:rsidRPr="00D449AA">
        <w:rPr>
          <w:rFonts w:asciiTheme="majorBidi" w:hAnsiTheme="majorBidi" w:cstheme="majorBidi"/>
          <w:lang w:val="en-US"/>
        </w:rPr>
        <w:t>[67]</w:t>
      </w:r>
      <w:r w:rsidRPr="00D449AA">
        <w:rPr>
          <w:rFonts w:asciiTheme="majorBidi" w:hAnsiTheme="majorBidi" w:cstheme="majorBidi"/>
          <w:lang w:val="en-US"/>
        </w:rPr>
        <w:tab/>
        <w:t xml:space="preserve">Recommendation M. on the: </w:t>
      </w:r>
      <w:r w:rsidRPr="00D449AA">
        <w:rPr>
          <w:rFonts w:asciiTheme="majorBidi" w:hAnsiTheme="majorBidi" w:cstheme="majorBidi"/>
          <w:i/>
          <w:iCs/>
          <w:lang w:val="en-US"/>
        </w:rPr>
        <w:t>Use of Market Surveillance Infrastructure as a Complementary Means to Protect Consumers and Users against Counterfeit Goods</w:t>
      </w:r>
      <w:r w:rsidRPr="00D449AA">
        <w:rPr>
          <w:rFonts w:asciiTheme="majorBidi" w:hAnsiTheme="majorBidi" w:cstheme="majorBidi"/>
          <w:lang w:val="en-US"/>
        </w:rPr>
        <w:t xml:space="preserve">. </w:t>
      </w:r>
      <w:hyperlink r:id="rId129" w:history="1">
        <w:r w:rsidRPr="00D449AA">
          <w:rPr>
            <w:rStyle w:val="Hyperlink"/>
            <w:rFonts w:asciiTheme="majorBidi" w:hAnsiTheme="majorBidi" w:cstheme="majorBidi"/>
          </w:rPr>
          <w:t>http://www.unece.org/fileadmin/DAM/trade/wp6/Recommendations/Rec_M.pdf</w:t>
        </w:r>
      </w:hyperlink>
    </w:p>
    <w:p w14:paraId="2D4B3582" w14:textId="77777777" w:rsidR="006B1268" w:rsidRPr="00D449AA" w:rsidRDefault="006B1268" w:rsidP="00C142FB">
      <w:pPr>
        <w:pStyle w:val="Reftext"/>
        <w:rPr>
          <w:rFonts w:asciiTheme="majorBidi" w:hAnsiTheme="majorBidi" w:cstheme="majorBidi"/>
        </w:rPr>
      </w:pPr>
      <w:r w:rsidRPr="00D449AA">
        <w:rPr>
          <w:rFonts w:asciiTheme="majorBidi" w:hAnsiTheme="majorBidi" w:cstheme="majorBidi"/>
        </w:rPr>
        <w:t>[68]</w:t>
      </w:r>
      <w:r w:rsidRPr="00D449AA">
        <w:rPr>
          <w:rFonts w:asciiTheme="majorBidi" w:hAnsiTheme="majorBidi" w:cstheme="majorBidi"/>
        </w:rPr>
        <w:tab/>
      </w:r>
      <w:hyperlink r:id="rId130" w:history="1">
        <w:r w:rsidRPr="00D449AA">
          <w:rPr>
            <w:rStyle w:val="Hyperlink"/>
            <w:rFonts w:asciiTheme="majorBidi" w:hAnsiTheme="majorBidi" w:cstheme="majorBidi"/>
          </w:rPr>
          <w:t>http://www.nia.din.de/gremien/NA+043-01-31+AA/en/54773446.html</w:t>
        </w:r>
      </w:hyperlink>
    </w:p>
    <w:p w14:paraId="395095F4" w14:textId="77777777" w:rsidR="006B1268" w:rsidRPr="00D449AA" w:rsidRDefault="006B1268" w:rsidP="00C142FB">
      <w:pPr>
        <w:pStyle w:val="Reftext"/>
        <w:rPr>
          <w:rFonts w:asciiTheme="majorBidi" w:hAnsiTheme="majorBidi" w:cstheme="majorBidi"/>
        </w:rPr>
      </w:pPr>
      <w:r w:rsidRPr="00D449AA">
        <w:rPr>
          <w:rFonts w:asciiTheme="majorBidi" w:hAnsiTheme="majorBidi" w:cstheme="majorBidi"/>
        </w:rPr>
        <w:t>[69]</w:t>
      </w:r>
      <w:r w:rsidRPr="00D449AA">
        <w:rPr>
          <w:rFonts w:asciiTheme="majorBidi" w:hAnsiTheme="majorBidi" w:cstheme="majorBidi"/>
        </w:rPr>
        <w:tab/>
      </w:r>
      <w:hyperlink r:id="rId131" w:history="1">
        <w:r w:rsidRPr="00D449AA">
          <w:rPr>
            <w:rStyle w:val="Hyperlink"/>
            <w:rFonts w:asciiTheme="majorBidi" w:hAnsiTheme="majorBidi" w:cstheme="majorBidi"/>
          </w:rPr>
          <w:t>http://www.anticounterfeitingforum.org.uk/best_practice.aspx</w:t>
        </w:r>
      </w:hyperlink>
    </w:p>
    <w:p w14:paraId="63958C0A" w14:textId="77777777" w:rsidR="006B1268" w:rsidRPr="00D449AA" w:rsidRDefault="006B1268" w:rsidP="00C142FB">
      <w:pPr>
        <w:pStyle w:val="Reftext"/>
        <w:rPr>
          <w:rFonts w:asciiTheme="majorBidi" w:hAnsiTheme="majorBidi" w:cstheme="majorBidi"/>
        </w:rPr>
      </w:pPr>
      <w:r w:rsidRPr="00D449AA">
        <w:rPr>
          <w:rFonts w:asciiTheme="majorBidi" w:hAnsiTheme="majorBidi" w:cstheme="majorBidi"/>
        </w:rPr>
        <w:t>[70]</w:t>
      </w:r>
      <w:r w:rsidRPr="00D449AA">
        <w:rPr>
          <w:rFonts w:asciiTheme="majorBidi" w:hAnsiTheme="majorBidi" w:cstheme="majorBidi"/>
        </w:rPr>
        <w:tab/>
      </w:r>
      <w:hyperlink r:id="rId132" w:history="1">
        <w:r w:rsidRPr="00D449AA">
          <w:rPr>
            <w:rStyle w:val="Hyperlink"/>
            <w:rFonts w:asciiTheme="majorBidi" w:hAnsiTheme="majorBidi" w:cstheme="majorBidi"/>
          </w:rPr>
          <w:t>http://www.cti-us.com/CCAP.htm</w:t>
        </w:r>
      </w:hyperlink>
      <w:r w:rsidRPr="00D449AA">
        <w:rPr>
          <w:rFonts w:asciiTheme="majorBidi" w:hAnsiTheme="majorBidi" w:cstheme="majorBidi"/>
        </w:rPr>
        <w:t>]</w:t>
      </w:r>
    </w:p>
    <w:p w14:paraId="7B2A4E6B" w14:textId="77777777" w:rsidR="006B1268" w:rsidRPr="00D449AA" w:rsidRDefault="006B1268" w:rsidP="00C142FB">
      <w:pPr>
        <w:pStyle w:val="Reftext"/>
        <w:rPr>
          <w:rFonts w:asciiTheme="majorBidi" w:hAnsiTheme="majorBidi" w:cstheme="majorBidi"/>
        </w:rPr>
      </w:pPr>
      <w:r w:rsidRPr="00D449AA">
        <w:rPr>
          <w:rFonts w:asciiTheme="majorBidi" w:hAnsiTheme="majorBidi" w:cstheme="majorBidi"/>
        </w:rPr>
        <w:lastRenderedPageBreak/>
        <w:t>[71]</w:t>
      </w:r>
      <w:r w:rsidRPr="00D449AA">
        <w:rPr>
          <w:rFonts w:asciiTheme="majorBidi" w:hAnsiTheme="majorBidi" w:cstheme="majorBidi"/>
        </w:rPr>
        <w:tab/>
      </w:r>
      <w:hyperlink r:id="rId133" w:history="1">
        <w:r w:rsidRPr="00D449AA">
          <w:rPr>
            <w:rStyle w:val="Hyperlink"/>
            <w:rFonts w:asciiTheme="majorBidi" w:hAnsiTheme="majorBidi" w:cstheme="majorBidi"/>
          </w:rPr>
          <w:t>http://www.ipo.gov.uk/ipctoolkit.pdf</w:t>
        </w:r>
      </w:hyperlink>
    </w:p>
    <w:p w14:paraId="210F6991" w14:textId="77777777" w:rsidR="006B1268" w:rsidRPr="00D449AA" w:rsidRDefault="006B1268" w:rsidP="00C142FB">
      <w:pPr>
        <w:pStyle w:val="Reftext"/>
        <w:rPr>
          <w:rFonts w:asciiTheme="majorBidi" w:hAnsiTheme="majorBidi" w:cstheme="majorBidi"/>
        </w:rPr>
      </w:pPr>
      <w:r w:rsidRPr="00D449AA">
        <w:rPr>
          <w:rFonts w:asciiTheme="majorBidi" w:hAnsiTheme="majorBidi" w:cstheme="majorBidi"/>
        </w:rPr>
        <w:t>[72]</w:t>
      </w:r>
      <w:r w:rsidRPr="00D449AA">
        <w:rPr>
          <w:rFonts w:asciiTheme="majorBidi" w:hAnsiTheme="majorBidi" w:cstheme="majorBidi"/>
        </w:rPr>
        <w:tab/>
      </w:r>
      <w:hyperlink r:id="rId134" w:history="1">
        <w:r w:rsidRPr="00D449AA">
          <w:rPr>
            <w:rStyle w:val="Hyperlink"/>
            <w:rFonts w:asciiTheme="majorBidi" w:hAnsiTheme="majorBidi" w:cstheme="majorBidi"/>
          </w:rPr>
          <w:t>http://www.itu.int/ITU-D/tech/NGN/ConformanceInterop/PP10_Resolution177.pdf</w:t>
        </w:r>
      </w:hyperlink>
    </w:p>
    <w:p w14:paraId="67519B8B"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[73]</w:t>
      </w:r>
      <w:r w:rsidRPr="00D449AA">
        <w:rPr>
          <w:rFonts w:asciiTheme="majorBidi" w:hAnsiTheme="majorBidi" w:cstheme="majorBidi"/>
          <w:lang w:val="en-US"/>
        </w:rPr>
        <w:tab/>
        <w:t xml:space="preserve">Establishing </w:t>
      </w:r>
      <w:hyperlink r:id="rId135" w:history="1">
        <w:r w:rsidRPr="00D449AA">
          <w:rPr>
            <w:rStyle w:val="Hyperlink"/>
            <w:rFonts w:asciiTheme="majorBidi" w:hAnsiTheme="majorBidi" w:cstheme="majorBidi"/>
            <w:lang w:val="en-US"/>
          </w:rPr>
          <w:t>Conformity and Interoperability Regimes</w:t>
        </w:r>
      </w:hyperlink>
      <w:r w:rsidRPr="00D449AA">
        <w:rPr>
          <w:rFonts w:asciiTheme="majorBidi" w:hAnsiTheme="majorBidi" w:cstheme="majorBidi"/>
          <w:lang w:val="en-US"/>
        </w:rPr>
        <w:t xml:space="preserve"> – Basic Guidelines (ITU, 2014). </w:t>
      </w:r>
    </w:p>
    <w:p w14:paraId="40C9025B" w14:textId="56BDB92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[74]</w:t>
      </w:r>
      <w:r w:rsidRPr="00D449AA">
        <w:rPr>
          <w:rFonts w:asciiTheme="majorBidi" w:hAnsiTheme="majorBidi" w:cstheme="majorBidi"/>
          <w:lang w:val="en-US"/>
        </w:rPr>
        <w:tab/>
        <w:t>Guidelines for developing countries on establishing conformity assessment test labs in</w:t>
      </w:r>
      <w:r w:rsidRPr="00D449AA">
        <w:rPr>
          <w:rFonts w:asciiTheme="majorBidi" w:hAnsiTheme="majorBidi" w:cstheme="majorBidi"/>
          <w:u w:val="single"/>
          <w:lang w:val="en-US"/>
        </w:rPr>
        <w:t xml:space="preserve"> </w:t>
      </w:r>
      <w:r w:rsidRPr="00D449AA">
        <w:rPr>
          <w:rFonts w:asciiTheme="majorBidi" w:hAnsiTheme="majorBidi" w:cstheme="majorBidi"/>
          <w:lang w:val="en-US"/>
        </w:rPr>
        <w:t xml:space="preserve">different regions, ITU, 2012: </w:t>
      </w:r>
      <w:hyperlink r:id="rId136" w:history="1">
        <w:r w:rsidR="00AA4205" w:rsidRPr="000300A2">
          <w:rPr>
            <w:rStyle w:val="Hyperlink"/>
            <w:rFonts w:asciiTheme="majorBidi" w:hAnsiTheme="majorBidi" w:cstheme="majorBidi"/>
            <w:spacing w:val="-3"/>
            <w:lang w:val="en-US"/>
          </w:rPr>
          <w:t>www.itu.int/ITU-D/tech/ConformanceInteroperability/ConformanceInterop/Guidelines</w:t>
        </w:r>
        <w:r w:rsidR="00AA4205" w:rsidRPr="000300A2">
          <w:rPr>
            <w:rStyle w:val="Hyperlink"/>
            <w:rFonts w:asciiTheme="majorBidi" w:hAnsiTheme="majorBidi" w:cstheme="majorBidi"/>
            <w:spacing w:val="-3"/>
            <w:lang w:val="en-US"/>
          </w:rPr>
          <w:br/>
          <w:t>/Test_lab_guidelines_EV8.pdf</w:t>
        </w:r>
      </w:hyperlink>
      <w:r w:rsidRPr="00D449AA">
        <w:rPr>
          <w:rFonts w:asciiTheme="majorBidi" w:hAnsiTheme="majorBidi" w:cstheme="majorBidi"/>
          <w:spacing w:val="-3"/>
          <w:lang w:val="en-US"/>
        </w:rPr>
        <w:t>.</w:t>
      </w:r>
    </w:p>
    <w:p w14:paraId="7A6C353F"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[75]</w:t>
      </w:r>
      <w:r w:rsidRPr="00D449AA">
        <w:rPr>
          <w:rFonts w:asciiTheme="majorBidi" w:hAnsiTheme="majorBidi" w:cstheme="majorBidi"/>
          <w:lang w:val="en-US"/>
        </w:rPr>
        <w:tab/>
        <w:t xml:space="preserve">IEC 62321:2008, </w:t>
      </w:r>
      <w:r w:rsidRPr="00D449AA">
        <w:rPr>
          <w:rFonts w:asciiTheme="majorBidi" w:hAnsiTheme="majorBidi" w:cstheme="majorBidi"/>
          <w:i/>
          <w:iCs/>
          <w:lang w:val="en-US"/>
        </w:rPr>
        <w:t>Electrotechnical products – Determination of levels of six regulated substances (lead, mercury, cadmium, hexavalent chromium, polybrominated biphenyls, polybrominated diphenyl ethers)</w:t>
      </w:r>
      <w:r w:rsidRPr="00D449AA">
        <w:rPr>
          <w:rFonts w:asciiTheme="majorBidi" w:hAnsiTheme="majorBidi" w:cstheme="majorBidi"/>
          <w:lang w:val="en-US"/>
        </w:rPr>
        <w:t>.</w:t>
      </w:r>
    </w:p>
    <w:p w14:paraId="2443AA13"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[76]</w:t>
      </w:r>
      <w:r w:rsidRPr="00D449AA">
        <w:rPr>
          <w:rFonts w:asciiTheme="majorBidi" w:hAnsiTheme="majorBidi" w:cstheme="majorBidi"/>
          <w:lang w:val="en-US"/>
        </w:rPr>
        <w:tab/>
        <w:t xml:space="preserve">Recommendation ITU-T E.164 (2010), </w:t>
      </w:r>
      <w:r w:rsidRPr="00D449AA">
        <w:rPr>
          <w:rFonts w:asciiTheme="majorBidi" w:hAnsiTheme="majorBidi" w:cstheme="majorBidi"/>
          <w:i/>
          <w:iCs/>
          <w:lang w:val="en-US"/>
        </w:rPr>
        <w:t>The international public telecommunication numbering plan</w:t>
      </w:r>
      <w:r w:rsidRPr="00D449AA">
        <w:rPr>
          <w:rFonts w:asciiTheme="majorBidi" w:hAnsiTheme="majorBidi" w:cstheme="majorBidi"/>
          <w:lang w:val="en-US"/>
        </w:rPr>
        <w:t>.</w:t>
      </w:r>
    </w:p>
    <w:p w14:paraId="52E05BDD"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[77]</w:t>
      </w:r>
      <w:r w:rsidRPr="00D449AA">
        <w:rPr>
          <w:rFonts w:asciiTheme="majorBidi" w:hAnsiTheme="majorBidi" w:cstheme="majorBidi"/>
          <w:lang w:val="en-US"/>
        </w:rPr>
        <w:tab/>
        <w:t xml:space="preserve">ISO/IEC 15962:2013, </w:t>
      </w:r>
      <w:r w:rsidRPr="00D449AA">
        <w:rPr>
          <w:rFonts w:asciiTheme="majorBidi" w:hAnsiTheme="majorBidi" w:cstheme="majorBidi"/>
          <w:i/>
          <w:iCs/>
          <w:lang w:val="en-US"/>
        </w:rPr>
        <w:t>Information technology – Radio frequency identification (RFID) for item management – Data protocol: data encoding rules and logical memory functions</w:t>
      </w:r>
      <w:r w:rsidRPr="00D449AA">
        <w:rPr>
          <w:rFonts w:asciiTheme="majorBidi" w:hAnsiTheme="majorBidi" w:cstheme="majorBidi"/>
          <w:lang w:val="en-US"/>
        </w:rPr>
        <w:t>.</w:t>
      </w:r>
    </w:p>
    <w:p w14:paraId="043119A3"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[78]</w:t>
      </w:r>
      <w:r w:rsidRPr="00D449AA">
        <w:rPr>
          <w:rFonts w:asciiTheme="majorBidi" w:hAnsiTheme="majorBidi" w:cstheme="majorBidi"/>
          <w:lang w:val="en-US"/>
        </w:rPr>
        <w:tab/>
        <w:t xml:space="preserve">ISO/IEC 15961:2004, </w:t>
      </w:r>
      <w:r w:rsidRPr="00D449AA">
        <w:rPr>
          <w:rFonts w:asciiTheme="majorBidi" w:hAnsiTheme="majorBidi" w:cstheme="majorBidi"/>
          <w:i/>
          <w:iCs/>
          <w:lang w:val="en-US"/>
        </w:rPr>
        <w:t>Information technology – Radio frequency identification (RFID) for item management – Data protocol: application interface</w:t>
      </w:r>
      <w:r w:rsidRPr="00D449AA">
        <w:rPr>
          <w:rFonts w:asciiTheme="majorBidi" w:hAnsiTheme="majorBidi" w:cstheme="majorBidi"/>
          <w:lang w:val="en-US"/>
        </w:rPr>
        <w:t>.</w:t>
      </w:r>
    </w:p>
    <w:p w14:paraId="6AB1285A"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[79]</w:t>
      </w:r>
      <w:r w:rsidRPr="00D449AA">
        <w:rPr>
          <w:rFonts w:asciiTheme="majorBidi" w:hAnsiTheme="majorBidi" w:cstheme="majorBidi"/>
          <w:lang w:val="en-US"/>
        </w:rPr>
        <w:tab/>
        <w:t xml:space="preserve">Recommendation ITU-T X.1255 (2013), </w:t>
      </w:r>
      <w:r w:rsidRPr="00D449AA">
        <w:rPr>
          <w:rFonts w:asciiTheme="majorBidi" w:hAnsiTheme="majorBidi" w:cstheme="majorBidi"/>
          <w:i/>
          <w:iCs/>
          <w:lang w:val="en-US"/>
        </w:rPr>
        <w:t>Framework for discovery of identity management information</w:t>
      </w:r>
      <w:r w:rsidRPr="00D449AA">
        <w:rPr>
          <w:rFonts w:asciiTheme="majorBidi" w:hAnsiTheme="majorBidi" w:cstheme="majorBidi"/>
          <w:lang w:val="en-US"/>
        </w:rPr>
        <w:t>.</w:t>
      </w:r>
    </w:p>
    <w:p w14:paraId="2965EFFF"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[80]</w:t>
      </w:r>
      <w:r w:rsidRPr="00D449AA">
        <w:rPr>
          <w:rFonts w:asciiTheme="majorBidi" w:hAnsiTheme="majorBidi" w:cstheme="majorBidi"/>
          <w:lang w:val="en-US"/>
        </w:rPr>
        <w:tab/>
        <w:t xml:space="preserve">ISO/IEC 15420:2009, </w:t>
      </w:r>
      <w:r w:rsidRPr="00D449AA">
        <w:rPr>
          <w:rFonts w:asciiTheme="majorBidi" w:hAnsiTheme="majorBidi" w:cstheme="majorBidi"/>
          <w:i/>
          <w:iCs/>
          <w:lang w:val="en-US"/>
        </w:rPr>
        <w:t>Information technology – Automatic identification and data capture techniques – EAN/UPC bar code symbology specification</w:t>
      </w:r>
      <w:r w:rsidRPr="00D449AA">
        <w:rPr>
          <w:rFonts w:asciiTheme="majorBidi" w:hAnsiTheme="majorBidi" w:cstheme="majorBidi"/>
          <w:lang w:val="en-US"/>
        </w:rPr>
        <w:t>.</w:t>
      </w:r>
    </w:p>
    <w:p w14:paraId="46B4C14F"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[81]</w:t>
      </w:r>
      <w:r w:rsidRPr="00D449AA">
        <w:rPr>
          <w:rFonts w:asciiTheme="majorBidi" w:hAnsiTheme="majorBidi" w:cstheme="majorBidi"/>
          <w:lang w:val="en-US"/>
        </w:rPr>
        <w:tab/>
        <w:t xml:space="preserve">ISO/IEC 16388:2007, </w:t>
      </w:r>
      <w:r w:rsidRPr="00D449AA">
        <w:rPr>
          <w:rFonts w:asciiTheme="majorBidi" w:hAnsiTheme="majorBidi" w:cstheme="majorBidi"/>
          <w:i/>
          <w:iCs/>
          <w:lang w:val="en-US"/>
        </w:rPr>
        <w:t>Information technology – Automatic identification and data capture techniques – Code 39 bar code symbology specification</w:t>
      </w:r>
      <w:r w:rsidRPr="00D449AA">
        <w:rPr>
          <w:rFonts w:asciiTheme="majorBidi" w:hAnsiTheme="majorBidi" w:cstheme="majorBidi"/>
          <w:lang w:val="en-US"/>
        </w:rPr>
        <w:t>.</w:t>
      </w:r>
    </w:p>
    <w:p w14:paraId="1F68CBF8"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[82]</w:t>
      </w:r>
      <w:r w:rsidRPr="00D449AA">
        <w:rPr>
          <w:rFonts w:asciiTheme="majorBidi" w:hAnsiTheme="majorBidi" w:cstheme="majorBidi"/>
          <w:lang w:val="en-US"/>
        </w:rPr>
        <w:tab/>
        <w:t>ISO/IEC 15417:2007</w:t>
      </w:r>
      <w:r w:rsidRPr="00D449AA">
        <w:rPr>
          <w:rFonts w:asciiTheme="majorBidi" w:hAnsiTheme="majorBidi" w:cstheme="majorBidi"/>
          <w:i/>
          <w:iCs/>
          <w:lang w:val="en-US"/>
        </w:rPr>
        <w:t xml:space="preserve">, Information technology </w:t>
      </w:r>
      <w:r>
        <w:rPr>
          <w:rFonts w:asciiTheme="majorBidi" w:hAnsiTheme="majorBidi" w:cstheme="majorBidi"/>
          <w:i/>
          <w:iCs/>
          <w:lang w:val="en-US"/>
        </w:rPr>
        <w:t>–</w:t>
      </w:r>
      <w:r w:rsidRPr="00D449AA">
        <w:rPr>
          <w:rFonts w:asciiTheme="majorBidi" w:hAnsiTheme="majorBidi" w:cstheme="majorBidi"/>
          <w:i/>
          <w:iCs/>
          <w:lang w:val="en-US"/>
        </w:rPr>
        <w:t xml:space="preserve"> Automatic identification and data capture techniques – Code 128 bar code symbology specification</w:t>
      </w:r>
      <w:r w:rsidRPr="00D449AA">
        <w:rPr>
          <w:rFonts w:asciiTheme="majorBidi" w:hAnsiTheme="majorBidi" w:cstheme="majorBidi"/>
          <w:lang w:val="en-US"/>
        </w:rPr>
        <w:t>.</w:t>
      </w:r>
    </w:p>
    <w:p w14:paraId="12659B86"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[83]</w:t>
      </w:r>
      <w:r w:rsidRPr="00D449AA">
        <w:rPr>
          <w:rFonts w:asciiTheme="majorBidi" w:hAnsiTheme="majorBidi" w:cstheme="majorBidi"/>
          <w:lang w:val="en-US"/>
        </w:rPr>
        <w:tab/>
        <w:t xml:space="preserve">ISO/IEC 15438:2006, </w:t>
      </w:r>
      <w:r w:rsidRPr="00D449AA">
        <w:rPr>
          <w:rFonts w:asciiTheme="majorBidi" w:hAnsiTheme="majorBidi" w:cstheme="majorBidi"/>
          <w:i/>
          <w:iCs/>
          <w:lang w:val="en-US"/>
        </w:rPr>
        <w:t>Information technology – Automatic identification and data capture techniques – PDF417 bar code symbology specification</w:t>
      </w:r>
      <w:r w:rsidRPr="00D449AA">
        <w:rPr>
          <w:rFonts w:asciiTheme="majorBidi" w:hAnsiTheme="majorBidi" w:cstheme="majorBidi"/>
          <w:lang w:val="en-US"/>
        </w:rPr>
        <w:t>.</w:t>
      </w:r>
    </w:p>
    <w:p w14:paraId="5F0C2085"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[84]</w:t>
      </w:r>
      <w:r w:rsidRPr="00D449AA">
        <w:rPr>
          <w:rFonts w:asciiTheme="majorBidi" w:hAnsiTheme="majorBidi" w:cstheme="majorBidi"/>
          <w:lang w:val="en-US"/>
        </w:rPr>
        <w:tab/>
        <w:t xml:space="preserve">ISO/IEC 16023:2000, </w:t>
      </w:r>
      <w:r w:rsidRPr="00D449AA">
        <w:rPr>
          <w:rFonts w:asciiTheme="majorBidi" w:hAnsiTheme="majorBidi" w:cstheme="majorBidi"/>
          <w:i/>
          <w:iCs/>
          <w:lang w:val="en-US"/>
        </w:rPr>
        <w:t>Information technology – International symbology specification – MaxiCode</w:t>
      </w:r>
      <w:r w:rsidRPr="00D449AA">
        <w:rPr>
          <w:rFonts w:asciiTheme="majorBidi" w:hAnsiTheme="majorBidi" w:cstheme="majorBidi"/>
          <w:lang w:val="en-US"/>
        </w:rPr>
        <w:t>.</w:t>
      </w:r>
    </w:p>
    <w:p w14:paraId="6F487B09"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[85]</w:t>
      </w:r>
      <w:r w:rsidRPr="00D449AA">
        <w:rPr>
          <w:rFonts w:asciiTheme="majorBidi" w:hAnsiTheme="majorBidi" w:cstheme="majorBidi"/>
          <w:lang w:val="en-US"/>
        </w:rPr>
        <w:tab/>
        <w:t xml:space="preserve">ISO/IEC 18004:2006, </w:t>
      </w:r>
      <w:r w:rsidRPr="00D449AA">
        <w:rPr>
          <w:rFonts w:asciiTheme="majorBidi" w:hAnsiTheme="majorBidi" w:cstheme="majorBidi"/>
          <w:i/>
          <w:iCs/>
          <w:lang w:val="en-US"/>
        </w:rPr>
        <w:t>Information technology – Automatic identification and data capture techniques – QR Code 2005 bar code symbology specification</w:t>
      </w:r>
      <w:r w:rsidRPr="00D449AA">
        <w:rPr>
          <w:rFonts w:asciiTheme="majorBidi" w:hAnsiTheme="majorBidi" w:cstheme="majorBidi"/>
          <w:lang w:val="en-US"/>
        </w:rPr>
        <w:t>.</w:t>
      </w:r>
    </w:p>
    <w:p w14:paraId="4AA4F79D"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[86]</w:t>
      </w:r>
      <w:r w:rsidRPr="00D449AA">
        <w:rPr>
          <w:rFonts w:asciiTheme="majorBidi" w:hAnsiTheme="majorBidi" w:cstheme="majorBidi"/>
          <w:lang w:val="en-US"/>
        </w:rPr>
        <w:tab/>
        <w:t xml:space="preserve">ISO/IEC 16022:2006, </w:t>
      </w:r>
      <w:r w:rsidRPr="00D449AA">
        <w:rPr>
          <w:rFonts w:asciiTheme="majorBidi" w:hAnsiTheme="majorBidi" w:cstheme="majorBidi"/>
          <w:i/>
          <w:iCs/>
          <w:lang w:val="en-US"/>
        </w:rPr>
        <w:t>Information technology – Automatic identification and data capture techniques – Data Matrix bar code symbology specification</w:t>
      </w:r>
      <w:r w:rsidRPr="00D449AA">
        <w:rPr>
          <w:rFonts w:asciiTheme="majorBidi" w:hAnsiTheme="majorBidi" w:cstheme="majorBidi"/>
          <w:lang w:val="en-US"/>
        </w:rPr>
        <w:t>.</w:t>
      </w:r>
    </w:p>
    <w:p w14:paraId="35BC18E1"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lang w:val="en-US"/>
        </w:rPr>
        <w:t>[87]</w:t>
      </w:r>
      <w:r w:rsidRPr="00D449AA">
        <w:rPr>
          <w:rFonts w:asciiTheme="majorBidi" w:hAnsiTheme="majorBidi" w:cstheme="majorBidi"/>
          <w:lang w:val="en-US"/>
        </w:rPr>
        <w:tab/>
        <w:t xml:space="preserve">DIN 66401 (2010), </w:t>
      </w:r>
      <w:r w:rsidRPr="00D449AA">
        <w:rPr>
          <w:rFonts w:asciiTheme="majorBidi" w:hAnsiTheme="majorBidi" w:cstheme="majorBidi"/>
          <w:bCs/>
          <w:i/>
          <w:iCs/>
          <w:lang w:val="en-US"/>
        </w:rPr>
        <w:t>Unique Identification Mark (UIM)</w:t>
      </w:r>
      <w:r w:rsidRPr="00D449AA">
        <w:rPr>
          <w:rFonts w:asciiTheme="majorBidi" w:hAnsiTheme="majorBidi" w:cstheme="majorBidi"/>
          <w:lang w:val="en-US"/>
        </w:rPr>
        <w:t>.</w:t>
      </w:r>
    </w:p>
    <w:p w14:paraId="0C133739"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[88]</w:t>
      </w:r>
      <w:r w:rsidRPr="00D449AA">
        <w:rPr>
          <w:rFonts w:asciiTheme="majorBidi" w:hAnsiTheme="majorBidi" w:cstheme="majorBidi"/>
          <w:bCs/>
          <w:lang w:val="en-US"/>
        </w:rPr>
        <w:tab/>
        <w:t xml:space="preserve">ANSI MH10.8.2-2010, </w:t>
      </w:r>
      <w:r w:rsidRPr="00D449AA">
        <w:rPr>
          <w:rFonts w:asciiTheme="majorBidi" w:hAnsiTheme="majorBidi" w:cstheme="majorBidi"/>
          <w:i/>
          <w:iCs/>
          <w:lang w:val="en-US"/>
        </w:rPr>
        <w:t>Data Identifier and Application Identifier Standard</w:t>
      </w:r>
      <w:r w:rsidRPr="00D449AA">
        <w:rPr>
          <w:rFonts w:asciiTheme="majorBidi" w:hAnsiTheme="majorBidi" w:cstheme="majorBidi"/>
          <w:bCs/>
          <w:lang w:val="en-US"/>
        </w:rPr>
        <w:t>.</w:t>
      </w:r>
    </w:p>
    <w:p w14:paraId="583A441F" w14:textId="77777777" w:rsidR="006B1268" w:rsidRPr="00D449AA" w:rsidRDefault="006B1268" w:rsidP="00C142FB">
      <w:pPr>
        <w:pStyle w:val="Reftext"/>
        <w:rPr>
          <w:rFonts w:asciiTheme="majorBidi" w:hAnsiTheme="majorBidi" w:cstheme="majorBidi"/>
          <w:color w:val="666699"/>
          <w:lang w:val="en-US"/>
        </w:rPr>
      </w:pPr>
      <w:r w:rsidRPr="00D449AA">
        <w:rPr>
          <w:rFonts w:asciiTheme="majorBidi" w:hAnsiTheme="majorBidi" w:cstheme="majorBidi"/>
          <w:lang w:val="en-US"/>
        </w:rPr>
        <w:t>[89]</w:t>
      </w:r>
      <w:r w:rsidRPr="00D449AA">
        <w:rPr>
          <w:rFonts w:asciiTheme="majorBidi" w:hAnsiTheme="majorBidi" w:cstheme="majorBidi"/>
          <w:lang w:val="en-US"/>
        </w:rPr>
        <w:tab/>
        <w:t xml:space="preserve">ANSI/HIBC 2.3-2009, </w:t>
      </w:r>
      <w:r w:rsidRPr="00D449AA">
        <w:rPr>
          <w:rFonts w:asciiTheme="majorBidi" w:hAnsiTheme="majorBidi" w:cstheme="majorBidi"/>
          <w:i/>
          <w:iCs/>
          <w:lang w:val="en-US"/>
        </w:rPr>
        <w:t>The Health Industry Bar Code (HIBC) Supplier</w:t>
      </w:r>
      <w:r w:rsidRPr="00D449AA">
        <w:rPr>
          <w:rFonts w:asciiTheme="majorBidi" w:hAnsiTheme="majorBidi" w:cstheme="majorBidi"/>
          <w:lang w:val="en-US"/>
        </w:rPr>
        <w:t>.</w:t>
      </w:r>
    </w:p>
    <w:p w14:paraId="4E543EDD" w14:textId="77777777" w:rsidR="006B1268" w:rsidRPr="00D449AA" w:rsidRDefault="006B1268" w:rsidP="00C142FB">
      <w:pPr>
        <w:pStyle w:val="Reftext"/>
        <w:rPr>
          <w:rFonts w:asciiTheme="majorBidi" w:hAnsiTheme="majorBidi" w:cstheme="majorBidi"/>
          <w:color w:val="666699"/>
          <w:lang w:val="en-US"/>
        </w:rPr>
      </w:pPr>
      <w:r w:rsidRPr="00D449AA">
        <w:rPr>
          <w:rFonts w:asciiTheme="majorBidi" w:hAnsiTheme="majorBidi" w:cstheme="majorBidi"/>
          <w:lang w:val="en-US"/>
        </w:rPr>
        <w:t>[90]</w:t>
      </w:r>
      <w:r w:rsidRPr="00D449AA">
        <w:rPr>
          <w:rFonts w:asciiTheme="majorBidi" w:hAnsiTheme="majorBidi" w:cstheme="majorBidi"/>
          <w:lang w:val="en-US"/>
        </w:rPr>
        <w:tab/>
        <w:t xml:space="preserve">ISO/IEC 7816-6:2004, </w:t>
      </w:r>
      <w:r w:rsidRPr="00D449AA">
        <w:rPr>
          <w:rStyle w:val="Hyperlink"/>
          <w:rFonts w:asciiTheme="majorBidi" w:hAnsiTheme="majorBidi" w:cstheme="majorBidi"/>
          <w:i/>
          <w:iCs/>
          <w:lang w:val="en-US"/>
        </w:rPr>
        <w:t>Identification cards – Integrated circuit cards – Part 6: Interindustry data elements for interchange</w:t>
      </w:r>
      <w:r w:rsidRPr="00D449AA">
        <w:rPr>
          <w:rStyle w:val="Hyperlink"/>
          <w:rFonts w:asciiTheme="majorBidi" w:hAnsiTheme="majorBidi" w:cstheme="majorBidi"/>
          <w:lang w:val="en-US"/>
        </w:rPr>
        <w:t>.</w:t>
      </w:r>
    </w:p>
    <w:p w14:paraId="10FC89D1"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[91]</w:t>
      </w:r>
      <w:r w:rsidRPr="00D449AA">
        <w:rPr>
          <w:rFonts w:asciiTheme="majorBidi" w:hAnsiTheme="majorBidi" w:cstheme="majorBidi"/>
          <w:lang w:val="en-US"/>
        </w:rPr>
        <w:tab/>
        <w:t xml:space="preserve">ISO 14816:2005, </w:t>
      </w:r>
      <w:r w:rsidRPr="00D449AA">
        <w:rPr>
          <w:rStyle w:val="Hyperlink"/>
          <w:rFonts w:asciiTheme="majorBidi" w:hAnsiTheme="majorBidi" w:cstheme="majorBidi"/>
          <w:i/>
          <w:iCs/>
          <w:lang w:val="en-US"/>
        </w:rPr>
        <w:t>Road transport and traffic telematics – Automatic vehicle and equipment identification – Numbering and data structure</w:t>
      </w:r>
      <w:r w:rsidRPr="00D449AA">
        <w:rPr>
          <w:rStyle w:val="Hyperlink"/>
          <w:rFonts w:asciiTheme="majorBidi" w:hAnsiTheme="majorBidi" w:cstheme="majorBidi"/>
          <w:lang w:val="en-US"/>
        </w:rPr>
        <w:t>.</w:t>
      </w:r>
    </w:p>
    <w:p w14:paraId="433FCF1F"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[92]</w:t>
      </w:r>
      <w:r w:rsidRPr="00D449AA">
        <w:rPr>
          <w:rFonts w:asciiTheme="majorBidi" w:hAnsiTheme="majorBidi" w:cstheme="majorBidi"/>
          <w:lang w:val="en-US"/>
        </w:rPr>
        <w:tab/>
        <w:t xml:space="preserve">ANSI INCITS 256-2007, </w:t>
      </w:r>
      <w:r w:rsidRPr="00D449AA">
        <w:rPr>
          <w:rFonts w:asciiTheme="majorBidi" w:hAnsiTheme="majorBidi" w:cstheme="majorBidi"/>
          <w:i/>
          <w:iCs/>
          <w:lang w:val="en-US"/>
        </w:rPr>
        <w:t>Radio Frequency Identification (RFID).</w:t>
      </w:r>
    </w:p>
    <w:p w14:paraId="01F9BAF2"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[93]</w:t>
      </w:r>
      <w:r w:rsidRPr="00D449AA">
        <w:rPr>
          <w:rFonts w:asciiTheme="majorBidi" w:hAnsiTheme="majorBidi" w:cstheme="majorBidi"/>
          <w:lang w:val="en-US"/>
        </w:rPr>
        <w:tab/>
        <w:t xml:space="preserve">ANSI INCITS 371.1-2003, </w:t>
      </w:r>
      <w:hyperlink r:id="rId137" w:history="1">
        <w:r w:rsidRPr="00D449AA">
          <w:rPr>
            <w:rFonts w:asciiTheme="majorBidi" w:hAnsiTheme="majorBidi" w:cstheme="majorBidi"/>
            <w:i/>
            <w:iCs/>
            <w:lang w:val="en-US"/>
          </w:rPr>
          <w:t>Information technology – Real Time Locating Systems (RTLS) Part 1: 2.4 GHz Air Interface Protocol</w:t>
        </w:r>
        <w:r w:rsidRPr="00D449AA">
          <w:rPr>
            <w:rFonts w:asciiTheme="majorBidi" w:hAnsiTheme="majorBidi" w:cstheme="majorBidi"/>
            <w:lang w:val="en-US"/>
          </w:rPr>
          <w:t xml:space="preserve">. </w:t>
        </w:r>
      </w:hyperlink>
    </w:p>
    <w:p w14:paraId="648591DB"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lastRenderedPageBreak/>
        <w:t>[94]</w:t>
      </w:r>
      <w:r w:rsidRPr="00D449AA">
        <w:rPr>
          <w:rFonts w:asciiTheme="majorBidi" w:hAnsiTheme="majorBidi" w:cstheme="majorBidi"/>
          <w:lang w:val="en-US"/>
        </w:rPr>
        <w:tab/>
        <w:t xml:space="preserve">ISO/IEC 18000-6:2013, </w:t>
      </w:r>
      <w:r w:rsidRPr="00D449AA">
        <w:rPr>
          <w:rFonts w:asciiTheme="majorBidi" w:hAnsiTheme="majorBidi" w:cstheme="majorBidi"/>
          <w:i/>
          <w:iCs/>
          <w:lang w:val="en-US"/>
        </w:rPr>
        <w:t>Information technology – Radio frequency identification for item management – Part 6: Parameters for air interface communications at 860 MHz to 960 MHz</w:t>
      </w:r>
      <w:r w:rsidRPr="00D449AA">
        <w:rPr>
          <w:rFonts w:asciiTheme="majorBidi" w:hAnsiTheme="majorBidi" w:cstheme="majorBidi"/>
          <w:i/>
          <w:iCs/>
          <w:color w:val="404040"/>
          <w:lang w:val="en-US"/>
        </w:rPr>
        <w:t xml:space="preserve"> </w:t>
      </w:r>
      <w:r w:rsidRPr="00D449AA">
        <w:rPr>
          <w:rFonts w:asciiTheme="majorBidi" w:hAnsiTheme="majorBidi" w:cstheme="majorBidi"/>
          <w:i/>
          <w:iCs/>
          <w:lang w:val="en-US"/>
        </w:rPr>
        <w:t>General</w:t>
      </w:r>
      <w:r w:rsidRPr="00D449AA">
        <w:rPr>
          <w:rFonts w:asciiTheme="majorBidi" w:hAnsiTheme="majorBidi" w:cstheme="majorBidi"/>
          <w:lang w:val="en-US"/>
        </w:rPr>
        <w:t>.</w:t>
      </w:r>
    </w:p>
    <w:p w14:paraId="73396463"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[95]</w:t>
      </w:r>
      <w:r w:rsidRPr="00D449AA">
        <w:rPr>
          <w:rFonts w:asciiTheme="majorBidi" w:hAnsiTheme="majorBidi" w:cstheme="majorBidi"/>
          <w:lang w:val="en-US"/>
        </w:rPr>
        <w:tab/>
        <w:t xml:space="preserve">ISO/IEC 18000-3:2010, </w:t>
      </w:r>
      <w:r w:rsidRPr="00D449AA">
        <w:rPr>
          <w:rFonts w:asciiTheme="majorBidi" w:hAnsiTheme="majorBidi" w:cstheme="majorBidi"/>
          <w:i/>
          <w:iCs/>
          <w:lang w:val="en-US"/>
        </w:rPr>
        <w:t>Information technology – Radio frequency identification for item management – Part 3: Parameters for air interface communications at 13,56 MHz</w:t>
      </w:r>
      <w:r w:rsidRPr="00D449AA">
        <w:rPr>
          <w:rFonts w:asciiTheme="majorBidi" w:hAnsiTheme="majorBidi" w:cstheme="majorBidi"/>
          <w:lang w:val="en-US"/>
        </w:rPr>
        <w:t>.</w:t>
      </w:r>
    </w:p>
    <w:p w14:paraId="7BCD1509"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[96]</w:t>
      </w:r>
      <w:r w:rsidRPr="00D449AA">
        <w:rPr>
          <w:rFonts w:asciiTheme="majorBidi" w:hAnsiTheme="majorBidi" w:cstheme="majorBidi"/>
          <w:lang w:val="en-US"/>
        </w:rPr>
        <w:tab/>
        <w:t xml:space="preserve">ISO 11784:1996, </w:t>
      </w:r>
      <w:r w:rsidRPr="00D449AA">
        <w:rPr>
          <w:rFonts w:asciiTheme="majorBidi" w:hAnsiTheme="majorBidi" w:cstheme="majorBidi"/>
          <w:i/>
          <w:iCs/>
          <w:lang w:val="en-US"/>
        </w:rPr>
        <w:t>Radio frequency identification of animals – Code structure.</w:t>
      </w:r>
    </w:p>
    <w:p w14:paraId="05ACE9D7"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[97]</w:t>
      </w:r>
      <w:r w:rsidRPr="00D449AA">
        <w:rPr>
          <w:rFonts w:asciiTheme="majorBidi" w:hAnsiTheme="majorBidi" w:cstheme="majorBidi"/>
          <w:lang w:val="en-US"/>
        </w:rPr>
        <w:tab/>
        <w:t xml:space="preserve">ISO 11785:1996, </w:t>
      </w:r>
      <w:r w:rsidRPr="00D449AA">
        <w:rPr>
          <w:rFonts w:asciiTheme="majorBidi" w:hAnsiTheme="majorBidi" w:cstheme="majorBidi"/>
          <w:i/>
          <w:iCs/>
          <w:lang w:val="en-US"/>
        </w:rPr>
        <w:t>Radio frequency identification of animals – Technical concept</w:t>
      </w:r>
      <w:r w:rsidRPr="00D449AA">
        <w:rPr>
          <w:rFonts w:asciiTheme="majorBidi" w:hAnsiTheme="majorBidi" w:cstheme="majorBidi"/>
          <w:lang w:val="en-US"/>
        </w:rPr>
        <w:t>.</w:t>
      </w:r>
    </w:p>
    <w:p w14:paraId="5593A26A" w14:textId="77777777" w:rsidR="006B1268" w:rsidRPr="00D449AA" w:rsidRDefault="006B1268" w:rsidP="00C142FB">
      <w:pPr>
        <w:pStyle w:val="Reftext"/>
        <w:rPr>
          <w:rFonts w:asciiTheme="majorBidi" w:hAnsiTheme="majorBidi" w:cstheme="majorBidi"/>
          <w:i/>
          <w:iCs/>
          <w:lang w:val="en-US"/>
        </w:rPr>
      </w:pPr>
      <w:r w:rsidRPr="00D449AA">
        <w:rPr>
          <w:rFonts w:asciiTheme="majorBidi" w:hAnsiTheme="majorBidi" w:cstheme="majorBidi"/>
          <w:lang w:val="en-US"/>
        </w:rPr>
        <w:t>[98]</w:t>
      </w:r>
      <w:r w:rsidRPr="00D449AA">
        <w:rPr>
          <w:rFonts w:asciiTheme="majorBidi" w:hAnsiTheme="majorBidi" w:cstheme="majorBidi"/>
          <w:lang w:val="en-US"/>
        </w:rPr>
        <w:tab/>
        <w:t xml:space="preserve">ISO/IEC 18000 (All Parts), </w:t>
      </w:r>
      <w:r w:rsidRPr="00D449AA">
        <w:rPr>
          <w:rFonts w:asciiTheme="majorBidi" w:hAnsiTheme="majorBidi" w:cstheme="majorBidi"/>
          <w:i/>
          <w:iCs/>
          <w:lang w:val="en-US"/>
        </w:rPr>
        <w:t>Information technology – Radio frequency identification for item management.</w:t>
      </w:r>
    </w:p>
    <w:p w14:paraId="1BCA9706"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[99]</w:t>
      </w:r>
      <w:r w:rsidRPr="00D449AA">
        <w:rPr>
          <w:rFonts w:asciiTheme="majorBidi" w:hAnsiTheme="majorBidi" w:cstheme="majorBidi"/>
          <w:lang w:val="en-US"/>
        </w:rPr>
        <w:tab/>
        <w:t xml:space="preserve">ISO 17363:2013, </w:t>
      </w:r>
      <w:r w:rsidRPr="00D449AA">
        <w:rPr>
          <w:rFonts w:asciiTheme="majorBidi" w:hAnsiTheme="majorBidi" w:cstheme="majorBidi"/>
          <w:i/>
          <w:iCs/>
          <w:lang w:val="en-US"/>
        </w:rPr>
        <w:t>Supply chain applications of RFID – Freight containers</w:t>
      </w:r>
      <w:r w:rsidRPr="00D449AA">
        <w:rPr>
          <w:rFonts w:asciiTheme="majorBidi" w:hAnsiTheme="majorBidi" w:cstheme="majorBidi"/>
          <w:lang w:val="en-US"/>
        </w:rPr>
        <w:t>.</w:t>
      </w:r>
    </w:p>
    <w:p w14:paraId="461084D7"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[100]</w:t>
      </w:r>
      <w:r w:rsidRPr="00D449AA">
        <w:rPr>
          <w:rFonts w:asciiTheme="majorBidi" w:hAnsiTheme="majorBidi" w:cstheme="majorBidi"/>
          <w:lang w:val="en-US"/>
        </w:rPr>
        <w:tab/>
        <w:t xml:space="preserve">ISO 17364:2013, </w:t>
      </w:r>
      <w:r w:rsidRPr="00D449AA">
        <w:rPr>
          <w:rFonts w:asciiTheme="majorBidi" w:hAnsiTheme="majorBidi" w:cstheme="majorBidi"/>
          <w:i/>
          <w:iCs/>
          <w:lang w:val="en-US"/>
        </w:rPr>
        <w:t>Supply chain applications of RFID – Returnable transport items (RTIs) and returnable packaging items (RPIs)</w:t>
      </w:r>
      <w:r w:rsidRPr="00D449AA">
        <w:rPr>
          <w:rFonts w:asciiTheme="majorBidi" w:hAnsiTheme="majorBidi" w:cstheme="majorBidi"/>
          <w:lang w:val="en-US"/>
        </w:rPr>
        <w:t>.</w:t>
      </w:r>
    </w:p>
    <w:p w14:paraId="02C506C6"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[101]</w:t>
      </w:r>
      <w:r w:rsidRPr="00D449AA">
        <w:rPr>
          <w:rFonts w:asciiTheme="majorBidi" w:hAnsiTheme="majorBidi" w:cstheme="majorBidi"/>
          <w:lang w:val="en-US"/>
        </w:rPr>
        <w:tab/>
        <w:t xml:space="preserve">ISO 17365:2013, </w:t>
      </w:r>
      <w:r w:rsidRPr="00D449AA">
        <w:rPr>
          <w:rFonts w:asciiTheme="majorBidi" w:hAnsiTheme="majorBidi" w:cstheme="majorBidi"/>
          <w:i/>
          <w:iCs/>
          <w:lang w:val="en-US"/>
        </w:rPr>
        <w:t>Supply chain applications of RFID – Transport units</w:t>
      </w:r>
      <w:r w:rsidRPr="00D449AA">
        <w:rPr>
          <w:rFonts w:asciiTheme="majorBidi" w:hAnsiTheme="majorBidi" w:cstheme="majorBidi"/>
          <w:lang w:val="en-US"/>
        </w:rPr>
        <w:t>.</w:t>
      </w:r>
    </w:p>
    <w:p w14:paraId="5BA18529"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[102]</w:t>
      </w:r>
      <w:r w:rsidRPr="00D449AA">
        <w:rPr>
          <w:rFonts w:asciiTheme="majorBidi" w:hAnsiTheme="majorBidi" w:cstheme="majorBidi"/>
          <w:lang w:val="en-US"/>
        </w:rPr>
        <w:tab/>
        <w:t xml:space="preserve">ISO 17366:2013, </w:t>
      </w:r>
      <w:r w:rsidRPr="00D449AA">
        <w:rPr>
          <w:rFonts w:asciiTheme="majorBidi" w:hAnsiTheme="majorBidi" w:cstheme="majorBidi"/>
          <w:i/>
          <w:iCs/>
          <w:lang w:val="en-US"/>
        </w:rPr>
        <w:t>Supply chain applications of RFID – Product packaging</w:t>
      </w:r>
      <w:r w:rsidRPr="00D449AA">
        <w:rPr>
          <w:rFonts w:asciiTheme="majorBidi" w:hAnsiTheme="majorBidi" w:cstheme="majorBidi"/>
          <w:lang w:val="en-US"/>
        </w:rPr>
        <w:t>.</w:t>
      </w:r>
    </w:p>
    <w:p w14:paraId="5E7E6EAE"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[103]</w:t>
      </w:r>
      <w:r w:rsidRPr="00D449AA">
        <w:rPr>
          <w:rFonts w:asciiTheme="majorBidi" w:hAnsiTheme="majorBidi" w:cstheme="majorBidi"/>
          <w:lang w:val="en-US"/>
        </w:rPr>
        <w:tab/>
        <w:t xml:space="preserve">ISO 17367:2013, </w:t>
      </w:r>
      <w:r w:rsidRPr="00D449AA">
        <w:rPr>
          <w:rFonts w:asciiTheme="majorBidi" w:hAnsiTheme="majorBidi" w:cstheme="majorBidi"/>
          <w:i/>
          <w:iCs/>
          <w:lang w:val="en-US"/>
        </w:rPr>
        <w:t>Supply chain applications of RFID – Product packa</w:t>
      </w:r>
      <w:r>
        <w:rPr>
          <w:rFonts w:asciiTheme="majorBidi" w:hAnsiTheme="majorBidi" w:cstheme="majorBidi"/>
          <w:i/>
          <w:iCs/>
          <w:lang w:val="en-US"/>
        </w:rPr>
        <w:t>g</w:t>
      </w:r>
      <w:r w:rsidRPr="00D449AA">
        <w:rPr>
          <w:rFonts w:asciiTheme="majorBidi" w:hAnsiTheme="majorBidi" w:cstheme="majorBidi"/>
          <w:i/>
          <w:iCs/>
          <w:lang w:val="en-US"/>
        </w:rPr>
        <w:t>ing</w:t>
      </w:r>
      <w:r w:rsidRPr="00D449AA">
        <w:rPr>
          <w:rFonts w:asciiTheme="majorBidi" w:hAnsiTheme="majorBidi" w:cstheme="majorBidi"/>
          <w:lang w:val="en-US"/>
        </w:rPr>
        <w:t>.</w:t>
      </w:r>
    </w:p>
    <w:p w14:paraId="3368F290"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[104]</w:t>
      </w:r>
      <w:r w:rsidRPr="00D449AA">
        <w:rPr>
          <w:rFonts w:asciiTheme="majorBidi" w:hAnsiTheme="majorBidi" w:cstheme="majorBidi"/>
          <w:lang w:val="en-US"/>
        </w:rPr>
        <w:tab/>
        <w:t xml:space="preserve">ISO 18185 (All Parts), </w:t>
      </w:r>
      <w:r w:rsidRPr="00D449AA">
        <w:rPr>
          <w:rFonts w:asciiTheme="majorBidi" w:hAnsiTheme="majorBidi" w:cstheme="majorBidi"/>
          <w:i/>
          <w:iCs/>
          <w:lang w:val="en-US"/>
        </w:rPr>
        <w:t>Freight containers – Electronic seals</w:t>
      </w:r>
      <w:r w:rsidRPr="00D449AA">
        <w:rPr>
          <w:rFonts w:asciiTheme="majorBidi" w:hAnsiTheme="majorBidi" w:cstheme="majorBidi"/>
          <w:lang w:val="en-US"/>
        </w:rPr>
        <w:t>.</w:t>
      </w:r>
    </w:p>
    <w:p w14:paraId="5C2E409F"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[105]</w:t>
      </w:r>
      <w:r w:rsidRPr="00D449AA">
        <w:rPr>
          <w:rFonts w:asciiTheme="majorBidi" w:hAnsiTheme="majorBidi" w:cstheme="majorBidi"/>
          <w:lang w:val="en-US"/>
        </w:rPr>
        <w:tab/>
        <w:t xml:space="preserve">ISO/IEC 29160:2012, </w:t>
      </w:r>
      <w:r w:rsidRPr="00D449AA">
        <w:rPr>
          <w:rFonts w:asciiTheme="majorBidi" w:hAnsiTheme="majorBidi" w:cstheme="majorBidi"/>
          <w:i/>
          <w:iCs/>
          <w:lang w:val="en-US"/>
        </w:rPr>
        <w:t>Information technology – Radio frequency identification for item management – RFID Emblem</w:t>
      </w:r>
      <w:r w:rsidRPr="00D449AA">
        <w:rPr>
          <w:rFonts w:asciiTheme="majorBidi" w:hAnsiTheme="majorBidi" w:cstheme="majorBidi"/>
          <w:lang w:val="en-US"/>
        </w:rPr>
        <w:t>.</w:t>
      </w:r>
    </w:p>
    <w:p w14:paraId="75720A72"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[106]</w:t>
      </w:r>
      <w:r w:rsidRPr="00D449AA">
        <w:rPr>
          <w:rFonts w:asciiTheme="majorBidi" w:hAnsiTheme="majorBidi" w:cstheme="majorBidi"/>
          <w:lang w:val="en-US"/>
        </w:rPr>
        <w:tab/>
        <w:t xml:space="preserve">ISO/IEC 15693, </w:t>
      </w:r>
      <w:r w:rsidRPr="00D449AA">
        <w:rPr>
          <w:rFonts w:asciiTheme="majorBidi" w:hAnsiTheme="majorBidi" w:cstheme="majorBidi"/>
          <w:i/>
          <w:iCs/>
          <w:lang w:val="en-US"/>
        </w:rPr>
        <w:t>Identification cards – Contactless integrated circuit cards – Vicinity cards</w:t>
      </w:r>
      <w:r w:rsidRPr="00D449AA">
        <w:rPr>
          <w:rFonts w:asciiTheme="majorBidi" w:hAnsiTheme="majorBidi" w:cstheme="majorBidi"/>
          <w:lang w:val="en-US"/>
        </w:rPr>
        <w:t>.</w:t>
      </w:r>
    </w:p>
    <w:p w14:paraId="3307ACD4" w14:textId="77777777" w:rsidR="006B1268" w:rsidRPr="00D449AA" w:rsidRDefault="006B1268" w:rsidP="00C142FB">
      <w:pPr>
        <w:pStyle w:val="Reftext"/>
        <w:rPr>
          <w:rFonts w:asciiTheme="majorBidi" w:hAnsiTheme="majorBidi" w:cstheme="majorBidi"/>
          <w:lang w:val="en-US"/>
        </w:rPr>
      </w:pPr>
      <w:r w:rsidRPr="00D449AA">
        <w:rPr>
          <w:rFonts w:asciiTheme="majorBidi" w:hAnsiTheme="majorBidi" w:cstheme="majorBidi"/>
          <w:lang w:val="en-US"/>
        </w:rPr>
        <w:t>[107]</w:t>
      </w:r>
      <w:r w:rsidRPr="00D449AA">
        <w:rPr>
          <w:rFonts w:asciiTheme="majorBidi" w:hAnsiTheme="majorBidi" w:cstheme="majorBidi"/>
          <w:lang w:val="en-US"/>
        </w:rPr>
        <w:tab/>
      </w:r>
      <w:r w:rsidRPr="00D449AA">
        <w:rPr>
          <w:rFonts w:asciiTheme="majorBidi" w:hAnsiTheme="majorBidi" w:cstheme="majorBidi"/>
          <w:bCs/>
          <w:lang w:val="en-US"/>
        </w:rPr>
        <w:t xml:space="preserve">ISO 28000:2007, </w:t>
      </w:r>
      <w:r w:rsidRPr="00D449AA">
        <w:rPr>
          <w:rFonts w:asciiTheme="majorBidi" w:hAnsiTheme="majorBidi" w:cstheme="majorBidi"/>
          <w:bCs/>
          <w:i/>
          <w:iCs/>
          <w:lang w:val="en-US"/>
        </w:rPr>
        <w:t>Specification for security management systems for the supply chain</w:t>
      </w:r>
      <w:r w:rsidRPr="00D449AA">
        <w:rPr>
          <w:rFonts w:asciiTheme="majorBidi" w:hAnsiTheme="majorBidi" w:cstheme="majorBidi"/>
          <w:bCs/>
          <w:lang w:val="en-US"/>
        </w:rPr>
        <w:t>.</w:t>
      </w:r>
    </w:p>
    <w:p w14:paraId="487E0CC5"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lang w:val="en-US"/>
        </w:rPr>
        <w:t>[108]</w:t>
      </w:r>
      <w:r w:rsidRPr="00D449AA">
        <w:rPr>
          <w:rFonts w:asciiTheme="majorBidi" w:hAnsiTheme="majorBidi" w:cstheme="majorBidi"/>
          <w:lang w:val="en-US"/>
        </w:rPr>
        <w:tab/>
        <w:t>ISO 28001</w:t>
      </w:r>
      <w:r w:rsidRPr="00D449AA">
        <w:rPr>
          <w:rFonts w:asciiTheme="majorBidi" w:hAnsiTheme="majorBidi" w:cstheme="majorBidi"/>
          <w:bCs/>
          <w:lang w:val="en-US"/>
        </w:rPr>
        <w:t xml:space="preserve">:2007, </w:t>
      </w:r>
      <w:r w:rsidRPr="0006288C">
        <w:rPr>
          <w:rFonts w:asciiTheme="majorBidi" w:hAnsiTheme="majorBidi" w:cstheme="majorBidi"/>
          <w:bCs/>
          <w:i/>
          <w:iCs/>
          <w:lang w:val="en-US"/>
        </w:rPr>
        <w:t>Security management systems for the supply chain – Best practices for implementing supply chain security assessments and plans – Requirements and guidance</w:t>
      </w:r>
      <w:r w:rsidRPr="00D449AA">
        <w:rPr>
          <w:rFonts w:asciiTheme="majorBidi" w:hAnsiTheme="majorBidi" w:cstheme="majorBidi"/>
          <w:bCs/>
          <w:lang w:val="en-US"/>
        </w:rPr>
        <w:t>.</w:t>
      </w:r>
    </w:p>
    <w:p w14:paraId="26BCAD8C"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[109]</w:t>
      </w:r>
      <w:r w:rsidRPr="00D449AA">
        <w:rPr>
          <w:rFonts w:asciiTheme="majorBidi" w:hAnsiTheme="majorBidi" w:cstheme="majorBidi"/>
          <w:bCs/>
          <w:lang w:val="en-US"/>
        </w:rPr>
        <w:tab/>
        <w:t xml:space="preserve">ISO 28003:2007, </w:t>
      </w:r>
      <w:r w:rsidRPr="00D449AA">
        <w:rPr>
          <w:rFonts w:asciiTheme="majorBidi" w:hAnsiTheme="majorBidi" w:cstheme="majorBidi"/>
          <w:bCs/>
          <w:i/>
          <w:iCs/>
          <w:lang w:val="en-US"/>
        </w:rPr>
        <w:t>Security management systems for the supply chain – Requirements for bodies providing audit and certification of supply chain security management systems</w:t>
      </w:r>
      <w:r w:rsidRPr="00D449AA">
        <w:rPr>
          <w:rFonts w:asciiTheme="majorBidi" w:hAnsiTheme="majorBidi" w:cstheme="majorBidi"/>
          <w:bCs/>
          <w:lang w:val="en-US"/>
        </w:rPr>
        <w:t>.</w:t>
      </w:r>
    </w:p>
    <w:p w14:paraId="2F5A8E61"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[110]</w:t>
      </w:r>
      <w:r w:rsidRPr="00D449AA">
        <w:rPr>
          <w:rFonts w:asciiTheme="majorBidi" w:hAnsiTheme="majorBidi" w:cstheme="majorBidi"/>
          <w:bCs/>
          <w:lang w:val="en-US"/>
        </w:rPr>
        <w:tab/>
        <w:t xml:space="preserve">ISO 28004-1:2007, </w:t>
      </w:r>
      <w:r w:rsidRPr="00D449AA">
        <w:rPr>
          <w:rFonts w:asciiTheme="majorBidi" w:hAnsiTheme="majorBidi" w:cstheme="majorBidi"/>
          <w:bCs/>
          <w:i/>
          <w:iCs/>
          <w:lang w:val="en-US"/>
        </w:rPr>
        <w:t>Security management systems for the supply chain – Guidelines for the implementation of ISO 28000 – Part 1: General principles</w:t>
      </w:r>
      <w:r w:rsidRPr="00D449AA">
        <w:rPr>
          <w:rFonts w:asciiTheme="majorBidi" w:hAnsiTheme="majorBidi" w:cstheme="majorBidi"/>
          <w:bCs/>
          <w:lang w:val="en-US"/>
        </w:rPr>
        <w:t>.</w:t>
      </w:r>
    </w:p>
    <w:p w14:paraId="4014F3C2"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[111]</w:t>
      </w:r>
      <w:r w:rsidRPr="00D449AA">
        <w:rPr>
          <w:rFonts w:asciiTheme="majorBidi" w:hAnsiTheme="majorBidi" w:cstheme="majorBidi"/>
          <w:bCs/>
          <w:lang w:val="en-US"/>
        </w:rPr>
        <w:tab/>
        <w:t xml:space="preserve">ISO 28005-2:2011, </w:t>
      </w:r>
      <w:r w:rsidRPr="00D449AA">
        <w:rPr>
          <w:rFonts w:asciiTheme="majorBidi" w:hAnsiTheme="majorBidi" w:cstheme="majorBidi"/>
          <w:bCs/>
          <w:i/>
          <w:iCs/>
          <w:lang w:val="en-US"/>
        </w:rPr>
        <w:t>Security management systems for the supply chain – Electronic port clearance (EPC) – Part 2: Core data elements</w:t>
      </w:r>
      <w:r w:rsidRPr="00D449AA">
        <w:rPr>
          <w:rFonts w:asciiTheme="majorBidi" w:hAnsiTheme="majorBidi" w:cstheme="majorBidi"/>
          <w:bCs/>
          <w:lang w:val="en-US"/>
        </w:rPr>
        <w:t>.</w:t>
      </w:r>
    </w:p>
    <w:p w14:paraId="7ED82F1E" w14:textId="77777777" w:rsidR="006B1268" w:rsidRPr="00D449AA" w:rsidRDefault="006B1268" w:rsidP="00C142FB">
      <w:pPr>
        <w:pStyle w:val="Reftext"/>
        <w:rPr>
          <w:rFonts w:asciiTheme="majorBidi" w:hAnsiTheme="majorBidi" w:cstheme="majorBidi"/>
          <w:bCs/>
          <w:lang w:val="en-US"/>
        </w:rPr>
      </w:pPr>
      <w:r w:rsidRPr="00D449AA">
        <w:rPr>
          <w:rFonts w:asciiTheme="majorBidi" w:hAnsiTheme="majorBidi" w:cstheme="majorBidi"/>
          <w:bCs/>
          <w:lang w:val="en-US"/>
        </w:rPr>
        <w:t>[112]</w:t>
      </w:r>
      <w:r w:rsidRPr="00D449AA">
        <w:rPr>
          <w:rFonts w:asciiTheme="majorBidi" w:hAnsiTheme="majorBidi" w:cstheme="majorBidi"/>
          <w:bCs/>
          <w:lang w:val="en-US"/>
        </w:rPr>
        <w:tab/>
        <w:t xml:space="preserve">SAE AS5553 (2013), </w:t>
      </w:r>
      <w:r w:rsidRPr="00D449AA">
        <w:rPr>
          <w:rFonts w:asciiTheme="majorBidi" w:hAnsiTheme="majorBidi" w:cstheme="majorBidi"/>
          <w:bCs/>
          <w:i/>
          <w:iCs/>
          <w:lang w:val="en-US"/>
        </w:rPr>
        <w:t>Fraudulent/Counterfeit Electronic Parts; Avoidance, Detection, Mitigation, and Disposition</w:t>
      </w:r>
      <w:r w:rsidRPr="00D449AA">
        <w:rPr>
          <w:rFonts w:asciiTheme="majorBidi" w:hAnsiTheme="majorBidi" w:cstheme="majorBidi"/>
          <w:bCs/>
          <w:lang w:val="en-US"/>
        </w:rPr>
        <w:t>.</w:t>
      </w:r>
    </w:p>
    <w:p w14:paraId="46948357" w14:textId="77777777" w:rsidR="006B1268" w:rsidRPr="00D449AA" w:rsidRDefault="006B1268" w:rsidP="00C142FB">
      <w:pPr>
        <w:pStyle w:val="Reftext"/>
        <w:rPr>
          <w:rFonts w:asciiTheme="majorBidi" w:hAnsiTheme="majorBidi" w:cstheme="majorBidi"/>
          <w:bCs/>
          <w:lang w:val="en-US"/>
        </w:rPr>
      </w:pPr>
      <w:r>
        <w:rPr>
          <w:rFonts w:asciiTheme="majorBidi" w:hAnsiTheme="majorBidi" w:cstheme="majorBidi"/>
          <w:bCs/>
          <w:lang w:val="en-US"/>
        </w:rPr>
        <w:t>[113]</w:t>
      </w:r>
      <w:r w:rsidRPr="00D449AA">
        <w:rPr>
          <w:rFonts w:asciiTheme="majorBidi" w:hAnsiTheme="majorBidi" w:cstheme="majorBidi"/>
          <w:bCs/>
          <w:lang w:val="en-US"/>
        </w:rPr>
        <w:tab/>
        <w:t xml:space="preserve">SAE ARP6178 (2011), </w:t>
      </w:r>
      <w:r w:rsidRPr="00D449AA">
        <w:rPr>
          <w:rFonts w:asciiTheme="majorBidi" w:hAnsiTheme="majorBidi" w:cstheme="majorBidi"/>
          <w:bCs/>
          <w:i/>
          <w:iCs/>
          <w:lang w:val="en-US"/>
        </w:rPr>
        <w:t>Fraudulent/Counterfeit Electronic Parts; Tool for Risk Assessment of Distributors</w:t>
      </w:r>
      <w:r w:rsidRPr="00D449AA">
        <w:rPr>
          <w:rFonts w:asciiTheme="majorBidi" w:hAnsiTheme="majorBidi" w:cstheme="majorBidi"/>
          <w:bCs/>
          <w:lang w:val="en-US"/>
        </w:rPr>
        <w:t>.</w:t>
      </w:r>
    </w:p>
    <w:p w14:paraId="4A7F7ABE" w14:textId="77777777" w:rsidR="006B1268" w:rsidRPr="00D449AA" w:rsidRDefault="006B1268" w:rsidP="00C142FB">
      <w:pPr>
        <w:pStyle w:val="Reftext"/>
        <w:rPr>
          <w:rFonts w:asciiTheme="majorBidi" w:hAnsiTheme="majorBidi" w:cstheme="majorBidi"/>
          <w:bCs/>
          <w:lang w:val="en-US"/>
        </w:rPr>
      </w:pPr>
      <w:r>
        <w:rPr>
          <w:rFonts w:asciiTheme="majorBidi" w:hAnsiTheme="majorBidi" w:cstheme="majorBidi"/>
          <w:bCs/>
          <w:lang w:val="en-US"/>
        </w:rPr>
        <w:t>[114]</w:t>
      </w:r>
      <w:r w:rsidRPr="00D449AA">
        <w:rPr>
          <w:rFonts w:asciiTheme="majorBidi" w:hAnsiTheme="majorBidi" w:cstheme="majorBidi"/>
          <w:bCs/>
          <w:lang w:val="en-US"/>
        </w:rPr>
        <w:tab/>
        <w:t xml:space="preserve">SAE AS6081 (2012), </w:t>
      </w:r>
      <w:r w:rsidRPr="00D449AA">
        <w:rPr>
          <w:rFonts w:asciiTheme="majorBidi" w:hAnsiTheme="majorBidi" w:cstheme="majorBidi"/>
          <w:bCs/>
          <w:i/>
          <w:iCs/>
          <w:lang w:val="en-US"/>
        </w:rPr>
        <w:t>Fraudulent/Counterfeit Electronic Parts: Avoidance, Detection, Mitigation, and Disposition – Distributors Counterfeit Electronic Parts; Avoidance Protocol, Distributors</w:t>
      </w:r>
      <w:r w:rsidRPr="00D449AA">
        <w:rPr>
          <w:rFonts w:asciiTheme="majorBidi" w:hAnsiTheme="majorBidi" w:cstheme="majorBidi"/>
          <w:bCs/>
          <w:lang w:val="en-US"/>
        </w:rPr>
        <w:t>.</w:t>
      </w:r>
    </w:p>
    <w:p w14:paraId="1794B892" w14:textId="77777777" w:rsidR="006B1268" w:rsidRPr="00D449AA" w:rsidRDefault="006B1268" w:rsidP="00C142FB">
      <w:pPr>
        <w:pStyle w:val="Reftext"/>
        <w:rPr>
          <w:rFonts w:asciiTheme="majorBidi" w:hAnsiTheme="majorBidi" w:cstheme="majorBidi"/>
          <w:lang w:val="en-US"/>
        </w:rPr>
      </w:pPr>
      <w:r>
        <w:rPr>
          <w:rFonts w:asciiTheme="majorBidi" w:hAnsiTheme="majorBidi" w:cstheme="majorBidi"/>
          <w:lang w:val="en-US"/>
        </w:rPr>
        <w:t>[115]</w:t>
      </w:r>
      <w:r w:rsidRPr="00D449AA">
        <w:rPr>
          <w:rFonts w:asciiTheme="majorBidi" w:hAnsiTheme="majorBidi" w:cstheme="majorBidi"/>
          <w:lang w:val="en-US"/>
        </w:rPr>
        <w:tab/>
        <w:t xml:space="preserve">SAE AS6171 (2010), </w:t>
      </w:r>
      <w:r w:rsidRPr="00D449AA">
        <w:rPr>
          <w:rFonts w:asciiTheme="majorBidi" w:hAnsiTheme="majorBidi" w:cstheme="majorBidi"/>
          <w:i/>
          <w:iCs/>
          <w:lang w:val="en-US"/>
        </w:rPr>
        <w:t>Test Methods Standards; Counterfeit Electronic Parts</w:t>
      </w:r>
      <w:r w:rsidRPr="00D449AA">
        <w:rPr>
          <w:rFonts w:asciiTheme="majorBidi" w:hAnsiTheme="majorBidi" w:cstheme="majorBidi"/>
          <w:lang w:val="en-US"/>
        </w:rPr>
        <w:t>.</w:t>
      </w:r>
    </w:p>
    <w:p w14:paraId="3F7981F2" w14:textId="77777777" w:rsidR="006B1268" w:rsidRPr="00D449AA" w:rsidRDefault="006B1268" w:rsidP="00C142FB">
      <w:pPr>
        <w:pStyle w:val="Reftext"/>
        <w:rPr>
          <w:rFonts w:asciiTheme="majorBidi" w:hAnsiTheme="majorBidi" w:cstheme="majorBidi"/>
          <w:lang w:val="en-US"/>
        </w:rPr>
      </w:pPr>
      <w:r>
        <w:rPr>
          <w:rFonts w:asciiTheme="majorBidi" w:hAnsiTheme="majorBidi" w:cstheme="majorBidi"/>
          <w:lang w:val="en-US"/>
        </w:rPr>
        <w:t>[116]</w:t>
      </w:r>
      <w:r w:rsidRPr="00D449AA">
        <w:rPr>
          <w:rFonts w:asciiTheme="majorBidi" w:hAnsiTheme="majorBidi" w:cstheme="majorBidi"/>
          <w:lang w:val="en-US"/>
        </w:rPr>
        <w:tab/>
        <w:t xml:space="preserve">ISO 16678:2014, </w:t>
      </w:r>
      <w:r w:rsidRPr="00D449AA">
        <w:rPr>
          <w:rFonts w:asciiTheme="majorBidi" w:hAnsiTheme="majorBidi" w:cstheme="majorBidi"/>
          <w:i/>
          <w:iCs/>
          <w:lang w:val="en-US"/>
        </w:rPr>
        <w:t>Guidelines for interoperable object identification and related authentication systems to deter counterfeiting and illicit trade</w:t>
      </w:r>
      <w:r w:rsidRPr="00D449AA">
        <w:rPr>
          <w:rFonts w:asciiTheme="majorBidi" w:hAnsiTheme="majorBidi" w:cstheme="majorBidi"/>
          <w:lang w:val="en-US"/>
        </w:rPr>
        <w:t>.</w:t>
      </w:r>
    </w:p>
    <w:p w14:paraId="337AF0A4" w14:textId="77777777" w:rsidR="006B1268" w:rsidRPr="00D449AA" w:rsidRDefault="006B1268" w:rsidP="00C142FB">
      <w:pPr>
        <w:pStyle w:val="Reftext"/>
        <w:rPr>
          <w:rFonts w:asciiTheme="majorBidi" w:hAnsiTheme="majorBidi" w:cstheme="majorBidi"/>
          <w:lang w:val="en-US"/>
        </w:rPr>
      </w:pPr>
      <w:r>
        <w:rPr>
          <w:rFonts w:asciiTheme="majorBidi" w:hAnsiTheme="majorBidi" w:cstheme="majorBidi"/>
          <w:lang w:val="en-US"/>
        </w:rPr>
        <w:t>[117]</w:t>
      </w:r>
      <w:r w:rsidRPr="00D449AA">
        <w:rPr>
          <w:rFonts w:asciiTheme="majorBidi" w:hAnsiTheme="majorBidi" w:cstheme="majorBidi"/>
          <w:lang w:val="en-US"/>
        </w:rPr>
        <w:tab/>
        <w:t xml:space="preserve">IDEA-STD-1010A (2006), </w:t>
      </w:r>
      <w:r w:rsidRPr="00D449AA">
        <w:rPr>
          <w:rFonts w:asciiTheme="majorBidi" w:hAnsiTheme="majorBidi" w:cstheme="majorBidi"/>
          <w:i/>
          <w:iCs/>
          <w:lang w:val="en-US"/>
        </w:rPr>
        <w:t>Acceptability of Electronic Components Distributed in the Open Market</w:t>
      </w:r>
      <w:r w:rsidRPr="00D449AA">
        <w:rPr>
          <w:rFonts w:asciiTheme="majorBidi" w:hAnsiTheme="majorBidi" w:cstheme="majorBidi"/>
          <w:lang w:val="en-US"/>
        </w:rPr>
        <w:t>.</w:t>
      </w:r>
    </w:p>
    <w:p w14:paraId="0E6E813F" w14:textId="77777777" w:rsidR="006B1268" w:rsidRPr="00D449AA" w:rsidRDefault="006B1268" w:rsidP="00C142FB">
      <w:pPr>
        <w:pStyle w:val="Reftext"/>
        <w:rPr>
          <w:rFonts w:asciiTheme="majorBidi" w:hAnsiTheme="majorBidi" w:cstheme="majorBidi"/>
          <w:lang w:val="en-US"/>
        </w:rPr>
      </w:pPr>
      <w:r>
        <w:rPr>
          <w:rFonts w:asciiTheme="majorBidi" w:hAnsiTheme="majorBidi" w:cstheme="majorBidi"/>
          <w:lang w:val="en-US"/>
        </w:rPr>
        <w:t>[118]</w:t>
      </w:r>
      <w:r w:rsidRPr="00D449AA">
        <w:rPr>
          <w:rFonts w:asciiTheme="majorBidi" w:hAnsiTheme="majorBidi" w:cstheme="majorBidi"/>
          <w:lang w:val="en-US"/>
        </w:rPr>
        <w:tab/>
        <w:t xml:space="preserve">IDEA-QMS-9090 (2013), </w:t>
      </w:r>
      <w:r w:rsidRPr="00D449AA">
        <w:rPr>
          <w:rFonts w:asciiTheme="majorBidi" w:hAnsiTheme="majorBidi" w:cstheme="majorBidi"/>
          <w:i/>
          <w:iCs/>
          <w:lang w:val="en-US"/>
        </w:rPr>
        <w:t>Quality Management System Standard</w:t>
      </w:r>
      <w:r w:rsidRPr="00D449AA">
        <w:rPr>
          <w:rFonts w:asciiTheme="majorBidi" w:hAnsiTheme="majorBidi" w:cstheme="majorBidi"/>
          <w:lang w:val="en-US"/>
        </w:rPr>
        <w:t>.</w:t>
      </w:r>
    </w:p>
    <w:p w14:paraId="674F9DFE" w14:textId="54646274" w:rsidR="006B1268" w:rsidRPr="00D449AA" w:rsidRDefault="006B1268" w:rsidP="00941C5E">
      <w:pPr>
        <w:pStyle w:val="Headingb"/>
        <w:rPr>
          <w:lang w:val="es-ES_tradnl"/>
        </w:rPr>
      </w:pPr>
      <w:r w:rsidRPr="00D449AA">
        <w:rPr>
          <w:lang w:val="es-ES_tradnl"/>
        </w:rPr>
        <w:lastRenderedPageBreak/>
        <w:t>Glosario</w:t>
      </w:r>
    </w:p>
    <w:p w14:paraId="746D1A72"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AC</w:t>
      </w:r>
      <w:r w:rsidRPr="00D449AA">
        <w:rPr>
          <w:rFonts w:asciiTheme="majorBidi" w:hAnsiTheme="majorBidi" w:cstheme="majorBidi"/>
          <w:lang w:val="es-ES_tradnl"/>
        </w:rPr>
        <w:tab/>
      </w:r>
      <w:r w:rsidRPr="00D449AA">
        <w:rPr>
          <w:rFonts w:asciiTheme="majorBidi" w:hAnsiTheme="majorBidi" w:cstheme="majorBidi"/>
          <w:lang w:val="es-ES_tradnl"/>
        </w:rPr>
        <w:tab/>
        <w:t>Clase de atribución (</w:t>
      </w:r>
      <w:r w:rsidRPr="00D449AA">
        <w:rPr>
          <w:rFonts w:asciiTheme="majorBidi" w:hAnsiTheme="majorBidi" w:cstheme="majorBidi"/>
          <w:i/>
          <w:iCs/>
          <w:lang w:val="es-ES_tradnl"/>
        </w:rPr>
        <w:t>allocation class</w:t>
      </w:r>
      <w:r w:rsidRPr="00D449AA">
        <w:rPr>
          <w:rFonts w:asciiTheme="majorBidi" w:hAnsiTheme="majorBidi" w:cstheme="majorBidi"/>
          <w:lang w:val="es-ES_tradnl"/>
        </w:rPr>
        <w:t>)</w:t>
      </w:r>
    </w:p>
    <w:p w14:paraId="189C8D50"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ADI</w:t>
      </w:r>
      <w:r w:rsidRPr="00D449AA">
        <w:rPr>
          <w:rFonts w:asciiTheme="majorBidi" w:hAnsiTheme="majorBidi" w:cstheme="majorBidi"/>
          <w:lang w:val="es-ES_tradnl"/>
        </w:rPr>
        <w:tab/>
      </w:r>
      <w:r w:rsidRPr="00D449AA">
        <w:rPr>
          <w:rFonts w:asciiTheme="majorBidi" w:hAnsiTheme="majorBidi" w:cstheme="majorBidi"/>
          <w:lang w:val="es-ES_tradnl"/>
        </w:rPr>
        <w:tab/>
        <w:t>Identificador aeroespacial y de defensa (</w:t>
      </w:r>
      <w:r w:rsidRPr="00D449AA">
        <w:rPr>
          <w:rFonts w:asciiTheme="majorBidi" w:hAnsiTheme="majorBidi" w:cstheme="majorBidi"/>
          <w:i/>
          <w:iCs/>
          <w:lang w:val="es-ES_tradnl"/>
        </w:rPr>
        <w:t>aerospace and defence identifier</w:t>
      </w:r>
      <w:r w:rsidRPr="00D449AA">
        <w:rPr>
          <w:rFonts w:asciiTheme="majorBidi" w:hAnsiTheme="majorBidi" w:cstheme="majorBidi"/>
          <w:lang w:val="es-ES_tradnl"/>
        </w:rPr>
        <w:t>)</w:t>
      </w:r>
    </w:p>
    <w:p w14:paraId="48E60051" w14:textId="77777777" w:rsidR="006B1268" w:rsidRPr="00D449AA" w:rsidRDefault="006B1268" w:rsidP="00C142FB">
      <w:pPr>
        <w:ind w:left="1191" w:hanging="1191"/>
        <w:rPr>
          <w:rFonts w:asciiTheme="majorBidi" w:hAnsiTheme="majorBidi" w:cstheme="majorBidi"/>
          <w:lang w:val="es-ES_tradnl"/>
        </w:rPr>
      </w:pPr>
      <w:r w:rsidRPr="00D449AA">
        <w:rPr>
          <w:rFonts w:asciiTheme="majorBidi" w:hAnsiTheme="majorBidi" w:cstheme="majorBidi"/>
          <w:lang w:val="es-ES_tradnl"/>
        </w:rPr>
        <w:t>AIDC</w:t>
      </w:r>
      <w:r w:rsidRPr="00D449AA">
        <w:rPr>
          <w:rFonts w:asciiTheme="majorBidi" w:hAnsiTheme="majorBidi" w:cstheme="majorBidi"/>
          <w:lang w:val="es-ES_tradnl"/>
        </w:rPr>
        <w:tab/>
      </w:r>
      <w:r w:rsidRPr="00D449AA">
        <w:rPr>
          <w:rFonts w:asciiTheme="majorBidi" w:hAnsiTheme="majorBidi" w:cstheme="majorBidi"/>
          <w:lang w:val="es-ES_tradnl"/>
        </w:rPr>
        <w:tab/>
        <w:t>Identificación automática y adquisición de datos (</w:t>
      </w:r>
      <w:r w:rsidRPr="00D449AA">
        <w:rPr>
          <w:rFonts w:asciiTheme="majorBidi" w:hAnsiTheme="majorBidi" w:cstheme="majorBidi"/>
          <w:i/>
          <w:iCs/>
          <w:lang w:val="es-ES_tradnl"/>
        </w:rPr>
        <w:t>automatic identification and data capture</w:t>
      </w:r>
      <w:r w:rsidRPr="00D449AA">
        <w:rPr>
          <w:rFonts w:asciiTheme="majorBidi" w:hAnsiTheme="majorBidi" w:cstheme="majorBidi"/>
          <w:lang w:val="es-ES_tradnl"/>
        </w:rPr>
        <w:t>)</w:t>
      </w:r>
    </w:p>
    <w:p w14:paraId="3AA6FD7E"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ALE</w:t>
      </w:r>
      <w:r w:rsidRPr="00D449AA">
        <w:rPr>
          <w:rFonts w:asciiTheme="majorBidi" w:hAnsiTheme="majorBidi" w:cstheme="majorBidi"/>
          <w:lang w:val="es-ES_tradnl"/>
        </w:rPr>
        <w:tab/>
      </w:r>
      <w:r w:rsidRPr="00D449AA">
        <w:rPr>
          <w:rFonts w:asciiTheme="majorBidi" w:hAnsiTheme="majorBidi" w:cstheme="majorBidi"/>
          <w:lang w:val="es-ES_tradnl"/>
        </w:rPr>
        <w:tab/>
        <w:t>Evento de la capa de aplicación (</w:t>
      </w:r>
      <w:r w:rsidRPr="00D449AA">
        <w:rPr>
          <w:rFonts w:asciiTheme="majorBidi" w:hAnsiTheme="majorBidi" w:cstheme="majorBidi"/>
          <w:i/>
          <w:iCs/>
          <w:lang w:val="es-ES_tradnl"/>
        </w:rPr>
        <w:t>application layer event</w:t>
      </w:r>
      <w:r w:rsidRPr="00D449AA">
        <w:rPr>
          <w:rFonts w:asciiTheme="majorBidi" w:hAnsiTheme="majorBidi" w:cstheme="majorBidi"/>
          <w:lang w:val="es-ES_tradnl"/>
        </w:rPr>
        <w:t>)</w:t>
      </w:r>
    </w:p>
    <w:p w14:paraId="33578AFD"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AWP</w:t>
      </w:r>
      <w:r w:rsidRPr="00D449AA">
        <w:rPr>
          <w:rFonts w:asciiTheme="majorBidi" w:hAnsiTheme="majorBidi" w:cstheme="majorBidi"/>
          <w:lang w:val="es-ES_tradnl"/>
        </w:rPr>
        <w:tab/>
      </w:r>
      <w:r w:rsidRPr="00D449AA">
        <w:rPr>
          <w:rFonts w:asciiTheme="majorBidi" w:hAnsiTheme="majorBidi" w:cstheme="majorBidi"/>
          <w:lang w:val="es-ES_tradnl"/>
        </w:rPr>
        <w:tab/>
        <w:t>Lugar de trabajo automático (</w:t>
      </w:r>
      <w:r w:rsidRPr="00D449AA">
        <w:rPr>
          <w:rFonts w:asciiTheme="majorBidi" w:hAnsiTheme="majorBidi" w:cstheme="majorBidi"/>
          <w:i/>
          <w:iCs/>
          <w:lang w:val="es-ES_tradnl"/>
        </w:rPr>
        <w:t>automated working place</w:t>
      </w:r>
      <w:r w:rsidRPr="00D449AA">
        <w:rPr>
          <w:rFonts w:asciiTheme="majorBidi" w:hAnsiTheme="majorBidi" w:cstheme="majorBidi"/>
          <w:lang w:val="es-ES_tradnl"/>
        </w:rPr>
        <w:t>)</w:t>
      </w:r>
    </w:p>
    <w:p w14:paraId="407BD8F0"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CB</w:t>
      </w:r>
      <w:r w:rsidRPr="00D449AA">
        <w:rPr>
          <w:rFonts w:asciiTheme="majorBidi" w:hAnsiTheme="majorBidi" w:cstheme="majorBidi"/>
          <w:lang w:val="es-ES_tradnl"/>
        </w:rPr>
        <w:tab/>
      </w:r>
      <w:r w:rsidRPr="00D449AA">
        <w:rPr>
          <w:rFonts w:asciiTheme="majorBidi" w:hAnsiTheme="majorBidi" w:cstheme="majorBidi"/>
          <w:lang w:val="es-ES_tradnl"/>
        </w:rPr>
        <w:tab/>
        <w:t>Órgano de certificación (</w:t>
      </w:r>
      <w:r w:rsidRPr="00D449AA">
        <w:rPr>
          <w:rFonts w:asciiTheme="majorBidi" w:hAnsiTheme="majorBidi" w:cstheme="majorBidi"/>
          <w:i/>
          <w:iCs/>
          <w:lang w:val="es-ES_tradnl"/>
        </w:rPr>
        <w:t>certification body</w:t>
      </w:r>
      <w:r w:rsidRPr="00D449AA">
        <w:rPr>
          <w:rFonts w:asciiTheme="majorBidi" w:hAnsiTheme="majorBidi" w:cstheme="majorBidi"/>
          <w:lang w:val="es-ES_tradnl"/>
        </w:rPr>
        <w:t>)</w:t>
      </w:r>
    </w:p>
    <w:p w14:paraId="6A3E3E89"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CBV</w:t>
      </w:r>
      <w:r w:rsidRPr="00D449AA">
        <w:rPr>
          <w:rFonts w:asciiTheme="majorBidi" w:hAnsiTheme="majorBidi" w:cstheme="majorBidi"/>
          <w:lang w:val="es-ES_tradnl"/>
        </w:rPr>
        <w:tab/>
      </w:r>
      <w:r w:rsidRPr="00D449AA">
        <w:rPr>
          <w:rFonts w:asciiTheme="majorBidi" w:hAnsiTheme="majorBidi" w:cstheme="majorBidi"/>
          <w:lang w:val="es-ES_tradnl"/>
        </w:rPr>
        <w:tab/>
        <w:t>Vocabulario básico de negocios (</w:t>
      </w:r>
      <w:r w:rsidRPr="00D449AA">
        <w:rPr>
          <w:rFonts w:asciiTheme="majorBidi" w:hAnsiTheme="majorBidi" w:cstheme="majorBidi"/>
          <w:i/>
          <w:iCs/>
          <w:lang w:val="es-ES_tradnl"/>
        </w:rPr>
        <w:t>core business vocabulary</w:t>
      </w:r>
      <w:r w:rsidRPr="00D449AA">
        <w:rPr>
          <w:rFonts w:asciiTheme="majorBidi" w:hAnsiTheme="majorBidi" w:cstheme="majorBidi"/>
          <w:lang w:val="es-ES_tradnl"/>
        </w:rPr>
        <w:t>)</w:t>
      </w:r>
    </w:p>
    <w:p w14:paraId="70F1F551"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cc</w:t>
      </w:r>
      <w:r w:rsidRPr="00D449AA">
        <w:rPr>
          <w:rFonts w:asciiTheme="majorBidi" w:hAnsiTheme="majorBidi" w:cstheme="majorBidi"/>
          <w:lang w:val="es-ES_tradnl"/>
        </w:rPr>
        <w:tab/>
      </w:r>
      <w:r w:rsidRPr="00D449AA">
        <w:rPr>
          <w:rFonts w:asciiTheme="majorBidi" w:hAnsiTheme="majorBidi" w:cstheme="majorBidi"/>
          <w:lang w:val="es-ES_tradnl"/>
        </w:rPr>
        <w:tab/>
        <w:t>Código de clase (</w:t>
      </w:r>
      <w:r w:rsidRPr="00D449AA">
        <w:rPr>
          <w:rFonts w:asciiTheme="majorBidi" w:hAnsiTheme="majorBidi" w:cstheme="majorBidi"/>
          <w:i/>
          <w:iCs/>
          <w:lang w:val="es-ES_tradnl"/>
        </w:rPr>
        <w:t>class code</w:t>
      </w:r>
      <w:r w:rsidRPr="00D449AA">
        <w:rPr>
          <w:rFonts w:asciiTheme="majorBidi" w:hAnsiTheme="majorBidi" w:cstheme="majorBidi"/>
          <w:lang w:val="es-ES_tradnl"/>
        </w:rPr>
        <w:t>)</w:t>
      </w:r>
    </w:p>
    <w:p w14:paraId="0D5D25AE"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CD</w:t>
      </w:r>
      <w:r w:rsidRPr="00D449AA">
        <w:rPr>
          <w:rFonts w:asciiTheme="majorBidi" w:hAnsiTheme="majorBidi" w:cstheme="majorBidi"/>
          <w:lang w:val="es-ES_tradnl"/>
        </w:rPr>
        <w:tab/>
      </w:r>
      <w:r w:rsidRPr="00D449AA">
        <w:rPr>
          <w:rFonts w:asciiTheme="majorBidi" w:hAnsiTheme="majorBidi" w:cstheme="majorBidi"/>
          <w:lang w:val="es-ES_tradnl"/>
        </w:rPr>
        <w:tab/>
        <w:t>Disco compacto (</w:t>
      </w:r>
      <w:r w:rsidRPr="00D449AA">
        <w:rPr>
          <w:rFonts w:asciiTheme="majorBidi" w:hAnsiTheme="majorBidi" w:cstheme="majorBidi"/>
          <w:i/>
          <w:iCs/>
          <w:lang w:val="es-ES_tradnl"/>
        </w:rPr>
        <w:t>compact disc</w:t>
      </w:r>
      <w:r w:rsidRPr="00D449AA">
        <w:rPr>
          <w:rFonts w:asciiTheme="majorBidi" w:hAnsiTheme="majorBidi" w:cstheme="majorBidi"/>
          <w:lang w:val="es-ES_tradnl"/>
        </w:rPr>
        <w:t>)</w:t>
      </w:r>
    </w:p>
    <w:p w14:paraId="497B446D"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CDMA</w:t>
      </w:r>
      <w:r w:rsidRPr="00D449AA">
        <w:rPr>
          <w:rFonts w:asciiTheme="majorBidi" w:hAnsiTheme="majorBidi" w:cstheme="majorBidi"/>
          <w:lang w:val="es-ES_tradnl"/>
        </w:rPr>
        <w:tab/>
      </w:r>
      <w:r w:rsidRPr="00D449AA">
        <w:rPr>
          <w:rFonts w:asciiTheme="majorBidi" w:hAnsiTheme="majorBidi" w:cstheme="majorBidi"/>
          <w:lang w:val="es-ES_tradnl"/>
        </w:rPr>
        <w:tab/>
        <w:t>Acceso múltiple por división de código (</w:t>
      </w:r>
      <w:r w:rsidRPr="00D449AA">
        <w:rPr>
          <w:rFonts w:asciiTheme="majorBidi" w:hAnsiTheme="majorBidi" w:cstheme="majorBidi"/>
          <w:i/>
          <w:iCs/>
          <w:lang w:val="es-ES_tradnl"/>
        </w:rPr>
        <w:t>code division multiple access</w:t>
      </w:r>
      <w:r w:rsidRPr="00D449AA">
        <w:rPr>
          <w:rFonts w:asciiTheme="majorBidi" w:hAnsiTheme="majorBidi" w:cstheme="majorBidi"/>
          <w:lang w:val="es-ES_tradnl"/>
        </w:rPr>
        <w:t>)</w:t>
      </w:r>
    </w:p>
    <w:p w14:paraId="18FCD6A0"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CDR</w:t>
      </w:r>
      <w:r w:rsidRPr="00D449AA">
        <w:rPr>
          <w:rFonts w:asciiTheme="majorBidi" w:hAnsiTheme="majorBidi" w:cstheme="majorBidi"/>
          <w:lang w:val="es-ES_tradnl"/>
        </w:rPr>
        <w:tab/>
      </w:r>
      <w:r w:rsidRPr="00D449AA">
        <w:rPr>
          <w:rFonts w:asciiTheme="majorBidi" w:hAnsiTheme="majorBidi" w:cstheme="majorBidi"/>
          <w:lang w:val="es-ES_tradnl"/>
        </w:rPr>
        <w:tab/>
        <w:t>Registro de llamadas detallado (</w:t>
      </w:r>
      <w:r w:rsidRPr="00D449AA">
        <w:rPr>
          <w:rFonts w:asciiTheme="majorBidi" w:hAnsiTheme="majorBidi" w:cstheme="majorBidi"/>
          <w:i/>
          <w:iCs/>
          <w:lang w:val="es-ES_tradnl"/>
        </w:rPr>
        <w:t>call detail record</w:t>
      </w:r>
      <w:r w:rsidRPr="00D449AA">
        <w:rPr>
          <w:rFonts w:asciiTheme="majorBidi" w:hAnsiTheme="majorBidi" w:cstheme="majorBidi"/>
          <w:lang w:val="es-ES_tradnl"/>
        </w:rPr>
        <w:t>)</w:t>
      </w:r>
    </w:p>
    <w:p w14:paraId="36C2877A"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CEIR</w:t>
      </w:r>
      <w:r w:rsidRPr="00D449AA">
        <w:rPr>
          <w:rFonts w:asciiTheme="majorBidi" w:hAnsiTheme="majorBidi" w:cstheme="majorBidi"/>
          <w:lang w:val="es-ES_tradnl"/>
        </w:rPr>
        <w:tab/>
      </w:r>
      <w:r w:rsidRPr="00D449AA">
        <w:rPr>
          <w:rFonts w:asciiTheme="majorBidi" w:hAnsiTheme="majorBidi" w:cstheme="majorBidi"/>
          <w:lang w:val="es-ES_tradnl"/>
        </w:rPr>
        <w:tab/>
        <w:t>Registro central de identidad de equipos (</w:t>
      </w:r>
      <w:r w:rsidRPr="00D449AA">
        <w:rPr>
          <w:rFonts w:asciiTheme="majorBidi" w:hAnsiTheme="majorBidi" w:cstheme="majorBidi"/>
          <w:i/>
          <w:iCs/>
          <w:lang w:val="es-ES_tradnl"/>
        </w:rPr>
        <w:t>central equipment identity register</w:t>
      </w:r>
      <w:r w:rsidRPr="00D449AA">
        <w:rPr>
          <w:rFonts w:asciiTheme="majorBidi" w:hAnsiTheme="majorBidi" w:cstheme="majorBidi"/>
          <w:lang w:val="es-ES_tradnl"/>
        </w:rPr>
        <w:t>)</w:t>
      </w:r>
    </w:p>
    <w:p w14:paraId="5FD41482" w14:textId="77777777" w:rsidR="006B1268" w:rsidRPr="00D449AA" w:rsidRDefault="006B1268" w:rsidP="00C142FB">
      <w:pPr>
        <w:ind w:left="1191" w:hanging="1191"/>
        <w:rPr>
          <w:rFonts w:asciiTheme="majorBidi" w:hAnsiTheme="majorBidi" w:cstheme="majorBidi"/>
          <w:lang w:val="es-ES_tradnl"/>
        </w:rPr>
      </w:pPr>
      <w:r w:rsidRPr="00D449AA">
        <w:rPr>
          <w:rFonts w:asciiTheme="majorBidi" w:hAnsiTheme="majorBidi" w:cstheme="majorBidi"/>
          <w:lang w:val="es-ES_tradnl"/>
        </w:rPr>
        <w:t>CIPS</w:t>
      </w:r>
      <w:r w:rsidRPr="00D449AA">
        <w:rPr>
          <w:rFonts w:asciiTheme="majorBidi" w:hAnsiTheme="majorBidi" w:cstheme="majorBidi"/>
          <w:lang w:val="es-ES_tradnl"/>
        </w:rPr>
        <w:tab/>
      </w:r>
      <w:r w:rsidRPr="00D449AA">
        <w:rPr>
          <w:rFonts w:asciiTheme="majorBidi" w:hAnsiTheme="majorBidi" w:cstheme="majorBidi"/>
          <w:lang w:val="es-ES_tradnl"/>
        </w:rPr>
        <w:tab/>
        <w:t>Sistema integral de protección de la información (</w:t>
      </w:r>
      <w:r w:rsidRPr="00D449AA">
        <w:rPr>
          <w:rFonts w:asciiTheme="majorBidi" w:hAnsiTheme="majorBidi" w:cstheme="majorBidi"/>
          <w:i/>
          <w:iCs/>
          <w:lang w:val="es-ES_tradnl"/>
        </w:rPr>
        <w:t>comprehensive information protection system</w:t>
      </w:r>
      <w:r w:rsidRPr="00D449AA">
        <w:rPr>
          <w:rFonts w:asciiTheme="majorBidi" w:hAnsiTheme="majorBidi" w:cstheme="majorBidi"/>
          <w:lang w:val="es-ES_tradnl"/>
        </w:rPr>
        <w:t>)</w:t>
      </w:r>
    </w:p>
    <w:p w14:paraId="66239A1D"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CoPC</w:t>
      </w:r>
      <w:r w:rsidRPr="00D449AA">
        <w:rPr>
          <w:rFonts w:asciiTheme="majorBidi" w:hAnsiTheme="majorBidi" w:cstheme="majorBidi"/>
          <w:lang w:val="es-ES_tradnl"/>
        </w:rPr>
        <w:tab/>
      </w:r>
      <w:r w:rsidRPr="00D449AA">
        <w:rPr>
          <w:rFonts w:asciiTheme="majorBidi" w:hAnsiTheme="majorBidi" w:cstheme="majorBidi"/>
          <w:lang w:val="es-ES_tradnl"/>
        </w:rPr>
        <w:tab/>
        <w:t>Certificado de competencias personales (</w:t>
      </w:r>
      <w:r w:rsidRPr="00D449AA">
        <w:rPr>
          <w:rFonts w:asciiTheme="majorBidi" w:hAnsiTheme="majorBidi" w:cstheme="majorBidi"/>
          <w:i/>
          <w:iCs/>
          <w:lang w:val="es-ES_tradnl"/>
        </w:rPr>
        <w:t>certification of personnel competencies</w:t>
      </w:r>
      <w:r w:rsidRPr="00D449AA">
        <w:rPr>
          <w:rFonts w:asciiTheme="majorBidi" w:hAnsiTheme="majorBidi" w:cstheme="majorBidi"/>
          <w:lang w:val="es-ES_tradnl"/>
        </w:rPr>
        <w:t>)</w:t>
      </w:r>
    </w:p>
    <w:p w14:paraId="7EDC3109"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DB</w:t>
      </w:r>
      <w:r w:rsidRPr="00D449AA">
        <w:rPr>
          <w:rFonts w:asciiTheme="majorBidi" w:hAnsiTheme="majorBidi" w:cstheme="majorBidi"/>
          <w:lang w:val="es-ES_tradnl"/>
        </w:rPr>
        <w:tab/>
      </w:r>
      <w:r w:rsidRPr="00D449AA">
        <w:rPr>
          <w:rFonts w:asciiTheme="majorBidi" w:hAnsiTheme="majorBidi" w:cstheme="majorBidi"/>
          <w:lang w:val="es-ES_tradnl"/>
        </w:rPr>
        <w:tab/>
        <w:t>Base de datos (</w:t>
      </w:r>
      <w:r w:rsidRPr="00D449AA">
        <w:rPr>
          <w:rFonts w:asciiTheme="majorBidi" w:hAnsiTheme="majorBidi" w:cstheme="majorBidi"/>
          <w:i/>
          <w:iCs/>
          <w:lang w:val="es-ES_tradnl"/>
        </w:rPr>
        <w:t>DataBase</w:t>
      </w:r>
      <w:r w:rsidRPr="00D449AA">
        <w:rPr>
          <w:rFonts w:asciiTheme="majorBidi" w:hAnsiTheme="majorBidi" w:cstheme="majorBidi"/>
          <w:lang w:val="es-ES_tradnl"/>
        </w:rPr>
        <w:t>)</w:t>
      </w:r>
    </w:p>
    <w:p w14:paraId="605212B0"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DCI</w:t>
      </w:r>
      <w:r w:rsidRPr="00D449AA">
        <w:rPr>
          <w:rFonts w:asciiTheme="majorBidi" w:hAnsiTheme="majorBidi" w:cstheme="majorBidi"/>
          <w:lang w:val="es-ES_tradnl"/>
        </w:rPr>
        <w:tab/>
      </w:r>
      <w:r w:rsidRPr="00D449AA">
        <w:rPr>
          <w:rFonts w:asciiTheme="majorBidi" w:hAnsiTheme="majorBidi" w:cstheme="majorBidi"/>
          <w:lang w:val="es-ES_tradnl"/>
        </w:rPr>
        <w:tab/>
        <w:t>Detección, configuración e instalación (</w:t>
      </w:r>
      <w:r w:rsidRPr="00D449AA">
        <w:rPr>
          <w:rFonts w:asciiTheme="majorBidi" w:hAnsiTheme="majorBidi" w:cstheme="majorBidi"/>
          <w:i/>
          <w:iCs/>
          <w:lang w:val="es-ES_tradnl"/>
        </w:rPr>
        <w:t>discovery, configuration and initialisation</w:t>
      </w:r>
      <w:r w:rsidRPr="00D449AA">
        <w:rPr>
          <w:rFonts w:asciiTheme="majorBidi" w:hAnsiTheme="majorBidi" w:cstheme="majorBidi"/>
          <w:lang w:val="es-ES_tradnl"/>
        </w:rPr>
        <w:t>)</w:t>
      </w:r>
    </w:p>
    <w:p w14:paraId="47A3E3D8"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DNS</w:t>
      </w:r>
      <w:r w:rsidRPr="00D449AA">
        <w:rPr>
          <w:rFonts w:asciiTheme="majorBidi" w:hAnsiTheme="majorBidi" w:cstheme="majorBidi"/>
          <w:lang w:val="es-ES_tradnl"/>
        </w:rPr>
        <w:tab/>
      </w:r>
      <w:r w:rsidRPr="00D449AA">
        <w:rPr>
          <w:rFonts w:asciiTheme="majorBidi" w:hAnsiTheme="majorBidi" w:cstheme="majorBidi"/>
          <w:lang w:val="es-ES_tradnl"/>
        </w:rPr>
        <w:tab/>
        <w:t>Sistema de nombres de dominio (</w:t>
      </w:r>
      <w:r w:rsidRPr="00D449AA">
        <w:rPr>
          <w:rFonts w:asciiTheme="majorBidi" w:hAnsiTheme="majorBidi" w:cstheme="majorBidi"/>
          <w:i/>
          <w:iCs/>
          <w:lang w:val="es-ES_tradnl"/>
        </w:rPr>
        <w:t>domain name system</w:t>
      </w:r>
      <w:r w:rsidRPr="00D449AA">
        <w:rPr>
          <w:rFonts w:asciiTheme="majorBidi" w:hAnsiTheme="majorBidi" w:cstheme="majorBidi"/>
          <w:lang w:val="es-ES_tradnl"/>
        </w:rPr>
        <w:t>)</w:t>
      </w:r>
    </w:p>
    <w:p w14:paraId="7568C39C"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DVD</w:t>
      </w:r>
      <w:r w:rsidRPr="00D449AA">
        <w:rPr>
          <w:rFonts w:asciiTheme="majorBidi" w:hAnsiTheme="majorBidi" w:cstheme="majorBidi"/>
          <w:lang w:val="es-ES_tradnl"/>
        </w:rPr>
        <w:tab/>
      </w:r>
      <w:r w:rsidRPr="00D449AA">
        <w:rPr>
          <w:rFonts w:asciiTheme="majorBidi" w:hAnsiTheme="majorBidi" w:cstheme="majorBidi"/>
          <w:lang w:val="es-ES_tradnl"/>
        </w:rPr>
        <w:tab/>
        <w:t>Disco versátil digital (</w:t>
      </w:r>
      <w:r w:rsidRPr="00D449AA">
        <w:rPr>
          <w:rFonts w:asciiTheme="majorBidi" w:hAnsiTheme="majorBidi" w:cstheme="majorBidi"/>
          <w:i/>
          <w:iCs/>
          <w:lang w:val="es-ES_tradnl"/>
        </w:rPr>
        <w:t>digital versatile disc</w:t>
      </w:r>
      <w:r w:rsidRPr="00D449AA">
        <w:rPr>
          <w:rFonts w:asciiTheme="majorBidi" w:hAnsiTheme="majorBidi" w:cstheme="majorBidi"/>
          <w:lang w:val="es-ES_tradnl"/>
        </w:rPr>
        <w:t>)</w:t>
      </w:r>
    </w:p>
    <w:p w14:paraId="4F253853"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EIR</w:t>
      </w:r>
      <w:r w:rsidRPr="00D449AA">
        <w:rPr>
          <w:rFonts w:asciiTheme="majorBidi" w:hAnsiTheme="majorBidi" w:cstheme="majorBidi"/>
          <w:lang w:val="es-ES_tradnl"/>
        </w:rPr>
        <w:tab/>
      </w:r>
      <w:r w:rsidRPr="00D449AA">
        <w:rPr>
          <w:rFonts w:asciiTheme="majorBidi" w:hAnsiTheme="majorBidi" w:cstheme="majorBidi"/>
          <w:lang w:val="es-ES_tradnl"/>
        </w:rPr>
        <w:tab/>
        <w:t>Registro de identidad de equipos (</w:t>
      </w:r>
      <w:r w:rsidRPr="00D449AA">
        <w:rPr>
          <w:rFonts w:asciiTheme="majorBidi" w:hAnsiTheme="majorBidi" w:cstheme="majorBidi"/>
          <w:i/>
          <w:iCs/>
          <w:lang w:val="es-ES_tradnl"/>
        </w:rPr>
        <w:t>equipment identity register</w:t>
      </w:r>
      <w:r w:rsidRPr="00D449AA">
        <w:rPr>
          <w:rFonts w:asciiTheme="majorBidi" w:hAnsiTheme="majorBidi" w:cstheme="majorBidi"/>
          <w:lang w:val="es-ES_tradnl"/>
        </w:rPr>
        <w:t>)</w:t>
      </w:r>
    </w:p>
    <w:p w14:paraId="61EE9D58"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EMC</w:t>
      </w:r>
      <w:r w:rsidRPr="00D449AA">
        <w:rPr>
          <w:rFonts w:asciiTheme="majorBidi" w:hAnsiTheme="majorBidi" w:cstheme="majorBidi"/>
          <w:lang w:val="es-ES_tradnl"/>
        </w:rPr>
        <w:tab/>
      </w:r>
      <w:r w:rsidRPr="00D449AA">
        <w:rPr>
          <w:rFonts w:asciiTheme="majorBidi" w:hAnsiTheme="majorBidi" w:cstheme="majorBidi"/>
          <w:lang w:val="es-ES_tradnl"/>
        </w:rPr>
        <w:tab/>
        <w:t>Compatibilidad electromagnética (</w:t>
      </w:r>
      <w:r w:rsidRPr="00D449AA">
        <w:rPr>
          <w:rFonts w:asciiTheme="majorBidi" w:hAnsiTheme="majorBidi" w:cstheme="majorBidi"/>
          <w:i/>
          <w:iCs/>
          <w:lang w:val="es-ES_tradnl"/>
        </w:rPr>
        <w:t>electromagnetic compatibility</w:t>
      </w:r>
      <w:r w:rsidRPr="00D449AA">
        <w:rPr>
          <w:rFonts w:asciiTheme="majorBidi" w:hAnsiTheme="majorBidi" w:cstheme="majorBidi"/>
          <w:lang w:val="es-ES_tradnl"/>
        </w:rPr>
        <w:t>)</w:t>
      </w:r>
    </w:p>
    <w:p w14:paraId="1A1726F7"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EPC</w:t>
      </w:r>
      <w:r w:rsidRPr="00D449AA">
        <w:rPr>
          <w:rFonts w:asciiTheme="majorBidi" w:hAnsiTheme="majorBidi" w:cstheme="majorBidi"/>
          <w:lang w:val="es-ES_tradnl"/>
        </w:rPr>
        <w:tab/>
      </w:r>
      <w:r w:rsidRPr="00D449AA">
        <w:rPr>
          <w:rFonts w:asciiTheme="majorBidi" w:hAnsiTheme="majorBidi" w:cstheme="majorBidi"/>
          <w:lang w:val="es-ES_tradnl"/>
        </w:rPr>
        <w:tab/>
        <w:t>Código de producto electrónico (</w:t>
      </w:r>
      <w:r w:rsidRPr="00D449AA">
        <w:rPr>
          <w:rFonts w:asciiTheme="majorBidi" w:hAnsiTheme="majorBidi" w:cstheme="majorBidi"/>
          <w:i/>
          <w:iCs/>
          <w:lang w:val="es-ES_tradnl"/>
        </w:rPr>
        <w:t>electronic product code</w:t>
      </w:r>
      <w:r w:rsidRPr="00D449AA">
        <w:rPr>
          <w:rFonts w:asciiTheme="majorBidi" w:hAnsiTheme="majorBidi" w:cstheme="majorBidi"/>
          <w:lang w:val="es-ES_tradnl"/>
        </w:rPr>
        <w:t>)</w:t>
      </w:r>
    </w:p>
    <w:p w14:paraId="053E9E16"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EPCIS</w:t>
      </w:r>
      <w:r w:rsidRPr="00D449AA">
        <w:rPr>
          <w:rFonts w:asciiTheme="majorBidi" w:hAnsiTheme="majorBidi" w:cstheme="majorBidi"/>
          <w:lang w:val="es-ES_tradnl"/>
        </w:rPr>
        <w:tab/>
      </w:r>
      <w:r w:rsidRPr="00D449AA">
        <w:rPr>
          <w:rFonts w:asciiTheme="majorBidi" w:hAnsiTheme="majorBidi" w:cstheme="majorBidi"/>
          <w:lang w:val="es-ES_tradnl"/>
        </w:rPr>
        <w:tab/>
        <w:t>Servicio de información EPC (</w:t>
      </w:r>
      <w:r w:rsidRPr="00D449AA">
        <w:rPr>
          <w:rFonts w:asciiTheme="majorBidi" w:hAnsiTheme="majorBidi" w:cstheme="majorBidi"/>
          <w:i/>
          <w:iCs/>
          <w:lang w:val="es-ES_tradnl"/>
        </w:rPr>
        <w:t>EPC information service</w:t>
      </w:r>
      <w:r w:rsidRPr="00D449AA">
        <w:rPr>
          <w:rFonts w:asciiTheme="majorBidi" w:hAnsiTheme="majorBidi" w:cstheme="majorBidi"/>
          <w:lang w:val="es-ES_tradnl"/>
        </w:rPr>
        <w:t>)</w:t>
      </w:r>
    </w:p>
    <w:p w14:paraId="4E4368FD"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GDTI</w:t>
      </w:r>
      <w:r w:rsidRPr="00D449AA">
        <w:rPr>
          <w:rFonts w:asciiTheme="majorBidi" w:hAnsiTheme="majorBidi" w:cstheme="majorBidi"/>
          <w:lang w:val="es-ES_tradnl"/>
        </w:rPr>
        <w:tab/>
      </w:r>
      <w:r w:rsidRPr="00D449AA">
        <w:rPr>
          <w:rFonts w:asciiTheme="majorBidi" w:hAnsiTheme="majorBidi" w:cstheme="majorBidi"/>
          <w:lang w:val="es-ES_tradnl"/>
        </w:rPr>
        <w:tab/>
        <w:t>Identificador mundial de tipo de documento (</w:t>
      </w:r>
      <w:r w:rsidRPr="00D449AA">
        <w:rPr>
          <w:rFonts w:asciiTheme="majorBidi" w:hAnsiTheme="majorBidi" w:cstheme="majorBidi"/>
          <w:i/>
          <w:iCs/>
          <w:lang w:val="es-ES_tradnl"/>
        </w:rPr>
        <w:t>global document type identifier</w:t>
      </w:r>
      <w:r w:rsidRPr="00D449AA">
        <w:rPr>
          <w:rFonts w:asciiTheme="majorBidi" w:hAnsiTheme="majorBidi" w:cstheme="majorBidi"/>
          <w:lang w:val="es-ES_tradnl"/>
        </w:rPr>
        <w:t>)</w:t>
      </w:r>
    </w:p>
    <w:p w14:paraId="0B1F9831"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GIAI</w:t>
      </w:r>
      <w:r w:rsidRPr="00D449AA">
        <w:rPr>
          <w:rFonts w:asciiTheme="majorBidi" w:hAnsiTheme="majorBidi" w:cstheme="majorBidi"/>
          <w:lang w:val="es-ES_tradnl"/>
        </w:rPr>
        <w:tab/>
      </w:r>
      <w:r w:rsidRPr="00D449AA">
        <w:rPr>
          <w:rFonts w:asciiTheme="majorBidi" w:hAnsiTheme="majorBidi" w:cstheme="majorBidi"/>
          <w:lang w:val="es-ES_tradnl"/>
        </w:rPr>
        <w:tab/>
        <w:t>Identificador mundial de activos individuales (</w:t>
      </w:r>
      <w:r w:rsidRPr="00D449AA">
        <w:rPr>
          <w:rFonts w:asciiTheme="majorBidi" w:hAnsiTheme="majorBidi" w:cstheme="majorBidi"/>
          <w:i/>
          <w:iCs/>
          <w:lang w:val="es-ES_tradnl"/>
        </w:rPr>
        <w:t>global individual asset identifier</w:t>
      </w:r>
      <w:r w:rsidRPr="00D449AA">
        <w:rPr>
          <w:rFonts w:asciiTheme="majorBidi" w:hAnsiTheme="majorBidi" w:cstheme="majorBidi"/>
          <w:lang w:val="es-ES_tradnl"/>
        </w:rPr>
        <w:t>)</w:t>
      </w:r>
    </w:p>
    <w:p w14:paraId="561E40F4"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GID</w:t>
      </w:r>
      <w:r w:rsidRPr="00D449AA">
        <w:rPr>
          <w:rFonts w:asciiTheme="majorBidi" w:hAnsiTheme="majorBidi" w:cstheme="majorBidi"/>
          <w:lang w:val="es-ES_tradnl"/>
        </w:rPr>
        <w:tab/>
      </w:r>
      <w:r w:rsidRPr="00D449AA">
        <w:rPr>
          <w:rFonts w:asciiTheme="majorBidi" w:hAnsiTheme="majorBidi" w:cstheme="majorBidi"/>
          <w:lang w:val="es-ES_tradnl"/>
        </w:rPr>
        <w:tab/>
        <w:t>Identificador general (</w:t>
      </w:r>
      <w:r w:rsidRPr="00D449AA">
        <w:rPr>
          <w:rFonts w:asciiTheme="majorBidi" w:hAnsiTheme="majorBidi" w:cstheme="majorBidi"/>
          <w:i/>
          <w:iCs/>
          <w:lang w:val="es-ES_tradnl"/>
        </w:rPr>
        <w:t>general identifier</w:t>
      </w:r>
      <w:r w:rsidRPr="00D449AA">
        <w:rPr>
          <w:rFonts w:asciiTheme="majorBidi" w:hAnsiTheme="majorBidi" w:cstheme="majorBidi"/>
          <w:lang w:val="es-ES_tradnl"/>
        </w:rPr>
        <w:t>)</w:t>
      </w:r>
    </w:p>
    <w:p w14:paraId="61AEB079" w14:textId="77777777" w:rsidR="006B1268" w:rsidRPr="00BE66BE" w:rsidRDefault="006B1268" w:rsidP="00C142FB">
      <w:pPr>
        <w:rPr>
          <w:rFonts w:asciiTheme="majorBidi" w:hAnsiTheme="majorBidi" w:cstheme="majorBidi"/>
          <w:lang w:val="fr-CH"/>
        </w:rPr>
      </w:pPr>
      <w:r w:rsidRPr="00BE66BE">
        <w:rPr>
          <w:rFonts w:asciiTheme="majorBidi" w:hAnsiTheme="majorBidi" w:cstheme="majorBidi"/>
          <w:lang w:val="fr-CH"/>
        </w:rPr>
        <w:t>GII</w:t>
      </w:r>
      <w:r w:rsidRPr="00BE66BE">
        <w:rPr>
          <w:rFonts w:asciiTheme="majorBidi" w:hAnsiTheme="majorBidi" w:cstheme="majorBidi"/>
          <w:lang w:val="fr-CH"/>
        </w:rPr>
        <w:tab/>
      </w:r>
      <w:r w:rsidRPr="00BE66BE">
        <w:rPr>
          <w:rFonts w:asciiTheme="majorBidi" w:hAnsiTheme="majorBidi" w:cstheme="majorBidi"/>
          <w:lang w:val="fr-CH"/>
        </w:rPr>
        <w:tab/>
        <w:t>Progr</w:t>
      </w:r>
      <w:r>
        <w:rPr>
          <w:rFonts w:asciiTheme="majorBidi" w:hAnsiTheme="majorBidi" w:cstheme="majorBidi"/>
          <w:lang w:val="fr-CH"/>
        </w:rPr>
        <w:t>a</w:t>
      </w:r>
      <w:r w:rsidRPr="00BE66BE">
        <w:rPr>
          <w:rFonts w:asciiTheme="majorBidi" w:hAnsiTheme="majorBidi" w:cstheme="majorBidi"/>
          <w:lang w:val="fr-CH"/>
        </w:rPr>
        <w:t>ma de implante IMEI genuino (</w:t>
      </w:r>
      <w:r w:rsidRPr="00BE66BE">
        <w:rPr>
          <w:rFonts w:asciiTheme="majorBidi" w:hAnsiTheme="majorBidi" w:cstheme="majorBidi"/>
          <w:i/>
          <w:iCs/>
          <w:lang w:val="fr-CH"/>
        </w:rPr>
        <w:t>genuine IMEI implant programme</w:t>
      </w:r>
      <w:r w:rsidRPr="00BE66BE">
        <w:rPr>
          <w:rFonts w:asciiTheme="majorBidi" w:hAnsiTheme="majorBidi" w:cstheme="majorBidi"/>
          <w:lang w:val="fr-CH"/>
        </w:rPr>
        <w:t>)</w:t>
      </w:r>
    </w:p>
    <w:p w14:paraId="05B4F803" w14:textId="77777777" w:rsidR="006B1268" w:rsidRPr="00D449AA" w:rsidRDefault="006B1268" w:rsidP="00C142FB">
      <w:pPr>
        <w:ind w:left="1191" w:hanging="1191"/>
        <w:rPr>
          <w:rFonts w:asciiTheme="majorBidi" w:hAnsiTheme="majorBidi" w:cstheme="majorBidi"/>
          <w:lang w:val="es-ES_tradnl"/>
        </w:rPr>
      </w:pPr>
      <w:r w:rsidRPr="00D449AA">
        <w:rPr>
          <w:rFonts w:asciiTheme="majorBidi" w:hAnsiTheme="majorBidi" w:cstheme="majorBidi"/>
          <w:lang w:val="es-ES_tradnl"/>
        </w:rPr>
        <w:t>GINC</w:t>
      </w:r>
      <w:r w:rsidRPr="00D449AA">
        <w:rPr>
          <w:rFonts w:asciiTheme="majorBidi" w:hAnsiTheme="majorBidi" w:cstheme="majorBidi"/>
          <w:lang w:val="es-ES_tradnl"/>
        </w:rPr>
        <w:tab/>
      </w:r>
      <w:r w:rsidRPr="00D449AA">
        <w:rPr>
          <w:rFonts w:asciiTheme="majorBidi" w:hAnsiTheme="majorBidi" w:cstheme="majorBidi"/>
          <w:lang w:val="es-ES_tradnl"/>
        </w:rPr>
        <w:tab/>
        <w:t>Número de identificación mundial para expedición (</w:t>
      </w:r>
      <w:r w:rsidRPr="00D449AA">
        <w:rPr>
          <w:rFonts w:asciiTheme="majorBidi" w:hAnsiTheme="majorBidi" w:cstheme="majorBidi"/>
          <w:i/>
          <w:iCs/>
          <w:lang w:val="es-ES_tradnl"/>
        </w:rPr>
        <w:t>global identification number for consignment</w:t>
      </w:r>
      <w:r w:rsidRPr="00D449AA">
        <w:rPr>
          <w:rFonts w:asciiTheme="majorBidi" w:hAnsiTheme="majorBidi" w:cstheme="majorBidi"/>
          <w:lang w:val="es-ES_tradnl"/>
        </w:rPr>
        <w:t xml:space="preserve">) </w:t>
      </w:r>
    </w:p>
    <w:p w14:paraId="0A9B4DB4"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GLN</w:t>
      </w:r>
      <w:r w:rsidRPr="00D449AA">
        <w:rPr>
          <w:rFonts w:asciiTheme="majorBidi" w:hAnsiTheme="majorBidi" w:cstheme="majorBidi"/>
          <w:lang w:val="es-ES_tradnl"/>
        </w:rPr>
        <w:tab/>
      </w:r>
      <w:r w:rsidRPr="00D449AA">
        <w:rPr>
          <w:rFonts w:asciiTheme="majorBidi" w:hAnsiTheme="majorBidi" w:cstheme="majorBidi"/>
          <w:lang w:val="es-ES_tradnl"/>
        </w:rPr>
        <w:tab/>
        <w:t>Número mundial de ubicación (</w:t>
      </w:r>
      <w:r w:rsidRPr="00D449AA">
        <w:rPr>
          <w:rFonts w:asciiTheme="majorBidi" w:hAnsiTheme="majorBidi" w:cstheme="majorBidi"/>
          <w:i/>
          <w:iCs/>
          <w:lang w:val="es-ES_tradnl"/>
        </w:rPr>
        <w:t>global location number</w:t>
      </w:r>
      <w:r w:rsidRPr="00D449AA">
        <w:rPr>
          <w:rFonts w:asciiTheme="majorBidi" w:hAnsiTheme="majorBidi" w:cstheme="majorBidi"/>
          <w:lang w:val="es-ES_tradnl"/>
        </w:rPr>
        <w:t>)</w:t>
      </w:r>
    </w:p>
    <w:p w14:paraId="0300B83A"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GRAI</w:t>
      </w:r>
      <w:r w:rsidRPr="00D449AA">
        <w:rPr>
          <w:rFonts w:asciiTheme="majorBidi" w:hAnsiTheme="majorBidi" w:cstheme="majorBidi"/>
          <w:lang w:val="es-ES_tradnl"/>
        </w:rPr>
        <w:tab/>
      </w:r>
      <w:r w:rsidRPr="00D449AA">
        <w:rPr>
          <w:rFonts w:asciiTheme="majorBidi" w:hAnsiTheme="majorBidi" w:cstheme="majorBidi"/>
          <w:lang w:val="es-ES_tradnl"/>
        </w:rPr>
        <w:tab/>
        <w:t>Identificador mundial de activos recuperables (</w:t>
      </w:r>
      <w:r w:rsidRPr="00D449AA">
        <w:rPr>
          <w:rFonts w:asciiTheme="majorBidi" w:hAnsiTheme="majorBidi" w:cstheme="majorBidi"/>
          <w:i/>
          <w:iCs/>
          <w:lang w:val="es-ES_tradnl"/>
        </w:rPr>
        <w:t>global returnable asset identifier</w:t>
      </w:r>
      <w:r w:rsidRPr="00D449AA">
        <w:rPr>
          <w:rFonts w:asciiTheme="majorBidi" w:hAnsiTheme="majorBidi" w:cstheme="majorBidi"/>
          <w:lang w:val="es-ES_tradnl"/>
        </w:rPr>
        <w:t>)</w:t>
      </w:r>
    </w:p>
    <w:p w14:paraId="4DA847A3"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GSIN</w:t>
      </w:r>
      <w:r w:rsidRPr="00D449AA">
        <w:rPr>
          <w:rFonts w:asciiTheme="majorBidi" w:hAnsiTheme="majorBidi" w:cstheme="majorBidi"/>
          <w:lang w:val="es-ES_tradnl"/>
        </w:rPr>
        <w:tab/>
      </w:r>
      <w:r w:rsidRPr="00D449AA">
        <w:rPr>
          <w:rFonts w:asciiTheme="majorBidi" w:hAnsiTheme="majorBidi" w:cstheme="majorBidi"/>
          <w:lang w:val="es-ES_tradnl"/>
        </w:rPr>
        <w:tab/>
        <w:t>Número mundial de identificación de envío (</w:t>
      </w:r>
      <w:r w:rsidRPr="00D449AA">
        <w:rPr>
          <w:rFonts w:asciiTheme="majorBidi" w:hAnsiTheme="majorBidi" w:cstheme="majorBidi"/>
          <w:i/>
          <w:iCs/>
          <w:lang w:val="es-ES_tradnl"/>
        </w:rPr>
        <w:t>global shipment identification number</w:t>
      </w:r>
      <w:r w:rsidRPr="00D449AA">
        <w:rPr>
          <w:rFonts w:asciiTheme="majorBidi" w:hAnsiTheme="majorBidi" w:cstheme="majorBidi"/>
          <w:lang w:val="es-ES_tradnl"/>
        </w:rPr>
        <w:t>)</w:t>
      </w:r>
    </w:p>
    <w:p w14:paraId="4BD10565" w14:textId="77777777" w:rsidR="006B1268" w:rsidRPr="00D449AA" w:rsidRDefault="006B1268" w:rsidP="00C142FB">
      <w:pPr>
        <w:ind w:left="1191" w:hanging="1191"/>
        <w:rPr>
          <w:rFonts w:asciiTheme="majorBidi" w:hAnsiTheme="majorBidi" w:cstheme="majorBidi"/>
          <w:lang w:val="es-ES_tradnl"/>
        </w:rPr>
      </w:pPr>
      <w:r w:rsidRPr="00D449AA">
        <w:rPr>
          <w:rFonts w:asciiTheme="majorBidi" w:hAnsiTheme="majorBidi" w:cstheme="majorBidi"/>
          <w:lang w:val="es-ES_tradnl"/>
        </w:rPr>
        <w:t>GSM</w:t>
      </w:r>
      <w:r w:rsidRPr="00D449AA">
        <w:rPr>
          <w:rFonts w:asciiTheme="majorBidi" w:hAnsiTheme="majorBidi" w:cstheme="majorBidi"/>
          <w:lang w:val="es-ES_tradnl"/>
        </w:rPr>
        <w:tab/>
      </w:r>
      <w:r w:rsidRPr="00D449AA">
        <w:rPr>
          <w:rFonts w:asciiTheme="majorBidi" w:hAnsiTheme="majorBidi" w:cstheme="majorBidi"/>
          <w:lang w:val="es-ES_tradnl"/>
        </w:rPr>
        <w:tab/>
        <w:t>Sistema mundial de comunicaciones móviles (</w:t>
      </w:r>
      <w:r w:rsidRPr="00D449AA">
        <w:rPr>
          <w:rFonts w:asciiTheme="majorBidi" w:hAnsiTheme="majorBidi" w:cstheme="majorBidi"/>
          <w:i/>
          <w:iCs/>
          <w:lang w:val="es-ES_tradnl"/>
        </w:rPr>
        <w:t>global system for mobile communications</w:t>
      </w:r>
      <w:r w:rsidRPr="00D449AA">
        <w:rPr>
          <w:rFonts w:asciiTheme="majorBidi" w:hAnsiTheme="majorBidi" w:cstheme="majorBidi"/>
          <w:lang w:val="es-ES_tradnl"/>
        </w:rPr>
        <w:t>)</w:t>
      </w:r>
    </w:p>
    <w:p w14:paraId="2CC8C19E"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GSRN</w:t>
      </w:r>
      <w:r w:rsidRPr="00D449AA">
        <w:rPr>
          <w:rFonts w:asciiTheme="majorBidi" w:hAnsiTheme="majorBidi" w:cstheme="majorBidi"/>
          <w:lang w:val="es-ES_tradnl"/>
        </w:rPr>
        <w:tab/>
      </w:r>
      <w:r w:rsidRPr="00D449AA">
        <w:rPr>
          <w:rFonts w:asciiTheme="majorBidi" w:hAnsiTheme="majorBidi" w:cstheme="majorBidi"/>
          <w:lang w:val="es-ES_tradnl"/>
        </w:rPr>
        <w:tab/>
        <w:t>Número mundial de relación de servicio (</w:t>
      </w:r>
      <w:r w:rsidRPr="00D449AA">
        <w:rPr>
          <w:rFonts w:asciiTheme="majorBidi" w:hAnsiTheme="majorBidi" w:cstheme="majorBidi"/>
          <w:i/>
          <w:iCs/>
          <w:lang w:val="es-ES_tradnl"/>
        </w:rPr>
        <w:t>global service relation number</w:t>
      </w:r>
      <w:r w:rsidRPr="00D449AA">
        <w:rPr>
          <w:rFonts w:asciiTheme="majorBidi" w:hAnsiTheme="majorBidi" w:cstheme="majorBidi"/>
          <w:lang w:val="es-ES_tradnl"/>
        </w:rPr>
        <w:t>)</w:t>
      </w:r>
    </w:p>
    <w:p w14:paraId="2CB8A0A4" w14:textId="77777777" w:rsidR="006B1268" w:rsidRPr="0006288C" w:rsidRDefault="006B1268" w:rsidP="00C142FB">
      <w:pPr>
        <w:rPr>
          <w:rFonts w:asciiTheme="majorBidi" w:hAnsiTheme="majorBidi" w:cstheme="majorBidi"/>
          <w:lang w:val="es-ES_tradnl"/>
        </w:rPr>
      </w:pPr>
      <w:r w:rsidRPr="0006288C">
        <w:rPr>
          <w:rFonts w:asciiTheme="majorBidi" w:hAnsiTheme="majorBidi" w:cstheme="majorBidi"/>
          <w:lang w:val="es-ES_tradnl"/>
        </w:rPr>
        <w:t>GT</w:t>
      </w:r>
      <w:r>
        <w:rPr>
          <w:rFonts w:asciiTheme="majorBidi" w:hAnsiTheme="majorBidi" w:cstheme="majorBidi"/>
          <w:lang w:val="es-ES_tradnl"/>
        </w:rPr>
        <w:tab/>
      </w:r>
      <w:r>
        <w:rPr>
          <w:rFonts w:asciiTheme="majorBidi" w:hAnsiTheme="majorBidi" w:cstheme="majorBidi"/>
          <w:lang w:val="es-ES_tradnl"/>
        </w:rPr>
        <w:tab/>
        <w:t>Grupo de Trabajo</w:t>
      </w:r>
    </w:p>
    <w:p w14:paraId="41F7900A"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lastRenderedPageBreak/>
        <w:t>GTIN</w:t>
      </w:r>
      <w:r w:rsidRPr="00D449AA">
        <w:rPr>
          <w:rFonts w:asciiTheme="majorBidi" w:hAnsiTheme="majorBidi" w:cstheme="majorBidi"/>
          <w:lang w:val="es-ES_tradnl"/>
        </w:rPr>
        <w:tab/>
      </w:r>
      <w:r w:rsidRPr="00D449AA">
        <w:rPr>
          <w:rFonts w:asciiTheme="majorBidi" w:hAnsiTheme="majorBidi" w:cstheme="majorBidi"/>
          <w:lang w:val="es-ES_tradnl"/>
        </w:rPr>
        <w:tab/>
        <w:t>Número mundial de artículo de comercio (</w:t>
      </w:r>
      <w:r w:rsidRPr="00D449AA">
        <w:rPr>
          <w:rFonts w:asciiTheme="majorBidi" w:hAnsiTheme="majorBidi" w:cstheme="majorBidi"/>
          <w:i/>
          <w:iCs/>
          <w:lang w:val="es-ES_tradnl"/>
        </w:rPr>
        <w:t>global trade item number</w:t>
      </w:r>
      <w:r w:rsidRPr="00D449AA">
        <w:rPr>
          <w:rFonts w:asciiTheme="majorBidi" w:hAnsiTheme="majorBidi" w:cstheme="majorBidi"/>
          <w:lang w:val="es-ES_tradnl"/>
        </w:rPr>
        <w:t>)</w:t>
      </w:r>
    </w:p>
    <w:p w14:paraId="515DAF04" w14:textId="77777777" w:rsidR="006B1268" w:rsidRPr="00D449AA" w:rsidRDefault="006B1268" w:rsidP="00C142FB">
      <w:pPr>
        <w:rPr>
          <w:rFonts w:asciiTheme="majorBidi" w:hAnsiTheme="majorBidi" w:cstheme="majorBidi"/>
          <w:lang w:val="en-US"/>
        </w:rPr>
      </w:pPr>
      <w:r w:rsidRPr="00D449AA">
        <w:rPr>
          <w:rFonts w:asciiTheme="majorBidi" w:hAnsiTheme="majorBidi" w:cstheme="majorBidi"/>
          <w:lang w:val="en-US"/>
        </w:rPr>
        <w:t>HF</w:t>
      </w:r>
      <w:r w:rsidRPr="00D449AA">
        <w:rPr>
          <w:rFonts w:asciiTheme="majorBidi" w:hAnsiTheme="majorBidi" w:cstheme="majorBidi"/>
          <w:lang w:val="en-US"/>
        </w:rPr>
        <w:tab/>
      </w:r>
      <w:r w:rsidRPr="00D449AA">
        <w:rPr>
          <w:rFonts w:asciiTheme="majorBidi" w:hAnsiTheme="majorBidi" w:cstheme="majorBidi"/>
          <w:lang w:val="en-US"/>
        </w:rPr>
        <w:tab/>
        <w:t>ondas decamétricas (</w:t>
      </w:r>
      <w:r w:rsidRPr="00D449AA">
        <w:rPr>
          <w:rFonts w:asciiTheme="majorBidi" w:hAnsiTheme="majorBidi" w:cstheme="majorBidi"/>
          <w:i/>
          <w:iCs/>
          <w:lang w:val="en-US"/>
        </w:rPr>
        <w:t>high frequency</w:t>
      </w:r>
      <w:r w:rsidRPr="00D449AA">
        <w:rPr>
          <w:rFonts w:asciiTheme="majorBidi" w:hAnsiTheme="majorBidi" w:cstheme="majorBidi"/>
          <w:lang w:val="en-US"/>
        </w:rPr>
        <w:t>)</w:t>
      </w:r>
    </w:p>
    <w:p w14:paraId="12100F10"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ic</w:t>
      </w:r>
      <w:r w:rsidRPr="00D449AA">
        <w:rPr>
          <w:rFonts w:asciiTheme="majorBidi" w:hAnsiTheme="majorBidi" w:cstheme="majorBidi"/>
          <w:lang w:val="es-ES_tradnl"/>
        </w:rPr>
        <w:tab/>
      </w:r>
      <w:r w:rsidRPr="00D449AA">
        <w:rPr>
          <w:rFonts w:asciiTheme="majorBidi" w:hAnsiTheme="majorBidi" w:cstheme="majorBidi"/>
          <w:lang w:val="es-ES_tradnl"/>
        </w:rPr>
        <w:tab/>
        <w:t>código de identificación (</w:t>
      </w:r>
      <w:r w:rsidRPr="00D449AA">
        <w:rPr>
          <w:rFonts w:asciiTheme="majorBidi" w:hAnsiTheme="majorBidi" w:cstheme="majorBidi"/>
          <w:i/>
          <w:iCs/>
          <w:lang w:val="es-ES_tradnl"/>
        </w:rPr>
        <w:t>identification code</w:t>
      </w:r>
      <w:r w:rsidRPr="00D449AA">
        <w:rPr>
          <w:rFonts w:asciiTheme="majorBidi" w:hAnsiTheme="majorBidi" w:cstheme="majorBidi"/>
          <w:lang w:val="es-ES_tradnl"/>
        </w:rPr>
        <w:t>)</w:t>
      </w:r>
    </w:p>
    <w:p w14:paraId="0D1E8DCA"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IC</w:t>
      </w:r>
      <w:r w:rsidRPr="00D449AA">
        <w:rPr>
          <w:rFonts w:asciiTheme="majorBidi" w:hAnsiTheme="majorBidi" w:cstheme="majorBidi"/>
          <w:lang w:val="es-ES_tradnl"/>
        </w:rPr>
        <w:tab/>
      </w:r>
      <w:r w:rsidRPr="00D449AA">
        <w:rPr>
          <w:rFonts w:asciiTheme="majorBidi" w:hAnsiTheme="majorBidi" w:cstheme="majorBidi"/>
          <w:lang w:val="es-ES_tradnl"/>
        </w:rPr>
        <w:tab/>
        <w:t>circuito integrado (</w:t>
      </w:r>
      <w:r w:rsidRPr="00D449AA">
        <w:rPr>
          <w:rFonts w:asciiTheme="majorBidi" w:hAnsiTheme="majorBidi" w:cstheme="majorBidi"/>
          <w:i/>
          <w:iCs/>
          <w:lang w:val="es-ES_tradnl"/>
        </w:rPr>
        <w:t>integrated circuit</w:t>
      </w:r>
      <w:r w:rsidRPr="00D449AA">
        <w:rPr>
          <w:rFonts w:asciiTheme="majorBidi" w:hAnsiTheme="majorBidi" w:cstheme="majorBidi"/>
          <w:lang w:val="es-ES_tradnl"/>
        </w:rPr>
        <w:t>)</w:t>
      </w:r>
    </w:p>
    <w:p w14:paraId="683241F7" w14:textId="77777777" w:rsidR="006B1268" w:rsidRPr="00D449AA" w:rsidRDefault="006B1268" w:rsidP="00C142FB">
      <w:pPr>
        <w:ind w:left="1191" w:hanging="1191"/>
        <w:rPr>
          <w:rFonts w:asciiTheme="majorBidi" w:hAnsiTheme="majorBidi" w:cstheme="majorBidi"/>
          <w:lang w:val="es-ES_tradnl"/>
        </w:rPr>
      </w:pPr>
      <w:r w:rsidRPr="00D449AA">
        <w:rPr>
          <w:rFonts w:asciiTheme="majorBidi" w:hAnsiTheme="majorBidi" w:cstheme="majorBidi"/>
          <w:lang w:val="es-ES_tradnl"/>
        </w:rPr>
        <w:t>ICT</w:t>
      </w:r>
      <w:r w:rsidRPr="00D449AA">
        <w:rPr>
          <w:rFonts w:asciiTheme="majorBidi" w:hAnsiTheme="majorBidi" w:cstheme="majorBidi"/>
          <w:lang w:val="es-ES_tradnl"/>
        </w:rPr>
        <w:tab/>
      </w:r>
      <w:r w:rsidRPr="00D449AA">
        <w:rPr>
          <w:rFonts w:asciiTheme="majorBidi" w:hAnsiTheme="majorBidi" w:cstheme="majorBidi"/>
          <w:lang w:val="es-ES_tradnl"/>
        </w:rPr>
        <w:tab/>
        <w:t>Tecnología de la información y la comunicación (</w:t>
      </w:r>
      <w:r w:rsidRPr="00D449AA">
        <w:rPr>
          <w:rFonts w:asciiTheme="majorBidi" w:hAnsiTheme="majorBidi" w:cstheme="majorBidi"/>
          <w:i/>
          <w:iCs/>
          <w:lang w:val="es-ES_tradnl"/>
        </w:rPr>
        <w:t>information and communication technology</w:t>
      </w:r>
      <w:r w:rsidRPr="00D449AA">
        <w:rPr>
          <w:rFonts w:asciiTheme="majorBidi" w:hAnsiTheme="majorBidi" w:cstheme="majorBidi"/>
          <w:lang w:val="es-ES_tradnl"/>
        </w:rPr>
        <w:t>)</w:t>
      </w:r>
    </w:p>
    <w:p w14:paraId="6B199AC9"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ID</w:t>
      </w:r>
      <w:r w:rsidRPr="00D449AA">
        <w:rPr>
          <w:rFonts w:asciiTheme="majorBidi" w:hAnsiTheme="majorBidi" w:cstheme="majorBidi"/>
          <w:lang w:val="es-ES_tradnl"/>
        </w:rPr>
        <w:tab/>
      </w:r>
      <w:r w:rsidRPr="00D449AA">
        <w:rPr>
          <w:rFonts w:asciiTheme="majorBidi" w:hAnsiTheme="majorBidi" w:cstheme="majorBidi"/>
          <w:lang w:val="es-ES_tradnl"/>
        </w:rPr>
        <w:tab/>
        <w:t>Identificación (</w:t>
      </w:r>
      <w:r w:rsidRPr="00D449AA">
        <w:rPr>
          <w:rFonts w:asciiTheme="majorBidi" w:hAnsiTheme="majorBidi" w:cstheme="majorBidi"/>
          <w:i/>
          <w:iCs/>
          <w:lang w:val="es-ES_tradnl"/>
        </w:rPr>
        <w:t>identification</w:t>
      </w:r>
      <w:r w:rsidRPr="00D449AA">
        <w:rPr>
          <w:rFonts w:asciiTheme="majorBidi" w:hAnsiTheme="majorBidi" w:cstheme="majorBidi"/>
          <w:lang w:val="es-ES_tradnl"/>
        </w:rPr>
        <w:t>)</w:t>
      </w:r>
    </w:p>
    <w:p w14:paraId="50540D1A"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IMEI</w:t>
      </w:r>
      <w:r w:rsidRPr="00D449AA">
        <w:rPr>
          <w:rFonts w:asciiTheme="majorBidi" w:hAnsiTheme="majorBidi" w:cstheme="majorBidi"/>
          <w:lang w:val="es-ES_tradnl"/>
        </w:rPr>
        <w:tab/>
      </w:r>
      <w:r w:rsidRPr="00D449AA">
        <w:rPr>
          <w:rFonts w:asciiTheme="majorBidi" w:hAnsiTheme="majorBidi" w:cstheme="majorBidi"/>
          <w:lang w:val="es-ES_tradnl"/>
        </w:rPr>
        <w:tab/>
        <w:t>Identidad internacional de equipos móviles (</w:t>
      </w:r>
      <w:r w:rsidRPr="00D449AA">
        <w:rPr>
          <w:rFonts w:asciiTheme="majorBidi" w:hAnsiTheme="majorBidi" w:cstheme="majorBidi"/>
          <w:i/>
          <w:iCs/>
          <w:lang w:val="es-ES_tradnl"/>
        </w:rPr>
        <w:t>international mobile equipment identity</w:t>
      </w:r>
      <w:r w:rsidRPr="00D449AA">
        <w:rPr>
          <w:rFonts w:asciiTheme="majorBidi" w:hAnsiTheme="majorBidi" w:cstheme="majorBidi"/>
          <w:lang w:val="es-ES_tradnl"/>
        </w:rPr>
        <w:t>)</w:t>
      </w:r>
    </w:p>
    <w:p w14:paraId="4387707E"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IP</w:t>
      </w:r>
      <w:r w:rsidRPr="00D449AA">
        <w:rPr>
          <w:rFonts w:asciiTheme="majorBidi" w:hAnsiTheme="majorBidi" w:cstheme="majorBidi"/>
          <w:lang w:val="es-ES_tradnl"/>
        </w:rPr>
        <w:tab/>
      </w:r>
      <w:r w:rsidRPr="00D449AA">
        <w:rPr>
          <w:rFonts w:asciiTheme="majorBidi" w:hAnsiTheme="majorBidi" w:cstheme="majorBidi"/>
          <w:lang w:val="es-ES_tradnl"/>
        </w:rPr>
        <w:tab/>
        <w:t>Propiedad intelectual (</w:t>
      </w:r>
      <w:r w:rsidRPr="00D449AA">
        <w:rPr>
          <w:rFonts w:asciiTheme="majorBidi" w:hAnsiTheme="majorBidi" w:cstheme="majorBidi"/>
          <w:i/>
          <w:iCs/>
          <w:lang w:val="es-ES_tradnl"/>
        </w:rPr>
        <w:t>intellectual property</w:t>
      </w:r>
      <w:r w:rsidRPr="00D449AA">
        <w:rPr>
          <w:rFonts w:asciiTheme="majorBidi" w:hAnsiTheme="majorBidi" w:cstheme="majorBidi"/>
          <w:lang w:val="es-ES_tradnl"/>
        </w:rPr>
        <w:t>)</w:t>
      </w:r>
    </w:p>
    <w:p w14:paraId="3DF367A4"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IP</w:t>
      </w:r>
      <w:r w:rsidRPr="00D449AA">
        <w:rPr>
          <w:rFonts w:asciiTheme="majorBidi" w:hAnsiTheme="majorBidi" w:cstheme="majorBidi"/>
          <w:lang w:val="es-ES_tradnl"/>
        </w:rPr>
        <w:tab/>
      </w:r>
      <w:r w:rsidRPr="00D449AA">
        <w:rPr>
          <w:rFonts w:asciiTheme="majorBidi" w:hAnsiTheme="majorBidi" w:cstheme="majorBidi"/>
          <w:lang w:val="es-ES_tradnl"/>
        </w:rPr>
        <w:tab/>
        <w:t>Protocolo Internet (</w:t>
      </w:r>
      <w:r w:rsidRPr="00D449AA">
        <w:rPr>
          <w:rFonts w:asciiTheme="majorBidi" w:hAnsiTheme="majorBidi" w:cstheme="majorBidi"/>
          <w:i/>
          <w:iCs/>
          <w:lang w:val="es-ES_tradnl"/>
        </w:rPr>
        <w:t>Internet protocol</w:t>
      </w:r>
      <w:r w:rsidRPr="00D449AA">
        <w:rPr>
          <w:rFonts w:asciiTheme="majorBidi" w:hAnsiTheme="majorBidi" w:cstheme="majorBidi"/>
          <w:lang w:val="es-ES_tradnl"/>
        </w:rPr>
        <w:t>)</w:t>
      </w:r>
    </w:p>
    <w:p w14:paraId="3DDBDE90"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IPM</w:t>
      </w:r>
      <w:r w:rsidRPr="00D449AA">
        <w:rPr>
          <w:rFonts w:asciiTheme="majorBidi" w:hAnsiTheme="majorBidi" w:cstheme="majorBidi"/>
          <w:lang w:val="es-ES_tradnl"/>
        </w:rPr>
        <w:tab/>
      </w:r>
      <w:r w:rsidRPr="00D449AA">
        <w:rPr>
          <w:rFonts w:asciiTheme="majorBidi" w:hAnsiTheme="majorBidi" w:cstheme="majorBidi"/>
          <w:lang w:val="es-ES_tradnl"/>
        </w:rPr>
        <w:tab/>
        <w:t>Interfaz público-miembros (</w:t>
      </w:r>
      <w:r w:rsidRPr="00D449AA">
        <w:rPr>
          <w:rFonts w:asciiTheme="majorBidi" w:hAnsiTheme="majorBidi" w:cstheme="majorBidi"/>
          <w:i/>
          <w:iCs/>
          <w:lang w:val="es-ES_tradnl"/>
        </w:rPr>
        <w:t>interface public-members</w:t>
      </w:r>
      <w:r w:rsidRPr="00D449AA">
        <w:rPr>
          <w:rFonts w:asciiTheme="majorBidi" w:hAnsiTheme="majorBidi" w:cstheme="majorBidi"/>
          <w:lang w:val="es-ES_tradnl"/>
        </w:rPr>
        <w:t>)</w:t>
      </w:r>
    </w:p>
    <w:p w14:paraId="36F607F0"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IPR</w:t>
      </w:r>
      <w:r w:rsidRPr="00D449AA">
        <w:rPr>
          <w:rFonts w:asciiTheme="majorBidi" w:hAnsiTheme="majorBidi" w:cstheme="majorBidi"/>
          <w:lang w:val="es-ES_tradnl"/>
        </w:rPr>
        <w:tab/>
      </w:r>
      <w:r w:rsidRPr="00D449AA">
        <w:rPr>
          <w:rFonts w:asciiTheme="majorBidi" w:hAnsiTheme="majorBidi" w:cstheme="majorBidi"/>
          <w:lang w:val="es-ES_tradnl"/>
        </w:rPr>
        <w:tab/>
        <w:t>Derechos de propiedad intelectual (</w:t>
      </w:r>
      <w:r w:rsidRPr="00D449AA">
        <w:rPr>
          <w:rFonts w:asciiTheme="majorBidi" w:hAnsiTheme="majorBidi" w:cstheme="majorBidi"/>
          <w:i/>
          <w:iCs/>
          <w:lang w:val="es-ES_tradnl"/>
        </w:rPr>
        <w:t>intellectual property rights</w:t>
      </w:r>
      <w:r w:rsidRPr="00D449AA">
        <w:rPr>
          <w:rFonts w:asciiTheme="majorBidi" w:hAnsiTheme="majorBidi" w:cstheme="majorBidi"/>
          <w:lang w:val="es-ES_tradnl"/>
        </w:rPr>
        <w:t>)</w:t>
      </w:r>
    </w:p>
    <w:p w14:paraId="179B62EC"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ISBN</w:t>
      </w:r>
      <w:r w:rsidRPr="00D449AA">
        <w:rPr>
          <w:rFonts w:asciiTheme="majorBidi" w:hAnsiTheme="majorBidi" w:cstheme="majorBidi"/>
          <w:lang w:val="es-ES_tradnl"/>
        </w:rPr>
        <w:tab/>
      </w:r>
      <w:r w:rsidRPr="00D449AA">
        <w:rPr>
          <w:rFonts w:asciiTheme="majorBidi" w:hAnsiTheme="majorBidi" w:cstheme="majorBidi"/>
          <w:lang w:val="es-ES_tradnl"/>
        </w:rPr>
        <w:tab/>
        <w:t>Número internacional de libro normalizado (</w:t>
      </w:r>
      <w:r w:rsidRPr="00D449AA">
        <w:rPr>
          <w:rFonts w:asciiTheme="majorBidi" w:hAnsiTheme="majorBidi" w:cstheme="majorBidi"/>
          <w:i/>
          <w:iCs/>
          <w:lang w:val="es-ES_tradnl"/>
        </w:rPr>
        <w:t>international standard book number</w:t>
      </w:r>
      <w:r w:rsidRPr="00D449AA">
        <w:rPr>
          <w:rFonts w:asciiTheme="majorBidi" w:hAnsiTheme="majorBidi" w:cstheme="majorBidi"/>
          <w:lang w:val="es-ES_tradnl"/>
        </w:rPr>
        <w:t>)</w:t>
      </w:r>
    </w:p>
    <w:p w14:paraId="3F2EBE51"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ISSN</w:t>
      </w:r>
      <w:r w:rsidRPr="00D449AA">
        <w:rPr>
          <w:rFonts w:asciiTheme="majorBidi" w:hAnsiTheme="majorBidi" w:cstheme="majorBidi"/>
          <w:lang w:val="es-ES_tradnl"/>
        </w:rPr>
        <w:tab/>
      </w:r>
      <w:r w:rsidRPr="00D449AA">
        <w:rPr>
          <w:rFonts w:asciiTheme="majorBidi" w:hAnsiTheme="majorBidi" w:cstheme="majorBidi"/>
          <w:lang w:val="es-ES_tradnl"/>
        </w:rPr>
        <w:tab/>
        <w:t>Número internacional de serie normalizado (</w:t>
      </w:r>
      <w:r w:rsidRPr="00D449AA">
        <w:rPr>
          <w:rFonts w:asciiTheme="majorBidi" w:hAnsiTheme="majorBidi" w:cstheme="majorBidi"/>
          <w:i/>
          <w:iCs/>
          <w:lang w:val="es-ES_tradnl"/>
        </w:rPr>
        <w:t>international standard serial number</w:t>
      </w:r>
      <w:r w:rsidRPr="00D449AA">
        <w:rPr>
          <w:rFonts w:asciiTheme="majorBidi" w:hAnsiTheme="majorBidi" w:cstheme="majorBidi"/>
          <w:lang w:val="es-ES_tradnl"/>
        </w:rPr>
        <w:t>)</w:t>
      </w:r>
    </w:p>
    <w:p w14:paraId="7F48074F"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IT</w:t>
      </w:r>
      <w:r w:rsidRPr="00D449AA">
        <w:rPr>
          <w:rFonts w:asciiTheme="majorBidi" w:hAnsiTheme="majorBidi" w:cstheme="majorBidi"/>
          <w:lang w:val="es-ES_tradnl"/>
        </w:rPr>
        <w:tab/>
      </w:r>
      <w:r w:rsidRPr="00D449AA">
        <w:rPr>
          <w:rFonts w:asciiTheme="majorBidi" w:hAnsiTheme="majorBidi" w:cstheme="majorBidi"/>
          <w:lang w:val="es-ES_tradnl"/>
        </w:rPr>
        <w:tab/>
        <w:t>Tecnología de la información (</w:t>
      </w:r>
      <w:r w:rsidRPr="00D449AA">
        <w:rPr>
          <w:rFonts w:asciiTheme="majorBidi" w:hAnsiTheme="majorBidi" w:cstheme="majorBidi"/>
          <w:i/>
          <w:iCs/>
          <w:lang w:val="es-ES_tradnl"/>
        </w:rPr>
        <w:t>information technology</w:t>
      </w:r>
      <w:r w:rsidRPr="00D449AA">
        <w:rPr>
          <w:rFonts w:asciiTheme="majorBidi" w:hAnsiTheme="majorBidi" w:cstheme="majorBidi"/>
          <w:lang w:val="es-ES_tradnl"/>
        </w:rPr>
        <w:t>)</w:t>
      </w:r>
    </w:p>
    <w:p w14:paraId="094D5265"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LLRP</w:t>
      </w:r>
      <w:r w:rsidRPr="00D449AA">
        <w:rPr>
          <w:rFonts w:asciiTheme="majorBidi" w:hAnsiTheme="majorBidi" w:cstheme="majorBidi"/>
          <w:lang w:val="es-ES_tradnl"/>
        </w:rPr>
        <w:tab/>
      </w:r>
      <w:r w:rsidRPr="00D449AA">
        <w:rPr>
          <w:rFonts w:asciiTheme="majorBidi" w:hAnsiTheme="majorBidi" w:cstheme="majorBidi"/>
          <w:lang w:val="es-ES_tradnl"/>
        </w:rPr>
        <w:tab/>
        <w:t>Protocolo de lector de nivel bajo (</w:t>
      </w:r>
      <w:r w:rsidRPr="00D449AA">
        <w:rPr>
          <w:rFonts w:asciiTheme="majorBidi" w:hAnsiTheme="majorBidi" w:cstheme="majorBidi"/>
          <w:i/>
          <w:iCs/>
          <w:lang w:val="es-ES_tradnl"/>
        </w:rPr>
        <w:t>low level reader protocol</w:t>
      </w:r>
      <w:r w:rsidRPr="00D449AA">
        <w:rPr>
          <w:rFonts w:asciiTheme="majorBidi" w:hAnsiTheme="majorBidi" w:cstheme="majorBidi"/>
          <w:lang w:val="es-ES_tradnl"/>
        </w:rPr>
        <w:t>)</w:t>
      </w:r>
    </w:p>
    <w:p w14:paraId="765EA75B"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LTE</w:t>
      </w:r>
      <w:r w:rsidRPr="00D449AA">
        <w:rPr>
          <w:rFonts w:asciiTheme="majorBidi" w:hAnsiTheme="majorBidi" w:cstheme="majorBidi"/>
          <w:lang w:val="es-ES_tradnl"/>
        </w:rPr>
        <w:tab/>
      </w:r>
      <w:r w:rsidRPr="00D449AA">
        <w:rPr>
          <w:rFonts w:asciiTheme="majorBidi" w:hAnsiTheme="majorBidi" w:cstheme="majorBidi"/>
          <w:lang w:val="es-ES_tradnl"/>
        </w:rPr>
        <w:tab/>
        <w:t>Evolución a largo plazo (</w:t>
      </w:r>
      <w:r w:rsidRPr="00D449AA">
        <w:rPr>
          <w:rFonts w:asciiTheme="majorBidi" w:hAnsiTheme="majorBidi" w:cstheme="majorBidi"/>
          <w:i/>
          <w:iCs/>
          <w:lang w:val="es-ES_tradnl"/>
        </w:rPr>
        <w:t>long-term evolution</w:t>
      </w:r>
      <w:r w:rsidRPr="00D449AA">
        <w:rPr>
          <w:rFonts w:asciiTheme="majorBidi" w:hAnsiTheme="majorBidi" w:cstheme="majorBidi"/>
          <w:lang w:val="es-ES_tradnl"/>
        </w:rPr>
        <w:t>)</w:t>
      </w:r>
    </w:p>
    <w:p w14:paraId="284756E1"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ME</w:t>
      </w:r>
      <w:r w:rsidRPr="00D449AA">
        <w:rPr>
          <w:rFonts w:asciiTheme="majorBidi" w:hAnsiTheme="majorBidi" w:cstheme="majorBidi"/>
          <w:lang w:val="es-ES_tradnl"/>
        </w:rPr>
        <w:tab/>
      </w:r>
      <w:r w:rsidRPr="00D449AA">
        <w:rPr>
          <w:rFonts w:asciiTheme="majorBidi" w:hAnsiTheme="majorBidi" w:cstheme="majorBidi"/>
          <w:lang w:val="es-ES_tradnl"/>
        </w:rPr>
        <w:tab/>
        <w:t>Equipo móvil (</w:t>
      </w:r>
      <w:r w:rsidRPr="00D449AA">
        <w:rPr>
          <w:rFonts w:asciiTheme="majorBidi" w:hAnsiTheme="majorBidi" w:cstheme="majorBidi"/>
          <w:i/>
          <w:iCs/>
          <w:lang w:val="es-ES_tradnl"/>
        </w:rPr>
        <w:t>mobile equipment</w:t>
      </w:r>
      <w:r w:rsidRPr="00D449AA">
        <w:rPr>
          <w:rFonts w:asciiTheme="majorBidi" w:hAnsiTheme="majorBidi" w:cstheme="majorBidi"/>
          <w:lang w:val="es-ES_tradnl"/>
        </w:rPr>
        <w:t>)</w:t>
      </w:r>
    </w:p>
    <w:p w14:paraId="53DCC34A"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MEID</w:t>
      </w:r>
      <w:r w:rsidRPr="00D449AA">
        <w:rPr>
          <w:rFonts w:asciiTheme="majorBidi" w:hAnsiTheme="majorBidi" w:cstheme="majorBidi"/>
          <w:lang w:val="es-ES_tradnl"/>
        </w:rPr>
        <w:tab/>
      </w:r>
      <w:r w:rsidRPr="00D449AA">
        <w:rPr>
          <w:rFonts w:asciiTheme="majorBidi" w:hAnsiTheme="majorBidi" w:cstheme="majorBidi"/>
          <w:lang w:val="es-ES_tradnl"/>
        </w:rPr>
        <w:tab/>
        <w:t>Identidad del equipo móvil (</w:t>
      </w:r>
      <w:r w:rsidRPr="00D449AA">
        <w:rPr>
          <w:rFonts w:asciiTheme="majorBidi" w:hAnsiTheme="majorBidi" w:cstheme="majorBidi"/>
          <w:i/>
          <w:iCs/>
          <w:lang w:val="es-ES_tradnl"/>
        </w:rPr>
        <w:t>mobile equipment identity</w:t>
      </w:r>
      <w:r w:rsidRPr="00D449AA">
        <w:rPr>
          <w:rFonts w:asciiTheme="majorBidi" w:hAnsiTheme="majorBidi" w:cstheme="majorBidi"/>
          <w:lang w:val="es-ES_tradnl"/>
        </w:rPr>
        <w:t>)</w:t>
      </w:r>
    </w:p>
    <w:p w14:paraId="573CC7A5" w14:textId="77777777" w:rsidR="006B1268" w:rsidRPr="00D449AA" w:rsidRDefault="006B1268" w:rsidP="00C142FB">
      <w:pPr>
        <w:ind w:left="1191" w:hanging="1191"/>
        <w:rPr>
          <w:rFonts w:asciiTheme="majorBidi" w:hAnsiTheme="majorBidi" w:cstheme="majorBidi"/>
          <w:lang w:val="es-ES_tradnl"/>
        </w:rPr>
      </w:pPr>
      <w:r w:rsidRPr="00D449AA">
        <w:rPr>
          <w:rFonts w:asciiTheme="majorBidi" w:hAnsiTheme="majorBidi" w:cstheme="majorBidi"/>
          <w:lang w:val="es-ES_tradnl"/>
        </w:rPr>
        <w:t>MIIM</w:t>
      </w:r>
      <w:r w:rsidRPr="00D449AA">
        <w:rPr>
          <w:rFonts w:asciiTheme="majorBidi" w:hAnsiTheme="majorBidi" w:cstheme="majorBidi"/>
          <w:lang w:val="es-ES_tradnl"/>
        </w:rPr>
        <w:tab/>
      </w:r>
      <w:r w:rsidRPr="00D449AA">
        <w:rPr>
          <w:rFonts w:asciiTheme="majorBidi" w:hAnsiTheme="majorBidi" w:cstheme="majorBidi"/>
          <w:lang w:val="es-ES_tradnl"/>
        </w:rPr>
        <w:tab/>
        <w:t>Identificación y gestión de elemento móvil (</w:t>
      </w:r>
      <w:r w:rsidRPr="00D449AA">
        <w:rPr>
          <w:rFonts w:asciiTheme="majorBidi" w:hAnsiTheme="majorBidi" w:cstheme="majorBidi"/>
          <w:i/>
          <w:iCs/>
          <w:lang w:val="es-ES_tradnl"/>
        </w:rPr>
        <w:t>mobile item identification and management</w:t>
      </w:r>
      <w:r w:rsidRPr="00D449AA">
        <w:rPr>
          <w:rFonts w:asciiTheme="majorBidi" w:hAnsiTheme="majorBidi" w:cstheme="majorBidi"/>
          <w:lang w:val="es-ES_tradnl"/>
        </w:rPr>
        <w:t>)</w:t>
      </w:r>
    </w:p>
    <w:p w14:paraId="51C3F602"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MRA</w:t>
      </w:r>
      <w:r w:rsidRPr="00D449AA">
        <w:rPr>
          <w:rFonts w:asciiTheme="majorBidi" w:hAnsiTheme="majorBidi" w:cstheme="majorBidi"/>
          <w:lang w:val="es-ES_tradnl"/>
        </w:rPr>
        <w:tab/>
      </w:r>
      <w:r w:rsidRPr="00D449AA">
        <w:rPr>
          <w:rFonts w:asciiTheme="majorBidi" w:hAnsiTheme="majorBidi" w:cstheme="majorBidi"/>
          <w:lang w:val="es-ES_tradnl"/>
        </w:rPr>
        <w:tab/>
        <w:t>Acuerdo de reconocimiento mutuo (</w:t>
      </w:r>
      <w:r w:rsidRPr="00D449AA">
        <w:rPr>
          <w:rFonts w:asciiTheme="majorBidi" w:hAnsiTheme="majorBidi" w:cstheme="majorBidi"/>
          <w:i/>
          <w:iCs/>
          <w:color w:val="222222"/>
          <w:lang w:val="es-ES_tradnl"/>
        </w:rPr>
        <w:t>mutual recognition agreement</w:t>
      </w:r>
      <w:r w:rsidRPr="00D449AA">
        <w:rPr>
          <w:rFonts w:asciiTheme="majorBidi" w:hAnsiTheme="majorBidi" w:cstheme="majorBidi"/>
          <w:color w:val="222222"/>
          <w:lang w:val="es-ES_tradnl"/>
        </w:rPr>
        <w:t>)</w:t>
      </w:r>
    </w:p>
    <w:p w14:paraId="65C1883C"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MSC</w:t>
      </w:r>
      <w:r w:rsidRPr="00D449AA">
        <w:rPr>
          <w:rFonts w:asciiTheme="majorBidi" w:hAnsiTheme="majorBidi" w:cstheme="majorBidi"/>
          <w:lang w:val="es-ES_tradnl"/>
        </w:rPr>
        <w:tab/>
      </w:r>
      <w:r w:rsidRPr="00D449AA">
        <w:rPr>
          <w:rFonts w:asciiTheme="majorBidi" w:hAnsiTheme="majorBidi" w:cstheme="majorBidi"/>
          <w:lang w:val="es-ES_tradnl"/>
        </w:rPr>
        <w:tab/>
        <w:t>Centro de conmutación móvil (</w:t>
      </w:r>
      <w:r w:rsidRPr="00D449AA">
        <w:rPr>
          <w:rFonts w:asciiTheme="majorBidi" w:hAnsiTheme="majorBidi" w:cstheme="majorBidi"/>
          <w:i/>
          <w:iCs/>
          <w:lang w:val="es-ES_tradnl"/>
        </w:rPr>
        <w:t>mobile switching centre</w:t>
      </w:r>
      <w:r w:rsidRPr="00D449AA">
        <w:rPr>
          <w:rFonts w:asciiTheme="majorBidi" w:hAnsiTheme="majorBidi" w:cstheme="majorBidi"/>
          <w:lang w:val="es-ES_tradnl"/>
        </w:rPr>
        <w:t>)</w:t>
      </w:r>
    </w:p>
    <w:p w14:paraId="4C945A03" w14:textId="77777777" w:rsidR="006B1268" w:rsidRPr="00D449AA" w:rsidRDefault="006B1268" w:rsidP="00C142FB">
      <w:pPr>
        <w:ind w:left="1191" w:hanging="1191"/>
        <w:rPr>
          <w:rFonts w:asciiTheme="majorBidi" w:hAnsiTheme="majorBidi" w:cstheme="majorBidi"/>
          <w:lang w:val="es-ES_tradnl"/>
        </w:rPr>
      </w:pPr>
      <w:r w:rsidRPr="00D449AA">
        <w:rPr>
          <w:rFonts w:asciiTheme="majorBidi" w:hAnsiTheme="majorBidi" w:cstheme="majorBidi"/>
          <w:lang w:val="es-ES_tradnl"/>
        </w:rPr>
        <w:t>MSISDN</w:t>
      </w:r>
      <w:r w:rsidRPr="00D449AA">
        <w:rPr>
          <w:rFonts w:asciiTheme="majorBidi" w:hAnsiTheme="majorBidi" w:cstheme="majorBidi"/>
          <w:lang w:val="es-ES_tradnl"/>
        </w:rPr>
        <w:tab/>
        <w:t>Red digital de servicios integrados al abonado móvil (</w:t>
      </w:r>
      <w:r w:rsidRPr="00D449AA">
        <w:rPr>
          <w:rFonts w:asciiTheme="majorBidi" w:hAnsiTheme="majorBidi" w:cstheme="majorBidi"/>
          <w:i/>
          <w:iCs/>
          <w:lang w:val="es-ES_tradnl"/>
        </w:rPr>
        <w:t>mobile subscriber integrated services digital network</w:t>
      </w:r>
      <w:r w:rsidRPr="00D449AA">
        <w:rPr>
          <w:rFonts w:asciiTheme="majorBidi" w:hAnsiTheme="majorBidi" w:cstheme="majorBidi"/>
          <w:lang w:val="es-ES_tradnl"/>
        </w:rPr>
        <w:t>)</w:t>
      </w:r>
    </w:p>
    <w:p w14:paraId="724DF45C"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NIR</w:t>
      </w:r>
      <w:r w:rsidRPr="00D449AA">
        <w:rPr>
          <w:rFonts w:asciiTheme="majorBidi" w:hAnsiTheme="majorBidi" w:cstheme="majorBidi"/>
          <w:lang w:val="es-ES_tradnl"/>
        </w:rPr>
        <w:tab/>
      </w:r>
      <w:r w:rsidRPr="00D449AA">
        <w:rPr>
          <w:rFonts w:asciiTheme="majorBidi" w:hAnsiTheme="majorBidi" w:cstheme="majorBidi"/>
          <w:lang w:val="es-ES_tradnl"/>
        </w:rPr>
        <w:tab/>
        <w:t>Radiación no ionizante (</w:t>
      </w:r>
      <w:r w:rsidRPr="00D449AA">
        <w:rPr>
          <w:rFonts w:asciiTheme="majorBidi" w:hAnsiTheme="majorBidi" w:cstheme="majorBidi"/>
          <w:i/>
          <w:iCs/>
          <w:lang w:val="es-ES_tradnl"/>
        </w:rPr>
        <w:t>non-ionizing radiation</w:t>
      </w:r>
      <w:r w:rsidRPr="00D449AA">
        <w:rPr>
          <w:rFonts w:asciiTheme="majorBidi" w:hAnsiTheme="majorBidi" w:cstheme="majorBidi"/>
          <w:lang w:val="es-ES_tradnl"/>
        </w:rPr>
        <w:t>)</w:t>
      </w:r>
    </w:p>
    <w:p w14:paraId="33A4745E"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OID</w:t>
      </w:r>
      <w:r w:rsidRPr="00D449AA">
        <w:rPr>
          <w:rFonts w:asciiTheme="majorBidi" w:hAnsiTheme="majorBidi" w:cstheme="majorBidi"/>
          <w:lang w:val="es-ES_tradnl"/>
        </w:rPr>
        <w:tab/>
      </w:r>
      <w:r w:rsidRPr="00D449AA">
        <w:rPr>
          <w:rFonts w:asciiTheme="majorBidi" w:hAnsiTheme="majorBidi" w:cstheme="majorBidi"/>
          <w:lang w:val="es-ES_tradnl"/>
        </w:rPr>
        <w:tab/>
        <w:t>Identificador de objetos (</w:t>
      </w:r>
      <w:r w:rsidRPr="00D449AA">
        <w:rPr>
          <w:rFonts w:asciiTheme="majorBidi" w:hAnsiTheme="majorBidi" w:cstheme="majorBidi"/>
          <w:i/>
          <w:iCs/>
          <w:lang w:val="es-ES_tradnl"/>
        </w:rPr>
        <w:t>object identifier</w:t>
      </w:r>
      <w:r w:rsidRPr="00D449AA">
        <w:rPr>
          <w:rFonts w:asciiTheme="majorBidi" w:hAnsiTheme="majorBidi" w:cstheme="majorBidi"/>
          <w:lang w:val="es-ES_tradnl"/>
        </w:rPr>
        <w:t>)</w:t>
      </w:r>
    </w:p>
    <w:p w14:paraId="4711193B"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ONS</w:t>
      </w:r>
      <w:r w:rsidRPr="00D449AA">
        <w:rPr>
          <w:rFonts w:asciiTheme="majorBidi" w:hAnsiTheme="majorBidi" w:cstheme="majorBidi"/>
          <w:lang w:val="es-ES_tradnl"/>
        </w:rPr>
        <w:tab/>
      </w:r>
      <w:r w:rsidRPr="00D449AA">
        <w:rPr>
          <w:rFonts w:asciiTheme="majorBidi" w:hAnsiTheme="majorBidi" w:cstheme="majorBidi"/>
          <w:lang w:val="es-ES_tradnl"/>
        </w:rPr>
        <w:tab/>
        <w:t>Servicio de denominación de objetos (</w:t>
      </w:r>
      <w:r w:rsidRPr="00D449AA">
        <w:rPr>
          <w:rFonts w:asciiTheme="majorBidi" w:hAnsiTheme="majorBidi" w:cstheme="majorBidi"/>
          <w:i/>
          <w:iCs/>
          <w:lang w:val="es-ES_tradnl"/>
        </w:rPr>
        <w:t>object naming service</w:t>
      </w:r>
      <w:r w:rsidRPr="00D449AA">
        <w:rPr>
          <w:rFonts w:asciiTheme="majorBidi" w:hAnsiTheme="majorBidi" w:cstheme="majorBidi"/>
          <w:lang w:val="es-ES_tradnl"/>
        </w:rPr>
        <w:t>)</w:t>
      </w:r>
    </w:p>
    <w:p w14:paraId="7601D987"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QoS</w:t>
      </w:r>
      <w:r w:rsidRPr="00D449AA">
        <w:rPr>
          <w:rFonts w:asciiTheme="majorBidi" w:hAnsiTheme="majorBidi" w:cstheme="majorBidi"/>
          <w:lang w:val="es-ES_tradnl"/>
        </w:rPr>
        <w:tab/>
      </w:r>
      <w:r w:rsidRPr="00D449AA">
        <w:rPr>
          <w:rFonts w:asciiTheme="majorBidi" w:hAnsiTheme="majorBidi" w:cstheme="majorBidi"/>
          <w:lang w:val="es-ES_tradnl"/>
        </w:rPr>
        <w:tab/>
        <w:t>Calidad del servicio (</w:t>
      </w:r>
      <w:r w:rsidRPr="00D449AA">
        <w:rPr>
          <w:rFonts w:asciiTheme="majorBidi" w:hAnsiTheme="majorBidi" w:cstheme="majorBidi"/>
          <w:i/>
          <w:iCs/>
          <w:lang w:val="es-ES_tradnl"/>
        </w:rPr>
        <w:t>quality of service</w:t>
      </w:r>
      <w:r w:rsidRPr="00D449AA">
        <w:rPr>
          <w:rFonts w:asciiTheme="majorBidi" w:hAnsiTheme="majorBidi" w:cstheme="majorBidi"/>
          <w:lang w:val="es-ES_tradnl"/>
        </w:rPr>
        <w:t>)</w:t>
      </w:r>
    </w:p>
    <w:p w14:paraId="4002FBDD"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RF</w:t>
      </w:r>
      <w:r w:rsidRPr="00D449AA">
        <w:rPr>
          <w:rFonts w:asciiTheme="majorBidi" w:hAnsiTheme="majorBidi" w:cstheme="majorBidi"/>
          <w:lang w:val="es-ES_tradnl"/>
        </w:rPr>
        <w:tab/>
      </w:r>
      <w:r w:rsidRPr="00D449AA">
        <w:rPr>
          <w:rFonts w:asciiTheme="majorBidi" w:hAnsiTheme="majorBidi" w:cstheme="majorBidi"/>
          <w:lang w:val="es-ES_tradnl"/>
        </w:rPr>
        <w:tab/>
        <w:t>Radiofrecuencia (</w:t>
      </w:r>
      <w:r w:rsidRPr="00D449AA">
        <w:rPr>
          <w:rFonts w:asciiTheme="majorBidi" w:hAnsiTheme="majorBidi" w:cstheme="majorBidi"/>
          <w:i/>
          <w:iCs/>
          <w:lang w:val="es-ES_tradnl"/>
        </w:rPr>
        <w:t>radio frequency</w:t>
      </w:r>
      <w:r w:rsidRPr="00D449AA">
        <w:rPr>
          <w:rFonts w:asciiTheme="majorBidi" w:hAnsiTheme="majorBidi" w:cstheme="majorBidi"/>
          <w:lang w:val="es-ES_tradnl"/>
        </w:rPr>
        <w:t>)</w:t>
      </w:r>
    </w:p>
    <w:p w14:paraId="4D8535CF"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RFID</w:t>
      </w:r>
      <w:r w:rsidRPr="00D449AA">
        <w:rPr>
          <w:rFonts w:asciiTheme="majorBidi" w:hAnsiTheme="majorBidi" w:cstheme="majorBidi"/>
          <w:lang w:val="es-ES_tradnl"/>
        </w:rPr>
        <w:tab/>
      </w:r>
      <w:r w:rsidRPr="00D449AA">
        <w:rPr>
          <w:rFonts w:asciiTheme="majorBidi" w:hAnsiTheme="majorBidi" w:cstheme="majorBidi"/>
          <w:lang w:val="es-ES_tradnl"/>
        </w:rPr>
        <w:tab/>
        <w:t>Identificación por radiofrecuencia (</w:t>
      </w:r>
      <w:r w:rsidRPr="00D449AA">
        <w:rPr>
          <w:rFonts w:asciiTheme="majorBidi" w:hAnsiTheme="majorBidi" w:cstheme="majorBidi"/>
          <w:i/>
          <w:iCs/>
          <w:lang w:val="es-ES_tradnl"/>
        </w:rPr>
        <w:t>radio frequency identification</w:t>
      </w:r>
      <w:r w:rsidRPr="00D449AA">
        <w:rPr>
          <w:rFonts w:asciiTheme="majorBidi" w:hAnsiTheme="majorBidi" w:cstheme="majorBidi"/>
          <w:lang w:val="es-ES_tradnl"/>
        </w:rPr>
        <w:t>)</w:t>
      </w:r>
    </w:p>
    <w:p w14:paraId="0A6E2EF4"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RM</w:t>
      </w:r>
      <w:r w:rsidRPr="00D449AA">
        <w:rPr>
          <w:rFonts w:asciiTheme="majorBidi" w:hAnsiTheme="majorBidi" w:cstheme="majorBidi"/>
          <w:lang w:val="es-ES_tradnl"/>
        </w:rPr>
        <w:tab/>
      </w:r>
      <w:r w:rsidRPr="00D449AA">
        <w:rPr>
          <w:rFonts w:asciiTheme="majorBidi" w:hAnsiTheme="majorBidi" w:cstheme="majorBidi"/>
          <w:lang w:val="es-ES_tradnl"/>
        </w:rPr>
        <w:tab/>
        <w:t>Gestión del lector (</w:t>
      </w:r>
      <w:r w:rsidRPr="00D449AA">
        <w:rPr>
          <w:rFonts w:asciiTheme="majorBidi" w:hAnsiTheme="majorBidi" w:cstheme="majorBidi"/>
          <w:i/>
          <w:iCs/>
          <w:lang w:val="es-ES_tradnl"/>
        </w:rPr>
        <w:t>reader management</w:t>
      </w:r>
      <w:r w:rsidRPr="00D449AA">
        <w:rPr>
          <w:rFonts w:asciiTheme="majorBidi" w:hAnsiTheme="majorBidi" w:cstheme="majorBidi"/>
          <w:lang w:val="es-ES_tradnl"/>
        </w:rPr>
        <w:t>)</w:t>
      </w:r>
    </w:p>
    <w:p w14:paraId="400BF792"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RoHS</w:t>
      </w:r>
      <w:r w:rsidRPr="00D449AA">
        <w:rPr>
          <w:rFonts w:asciiTheme="majorBidi" w:hAnsiTheme="majorBidi" w:cstheme="majorBidi"/>
          <w:lang w:val="es-ES_tradnl"/>
        </w:rPr>
        <w:tab/>
      </w:r>
      <w:r w:rsidRPr="00D449AA">
        <w:rPr>
          <w:rFonts w:asciiTheme="majorBidi" w:hAnsiTheme="majorBidi" w:cstheme="majorBidi"/>
          <w:lang w:val="es-ES_tradnl"/>
        </w:rPr>
        <w:tab/>
        <w:t>Restricción de sustancias peligrosas (</w:t>
      </w:r>
      <w:r w:rsidRPr="00D449AA">
        <w:rPr>
          <w:rFonts w:asciiTheme="majorBidi" w:hAnsiTheme="majorBidi" w:cstheme="majorBidi"/>
          <w:i/>
          <w:iCs/>
          <w:lang w:val="es-ES_tradnl"/>
        </w:rPr>
        <w:t>restriction of hazardous substances</w:t>
      </w:r>
      <w:r w:rsidRPr="00D449AA">
        <w:rPr>
          <w:rFonts w:asciiTheme="majorBidi" w:hAnsiTheme="majorBidi" w:cstheme="majorBidi"/>
          <w:lang w:val="es-ES_tradnl"/>
        </w:rPr>
        <w:t>)</w:t>
      </w:r>
    </w:p>
    <w:p w14:paraId="262566F8"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RP</w:t>
      </w:r>
      <w:r w:rsidRPr="00D449AA">
        <w:rPr>
          <w:rFonts w:asciiTheme="majorBidi" w:hAnsiTheme="majorBidi" w:cstheme="majorBidi"/>
          <w:lang w:val="es-ES_tradnl"/>
        </w:rPr>
        <w:tab/>
      </w:r>
      <w:r w:rsidRPr="00D449AA">
        <w:rPr>
          <w:rFonts w:asciiTheme="majorBidi" w:hAnsiTheme="majorBidi" w:cstheme="majorBidi"/>
          <w:lang w:val="es-ES_tradnl"/>
        </w:rPr>
        <w:tab/>
        <w:t>Protocolo de lectura (</w:t>
      </w:r>
      <w:r w:rsidRPr="00D449AA">
        <w:rPr>
          <w:rFonts w:asciiTheme="majorBidi" w:hAnsiTheme="majorBidi" w:cstheme="majorBidi"/>
          <w:i/>
          <w:iCs/>
          <w:lang w:val="es-ES_tradnl"/>
        </w:rPr>
        <w:t>reader protocol</w:t>
      </w:r>
      <w:r w:rsidRPr="00D449AA">
        <w:rPr>
          <w:rFonts w:asciiTheme="majorBidi" w:hAnsiTheme="majorBidi" w:cstheme="majorBidi"/>
          <w:lang w:val="es-ES_tradnl"/>
        </w:rPr>
        <w:t>)</w:t>
      </w:r>
    </w:p>
    <w:p w14:paraId="03EC0426"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RUIM</w:t>
      </w:r>
      <w:r w:rsidRPr="00D449AA">
        <w:rPr>
          <w:rFonts w:asciiTheme="majorBidi" w:hAnsiTheme="majorBidi" w:cstheme="majorBidi"/>
          <w:lang w:val="es-ES_tradnl"/>
        </w:rPr>
        <w:tab/>
      </w:r>
      <w:r w:rsidRPr="00D449AA">
        <w:rPr>
          <w:rFonts w:asciiTheme="majorBidi" w:hAnsiTheme="majorBidi" w:cstheme="majorBidi"/>
          <w:lang w:val="es-ES_tradnl"/>
        </w:rPr>
        <w:tab/>
        <w:t>Módulo extraíble de identidad de usuario (</w:t>
      </w:r>
      <w:r w:rsidRPr="00D449AA">
        <w:rPr>
          <w:rFonts w:asciiTheme="majorBidi" w:hAnsiTheme="majorBidi" w:cstheme="majorBidi"/>
          <w:i/>
          <w:iCs/>
          <w:lang w:val="es-ES_tradnl"/>
        </w:rPr>
        <w:t>removable user identity module</w:t>
      </w:r>
      <w:r w:rsidRPr="00D449AA">
        <w:rPr>
          <w:rFonts w:asciiTheme="majorBidi" w:hAnsiTheme="majorBidi" w:cstheme="majorBidi"/>
          <w:lang w:val="es-ES_tradnl"/>
        </w:rPr>
        <w:t>)</w:t>
      </w:r>
    </w:p>
    <w:p w14:paraId="1067E74C"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SFP</w:t>
      </w:r>
      <w:r w:rsidRPr="00D449AA">
        <w:rPr>
          <w:rFonts w:asciiTheme="majorBidi" w:hAnsiTheme="majorBidi" w:cstheme="majorBidi"/>
          <w:lang w:val="es-ES_tradnl"/>
        </w:rPr>
        <w:tab/>
      </w:r>
      <w:r w:rsidRPr="00D449AA">
        <w:rPr>
          <w:rFonts w:asciiTheme="majorBidi" w:hAnsiTheme="majorBidi" w:cstheme="majorBidi"/>
          <w:lang w:val="es-ES_tradnl"/>
        </w:rPr>
        <w:tab/>
        <w:t>Proveedor de características de seguridad (</w:t>
      </w:r>
      <w:r w:rsidRPr="00D449AA">
        <w:rPr>
          <w:rFonts w:asciiTheme="majorBidi" w:hAnsiTheme="majorBidi" w:cstheme="majorBidi"/>
          <w:i/>
          <w:iCs/>
          <w:lang w:val="es-ES_tradnl"/>
        </w:rPr>
        <w:t>security features provider</w:t>
      </w:r>
      <w:r w:rsidRPr="00D449AA">
        <w:rPr>
          <w:rFonts w:asciiTheme="majorBidi" w:hAnsiTheme="majorBidi" w:cstheme="majorBidi"/>
          <w:lang w:val="es-ES_tradnl"/>
        </w:rPr>
        <w:t>)</w:t>
      </w:r>
    </w:p>
    <w:p w14:paraId="7D20F8A4" w14:textId="77777777" w:rsidR="006B1268" w:rsidRPr="00D449AA" w:rsidRDefault="006B1268" w:rsidP="00C142FB">
      <w:pPr>
        <w:ind w:left="1191" w:hanging="1191"/>
        <w:rPr>
          <w:rFonts w:asciiTheme="majorBidi" w:hAnsiTheme="majorBidi" w:cstheme="majorBidi"/>
          <w:lang w:val="es-ES_tradnl"/>
        </w:rPr>
      </w:pPr>
      <w:r w:rsidRPr="00D449AA">
        <w:rPr>
          <w:rFonts w:asciiTheme="majorBidi" w:hAnsiTheme="majorBidi" w:cstheme="majorBidi"/>
          <w:lang w:val="es-ES_tradnl"/>
        </w:rPr>
        <w:t>SGLN</w:t>
      </w:r>
      <w:r w:rsidRPr="00D449AA">
        <w:rPr>
          <w:rFonts w:asciiTheme="majorBidi" w:hAnsiTheme="majorBidi" w:cstheme="majorBidi"/>
          <w:lang w:val="es-ES_tradnl"/>
        </w:rPr>
        <w:tab/>
      </w:r>
      <w:r w:rsidRPr="00D449AA">
        <w:rPr>
          <w:rFonts w:asciiTheme="majorBidi" w:hAnsiTheme="majorBidi" w:cstheme="majorBidi"/>
          <w:lang w:val="es-ES_tradnl"/>
        </w:rPr>
        <w:tab/>
        <w:t>Número mundial de ubicación con o sin extensión (</w:t>
      </w:r>
      <w:r w:rsidRPr="00D449AA">
        <w:rPr>
          <w:rFonts w:asciiTheme="majorBidi" w:hAnsiTheme="majorBidi" w:cstheme="majorBidi"/>
          <w:i/>
          <w:iCs/>
          <w:lang w:val="es-ES_tradnl"/>
        </w:rPr>
        <w:t>global location number with or without extension</w:t>
      </w:r>
      <w:r w:rsidRPr="00D449AA">
        <w:rPr>
          <w:rFonts w:asciiTheme="majorBidi" w:hAnsiTheme="majorBidi" w:cstheme="majorBidi"/>
          <w:lang w:val="es-ES_tradnl"/>
        </w:rPr>
        <w:t>)</w:t>
      </w:r>
    </w:p>
    <w:p w14:paraId="74EFA7F5" w14:textId="77777777" w:rsidR="006B1268" w:rsidRPr="00D449AA" w:rsidRDefault="006B1268" w:rsidP="00C142FB">
      <w:pPr>
        <w:ind w:left="1191" w:hanging="1191"/>
        <w:rPr>
          <w:rFonts w:asciiTheme="majorBidi" w:hAnsiTheme="majorBidi" w:cstheme="majorBidi"/>
          <w:lang w:val="es-ES_tradnl"/>
        </w:rPr>
      </w:pPr>
      <w:r w:rsidRPr="00D449AA">
        <w:rPr>
          <w:rFonts w:asciiTheme="majorBidi" w:hAnsiTheme="majorBidi" w:cstheme="majorBidi"/>
          <w:lang w:val="es-ES_tradnl"/>
        </w:rPr>
        <w:lastRenderedPageBreak/>
        <w:t>SGTIN</w:t>
      </w:r>
      <w:r w:rsidRPr="00D449AA">
        <w:rPr>
          <w:rFonts w:asciiTheme="majorBidi" w:hAnsiTheme="majorBidi" w:cstheme="majorBidi"/>
          <w:lang w:val="es-ES_tradnl"/>
        </w:rPr>
        <w:tab/>
      </w:r>
      <w:r w:rsidRPr="00D449AA">
        <w:rPr>
          <w:rFonts w:asciiTheme="majorBidi" w:hAnsiTheme="majorBidi" w:cstheme="majorBidi"/>
          <w:lang w:val="es-ES_tradnl"/>
        </w:rPr>
        <w:tab/>
        <w:t>Número mundial serializado de artículo de comercio (</w:t>
      </w:r>
      <w:r w:rsidRPr="00D449AA">
        <w:rPr>
          <w:rFonts w:asciiTheme="majorBidi" w:hAnsiTheme="majorBidi" w:cstheme="majorBidi"/>
          <w:i/>
          <w:iCs/>
          <w:lang w:val="es-ES_tradnl"/>
        </w:rPr>
        <w:t>serialized global trade item number</w:t>
      </w:r>
      <w:r w:rsidRPr="00D449AA">
        <w:rPr>
          <w:rFonts w:asciiTheme="majorBidi" w:hAnsiTheme="majorBidi" w:cstheme="majorBidi"/>
          <w:lang w:val="es-ES_tradnl"/>
        </w:rPr>
        <w:t>)</w:t>
      </w:r>
    </w:p>
    <w:p w14:paraId="290B4FED"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SIM</w:t>
      </w:r>
      <w:r w:rsidRPr="00D449AA">
        <w:rPr>
          <w:rFonts w:asciiTheme="majorBidi" w:hAnsiTheme="majorBidi" w:cstheme="majorBidi"/>
          <w:lang w:val="es-ES_tradnl"/>
        </w:rPr>
        <w:tab/>
      </w:r>
      <w:r w:rsidRPr="00D449AA">
        <w:rPr>
          <w:rFonts w:asciiTheme="majorBidi" w:hAnsiTheme="majorBidi" w:cstheme="majorBidi"/>
          <w:lang w:val="es-ES_tradnl"/>
        </w:rPr>
        <w:tab/>
        <w:t>Módulo de identidad de abonado (</w:t>
      </w:r>
      <w:r w:rsidRPr="00D449AA">
        <w:rPr>
          <w:rFonts w:asciiTheme="majorBidi" w:hAnsiTheme="majorBidi" w:cstheme="majorBidi"/>
          <w:i/>
          <w:iCs/>
          <w:lang w:val="es-ES_tradnl"/>
        </w:rPr>
        <w:t>subscriber identity module</w:t>
      </w:r>
      <w:r w:rsidRPr="00D449AA">
        <w:rPr>
          <w:rFonts w:asciiTheme="majorBidi" w:hAnsiTheme="majorBidi" w:cstheme="majorBidi"/>
          <w:lang w:val="es-ES_tradnl"/>
        </w:rPr>
        <w:t>)</w:t>
      </w:r>
    </w:p>
    <w:p w14:paraId="3205FC8F"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SLDc</w:t>
      </w:r>
      <w:r w:rsidRPr="00D449AA">
        <w:rPr>
          <w:rFonts w:asciiTheme="majorBidi" w:hAnsiTheme="majorBidi" w:cstheme="majorBidi"/>
          <w:lang w:val="es-ES_tradnl"/>
        </w:rPr>
        <w:tab/>
      </w:r>
      <w:r w:rsidRPr="00D449AA">
        <w:rPr>
          <w:rFonts w:asciiTheme="majorBidi" w:hAnsiTheme="majorBidi" w:cstheme="majorBidi"/>
          <w:lang w:val="es-ES_tradnl"/>
        </w:rPr>
        <w:tab/>
        <w:t>código de dominio de segundo nivel (</w:t>
      </w:r>
      <w:r w:rsidRPr="00D449AA">
        <w:rPr>
          <w:rFonts w:asciiTheme="majorBidi" w:hAnsiTheme="majorBidi" w:cstheme="majorBidi"/>
          <w:i/>
          <w:iCs/>
          <w:lang w:val="es-ES_tradnl"/>
        </w:rPr>
        <w:t>second level domain code</w:t>
      </w:r>
      <w:r w:rsidRPr="00D449AA">
        <w:rPr>
          <w:rFonts w:asciiTheme="majorBidi" w:hAnsiTheme="majorBidi" w:cstheme="majorBidi"/>
          <w:lang w:val="es-ES_tradnl"/>
        </w:rPr>
        <w:t>)</w:t>
      </w:r>
    </w:p>
    <w:p w14:paraId="2AB6BC0A"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SMD</w:t>
      </w:r>
      <w:r w:rsidRPr="00D449AA">
        <w:rPr>
          <w:rFonts w:asciiTheme="majorBidi" w:hAnsiTheme="majorBidi" w:cstheme="majorBidi"/>
          <w:lang w:val="es-ES_tradnl"/>
        </w:rPr>
        <w:tab/>
      </w:r>
      <w:r w:rsidRPr="00D449AA">
        <w:rPr>
          <w:rFonts w:asciiTheme="majorBidi" w:hAnsiTheme="majorBidi" w:cstheme="majorBidi"/>
          <w:lang w:val="es-ES_tradnl"/>
        </w:rPr>
        <w:tab/>
      </w:r>
      <w:r>
        <w:rPr>
          <w:rFonts w:asciiTheme="majorBidi" w:hAnsiTheme="majorBidi" w:cstheme="majorBidi"/>
          <w:lang w:val="es-ES_tradnl"/>
        </w:rPr>
        <w:t>D</w:t>
      </w:r>
      <w:r w:rsidRPr="00D449AA">
        <w:rPr>
          <w:rFonts w:asciiTheme="majorBidi" w:hAnsiTheme="majorBidi" w:cstheme="majorBidi"/>
          <w:lang w:val="es-ES_tradnl"/>
        </w:rPr>
        <w:t>ispositivo montado en la superficie (</w:t>
      </w:r>
      <w:r w:rsidRPr="00D449AA">
        <w:rPr>
          <w:rFonts w:asciiTheme="majorBidi" w:hAnsiTheme="majorBidi" w:cstheme="majorBidi"/>
          <w:i/>
          <w:iCs/>
          <w:lang w:val="es-ES_tradnl"/>
        </w:rPr>
        <w:t>surface-mounted device</w:t>
      </w:r>
      <w:r w:rsidRPr="00D449AA">
        <w:rPr>
          <w:rFonts w:asciiTheme="majorBidi" w:hAnsiTheme="majorBidi" w:cstheme="majorBidi"/>
          <w:lang w:val="es-ES_tradnl"/>
        </w:rPr>
        <w:t>)</w:t>
      </w:r>
    </w:p>
    <w:p w14:paraId="3F58870D"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SMS</w:t>
      </w:r>
      <w:r w:rsidRPr="00D449AA">
        <w:rPr>
          <w:rFonts w:asciiTheme="majorBidi" w:hAnsiTheme="majorBidi" w:cstheme="majorBidi"/>
          <w:lang w:val="es-ES_tradnl"/>
        </w:rPr>
        <w:tab/>
      </w:r>
      <w:r w:rsidRPr="00D449AA">
        <w:rPr>
          <w:rFonts w:asciiTheme="majorBidi" w:hAnsiTheme="majorBidi" w:cstheme="majorBidi"/>
          <w:lang w:val="es-ES_tradnl"/>
        </w:rPr>
        <w:tab/>
      </w:r>
      <w:r>
        <w:rPr>
          <w:rFonts w:asciiTheme="majorBidi" w:hAnsiTheme="majorBidi" w:cstheme="majorBidi"/>
          <w:lang w:val="es-ES_tradnl"/>
        </w:rPr>
        <w:t>S</w:t>
      </w:r>
      <w:r w:rsidRPr="00D449AA">
        <w:rPr>
          <w:rFonts w:asciiTheme="majorBidi" w:hAnsiTheme="majorBidi" w:cstheme="majorBidi"/>
          <w:lang w:val="es-ES_tradnl"/>
        </w:rPr>
        <w:t>ervicio de mensajes cortos (</w:t>
      </w:r>
      <w:r w:rsidRPr="00D449AA">
        <w:rPr>
          <w:rFonts w:asciiTheme="majorBidi" w:hAnsiTheme="majorBidi" w:cstheme="majorBidi"/>
          <w:i/>
          <w:iCs/>
          <w:lang w:val="es-ES_tradnl"/>
        </w:rPr>
        <w:t>short message service</w:t>
      </w:r>
      <w:r w:rsidRPr="00D449AA">
        <w:rPr>
          <w:rFonts w:asciiTheme="majorBidi" w:hAnsiTheme="majorBidi" w:cstheme="majorBidi"/>
          <w:lang w:val="es-ES_tradnl"/>
        </w:rPr>
        <w:t>)</w:t>
      </w:r>
    </w:p>
    <w:p w14:paraId="4241D923"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SNMP</w:t>
      </w:r>
      <w:r w:rsidRPr="00D449AA">
        <w:rPr>
          <w:rFonts w:asciiTheme="majorBidi" w:hAnsiTheme="majorBidi" w:cstheme="majorBidi"/>
          <w:lang w:val="es-ES_tradnl"/>
        </w:rPr>
        <w:tab/>
      </w:r>
      <w:r w:rsidRPr="00D449AA">
        <w:rPr>
          <w:rFonts w:asciiTheme="majorBidi" w:hAnsiTheme="majorBidi" w:cstheme="majorBidi"/>
          <w:lang w:val="es-ES_tradnl"/>
        </w:rPr>
        <w:tab/>
        <w:t>Protocolo sencillo de gestión de red (</w:t>
      </w:r>
      <w:r w:rsidRPr="00D449AA">
        <w:rPr>
          <w:rFonts w:asciiTheme="majorBidi" w:hAnsiTheme="majorBidi" w:cstheme="majorBidi"/>
          <w:i/>
          <w:iCs/>
          <w:lang w:val="es-ES_tradnl"/>
        </w:rPr>
        <w:t>simple network management protocol</w:t>
      </w:r>
      <w:r w:rsidRPr="00D449AA">
        <w:rPr>
          <w:rFonts w:asciiTheme="majorBidi" w:hAnsiTheme="majorBidi" w:cstheme="majorBidi"/>
          <w:lang w:val="es-ES_tradnl"/>
        </w:rPr>
        <w:t>)</w:t>
      </w:r>
    </w:p>
    <w:p w14:paraId="7333DE44" w14:textId="7963DDA0"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SS7</w:t>
      </w:r>
      <w:r w:rsidRPr="00D449AA">
        <w:rPr>
          <w:rFonts w:asciiTheme="majorBidi" w:hAnsiTheme="majorBidi" w:cstheme="majorBidi"/>
          <w:lang w:val="es-ES_tradnl"/>
        </w:rPr>
        <w:tab/>
      </w:r>
      <w:r w:rsidRPr="00D449AA">
        <w:rPr>
          <w:rFonts w:asciiTheme="majorBidi" w:hAnsiTheme="majorBidi" w:cstheme="majorBidi"/>
          <w:lang w:val="es-ES_tradnl"/>
        </w:rPr>
        <w:tab/>
        <w:t>Sistema de señalización Nº</w:t>
      </w:r>
      <w:r>
        <w:rPr>
          <w:rFonts w:asciiTheme="majorBidi" w:hAnsiTheme="majorBidi" w:cstheme="majorBidi"/>
          <w:lang w:val="es-ES_tradnl"/>
        </w:rPr>
        <w:t>.</w:t>
      </w:r>
      <w:r w:rsidRPr="00D449AA">
        <w:rPr>
          <w:rFonts w:asciiTheme="majorBidi" w:hAnsiTheme="majorBidi" w:cstheme="majorBidi"/>
          <w:lang w:val="es-ES_tradnl"/>
        </w:rPr>
        <w:t xml:space="preserve"> 7 (</w:t>
      </w:r>
      <w:r w:rsidRPr="00D449AA">
        <w:rPr>
          <w:rFonts w:asciiTheme="majorBidi" w:hAnsiTheme="majorBidi" w:cstheme="majorBidi"/>
          <w:i/>
          <w:iCs/>
          <w:lang w:val="es-ES_tradnl"/>
        </w:rPr>
        <w:t>signalling system No. 7</w:t>
      </w:r>
      <w:r w:rsidRPr="00D449AA">
        <w:rPr>
          <w:rFonts w:asciiTheme="majorBidi" w:hAnsiTheme="majorBidi" w:cstheme="majorBidi"/>
          <w:lang w:val="es-ES_tradnl"/>
        </w:rPr>
        <w:t>)</w:t>
      </w:r>
    </w:p>
    <w:p w14:paraId="27E2CCA4"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SSCC</w:t>
      </w:r>
      <w:r w:rsidRPr="00D449AA">
        <w:rPr>
          <w:rFonts w:asciiTheme="majorBidi" w:hAnsiTheme="majorBidi" w:cstheme="majorBidi"/>
          <w:lang w:val="es-ES_tradnl"/>
        </w:rPr>
        <w:tab/>
      </w:r>
      <w:r w:rsidRPr="00D449AA">
        <w:rPr>
          <w:rFonts w:asciiTheme="majorBidi" w:hAnsiTheme="majorBidi" w:cstheme="majorBidi"/>
          <w:lang w:val="es-ES_tradnl"/>
        </w:rPr>
        <w:tab/>
        <w:t>Código serie de contenedor de envío (</w:t>
      </w:r>
      <w:r w:rsidRPr="00D449AA">
        <w:rPr>
          <w:rFonts w:asciiTheme="majorBidi" w:hAnsiTheme="majorBidi" w:cstheme="majorBidi"/>
          <w:i/>
          <w:iCs/>
          <w:lang w:val="es-ES_tradnl"/>
        </w:rPr>
        <w:t>serial shipping container code</w:t>
      </w:r>
      <w:r w:rsidRPr="00D449AA">
        <w:rPr>
          <w:rFonts w:asciiTheme="majorBidi" w:hAnsiTheme="majorBidi" w:cstheme="majorBidi"/>
          <w:lang w:val="es-ES_tradnl"/>
        </w:rPr>
        <w:t>)</w:t>
      </w:r>
    </w:p>
    <w:p w14:paraId="42D185D2"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TAC</w:t>
      </w:r>
      <w:r w:rsidRPr="00D449AA">
        <w:rPr>
          <w:rFonts w:asciiTheme="majorBidi" w:hAnsiTheme="majorBidi" w:cstheme="majorBidi"/>
          <w:lang w:val="es-ES_tradnl"/>
        </w:rPr>
        <w:tab/>
      </w:r>
      <w:r w:rsidRPr="00D449AA">
        <w:rPr>
          <w:rFonts w:asciiTheme="majorBidi" w:hAnsiTheme="majorBidi" w:cstheme="majorBidi"/>
          <w:lang w:val="es-ES_tradnl"/>
        </w:rPr>
        <w:tab/>
        <w:t>Código de atribución del modelo (</w:t>
      </w:r>
      <w:r w:rsidRPr="00D449AA">
        <w:rPr>
          <w:rFonts w:asciiTheme="majorBidi" w:hAnsiTheme="majorBidi" w:cstheme="majorBidi"/>
          <w:i/>
          <w:iCs/>
          <w:lang w:val="es-ES_tradnl"/>
        </w:rPr>
        <w:t>type allocation code</w:t>
      </w:r>
      <w:r w:rsidRPr="00D449AA">
        <w:rPr>
          <w:rFonts w:asciiTheme="majorBidi" w:hAnsiTheme="majorBidi" w:cstheme="majorBidi"/>
          <w:lang w:val="es-ES_tradnl"/>
        </w:rPr>
        <w:t>)</w:t>
      </w:r>
    </w:p>
    <w:p w14:paraId="7B07A5BF"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TC</w:t>
      </w:r>
      <w:r w:rsidRPr="00D449AA">
        <w:rPr>
          <w:rFonts w:asciiTheme="majorBidi" w:hAnsiTheme="majorBidi" w:cstheme="majorBidi"/>
          <w:lang w:val="es-ES_tradnl"/>
        </w:rPr>
        <w:tab/>
      </w:r>
      <w:r w:rsidRPr="00D449AA">
        <w:rPr>
          <w:rFonts w:asciiTheme="majorBidi" w:hAnsiTheme="majorBidi" w:cstheme="majorBidi"/>
          <w:lang w:val="es-ES_tradnl"/>
        </w:rPr>
        <w:tab/>
        <w:t xml:space="preserve">Comité </w:t>
      </w:r>
      <w:r>
        <w:rPr>
          <w:rFonts w:asciiTheme="majorBidi" w:hAnsiTheme="majorBidi" w:cstheme="majorBidi"/>
          <w:lang w:val="es-ES_tradnl"/>
        </w:rPr>
        <w:t>t</w:t>
      </w:r>
      <w:r w:rsidRPr="00D449AA">
        <w:rPr>
          <w:rFonts w:asciiTheme="majorBidi" w:hAnsiTheme="majorBidi" w:cstheme="majorBidi"/>
          <w:lang w:val="es-ES_tradnl"/>
        </w:rPr>
        <w:t>écnico (</w:t>
      </w:r>
      <w:r w:rsidRPr="00D449AA">
        <w:rPr>
          <w:rFonts w:asciiTheme="majorBidi" w:hAnsiTheme="majorBidi" w:cstheme="majorBidi"/>
          <w:i/>
          <w:iCs/>
          <w:lang w:val="es-ES_tradnl"/>
        </w:rPr>
        <w:t>technical committee</w:t>
      </w:r>
      <w:r w:rsidRPr="00D449AA">
        <w:rPr>
          <w:rFonts w:asciiTheme="majorBidi" w:hAnsiTheme="majorBidi" w:cstheme="majorBidi"/>
          <w:lang w:val="es-ES_tradnl"/>
        </w:rPr>
        <w:t>)</w:t>
      </w:r>
    </w:p>
    <w:p w14:paraId="6F6E9622"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TDS</w:t>
      </w:r>
      <w:r w:rsidRPr="00D449AA">
        <w:rPr>
          <w:rFonts w:asciiTheme="majorBidi" w:hAnsiTheme="majorBidi" w:cstheme="majorBidi"/>
          <w:lang w:val="es-ES_tradnl"/>
        </w:rPr>
        <w:tab/>
      </w:r>
      <w:r w:rsidRPr="00D449AA">
        <w:rPr>
          <w:rFonts w:asciiTheme="majorBidi" w:hAnsiTheme="majorBidi" w:cstheme="majorBidi"/>
          <w:lang w:val="es-ES_tradnl"/>
        </w:rPr>
        <w:tab/>
        <w:t>Norma de datos de etiquetas (</w:t>
      </w:r>
      <w:r w:rsidRPr="00D449AA">
        <w:rPr>
          <w:rFonts w:asciiTheme="majorBidi" w:hAnsiTheme="majorBidi" w:cstheme="majorBidi"/>
          <w:i/>
          <w:iCs/>
          <w:lang w:val="es-ES_tradnl"/>
        </w:rPr>
        <w:t>tag data standard</w:t>
      </w:r>
      <w:r w:rsidRPr="00D449AA">
        <w:rPr>
          <w:rFonts w:asciiTheme="majorBidi" w:hAnsiTheme="majorBidi" w:cstheme="majorBidi"/>
          <w:lang w:val="es-ES_tradnl"/>
        </w:rPr>
        <w:t>)</w:t>
      </w:r>
    </w:p>
    <w:p w14:paraId="00827909"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TDT</w:t>
      </w:r>
      <w:r w:rsidRPr="00D449AA">
        <w:rPr>
          <w:rFonts w:asciiTheme="majorBidi" w:hAnsiTheme="majorBidi" w:cstheme="majorBidi"/>
          <w:lang w:val="es-ES_tradnl"/>
        </w:rPr>
        <w:tab/>
      </w:r>
      <w:r w:rsidRPr="00D449AA">
        <w:rPr>
          <w:rFonts w:asciiTheme="majorBidi" w:hAnsiTheme="majorBidi" w:cstheme="majorBidi"/>
          <w:lang w:val="es-ES_tradnl"/>
        </w:rPr>
        <w:tab/>
        <w:t>Traducción de datos de etiquetas (</w:t>
      </w:r>
      <w:r w:rsidRPr="00D449AA">
        <w:rPr>
          <w:rFonts w:asciiTheme="majorBidi" w:hAnsiTheme="majorBidi" w:cstheme="majorBidi"/>
          <w:i/>
          <w:iCs/>
          <w:lang w:val="es-ES_tradnl"/>
        </w:rPr>
        <w:t>tag data translation</w:t>
      </w:r>
      <w:r w:rsidRPr="00D449AA">
        <w:rPr>
          <w:rFonts w:asciiTheme="majorBidi" w:hAnsiTheme="majorBidi" w:cstheme="majorBidi"/>
          <w:lang w:val="es-ES_tradnl"/>
        </w:rPr>
        <w:t>)</w:t>
      </w:r>
    </w:p>
    <w:p w14:paraId="286A0A4A"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TID</w:t>
      </w:r>
      <w:r w:rsidRPr="00D449AA">
        <w:rPr>
          <w:rFonts w:asciiTheme="majorBidi" w:hAnsiTheme="majorBidi" w:cstheme="majorBidi"/>
          <w:lang w:val="es-ES_tradnl"/>
        </w:rPr>
        <w:tab/>
      </w:r>
      <w:r w:rsidRPr="00D449AA">
        <w:rPr>
          <w:rFonts w:asciiTheme="majorBidi" w:hAnsiTheme="majorBidi" w:cstheme="majorBidi"/>
          <w:lang w:val="es-ES_tradnl"/>
        </w:rPr>
        <w:tab/>
        <w:t>ID de etiqueta (</w:t>
      </w:r>
      <w:r w:rsidRPr="00D449AA">
        <w:rPr>
          <w:rFonts w:asciiTheme="majorBidi" w:hAnsiTheme="majorBidi" w:cstheme="majorBidi"/>
          <w:i/>
          <w:iCs/>
          <w:lang w:val="es-ES_tradnl"/>
        </w:rPr>
        <w:t>tag ID</w:t>
      </w:r>
      <w:r w:rsidRPr="00D449AA">
        <w:rPr>
          <w:rFonts w:asciiTheme="majorBidi" w:hAnsiTheme="majorBidi" w:cstheme="majorBidi"/>
          <w:lang w:val="es-ES_tradnl"/>
        </w:rPr>
        <w:t>)</w:t>
      </w:r>
    </w:p>
    <w:p w14:paraId="07197F52"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TLDc</w:t>
      </w:r>
      <w:r w:rsidRPr="00D449AA">
        <w:rPr>
          <w:rFonts w:asciiTheme="majorBidi" w:hAnsiTheme="majorBidi" w:cstheme="majorBidi"/>
          <w:lang w:val="es-ES_tradnl"/>
        </w:rPr>
        <w:tab/>
      </w:r>
      <w:r w:rsidRPr="00D449AA">
        <w:rPr>
          <w:rFonts w:asciiTheme="majorBidi" w:hAnsiTheme="majorBidi" w:cstheme="majorBidi"/>
          <w:lang w:val="es-ES_tradnl"/>
        </w:rPr>
        <w:tab/>
        <w:t>Código de dominio de nivel superior (</w:t>
      </w:r>
      <w:r w:rsidRPr="00D449AA">
        <w:rPr>
          <w:rFonts w:asciiTheme="majorBidi" w:hAnsiTheme="majorBidi" w:cstheme="majorBidi"/>
          <w:i/>
          <w:iCs/>
          <w:lang w:val="es-ES_tradnl"/>
        </w:rPr>
        <w:t>top level domain code</w:t>
      </w:r>
      <w:r w:rsidRPr="00D449AA">
        <w:rPr>
          <w:rFonts w:asciiTheme="majorBidi" w:hAnsiTheme="majorBidi" w:cstheme="majorBidi"/>
          <w:lang w:val="es-ES_tradnl"/>
        </w:rPr>
        <w:t>)</w:t>
      </w:r>
    </w:p>
    <w:p w14:paraId="783621DF"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TV</w:t>
      </w:r>
      <w:r w:rsidRPr="00D449AA">
        <w:rPr>
          <w:rFonts w:asciiTheme="majorBidi" w:hAnsiTheme="majorBidi" w:cstheme="majorBidi"/>
          <w:lang w:val="es-ES_tradnl"/>
        </w:rPr>
        <w:tab/>
      </w:r>
      <w:r w:rsidRPr="00D449AA">
        <w:rPr>
          <w:rFonts w:asciiTheme="majorBidi" w:hAnsiTheme="majorBidi" w:cstheme="majorBidi"/>
          <w:lang w:val="es-ES_tradnl"/>
        </w:rPr>
        <w:tab/>
        <w:t>Televisión (</w:t>
      </w:r>
      <w:r w:rsidRPr="00D449AA">
        <w:rPr>
          <w:rFonts w:asciiTheme="majorBidi" w:hAnsiTheme="majorBidi" w:cstheme="majorBidi"/>
          <w:i/>
          <w:iCs/>
          <w:lang w:val="es-ES_tradnl"/>
        </w:rPr>
        <w:t>TeleVision</w:t>
      </w:r>
      <w:r w:rsidRPr="00D449AA">
        <w:rPr>
          <w:rFonts w:asciiTheme="majorBidi" w:hAnsiTheme="majorBidi" w:cstheme="majorBidi"/>
          <w:lang w:val="es-ES_tradnl"/>
        </w:rPr>
        <w:t>)</w:t>
      </w:r>
    </w:p>
    <w:p w14:paraId="4FBE6F98"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UHF</w:t>
      </w:r>
      <w:r w:rsidRPr="00D449AA">
        <w:rPr>
          <w:rFonts w:asciiTheme="majorBidi" w:hAnsiTheme="majorBidi" w:cstheme="majorBidi"/>
          <w:lang w:val="es-ES_tradnl"/>
        </w:rPr>
        <w:tab/>
      </w:r>
      <w:r w:rsidRPr="00D449AA">
        <w:rPr>
          <w:rFonts w:asciiTheme="majorBidi" w:hAnsiTheme="majorBidi" w:cstheme="majorBidi"/>
          <w:lang w:val="es-ES_tradnl"/>
        </w:rPr>
        <w:tab/>
        <w:t>ondas decimétricas (</w:t>
      </w:r>
      <w:r w:rsidRPr="00D449AA">
        <w:rPr>
          <w:rFonts w:asciiTheme="majorBidi" w:hAnsiTheme="majorBidi" w:cstheme="majorBidi"/>
          <w:i/>
          <w:iCs/>
          <w:lang w:val="es-ES_tradnl"/>
        </w:rPr>
        <w:t>ultra high frequency</w:t>
      </w:r>
      <w:r w:rsidRPr="00D449AA">
        <w:rPr>
          <w:rFonts w:asciiTheme="majorBidi" w:hAnsiTheme="majorBidi" w:cstheme="majorBidi"/>
          <w:lang w:val="es-ES_tradnl"/>
        </w:rPr>
        <w:t>)</w:t>
      </w:r>
    </w:p>
    <w:p w14:paraId="57CBFAF3"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UII</w:t>
      </w:r>
      <w:r w:rsidRPr="00D449AA">
        <w:rPr>
          <w:rFonts w:asciiTheme="majorBidi" w:hAnsiTheme="majorBidi" w:cstheme="majorBidi"/>
          <w:lang w:val="es-ES_tradnl"/>
        </w:rPr>
        <w:tab/>
      </w:r>
      <w:r w:rsidRPr="00D449AA">
        <w:rPr>
          <w:rFonts w:asciiTheme="majorBidi" w:hAnsiTheme="majorBidi" w:cstheme="majorBidi"/>
          <w:lang w:val="es-ES_tradnl"/>
        </w:rPr>
        <w:tab/>
        <w:t>Identificador único del artículo (</w:t>
      </w:r>
      <w:r w:rsidRPr="00D449AA">
        <w:rPr>
          <w:rFonts w:asciiTheme="majorBidi" w:hAnsiTheme="majorBidi" w:cstheme="majorBidi"/>
          <w:i/>
          <w:iCs/>
          <w:lang w:val="es-ES_tradnl"/>
        </w:rPr>
        <w:t>unique item identifier</w:t>
      </w:r>
      <w:r w:rsidRPr="00D449AA">
        <w:rPr>
          <w:rFonts w:asciiTheme="majorBidi" w:hAnsiTheme="majorBidi" w:cstheme="majorBidi"/>
          <w:lang w:val="es-ES_tradnl"/>
        </w:rPr>
        <w:t>)</w:t>
      </w:r>
    </w:p>
    <w:p w14:paraId="47672939"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UIM</w:t>
      </w:r>
      <w:r w:rsidRPr="00D449AA">
        <w:rPr>
          <w:rFonts w:asciiTheme="majorBidi" w:hAnsiTheme="majorBidi" w:cstheme="majorBidi"/>
          <w:lang w:val="es-ES_tradnl"/>
        </w:rPr>
        <w:tab/>
      </w:r>
      <w:r w:rsidRPr="00D449AA">
        <w:rPr>
          <w:rFonts w:asciiTheme="majorBidi" w:hAnsiTheme="majorBidi" w:cstheme="majorBidi"/>
          <w:lang w:val="es-ES_tradnl"/>
        </w:rPr>
        <w:tab/>
        <w:t>Marca del identificador único (</w:t>
      </w:r>
      <w:r w:rsidRPr="00D449AA">
        <w:rPr>
          <w:rFonts w:asciiTheme="majorBidi" w:hAnsiTheme="majorBidi" w:cstheme="majorBidi"/>
          <w:i/>
          <w:iCs/>
          <w:lang w:val="es-ES_tradnl"/>
        </w:rPr>
        <w:t>unique identification mark</w:t>
      </w:r>
      <w:r w:rsidRPr="00D449AA">
        <w:rPr>
          <w:rFonts w:asciiTheme="majorBidi" w:hAnsiTheme="majorBidi" w:cstheme="majorBidi"/>
          <w:lang w:val="es-ES_tradnl"/>
        </w:rPr>
        <w:t>)</w:t>
      </w:r>
    </w:p>
    <w:p w14:paraId="5BA54D97" w14:textId="77777777" w:rsidR="006B1268" w:rsidRPr="00D449AA" w:rsidRDefault="006B1268" w:rsidP="00C142FB">
      <w:pPr>
        <w:ind w:left="1191" w:hanging="1191"/>
        <w:rPr>
          <w:rFonts w:asciiTheme="majorBidi" w:hAnsiTheme="majorBidi" w:cstheme="majorBidi"/>
          <w:lang w:val="es-ES_tradnl"/>
        </w:rPr>
      </w:pPr>
      <w:r w:rsidRPr="00D449AA">
        <w:rPr>
          <w:rFonts w:asciiTheme="majorBidi" w:hAnsiTheme="majorBidi" w:cstheme="majorBidi"/>
          <w:lang w:val="es-ES_tradnl"/>
        </w:rPr>
        <w:t>UMTS</w:t>
      </w:r>
      <w:r w:rsidRPr="00D449AA">
        <w:rPr>
          <w:rFonts w:asciiTheme="majorBidi" w:hAnsiTheme="majorBidi" w:cstheme="majorBidi"/>
          <w:lang w:val="es-ES_tradnl"/>
        </w:rPr>
        <w:tab/>
      </w:r>
      <w:r w:rsidRPr="00D449AA">
        <w:rPr>
          <w:rFonts w:asciiTheme="majorBidi" w:hAnsiTheme="majorBidi" w:cstheme="majorBidi"/>
          <w:lang w:val="es-ES_tradnl"/>
        </w:rPr>
        <w:tab/>
        <w:t>Sistema universal de telecomunicaciones móviles (</w:t>
      </w:r>
      <w:r w:rsidRPr="00D449AA">
        <w:rPr>
          <w:rFonts w:asciiTheme="majorBidi" w:hAnsiTheme="majorBidi" w:cstheme="majorBidi"/>
          <w:i/>
          <w:iCs/>
          <w:lang w:val="es-ES_tradnl"/>
        </w:rPr>
        <w:t>universal mobile telecommunications system</w:t>
      </w:r>
      <w:r w:rsidRPr="00D449AA">
        <w:rPr>
          <w:rFonts w:asciiTheme="majorBidi" w:hAnsiTheme="majorBidi" w:cstheme="majorBidi"/>
          <w:lang w:val="es-ES_tradnl"/>
        </w:rPr>
        <w:t>)</w:t>
      </w:r>
    </w:p>
    <w:p w14:paraId="6F9E8A8C"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UPC</w:t>
      </w:r>
      <w:r w:rsidRPr="00D449AA">
        <w:rPr>
          <w:rFonts w:asciiTheme="majorBidi" w:hAnsiTheme="majorBidi" w:cstheme="majorBidi"/>
          <w:lang w:val="es-ES_tradnl"/>
        </w:rPr>
        <w:tab/>
      </w:r>
      <w:r w:rsidRPr="00D449AA">
        <w:rPr>
          <w:rFonts w:asciiTheme="majorBidi" w:hAnsiTheme="majorBidi" w:cstheme="majorBidi"/>
          <w:lang w:val="es-ES_tradnl"/>
        </w:rPr>
        <w:tab/>
        <w:t>Código universal del producto (</w:t>
      </w:r>
      <w:r w:rsidRPr="00D449AA">
        <w:rPr>
          <w:rFonts w:asciiTheme="majorBidi" w:hAnsiTheme="majorBidi" w:cstheme="majorBidi"/>
          <w:i/>
          <w:iCs/>
          <w:lang w:val="es-ES_tradnl"/>
        </w:rPr>
        <w:t>universal product code</w:t>
      </w:r>
      <w:r w:rsidRPr="00D449AA">
        <w:rPr>
          <w:rFonts w:asciiTheme="majorBidi" w:hAnsiTheme="majorBidi" w:cstheme="majorBidi"/>
          <w:lang w:val="es-ES_tradnl"/>
        </w:rPr>
        <w:t>)</w:t>
      </w:r>
    </w:p>
    <w:p w14:paraId="3035FDE5"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URL</w:t>
      </w:r>
      <w:r w:rsidRPr="00D449AA">
        <w:rPr>
          <w:rFonts w:asciiTheme="majorBidi" w:hAnsiTheme="majorBidi" w:cstheme="majorBidi"/>
          <w:lang w:val="es-ES_tradnl"/>
        </w:rPr>
        <w:tab/>
      </w:r>
      <w:r w:rsidRPr="00D449AA">
        <w:rPr>
          <w:rFonts w:asciiTheme="majorBidi" w:hAnsiTheme="majorBidi" w:cstheme="majorBidi"/>
          <w:lang w:val="es-ES_tradnl"/>
        </w:rPr>
        <w:tab/>
        <w:t>Localizador uniforme de recursos (</w:t>
      </w:r>
      <w:r w:rsidRPr="00D449AA">
        <w:rPr>
          <w:rFonts w:asciiTheme="majorBidi" w:hAnsiTheme="majorBidi" w:cstheme="majorBidi"/>
          <w:i/>
          <w:iCs/>
          <w:lang w:val="es-ES_tradnl"/>
        </w:rPr>
        <w:t>uniform resource locator</w:t>
      </w:r>
      <w:r w:rsidRPr="00D449AA">
        <w:rPr>
          <w:rFonts w:asciiTheme="majorBidi" w:hAnsiTheme="majorBidi" w:cstheme="majorBidi"/>
          <w:lang w:val="es-ES_tradnl"/>
        </w:rPr>
        <w:t>)</w:t>
      </w:r>
    </w:p>
    <w:p w14:paraId="2259F65C" w14:textId="77777777" w:rsidR="006B1268" w:rsidRPr="00D449AA" w:rsidRDefault="006B1268" w:rsidP="00C142FB">
      <w:pPr>
        <w:rPr>
          <w:rFonts w:asciiTheme="majorBidi" w:hAnsiTheme="majorBidi" w:cstheme="majorBidi"/>
          <w:lang w:val="es-ES_tradnl"/>
        </w:rPr>
      </w:pPr>
      <w:r w:rsidRPr="00D449AA">
        <w:rPr>
          <w:rFonts w:asciiTheme="majorBidi" w:hAnsiTheme="majorBidi" w:cstheme="majorBidi"/>
          <w:lang w:val="es-ES_tradnl"/>
        </w:rPr>
        <w:t>USB</w:t>
      </w:r>
      <w:r w:rsidRPr="00D449AA">
        <w:rPr>
          <w:rFonts w:asciiTheme="majorBidi" w:hAnsiTheme="majorBidi" w:cstheme="majorBidi"/>
          <w:lang w:val="es-ES_tradnl"/>
        </w:rPr>
        <w:tab/>
      </w:r>
      <w:r w:rsidRPr="00D449AA">
        <w:rPr>
          <w:rFonts w:asciiTheme="majorBidi" w:hAnsiTheme="majorBidi" w:cstheme="majorBidi"/>
          <w:lang w:val="es-ES_tradnl"/>
        </w:rPr>
        <w:tab/>
        <w:t>Bus serie universal (</w:t>
      </w:r>
      <w:r w:rsidRPr="00D449AA">
        <w:rPr>
          <w:rFonts w:asciiTheme="majorBidi" w:hAnsiTheme="majorBidi" w:cstheme="majorBidi"/>
          <w:i/>
          <w:iCs/>
          <w:lang w:val="es-ES_tradnl"/>
        </w:rPr>
        <w:t>universal serial bus</w:t>
      </w:r>
      <w:r w:rsidRPr="00D449AA">
        <w:rPr>
          <w:rFonts w:asciiTheme="majorBidi" w:hAnsiTheme="majorBidi" w:cstheme="majorBidi"/>
          <w:lang w:val="es-ES_tradnl"/>
        </w:rPr>
        <w:t>)</w:t>
      </w:r>
    </w:p>
    <w:p w14:paraId="1611D535" w14:textId="7A275A5F" w:rsidR="006B1268" w:rsidRDefault="006B1268">
      <w:pPr>
        <w:tabs>
          <w:tab w:val="clear" w:pos="794"/>
          <w:tab w:val="clear" w:pos="1191"/>
          <w:tab w:val="clear" w:pos="1588"/>
          <w:tab w:val="clear" w:pos="1985"/>
        </w:tabs>
        <w:overflowPunct/>
        <w:autoSpaceDE/>
        <w:autoSpaceDN/>
        <w:adjustRightInd/>
        <w:spacing w:before="0"/>
        <w:textAlignment w:val="auto"/>
        <w:rPr>
          <w:lang w:val="es-ES_tradnl"/>
        </w:rPr>
      </w:pPr>
      <w:r>
        <w:rPr>
          <w:lang w:val="es-ES_tradnl"/>
        </w:rPr>
        <w:br w:type="page"/>
      </w:r>
    </w:p>
    <w:p w14:paraId="02B64313" w14:textId="77777777" w:rsidR="006B1268" w:rsidRPr="006B1268" w:rsidRDefault="006B1268" w:rsidP="00C142FB">
      <w:pPr>
        <w:pStyle w:val="AnnexNotitle"/>
        <w:rPr>
          <w:lang w:val="es-ES_tradnl"/>
        </w:rPr>
      </w:pPr>
      <w:bookmarkStart w:id="330" w:name="_Toc404607220"/>
      <w:bookmarkStart w:id="331" w:name="_Toc406670428"/>
      <w:bookmarkStart w:id="332" w:name="_Toc447203043"/>
      <w:r w:rsidRPr="006B1268">
        <w:rPr>
          <w:lang w:val="es-ES_tradnl"/>
        </w:rPr>
        <w:lastRenderedPageBreak/>
        <w:t>Anexo A</w:t>
      </w:r>
      <w:r w:rsidRPr="006B1268">
        <w:rPr>
          <w:lang w:val="es-ES_tradnl"/>
        </w:rPr>
        <w:br/>
      </w:r>
      <w:r w:rsidRPr="006B1268">
        <w:rPr>
          <w:lang w:val="es-ES_tradnl"/>
        </w:rPr>
        <w:br/>
        <w:t>Sistemas para la identificación de dispositivos móviles falsificados</w:t>
      </w:r>
      <w:bookmarkEnd w:id="330"/>
      <w:bookmarkEnd w:id="331"/>
      <w:bookmarkEnd w:id="332"/>
    </w:p>
    <w:p w14:paraId="2537F42A" w14:textId="77777777" w:rsidR="006B1268" w:rsidRPr="006B1268" w:rsidRDefault="006B1268" w:rsidP="00C142FB">
      <w:pPr>
        <w:spacing w:before="360"/>
        <w:rPr>
          <w:lang w:val="es-ES_tradnl"/>
        </w:rPr>
      </w:pPr>
      <w:r w:rsidRPr="006B1268">
        <w:rPr>
          <w:lang w:val="es-ES_tradnl"/>
        </w:rPr>
        <w:t>Como se ha descrito anteriormente en este Informe Técnico, la falsificación de los dispositivos móviles es un asunto de gran preocupación y se han emprendido numerosas iniciativas para limitar la difusión de los dispositivos móviles falsificados. Algunos de los esquemas iniciales buscaban asegurar que se importaran los dispositivos móviles de acuerdo con los procedimientos legales, (que no fueran de contrabando), y se utilizaron posteriormente para dar seguridad sobre la autenticidad de los dispositivos no falsificados. Estos esquemas también comparten muchas características con las iniciativas diseñadas específicamente para afrontar el problema de la falsificación a través de la autentificación de un identificador único (el IMEI).</w:t>
      </w:r>
    </w:p>
    <w:p w14:paraId="6E9EB4F1" w14:textId="77777777" w:rsidR="006B1268" w:rsidRPr="006B1268" w:rsidRDefault="006B1268" w:rsidP="00C142FB">
      <w:pPr>
        <w:rPr>
          <w:lang w:val="es-ES_tradnl"/>
        </w:rPr>
      </w:pPr>
      <w:r w:rsidRPr="006B1268">
        <w:rPr>
          <w:lang w:val="es-ES_tradnl"/>
        </w:rPr>
        <w:t>Las secciones siguientes presentan ejemplos de las medidas tomadas por autoridades nacionales y a escala regional.</w:t>
      </w:r>
    </w:p>
    <w:p w14:paraId="59906F8B" w14:textId="3EDD23FE" w:rsidR="006B1268" w:rsidRPr="006B1268" w:rsidRDefault="006B1268" w:rsidP="00207691">
      <w:pPr>
        <w:pStyle w:val="Heading2"/>
        <w:rPr>
          <w:lang w:val="es-ES_tradnl"/>
        </w:rPr>
      </w:pPr>
      <w:bookmarkStart w:id="333" w:name="_Toc404607221"/>
      <w:bookmarkStart w:id="334" w:name="_Toc406670429"/>
      <w:bookmarkStart w:id="335" w:name="_Toc447202565"/>
      <w:bookmarkStart w:id="336" w:name="_Toc447203044"/>
      <w:r w:rsidRPr="006B1268">
        <w:rPr>
          <w:lang w:val="es-ES_tradnl"/>
        </w:rPr>
        <w:t>A.1</w:t>
      </w:r>
      <w:r w:rsidRPr="006B1268">
        <w:rPr>
          <w:lang w:val="es-ES_tradnl"/>
        </w:rPr>
        <w:tab/>
        <w:t>Ejemplos de las medidas tomadas por administraciones y reguladores</w:t>
      </w:r>
      <w:bookmarkEnd w:id="333"/>
      <w:bookmarkEnd w:id="334"/>
      <w:r w:rsidRPr="006B1268">
        <w:rPr>
          <w:lang w:val="es-ES_tradnl"/>
        </w:rPr>
        <w:t xml:space="preserve"> nacionales</w:t>
      </w:r>
      <w:bookmarkEnd w:id="335"/>
      <w:bookmarkEnd w:id="336"/>
    </w:p>
    <w:p w14:paraId="15141A37" w14:textId="34EFDF54" w:rsidR="006B1268" w:rsidRPr="00C869C0" w:rsidRDefault="006B1268" w:rsidP="00207691">
      <w:pPr>
        <w:pStyle w:val="Heading3"/>
        <w:rPr>
          <w:lang w:val="es-ES_tradnl"/>
        </w:rPr>
      </w:pPr>
      <w:bookmarkStart w:id="337" w:name="_Toc404607222"/>
      <w:bookmarkStart w:id="338" w:name="_Toc447202566"/>
      <w:bookmarkStart w:id="339" w:name="_Toc447203045"/>
      <w:r w:rsidRPr="00C869C0">
        <w:rPr>
          <w:lang w:val="es-ES_tradnl"/>
        </w:rPr>
        <w:t>A.1.1</w:t>
      </w:r>
      <w:bookmarkEnd w:id="337"/>
      <w:r w:rsidRPr="00C869C0">
        <w:rPr>
          <w:lang w:val="es-ES_tradnl"/>
        </w:rPr>
        <w:tab/>
        <w:t>Azerbaiyán</w:t>
      </w:r>
      <w:bookmarkEnd w:id="338"/>
      <w:bookmarkEnd w:id="339"/>
    </w:p>
    <w:p w14:paraId="3F3E66FA" w14:textId="77777777" w:rsidR="006B1268" w:rsidRPr="006B1268" w:rsidRDefault="006B1268" w:rsidP="00C142FB">
      <w:pPr>
        <w:rPr>
          <w:lang w:val="es-ES_tradnl"/>
        </w:rPr>
      </w:pPr>
      <w:r w:rsidRPr="006B1268">
        <w:rPr>
          <w:shd w:val="clear" w:color="auto" w:fill="FFFFFF"/>
          <w:lang w:val="es-ES_tradnl"/>
        </w:rPr>
        <w:t xml:space="preserve">El Sistema de Registro de Dispositivos Móviles (MDRS) </w:t>
      </w:r>
      <w:hyperlink r:id="rId138" w:history="1">
        <w:r w:rsidRPr="006B1268">
          <w:rPr>
            <w:rStyle w:val="Hyperlink"/>
            <w:lang w:val="es-ES_tradnl"/>
          </w:rPr>
          <w:t>http://www.rabita.az/en/c-media/news/details/134</w:t>
        </w:r>
      </w:hyperlink>
      <w:r w:rsidRPr="006B1268">
        <w:rPr>
          <w:shd w:val="clear" w:color="auto" w:fill="FFFFFF"/>
          <w:lang w:val="es-ES_tradnl"/>
        </w:rPr>
        <w:t xml:space="preserve"> se creó en el Centro de Computación e Información (ICC) del Ministerio de Comunicaciones y Tecnologías de la Información, de acuerdo con las "Reglas de Registro de los Dispositivos Móviles" aprobadas en la Decisión número 212 del Consejo de Ministros de la República de Azerbaiyán, de fecha 28 de diciembre de 2011.</w:t>
      </w:r>
    </w:p>
    <w:p w14:paraId="58016B19" w14:textId="77777777" w:rsidR="006B1268" w:rsidRPr="006B1268" w:rsidRDefault="006B1268" w:rsidP="00C142FB">
      <w:pPr>
        <w:rPr>
          <w:shd w:val="clear" w:color="auto" w:fill="FFFFFF"/>
          <w:lang w:val="es-ES_tradnl"/>
        </w:rPr>
      </w:pPr>
      <w:r w:rsidRPr="006B1268">
        <w:rPr>
          <w:shd w:val="clear" w:color="auto" w:fill="FFFFFF"/>
          <w:lang w:val="es-ES_tradnl"/>
        </w:rPr>
        <w:t>El objetivo del registro de los dispositivos móviles es evitar la importación de dispositivos de baja calidad y de origen desconocido, que no cumplen con las normas técnicas exigidas como la limitación de la emisión de radiaciones electromagnéticas nocivas, e incrementar el reconocimiento y competitividad de las empresas fabricantes. El sistema de registro impide la utilización de los dispositivos móviles perdidos/robados, o importados ilegalmente en el país.</w:t>
      </w:r>
    </w:p>
    <w:p w14:paraId="49767599" w14:textId="77777777" w:rsidR="006B1268" w:rsidRPr="006B1268" w:rsidRDefault="006B1268" w:rsidP="00C142FB">
      <w:pPr>
        <w:rPr>
          <w:lang w:val="es-ES_tradnl"/>
        </w:rPr>
      </w:pPr>
      <w:r w:rsidRPr="006B1268">
        <w:rPr>
          <w:shd w:val="clear" w:color="auto" w:fill="FFFFFF"/>
          <w:lang w:val="es-ES_tradnl"/>
        </w:rPr>
        <w:t xml:space="preserve">Desde el 1 de marzo de 2013, los operadores móviles introducen diariamente los números IMEI de los dispositivos móviles utilizados en Azerbaiyán en un sistema de base de datos central. El Ministerio de Comunicaciones y Tecnologías de la Información ha informado de que 12 millones de dispositivos GSM se han registrado después de la puesta en servicio del MDRS. Unos 300 000 dispositivos que no cumplen las normas están autorizados a seguir funcionando con sus números actuales de teléfono móvil pero ningún nuevo equipo que no cumpla con las normas podrá funcionar en el país. </w:t>
      </w:r>
      <w:hyperlink r:id="rId139" w:history="1">
        <w:r w:rsidRPr="006B1268">
          <w:rPr>
            <w:rStyle w:val="Hyperlink"/>
            <w:lang w:val="es-ES_tradnl"/>
          </w:rPr>
          <w:t>http://www.mincom.gov.az/media-en/news-2/details/1840</w:t>
        </w:r>
      </w:hyperlink>
    </w:p>
    <w:p w14:paraId="608A4E6A" w14:textId="77777777" w:rsidR="006B1268" w:rsidRPr="006B1268" w:rsidRDefault="006B1268" w:rsidP="00C142FB">
      <w:pPr>
        <w:rPr>
          <w:shd w:val="clear" w:color="auto" w:fill="FFFFFF"/>
          <w:lang w:val="es-ES_tradnl"/>
        </w:rPr>
      </w:pPr>
      <w:r w:rsidRPr="006B1268">
        <w:rPr>
          <w:shd w:val="clear" w:color="auto" w:fill="FFFFFF"/>
          <w:lang w:val="es-ES_tradnl"/>
        </w:rPr>
        <w:t>Los números IMEI de todos los dispositivos móviles utilizados en la red antes del 1 de mayo de 2013, se han considerado registrados y pueden operar libremente en las redes. Después de la puesta en servicio del Sistema de Registro, el número de IMEI de cada móvil importado en el país para uso privado (con una tarjeta SIM de uno de los operadores móviles del país) debe ser registrado en el plazo de 30 días después de su conexión a la red. Esta regla no se aplica en el caso de los dispositivos móviles en itinerancia que utilizan una tarjeta SIM suministrada por un operador extranjero.</w:t>
      </w:r>
    </w:p>
    <w:p w14:paraId="34EF1E90" w14:textId="77777777" w:rsidR="006B1268" w:rsidRPr="006B1268" w:rsidRDefault="006B1268" w:rsidP="00C142FB">
      <w:pPr>
        <w:rPr>
          <w:shd w:val="clear" w:color="auto" w:fill="FFFFFF"/>
          <w:lang w:val="es-ES_tradnl"/>
        </w:rPr>
      </w:pPr>
      <w:r w:rsidRPr="006B1268">
        <w:rPr>
          <w:shd w:val="clear" w:color="auto" w:fill="FFFFFF"/>
          <w:lang w:val="es-ES_tradnl"/>
        </w:rPr>
        <w:t>Los abonados pueden determinar la legalidad de sus dispositivos, con sus números IMEI, mediante una página web especial (imei.az) o con mensajes SMS.</w:t>
      </w:r>
    </w:p>
    <w:p w14:paraId="54743CEC" w14:textId="77777777" w:rsidR="006B1268" w:rsidRPr="006B1268" w:rsidRDefault="006B1268" w:rsidP="00C142FB">
      <w:pPr>
        <w:keepLines/>
        <w:rPr>
          <w:shd w:val="clear" w:color="auto" w:fill="FFFFFF"/>
          <w:lang w:val="es-ES_tradnl"/>
        </w:rPr>
      </w:pPr>
      <w:r w:rsidRPr="006B1268">
        <w:rPr>
          <w:shd w:val="clear" w:color="auto" w:fill="FFFFFF"/>
          <w:lang w:val="es-ES_tradnl"/>
        </w:rPr>
        <w:t>El sistema de base de datos central se creó en el Centro de Computación e Información (ICC) del Ministerio de Comunicaciones y Tecnologías de la Información y, simultáneamente, los operadores móviles instalaron también los equipos que se sincronizan con la base de datos central. Los programas del MDRS fueron realizados por especialistas locales.</w:t>
      </w:r>
    </w:p>
    <w:p w14:paraId="0A5215EF" w14:textId="4158B681" w:rsidR="006B1268" w:rsidRPr="00C869C0" w:rsidRDefault="006B1268" w:rsidP="00207691">
      <w:pPr>
        <w:pStyle w:val="Heading3"/>
        <w:rPr>
          <w:lang w:val="es-ES_tradnl"/>
        </w:rPr>
      </w:pPr>
      <w:bookmarkStart w:id="340" w:name="_Toc404607223"/>
      <w:bookmarkStart w:id="341" w:name="_Toc447202567"/>
      <w:bookmarkStart w:id="342" w:name="_Toc447203046"/>
      <w:r w:rsidRPr="00C869C0">
        <w:rPr>
          <w:lang w:val="es-ES_tradnl"/>
        </w:rPr>
        <w:lastRenderedPageBreak/>
        <w:t>A.1.2</w:t>
      </w:r>
      <w:bookmarkEnd w:id="340"/>
      <w:r w:rsidRPr="00C869C0">
        <w:rPr>
          <w:lang w:val="es-ES_tradnl"/>
        </w:rPr>
        <w:tab/>
        <w:t>Brasil</w:t>
      </w:r>
      <w:bookmarkEnd w:id="341"/>
      <w:bookmarkEnd w:id="342"/>
    </w:p>
    <w:p w14:paraId="0A203065" w14:textId="77777777" w:rsidR="006B1268" w:rsidRPr="006B1268" w:rsidRDefault="006B1268" w:rsidP="00207691">
      <w:pPr>
        <w:pStyle w:val="Headingb"/>
        <w:rPr>
          <w:shd w:val="clear" w:color="auto" w:fill="FFFFFF"/>
          <w:lang w:val="es-ES_tradnl"/>
        </w:rPr>
      </w:pPr>
      <w:r w:rsidRPr="006B1268">
        <w:rPr>
          <w:shd w:val="clear" w:color="auto" w:fill="FFFFFF"/>
          <w:lang w:val="es-ES_tradnl"/>
        </w:rPr>
        <w:t>SIGA – Sistema Integrado de Gestión de Dispositivos</w:t>
      </w:r>
    </w:p>
    <w:p w14:paraId="0FED3982" w14:textId="77777777" w:rsidR="006B1268" w:rsidRPr="006B1268" w:rsidRDefault="006B1268" w:rsidP="00C142FB">
      <w:pPr>
        <w:rPr>
          <w:shd w:val="clear" w:color="auto" w:fill="FFFFFF"/>
          <w:lang w:val="es-ES_tradnl"/>
        </w:rPr>
      </w:pPr>
      <w:r w:rsidRPr="006B1268">
        <w:rPr>
          <w:shd w:val="clear" w:color="auto" w:fill="FFFFFF"/>
          <w:lang w:val="es-ES_tradnl"/>
        </w:rPr>
        <w:t>La Reglamentación del servicio móvil de la Agencia Nacional de Telecomunicaciones de Brasil (Anatel) determina que los operadores solo pueden autorizar, en sus redes, los dispositivos certificados por Anatel y que los usuarios deben utilizar exclusivamente estos dispositivos (Artículo 8, IV y Artículo 10, V de la Reglamentación del servicio móvil, aprobada por la Resolución 477/2007</w:t>
      </w:r>
      <w:r w:rsidRPr="00E05BB8">
        <w:rPr>
          <w:rStyle w:val="FootnoteReference"/>
          <w:shd w:val="clear" w:color="auto" w:fill="FFFFFF"/>
        </w:rPr>
        <w:footnoteReference w:id="9"/>
      </w:r>
      <w:r w:rsidRPr="006B1268">
        <w:rPr>
          <w:shd w:val="clear" w:color="auto" w:fill="FFFFFF"/>
          <w:lang w:val="es-ES_tradnl"/>
        </w:rPr>
        <w:t>). Sobre esta base, Anatel obligó a los operadores móviles brasileños a desarrollar conjuntamente una solución tecnológica para frenar la utilización de los dispositivos móviles no certificados, falsificados o con el número de IMEI clonado.</w:t>
      </w:r>
    </w:p>
    <w:p w14:paraId="1AC3E727" w14:textId="77777777" w:rsidR="006B1268" w:rsidRPr="006B1268" w:rsidRDefault="006B1268" w:rsidP="00C142FB">
      <w:pPr>
        <w:rPr>
          <w:shd w:val="clear" w:color="auto" w:fill="FFFFFF"/>
          <w:lang w:val="es-ES_tradnl"/>
        </w:rPr>
      </w:pPr>
      <w:r w:rsidRPr="006B1268">
        <w:rPr>
          <w:shd w:val="clear" w:color="auto" w:fill="FFFFFF"/>
          <w:lang w:val="es-ES_tradnl"/>
        </w:rPr>
        <w:t>El plan de actuación, propuesto por los operadores para cumplir con esta obligación, definió, entre otros puntos, las líneas maestras de la solución tecnológica, unos posibles criterios basados en usuarios reales para minimizar el efecto sobre la población, los criterios para los nuevos usuarios una vez lanzada la solución para que únicamente los dispositivos que cumplen con la reglamentación de Anatel puedan acceder a la red, los criterios para los usuarios móviles con el fin de evitar cualquier inconveniente a los clientes y los usuarios extranjeros, y unas campañas de publicidad para los usuarios móviles.</w:t>
      </w:r>
    </w:p>
    <w:p w14:paraId="68877C1C" w14:textId="77777777" w:rsidR="006B1268" w:rsidRPr="006B1268" w:rsidRDefault="006B1268" w:rsidP="00C142FB">
      <w:pPr>
        <w:rPr>
          <w:shd w:val="clear" w:color="auto" w:fill="FFFFFF"/>
          <w:lang w:val="es-ES_tradnl"/>
        </w:rPr>
      </w:pPr>
      <w:r w:rsidRPr="006B1268">
        <w:rPr>
          <w:shd w:val="clear" w:color="auto" w:fill="FFFFFF"/>
          <w:lang w:val="es-ES_tradnl"/>
        </w:rPr>
        <w:t>Anatel aprobó el Plan de actuación que considera los aspectos técnicos y reglamentarios, en 2012. La solución se nombró SIGA (Sistema Integrado de Gestión de Dispositivos) y su desarrollo se está realizando sobre la base de las consideraciones técnicas siguientes:</w:t>
      </w:r>
    </w:p>
    <w:p w14:paraId="30B1402C" w14:textId="77777777" w:rsidR="006B1268" w:rsidRPr="006B1268" w:rsidRDefault="006B1268" w:rsidP="00C142FB">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r>
      <w:r w:rsidRPr="006B1268">
        <w:rPr>
          <w:lang w:val="es-ES_tradnl"/>
        </w:rPr>
        <w:t>solución</w:t>
      </w:r>
      <w:r w:rsidRPr="006B1268">
        <w:rPr>
          <w:shd w:val="clear" w:color="auto" w:fill="FFFFFF"/>
          <w:lang w:val="es-ES_tradnl"/>
        </w:rPr>
        <w:t xml:space="preserve"> centralizada, realizada conjuntamente por todos los operadores móviles brasileños;</w:t>
      </w:r>
    </w:p>
    <w:p w14:paraId="1AF7B772" w14:textId="77777777" w:rsidR="006B1268" w:rsidRPr="006B1268" w:rsidRDefault="006B1268" w:rsidP="00C142FB">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solución integrada con los operadores de plataformas móviles;</w:t>
      </w:r>
    </w:p>
    <w:p w14:paraId="2C4553A0" w14:textId="77777777" w:rsidR="006B1268" w:rsidRPr="006B1268" w:rsidRDefault="006B1268" w:rsidP="00C142FB">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solución automatizada, que permite la introducción de la información con una intervención humana reducida;</w:t>
      </w:r>
    </w:p>
    <w:p w14:paraId="7AA5F857" w14:textId="77777777" w:rsidR="006B1268" w:rsidRPr="006B1268" w:rsidRDefault="006B1268" w:rsidP="00C142FB">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escalable y con un crecimiento y una complejidad ampliables;</w:t>
      </w:r>
    </w:p>
    <w:p w14:paraId="4C350BEE" w14:textId="77777777" w:rsidR="006B1268" w:rsidRPr="006B1268" w:rsidRDefault="006B1268" w:rsidP="00C142FB">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dinámica y flexible, con reglas que se puedan justar a lo largo del tiempo;</w:t>
      </w:r>
    </w:p>
    <w:p w14:paraId="2A1779B6" w14:textId="77777777" w:rsidR="006B1268" w:rsidRPr="006B1268" w:rsidRDefault="006B1268" w:rsidP="00C142FB">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compuesta de múltiples fuentes de información como, entre otros, los registros de datos de llamada (CDR), los sistemas de gestión de los operadores, incluido la utilización de bases de datos internacionales según convenga;</w:t>
      </w:r>
    </w:p>
    <w:p w14:paraId="61A50332" w14:textId="77777777" w:rsidR="006B1268" w:rsidRPr="006B1268" w:rsidRDefault="006B1268" w:rsidP="00C142FB">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eficiente para poder realizar las acciones necesarias para frenar la utilización de los dispositivos ilícitos;</w:t>
      </w:r>
    </w:p>
    <w:p w14:paraId="12788B54" w14:textId="77777777" w:rsidR="006B1268" w:rsidRPr="006B1268" w:rsidRDefault="006B1268" w:rsidP="00C142FB">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capaz de minimizar los posibles impactos sobre los usuarios finales normales;</w:t>
      </w:r>
    </w:p>
    <w:p w14:paraId="3585DA27" w14:textId="77777777" w:rsidR="006B1268" w:rsidRPr="006B1268" w:rsidRDefault="006B1268" w:rsidP="00C142FB">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fiable y segura.</w:t>
      </w:r>
    </w:p>
    <w:p w14:paraId="6B0ECC54" w14:textId="77777777" w:rsidR="006B1268" w:rsidRPr="006B1268" w:rsidRDefault="006B1268" w:rsidP="00C142FB">
      <w:pPr>
        <w:rPr>
          <w:shd w:val="clear" w:color="auto" w:fill="FFFFFF"/>
          <w:lang w:val="es-ES_tradnl"/>
        </w:rPr>
      </w:pPr>
      <w:r w:rsidRPr="006B1268">
        <w:rPr>
          <w:shd w:val="clear" w:color="auto" w:fill="FFFFFF"/>
          <w:lang w:val="es-ES_tradnl"/>
        </w:rPr>
        <w:t>Actualmente, ABR Telecom</w:t>
      </w:r>
      <w:r w:rsidRPr="00E05BB8">
        <w:rPr>
          <w:rStyle w:val="FootnoteReference"/>
          <w:shd w:val="clear" w:color="auto" w:fill="FFFFFF"/>
        </w:rPr>
        <w:footnoteReference w:id="10"/>
      </w:r>
      <w:r w:rsidRPr="006B1268">
        <w:rPr>
          <w:shd w:val="clear" w:color="auto" w:fill="FFFFFF"/>
          <w:lang w:val="es-ES_tradnl"/>
        </w:rPr>
        <w:t>, una asociación técnica creada en forma de empresa mixta de la mayoría de los operadores de telecomunicaciones brasileños, para desarrollar, desplegar y explotar soluciones técnicas centralizadas para el mercado brasileño de las telecomunicaciones, realiza la explotación técnica del SIGA.</w:t>
      </w:r>
    </w:p>
    <w:p w14:paraId="31C19B44" w14:textId="77777777" w:rsidR="006B1268" w:rsidRPr="006B1268" w:rsidRDefault="006B1268" w:rsidP="00C142FB">
      <w:pPr>
        <w:rPr>
          <w:shd w:val="clear" w:color="auto" w:fill="FFFFFF"/>
          <w:lang w:val="es-ES_tradnl"/>
        </w:rPr>
      </w:pPr>
      <w:r w:rsidRPr="006B1268">
        <w:rPr>
          <w:shd w:val="clear" w:color="auto" w:fill="FFFFFF"/>
          <w:lang w:val="es-ES_tradnl"/>
        </w:rPr>
        <w:t>En este proyecto existe una fuerte interacción entre todas las partes involucradas para asegurar el éxito de SIGA: Anatel, las autoridades aduaneras, la Asociación de Operadores (SindiTelebrasil), los operadores, los fabricantes de equipos, la Unión de Fabricantes (ABINEE) y ABR Telecom. Además, el problema es complejo pues involucra todas las áreas de un operador, varios actores del mercado y los usuarios finales; es necesario discutir profundamente cada una de las acciones.</w:t>
      </w:r>
    </w:p>
    <w:p w14:paraId="6B6E5724" w14:textId="77777777" w:rsidR="006B1268" w:rsidRPr="006B1268" w:rsidRDefault="006B1268" w:rsidP="00C142FB">
      <w:pPr>
        <w:rPr>
          <w:shd w:val="clear" w:color="auto" w:fill="FFFFFF"/>
          <w:lang w:val="es-ES_tradnl"/>
        </w:rPr>
      </w:pPr>
      <w:r w:rsidRPr="006B1268">
        <w:rPr>
          <w:shd w:val="clear" w:color="auto" w:fill="FFFFFF"/>
          <w:lang w:val="es-ES_tradnl"/>
        </w:rPr>
        <w:lastRenderedPageBreak/>
        <w:t>SIGA se encuentra en funcionamiento en las redes de los operadores desde marzo de 2014, recogiendo la información necesaria para diagnosticar la cantidad de dispositivos del mercado que no cumplen la reglamentación brasileña, para que todas las partes involucradas puedan definir las acciones necesarias para garantizar que estos dispositivos falsificados, que no cumplen las normas o no autorizados sean excluidos de la red, con un impacto mínimo para los usuarios.</w:t>
      </w:r>
    </w:p>
    <w:p w14:paraId="0311FF4F" w14:textId="77777777" w:rsidR="006B1268" w:rsidRPr="006B1268" w:rsidRDefault="006B1268" w:rsidP="00C142FB">
      <w:pPr>
        <w:rPr>
          <w:shd w:val="clear" w:color="auto" w:fill="FFFFFF"/>
          <w:lang w:val="es-ES_tradnl"/>
        </w:rPr>
      </w:pPr>
      <w:r w:rsidRPr="006B1268">
        <w:rPr>
          <w:shd w:val="clear" w:color="auto" w:fill="FFFFFF"/>
          <w:lang w:val="es-ES_tradnl"/>
        </w:rPr>
        <w:t>Una de las posibles acciones para alcanzar este objetivo, actualmente en debate, es la creación de una base de datos de casos previos con todos los casos de funcionamiento (relación única de un terminal y de sus usuarios) que se autorizan a seguir funcionando en la red, pero que bloquea el acceso a la red de cualquier terminal nuevo irregular. En este sentido, los efectos sobre los usuarios se reducen considerablemente y la base de datos de casos previos desaparecería con la sustitución de los terminales.</w:t>
      </w:r>
    </w:p>
    <w:p w14:paraId="647C3DA8" w14:textId="77777777" w:rsidR="006B1268" w:rsidRPr="006B1268" w:rsidRDefault="006B1268" w:rsidP="00C142FB">
      <w:pPr>
        <w:rPr>
          <w:shd w:val="clear" w:color="auto" w:fill="FFFFFF"/>
          <w:lang w:val="es-ES_tradnl"/>
        </w:rPr>
      </w:pPr>
      <w:r w:rsidRPr="006B1268">
        <w:rPr>
          <w:shd w:val="clear" w:color="auto" w:fill="FFFFFF"/>
          <w:lang w:val="es-ES_tradnl"/>
        </w:rPr>
        <w:t>Es importante, además, incluir en la discusión las entidades que representan al usuario, y elaborar un plan de comunicaciones sólido antes de realizar cualquier actuación con repercusiones directas sobre los usuarios (como pueden ser el bloqueo o la suspensión de un dispositivo).</w:t>
      </w:r>
    </w:p>
    <w:p w14:paraId="0D564C93" w14:textId="77777777" w:rsidR="006B1268" w:rsidRPr="006B1268" w:rsidRDefault="006B1268" w:rsidP="00C142FB">
      <w:pPr>
        <w:rPr>
          <w:shd w:val="clear" w:color="auto" w:fill="FFFFFF"/>
          <w:lang w:val="es-ES_tradnl"/>
        </w:rPr>
      </w:pPr>
      <w:r w:rsidRPr="006B1268">
        <w:rPr>
          <w:shd w:val="clear" w:color="auto" w:fill="FFFFFF"/>
          <w:lang w:val="es-ES_tradnl"/>
        </w:rPr>
        <w:t>En este sentido, los operadores, Anatel y la Unión de Fabricantes están elaborado conjuntamente el plan de comunicación de SIGA; todas estas entidades deben implementar el plan, en un esfuerzo conjunto, sobre todos los canales del consumidor (como publicidad, facturas de operadores, centros de llamada) para mostrar a los usuarios las ventajas de comprar terminales legales y certificados y el riesgo que asumen cuando utilizan terminales falsificados, o que no cumplen las normas, en el escenario brasileño.</w:t>
      </w:r>
    </w:p>
    <w:p w14:paraId="42C45528" w14:textId="77777777" w:rsidR="006B1268" w:rsidRPr="006B1268" w:rsidRDefault="006B1268" w:rsidP="00C142FB">
      <w:pPr>
        <w:rPr>
          <w:shd w:val="clear" w:color="auto" w:fill="FFFFFF"/>
          <w:lang w:val="es-ES_tradnl"/>
        </w:rPr>
      </w:pPr>
      <w:r w:rsidRPr="006B1268">
        <w:rPr>
          <w:shd w:val="clear" w:color="auto" w:fill="FFFFFF"/>
          <w:lang w:val="es-ES_tradnl"/>
        </w:rPr>
        <w:t>La información detallada de los aspectos técnicos de este Proyecto se puede conseguir directamente de la Agencia Nacional de Telecomunicaciones (Anatel) de la administración brasileña.</w:t>
      </w:r>
      <w:r w:rsidRPr="00E05BB8">
        <w:rPr>
          <w:rStyle w:val="FootnoteReference"/>
          <w:shd w:val="clear" w:color="auto" w:fill="FFFFFF"/>
        </w:rPr>
        <w:footnoteReference w:id="11"/>
      </w:r>
    </w:p>
    <w:p w14:paraId="0103AA64" w14:textId="7556A991" w:rsidR="006B1268" w:rsidRPr="00C869C0" w:rsidRDefault="006B1268" w:rsidP="00207691">
      <w:pPr>
        <w:pStyle w:val="Heading3"/>
        <w:rPr>
          <w:lang w:val="es-ES_tradnl"/>
        </w:rPr>
      </w:pPr>
      <w:bookmarkStart w:id="343" w:name="_Toc404607224"/>
      <w:bookmarkStart w:id="344" w:name="_Toc447202568"/>
      <w:bookmarkStart w:id="345" w:name="_Toc447203047"/>
      <w:r w:rsidRPr="00C869C0">
        <w:rPr>
          <w:lang w:val="es-ES_tradnl"/>
        </w:rPr>
        <w:t>A.1.3</w:t>
      </w:r>
      <w:r w:rsidRPr="00C869C0">
        <w:rPr>
          <w:lang w:val="es-ES_tradnl"/>
        </w:rPr>
        <w:tab/>
        <w:t>Colombia</w:t>
      </w:r>
      <w:bookmarkEnd w:id="343"/>
      <w:bookmarkEnd w:id="344"/>
      <w:bookmarkEnd w:id="345"/>
    </w:p>
    <w:p w14:paraId="04AC5D0D" w14:textId="77777777" w:rsidR="006B1268" w:rsidRPr="006B1268" w:rsidRDefault="006B1268" w:rsidP="00C142FB">
      <w:pPr>
        <w:rPr>
          <w:lang w:val="es-ES_tradnl"/>
        </w:rPr>
      </w:pPr>
      <w:r w:rsidRPr="006B1268">
        <w:rPr>
          <w:lang w:val="es-ES_tradnl"/>
        </w:rPr>
        <w:t>En 2011, el Ministerio de Información y de Tecnologías de la Comunicación publicó el Decreto 1630 para establecer mecanismos que permitiesen controlar la publicidad y venta de dispositivos terminales, tanto nuevos como usados, y crear dos tipos de bases de datos centralizadas: una con el registro de los números IMEI de los dispositivos terminales declarados como perdidos o robados y evitar su utilización y activación, y otra base de datos con el registro de los números IMEI de los dispositivos terminales legalmente importados o fabricados en el país, y asociados a un número de identificación del propietario o abonado.</w:t>
      </w:r>
    </w:p>
    <w:p w14:paraId="637A8155" w14:textId="77777777" w:rsidR="006B1268" w:rsidRPr="006B1268" w:rsidRDefault="006B1268" w:rsidP="00C142FB">
      <w:pPr>
        <w:rPr>
          <w:lang w:val="es-ES_tradnl"/>
        </w:rPr>
      </w:pPr>
      <w:r w:rsidRPr="006B1268">
        <w:rPr>
          <w:lang w:val="es-ES_tradnl"/>
        </w:rPr>
        <w:t xml:space="preserve">La Ley 1453, del 24 de junio de 2011, sobre la Seguridad de los Ciudadanos prevé penas de 6 a 8 años de prisión para los que falsifiquen, reprogramen, vuelvan a etiquetar o modifiquen el IMEI de los dispositivos móviles y para los que activen dispositivos denunciados como perdidos. Además los equipos modificados deben ser confiscados. </w:t>
      </w:r>
      <w:hyperlink r:id="rId140" w:history="1">
        <w:r w:rsidRPr="006B1268">
          <w:rPr>
            <w:rStyle w:val="Hyperlink"/>
            <w:lang w:val="es-ES_tradnl"/>
          </w:rPr>
          <w:t>http://www.gsma.com/latinamerica/wp-content/uploads/2012/05/Final-CITEL-Resolution-on-Handset-Theft.pdf</w:t>
        </w:r>
      </w:hyperlink>
    </w:p>
    <w:p w14:paraId="6DC07566" w14:textId="77777777" w:rsidR="006B1268" w:rsidRPr="006B1268" w:rsidRDefault="006B1268" w:rsidP="00C142FB">
      <w:pPr>
        <w:rPr>
          <w:lang w:val="es-ES_tradnl"/>
        </w:rPr>
      </w:pPr>
      <w:r w:rsidRPr="006B1268">
        <w:rPr>
          <w:lang w:val="es-ES_tradnl"/>
        </w:rPr>
        <w:t>Estas iniciativas se han tomado para controlar la venta y la utilización de dispositivos móviles robados pero pueden también tener repercusiones sobre la utilización de productos falsificados.</w:t>
      </w:r>
    </w:p>
    <w:p w14:paraId="0B64AAA4" w14:textId="1887E4F0" w:rsidR="006B1268" w:rsidRPr="00C869C0" w:rsidRDefault="006B1268" w:rsidP="00207691">
      <w:pPr>
        <w:pStyle w:val="Heading3"/>
        <w:rPr>
          <w:lang w:val="es-ES_tradnl"/>
        </w:rPr>
      </w:pPr>
      <w:bookmarkStart w:id="346" w:name="_Toc404607225"/>
      <w:bookmarkStart w:id="347" w:name="_Toc447202569"/>
      <w:bookmarkStart w:id="348" w:name="_Toc447203048"/>
      <w:r w:rsidRPr="00C869C0">
        <w:rPr>
          <w:lang w:val="es-ES_tradnl"/>
        </w:rPr>
        <w:t>A.1.4</w:t>
      </w:r>
      <w:bookmarkEnd w:id="346"/>
      <w:r w:rsidRPr="00C869C0">
        <w:rPr>
          <w:lang w:val="es-ES_tradnl"/>
        </w:rPr>
        <w:tab/>
        <w:t>Egipto</w:t>
      </w:r>
      <w:bookmarkEnd w:id="347"/>
      <w:bookmarkEnd w:id="348"/>
    </w:p>
    <w:p w14:paraId="2FF30E4D" w14:textId="77777777" w:rsidR="006B1268" w:rsidRPr="00E05BB8" w:rsidRDefault="006B1268" w:rsidP="00207691">
      <w:pPr>
        <w:rPr>
          <w:lang w:val="es-ES_tradnl"/>
        </w:rPr>
      </w:pPr>
      <w:r w:rsidRPr="00E05BB8">
        <w:rPr>
          <w:lang w:val="es-ES_tradnl"/>
        </w:rPr>
        <w:t>En 2008, la Autoridad Nacional de Reglamentación de las Telecomunicaciones (</w:t>
      </w:r>
      <w:r w:rsidRPr="00E05BB8">
        <w:rPr>
          <w:color w:val="000000"/>
          <w:lang w:val="es-ES_tradnl"/>
        </w:rPr>
        <w:t>NTRA)</w:t>
      </w:r>
      <w:r w:rsidRPr="00E05BB8">
        <w:rPr>
          <w:lang w:val="es-ES_tradnl"/>
        </w:rPr>
        <w:t xml:space="preserve"> estableció un departamento de seguimiento del mercado para apoyar sus actividades de homologación. Se aprobó un sistema en 2010 para combatir el uso de dispositivos terminales móviles falsificados en Egipto. Este sistema utiliza la base de datos de números IMEI de GSMA (GSMA IMEI DB) para proporcionar una actualización semanal de las listas blancas de los IMEI-TAC, y de la base de datos de IMEI de un Registro Central de la Identidad de los Equipos (EIR). Esta solución está pensada para frenar la utilización de los teléfonos móviles con un número de IMEI ilegal, falso, inv</w:t>
      </w:r>
      <w:r>
        <w:rPr>
          <w:lang w:val="es-ES_tradnl"/>
        </w:rPr>
        <w:t>á</w:t>
      </w:r>
      <w:r w:rsidRPr="00E05BB8">
        <w:rPr>
          <w:lang w:val="es-ES_tradnl"/>
        </w:rPr>
        <w:t xml:space="preserve">lido o </w:t>
      </w:r>
      <w:r w:rsidRPr="00E05BB8">
        <w:rPr>
          <w:lang w:val="es-ES_tradnl"/>
        </w:rPr>
        <w:lastRenderedPageBreak/>
        <w:t>clonado, combatir los robos de los teléfonos móviles, y afrontar los problemas de salud y de seguridad que se plantean.</w:t>
      </w:r>
    </w:p>
    <w:bookmarkStart w:id="349" w:name="_Toc404785098"/>
    <w:p w14:paraId="1A7866B5" w14:textId="77777777" w:rsidR="006B1268" w:rsidRPr="00E05BB8" w:rsidRDefault="006B1268" w:rsidP="00362721">
      <w:pPr>
        <w:pStyle w:val="Figure"/>
        <w:rPr>
          <w:lang w:bidi="ar-DZ"/>
        </w:rPr>
      </w:pPr>
      <w:r w:rsidRPr="00E05BB8">
        <w:object w:dxaOrig="6343" w:dyaOrig="4713" w14:anchorId="50630B53">
          <v:shape id="_x0000_i1032" type="#_x0000_t75" style="width:421.5pt;height:309.75pt" o:ole="">
            <v:imagedata r:id="rId141" o:title=""/>
          </v:shape>
          <o:OLEObject Type="Embed" ProgID="CorelDraw.Graphic.16" ShapeID="_x0000_i1032" DrawAspect="Content" ObjectID="_1521536388" r:id="rId142"/>
        </w:object>
      </w:r>
    </w:p>
    <w:p w14:paraId="1808F337" w14:textId="3A1C3533" w:rsidR="006B1268" w:rsidRPr="006B1268" w:rsidRDefault="006B1268" w:rsidP="00C142FB">
      <w:pPr>
        <w:pStyle w:val="FigureNotitle"/>
        <w:rPr>
          <w:lang w:val="es-ES_tradnl" w:bidi="ar-DZ"/>
        </w:rPr>
      </w:pPr>
      <w:bookmarkStart w:id="350" w:name="_Toc447274550"/>
      <w:r w:rsidRPr="006B1268">
        <w:rPr>
          <w:lang w:val="es-ES_tradnl" w:bidi="ar-DZ"/>
        </w:rPr>
        <w:t>Figura A.1 –</w:t>
      </w:r>
      <w:r w:rsidR="00F454AF">
        <w:rPr>
          <w:lang w:val="es-ES_tradnl" w:bidi="ar-DZ"/>
        </w:rPr>
        <w:t xml:space="preserve"> </w:t>
      </w:r>
      <w:r w:rsidRPr="006B1268">
        <w:rPr>
          <w:lang w:val="es-ES_tradnl" w:bidi="ar-DZ"/>
        </w:rPr>
        <w:t xml:space="preserve">Solución de base de datos de IMEI del EIR central </w:t>
      </w:r>
      <w:bookmarkEnd w:id="349"/>
      <w:r w:rsidRPr="006B1268">
        <w:rPr>
          <w:lang w:val="es-ES_tradnl" w:bidi="ar-DZ"/>
        </w:rPr>
        <w:t>en Egipto</w:t>
      </w:r>
      <w:bookmarkEnd w:id="350"/>
    </w:p>
    <w:p w14:paraId="2A674712" w14:textId="77777777" w:rsidR="006B1268" w:rsidRPr="00E05BB8" w:rsidRDefault="006B1268" w:rsidP="00C142FB">
      <w:pPr>
        <w:spacing w:before="240"/>
      </w:pPr>
      <w:r w:rsidRPr="006B1268">
        <w:rPr>
          <w:lang w:val="es-ES_tradnl"/>
        </w:rPr>
        <w:t xml:space="preserve">De acuerdo con los datos de la NTRA, existían 3,5 millones de teléfonos móviles con el código IMEI ilegal 13579024681122, 250 000 teléfonos con números IMEI clonados, 500 000 teléfonos con falsos IMEI, 350 000 con el número de IMEI con todo 0, y 100 000 sin código IMEI. </w:t>
      </w:r>
      <w:hyperlink r:id="rId143" w:history="1">
        <w:r w:rsidRPr="00E05BB8">
          <w:rPr>
            <w:rStyle w:val="Hyperlink"/>
          </w:rPr>
          <w:t>http://www.itu.int/ITU-D/tech/events/2012/CI_ARB_AFR_Tunis_November12/CI_Forum_Tunis_2012_Report.pdf</w:t>
        </w:r>
      </w:hyperlink>
    </w:p>
    <w:p w14:paraId="571E38F5" w14:textId="7E247932" w:rsidR="006B1268" w:rsidRPr="00E05BB8" w:rsidRDefault="006B1268" w:rsidP="00C142FB">
      <w:pPr>
        <w:pStyle w:val="bodytext"/>
        <w:shd w:val="clear" w:color="auto" w:fill="FFFFFF"/>
        <w:spacing w:line="300" w:lineRule="atLeast"/>
        <w:rPr>
          <w:color w:val="000000"/>
          <w:lang w:val="es-ES_tradnl"/>
        </w:rPr>
      </w:pPr>
      <w:r w:rsidRPr="00E05BB8">
        <w:rPr>
          <w:color w:val="000000"/>
          <w:lang w:val="es-ES_tradnl"/>
        </w:rPr>
        <w:t>En febrero de 2010, la NTRA anunció que los tres operadores móviles del país bloquearían, en el mercado egipcio, los servicios de todos los usuarios anónimos y de los teléfonos celulares sin número IMEI</w:t>
      </w:r>
      <w:r w:rsidR="008A70B3">
        <w:rPr>
          <w:color w:val="000000"/>
          <w:lang w:val="es-ES_tradnl"/>
        </w:rPr>
        <w:t xml:space="preserve"> (</w:t>
      </w:r>
      <w:hyperlink r:id="rId144" w:history="1">
        <w:r w:rsidR="00340355" w:rsidRPr="000300A2">
          <w:rPr>
            <w:rStyle w:val="Hyperlink"/>
            <w:lang w:val="es-ES_tradnl"/>
          </w:rPr>
          <w:t>http://www.cellular-news.com/tags/imei</w:t>
        </w:r>
      </w:hyperlink>
      <w:r w:rsidR="008A70B3">
        <w:rPr>
          <w:color w:val="000000"/>
          <w:lang w:val="es-ES_tradnl"/>
        </w:rPr>
        <w:t>)</w:t>
      </w:r>
      <w:r w:rsidRPr="00E05BB8">
        <w:rPr>
          <w:color w:val="000000"/>
          <w:lang w:val="es-ES_tradnl"/>
        </w:rPr>
        <w:t xml:space="preserve">. </w:t>
      </w:r>
      <w:hyperlink r:id="rId145" w:history="1">
        <w:r w:rsidRPr="00E05BB8">
          <w:rPr>
            <w:rStyle w:val="Hyperlink"/>
            <w:lang w:val="es-ES_tradnl"/>
          </w:rPr>
          <w:t>http://www.cellular-news.com/story/42911.php</w:t>
        </w:r>
      </w:hyperlink>
    </w:p>
    <w:p w14:paraId="3D7BEA6B" w14:textId="4024B02E" w:rsidR="006B1268" w:rsidRPr="00C869C0" w:rsidRDefault="006B1268" w:rsidP="00207691">
      <w:pPr>
        <w:pStyle w:val="Heading3"/>
        <w:rPr>
          <w:lang w:val="es-ES_tradnl"/>
        </w:rPr>
      </w:pPr>
      <w:bookmarkStart w:id="351" w:name="_Toc404607226"/>
      <w:bookmarkStart w:id="352" w:name="_Toc447202570"/>
      <w:bookmarkStart w:id="353" w:name="_Toc447203049"/>
      <w:r w:rsidRPr="00C869C0">
        <w:rPr>
          <w:lang w:val="es-ES_tradnl"/>
        </w:rPr>
        <w:t>A.1.5</w:t>
      </w:r>
      <w:r w:rsidRPr="00C869C0">
        <w:rPr>
          <w:lang w:val="es-ES_tradnl"/>
        </w:rPr>
        <w:tab/>
        <w:t>Indonesia</w:t>
      </w:r>
      <w:bookmarkEnd w:id="351"/>
      <w:bookmarkEnd w:id="352"/>
      <w:bookmarkEnd w:id="353"/>
    </w:p>
    <w:p w14:paraId="55DCD56C" w14:textId="77777777" w:rsidR="006B1268" w:rsidRPr="00E05BB8" w:rsidRDefault="006B1268" w:rsidP="00C142FB">
      <w:r w:rsidRPr="006B1268">
        <w:rPr>
          <w:lang w:val="es-ES_tradnl"/>
        </w:rPr>
        <w:t xml:space="preserve">Las condiciones para la importación de teléfonos celulares en Indonesia se endurecieron en enero de 2013, con el establecimiento de procedimientos técnicos y requisitos normalizados, restricciones en la distribución y los puertos, controles previos al envío y la obligación de realizar un registro previo de los números IMEI antes de la importación. El Decreto número 81/2012 del Ministerio de Industria y el Decreto número 82/2012 del Ministerio de Comercio especifican estos requisitos. </w:t>
      </w:r>
      <w:hyperlink r:id="rId146" w:history="1">
        <w:r w:rsidRPr="00E05BB8">
          <w:rPr>
            <w:rStyle w:val="Hyperlink"/>
          </w:rPr>
          <w:t>http://trade.ec.europa.eu/doclib/docs/2013/september/tradoc_151703.pdf</w:t>
        </w:r>
      </w:hyperlink>
    </w:p>
    <w:p w14:paraId="13F4862D" w14:textId="71F2DF13" w:rsidR="006B1268" w:rsidRPr="00E05BB8" w:rsidRDefault="006B1268" w:rsidP="00207691">
      <w:pPr>
        <w:pStyle w:val="Heading3"/>
      </w:pPr>
      <w:bookmarkStart w:id="354" w:name="_Toc404607227"/>
      <w:bookmarkStart w:id="355" w:name="_Toc447202571"/>
      <w:bookmarkStart w:id="356" w:name="_Toc447203050"/>
      <w:r w:rsidRPr="00E05BB8">
        <w:lastRenderedPageBreak/>
        <w:t>A.1.6</w:t>
      </w:r>
      <w:r w:rsidRPr="00E05BB8">
        <w:tab/>
        <w:t>Kenya</w:t>
      </w:r>
      <w:bookmarkEnd w:id="354"/>
      <w:bookmarkEnd w:id="355"/>
      <w:bookmarkEnd w:id="356"/>
    </w:p>
    <w:p w14:paraId="26CC1C14" w14:textId="1C4242B0" w:rsidR="006B1268" w:rsidRPr="006B1268" w:rsidRDefault="006B1268" w:rsidP="00207691">
      <w:pPr>
        <w:pStyle w:val="Heading4"/>
        <w:rPr>
          <w:lang w:val="es-ES_tradnl"/>
        </w:rPr>
      </w:pPr>
      <w:bookmarkStart w:id="357" w:name="_Toc447202572"/>
      <w:r w:rsidRPr="006B1268">
        <w:rPr>
          <w:lang w:val="es-ES_tradnl"/>
        </w:rPr>
        <w:t>A.1.6.1</w:t>
      </w:r>
      <w:r w:rsidRPr="006B1268">
        <w:rPr>
          <w:lang w:val="es-ES_tradnl"/>
        </w:rPr>
        <w:tab/>
        <w:t>Introducción</w:t>
      </w:r>
      <w:bookmarkEnd w:id="357"/>
    </w:p>
    <w:p w14:paraId="7F5DF9C9" w14:textId="77777777" w:rsidR="006B1268" w:rsidRPr="00E05BB8" w:rsidRDefault="006B1268" w:rsidP="00C142FB">
      <w:pPr>
        <w:shd w:val="clear" w:color="auto" w:fill="FFFFFF"/>
        <w:tabs>
          <w:tab w:val="clear" w:pos="794"/>
          <w:tab w:val="clear" w:pos="1191"/>
          <w:tab w:val="clear" w:pos="1588"/>
          <w:tab w:val="clear" w:pos="1985"/>
        </w:tabs>
        <w:overflowPunct/>
        <w:autoSpaceDE/>
        <w:autoSpaceDN/>
        <w:adjustRightInd/>
        <w:spacing w:after="120" w:line="240" w:lineRule="atLeast"/>
        <w:rPr>
          <w:color w:val="000000"/>
          <w:lang w:eastAsia="ru-RU"/>
        </w:rPr>
      </w:pPr>
      <w:r w:rsidRPr="006B1268">
        <w:rPr>
          <w:color w:val="000000"/>
          <w:lang w:val="es-ES_tradnl" w:eastAsia="ru-RU"/>
        </w:rPr>
        <w:t xml:space="preserve">De acuerdo con la Agencia contra la Falsificación (ACA) de Kenya, la competencia desleal entre los productos falsificados y los auténticos le supone a las empresas (fabricantes locales, inversores e innovadores) una pérdida anual de ingresos estimada en 50 000 millones de chelines (aproximadamente 596 millones de dólares), y provoca una amenaza de cierre o de traslado para muchas empresas. Las pérdidas para el gobierno y la economía, derivadas de la falsificación, se estiman en más de 19 000 millones (aproximadamente 227 millones de dólares) en evasiones de impuestos. </w:t>
      </w:r>
      <w:hyperlink r:id="rId147" w:history="1">
        <w:r w:rsidRPr="00E05BB8">
          <w:rPr>
            <w:rStyle w:val="Hyperlink"/>
          </w:rPr>
          <w:t>http://www.aca.go.ke/index.php?option=com_docman&amp;task=doc_download&amp;gid=20&amp;Itemid=471</w:t>
        </w:r>
      </w:hyperlink>
      <w:r w:rsidRPr="00E05BB8">
        <w:rPr>
          <w:color w:val="000000"/>
          <w:lang w:eastAsia="ru-RU"/>
        </w:rPr>
        <w:t xml:space="preserve"> </w:t>
      </w:r>
    </w:p>
    <w:p w14:paraId="5344A202" w14:textId="77777777" w:rsidR="006B1268" w:rsidRPr="006B1268" w:rsidRDefault="006B1268" w:rsidP="00C142FB">
      <w:pPr>
        <w:shd w:val="clear" w:color="auto" w:fill="FFFFFF"/>
        <w:tabs>
          <w:tab w:val="clear" w:pos="794"/>
          <w:tab w:val="clear" w:pos="1191"/>
          <w:tab w:val="clear" w:pos="1588"/>
          <w:tab w:val="clear" w:pos="1985"/>
        </w:tabs>
        <w:overflowPunct/>
        <w:autoSpaceDE/>
        <w:autoSpaceDN/>
        <w:adjustRightInd/>
        <w:spacing w:after="120" w:line="240" w:lineRule="atLeast"/>
        <w:rPr>
          <w:color w:val="000000"/>
          <w:lang w:val="es-ES_tradnl" w:eastAsia="ru-RU"/>
        </w:rPr>
      </w:pPr>
      <w:r w:rsidRPr="006B1268">
        <w:rPr>
          <w:color w:val="000000"/>
          <w:lang w:val="es-ES_tradnl" w:eastAsia="ru-RU"/>
        </w:rPr>
        <w:t>Los artículos más afectados son los medicamentos, la electrónica, los CD y los programas informáticos pirateados, las bebidas alcohólicas, los teléfonos móviles y los recursos agrarios.</w:t>
      </w:r>
    </w:p>
    <w:p w14:paraId="0B0808A9" w14:textId="77777777" w:rsidR="006B1268" w:rsidRPr="00E05BB8" w:rsidRDefault="006B1268" w:rsidP="00C142FB">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eastAsia="ru-RU"/>
        </w:rPr>
      </w:pPr>
      <w:r w:rsidRPr="006B1268">
        <w:rPr>
          <w:color w:val="000000"/>
          <w:lang w:val="es-ES_tradnl" w:eastAsia="ru-RU"/>
        </w:rPr>
        <w:t>La Ley de Información y Comunicaciones de Kenya, en el capítulo 411A, creó la Comisión de Comunicaciones de Kenya, para conceder licencias y reglamentar los servicios de información y de comunicaciones. La Sección 25 de esta Ley encarga a la Comisión conceder, sujetas a las condiciones necesarias, las licencias para la explotación de los sistemas y la prestación de los servicios de telecomunicaciones. Uno de los requisitos de las licencias es la homologación de los equipos de telecomunicaciones para asegurar su compatibilidad con las redes de comunicaciones públicas. En este contexto, el Reglamento 3 de la Reglamentación de</w:t>
      </w:r>
      <w:r w:rsidRPr="006B1268">
        <w:rPr>
          <w:lang w:val="es-ES_tradnl"/>
        </w:rPr>
        <w:t xml:space="preserve"> </w:t>
      </w:r>
      <w:r w:rsidRPr="006B1268">
        <w:rPr>
          <w:color w:val="000000"/>
          <w:lang w:val="es-ES_tradnl" w:eastAsia="ru-RU"/>
        </w:rPr>
        <w:t>los Servicios de Información y Comunicaciones (importación, homologación, y distribución de equipos de comunicaciones) de Kenya, del año 2010, exige que todos los teléfonos móviles sean homologados por la Comisión antes de su conexión a las redes públicas.</w:t>
      </w:r>
      <w:r w:rsidRPr="006B1268">
        <w:rPr>
          <w:color w:val="000000"/>
          <w:lang w:val="es-ES_tradnl" w:eastAsia="ru-RU"/>
        </w:rPr>
        <w:br/>
      </w:r>
      <w:hyperlink r:id="rId148" w:history="1">
        <w:r w:rsidRPr="00E05BB8">
          <w:rPr>
            <w:rStyle w:val="Hyperlink"/>
          </w:rPr>
          <w:t>http://www.cofek.co.ke/CCK%20Letter%20to%20Cofek%20-%20Counterfeit%20phone%20switch-off%20threat.pdf</w:t>
        </w:r>
      </w:hyperlink>
      <w:r w:rsidRPr="00E05BB8">
        <w:rPr>
          <w:color w:val="000000"/>
          <w:lang w:eastAsia="ru-RU"/>
        </w:rPr>
        <w:t xml:space="preserve"> </w:t>
      </w:r>
    </w:p>
    <w:p w14:paraId="4E40FE61" w14:textId="77777777" w:rsidR="006B1268" w:rsidRPr="006B1268" w:rsidRDefault="006B1268" w:rsidP="00C142FB">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val="es-ES_tradnl" w:eastAsia="ru-RU"/>
        </w:rPr>
      </w:pPr>
      <w:r w:rsidRPr="006B1268">
        <w:rPr>
          <w:color w:val="000000"/>
          <w:lang w:val="es-ES_tradnl" w:eastAsia="ru-RU"/>
        </w:rPr>
        <w:t>La esencia del proceso de homologación es fundamentalmente proteger el público contra los efectos indeseables de los dispositivos telefónicos móviles falsificados y/o de baja calidad que representen riesgos técnicos, económicos, para la salud y para la seguridad. En la sección A.1.6.2, figura información adicional sobre los retos asociados con los teléfonos móviles falsificados para la industria de las TIC. Un teléfono móvil que no tiene el número IMEI internacional correcto no puede ser homologado</w:t>
      </w:r>
    </w:p>
    <w:p w14:paraId="2E6BB7EA" w14:textId="77777777" w:rsidR="006B1268" w:rsidRPr="006B1268" w:rsidRDefault="006B1268" w:rsidP="00C142FB">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val="es-ES_tradnl" w:eastAsia="ru-RU"/>
        </w:rPr>
      </w:pPr>
      <w:r w:rsidRPr="006B1268">
        <w:rPr>
          <w:color w:val="000000"/>
          <w:lang w:val="es-ES_tradnl" w:eastAsia="ru-RU"/>
        </w:rPr>
        <w:t>Por las razones anteriores, la utilización de los dispositivos móviles falsificados debe ser eliminada. Se ha ido realizando, sin embargo, con el respeto a los intereses de todas las partes, y con unas actividades sobre varias fases que han llevado a la fecha de corte del 30 de septiembre de 2012.</w:t>
      </w:r>
    </w:p>
    <w:p w14:paraId="757B5C54" w14:textId="77777777" w:rsidR="006B1268" w:rsidRPr="006B1268" w:rsidRDefault="006B1268" w:rsidP="00C142FB">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val="es-ES_tradnl" w:eastAsia="ru-RU"/>
        </w:rPr>
      </w:pPr>
      <w:r w:rsidRPr="006B1268">
        <w:rPr>
          <w:color w:val="000000"/>
          <w:lang w:val="es-ES_tradnl" w:eastAsia="ru-RU"/>
        </w:rPr>
        <w:t>Con el objetivo de asegurar que se consideran los intereses y las preocupaciones de todos las partes, la Comisión organizó en octubre de 2011 una serie de consultas abiertas para tratar los retos que provocan los teléfonos móviles falsificados en la industria y en toda la economía, con los actores del sector de las TIC, varias agencias gubernamentales y otros interesados en el tema de los teléfonos móviles falsificados. En estas consultas, se acordaron varios puntos de acción concretos sobre el asunto.</w:t>
      </w:r>
    </w:p>
    <w:p w14:paraId="1891F7EE" w14:textId="77777777" w:rsidR="006B1268" w:rsidRPr="006B1268" w:rsidRDefault="006B1268" w:rsidP="00C142FB">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val="es-ES_tradnl" w:eastAsia="ru-RU"/>
        </w:rPr>
      </w:pPr>
      <w:r w:rsidRPr="006B1268">
        <w:rPr>
          <w:color w:val="000000"/>
          <w:lang w:val="es-ES_tradnl" w:eastAsia="ru-RU"/>
        </w:rPr>
        <w:t>Entre otras acciones, se acordó el lanzamiento, por la Comisión, de una campaña de concienciación pública para asegurar que los usuarios conocen los efectos negativos de los dispositivos falsificados; la creación de un sistema para que el público pueda determinar si el teléfono móvil que tiene es auténtico; la puesta en funcionamiento de sistemas para bloquear los terminales falsificados en las redes públicas; y la prestación de servicios de soporte a los clientes.</w:t>
      </w:r>
    </w:p>
    <w:p w14:paraId="32E13137" w14:textId="77777777" w:rsidR="006B1268" w:rsidRPr="006B1268" w:rsidRDefault="006B1268" w:rsidP="00C142FB">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val="es-ES_tradnl" w:eastAsia="ru-RU"/>
        </w:rPr>
      </w:pPr>
      <w:r w:rsidRPr="006B1268">
        <w:rPr>
          <w:color w:val="000000"/>
          <w:lang w:val="es-ES_tradnl" w:eastAsia="ru-RU"/>
        </w:rPr>
        <w:t xml:space="preserve">Otra acción significativa es el aumento de la vigilancia y de las medidas contra los dispositivos móviles falsificados por todas las agencias relevantes del gobierno. Se ha establecido un sistema de verificación de los teléfonos móviles, con acceso a la base de datos de GSMA para permitir que los </w:t>
      </w:r>
      <w:r w:rsidRPr="006B1268">
        <w:rPr>
          <w:color w:val="000000"/>
          <w:lang w:val="es-ES_tradnl" w:eastAsia="ru-RU"/>
        </w:rPr>
        <w:lastRenderedPageBreak/>
        <w:t>usuarios verifiquen la validez de sus teléfonos introduciendo el IMEI. Además, se ha implementado un sistema para el bloqueo de los terminales falsificados en las redes móviles.</w:t>
      </w:r>
    </w:p>
    <w:p w14:paraId="0429D6F6" w14:textId="77777777" w:rsidR="006B1268" w:rsidRPr="006B1268" w:rsidRDefault="006B1268" w:rsidP="00C142FB">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val="es-ES_tradnl" w:eastAsia="ru-RU"/>
        </w:rPr>
      </w:pPr>
      <w:r w:rsidRPr="006B1268">
        <w:rPr>
          <w:color w:val="000000"/>
          <w:lang w:val="es-ES_tradnl" w:eastAsia="ru-RU"/>
        </w:rPr>
        <w:t>Como resultado de las actuaciones descritas, 1,89 millones de terminales falsificados fueron excluidos, después del 30 de septiembre de 2012, en Kenya.</w:t>
      </w:r>
    </w:p>
    <w:p w14:paraId="542855E3" w14:textId="601A242F" w:rsidR="006B1268" w:rsidRPr="006B1268" w:rsidRDefault="006B1268" w:rsidP="00207691">
      <w:pPr>
        <w:pStyle w:val="Heading4"/>
        <w:rPr>
          <w:lang w:val="es-ES_tradnl"/>
        </w:rPr>
      </w:pPr>
      <w:bookmarkStart w:id="358" w:name="_Toc447202573"/>
      <w:r w:rsidRPr="006B1268">
        <w:rPr>
          <w:lang w:val="es-ES_tradnl"/>
        </w:rPr>
        <w:t>A.1.6.2</w:t>
      </w:r>
      <w:r w:rsidRPr="006B1268">
        <w:rPr>
          <w:lang w:val="es-ES_tradnl"/>
        </w:rPr>
        <w:tab/>
        <w:t>Eliminación de los teléfonos móviles falsificados</w:t>
      </w:r>
      <w:bookmarkEnd w:id="358"/>
    </w:p>
    <w:p w14:paraId="2A73B9FC" w14:textId="53270723" w:rsidR="006B1268" w:rsidRPr="006B1268" w:rsidRDefault="006B1268" w:rsidP="00C142FB">
      <w:pPr>
        <w:pStyle w:val="Heading1"/>
        <w:rPr>
          <w:lang w:val="es-ES_tradnl"/>
        </w:rPr>
      </w:pPr>
      <w:bookmarkStart w:id="359" w:name="_Toc447202574"/>
      <w:bookmarkStart w:id="360" w:name="_Toc447203051"/>
      <w:r w:rsidRPr="006B1268">
        <w:rPr>
          <w:lang w:val="es-ES_tradnl"/>
        </w:rPr>
        <w:t>1)</w:t>
      </w:r>
      <w:r w:rsidRPr="006B1268">
        <w:rPr>
          <w:lang w:val="es-ES_tradnl"/>
        </w:rPr>
        <w:tab/>
        <w:t>Antecedentes</w:t>
      </w:r>
      <w:bookmarkEnd w:id="359"/>
      <w:bookmarkEnd w:id="360"/>
    </w:p>
    <w:p w14:paraId="34B2CE31" w14:textId="77777777" w:rsidR="006B1268" w:rsidRPr="006B1268" w:rsidRDefault="006B1268" w:rsidP="00C142FB">
      <w:pPr>
        <w:pStyle w:val="Headingb"/>
        <w:rPr>
          <w:lang w:val="es-ES_tradnl"/>
        </w:rPr>
      </w:pPr>
      <w:r w:rsidRPr="006B1268">
        <w:rPr>
          <w:spacing w:val="-7"/>
          <w:lang w:val="es-ES_tradnl"/>
        </w:rPr>
        <w:t>a)</w:t>
      </w:r>
      <w:r w:rsidRPr="006B1268">
        <w:rPr>
          <w:spacing w:val="-7"/>
          <w:lang w:val="es-ES_tradnl"/>
        </w:rPr>
        <w:tab/>
      </w:r>
      <w:r w:rsidRPr="006B1268">
        <w:rPr>
          <w:lang w:val="es-ES_tradnl"/>
        </w:rPr>
        <w:t>Implementación del sistema de registro de la identidad de los equipos</w:t>
      </w:r>
    </w:p>
    <w:p w14:paraId="4A9CF8E1" w14:textId="77777777" w:rsidR="006B1268" w:rsidRPr="006B1268" w:rsidRDefault="006B1268" w:rsidP="00C142FB">
      <w:pPr>
        <w:rPr>
          <w:lang w:val="es-ES_tradnl"/>
        </w:rPr>
      </w:pPr>
      <w:r w:rsidRPr="006B1268">
        <w:rPr>
          <w:lang w:val="es-ES_tradnl"/>
        </w:rPr>
        <w:t>En la actualidad, la utilización del móvil en Kenya es una necesidad, y no un lujo. Ello se puede observar en el número creciente de abonados en el país, que alcanza los 29,2 millones aproximadamente. Sin embargo, un reto asociado con la introducción de los servicios de comunicaciones móviles es el robo de los teléfonos móviles, y también el aumento del número de delitos cometidos con la ayuda de teléfonos móviles, que ponen en riesgo la seguridad.</w:t>
      </w:r>
    </w:p>
    <w:p w14:paraId="0304A9BB" w14:textId="77777777" w:rsidR="006B1268" w:rsidRPr="006B1268" w:rsidRDefault="006B1268" w:rsidP="001E2DA8">
      <w:pPr>
        <w:rPr>
          <w:lang w:val="es-ES_tradnl"/>
        </w:rPr>
      </w:pPr>
      <w:r w:rsidRPr="006B1268">
        <w:rPr>
          <w:lang w:val="es-ES_tradnl"/>
        </w:rPr>
        <w:t>Cuando aparecieron estas amenazas en 2001, la Comisión organizó una serie de consultas con los operadores móviles con licencia existentes, con el objetivo de encontrar una solución duradera para al problema. Mientras tanto, la Organización para las Comunicaciones de África oriental (EACO), adoptó una resolución que, entre otros aspectos, pedía a los organismos reguladores y a los operadores de la región que realizaran consultas sobre la manera más adecuada de controlar el robo de los teléfonos móviles en la región.</w:t>
      </w:r>
    </w:p>
    <w:p w14:paraId="64F0242D" w14:textId="77777777" w:rsidR="006B1268" w:rsidRPr="006B1268" w:rsidRDefault="006B1268" w:rsidP="001E2DA8">
      <w:pPr>
        <w:rPr>
          <w:lang w:val="es-ES_tradnl"/>
        </w:rPr>
      </w:pPr>
      <w:r w:rsidRPr="006B1268">
        <w:rPr>
          <w:lang w:val="es-ES_tradnl"/>
        </w:rPr>
        <w:t>En estas consultas, se observó que una funcionalidad de las redes móviles, llamada Registro de identidad del Equipo (EIR), ofrecía un mecanismo para resolver la cuestión del robo de los teléfonos móviles. El EIR puede controlar el número único de Identidad internacional del equipo móvil (IMEI) de cada teléfono que accede a la red móvil y mantener un registro del mismo, y enviar esta información donde las autoridades lo necesitan.</w:t>
      </w:r>
    </w:p>
    <w:p w14:paraId="6BA8C9DC" w14:textId="77777777" w:rsidR="006B1268" w:rsidRPr="006B1268" w:rsidRDefault="006B1268" w:rsidP="001E2DA8">
      <w:pPr>
        <w:rPr>
          <w:lang w:val="es-ES_tradnl"/>
        </w:rPr>
      </w:pPr>
      <w:r w:rsidRPr="006B1268">
        <w:rPr>
          <w:lang w:val="es-ES_tradnl"/>
        </w:rPr>
        <w:t>A tal efecto, se estableció un memorándum de entendimiento (MoU) entre todos los operadores móviles para la implementación del sistema EIR y facilitar también la implementación futura del sistema a escala regional. Además se observó que la existencia de teléfonos móviles falsificados con, en muchos casos, IMEI duplicados y/o falsos, lleva a la situación de que cuando se persigue y desactiva un teléfono móvil utilizando el sistema EIR, se pueden presumiblemente desactivar varios teléfonos móviles más con IMEI iguales.</w:t>
      </w:r>
    </w:p>
    <w:p w14:paraId="4554E2E6" w14:textId="77777777" w:rsidR="006B1268" w:rsidRPr="006B1268" w:rsidRDefault="006B1268" w:rsidP="001E2DA8">
      <w:pPr>
        <w:rPr>
          <w:lang w:val="es-ES_tradnl"/>
        </w:rPr>
      </w:pPr>
      <w:r w:rsidRPr="006B1268">
        <w:rPr>
          <w:lang w:val="es-ES_tradnl"/>
        </w:rPr>
        <w:t>En este contexto, la razón de luchar contra la presencia de teléfonos móviles falsificados en el mercado apareció antes de la implementación completa del sistema EIR y su éxito dependerá de la erradicación de los teléfonos móviles falsificados según se propone internacionalmente.</w:t>
      </w:r>
    </w:p>
    <w:p w14:paraId="649173A2" w14:textId="77777777" w:rsidR="006B1268" w:rsidRPr="006B1268" w:rsidRDefault="006B1268" w:rsidP="00C142FB">
      <w:pPr>
        <w:pStyle w:val="Headingb"/>
        <w:rPr>
          <w:lang w:val="es-ES_tradnl"/>
        </w:rPr>
      </w:pPr>
      <w:r w:rsidRPr="006B1268">
        <w:rPr>
          <w:spacing w:val="-5"/>
          <w:lang w:val="es-ES_tradnl"/>
        </w:rPr>
        <w:t>b)</w:t>
      </w:r>
      <w:r w:rsidRPr="006B1268">
        <w:rPr>
          <w:lang w:val="es-ES_tradnl"/>
        </w:rPr>
        <w:tab/>
        <w:t>Creación del marco legal/reglamentario para los teléfonos móviles.</w:t>
      </w:r>
    </w:p>
    <w:p w14:paraId="3B0E0523" w14:textId="77777777" w:rsidR="006B1268" w:rsidRPr="00D95B2D" w:rsidRDefault="006B1268" w:rsidP="00C142FB">
      <w:pPr>
        <w:rPr>
          <w:lang w:val="es-ES_tradnl"/>
        </w:rPr>
      </w:pPr>
      <w:r w:rsidRPr="00D95B2D">
        <w:rPr>
          <w:spacing w:val="-5"/>
          <w:lang w:val="es-ES_tradnl"/>
        </w:rPr>
        <w:t>i)</w:t>
      </w:r>
      <w:r w:rsidRPr="00D95B2D">
        <w:rPr>
          <w:rFonts w:ascii="Arial" w:cs="Arial"/>
          <w:lang w:val="es-ES_tradnl"/>
        </w:rPr>
        <w:tab/>
      </w:r>
      <w:r w:rsidRPr="00D95B2D">
        <w:rPr>
          <w:lang w:val="es-ES_tradnl"/>
        </w:rPr>
        <w:t>Marco legal y reglamentario</w:t>
      </w:r>
    </w:p>
    <w:p w14:paraId="23E7F026" w14:textId="77777777" w:rsidR="006B1268" w:rsidRPr="006B1268" w:rsidRDefault="006B1268" w:rsidP="00C142FB">
      <w:pPr>
        <w:keepLines/>
        <w:rPr>
          <w:spacing w:val="-4"/>
          <w:lang w:val="es-ES_tradnl"/>
        </w:rPr>
      </w:pPr>
      <w:r w:rsidRPr="006B1268">
        <w:rPr>
          <w:spacing w:val="-4"/>
          <w:lang w:val="es-ES_tradnl"/>
        </w:rPr>
        <w:t>Desde la perspectiva de la industria de las comunicaciones, la Sección 25 de la Ley de Información y Comunicaciones de Kenya ofrece, en el Capítulo 4IIA, el marco legal y reglamentario para los teléfonos móviles. Las licencias concedidas de acuerdo con esta Ley incluyen una condición que exige a los titulares de las licencias ofrecer los servicios exclusivamente a los usuarios que utilizan aparatos homologados.</w:t>
      </w:r>
    </w:p>
    <w:p w14:paraId="13F4B2E1" w14:textId="77777777" w:rsidR="006B1268" w:rsidRPr="006B1268" w:rsidRDefault="006B1268" w:rsidP="00C142FB">
      <w:pPr>
        <w:rPr>
          <w:spacing w:val="-4"/>
          <w:lang w:val="es-ES_tradnl"/>
        </w:rPr>
      </w:pPr>
      <w:r w:rsidRPr="006B1268">
        <w:rPr>
          <w:spacing w:val="-4"/>
          <w:lang w:val="es-ES_tradnl"/>
        </w:rPr>
        <w:t xml:space="preserve">Por otro lado, los Reglamentos de Información y Comunicaciones de Kenya de 2010 (importación, homologación y distribución de los equipos de comunicaciones) exigen que se homologuen todos los terminales. Es importante observar que, de acuerdo con los requisitos de homologación de la Comisión, no es posible homologar un teléfono móvil GSM sin un IMEI adecuado o con un IMEI falsificado. En consecuencia, todos los teléfonos móviles sin un IMEI adecuado o con un IMEI clonado son, en </w:t>
      </w:r>
      <w:r w:rsidRPr="006B1268">
        <w:rPr>
          <w:spacing w:val="-4"/>
          <w:lang w:val="es-ES_tradnl"/>
        </w:rPr>
        <w:lastRenderedPageBreak/>
        <w:t>esencia, ilegales y su utilización es, por lo tanto, una violación de la Ley de Información y Comunicaciones.</w:t>
      </w:r>
    </w:p>
    <w:p w14:paraId="2D7F29BF" w14:textId="77777777" w:rsidR="006B1268" w:rsidRPr="006B1268" w:rsidRDefault="006B1268" w:rsidP="00C142FB">
      <w:pPr>
        <w:rPr>
          <w:lang w:val="es-ES_tradnl"/>
        </w:rPr>
      </w:pPr>
      <w:r w:rsidRPr="006B1268">
        <w:rPr>
          <w:lang w:val="es-ES_tradnl"/>
        </w:rPr>
        <w:t>ii)</w:t>
      </w:r>
      <w:r w:rsidRPr="006B1268">
        <w:rPr>
          <w:lang w:val="es-ES_tradnl"/>
        </w:rPr>
        <w:tab/>
        <w:t>Reciente Directiva de la Comisión y la respuesta de los operadores</w:t>
      </w:r>
    </w:p>
    <w:p w14:paraId="02714D39" w14:textId="77777777" w:rsidR="006B1268" w:rsidRPr="006B1268" w:rsidRDefault="006B1268" w:rsidP="00C142FB">
      <w:pPr>
        <w:rPr>
          <w:spacing w:val="-5"/>
          <w:lang w:val="es-ES_tradnl"/>
        </w:rPr>
      </w:pPr>
      <w:r w:rsidRPr="006B1268">
        <w:rPr>
          <w:spacing w:val="-5"/>
          <w:lang w:val="es-ES_tradnl"/>
        </w:rPr>
        <w:t>En Mayo 2011, la Comisión indicó a todos los operadores de redes móviles que debían excluir de sus redes, a partir del 30 de septiembre de 2011, todos los terminales falsificados. Esta Directiva estaba de acuerdo con el espíritu y la letra de los estatutos que gobiernan el sector de las comunicaciones.</w:t>
      </w:r>
    </w:p>
    <w:p w14:paraId="4FAC2619" w14:textId="02AB7CAF" w:rsidR="006B1268" w:rsidRPr="006B1268" w:rsidRDefault="006B1268" w:rsidP="00C142FB">
      <w:pPr>
        <w:pStyle w:val="Heading1"/>
        <w:rPr>
          <w:lang w:val="es-ES_tradnl"/>
        </w:rPr>
      </w:pPr>
      <w:bookmarkStart w:id="361" w:name="_Toc447202575"/>
      <w:bookmarkStart w:id="362" w:name="_Toc447203052"/>
      <w:r w:rsidRPr="006B1268">
        <w:rPr>
          <w:lang w:val="es-ES_tradnl"/>
        </w:rPr>
        <w:t>2)</w:t>
      </w:r>
      <w:r w:rsidRPr="006B1268">
        <w:rPr>
          <w:lang w:val="es-ES_tradnl"/>
        </w:rPr>
        <w:tab/>
        <w:t>Consultas a la industria</w:t>
      </w:r>
      <w:bookmarkEnd w:id="361"/>
      <w:bookmarkEnd w:id="362"/>
    </w:p>
    <w:p w14:paraId="1A3E753D" w14:textId="77777777" w:rsidR="006B1268" w:rsidRPr="006B1268" w:rsidRDefault="006B1268" w:rsidP="00C142FB">
      <w:pPr>
        <w:rPr>
          <w:spacing w:val="-3"/>
          <w:lang w:val="es-ES_tradnl"/>
        </w:rPr>
      </w:pPr>
      <w:r w:rsidRPr="006B1268">
        <w:rPr>
          <w:spacing w:val="-3"/>
          <w:lang w:val="es-ES_tradnl"/>
        </w:rPr>
        <w:t>Al recibir la directiva, los actores de la industria móvil contestaron con peticiones de revisión de la directiva, haciendo referencia a un gran número de usuarios que utilizan teléfonos móviles con IMEI idénticos o falsos. Además, los operadores temían que la desconexión de un número estimado de más de dos millones de terminales falsificados, tuviese consecuencias negativas sobre sus ingresos.</w:t>
      </w:r>
    </w:p>
    <w:p w14:paraId="69245BB5" w14:textId="77777777" w:rsidR="006B1268" w:rsidRPr="006B1268" w:rsidRDefault="006B1268" w:rsidP="00C142FB">
      <w:pPr>
        <w:shd w:val="clear" w:color="auto" w:fill="FFFFFF"/>
        <w:ind w:right="43"/>
        <w:rPr>
          <w:lang w:val="es-ES_tradnl"/>
        </w:rPr>
      </w:pPr>
      <w:r w:rsidRPr="006B1268">
        <w:rPr>
          <w:spacing w:val="-3"/>
          <w:lang w:val="es-ES_tradnl"/>
        </w:rPr>
        <w:t>La Comisión creó un comité abierto para asegurar la implementación de la directiva con las mínimas interrupciones de servicio, compuesto principalmente por los representantes de los operadores móviles, los ministerios y agencias del gobierno relevantes, los fabricantes de equipos, los vendedores y de la sociedad civil.</w:t>
      </w:r>
    </w:p>
    <w:p w14:paraId="32DF1196" w14:textId="77777777" w:rsidR="006B1268" w:rsidRPr="006B1268" w:rsidRDefault="006B1268" w:rsidP="00C142FB">
      <w:pPr>
        <w:shd w:val="clear" w:color="auto" w:fill="FFFFFF"/>
        <w:ind w:right="22"/>
        <w:rPr>
          <w:spacing w:val="-4"/>
          <w:lang w:val="es-ES_tradnl"/>
        </w:rPr>
      </w:pPr>
      <w:r w:rsidRPr="006B1268">
        <w:rPr>
          <w:spacing w:val="-4"/>
          <w:lang w:val="es-ES_tradnl"/>
        </w:rPr>
        <w:t>El objetivo de las series de consultas entre los representantes de la industria de las TIC y varias agencias del gobierno, ha sido también afrontar los retos que plantean los teléfonos móviles falsificados sobre la industria y la economía en general. La Asociación GSM (GSMA) observó que Kenya es uno de los países con gran mercado de teléfonos móviles robados en Europa o falsificados. Desde su experiencia en la gestión de este tema a escala internacional, la GSMA ha contribuido significativamente y ha aconsejado el proceso en Kenya con varias intervenciones técnicas. Las consultas han contribuido a realizar acciones de soporte a la iniciativa.</w:t>
      </w:r>
    </w:p>
    <w:p w14:paraId="32B2715F" w14:textId="77777777" w:rsidR="006B1268" w:rsidRPr="006B1268" w:rsidRDefault="006B1268" w:rsidP="00C142FB">
      <w:pPr>
        <w:shd w:val="clear" w:color="auto" w:fill="FFFFFF"/>
        <w:ind w:right="7"/>
        <w:rPr>
          <w:spacing w:val="-4"/>
          <w:lang w:val="es-ES_tradnl"/>
        </w:rPr>
      </w:pPr>
      <w:r w:rsidRPr="006B1268">
        <w:rPr>
          <w:spacing w:val="-4"/>
          <w:lang w:val="es-ES_tradnl"/>
        </w:rPr>
        <w:t>Entre estas acciones fueron claves, el lanzamiento por la Comisión de una campaña de información pública para asegurar que los abonados conocieran los efectos negativos de los dispositivos falsificados, y el compromiso de los fabricantes de teléfonos móviles para la creación de un sistema que el público pudiera utilizar para determinar si su teléfono móvil es auténtico o no. Además, los operadores de red establecieron sistemas para bloquear los teléfonos móviles en sus redes y ofrecer servicios de soporte a los abonados, y las agencias del gobierno, sistemas para aumentar la vigilancia y tomar medidas contra los teléfonos móviles falsificados.</w:t>
      </w:r>
    </w:p>
    <w:p w14:paraId="02B4271A" w14:textId="77777777" w:rsidR="006B1268" w:rsidRPr="00E05BB8" w:rsidRDefault="006B1268" w:rsidP="00C142FB">
      <w:pPr>
        <w:shd w:val="clear" w:color="auto" w:fill="FFFFFF"/>
        <w:rPr>
          <w:spacing w:val="-5"/>
        </w:rPr>
      </w:pPr>
      <w:r w:rsidRPr="006B1268">
        <w:rPr>
          <w:spacing w:val="-5"/>
          <w:lang w:val="es-ES_tradnl"/>
        </w:rPr>
        <w:t xml:space="preserve">La puesta en funcionamiento de un sistema de verificación de los teléfonos móviles con acceso a la base de datos de GSMA para permitir a los abonados verificar la autenticidad de sus teléfonos móviles mediante la introducción del IMEI, se realizó para coincidir con la campaña de información a los consumidores. </w:t>
      </w:r>
      <w:hyperlink r:id="rId149" w:history="1">
        <w:r w:rsidRPr="00E05BB8">
          <w:rPr>
            <w:rStyle w:val="Hyperlink"/>
          </w:rPr>
          <w:t>http://www.cofek.co.ke/CCK%20Letter%20to%20Cofek%20-%20Counterfeit%20phone%20switch-off%20threat.pdf</w:t>
        </w:r>
      </w:hyperlink>
    </w:p>
    <w:p w14:paraId="2F4382CC" w14:textId="5C2D823F" w:rsidR="00D95B2D" w:rsidRPr="0019015C" w:rsidRDefault="00D95B2D" w:rsidP="00207691">
      <w:pPr>
        <w:pStyle w:val="Heading3"/>
        <w:rPr>
          <w:lang w:val="es-ES_tradnl"/>
        </w:rPr>
      </w:pPr>
      <w:bookmarkStart w:id="363" w:name="_Toc404607228"/>
      <w:r w:rsidRPr="0019015C">
        <w:rPr>
          <w:lang w:val="es-ES_tradnl"/>
        </w:rPr>
        <w:t>A.1.7</w:t>
      </w:r>
      <w:r w:rsidR="00207691">
        <w:rPr>
          <w:lang w:val="es-ES_tradnl"/>
        </w:rPr>
        <w:tab/>
      </w:r>
      <w:r w:rsidRPr="0019015C">
        <w:rPr>
          <w:lang w:val="es-ES_tradnl"/>
        </w:rPr>
        <w:t>Rwanda</w:t>
      </w:r>
      <w:bookmarkEnd w:id="363"/>
    </w:p>
    <w:p w14:paraId="4BFDA978" w14:textId="77777777" w:rsidR="00D95B2D" w:rsidRDefault="00D95B2D" w:rsidP="00D95B2D">
      <w:pPr>
        <w:rPr>
          <w:color w:val="000000"/>
          <w:lang w:val="es-ES_tradnl"/>
        </w:rPr>
      </w:pPr>
      <w:r>
        <w:rPr>
          <w:color w:val="000000"/>
          <w:lang w:val="es-ES_tradnl"/>
        </w:rPr>
        <w:t>El</w:t>
      </w:r>
      <w:r w:rsidRPr="00220CEE">
        <w:rPr>
          <w:color w:val="000000"/>
          <w:lang w:val="es-ES_tradnl"/>
        </w:rPr>
        <w:t xml:space="preserve"> Organismo Regulador de Servicios Públicos de Rwanda (RURA) anunció un plan para eliminar la importación de dispositivos móviles falsificados en el país </w:t>
      </w:r>
      <w:r>
        <w:rPr>
          <w:color w:val="000000"/>
          <w:lang w:val="es-ES_tradnl"/>
        </w:rPr>
        <w:t>a partir de</w:t>
      </w:r>
      <w:r w:rsidRPr="00220CEE">
        <w:rPr>
          <w:color w:val="000000"/>
          <w:lang w:val="es-ES_tradnl"/>
        </w:rPr>
        <w:t xml:space="preserve"> 2013 sin bloquear los </w:t>
      </w:r>
      <w:r>
        <w:rPr>
          <w:color w:val="000000"/>
          <w:lang w:val="es-ES_tradnl"/>
        </w:rPr>
        <w:t>que ya se estaban utilizando:</w:t>
      </w:r>
    </w:p>
    <w:p w14:paraId="42130AE0" w14:textId="6CAD15CC" w:rsidR="00D95B2D" w:rsidRPr="00C869C0" w:rsidRDefault="00C869C0" w:rsidP="00207691">
      <w:hyperlink r:id="rId150" w:history="1">
        <w:r w:rsidR="00D95B2D" w:rsidRPr="00220CEE">
          <w:rPr>
            <w:rStyle w:val="Hyperlink"/>
            <w:lang w:val="es-ES_tradnl"/>
          </w:rPr>
          <w:t>http://www.newtimes.co.rw/news/views/article_print.php?i=15290&amp;a=64650&amp;icon=Print</w:t>
        </w:r>
      </w:hyperlink>
      <w:r w:rsidR="00D95B2D" w:rsidRPr="00220CEE">
        <w:rPr>
          <w:rStyle w:val="Hyperlink"/>
          <w:lang w:val="es-ES_tradnl"/>
        </w:rPr>
        <w:t>.</w:t>
      </w:r>
      <w:r w:rsidR="00D95B2D" w:rsidRPr="00220CEE">
        <w:rPr>
          <w:lang w:val="es-ES_tradnl"/>
        </w:rPr>
        <w:t xml:space="preserve"> Rwanda está afrontando también un reto de teléfonos falsificados que r</w:t>
      </w:r>
      <w:r w:rsidR="00D95B2D">
        <w:rPr>
          <w:lang w:val="es-ES_tradnl"/>
        </w:rPr>
        <w:t>e</w:t>
      </w:r>
      <w:r w:rsidR="00D95B2D" w:rsidRPr="00220CEE">
        <w:rPr>
          <w:lang w:val="es-ES_tradnl"/>
        </w:rPr>
        <w:t xml:space="preserve">encaminan </w:t>
      </w:r>
      <w:r w:rsidR="00D95B2D">
        <w:rPr>
          <w:lang w:val="es-ES_tradnl"/>
        </w:rPr>
        <w:t xml:space="preserve">las </w:t>
      </w:r>
      <w:r w:rsidR="00D95B2D" w:rsidRPr="00220CEE">
        <w:rPr>
          <w:lang w:val="es-ES_tradnl"/>
        </w:rPr>
        <w:t>llamadas realizadas a los c</w:t>
      </w:r>
      <w:r w:rsidR="00D95B2D">
        <w:rPr>
          <w:lang w:val="es-ES_tradnl"/>
        </w:rPr>
        <w:t>ódigos abreviados armonizados EACO: 100 (servicio de cliente), 101 (recarga en Tanzania) y 102 (consulta de saldo en Tanzania) al número 112 (emergencias, policía). Ha sido necesario que el RURA reasignara temporalmente un nuevo código abreviado al servicio de información del cliente.</w:t>
      </w:r>
      <w:r w:rsidR="00207691">
        <w:rPr>
          <w:lang w:val="es-ES_tradnl"/>
        </w:rPr>
        <w:t xml:space="preserve"> </w:t>
      </w:r>
      <w:hyperlink r:id="rId151" w:history="1">
        <w:r w:rsidR="00D95B2D" w:rsidRPr="00C869C0">
          <w:rPr>
            <w:rStyle w:val="Hyperlink"/>
          </w:rPr>
          <w:t>http://www.eaco.int/docs/19_congress_report.pdf</w:t>
        </w:r>
      </w:hyperlink>
    </w:p>
    <w:p w14:paraId="08A8EEAF" w14:textId="47AC2051" w:rsidR="006B1268" w:rsidRPr="00C869C0" w:rsidRDefault="006B1268" w:rsidP="00207691">
      <w:pPr>
        <w:pStyle w:val="Heading3"/>
      </w:pPr>
      <w:bookmarkStart w:id="364" w:name="_Toc404607229"/>
      <w:bookmarkStart w:id="365" w:name="_Toc447202576"/>
      <w:bookmarkStart w:id="366" w:name="_Toc447203053"/>
      <w:r w:rsidRPr="00C869C0">
        <w:lastRenderedPageBreak/>
        <w:t>A.1.8</w:t>
      </w:r>
      <w:r w:rsidRPr="00C869C0">
        <w:tab/>
        <w:t>Sri Lanka</w:t>
      </w:r>
      <w:bookmarkEnd w:id="364"/>
      <w:bookmarkEnd w:id="365"/>
      <w:bookmarkEnd w:id="366"/>
    </w:p>
    <w:p w14:paraId="53D96645" w14:textId="77777777" w:rsidR="006B1268" w:rsidRPr="00D3444B" w:rsidRDefault="006B1268" w:rsidP="00C142FB">
      <w:pPr>
        <w:rPr>
          <w:b/>
          <w:lang w:val="es-ES_tradnl"/>
        </w:rPr>
      </w:pPr>
      <w:r w:rsidRPr="007D4BA1">
        <w:rPr>
          <w:lang w:val="es-ES_tradnl"/>
        </w:rPr>
        <w:t xml:space="preserve">En marzo de 2013, </w:t>
      </w:r>
      <w:r>
        <w:rPr>
          <w:lang w:val="es-ES_tradnl"/>
        </w:rPr>
        <w:t>l</w:t>
      </w:r>
      <w:r w:rsidRPr="007D4BA1">
        <w:rPr>
          <w:lang w:val="es-ES_tradnl"/>
        </w:rPr>
        <w:t>a Comisión de Reglamentación de las Telecomunicaciones de Sri Lanka</w:t>
      </w:r>
      <w:r>
        <w:rPr>
          <w:lang w:val="es-ES_tradnl"/>
        </w:rPr>
        <w:t xml:space="preserve"> (TRCSL)</w:t>
      </w:r>
      <w:r w:rsidRPr="007D4BA1">
        <w:rPr>
          <w:lang w:val="es-ES_tradnl"/>
        </w:rPr>
        <w:t xml:space="preserve"> </w:t>
      </w:r>
      <w:r>
        <w:rPr>
          <w:lang w:val="es-ES_tradnl"/>
        </w:rPr>
        <w:t>solicitó declaraciones de interés para "Diseñar, desarrollar, e instalar un r</w:t>
      </w:r>
      <w:r w:rsidRPr="007D4BA1">
        <w:rPr>
          <w:lang w:val="es-ES_tradnl"/>
        </w:rPr>
        <w:t xml:space="preserve">egistro </w:t>
      </w:r>
      <w:r>
        <w:rPr>
          <w:lang w:val="es-ES_tradnl"/>
        </w:rPr>
        <w:t>central</w:t>
      </w:r>
      <w:r w:rsidRPr="007D4BA1">
        <w:rPr>
          <w:lang w:val="es-ES_tradnl"/>
        </w:rPr>
        <w:t xml:space="preserve"> de identidad de equipos (</w:t>
      </w:r>
      <w:r>
        <w:rPr>
          <w:lang w:val="es-ES_tradnl"/>
        </w:rPr>
        <w:t>C</w:t>
      </w:r>
      <w:r w:rsidRPr="007D4BA1">
        <w:rPr>
          <w:lang w:val="es-ES_tradnl"/>
        </w:rPr>
        <w:t>EIR)</w:t>
      </w:r>
      <w:r>
        <w:rPr>
          <w:lang w:val="es-ES_tradnl"/>
        </w:rPr>
        <w:t xml:space="preserve"> para las redes móviles de Sri Lanka". </w:t>
      </w:r>
      <w:hyperlink r:id="rId152" w:history="1">
        <w:r w:rsidRPr="00D3444B">
          <w:rPr>
            <w:rStyle w:val="Hyperlink"/>
            <w:lang w:val="es-ES_tradnl"/>
          </w:rPr>
          <w:t>http://www.trc.gov.lk/images/pdf/eoi_ceir_07032013.pdf</w:t>
        </w:r>
      </w:hyperlink>
      <w:r w:rsidRPr="00D3444B">
        <w:rPr>
          <w:lang w:val="es-ES_tradnl"/>
        </w:rPr>
        <w:t xml:space="preserve"> </w:t>
      </w:r>
    </w:p>
    <w:p w14:paraId="563555D5" w14:textId="77777777" w:rsidR="006B1268" w:rsidRPr="00D3444B" w:rsidRDefault="006B1268" w:rsidP="00C142FB">
      <w:pPr>
        <w:rPr>
          <w:lang w:val="es-ES_tradnl"/>
        </w:rPr>
      </w:pPr>
      <w:r>
        <w:rPr>
          <w:lang w:val="es-ES_tradnl"/>
        </w:rPr>
        <w:t>Con el objetivo de limitar el mercado de teléfonos móviles falsificados, desalentar el robo de teléfonos móviles y proteger los intereses de los consumidores, TRCSL quiere implementar un r</w:t>
      </w:r>
      <w:r w:rsidRPr="00D3444B">
        <w:rPr>
          <w:lang w:val="es-ES_tradnl"/>
        </w:rPr>
        <w:t>egistro central de identidad de equipos (CEIR)</w:t>
      </w:r>
      <w:r>
        <w:rPr>
          <w:lang w:val="es-ES_tradnl"/>
        </w:rPr>
        <w:t xml:space="preserve"> conectado con los EIR de todos los operadores móviles. El CEIR actúa como un sistema central para que todos los operadores de red compartan las listas negras de terminales móviles y que los dispositivos incluidos en una lista negra de una red no puedan funcionar en las otras redes, incluso cambiando el </w:t>
      </w:r>
      <w:r w:rsidRPr="009A22B0">
        <w:rPr>
          <w:lang w:val="es-ES_tradnl"/>
        </w:rPr>
        <w:t xml:space="preserve">Módulo de identificación del abonado </w:t>
      </w:r>
      <w:r>
        <w:rPr>
          <w:lang w:val="es-ES_tradnl"/>
        </w:rPr>
        <w:t xml:space="preserve">(SIM) en el dispositivo. </w:t>
      </w:r>
    </w:p>
    <w:p w14:paraId="572AB461" w14:textId="77777777" w:rsidR="006B1268" w:rsidRPr="00D3444B" w:rsidRDefault="006B1268" w:rsidP="00C142FB">
      <w:pPr>
        <w:rPr>
          <w:lang w:val="es-ES_tradnl"/>
        </w:rPr>
      </w:pPr>
      <w:r>
        <w:rPr>
          <w:lang w:val="es-ES_tradnl"/>
        </w:rPr>
        <w:t xml:space="preserve">De acuerdo con los requisitos del TRCSL, el CEIR debe asegurar las siguientes funciones: </w:t>
      </w:r>
    </w:p>
    <w:p w14:paraId="1C56CB93" w14:textId="77777777" w:rsidR="006B1268" w:rsidRPr="009A22B0" w:rsidRDefault="006B1268" w:rsidP="00C142FB">
      <w:pPr>
        <w:pStyle w:val="enumlev1"/>
        <w:rPr>
          <w:lang w:val="es-ES_tradnl" w:eastAsia="ru-RU"/>
        </w:rPr>
      </w:pPr>
      <w:r w:rsidRPr="009A22B0">
        <w:rPr>
          <w:lang w:val="es-ES_tradnl" w:eastAsia="ru-RU"/>
        </w:rPr>
        <w:t>i)</w:t>
      </w:r>
      <w:r>
        <w:rPr>
          <w:lang w:val="es-ES_tradnl" w:eastAsia="ru-RU"/>
        </w:rPr>
        <w:tab/>
      </w:r>
      <w:r w:rsidRPr="009A22B0">
        <w:rPr>
          <w:lang w:val="es-ES_tradnl" w:eastAsia="ru-RU"/>
        </w:rPr>
        <w:t xml:space="preserve">El CEIR debe </w:t>
      </w:r>
      <w:r>
        <w:rPr>
          <w:lang w:val="es-ES_tradnl" w:eastAsia="ru-RU"/>
        </w:rPr>
        <w:t>tener la capacidad de mantener</w:t>
      </w:r>
      <w:r w:rsidRPr="009A22B0">
        <w:rPr>
          <w:lang w:val="es-ES_tradnl" w:eastAsia="ru-RU"/>
        </w:rPr>
        <w:t xml:space="preserve"> la base de datos de IMEI de todos los dispositivos registrados en las redes m</w:t>
      </w:r>
      <w:r>
        <w:rPr>
          <w:lang w:val="es-ES_tradnl" w:eastAsia="ru-RU"/>
        </w:rPr>
        <w:t xml:space="preserve">óviles. </w:t>
      </w:r>
    </w:p>
    <w:p w14:paraId="48CC942D" w14:textId="77777777" w:rsidR="006B1268" w:rsidRPr="0019015C" w:rsidRDefault="006B1268" w:rsidP="00C142FB">
      <w:pPr>
        <w:pStyle w:val="enumlev1"/>
        <w:rPr>
          <w:lang w:val="es-ES_tradnl" w:eastAsia="ru-RU"/>
        </w:rPr>
      </w:pPr>
      <w:r w:rsidRPr="0019015C">
        <w:rPr>
          <w:lang w:val="es-ES_tradnl" w:eastAsia="ru-RU"/>
        </w:rPr>
        <w:t>ii)</w:t>
      </w:r>
      <w:r>
        <w:rPr>
          <w:lang w:val="es-ES_tradnl" w:eastAsia="ru-RU"/>
        </w:rPr>
        <w:tab/>
      </w:r>
      <w:r w:rsidRPr="0019015C">
        <w:rPr>
          <w:lang w:val="es-ES_tradnl" w:eastAsia="ru-RU"/>
        </w:rPr>
        <w:t xml:space="preserve">El CEIR debe poder identificar </w:t>
      </w:r>
      <w:r>
        <w:rPr>
          <w:lang w:val="es-ES_tradnl" w:eastAsia="ru-RU"/>
        </w:rPr>
        <w:t xml:space="preserve">los números </w:t>
      </w:r>
      <w:r w:rsidRPr="0019015C">
        <w:rPr>
          <w:lang w:val="es-ES_tradnl" w:eastAsia="ru-RU"/>
        </w:rPr>
        <w:t xml:space="preserve">IMEI </w:t>
      </w:r>
      <w:r>
        <w:rPr>
          <w:lang w:val="es-ES_tradnl" w:eastAsia="ru-RU"/>
        </w:rPr>
        <w:t>tales como</w:t>
      </w:r>
      <w:r w:rsidRPr="0019015C">
        <w:rPr>
          <w:lang w:val="es-ES_tradnl" w:eastAsia="ru-RU"/>
        </w:rPr>
        <w:t>:</w:t>
      </w:r>
    </w:p>
    <w:p w14:paraId="6B5D7104" w14:textId="77777777" w:rsidR="006B1268" w:rsidRPr="009A22B0" w:rsidRDefault="006B1268" w:rsidP="00C142FB">
      <w:pPr>
        <w:pStyle w:val="enumlev2"/>
        <w:rPr>
          <w:lang w:val="es-ES_tradnl" w:eastAsia="ru-RU"/>
        </w:rPr>
      </w:pPr>
      <w:r w:rsidRPr="009A22B0">
        <w:rPr>
          <w:lang w:val="es-ES_tradnl" w:eastAsia="ru-RU"/>
        </w:rPr>
        <w:t>a</w:t>
      </w:r>
      <w:r>
        <w:rPr>
          <w:lang w:val="es-ES_tradnl" w:eastAsia="ru-RU"/>
        </w:rPr>
        <w:t>)</w:t>
      </w:r>
      <w:r>
        <w:rPr>
          <w:lang w:val="es-ES_tradnl" w:eastAsia="ru-RU"/>
        </w:rPr>
        <w:tab/>
      </w:r>
      <w:r w:rsidRPr="009A22B0">
        <w:rPr>
          <w:lang w:val="es-ES_tradnl" w:eastAsia="ru-RU"/>
        </w:rPr>
        <w:t>IMEI no asignados;</w:t>
      </w:r>
    </w:p>
    <w:p w14:paraId="7AC58B27" w14:textId="77777777" w:rsidR="006B1268" w:rsidRPr="009A22B0" w:rsidRDefault="006B1268" w:rsidP="00C142FB">
      <w:pPr>
        <w:pStyle w:val="enumlev2"/>
        <w:rPr>
          <w:lang w:val="es-ES_tradnl" w:eastAsia="ru-RU"/>
        </w:rPr>
      </w:pPr>
      <w:r w:rsidRPr="009A22B0">
        <w:rPr>
          <w:lang w:val="es-ES_tradnl" w:eastAsia="ru-RU"/>
        </w:rPr>
        <w:t>b</w:t>
      </w:r>
      <w:r>
        <w:rPr>
          <w:lang w:val="es-ES_tradnl" w:eastAsia="ru-RU"/>
        </w:rPr>
        <w:t>)</w:t>
      </w:r>
      <w:r>
        <w:rPr>
          <w:lang w:val="es-ES_tradnl" w:eastAsia="ru-RU"/>
        </w:rPr>
        <w:tab/>
      </w:r>
      <w:r w:rsidRPr="009A22B0">
        <w:rPr>
          <w:lang w:val="es-ES_tradnl" w:eastAsia="ru-RU"/>
        </w:rPr>
        <w:t xml:space="preserve">IMEI nulos, duplicados o todo </w:t>
      </w:r>
      <w:r>
        <w:rPr>
          <w:lang w:val="es-ES_tradnl" w:eastAsia="ru-RU"/>
        </w:rPr>
        <w:t>c</w:t>
      </w:r>
      <w:r w:rsidRPr="009A22B0">
        <w:rPr>
          <w:lang w:val="es-ES_tradnl" w:eastAsia="ru-RU"/>
        </w:rPr>
        <w:t>eros.</w:t>
      </w:r>
    </w:p>
    <w:p w14:paraId="07785C2B" w14:textId="77777777" w:rsidR="006B1268" w:rsidRPr="008163A2" w:rsidRDefault="006B1268" w:rsidP="00C142FB">
      <w:pPr>
        <w:pStyle w:val="enumlev1"/>
        <w:rPr>
          <w:lang w:val="es-ES_tradnl" w:eastAsia="ru-RU"/>
        </w:rPr>
      </w:pPr>
      <w:r w:rsidRPr="008163A2">
        <w:rPr>
          <w:lang w:val="es-ES_tradnl" w:eastAsia="ru-RU"/>
        </w:rPr>
        <w:t>iii)</w:t>
      </w:r>
      <w:r>
        <w:rPr>
          <w:lang w:val="es-ES_tradnl" w:eastAsia="ru-RU"/>
        </w:rPr>
        <w:tab/>
      </w:r>
      <w:r w:rsidRPr="008163A2">
        <w:rPr>
          <w:lang w:val="es-ES_tradnl" w:eastAsia="ru-RU"/>
        </w:rPr>
        <w:t>La base de datos del CEIR debe contener la información siguiente de los dispositi</w:t>
      </w:r>
      <w:r>
        <w:rPr>
          <w:lang w:val="es-ES_tradnl" w:eastAsia="ru-RU"/>
        </w:rPr>
        <w:t>vos que se hayan registrado en cualquier red móvil de Sri Lanka:</w:t>
      </w:r>
    </w:p>
    <w:p w14:paraId="2F74A0FC" w14:textId="77777777" w:rsidR="006B1268" w:rsidRPr="008163A2" w:rsidRDefault="006B1268" w:rsidP="00C142FB">
      <w:pPr>
        <w:pStyle w:val="enumlev2"/>
        <w:rPr>
          <w:lang w:val="es-ES_tradnl" w:eastAsia="ru-RU"/>
        </w:rPr>
      </w:pPr>
      <w:r w:rsidRPr="008163A2">
        <w:rPr>
          <w:lang w:val="es-ES_tradnl" w:eastAsia="ru-RU"/>
        </w:rPr>
        <w:t>a</w:t>
      </w:r>
      <w:r>
        <w:rPr>
          <w:lang w:val="es-ES_tradnl" w:eastAsia="ru-RU"/>
        </w:rPr>
        <w:t>)</w:t>
      </w:r>
      <w:r>
        <w:rPr>
          <w:lang w:val="es-ES_tradnl" w:eastAsia="ru-RU"/>
        </w:rPr>
        <w:tab/>
      </w:r>
      <w:r w:rsidRPr="008163A2">
        <w:rPr>
          <w:lang w:val="es-ES_tradnl" w:eastAsia="ru-RU"/>
        </w:rPr>
        <w:t>IMEI;</w:t>
      </w:r>
    </w:p>
    <w:p w14:paraId="2850A257" w14:textId="77777777" w:rsidR="006B1268" w:rsidRPr="008163A2" w:rsidRDefault="006B1268" w:rsidP="00C142FB">
      <w:pPr>
        <w:pStyle w:val="enumlev2"/>
        <w:rPr>
          <w:lang w:val="es-ES_tradnl" w:eastAsia="ru-RU"/>
        </w:rPr>
      </w:pPr>
      <w:r w:rsidRPr="008163A2">
        <w:rPr>
          <w:lang w:val="es-ES_tradnl" w:eastAsia="ru-RU"/>
        </w:rPr>
        <w:t>b</w:t>
      </w:r>
      <w:r>
        <w:rPr>
          <w:lang w:val="es-ES_tradnl" w:eastAsia="ru-RU"/>
        </w:rPr>
        <w:t>)</w:t>
      </w:r>
      <w:r>
        <w:rPr>
          <w:lang w:val="es-ES_tradnl" w:eastAsia="ru-RU"/>
        </w:rPr>
        <w:tab/>
        <w:t>e</w:t>
      </w:r>
      <w:r w:rsidRPr="008163A2">
        <w:rPr>
          <w:lang w:val="es-ES_tradnl" w:eastAsia="ru-RU"/>
        </w:rPr>
        <w:t>stado del IMEI (</w:t>
      </w:r>
      <w:r>
        <w:rPr>
          <w:lang w:val="es-ES_tradnl" w:eastAsia="ru-RU"/>
        </w:rPr>
        <w:t>blanco, gris, negro)</w:t>
      </w:r>
      <w:r w:rsidRPr="008163A2">
        <w:rPr>
          <w:lang w:val="es-ES_tradnl" w:eastAsia="ru-RU"/>
        </w:rPr>
        <w:t>;</w:t>
      </w:r>
    </w:p>
    <w:p w14:paraId="38709F53" w14:textId="77777777" w:rsidR="006B1268" w:rsidRPr="008163A2" w:rsidRDefault="006B1268" w:rsidP="00C142FB">
      <w:pPr>
        <w:pStyle w:val="enumlev2"/>
        <w:rPr>
          <w:lang w:val="es-ES_tradnl" w:eastAsia="ru-RU"/>
        </w:rPr>
      </w:pPr>
      <w:r w:rsidRPr="008163A2">
        <w:rPr>
          <w:lang w:val="es-ES_tradnl" w:eastAsia="ru-RU"/>
        </w:rPr>
        <w:t>c</w:t>
      </w:r>
      <w:r>
        <w:rPr>
          <w:lang w:val="es-ES_tradnl" w:eastAsia="ru-RU"/>
        </w:rPr>
        <w:t>)</w:t>
      </w:r>
      <w:r>
        <w:rPr>
          <w:lang w:val="es-ES_tradnl" w:eastAsia="ru-RU"/>
        </w:rPr>
        <w:tab/>
        <w:t>f</w:t>
      </w:r>
      <w:r w:rsidRPr="008163A2">
        <w:rPr>
          <w:lang w:val="es-ES_tradnl" w:eastAsia="ru-RU"/>
        </w:rPr>
        <w:t>echa de creación del registro;</w:t>
      </w:r>
    </w:p>
    <w:p w14:paraId="539D0413" w14:textId="77777777" w:rsidR="006B1268" w:rsidRPr="008163A2" w:rsidRDefault="006B1268" w:rsidP="00C142FB">
      <w:pPr>
        <w:pStyle w:val="enumlev2"/>
        <w:rPr>
          <w:lang w:val="es-ES_tradnl" w:eastAsia="ru-RU"/>
        </w:rPr>
      </w:pPr>
      <w:r w:rsidRPr="008163A2">
        <w:rPr>
          <w:lang w:val="es-ES_tradnl" w:eastAsia="ru-RU"/>
        </w:rPr>
        <w:t>d</w:t>
      </w:r>
      <w:r>
        <w:rPr>
          <w:lang w:val="es-ES_tradnl" w:eastAsia="ru-RU"/>
        </w:rPr>
        <w:t>)</w:t>
      </w:r>
      <w:r>
        <w:rPr>
          <w:lang w:val="es-ES_tradnl" w:eastAsia="ru-RU"/>
        </w:rPr>
        <w:tab/>
        <w:t>f</w:t>
      </w:r>
      <w:r w:rsidRPr="008163A2">
        <w:rPr>
          <w:lang w:val="es-ES_tradnl" w:eastAsia="ru-RU"/>
        </w:rPr>
        <w:t>echa de la última actualización del registro;</w:t>
      </w:r>
    </w:p>
    <w:p w14:paraId="49B22D56" w14:textId="77777777" w:rsidR="006B1268" w:rsidRPr="008163A2" w:rsidRDefault="006B1268" w:rsidP="00C142FB">
      <w:pPr>
        <w:pStyle w:val="enumlev2"/>
        <w:rPr>
          <w:lang w:val="es-ES_tradnl" w:eastAsia="ru-RU"/>
        </w:rPr>
      </w:pPr>
      <w:r w:rsidRPr="008163A2">
        <w:rPr>
          <w:lang w:val="es-ES_tradnl" w:eastAsia="ru-RU"/>
        </w:rPr>
        <w:t>e</w:t>
      </w:r>
      <w:r>
        <w:rPr>
          <w:lang w:val="es-ES_tradnl" w:eastAsia="ru-RU"/>
        </w:rPr>
        <w:t>)</w:t>
      </w:r>
      <w:r>
        <w:rPr>
          <w:lang w:val="es-ES_tradnl" w:eastAsia="ru-RU"/>
        </w:rPr>
        <w:tab/>
        <w:t>n</w:t>
      </w:r>
      <w:r w:rsidRPr="008163A2">
        <w:rPr>
          <w:lang w:val="es-ES_tradnl" w:eastAsia="ru-RU"/>
        </w:rPr>
        <w:t>úmero de modelo del dispositivo;</w:t>
      </w:r>
    </w:p>
    <w:p w14:paraId="53820D50" w14:textId="77777777" w:rsidR="006B1268" w:rsidRPr="008163A2" w:rsidRDefault="006B1268" w:rsidP="00C142FB">
      <w:pPr>
        <w:pStyle w:val="enumlev2"/>
        <w:rPr>
          <w:lang w:val="es-ES_tradnl" w:eastAsia="ru-RU"/>
        </w:rPr>
      </w:pPr>
      <w:r w:rsidRPr="008163A2">
        <w:rPr>
          <w:lang w:val="es-ES_tradnl" w:eastAsia="ru-RU"/>
        </w:rPr>
        <w:t>f</w:t>
      </w:r>
      <w:r>
        <w:rPr>
          <w:lang w:val="es-ES_tradnl" w:eastAsia="ru-RU"/>
        </w:rPr>
        <w:t>)</w:t>
      </w:r>
      <w:r>
        <w:rPr>
          <w:lang w:val="es-ES_tradnl" w:eastAsia="ru-RU"/>
        </w:rPr>
        <w:tab/>
        <w:t>ca</w:t>
      </w:r>
      <w:r w:rsidRPr="008163A2">
        <w:rPr>
          <w:lang w:val="es-ES_tradnl" w:eastAsia="ru-RU"/>
        </w:rPr>
        <w:t xml:space="preserve">usa del </w:t>
      </w:r>
      <w:r>
        <w:rPr>
          <w:lang w:val="es-ES_tradnl" w:eastAsia="ru-RU"/>
        </w:rPr>
        <w:t>e</w:t>
      </w:r>
      <w:r w:rsidRPr="008163A2">
        <w:rPr>
          <w:lang w:val="es-ES_tradnl" w:eastAsia="ru-RU"/>
        </w:rPr>
        <w:t xml:space="preserve">stado del IMEI (inválido, </w:t>
      </w:r>
      <w:r>
        <w:rPr>
          <w:lang w:val="es-ES_tradnl" w:eastAsia="ru-RU"/>
        </w:rPr>
        <w:t>robado</w:t>
      </w:r>
      <w:r w:rsidRPr="008163A2">
        <w:rPr>
          <w:lang w:val="es-ES_tradnl" w:eastAsia="ru-RU"/>
        </w:rPr>
        <w:t>, clon</w:t>
      </w:r>
      <w:r>
        <w:rPr>
          <w:lang w:val="es-ES_tradnl" w:eastAsia="ru-RU"/>
        </w:rPr>
        <w:t>a</w:t>
      </w:r>
      <w:r w:rsidRPr="008163A2">
        <w:rPr>
          <w:lang w:val="es-ES_tradnl" w:eastAsia="ru-RU"/>
        </w:rPr>
        <w:t>d</w:t>
      </w:r>
      <w:r>
        <w:rPr>
          <w:lang w:val="es-ES_tradnl" w:eastAsia="ru-RU"/>
        </w:rPr>
        <w:t>o</w:t>
      </w:r>
      <w:r w:rsidRPr="008163A2">
        <w:rPr>
          <w:lang w:val="es-ES_tradnl" w:eastAsia="ru-RU"/>
        </w:rPr>
        <w:t>, valid</w:t>
      </w:r>
      <w:r>
        <w:rPr>
          <w:lang w:val="es-ES_tradnl" w:eastAsia="ru-RU"/>
        </w:rPr>
        <w:t>o</w:t>
      </w:r>
      <w:r w:rsidRPr="008163A2">
        <w:rPr>
          <w:lang w:val="es-ES_tradnl" w:eastAsia="ru-RU"/>
        </w:rPr>
        <w:t>).</w:t>
      </w:r>
    </w:p>
    <w:p w14:paraId="3F45A46F" w14:textId="77777777" w:rsidR="006B1268" w:rsidRPr="00892000" w:rsidRDefault="006B1268" w:rsidP="00C142FB">
      <w:pPr>
        <w:pStyle w:val="enumlev1"/>
        <w:rPr>
          <w:lang w:val="es-ES_tradnl" w:eastAsia="ru-RU"/>
        </w:rPr>
      </w:pPr>
      <w:r w:rsidRPr="00892000">
        <w:rPr>
          <w:lang w:val="es-ES_tradnl" w:eastAsia="ru-RU"/>
        </w:rPr>
        <w:t>iv)</w:t>
      </w:r>
      <w:r>
        <w:rPr>
          <w:lang w:val="es-ES_tradnl" w:eastAsia="ru-RU"/>
        </w:rPr>
        <w:tab/>
      </w:r>
      <w:r w:rsidRPr="00892000">
        <w:rPr>
          <w:lang w:val="es-ES_tradnl" w:eastAsia="ru-RU"/>
        </w:rPr>
        <w:t>El CEIR debe poder bloquear los servicios a</w:t>
      </w:r>
      <w:r>
        <w:rPr>
          <w:lang w:val="es-ES_tradnl" w:eastAsia="ru-RU"/>
        </w:rPr>
        <w:t xml:space="preserve"> </w:t>
      </w:r>
      <w:r w:rsidRPr="00892000">
        <w:rPr>
          <w:lang w:val="es-ES_tradnl" w:eastAsia="ru-RU"/>
        </w:rPr>
        <w:t xml:space="preserve">los abonados </w:t>
      </w:r>
      <w:r>
        <w:rPr>
          <w:lang w:val="es-ES_tradnl" w:eastAsia="ru-RU"/>
        </w:rPr>
        <w:t xml:space="preserve">con dispositivos registrados con números </w:t>
      </w:r>
      <w:r w:rsidRPr="00892000">
        <w:rPr>
          <w:lang w:val="es-ES_tradnl" w:eastAsia="ru-RU"/>
        </w:rPr>
        <w:t>IMEI inv</w:t>
      </w:r>
      <w:r>
        <w:rPr>
          <w:lang w:val="es-ES_tradnl" w:eastAsia="ru-RU"/>
        </w:rPr>
        <w:t>álidos o incluidos en la lista negra.</w:t>
      </w:r>
    </w:p>
    <w:p w14:paraId="6DC1FF27" w14:textId="77777777" w:rsidR="006B1268" w:rsidRPr="00892000" w:rsidRDefault="006B1268" w:rsidP="00C142FB">
      <w:pPr>
        <w:pStyle w:val="enumlev1"/>
        <w:rPr>
          <w:lang w:val="es-ES_tradnl" w:eastAsia="ru-RU"/>
        </w:rPr>
      </w:pPr>
      <w:r w:rsidRPr="00892000">
        <w:rPr>
          <w:lang w:val="es-ES_tradnl" w:eastAsia="ru-RU"/>
        </w:rPr>
        <w:t>v)</w:t>
      </w:r>
      <w:r>
        <w:rPr>
          <w:lang w:val="es-ES_tradnl" w:eastAsia="ru-RU"/>
        </w:rPr>
        <w:tab/>
      </w:r>
      <w:r w:rsidRPr="00892000">
        <w:rPr>
          <w:lang w:val="es-ES_tradnl" w:eastAsia="ru-RU"/>
        </w:rPr>
        <w:t xml:space="preserve">El CEIR debe poder identificar el modelo, </w:t>
      </w:r>
      <w:r>
        <w:rPr>
          <w:lang w:val="es-ES_tradnl" w:eastAsia="ru-RU"/>
        </w:rPr>
        <w:t xml:space="preserve">la </w:t>
      </w:r>
      <w:r w:rsidRPr="00892000">
        <w:rPr>
          <w:lang w:val="es-ES_tradnl" w:eastAsia="ru-RU"/>
        </w:rPr>
        <w:t>versión y otra informaci</w:t>
      </w:r>
      <w:r>
        <w:rPr>
          <w:lang w:val="es-ES_tradnl" w:eastAsia="ru-RU"/>
        </w:rPr>
        <w:t>ón del dispositivo</w:t>
      </w:r>
      <w:r w:rsidRPr="00892000">
        <w:rPr>
          <w:lang w:val="es-ES_tradnl" w:eastAsia="ru-RU"/>
        </w:rPr>
        <w:t>.</w:t>
      </w:r>
    </w:p>
    <w:p w14:paraId="46666A49" w14:textId="77777777" w:rsidR="006B1268" w:rsidRPr="0019015C" w:rsidRDefault="006B1268" w:rsidP="00C142FB">
      <w:pPr>
        <w:pStyle w:val="enumlev1"/>
        <w:rPr>
          <w:lang w:val="es-ES_tradnl" w:eastAsia="ru-RU"/>
        </w:rPr>
      </w:pPr>
      <w:r w:rsidRPr="0019015C">
        <w:rPr>
          <w:lang w:val="es-ES_tradnl" w:eastAsia="ru-RU"/>
        </w:rPr>
        <w:t>vi)</w:t>
      </w:r>
      <w:r>
        <w:rPr>
          <w:lang w:val="es-ES_tradnl" w:eastAsia="ru-RU"/>
        </w:rPr>
        <w:tab/>
      </w:r>
      <w:r w:rsidRPr="0019015C">
        <w:rPr>
          <w:lang w:val="es-ES_tradnl" w:eastAsia="ru-RU"/>
        </w:rPr>
        <w:t xml:space="preserve">El CEIR debe permitir la creación de un </w:t>
      </w:r>
      <w:r>
        <w:rPr>
          <w:lang w:val="es-ES_tradnl" w:eastAsia="ru-RU"/>
        </w:rPr>
        <w:t>n</w:t>
      </w:r>
      <w:r w:rsidRPr="0019015C">
        <w:rPr>
          <w:lang w:val="es-ES_tradnl" w:eastAsia="ru-RU"/>
        </w:rPr>
        <w:t xml:space="preserve">uevo registro en la base de datos </w:t>
      </w:r>
      <w:r>
        <w:rPr>
          <w:lang w:val="es-ES_tradnl" w:eastAsia="ru-RU"/>
        </w:rPr>
        <w:t>de IMEI, cuando se activa una nueva cuenta de abonado.</w:t>
      </w:r>
    </w:p>
    <w:p w14:paraId="62085ABE" w14:textId="77777777" w:rsidR="006B1268" w:rsidRPr="0019015C" w:rsidRDefault="006B1268" w:rsidP="00C142FB">
      <w:pPr>
        <w:pStyle w:val="enumlev1"/>
        <w:rPr>
          <w:lang w:val="es-ES_tradnl" w:eastAsia="ru-RU"/>
        </w:rPr>
      </w:pPr>
      <w:r w:rsidRPr="0019015C">
        <w:rPr>
          <w:lang w:val="es-ES_tradnl" w:eastAsia="ru-RU"/>
        </w:rPr>
        <w:t>vii)</w:t>
      </w:r>
      <w:r>
        <w:rPr>
          <w:lang w:val="es-ES_tradnl" w:eastAsia="ru-RU"/>
        </w:rPr>
        <w:tab/>
      </w:r>
      <w:r w:rsidRPr="0019015C">
        <w:rPr>
          <w:lang w:val="es-ES_tradnl" w:eastAsia="ru-RU"/>
        </w:rPr>
        <w:t>El CEIR debe poder suministrar la informaci</w:t>
      </w:r>
      <w:r>
        <w:rPr>
          <w:lang w:val="es-ES_tradnl" w:eastAsia="ru-RU"/>
        </w:rPr>
        <w:t xml:space="preserve">ón actualizada de la base de datos de las listas locales negras/grises/blancas de </w:t>
      </w:r>
      <w:r w:rsidRPr="0019015C">
        <w:rPr>
          <w:lang w:val="es-ES_tradnl" w:eastAsia="ru-RU"/>
        </w:rPr>
        <w:t xml:space="preserve">los operadores </w:t>
      </w:r>
      <w:r>
        <w:rPr>
          <w:lang w:val="es-ES_tradnl" w:eastAsia="ru-RU"/>
        </w:rPr>
        <w:t>para prevenir el clonado entre las redes y mantener la información actualizada.</w:t>
      </w:r>
    </w:p>
    <w:p w14:paraId="758E1E43" w14:textId="77777777" w:rsidR="006B1268" w:rsidRPr="0019015C" w:rsidRDefault="006B1268" w:rsidP="00C142FB">
      <w:pPr>
        <w:pStyle w:val="enumlev1"/>
        <w:rPr>
          <w:lang w:val="es-ES_tradnl" w:eastAsia="ru-RU"/>
        </w:rPr>
      </w:pPr>
      <w:r w:rsidRPr="0019015C">
        <w:rPr>
          <w:lang w:val="es-ES_tradnl" w:eastAsia="ru-RU"/>
        </w:rPr>
        <w:t>viii)</w:t>
      </w:r>
      <w:r>
        <w:rPr>
          <w:lang w:val="es-ES_tradnl" w:eastAsia="ru-RU"/>
        </w:rPr>
        <w:tab/>
      </w:r>
      <w:r w:rsidRPr="0019015C">
        <w:rPr>
          <w:lang w:val="es-ES_tradnl" w:eastAsia="ru-RU"/>
        </w:rPr>
        <w:t>El CEIR debe actualizar periódicamente la base de datos de IMEI con la informaci</w:t>
      </w:r>
      <w:r>
        <w:rPr>
          <w:lang w:val="es-ES_tradnl" w:eastAsia="ru-RU"/>
        </w:rPr>
        <w:t>ón más reciente de las asignaciones válidas de IMEI, utilizando los métodos más eficaces disponibles.</w:t>
      </w:r>
    </w:p>
    <w:p w14:paraId="682BD81D" w14:textId="77777777" w:rsidR="006B1268" w:rsidRPr="0019015C" w:rsidRDefault="006B1268" w:rsidP="00C142FB">
      <w:pPr>
        <w:pStyle w:val="enumlev1"/>
        <w:rPr>
          <w:lang w:val="es-ES_tradnl" w:eastAsia="ru-RU"/>
        </w:rPr>
      </w:pPr>
      <w:r w:rsidRPr="0019015C">
        <w:rPr>
          <w:lang w:val="es-ES_tradnl" w:eastAsia="ru-RU"/>
        </w:rPr>
        <w:t>ix)</w:t>
      </w:r>
      <w:r>
        <w:rPr>
          <w:lang w:val="es-ES_tradnl" w:eastAsia="ru-RU"/>
        </w:rPr>
        <w:tab/>
      </w:r>
      <w:r w:rsidRPr="0019015C">
        <w:rPr>
          <w:lang w:val="es-ES_tradnl" w:eastAsia="ru-RU"/>
        </w:rPr>
        <w:t xml:space="preserve">El CEIR debe tener la capacidad de identificar </w:t>
      </w:r>
      <w:r>
        <w:rPr>
          <w:lang w:val="es-ES_tradnl" w:eastAsia="ru-RU"/>
        </w:rPr>
        <w:t xml:space="preserve">números </w:t>
      </w:r>
      <w:r w:rsidRPr="0019015C">
        <w:rPr>
          <w:lang w:val="es-ES_tradnl" w:eastAsia="ru-RU"/>
        </w:rPr>
        <w:t xml:space="preserve">IMEI falsificados </w:t>
      </w:r>
      <w:r>
        <w:rPr>
          <w:lang w:val="es-ES_tradnl" w:eastAsia="ru-RU"/>
        </w:rPr>
        <w:t>mediante su comparación con los IMEI suministrados por GSMA.</w:t>
      </w:r>
    </w:p>
    <w:p w14:paraId="750EC066" w14:textId="77777777" w:rsidR="006B1268" w:rsidRPr="0088510B" w:rsidRDefault="006B1268" w:rsidP="00C142FB">
      <w:pPr>
        <w:pStyle w:val="enumlev1"/>
        <w:rPr>
          <w:lang w:val="es-ES_tradnl" w:eastAsia="ru-RU"/>
        </w:rPr>
      </w:pPr>
      <w:r w:rsidRPr="0088510B">
        <w:rPr>
          <w:lang w:val="es-ES_tradnl" w:eastAsia="ru-RU"/>
        </w:rPr>
        <w:t>x)</w:t>
      </w:r>
      <w:r>
        <w:rPr>
          <w:lang w:val="es-ES_tradnl" w:eastAsia="ru-RU"/>
        </w:rPr>
        <w:tab/>
      </w:r>
      <w:r w:rsidRPr="0088510B">
        <w:rPr>
          <w:lang w:val="es-ES_tradnl" w:eastAsia="ru-RU"/>
        </w:rPr>
        <w:t xml:space="preserve">El CEIR debe de ser compatible con todos los equipos de red </w:t>
      </w:r>
      <w:r>
        <w:rPr>
          <w:lang w:val="es-ES_tradnl" w:eastAsia="ru-RU"/>
        </w:rPr>
        <w:t xml:space="preserve">e interfaces </w:t>
      </w:r>
      <w:r w:rsidRPr="0088510B">
        <w:rPr>
          <w:lang w:val="es-ES_tradnl" w:eastAsia="ru-RU"/>
        </w:rPr>
        <w:t xml:space="preserve">pertinentes </w:t>
      </w:r>
      <w:r>
        <w:rPr>
          <w:lang w:val="es-ES_tradnl" w:eastAsia="ru-RU"/>
        </w:rPr>
        <w:t xml:space="preserve">de los operadores móviles. </w:t>
      </w:r>
    </w:p>
    <w:p w14:paraId="51F81086" w14:textId="77777777" w:rsidR="006B1268" w:rsidRPr="0088510B" w:rsidRDefault="006B1268" w:rsidP="00C142FB">
      <w:pPr>
        <w:pStyle w:val="enumlev1"/>
        <w:rPr>
          <w:lang w:val="es-ES_tradnl" w:eastAsia="ru-RU"/>
        </w:rPr>
      </w:pPr>
      <w:r w:rsidRPr="0088510B">
        <w:rPr>
          <w:lang w:val="es-ES_tradnl" w:eastAsia="ru-RU"/>
        </w:rPr>
        <w:t>xi)</w:t>
      </w:r>
      <w:r>
        <w:rPr>
          <w:lang w:val="es-ES_tradnl" w:eastAsia="ru-RU"/>
        </w:rPr>
        <w:tab/>
      </w:r>
      <w:r w:rsidRPr="0088510B">
        <w:rPr>
          <w:lang w:val="es-ES_tradnl" w:eastAsia="ru-RU"/>
        </w:rPr>
        <w:t>La base de datos del CEIR debe soportar un m</w:t>
      </w:r>
      <w:r>
        <w:rPr>
          <w:lang w:val="es-ES_tradnl" w:eastAsia="ru-RU"/>
        </w:rPr>
        <w:t>étodo flexible de introducción de los datos (por medio de una introducción manual de los datos o ficheros planos con actualizaciones de rangos de IMEI).</w:t>
      </w:r>
    </w:p>
    <w:p w14:paraId="349ECE1B" w14:textId="77777777" w:rsidR="006B1268" w:rsidRDefault="006B1268" w:rsidP="00C142FB">
      <w:pPr>
        <w:pStyle w:val="enumlev1"/>
        <w:rPr>
          <w:lang w:val="es-ES_tradnl" w:eastAsia="ru-RU"/>
        </w:rPr>
      </w:pPr>
      <w:r w:rsidRPr="00AD73CA">
        <w:rPr>
          <w:lang w:val="es-ES_tradnl" w:eastAsia="ru-RU"/>
        </w:rPr>
        <w:lastRenderedPageBreak/>
        <w:t>xii)</w:t>
      </w:r>
      <w:r>
        <w:rPr>
          <w:lang w:val="es-ES_tradnl" w:eastAsia="ru-RU"/>
        </w:rPr>
        <w:tab/>
      </w:r>
      <w:r w:rsidRPr="00AD73CA">
        <w:rPr>
          <w:lang w:val="es-ES_tradnl" w:eastAsia="ru-RU"/>
        </w:rPr>
        <w:t>El CEIR debe realizar un</w:t>
      </w:r>
      <w:r>
        <w:rPr>
          <w:lang w:val="es-ES_tradnl" w:eastAsia="ru-RU"/>
        </w:rPr>
        <w:t>a comprobación d</w:t>
      </w:r>
      <w:r w:rsidRPr="00AD73CA">
        <w:rPr>
          <w:lang w:val="es-ES_tradnl" w:eastAsia="ru-RU"/>
        </w:rPr>
        <w:t>el formato del IMEI para verificar si</w:t>
      </w:r>
      <w:r>
        <w:rPr>
          <w:lang w:val="es-ES_tradnl" w:eastAsia="ru-RU"/>
        </w:rPr>
        <w:t xml:space="preserve"> </w:t>
      </w:r>
      <w:r w:rsidRPr="00AD73CA">
        <w:rPr>
          <w:lang w:val="es-ES_tradnl" w:eastAsia="ru-RU"/>
        </w:rPr>
        <w:t>su format</w:t>
      </w:r>
      <w:r>
        <w:rPr>
          <w:lang w:val="es-ES_tradnl" w:eastAsia="ru-RU"/>
        </w:rPr>
        <w:t>o</w:t>
      </w:r>
      <w:r w:rsidRPr="00AD73CA">
        <w:rPr>
          <w:lang w:val="es-ES_tradnl" w:eastAsia="ru-RU"/>
        </w:rPr>
        <w:t xml:space="preserve"> y rango son </w:t>
      </w:r>
      <w:r>
        <w:rPr>
          <w:lang w:val="es-ES_tradnl" w:eastAsia="ru-RU"/>
        </w:rPr>
        <w:t>válidos</w:t>
      </w:r>
      <w:r w:rsidRPr="00AD73CA">
        <w:rPr>
          <w:lang w:val="es-ES_tradnl" w:eastAsia="ru-RU"/>
        </w:rPr>
        <w:t xml:space="preserve">. </w:t>
      </w:r>
    </w:p>
    <w:p w14:paraId="4B55AB17" w14:textId="63DFE874" w:rsidR="006B1268" w:rsidRPr="00251BDC" w:rsidRDefault="006B1268" w:rsidP="00207691">
      <w:pPr>
        <w:pStyle w:val="Heading3"/>
        <w:rPr>
          <w:lang w:val="es-ES_tradnl"/>
        </w:rPr>
      </w:pPr>
      <w:bookmarkStart w:id="367" w:name="_Toc404607230"/>
      <w:bookmarkStart w:id="368" w:name="_Toc447202577"/>
      <w:bookmarkStart w:id="369" w:name="_Toc447203054"/>
      <w:r w:rsidRPr="00251BDC">
        <w:rPr>
          <w:lang w:val="es-ES_tradnl"/>
        </w:rPr>
        <w:t>A.1.9</w:t>
      </w:r>
      <w:r>
        <w:rPr>
          <w:lang w:val="es-ES_tradnl"/>
        </w:rPr>
        <w:tab/>
      </w:r>
      <w:r w:rsidRPr="00251BDC">
        <w:rPr>
          <w:lang w:val="es-ES_tradnl"/>
        </w:rPr>
        <w:t>Tur</w:t>
      </w:r>
      <w:bookmarkEnd w:id="367"/>
      <w:r w:rsidRPr="00251BDC">
        <w:rPr>
          <w:lang w:val="es-ES_tradnl"/>
        </w:rPr>
        <w:t>quía</w:t>
      </w:r>
      <w:bookmarkEnd w:id="368"/>
      <w:bookmarkEnd w:id="369"/>
    </w:p>
    <w:p w14:paraId="30915D8F" w14:textId="77777777" w:rsidR="006B1268" w:rsidRPr="00AD73CA" w:rsidRDefault="006B1268" w:rsidP="00C142FB">
      <w:pPr>
        <w:shd w:val="clear" w:color="auto" w:fill="FFFFFF"/>
        <w:rPr>
          <w:color w:val="000000"/>
          <w:lang w:val="es-ES_tradnl"/>
        </w:rPr>
      </w:pPr>
      <w:r w:rsidRPr="00AD73CA">
        <w:rPr>
          <w:bCs/>
          <w:spacing w:val="-8"/>
          <w:lang w:val="es-ES_tradnl"/>
        </w:rPr>
        <w:t xml:space="preserve">En 2006, el </w:t>
      </w:r>
      <w:r w:rsidRPr="00AD73CA">
        <w:rPr>
          <w:color w:val="000000"/>
          <w:lang w:val="es-ES_tradnl"/>
        </w:rPr>
        <w:t>Organismo de Tecnologías de la Información y la Comunicación (ICTA) de Turqu</w:t>
      </w:r>
      <w:r>
        <w:rPr>
          <w:color w:val="000000"/>
          <w:lang w:val="es-ES_tradnl"/>
        </w:rPr>
        <w:t>ía estableció un registro central de identidad de equipos (CEIR) para prevenir la utilización de teléfonos no registrados, las pérdidas de impuestos, la competencia desleal en el sector y el pirateo,</w:t>
      </w:r>
      <w:r w:rsidRPr="005C4F68">
        <w:rPr>
          <w:color w:val="000000"/>
          <w:lang w:val="es-ES_tradnl"/>
        </w:rPr>
        <w:t xml:space="preserve"> </w:t>
      </w:r>
      <w:r>
        <w:rPr>
          <w:color w:val="000000"/>
          <w:lang w:val="es-ES_tradnl"/>
        </w:rPr>
        <w:t xml:space="preserve">y automatizar los procesos de importación. La infraestructura se estableció para limitar los dispositivos importados ilegalmente, y desconectar de la red móvil los dispositivos robados, perdidos, de contrabando o con números IMEI clonados. </w:t>
      </w:r>
    </w:p>
    <w:p w14:paraId="53BF065F" w14:textId="77777777" w:rsidR="006B1268" w:rsidRPr="00C0211F" w:rsidRDefault="006B1268" w:rsidP="00C142FB">
      <w:pPr>
        <w:pStyle w:val="Figure"/>
      </w:pPr>
      <w:r>
        <w:object w:dxaOrig="5988" w:dyaOrig="3434" w14:anchorId="5C6F6836">
          <v:shape id="_x0000_i1033" type="#_x0000_t75" style="width:402.75pt;height:230.25pt" o:ole="">
            <v:imagedata r:id="rId153" o:title=""/>
          </v:shape>
          <o:OLEObject Type="Embed" ProgID="CorelDraw.Graphic.16" ShapeID="_x0000_i1033" DrawAspect="Content" ObjectID="_1521536389" r:id="rId154"/>
        </w:object>
      </w:r>
    </w:p>
    <w:bookmarkStart w:id="370" w:name="_Toc404785099"/>
    <w:p w14:paraId="62645907" w14:textId="26BCCCCC" w:rsidR="006B1268" w:rsidRDefault="00207691" w:rsidP="00362721">
      <w:pPr>
        <w:jc w:val="center"/>
        <w:rPr>
          <w:b/>
        </w:rPr>
      </w:pPr>
      <w:r>
        <w:rPr>
          <w:b/>
        </w:rPr>
        <w:fldChar w:fldCharType="begin"/>
      </w:r>
      <w:r>
        <w:rPr>
          <w:b/>
        </w:rPr>
        <w:instrText xml:space="preserve"> HYPERLINK "</w:instrText>
      </w:r>
      <w:r w:rsidRPr="00207691">
        <w:instrText>https://www.icta.mu/mediaoffice/publi.htm</w:instrText>
      </w:r>
      <w:r>
        <w:rPr>
          <w:b/>
        </w:rPr>
        <w:instrText xml:space="preserve">" </w:instrText>
      </w:r>
      <w:r>
        <w:rPr>
          <w:b/>
        </w:rPr>
        <w:fldChar w:fldCharType="separate"/>
      </w:r>
      <w:r w:rsidRPr="000300A2">
        <w:rPr>
          <w:rStyle w:val="Hyperlink"/>
          <w:bCs/>
        </w:rPr>
        <w:t>https://www.icta.mu/mediaoffice/publi.htm</w:t>
      </w:r>
      <w:r>
        <w:rPr>
          <w:b/>
        </w:rPr>
        <w:fldChar w:fldCharType="end"/>
      </w:r>
    </w:p>
    <w:p w14:paraId="3EB85EAC" w14:textId="77777777" w:rsidR="006B1268" w:rsidRPr="0069542F" w:rsidRDefault="006B1268" w:rsidP="00C142FB">
      <w:pPr>
        <w:pStyle w:val="FigureNotitle"/>
        <w:rPr>
          <w:szCs w:val="20"/>
          <w:lang w:val="es-ES_tradnl" w:bidi="ar-DZ"/>
        </w:rPr>
      </w:pPr>
      <w:bookmarkStart w:id="371" w:name="_Toc447274551"/>
      <w:r w:rsidRPr="0069542F">
        <w:rPr>
          <w:szCs w:val="20"/>
          <w:lang w:val="es-ES_tradnl" w:bidi="ar-DZ"/>
        </w:rPr>
        <w:t xml:space="preserve">Figura A.2 – Estructura del </w:t>
      </w:r>
      <w:r>
        <w:rPr>
          <w:szCs w:val="20"/>
          <w:lang w:val="es-ES_tradnl" w:bidi="ar-DZ"/>
        </w:rPr>
        <w:t>r</w:t>
      </w:r>
      <w:r w:rsidRPr="0069542F">
        <w:rPr>
          <w:szCs w:val="20"/>
          <w:lang w:val="es-ES_tradnl" w:bidi="ar-DZ"/>
        </w:rPr>
        <w:t>egistro central de identidades de equipos</w:t>
      </w:r>
      <w:bookmarkEnd w:id="370"/>
      <w:bookmarkEnd w:id="371"/>
    </w:p>
    <w:p w14:paraId="4214D35C" w14:textId="77777777" w:rsidR="006B1268" w:rsidRPr="00EE718A" w:rsidRDefault="006B1268" w:rsidP="00C142FB">
      <w:pPr>
        <w:rPr>
          <w:lang w:val="es-ES_tradnl"/>
        </w:rPr>
      </w:pPr>
      <w:r w:rsidRPr="00EE718A">
        <w:rPr>
          <w:lang w:val="es-ES_tradnl"/>
        </w:rPr>
        <w:t xml:space="preserve">La Ley de las Comunicaciones por </w:t>
      </w:r>
      <w:r>
        <w:rPr>
          <w:lang w:val="es-ES_tradnl"/>
        </w:rPr>
        <w:t>R</w:t>
      </w:r>
      <w:r w:rsidRPr="00EE718A">
        <w:rPr>
          <w:lang w:val="es-ES_tradnl"/>
        </w:rPr>
        <w:t>adiofrecuencia ha categorizado los n</w:t>
      </w:r>
      <w:r>
        <w:rPr>
          <w:lang w:val="es-ES_tradnl"/>
        </w:rPr>
        <w:t xml:space="preserve">úmeros IMEI de la siguiente manera: </w:t>
      </w:r>
    </w:p>
    <w:p w14:paraId="33FD5953" w14:textId="77777777" w:rsidR="006B1268" w:rsidRPr="00EE718A" w:rsidRDefault="006B1268" w:rsidP="00C142FB">
      <w:pPr>
        <w:pStyle w:val="enumlev1"/>
        <w:rPr>
          <w:lang w:val="es-ES_tradnl"/>
        </w:rPr>
      </w:pPr>
      <w:r w:rsidRPr="00C633DD">
        <w:rPr>
          <w:lang w:val="es-ES_tradnl"/>
        </w:rPr>
        <w:t>•</w:t>
      </w:r>
      <w:r>
        <w:rPr>
          <w:lang w:val="es-ES_tradnl"/>
        </w:rPr>
        <w:tab/>
      </w:r>
      <w:r w:rsidRPr="00EE718A">
        <w:rPr>
          <w:lang w:val="es-ES_tradnl"/>
        </w:rPr>
        <w:t xml:space="preserve">Lista blanca: números IMEI de dispositivos registrados y cuya </w:t>
      </w:r>
      <w:r>
        <w:rPr>
          <w:lang w:val="es-ES_tradnl"/>
        </w:rPr>
        <w:t>información de identidad electrónica no se ha modificado.</w:t>
      </w:r>
    </w:p>
    <w:p w14:paraId="19588405" w14:textId="77777777" w:rsidR="006B1268" w:rsidRPr="006F67FD" w:rsidRDefault="006B1268" w:rsidP="00C142FB">
      <w:pPr>
        <w:pStyle w:val="enumlev1"/>
        <w:rPr>
          <w:lang w:val="es-ES_tradnl"/>
        </w:rPr>
      </w:pPr>
      <w:r w:rsidRPr="00C633DD">
        <w:rPr>
          <w:lang w:val="es-ES_tradnl"/>
        </w:rPr>
        <w:t>•</w:t>
      </w:r>
      <w:r>
        <w:rPr>
          <w:lang w:val="es-ES_tradnl"/>
        </w:rPr>
        <w:tab/>
      </w:r>
      <w:r w:rsidRPr="006F67FD">
        <w:rPr>
          <w:lang w:val="es-ES_tradnl"/>
        </w:rPr>
        <w:t>Lista negra: números IMEI que pertenecen a la categor</w:t>
      </w:r>
      <w:r>
        <w:rPr>
          <w:lang w:val="es-ES_tradnl"/>
        </w:rPr>
        <w:t>ía de</w:t>
      </w:r>
      <w:r w:rsidRPr="006F67FD">
        <w:rPr>
          <w:lang w:val="es-ES_tradnl"/>
        </w:rPr>
        <w:t xml:space="preserve"> dispositivos</w:t>
      </w:r>
      <w:r>
        <w:rPr>
          <w:lang w:val="es-ES_tradnl"/>
        </w:rPr>
        <w:t xml:space="preserve"> perdidos o robados, o cuya información de identidad electrónica se ha modificado. Se ha pedido a los operadores de telecomunicaciones que corten las comunicaciones móviles de estos dispositivos.</w:t>
      </w:r>
    </w:p>
    <w:p w14:paraId="73CD7680" w14:textId="77777777" w:rsidR="006B1268" w:rsidRPr="006F67FD" w:rsidRDefault="006B1268" w:rsidP="00C142FB">
      <w:pPr>
        <w:pStyle w:val="enumlev1"/>
        <w:rPr>
          <w:lang w:val="es-ES_tradnl"/>
        </w:rPr>
      </w:pPr>
      <w:r w:rsidRPr="00C633DD">
        <w:rPr>
          <w:lang w:val="es-ES_tradnl"/>
        </w:rPr>
        <w:t>•</w:t>
      </w:r>
      <w:r>
        <w:rPr>
          <w:lang w:val="es-ES_tradnl"/>
        </w:rPr>
        <w:tab/>
      </w:r>
      <w:r w:rsidRPr="006F67FD">
        <w:rPr>
          <w:lang w:val="es-ES_tradnl"/>
        </w:rPr>
        <w:t>Lista gris: números IMEI que no pertenecen ni a la lista blanca ni a la lista negra pero cuyas comunicaciones est</w:t>
      </w:r>
      <w:r>
        <w:rPr>
          <w:lang w:val="es-ES_tradnl"/>
        </w:rPr>
        <w:t xml:space="preserve">án autorizadas. Los operadores deben analizar los detalles de las llamadas de estos dispositivos y deben informar al ICTA. Los operadores de telecomunicaciones deben notificar también a los abonados, con un mensaje de texto, que sus dispositivos no están incluidos en la lista blanca. </w:t>
      </w:r>
    </w:p>
    <w:p w14:paraId="2C47FFAB" w14:textId="77777777" w:rsidR="006B1268" w:rsidRPr="009B1208" w:rsidRDefault="006B1268" w:rsidP="00C142FB">
      <w:pPr>
        <w:pStyle w:val="enumlev1"/>
        <w:rPr>
          <w:lang w:val="es-ES_tradnl"/>
        </w:rPr>
      </w:pPr>
      <w:r w:rsidRPr="00C633DD">
        <w:rPr>
          <w:lang w:val="es-ES_tradnl"/>
        </w:rPr>
        <w:t>•</w:t>
      </w:r>
      <w:r>
        <w:rPr>
          <w:lang w:val="es-ES_tradnl"/>
        </w:rPr>
        <w:tab/>
        <w:t xml:space="preserve">Lista blanca de números emparejados: </w:t>
      </w:r>
      <w:r w:rsidRPr="009B1208">
        <w:rPr>
          <w:lang w:val="es-ES_tradnl"/>
        </w:rPr>
        <w:t xml:space="preserve">números IMEI clones del </w:t>
      </w:r>
      <w:r>
        <w:rPr>
          <w:lang w:val="es-ES_tradnl"/>
        </w:rPr>
        <w:t>número RDSI de abona</w:t>
      </w:r>
      <w:r w:rsidRPr="009B1208">
        <w:rPr>
          <w:lang w:val="es-ES_tradnl"/>
        </w:rPr>
        <w:t>do móvil (MSISDN)</w:t>
      </w:r>
      <w:r>
        <w:rPr>
          <w:lang w:val="es-ES_tradnl"/>
        </w:rPr>
        <w:t xml:space="preserve"> de los dispositivos de abonados que han depositado una tasa de inscripción. También se incluyen los dispositivos que formalizan un contrato de abono con un operador de telecomunicaciones y están en Turquía, con el número MSISDN,</w:t>
      </w:r>
      <w:r w:rsidRPr="009F6CC6">
        <w:rPr>
          <w:lang w:val="es-ES_tradnl"/>
        </w:rPr>
        <w:t xml:space="preserve"> </w:t>
      </w:r>
      <w:r>
        <w:rPr>
          <w:lang w:val="es-ES_tradnl"/>
        </w:rPr>
        <w:t xml:space="preserve">durante un periodo de tiempo. </w:t>
      </w:r>
    </w:p>
    <w:p w14:paraId="6127FDA3" w14:textId="10FD4816" w:rsidR="006B1268" w:rsidRPr="00EF3592" w:rsidRDefault="006B1268" w:rsidP="00207691">
      <w:pPr>
        <w:rPr>
          <w:bCs/>
          <w:lang w:val="es-ES_tradnl"/>
        </w:rPr>
      </w:pPr>
      <w:r w:rsidRPr="009B1208">
        <w:rPr>
          <w:lang w:val="es-ES_tradnl"/>
        </w:rPr>
        <w:lastRenderedPageBreak/>
        <w:t>Según el Informe anual de 2010 del ICTA, el n</w:t>
      </w:r>
      <w:r>
        <w:rPr>
          <w:lang w:val="es-ES_tradnl"/>
        </w:rPr>
        <w:t>úmero de IMEI legalmente registrados</w:t>
      </w:r>
      <w:r>
        <w:rPr>
          <w:bCs/>
          <w:lang w:val="es-ES_tradnl"/>
        </w:rPr>
        <w:t xml:space="preserve">, a final de 2010, </w:t>
      </w:r>
      <w:r>
        <w:rPr>
          <w:lang w:val="es-ES_tradnl"/>
        </w:rPr>
        <w:t xml:space="preserve">ascendía a </w:t>
      </w:r>
      <w:r w:rsidRPr="009B1208">
        <w:rPr>
          <w:bCs/>
          <w:lang w:val="es-ES_tradnl"/>
        </w:rPr>
        <w:t>131</w:t>
      </w:r>
      <w:r>
        <w:rPr>
          <w:bCs/>
          <w:lang w:val="es-ES_tradnl"/>
        </w:rPr>
        <w:t> </w:t>
      </w:r>
      <w:r w:rsidRPr="009B1208">
        <w:rPr>
          <w:bCs/>
          <w:lang w:val="es-ES_tradnl"/>
        </w:rPr>
        <w:t>836</w:t>
      </w:r>
      <w:r>
        <w:rPr>
          <w:bCs/>
          <w:lang w:val="es-ES_tradnl"/>
        </w:rPr>
        <w:t> </w:t>
      </w:r>
      <w:r w:rsidRPr="009B1208">
        <w:rPr>
          <w:bCs/>
          <w:lang w:val="es-ES_tradnl"/>
        </w:rPr>
        <w:t>847</w:t>
      </w:r>
      <w:r>
        <w:rPr>
          <w:bCs/>
          <w:lang w:val="es-ES_tradnl"/>
        </w:rPr>
        <w:t>, y a 14 308 </w:t>
      </w:r>
      <w:r w:rsidRPr="009B1208">
        <w:rPr>
          <w:bCs/>
          <w:lang w:val="es-ES_tradnl"/>
        </w:rPr>
        <w:t>239</w:t>
      </w:r>
      <w:r>
        <w:rPr>
          <w:bCs/>
          <w:lang w:val="es-ES_tradnl"/>
        </w:rPr>
        <w:t xml:space="preserve"> el número de IMEI incluidos en la lista negra por ser dispositivos robados, perdidos, clonados o de contrabando. </w:t>
      </w:r>
      <w:hyperlink r:id="rId155" w:history="1">
        <w:r w:rsidR="00207691" w:rsidRPr="000300A2">
          <w:rPr>
            <w:rStyle w:val="Hyperlink"/>
            <w:bCs/>
            <w:lang w:val="es-ES_tradnl"/>
          </w:rPr>
          <w:t>https://www.icta.mu/mediaoffice/publi.htm</w:t>
        </w:r>
      </w:hyperlink>
    </w:p>
    <w:p w14:paraId="563A5119" w14:textId="26CA2E95" w:rsidR="006B1268" w:rsidRPr="00251BDC" w:rsidRDefault="006B1268" w:rsidP="00207691">
      <w:pPr>
        <w:pStyle w:val="Heading3"/>
        <w:rPr>
          <w:lang w:val="es-ES_tradnl"/>
        </w:rPr>
      </w:pPr>
      <w:bookmarkStart w:id="372" w:name="_Toc404607231"/>
      <w:bookmarkStart w:id="373" w:name="_Toc447202578"/>
      <w:bookmarkStart w:id="374" w:name="_Toc447203055"/>
      <w:r w:rsidRPr="00EF3592">
        <w:rPr>
          <w:lang w:val="es-ES_tradnl"/>
        </w:rPr>
        <w:t>A.1.10</w:t>
      </w:r>
      <w:r w:rsidRPr="00EF3592">
        <w:rPr>
          <w:lang w:val="es-ES_tradnl"/>
        </w:rPr>
        <w:tab/>
        <w:t>Uganda</w:t>
      </w:r>
      <w:bookmarkEnd w:id="372"/>
      <w:bookmarkEnd w:id="373"/>
      <w:bookmarkEnd w:id="374"/>
    </w:p>
    <w:p w14:paraId="16BD07A7" w14:textId="5817C663" w:rsidR="006B1268" w:rsidRPr="007D732E" w:rsidRDefault="006B1268" w:rsidP="00207691">
      <w:pPr>
        <w:shd w:val="clear" w:color="auto" w:fill="FFFFFF"/>
      </w:pPr>
      <w:r w:rsidRPr="0088398F">
        <w:rPr>
          <w:lang w:val="es-ES_tradnl"/>
        </w:rPr>
        <w:t xml:space="preserve">La Comisión de Comunicaciones de Uganda (UCC) </w:t>
      </w:r>
      <w:r>
        <w:rPr>
          <w:lang w:val="es-ES_tradnl"/>
        </w:rPr>
        <w:t xml:space="preserve">ha empezado la implementación de un proyecto </w:t>
      </w:r>
      <w:hyperlink r:id="rId156" w:history="1">
        <w:r w:rsidRPr="00BE67B7">
          <w:rPr>
            <w:rStyle w:val="Hyperlink"/>
            <w:lang w:val="es-ES_tradnl"/>
          </w:rPr>
          <w:t>http://ucc.co.ug/data/mreports/18/0/ELIMINATION%20OF%20COUNTERFEIT%</w:t>
        </w:r>
        <w:r w:rsidRPr="00BE67B7">
          <w:rPr>
            <w:rStyle w:val="Hyperlink"/>
            <w:lang w:val="es-ES_tradnl"/>
          </w:rPr>
          <w:br/>
          <w:t>20MOBILE%20PHONES.html</w:t>
        </w:r>
      </w:hyperlink>
      <w:r>
        <w:rPr>
          <w:lang w:val="es-ES_tradnl"/>
        </w:rPr>
        <w:t xml:space="preserve"> que busca la eliminación gradual de los teléfonos móviles falsificados del mercado de Uganda. Un estudio certificado por la UCC indica que el 30% aproximadamente de los teléfonos móviles del mercado de Uganda son falsificados. El estudio también indica que el estado pierde aproximadamente 15 000 millones de schilling (aproximadamente 5 400 millones USD a fecha de noviembre de 2014) de los ingresos de las tasas de los vendedores de teléfonos móviles ilegales o falsificados.</w:t>
      </w:r>
      <w:r w:rsidR="00207691">
        <w:rPr>
          <w:lang w:val="es-ES_tradnl"/>
        </w:rPr>
        <w:t xml:space="preserve"> </w:t>
      </w:r>
      <w:hyperlink r:id="rId157" w:history="1">
        <w:r w:rsidRPr="007D732E">
          <w:rPr>
            <w:rStyle w:val="Hyperlink"/>
          </w:rPr>
          <w:t>http://www.monitor.co.ug/Business/Commodities/Survey+finds+30++of+Ugandan+phones+fake/-/688610/1527408/-/elvou8z/-/index.html</w:t>
        </w:r>
      </w:hyperlink>
      <w:r w:rsidRPr="007D732E">
        <w:t xml:space="preserve"> </w:t>
      </w:r>
    </w:p>
    <w:p w14:paraId="6CDB454B" w14:textId="77777777" w:rsidR="006B1268" w:rsidRDefault="006B1268" w:rsidP="00C142FB">
      <w:pPr>
        <w:shd w:val="clear" w:color="auto" w:fill="FFFFFF"/>
        <w:rPr>
          <w:lang w:val="es-ES_tradnl"/>
        </w:rPr>
      </w:pPr>
      <w:r>
        <w:rPr>
          <w:lang w:val="es-ES_tradnl"/>
        </w:rPr>
        <w:t xml:space="preserve">En diciembre de 2012, la UCC publicó el documento consultivo "Calendario y distribución de tareas para la eliminación de los teléfonos móviles falsificados" </w:t>
      </w:r>
      <w:hyperlink r:id="rId158" w:history="1">
        <w:r w:rsidRPr="00D14CCE">
          <w:rPr>
            <w:rStyle w:val="Hyperlink"/>
            <w:lang w:val="es-ES_tradnl"/>
          </w:rPr>
          <w:t>http://www.ucc.co.ug/files/downloads/Counterfeit%20phones%20Consultative%20Document.pdf</w:t>
        </w:r>
      </w:hyperlink>
      <w:r w:rsidRPr="00D14CCE">
        <w:rPr>
          <w:lang w:val="es-ES_tradnl"/>
        </w:rPr>
        <w:t xml:space="preserve"> </w:t>
      </w:r>
      <w:r>
        <w:rPr>
          <w:lang w:val="es-ES_tradnl"/>
        </w:rPr>
        <w:t xml:space="preserve">que define el proyecto y sus cuatro fases de implementación de la manera siguiente: </w:t>
      </w:r>
    </w:p>
    <w:p w14:paraId="32FE2DDB" w14:textId="77777777" w:rsidR="006B1268" w:rsidRPr="00D14CCE" w:rsidRDefault="006B1268" w:rsidP="00C142FB">
      <w:pPr>
        <w:rPr>
          <w:lang w:val="es-ES_tradnl"/>
        </w:rPr>
      </w:pPr>
      <w:r w:rsidRPr="00D14CCE">
        <w:rPr>
          <w:lang w:val="es-ES_tradnl"/>
        </w:rPr>
        <w:t>FASE 1: Verificación de los teléfonos m</w:t>
      </w:r>
      <w:r>
        <w:rPr>
          <w:lang w:val="es-ES_tradnl"/>
        </w:rPr>
        <w:t>óviles</w:t>
      </w:r>
    </w:p>
    <w:p w14:paraId="5C31FBB4" w14:textId="77777777" w:rsidR="006B1268" w:rsidRPr="00D14CCE" w:rsidRDefault="006B1268" w:rsidP="00F50BE5">
      <w:pPr>
        <w:rPr>
          <w:lang w:val="es-ES_tradnl"/>
        </w:rPr>
      </w:pPr>
      <w:r>
        <w:rPr>
          <w:lang w:val="es-ES_tradnl"/>
        </w:rPr>
        <w:t>Durante esta fase, los consumidores podrán comprobar el estatus de sus teléfonos utilizando una o ambas aplicaciones, por Internet o SMS.</w:t>
      </w:r>
    </w:p>
    <w:p w14:paraId="04921DBB" w14:textId="77777777" w:rsidR="006B1268" w:rsidRDefault="006B1268" w:rsidP="00C142FB">
      <w:pPr>
        <w:rPr>
          <w:lang w:val="es-ES_tradnl"/>
        </w:rPr>
      </w:pPr>
      <w:r w:rsidRPr="00D14CCE">
        <w:rPr>
          <w:lang w:val="es-ES_tradnl"/>
        </w:rPr>
        <w:t xml:space="preserve">Se aconseja a los consumidores comprobar </w:t>
      </w:r>
      <w:r>
        <w:rPr>
          <w:lang w:val="es-ES_tradnl"/>
        </w:rPr>
        <w:t xml:space="preserve">inmediatamente </w:t>
      </w:r>
      <w:r w:rsidRPr="00D14CCE">
        <w:rPr>
          <w:lang w:val="es-ES_tradnl"/>
        </w:rPr>
        <w:t>la legitimidad de sus tel</w:t>
      </w:r>
      <w:r>
        <w:rPr>
          <w:lang w:val="es-ES_tradnl"/>
        </w:rPr>
        <w:t xml:space="preserve">éfonos utilizando una de estas opciones. </w:t>
      </w:r>
    </w:p>
    <w:p w14:paraId="748B53A4" w14:textId="77777777" w:rsidR="006B1268" w:rsidRPr="00D14CCE" w:rsidRDefault="006B1268" w:rsidP="00F50BE5">
      <w:pPr>
        <w:rPr>
          <w:lang w:val="es-ES_tradnl"/>
        </w:rPr>
      </w:pPr>
      <w:r w:rsidRPr="00D14CCE">
        <w:rPr>
          <w:lang w:val="es-ES_tradnl"/>
        </w:rPr>
        <w:t>FASE 2: Denegación del servicio a los tel</w:t>
      </w:r>
      <w:r>
        <w:rPr>
          <w:lang w:val="es-ES_tradnl"/>
        </w:rPr>
        <w:t>éfonos nuevos falsificados</w:t>
      </w:r>
    </w:p>
    <w:p w14:paraId="2014AA13" w14:textId="77777777" w:rsidR="006B1268" w:rsidRDefault="006B1268" w:rsidP="00C142FB">
      <w:pPr>
        <w:rPr>
          <w:lang w:val="es-ES_tradnl"/>
        </w:rPr>
      </w:pPr>
      <w:r w:rsidRPr="00457C40">
        <w:rPr>
          <w:lang w:val="es-ES_tradnl"/>
        </w:rPr>
        <w:t>Durante esta fase,</w:t>
      </w:r>
      <w:r>
        <w:rPr>
          <w:lang w:val="es-ES_tradnl"/>
        </w:rPr>
        <w:t xml:space="preserve"> se debe denegar el servicio en todas las redes a </w:t>
      </w:r>
      <w:r w:rsidRPr="00457C40">
        <w:rPr>
          <w:lang w:val="es-ES_tradnl"/>
        </w:rPr>
        <w:t xml:space="preserve">los teléfonos móviles nuevos falsificados que no se </w:t>
      </w:r>
      <w:r>
        <w:rPr>
          <w:lang w:val="es-ES_tradnl"/>
        </w:rPr>
        <w:t>hayan</w:t>
      </w:r>
      <w:r w:rsidRPr="00457C40">
        <w:rPr>
          <w:lang w:val="es-ES_tradnl"/>
        </w:rPr>
        <w:t xml:space="preserve"> registrado anteriormente en alguna de las redes</w:t>
      </w:r>
      <w:r>
        <w:rPr>
          <w:lang w:val="es-ES_tradnl"/>
        </w:rPr>
        <w:t xml:space="preserve">. </w:t>
      </w:r>
      <w:r w:rsidRPr="00457C40">
        <w:rPr>
          <w:lang w:val="es-ES_tradnl"/>
        </w:rPr>
        <w:t xml:space="preserve">La fecha propuesta para la implementación de esta fase era </w:t>
      </w:r>
      <w:r>
        <w:rPr>
          <w:lang w:val="es-ES_tradnl"/>
        </w:rPr>
        <w:t xml:space="preserve">el </w:t>
      </w:r>
      <w:r w:rsidRPr="00457C40">
        <w:rPr>
          <w:lang w:val="es-ES_tradnl"/>
        </w:rPr>
        <w:t xml:space="preserve">31 de enero de 2013. </w:t>
      </w:r>
    </w:p>
    <w:p w14:paraId="53CD592B" w14:textId="77777777" w:rsidR="006B1268" w:rsidRPr="00457C40" w:rsidRDefault="006B1268" w:rsidP="00D16D8C">
      <w:pPr>
        <w:rPr>
          <w:lang w:val="es-ES_tradnl"/>
        </w:rPr>
      </w:pPr>
      <w:r>
        <w:rPr>
          <w:lang w:val="es-ES_tradnl"/>
        </w:rPr>
        <w:t>FA</w:t>
      </w:r>
      <w:r w:rsidRPr="00457C40">
        <w:rPr>
          <w:lang w:val="es-ES_tradnl"/>
        </w:rPr>
        <w:t>SE 3: Desconexión de todos los teléfonos móviles falsificados</w:t>
      </w:r>
    </w:p>
    <w:p w14:paraId="07E29E4A" w14:textId="77777777" w:rsidR="006B1268" w:rsidRDefault="006B1268" w:rsidP="00C142FB">
      <w:pPr>
        <w:rPr>
          <w:lang w:val="es-ES_tradnl"/>
        </w:rPr>
      </w:pPr>
      <w:r w:rsidRPr="00457C40">
        <w:rPr>
          <w:lang w:val="es-ES_tradnl"/>
        </w:rPr>
        <w:t>Durante esta fase</w:t>
      </w:r>
      <w:r>
        <w:rPr>
          <w:lang w:val="es-ES_tradnl"/>
        </w:rPr>
        <w:t>, se deben desconectar</w:t>
      </w:r>
      <w:r w:rsidRPr="00457C40">
        <w:rPr>
          <w:lang w:val="es-ES_tradnl"/>
        </w:rPr>
        <w:t xml:space="preserve"> todos los teléfonos móviles, incluidos los que se </w:t>
      </w:r>
      <w:r>
        <w:rPr>
          <w:lang w:val="es-ES_tradnl"/>
        </w:rPr>
        <w:t>hayan</w:t>
      </w:r>
      <w:r w:rsidRPr="00457C40">
        <w:rPr>
          <w:lang w:val="es-ES_tradnl"/>
        </w:rPr>
        <w:t xml:space="preserve"> registrado anteriormente en alguna de las redes</w:t>
      </w:r>
      <w:r>
        <w:rPr>
          <w:lang w:val="es-ES_tradnl"/>
        </w:rPr>
        <w:t>. La fecha propuesta para la implementación de esta fase era el 1 de julio de 2013.</w:t>
      </w:r>
    </w:p>
    <w:p w14:paraId="1BDF444B" w14:textId="77777777" w:rsidR="006B1268" w:rsidRPr="00A54F8D" w:rsidRDefault="006B1268" w:rsidP="00C142FB">
      <w:pPr>
        <w:rPr>
          <w:lang w:val="es-ES_tradnl"/>
        </w:rPr>
      </w:pPr>
      <w:r w:rsidRPr="00A54F8D">
        <w:rPr>
          <w:lang w:val="es-ES_tradnl"/>
        </w:rPr>
        <w:t>FASE 4: Consolidación del Proyecto:</w:t>
      </w:r>
    </w:p>
    <w:p w14:paraId="5F4BA8B1" w14:textId="77777777" w:rsidR="006B1268" w:rsidRPr="00457C40" w:rsidRDefault="006B1268" w:rsidP="00C142FB">
      <w:pPr>
        <w:rPr>
          <w:lang w:val="es-ES_tradnl"/>
        </w:rPr>
      </w:pPr>
      <w:r w:rsidRPr="00457C40">
        <w:rPr>
          <w:lang w:val="es-ES_tradnl"/>
        </w:rPr>
        <w:t xml:space="preserve">Durante esta fase, la Comisión debe estudiar la información del </w:t>
      </w:r>
      <w:r>
        <w:rPr>
          <w:lang w:val="es-ES_tradnl"/>
        </w:rPr>
        <w:t>p</w:t>
      </w:r>
      <w:r w:rsidRPr="00457C40">
        <w:rPr>
          <w:lang w:val="es-ES_tradnl"/>
        </w:rPr>
        <w:t>royecto y su implementación</w:t>
      </w:r>
      <w:r>
        <w:rPr>
          <w:lang w:val="es-ES_tradnl"/>
        </w:rPr>
        <w:t>,</w:t>
      </w:r>
      <w:r w:rsidRPr="00457C40">
        <w:rPr>
          <w:lang w:val="es-ES_tradnl"/>
        </w:rPr>
        <w:t xml:space="preserve"> y los temas relativos a la gesti</w:t>
      </w:r>
      <w:r>
        <w:rPr>
          <w:lang w:val="es-ES_tradnl"/>
        </w:rPr>
        <w:t>ón de los residuos electrónicos y la clonación de IMEI. Las propuestas de estudio de varios temas durante esta fase se están analizando</w:t>
      </w:r>
      <w:r w:rsidRPr="00BD5F7E">
        <w:rPr>
          <w:lang w:val="es-ES_tradnl"/>
        </w:rPr>
        <w:t xml:space="preserve"> </w:t>
      </w:r>
      <w:r>
        <w:rPr>
          <w:lang w:val="es-ES_tradnl"/>
        </w:rPr>
        <w:t xml:space="preserve">todavía. </w:t>
      </w:r>
    </w:p>
    <w:p w14:paraId="74937806" w14:textId="6A7F91A8" w:rsidR="006B1268" w:rsidRPr="00251BDC" w:rsidRDefault="006B1268" w:rsidP="007D732E">
      <w:pPr>
        <w:pStyle w:val="Heading3"/>
        <w:rPr>
          <w:lang w:val="es-ES_tradnl"/>
        </w:rPr>
      </w:pPr>
      <w:bookmarkStart w:id="375" w:name="_Toc447202579"/>
      <w:bookmarkStart w:id="376" w:name="_Toc447203056"/>
      <w:r w:rsidRPr="00251BDC">
        <w:rPr>
          <w:lang w:val="es-ES_tradnl"/>
        </w:rPr>
        <w:t>A.1.11</w:t>
      </w:r>
      <w:r>
        <w:rPr>
          <w:lang w:val="es-ES_tradnl"/>
        </w:rPr>
        <w:tab/>
      </w:r>
      <w:r w:rsidRPr="00251BDC">
        <w:rPr>
          <w:lang w:val="es-ES_tradnl"/>
        </w:rPr>
        <w:t>Ucrania</w:t>
      </w:r>
      <w:bookmarkEnd w:id="375"/>
      <w:bookmarkEnd w:id="376"/>
    </w:p>
    <w:p w14:paraId="58706355" w14:textId="5832DF1A" w:rsidR="006B1268" w:rsidRPr="00BD5F7E" w:rsidRDefault="006B1268" w:rsidP="007D732E">
      <w:pPr>
        <w:pStyle w:val="Heading4"/>
        <w:rPr>
          <w:lang w:val="es-ES_tradnl"/>
        </w:rPr>
      </w:pPr>
      <w:bookmarkStart w:id="377" w:name="_Toc447202580"/>
      <w:r w:rsidRPr="00BD5F7E">
        <w:rPr>
          <w:lang w:val="es-ES_tradnl"/>
        </w:rPr>
        <w:t>A.1.11.1</w:t>
      </w:r>
      <w:r>
        <w:rPr>
          <w:lang w:val="es-ES_tradnl"/>
        </w:rPr>
        <w:tab/>
      </w:r>
      <w:r w:rsidRPr="00BD5F7E">
        <w:rPr>
          <w:lang w:val="es-ES_tradnl"/>
        </w:rPr>
        <w:t>Introducción</w:t>
      </w:r>
      <w:bookmarkEnd w:id="377"/>
    </w:p>
    <w:p w14:paraId="6A9F961C" w14:textId="77777777" w:rsidR="006B1268" w:rsidRPr="007B52BE" w:rsidRDefault="006B1268" w:rsidP="00C142FB">
      <w:pPr>
        <w:rPr>
          <w:shd w:val="clear" w:color="auto" w:fill="FFFFFF"/>
          <w:lang w:val="es-ES_tradnl"/>
        </w:rPr>
      </w:pPr>
      <w:r w:rsidRPr="00BD5F7E">
        <w:rPr>
          <w:shd w:val="clear" w:color="auto" w:fill="FFFFFF"/>
          <w:lang w:val="es-ES_tradnl"/>
        </w:rPr>
        <w:t>En 2008, el problema inmediato y m</w:t>
      </w:r>
      <w:r>
        <w:rPr>
          <w:shd w:val="clear" w:color="auto" w:fill="FFFFFF"/>
          <w:lang w:val="es-ES_tradnl"/>
        </w:rPr>
        <w:t xml:space="preserve">ás acuciante que se debía afrontar era la introducción de terminales móviles de contrabando que representaba un 93-95% del mercado. Una parte considerable de estos terminales de origen desconocido no cumplían con las normas ucranianas, por sus características técnicas o por su seguridad. </w:t>
      </w:r>
      <w:r w:rsidRPr="007B52BE">
        <w:rPr>
          <w:lang w:val="es-ES_tradnl"/>
        </w:rPr>
        <w:t xml:space="preserve">La Ley </w:t>
      </w:r>
      <w:r>
        <w:rPr>
          <w:lang w:val="es-ES_tradnl"/>
        </w:rPr>
        <w:t>"</w:t>
      </w:r>
      <w:r w:rsidRPr="007B52BE">
        <w:rPr>
          <w:lang w:val="es-ES_tradnl"/>
        </w:rPr>
        <w:t>sobre los recursos de radiofrecuencia de Ucrania</w:t>
      </w:r>
      <w:r>
        <w:rPr>
          <w:lang w:val="es-ES_tradnl"/>
        </w:rPr>
        <w:t>"</w:t>
      </w:r>
      <w:r w:rsidRPr="007B52BE">
        <w:rPr>
          <w:lang w:val="es-ES_tradnl"/>
        </w:rPr>
        <w:t xml:space="preserve"> encargó a la Comisión </w:t>
      </w:r>
      <w:r>
        <w:rPr>
          <w:lang w:val="es-ES_tradnl"/>
        </w:rPr>
        <w:t>n</w:t>
      </w:r>
      <w:r w:rsidRPr="007B52BE">
        <w:rPr>
          <w:lang w:val="es-ES_tradnl"/>
        </w:rPr>
        <w:t xml:space="preserve">acional para la reglamentación estatal de las comunicaciones e informatización (NCCIR) imponer </w:t>
      </w:r>
      <w:r>
        <w:rPr>
          <w:lang w:val="es-ES_tradnl"/>
        </w:rPr>
        <w:t xml:space="preserve">nuevas </w:t>
      </w:r>
      <w:r w:rsidRPr="007B52BE">
        <w:rPr>
          <w:lang w:val="es-ES_tradnl"/>
        </w:rPr>
        <w:t xml:space="preserve">medidas para proteger el </w:t>
      </w:r>
      <w:r>
        <w:rPr>
          <w:lang w:val="es-ES_tradnl"/>
        </w:rPr>
        <w:t>m</w:t>
      </w:r>
      <w:r w:rsidRPr="007B52BE">
        <w:rPr>
          <w:lang w:val="es-ES_tradnl"/>
        </w:rPr>
        <w:t>ercado de Ucrania contra los terminal</w:t>
      </w:r>
      <w:r>
        <w:rPr>
          <w:lang w:val="es-ES_tradnl"/>
        </w:rPr>
        <w:t>es móviles</w:t>
      </w:r>
      <w:r w:rsidRPr="007B52BE">
        <w:rPr>
          <w:lang w:val="es-ES_tradnl"/>
        </w:rPr>
        <w:t xml:space="preserve"> de baja calidad, no autorizados, o importados ilegalmente. </w:t>
      </w:r>
    </w:p>
    <w:p w14:paraId="074E8F09" w14:textId="77777777" w:rsidR="006B1268" w:rsidRPr="007B52BE" w:rsidRDefault="006B1268" w:rsidP="00C142FB">
      <w:pPr>
        <w:rPr>
          <w:lang w:val="es-ES_tradnl"/>
        </w:rPr>
      </w:pPr>
      <w:r w:rsidRPr="007B52BE">
        <w:rPr>
          <w:lang w:val="es-ES_tradnl"/>
        </w:rPr>
        <w:lastRenderedPageBreak/>
        <w:t>La NCCIR definió un procedimiento reglamentario para la impo</w:t>
      </w:r>
      <w:r>
        <w:rPr>
          <w:lang w:val="es-ES_tradnl"/>
        </w:rPr>
        <w:t>r</w:t>
      </w:r>
      <w:r w:rsidRPr="007B52BE">
        <w:rPr>
          <w:lang w:val="es-ES_tradnl"/>
        </w:rPr>
        <w:t>taci</w:t>
      </w:r>
      <w:r>
        <w:rPr>
          <w:lang w:val="es-ES_tradnl"/>
        </w:rPr>
        <w:t xml:space="preserve">ón de los terminales móviles. En la parte técnica del procedimiento de importación, se creó el Sistema de información automatizado para el registro de los terminales móviles en Ucrania (AISMTRU) puesto en funcionamiento por el Centro estatal de Ucrania de radiofrecuencia (UCRF) en 2009. En consecuencia, las importaciones ilegales de terminales móviles se redujeron de forma espectacular, no representando más de un 5-7% del mercado en 2010, y siguieron disminuyendo en los años siguientes. </w:t>
      </w:r>
    </w:p>
    <w:p w14:paraId="6BD1FE18" w14:textId="77777777" w:rsidR="006B1268" w:rsidRDefault="006B1268" w:rsidP="00C142FB">
      <w:pPr>
        <w:rPr>
          <w:iCs/>
          <w:lang w:val="es-ES_tradnl"/>
        </w:rPr>
      </w:pPr>
      <w:r w:rsidRPr="00714E44">
        <w:rPr>
          <w:iCs/>
          <w:lang w:val="es-ES_tradnl"/>
        </w:rPr>
        <w:t xml:space="preserve">Los </w:t>
      </w:r>
      <w:r>
        <w:rPr>
          <w:iCs/>
          <w:lang w:val="es-ES_tradnl"/>
        </w:rPr>
        <w:t xml:space="preserve">números </w:t>
      </w:r>
      <w:r w:rsidRPr="00714E44">
        <w:rPr>
          <w:iCs/>
          <w:lang w:val="es-ES_tradnl"/>
        </w:rPr>
        <w:t>IMEI se utilizan en Ucrania para crear un</w:t>
      </w:r>
      <w:r>
        <w:rPr>
          <w:iCs/>
          <w:lang w:val="es-ES_tradnl"/>
        </w:rPr>
        <w:t>a</w:t>
      </w:r>
      <w:r w:rsidRPr="00714E44">
        <w:rPr>
          <w:iCs/>
          <w:lang w:val="es-ES_tradnl"/>
        </w:rPr>
        <w:t xml:space="preserve"> base de datos de los dispositivos importados legalmente en Ucrania. </w:t>
      </w:r>
      <w:r>
        <w:rPr>
          <w:iCs/>
          <w:lang w:val="es-ES_tradnl"/>
        </w:rPr>
        <w:t xml:space="preserve">Se mantienen las siguientes listas: una "lista blanca" de los dispositivos importados legalmente, una "lista gris" de los dispositivos con un estado no confirmado y una "lista negra" de los dispositivos a los que se deniega el servicio. Se proporcionan accesos, con los niveles de privilegios adecuados, a las autoridades regulatorias y aduaneras, a los operadores y al público en general </w:t>
      </w:r>
    </w:p>
    <w:p w14:paraId="720DD6E7" w14:textId="77777777" w:rsidR="006B1268" w:rsidRPr="00232153" w:rsidRDefault="006B1268" w:rsidP="00D16D8C">
      <w:pPr>
        <w:rPr>
          <w:lang w:val="es-ES_tradnl"/>
        </w:rPr>
      </w:pPr>
      <w:r w:rsidRPr="00232153">
        <w:rPr>
          <w:lang w:val="es-ES_tradnl"/>
        </w:rPr>
        <w:t>El AISMTRU realiza las siguientes funciones:</w:t>
      </w:r>
    </w:p>
    <w:p w14:paraId="17FA433F" w14:textId="77777777" w:rsidR="006B1268" w:rsidRDefault="006B1268" w:rsidP="00C142FB">
      <w:pPr>
        <w:pStyle w:val="enumlev1"/>
        <w:rPr>
          <w:lang w:val="es-ES_tradnl"/>
        </w:rPr>
      </w:pPr>
      <w:r w:rsidRPr="00C633DD">
        <w:rPr>
          <w:lang w:val="es-ES_tradnl"/>
        </w:rPr>
        <w:t>•</w:t>
      </w:r>
      <w:r>
        <w:rPr>
          <w:lang w:val="es-ES_tradnl"/>
        </w:rPr>
        <w:tab/>
        <w:t>a</w:t>
      </w:r>
      <w:r w:rsidRPr="00232153">
        <w:rPr>
          <w:lang w:val="es-ES_tradnl"/>
        </w:rPr>
        <w:t xml:space="preserve">utomatización del procesamiento de las solicitudes de los importadores para completar los procedimientos reglamentarios </w:t>
      </w:r>
      <w:r>
        <w:rPr>
          <w:lang w:val="es-ES_tradnl"/>
        </w:rPr>
        <w:t xml:space="preserve">definidos </w:t>
      </w:r>
      <w:r w:rsidRPr="00232153">
        <w:rPr>
          <w:lang w:val="es-ES_tradnl"/>
        </w:rPr>
        <w:t xml:space="preserve">para el registro y </w:t>
      </w:r>
      <w:r>
        <w:rPr>
          <w:lang w:val="es-ES_tradnl"/>
        </w:rPr>
        <w:t xml:space="preserve">la </w:t>
      </w:r>
      <w:r w:rsidRPr="00232153">
        <w:rPr>
          <w:lang w:val="es-ES_tradnl"/>
        </w:rPr>
        <w:t>utilizaci</w:t>
      </w:r>
      <w:r>
        <w:rPr>
          <w:lang w:val="es-ES_tradnl"/>
        </w:rPr>
        <w:t>ón de los equipos terminales en las redes de telecomunicaciones;</w:t>
      </w:r>
    </w:p>
    <w:p w14:paraId="76F28DF1" w14:textId="77777777" w:rsidR="006B1268" w:rsidRPr="00232153" w:rsidRDefault="006B1268" w:rsidP="00C142FB">
      <w:pPr>
        <w:pStyle w:val="enumlev1"/>
        <w:rPr>
          <w:lang w:val="es-ES_tradnl"/>
        </w:rPr>
      </w:pPr>
      <w:r w:rsidRPr="00C633DD">
        <w:rPr>
          <w:lang w:val="es-ES_tradnl"/>
        </w:rPr>
        <w:t>•</w:t>
      </w:r>
      <w:r>
        <w:rPr>
          <w:lang w:val="es-ES_tradnl"/>
        </w:rPr>
        <w:tab/>
        <w:t>prevención de la importación ilegal "gris" de terminales móviles en el territorio de Ucrania;</w:t>
      </w:r>
    </w:p>
    <w:p w14:paraId="523C5062" w14:textId="77777777" w:rsidR="006B1268" w:rsidRPr="00232153" w:rsidRDefault="006B1268" w:rsidP="00C142FB">
      <w:pPr>
        <w:pStyle w:val="enumlev1"/>
        <w:rPr>
          <w:lang w:val="es-ES_tradnl"/>
        </w:rPr>
      </w:pPr>
      <w:r w:rsidRPr="00C633DD">
        <w:rPr>
          <w:lang w:val="es-ES_tradnl"/>
        </w:rPr>
        <w:t>•</w:t>
      </w:r>
      <w:r>
        <w:rPr>
          <w:lang w:val="es-ES_tradnl"/>
        </w:rPr>
        <w:tab/>
        <w:t>l</w:t>
      </w:r>
      <w:r w:rsidRPr="00232153">
        <w:rPr>
          <w:lang w:val="es-ES_tradnl"/>
        </w:rPr>
        <w:t>ucha contra el robo de teléfonos móviles;</w:t>
      </w:r>
    </w:p>
    <w:p w14:paraId="6EE4A6ED" w14:textId="77777777" w:rsidR="006B1268" w:rsidRDefault="006B1268" w:rsidP="00C142FB">
      <w:pPr>
        <w:pStyle w:val="enumlev1"/>
        <w:rPr>
          <w:lang w:val="es-ES_tradnl"/>
        </w:rPr>
      </w:pPr>
      <w:r w:rsidRPr="00C633DD">
        <w:rPr>
          <w:lang w:val="es-ES_tradnl"/>
        </w:rPr>
        <w:t>•</w:t>
      </w:r>
      <w:r>
        <w:rPr>
          <w:lang w:val="es-ES_tradnl"/>
        </w:rPr>
        <w:tab/>
        <w:t>a</w:t>
      </w:r>
      <w:r w:rsidRPr="00232153">
        <w:rPr>
          <w:lang w:val="es-ES_tradnl"/>
        </w:rPr>
        <w:t xml:space="preserve">utomatización del proceso del UCRF e </w:t>
      </w:r>
      <w:r>
        <w:rPr>
          <w:lang w:val="es-ES_tradnl"/>
        </w:rPr>
        <w:t>incremento</w:t>
      </w:r>
      <w:r w:rsidRPr="00232153">
        <w:rPr>
          <w:lang w:val="es-ES_tradnl"/>
        </w:rPr>
        <w:t xml:space="preserve"> de la eficacia</w:t>
      </w:r>
      <w:r>
        <w:rPr>
          <w:lang w:val="es-ES_tradnl"/>
        </w:rPr>
        <w:t xml:space="preserve"> de las relaciones entre el UCRF y los actores del mercado de terminales;</w:t>
      </w:r>
    </w:p>
    <w:p w14:paraId="54E4BE71" w14:textId="77777777" w:rsidR="006B1268" w:rsidRPr="00232153" w:rsidRDefault="006B1268" w:rsidP="00C142FB">
      <w:pPr>
        <w:pStyle w:val="enumlev1"/>
        <w:rPr>
          <w:lang w:val="es-ES_tradnl"/>
        </w:rPr>
      </w:pPr>
      <w:r w:rsidRPr="00C633DD">
        <w:rPr>
          <w:lang w:val="es-ES_tradnl"/>
        </w:rPr>
        <w:t>•</w:t>
      </w:r>
      <w:r>
        <w:rPr>
          <w:lang w:val="es-ES_tradnl"/>
        </w:rPr>
        <w:tab/>
        <w:t>identificación de los números IMEI clonados y bloqueo de los terminales con números IMEI clonados.</w:t>
      </w:r>
    </w:p>
    <w:p w14:paraId="666AE810" w14:textId="77777777" w:rsidR="006B1268" w:rsidRPr="00A54F8D" w:rsidRDefault="006B1268" w:rsidP="00D16D8C">
      <w:pPr>
        <w:rPr>
          <w:lang w:val="es-ES_tradnl"/>
        </w:rPr>
      </w:pPr>
      <w:r w:rsidRPr="00A54F8D">
        <w:rPr>
          <w:lang w:val="es-ES_tradnl"/>
        </w:rPr>
        <w:t xml:space="preserve">La sección </w:t>
      </w:r>
      <w:r>
        <w:rPr>
          <w:spacing w:val="-3"/>
          <w:lang w:val="es-ES_tradnl"/>
        </w:rPr>
        <w:t>A.1.11.2</w:t>
      </w:r>
      <w:r w:rsidRPr="00A54F8D">
        <w:rPr>
          <w:spacing w:val="-3"/>
          <w:lang w:val="es-ES_tradnl"/>
        </w:rPr>
        <w:t xml:space="preserve"> contiene información detallada sobre el AISMTRU:</w:t>
      </w:r>
    </w:p>
    <w:p w14:paraId="2E55A70C" w14:textId="77777777" w:rsidR="006B1268" w:rsidRDefault="006B1268" w:rsidP="00C142FB">
      <w:pPr>
        <w:rPr>
          <w:bCs/>
          <w:lang w:val="es-ES_tradnl"/>
        </w:rPr>
      </w:pPr>
      <w:r w:rsidRPr="00A54F8D">
        <w:rPr>
          <w:bCs/>
          <w:lang w:val="es-ES_tradnl"/>
        </w:rPr>
        <w:t>La legislación</w:t>
      </w:r>
      <w:r>
        <w:rPr>
          <w:bCs/>
          <w:lang w:val="es-ES_tradnl"/>
        </w:rPr>
        <w:t xml:space="preserve"> </w:t>
      </w:r>
      <w:r w:rsidRPr="00A54F8D">
        <w:rPr>
          <w:bCs/>
          <w:lang w:val="es-ES_tradnl"/>
        </w:rPr>
        <w:t>de Ucrania prohíbe la venta de terminales m</w:t>
      </w:r>
      <w:r>
        <w:rPr>
          <w:bCs/>
          <w:lang w:val="es-ES_tradnl"/>
        </w:rPr>
        <w:t>óviles con números IMEI no registrados en el AISMTRU. El componente central del AISMTRU es la base de datos general, que mantiene las listas "blancas", "grises" y "negras" de los números IMEI de los terminales móviles. Cuando se realiza la conexión y se registra un terminal por primera vez en la red de uno de los operadores móviles, éste reenvía automáticamente el número IMEI del terminal a la base de datos central. AISMTRU comprueba los números que no están presentes en la lista "blanca", identifica los teléfonos móviles falsificados e incorpora el correspondiente número IMEI a la lista "gris". Todos los propietarios de los respectivos terminales reciben un aviso por SMS y deben confirmar el origen legal de su terminal en los 90 días siguientes a su entrada en la lista "gris".</w:t>
      </w:r>
    </w:p>
    <w:p w14:paraId="26F64D27" w14:textId="77777777" w:rsidR="006B1268" w:rsidRPr="00E44B1F" w:rsidRDefault="006B1268" w:rsidP="00C142FB">
      <w:pPr>
        <w:rPr>
          <w:bCs/>
          <w:lang w:val="es-ES_tradnl"/>
        </w:rPr>
      </w:pPr>
      <w:r>
        <w:rPr>
          <w:bCs/>
          <w:lang w:val="es-ES_tradnl"/>
        </w:rPr>
        <w:t>Los números</w:t>
      </w:r>
      <w:r w:rsidRPr="00E44B1F">
        <w:rPr>
          <w:bCs/>
          <w:lang w:val="es-ES_tradnl"/>
        </w:rPr>
        <w:t xml:space="preserve"> IMEI de los terminales robados se incorpora</w:t>
      </w:r>
      <w:r>
        <w:rPr>
          <w:bCs/>
          <w:lang w:val="es-ES_tradnl"/>
        </w:rPr>
        <w:t>n</w:t>
      </w:r>
      <w:r w:rsidRPr="00E44B1F">
        <w:rPr>
          <w:bCs/>
          <w:lang w:val="es-ES_tradnl"/>
        </w:rPr>
        <w:t xml:space="preserve"> a la lista </w:t>
      </w:r>
      <w:r>
        <w:rPr>
          <w:bCs/>
          <w:lang w:val="es-ES_tradnl"/>
        </w:rPr>
        <w:t>"</w:t>
      </w:r>
      <w:r w:rsidRPr="00E44B1F">
        <w:rPr>
          <w:bCs/>
          <w:lang w:val="es-ES_tradnl"/>
        </w:rPr>
        <w:t>negra</w:t>
      </w:r>
      <w:r>
        <w:rPr>
          <w:bCs/>
          <w:lang w:val="es-ES_tradnl"/>
        </w:rPr>
        <w:t>"</w:t>
      </w:r>
      <w:r w:rsidRPr="00E44B1F">
        <w:rPr>
          <w:bCs/>
          <w:lang w:val="es-ES_tradnl"/>
        </w:rPr>
        <w:t xml:space="preserve"> bajo petici</w:t>
      </w:r>
      <w:r>
        <w:rPr>
          <w:bCs/>
          <w:lang w:val="es-ES_tradnl"/>
        </w:rPr>
        <w:t>ón legal de un organismo y hacen inútil el robo de terminales. El mismo procedimiento se sigue en el caso del bloqueo del terminal a petición de los propietarios de teléfonos perdidos. Los operadores de las redes no prestan servicio a los terminales de la lista "negra".</w:t>
      </w:r>
    </w:p>
    <w:p w14:paraId="51FAAA2F" w14:textId="77777777" w:rsidR="006B1268" w:rsidRPr="00E44B1F" w:rsidRDefault="006B1268" w:rsidP="00C142FB">
      <w:pPr>
        <w:rPr>
          <w:bCs/>
          <w:lang w:val="es-ES_tradnl"/>
        </w:rPr>
      </w:pPr>
      <w:r>
        <w:rPr>
          <w:bCs/>
          <w:lang w:val="es-ES_tradnl"/>
        </w:rPr>
        <w:t xml:space="preserve">El objetivo de proteger al consumidor se consigue con la implementación de la herramienta para la verificación de la legalidad de un terminal móvil antes de su compra. Cualquier cliente puede verificar el estado del número IMEI del terminal, enviando un SMS con el IMEI al número 307 de cobertura nacional o utilizando el portal de Internet del UCRF. El tiempo requerido para la comprobación no supera los diez segundos. </w:t>
      </w:r>
    </w:p>
    <w:p w14:paraId="185F9ED3" w14:textId="77777777" w:rsidR="006B1268" w:rsidRPr="00DD1116" w:rsidRDefault="006B1268" w:rsidP="00C142FB">
      <w:pPr>
        <w:rPr>
          <w:lang w:val="es-ES_tradnl"/>
        </w:rPr>
      </w:pPr>
      <w:r>
        <w:rPr>
          <w:lang w:val="es-ES_tradnl"/>
        </w:rPr>
        <w:t>L</w:t>
      </w:r>
      <w:r w:rsidRPr="00D92585">
        <w:rPr>
          <w:lang w:val="es-ES_tradnl"/>
        </w:rPr>
        <w:t>a puesta en funcionamiento del AISMTRU</w:t>
      </w:r>
      <w:r>
        <w:rPr>
          <w:lang w:val="es-ES_tradnl"/>
        </w:rPr>
        <w:t xml:space="preserve"> asegura un mercado legal de terminales y ha reducido de manera espectacular la importación "gris" (ilegal) de terminales móviles en Ucrania. La cuota de los terminales móviles importados ilegalmente se ha reducido desde un 93-95% en 2008 a un 5</w:t>
      </w:r>
      <w:r>
        <w:rPr>
          <w:lang w:val="es-ES_tradnl"/>
        </w:rPr>
        <w:noBreakHyphen/>
        <w:t xml:space="preserve">7% en 2010 y los años siguientes. En Ucrania, un ingreso de más de 500 millones USD se ha transferido al presupuesto del estado en el periodo 2010-2012, de las tasas de importación de los </w:t>
      </w:r>
      <w:r>
        <w:rPr>
          <w:lang w:val="es-ES_tradnl"/>
        </w:rPr>
        <w:lastRenderedPageBreak/>
        <w:t>terminales móviles, comparados con 30 millones USD aproximadamente durante los tres años anteriores. El mercado ucraniano de terminales móviles está compuesto en su mayoría por terminales móviles que cumplen con las características técnicas requeridas para su utilización en Ucrania.</w:t>
      </w:r>
    </w:p>
    <w:p w14:paraId="275CBEA6" w14:textId="4BBE1A61" w:rsidR="006B1268" w:rsidRDefault="006B1268" w:rsidP="00C142FB">
      <w:pPr>
        <w:pStyle w:val="Heading3"/>
        <w:tabs>
          <w:tab w:val="clear" w:pos="1191"/>
          <w:tab w:val="left" w:pos="1418"/>
        </w:tabs>
        <w:ind w:left="1134" w:hanging="1134"/>
        <w:rPr>
          <w:lang w:val="es-ES_tradnl"/>
        </w:rPr>
      </w:pPr>
      <w:bookmarkStart w:id="378" w:name="_Toc447202581"/>
      <w:r w:rsidRPr="006829F0">
        <w:rPr>
          <w:lang w:val="es-ES_tradnl"/>
        </w:rPr>
        <w:t>A.1.11.2</w:t>
      </w:r>
      <w:r>
        <w:rPr>
          <w:lang w:val="es-ES_tradnl"/>
        </w:rPr>
        <w:tab/>
      </w:r>
      <w:r w:rsidRPr="006829F0">
        <w:rPr>
          <w:lang w:val="es-ES_tradnl"/>
        </w:rPr>
        <w:t>Sistema de información automatizado para el registro de los terminales móviles en Ucrania (AISMTRU)</w:t>
      </w:r>
      <w:bookmarkEnd w:id="378"/>
      <w:r w:rsidRPr="006829F0">
        <w:rPr>
          <w:lang w:val="es-ES_tradnl"/>
        </w:rPr>
        <w:t xml:space="preserve"> </w:t>
      </w:r>
    </w:p>
    <w:p w14:paraId="2C0AB069" w14:textId="77777777" w:rsidR="006B1268" w:rsidRPr="00DD1116" w:rsidRDefault="006B1268" w:rsidP="00C142FB">
      <w:pPr>
        <w:pStyle w:val="Heading4"/>
        <w:tabs>
          <w:tab w:val="clear" w:pos="1021"/>
          <w:tab w:val="clear" w:pos="1191"/>
          <w:tab w:val="left" w:pos="1276"/>
        </w:tabs>
        <w:ind w:left="1134" w:hanging="1134"/>
        <w:rPr>
          <w:lang w:val="es-ES_tradnl"/>
        </w:rPr>
      </w:pPr>
      <w:r w:rsidRPr="00DD1116">
        <w:rPr>
          <w:lang w:val="es-ES_tradnl"/>
        </w:rPr>
        <w:t>A.1.11.2.1</w:t>
      </w:r>
      <w:r>
        <w:rPr>
          <w:lang w:val="es-ES_tradnl"/>
        </w:rPr>
        <w:tab/>
      </w:r>
      <w:r w:rsidRPr="00DD1116">
        <w:rPr>
          <w:lang w:val="es-ES_tradnl"/>
        </w:rPr>
        <w:t>Antecedentes</w:t>
      </w:r>
    </w:p>
    <w:p w14:paraId="311E7846" w14:textId="77777777" w:rsidR="006B1268" w:rsidRPr="006829F0" w:rsidRDefault="006B1268" w:rsidP="00C142FB">
      <w:pPr>
        <w:rPr>
          <w:lang w:val="es-ES_tradnl"/>
        </w:rPr>
      </w:pPr>
      <w:r w:rsidRPr="006829F0">
        <w:rPr>
          <w:lang w:val="es-ES_tradnl"/>
        </w:rPr>
        <w:t xml:space="preserve">El rápido desarrollo de los servicios de comunicaciones móviles (celulares) prestados por los operadores </w:t>
      </w:r>
      <w:r>
        <w:rPr>
          <w:lang w:val="es-ES_tradnl"/>
        </w:rPr>
        <w:t xml:space="preserve">y la prevalencia significativa de este tipo de servicios de telecomunicaciones en Ucrania, han llevado al rápido crecimiento del mercado de los terminales móviles y, en consecuencia, a un incremento de las importaciones de estos productos. </w:t>
      </w:r>
    </w:p>
    <w:p w14:paraId="78F8DDE2" w14:textId="77777777" w:rsidR="006B1268" w:rsidRPr="004A07A7" w:rsidRDefault="006B1268" w:rsidP="00C142FB">
      <w:pPr>
        <w:rPr>
          <w:lang w:val="es-ES_tradnl"/>
        </w:rPr>
      </w:pPr>
      <w:r w:rsidRPr="004A07A7">
        <w:rPr>
          <w:lang w:val="es-ES_tradnl"/>
        </w:rPr>
        <w:t xml:space="preserve">Un </w:t>
      </w:r>
      <w:r>
        <w:rPr>
          <w:lang w:val="es-ES_tradnl"/>
        </w:rPr>
        <w:t>"</w:t>
      </w:r>
      <w:r w:rsidRPr="004A07A7">
        <w:rPr>
          <w:lang w:val="es-ES_tradnl"/>
        </w:rPr>
        <w:t>terminal móvil</w:t>
      </w:r>
      <w:r>
        <w:rPr>
          <w:lang w:val="es-ES_tradnl"/>
        </w:rPr>
        <w:t>"</w:t>
      </w:r>
      <w:r w:rsidRPr="004A07A7">
        <w:rPr>
          <w:lang w:val="es-ES_tradnl"/>
        </w:rPr>
        <w:t xml:space="preserve"> significa un tel</w:t>
      </w:r>
      <w:r>
        <w:rPr>
          <w:lang w:val="es-ES_tradnl"/>
        </w:rPr>
        <w:t>éfono móvil o cualquier otro equipo de usuario final de una red de telecomunicaciones, que tenga un número internacional de identidad IMEI y pueda ser identificado en una red con la utilización de ese número.</w:t>
      </w:r>
    </w:p>
    <w:p w14:paraId="7E6519BD" w14:textId="77777777" w:rsidR="006B1268" w:rsidRPr="004A07A7" w:rsidRDefault="006B1268" w:rsidP="00C142FB">
      <w:pPr>
        <w:rPr>
          <w:lang w:val="es-ES_tradnl"/>
        </w:rPr>
      </w:pPr>
      <w:r w:rsidRPr="004A07A7">
        <w:rPr>
          <w:lang w:val="es-ES_tradnl"/>
        </w:rPr>
        <w:t xml:space="preserve">En 2008, existía una situación crítica en el </w:t>
      </w:r>
      <w:r>
        <w:rPr>
          <w:lang w:val="es-ES_tradnl"/>
        </w:rPr>
        <w:t>m</w:t>
      </w:r>
      <w:r w:rsidRPr="004A07A7">
        <w:rPr>
          <w:lang w:val="es-ES_tradnl"/>
        </w:rPr>
        <w:t>ercado de los terminales m</w:t>
      </w:r>
      <w:r>
        <w:rPr>
          <w:lang w:val="es-ES_tradnl"/>
        </w:rPr>
        <w:t>óviles de Ucrania: un 93</w:t>
      </w:r>
      <w:r>
        <w:rPr>
          <w:lang w:val="es-ES_tradnl"/>
        </w:rPr>
        <w:noBreakHyphen/>
        <w:t xml:space="preserve">95% de los productos del mercado eran importaciones "grises" o, más sencillamente, contrabando. Además, una mayoría de estos productos eran copias de teléfonos móviles de marca, de origen desconocido y cuyas características técnicas y de seguridad no cumplían las normas ucranianas. Varias medidas regulatorias del mercado no consiguieron cambiar esta situación y no se fabricaban terminales en Ucrania. </w:t>
      </w:r>
    </w:p>
    <w:p w14:paraId="07996492" w14:textId="77777777" w:rsidR="006B1268" w:rsidRPr="00BB4831" w:rsidRDefault="006B1268" w:rsidP="00C142FB">
      <w:pPr>
        <w:rPr>
          <w:lang w:val="es-ES_tradnl"/>
        </w:rPr>
      </w:pPr>
      <w:r w:rsidRPr="00BB4831">
        <w:rPr>
          <w:lang w:val="es-ES_tradnl"/>
        </w:rPr>
        <w:t xml:space="preserve">Fue entonces cuando </w:t>
      </w:r>
      <w:r>
        <w:rPr>
          <w:lang w:val="es-ES_tradnl"/>
        </w:rPr>
        <w:t>l</w:t>
      </w:r>
      <w:r w:rsidRPr="00BB4831">
        <w:rPr>
          <w:lang w:val="es-ES_tradnl"/>
        </w:rPr>
        <w:t xml:space="preserve">a Ley </w:t>
      </w:r>
      <w:r>
        <w:rPr>
          <w:lang w:val="es-ES_tradnl"/>
        </w:rPr>
        <w:t>"</w:t>
      </w:r>
      <w:r w:rsidRPr="00BB4831">
        <w:rPr>
          <w:lang w:val="es-ES_tradnl"/>
        </w:rPr>
        <w:t>sobre los recursos de radiofrecuencia de Ucrania</w:t>
      </w:r>
      <w:r>
        <w:rPr>
          <w:lang w:val="es-ES_tradnl"/>
        </w:rPr>
        <w:t>"</w:t>
      </w:r>
      <w:r w:rsidRPr="00BB4831">
        <w:rPr>
          <w:lang w:val="es-ES_tradnl"/>
        </w:rPr>
        <w:t xml:space="preserve"> encargó a</w:t>
      </w:r>
      <w:r>
        <w:rPr>
          <w:lang w:val="es-ES_tradnl"/>
        </w:rPr>
        <w:t>l organismo regulador independiente, la</w:t>
      </w:r>
      <w:r w:rsidRPr="00BB4831">
        <w:rPr>
          <w:lang w:val="es-ES_tradnl"/>
        </w:rPr>
        <w:t xml:space="preserve"> Comisión Nacional para la reglamentación estatal de las comunicaciones e informatización (NCCIR)</w:t>
      </w:r>
      <w:r>
        <w:rPr>
          <w:lang w:val="es-ES_tradnl"/>
        </w:rPr>
        <w:t>,</w:t>
      </w:r>
      <w:r w:rsidRPr="00BB4831">
        <w:rPr>
          <w:lang w:val="es-ES_tradnl"/>
        </w:rPr>
        <w:t xml:space="preserve"> imponer </w:t>
      </w:r>
      <w:r>
        <w:rPr>
          <w:lang w:val="es-ES_tradnl"/>
        </w:rPr>
        <w:t xml:space="preserve">nuevas </w:t>
      </w:r>
      <w:r w:rsidRPr="00BB4831">
        <w:rPr>
          <w:lang w:val="es-ES_tradnl"/>
        </w:rPr>
        <w:t xml:space="preserve">medidas para proteger el </w:t>
      </w:r>
      <w:r>
        <w:rPr>
          <w:lang w:val="es-ES_tradnl"/>
        </w:rPr>
        <w:t>m</w:t>
      </w:r>
      <w:r w:rsidRPr="00BB4831">
        <w:rPr>
          <w:lang w:val="es-ES_tradnl"/>
        </w:rPr>
        <w:t xml:space="preserve">ercado </w:t>
      </w:r>
      <w:r>
        <w:rPr>
          <w:lang w:val="es-ES_tradnl"/>
        </w:rPr>
        <w:t>ucraniano</w:t>
      </w:r>
      <w:r w:rsidRPr="00BB4831">
        <w:rPr>
          <w:lang w:val="es-ES_tradnl"/>
        </w:rPr>
        <w:t xml:space="preserve"> contra los terminales móviles </w:t>
      </w:r>
      <w:r>
        <w:rPr>
          <w:lang w:val="es-ES_tradnl"/>
        </w:rPr>
        <w:t>de baja calidad, no autorizados</w:t>
      </w:r>
      <w:r w:rsidRPr="00BB4831">
        <w:rPr>
          <w:lang w:val="es-ES_tradnl"/>
        </w:rPr>
        <w:t xml:space="preserve"> o importados ilegalmente. </w:t>
      </w:r>
    </w:p>
    <w:p w14:paraId="22B3E0B9" w14:textId="77777777" w:rsidR="006B1268" w:rsidRPr="00BB4831" w:rsidRDefault="006B1268" w:rsidP="00C142FB">
      <w:pPr>
        <w:pStyle w:val="Heading4"/>
        <w:tabs>
          <w:tab w:val="clear" w:pos="1021"/>
          <w:tab w:val="clear" w:pos="1191"/>
          <w:tab w:val="left" w:pos="1276"/>
        </w:tabs>
        <w:ind w:left="1134" w:hanging="1134"/>
        <w:rPr>
          <w:lang w:val="es-ES_tradnl"/>
        </w:rPr>
      </w:pPr>
      <w:r w:rsidRPr="00BB4831">
        <w:rPr>
          <w:lang w:val="es-ES_tradnl"/>
        </w:rPr>
        <w:t>A.1.11.2.2</w:t>
      </w:r>
      <w:r>
        <w:rPr>
          <w:lang w:val="es-ES_tradnl"/>
        </w:rPr>
        <w:tab/>
      </w:r>
      <w:r w:rsidRPr="00BB4831">
        <w:rPr>
          <w:lang w:val="es-ES_tradnl"/>
        </w:rPr>
        <w:t xml:space="preserve">Objetivos </w:t>
      </w:r>
    </w:p>
    <w:p w14:paraId="69C0EF13" w14:textId="77777777" w:rsidR="006B1268" w:rsidRPr="00BB4831" w:rsidRDefault="006B1268" w:rsidP="00C142FB">
      <w:pPr>
        <w:rPr>
          <w:lang w:val="es-ES_tradnl"/>
        </w:rPr>
      </w:pPr>
      <w:r w:rsidRPr="00BB4831">
        <w:rPr>
          <w:lang w:val="es-ES_tradnl"/>
        </w:rPr>
        <w:t>Para controlar la importaci</w:t>
      </w:r>
      <w:r>
        <w:rPr>
          <w:lang w:val="es-ES_tradnl"/>
        </w:rPr>
        <w:t xml:space="preserve">ón, venta y utilización de los terminales, la NCCIR definió los siguientes objetivos: </w:t>
      </w:r>
    </w:p>
    <w:p w14:paraId="29A08BE3" w14:textId="77777777" w:rsidR="006B1268" w:rsidRPr="00BB4831" w:rsidRDefault="006B1268" w:rsidP="00C142FB">
      <w:pPr>
        <w:pStyle w:val="enumlev1"/>
        <w:rPr>
          <w:lang w:val="es-ES_tradnl"/>
        </w:rPr>
      </w:pPr>
      <w:r>
        <w:rPr>
          <w:lang w:val="es-ES_tradnl"/>
        </w:rPr>
        <w:t>1</w:t>
      </w:r>
      <w:r w:rsidRPr="00BB4831">
        <w:rPr>
          <w:lang w:val="es-ES_tradnl"/>
        </w:rPr>
        <w:t>)</w:t>
      </w:r>
      <w:r>
        <w:rPr>
          <w:lang w:val="es-ES_tradnl"/>
        </w:rPr>
        <w:tab/>
      </w:r>
      <w:r w:rsidRPr="00BB4831">
        <w:rPr>
          <w:lang w:val="es-ES_tradnl"/>
        </w:rPr>
        <w:t>Proteger el mercado ucraniano contra los terminales móviles de baja calidad, que pueden ser no autorizados o peligrosos para la salud.</w:t>
      </w:r>
    </w:p>
    <w:p w14:paraId="0F235118" w14:textId="77777777" w:rsidR="006B1268" w:rsidRPr="00BB4831" w:rsidRDefault="006B1268" w:rsidP="00C142FB">
      <w:pPr>
        <w:pStyle w:val="enumlev1"/>
        <w:rPr>
          <w:lang w:val="es-ES_tradnl"/>
        </w:rPr>
      </w:pPr>
      <w:r w:rsidRPr="00BB4831">
        <w:rPr>
          <w:lang w:val="es-ES_tradnl"/>
        </w:rPr>
        <w:t>2)</w:t>
      </w:r>
      <w:r>
        <w:rPr>
          <w:lang w:val="es-ES_tradnl"/>
        </w:rPr>
        <w:tab/>
      </w:r>
      <w:r w:rsidRPr="00BB4831">
        <w:rPr>
          <w:lang w:val="es-ES_tradnl"/>
        </w:rPr>
        <w:t>Asegurar la calidad adecuada de los servicios m</w:t>
      </w:r>
      <w:r>
        <w:rPr>
          <w:lang w:val="es-ES_tradnl"/>
        </w:rPr>
        <w:t>óviles de comunicaciones.</w:t>
      </w:r>
    </w:p>
    <w:p w14:paraId="58EAC016" w14:textId="77777777" w:rsidR="006B1268" w:rsidRPr="00DD1116" w:rsidRDefault="006B1268" w:rsidP="00C142FB">
      <w:pPr>
        <w:pStyle w:val="enumlev1"/>
        <w:rPr>
          <w:lang w:val="es-ES_tradnl"/>
        </w:rPr>
      </w:pPr>
      <w:r w:rsidRPr="00BB4831">
        <w:rPr>
          <w:lang w:val="es-ES_tradnl"/>
        </w:rPr>
        <w:t>3)</w:t>
      </w:r>
      <w:r>
        <w:rPr>
          <w:lang w:val="es-ES_tradnl"/>
        </w:rPr>
        <w:tab/>
      </w:r>
      <w:r w:rsidRPr="00BB4831">
        <w:rPr>
          <w:lang w:val="es-ES_tradnl"/>
        </w:rPr>
        <w:t>Resolver el problema del robo de teléfonos móviles,</w:t>
      </w:r>
      <w:r>
        <w:rPr>
          <w:lang w:val="es-ES_tradnl"/>
        </w:rPr>
        <w:t xml:space="preserve"> especialmente entre los niños.</w:t>
      </w:r>
    </w:p>
    <w:p w14:paraId="40D7F8F0" w14:textId="77777777" w:rsidR="006B1268" w:rsidRPr="00DD1116" w:rsidRDefault="006B1268" w:rsidP="00C142FB">
      <w:pPr>
        <w:pStyle w:val="enumlev1"/>
        <w:rPr>
          <w:lang w:val="es-ES_tradnl"/>
        </w:rPr>
      </w:pPr>
      <w:r w:rsidRPr="001F5B2B">
        <w:rPr>
          <w:lang w:val="es-ES_tradnl"/>
        </w:rPr>
        <w:t>4)</w:t>
      </w:r>
      <w:r>
        <w:rPr>
          <w:lang w:val="es-ES_tradnl"/>
        </w:rPr>
        <w:tab/>
      </w:r>
      <w:r w:rsidRPr="001F5B2B">
        <w:rPr>
          <w:lang w:val="es-ES_tradnl"/>
        </w:rPr>
        <w:t xml:space="preserve">Combatir la importación ilegal y la </w:t>
      </w:r>
      <w:r>
        <w:rPr>
          <w:lang w:val="es-ES_tradnl"/>
        </w:rPr>
        <w:t>utilización</w:t>
      </w:r>
      <w:r w:rsidRPr="001F5B2B">
        <w:rPr>
          <w:lang w:val="es-ES_tradnl"/>
        </w:rPr>
        <w:t xml:space="preserve"> de terminales móviles en el </w:t>
      </w:r>
      <w:r>
        <w:rPr>
          <w:lang w:val="es-ES_tradnl"/>
        </w:rPr>
        <w:t>m</w:t>
      </w:r>
      <w:r w:rsidRPr="001F5B2B">
        <w:rPr>
          <w:lang w:val="es-ES_tradnl"/>
        </w:rPr>
        <w:t xml:space="preserve">ercado ucraniano. </w:t>
      </w:r>
    </w:p>
    <w:p w14:paraId="3875ED13" w14:textId="77777777" w:rsidR="006B1268" w:rsidRPr="001F5B2B" w:rsidRDefault="006B1268" w:rsidP="00C142FB">
      <w:pPr>
        <w:rPr>
          <w:lang w:val="es-ES_tradnl"/>
        </w:rPr>
      </w:pPr>
      <w:r>
        <w:rPr>
          <w:lang w:val="es-ES_tradnl"/>
        </w:rPr>
        <w:t>S</w:t>
      </w:r>
      <w:r w:rsidRPr="001F5B2B">
        <w:rPr>
          <w:lang w:val="es-ES_tradnl"/>
        </w:rPr>
        <w:t xml:space="preserve">e </w:t>
      </w:r>
      <w:r>
        <w:rPr>
          <w:lang w:val="es-ES_tradnl"/>
        </w:rPr>
        <w:t>definieron</w:t>
      </w:r>
      <w:r w:rsidRPr="001F5B2B">
        <w:rPr>
          <w:lang w:val="es-ES_tradnl"/>
        </w:rPr>
        <w:t xml:space="preserve"> los procedimientos para la importaci</w:t>
      </w:r>
      <w:r>
        <w:rPr>
          <w:lang w:val="es-ES_tradnl"/>
        </w:rPr>
        <w:t xml:space="preserve">ón y utilización de equipos móviles considerando los objetivos anteriores. Estos procedimientos se han incorporado a los siguientes documentos oficiales: el procedimiento para la importación de equipos electrónicos de radiofrecuencia y dispositivos radiantes y el procedimiento para la utilización de los equipos electrónicos y dispositivos radiantes en Ucrania. </w:t>
      </w:r>
    </w:p>
    <w:p w14:paraId="1F14BC3C" w14:textId="77777777" w:rsidR="006B1268" w:rsidRPr="00251BDC" w:rsidRDefault="006B1268" w:rsidP="00C142FB">
      <w:pPr>
        <w:pStyle w:val="Heading4"/>
        <w:tabs>
          <w:tab w:val="clear" w:pos="1021"/>
          <w:tab w:val="clear" w:pos="1191"/>
          <w:tab w:val="left" w:pos="1276"/>
        </w:tabs>
        <w:ind w:left="1134" w:hanging="1134"/>
        <w:rPr>
          <w:lang w:val="es-ES_tradnl"/>
        </w:rPr>
      </w:pPr>
      <w:r w:rsidRPr="00251BDC">
        <w:rPr>
          <w:lang w:val="es-ES_tradnl"/>
        </w:rPr>
        <w:t>A.1.11.2.3</w:t>
      </w:r>
      <w:r>
        <w:rPr>
          <w:lang w:val="es-ES_tradnl"/>
        </w:rPr>
        <w:tab/>
      </w:r>
      <w:r w:rsidRPr="00251BDC">
        <w:rPr>
          <w:lang w:val="es-ES_tradnl"/>
        </w:rPr>
        <w:t xml:space="preserve">Procedimientos de importación </w:t>
      </w:r>
    </w:p>
    <w:p w14:paraId="79860476" w14:textId="77777777" w:rsidR="006B1268" w:rsidRPr="00DA0924" w:rsidRDefault="006B1268" w:rsidP="00C142FB">
      <w:pPr>
        <w:rPr>
          <w:lang w:val="es-ES_tradnl"/>
        </w:rPr>
      </w:pPr>
      <w:r>
        <w:rPr>
          <w:lang w:val="es-ES_tradnl"/>
        </w:rPr>
        <w:t>Las autoridades aduaneras controlan l</w:t>
      </w:r>
      <w:r w:rsidRPr="00DA0924">
        <w:rPr>
          <w:lang w:val="es-ES_tradnl"/>
        </w:rPr>
        <w:t>a importaci</w:t>
      </w:r>
      <w:r>
        <w:rPr>
          <w:lang w:val="es-ES_tradnl"/>
        </w:rPr>
        <w:t>ón de los equipos de radiofrecuencia con los siguientes requisitos:</w:t>
      </w:r>
    </w:p>
    <w:p w14:paraId="25662BB0" w14:textId="77777777" w:rsidR="006B1268" w:rsidRDefault="006B1268" w:rsidP="00C142FB">
      <w:pPr>
        <w:pStyle w:val="enumlev1"/>
        <w:rPr>
          <w:lang w:val="es-ES_tradnl"/>
        </w:rPr>
      </w:pPr>
      <w:r w:rsidRPr="00251BDC">
        <w:rPr>
          <w:lang w:val="es-ES_tradnl"/>
        </w:rPr>
        <w:t>•</w:t>
      </w:r>
      <w:r>
        <w:rPr>
          <w:lang w:val="es-ES_tradnl"/>
        </w:rPr>
        <w:tab/>
      </w:r>
      <w:r w:rsidRPr="00DA0924">
        <w:rPr>
          <w:lang w:val="es-ES_tradnl"/>
        </w:rPr>
        <w:t>disponibilidad de un documento sobre la conformidad de los equipos de radiocomunicaciones con los reglamentos t</w:t>
      </w:r>
      <w:r>
        <w:rPr>
          <w:lang w:val="es-ES_tradnl"/>
        </w:rPr>
        <w:t>écnicos;</w:t>
      </w:r>
    </w:p>
    <w:p w14:paraId="5BA6CC7D" w14:textId="77777777" w:rsidR="006B1268" w:rsidRDefault="006B1268" w:rsidP="00C142FB">
      <w:pPr>
        <w:pStyle w:val="enumlev1"/>
        <w:rPr>
          <w:lang w:val="es-ES_tradnl"/>
        </w:rPr>
      </w:pPr>
      <w:r w:rsidRPr="00251BDC">
        <w:rPr>
          <w:lang w:val="es-ES_tradnl"/>
        </w:rPr>
        <w:lastRenderedPageBreak/>
        <w:t>•</w:t>
      </w:r>
      <w:r>
        <w:rPr>
          <w:lang w:val="es-ES_tradnl"/>
        </w:rPr>
        <w:tab/>
        <w:t>conformidad con el Registro de equipos electrónicos de radiofrecuencia y dispositivos radiantes, autorizados para su utilización en Ucrania en las bandas de frecuencias de uso común;</w:t>
      </w:r>
    </w:p>
    <w:p w14:paraId="28FFB12D" w14:textId="77777777" w:rsidR="006B1268" w:rsidRPr="00DA0924" w:rsidRDefault="006B1268" w:rsidP="00C142FB">
      <w:pPr>
        <w:pStyle w:val="enumlev1"/>
        <w:rPr>
          <w:lang w:val="es-ES_tradnl"/>
        </w:rPr>
      </w:pPr>
      <w:r w:rsidRPr="00251BDC">
        <w:rPr>
          <w:lang w:val="es-ES_tradnl"/>
        </w:rPr>
        <w:t>•</w:t>
      </w:r>
      <w:r>
        <w:rPr>
          <w:lang w:val="es-ES_tradnl"/>
        </w:rPr>
        <w:tab/>
        <w:t>ausencia del Registro de equipos electrónicos de radiofrecuencia y dispositivos radiantes, cuya utilización se ha prohibido en Ucrania en las bandas de uso común.</w:t>
      </w:r>
    </w:p>
    <w:p w14:paraId="743CD60C" w14:textId="77777777" w:rsidR="006B1268" w:rsidRPr="00A63349" w:rsidRDefault="006B1268" w:rsidP="00C142FB">
      <w:pPr>
        <w:rPr>
          <w:lang w:val="es-ES_tradnl"/>
        </w:rPr>
      </w:pPr>
      <w:r w:rsidRPr="00A63349">
        <w:rPr>
          <w:lang w:val="es-ES_tradnl"/>
        </w:rPr>
        <w:t xml:space="preserve">Los números IMEI, </w:t>
      </w:r>
      <w:r>
        <w:rPr>
          <w:lang w:val="es-ES_tradnl"/>
        </w:rPr>
        <w:t xml:space="preserve">comunicados por el importador a el UCRF, se procesan e introducen en la "lista blanca" de la base de datos general de números IMEI. Para el registro de los identificadores internacionales de los equipos terminales importados legalmente en Ucrania, el Servicio estatal de aduanas de Ucrania suministra a el UCRF, diariamente, el extracto de las declaraciones de aduanas (en formato electrónico) de las importaciones de material electrónico de radiofrecuencia. </w:t>
      </w:r>
    </w:p>
    <w:p w14:paraId="5CEC8E3B" w14:textId="77777777" w:rsidR="006B1268" w:rsidRDefault="006B1268" w:rsidP="00C142FB">
      <w:pPr>
        <w:rPr>
          <w:lang w:val="es-ES_tradnl"/>
        </w:rPr>
      </w:pPr>
      <w:r>
        <w:rPr>
          <w:lang w:val="es-ES_tradnl"/>
        </w:rPr>
        <w:t>E</w:t>
      </w:r>
      <w:r w:rsidRPr="00A54440">
        <w:rPr>
          <w:lang w:val="es-ES_tradnl"/>
        </w:rPr>
        <w:t xml:space="preserve">l Sistema de información automatizado para el registro de los terminales móviles en Ucrania (AISMTRU) </w:t>
      </w:r>
      <w:r>
        <w:rPr>
          <w:lang w:val="es-ES_tradnl"/>
        </w:rPr>
        <w:t xml:space="preserve">fue creado y </w:t>
      </w:r>
      <w:r w:rsidRPr="00A54440">
        <w:rPr>
          <w:lang w:val="es-ES_tradnl"/>
        </w:rPr>
        <w:t>puesto en funcionamiento por el Centro estatal de frecuencias de radiofrecuencia (UCRF) e</w:t>
      </w:r>
      <w:r>
        <w:rPr>
          <w:lang w:val="es-ES_tradnl"/>
        </w:rPr>
        <w:t xml:space="preserve">l 1 de julio de </w:t>
      </w:r>
      <w:r w:rsidRPr="00A54440">
        <w:rPr>
          <w:lang w:val="es-ES_tradnl"/>
        </w:rPr>
        <w:t>2009</w:t>
      </w:r>
      <w:r>
        <w:rPr>
          <w:lang w:val="es-ES_tradnl"/>
        </w:rPr>
        <w:t>, como implementación técnica del procedimiento reglamentario de importación.</w:t>
      </w:r>
    </w:p>
    <w:p w14:paraId="7A1961A5" w14:textId="77777777" w:rsidR="006B1268" w:rsidRPr="00A54440" w:rsidRDefault="006B1268" w:rsidP="00C142FB">
      <w:pPr>
        <w:rPr>
          <w:lang w:val="es-ES_tradnl"/>
        </w:rPr>
      </w:pPr>
      <w:r w:rsidRPr="00A54440">
        <w:rPr>
          <w:lang w:val="es-ES_tradnl"/>
        </w:rPr>
        <w:t>De acuerdo con la Le</w:t>
      </w:r>
      <w:r>
        <w:rPr>
          <w:lang w:val="es-ES_tradnl"/>
        </w:rPr>
        <w:t xml:space="preserve">y de "Confirmación de la conformidad" de Ucrania, los organismos acordados por el Regulador (NCCIR) deben certificar la conformidad de los equipos terminales. </w:t>
      </w:r>
    </w:p>
    <w:p w14:paraId="3AC3EC94" w14:textId="77777777" w:rsidR="006B1268" w:rsidRPr="006154DC" w:rsidRDefault="006B1268" w:rsidP="00C142FB">
      <w:pPr>
        <w:pStyle w:val="Heading4"/>
        <w:tabs>
          <w:tab w:val="clear" w:pos="1021"/>
          <w:tab w:val="clear" w:pos="1191"/>
          <w:tab w:val="left" w:pos="1276"/>
        </w:tabs>
        <w:ind w:left="1134" w:hanging="1134"/>
        <w:rPr>
          <w:lang w:val="es-ES_tradnl"/>
        </w:rPr>
      </w:pPr>
      <w:r w:rsidRPr="006154DC">
        <w:rPr>
          <w:lang w:val="es-ES_tradnl"/>
        </w:rPr>
        <w:t>A.1.11.2.4</w:t>
      </w:r>
      <w:r>
        <w:rPr>
          <w:lang w:val="es-ES_tradnl"/>
        </w:rPr>
        <w:tab/>
      </w:r>
      <w:r w:rsidRPr="006154DC">
        <w:rPr>
          <w:lang w:val="es-ES_tradnl"/>
        </w:rPr>
        <w:t>Funciones del AISMTRU</w:t>
      </w:r>
    </w:p>
    <w:p w14:paraId="0957CA80" w14:textId="77777777" w:rsidR="006B1268" w:rsidRPr="006154DC" w:rsidRDefault="006B1268" w:rsidP="00C142FB">
      <w:pPr>
        <w:rPr>
          <w:lang w:val="es-ES_tradnl"/>
        </w:rPr>
      </w:pPr>
      <w:r w:rsidRPr="006154DC">
        <w:rPr>
          <w:lang w:val="es-ES_tradnl"/>
        </w:rPr>
        <w:t>Las funciones del AISMTRU se han definido en el p</w:t>
      </w:r>
      <w:r>
        <w:rPr>
          <w:lang w:val="es-ES_tradnl"/>
        </w:rPr>
        <w:t xml:space="preserve">árrafo </w:t>
      </w:r>
      <w:r w:rsidRPr="006154DC">
        <w:rPr>
          <w:lang w:val="es-ES_tradnl"/>
        </w:rPr>
        <w:t>A.1.11.1:</w:t>
      </w:r>
    </w:p>
    <w:p w14:paraId="08005716" w14:textId="77777777" w:rsidR="006B1268" w:rsidRPr="006154DC" w:rsidRDefault="006B1268" w:rsidP="00C142FB">
      <w:pPr>
        <w:pStyle w:val="enumlev1"/>
        <w:rPr>
          <w:lang w:val="es-ES_tradnl"/>
        </w:rPr>
      </w:pPr>
      <w:r w:rsidRPr="00EF3592">
        <w:rPr>
          <w:lang w:val="es-ES_tradnl"/>
        </w:rPr>
        <w:t>•</w:t>
      </w:r>
      <w:r>
        <w:rPr>
          <w:lang w:val="es-ES_tradnl"/>
        </w:rPr>
        <w:tab/>
        <w:t>a</w:t>
      </w:r>
      <w:r w:rsidRPr="006154DC">
        <w:rPr>
          <w:lang w:val="es-ES_tradnl"/>
        </w:rPr>
        <w:t>utomatización del procesamiento de las solicitudes de los importadores;</w:t>
      </w:r>
    </w:p>
    <w:p w14:paraId="10199E84" w14:textId="77777777" w:rsidR="006B1268" w:rsidRPr="006154DC" w:rsidRDefault="006B1268" w:rsidP="00C142FB">
      <w:pPr>
        <w:pStyle w:val="enumlev1"/>
        <w:rPr>
          <w:lang w:val="es-ES_tradnl"/>
        </w:rPr>
      </w:pPr>
      <w:r w:rsidRPr="00EF3592">
        <w:rPr>
          <w:lang w:val="es-ES_tradnl"/>
        </w:rPr>
        <w:t>•</w:t>
      </w:r>
      <w:r>
        <w:rPr>
          <w:lang w:val="es-ES_tradnl"/>
        </w:rPr>
        <w:tab/>
        <w:t>p</w:t>
      </w:r>
      <w:r w:rsidRPr="006154DC">
        <w:rPr>
          <w:lang w:val="es-ES_tradnl"/>
        </w:rPr>
        <w:t xml:space="preserve">revención de la importación ilegal </w:t>
      </w:r>
      <w:r>
        <w:rPr>
          <w:lang w:val="es-ES_tradnl"/>
        </w:rPr>
        <w:t>"</w:t>
      </w:r>
      <w:r w:rsidRPr="006154DC">
        <w:rPr>
          <w:lang w:val="es-ES_tradnl"/>
        </w:rPr>
        <w:t>gris</w:t>
      </w:r>
      <w:r>
        <w:rPr>
          <w:lang w:val="es-ES_tradnl"/>
        </w:rPr>
        <w:t>"</w:t>
      </w:r>
      <w:r w:rsidRPr="006154DC">
        <w:rPr>
          <w:lang w:val="es-ES_tradnl"/>
        </w:rPr>
        <w:t xml:space="preserve"> de terminales móviles en el territorio de Ucrania</w:t>
      </w:r>
      <w:r>
        <w:rPr>
          <w:lang w:val="es-ES_tradnl"/>
        </w:rPr>
        <w:t>;</w:t>
      </w:r>
    </w:p>
    <w:p w14:paraId="41E2F848" w14:textId="77777777" w:rsidR="006B1268" w:rsidRPr="006154DC" w:rsidRDefault="006B1268" w:rsidP="00C142FB">
      <w:pPr>
        <w:pStyle w:val="enumlev1"/>
        <w:rPr>
          <w:lang w:val="es-ES_tradnl"/>
        </w:rPr>
      </w:pPr>
      <w:r w:rsidRPr="00EF3592">
        <w:rPr>
          <w:lang w:val="es-ES_tradnl"/>
        </w:rPr>
        <w:t>•</w:t>
      </w:r>
      <w:r>
        <w:rPr>
          <w:lang w:val="es-ES_tradnl"/>
        </w:rPr>
        <w:tab/>
        <w:t>l</w:t>
      </w:r>
      <w:r w:rsidRPr="006154DC">
        <w:rPr>
          <w:lang w:val="es-ES_tradnl"/>
        </w:rPr>
        <w:t>ucha contra el robo de teléfonos móviles;</w:t>
      </w:r>
    </w:p>
    <w:p w14:paraId="3B5BC330" w14:textId="77777777" w:rsidR="006B1268" w:rsidRPr="006154DC" w:rsidRDefault="006B1268" w:rsidP="00C142FB">
      <w:pPr>
        <w:pStyle w:val="enumlev1"/>
        <w:rPr>
          <w:lang w:val="es-ES_tradnl"/>
        </w:rPr>
      </w:pPr>
      <w:r w:rsidRPr="00EF3592">
        <w:rPr>
          <w:lang w:val="es-ES_tradnl"/>
        </w:rPr>
        <w:t>•</w:t>
      </w:r>
      <w:r>
        <w:rPr>
          <w:lang w:val="es-ES_tradnl"/>
        </w:rPr>
        <w:tab/>
        <w:t>a</w:t>
      </w:r>
      <w:r w:rsidRPr="006154DC">
        <w:rPr>
          <w:lang w:val="es-ES_tradnl"/>
        </w:rPr>
        <w:t xml:space="preserve">utomatización del proceso del UCRF </w:t>
      </w:r>
      <w:r>
        <w:rPr>
          <w:lang w:val="es-ES_tradnl"/>
        </w:rPr>
        <w:t>e</w:t>
      </w:r>
      <w:r w:rsidRPr="006154DC">
        <w:rPr>
          <w:lang w:val="es-ES_tradnl"/>
        </w:rPr>
        <w:t xml:space="preserve"> incremento de la eficacia de las relaciones entre </w:t>
      </w:r>
      <w:r>
        <w:rPr>
          <w:lang w:val="es-ES_tradnl"/>
        </w:rPr>
        <w:t>el </w:t>
      </w:r>
      <w:r w:rsidRPr="006154DC">
        <w:rPr>
          <w:lang w:val="es-ES_tradnl"/>
        </w:rPr>
        <w:t>UCRF y los actores del mercado de terminales</w:t>
      </w:r>
      <w:r>
        <w:rPr>
          <w:lang w:val="es-ES_tradnl"/>
        </w:rPr>
        <w:t>;</w:t>
      </w:r>
    </w:p>
    <w:p w14:paraId="4A5BEAE5" w14:textId="77777777" w:rsidR="006B1268" w:rsidRPr="006154DC" w:rsidRDefault="006B1268" w:rsidP="00C142FB">
      <w:pPr>
        <w:pStyle w:val="enumlev1"/>
        <w:rPr>
          <w:lang w:val="es-ES_tradnl"/>
        </w:rPr>
      </w:pPr>
      <w:r w:rsidRPr="00EF3592">
        <w:rPr>
          <w:lang w:val="es-ES_tradnl"/>
        </w:rPr>
        <w:t>•</w:t>
      </w:r>
      <w:r>
        <w:rPr>
          <w:lang w:val="es-ES_tradnl"/>
        </w:rPr>
        <w:tab/>
        <w:t>i</w:t>
      </w:r>
      <w:r w:rsidRPr="006154DC">
        <w:rPr>
          <w:lang w:val="es-ES_tradnl"/>
        </w:rPr>
        <w:t>dentificación de los números IMEI clonados y bloqueo de los terminales con números IMEI clonados.</w:t>
      </w:r>
    </w:p>
    <w:p w14:paraId="434F2098" w14:textId="77777777" w:rsidR="006B1268" w:rsidRPr="00517B90" w:rsidRDefault="006B1268" w:rsidP="00C142FB">
      <w:pPr>
        <w:pStyle w:val="Figure"/>
      </w:pPr>
      <w:r>
        <w:object w:dxaOrig="5180" w:dyaOrig="2956" w14:anchorId="38FDC1ED">
          <v:shape id="_x0000_i1034" type="#_x0000_t75" style="width:346.5pt;height:194.25pt" o:ole="">
            <v:imagedata r:id="rId159" o:title=""/>
          </v:shape>
          <o:OLEObject Type="Embed" ProgID="CorelDraw.Graphic.16" ShapeID="_x0000_i1034" DrawAspect="Content" ObjectID="_1521536390" r:id="rId160"/>
        </w:object>
      </w:r>
    </w:p>
    <w:p w14:paraId="4DA2330C" w14:textId="77777777" w:rsidR="006B1268" w:rsidRPr="006154DC" w:rsidRDefault="006B1268" w:rsidP="00C142FB">
      <w:pPr>
        <w:pStyle w:val="FigureNotitle"/>
        <w:rPr>
          <w:lang w:val="es-ES_tradnl" w:bidi="ar-DZ"/>
        </w:rPr>
      </w:pPr>
      <w:bookmarkStart w:id="379" w:name="_Toc404785100"/>
      <w:bookmarkStart w:id="380" w:name="_Toc447274552"/>
      <w:r w:rsidRPr="006154DC">
        <w:rPr>
          <w:lang w:val="es-ES_tradnl" w:bidi="ar-DZ"/>
        </w:rPr>
        <w:t>Figur</w:t>
      </w:r>
      <w:r>
        <w:rPr>
          <w:lang w:val="es-ES_tradnl" w:bidi="ar-DZ"/>
        </w:rPr>
        <w:t>a</w:t>
      </w:r>
      <w:r w:rsidRPr="006154DC">
        <w:rPr>
          <w:lang w:val="es-ES_tradnl" w:bidi="ar-DZ"/>
        </w:rPr>
        <w:t xml:space="preserve"> A.3 – </w:t>
      </w:r>
      <w:bookmarkEnd w:id="379"/>
      <w:r w:rsidRPr="006154DC">
        <w:rPr>
          <w:lang w:val="es-ES_tradnl" w:bidi="ar-DZ"/>
        </w:rPr>
        <w:t>Funciones del AISMTRU</w:t>
      </w:r>
      <w:bookmarkEnd w:id="380"/>
    </w:p>
    <w:p w14:paraId="628D264E" w14:textId="77777777" w:rsidR="006B1268" w:rsidRPr="00251BDC" w:rsidRDefault="006B1268" w:rsidP="00C142FB">
      <w:pPr>
        <w:pStyle w:val="Heading4"/>
        <w:tabs>
          <w:tab w:val="clear" w:pos="1021"/>
          <w:tab w:val="clear" w:pos="1191"/>
          <w:tab w:val="left" w:pos="1276"/>
        </w:tabs>
        <w:ind w:left="1134" w:hanging="1134"/>
        <w:rPr>
          <w:lang w:val="es-ES_tradnl"/>
        </w:rPr>
      </w:pPr>
      <w:r w:rsidRPr="00251BDC">
        <w:rPr>
          <w:lang w:val="es-ES_tradnl"/>
        </w:rPr>
        <w:t>A.1.11.2.5</w:t>
      </w:r>
      <w:r>
        <w:rPr>
          <w:lang w:val="es-ES_tradnl"/>
        </w:rPr>
        <w:tab/>
      </w:r>
      <w:r w:rsidRPr="00251BDC">
        <w:rPr>
          <w:lang w:val="es-ES_tradnl"/>
        </w:rPr>
        <w:t xml:space="preserve">Autorización </w:t>
      </w:r>
    </w:p>
    <w:p w14:paraId="5C035B19" w14:textId="77777777" w:rsidR="006B1268" w:rsidRPr="002B49AA" w:rsidRDefault="006B1268" w:rsidP="00D16D8C">
      <w:pPr>
        <w:rPr>
          <w:lang w:val="es-ES_tradnl"/>
        </w:rPr>
      </w:pPr>
      <w:r w:rsidRPr="002B49AA">
        <w:rPr>
          <w:lang w:val="es-ES_tradnl"/>
        </w:rPr>
        <w:t>De acuerdo con la legislaci</w:t>
      </w:r>
      <w:r>
        <w:rPr>
          <w:lang w:val="es-ES_tradnl"/>
        </w:rPr>
        <w:t>ón vigente, las siguientes entidades están autorizadas para utilizar el sistema AISMTRU:</w:t>
      </w:r>
    </w:p>
    <w:p w14:paraId="07CAA2FB" w14:textId="77777777" w:rsidR="006B1268" w:rsidRDefault="006B1268" w:rsidP="00C142FB">
      <w:pPr>
        <w:pStyle w:val="enumlev1"/>
        <w:rPr>
          <w:lang w:val="es-ES_tradnl"/>
        </w:rPr>
      </w:pPr>
      <w:r w:rsidRPr="000C5086">
        <w:rPr>
          <w:lang w:val="es-ES_tradnl"/>
        </w:rPr>
        <w:t>•</w:t>
      </w:r>
      <w:r>
        <w:rPr>
          <w:lang w:val="es-ES_tradnl"/>
        </w:rPr>
        <w:tab/>
        <w:t xml:space="preserve">el </w:t>
      </w:r>
      <w:r w:rsidRPr="002B49AA">
        <w:rPr>
          <w:lang w:val="es-ES_tradnl"/>
        </w:rPr>
        <w:t xml:space="preserve">Centro </w:t>
      </w:r>
      <w:r>
        <w:rPr>
          <w:lang w:val="es-ES_tradnl"/>
        </w:rPr>
        <w:t>e</w:t>
      </w:r>
      <w:r w:rsidRPr="002B49AA">
        <w:rPr>
          <w:lang w:val="es-ES_tradnl"/>
        </w:rPr>
        <w:t xml:space="preserve">statal de Ucrania de </w:t>
      </w:r>
      <w:r>
        <w:rPr>
          <w:lang w:val="es-ES_tradnl"/>
        </w:rPr>
        <w:t>r</w:t>
      </w:r>
      <w:r w:rsidRPr="002B49AA">
        <w:rPr>
          <w:lang w:val="es-ES_tradnl"/>
        </w:rPr>
        <w:t>adiofrecuencias (UCFR);</w:t>
      </w:r>
    </w:p>
    <w:p w14:paraId="03DB22F2" w14:textId="77777777" w:rsidR="006B1268" w:rsidRPr="002B49AA" w:rsidRDefault="006B1268" w:rsidP="00C142FB">
      <w:pPr>
        <w:pStyle w:val="enumlev1"/>
        <w:rPr>
          <w:lang w:val="es-ES_tradnl"/>
        </w:rPr>
      </w:pPr>
      <w:r w:rsidRPr="000C5086">
        <w:rPr>
          <w:lang w:val="es-ES_tradnl"/>
        </w:rPr>
        <w:lastRenderedPageBreak/>
        <w:t>•</w:t>
      </w:r>
      <w:r>
        <w:rPr>
          <w:lang w:val="es-ES_tradnl"/>
        </w:rPr>
        <w:tab/>
        <w:t xml:space="preserve">la </w:t>
      </w:r>
      <w:r w:rsidRPr="002B49AA">
        <w:rPr>
          <w:lang w:val="es-ES_tradnl"/>
        </w:rPr>
        <w:t>Comisión Nacional para la reglamentación estatal de las comunicaciones e informatización (NCCIR);</w:t>
      </w:r>
    </w:p>
    <w:p w14:paraId="08D85464" w14:textId="77777777" w:rsidR="006B1268" w:rsidRPr="000C5086" w:rsidRDefault="006B1268" w:rsidP="00C142FB">
      <w:pPr>
        <w:pStyle w:val="enumlev1"/>
        <w:rPr>
          <w:lang w:val="es-ES_tradnl"/>
        </w:rPr>
      </w:pPr>
      <w:r w:rsidRPr="000C5086">
        <w:rPr>
          <w:lang w:val="es-ES_tradnl"/>
        </w:rPr>
        <w:t>•</w:t>
      </w:r>
      <w:r w:rsidRPr="000C5086">
        <w:rPr>
          <w:lang w:val="es-ES_tradnl"/>
        </w:rPr>
        <w:tab/>
        <w:t>los operadores móviles;</w:t>
      </w:r>
    </w:p>
    <w:p w14:paraId="6E2A35D3" w14:textId="77777777" w:rsidR="006B1268" w:rsidRPr="002B49AA" w:rsidRDefault="006B1268" w:rsidP="00C142FB">
      <w:pPr>
        <w:pStyle w:val="enumlev1"/>
        <w:rPr>
          <w:lang w:val="es-ES_tradnl"/>
        </w:rPr>
      </w:pPr>
      <w:r w:rsidRPr="000C5086">
        <w:rPr>
          <w:lang w:val="es-ES_tradnl"/>
        </w:rPr>
        <w:t>•</w:t>
      </w:r>
      <w:r>
        <w:rPr>
          <w:lang w:val="es-ES_tradnl"/>
        </w:rPr>
        <w:tab/>
      </w:r>
      <w:r w:rsidRPr="002B49AA">
        <w:rPr>
          <w:lang w:val="es-ES_tradnl"/>
        </w:rPr>
        <w:t>el Servicio estatal de aduanas;</w:t>
      </w:r>
    </w:p>
    <w:p w14:paraId="645FD404" w14:textId="77777777" w:rsidR="006B1268" w:rsidRPr="000C5086" w:rsidRDefault="006B1268" w:rsidP="00C142FB">
      <w:pPr>
        <w:pStyle w:val="enumlev1"/>
        <w:rPr>
          <w:lang w:val="es-ES_tradnl"/>
        </w:rPr>
      </w:pPr>
      <w:r w:rsidRPr="000C5086">
        <w:rPr>
          <w:lang w:val="es-ES_tradnl"/>
        </w:rPr>
        <w:t>•</w:t>
      </w:r>
      <w:r>
        <w:rPr>
          <w:lang w:val="es-ES_tradnl"/>
        </w:rPr>
        <w:tab/>
      </w:r>
      <w:r w:rsidRPr="000C5086">
        <w:rPr>
          <w:lang w:val="es-ES_tradnl"/>
        </w:rPr>
        <w:t>el Ministerio del Interior;</w:t>
      </w:r>
    </w:p>
    <w:p w14:paraId="4B557ABD" w14:textId="77777777" w:rsidR="006B1268" w:rsidRPr="002B49AA" w:rsidRDefault="006B1268" w:rsidP="00C142FB">
      <w:pPr>
        <w:pStyle w:val="enumlev1"/>
        <w:rPr>
          <w:lang w:val="es-ES_tradnl"/>
        </w:rPr>
      </w:pPr>
      <w:r w:rsidRPr="000C5086">
        <w:rPr>
          <w:lang w:val="es-ES_tradnl"/>
        </w:rPr>
        <w:t>•</w:t>
      </w:r>
      <w:r>
        <w:rPr>
          <w:lang w:val="es-ES_tradnl"/>
        </w:rPr>
        <w:tab/>
      </w:r>
      <w:r w:rsidRPr="002B49AA">
        <w:rPr>
          <w:lang w:val="es-ES_tradnl"/>
        </w:rPr>
        <w:t xml:space="preserve">los compradores y usuarios de los terminales móviles; </w:t>
      </w:r>
      <w:r>
        <w:rPr>
          <w:lang w:val="es-ES_tradnl"/>
        </w:rPr>
        <w:t>y</w:t>
      </w:r>
    </w:p>
    <w:p w14:paraId="295283F8" w14:textId="77777777" w:rsidR="006B1268" w:rsidRPr="000C5086" w:rsidRDefault="006B1268" w:rsidP="00C142FB">
      <w:pPr>
        <w:pStyle w:val="enumlev1"/>
        <w:rPr>
          <w:lang w:val="es-ES_tradnl"/>
        </w:rPr>
      </w:pPr>
      <w:r w:rsidRPr="000C5086">
        <w:rPr>
          <w:lang w:val="es-ES_tradnl"/>
        </w:rPr>
        <w:t>•</w:t>
      </w:r>
      <w:r>
        <w:rPr>
          <w:lang w:val="es-ES_tradnl"/>
        </w:rPr>
        <w:tab/>
      </w:r>
      <w:r w:rsidRPr="000C5086">
        <w:rPr>
          <w:lang w:val="es-ES_tradnl"/>
        </w:rPr>
        <w:t>los importadores.</w:t>
      </w:r>
    </w:p>
    <w:p w14:paraId="5D9D9CBB" w14:textId="77777777" w:rsidR="006B1268" w:rsidRPr="00251BDC" w:rsidRDefault="006B1268" w:rsidP="00C142FB">
      <w:pPr>
        <w:pStyle w:val="Heading4"/>
        <w:tabs>
          <w:tab w:val="clear" w:pos="1021"/>
          <w:tab w:val="clear" w:pos="1191"/>
          <w:tab w:val="left" w:pos="1276"/>
        </w:tabs>
        <w:ind w:left="1134" w:hanging="1134"/>
        <w:rPr>
          <w:lang w:val="es-ES_tradnl"/>
        </w:rPr>
      </w:pPr>
      <w:r w:rsidRPr="00251BDC">
        <w:rPr>
          <w:lang w:val="es-ES_tradnl"/>
        </w:rPr>
        <w:t>A.1.11.2.6</w:t>
      </w:r>
      <w:r>
        <w:rPr>
          <w:lang w:val="es-ES_tradnl"/>
        </w:rPr>
        <w:tab/>
      </w:r>
      <w:r w:rsidRPr="00251BDC">
        <w:rPr>
          <w:lang w:val="es-ES_tradnl"/>
        </w:rPr>
        <w:t>Base de datos general de IMEI</w:t>
      </w:r>
    </w:p>
    <w:p w14:paraId="02929165" w14:textId="77777777" w:rsidR="006B1268" w:rsidRPr="002B49AA" w:rsidRDefault="006B1268" w:rsidP="00C142FB">
      <w:pPr>
        <w:rPr>
          <w:b/>
          <w:bCs/>
          <w:lang w:val="es-ES_tradnl"/>
        </w:rPr>
      </w:pPr>
      <w:r w:rsidRPr="002B49AA">
        <w:rPr>
          <w:lang w:val="es-ES_tradnl"/>
        </w:rPr>
        <w:t xml:space="preserve">El componente principal del AISMTRU es la base de datos </w:t>
      </w:r>
      <w:r>
        <w:rPr>
          <w:lang w:val="es-ES_tradnl"/>
        </w:rPr>
        <w:t>general de números IMEI</w:t>
      </w:r>
      <w:r w:rsidRPr="002B49AA">
        <w:rPr>
          <w:lang w:val="es-ES_tradnl"/>
        </w:rPr>
        <w:t xml:space="preserve">, </w:t>
      </w:r>
      <w:r>
        <w:rPr>
          <w:lang w:val="es-ES_tradnl"/>
        </w:rPr>
        <w:t>que mantiene tres listas conocidas como:</w:t>
      </w:r>
      <w:r w:rsidRPr="002B49AA">
        <w:rPr>
          <w:lang w:val="es-ES_tradnl"/>
        </w:rPr>
        <w:t xml:space="preserve"> </w:t>
      </w:r>
    </w:p>
    <w:p w14:paraId="4BE092E7" w14:textId="77777777" w:rsidR="006B1268" w:rsidRPr="004D2F88" w:rsidRDefault="006B1268" w:rsidP="00C142FB">
      <w:pPr>
        <w:pStyle w:val="enumlev1"/>
        <w:rPr>
          <w:lang w:val="es-ES_tradnl"/>
        </w:rPr>
      </w:pPr>
      <w:r w:rsidRPr="000C5086">
        <w:rPr>
          <w:lang w:val="es-ES_tradnl"/>
        </w:rPr>
        <w:t>•</w:t>
      </w:r>
      <w:r>
        <w:rPr>
          <w:lang w:val="es-ES_tradnl"/>
        </w:rPr>
        <w:tab/>
        <w:t>"</w:t>
      </w:r>
      <w:r w:rsidRPr="004D2F88">
        <w:rPr>
          <w:lang w:val="es-ES_tradnl"/>
        </w:rPr>
        <w:t>Lista blanca</w:t>
      </w:r>
      <w:r>
        <w:rPr>
          <w:lang w:val="es-ES_tradnl"/>
        </w:rPr>
        <w:t>"</w:t>
      </w:r>
      <w:r w:rsidRPr="004D2F88">
        <w:rPr>
          <w:lang w:val="es-ES_tradnl"/>
        </w:rPr>
        <w:t xml:space="preserve">: </w:t>
      </w:r>
      <w:r>
        <w:rPr>
          <w:lang w:val="es-ES_tradnl"/>
        </w:rPr>
        <w:t>r</w:t>
      </w:r>
      <w:r w:rsidRPr="004D2F88">
        <w:rPr>
          <w:lang w:val="es-ES_tradnl"/>
        </w:rPr>
        <w:t>egistro de los números IMEI de los terminales im</w:t>
      </w:r>
      <w:r>
        <w:rPr>
          <w:lang w:val="es-ES_tradnl"/>
        </w:rPr>
        <w:t>portados legalmente en Ucrania.</w:t>
      </w:r>
    </w:p>
    <w:p w14:paraId="01707F24" w14:textId="77777777" w:rsidR="006B1268" w:rsidRPr="004D2F88" w:rsidRDefault="006B1268" w:rsidP="00C142FB">
      <w:pPr>
        <w:pStyle w:val="enumlev1"/>
        <w:rPr>
          <w:lang w:val="es-ES_tradnl"/>
        </w:rPr>
      </w:pPr>
      <w:r w:rsidRPr="000C5086">
        <w:rPr>
          <w:lang w:val="es-ES_tradnl"/>
        </w:rPr>
        <w:t>•</w:t>
      </w:r>
      <w:r>
        <w:rPr>
          <w:lang w:val="es-ES_tradnl"/>
        </w:rPr>
        <w:tab/>
        <w:t>"Lista gris"</w:t>
      </w:r>
      <w:r w:rsidRPr="004D2F88">
        <w:rPr>
          <w:lang w:val="es-ES_tradnl"/>
        </w:rPr>
        <w:t xml:space="preserve">: </w:t>
      </w:r>
      <w:r>
        <w:rPr>
          <w:lang w:val="es-ES_tradnl"/>
        </w:rPr>
        <w:t>u</w:t>
      </w:r>
      <w:r w:rsidRPr="004D2F88">
        <w:rPr>
          <w:lang w:val="es-ES_tradnl"/>
        </w:rPr>
        <w:t xml:space="preserve">n registro de la base de datos general que contiene los números IMEI de los terminales no incorporados a la </w:t>
      </w:r>
      <w:r>
        <w:rPr>
          <w:lang w:val="es-ES_tradnl"/>
        </w:rPr>
        <w:t>"</w:t>
      </w:r>
      <w:r w:rsidRPr="004D2F88">
        <w:rPr>
          <w:lang w:val="es-ES_tradnl"/>
        </w:rPr>
        <w:t>lista blanca</w:t>
      </w:r>
      <w:r>
        <w:rPr>
          <w:lang w:val="es-ES_tradnl"/>
        </w:rPr>
        <w:t>"</w:t>
      </w:r>
      <w:r w:rsidRPr="004D2F88">
        <w:rPr>
          <w:lang w:val="es-ES_tradnl"/>
        </w:rPr>
        <w:t xml:space="preserve"> o la </w:t>
      </w:r>
      <w:r>
        <w:rPr>
          <w:lang w:val="es-ES_tradnl"/>
        </w:rPr>
        <w:t>"</w:t>
      </w:r>
      <w:r w:rsidRPr="004D2F88">
        <w:rPr>
          <w:lang w:val="es-ES_tradnl"/>
        </w:rPr>
        <w:t>lista negra</w:t>
      </w:r>
      <w:r>
        <w:rPr>
          <w:lang w:val="es-ES_tradnl"/>
        </w:rPr>
        <w:t>" en el momento de su primer registro en la red de telecomunicaciones.</w:t>
      </w:r>
    </w:p>
    <w:p w14:paraId="53CA3CAD" w14:textId="77777777" w:rsidR="006B1268" w:rsidRPr="004D2F88" w:rsidRDefault="006B1268" w:rsidP="00C142FB">
      <w:pPr>
        <w:pStyle w:val="enumlev1"/>
        <w:rPr>
          <w:lang w:val="es-ES_tradnl"/>
        </w:rPr>
      </w:pPr>
      <w:r w:rsidRPr="000C5086">
        <w:rPr>
          <w:lang w:val="es-ES_tradnl"/>
        </w:rPr>
        <w:t>•</w:t>
      </w:r>
      <w:r>
        <w:rPr>
          <w:lang w:val="es-ES_tradnl"/>
        </w:rPr>
        <w:tab/>
        <w:t>"</w:t>
      </w:r>
      <w:r w:rsidRPr="004D2F88">
        <w:rPr>
          <w:lang w:val="es-ES_tradnl"/>
        </w:rPr>
        <w:t>Lista negra</w:t>
      </w:r>
      <w:r>
        <w:rPr>
          <w:lang w:val="es-ES_tradnl"/>
        </w:rPr>
        <w:t>"</w:t>
      </w:r>
      <w:r w:rsidRPr="004D2F88">
        <w:rPr>
          <w:lang w:val="es-ES_tradnl"/>
        </w:rPr>
        <w:t xml:space="preserve">: </w:t>
      </w:r>
      <w:r>
        <w:rPr>
          <w:lang w:val="es-ES_tradnl"/>
        </w:rPr>
        <w:t>u</w:t>
      </w:r>
      <w:r w:rsidRPr="004D2F88">
        <w:rPr>
          <w:lang w:val="es-ES_tradnl"/>
        </w:rPr>
        <w:t>n registro de los números IMEI de los terminales cuya utilización est</w:t>
      </w:r>
      <w:r>
        <w:rPr>
          <w:lang w:val="es-ES_tradnl"/>
        </w:rPr>
        <w:t>á prohibida</w:t>
      </w:r>
      <w:r w:rsidRPr="004D2F88">
        <w:rPr>
          <w:lang w:val="es-ES_tradnl"/>
        </w:rPr>
        <w:t xml:space="preserve"> en las redes de los operadores </w:t>
      </w:r>
      <w:r>
        <w:rPr>
          <w:lang w:val="es-ES_tradnl"/>
        </w:rPr>
        <w:t>(terminales perdidos o robados, terminales cuyo origen legal no se ha confirmado después de 90 días desde su incorporación a la "lista gris").</w:t>
      </w:r>
    </w:p>
    <w:p w14:paraId="1086A653" w14:textId="77777777" w:rsidR="006B1268" w:rsidRPr="00D13784" w:rsidRDefault="006B1268" w:rsidP="00C142FB">
      <w:pPr>
        <w:rPr>
          <w:lang w:val="es-ES_tradnl"/>
        </w:rPr>
      </w:pPr>
      <w:r w:rsidRPr="00D13784">
        <w:rPr>
          <w:lang w:val="es-ES_tradnl"/>
        </w:rPr>
        <w:t xml:space="preserve">El subsistema de mantenimiento de la base de datos general de IMEI </w:t>
      </w:r>
      <w:r>
        <w:rPr>
          <w:lang w:val="es-ES_tradnl"/>
        </w:rPr>
        <w:t>ofrece</w:t>
      </w:r>
      <w:r w:rsidRPr="00D13784">
        <w:rPr>
          <w:lang w:val="es-ES_tradnl"/>
        </w:rPr>
        <w:t xml:space="preserve"> a los usuarios autorizados por </w:t>
      </w:r>
      <w:r>
        <w:rPr>
          <w:lang w:val="es-ES_tradnl"/>
        </w:rPr>
        <w:t>el</w:t>
      </w:r>
      <w:r w:rsidRPr="00D13784">
        <w:rPr>
          <w:lang w:val="es-ES_tradnl"/>
        </w:rPr>
        <w:t xml:space="preserve"> UCRF </w:t>
      </w:r>
      <w:r>
        <w:rPr>
          <w:lang w:val="es-ES_tradnl"/>
        </w:rPr>
        <w:t>una herramienta para la introducción de datos en la "lista blanca"</w:t>
      </w:r>
      <w:r w:rsidRPr="00D13784">
        <w:rPr>
          <w:lang w:val="es-ES_tradnl"/>
        </w:rPr>
        <w:t xml:space="preserve">. Las listas </w:t>
      </w:r>
      <w:r>
        <w:rPr>
          <w:lang w:val="es-ES_tradnl"/>
        </w:rPr>
        <w:t>"</w:t>
      </w:r>
      <w:r w:rsidRPr="00D13784">
        <w:rPr>
          <w:lang w:val="es-ES_tradnl"/>
        </w:rPr>
        <w:t>gris</w:t>
      </w:r>
      <w:r>
        <w:rPr>
          <w:lang w:val="es-ES_tradnl"/>
        </w:rPr>
        <w:t>"</w:t>
      </w:r>
      <w:r w:rsidRPr="00D13784">
        <w:rPr>
          <w:lang w:val="es-ES_tradnl"/>
        </w:rPr>
        <w:t xml:space="preserve"> y </w:t>
      </w:r>
      <w:r>
        <w:rPr>
          <w:lang w:val="es-ES_tradnl"/>
        </w:rPr>
        <w:t>"</w:t>
      </w:r>
      <w:r w:rsidRPr="00D13784">
        <w:rPr>
          <w:lang w:val="es-ES_tradnl"/>
        </w:rPr>
        <w:t>negra</w:t>
      </w:r>
      <w:r>
        <w:rPr>
          <w:lang w:val="es-ES_tradnl"/>
        </w:rPr>
        <w:t>"</w:t>
      </w:r>
      <w:r w:rsidRPr="00D13784">
        <w:rPr>
          <w:lang w:val="es-ES_tradnl"/>
        </w:rPr>
        <w:t xml:space="preserve"> se generan automáticamente. Los usuarios autorizados del UCRF tienen un derecho limitado para cambiar el estado de los n</w:t>
      </w:r>
      <w:r>
        <w:rPr>
          <w:lang w:val="es-ES_tradnl"/>
        </w:rPr>
        <w:t>úmeros IMEI en las listas "blanca" y "negra".</w:t>
      </w:r>
    </w:p>
    <w:p w14:paraId="18A76531" w14:textId="77777777" w:rsidR="006B1268" w:rsidRPr="00F6473E" w:rsidRDefault="006B1268" w:rsidP="00C142FB">
      <w:pPr>
        <w:rPr>
          <w:lang w:val="es-ES_tradnl"/>
        </w:rPr>
      </w:pPr>
      <w:r w:rsidRPr="00D13784">
        <w:rPr>
          <w:lang w:val="es-ES_tradnl"/>
        </w:rPr>
        <w:t xml:space="preserve">Cada acción de un usuario autorizado por </w:t>
      </w:r>
      <w:r>
        <w:rPr>
          <w:lang w:val="es-ES_tradnl"/>
        </w:rPr>
        <w:t>el</w:t>
      </w:r>
      <w:r w:rsidRPr="00D13784">
        <w:rPr>
          <w:lang w:val="es-ES_tradnl"/>
        </w:rPr>
        <w:t xml:space="preserve"> UCRF debe ser confirmada c</w:t>
      </w:r>
      <w:r>
        <w:rPr>
          <w:lang w:val="es-ES_tradnl"/>
        </w:rPr>
        <w:t>on la</w:t>
      </w:r>
      <w:r w:rsidRPr="00D13784">
        <w:rPr>
          <w:lang w:val="es-ES_tradnl"/>
        </w:rPr>
        <w:t xml:space="preserve"> firma digital electr</w:t>
      </w:r>
      <w:r>
        <w:rPr>
          <w:lang w:val="es-ES_tradnl"/>
        </w:rPr>
        <w:t xml:space="preserve">ónica de un usuario individual. </w:t>
      </w:r>
    </w:p>
    <w:p w14:paraId="68E1D4A0" w14:textId="77777777" w:rsidR="006B1268" w:rsidRPr="00F6473E" w:rsidRDefault="006B1268" w:rsidP="00C142FB">
      <w:pPr>
        <w:rPr>
          <w:lang w:val="es-ES_tradnl"/>
        </w:rPr>
      </w:pPr>
      <w:r w:rsidRPr="00D13784">
        <w:rPr>
          <w:lang w:val="es-ES_tradnl"/>
        </w:rPr>
        <w:t xml:space="preserve">El subsistema dispone de una función de importación de datos para incorporar los datos de los importadores de </w:t>
      </w:r>
      <w:r>
        <w:rPr>
          <w:lang w:val="es-ES_tradnl"/>
        </w:rPr>
        <w:t xml:space="preserve">terminales y de los operadores móviles al registro de números IMEI. </w:t>
      </w:r>
    </w:p>
    <w:p w14:paraId="3AA6F76F" w14:textId="77777777" w:rsidR="006B1268" w:rsidRPr="00F6473E" w:rsidRDefault="006B1268" w:rsidP="00C142FB">
      <w:pPr>
        <w:rPr>
          <w:lang w:val="es-ES_tradnl"/>
        </w:rPr>
      </w:pPr>
      <w:r w:rsidRPr="00D13784">
        <w:rPr>
          <w:lang w:val="es-ES_tradnl"/>
        </w:rPr>
        <w:t xml:space="preserve">Mediante el procesamiento de los datos de la </w:t>
      </w:r>
      <w:r>
        <w:rPr>
          <w:lang w:val="es-ES_tradnl"/>
        </w:rPr>
        <w:t>"</w:t>
      </w:r>
      <w:r w:rsidRPr="00D13784">
        <w:rPr>
          <w:lang w:val="es-ES_tradnl"/>
        </w:rPr>
        <w:t>lista blanca</w:t>
      </w:r>
      <w:r>
        <w:rPr>
          <w:lang w:val="es-ES_tradnl"/>
        </w:rPr>
        <w:t>"</w:t>
      </w:r>
      <w:r w:rsidRPr="00D13784">
        <w:rPr>
          <w:lang w:val="es-ES_tradnl"/>
        </w:rPr>
        <w:t xml:space="preserve"> y de los datos de los operadores, </w:t>
      </w:r>
      <w:r>
        <w:rPr>
          <w:lang w:val="es-ES_tradnl"/>
        </w:rPr>
        <w:t xml:space="preserve">los importadores y del servicio de aduanas, </w:t>
      </w:r>
      <w:r w:rsidRPr="00D13784">
        <w:rPr>
          <w:lang w:val="es-ES_tradnl"/>
        </w:rPr>
        <w:t xml:space="preserve">es posible crear y mantener los registros de las listas </w:t>
      </w:r>
      <w:r>
        <w:rPr>
          <w:lang w:val="es-ES_tradnl"/>
        </w:rPr>
        <w:t>"</w:t>
      </w:r>
      <w:r w:rsidRPr="00D13784">
        <w:rPr>
          <w:lang w:val="es-ES_tradnl"/>
        </w:rPr>
        <w:t>grises</w:t>
      </w:r>
      <w:r>
        <w:rPr>
          <w:lang w:val="es-ES_tradnl"/>
        </w:rPr>
        <w:t>"</w:t>
      </w:r>
      <w:r w:rsidRPr="00D13784">
        <w:rPr>
          <w:lang w:val="es-ES_tradnl"/>
        </w:rPr>
        <w:t xml:space="preserve"> y </w:t>
      </w:r>
      <w:r>
        <w:rPr>
          <w:lang w:val="es-ES_tradnl"/>
        </w:rPr>
        <w:t>"</w:t>
      </w:r>
      <w:r w:rsidRPr="00D13784">
        <w:rPr>
          <w:lang w:val="es-ES_tradnl"/>
        </w:rPr>
        <w:t>negras</w:t>
      </w:r>
      <w:r>
        <w:rPr>
          <w:lang w:val="es-ES_tradnl"/>
        </w:rPr>
        <w:t>".</w:t>
      </w:r>
    </w:p>
    <w:p w14:paraId="326F3A16" w14:textId="77777777" w:rsidR="006B1268" w:rsidRPr="0049445A" w:rsidRDefault="006B1268" w:rsidP="00C142FB">
      <w:pPr>
        <w:rPr>
          <w:lang w:val="es-ES_tradnl"/>
        </w:rPr>
      </w:pPr>
      <w:r w:rsidRPr="0049445A">
        <w:rPr>
          <w:lang w:val="es-ES_tradnl"/>
        </w:rPr>
        <w:t xml:space="preserve">La primera </w:t>
      </w:r>
      <w:r>
        <w:rPr>
          <w:lang w:val="es-ES_tradnl"/>
        </w:rPr>
        <w:t>fase</w:t>
      </w:r>
      <w:r w:rsidRPr="0049445A">
        <w:rPr>
          <w:lang w:val="es-ES_tradnl"/>
        </w:rPr>
        <w:t xml:space="preserve"> de la puesta en funcionamiento del sistema resolvió dos objetivos:</w:t>
      </w:r>
    </w:p>
    <w:p w14:paraId="701432E2" w14:textId="77777777" w:rsidR="006B1268" w:rsidRPr="0049445A" w:rsidRDefault="006B1268" w:rsidP="00C142FB">
      <w:pPr>
        <w:pStyle w:val="enumlev1"/>
        <w:rPr>
          <w:lang w:val="es-ES_tradnl"/>
        </w:rPr>
      </w:pPr>
      <w:r w:rsidRPr="0049445A">
        <w:rPr>
          <w:lang w:val="es-ES_tradnl"/>
        </w:rPr>
        <w:t>1</w:t>
      </w:r>
      <w:r>
        <w:rPr>
          <w:lang w:val="es-ES_tradnl"/>
        </w:rPr>
        <w:t>)</w:t>
      </w:r>
      <w:r>
        <w:rPr>
          <w:lang w:val="es-ES_tradnl"/>
        </w:rPr>
        <w:tab/>
      </w:r>
      <w:r w:rsidRPr="0049445A">
        <w:rPr>
          <w:lang w:val="es-ES_tradnl"/>
        </w:rPr>
        <w:t xml:space="preserve">La protección del </w:t>
      </w:r>
      <w:r>
        <w:rPr>
          <w:lang w:val="es-ES_tradnl"/>
        </w:rPr>
        <w:t>m</w:t>
      </w:r>
      <w:r w:rsidRPr="0049445A">
        <w:rPr>
          <w:lang w:val="es-ES_tradnl"/>
        </w:rPr>
        <w:t xml:space="preserve">ercado de Ucrania contra el uso de </w:t>
      </w:r>
      <w:r>
        <w:rPr>
          <w:lang w:val="es-ES_tradnl"/>
        </w:rPr>
        <w:t xml:space="preserve">los </w:t>
      </w:r>
      <w:r w:rsidRPr="0049445A">
        <w:rPr>
          <w:lang w:val="es-ES_tradnl"/>
        </w:rPr>
        <w:t xml:space="preserve">terminales móviles no autorizados de baja calidad y </w:t>
      </w:r>
      <w:r>
        <w:rPr>
          <w:lang w:val="es-ES_tradnl"/>
        </w:rPr>
        <w:t xml:space="preserve">que pueden ser </w:t>
      </w:r>
      <w:r w:rsidRPr="0049445A">
        <w:rPr>
          <w:lang w:val="es-ES_tradnl"/>
        </w:rPr>
        <w:t>peligrosos par</w:t>
      </w:r>
      <w:r>
        <w:rPr>
          <w:lang w:val="es-ES_tradnl"/>
        </w:rPr>
        <w:t>a la salud de los usuarios.</w:t>
      </w:r>
    </w:p>
    <w:p w14:paraId="51F10096" w14:textId="77777777" w:rsidR="006B1268" w:rsidRPr="0049445A" w:rsidRDefault="006B1268" w:rsidP="00C142FB">
      <w:pPr>
        <w:pStyle w:val="enumlev1"/>
        <w:rPr>
          <w:lang w:val="es-ES_tradnl"/>
        </w:rPr>
      </w:pPr>
      <w:r w:rsidRPr="0049445A">
        <w:rPr>
          <w:lang w:val="es-ES_tradnl"/>
        </w:rPr>
        <w:t>2</w:t>
      </w:r>
      <w:r>
        <w:rPr>
          <w:lang w:val="es-ES_tradnl"/>
        </w:rPr>
        <w:t>)</w:t>
      </w:r>
      <w:r>
        <w:rPr>
          <w:lang w:val="es-ES_tradnl"/>
        </w:rPr>
        <w:tab/>
      </w:r>
      <w:r w:rsidRPr="0049445A">
        <w:rPr>
          <w:lang w:val="es-ES_tradnl"/>
        </w:rPr>
        <w:t xml:space="preserve">La prevención de la importación de terminales móviles y su </w:t>
      </w:r>
      <w:r>
        <w:rPr>
          <w:lang w:val="es-ES_tradnl"/>
        </w:rPr>
        <w:t>utilización</w:t>
      </w:r>
      <w:r w:rsidRPr="0049445A">
        <w:rPr>
          <w:lang w:val="es-ES_tradnl"/>
        </w:rPr>
        <w:t xml:space="preserve"> </w:t>
      </w:r>
      <w:r>
        <w:rPr>
          <w:lang w:val="es-ES_tradnl"/>
        </w:rPr>
        <w:t>en el mercado de Ucrania.</w:t>
      </w:r>
    </w:p>
    <w:p w14:paraId="25B05755" w14:textId="77777777" w:rsidR="006B1268" w:rsidRPr="0049445A" w:rsidRDefault="006B1268" w:rsidP="00C142FB">
      <w:pPr>
        <w:tabs>
          <w:tab w:val="left" w:pos="426"/>
        </w:tabs>
        <w:rPr>
          <w:lang w:val="es-ES_tradnl"/>
        </w:rPr>
      </w:pPr>
      <w:r w:rsidRPr="0049445A">
        <w:rPr>
          <w:lang w:val="es-ES_tradnl"/>
        </w:rPr>
        <w:t xml:space="preserve">Posteriormente, se </w:t>
      </w:r>
      <w:r>
        <w:rPr>
          <w:lang w:val="es-ES_tradnl"/>
        </w:rPr>
        <w:t>desarrolló</w:t>
      </w:r>
      <w:r w:rsidRPr="0049445A">
        <w:rPr>
          <w:lang w:val="es-ES_tradnl"/>
        </w:rPr>
        <w:t xml:space="preserve"> un sistema para alcanzar todos los objetivos</w:t>
      </w:r>
      <w:r>
        <w:rPr>
          <w:lang w:val="es-ES_tradnl"/>
        </w:rPr>
        <w:t>,</w:t>
      </w:r>
      <w:r w:rsidRPr="0049445A">
        <w:rPr>
          <w:lang w:val="es-ES_tradnl"/>
        </w:rPr>
        <w:t xml:space="preserve"> incluido el de desmotivar el robo de terminales, especialmente de los niños.</w:t>
      </w:r>
      <w:r>
        <w:rPr>
          <w:lang w:val="es-ES_tradnl"/>
        </w:rPr>
        <w:t xml:space="preserve"> </w:t>
      </w:r>
    </w:p>
    <w:p w14:paraId="79130D60" w14:textId="77777777" w:rsidR="006B1268" w:rsidRPr="00517B90" w:rsidRDefault="006B1268" w:rsidP="00C142FB">
      <w:pPr>
        <w:pStyle w:val="Figure"/>
      </w:pPr>
      <w:r>
        <w:object w:dxaOrig="6413" w:dyaOrig="2328" w14:anchorId="7A05608F">
          <v:shape id="_x0000_i1035" type="#_x0000_t75" style="width:424.5pt;height:158.25pt" o:ole="">
            <v:imagedata r:id="rId161" o:title=""/>
          </v:shape>
          <o:OLEObject Type="Embed" ProgID="CorelDraw.Graphic.16" ShapeID="_x0000_i1035" DrawAspect="Content" ObjectID="_1521536391" r:id="rId162"/>
        </w:object>
      </w:r>
    </w:p>
    <w:p w14:paraId="6AF5103D" w14:textId="77777777" w:rsidR="006B1268" w:rsidRPr="0049445A" w:rsidRDefault="006B1268" w:rsidP="00C142FB">
      <w:pPr>
        <w:pStyle w:val="FigureNotitle"/>
        <w:rPr>
          <w:lang w:val="es-ES_tradnl" w:bidi="ar-DZ"/>
        </w:rPr>
      </w:pPr>
      <w:bookmarkStart w:id="381" w:name="_Toc447274553"/>
      <w:bookmarkStart w:id="382" w:name="_Toc404785101"/>
      <w:r w:rsidRPr="0049445A">
        <w:rPr>
          <w:lang w:val="es-ES_tradnl" w:bidi="ar-DZ"/>
        </w:rPr>
        <w:t xml:space="preserve">Figura A.4 – EIR y </w:t>
      </w:r>
      <w:r>
        <w:rPr>
          <w:lang w:val="es-ES_tradnl" w:bidi="ar-DZ"/>
        </w:rPr>
        <w:t>b</w:t>
      </w:r>
      <w:r w:rsidRPr="0049445A">
        <w:rPr>
          <w:lang w:val="es-ES_tradnl" w:bidi="ar-DZ"/>
        </w:rPr>
        <w:t>ase de datos general de IMEI</w:t>
      </w:r>
      <w:bookmarkEnd w:id="381"/>
      <w:r w:rsidRPr="0049445A">
        <w:rPr>
          <w:lang w:val="es-ES_tradnl" w:bidi="ar-DZ"/>
        </w:rPr>
        <w:t xml:space="preserve"> </w:t>
      </w:r>
      <w:bookmarkEnd w:id="382"/>
    </w:p>
    <w:p w14:paraId="567CD172" w14:textId="77777777" w:rsidR="006B1268" w:rsidRPr="00897591" w:rsidRDefault="006B1268" w:rsidP="00C142FB">
      <w:pPr>
        <w:rPr>
          <w:lang w:val="es-ES_tradnl"/>
        </w:rPr>
      </w:pPr>
      <w:r w:rsidRPr="00897591">
        <w:rPr>
          <w:lang w:val="es-ES_tradnl"/>
        </w:rPr>
        <w:t xml:space="preserve">En una segunda etapa, se implementó un subsistema para intercambiar los números IMEI de las listas </w:t>
      </w:r>
      <w:r>
        <w:rPr>
          <w:lang w:val="es-ES_tradnl"/>
        </w:rPr>
        <w:t>"</w:t>
      </w:r>
      <w:r w:rsidRPr="00897591">
        <w:rPr>
          <w:lang w:val="es-ES_tradnl"/>
        </w:rPr>
        <w:t>blanca</w:t>
      </w:r>
      <w:r>
        <w:rPr>
          <w:lang w:val="es-ES_tradnl"/>
        </w:rPr>
        <w:t>"</w:t>
      </w:r>
      <w:r w:rsidRPr="00897591">
        <w:rPr>
          <w:lang w:val="es-ES_tradnl"/>
        </w:rPr>
        <w:t xml:space="preserve">, </w:t>
      </w:r>
      <w:r>
        <w:rPr>
          <w:lang w:val="es-ES_tradnl"/>
        </w:rPr>
        <w:t>"</w:t>
      </w:r>
      <w:r w:rsidRPr="00897591">
        <w:rPr>
          <w:lang w:val="es-ES_tradnl"/>
        </w:rPr>
        <w:t>gris</w:t>
      </w:r>
      <w:r>
        <w:rPr>
          <w:lang w:val="es-ES_tradnl"/>
        </w:rPr>
        <w:t>"</w:t>
      </w:r>
      <w:r w:rsidRPr="00897591">
        <w:rPr>
          <w:lang w:val="es-ES_tradnl"/>
        </w:rPr>
        <w:t xml:space="preserve"> y </w:t>
      </w:r>
      <w:r>
        <w:rPr>
          <w:lang w:val="es-ES_tradnl"/>
        </w:rPr>
        <w:t>"</w:t>
      </w:r>
      <w:r w:rsidRPr="00897591">
        <w:rPr>
          <w:lang w:val="es-ES_tradnl"/>
        </w:rPr>
        <w:t>negra</w:t>
      </w:r>
      <w:r>
        <w:rPr>
          <w:lang w:val="es-ES_tradnl"/>
        </w:rPr>
        <w:t>"</w:t>
      </w:r>
      <w:r w:rsidRPr="00897591">
        <w:rPr>
          <w:lang w:val="es-ES_tradnl"/>
        </w:rPr>
        <w:t xml:space="preserve"> entre el AISMTRU y los operadores m</w:t>
      </w:r>
      <w:r>
        <w:rPr>
          <w:lang w:val="es-ES_tradnl"/>
        </w:rPr>
        <w:t xml:space="preserve">óviles nacionales. </w:t>
      </w:r>
      <w:r w:rsidRPr="00897591">
        <w:rPr>
          <w:lang w:val="es-ES_tradnl"/>
        </w:rPr>
        <w:t xml:space="preserve">Hasta ese momento, el intercambio de números IMEI </w:t>
      </w:r>
      <w:r>
        <w:rPr>
          <w:lang w:val="es-ES_tradnl"/>
        </w:rPr>
        <w:t>s</w:t>
      </w:r>
      <w:r w:rsidRPr="00897591">
        <w:rPr>
          <w:lang w:val="es-ES_tradnl"/>
        </w:rPr>
        <w:t xml:space="preserve">e realizaba </w:t>
      </w:r>
      <w:r>
        <w:rPr>
          <w:lang w:val="es-ES_tradnl"/>
        </w:rPr>
        <w:t>en modo</w:t>
      </w:r>
      <w:r w:rsidRPr="00897591">
        <w:rPr>
          <w:lang w:val="es-ES_tradnl"/>
        </w:rPr>
        <w:t xml:space="preserve"> manual</w:t>
      </w:r>
      <w:r>
        <w:rPr>
          <w:lang w:val="es-ES_tradnl"/>
        </w:rPr>
        <w:t>.</w:t>
      </w:r>
    </w:p>
    <w:p w14:paraId="0D7BE1CD" w14:textId="77777777" w:rsidR="006B1268" w:rsidRPr="00F6473E" w:rsidRDefault="006B1268" w:rsidP="00C142FB">
      <w:pPr>
        <w:rPr>
          <w:lang w:val="es-ES_tradnl"/>
        </w:rPr>
      </w:pPr>
      <w:r>
        <w:rPr>
          <w:lang w:val="es-ES_tradnl"/>
        </w:rPr>
        <w:t>Por otro lado</w:t>
      </w:r>
      <w:r w:rsidRPr="00897591">
        <w:rPr>
          <w:lang w:val="es-ES_tradnl"/>
        </w:rPr>
        <w:t>, se implementaron los subsistemas de intercambio de datos para informar al Ministerio de</w:t>
      </w:r>
      <w:r>
        <w:rPr>
          <w:lang w:val="es-ES_tradnl"/>
        </w:rPr>
        <w:t>l</w:t>
      </w:r>
      <w:r w:rsidRPr="00897591">
        <w:rPr>
          <w:lang w:val="es-ES_tradnl"/>
        </w:rPr>
        <w:t xml:space="preserve"> Interior </w:t>
      </w:r>
      <w:r>
        <w:rPr>
          <w:lang w:val="es-ES_tradnl"/>
        </w:rPr>
        <w:t>d</w:t>
      </w:r>
      <w:r w:rsidRPr="00897591">
        <w:rPr>
          <w:lang w:val="es-ES_tradnl"/>
        </w:rPr>
        <w:t xml:space="preserve">e los terminales perdidos/robados y con el servicio de </w:t>
      </w:r>
      <w:r>
        <w:rPr>
          <w:lang w:val="es-ES_tradnl"/>
        </w:rPr>
        <w:t>a</w:t>
      </w:r>
      <w:r w:rsidRPr="00897591">
        <w:rPr>
          <w:lang w:val="es-ES_tradnl"/>
        </w:rPr>
        <w:t>duanas para la comunicaci</w:t>
      </w:r>
      <w:r>
        <w:rPr>
          <w:lang w:val="es-ES_tradnl"/>
        </w:rPr>
        <w:t xml:space="preserve">ón de la información sobre los terminales importados. </w:t>
      </w:r>
    </w:p>
    <w:p w14:paraId="649231B7" w14:textId="77777777" w:rsidR="006B1268" w:rsidRPr="0098260D" w:rsidRDefault="006B1268" w:rsidP="00C142FB">
      <w:pPr>
        <w:rPr>
          <w:lang w:val="es-ES_tradnl"/>
        </w:rPr>
      </w:pPr>
      <w:r w:rsidRPr="0098260D">
        <w:rPr>
          <w:lang w:val="es-ES_tradnl"/>
        </w:rPr>
        <w:t>Para asegurar</w:t>
      </w:r>
      <w:r>
        <w:rPr>
          <w:lang w:val="es-ES_tradnl"/>
        </w:rPr>
        <w:t xml:space="preserve"> </w:t>
      </w:r>
      <w:r w:rsidRPr="0098260D">
        <w:rPr>
          <w:lang w:val="es-ES_tradnl"/>
        </w:rPr>
        <w:t>una relación activ</w:t>
      </w:r>
      <w:r>
        <w:rPr>
          <w:lang w:val="es-ES_tradnl"/>
        </w:rPr>
        <w:t>a</w:t>
      </w:r>
      <w:r w:rsidRPr="0098260D">
        <w:rPr>
          <w:lang w:val="es-ES_tradnl"/>
        </w:rPr>
        <w:t xml:space="preserve"> con el AISMTRU, los operadores y el UCRF han proporcionado: </w:t>
      </w:r>
    </w:p>
    <w:p w14:paraId="578A14D1" w14:textId="77777777" w:rsidR="006B1268" w:rsidRPr="0098260D" w:rsidRDefault="006B1268" w:rsidP="00C142FB">
      <w:pPr>
        <w:pStyle w:val="enumlev1"/>
        <w:rPr>
          <w:lang w:val="es-ES_tradnl"/>
        </w:rPr>
      </w:pPr>
      <w:r w:rsidRPr="00511AD9">
        <w:rPr>
          <w:lang w:val="es-ES_tradnl"/>
        </w:rPr>
        <w:t>•</w:t>
      </w:r>
      <w:r>
        <w:rPr>
          <w:lang w:val="es-ES_tradnl"/>
        </w:rPr>
        <w:tab/>
        <w:t xml:space="preserve">el </w:t>
      </w:r>
      <w:r w:rsidRPr="0098260D">
        <w:rPr>
          <w:lang w:val="es-ES_tradnl"/>
        </w:rPr>
        <w:t xml:space="preserve">mantenimiento del </w:t>
      </w:r>
      <w:r>
        <w:rPr>
          <w:lang w:val="es-ES_tradnl"/>
        </w:rPr>
        <w:t>r</w:t>
      </w:r>
      <w:r w:rsidRPr="0098260D">
        <w:rPr>
          <w:lang w:val="es-ES_tradnl"/>
        </w:rPr>
        <w:t xml:space="preserve">egistro de identidades de </w:t>
      </w:r>
      <w:r>
        <w:rPr>
          <w:lang w:val="es-ES_tradnl"/>
        </w:rPr>
        <w:t>e</w:t>
      </w:r>
      <w:r w:rsidRPr="0098260D">
        <w:rPr>
          <w:lang w:val="es-ES_tradnl"/>
        </w:rPr>
        <w:t>quipos (EIR);</w:t>
      </w:r>
    </w:p>
    <w:p w14:paraId="674D7FDF" w14:textId="77777777" w:rsidR="006B1268" w:rsidRPr="0098260D" w:rsidRDefault="006B1268" w:rsidP="00C142FB">
      <w:pPr>
        <w:pStyle w:val="enumlev1"/>
        <w:rPr>
          <w:lang w:val="es-ES_tradnl"/>
        </w:rPr>
      </w:pPr>
      <w:r w:rsidRPr="00511AD9">
        <w:rPr>
          <w:lang w:val="es-ES_tradnl"/>
        </w:rPr>
        <w:t>•</w:t>
      </w:r>
      <w:r>
        <w:rPr>
          <w:lang w:val="es-ES_tradnl"/>
        </w:rPr>
        <w:tab/>
        <w:t xml:space="preserve">puntos de acceso de abonado a la base de datos general de IMEI </w:t>
      </w:r>
      <w:r w:rsidRPr="0098260D">
        <w:rPr>
          <w:lang w:val="es-ES_tradnl"/>
        </w:rPr>
        <w:t>(</w:t>
      </w:r>
      <w:r>
        <w:rPr>
          <w:lang w:val="es-ES_tradnl"/>
        </w:rPr>
        <w:t>punto de abonado</w:t>
      </w:r>
      <w:r w:rsidRPr="0098260D">
        <w:rPr>
          <w:lang w:val="es-ES_tradnl"/>
        </w:rPr>
        <w:t>);</w:t>
      </w:r>
    </w:p>
    <w:p w14:paraId="232F8812" w14:textId="77777777" w:rsidR="006B1268" w:rsidRPr="0098260D" w:rsidRDefault="006B1268" w:rsidP="00C142FB">
      <w:pPr>
        <w:pStyle w:val="enumlev1"/>
        <w:rPr>
          <w:lang w:val="es-ES_tradnl"/>
        </w:rPr>
      </w:pPr>
      <w:r w:rsidRPr="00511AD9">
        <w:rPr>
          <w:lang w:val="es-ES_tradnl"/>
        </w:rPr>
        <w:t>•</w:t>
      </w:r>
      <w:r>
        <w:rPr>
          <w:lang w:val="es-ES_tradnl"/>
        </w:rPr>
        <w:tab/>
      </w:r>
      <w:r w:rsidRPr="0098260D">
        <w:rPr>
          <w:lang w:val="es-ES_tradnl"/>
        </w:rPr>
        <w:t>un canal para la actuación entr</w:t>
      </w:r>
      <w:r>
        <w:rPr>
          <w:lang w:val="es-ES_tradnl"/>
        </w:rPr>
        <w:t>e el punto de abonado y el EIR;</w:t>
      </w:r>
    </w:p>
    <w:p w14:paraId="7183F041" w14:textId="77777777" w:rsidR="006B1268" w:rsidRPr="0098260D" w:rsidRDefault="006B1268" w:rsidP="00C142FB">
      <w:pPr>
        <w:pStyle w:val="enumlev1"/>
        <w:rPr>
          <w:lang w:val="es-ES_tradnl"/>
        </w:rPr>
      </w:pPr>
      <w:r w:rsidRPr="00511AD9">
        <w:rPr>
          <w:lang w:val="es-ES_tradnl"/>
        </w:rPr>
        <w:t>•</w:t>
      </w:r>
      <w:r>
        <w:rPr>
          <w:lang w:val="es-ES_tradnl"/>
        </w:rPr>
        <w:tab/>
      </w:r>
      <w:r w:rsidRPr="0098260D">
        <w:rPr>
          <w:lang w:val="es-ES_tradnl"/>
        </w:rPr>
        <w:t>una aplicación de certificados de firma digital</w:t>
      </w:r>
      <w:r>
        <w:rPr>
          <w:lang w:val="es-ES_tradnl"/>
        </w:rPr>
        <w:t xml:space="preserve"> para los usuarios autorizados.</w:t>
      </w:r>
    </w:p>
    <w:p w14:paraId="6DA4E605" w14:textId="77777777" w:rsidR="006B1268" w:rsidRPr="0098260D" w:rsidRDefault="006B1268" w:rsidP="00C142FB">
      <w:pPr>
        <w:rPr>
          <w:lang w:val="es-ES_tradnl"/>
        </w:rPr>
      </w:pPr>
      <w:r w:rsidRPr="0098260D">
        <w:rPr>
          <w:lang w:val="es-ES_tradnl"/>
        </w:rPr>
        <w:t>El sistema</w:t>
      </w:r>
      <w:r>
        <w:rPr>
          <w:lang w:val="es-ES_tradnl"/>
        </w:rPr>
        <w:t xml:space="preserve"> d</w:t>
      </w:r>
      <w:r w:rsidRPr="0098260D">
        <w:rPr>
          <w:lang w:val="es-ES_tradnl"/>
        </w:rPr>
        <w:t>el AISMTRU, sincroniza el trabajo de los EIR de los operadores celulares (m</w:t>
      </w:r>
      <w:r>
        <w:rPr>
          <w:lang w:val="es-ES_tradnl"/>
        </w:rPr>
        <w:t>óviles) y la base de datos general de IMEI, y posibilita el intercambio automático de las listas de números IMEI entre los EIR de las redes de los operadores móviles y la base de datos general de IMEI. De esta manera, el número IMEI de cada terminal, después de su registro en la red del operador, aparece en AISMTRU y se comprueba en la base de datos general.</w:t>
      </w:r>
    </w:p>
    <w:p w14:paraId="6A194A1F" w14:textId="77777777" w:rsidR="006B1268" w:rsidRPr="0028474D" w:rsidRDefault="006B1268" w:rsidP="00C142FB">
      <w:pPr>
        <w:rPr>
          <w:lang w:val="es-ES_tradnl"/>
        </w:rPr>
      </w:pPr>
      <w:r w:rsidRPr="0028474D">
        <w:rPr>
          <w:lang w:val="es-ES_tradnl"/>
        </w:rPr>
        <w:t xml:space="preserve">Actualmente, el servidor de sincronización soporta tanto el </w:t>
      </w:r>
      <w:r>
        <w:rPr>
          <w:lang w:val="es-ES_tradnl"/>
        </w:rPr>
        <w:t xml:space="preserve">modo manual como automático, para la conexión con los EIR de los operadores. </w:t>
      </w:r>
    </w:p>
    <w:p w14:paraId="673D6E49" w14:textId="77777777" w:rsidR="006B1268" w:rsidRPr="00517B90" w:rsidRDefault="006B1268" w:rsidP="00C142FB">
      <w:pPr>
        <w:pStyle w:val="Figure"/>
      </w:pPr>
      <w:r>
        <w:object w:dxaOrig="6881" w:dyaOrig="2754" w14:anchorId="3B564862">
          <v:shape id="_x0000_i1036" type="#_x0000_t75" style="width:454.5pt;height:180pt" o:ole="">
            <v:imagedata r:id="rId163" o:title=""/>
          </v:shape>
          <o:OLEObject Type="Embed" ProgID="CorelDraw.Graphic.16" ShapeID="_x0000_i1036" DrawAspect="Content" ObjectID="_1521536392" r:id="rId164"/>
        </w:object>
      </w:r>
    </w:p>
    <w:p w14:paraId="3ABCDD5B" w14:textId="77777777" w:rsidR="006B1268" w:rsidRPr="0028474D" w:rsidRDefault="006B1268" w:rsidP="00C142FB">
      <w:pPr>
        <w:pStyle w:val="FigureNotitle"/>
        <w:rPr>
          <w:lang w:val="es-ES_tradnl"/>
        </w:rPr>
      </w:pPr>
      <w:bookmarkStart w:id="383" w:name="_Toc404785102"/>
      <w:bookmarkStart w:id="384" w:name="_Toc447274554"/>
      <w:r w:rsidRPr="0028474D">
        <w:rPr>
          <w:lang w:val="es-ES_tradnl" w:bidi="ar-DZ"/>
        </w:rPr>
        <w:t xml:space="preserve">Figura A.5 – </w:t>
      </w:r>
      <w:bookmarkEnd w:id="383"/>
      <w:r w:rsidRPr="0028474D">
        <w:rPr>
          <w:lang w:val="es-ES_tradnl"/>
        </w:rPr>
        <w:t>Servidor de sincronización</w:t>
      </w:r>
      <w:bookmarkEnd w:id="384"/>
    </w:p>
    <w:p w14:paraId="7A84C90B" w14:textId="77777777" w:rsidR="006B1268" w:rsidRPr="00251BDC" w:rsidRDefault="006B1268" w:rsidP="00C142FB">
      <w:pPr>
        <w:pStyle w:val="Heading4"/>
        <w:tabs>
          <w:tab w:val="clear" w:pos="1021"/>
          <w:tab w:val="clear" w:pos="1191"/>
          <w:tab w:val="left" w:pos="1276"/>
        </w:tabs>
        <w:ind w:left="1134" w:hanging="1134"/>
        <w:rPr>
          <w:lang w:val="es-ES_tradnl"/>
        </w:rPr>
      </w:pPr>
      <w:r w:rsidRPr="00251BDC">
        <w:rPr>
          <w:lang w:val="es-ES_tradnl"/>
        </w:rPr>
        <w:lastRenderedPageBreak/>
        <w:t>A.1.11.2.7</w:t>
      </w:r>
      <w:r>
        <w:rPr>
          <w:lang w:val="es-ES_tradnl"/>
        </w:rPr>
        <w:tab/>
      </w:r>
      <w:r w:rsidRPr="00251BDC">
        <w:rPr>
          <w:lang w:val="es-ES_tradnl"/>
        </w:rPr>
        <w:t>Funcionalidades</w:t>
      </w:r>
    </w:p>
    <w:p w14:paraId="532194CB" w14:textId="77777777" w:rsidR="006B1268" w:rsidRDefault="006B1268" w:rsidP="00D16D8C">
      <w:pPr>
        <w:rPr>
          <w:lang w:val="es-ES_tradnl"/>
        </w:rPr>
      </w:pPr>
      <w:r>
        <w:rPr>
          <w:lang w:val="es-ES_tradnl"/>
        </w:rPr>
        <w:t>Las funcionalidades del sistema incluyen:</w:t>
      </w:r>
    </w:p>
    <w:p w14:paraId="4A561BDE" w14:textId="77777777" w:rsidR="006B1268" w:rsidRPr="00F24B12" w:rsidRDefault="006B1268" w:rsidP="00C142FB">
      <w:pPr>
        <w:pStyle w:val="enumlev1"/>
        <w:rPr>
          <w:lang w:val="es-ES_tradnl"/>
        </w:rPr>
      </w:pPr>
      <w:r w:rsidRPr="00B052FA">
        <w:rPr>
          <w:lang w:val="es-ES_tradnl"/>
        </w:rPr>
        <w:t>•</w:t>
      </w:r>
      <w:r>
        <w:rPr>
          <w:lang w:val="es-ES_tradnl"/>
        </w:rPr>
        <w:tab/>
      </w:r>
      <w:r w:rsidRPr="00F24B12">
        <w:rPr>
          <w:lang w:val="es-ES_tradnl"/>
        </w:rPr>
        <w:t xml:space="preserve">utilización de </w:t>
      </w:r>
      <w:r>
        <w:rPr>
          <w:lang w:val="es-ES_tradnl"/>
        </w:rPr>
        <w:t xml:space="preserve">las </w:t>
      </w:r>
      <w:r w:rsidRPr="00F24B12">
        <w:rPr>
          <w:lang w:val="es-ES_tradnl"/>
        </w:rPr>
        <w:t xml:space="preserve">normas de la industria para el almacenamiento </w:t>
      </w:r>
      <w:r>
        <w:rPr>
          <w:lang w:val="es-ES_tradnl"/>
        </w:rPr>
        <w:t xml:space="preserve">y la transferencia </w:t>
      </w:r>
      <w:r w:rsidRPr="00F24B12">
        <w:rPr>
          <w:lang w:val="es-ES_tradnl"/>
        </w:rPr>
        <w:t xml:space="preserve">de datos </w:t>
      </w:r>
      <w:r>
        <w:rPr>
          <w:lang w:val="es-ES_tradnl"/>
        </w:rPr>
        <w:t>(intercambio de datos)</w:t>
      </w:r>
      <w:r w:rsidRPr="00F24B12">
        <w:rPr>
          <w:lang w:val="es-ES_tradnl"/>
        </w:rPr>
        <w:t>;</w:t>
      </w:r>
    </w:p>
    <w:p w14:paraId="6477F19B" w14:textId="77777777" w:rsidR="006B1268" w:rsidRPr="00F24B12" w:rsidRDefault="006B1268" w:rsidP="00C142FB">
      <w:pPr>
        <w:pStyle w:val="enumlev1"/>
        <w:rPr>
          <w:lang w:val="es-ES_tradnl"/>
        </w:rPr>
      </w:pPr>
      <w:r w:rsidRPr="00B052FA">
        <w:rPr>
          <w:lang w:val="es-ES_tradnl"/>
        </w:rPr>
        <w:t>•</w:t>
      </w:r>
      <w:r>
        <w:rPr>
          <w:lang w:val="es-ES_tradnl"/>
        </w:rPr>
        <w:tab/>
      </w:r>
      <w:r w:rsidRPr="00F24B12">
        <w:rPr>
          <w:lang w:val="es-ES_tradnl"/>
        </w:rPr>
        <w:t>seguridad garantizada de los datos y del sistema completo;</w:t>
      </w:r>
    </w:p>
    <w:p w14:paraId="687CBEF8" w14:textId="77777777" w:rsidR="006B1268" w:rsidRPr="00F24B12" w:rsidRDefault="006B1268" w:rsidP="00C142FB">
      <w:pPr>
        <w:pStyle w:val="enumlev1"/>
        <w:rPr>
          <w:lang w:val="es-ES_tradnl"/>
        </w:rPr>
      </w:pPr>
      <w:r w:rsidRPr="00B052FA">
        <w:rPr>
          <w:lang w:val="es-ES_tradnl"/>
        </w:rPr>
        <w:t>•</w:t>
      </w:r>
      <w:r>
        <w:rPr>
          <w:lang w:val="es-ES_tradnl"/>
        </w:rPr>
        <w:tab/>
      </w:r>
      <w:r w:rsidRPr="00F24B12">
        <w:rPr>
          <w:lang w:val="es-ES_tradnl"/>
        </w:rPr>
        <w:t>utilización de la norma nacional de firma digital para asegurar la integridad y el no</w:t>
      </w:r>
      <w:r>
        <w:rPr>
          <w:lang w:val="es-ES_tradnl"/>
        </w:rPr>
        <w:t xml:space="preserve"> </w:t>
      </w:r>
      <w:r w:rsidRPr="00F24B12">
        <w:rPr>
          <w:lang w:val="es-ES_tradnl"/>
        </w:rPr>
        <w:t xml:space="preserve">repudio </w:t>
      </w:r>
      <w:r>
        <w:rPr>
          <w:lang w:val="es-ES_tradnl"/>
        </w:rPr>
        <w:t>en todas las etapas del procesado de datos en el sistema;</w:t>
      </w:r>
    </w:p>
    <w:p w14:paraId="14B70D02" w14:textId="77777777" w:rsidR="006B1268" w:rsidRPr="001C0DA8" w:rsidRDefault="006B1268" w:rsidP="00C142FB">
      <w:pPr>
        <w:pStyle w:val="enumlev1"/>
        <w:rPr>
          <w:lang w:val="es-ES"/>
        </w:rPr>
      </w:pPr>
      <w:r w:rsidRPr="00B052FA">
        <w:rPr>
          <w:lang w:val="es-ES"/>
        </w:rPr>
        <w:t>•</w:t>
      </w:r>
      <w:r>
        <w:rPr>
          <w:lang w:val="es-ES"/>
        </w:rPr>
        <w:tab/>
      </w:r>
      <w:r w:rsidRPr="001C0DA8">
        <w:rPr>
          <w:lang w:val="es-ES"/>
        </w:rPr>
        <w:t>estructura modular del sistema;</w:t>
      </w:r>
    </w:p>
    <w:p w14:paraId="4D7AC231" w14:textId="77777777" w:rsidR="006B1268" w:rsidRPr="001C0DA8" w:rsidRDefault="006B1268" w:rsidP="00C142FB">
      <w:pPr>
        <w:pStyle w:val="enumlev1"/>
        <w:rPr>
          <w:lang w:val="es-ES"/>
        </w:rPr>
      </w:pPr>
      <w:r w:rsidRPr="00B052FA">
        <w:rPr>
          <w:lang w:val="es-ES"/>
        </w:rPr>
        <w:t>•</w:t>
      </w:r>
      <w:r>
        <w:rPr>
          <w:lang w:val="es-ES"/>
        </w:rPr>
        <w:tab/>
      </w:r>
      <w:r w:rsidRPr="001C0DA8">
        <w:rPr>
          <w:lang w:val="es-ES"/>
        </w:rPr>
        <w:t>operación 24 horas al día los 7 días de la semana (24x7).</w:t>
      </w:r>
    </w:p>
    <w:p w14:paraId="7978C20A" w14:textId="77777777" w:rsidR="006B1268" w:rsidRPr="00251BDC" w:rsidRDefault="006B1268" w:rsidP="00C142FB">
      <w:pPr>
        <w:pStyle w:val="Heading4"/>
        <w:tabs>
          <w:tab w:val="clear" w:pos="1021"/>
          <w:tab w:val="clear" w:pos="1191"/>
          <w:tab w:val="left" w:pos="1276"/>
        </w:tabs>
        <w:ind w:left="1134" w:hanging="1134"/>
        <w:rPr>
          <w:lang w:val="es-ES_tradnl"/>
        </w:rPr>
      </w:pPr>
      <w:r w:rsidRPr="00251BDC">
        <w:rPr>
          <w:lang w:val="es-ES_tradnl"/>
        </w:rPr>
        <w:t>A.1.11.2.8</w:t>
      </w:r>
      <w:r>
        <w:rPr>
          <w:lang w:val="es-ES_tradnl"/>
        </w:rPr>
        <w:tab/>
      </w:r>
      <w:r w:rsidRPr="00251BDC">
        <w:rPr>
          <w:lang w:val="es-ES_tradnl"/>
        </w:rPr>
        <w:t xml:space="preserve">Seguridad de los datos </w:t>
      </w:r>
    </w:p>
    <w:p w14:paraId="28B8FD95" w14:textId="77777777" w:rsidR="006B1268" w:rsidRDefault="006B1268" w:rsidP="00C142FB">
      <w:pPr>
        <w:tabs>
          <w:tab w:val="left" w:pos="426"/>
        </w:tabs>
        <w:rPr>
          <w:lang w:val="es-ES_tradnl"/>
        </w:rPr>
      </w:pPr>
      <w:r w:rsidRPr="007816F5">
        <w:rPr>
          <w:lang w:val="es-ES_tradnl"/>
        </w:rPr>
        <w:t xml:space="preserve">El </w:t>
      </w:r>
      <w:r>
        <w:rPr>
          <w:lang w:val="es-ES_tradnl"/>
        </w:rPr>
        <w:t>S</w:t>
      </w:r>
      <w:r w:rsidRPr="007816F5">
        <w:rPr>
          <w:lang w:val="es-ES_tradnl"/>
        </w:rPr>
        <w:t xml:space="preserve">istema </w:t>
      </w:r>
      <w:r>
        <w:rPr>
          <w:lang w:val="es-ES_tradnl"/>
        </w:rPr>
        <w:t xml:space="preserve">integral </w:t>
      </w:r>
      <w:r w:rsidRPr="007816F5">
        <w:rPr>
          <w:lang w:val="es-ES_tradnl"/>
        </w:rPr>
        <w:t xml:space="preserve">de protección de la información </w:t>
      </w:r>
      <w:r>
        <w:rPr>
          <w:lang w:val="es-ES_tradnl"/>
        </w:rPr>
        <w:t xml:space="preserve">(CIPS) del AISMTRU cumple los requisitos de la legislación vigente y ha sido aprobado con las conclusiones positivas del examen realizado por la </w:t>
      </w:r>
      <w:r w:rsidRPr="001A021A">
        <w:rPr>
          <w:lang w:val="es-ES_tradnl"/>
        </w:rPr>
        <w:t>autoridad gubernamental competente</w:t>
      </w:r>
      <w:r>
        <w:rPr>
          <w:lang w:val="es-ES_tradnl"/>
        </w:rPr>
        <w:t>.</w:t>
      </w:r>
    </w:p>
    <w:p w14:paraId="5BE51205" w14:textId="77777777" w:rsidR="006B1268" w:rsidRDefault="006B1268" w:rsidP="00C142FB">
      <w:pPr>
        <w:tabs>
          <w:tab w:val="left" w:pos="426"/>
        </w:tabs>
        <w:rPr>
          <w:lang w:val="es-ES_tradnl"/>
        </w:rPr>
      </w:pPr>
      <w:r>
        <w:rPr>
          <w:lang w:val="es-ES_tradnl"/>
        </w:rPr>
        <w:t>El CIPS asegura:</w:t>
      </w:r>
    </w:p>
    <w:p w14:paraId="7DF1424C" w14:textId="77777777" w:rsidR="006B1268" w:rsidRPr="001A021A" w:rsidRDefault="006B1268" w:rsidP="00C142FB">
      <w:pPr>
        <w:pStyle w:val="enumlev1"/>
        <w:rPr>
          <w:lang w:val="es-ES_tradnl"/>
        </w:rPr>
      </w:pPr>
      <w:r w:rsidRPr="00251BDC">
        <w:rPr>
          <w:lang w:val="es-ES_tradnl"/>
        </w:rPr>
        <w:t>•</w:t>
      </w:r>
      <w:r>
        <w:rPr>
          <w:lang w:val="es-ES_tradnl"/>
        </w:rPr>
        <w:tab/>
      </w:r>
      <w:r w:rsidRPr="001A021A">
        <w:rPr>
          <w:lang w:val="es-ES_tradnl"/>
        </w:rPr>
        <w:t>el control del acceso restringido a la información confidencial;</w:t>
      </w:r>
    </w:p>
    <w:p w14:paraId="2B8960CF" w14:textId="77777777" w:rsidR="006B1268" w:rsidRDefault="006B1268" w:rsidP="00C142FB">
      <w:pPr>
        <w:pStyle w:val="enumlev1"/>
        <w:rPr>
          <w:lang w:val="es-ES_tradnl"/>
        </w:rPr>
      </w:pPr>
      <w:r w:rsidRPr="00251BDC">
        <w:rPr>
          <w:lang w:val="es-ES_tradnl"/>
        </w:rPr>
        <w:t>•</w:t>
      </w:r>
      <w:r>
        <w:rPr>
          <w:lang w:val="es-ES_tradnl"/>
        </w:rPr>
        <w:tab/>
        <w:t>la identificación de los riesgos para la seguridad de la información de acceso restringido transferida, procesada y almacenada en el sistema;</w:t>
      </w:r>
    </w:p>
    <w:p w14:paraId="5053C123" w14:textId="77777777" w:rsidR="006B1268" w:rsidRDefault="006B1268" w:rsidP="00C142FB">
      <w:pPr>
        <w:pStyle w:val="enumlev1"/>
        <w:rPr>
          <w:lang w:val="es-ES_tradnl"/>
        </w:rPr>
      </w:pPr>
      <w:r w:rsidRPr="00251BDC">
        <w:rPr>
          <w:lang w:val="es-ES_tradnl"/>
        </w:rPr>
        <w:t>•</w:t>
      </w:r>
      <w:r>
        <w:rPr>
          <w:lang w:val="es-ES_tradnl"/>
        </w:rPr>
        <w:tab/>
        <w:t>la protección de la confidencialidad, la integridad y la disponibilidad de la información de acceso restringido frente a accesos no autorizados;</w:t>
      </w:r>
    </w:p>
    <w:p w14:paraId="382530AF" w14:textId="77777777" w:rsidR="006B1268" w:rsidRDefault="006B1268" w:rsidP="00C142FB">
      <w:pPr>
        <w:pStyle w:val="enumlev1"/>
        <w:rPr>
          <w:lang w:val="es-ES_tradnl"/>
        </w:rPr>
      </w:pPr>
      <w:r w:rsidRPr="00251BDC">
        <w:rPr>
          <w:lang w:val="es-ES_tradnl"/>
        </w:rPr>
        <w:t>•</w:t>
      </w:r>
      <w:r>
        <w:rPr>
          <w:lang w:val="es-ES_tradnl"/>
        </w:rPr>
        <w:tab/>
        <w:t>la prevención de las fugas de información en el paso por un entorno no seguro;</w:t>
      </w:r>
    </w:p>
    <w:p w14:paraId="05C982AB" w14:textId="77777777" w:rsidR="006B1268" w:rsidRPr="001A021A" w:rsidRDefault="006B1268" w:rsidP="00C142FB">
      <w:pPr>
        <w:pStyle w:val="enumlev1"/>
        <w:rPr>
          <w:lang w:val="es-ES_tradnl"/>
        </w:rPr>
      </w:pPr>
      <w:r w:rsidRPr="00251BDC">
        <w:rPr>
          <w:lang w:val="es-ES_tradnl"/>
        </w:rPr>
        <w:t>•</w:t>
      </w:r>
      <w:r>
        <w:rPr>
          <w:lang w:val="es-ES_tradnl"/>
        </w:rPr>
        <w:tab/>
        <w:t>la protección de la información tecnológica contra los accesos no autorizados, la destrucción, la alteración o el bloqueo.</w:t>
      </w:r>
    </w:p>
    <w:p w14:paraId="1EA68C7A" w14:textId="77777777" w:rsidR="006B1268" w:rsidRPr="00AD1C93" w:rsidRDefault="006B1268" w:rsidP="00C142FB">
      <w:pPr>
        <w:rPr>
          <w:lang w:val="es-ES_tradnl"/>
        </w:rPr>
      </w:pPr>
      <w:r w:rsidRPr="00AD1C93">
        <w:rPr>
          <w:lang w:val="es-ES_tradnl"/>
        </w:rPr>
        <w:t xml:space="preserve">La seguridad y la fiabilidad se aseguran con: </w:t>
      </w:r>
    </w:p>
    <w:p w14:paraId="7667DA31" w14:textId="77777777" w:rsidR="006B1268" w:rsidRPr="00AD1C93" w:rsidRDefault="006B1268" w:rsidP="00C142FB">
      <w:pPr>
        <w:pStyle w:val="enumlev1"/>
        <w:rPr>
          <w:lang w:val="es-ES_tradnl"/>
        </w:rPr>
      </w:pPr>
      <w:r w:rsidRPr="00251BDC">
        <w:rPr>
          <w:lang w:val="es-ES_tradnl"/>
        </w:rPr>
        <w:t>•</w:t>
      </w:r>
      <w:r>
        <w:rPr>
          <w:lang w:val="es-ES_tradnl"/>
        </w:rPr>
        <w:tab/>
      </w:r>
      <w:r w:rsidRPr="00AD1C93">
        <w:rPr>
          <w:lang w:val="es-ES_tradnl"/>
        </w:rPr>
        <w:t xml:space="preserve">la utilización de medios fiables de firma digital electrónica </w:t>
      </w:r>
      <w:r>
        <w:rPr>
          <w:lang w:val="es-ES_tradnl"/>
        </w:rPr>
        <w:t>para asegurar la autenticidad e integridad de la información, la autorización y la autentificación de los usuarios autorizados;</w:t>
      </w:r>
    </w:p>
    <w:p w14:paraId="092A7AA5" w14:textId="77777777" w:rsidR="006B1268" w:rsidRPr="00AD1C93" w:rsidRDefault="006B1268" w:rsidP="00C142FB">
      <w:pPr>
        <w:pStyle w:val="enumlev1"/>
        <w:rPr>
          <w:lang w:val="es-ES_tradnl"/>
        </w:rPr>
      </w:pPr>
      <w:r w:rsidRPr="00251BDC">
        <w:rPr>
          <w:lang w:val="es-ES_tradnl"/>
        </w:rPr>
        <w:t>•</w:t>
      </w:r>
      <w:r>
        <w:rPr>
          <w:lang w:val="es-ES_tradnl"/>
        </w:rPr>
        <w:tab/>
        <w:t>la i</w:t>
      </w:r>
      <w:r w:rsidRPr="00AD1C93">
        <w:rPr>
          <w:lang w:val="es-ES_tradnl"/>
        </w:rPr>
        <w:t>mplementación de</w:t>
      </w:r>
      <w:r>
        <w:rPr>
          <w:lang w:val="es-ES_tradnl"/>
        </w:rPr>
        <w:t xml:space="preserve"> </w:t>
      </w:r>
      <w:r w:rsidRPr="00AD1C93">
        <w:rPr>
          <w:lang w:val="es-ES_tradnl"/>
        </w:rPr>
        <w:t>la firma digital electrónica de acuerdo con las normas nacionales de Ucrania;</w:t>
      </w:r>
    </w:p>
    <w:p w14:paraId="3DAFD4B2" w14:textId="77777777" w:rsidR="006B1268" w:rsidRPr="00AD1C93" w:rsidRDefault="006B1268" w:rsidP="00C142FB">
      <w:pPr>
        <w:pStyle w:val="enumlev1"/>
        <w:rPr>
          <w:lang w:val="es-ES_tradnl"/>
        </w:rPr>
      </w:pPr>
      <w:r w:rsidRPr="00251BDC">
        <w:rPr>
          <w:lang w:val="es-ES_tradnl"/>
        </w:rPr>
        <w:t>•</w:t>
      </w:r>
      <w:r>
        <w:rPr>
          <w:lang w:val="es-ES_tradnl"/>
        </w:rPr>
        <w:tab/>
      </w:r>
      <w:r w:rsidRPr="00AD1C93">
        <w:rPr>
          <w:lang w:val="es-ES_tradnl"/>
        </w:rPr>
        <w:t xml:space="preserve">la disponibilidad de un sistema de </w:t>
      </w:r>
      <w:r>
        <w:rPr>
          <w:lang w:val="es-ES_tradnl"/>
        </w:rPr>
        <w:t>duplicación</w:t>
      </w:r>
      <w:r w:rsidRPr="00AD1C93">
        <w:rPr>
          <w:lang w:val="es-ES_tradnl"/>
        </w:rPr>
        <w:t xml:space="preserve"> y </w:t>
      </w:r>
      <w:r>
        <w:rPr>
          <w:lang w:val="es-ES_tradnl"/>
        </w:rPr>
        <w:t>de recuperación;</w:t>
      </w:r>
    </w:p>
    <w:p w14:paraId="1D7F98D1" w14:textId="77777777" w:rsidR="006B1268" w:rsidRPr="00AD1C93" w:rsidRDefault="006B1268" w:rsidP="00C142FB">
      <w:pPr>
        <w:pStyle w:val="enumlev1"/>
        <w:rPr>
          <w:lang w:val="es-ES_tradnl"/>
        </w:rPr>
      </w:pPr>
      <w:r w:rsidRPr="00251BDC">
        <w:rPr>
          <w:lang w:val="es-ES_tradnl"/>
        </w:rPr>
        <w:t>•</w:t>
      </w:r>
      <w:r>
        <w:rPr>
          <w:lang w:val="es-ES_tradnl"/>
        </w:rPr>
        <w:tab/>
      </w:r>
      <w:r w:rsidRPr="00AD1C93">
        <w:rPr>
          <w:lang w:val="es-ES_tradnl"/>
        </w:rPr>
        <w:t xml:space="preserve">el mantenimiento de un registro de seguridad (registro de todas las acciones de usuario y </w:t>
      </w:r>
      <w:r>
        <w:rPr>
          <w:lang w:val="es-ES_tradnl"/>
        </w:rPr>
        <w:t>los eventos del sistema).</w:t>
      </w:r>
    </w:p>
    <w:p w14:paraId="43164FD6" w14:textId="77777777" w:rsidR="006B1268" w:rsidRPr="00517B90" w:rsidRDefault="006B1268" w:rsidP="00C142FB">
      <w:pPr>
        <w:pStyle w:val="Figure"/>
      </w:pPr>
      <w:r>
        <w:object w:dxaOrig="7349" w:dyaOrig="6283" w14:anchorId="7823A9F2">
          <v:shape id="_x0000_i1037" type="#_x0000_t75" style="width:490.5pt;height:418.5pt" o:ole="">
            <v:imagedata r:id="rId165" o:title=""/>
          </v:shape>
          <o:OLEObject Type="Embed" ProgID="CorelDraw.Graphic.16" ShapeID="_x0000_i1037" DrawAspect="Content" ObjectID="_1521536393" r:id="rId166"/>
        </w:object>
      </w:r>
    </w:p>
    <w:p w14:paraId="4A018A46" w14:textId="77777777" w:rsidR="006B1268" w:rsidRDefault="006B1268" w:rsidP="00C142FB">
      <w:pPr>
        <w:pStyle w:val="FigureNotitle"/>
        <w:rPr>
          <w:lang w:val="es-ES_tradnl"/>
        </w:rPr>
      </w:pPr>
      <w:bookmarkStart w:id="385" w:name="_Toc404785103"/>
      <w:bookmarkStart w:id="386" w:name="_Toc447274555"/>
      <w:r w:rsidRPr="007655C6">
        <w:rPr>
          <w:lang w:val="es-ES_tradnl" w:bidi="ar-DZ"/>
        </w:rPr>
        <w:t>Figur</w:t>
      </w:r>
      <w:r>
        <w:rPr>
          <w:lang w:val="es-ES_tradnl" w:bidi="ar-DZ"/>
        </w:rPr>
        <w:t>a</w:t>
      </w:r>
      <w:r w:rsidRPr="007655C6">
        <w:rPr>
          <w:lang w:val="es-ES_tradnl" w:bidi="ar-DZ"/>
        </w:rPr>
        <w:t xml:space="preserve"> A.6 – </w:t>
      </w:r>
      <w:r w:rsidRPr="007655C6">
        <w:rPr>
          <w:lang w:val="es-ES_tradnl"/>
        </w:rPr>
        <w:t xml:space="preserve">Sistema integral de protección de la información (CIPS) </w:t>
      </w:r>
      <w:r>
        <w:rPr>
          <w:lang w:val="es-ES_tradnl"/>
        </w:rPr>
        <w:t xml:space="preserve">del </w:t>
      </w:r>
      <w:r w:rsidRPr="007655C6">
        <w:rPr>
          <w:lang w:val="es-ES_tradnl"/>
        </w:rPr>
        <w:t>AISMTRU</w:t>
      </w:r>
      <w:bookmarkEnd w:id="385"/>
      <w:bookmarkEnd w:id="386"/>
    </w:p>
    <w:p w14:paraId="38228ED9" w14:textId="77777777" w:rsidR="006B1268" w:rsidRPr="00251BDC" w:rsidRDefault="006B1268" w:rsidP="00C142FB">
      <w:pPr>
        <w:pStyle w:val="Heading4"/>
        <w:tabs>
          <w:tab w:val="clear" w:pos="1021"/>
          <w:tab w:val="clear" w:pos="1191"/>
          <w:tab w:val="left" w:pos="1276"/>
        </w:tabs>
        <w:ind w:left="1134" w:hanging="1134"/>
        <w:rPr>
          <w:lang w:val="es-ES_tradnl"/>
        </w:rPr>
      </w:pPr>
      <w:r w:rsidRPr="00251BDC">
        <w:rPr>
          <w:lang w:val="es-ES_tradnl"/>
        </w:rPr>
        <w:t>A.1.11.2.9</w:t>
      </w:r>
      <w:r>
        <w:rPr>
          <w:lang w:val="es-ES_tradnl"/>
        </w:rPr>
        <w:tab/>
      </w:r>
      <w:r w:rsidRPr="00251BDC">
        <w:rPr>
          <w:lang w:val="es-ES_tradnl"/>
        </w:rPr>
        <w:t xml:space="preserve">Efectos de la puesta en funcionamiento del sistema </w:t>
      </w:r>
    </w:p>
    <w:p w14:paraId="20CEF87F" w14:textId="77777777" w:rsidR="006B1268" w:rsidRPr="00245DE0" w:rsidRDefault="006B1268" w:rsidP="00C142FB">
      <w:pPr>
        <w:pStyle w:val="Headingb"/>
        <w:rPr>
          <w:lang w:val="es-ES_tradnl"/>
        </w:rPr>
      </w:pPr>
      <w:r w:rsidRPr="00245DE0">
        <w:rPr>
          <w:lang w:val="es-ES_tradnl"/>
        </w:rPr>
        <w:t>1)</w:t>
      </w:r>
      <w:r>
        <w:rPr>
          <w:lang w:val="es-ES_tradnl"/>
        </w:rPr>
        <w:tab/>
      </w:r>
      <w:r w:rsidRPr="00245DE0">
        <w:rPr>
          <w:lang w:val="es-ES_tradnl"/>
        </w:rPr>
        <w:t>Protección del consumidor</w:t>
      </w:r>
    </w:p>
    <w:p w14:paraId="3F1FD590" w14:textId="77777777" w:rsidR="006B1268" w:rsidRPr="00245DE0" w:rsidRDefault="006B1268" w:rsidP="00C142FB">
      <w:pPr>
        <w:tabs>
          <w:tab w:val="left" w:pos="426"/>
        </w:tabs>
        <w:rPr>
          <w:lang w:val="es-ES_tradnl"/>
        </w:rPr>
      </w:pPr>
      <w:r w:rsidRPr="00245DE0">
        <w:rPr>
          <w:lang w:val="es-ES_tradnl"/>
        </w:rPr>
        <w:t xml:space="preserve">Cualquier </w:t>
      </w:r>
      <w:r>
        <w:rPr>
          <w:lang w:val="es-ES_tradnl"/>
        </w:rPr>
        <w:t>comprador</w:t>
      </w:r>
      <w:r w:rsidRPr="00245DE0">
        <w:rPr>
          <w:lang w:val="es-ES_tradnl"/>
        </w:rPr>
        <w:t xml:space="preserve"> puede verificar </w:t>
      </w:r>
      <w:r>
        <w:rPr>
          <w:lang w:val="es-ES_tradnl"/>
        </w:rPr>
        <w:t xml:space="preserve">la legalidad de un terminal móvil antes de su compra en Ucrania. Puede realizarse mediante la utilización del </w:t>
      </w:r>
      <w:r w:rsidRPr="00245DE0">
        <w:rPr>
          <w:lang w:val="es-ES_tradnl"/>
        </w:rPr>
        <w:t>portal de Internet del UCRF</w:t>
      </w:r>
      <w:r>
        <w:rPr>
          <w:lang w:val="es-ES_tradnl"/>
        </w:rPr>
        <w:t xml:space="preserve"> o </w:t>
      </w:r>
      <w:r w:rsidRPr="00245DE0">
        <w:rPr>
          <w:lang w:val="es-ES_tradnl"/>
        </w:rPr>
        <w:t>enviando un</w:t>
      </w:r>
      <w:r>
        <w:rPr>
          <w:lang w:val="es-ES_tradnl"/>
        </w:rPr>
        <w:t> </w:t>
      </w:r>
      <w:r w:rsidRPr="00245DE0">
        <w:rPr>
          <w:lang w:val="es-ES_tradnl"/>
        </w:rPr>
        <w:t xml:space="preserve">SMS con el IMEI </w:t>
      </w:r>
      <w:r>
        <w:rPr>
          <w:lang w:val="es-ES_tradnl"/>
        </w:rPr>
        <w:t>por comprobar</w:t>
      </w:r>
      <w:r w:rsidRPr="00245DE0">
        <w:rPr>
          <w:lang w:val="es-ES_tradnl"/>
        </w:rPr>
        <w:t xml:space="preserve"> al número 307</w:t>
      </w:r>
      <w:r>
        <w:rPr>
          <w:lang w:val="es-ES_tradnl"/>
        </w:rPr>
        <w:t xml:space="preserve">, común para todos los operadores móviles. Después de unos segundos, se obtiene una respuesta con el estado del IMEI enviado en la base de datos general de IMEI. </w:t>
      </w:r>
    </w:p>
    <w:p w14:paraId="4350BC58" w14:textId="77777777" w:rsidR="006B1268" w:rsidRPr="00A21B6C" w:rsidRDefault="006B1268" w:rsidP="00C142FB">
      <w:pPr>
        <w:tabs>
          <w:tab w:val="left" w:pos="426"/>
        </w:tabs>
        <w:rPr>
          <w:lang w:val="es-ES_tradnl"/>
        </w:rPr>
      </w:pPr>
      <w:r w:rsidRPr="00A21B6C">
        <w:rPr>
          <w:lang w:val="es-ES_tradnl"/>
        </w:rPr>
        <w:t xml:space="preserve">De esta manera, se </w:t>
      </w:r>
      <w:r>
        <w:rPr>
          <w:lang w:val="es-ES_tradnl"/>
        </w:rPr>
        <w:t>protege el</w:t>
      </w:r>
      <w:r w:rsidRPr="00A21B6C">
        <w:rPr>
          <w:lang w:val="es-ES_tradnl"/>
        </w:rPr>
        <w:t xml:space="preserve"> mercado ucraniano </w:t>
      </w:r>
      <w:r>
        <w:rPr>
          <w:lang w:val="es-ES_tradnl"/>
        </w:rPr>
        <w:t xml:space="preserve">frente a los terminales que no cumplen con los requisitos de utilización especificados en Ucrania. </w:t>
      </w:r>
    </w:p>
    <w:p w14:paraId="0B565D4E" w14:textId="77777777" w:rsidR="006B1268" w:rsidRPr="00A21B6C" w:rsidRDefault="006B1268" w:rsidP="00C142FB">
      <w:pPr>
        <w:tabs>
          <w:tab w:val="left" w:pos="426"/>
        </w:tabs>
        <w:rPr>
          <w:lang w:val="es-ES_tradnl"/>
        </w:rPr>
      </w:pPr>
      <w:r w:rsidRPr="00A21B6C">
        <w:rPr>
          <w:lang w:val="es-ES_tradnl"/>
        </w:rPr>
        <w:t>La legislación vigente ucraniana prohíbe la utilización de terminales móviles con números IMEI</w:t>
      </w:r>
      <w:r>
        <w:rPr>
          <w:lang w:val="es-ES_tradnl"/>
        </w:rPr>
        <w:t xml:space="preserve"> no registrados en la base de datos general de IMEI.</w:t>
      </w:r>
    </w:p>
    <w:p w14:paraId="0B462AF1" w14:textId="77777777" w:rsidR="006B1268" w:rsidRPr="00A21B6C" w:rsidRDefault="006B1268" w:rsidP="00C142FB">
      <w:pPr>
        <w:pStyle w:val="Headingb"/>
        <w:rPr>
          <w:lang w:val="es-ES_tradnl"/>
        </w:rPr>
      </w:pPr>
      <w:r w:rsidRPr="00A21B6C">
        <w:rPr>
          <w:lang w:val="es-ES_tradnl"/>
        </w:rPr>
        <w:t>2)</w:t>
      </w:r>
      <w:r>
        <w:rPr>
          <w:lang w:val="es-ES_tradnl"/>
        </w:rPr>
        <w:tab/>
      </w:r>
      <w:r w:rsidRPr="00A21B6C">
        <w:rPr>
          <w:lang w:val="es-ES_tradnl"/>
        </w:rPr>
        <w:t>Lucha contra el ro</w:t>
      </w:r>
      <w:r>
        <w:rPr>
          <w:lang w:val="es-ES_tradnl"/>
        </w:rPr>
        <w:t>b</w:t>
      </w:r>
      <w:r w:rsidRPr="00A21B6C">
        <w:rPr>
          <w:lang w:val="es-ES_tradnl"/>
        </w:rPr>
        <w:t>o de terminales</w:t>
      </w:r>
    </w:p>
    <w:p w14:paraId="1DEA1C78" w14:textId="77777777" w:rsidR="006B1268" w:rsidRDefault="006B1268" w:rsidP="00C142FB">
      <w:pPr>
        <w:tabs>
          <w:tab w:val="left" w:pos="426"/>
        </w:tabs>
        <w:rPr>
          <w:bCs/>
          <w:lang w:val="es-ES_tradnl"/>
        </w:rPr>
      </w:pPr>
      <w:r>
        <w:rPr>
          <w:bCs/>
          <w:lang w:val="es-ES_tradnl"/>
        </w:rPr>
        <w:t>Los números</w:t>
      </w:r>
      <w:r w:rsidRPr="00A21B6C">
        <w:rPr>
          <w:bCs/>
          <w:lang w:val="es-ES_tradnl"/>
        </w:rPr>
        <w:t xml:space="preserve"> IMEI de los terminales robados se incorpora</w:t>
      </w:r>
      <w:r>
        <w:rPr>
          <w:bCs/>
          <w:lang w:val="es-ES_tradnl"/>
        </w:rPr>
        <w:t>n</w:t>
      </w:r>
      <w:r w:rsidRPr="00A21B6C">
        <w:rPr>
          <w:bCs/>
          <w:lang w:val="es-ES_tradnl"/>
        </w:rPr>
        <w:t xml:space="preserve"> a la </w:t>
      </w:r>
      <w:r>
        <w:rPr>
          <w:bCs/>
          <w:lang w:val="es-ES_tradnl"/>
        </w:rPr>
        <w:t>"</w:t>
      </w:r>
      <w:r w:rsidRPr="00A21B6C">
        <w:rPr>
          <w:bCs/>
          <w:lang w:val="es-ES_tradnl"/>
        </w:rPr>
        <w:t>lista negra</w:t>
      </w:r>
      <w:r>
        <w:rPr>
          <w:bCs/>
          <w:lang w:val="es-ES_tradnl"/>
        </w:rPr>
        <w:t>"</w:t>
      </w:r>
      <w:r w:rsidRPr="00A21B6C">
        <w:rPr>
          <w:bCs/>
          <w:lang w:val="es-ES_tradnl"/>
        </w:rPr>
        <w:t xml:space="preserve"> bajo petición legal de un organismo y hace</w:t>
      </w:r>
      <w:r>
        <w:rPr>
          <w:bCs/>
          <w:lang w:val="es-ES_tradnl"/>
        </w:rPr>
        <w:t>n</w:t>
      </w:r>
      <w:r w:rsidRPr="00A21B6C">
        <w:rPr>
          <w:bCs/>
          <w:lang w:val="es-ES_tradnl"/>
        </w:rPr>
        <w:t xml:space="preserve"> inútil el robo de terminales. </w:t>
      </w:r>
    </w:p>
    <w:p w14:paraId="3952F4EC" w14:textId="77777777" w:rsidR="006B1268" w:rsidRPr="00A21B6C" w:rsidRDefault="006B1268" w:rsidP="00C142FB">
      <w:pPr>
        <w:tabs>
          <w:tab w:val="left" w:pos="426"/>
        </w:tabs>
        <w:rPr>
          <w:bCs/>
          <w:lang w:val="es-ES_tradnl"/>
        </w:rPr>
      </w:pPr>
      <w:r w:rsidRPr="00A21B6C">
        <w:rPr>
          <w:bCs/>
          <w:lang w:val="es-ES_tradnl"/>
        </w:rPr>
        <w:lastRenderedPageBreak/>
        <w:t xml:space="preserve">El mismo procedimiento se sigue en el caso del bloqueo del terminal a petición de los propietarios de teléfonos </w:t>
      </w:r>
      <w:r>
        <w:rPr>
          <w:bCs/>
          <w:lang w:val="es-ES_tradnl"/>
        </w:rPr>
        <w:t>perdidos</w:t>
      </w:r>
      <w:r w:rsidRPr="00A21B6C">
        <w:rPr>
          <w:bCs/>
          <w:lang w:val="es-ES_tradnl"/>
        </w:rPr>
        <w:t xml:space="preserve">. </w:t>
      </w:r>
    </w:p>
    <w:p w14:paraId="3E8AC698" w14:textId="77777777" w:rsidR="006B1268" w:rsidRPr="00744A39" w:rsidRDefault="006B1268" w:rsidP="00C142FB">
      <w:pPr>
        <w:pStyle w:val="Headingb"/>
        <w:rPr>
          <w:lang w:val="es-ES_tradnl"/>
        </w:rPr>
      </w:pPr>
      <w:r w:rsidRPr="00744A39">
        <w:rPr>
          <w:lang w:val="es-ES_tradnl"/>
        </w:rPr>
        <w:t>3)</w:t>
      </w:r>
      <w:r>
        <w:rPr>
          <w:lang w:val="es-ES_tradnl"/>
        </w:rPr>
        <w:tab/>
      </w:r>
      <w:r w:rsidRPr="00744A39">
        <w:rPr>
          <w:lang w:val="es-ES_tradnl"/>
        </w:rPr>
        <w:t>Supresión de las importaciones ilegales</w:t>
      </w:r>
    </w:p>
    <w:p w14:paraId="6CF18C48" w14:textId="77777777" w:rsidR="006B1268" w:rsidRDefault="006B1268" w:rsidP="00C142FB">
      <w:pPr>
        <w:rPr>
          <w:lang w:val="es-ES_tradnl"/>
        </w:rPr>
      </w:pPr>
      <w:r w:rsidRPr="00D257CC">
        <w:rPr>
          <w:lang w:val="es-ES_tradnl"/>
        </w:rPr>
        <w:t xml:space="preserve">Durante la primera conexión a </w:t>
      </w:r>
      <w:r>
        <w:rPr>
          <w:lang w:val="es-ES_tradnl"/>
        </w:rPr>
        <w:t xml:space="preserve">la red de </w:t>
      </w:r>
      <w:r w:rsidRPr="00D257CC">
        <w:rPr>
          <w:lang w:val="es-ES_tradnl"/>
        </w:rPr>
        <w:t>cualquier operador, la red registra e</w:t>
      </w:r>
      <w:r>
        <w:rPr>
          <w:lang w:val="es-ES_tradnl"/>
        </w:rPr>
        <w:t>l terminal de manera inmediata. En el momento previsto (por lo noche), el operador móvil envía l</w:t>
      </w:r>
      <w:r w:rsidRPr="00D257CC">
        <w:rPr>
          <w:lang w:val="es-ES_tradnl"/>
        </w:rPr>
        <w:t xml:space="preserve">os números IMEI de los terminales conectados a </w:t>
      </w:r>
      <w:r>
        <w:rPr>
          <w:lang w:val="es-ES_tradnl"/>
        </w:rPr>
        <w:t>su red</w:t>
      </w:r>
      <w:r w:rsidRPr="00D257CC">
        <w:rPr>
          <w:lang w:val="es-ES_tradnl"/>
        </w:rPr>
        <w:t xml:space="preserve"> (salvo los que est</w:t>
      </w:r>
      <w:r>
        <w:rPr>
          <w:lang w:val="es-ES_tradnl"/>
        </w:rPr>
        <w:t xml:space="preserve">án en itinerancia internacional) a la base de datos general de IMEI del </w:t>
      </w:r>
      <w:r w:rsidRPr="00D257CC">
        <w:rPr>
          <w:lang w:val="es-ES_tradnl"/>
        </w:rPr>
        <w:t>AISMTRU.</w:t>
      </w:r>
    </w:p>
    <w:p w14:paraId="099FA8E9" w14:textId="77777777" w:rsidR="006B1268" w:rsidRPr="00D257CC" w:rsidRDefault="006B1268" w:rsidP="00C142FB">
      <w:pPr>
        <w:rPr>
          <w:lang w:val="es-ES_tradnl"/>
        </w:rPr>
      </w:pPr>
      <w:r>
        <w:rPr>
          <w:lang w:val="es-ES_tradnl"/>
        </w:rPr>
        <w:t>AISMTRU identifica los números IMEI que no están incluidos en la "lista blanca" de la base de datos general de IMEI. Estos números IMEI se registran en la "lista gris". Todos los propietarios de los terminales reciben por SMS un aviso del posible bloqueo del terminal a los 90 días.</w:t>
      </w:r>
    </w:p>
    <w:p w14:paraId="4D1FA4C5" w14:textId="77777777" w:rsidR="006B1268" w:rsidRPr="00744A39" w:rsidRDefault="006B1268" w:rsidP="00C142FB">
      <w:pPr>
        <w:rPr>
          <w:lang w:val="es-ES_tradnl"/>
        </w:rPr>
      </w:pPr>
      <w:r>
        <w:rPr>
          <w:lang w:val="es-ES_tradnl"/>
        </w:rPr>
        <w:t>Al final</w:t>
      </w:r>
      <w:r w:rsidRPr="00744A39">
        <w:rPr>
          <w:lang w:val="es-ES_tradnl"/>
        </w:rPr>
        <w:t xml:space="preserve"> del periodo de 90 d</w:t>
      </w:r>
      <w:r>
        <w:rPr>
          <w:lang w:val="es-ES_tradnl"/>
        </w:rPr>
        <w:t>ías, el número IMEI es transferido de la "lista gris" a la "lista negra". Los terminales de la "lista negra" no son atendidos por los operadores (rechazo en el registro de red, salvo para las llamadas de emergencia al número 112). Una conexión a cualquier otra red de operador no cambia el estado "gris" o "negro" del terminal</w:t>
      </w:r>
      <w:r w:rsidRPr="00744A39">
        <w:rPr>
          <w:lang w:val="es-ES_tradnl"/>
        </w:rPr>
        <w:t xml:space="preserve"> </w:t>
      </w:r>
    </w:p>
    <w:p w14:paraId="52010743" w14:textId="77777777" w:rsidR="006B1268" w:rsidRDefault="006B1268" w:rsidP="00C142FB">
      <w:pPr>
        <w:rPr>
          <w:lang w:val="es-ES_tradnl"/>
        </w:rPr>
      </w:pPr>
      <w:r>
        <w:rPr>
          <w:lang w:val="es-ES_tradnl"/>
        </w:rPr>
        <w:t>Al recibir por SMS el aviso de la entrada en la "lista gris" y del límite de 90 días del servicio, el propietario puede dirigirse al UCRF para presentar una confirmación de la importación legal del terminal. El personal del UCRF revisa la petición del propietario y, en caso de confirmarse la importación legal, transfiere el código IMEI de la "lista gris" a la "lista blanca". Después de este procedimiento, los operadores prestan servicio al terminal sin límite de tiempo.</w:t>
      </w:r>
    </w:p>
    <w:p w14:paraId="0C806C2F" w14:textId="77777777" w:rsidR="006B1268" w:rsidRDefault="006B1268" w:rsidP="00C142FB">
      <w:pPr>
        <w:rPr>
          <w:lang w:val="es-ES_tradnl"/>
        </w:rPr>
      </w:pPr>
      <w:r>
        <w:rPr>
          <w:lang w:val="es-ES_tradnl"/>
        </w:rPr>
        <w:t xml:space="preserve">Sin embargo, hasta el momento no se desconectan los terminales de la "lista negra", debido a la falta de un instrumento legal. </w:t>
      </w:r>
    </w:p>
    <w:p w14:paraId="35C30E8F" w14:textId="77777777" w:rsidR="006B1268" w:rsidRDefault="006B1268" w:rsidP="00C142FB">
      <w:pPr>
        <w:rPr>
          <w:lang w:val="es-ES_tradnl"/>
        </w:rPr>
      </w:pPr>
      <w:r>
        <w:rPr>
          <w:lang w:val="es-ES_tradnl"/>
        </w:rPr>
        <w:t xml:space="preserve">El UCRF dispone de un centro de llamadas para atender las peticiones de los usuarios de terminales móviles sobre el estado del número IMEI y la importación de terminales. </w:t>
      </w:r>
    </w:p>
    <w:p w14:paraId="1712425E" w14:textId="77777777" w:rsidR="006B1268" w:rsidRPr="00744A39" w:rsidRDefault="006B1268" w:rsidP="00C142FB">
      <w:pPr>
        <w:pStyle w:val="Headingb"/>
        <w:rPr>
          <w:lang w:val="es-ES_tradnl"/>
        </w:rPr>
      </w:pPr>
      <w:r>
        <w:rPr>
          <w:lang w:val="es-ES_tradnl"/>
        </w:rPr>
        <w:t>4)</w:t>
      </w:r>
      <w:r>
        <w:rPr>
          <w:lang w:val="es-ES_tradnl"/>
        </w:rPr>
        <w:tab/>
        <w:t>Legalización del mercado de terminales en Ucrania</w:t>
      </w:r>
    </w:p>
    <w:p w14:paraId="3288CF64" w14:textId="77777777" w:rsidR="006B1268" w:rsidRPr="00F6473E" w:rsidRDefault="006B1268" w:rsidP="00C142FB">
      <w:pPr>
        <w:pStyle w:val="enumlev1"/>
        <w:rPr>
          <w:lang w:val="es-ES_tradnl"/>
        </w:rPr>
      </w:pPr>
      <w:r w:rsidRPr="00251BDC">
        <w:rPr>
          <w:lang w:val="es-ES_tradnl"/>
        </w:rPr>
        <w:t>•</w:t>
      </w:r>
      <w:r>
        <w:rPr>
          <w:lang w:val="es-ES_tradnl"/>
        </w:rPr>
        <w:tab/>
        <w:t>L</w:t>
      </w:r>
      <w:r w:rsidRPr="00176304">
        <w:rPr>
          <w:lang w:val="es-ES_tradnl"/>
        </w:rPr>
        <w:t xml:space="preserve">a importación </w:t>
      </w:r>
      <w:r>
        <w:rPr>
          <w:lang w:val="es-ES_tradnl"/>
        </w:rPr>
        <w:t>"</w:t>
      </w:r>
      <w:r w:rsidRPr="00176304">
        <w:rPr>
          <w:lang w:val="es-ES_tradnl"/>
        </w:rPr>
        <w:t>gris</w:t>
      </w:r>
      <w:r>
        <w:rPr>
          <w:lang w:val="es-ES_tradnl"/>
        </w:rPr>
        <w:t>"</w:t>
      </w:r>
      <w:r w:rsidRPr="00176304">
        <w:rPr>
          <w:lang w:val="es-ES_tradnl"/>
        </w:rPr>
        <w:t xml:space="preserve"> (ilegal) de terminales móviles en Ucrania </w:t>
      </w:r>
      <w:r>
        <w:rPr>
          <w:lang w:val="es-ES_tradnl"/>
        </w:rPr>
        <w:t>h</w:t>
      </w:r>
      <w:r w:rsidRPr="00176304">
        <w:rPr>
          <w:lang w:val="es-ES_tradnl"/>
        </w:rPr>
        <w:t>a caído de forma espectacular</w:t>
      </w:r>
      <w:r>
        <w:rPr>
          <w:lang w:val="es-ES_tradnl"/>
        </w:rPr>
        <w:t>. La cuota de los terminales legalmente importados aumentó hasta el 93-95% en 2010 (frente al 7,5% en 2008).</w:t>
      </w:r>
    </w:p>
    <w:p w14:paraId="4588EE7E" w14:textId="77777777" w:rsidR="006B1268" w:rsidRDefault="006B1268" w:rsidP="00C142FB">
      <w:pPr>
        <w:pStyle w:val="enumlev1"/>
        <w:rPr>
          <w:lang w:val="es-ES_tradnl"/>
        </w:rPr>
      </w:pPr>
      <w:r w:rsidRPr="00251BDC">
        <w:rPr>
          <w:lang w:val="es-ES_tradnl"/>
        </w:rPr>
        <w:t>•</w:t>
      </w:r>
      <w:r>
        <w:rPr>
          <w:lang w:val="es-ES_tradnl"/>
        </w:rPr>
        <w:tab/>
        <w:t xml:space="preserve">Se han ingresado más de 500 millones USD en el presupuesto del estado, en el periodo 2010-2012, provenientes de las tasas de importación de los terminales móviles, comparado con 30 millones USD aproximadamente durante los tres años anteriores. </w:t>
      </w:r>
    </w:p>
    <w:p w14:paraId="31323656" w14:textId="77777777" w:rsidR="006B1268" w:rsidRPr="00176304" w:rsidRDefault="006B1268" w:rsidP="00C142FB">
      <w:pPr>
        <w:pStyle w:val="enumlev1"/>
        <w:rPr>
          <w:lang w:val="es-ES_tradnl"/>
        </w:rPr>
      </w:pPr>
      <w:r w:rsidRPr="00251BDC">
        <w:rPr>
          <w:lang w:val="es-ES_tradnl"/>
        </w:rPr>
        <w:t>•</w:t>
      </w:r>
      <w:r>
        <w:rPr>
          <w:lang w:val="es-ES_tradnl"/>
        </w:rPr>
        <w:tab/>
        <w:t>El mercado ucraniano de terminales móviles está compuesto principalmente de terminales móviles que cumplen con las características técnicas requeridas para su utilización en Ucrania.</w:t>
      </w:r>
    </w:p>
    <w:p w14:paraId="6E5B3D8F" w14:textId="77777777" w:rsidR="006B1268" w:rsidRPr="00E601A2" w:rsidRDefault="006B1268" w:rsidP="00C142FB">
      <w:pPr>
        <w:pStyle w:val="enumlev1"/>
        <w:rPr>
          <w:lang w:val="es-ES_tradnl"/>
        </w:rPr>
      </w:pPr>
      <w:r w:rsidRPr="00251BDC">
        <w:rPr>
          <w:lang w:val="es-ES_tradnl"/>
        </w:rPr>
        <w:t>•</w:t>
      </w:r>
      <w:r>
        <w:rPr>
          <w:lang w:val="es-ES_tradnl"/>
        </w:rPr>
        <w:tab/>
      </w:r>
      <w:r w:rsidRPr="00E601A2">
        <w:rPr>
          <w:lang w:val="es-ES_tradnl"/>
        </w:rPr>
        <w:t>La base de datos general de IMEI del AISMTRU tiene registrados 140</w:t>
      </w:r>
      <w:r>
        <w:rPr>
          <w:lang w:val="es-ES_tradnl"/>
        </w:rPr>
        <w:t> </w:t>
      </w:r>
      <w:r w:rsidRPr="00E601A2">
        <w:rPr>
          <w:lang w:val="es-ES_tradnl"/>
        </w:rPr>
        <w:t>865</w:t>
      </w:r>
      <w:r>
        <w:rPr>
          <w:lang w:val="es-ES_tradnl"/>
        </w:rPr>
        <w:t> </w:t>
      </w:r>
      <w:r w:rsidRPr="00E601A2">
        <w:rPr>
          <w:lang w:val="es-ES_tradnl"/>
        </w:rPr>
        <w:t>260 números IMEI de terminales móviles a fecha de 30 de abril de 2013.</w:t>
      </w:r>
    </w:p>
    <w:p w14:paraId="3D557941" w14:textId="77777777" w:rsidR="006B1268" w:rsidRPr="00E601A2" w:rsidRDefault="006B1268" w:rsidP="00C142FB">
      <w:pPr>
        <w:pStyle w:val="enumlev1"/>
        <w:rPr>
          <w:lang w:val="es-ES_tradnl"/>
        </w:rPr>
      </w:pPr>
      <w:r w:rsidRPr="00251BDC">
        <w:rPr>
          <w:lang w:val="es-ES_tradnl"/>
        </w:rPr>
        <w:t>•</w:t>
      </w:r>
      <w:r>
        <w:rPr>
          <w:lang w:val="es-ES_tradnl"/>
        </w:rPr>
        <w:tab/>
      </w:r>
      <w:r w:rsidRPr="00E601A2">
        <w:rPr>
          <w:lang w:val="es-ES_tradnl"/>
        </w:rPr>
        <w:t>El AISMTRU recuperó la inversión en siete meses solamente</w:t>
      </w:r>
      <w:r>
        <w:rPr>
          <w:lang w:val="es-ES_tradnl"/>
        </w:rPr>
        <w:t>,</w:t>
      </w:r>
      <w:r w:rsidRPr="00E601A2">
        <w:rPr>
          <w:lang w:val="es-ES_tradnl"/>
        </w:rPr>
        <w:t xml:space="preserve"> </w:t>
      </w:r>
      <w:r>
        <w:rPr>
          <w:lang w:val="es-ES_tradnl"/>
        </w:rPr>
        <w:t>con</w:t>
      </w:r>
      <w:r w:rsidRPr="00E601A2">
        <w:rPr>
          <w:lang w:val="es-ES_tradnl"/>
        </w:rPr>
        <w:t xml:space="preserve"> los pagos de los importadores recibidos por el UCRF</w:t>
      </w:r>
      <w:r>
        <w:rPr>
          <w:lang w:val="es-ES_tradnl"/>
        </w:rPr>
        <w:t>.</w:t>
      </w:r>
    </w:p>
    <w:p w14:paraId="13199872" w14:textId="77777777" w:rsidR="006B1268" w:rsidRPr="00517B90" w:rsidRDefault="006B1268" w:rsidP="00C142FB">
      <w:pPr>
        <w:pStyle w:val="Figure"/>
      </w:pPr>
      <w:r>
        <w:object w:dxaOrig="6626" w:dyaOrig="4284" w14:anchorId="0B3B9AA9">
          <v:shape id="_x0000_i1038" type="#_x0000_t75" style="width:438.75pt;height:287.25pt" o:ole="">
            <v:imagedata r:id="rId167" o:title=""/>
          </v:shape>
          <o:OLEObject Type="Embed" ProgID="CorelDraw.Graphic.16" ShapeID="_x0000_i1038" DrawAspect="Content" ObjectID="_1521536394" r:id="rId168"/>
        </w:object>
      </w:r>
    </w:p>
    <w:p w14:paraId="57F9FB1F" w14:textId="77777777" w:rsidR="006B1268" w:rsidRDefault="006B1268" w:rsidP="00C142FB">
      <w:pPr>
        <w:pStyle w:val="FigureNotitle"/>
        <w:rPr>
          <w:lang w:val="es-ES_tradnl" w:bidi="ar-DZ"/>
        </w:rPr>
      </w:pPr>
      <w:bookmarkStart w:id="387" w:name="_Toc404785104"/>
      <w:bookmarkStart w:id="388" w:name="_Toc447274556"/>
      <w:bookmarkStart w:id="389" w:name="_Toc404607232"/>
      <w:r w:rsidRPr="00E601A2">
        <w:rPr>
          <w:lang w:val="es-ES_tradnl" w:bidi="ar-DZ"/>
        </w:rPr>
        <w:t>Figur</w:t>
      </w:r>
      <w:r>
        <w:rPr>
          <w:lang w:val="es-ES_tradnl" w:bidi="ar-DZ"/>
        </w:rPr>
        <w:t>a</w:t>
      </w:r>
      <w:r w:rsidRPr="00E601A2">
        <w:rPr>
          <w:lang w:val="es-ES_tradnl" w:bidi="ar-DZ"/>
        </w:rPr>
        <w:t xml:space="preserve"> A.7 – </w:t>
      </w:r>
      <w:r w:rsidRPr="00E601A2">
        <w:rPr>
          <w:bCs/>
          <w:lang w:val="es-ES_tradnl" w:bidi="ar-DZ"/>
        </w:rPr>
        <w:t>Efectos de la puest</w:t>
      </w:r>
      <w:r>
        <w:rPr>
          <w:bCs/>
          <w:lang w:val="es-ES_tradnl" w:bidi="ar-DZ"/>
        </w:rPr>
        <w:t>a</w:t>
      </w:r>
      <w:r w:rsidRPr="00E601A2">
        <w:rPr>
          <w:bCs/>
          <w:lang w:val="es-ES_tradnl" w:bidi="ar-DZ"/>
        </w:rPr>
        <w:t xml:space="preserve"> en funcionamiento del </w:t>
      </w:r>
      <w:r w:rsidRPr="00E601A2">
        <w:rPr>
          <w:lang w:val="es-ES_tradnl" w:bidi="ar-DZ"/>
        </w:rPr>
        <w:t xml:space="preserve">AISMTRU </w:t>
      </w:r>
      <w:r>
        <w:rPr>
          <w:lang w:val="es-ES_tradnl" w:bidi="ar-DZ"/>
        </w:rPr>
        <w:t>en Ucrania</w:t>
      </w:r>
      <w:bookmarkEnd w:id="387"/>
      <w:bookmarkEnd w:id="388"/>
    </w:p>
    <w:p w14:paraId="2C23A676" w14:textId="06BCFCBF" w:rsidR="006B1268" w:rsidRPr="005E4714" w:rsidRDefault="006B1268" w:rsidP="00362721">
      <w:pPr>
        <w:pStyle w:val="Heading3"/>
        <w:rPr>
          <w:lang w:val="es-ES_tradnl"/>
        </w:rPr>
      </w:pPr>
      <w:bookmarkStart w:id="390" w:name="_Toc447202582"/>
      <w:bookmarkStart w:id="391" w:name="_Toc447203057"/>
      <w:r w:rsidRPr="005E4714">
        <w:rPr>
          <w:lang w:val="es-ES_tradnl"/>
        </w:rPr>
        <w:t>A.1.12</w:t>
      </w:r>
      <w:r>
        <w:rPr>
          <w:lang w:val="es-ES_tradnl"/>
        </w:rPr>
        <w:tab/>
      </w:r>
      <w:r w:rsidRPr="005E4714">
        <w:rPr>
          <w:lang w:val="es-ES_tradnl"/>
        </w:rPr>
        <w:t>Emiratos Árabes Unidos</w:t>
      </w:r>
      <w:bookmarkEnd w:id="389"/>
      <w:r w:rsidRPr="005E4714">
        <w:rPr>
          <w:lang w:val="es-ES_tradnl"/>
        </w:rPr>
        <w:t xml:space="preserve"> (</w:t>
      </w:r>
      <w:r>
        <w:rPr>
          <w:lang w:val="es-ES_tradnl"/>
        </w:rPr>
        <w:t>EAU</w:t>
      </w:r>
      <w:r w:rsidRPr="005E4714">
        <w:rPr>
          <w:lang w:val="es-ES_tradnl"/>
        </w:rPr>
        <w:t>)</w:t>
      </w:r>
      <w:bookmarkEnd w:id="390"/>
      <w:bookmarkEnd w:id="391"/>
    </w:p>
    <w:p w14:paraId="6EB5BA4E" w14:textId="77777777" w:rsidR="006B1268" w:rsidRDefault="006B1268" w:rsidP="00C142FB">
      <w:pPr>
        <w:rPr>
          <w:shd w:val="clear" w:color="auto" w:fill="FFFFFF"/>
          <w:lang w:val="es-ES_tradnl"/>
        </w:rPr>
      </w:pPr>
      <w:r>
        <w:rPr>
          <w:shd w:val="clear" w:color="auto" w:fill="FFFFFF"/>
          <w:lang w:val="es-ES_tradnl"/>
        </w:rPr>
        <w:t xml:space="preserve">Las leyes de telecomunicaciones en los Emiratos Árabes Unidos prohíben la utilización, la venta, la compra, la distribución y la publicidad de los dispositivos móviles falsificados. </w:t>
      </w:r>
      <w:r w:rsidRPr="005E4714">
        <w:rPr>
          <w:shd w:val="clear" w:color="auto" w:fill="FFFFFF"/>
          <w:lang w:val="es-ES_tradnl"/>
        </w:rPr>
        <w:t xml:space="preserve">La Autoridad de Reglamentación de las Telecomunicaciones (Telecommunications Regulatory Authority, TRA) </w:t>
      </w:r>
      <w:r>
        <w:rPr>
          <w:shd w:val="clear" w:color="auto" w:fill="FFFFFF"/>
          <w:lang w:val="es-ES_tradnl"/>
        </w:rPr>
        <w:t>ha tomado todas</w:t>
      </w:r>
      <w:r w:rsidRPr="005E4714">
        <w:rPr>
          <w:shd w:val="clear" w:color="auto" w:fill="FFFFFF"/>
          <w:lang w:val="es-ES_tradnl"/>
        </w:rPr>
        <w:t xml:space="preserve"> las medidas necesarias para asegurar </w:t>
      </w:r>
      <w:r>
        <w:rPr>
          <w:shd w:val="clear" w:color="auto" w:fill="FFFFFF"/>
          <w:lang w:val="es-ES_tradnl"/>
        </w:rPr>
        <w:t>el cese completo de</w:t>
      </w:r>
      <w:r w:rsidRPr="005E4714">
        <w:rPr>
          <w:shd w:val="clear" w:color="auto" w:fill="FFFFFF"/>
          <w:lang w:val="es-ES_tradnl"/>
        </w:rPr>
        <w:t xml:space="preserve"> la venta y </w:t>
      </w:r>
      <w:r>
        <w:rPr>
          <w:shd w:val="clear" w:color="auto" w:fill="FFFFFF"/>
          <w:lang w:val="es-ES_tradnl"/>
        </w:rPr>
        <w:t xml:space="preserve">la </w:t>
      </w:r>
      <w:r w:rsidRPr="005E4714">
        <w:rPr>
          <w:shd w:val="clear" w:color="auto" w:fill="FFFFFF"/>
          <w:lang w:val="es-ES_tradnl"/>
        </w:rPr>
        <w:t xml:space="preserve">utilización de estos dispositivos en los EAU. </w:t>
      </w:r>
      <w:r>
        <w:rPr>
          <w:shd w:val="clear" w:color="auto" w:fill="FFFFFF"/>
          <w:lang w:val="es-ES_tradnl"/>
        </w:rPr>
        <w:t xml:space="preserve">Se envían avisos y multas a los involucrados en la venta de teléfonos móviles falsificados y, en algunos casos, se podría llegar a retirar las licencias, cuando no se cumplen los reglamentos. </w:t>
      </w:r>
    </w:p>
    <w:p w14:paraId="4CB94071" w14:textId="203D3C47" w:rsidR="006B1268" w:rsidRPr="00164180" w:rsidRDefault="006B1268" w:rsidP="008A70B3">
      <w:pPr>
        <w:rPr>
          <w:lang w:val="es-ES_tradnl"/>
        </w:rPr>
      </w:pPr>
      <w:r w:rsidRPr="00164180">
        <w:rPr>
          <w:lang w:val="es-ES_tradnl"/>
        </w:rPr>
        <w:t xml:space="preserve">En 2011, la TRA lanzó una campaña </w:t>
      </w:r>
      <w:hyperlink r:id="rId169" w:history="1">
        <w:r w:rsidR="007330F1" w:rsidRPr="007330F1">
          <w:rPr>
            <w:rStyle w:val="Hyperlink"/>
            <w:lang w:val="es-ES_tradnl"/>
          </w:rPr>
          <w:t>http://www.uaeinteract.com/docs/TRA_urges_against_use_of_fake_cell_phones/47437.htm</w:t>
        </w:r>
      </w:hyperlink>
      <w:r w:rsidRPr="00164180">
        <w:rPr>
          <w:lang w:val="es-ES_tradnl"/>
        </w:rPr>
        <w:t xml:space="preserve"> para informar y desalentar la utilización de los teléfonos móviles falsificados </w:t>
      </w:r>
      <w:r>
        <w:rPr>
          <w:lang w:val="es-ES_tradnl"/>
        </w:rPr>
        <w:t xml:space="preserve">en los EAU, y anunció que a partir del 1 de enero de 2012, se dejaría de prestar servicio en la red móvil de telecomunicaciones de los EAU a todos los teléfonos móviles con un número IMEI fraudulento. La TRA publicó anuncios en los diarios avisando a la gente de la prohibición de los teléfonos falsificados. </w:t>
      </w:r>
    </w:p>
    <w:p w14:paraId="79E9FD7F" w14:textId="77777777" w:rsidR="006B1268" w:rsidRDefault="006B1268" w:rsidP="00C142FB">
      <w:pPr>
        <w:rPr>
          <w:lang w:val="es-ES_tradnl"/>
        </w:rPr>
      </w:pPr>
      <w:r w:rsidRPr="00861428">
        <w:rPr>
          <w:lang w:val="es-ES_tradnl"/>
        </w:rPr>
        <w:t xml:space="preserve">Mientras que estas medidas pretendían </w:t>
      </w:r>
      <w:r>
        <w:rPr>
          <w:lang w:val="es-ES_tradnl"/>
        </w:rPr>
        <w:t>dejar</w:t>
      </w:r>
      <w:r w:rsidRPr="00861428">
        <w:rPr>
          <w:lang w:val="es-ES_tradnl"/>
        </w:rPr>
        <w:t xml:space="preserve"> obsoleta la utilización de dispositivos móviles fraudulentos, l</w:t>
      </w:r>
      <w:r>
        <w:rPr>
          <w:lang w:val="es-ES_tradnl"/>
        </w:rPr>
        <w:t>os contratos de servicio no se han visto</w:t>
      </w:r>
      <w:r w:rsidRPr="00861428">
        <w:rPr>
          <w:lang w:val="es-ES_tradnl"/>
        </w:rPr>
        <w:t xml:space="preserve"> afectados y </w:t>
      </w:r>
      <w:r>
        <w:rPr>
          <w:lang w:val="es-ES_tradnl"/>
        </w:rPr>
        <w:t>siguen</w:t>
      </w:r>
      <w:r w:rsidRPr="00861428">
        <w:rPr>
          <w:lang w:val="es-ES_tradnl"/>
        </w:rPr>
        <w:t xml:space="preserve"> funcionando normalmente</w:t>
      </w:r>
      <w:r>
        <w:rPr>
          <w:lang w:val="es-ES_tradnl"/>
        </w:rPr>
        <w:t xml:space="preserve"> al pasar a utilizar dispositivos telefónicos móviles legítimos.</w:t>
      </w:r>
      <w:r w:rsidRPr="00861428">
        <w:rPr>
          <w:lang w:val="es-ES_tradnl"/>
        </w:rPr>
        <w:t xml:space="preserve"> </w:t>
      </w:r>
      <w:r>
        <w:rPr>
          <w:lang w:val="es-ES_tradnl"/>
        </w:rPr>
        <w:t>Al mandar un SMS con el número IMEI del dispositivo móvil al número 8877, los usuarios pueden recibir la respuesta de un operador sobre el estado del dispositivo móvil. Los prestadores de servicio se ponen en contacto inmediatamente con los usuarios de dispositivos móviles falsificados y los teléfonos no homologados deben ser desconectados de todos los servicios de telecomunicaciones, incluidos llamadas, mensajes de texto e Internet.</w:t>
      </w:r>
    </w:p>
    <w:p w14:paraId="20AEF829" w14:textId="77777777" w:rsidR="006B1268" w:rsidRDefault="006B1268" w:rsidP="00C142FB">
      <w:pPr>
        <w:rPr>
          <w:lang w:val="es-ES_tradnl"/>
        </w:rPr>
      </w:pPr>
      <w:r w:rsidRPr="002E6356">
        <w:rPr>
          <w:lang w:val="es-ES_tradnl"/>
        </w:rPr>
        <w:t xml:space="preserve">La TRA </w:t>
      </w:r>
      <w:r>
        <w:rPr>
          <w:lang w:val="es-ES_tradnl"/>
        </w:rPr>
        <w:t>alertó de</w:t>
      </w:r>
      <w:r w:rsidRPr="002E6356">
        <w:rPr>
          <w:lang w:val="es-ES_tradnl"/>
        </w:rPr>
        <w:t xml:space="preserve"> que los dispositivos móviles fraudulentos </w:t>
      </w:r>
      <w:r>
        <w:rPr>
          <w:lang w:val="es-ES_tradnl"/>
        </w:rPr>
        <w:t>podían</w:t>
      </w:r>
      <w:r w:rsidRPr="002E6356">
        <w:rPr>
          <w:lang w:val="es-ES_tradnl"/>
        </w:rPr>
        <w:t xml:space="preserve"> ser perjudiciales para la salud de los usuarios y alentó a </w:t>
      </w:r>
      <w:r>
        <w:rPr>
          <w:lang w:val="es-ES_tradnl"/>
        </w:rPr>
        <w:t xml:space="preserve">todos </w:t>
      </w:r>
      <w:r w:rsidRPr="002E6356">
        <w:rPr>
          <w:lang w:val="es-ES_tradnl"/>
        </w:rPr>
        <w:t>los usuarios a adoptar las medidas adecuadas en la compra de los dispositivos m</w:t>
      </w:r>
      <w:r>
        <w:rPr>
          <w:lang w:val="es-ES_tradnl"/>
        </w:rPr>
        <w:t xml:space="preserve">óviles. De acuerdo con la TRA, los teléfonos móviles falsificados son particularmente propensos a las pérdidas y a las explosiones de las baterías, liberando productos altamente corrosivos y venenosos. La baja calidad también significa que los niveles de radicación </w:t>
      </w:r>
      <w:r>
        <w:rPr>
          <w:lang w:val="es-ES_tradnl"/>
        </w:rPr>
        <w:lastRenderedPageBreak/>
        <w:t xml:space="preserve">no se controlan, las baterías tienden a descargarse más rápidamente y la señal de recepción es generalmente mucho más débil. </w:t>
      </w:r>
    </w:p>
    <w:p w14:paraId="7372FCA8" w14:textId="77777777" w:rsidR="006B1268" w:rsidRPr="00217A15" w:rsidRDefault="006B1268" w:rsidP="00C142FB">
      <w:pPr>
        <w:rPr>
          <w:lang w:val="es-ES_tradnl"/>
        </w:rPr>
      </w:pPr>
      <w:r w:rsidRPr="00217A15">
        <w:rPr>
          <w:lang w:val="es-ES_tradnl"/>
        </w:rPr>
        <w:t>Un objetivo principal de la TRA era la eliminación</w:t>
      </w:r>
      <w:r>
        <w:rPr>
          <w:lang w:val="es-ES_tradnl"/>
        </w:rPr>
        <w:t xml:space="preserve"> de los dispositivos móviles falsificados en los EAU y la educación del público en general y de los vendedores sobre los riesgos de su utilización. La TRA reconocía también que la falsificación y el pirateo tenían un gran impacto sobre la economía y los derechos de la propiedad intelectual, pero los teléfonos móviles eran también dispositivos de baja calidad que habían sido fabricados sin los controles y las pruebas adecuados. </w:t>
      </w:r>
    </w:p>
    <w:p w14:paraId="1D53A8FA" w14:textId="76B42458" w:rsidR="006B1268" w:rsidRPr="000B65AF" w:rsidRDefault="006B1268" w:rsidP="00362721">
      <w:pPr>
        <w:pStyle w:val="Heading2"/>
        <w:rPr>
          <w:lang w:val="es-ES_tradnl"/>
        </w:rPr>
      </w:pPr>
      <w:bookmarkStart w:id="392" w:name="_Toc404607233"/>
      <w:bookmarkStart w:id="393" w:name="_Toc406670430"/>
      <w:bookmarkStart w:id="394" w:name="_Toc447202583"/>
      <w:bookmarkStart w:id="395" w:name="_Toc447203058"/>
      <w:r w:rsidRPr="000B65AF">
        <w:rPr>
          <w:lang w:val="es-ES_tradnl"/>
        </w:rPr>
        <w:t>A.2</w:t>
      </w:r>
      <w:r>
        <w:rPr>
          <w:lang w:val="es-ES_tradnl"/>
        </w:rPr>
        <w:tab/>
      </w:r>
      <w:r w:rsidRPr="000B65AF">
        <w:rPr>
          <w:lang w:val="es-ES_tradnl"/>
        </w:rPr>
        <w:t>Ejemplos de medidas conjuntas tomadas a escala regional</w:t>
      </w:r>
      <w:bookmarkEnd w:id="392"/>
      <w:bookmarkEnd w:id="393"/>
      <w:bookmarkEnd w:id="394"/>
      <w:bookmarkEnd w:id="395"/>
    </w:p>
    <w:p w14:paraId="2D8640AF" w14:textId="3539CF05" w:rsidR="006B1268" w:rsidRPr="00CD1A98" w:rsidRDefault="006B1268" w:rsidP="007330F1">
      <w:pPr>
        <w:pStyle w:val="Heading3"/>
        <w:rPr>
          <w:lang w:val="es-ES_tradnl"/>
        </w:rPr>
      </w:pPr>
      <w:bookmarkStart w:id="396" w:name="_Toc404607234"/>
      <w:bookmarkStart w:id="397" w:name="_Toc447202584"/>
      <w:bookmarkStart w:id="398" w:name="_Toc447203059"/>
      <w:r w:rsidRPr="00CD1A98">
        <w:rPr>
          <w:lang w:val="es-ES_tradnl"/>
        </w:rPr>
        <w:t>A.2.1</w:t>
      </w:r>
      <w:r>
        <w:rPr>
          <w:lang w:val="es-ES_tradnl"/>
        </w:rPr>
        <w:tab/>
      </w:r>
      <w:r w:rsidRPr="00CD1A98">
        <w:rPr>
          <w:lang w:val="es-ES_tradnl"/>
        </w:rPr>
        <w:t xml:space="preserve">Comisión </w:t>
      </w:r>
      <w:r>
        <w:rPr>
          <w:lang w:val="es-ES_tradnl"/>
        </w:rPr>
        <w:t>I</w:t>
      </w:r>
      <w:r w:rsidRPr="00CD1A98">
        <w:rPr>
          <w:lang w:val="es-ES_tradnl"/>
        </w:rPr>
        <w:t>nteramericana de Telecomunicaciones (CITEL)</w:t>
      </w:r>
      <w:bookmarkEnd w:id="396"/>
      <w:bookmarkEnd w:id="397"/>
      <w:bookmarkEnd w:id="398"/>
    </w:p>
    <w:p w14:paraId="126C4674" w14:textId="77777777" w:rsidR="006B1268" w:rsidRPr="000B65AF" w:rsidRDefault="006B1268" w:rsidP="00C142FB">
      <w:pPr>
        <w:rPr>
          <w:shd w:val="clear" w:color="auto" w:fill="FFFFFF"/>
          <w:lang w:val="es-ES_tradnl"/>
        </w:rPr>
      </w:pPr>
      <w:r w:rsidRPr="00CD1A98">
        <w:rPr>
          <w:shd w:val="clear" w:color="auto" w:fill="FFFFFF"/>
          <w:lang w:val="es-ES_tradnl"/>
        </w:rPr>
        <w:t>La Asamblea General de la Organización de Estados Americanos (OEA) estableció la Comisión Interamericana de Telecomunicaciones (CITEL) con el objetivo de promocionar el desarrollo de las telecom</w:t>
      </w:r>
      <w:r>
        <w:rPr>
          <w:shd w:val="clear" w:color="auto" w:fill="FFFFFF"/>
          <w:lang w:val="es-ES_tradnl"/>
        </w:rPr>
        <w:t>unicaciones y las TIC en las Américas</w:t>
      </w:r>
      <w:r w:rsidRPr="00CD1A98">
        <w:rPr>
          <w:shd w:val="clear" w:color="auto" w:fill="FFFFFF"/>
          <w:lang w:val="es-ES_tradnl"/>
        </w:rPr>
        <w:t xml:space="preserve">. Los 35 estados son miembros, junto con más de 100 Miembros Asociados de la industria de las TIC. </w:t>
      </w:r>
    </w:p>
    <w:p w14:paraId="5ED7918D" w14:textId="77777777" w:rsidR="006B1268" w:rsidRDefault="006B1268" w:rsidP="00C142FB">
      <w:pPr>
        <w:rPr>
          <w:shd w:val="clear" w:color="auto" w:fill="FFFFFF"/>
          <w:lang w:val="es-ES_tradnl"/>
        </w:rPr>
      </w:pPr>
      <w:r w:rsidRPr="00CD1A98">
        <w:rPr>
          <w:shd w:val="clear" w:color="auto" w:fill="FFFFFF"/>
          <w:lang w:val="es-ES_tradnl"/>
        </w:rPr>
        <w:t xml:space="preserve">El </w:t>
      </w:r>
      <w:r>
        <w:rPr>
          <w:shd w:val="clear" w:color="auto" w:fill="FFFFFF"/>
          <w:lang w:val="es-ES_tradnl"/>
        </w:rPr>
        <w:t xml:space="preserve">Comité Consultivo Permanente I (CCP.I: </w:t>
      </w:r>
      <w:r w:rsidRPr="00CD1A98">
        <w:rPr>
          <w:shd w:val="clear" w:color="auto" w:fill="FFFFFF"/>
          <w:lang w:val="es-ES_tradnl"/>
        </w:rPr>
        <w:t xml:space="preserve">Telecomunicaciones) de </w:t>
      </w:r>
      <w:r>
        <w:rPr>
          <w:shd w:val="clear" w:color="auto" w:fill="FFFFFF"/>
          <w:lang w:val="es-ES_tradnl"/>
        </w:rPr>
        <w:t xml:space="preserve">la </w:t>
      </w:r>
      <w:r w:rsidRPr="00CD1A98">
        <w:rPr>
          <w:shd w:val="clear" w:color="auto" w:fill="FFFFFF"/>
          <w:lang w:val="es-ES_tradnl"/>
        </w:rPr>
        <w:t xml:space="preserve">CITEL </w:t>
      </w:r>
      <w:r>
        <w:rPr>
          <w:shd w:val="clear" w:color="auto" w:fill="FFFFFF"/>
          <w:lang w:val="es-ES_tradnl"/>
        </w:rPr>
        <w:t>recomendó en 2009 a los Estados Miembros "q</w:t>
      </w:r>
      <w:r w:rsidRPr="00700334">
        <w:rPr>
          <w:shd w:val="clear" w:color="auto" w:fill="FFFFFF"/>
          <w:lang w:val="es-ES_tradnl"/>
        </w:rPr>
        <w:t>ue consideren la creación de bases de datos como parte de</w:t>
      </w:r>
      <w:r>
        <w:rPr>
          <w:shd w:val="clear" w:color="auto" w:fill="FFFFFF"/>
          <w:lang w:val="es-ES_tradnl"/>
        </w:rPr>
        <w:t xml:space="preserve"> </w:t>
      </w:r>
      <w:r w:rsidRPr="00700334">
        <w:rPr>
          <w:shd w:val="clear" w:color="auto" w:fill="FFFFFF"/>
          <w:lang w:val="es-ES_tradnl"/>
        </w:rPr>
        <w:t>un programa integral cont</w:t>
      </w:r>
      <w:r>
        <w:rPr>
          <w:shd w:val="clear" w:color="auto" w:fill="FFFFFF"/>
          <w:lang w:val="es-ES_tradnl"/>
        </w:rPr>
        <w:t>ra la falsificación y el fraude" (Informe Final de la reunión 15 del CCP.I de la CITEL, 2 de octubre de 2009) y en diciembre de 2011 el CCP.II (Radiocomunicaciones incluyendo radiodifusión) inició el estudio de las medidas tomadas por las administraciones con respecto a la utilización de los teléfonos móviles falsificados.</w:t>
      </w:r>
    </w:p>
    <w:p w14:paraId="0EF7BE05" w14:textId="77777777" w:rsidR="006B1268" w:rsidRPr="00CD1A98" w:rsidRDefault="006B1268" w:rsidP="00C142FB">
      <w:pPr>
        <w:rPr>
          <w:shd w:val="clear" w:color="auto" w:fill="FFFFFF"/>
          <w:lang w:val="es-ES_tradnl"/>
        </w:rPr>
      </w:pPr>
      <w:r>
        <w:rPr>
          <w:shd w:val="clear" w:color="auto" w:fill="FFFFFF"/>
          <w:lang w:val="es-ES_tradnl"/>
        </w:rPr>
        <w:t>El CCP.II decidió solicitar a las Administraciones que proporcionaran información "</w:t>
      </w:r>
      <w:r w:rsidRPr="00D45E8A">
        <w:rPr>
          <w:shd w:val="clear" w:color="auto" w:fill="FFFFFF"/>
          <w:lang w:val="es-ES_tradnl"/>
        </w:rPr>
        <w:t>sobre las acciones y medidas reglamentarias y administrativas tomadas o planificadas con respecto a los teléfonos celulares falsos, falsificados y de baja calidad, y sus efectos negativos sobre los usuarios y operadores, incluyendo la interferencia, niveles de radiaciones no ionizantes (NIR) y el uso de componentes q</w:t>
      </w:r>
      <w:r>
        <w:rPr>
          <w:shd w:val="clear" w:color="auto" w:fill="FFFFFF"/>
          <w:lang w:val="es-ES_tradnl"/>
        </w:rPr>
        <w:t xml:space="preserve">uímicos peligrosos o prohibidos" (Informe Final de la reunión 18 del CCP.II de la CITEL, 22 de diciembre de 2011, Decisión 121). </w:t>
      </w:r>
    </w:p>
    <w:p w14:paraId="51417997" w14:textId="77777777" w:rsidR="006B1268" w:rsidRPr="00700334" w:rsidRDefault="006B1268" w:rsidP="00C142FB">
      <w:pPr>
        <w:rPr>
          <w:shd w:val="clear" w:color="auto" w:fill="FFFFFF"/>
          <w:lang w:val="es-ES_tradnl"/>
        </w:rPr>
      </w:pPr>
      <w:r>
        <w:rPr>
          <w:shd w:val="clear" w:color="auto" w:fill="FFFFFF"/>
          <w:lang w:val="es-ES_tradnl"/>
        </w:rPr>
        <w:t xml:space="preserve">La </w:t>
      </w:r>
      <w:r w:rsidRPr="00700334">
        <w:rPr>
          <w:shd w:val="clear" w:color="auto" w:fill="FFFFFF"/>
          <w:lang w:val="es-ES_tradnl"/>
        </w:rPr>
        <w:t>CITEL también ha considerado el problema de</w:t>
      </w:r>
      <w:r>
        <w:rPr>
          <w:shd w:val="clear" w:color="auto" w:fill="FFFFFF"/>
          <w:lang w:val="es-ES_tradnl"/>
        </w:rPr>
        <w:t>l robo de</w:t>
      </w:r>
      <w:r w:rsidRPr="00700334">
        <w:rPr>
          <w:shd w:val="clear" w:color="auto" w:fill="FFFFFF"/>
          <w:lang w:val="es-ES_tradnl"/>
        </w:rPr>
        <w:t xml:space="preserve"> los tel</w:t>
      </w:r>
      <w:r>
        <w:rPr>
          <w:shd w:val="clear" w:color="auto" w:fill="FFFFFF"/>
          <w:lang w:val="es-ES_tradnl"/>
        </w:rPr>
        <w:t>éfonos móviles y los dos Comités Consultivos Permanentes han aprobado un cierto número de resoluciones relacionadas con estos temas.</w:t>
      </w:r>
    </w:p>
    <w:p w14:paraId="57E28366" w14:textId="77777777" w:rsidR="006B1268" w:rsidRPr="00D45E8A" w:rsidRDefault="006B1268" w:rsidP="00C142FB">
      <w:pPr>
        <w:rPr>
          <w:lang w:val="es-ES_tradnl"/>
        </w:rPr>
      </w:pPr>
      <w:r w:rsidRPr="00D45E8A">
        <w:rPr>
          <w:lang w:val="es-ES_tradnl"/>
        </w:rPr>
        <w:t xml:space="preserve">El CCP.II aprobó la </w:t>
      </w:r>
      <w:r>
        <w:rPr>
          <w:lang w:val="es-ES_tradnl"/>
        </w:rPr>
        <w:t>R</w:t>
      </w:r>
      <w:r w:rsidRPr="00D45E8A">
        <w:rPr>
          <w:lang w:val="es-ES_tradnl"/>
        </w:rPr>
        <w:t>esoluci</w:t>
      </w:r>
      <w:r>
        <w:rPr>
          <w:lang w:val="es-ES_tradnl"/>
        </w:rPr>
        <w:t>ón 73, en septiembre de 2011, sobre el "e</w:t>
      </w:r>
      <w:r w:rsidRPr="00D45E8A">
        <w:rPr>
          <w:lang w:val="es-ES_tradnl"/>
        </w:rPr>
        <w:t xml:space="preserve">stablecimiento de una </w:t>
      </w:r>
      <w:r>
        <w:rPr>
          <w:lang w:val="es-ES_tradnl"/>
        </w:rPr>
        <w:t>a</w:t>
      </w:r>
      <w:r w:rsidRPr="00D45E8A">
        <w:rPr>
          <w:lang w:val="es-ES_tradnl"/>
        </w:rPr>
        <w:t>lianza regional contra el hurto de equipos terminales</w:t>
      </w:r>
      <w:r>
        <w:rPr>
          <w:lang w:val="es-ES_tradnl"/>
        </w:rPr>
        <w:t xml:space="preserve"> móviles". Esta Resolución solicitaba al PCC.I considerar "</w:t>
      </w:r>
      <w:r w:rsidRPr="00D45E8A">
        <w:rPr>
          <w:lang w:val="es-ES_tradnl"/>
        </w:rPr>
        <w:t>que la CITEL promueva el</w:t>
      </w:r>
      <w:r>
        <w:rPr>
          <w:lang w:val="es-ES_tradnl"/>
        </w:rPr>
        <w:t xml:space="preserve"> </w:t>
      </w:r>
      <w:r w:rsidRPr="00D45E8A">
        <w:rPr>
          <w:lang w:val="es-ES_tradnl"/>
        </w:rPr>
        <w:t>establecimiento de medidas conjuntas de los Estados Miembros para restringir, en cualquier país de la</w:t>
      </w:r>
      <w:r>
        <w:rPr>
          <w:lang w:val="es-ES_tradnl"/>
        </w:rPr>
        <w:t xml:space="preserve"> </w:t>
      </w:r>
      <w:r w:rsidRPr="00D45E8A">
        <w:rPr>
          <w:lang w:val="es-ES_tradnl"/>
        </w:rPr>
        <w:t>región, la activación de estos equipos terminales móviles hurtados y adopte recomendaciones concretas</w:t>
      </w:r>
      <w:r>
        <w:rPr>
          <w:lang w:val="es-ES_tradnl"/>
        </w:rPr>
        <w:t xml:space="preserve"> </w:t>
      </w:r>
      <w:r w:rsidRPr="00D45E8A">
        <w:rPr>
          <w:lang w:val="es-ES_tradnl"/>
        </w:rPr>
        <w:t>dirigidas a los operadores para que utilicen los recursos que brinda la tecnología y se abstengan de</w:t>
      </w:r>
      <w:r>
        <w:rPr>
          <w:lang w:val="es-ES_tradnl"/>
        </w:rPr>
        <w:t xml:space="preserve"> </w:t>
      </w:r>
      <w:r w:rsidRPr="00D45E8A">
        <w:rPr>
          <w:lang w:val="es-ES_tradnl"/>
        </w:rPr>
        <w:t>permitir la conexión a sus redes de equipos cuyo origen no esté plenamente identificado, estableciendo</w:t>
      </w:r>
      <w:r>
        <w:rPr>
          <w:lang w:val="es-ES_tradnl"/>
        </w:rPr>
        <w:t xml:space="preserve"> </w:t>
      </w:r>
      <w:r w:rsidRPr="00D45E8A">
        <w:rPr>
          <w:lang w:val="es-ES_tradnl"/>
        </w:rPr>
        <w:t>una alianza regional contra el hurto de estos equipos</w:t>
      </w:r>
      <w:r>
        <w:rPr>
          <w:lang w:val="es-ES_tradnl"/>
        </w:rPr>
        <w:t>" (Informe Final de la reunión 17 del CCP.II, 6 de septiembre de 2011, Resolución 73).</w:t>
      </w:r>
    </w:p>
    <w:p w14:paraId="27D7CF53" w14:textId="77777777" w:rsidR="006B1268" w:rsidRPr="00C17951" w:rsidRDefault="006B1268" w:rsidP="00C142FB">
      <w:pPr>
        <w:rPr>
          <w:lang w:val="es-ES_tradnl"/>
        </w:rPr>
      </w:pPr>
      <w:r w:rsidRPr="00D45E8A">
        <w:rPr>
          <w:lang w:val="es-ES_tradnl"/>
        </w:rPr>
        <w:t>El CCP.I respondió casi inmediatamente con la aprobaci</w:t>
      </w:r>
      <w:r>
        <w:rPr>
          <w:lang w:val="es-ES_tradnl"/>
        </w:rPr>
        <w:t>ón de una resolución sobre "M</w:t>
      </w:r>
      <w:r w:rsidRPr="00730AD3">
        <w:rPr>
          <w:lang w:val="es-ES_tradnl"/>
        </w:rPr>
        <w:t xml:space="preserve">edidas regionales contra el hurto de equipos terminales </w:t>
      </w:r>
      <w:r>
        <w:rPr>
          <w:lang w:val="es-ES_tradnl"/>
        </w:rPr>
        <w:t xml:space="preserve">móviles" (Informe Final de la reunión 19 del CCP.I de la CITEL del 20 de septiembre de 2011, Resolución 189). Esta resolución observa la naturaleza internacional del problema pues cuando un país concreto toma medidas contra el robo de dispositivos, los dispositivos móviles se envían a otros países y, en consecuencia, existe la necesidad de tomar medidas a escala regional. </w:t>
      </w:r>
      <w:r w:rsidRPr="00C17951">
        <w:rPr>
          <w:lang w:val="es-ES_tradnl"/>
        </w:rPr>
        <w:t xml:space="preserve">Además de las medidas relativas a los teléfonos perdidos o robados, la </w:t>
      </w:r>
      <w:r>
        <w:rPr>
          <w:lang w:val="es-ES_tradnl"/>
        </w:rPr>
        <w:t>R</w:t>
      </w:r>
      <w:r w:rsidRPr="00C17951">
        <w:rPr>
          <w:lang w:val="es-ES_tradnl"/>
        </w:rPr>
        <w:t>esoluci</w:t>
      </w:r>
      <w:r>
        <w:rPr>
          <w:lang w:val="es-ES_tradnl"/>
        </w:rPr>
        <w:t>ón 189 también insta</w:t>
      </w:r>
      <w:r w:rsidRPr="00C17951">
        <w:rPr>
          <w:lang w:val="es-ES_tradnl"/>
        </w:rPr>
        <w:t xml:space="preserve"> </w:t>
      </w:r>
      <w:r>
        <w:rPr>
          <w:lang w:val="es-ES_tradnl"/>
        </w:rPr>
        <w:t xml:space="preserve">a los Estados Miembros a "que consideren </w:t>
      </w:r>
      <w:r w:rsidRPr="00C17951">
        <w:rPr>
          <w:lang w:val="es-ES_tradnl"/>
        </w:rPr>
        <w:t>incluir en sus marcos regulatorios la</w:t>
      </w:r>
      <w:r>
        <w:rPr>
          <w:lang w:val="es-ES_tradnl"/>
        </w:rPr>
        <w:t xml:space="preserve"> </w:t>
      </w:r>
      <w:r w:rsidRPr="00C17951">
        <w:rPr>
          <w:lang w:val="es-ES_tradnl"/>
        </w:rPr>
        <w:t>prohibición de la activación y uso de los IMEI o el número de serie electrónico del fabricante de equipos</w:t>
      </w:r>
      <w:r>
        <w:rPr>
          <w:lang w:val="es-ES_tradnl"/>
        </w:rPr>
        <w:t xml:space="preserve"> </w:t>
      </w:r>
      <w:r w:rsidRPr="00C17951">
        <w:rPr>
          <w:lang w:val="es-ES_tradnl"/>
        </w:rPr>
        <w:t xml:space="preserve">reportados como hurtados, extraviados </w:t>
      </w:r>
      <w:r w:rsidRPr="00C17951">
        <w:rPr>
          <w:i/>
          <w:iCs/>
          <w:lang w:val="es-ES_tradnl"/>
        </w:rPr>
        <w:t xml:space="preserve">o de origen </w:t>
      </w:r>
      <w:r w:rsidRPr="00C17951">
        <w:rPr>
          <w:i/>
          <w:iCs/>
          <w:lang w:val="es-ES_tradnl"/>
        </w:rPr>
        <w:lastRenderedPageBreak/>
        <w:t>ilegal</w:t>
      </w:r>
      <w:r w:rsidRPr="00C17951">
        <w:rPr>
          <w:lang w:val="es-ES_tradnl"/>
        </w:rPr>
        <w:t>, provenientes de bases de datos nacionales,</w:t>
      </w:r>
      <w:r>
        <w:rPr>
          <w:lang w:val="es-ES_tradnl"/>
        </w:rPr>
        <w:t xml:space="preserve"> </w:t>
      </w:r>
      <w:r w:rsidRPr="00C17951">
        <w:rPr>
          <w:lang w:val="es-ES_tradnl"/>
        </w:rPr>
        <w:t>regionales o internacionales</w:t>
      </w:r>
      <w:r>
        <w:rPr>
          <w:lang w:val="es-ES_tradnl"/>
        </w:rPr>
        <w:t>" (las cursivas son del editor).</w:t>
      </w:r>
    </w:p>
    <w:p w14:paraId="1D3972E1" w14:textId="77777777" w:rsidR="006B1268" w:rsidRPr="00C17951" w:rsidRDefault="006B1268" w:rsidP="00C142FB">
      <w:pPr>
        <w:rPr>
          <w:lang w:val="es-ES_tradnl"/>
        </w:rPr>
      </w:pPr>
      <w:r w:rsidRPr="00C17951">
        <w:rPr>
          <w:lang w:val="es-ES_tradnl"/>
        </w:rPr>
        <w:t xml:space="preserve">El Anexo </w:t>
      </w:r>
      <w:r>
        <w:rPr>
          <w:lang w:val="es-ES_tradnl"/>
        </w:rPr>
        <w:t>de</w:t>
      </w:r>
      <w:r w:rsidRPr="00C17951">
        <w:rPr>
          <w:lang w:val="es-ES_tradnl"/>
        </w:rPr>
        <w:t xml:space="preserve"> la Resolución 189</w:t>
      </w:r>
      <w:r>
        <w:rPr>
          <w:lang w:val="es-ES_tradnl"/>
        </w:rPr>
        <w:t xml:space="preserve"> incorpora medidas complementarias como "e</w:t>
      </w:r>
      <w:r w:rsidRPr="00C17951">
        <w:rPr>
          <w:lang w:val="es-ES_tradnl"/>
        </w:rPr>
        <w:t>studiar la viabilidad de implementar controles a la comercialización local de equipos terminales</w:t>
      </w:r>
      <w:r>
        <w:rPr>
          <w:lang w:val="es-ES_tradnl"/>
        </w:rPr>
        <w:t xml:space="preserve"> </w:t>
      </w:r>
      <w:r w:rsidRPr="00C17951">
        <w:rPr>
          <w:lang w:val="es-ES_tradnl"/>
        </w:rPr>
        <w:t>móviles hurtados y su conexión a las redes</w:t>
      </w:r>
      <w:r>
        <w:rPr>
          <w:lang w:val="es-ES_tradnl"/>
        </w:rPr>
        <w:t>" y "p</w:t>
      </w:r>
      <w:r w:rsidRPr="00C17951">
        <w:rPr>
          <w:lang w:val="es-ES_tradnl"/>
        </w:rPr>
        <w:t>romover el establecimiento de mecanismos regulatorios, fiscales y/o aduaneros que garanticen</w:t>
      </w:r>
      <w:r>
        <w:rPr>
          <w:lang w:val="es-ES_tradnl"/>
        </w:rPr>
        <w:t xml:space="preserve"> </w:t>
      </w:r>
      <w:r w:rsidRPr="00C17951">
        <w:rPr>
          <w:lang w:val="es-ES_tradnl"/>
        </w:rPr>
        <w:t>la importación de equipos terminales móviles y/o repuestos de procedencia legitima, y que estén</w:t>
      </w:r>
      <w:r>
        <w:rPr>
          <w:lang w:val="es-ES_tradnl"/>
        </w:rPr>
        <w:t xml:space="preserve"> </w:t>
      </w:r>
      <w:r w:rsidRPr="00C17951">
        <w:rPr>
          <w:lang w:val="es-ES_tradnl"/>
        </w:rPr>
        <w:t>homologados conforme al marco normativo de cada país miembro, así como controles aduaneros</w:t>
      </w:r>
      <w:r>
        <w:rPr>
          <w:lang w:val="es-ES_tradnl"/>
        </w:rPr>
        <w:t xml:space="preserve"> que impidan la salida o re</w:t>
      </w:r>
      <w:r w:rsidRPr="00C17951">
        <w:rPr>
          <w:lang w:val="es-ES_tradnl"/>
        </w:rPr>
        <w:t>exportación de los equipos terminales móviles</w:t>
      </w:r>
      <w:r w:rsidRPr="009E7CF2">
        <w:rPr>
          <w:lang w:val="es-ES_tradnl"/>
        </w:rPr>
        <w:t xml:space="preserve"> y/o repuestos</w:t>
      </w:r>
      <w:r w:rsidRPr="00C17951">
        <w:rPr>
          <w:lang w:val="es-ES_tradnl"/>
        </w:rPr>
        <w:t>, producto de hurto</w:t>
      </w:r>
      <w:r>
        <w:rPr>
          <w:lang w:val="es-ES_tradnl"/>
        </w:rPr>
        <w:t>"</w:t>
      </w:r>
      <w:r w:rsidRPr="00C17951">
        <w:rPr>
          <w:lang w:val="es-ES_tradnl"/>
        </w:rPr>
        <w:t>.</w:t>
      </w:r>
    </w:p>
    <w:p w14:paraId="3FF8DF68" w14:textId="77777777" w:rsidR="006B1268" w:rsidRPr="009E7CF2" w:rsidRDefault="006B1268" w:rsidP="00C142FB">
      <w:pPr>
        <w:rPr>
          <w:lang w:val="es-ES_tradnl"/>
        </w:rPr>
      </w:pPr>
      <w:r>
        <w:rPr>
          <w:lang w:val="es-ES_tradnl"/>
        </w:rPr>
        <w:t>El</w:t>
      </w:r>
      <w:r w:rsidRPr="009E7CF2">
        <w:rPr>
          <w:lang w:val="es-ES_tradnl"/>
        </w:rPr>
        <w:t xml:space="preserve"> CCP.I aprobó una </w:t>
      </w:r>
      <w:r>
        <w:rPr>
          <w:lang w:val="es-ES_tradnl"/>
        </w:rPr>
        <w:t>r</w:t>
      </w:r>
      <w:r w:rsidRPr="009E7CF2">
        <w:rPr>
          <w:lang w:val="es-ES_tradnl"/>
        </w:rPr>
        <w:t xml:space="preserve">ecomendación sobre </w:t>
      </w:r>
      <w:r>
        <w:rPr>
          <w:lang w:val="es-ES_tradnl"/>
        </w:rPr>
        <w:t>"M</w:t>
      </w:r>
      <w:r w:rsidRPr="009E7CF2">
        <w:rPr>
          <w:lang w:val="es-ES_tradnl"/>
        </w:rPr>
        <w:t>edidas regionales para el intercambio de información de equipos</w:t>
      </w:r>
      <w:r>
        <w:rPr>
          <w:lang w:val="es-ES_tradnl"/>
        </w:rPr>
        <w:t xml:space="preserve"> </w:t>
      </w:r>
      <w:r w:rsidRPr="009E7CF2">
        <w:rPr>
          <w:lang w:val="es-ES_tradnl"/>
        </w:rPr>
        <w:t>terminales móviles con reporte de hurto, robo o pérdida y</w:t>
      </w:r>
      <w:r>
        <w:rPr>
          <w:lang w:val="es-ES_tradnl"/>
        </w:rPr>
        <w:t xml:space="preserve"> </w:t>
      </w:r>
      <w:r w:rsidRPr="009E7CF2">
        <w:rPr>
          <w:lang w:val="es-ES_tradnl"/>
        </w:rPr>
        <w:t>recuperación</w:t>
      </w:r>
      <w:r>
        <w:rPr>
          <w:lang w:val="es-ES_tradnl"/>
        </w:rPr>
        <w:t xml:space="preserve">" en 2012 (Informe Final de la reunión 20 del CCP.I de la CITEL, 10 de junio de 2012, Recomendación 16) que también incluyó los terminales "de origen ilegal". Se invita "a los Estados Miembros </w:t>
      </w:r>
      <w:r w:rsidRPr="009E7CF2">
        <w:rPr>
          <w:lang w:val="es-ES_tradnl"/>
        </w:rPr>
        <w:t>de la CITEL a implementar acciones e iniciativas nacionales,</w:t>
      </w:r>
      <w:r>
        <w:rPr>
          <w:lang w:val="es-ES_tradnl"/>
        </w:rPr>
        <w:t xml:space="preserve"> </w:t>
      </w:r>
      <w:r w:rsidRPr="009E7CF2">
        <w:rPr>
          <w:lang w:val="es-ES_tradnl"/>
        </w:rPr>
        <w:t>regionales e internacionales con el fin de que los proveedores de servicios de telecomunicaciones móviles</w:t>
      </w:r>
      <w:r>
        <w:rPr>
          <w:lang w:val="es-ES_tradnl"/>
        </w:rPr>
        <w:t xml:space="preserve"> </w:t>
      </w:r>
      <w:r w:rsidRPr="009E7CF2">
        <w:rPr>
          <w:lang w:val="es-ES_tradnl"/>
        </w:rPr>
        <w:t>intercambien información de terminales móviles robados, hurtados, extraviados o de origen ilegal a través</w:t>
      </w:r>
      <w:r>
        <w:rPr>
          <w:lang w:val="es-ES_tradnl"/>
        </w:rPr>
        <w:t xml:space="preserve"> </w:t>
      </w:r>
      <w:r w:rsidRPr="009E7CF2">
        <w:rPr>
          <w:lang w:val="es-ES_tradnl"/>
        </w:rPr>
        <w:t>de las diferentes plataformas existentes y operativas para las diferentes tecnologías de acceso para</w:t>
      </w:r>
      <w:r>
        <w:rPr>
          <w:lang w:val="es-ES_tradnl"/>
        </w:rPr>
        <w:t xml:space="preserve"> </w:t>
      </w:r>
      <w:r w:rsidRPr="009E7CF2">
        <w:rPr>
          <w:lang w:val="es-ES_tradnl"/>
        </w:rPr>
        <w:t xml:space="preserve">combatir los mercados informales, promoviendo la cooperación entre los </w:t>
      </w:r>
      <w:r>
        <w:rPr>
          <w:lang w:val="es-ES_tradnl"/>
        </w:rPr>
        <w:t>p</w:t>
      </w:r>
      <w:r w:rsidRPr="009E7CF2">
        <w:rPr>
          <w:lang w:val="es-ES_tradnl"/>
        </w:rPr>
        <w:t>aíses y garantizando los</w:t>
      </w:r>
      <w:r>
        <w:rPr>
          <w:lang w:val="es-ES_tradnl"/>
        </w:rPr>
        <w:t xml:space="preserve"> </w:t>
      </w:r>
      <w:r w:rsidRPr="009E7CF2">
        <w:rPr>
          <w:lang w:val="es-ES_tradnl"/>
        </w:rPr>
        <w:t>principios de la seguridad ciudadana y derechos del usuario final</w:t>
      </w:r>
      <w:r>
        <w:rPr>
          <w:lang w:val="es-ES_tradnl"/>
        </w:rPr>
        <w:t>". También se alerta a los países miembros que</w:t>
      </w:r>
      <w:r w:rsidRPr="009E7CF2">
        <w:rPr>
          <w:lang w:val="es-ES_tradnl"/>
        </w:rPr>
        <w:t xml:space="preserve"> deben </w:t>
      </w:r>
      <w:r>
        <w:rPr>
          <w:lang w:val="es-ES_tradnl"/>
        </w:rPr>
        <w:t>"</w:t>
      </w:r>
      <w:r w:rsidRPr="009E7CF2">
        <w:rPr>
          <w:lang w:val="es-ES_tradnl"/>
        </w:rPr>
        <w:t>considerar además la creación de una plataforma de base de datos para el</w:t>
      </w:r>
      <w:r>
        <w:rPr>
          <w:lang w:val="es-ES_tradnl"/>
        </w:rPr>
        <w:t xml:space="preserve"> </w:t>
      </w:r>
      <w:r w:rsidRPr="009E7CF2">
        <w:rPr>
          <w:lang w:val="es-ES_tradnl"/>
        </w:rPr>
        <w:t>intercambio de información de los terminales móviles robados, hurtados, extraviados o de origen ilegal</w:t>
      </w:r>
      <w:r>
        <w:rPr>
          <w:lang w:val="es-ES_tradnl"/>
        </w:rPr>
        <w:t xml:space="preserve"> </w:t>
      </w:r>
      <w:r w:rsidRPr="009E7CF2">
        <w:rPr>
          <w:lang w:val="es-ES_tradnl"/>
        </w:rPr>
        <w:t xml:space="preserve">usando el identificador de </w:t>
      </w:r>
      <w:r>
        <w:rPr>
          <w:lang w:val="es-ES_tradnl"/>
        </w:rPr>
        <w:t>e</w:t>
      </w:r>
      <w:r w:rsidRPr="009E7CF2">
        <w:rPr>
          <w:lang w:val="es-ES_tradnl"/>
        </w:rPr>
        <w:t xml:space="preserve">quipo </w:t>
      </w:r>
      <w:r>
        <w:rPr>
          <w:lang w:val="es-ES_tradnl"/>
        </w:rPr>
        <w:t>m</w:t>
      </w:r>
      <w:r w:rsidRPr="009E7CF2">
        <w:rPr>
          <w:lang w:val="es-ES_tradnl"/>
        </w:rPr>
        <w:t>óvil (Mobile Equipment Identifier, MEID) empleado en los equipos</w:t>
      </w:r>
      <w:r>
        <w:rPr>
          <w:lang w:val="es-ES_tradnl"/>
        </w:rPr>
        <w:t xml:space="preserve"> usados por la tecnología del a</w:t>
      </w:r>
      <w:r w:rsidRPr="009E7CF2">
        <w:rPr>
          <w:lang w:val="es-ES_tradnl"/>
        </w:rPr>
        <w:t xml:space="preserve">cceso </w:t>
      </w:r>
      <w:r>
        <w:rPr>
          <w:lang w:val="es-ES_tradnl"/>
        </w:rPr>
        <w:t>múltiple por división de c</w:t>
      </w:r>
      <w:r w:rsidRPr="009E7CF2">
        <w:rPr>
          <w:lang w:val="es-ES_tradnl"/>
        </w:rPr>
        <w:t>ódigo (Code Division Multiple Access,</w:t>
      </w:r>
      <w:r>
        <w:rPr>
          <w:lang w:val="es-ES_tradnl"/>
        </w:rPr>
        <w:t xml:space="preserve"> </w:t>
      </w:r>
      <w:r w:rsidRPr="009E7CF2">
        <w:rPr>
          <w:lang w:val="es-ES_tradnl"/>
        </w:rPr>
        <w:t>CDMA), de EV-DO, de CDMA/4G de modalidad doble (dual mode CDMA/4G) y de RUIM (Removable</w:t>
      </w:r>
      <w:r>
        <w:rPr>
          <w:lang w:val="es-ES_tradnl"/>
        </w:rPr>
        <w:t xml:space="preserve"> </w:t>
      </w:r>
      <w:r w:rsidRPr="009E7CF2">
        <w:rPr>
          <w:lang w:val="es-ES_tradnl"/>
        </w:rPr>
        <w:t>User Identity Module, RUIM) que emplean muchas otras redes</w:t>
      </w:r>
      <w:r>
        <w:rPr>
          <w:lang w:val="es-ES_tradnl"/>
        </w:rPr>
        <w:t>"</w:t>
      </w:r>
      <w:r w:rsidRPr="009E7CF2">
        <w:rPr>
          <w:lang w:val="es-ES_tradnl"/>
        </w:rPr>
        <w:t>.</w:t>
      </w:r>
    </w:p>
    <w:p w14:paraId="499F5F10" w14:textId="77777777" w:rsidR="006B1268" w:rsidRPr="00CF5577" w:rsidRDefault="006B1268" w:rsidP="00C142FB">
      <w:pPr>
        <w:rPr>
          <w:lang w:val="es-ES_tradnl"/>
        </w:rPr>
      </w:pPr>
      <w:r>
        <w:rPr>
          <w:lang w:val="es-ES_tradnl"/>
        </w:rPr>
        <w:t>El</w:t>
      </w:r>
      <w:r w:rsidRPr="00CF5577">
        <w:rPr>
          <w:lang w:val="es-ES_tradnl"/>
        </w:rPr>
        <w:t xml:space="preserve"> CCP.I ha aprobado también </w:t>
      </w:r>
      <w:r>
        <w:rPr>
          <w:lang w:val="es-ES_tradnl"/>
        </w:rPr>
        <w:t xml:space="preserve">la creación de </w:t>
      </w:r>
      <w:r w:rsidRPr="00CF5577">
        <w:rPr>
          <w:lang w:val="es-ES_tradnl"/>
        </w:rPr>
        <w:t xml:space="preserve">una </w:t>
      </w:r>
      <w:r>
        <w:rPr>
          <w:lang w:val="es-ES_tradnl"/>
        </w:rPr>
        <w:t>"c</w:t>
      </w:r>
      <w:r w:rsidRPr="00CF5577">
        <w:rPr>
          <w:lang w:val="es-ES_tradnl"/>
        </w:rPr>
        <w:t>arpeta técnica</w:t>
      </w:r>
      <w:r>
        <w:rPr>
          <w:lang w:val="es-ES_tradnl"/>
        </w:rPr>
        <w:t>" sobre</w:t>
      </w:r>
      <w:r w:rsidRPr="00CF5577">
        <w:rPr>
          <w:lang w:val="es-ES_tradnl"/>
        </w:rPr>
        <w:t xml:space="preserve"> </w:t>
      </w:r>
      <w:r>
        <w:rPr>
          <w:lang w:val="es-ES_tradnl"/>
        </w:rPr>
        <w:t>"T</w:t>
      </w:r>
      <w:r w:rsidRPr="00CF5577">
        <w:rPr>
          <w:lang w:val="es-ES_tradnl"/>
        </w:rPr>
        <w:t>erminales móviles robados, hurtados y/o extraviados</w:t>
      </w:r>
      <w:r>
        <w:rPr>
          <w:lang w:val="es-ES_tradnl"/>
        </w:rPr>
        <w:t>"</w:t>
      </w:r>
      <w:r w:rsidRPr="00CF5577">
        <w:rPr>
          <w:lang w:val="es-ES_tradnl"/>
        </w:rPr>
        <w:t xml:space="preserve"> (</w:t>
      </w:r>
      <w:r>
        <w:rPr>
          <w:lang w:val="es-ES_tradnl"/>
        </w:rPr>
        <w:t>Informe Final de la reunión 23 del CCP.I de la CITEL, 10 de octubre de 2013, Resolución 217).</w:t>
      </w:r>
    </w:p>
    <w:p w14:paraId="020ED131" w14:textId="77777777" w:rsidR="006B1268" w:rsidRPr="00CF5577" w:rsidRDefault="006B1268" w:rsidP="00C142FB">
      <w:pPr>
        <w:jc w:val="both"/>
        <w:rPr>
          <w:color w:val="000000"/>
          <w:szCs w:val="22"/>
          <w:lang w:val="es-ES_tradnl"/>
        </w:rPr>
      </w:pPr>
      <w:r w:rsidRPr="00CF5577">
        <w:rPr>
          <w:color w:val="000000"/>
          <w:szCs w:val="22"/>
          <w:lang w:val="es-ES_tradnl"/>
        </w:rPr>
        <w:t xml:space="preserve">En mayo de 2014, la CITEL aprobó la Resolución 222 </w:t>
      </w:r>
      <w:r>
        <w:rPr>
          <w:color w:val="000000"/>
          <w:szCs w:val="22"/>
          <w:lang w:val="es-ES_tradnl"/>
        </w:rPr>
        <w:t>(XXIV-14) "</w:t>
      </w:r>
      <w:r w:rsidRPr="00CF5577">
        <w:rPr>
          <w:i/>
          <w:iCs/>
          <w:color w:val="000000"/>
          <w:szCs w:val="22"/>
          <w:lang w:val="es-ES_tradnl"/>
        </w:rPr>
        <w:t>Fortalecimiento de medidas regionales para combatir la difusión de dispositivos móviles falsificados, subestandars y no homologados</w:t>
      </w:r>
      <w:r>
        <w:rPr>
          <w:color w:val="000000"/>
          <w:szCs w:val="22"/>
          <w:lang w:val="es-ES_tradnl"/>
        </w:rPr>
        <w:t>".</w:t>
      </w:r>
    </w:p>
    <w:p w14:paraId="0D7BF941" w14:textId="77777777" w:rsidR="006B1268" w:rsidRPr="00CF5577" w:rsidRDefault="006B1268" w:rsidP="00C142FB">
      <w:pPr>
        <w:shd w:val="clear" w:color="auto" w:fill="FFFFFF"/>
        <w:rPr>
          <w:color w:val="000000"/>
          <w:szCs w:val="22"/>
          <w:lang w:val="es-ES_tradnl"/>
        </w:rPr>
      </w:pPr>
      <w:r>
        <w:rPr>
          <w:color w:val="000000"/>
          <w:szCs w:val="22"/>
          <w:lang w:val="es-ES_tradnl"/>
        </w:rPr>
        <w:t>Como resultado</w:t>
      </w:r>
      <w:r w:rsidRPr="00CF5577">
        <w:rPr>
          <w:color w:val="000000"/>
          <w:szCs w:val="22"/>
          <w:lang w:val="es-ES_tradnl"/>
        </w:rPr>
        <w:t>, se estableció</w:t>
      </w:r>
      <w:r>
        <w:rPr>
          <w:color w:val="000000"/>
          <w:szCs w:val="22"/>
          <w:lang w:val="es-ES_tradnl"/>
        </w:rPr>
        <w:t xml:space="preserve"> un Grupo</w:t>
      </w:r>
      <w:r w:rsidRPr="00CF5577">
        <w:rPr>
          <w:color w:val="000000"/>
          <w:szCs w:val="22"/>
          <w:lang w:val="es-ES_tradnl"/>
        </w:rPr>
        <w:t xml:space="preserve"> de </w:t>
      </w:r>
      <w:r>
        <w:rPr>
          <w:color w:val="000000"/>
          <w:szCs w:val="22"/>
          <w:lang w:val="es-ES_tradnl"/>
        </w:rPr>
        <w:t>c</w:t>
      </w:r>
      <w:r w:rsidRPr="00CF5577">
        <w:rPr>
          <w:color w:val="000000"/>
          <w:szCs w:val="22"/>
          <w:lang w:val="es-ES_tradnl"/>
        </w:rPr>
        <w:t xml:space="preserve">orrespondencia </w:t>
      </w:r>
      <w:r>
        <w:rPr>
          <w:color w:val="000000"/>
          <w:szCs w:val="22"/>
          <w:lang w:val="es-ES_tradnl"/>
        </w:rPr>
        <w:t xml:space="preserve">para "debatir las </w:t>
      </w:r>
      <w:r w:rsidRPr="00CF5577">
        <w:rPr>
          <w:color w:val="000000"/>
          <w:szCs w:val="22"/>
          <w:lang w:val="es-ES_tradnl"/>
        </w:rPr>
        <w:t>medidas regionales para combatir la difusión de dispositivos móviles falsificados, subestandars y no homologados</w:t>
      </w:r>
      <w:r>
        <w:rPr>
          <w:color w:val="000000"/>
          <w:szCs w:val="22"/>
          <w:lang w:val="es-ES_tradnl"/>
        </w:rPr>
        <w:t>, compartir información, experiencias y las mejores prácticas técnicas y reglamentarias con los Estados Miembros relacionados con el tema, y con el objetivo de desarrollar recomendaciones y directrices que se puedan implementar en la Región de las Américas".</w:t>
      </w:r>
    </w:p>
    <w:p w14:paraId="6815EBC9" w14:textId="77777777" w:rsidR="006B1268" w:rsidRDefault="006B1268" w:rsidP="00C142FB">
      <w:pPr>
        <w:shd w:val="clear" w:color="auto" w:fill="FFFFFF"/>
        <w:rPr>
          <w:lang w:val="es-ES_tradnl"/>
        </w:rPr>
      </w:pPr>
      <w:r w:rsidRPr="00FF5C21">
        <w:rPr>
          <w:color w:val="000000"/>
          <w:szCs w:val="22"/>
          <w:lang w:val="es-ES_tradnl"/>
        </w:rPr>
        <w:t xml:space="preserve">En </w:t>
      </w:r>
      <w:r>
        <w:rPr>
          <w:color w:val="000000"/>
          <w:szCs w:val="22"/>
          <w:lang w:val="es-ES_tradnl"/>
        </w:rPr>
        <w:t>a</w:t>
      </w:r>
      <w:r w:rsidRPr="00FF5C21">
        <w:rPr>
          <w:color w:val="000000"/>
          <w:szCs w:val="22"/>
          <w:lang w:val="es-ES_tradnl"/>
        </w:rPr>
        <w:t xml:space="preserve">gosto de 2014, se aprobó el plan de trabajo de este </w:t>
      </w:r>
      <w:r>
        <w:rPr>
          <w:color w:val="000000"/>
          <w:szCs w:val="22"/>
          <w:lang w:val="es-ES_tradnl"/>
        </w:rPr>
        <w:t>G</w:t>
      </w:r>
      <w:r w:rsidRPr="00FF5C21">
        <w:rPr>
          <w:color w:val="000000"/>
          <w:szCs w:val="22"/>
          <w:lang w:val="es-ES_tradnl"/>
        </w:rPr>
        <w:t>rupo de correspondencia e incorpor</w:t>
      </w:r>
      <w:r>
        <w:rPr>
          <w:color w:val="000000"/>
          <w:szCs w:val="22"/>
          <w:lang w:val="es-ES_tradnl"/>
        </w:rPr>
        <w:t>ó</w:t>
      </w:r>
      <w:r w:rsidRPr="00FF5C21">
        <w:rPr>
          <w:color w:val="000000"/>
          <w:szCs w:val="22"/>
          <w:lang w:val="es-ES_tradnl"/>
        </w:rPr>
        <w:t xml:space="preserve"> </w:t>
      </w:r>
      <w:r>
        <w:rPr>
          <w:color w:val="000000"/>
          <w:szCs w:val="22"/>
          <w:lang w:val="es-ES_tradnl"/>
        </w:rPr>
        <w:t>en el ámbito</w:t>
      </w:r>
      <w:r w:rsidRPr="00FF5C21">
        <w:rPr>
          <w:color w:val="000000"/>
          <w:szCs w:val="22"/>
          <w:lang w:val="es-ES_tradnl"/>
        </w:rPr>
        <w:t xml:space="preserve"> de la Relatoría sobre el control de fraude, prácticas antirreglamentarias en telecomunicaciones y medidas regionales contra el hurto de equipos terminales móviles</w:t>
      </w:r>
      <w:r>
        <w:rPr>
          <w:color w:val="000000"/>
          <w:szCs w:val="22"/>
          <w:lang w:val="es-ES_tradnl"/>
        </w:rPr>
        <w:t xml:space="preserve"> con el siguiente mandato</w:t>
      </w:r>
      <w:r w:rsidRPr="00FF5C21">
        <w:rPr>
          <w:lang w:val="es-ES_tradnl"/>
        </w:rPr>
        <w:t>:</w:t>
      </w:r>
    </w:p>
    <w:p w14:paraId="2C035F34" w14:textId="77777777" w:rsidR="006B1268" w:rsidRPr="001460CB" w:rsidRDefault="006B1268" w:rsidP="00C142FB">
      <w:pPr>
        <w:pStyle w:val="enumlev1"/>
        <w:rPr>
          <w:lang w:val="es-ES_tradnl"/>
        </w:rPr>
      </w:pPr>
      <w:r w:rsidRPr="001460CB">
        <w:rPr>
          <w:lang w:val="es-ES_tradnl"/>
        </w:rPr>
        <w:t>1</w:t>
      </w:r>
      <w:r>
        <w:rPr>
          <w:lang w:val="es-ES_tradnl"/>
        </w:rPr>
        <w:t>)</w:t>
      </w:r>
      <w:r>
        <w:rPr>
          <w:lang w:val="es-ES_tradnl"/>
        </w:rPr>
        <w:tab/>
        <w:t>E</w:t>
      </w:r>
      <w:r w:rsidRPr="001460CB">
        <w:rPr>
          <w:lang w:val="es-ES_tradnl"/>
        </w:rPr>
        <w:t>laborar una definición de que se entiende para los siguientes términos</w:t>
      </w:r>
      <w:r>
        <w:rPr>
          <w:lang w:val="es-ES_tradnl"/>
        </w:rPr>
        <w:t xml:space="preserve">: </w:t>
      </w:r>
      <w:r w:rsidRPr="001460CB">
        <w:rPr>
          <w:lang w:val="es-ES_tradnl"/>
        </w:rPr>
        <w:t>dispositivos móviles falsificados</w:t>
      </w:r>
      <w:r>
        <w:rPr>
          <w:lang w:val="es-ES_tradnl"/>
        </w:rPr>
        <w:t xml:space="preserve">, </w:t>
      </w:r>
      <w:r w:rsidRPr="001460CB">
        <w:rPr>
          <w:lang w:val="es-ES_tradnl"/>
        </w:rPr>
        <w:t xml:space="preserve">subestandars y </w:t>
      </w:r>
      <w:r>
        <w:rPr>
          <w:lang w:val="es-ES_tradnl"/>
        </w:rPr>
        <w:t>no homologados.</w:t>
      </w:r>
    </w:p>
    <w:p w14:paraId="186817EC" w14:textId="77777777" w:rsidR="006B1268" w:rsidRPr="001460CB" w:rsidRDefault="006B1268" w:rsidP="00C142FB">
      <w:pPr>
        <w:pStyle w:val="enumlev1"/>
        <w:rPr>
          <w:lang w:val="es-ES_tradnl"/>
        </w:rPr>
      </w:pPr>
      <w:r w:rsidRPr="001460CB">
        <w:rPr>
          <w:lang w:val="es-ES_tradnl"/>
        </w:rPr>
        <w:t>2</w:t>
      </w:r>
      <w:r>
        <w:rPr>
          <w:lang w:val="es-ES_tradnl"/>
        </w:rPr>
        <w:t>)</w:t>
      </w:r>
      <w:r>
        <w:rPr>
          <w:lang w:val="es-ES_tradnl"/>
        </w:rPr>
        <w:tab/>
        <w:t>E</w:t>
      </w:r>
      <w:r w:rsidRPr="001460CB">
        <w:rPr>
          <w:lang w:val="es-ES_tradnl"/>
        </w:rPr>
        <w:t>valuar el alcance y carácter del problema de los dispositivos móviles falsificados,</w:t>
      </w:r>
      <w:r>
        <w:rPr>
          <w:lang w:val="es-ES_tradnl"/>
        </w:rPr>
        <w:t xml:space="preserve"> subestandars y no homologados.</w:t>
      </w:r>
    </w:p>
    <w:p w14:paraId="6C6A7DE4" w14:textId="77777777" w:rsidR="006B1268" w:rsidRPr="001460CB" w:rsidRDefault="006B1268" w:rsidP="00C142FB">
      <w:pPr>
        <w:pStyle w:val="enumlev1"/>
        <w:rPr>
          <w:lang w:val="es-ES_tradnl"/>
        </w:rPr>
      </w:pPr>
      <w:r w:rsidRPr="001460CB">
        <w:rPr>
          <w:lang w:val="es-ES_tradnl"/>
        </w:rPr>
        <w:t>3</w:t>
      </w:r>
      <w:r>
        <w:rPr>
          <w:lang w:val="es-ES_tradnl"/>
        </w:rPr>
        <w:t>)</w:t>
      </w:r>
      <w:r>
        <w:rPr>
          <w:lang w:val="es-ES_tradnl"/>
        </w:rPr>
        <w:tab/>
        <w:t>P</w:t>
      </w:r>
      <w:r w:rsidRPr="001460CB">
        <w:rPr>
          <w:lang w:val="es-ES_tradnl"/>
        </w:rPr>
        <w:t>romover el intercambio de información y experiencias entre miembros de la CITEL respecto de las medidas tomadas para combatir el comercio y uso de dispositivos móviles falsificados, subestandars y no homologados</w:t>
      </w:r>
      <w:r>
        <w:rPr>
          <w:lang w:val="es-ES_tradnl"/>
        </w:rPr>
        <w:t>.</w:t>
      </w:r>
    </w:p>
    <w:p w14:paraId="4C6C86C5" w14:textId="77777777" w:rsidR="006B1268" w:rsidRPr="001460CB" w:rsidRDefault="006B1268" w:rsidP="00C142FB">
      <w:pPr>
        <w:pStyle w:val="enumlev1"/>
        <w:rPr>
          <w:lang w:val="es-ES_tradnl"/>
        </w:rPr>
      </w:pPr>
      <w:r w:rsidRPr="001460CB">
        <w:rPr>
          <w:lang w:val="es-ES_tradnl"/>
        </w:rPr>
        <w:lastRenderedPageBreak/>
        <w:t>4</w:t>
      </w:r>
      <w:r>
        <w:rPr>
          <w:lang w:val="es-ES_tradnl"/>
        </w:rPr>
        <w:t>)</w:t>
      </w:r>
      <w:r>
        <w:rPr>
          <w:lang w:val="es-ES_tradnl"/>
        </w:rPr>
        <w:tab/>
        <w:t>D</w:t>
      </w:r>
      <w:r w:rsidRPr="001460CB">
        <w:rPr>
          <w:lang w:val="es-ES_tradnl"/>
        </w:rPr>
        <w:t>ocumentar las mejores prácticas de todo el mundo para combatir el comercio y uso de dispositivos móviles falsificados, subestandars y no homologados</w:t>
      </w:r>
      <w:r>
        <w:rPr>
          <w:lang w:val="es-ES_tradnl"/>
        </w:rPr>
        <w:t>.</w:t>
      </w:r>
    </w:p>
    <w:p w14:paraId="7A7AFF9E" w14:textId="77777777" w:rsidR="006B1268" w:rsidRPr="001460CB" w:rsidRDefault="006B1268" w:rsidP="00C142FB">
      <w:pPr>
        <w:pStyle w:val="enumlev1"/>
        <w:rPr>
          <w:lang w:val="es-ES_tradnl"/>
        </w:rPr>
      </w:pPr>
      <w:r>
        <w:rPr>
          <w:lang w:val="es-ES_tradnl"/>
        </w:rPr>
        <w:t>5)</w:t>
      </w:r>
      <w:r>
        <w:rPr>
          <w:lang w:val="es-ES_tradnl"/>
        </w:rPr>
        <w:tab/>
        <w:t>P</w:t>
      </w:r>
      <w:r w:rsidRPr="001460CB">
        <w:rPr>
          <w:lang w:val="es-ES_tradnl"/>
        </w:rPr>
        <w:t>roponer la creación de carpetas técnicas, recomendaciones y/o resoluciones de la CITEL encarando las medidas técnicas y reglamentarias para combatir el comercio y uso de dispositivos falsificados, sub</w:t>
      </w:r>
      <w:r>
        <w:rPr>
          <w:lang w:val="es-ES_tradnl"/>
        </w:rPr>
        <w:t>e</w:t>
      </w:r>
      <w:r w:rsidRPr="001460CB">
        <w:rPr>
          <w:lang w:val="es-ES_tradnl"/>
        </w:rPr>
        <w:t xml:space="preserve">standars y no homologados en la </w:t>
      </w:r>
      <w:r>
        <w:rPr>
          <w:lang w:val="es-ES_tradnl"/>
        </w:rPr>
        <w:t>R</w:t>
      </w:r>
      <w:r w:rsidRPr="001460CB">
        <w:rPr>
          <w:lang w:val="es-ES_tradnl"/>
        </w:rPr>
        <w:t>egión de las Américas</w:t>
      </w:r>
      <w:r>
        <w:rPr>
          <w:lang w:val="es-ES_tradnl"/>
        </w:rPr>
        <w:t>.</w:t>
      </w:r>
    </w:p>
    <w:p w14:paraId="5BAD383F" w14:textId="77777777" w:rsidR="006B1268" w:rsidRPr="001460CB" w:rsidRDefault="006B1268" w:rsidP="00C142FB">
      <w:pPr>
        <w:pStyle w:val="enumlev1"/>
        <w:rPr>
          <w:lang w:val="es-ES_tradnl"/>
        </w:rPr>
      </w:pPr>
      <w:r w:rsidRPr="001460CB">
        <w:rPr>
          <w:lang w:val="es-ES_tradnl"/>
        </w:rPr>
        <w:t>6</w:t>
      </w:r>
      <w:r>
        <w:rPr>
          <w:lang w:val="es-ES_tradnl"/>
        </w:rPr>
        <w:t>)</w:t>
      </w:r>
      <w:r>
        <w:rPr>
          <w:lang w:val="es-ES_tradnl"/>
        </w:rPr>
        <w:tab/>
        <w:t>F</w:t>
      </w:r>
      <w:r w:rsidRPr="001460CB">
        <w:rPr>
          <w:lang w:val="es-ES_tradnl"/>
        </w:rPr>
        <w:t xml:space="preserve">inalizar el trabajo e informar sobre los resultados obtenidos a la Relatoría sobre </w:t>
      </w:r>
      <w:r>
        <w:rPr>
          <w:lang w:val="es-ES_tradnl"/>
        </w:rPr>
        <w:t>c</w:t>
      </w:r>
      <w:r w:rsidRPr="001460CB">
        <w:rPr>
          <w:lang w:val="es-ES_tradnl"/>
        </w:rPr>
        <w:t xml:space="preserve">ontrol de prácticas antirreglamentarias en telecomunicaciones y </w:t>
      </w:r>
      <w:r>
        <w:rPr>
          <w:lang w:val="es-ES_tradnl"/>
        </w:rPr>
        <w:t>medi</w:t>
      </w:r>
      <w:r w:rsidRPr="001460CB">
        <w:rPr>
          <w:lang w:val="es-ES_tradnl"/>
        </w:rPr>
        <w:t>das reglamentarias contra el hurto de equipos terminales móviles.</w:t>
      </w:r>
    </w:p>
    <w:p w14:paraId="1F53BFCD" w14:textId="5BB7DED6" w:rsidR="006B1268" w:rsidRPr="001460CB" w:rsidRDefault="006B1268" w:rsidP="007330F1">
      <w:pPr>
        <w:pStyle w:val="Heading3"/>
        <w:rPr>
          <w:lang w:val="es-ES_tradnl"/>
        </w:rPr>
      </w:pPr>
      <w:bookmarkStart w:id="399" w:name="_Toc404607235"/>
      <w:bookmarkStart w:id="400" w:name="_Toc447202585"/>
      <w:bookmarkStart w:id="401" w:name="_Toc447203060"/>
      <w:r w:rsidRPr="001460CB">
        <w:rPr>
          <w:lang w:val="es-ES_tradnl"/>
        </w:rPr>
        <w:t>A.2.2</w:t>
      </w:r>
      <w:r>
        <w:rPr>
          <w:lang w:val="es-ES_tradnl"/>
        </w:rPr>
        <w:tab/>
      </w:r>
      <w:r w:rsidRPr="001460CB">
        <w:rPr>
          <w:lang w:val="es-ES_tradnl"/>
        </w:rPr>
        <w:t xml:space="preserve">Comunidad de </w:t>
      </w:r>
      <w:r w:rsidRPr="0017166A">
        <w:rPr>
          <w:lang w:val="es-ES_tradnl"/>
        </w:rPr>
        <w:t>África Oriental (East</w:t>
      </w:r>
      <w:r w:rsidRPr="001460CB">
        <w:rPr>
          <w:lang w:val="es-ES_tradnl"/>
        </w:rPr>
        <w:t xml:space="preserve"> African Community, EAC)</w:t>
      </w:r>
      <w:bookmarkEnd w:id="399"/>
      <w:bookmarkEnd w:id="400"/>
      <w:bookmarkEnd w:id="401"/>
    </w:p>
    <w:p w14:paraId="6AF1D910" w14:textId="77777777" w:rsidR="006B1268" w:rsidRDefault="006B1268" w:rsidP="00C142FB">
      <w:pPr>
        <w:rPr>
          <w:shd w:val="clear" w:color="auto" w:fill="FFFFFF"/>
          <w:lang w:val="es-ES_tradnl"/>
        </w:rPr>
      </w:pPr>
      <w:r w:rsidRPr="0017166A">
        <w:rPr>
          <w:shd w:val="clear" w:color="auto" w:fill="FFFFFF"/>
          <w:lang w:val="es-ES_tradnl"/>
        </w:rPr>
        <w:t xml:space="preserve">África </w:t>
      </w:r>
      <w:r>
        <w:rPr>
          <w:shd w:val="clear" w:color="auto" w:fill="FFFFFF"/>
          <w:lang w:val="es-ES_tradnl"/>
        </w:rPr>
        <w:t>O</w:t>
      </w:r>
      <w:r w:rsidRPr="0017166A">
        <w:rPr>
          <w:shd w:val="clear" w:color="auto" w:fill="FFFFFF"/>
          <w:lang w:val="es-ES_tradnl"/>
        </w:rPr>
        <w:t xml:space="preserve">riental pierde más de 500 millones </w:t>
      </w:r>
      <w:r>
        <w:rPr>
          <w:shd w:val="clear" w:color="auto" w:fill="FFFFFF"/>
          <w:lang w:val="es-ES_tradnl"/>
        </w:rPr>
        <w:t>USD</w:t>
      </w:r>
      <w:r w:rsidRPr="0017166A">
        <w:rPr>
          <w:shd w:val="clear" w:color="auto" w:fill="FFFFFF"/>
          <w:lang w:val="es-ES_tradnl"/>
        </w:rPr>
        <w:t xml:space="preserve"> </w:t>
      </w:r>
      <w:r>
        <w:rPr>
          <w:shd w:val="clear" w:color="auto" w:fill="FFFFFF"/>
          <w:lang w:val="es-ES_tradnl"/>
        </w:rPr>
        <w:t>de ingresos por las imitaciones de productos</w:t>
      </w:r>
      <w:r w:rsidRPr="0017166A">
        <w:rPr>
          <w:shd w:val="clear" w:color="auto" w:fill="FFFFFF"/>
          <w:lang w:val="es-ES_tradnl"/>
        </w:rPr>
        <w:t xml:space="preserve"> </w:t>
      </w:r>
      <w:hyperlink r:id="rId170" w:history="1">
        <w:r w:rsidRPr="0017166A">
          <w:rPr>
            <w:rStyle w:val="Hyperlink"/>
            <w:lang w:val="es-ES_tradnl"/>
          </w:rPr>
          <w:t>http://www.trademarkea.com/ea-loses-huge-sums-of-money-in-counterfeit-products/</w:t>
        </w:r>
      </w:hyperlink>
      <w:r w:rsidRPr="0017166A">
        <w:rPr>
          <w:shd w:val="clear" w:color="auto" w:fill="FFFFFF"/>
          <w:lang w:val="es-ES_tradnl"/>
        </w:rPr>
        <w:t xml:space="preserve">. </w:t>
      </w:r>
      <w:r>
        <w:rPr>
          <w:shd w:val="clear" w:color="auto" w:fill="FFFFFF"/>
          <w:lang w:val="es-ES_tradnl"/>
        </w:rPr>
        <w:t xml:space="preserve">Los productos baratos y de baja calidad, suministrados por comerciantes y fabricantes, locales o extranjeros copian los nombres y los diseños de grandes marcas conocidas en el envoltorio. </w:t>
      </w:r>
    </w:p>
    <w:p w14:paraId="5B21207D" w14:textId="77777777" w:rsidR="006B1268" w:rsidRDefault="006B1268" w:rsidP="00C142FB">
      <w:pPr>
        <w:rPr>
          <w:shd w:val="clear" w:color="auto" w:fill="FFFFFF"/>
          <w:lang w:val="es-ES_tradnl"/>
        </w:rPr>
      </w:pPr>
      <w:r>
        <w:rPr>
          <w:shd w:val="clear" w:color="auto" w:fill="FFFFFF"/>
          <w:lang w:val="es-ES_tradnl"/>
        </w:rPr>
        <w:t>De acuerdo con el Protocolo de Mercado Común, aprobado por la EAC en 2010, solamente la colaboración puede vencer a los productos falsificados y su comercio.</w:t>
      </w:r>
    </w:p>
    <w:p w14:paraId="20E847FC" w14:textId="77777777" w:rsidR="006B1268" w:rsidRPr="009F7CFC" w:rsidRDefault="006B1268" w:rsidP="00C142FB">
      <w:pPr>
        <w:rPr>
          <w:lang w:val="es-ES_tradnl"/>
        </w:rPr>
      </w:pPr>
      <w:r w:rsidRPr="0017166A">
        <w:rPr>
          <w:spacing w:val="-2"/>
          <w:lang w:val="es-ES_tradnl"/>
        </w:rPr>
        <w:t xml:space="preserve">La Organización para las Comunicaciones de África Oriental (EACO), es un organismo regional que reúne los organismos </w:t>
      </w:r>
      <w:r>
        <w:rPr>
          <w:spacing w:val="-2"/>
          <w:lang w:val="es-ES_tradnl"/>
        </w:rPr>
        <w:t>reguladores, postales, de telecomunicaciones y de radiodifusión de los cinco Estados Miembros de la EAC</w:t>
      </w:r>
      <w:r w:rsidRPr="0017166A">
        <w:rPr>
          <w:bCs/>
          <w:lang w:val="es-ES_tradnl"/>
        </w:rPr>
        <w:t xml:space="preserve"> (</w:t>
      </w:r>
      <w:r w:rsidRPr="0017166A">
        <w:rPr>
          <w:lang w:val="es-ES_tradnl"/>
        </w:rPr>
        <w:t>Kenya, Tanzan</w:t>
      </w:r>
      <w:r>
        <w:rPr>
          <w:lang w:val="es-ES_tradnl"/>
        </w:rPr>
        <w:t>í</w:t>
      </w:r>
      <w:r w:rsidRPr="0017166A">
        <w:rPr>
          <w:lang w:val="es-ES_tradnl"/>
        </w:rPr>
        <w:t xml:space="preserve">a, Rwanda, Burundi, </w:t>
      </w:r>
      <w:r>
        <w:rPr>
          <w:lang w:val="es-ES_tradnl"/>
        </w:rPr>
        <w:t>y</w:t>
      </w:r>
      <w:r w:rsidRPr="0017166A">
        <w:rPr>
          <w:lang w:val="es-ES_tradnl"/>
        </w:rPr>
        <w:t xml:space="preserve"> Uganda). </w:t>
      </w:r>
      <w:r w:rsidRPr="00EE47E4">
        <w:rPr>
          <w:lang w:val="es-ES_tradnl"/>
        </w:rPr>
        <w:t>La EACO consider</w:t>
      </w:r>
      <w:r>
        <w:rPr>
          <w:lang w:val="es-ES_tradnl"/>
        </w:rPr>
        <w:t>ó</w:t>
      </w:r>
      <w:r w:rsidRPr="00EE47E4">
        <w:rPr>
          <w:lang w:val="es-ES_tradnl"/>
        </w:rPr>
        <w:t xml:space="preserve"> el problema de la invasi</w:t>
      </w:r>
      <w:r>
        <w:rPr>
          <w:lang w:val="es-ES_tradnl"/>
        </w:rPr>
        <w:t>ó</w:t>
      </w:r>
      <w:r w:rsidRPr="00EE47E4">
        <w:rPr>
          <w:lang w:val="es-ES_tradnl"/>
        </w:rPr>
        <w:t>n de teléfonos móviles falsificados en la regi</w:t>
      </w:r>
      <w:r>
        <w:rPr>
          <w:lang w:val="es-ES_tradnl"/>
        </w:rPr>
        <w:t>ón y aprobó una iniciativa común en 2012.</w:t>
      </w:r>
    </w:p>
    <w:p w14:paraId="0A1E4998" w14:textId="77777777" w:rsidR="006B1268" w:rsidRDefault="006B1268" w:rsidP="00C142FB">
      <w:pPr>
        <w:rPr>
          <w:lang w:val="es-ES_tradnl"/>
        </w:rPr>
      </w:pPr>
      <w:r w:rsidRPr="00EE47E4">
        <w:rPr>
          <w:lang w:val="es-ES_tradnl"/>
        </w:rPr>
        <w:t xml:space="preserve">El Grupo </w:t>
      </w:r>
      <w:r>
        <w:rPr>
          <w:lang w:val="es-ES_tradnl"/>
        </w:rPr>
        <w:t>Especial</w:t>
      </w:r>
      <w:r w:rsidRPr="00EE47E4">
        <w:rPr>
          <w:lang w:val="es-ES_tradnl"/>
        </w:rPr>
        <w:t xml:space="preserve"> sobre numeración de la EACO</w:t>
      </w:r>
      <w:r>
        <w:rPr>
          <w:lang w:val="es-ES_tradnl"/>
        </w:rPr>
        <w:t xml:space="preserve"> </w:t>
      </w:r>
      <w:r w:rsidRPr="00CF1C0E">
        <w:rPr>
          <w:lang w:val="es-ES_tradnl"/>
        </w:rPr>
        <w:t>(Comisión de Comunicaciones de Kenya (CCK), Organismo Regulador de las Comunicaciones de Tanzan</w:t>
      </w:r>
      <w:r>
        <w:rPr>
          <w:lang w:val="es-ES_tradnl"/>
        </w:rPr>
        <w:t>í</w:t>
      </w:r>
      <w:r w:rsidRPr="00CF1C0E">
        <w:rPr>
          <w:lang w:val="es-ES_tradnl"/>
        </w:rPr>
        <w:t xml:space="preserve">a (TCRA), el Organismo Regulador de Servicios Públicos de Rwanda (RURA), la Agencia para la Regulación y el Control de las Telecomunicaciones de Burundi </w:t>
      </w:r>
      <w:r>
        <w:rPr>
          <w:lang w:val="es-ES_tradnl"/>
        </w:rPr>
        <w:t>(</w:t>
      </w:r>
      <w:r w:rsidRPr="00CF1C0E">
        <w:rPr>
          <w:lang w:val="es-ES_tradnl"/>
        </w:rPr>
        <w:t>ARCT</w:t>
      </w:r>
      <w:r>
        <w:rPr>
          <w:lang w:val="es-ES_tradnl"/>
        </w:rPr>
        <w:t>)</w:t>
      </w:r>
      <w:r w:rsidRPr="00CF1C0E">
        <w:rPr>
          <w:lang w:val="es-ES_tradnl"/>
        </w:rPr>
        <w:t xml:space="preserve">, Comisión de Comunicaciones de Uganda (UCC)) </w:t>
      </w:r>
      <w:r>
        <w:rPr>
          <w:lang w:val="es-ES_tradnl"/>
        </w:rPr>
        <w:t>recomendó en mayo de 2012 el desarrollo de una base de datos nacional y la adopción de los procedimientos para la verificación de los teléfonos móviles para proteger a los usuarios, las empresas y las redes de los efectos de las falsificaciones (Informe del Grupo Especial sobre numeración de la EACO para 2011-2012).</w:t>
      </w:r>
    </w:p>
    <w:p w14:paraId="46FA04CA" w14:textId="77777777" w:rsidR="006B1268" w:rsidRPr="00B31FAB" w:rsidRDefault="006B1268" w:rsidP="00C142FB">
      <w:pPr>
        <w:rPr>
          <w:rFonts w:asciiTheme="majorBidi" w:hAnsiTheme="majorBidi" w:cstheme="majorBidi"/>
          <w:lang w:val="es-ES_tradnl"/>
        </w:rPr>
      </w:pPr>
      <w:r>
        <w:rPr>
          <w:lang w:val="es-ES_tradnl"/>
        </w:rPr>
        <w:t>En e</w:t>
      </w:r>
      <w:r w:rsidRPr="00CF1C0E">
        <w:rPr>
          <w:lang w:val="es-ES_tradnl"/>
        </w:rPr>
        <w:t>l decimonoveno Congreso de la EACO en 2012</w:t>
      </w:r>
      <w:r>
        <w:rPr>
          <w:lang w:val="es-ES_tradnl"/>
        </w:rPr>
        <w:t xml:space="preserve">, se informó del estado de las implementaciones de los registros de identidades de equipos (EIR) en la región y se describieron algunos de los problemas identificados </w:t>
      </w:r>
      <w:hyperlink r:id="rId171" w:history="1">
        <w:r w:rsidRPr="00CF1C0E">
          <w:rPr>
            <w:rStyle w:val="Hyperlink"/>
            <w:rFonts w:asciiTheme="majorBidi" w:hAnsiTheme="majorBidi" w:cstheme="majorBidi"/>
            <w:lang w:val="es-ES_tradnl"/>
          </w:rPr>
          <w:t>http://www.eaco.int/docs/19_congress_report.pdf</w:t>
        </w:r>
      </w:hyperlink>
      <w:r w:rsidRPr="00B31FAB">
        <w:rPr>
          <w:rFonts w:asciiTheme="majorBidi" w:hAnsiTheme="majorBidi" w:cstheme="majorBidi"/>
          <w:lang w:val="es-ES_tradnl"/>
        </w:rPr>
        <w:t>:</w:t>
      </w:r>
    </w:p>
    <w:p w14:paraId="0096988C" w14:textId="77777777" w:rsidR="006B1268" w:rsidRPr="00B31FAB" w:rsidRDefault="006B1268" w:rsidP="00C142FB">
      <w:pPr>
        <w:pStyle w:val="enumlev1"/>
        <w:rPr>
          <w:lang w:val="es-ES_tradnl"/>
        </w:rPr>
      </w:pPr>
      <w:r w:rsidRPr="00251BDC">
        <w:rPr>
          <w:lang w:val="es-ES_tradnl"/>
        </w:rPr>
        <w:t>•</w:t>
      </w:r>
      <w:r>
        <w:rPr>
          <w:lang w:val="es-ES_tradnl"/>
        </w:rPr>
        <w:tab/>
        <w:t>clonado o ausencia del número de i</w:t>
      </w:r>
      <w:r w:rsidRPr="00B31FAB">
        <w:rPr>
          <w:lang w:val="es-ES_tradnl"/>
        </w:rPr>
        <w:t xml:space="preserve">dentidad internacional del equipo móvil </w:t>
      </w:r>
      <w:r>
        <w:rPr>
          <w:lang w:val="es-ES_tradnl"/>
        </w:rPr>
        <w:t>(</w:t>
      </w:r>
      <w:r w:rsidRPr="00B31FAB">
        <w:rPr>
          <w:lang w:val="es-ES_tradnl"/>
        </w:rPr>
        <w:t>IMEI</w:t>
      </w:r>
      <w:r>
        <w:rPr>
          <w:lang w:val="es-ES_tradnl"/>
        </w:rPr>
        <w:t>)</w:t>
      </w:r>
      <w:r w:rsidRPr="00B31FAB">
        <w:rPr>
          <w:lang w:val="es-ES_tradnl"/>
        </w:rPr>
        <w:t xml:space="preserve">; </w:t>
      </w:r>
    </w:p>
    <w:p w14:paraId="2C66DA33" w14:textId="77777777" w:rsidR="006B1268" w:rsidRPr="00B31FAB" w:rsidRDefault="006B1268" w:rsidP="00C142FB">
      <w:pPr>
        <w:pStyle w:val="enumlev1"/>
        <w:rPr>
          <w:lang w:val="es-ES_tradnl"/>
        </w:rPr>
      </w:pPr>
      <w:r w:rsidRPr="00251BDC">
        <w:rPr>
          <w:lang w:val="es-ES_tradnl"/>
        </w:rPr>
        <w:t>•</w:t>
      </w:r>
      <w:r>
        <w:rPr>
          <w:lang w:val="es-ES_tradnl"/>
        </w:rPr>
        <w:tab/>
        <w:t>f</w:t>
      </w:r>
      <w:r w:rsidRPr="00B31FAB">
        <w:rPr>
          <w:lang w:val="es-ES_tradnl"/>
        </w:rPr>
        <w:t>alta de información de los consumidores sobre los peligros asociados con la utilización de equipos falsificados y falta de conocimiento de la manera de verificar si un equipo es genuin</w:t>
      </w:r>
      <w:r>
        <w:rPr>
          <w:lang w:val="es-ES_tradnl"/>
        </w:rPr>
        <w:t>o</w:t>
      </w:r>
      <w:r w:rsidRPr="00B31FAB">
        <w:rPr>
          <w:lang w:val="es-ES_tradnl"/>
        </w:rPr>
        <w:t xml:space="preserve">; </w:t>
      </w:r>
    </w:p>
    <w:p w14:paraId="00CD97DF" w14:textId="77777777" w:rsidR="006B1268" w:rsidRPr="00B31FAB" w:rsidRDefault="006B1268" w:rsidP="00C142FB">
      <w:pPr>
        <w:pStyle w:val="enumlev1"/>
        <w:rPr>
          <w:lang w:val="es-ES_tradnl"/>
        </w:rPr>
      </w:pPr>
      <w:r w:rsidRPr="00251BDC">
        <w:rPr>
          <w:lang w:val="es-ES_tradnl"/>
        </w:rPr>
        <w:t>•</w:t>
      </w:r>
      <w:r>
        <w:rPr>
          <w:lang w:val="es-ES_tradnl"/>
        </w:rPr>
        <w:tab/>
      </w:r>
      <w:r w:rsidRPr="00B31FAB">
        <w:rPr>
          <w:lang w:val="es-ES_tradnl"/>
        </w:rPr>
        <w:t xml:space="preserve">falta de información de los comercios y revendedores sobre los problemas asociados con la venta de productos baratos de baja calidad; y </w:t>
      </w:r>
    </w:p>
    <w:p w14:paraId="6A47ED9C" w14:textId="77777777" w:rsidR="006B1268" w:rsidRPr="00B31FAB" w:rsidRDefault="006B1268" w:rsidP="00C142FB">
      <w:pPr>
        <w:pStyle w:val="enumlev1"/>
        <w:rPr>
          <w:lang w:val="es-ES_tradnl"/>
        </w:rPr>
      </w:pPr>
      <w:r w:rsidRPr="00251BDC">
        <w:rPr>
          <w:lang w:val="es-ES_tradnl"/>
        </w:rPr>
        <w:t>•</w:t>
      </w:r>
      <w:r>
        <w:rPr>
          <w:lang w:val="es-ES_tradnl"/>
        </w:rPr>
        <w:tab/>
      </w:r>
      <w:r w:rsidRPr="00B31FAB">
        <w:rPr>
          <w:lang w:val="es-ES_tradnl"/>
        </w:rPr>
        <w:t>el alto coste de la implementación.</w:t>
      </w:r>
    </w:p>
    <w:p w14:paraId="64736694" w14:textId="77777777" w:rsidR="006B1268" w:rsidRDefault="006B1268" w:rsidP="00C142FB">
      <w:pPr>
        <w:rPr>
          <w:rFonts w:asciiTheme="majorBidi" w:hAnsiTheme="majorBidi" w:cstheme="majorBidi"/>
          <w:lang w:val="es-ES_tradnl"/>
        </w:rPr>
      </w:pPr>
      <w:r>
        <w:rPr>
          <w:rFonts w:asciiTheme="majorBidi" w:hAnsiTheme="majorBidi" w:cstheme="majorBidi"/>
          <w:lang w:val="es-ES_tradnl"/>
        </w:rPr>
        <w:t xml:space="preserve">Con el objetivo de superar estos retos, se propusieron las siguientes soluciones: </w:t>
      </w:r>
    </w:p>
    <w:p w14:paraId="3A3334DA" w14:textId="77777777" w:rsidR="006B1268" w:rsidRPr="00180C65" w:rsidRDefault="006B1268" w:rsidP="00C142FB">
      <w:pPr>
        <w:pStyle w:val="enumlev1"/>
        <w:rPr>
          <w:lang w:val="es-ES_tradnl"/>
        </w:rPr>
      </w:pPr>
      <w:r w:rsidRPr="00251BDC">
        <w:rPr>
          <w:lang w:val="es-ES_tradnl"/>
        </w:rPr>
        <w:t>•</w:t>
      </w:r>
      <w:r>
        <w:rPr>
          <w:lang w:val="es-ES_tradnl"/>
        </w:rPr>
        <w:tab/>
      </w:r>
      <w:r w:rsidRPr="00180C65">
        <w:rPr>
          <w:lang w:val="es-ES_tradnl"/>
        </w:rPr>
        <w:t xml:space="preserve">lanzamiento de campañas de información para los consumidores y los vendedores locales; </w:t>
      </w:r>
    </w:p>
    <w:p w14:paraId="597F570D" w14:textId="77777777" w:rsidR="006B1268" w:rsidRPr="00180C65" w:rsidRDefault="006B1268" w:rsidP="00C142FB">
      <w:pPr>
        <w:pStyle w:val="enumlev1"/>
        <w:rPr>
          <w:lang w:val="es-ES_tradnl"/>
        </w:rPr>
      </w:pPr>
      <w:r w:rsidRPr="00251BDC">
        <w:rPr>
          <w:lang w:val="es-ES_tradnl"/>
        </w:rPr>
        <w:t>•</w:t>
      </w:r>
      <w:r>
        <w:rPr>
          <w:lang w:val="es-ES_tradnl"/>
        </w:rPr>
        <w:tab/>
      </w:r>
      <w:r w:rsidRPr="00180C65">
        <w:rPr>
          <w:lang w:val="es-ES_tradnl"/>
        </w:rPr>
        <w:t xml:space="preserve">creación de una licencia para </w:t>
      </w:r>
      <w:r>
        <w:rPr>
          <w:lang w:val="es-ES_tradnl"/>
        </w:rPr>
        <w:t xml:space="preserve">todos </w:t>
      </w:r>
      <w:r w:rsidRPr="00180C65">
        <w:rPr>
          <w:lang w:val="es-ES_tradnl"/>
        </w:rPr>
        <w:t>los vendedores y revendedores;</w:t>
      </w:r>
    </w:p>
    <w:p w14:paraId="053B6EFC" w14:textId="77777777" w:rsidR="006B1268" w:rsidRDefault="006B1268" w:rsidP="00C142FB">
      <w:pPr>
        <w:pStyle w:val="enumlev1"/>
        <w:rPr>
          <w:lang w:val="es-ES_tradnl"/>
        </w:rPr>
      </w:pPr>
      <w:r w:rsidRPr="00251BDC">
        <w:rPr>
          <w:lang w:val="es-ES_tradnl"/>
        </w:rPr>
        <w:t>•</w:t>
      </w:r>
      <w:r>
        <w:rPr>
          <w:lang w:val="es-ES_tradnl"/>
        </w:rPr>
        <w:tab/>
      </w:r>
      <w:r w:rsidRPr="00180C65">
        <w:rPr>
          <w:lang w:val="es-ES_tradnl"/>
        </w:rPr>
        <w:t>mejora de los procedimientos de homologac</w:t>
      </w:r>
      <w:r>
        <w:rPr>
          <w:lang w:val="es-ES_tradnl"/>
        </w:rPr>
        <w:t>ión;</w:t>
      </w:r>
    </w:p>
    <w:p w14:paraId="541D642E" w14:textId="77777777" w:rsidR="006B1268" w:rsidRPr="00180C65" w:rsidRDefault="006B1268" w:rsidP="00C142FB">
      <w:pPr>
        <w:pStyle w:val="enumlev1"/>
        <w:rPr>
          <w:lang w:val="es-ES_tradnl"/>
        </w:rPr>
      </w:pPr>
      <w:r w:rsidRPr="00251BDC">
        <w:rPr>
          <w:lang w:val="es-ES_tradnl"/>
        </w:rPr>
        <w:t>•</w:t>
      </w:r>
      <w:r>
        <w:rPr>
          <w:lang w:val="es-ES_tradnl"/>
        </w:rPr>
        <w:tab/>
      </w:r>
      <w:r w:rsidRPr="00180C65">
        <w:rPr>
          <w:lang w:val="es-ES_tradnl"/>
        </w:rPr>
        <w:t xml:space="preserve">establecimiento de bases de datos de los equipos; </w:t>
      </w:r>
      <w:r>
        <w:rPr>
          <w:lang w:val="es-ES_tradnl"/>
        </w:rPr>
        <w:t>y</w:t>
      </w:r>
    </w:p>
    <w:p w14:paraId="0699201E" w14:textId="77777777" w:rsidR="006B1268" w:rsidRPr="00180C65" w:rsidRDefault="006B1268" w:rsidP="00C142FB">
      <w:pPr>
        <w:pStyle w:val="enumlev1"/>
        <w:rPr>
          <w:lang w:val="es-ES_tradnl"/>
        </w:rPr>
      </w:pPr>
      <w:r w:rsidRPr="00251BDC">
        <w:rPr>
          <w:lang w:val="es-ES_tradnl"/>
        </w:rPr>
        <w:t>•</w:t>
      </w:r>
      <w:r>
        <w:rPr>
          <w:lang w:val="es-ES_tradnl"/>
        </w:rPr>
        <w:tab/>
      </w:r>
      <w:r w:rsidRPr="00180C65">
        <w:rPr>
          <w:lang w:val="es-ES_tradnl"/>
        </w:rPr>
        <w:t>exige</w:t>
      </w:r>
      <w:r>
        <w:rPr>
          <w:lang w:val="es-ES_tradnl"/>
        </w:rPr>
        <w:t>ncia</w:t>
      </w:r>
      <w:r w:rsidRPr="00180C65">
        <w:rPr>
          <w:lang w:val="es-ES_tradnl"/>
        </w:rPr>
        <w:t xml:space="preserve"> </w:t>
      </w:r>
      <w:r>
        <w:rPr>
          <w:lang w:val="es-ES_tradnl"/>
        </w:rPr>
        <w:t>d</w:t>
      </w:r>
      <w:r w:rsidRPr="00180C65">
        <w:rPr>
          <w:lang w:val="es-ES_tradnl"/>
        </w:rPr>
        <w:t xml:space="preserve">el registro de la tarjeta SIM. </w:t>
      </w:r>
    </w:p>
    <w:p w14:paraId="3B71C57D" w14:textId="77777777" w:rsidR="006B1268" w:rsidRDefault="006B1268" w:rsidP="007330F1">
      <w:pPr>
        <w:pStyle w:val="Heading3"/>
        <w:rPr>
          <w:lang w:val="es-ES_tradnl"/>
        </w:rPr>
      </w:pPr>
      <w:bookmarkStart w:id="402" w:name="_Toc447202586"/>
      <w:bookmarkStart w:id="403" w:name="_Toc447203061"/>
      <w:bookmarkStart w:id="404" w:name="_Toc404607236"/>
      <w:r w:rsidRPr="00180C65">
        <w:rPr>
          <w:lang w:val="es-ES_tradnl"/>
        </w:rPr>
        <w:lastRenderedPageBreak/>
        <w:t>A.2.3</w:t>
      </w:r>
      <w:r>
        <w:rPr>
          <w:lang w:val="es-ES_tradnl"/>
        </w:rPr>
        <w:tab/>
      </w:r>
      <w:r w:rsidRPr="00180C65">
        <w:rPr>
          <w:lang w:val="es-ES_tradnl"/>
        </w:rPr>
        <w:t>Asociación de los Reguladores de Comunicaciones y Telecom</w:t>
      </w:r>
      <w:r>
        <w:rPr>
          <w:lang w:val="es-ES_tradnl"/>
        </w:rPr>
        <w:t xml:space="preserve">unicaciones de la </w:t>
      </w:r>
      <w:r w:rsidRPr="00180C65">
        <w:rPr>
          <w:lang w:val="es-ES_tradnl"/>
        </w:rPr>
        <w:t>Comunidad de Países de Lengua Portuguesa (</w:t>
      </w:r>
      <w:r>
        <w:rPr>
          <w:lang w:val="es-ES_tradnl"/>
        </w:rPr>
        <w:t>ARCTEL-</w:t>
      </w:r>
      <w:r w:rsidRPr="00180C65">
        <w:rPr>
          <w:lang w:val="es-ES_tradnl"/>
        </w:rPr>
        <w:t>CPLP).</w:t>
      </w:r>
      <w:bookmarkEnd w:id="402"/>
      <w:bookmarkEnd w:id="403"/>
      <w:r w:rsidRPr="00180C65">
        <w:rPr>
          <w:lang w:val="es-ES_tradnl"/>
        </w:rPr>
        <w:t xml:space="preserve"> </w:t>
      </w:r>
    </w:p>
    <w:bookmarkEnd w:id="404"/>
    <w:p w14:paraId="16B214CB" w14:textId="77777777" w:rsidR="006B1268" w:rsidRPr="00C45AD4" w:rsidRDefault="006B1268" w:rsidP="00C142FB">
      <w:pPr>
        <w:rPr>
          <w:rFonts w:asciiTheme="majorBidi" w:hAnsiTheme="majorBidi" w:cstheme="majorBidi"/>
          <w:shd w:val="clear" w:color="auto" w:fill="FFFFFF"/>
        </w:rPr>
      </w:pPr>
      <w:r w:rsidRPr="00180C65">
        <w:rPr>
          <w:rFonts w:asciiTheme="majorBidi" w:hAnsiTheme="majorBidi" w:cstheme="majorBidi"/>
          <w:lang w:val="es-ES_tradnl"/>
        </w:rPr>
        <w:t>La</w:t>
      </w:r>
      <w:r w:rsidRPr="00180C65">
        <w:rPr>
          <w:lang w:val="es-ES_tradnl"/>
        </w:rPr>
        <w:t xml:space="preserve"> </w:t>
      </w:r>
      <w:r w:rsidRPr="00180C65">
        <w:rPr>
          <w:rFonts w:asciiTheme="majorBidi" w:hAnsiTheme="majorBidi" w:cstheme="majorBidi"/>
          <w:lang w:val="es-ES_tradnl"/>
        </w:rPr>
        <w:t>Asociación de los Reguladores de Comunicaciones y Telecomunicaciones de la Comunidad de Países de Lengua Portuguesa (ARCTEL-CPLP)</w:t>
      </w:r>
      <w:r>
        <w:rPr>
          <w:rFonts w:asciiTheme="majorBidi" w:hAnsiTheme="majorBidi" w:cstheme="majorBidi"/>
          <w:lang w:val="es-ES_tradnl"/>
        </w:rPr>
        <w:t xml:space="preserve"> tiene miembros de Angola, Brasil, Cabo Verde, Guinea-Bissau, Mozambique, Portugal, </w:t>
      </w:r>
      <w:r w:rsidRPr="00FF64AC">
        <w:rPr>
          <w:rFonts w:asciiTheme="majorBidi" w:hAnsiTheme="majorBidi" w:cstheme="majorBidi"/>
          <w:lang w:val="es-ES_tradnl"/>
        </w:rPr>
        <w:t>Santo Tomé y Príncipe</w:t>
      </w:r>
      <w:r>
        <w:rPr>
          <w:rFonts w:asciiTheme="majorBidi" w:hAnsiTheme="majorBidi" w:cstheme="majorBidi"/>
          <w:lang w:val="es-ES_tradnl"/>
        </w:rPr>
        <w:t xml:space="preserve"> y Timor Oriental</w:t>
      </w:r>
      <w:r w:rsidRPr="00FF64AC">
        <w:rPr>
          <w:rFonts w:asciiTheme="majorBidi" w:hAnsiTheme="majorBidi" w:cstheme="majorBidi"/>
          <w:shd w:val="clear" w:color="auto" w:fill="FFFFFF"/>
          <w:lang w:val="es-ES_tradnl"/>
        </w:rPr>
        <w:t xml:space="preserve"> (</w:t>
      </w:r>
      <w:hyperlink r:id="rId172" w:history="1">
        <w:r w:rsidRPr="00FF64AC">
          <w:rPr>
            <w:rStyle w:val="Hyperlink"/>
            <w:rFonts w:asciiTheme="majorBidi" w:hAnsiTheme="majorBidi" w:cstheme="majorBidi"/>
            <w:lang w:val="es-ES_tradnl"/>
          </w:rPr>
          <w:t>http://www.arctel-cplp.org</w:t>
        </w:r>
      </w:hyperlink>
      <w:r w:rsidRPr="00FF64AC">
        <w:rPr>
          <w:rFonts w:asciiTheme="majorBidi" w:hAnsiTheme="majorBidi" w:cstheme="majorBidi"/>
          <w:shd w:val="clear" w:color="auto" w:fill="FFFFFF"/>
          <w:lang w:val="es-ES_tradnl"/>
        </w:rPr>
        <w:t xml:space="preserve">). </w:t>
      </w:r>
      <w:r>
        <w:rPr>
          <w:rFonts w:asciiTheme="majorBidi" w:hAnsiTheme="majorBidi" w:cstheme="majorBidi"/>
          <w:shd w:val="clear" w:color="auto" w:fill="FFFFFF"/>
          <w:lang w:val="es-ES_tradnl"/>
        </w:rPr>
        <w:t xml:space="preserve">En el </w:t>
      </w:r>
      <w:r w:rsidRPr="00FF64AC">
        <w:rPr>
          <w:rFonts w:asciiTheme="majorBidi" w:hAnsiTheme="majorBidi" w:cstheme="majorBidi"/>
          <w:shd w:val="clear" w:color="auto" w:fill="FFFFFF"/>
          <w:lang w:val="es-ES_tradnl"/>
        </w:rPr>
        <w:t>Simposio Mundial de Reguladores de la</w:t>
      </w:r>
      <w:r>
        <w:rPr>
          <w:rFonts w:asciiTheme="majorBidi" w:hAnsiTheme="majorBidi" w:cstheme="majorBidi"/>
          <w:shd w:val="clear" w:color="auto" w:fill="FFFFFF"/>
          <w:lang w:val="es-ES_tradnl"/>
        </w:rPr>
        <w:t xml:space="preserve"> UIT de 2012, ARCTEL-CPLP presentó las iniciativas regionales contra el robo de móviles, el mercado de importación ilegal y los dispositivos falsificados. </w:t>
      </w:r>
      <w:hyperlink r:id="rId173" w:history="1">
        <w:r w:rsidRPr="00C45AD4">
          <w:rPr>
            <w:rStyle w:val="Hyperlink"/>
            <w:rFonts w:asciiTheme="majorBidi" w:hAnsiTheme="majorBidi" w:cstheme="majorBidi"/>
          </w:rPr>
          <w:t>https://www.itu.int/ITU-D/treg/Events/Seminars/GSR/GSR12/RA12/pdf/Batista3_ARCTEL_Session3_mobilerobbery.pdf</w:t>
        </w:r>
      </w:hyperlink>
      <w:r w:rsidRPr="00C45AD4">
        <w:rPr>
          <w:rFonts w:asciiTheme="majorBidi" w:hAnsiTheme="majorBidi" w:cstheme="majorBidi"/>
        </w:rPr>
        <w:t xml:space="preserve"> </w:t>
      </w:r>
    </w:p>
    <w:p w14:paraId="48D4750E" w14:textId="77777777" w:rsidR="006B1268" w:rsidRDefault="006B1268" w:rsidP="00C142FB">
      <w:pPr>
        <w:rPr>
          <w:rFonts w:asciiTheme="majorBidi" w:hAnsiTheme="majorBidi" w:cstheme="majorBidi"/>
          <w:shd w:val="clear" w:color="auto" w:fill="FFFFFF"/>
          <w:lang w:val="es-ES_tradnl"/>
        </w:rPr>
      </w:pPr>
      <w:r w:rsidRPr="00FF64AC">
        <w:rPr>
          <w:rFonts w:asciiTheme="majorBidi" w:hAnsiTheme="majorBidi" w:cstheme="majorBidi"/>
          <w:shd w:val="clear" w:color="auto" w:fill="FFFFFF"/>
          <w:lang w:val="es-ES_tradnl"/>
        </w:rPr>
        <w:t xml:space="preserve">ARCTEL-CPLP propuso la extensión </w:t>
      </w:r>
      <w:r>
        <w:rPr>
          <w:rFonts w:asciiTheme="majorBidi" w:hAnsiTheme="majorBidi" w:cstheme="majorBidi"/>
          <w:shd w:val="clear" w:color="auto" w:fill="FFFFFF"/>
          <w:lang w:val="es-ES_tradnl"/>
        </w:rPr>
        <w:t xml:space="preserve">a escala regional </w:t>
      </w:r>
      <w:r w:rsidRPr="00FF64AC">
        <w:rPr>
          <w:rFonts w:asciiTheme="majorBidi" w:hAnsiTheme="majorBidi" w:cstheme="majorBidi"/>
          <w:shd w:val="clear" w:color="auto" w:fill="FFFFFF"/>
          <w:lang w:val="es-ES_tradnl"/>
        </w:rPr>
        <w:t>de la soluci</w:t>
      </w:r>
      <w:r>
        <w:rPr>
          <w:rFonts w:asciiTheme="majorBidi" w:hAnsiTheme="majorBidi" w:cstheme="majorBidi"/>
          <w:shd w:val="clear" w:color="auto" w:fill="FFFFFF"/>
          <w:lang w:val="es-ES_tradnl"/>
        </w:rPr>
        <w:t>ón tradicional (los sistemas de bases de datos de listas negras nacionales) para:</w:t>
      </w:r>
    </w:p>
    <w:p w14:paraId="199B749A" w14:textId="77777777" w:rsidR="006B1268" w:rsidRDefault="006B1268" w:rsidP="00C142FB">
      <w:pPr>
        <w:pStyle w:val="enumlev1"/>
        <w:rPr>
          <w:lang w:val="es-ES_tradnl"/>
        </w:rPr>
      </w:pPr>
      <w:r w:rsidRPr="00251BDC">
        <w:rPr>
          <w:lang w:val="es-ES_tradnl"/>
        </w:rPr>
        <w:t>•</w:t>
      </w:r>
      <w:r>
        <w:rPr>
          <w:lang w:val="es-ES_tradnl"/>
        </w:rPr>
        <w:tab/>
      </w:r>
      <w:r w:rsidRPr="00FF64AC">
        <w:rPr>
          <w:lang w:val="es-ES_tradnl"/>
        </w:rPr>
        <w:t>compartir las bases de datos de listas negras de GSM y CDMA mediante acuerdos bilaterales o multilaterales</w:t>
      </w:r>
      <w:r>
        <w:rPr>
          <w:lang w:val="es-ES_tradnl"/>
        </w:rPr>
        <w:t>;</w:t>
      </w:r>
    </w:p>
    <w:p w14:paraId="7BD4FB9A" w14:textId="77777777" w:rsidR="006B1268" w:rsidRPr="00FF64AC" w:rsidRDefault="006B1268" w:rsidP="00C142FB">
      <w:pPr>
        <w:pStyle w:val="enumlev1"/>
        <w:rPr>
          <w:lang w:val="es-ES_tradnl"/>
        </w:rPr>
      </w:pPr>
      <w:r w:rsidRPr="00251BDC">
        <w:rPr>
          <w:lang w:val="es-ES_tradnl"/>
        </w:rPr>
        <w:t>•</w:t>
      </w:r>
      <w:r>
        <w:rPr>
          <w:lang w:val="es-ES_tradnl"/>
        </w:rPr>
        <w:tab/>
        <w:t>establecimiento de mecanismos reglamentarios fiscales y/o de aduanas para asegurar un mayor control de la importación de teléfonos móviles y prevenir la reexportación;</w:t>
      </w:r>
    </w:p>
    <w:p w14:paraId="34C543F9" w14:textId="77777777" w:rsidR="006B1268" w:rsidRPr="00EF6A1A" w:rsidRDefault="006B1268" w:rsidP="00C142FB">
      <w:pPr>
        <w:pStyle w:val="enumlev1"/>
        <w:rPr>
          <w:lang w:val="es-ES_tradnl"/>
        </w:rPr>
      </w:pPr>
      <w:r w:rsidRPr="00251BDC">
        <w:rPr>
          <w:lang w:val="es-ES_tradnl"/>
        </w:rPr>
        <w:t>•</w:t>
      </w:r>
      <w:r>
        <w:rPr>
          <w:lang w:val="es-ES_tradnl"/>
        </w:rPr>
        <w:tab/>
      </w:r>
      <w:r w:rsidRPr="00EF6A1A">
        <w:rPr>
          <w:lang w:val="es-ES_tradnl"/>
        </w:rPr>
        <w:t>acuerdo de la industria con</w:t>
      </w:r>
      <w:r w:rsidRPr="00FF64AC">
        <w:rPr>
          <w:lang w:val="es-ES_tradnl"/>
        </w:rPr>
        <w:t xml:space="preserve"> las recomendaciones de seguridad contra la reprogramaci</w:t>
      </w:r>
      <w:r>
        <w:rPr>
          <w:lang w:val="es-ES_tradnl"/>
        </w:rPr>
        <w:t xml:space="preserve">ón o el </w:t>
      </w:r>
      <w:r w:rsidRPr="00EF6A1A">
        <w:rPr>
          <w:lang w:val="es-ES_tradnl"/>
        </w:rPr>
        <w:t xml:space="preserve">clonado de número IMEI o del número de serie electrónico de identificación del fabricante; </w:t>
      </w:r>
    </w:p>
    <w:p w14:paraId="0ECD7935" w14:textId="77777777" w:rsidR="006B1268" w:rsidRPr="00EF6A1A" w:rsidRDefault="006B1268" w:rsidP="00C142FB">
      <w:pPr>
        <w:pStyle w:val="enumlev1"/>
        <w:rPr>
          <w:lang w:val="es-ES_tradnl"/>
        </w:rPr>
      </w:pPr>
      <w:r w:rsidRPr="00251BDC">
        <w:rPr>
          <w:lang w:val="es-ES_tradnl"/>
        </w:rPr>
        <w:t>•</w:t>
      </w:r>
      <w:r>
        <w:rPr>
          <w:lang w:val="es-ES_tradnl"/>
        </w:rPr>
        <w:tab/>
      </w:r>
      <w:r w:rsidRPr="00EF6A1A">
        <w:rPr>
          <w:lang w:val="es-ES_tradnl"/>
        </w:rPr>
        <w:t>creación de campañas de información para sensibilizar a la población de la importancia de denunciar los robos y la pérdida de los dispositivos móviles.</w:t>
      </w:r>
    </w:p>
    <w:p w14:paraId="7BAFA03F" w14:textId="77777777" w:rsidR="006B1268" w:rsidRPr="00A63E29" w:rsidRDefault="006B1268" w:rsidP="00C142FB">
      <w:pPr>
        <w:rPr>
          <w:lang w:val="es-ES_tradnl"/>
        </w:rPr>
      </w:pPr>
    </w:p>
    <w:p w14:paraId="1BA3815B" w14:textId="77777777" w:rsidR="006B1268" w:rsidRDefault="006B1268">
      <w:pPr>
        <w:jc w:val="center"/>
      </w:pPr>
      <w:r>
        <w:t>______________</w:t>
      </w:r>
    </w:p>
    <w:sectPr w:rsidR="006B1268" w:rsidSect="00526E2A">
      <w:headerReference w:type="default" r:id="rId174"/>
      <w:footerReference w:type="default" r:id="rId175"/>
      <w:footerReference w:type="first" r:id="rId176"/>
      <w:pgSz w:w="11907" w:h="16840"/>
      <w:pgMar w:top="1247" w:right="1134" w:bottom="1134"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C75A1" w14:textId="77777777" w:rsidR="00173B3F" w:rsidRDefault="00173B3F">
      <w:r>
        <w:separator/>
      </w:r>
    </w:p>
  </w:endnote>
  <w:endnote w:type="continuationSeparator" w:id="0">
    <w:p w14:paraId="4BF22F0A" w14:textId="77777777" w:rsidR="00173B3F" w:rsidRDefault="00173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Helvetica">
    <w:panose1 w:val="020B0604020202020204"/>
    <w:charset w:val="00"/>
    <w:family w:val="swiss"/>
    <w:notTrueType/>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DA05D" w14:textId="201F403B" w:rsidR="00173B3F" w:rsidRPr="009D3F7C" w:rsidRDefault="00173B3F" w:rsidP="004207F9">
    <w:pPr>
      <w:pStyle w:val="Footer"/>
      <w:tabs>
        <w:tab w:val="clear" w:pos="5954"/>
        <w:tab w:val="left" w:pos="5387"/>
        <w:tab w:val="left" w:pos="5812"/>
        <w:tab w:val="left" w:pos="6521"/>
      </w:tabs>
      <w:ind w:left="-142" w:firstLine="1418"/>
      <w:rPr>
        <w:lang w:val="fr-CH"/>
      </w:rPr>
    </w:pPr>
  </w:p>
  <w:p w14:paraId="58198DFA" w14:textId="77777777" w:rsidR="00173B3F" w:rsidRDefault="00173B3F" w:rsidP="009D3F7C">
    <w:pPr>
      <w:pStyle w:val="Footer"/>
    </w:pPr>
    <w:r>
      <w:rPr>
        <w:lang w:eastAsia="zh-CN"/>
      </w:rPr>
      <w:drawing>
        <wp:anchor distT="0" distB="0" distL="114300" distR="114300" simplePos="0" relativeHeight="251656704" behindDoc="0" locked="0" layoutInCell="1" allowOverlap="1" wp14:anchorId="5D305263" wp14:editId="21D58DBD">
          <wp:simplePos x="0" y="0"/>
          <wp:positionH relativeFrom="column">
            <wp:posOffset>5182235</wp:posOffset>
          </wp:positionH>
          <wp:positionV relativeFrom="paragraph">
            <wp:posOffset>-137160</wp:posOffset>
          </wp:positionV>
          <wp:extent cx="1504315" cy="634365"/>
          <wp:effectExtent l="0" t="0" r="0" b="0"/>
          <wp:wrapNone/>
          <wp:docPr id="2" name="Picture 2"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BC470" w14:textId="39B0E1FE" w:rsidR="00173B3F" w:rsidRDefault="00173B3F" w:rsidP="00102612">
    <w:pPr>
      <w:pStyle w:val="Footer"/>
      <w:tabs>
        <w:tab w:val="clear" w:pos="5954"/>
        <w:tab w:val="left" w:pos="3686"/>
      </w:tabs>
      <w:jc w:val="right"/>
      <w:rPr>
        <w:rStyle w:val="PageNumber"/>
        <w:rFonts w:ascii="Times New Roman Bold" w:hAnsi="Times New Roman Bold"/>
        <w:b/>
        <w:bCs/>
        <w:sz w:val="20"/>
      </w:rPr>
    </w:pPr>
    <w:r w:rsidRPr="00045300">
      <w:rPr>
        <w:b/>
        <w:sz w:val="20"/>
        <w:szCs w:val="20"/>
      </w:rPr>
      <w:fldChar w:fldCharType="begin"/>
    </w:r>
    <w:r w:rsidRPr="00045300">
      <w:rPr>
        <w:b/>
        <w:sz w:val="20"/>
        <w:szCs w:val="20"/>
      </w:rPr>
      <w:instrText xml:space="preserve"> REF TPAcro \h  \* MERGEFORMAT </w:instrText>
    </w:r>
    <w:r w:rsidRPr="00045300">
      <w:rPr>
        <w:b/>
        <w:sz w:val="20"/>
        <w:szCs w:val="20"/>
      </w:rPr>
    </w:r>
    <w:r w:rsidRPr="00045300">
      <w:rPr>
        <w:b/>
        <w:sz w:val="20"/>
        <w:szCs w:val="20"/>
      </w:rPr>
      <w:fldChar w:fldCharType="separate"/>
    </w:r>
    <w:r w:rsidR="00C869C0" w:rsidRPr="00C869C0">
      <w:rPr>
        <w:b/>
        <w:sz w:val="20"/>
        <w:szCs w:val="20"/>
      </w:rPr>
      <w:t>QSTR-COUNTERFEIT</w:t>
    </w:r>
    <w:r w:rsidRPr="00045300">
      <w:rPr>
        <w:b/>
        <w:sz w:val="20"/>
        <w:szCs w:val="20"/>
      </w:rPr>
      <w:fldChar w:fldCharType="end"/>
    </w:r>
    <w:r>
      <w:rPr>
        <w:b/>
        <w:sz w:val="20"/>
      </w:rPr>
      <w:t xml:space="preserve"> </w:t>
    </w:r>
    <w:r w:rsidRPr="009B2497">
      <w:rPr>
        <w:b/>
        <w:sz w:val="20"/>
      </w:rPr>
      <w:t>(201</w:t>
    </w:r>
    <w:r>
      <w:rPr>
        <w:b/>
        <w:sz w:val="20"/>
      </w:rPr>
      <w:t>5-12</w:t>
    </w:r>
    <w:r w:rsidRPr="009B2497">
      <w:rPr>
        <w:b/>
        <w:sz w:val="20"/>
      </w:rPr>
      <w:t>)</w:t>
    </w:r>
    <w:r>
      <w:rPr>
        <w:b/>
        <w:sz w:val="20"/>
      </w:rPr>
      <w:tab/>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bCs/>
        <w:sz w:val="20"/>
      </w:rPr>
      <w:fldChar w:fldCharType="separate"/>
    </w:r>
    <w:r w:rsidR="00C869C0">
      <w:rPr>
        <w:rStyle w:val="PageNumber"/>
        <w:rFonts w:ascii="Times New Roman Bold" w:hAnsi="Times New Roman Bold"/>
        <w:bCs/>
        <w:sz w:val="20"/>
      </w:rPr>
      <w:t>v</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DD803" w14:textId="77777777" w:rsidR="00173B3F" w:rsidRDefault="00173B3F">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rPr>
      <w:t>25</w:t>
    </w:r>
    <w:r>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9A519" w14:textId="442729D2" w:rsidR="00173B3F" w:rsidRDefault="00173B3F" w:rsidP="00102612">
    <w:pPr>
      <w:pStyle w:val="Footer"/>
      <w:tabs>
        <w:tab w:val="clear" w:pos="5954"/>
        <w:tab w:val="clear" w:pos="9639"/>
        <w:tab w:val="left" w:pos="5245"/>
        <w:tab w:val="right" w:pos="8647"/>
      </w:tabs>
      <w:ind w:right="700"/>
      <w:jc w:val="right"/>
      <w:rPr>
        <w:rStyle w:val="PageNumber"/>
        <w:rFonts w:ascii="Times New Roman Bold" w:hAnsi="Times New Roman Bold"/>
        <w:b/>
        <w:bCs/>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C869C0" w:rsidRPr="00C869C0">
      <w:rPr>
        <w:b/>
        <w:sz w:val="20"/>
      </w:rPr>
      <w:t>QSTR-COUNTERFEIT</w:t>
    </w:r>
    <w:r w:rsidRPr="0084023B">
      <w:rPr>
        <w:b/>
        <w:sz w:val="20"/>
      </w:rPr>
      <w:fldChar w:fldCharType="end"/>
    </w:r>
    <w:r w:rsidRPr="0084023B">
      <w:rPr>
        <w:sz w:val="20"/>
      </w:rPr>
      <w:t xml:space="preserve"> </w:t>
    </w:r>
    <w:r w:rsidRPr="0084023B">
      <w:rPr>
        <w:b/>
        <w:sz w:val="20"/>
      </w:rPr>
      <w:t>(</w:t>
    </w:r>
    <w:r w:rsidRPr="00982A3C">
      <w:rPr>
        <w:b/>
        <w:sz w:val="20"/>
      </w:rPr>
      <w:t>201</w:t>
    </w:r>
    <w:r>
      <w:rPr>
        <w:b/>
        <w:sz w:val="20"/>
      </w:rPr>
      <w:t>5-12</w:t>
    </w:r>
    <w:r w:rsidRPr="00982A3C">
      <w:rPr>
        <w:b/>
        <w:sz w:val="20"/>
      </w:rPr>
      <w:t>)</w:t>
    </w:r>
    <w:r>
      <w:rPr>
        <w:b/>
        <w:sz w:val="20"/>
      </w:rPr>
      <w:tab/>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bCs/>
        <w:sz w:val="20"/>
      </w:rPr>
      <w:fldChar w:fldCharType="separate"/>
    </w:r>
    <w:r w:rsidR="00C869C0">
      <w:rPr>
        <w:rStyle w:val="PageNumber"/>
        <w:rFonts w:ascii="Times New Roman Bold" w:hAnsi="Times New Roman Bold"/>
        <w:bCs/>
        <w:sz w:val="20"/>
      </w:rPr>
      <w:t>21</w:t>
    </w:r>
    <w:r w:rsidRPr="0084023B">
      <w:rPr>
        <w:rStyle w:val="PageNumber"/>
        <w:rFonts w:ascii="Times New Roman Bold" w:hAnsi="Times New Roman Bold"/>
        <w:b/>
        <w:bCs/>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4B223" w14:textId="20311A1E" w:rsidR="00173B3F" w:rsidRDefault="00173B3F" w:rsidP="00102612">
    <w:pPr>
      <w:pStyle w:val="Footer"/>
      <w:tabs>
        <w:tab w:val="clear" w:pos="5954"/>
        <w:tab w:val="left" w:pos="3686"/>
      </w:tabs>
      <w:jc w:val="right"/>
      <w:rPr>
        <w:rStyle w:val="PageNumber"/>
        <w:rFonts w:ascii="Times New Roman Bold" w:hAnsi="Times New Roman Bold"/>
        <w:b/>
        <w:bCs/>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C869C0" w:rsidRPr="00C869C0">
      <w:rPr>
        <w:b/>
        <w:sz w:val="20"/>
      </w:rPr>
      <w:t>QSTR-COUNTERFEIT</w:t>
    </w:r>
    <w:r w:rsidRPr="0084023B">
      <w:rPr>
        <w:b/>
        <w:sz w:val="20"/>
      </w:rPr>
      <w:fldChar w:fldCharType="end"/>
    </w:r>
    <w:r w:rsidRPr="009B2497">
      <w:rPr>
        <w:sz w:val="20"/>
      </w:rPr>
      <w:t xml:space="preserve"> </w:t>
    </w:r>
    <w:r w:rsidRPr="009B2497">
      <w:rPr>
        <w:b/>
        <w:sz w:val="20"/>
      </w:rPr>
      <w:t>(201</w:t>
    </w:r>
    <w:r>
      <w:rPr>
        <w:b/>
        <w:sz w:val="20"/>
      </w:rPr>
      <w:t>5-12</w:t>
    </w:r>
    <w:r w:rsidRPr="009B2497">
      <w:rPr>
        <w:b/>
        <w:sz w:val="20"/>
      </w:rPr>
      <w:t>)</w:t>
    </w:r>
    <w:r>
      <w:rPr>
        <w:b/>
        <w:sz w:val="20"/>
      </w:rPr>
      <w:tab/>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bCs/>
        <w:sz w:val="20"/>
      </w:rPr>
      <w:fldChar w:fldCharType="separate"/>
    </w:r>
    <w:r w:rsidR="00C869C0">
      <w:rPr>
        <w:rStyle w:val="PageNumber"/>
        <w:rFonts w:ascii="Times New Roman Bold" w:hAnsi="Times New Roman Bold"/>
        <w:bCs/>
        <w:sz w:val="20"/>
      </w:rPr>
      <w:t>6</w:t>
    </w:r>
    <w:r w:rsidRPr="0084023B">
      <w:rPr>
        <w:rStyle w:val="PageNumber"/>
        <w:rFonts w:ascii="Times New Roman Bold" w:hAnsi="Times New Roman Bold"/>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85CE2" w14:textId="77777777" w:rsidR="00173B3F" w:rsidRDefault="00173B3F">
      <w:r>
        <w:separator/>
      </w:r>
    </w:p>
  </w:footnote>
  <w:footnote w:type="continuationSeparator" w:id="0">
    <w:p w14:paraId="12CF65E9" w14:textId="77777777" w:rsidR="00173B3F" w:rsidRDefault="00173B3F">
      <w:r>
        <w:continuationSeparator/>
      </w:r>
    </w:p>
  </w:footnote>
  <w:footnote w:id="1">
    <w:p w14:paraId="18AB431C" w14:textId="593396DC" w:rsidR="00173B3F" w:rsidRDefault="00173B3F" w:rsidP="00C142FB">
      <w:pPr>
        <w:pStyle w:val="FootnoteText"/>
      </w:pPr>
      <w:r>
        <w:rPr>
          <w:rStyle w:val="FootnoteReference"/>
        </w:rPr>
        <w:footnoteRef/>
      </w:r>
      <w:r>
        <w:rPr>
          <w:sz w:val="22"/>
          <w:szCs w:val="22"/>
          <w:lang w:val="es-ES_tradnl"/>
        </w:rPr>
        <w:tab/>
      </w:r>
      <w:r w:rsidRPr="00607159">
        <w:rPr>
          <w:sz w:val="22"/>
          <w:szCs w:val="22"/>
          <w:lang w:val="es-ES_tradnl"/>
        </w:rPr>
        <w:t xml:space="preserve">Lo </w:t>
      </w:r>
      <w:r>
        <w:rPr>
          <w:sz w:val="22"/>
          <w:szCs w:val="22"/>
          <w:lang w:val="es-ES_tradnl"/>
        </w:rPr>
        <w:t>siguiente se basa en T</w:t>
      </w:r>
      <w:r w:rsidRPr="00607159">
        <w:rPr>
          <w:sz w:val="22"/>
          <w:szCs w:val="22"/>
          <w:lang w:val="es-ES_tradnl"/>
        </w:rPr>
        <w:t>eléfonos móviles falsificados/de baja calidad</w:t>
      </w:r>
      <w:r>
        <w:rPr>
          <w:sz w:val="22"/>
          <w:szCs w:val="22"/>
          <w:lang w:val="es-ES_tradnl"/>
        </w:rPr>
        <w:t xml:space="preserve"> </w:t>
      </w:r>
      <w:r w:rsidRPr="00607159">
        <w:rPr>
          <w:sz w:val="22"/>
          <w:szCs w:val="22"/>
          <w:lang w:val="es-ES_tradnl"/>
        </w:rPr>
        <w:t>– Guía de recursos para los gobiernos</w:t>
      </w:r>
      <w:r>
        <w:rPr>
          <w:sz w:val="22"/>
          <w:szCs w:val="22"/>
          <w:lang w:val="es-ES_tradnl"/>
        </w:rPr>
        <w:t xml:space="preserve">, del </w:t>
      </w:r>
      <w:r w:rsidRPr="00054733">
        <w:rPr>
          <w:sz w:val="22"/>
          <w:szCs w:val="22"/>
          <w:lang w:val="es-ES_tradnl"/>
        </w:rPr>
        <w:t>Foro de Fabricantes de Sistemas Móviles</w:t>
      </w:r>
      <w:r>
        <w:rPr>
          <w:sz w:val="22"/>
          <w:szCs w:val="22"/>
          <w:lang w:val="es-ES_tradnl"/>
        </w:rPr>
        <w:t xml:space="preserve"> (MMF)</w:t>
      </w:r>
      <w:r w:rsidRPr="00054733">
        <w:rPr>
          <w:sz w:val="22"/>
          <w:szCs w:val="22"/>
          <w:lang w:val="es-ES_tradnl"/>
        </w:rPr>
        <w:t>.</w:t>
      </w:r>
      <w:r w:rsidRPr="00607159">
        <w:rPr>
          <w:lang w:val="es-ES_tradnl"/>
        </w:rPr>
        <w:t xml:space="preserve"> </w:t>
      </w:r>
      <w:hyperlink r:id="rId1" w:history="1">
        <w:r w:rsidRPr="00876CDA">
          <w:rPr>
            <w:rStyle w:val="Hyperlink"/>
          </w:rPr>
          <w:t>http://spotafakephone.com//docs/eng/MMF%5FCounterfeitPhones%5FEN%2Epdf</w:t>
        </w:r>
      </w:hyperlink>
    </w:p>
  </w:footnote>
  <w:footnote w:id="2">
    <w:p w14:paraId="2272C198" w14:textId="6082A404" w:rsidR="002A3466" w:rsidRPr="002A3466" w:rsidRDefault="002A3466" w:rsidP="002A3466">
      <w:pPr>
        <w:pStyle w:val="FootnoteText"/>
      </w:pPr>
      <w:r>
        <w:rPr>
          <w:rStyle w:val="FootnoteReference"/>
        </w:rPr>
        <w:footnoteRef/>
      </w:r>
      <w:r>
        <w:tab/>
      </w:r>
      <w:hyperlink r:id="rId2" w:history="1">
        <w:r w:rsidRPr="00A739D7">
          <w:rPr>
            <w:rStyle w:val="Hyperlink"/>
          </w:rPr>
          <w:t>https://translate.google.com/translate?sl=pt&amp;tl=en&amp;js=y&amp;prev=_t&amp;hl=fr&amp;ie=UTF-8&amp;u=legislacao.anatel.gov.br%2Fresolu%C3%A7%C3%B5es%2F2007%2F192-resolu%C3%A7%C3%A3o-481&amp;edit-text</w:t>
        </w:r>
      </w:hyperlink>
      <w:r w:rsidRPr="00F655C4">
        <w:t>=</w:t>
      </w:r>
    </w:p>
  </w:footnote>
  <w:footnote w:id="3">
    <w:p w14:paraId="7A5A2364" w14:textId="624A4751" w:rsidR="002A3466" w:rsidRPr="002A3466" w:rsidRDefault="002A3466" w:rsidP="002A3466">
      <w:pPr>
        <w:pStyle w:val="FootnoteText"/>
        <w:rPr>
          <w:lang w:val="es-ES_tradnl"/>
        </w:rPr>
      </w:pPr>
      <w:r>
        <w:rPr>
          <w:rStyle w:val="FootnoteReference"/>
        </w:rPr>
        <w:footnoteRef/>
      </w:r>
      <w:r w:rsidRPr="002A3466">
        <w:rPr>
          <w:lang w:val="es-ES_tradnl"/>
        </w:rPr>
        <w:tab/>
      </w:r>
      <w:r w:rsidRPr="007D72C4">
        <w:rPr>
          <w:lang w:val="es-ES_tradnl"/>
        </w:rPr>
        <w:t>Mediante algún sistema de evaluación de conformidad, que puede necesitar certificación, declaración de conformidad y/o aplicando Acuerdos de Reconocimiento Mutuo (MRA).</w:t>
      </w:r>
    </w:p>
  </w:footnote>
  <w:footnote w:id="4">
    <w:p w14:paraId="35002817" w14:textId="5B72F117" w:rsidR="002A3466" w:rsidRPr="002A3466" w:rsidRDefault="002A3466" w:rsidP="002A3466">
      <w:pPr>
        <w:pStyle w:val="FootnoteText"/>
        <w:rPr>
          <w:lang w:val="es-ES_tradnl"/>
        </w:rPr>
      </w:pPr>
      <w:r>
        <w:rPr>
          <w:rStyle w:val="FootnoteReference"/>
        </w:rPr>
        <w:footnoteRef/>
      </w:r>
      <w:r>
        <w:rPr>
          <w:lang w:val="es-ES_tradnl"/>
        </w:rPr>
        <w:tab/>
      </w:r>
      <w:hyperlink r:id="rId3" w:history="1">
        <w:r w:rsidRPr="00477007">
          <w:rPr>
            <w:rStyle w:val="Hyperlink"/>
            <w:lang w:val="es-ES_tradnl"/>
          </w:rPr>
          <w:t>https://apps.fcc.gov/oetcf/kdb/forms/FTSSearchResultPage.cfm?id=30744&amp;switch=P</w:t>
        </w:r>
      </w:hyperlink>
    </w:p>
  </w:footnote>
  <w:footnote w:id="5">
    <w:p w14:paraId="34B20574" w14:textId="53DA54D0" w:rsidR="002A3466" w:rsidRPr="002A3466" w:rsidRDefault="002A3466" w:rsidP="002A3466">
      <w:pPr>
        <w:pStyle w:val="FootnoteText"/>
        <w:rPr>
          <w:lang w:val="es-ES_tradnl"/>
        </w:rPr>
      </w:pPr>
      <w:r>
        <w:rPr>
          <w:rStyle w:val="FootnoteReference"/>
        </w:rPr>
        <w:footnoteRef/>
      </w:r>
      <w:r w:rsidRPr="002A3466">
        <w:rPr>
          <w:lang w:val="es-ES_tradnl"/>
        </w:rPr>
        <w:tab/>
      </w:r>
      <w:hyperlink r:id="rId4" w:history="1">
        <w:r w:rsidRPr="0072795B">
          <w:rPr>
            <w:rStyle w:val="Hyperlink"/>
            <w:lang w:val="es-ES_tradnl"/>
          </w:rPr>
          <w:t>http://www.anatel.gov.br/grandeseventos/en/frequently-asked-questions-faqs</w:t>
        </w:r>
      </w:hyperlink>
    </w:p>
  </w:footnote>
  <w:footnote w:id="6">
    <w:p w14:paraId="2BAB5914" w14:textId="4DB43848" w:rsidR="00340355" w:rsidRPr="00340355" w:rsidRDefault="00340355" w:rsidP="00340355">
      <w:pPr>
        <w:pStyle w:val="FootnoteText"/>
        <w:rPr>
          <w:lang w:val="es-ES_tradnl"/>
        </w:rPr>
      </w:pPr>
      <w:r>
        <w:rPr>
          <w:rStyle w:val="FootnoteReference"/>
        </w:rPr>
        <w:footnoteRef/>
      </w:r>
      <w:r w:rsidRPr="00340355">
        <w:rPr>
          <w:lang w:val="es-ES_tradnl"/>
        </w:rPr>
        <w:tab/>
      </w:r>
      <w:hyperlink r:id="rId5" w:history="1">
        <w:r w:rsidRPr="00A66D08">
          <w:rPr>
            <w:rStyle w:val="Hyperlink"/>
            <w:lang w:val="es-ES_tradnl"/>
          </w:rPr>
          <w:t>http://exporthelp.europa.eu/thdapp/display.htm?page=rt%2frt_</w:t>
        </w:r>
        <w:r w:rsidRPr="00A66D08">
          <w:rPr>
            <w:rStyle w:val="Hyperlink"/>
            <w:lang w:val="es-ES_tradnl"/>
          </w:rPr>
          <w:br/>
          <w:t>TechnicalRequirements.html&amp;docType=main&amp;languageId=en</w:t>
        </w:r>
      </w:hyperlink>
    </w:p>
  </w:footnote>
  <w:footnote w:id="7">
    <w:p w14:paraId="6615AFC5" w14:textId="72BD3FB7" w:rsidR="00340355" w:rsidRPr="00340355" w:rsidRDefault="00340355" w:rsidP="00340355">
      <w:pPr>
        <w:pStyle w:val="FootnoteText"/>
        <w:rPr>
          <w:lang w:val="es-ES_tradnl"/>
        </w:rPr>
      </w:pPr>
      <w:r>
        <w:rPr>
          <w:rStyle w:val="FootnoteReference"/>
        </w:rPr>
        <w:footnoteRef/>
      </w:r>
      <w:r w:rsidRPr="00340355">
        <w:rPr>
          <w:lang w:val="es-ES_tradnl"/>
        </w:rPr>
        <w:tab/>
      </w:r>
      <w:r w:rsidRPr="00CA2EAA">
        <w:rPr>
          <w:lang w:val="es-ES_tradnl"/>
        </w:rPr>
        <w:t xml:space="preserve">Iniciativa de la UIT M-Poderar el desarrollo: </w:t>
      </w:r>
      <w:hyperlink r:id="rId6" w:history="1">
        <w:r w:rsidRPr="00CA2EAA">
          <w:rPr>
            <w:rStyle w:val="Hyperlink"/>
            <w:lang w:val="es-ES_tradnl"/>
          </w:rPr>
          <w:t>http://www.itu.int/en/ITU-D/Initiatives/m-Powering/Pages/default.aspx</w:t>
        </w:r>
      </w:hyperlink>
      <w:r>
        <w:rPr>
          <w:lang w:val="es-ES_tradnl"/>
        </w:rPr>
        <w:t>.</w:t>
      </w:r>
    </w:p>
  </w:footnote>
  <w:footnote w:id="8">
    <w:p w14:paraId="43A51030" w14:textId="0812729C" w:rsidR="00340355" w:rsidRPr="00340355" w:rsidRDefault="00340355" w:rsidP="00AA287D">
      <w:pPr>
        <w:pStyle w:val="FootnoteText"/>
        <w:rPr>
          <w:lang w:val="es-ES_tradnl"/>
        </w:rPr>
      </w:pPr>
      <w:r>
        <w:rPr>
          <w:rStyle w:val="FootnoteReference"/>
        </w:rPr>
        <w:footnoteRef/>
      </w:r>
      <w:r w:rsidRPr="00340355">
        <w:rPr>
          <w:lang w:val="es-ES_tradnl"/>
        </w:rPr>
        <w:tab/>
      </w:r>
      <w:hyperlink r:id="rId7" w:history="1">
        <w:r w:rsidRPr="0072795B">
          <w:rPr>
            <w:rStyle w:val="Hyperlink"/>
            <w:lang w:val="es-ES_tradnl"/>
          </w:rPr>
          <w:t>http://www3.epa.gov/epawaste/education/quest/pdfs/unit1/chap2/u1-2_product-life.pdf</w:t>
        </w:r>
      </w:hyperlink>
      <w:r w:rsidRPr="001E1E14">
        <w:rPr>
          <w:lang w:val="es-ES_tradnl"/>
        </w:rPr>
        <w:t xml:space="preserve">: </w:t>
      </w:r>
      <w:r>
        <w:rPr>
          <w:lang w:val="es-ES_tradnl"/>
        </w:rPr>
        <w:t>"</w:t>
      </w:r>
      <w:r w:rsidRPr="001E1E14">
        <w:rPr>
          <w:lang w:val="es-ES_tradnl"/>
        </w:rPr>
        <w:t>Los teléfonos móviles s</w:t>
      </w:r>
      <w:r>
        <w:rPr>
          <w:lang w:val="es-ES_tradnl"/>
        </w:rPr>
        <w:t>ó</w:t>
      </w:r>
      <w:r w:rsidRPr="001E1E14">
        <w:rPr>
          <w:lang w:val="es-ES_tradnl"/>
        </w:rPr>
        <w:t xml:space="preserve">lo </w:t>
      </w:r>
      <w:r>
        <w:rPr>
          <w:lang w:val="es-ES_tradnl"/>
        </w:rPr>
        <w:t xml:space="preserve">se usan durante un promedio de </w:t>
      </w:r>
      <w:r w:rsidRPr="001E1E14">
        <w:rPr>
          <w:lang w:val="es-ES_tradnl"/>
        </w:rPr>
        <w:t>18 meses antes de ser sustituidos</w:t>
      </w:r>
      <w:r>
        <w:rPr>
          <w:lang w:val="es-ES_tradnl"/>
        </w:rPr>
        <w:t>, aunque puedan funcionar durante mucho más tiempo"</w:t>
      </w:r>
      <w:r w:rsidR="00AA287D" w:rsidRPr="001E1E14">
        <w:rPr>
          <w:lang w:val="es-ES_tradnl"/>
        </w:rPr>
        <w:t>.</w:t>
      </w:r>
    </w:p>
  </w:footnote>
  <w:footnote w:id="9">
    <w:p w14:paraId="1F446F13" w14:textId="50FEA3D6" w:rsidR="00173B3F" w:rsidRPr="006B1268" w:rsidRDefault="00173B3F" w:rsidP="002A3466">
      <w:pPr>
        <w:pStyle w:val="FootnoteText"/>
        <w:rPr>
          <w:lang w:val="es-ES_tradnl"/>
        </w:rPr>
      </w:pPr>
      <w:r w:rsidRPr="00FA67BB">
        <w:rPr>
          <w:rStyle w:val="FootnoteReference"/>
          <w:sz w:val="16"/>
        </w:rPr>
        <w:footnoteRef/>
      </w:r>
      <w:r w:rsidR="002A3466">
        <w:rPr>
          <w:sz w:val="22"/>
          <w:lang w:val="es-ES_tradnl"/>
        </w:rPr>
        <w:tab/>
      </w:r>
      <w:hyperlink r:id="rId8" w:history="1">
        <w:r w:rsidRPr="006B1268">
          <w:rPr>
            <w:rStyle w:val="Hyperlink"/>
            <w:lang w:val="es-ES_tradnl"/>
          </w:rPr>
          <w:t>http://legislacao.anatel.gov.br/resolucoes/2007/9-resolucao-477</w:t>
        </w:r>
      </w:hyperlink>
      <w:r w:rsidRPr="006B1268">
        <w:rPr>
          <w:sz w:val="22"/>
          <w:lang w:val="es-ES_tradnl"/>
        </w:rPr>
        <w:t xml:space="preserve"> </w:t>
      </w:r>
    </w:p>
  </w:footnote>
  <w:footnote w:id="10">
    <w:p w14:paraId="1F65FD80" w14:textId="585F2284" w:rsidR="00173B3F" w:rsidRPr="006B1268" w:rsidRDefault="00173B3F" w:rsidP="002A3466">
      <w:pPr>
        <w:pStyle w:val="FootnoteText"/>
        <w:rPr>
          <w:lang w:val="es-ES_tradnl"/>
        </w:rPr>
      </w:pPr>
      <w:r>
        <w:rPr>
          <w:rStyle w:val="FootnoteReference"/>
        </w:rPr>
        <w:footnoteRef/>
      </w:r>
      <w:r w:rsidR="002A3466">
        <w:rPr>
          <w:lang w:val="es-ES_tradnl"/>
        </w:rPr>
        <w:tab/>
      </w:r>
      <w:hyperlink r:id="rId9" w:history="1">
        <w:r w:rsidRPr="006B1268">
          <w:rPr>
            <w:rStyle w:val="Hyperlink"/>
            <w:shd w:val="clear" w:color="auto" w:fill="FFFFFF"/>
            <w:lang w:val="es-ES_tradnl"/>
          </w:rPr>
          <w:t>http://www.abrtelecom.com.br</w:t>
        </w:r>
      </w:hyperlink>
    </w:p>
  </w:footnote>
  <w:footnote w:id="11">
    <w:p w14:paraId="26BAE9EC" w14:textId="6442CE7D" w:rsidR="00173B3F" w:rsidRPr="006B1268" w:rsidRDefault="00173B3F" w:rsidP="00340355">
      <w:pPr>
        <w:pStyle w:val="FootnoteText"/>
        <w:rPr>
          <w:lang w:val="es-ES_tradnl"/>
        </w:rPr>
      </w:pPr>
      <w:r>
        <w:rPr>
          <w:rStyle w:val="FootnoteReference"/>
        </w:rPr>
        <w:footnoteRef/>
      </w:r>
      <w:r w:rsidR="00340355">
        <w:rPr>
          <w:lang w:val="es-ES_tradnl"/>
        </w:rPr>
        <w:tab/>
      </w:r>
      <w:hyperlink r:id="rId10" w:history="1">
        <w:r w:rsidRPr="006B1268">
          <w:rPr>
            <w:rStyle w:val="Hyperlink"/>
            <w:lang w:val="es-ES_tradnl"/>
          </w:rPr>
          <w:t>prre@anatel.gov.br</w:t>
        </w:r>
      </w:hyperlink>
      <w:r w:rsidRPr="006B1268">
        <w:rPr>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33E9" w14:textId="266FDFE9" w:rsidR="00173B3F" w:rsidRDefault="00173B3F">
    <w:pPr>
      <w:pStyle w:val="Header"/>
    </w:pPr>
    <w:r>
      <w:rPr>
        <w:noProof/>
        <w:lang w:eastAsia="zh-CN"/>
      </w:rPr>
      <w:drawing>
        <wp:anchor distT="0" distB="0" distL="114300" distR="114300" simplePos="0" relativeHeight="251657728" behindDoc="0" locked="0" layoutInCell="1" allowOverlap="1" wp14:anchorId="00FB36B3" wp14:editId="4BC695C7">
          <wp:simplePos x="0" y="0"/>
          <wp:positionH relativeFrom="column">
            <wp:posOffset>-762000</wp:posOffset>
          </wp:positionH>
          <wp:positionV relativeFrom="paragraph">
            <wp:posOffset>-492760</wp:posOffset>
          </wp:positionV>
          <wp:extent cx="1569720" cy="10771505"/>
          <wp:effectExtent l="0" t="0" r="0" b="0"/>
          <wp:wrapNone/>
          <wp:docPr id="1" name="Picture 1"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C9C6A" w14:textId="77777777" w:rsidR="00173B3F" w:rsidRDefault="00173B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98B79" w14:textId="77777777" w:rsidR="00173B3F" w:rsidRPr="00B22DA4" w:rsidRDefault="00173B3F" w:rsidP="00B74D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111F" w14:textId="77777777" w:rsidR="00173B3F" w:rsidRPr="00B22DA4" w:rsidRDefault="00173B3F" w:rsidP="00B74D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B14EC" w14:textId="77777777" w:rsidR="00173B3F" w:rsidRPr="003B3604" w:rsidRDefault="00173B3F" w:rsidP="003B36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2ADA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0644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3623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966D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6ECFB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EC6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30E1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7ED8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2CCE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213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CA5975"/>
    <w:multiLevelType w:val="hybridMultilevel"/>
    <w:tmpl w:val="47609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D204C7"/>
    <w:multiLevelType w:val="hybridMultilevel"/>
    <w:tmpl w:val="CE2C1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1800022"/>
    <w:multiLevelType w:val="hybridMultilevel"/>
    <w:tmpl w:val="A9D61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963275C"/>
    <w:multiLevelType w:val="hybridMultilevel"/>
    <w:tmpl w:val="48BCC0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A223FE4"/>
    <w:multiLevelType w:val="hybridMultilevel"/>
    <w:tmpl w:val="41107E9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B2E6B3E"/>
    <w:multiLevelType w:val="hybridMultilevel"/>
    <w:tmpl w:val="EAF4102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E141B4F"/>
    <w:multiLevelType w:val="hybridMultilevel"/>
    <w:tmpl w:val="C98A4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FD318DD"/>
    <w:multiLevelType w:val="hybridMultilevel"/>
    <w:tmpl w:val="39BA0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FF53665"/>
    <w:multiLevelType w:val="hybridMultilevel"/>
    <w:tmpl w:val="1666A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0E7779D"/>
    <w:multiLevelType w:val="hybridMultilevel"/>
    <w:tmpl w:val="90AEF4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5E4E22"/>
    <w:multiLevelType w:val="hybridMultilevel"/>
    <w:tmpl w:val="54247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5987887"/>
    <w:multiLevelType w:val="hybridMultilevel"/>
    <w:tmpl w:val="3E663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A2C2256"/>
    <w:multiLevelType w:val="hybridMultilevel"/>
    <w:tmpl w:val="E1E6E824"/>
    <w:lvl w:ilvl="0" w:tplc="5114C534">
      <w:start w:val="1"/>
      <w:numFmt w:val="bullet"/>
      <w:lvlText w:val="•"/>
      <w:lvlJc w:val="left"/>
      <w:pPr>
        <w:tabs>
          <w:tab w:val="num" w:pos="720"/>
        </w:tabs>
        <w:ind w:left="720" w:hanging="360"/>
      </w:pPr>
      <w:rPr>
        <w:rFonts w:ascii="Arial" w:hAnsi="Arial" w:hint="default"/>
      </w:rPr>
    </w:lvl>
    <w:lvl w:ilvl="1" w:tplc="DEF6FFE8" w:tentative="1">
      <w:start w:val="1"/>
      <w:numFmt w:val="bullet"/>
      <w:lvlText w:val="•"/>
      <w:lvlJc w:val="left"/>
      <w:pPr>
        <w:tabs>
          <w:tab w:val="num" w:pos="1440"/>
        </w:tabs>
        <w:ind w:left="1440" w:hanging="360"/>
      </w:pPr>
      <w:rPr>
        <w:rFonts w:ascii="Arial" w:hAnsi="Arial" w:hint="default"/>
      </w:rPr>
    </w:lvl>
    <w:lvl w:ilvl="2" w:tplc="0896C8C0" w:tentative="1">
      <w:start w:val="1"/>
      <w:numFmt w:val="bullet"/>
      <w:lvlText w:val="•"/>
      <w:lvlJc w:val="left"/>
      <w:pPr>
        <w:tabs>
          <w:tab w:val="num" w:pos="2160"/>
        </w:tabs>
        <w:ind w:left="2160" w:hanging="360"/>
      </w:pPr>
      <w:rPr>
        <w:rFonts w:ascii="Arial" w:hAnsi="Arial" w:hint="default"/>
      </w:rPr>
    </w:lvl>
    <w:lvl w:ilvl="3" w:tplc="EA96FE44" w:tentative="1">
      <w:start w:val="1"/>
      <w:numFmt w:val="bullet"/>
      <w:lvlText w:val="•"/>
      <w:lvlJc w:val="left"/>
      <w:pPr>
        <w:tabs>
          <w:tab w:val="num" w:pos="2880"/>
        </w:tabs>
        <w:ind w:left="2880" w:hanging="360"/>
      </w:pPr>
      <w:rPr>
        <w:rFonts w:ascii="Arial" w:hAnsi="Arial" w:hint="default"/>
      </w:rPr>
    </w:lvl>
    <w:lvl w:ilvl="4" w:tplc="16344BD2" w:tentative="1">
      <w:start w:val="1"/>
      <w:numFmt w:val="bullet"/>
      <w:lvlText w:val="•"/>
      <w:lvlJc w:val="left"/>
      <w:pPr>
        <w:tabs>
          <w:tab w:val="num" w:pos="3600"/>
        </w:tabs>
        <w:ind w:left="3600" w:hanging="360"/>
      </w:pPr>
      <w:rPr>
        <w:rFonts w:ascii="Arial" w:hAnsi="Arial" w:hint="default"/>
      </w:rPr>
    </w:lvl>
    <w:lvl w:ilvl="5" w:tplc="258CD4B6" w:tentative="1">
      <w:start w:val="1"/>
      <w:numFmt w:val="bullet"/>
      <w:lvlText w:val="•"/>
      <w:lvlJc w:val="left"/>
      <w:pPr>
        <w:tabs>
          <w:tab w:val="num" w:pos="4320"/>
        </w:tabs>
        <w:ind w:left="4320" w:hanging="360"/>
      </w:pPr>
      <w:rPr>
        <w:rFonts w:ascii="Arial" w:hAnsi="Arial" w:hint="default"/>
      </w:rPr>
    </w:lvl>
    <w:lvl w:ilvl="6" w:tplc="EAFC79E0" w:tentative="1">
      <w:start w:val="1"/>
      <w:numFmt w:val="bullet"/>
      <w:lvlText w:val="•"/>
      <w:lvlJc w:val="left"/>
      <w:pPr>
        <w:tabs>
          <w:tab w:val="num" w:pos="5040"/>
        </w:tabs>
        <w:ind w:left="5040" w:hanging="360"/>
      </w:pPr>
      <w:rPr>
        <w:rFonts w:ascii="Arial" w:hAnsi="Arial" w:hint="default"/>
      </w:rPr>
    </w:lvl>
    <w:lvl w:ilvl="7" w:tplc="2B6E746A" w:tentative="1">
      <w:start w:val="1"/>
      <w:numFmt w:val="bullet"/>
      <w:lvlText w:val="•"/>
      <w:lvlJc w:val="left"/>
      <w:pPr>
        <w:tabs>
          <w:tab w:val="num" w:pos="5760"/>
        </w:tabs>
        <w:ind w:left="5760" w:hanging="360"/>
      </w:pPr>
      <w:rPr>
        <w:rFonts w:ascii="Arial" w:hAnsi="Arial" w:hint="default"/>
      </w:rPr>
    </w:lvl>
    <w:lvl w:ilvl="8" w:tplc="87F2DE5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DEE3F7D"/>
    <w:multiLevelType w:val="hybridMultilevel"/>
    <w:tmpl w:val="9FA89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DEF2881"/>
    <w:multiLevelType w:val="hybridMultilevel"/>
    <w:tmpl w:val="28E2C8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141DBD"/>
    <w:multiLevelType w:val="hybridMultilevel"/>
    <w:tmpl w:val="1646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082606"/>
    <w:multiLevelType w:val="hybridMultilevel"/>
    <w:tmpl w:val="0E88D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A81595"/>
    <w:multiLevelType w:val="hybridMultilevel"/>
    <w:tmpl w:val="6ACA3840"/>
    <w:lvl w:ilvl="0" w:tplc="70CCB9B6">
      <w:start w:val="1"/>
      <w:numFmt w:val="bullet"/>
      <w:lvlText w:val="•"/>
      <w:lvlJc w:val="left"/>
      <w:pPr>
        <w:tabs>
          <w:tab w:val="num" w:pos="720"/>
        </w:tabs>
        <w:ind w:left="720" w:hanging="360"/>
      </w:pPr>
      <w:rPr>
        <w:rFonts w:ascii="Arial" w:hAnsi="Arial" w:hint="default"/>
      </w:rPr>
    </w:lvl>
    <w:lvl w:ilvl="1" w:tplc="0D7A5778" w:tentative="1">
      <w:start w:val="1"/>
      <w:numFmt w:val="bullet"/>
      <w:lvlText w:val="•"/>
      <w:lvlJc w:val="left"/>
      <w:pPr>
        <w:tabs>
          <w:tab w:val="num" w:pos="1440"/>
        </w:tabs>
        <w:ind w:left="1440" w:hanging="360"/>
      </w:pPr>
      <w:rPr>
        <w:rFonts w:ascii="Arial" w:hAnsi="Arial" w:hint="default"/>
      </w:rPr>
    </w:lvl>
    <w:lvl w:ilvl="2" w:tplc="E88E2B96" w:tentative="1">
      <w:start w:val="1"/>
      <w:numFmt w:val="bullet"/>
      <w:lvlText w:val="•"/>
      <w:lvlJc w:val="left"/>
      <w:pPr>
        <w:tabs>
          <w:tab w:val="num" w:pos="2160"/>
        </w:tabs>
        <w:ind w:left="2160" w:hanging="360"/>
      </w:pPr>
      <w:rPr>
        <w:rFonts w:ascii="Arial" w:hAnsi="Arial" w:hint="default"/>
      </w:rPr>
    </w:lvl>
    <w:lvl w:ilvl="3" w:tplc="964430E2" w:tentative="1">
      <w:start w:val="1"/>
      <w:numFmt w:val="bullet"/>
      <w:lvlText w:val="•"/>
      <w:lvlJc w:val="left"/>
      <w:pPr>
        <w:tabs>
          <w:tab w:val="num" w:pos="2880"/>
        </w:tabs>
        <w:ind w:left="2880" w:hanging="360"/>
      </w:pPr>
      <w:rPr>
        <w:rFonts w:ascii="Arial" w:hAnsi="Arial" w:hint="default"/>
      </w:rPr>
    </w:lvl>
    <w:lvl w:ilvl="4" w:tplc="AE384760" w:tentative="1">
      <w:start w:val="1"/>
      <w:numFmt w:val="bullet"/>
      <w:lvlText w:val="•"/>
      <w:lvlJc w:val="left"/>
      <w:pPr>
        <w:tabs>
          <w:tab w:val="num" w:pos="3600"/>
        </w:tabs>
        <w:ind w:left="3600" w:hanging="360"/>
      </w:pPr>
      <w:rPr>
        <w:rFonts w:ascii="Arial" w:hAnsi="Arial" w:hint="default"/>
      </w:rPr>
    </w:lvl>
    <w:lvl w:ilvl="5" w:tplc="79D08A0E" w:tentative="1">
      <w:start w:val="1"/>
      <w:numFmt w:val="bullet"/>
      <w:lvlText w:val="•"/>
      <w:lvlJc w:val="left"/>
      <w:pPr>
        <w:tabs>
          <w:tab w:val="num" w:pos="4320"/>
        </w:tabs>
        <w:ind w:left="4320" w:hanging="360"/>
      </w:pPr>
      <w:rPr>
        <w:rFonts w:ascii="Arial" w:hAnsi="Arial" w:hint="default"/>
      </w:rPr>
    </w:lvl>
    <w:lvl w:ilvl="6" w:tplc="AE8CA148" w:tentative="1">
      <w:start w:val="1"/>
      <w:numFmt w:val="bullet"/>
      <w:lvlText w:val="•"/>
      <w:lvlJc w:val="left"/>
      <w:pPr>
        <w:tabs>
          <w:tab w:val="num" w:pos="5040"/>
        </w:tabs>
        <w:ind w:left="5040" w:hanging="360"/>
      </w:pPr>
      <w:rPr>
        <w:rFonts w:ascii="Arial" w:hAnsi="Arial" w:hint="default"/>
      </w:rPr>
    </w:lvl>
    <w:lvl w:ilvl="7" w:tplc="F6BE692C" w:tentative="1">
      <w:start w:val="1"/>
      <w:numFmt w:val="bullet"/>
      <w:lvlText w:val="•"/>
      <w:lvlJc w:val="left"/>
      <w:pPr>
        <w:tabs>
          <w:tab w:val="num" w:pos="5760"/>
        </w:tabs>
        <w:ind w:left="5760" w:hanging="360"/>
      </w:pPr>
      <w:rPr>
        <w:rFonts w:ascii="Arial" w:hAnsi="Arial" w:hint="default"/>
      </w:rPr>
    </w:lvl>
    <w:lvl w:ilvl="8" w:tplc="57F6119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7264135"/>
    <w:multiLevelType w:val="hybridMultilevel"/>
    <w:tmpl w:val="9EE64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C71456"/>
    <w:multiLevelType w:val="hybridMultilevel"/>
    <w:tmpl w:val="92043592"/>
    <w:lvl w:ilvl="0" w:tplc="04190007">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alibri"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alibri"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alibri"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2A6731"/>
    <w:multiLevelType w:val="hybridMultilevel"/>
    <w:tmpl w:val="A8CC4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B42784C"/>
    <w:multiLevelType w:val="hybridMultilevel"/>
    <w:tmpl w:val="A9C0C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ED348B8"/>
    <w:multiLevelType w:val="hybridMultilevel"/>
    <w:tmpl w:val="13C85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FC202AB"/>
    <w:multiLevelType w:val="hybridMultilevel"/>
    <w:tmpl w:val="1CFEAD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545B7808"/>
    <w:multiLevelType w:val="hybridMultilevel"/>
    <w:tmpl w:val="5BAA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D474DF"/>
    <w:multiLevelType w:val="hybridMultilevel"/>
    <w:tmpl w:val="AD4E2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5485314"/>
    <w:multiLevelType w:val="hybridMultilevel"/>
    <w:tmpl w:val="D6446B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alibri"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alibri"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60C17A2"/>
    <w:multiLevelType w:val="hybridMultilevel"/>
    <w:tmpl w:val="B344B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383CE6"/>
    <w:multiLevelType w:val="hybridMultilevel"/>
    <w:tmpl w:val="232CA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EE7521E"/>
    <w:multiLevelType w:val="hybridMultilevel"/>
    <w:tmpl w:val="3C3C4BDC"/>
    <w:lvl w:ilvl="0" w:tplc="60B42D32">
      <w:start w:val="1"/>
      <w:numFmt w:val="bullet"/>
      <w:lvlText w:val=""/>
      <w:lvlJc w:val="left"/>
      <w:pPr>
        <w:tabs>
          <w:tab w:val="num" w:pos="720"/>
        </w:tabs>
        <w:ind w:left="720" w:hanging="360"/>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710513C7"/>
    <w:multiLevelType w:val="hybridMultilevel"/>
    <w:tmpl w:val="006EB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35C5164"/>
    <w:multiLevelType w:val="hybridMultilevel"/>
    <w:tmpl w:val="76307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55357B"/>
    <w:multiLevelType w:val="hybridMultilevel"/>
    <w:tmpl w:val="E74AB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57562C8"/>
    <w:multiLevelType w:val="hybridMultilevel"/>
    <w:tmpl w:val="6674E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5A0096"/>
    <w:multiLevelType w:val="hybridMultilevel"/>
    <w:tmpl w:val="67A24D52"/>
    <w:lvl w:ilvl="0" w:tplc="952EA3EC">
      <w:start w:val="1"/>
      <w:numFmt w:val="bullet"/>
      <w:lvlText w:val="•"/>
      <w:lvlJc w:val="left"/>
      <w:pPr>
        <w:tabs>
          <w:tab w:val="num" w:pos="720"/>
        </w:tabs>
        <w:ind w:left="720" w:hanging="360"/>
      </w:pPr>
      <w:rPr>
        <w:rFonts w:ascii="Arial" w:hAnsi="Arial" w:hint="default"/>
      </w:rPr>
    </w:lvl>
    <w:lvl w:ilvl="1" w:tplc="17E27ECE" w:tentative="1">
      <w:start w:val="1"/>
      <w:numFmt w:val="bullet"/>
      <w:lvlText w:val="•"/>
      <w:lvlJc w:val="left"/>
      <w:pPr>
        <w:tabs>
          <w:tab w:val="num" w:pos="1440"/>
        </w:tabs>
        <w:ind w:left="1440" w:hanging="360"/>
      </w:pPr>
      <w:rPr>
        <w:rFonts w:ascii="Arial" w:hAnsi="Arial" w:hint="default"/>
      </w:rPr>
    </w:lvl>
    <w:lvl w:ilvl="2" w:tplc="1DC20EB8" w:tentative="1">
      <w:start w:val="1"/>
      <w:numFmt w:val="bullet"/>
      <w:lvlText w:val="•"/>
      <w:lvlJc w:val="left"/>
      <w:pPr>
        <w:tabs>
          <w:tab w:val="num" w:pos="2160"/>
        </w:tabs>
        <w:ind w:left="2160" w:hanging="360"/>
      </w:pPr>
      <w:rPr>
        <w:rFonts w:ascii="Arial" w:hAnsi="Arial" w:hint="default"/>
      </w:rPr>
    </w:lvl>
    <w:lvl w:ilvl="3" w:tplc="25DE1BEE" w:tentative="1">
      <w:start w:val="1"/>
      <w:numFmt w:val="bullet"/>
      <w:lvlText w:val="•"/>
      <w:lvlJc w:val="left"/>
      <w:pPr>
        <w:tabs>
          <w:tab w:val="num" w:pos="2880"/>
        </w:tabs>
        <w:ind w:left="2880" w:hanging="360"/>
      </w:pPr>
      <w:rPr>
        <w:rFonts w:ascii="Arial" w:hAnsi="Arial" w:hint="default"/>
      </w:rPr>
    </w:lvl>
    <w:lvl w:ilvl="4" w:tplc="EE5A7488" w:tentative="1">
      <w:start w:val="1"/>
      <w:numFmt w:val="bullet"/>
      <w:lvlText w:val="•"/>
      <w:lvlJc w:val="left"/>
      <w:pPr>
        <w:tabs>
          <w:tab w:val="num" w:pos="3600"/>
        </w:tabs>
        <w:ind w:left="3600" w:hanging="360"/>
      </w:pPr>
      <w:rPr>
        <w:rFonts w:ascii="Arial" w:hAnsi="Arial" w:hint="default"/>
      </w:rPr>
    </w:lvl>
    <w:lvl w:ilvl="5" w:tplc="F1F4BA84" w:tentative="1">
      <w:start w:val="1"/>
      <w:numFmt w:val="bullet"/>
      <w:lvlText w:val="•"/>
      <w:lvlJc w:val="left"/>
      <w:pPr>
        <w:tabs>
          <w:tab w:val="num" w:pos="4320"/>
        </w:tabs>
        <w:ind w:left="4320" w:hanging="360"/>
      </w:pPr>
      <w:rPr>
        <w:rFonts w:ascii="Arial" w:hAnsi="Arial" w:hint="default"/>
      </w:rPr>
    </w:lvl>
    <w:lvl w:ilvl="6" w:tplc="E3A24B5A" w:tentative="1">
      <w:start w:val="1"/>
      <w:numFmt w:val="bullet"/>
      <w:lvlText w:val="•"/>
      <w:lvlJc w:val="left"/>
      <w:pPr>
        <w:tabs>
          <w:tab w:val="num" w:pos="5040"/>
        </w:tabs>
        <w:ind w:left="5040" w:hanging="360"/>
      </w:pPr>
      <w:rPr>
        <w:rFonts w:ascii="Arial" w:hAnsi="Arial" w:hint="default"/>
      </w:rPr>
    </w:lvl>
    <w:lvl w:ilvl="7" w:tplc="3A9606FA" w:tentative="1">
      <w:start w:val="1"/>
      <w:numFmt w:val="bullet"/>
      <w:lvlText w:val="•"/>
      <w:lvlJc w:val="left"/>
      <w:pPr>
        <w:tabs>
          <w:tab w:val="num" w:pos="5760"/>
        </w:tabs>
        <w:ind w:left="5760" w:hanging="360"/>
      </w:pPr>
      <w:rPr>
        <w:rFonts w:ascii="Arial" w:hAnsi="Arial" w:hint="default"/>
      </w:rPr>
    </w:lvl>
    <w:lvl w:ilvl="8" w:tplc="FF7250A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8E37106"/>
    <w:multiLevelType w:val="hybridMultilevel"/>
    <w:tmpl w:val="6FDE11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alibri"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alibri"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7C8C4CEB"/>
    <w:multiLevelType w:val="hybridMultilevel"/>
    <w:tmpl w:val="50CE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CDC547D"/>
    <w:multiLevelType w:val="hybridMultilevel"/>
    <w:tmpl w:val="2BC21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48"/>
  </w:num>
  <w:num w:numId="2">
    <w:abstractNumId w:val="17"/>
  </w:num>
  <w:num w:numId="3">
    <w:abstractNumId w:val="33"/>
  </w:num>
  <w:num w:numId="4">
    <w:abstractNumId w:val="18"/>
  </w:num>
  <w:num w:numId="5">
    <w:abstractNumId w:val="36"/>
  </w:num>
  <w:num w:numId="6">
    <w:abstractNumId w:val="39"/>
  </w:num>
  <w:num w:numId="7">
    <w:abstractNumId w:val="44"/>
  </w:num>
  <w:num w:numId="8">
    <w:abstractNumId w:val="31"/>
  </w:num>
  <w:num w:numId="9">
    <w:abstractNumId w:val="11"/>
  </w:num>
  <w:num w:numId="10">
    <w:abstractNumId w:val="22"/>
  </w:num>
  <w:num w:numId="11">
    <w:abstractNumId w:val="19"/>
  </w:num>
  <w:num w:numId="12">
    <w:abstractNumId w:val="24"/>
  </w:num>
  <w:num w:numId="13">
    <w:abstractNumId w:val="49"/>
  </w:num>
  <w:num w:numId="14">
    <w:abstractNumId w:val="30"/>
  </w:num>
  <w:num w:numId="15">
    <w:abstractNumId w:val="35"/>
  </w:num>
  <w:num w:numId="16">
    <w:abstractNumId w:val="37"/>
  </w:num>
  <w:num w:numId="17">
    <w:abstractNumId w:val="47"/>
  </w:num>
  <w:num w:numId="18">
    <w:abstractNumId w:val="14"/>
  </w:num>
  <w:num w:numId="19">
    <w:abstractNumId w:val="34"/>
  </w:num>
  <w:num w:numId="20">
    <w:abstractNumId w:val="23"/>
  </w:num>
  <w:num w:numId="21">
    <w:abstractNumId w:val="28"/>
  </w:num>
  <w:num w:numId="22">
    <w:abstractNumId w:val="46"/>
  </w:num>
  <w:num w:numId="23">
    <w:abstractNumId w:val="15"/>
  </w:num>
  <w:num w:numId="24">
    <w:abstractNumId w:val="13"/>
  </w:num>
  <w:num w:numId="25">
    <w:abstractNumId w:val="41"/>
  </w:num>
  <w:num w:numId="26">
    <w:abstractNumId w:val="3"/>
  </w:num>
  <w:num w:numId="27">
    <w:abstractNumId w:val="0"/>
  </w:num>
  <w:num w:numId="28">
    <w:abstractNumId w:val="45"/>
  </w:num>
  <w:num w:numId="29">
    <w:abstractNumId w:val="27"/>
  </w:num>
  <w:num w:numId="30">
    <w:abstractNumId w:val="43"/>
  </w:num>
  <w:num w:numId="31">
    <w:abstractNumId w:val="26"/>
  </w:num>
  <w:num w:numId="32">
    <w:abstractNumId w:val="21"/>
  </w:num>
  <w:num w:numId="33">
    <w:abstractNumId w:val="10"/>
  </w:num>
  <w:num w:numId="34">
    <w:abstractNumId w:val="32"/>
  </w:num>
  <w:num w:numId="35">
    <w:abstractNumId w:val="42"/>
  </w:num>
  <w:num w:numId="36">
    <w:abstractNumId w:val="9"/>
  </w:num>
  <w:num w:numId="37">
    <w:abstractNumId w:val="7"/>
  </w:num>
  <w:num w:numId="38">
    <w:abstractNumId w:val="6"/>
  </w:num>
  <w:num w:numId="39">
    <w:abstractNumId w:val="5"/>
  </w:num>
  <w:num w:numId="40">
    <w:abstractNumId w:val="4"/>
  </w:num>
  <w:num w:numId="41">
    <w:abstractNumId w:val="8"/>
  </w:num>
  <w:num w:numId="42">
    <w:abstractNumId w:val="2"/>
  </w:num>
  <w:num w:numId="43">
    <w:abstractNumId w:val="1"/>
  </w:num>
  <w:num w:numId="44">
    <w:abstractNumId w:val="25"/>
  </w:num>
  <w:num w:numId="45">
    <w:abstractNumId w:val="20"/>
  </w:num>
  <w:num w:numId="46">
    <w:abstractNumId w:val="12"/>
  </w:num>
  <w:num w:numId="47">
    <w:abstractNumId w:val="16"/>
  </w:num>
  <w:num w:numId="48">
    <w:abstractNumId w:val="38"/>
  </w:num>
  <w:num w:numId="49">
    <w:abstractNumId w:val="29"/>
  </w:num>
  <w:num w:numId="50">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ctiveWritingStyle w:appName="MSWord" w:lang="de-DE" w:vendorID="9" w:dllVersion="512" w:checkStyle="0"/>
  <w:activeWritingStyle w:appName="MSWord" w:lang="fi-FI" w:vendorID="22" w:dllVersion="513" w:checkStyle="1"/>
  <w:activeWritingStyle w:appName="MSWord" w:lang="pt-BR" w:vendorID="1" w:dllVersion="513" w:checkStyle="1"/>
  <w:activeWritingStyle w:appName="MSWord" w:lang="it-IT" w:vendorID="3" w:dllVersion="517" w:checkStyle="1"/>
  <w:activeWritingStyle w:appName="MSWord" w:lang="nl-BE" w:vendorID="1" w:dllVersion="512" w:checkStyle="1"/>
  <w:attachedTemplate r:id="rId1"/>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0E"/>
    <w:rsid w:val="00000863"/>
    <w:rsid w:val="00000B9B"/>
    <w:rsid w:val="00000D21"/>
    <w:rsid w:val="00001279"/>
    <w:rsid w:val="000016E6"/>
    <w:rsid w:val="000021CD"/>
    <w:rsid w:val="00002AFB"/>
    <w:rsid w:val="00002F8C"/>
    <w:rsid w:val="000033F9"/>
    <w:rsid w:val="0000399C"/>
    <w:rsid w:val="00004E5D"/>
    <w:rsid w:val="00005059"/>
    <w:rsid w:val="00005B64"/>
    <w:rsid w:val="00005E79"/>
    <w:rsid w:val="00006EDA"/>
    <w:rsid w:val="00007011"/>
    <w:rsid w:val="000072E8"/>
    <w:rsid w:val="0001014D"/>
    <w:rsid w:val="0001052E"/>
    <w:rsid w:val="00010B81"/>
    <w:rsid w:val="000159EE"/>
    <w:rsid w:val="00015B77"/>
    <w:rsid w:val="00016CAD"/>
    <w:rsid w:val="000174B3"/>
    <w:rsid w:val="0001753A"/>
    <w:rsid w:val="0001776C"/>
    <w:rsid w:val="00020DFF"/>
    <w:rsid w:val="000215D4"/>
    <w:rsid w:val="00021BD9"/>
    <w:rsid w:val="000228E0"/>
    <w:rsid w:val="00025C4E"/>
    <w:rsid w:val="00026F7B"/>
    <w:rsid w:val="00027374"/>
    <w:rsid w:val="00030455"/>
    <w:rsid w:val="00030C03"/>
    <w:rsid w:val="00032249"/>
    <w:rsid w:val="00034365"/>
    <w:rsid w:val="000365DE"/>
    <w:rsid w:val="000368F2"/>
    <w:rsid w:val="00041165"/>
    <w:rsid w:val="00041A90"/>
    <w:rsid w:val="00042987"/>
    <w:rsid w:val="00045300"/>
    <w:rsid w:val="0004553A"/>
    <w:rsid w:val="00046EA8"/>
    <w:rsid w:val="00051E3F"/>
    <w:rsid w:val="00052B4D"/>
    <w:rsid w:val="00054733"/>
    <w:rsid w:val="00056912"/>
    <w:rsid w:val="000608FB"/>
    <w:rsid w:val="00061071"/>
    <w:rsid w:val="00062118"/>
    <w:rsid w:val="00062896"/>
    <w:rsid w:val="00063298"/>
    <w:rsid w:val="00063404"/>
    <w:rsid w:val="00063E29"/>
    <w:rsid w:val="000642E1"/>
    <w:rsid w:val="000644C5"/>
    <w:rsid w:val="00067041"/>
    <w:rsid w:val="00067CF2"/>
    <w:rsid w:val="00071739"/>
    <w:rsid w:val="00072BF0"/>
    <w:rsid w:val="0007371A"/>
    <w:rsid w:val="000738CE"/>
    <w:rsid w:val="00074F52"/>
    <w:rsid w:val="00076107"/>
    <w:rsid w:val="000766E6"/>
    <w:rsid w:val="00076920"/>
    <w:rsid w:val="00077078"/>
    <w:rsid w:val="00077E38"/>
    <w:rsid w:val="00080626"/>
    <w:rsid w:val="000814EB"/>
    <w:rsid w:val="0008243C"/>
    <w:rsid w:val="00085EC8"/>
    <w:rsid w:val="00086EEC"/>
    <w:rsid w:val="00087703"/>
    <w:rsid w:val="0008779C"/>
    <w:rsid w:val="00087B60"/>
    <w:rsid w:val="00091B8C"/>
    <w:rsid w:val="00091E73"/>
    <w:rsid w:val="00097176"/>
    <w:rsid w:val="0009773A"/>
    <w:rsid w:val="000A1CDB"/>
    <w:rsid w:val="000A249D"/>
    <w:rsid w:val="000A3533"/>
    <w:rsid w:val="000A6440"/>
    <w:rsid w:val="000A74DE"/>
    <w:rsid w:val="000B0361"/>
    <w:rsid w:val="000B3321"/>
    <w:rsid w:val="000B3C61"/>
    <w:rsid w:val="000B4EA5"/>
    <w:rsid w:val="000B503F"/>
    <w:rsid w:val="000B60BD"/>
    <w:rsid w:val="000B66DF"/>
    <w:rsid w:val="000B6894"/>
    <w:rsid w:val="000B74DC"/>
    <w:rsid w:val="000C0568"/>
    <w:rsid w:val="000C2E48"/>
    <w:rsid w:val="000C44D4"/>
    <w:rsid w:val="000C4D5F"/>
    <w:rsid w:val="000C5764"/>
    <w:rsid w:val="000C69C3"/>
    <w:rsid w:val="000C6B79"/>
    <w:rsid w:val="000D06E1"/>
    <w:rsid w:val="000D18EC"/>
    <w:rsid w:val="000D23A4"/>
    <w:rsid w:val="000D2C46"/>
    <w:rsid w:val="000D5C59"/>
    <w:rsid w:val="000D6C1E"/>
    <w:rsid w:val="000D77C9"/>
    <w:rsid w:val="000E35C9"/>
    <w:rsid w:val="000E3784"/>
    <w:rsid w:val="000E474F"/>
    <w:rsid w:val="000E4791"/>
    <w:rsid w:val="000E5F15"/>
    <w:rsid w:val="000E657E"/>
    <w:rsid w:val="000F0BAE"/>
    <w:rsid w:val="000F1A8B"/>
    <w:rsid w:val="000F304D"/>
    <w:rsid w:val="000F4D46"/>
    <w:rsid w:val="000F6224"/>
    <w:rsid w:val="00100F11"/>
    <w:rsid w:val="00101458"/>
    <w:rsid w:val="00102612"/>
    <w:rsid w:val="001031FD"/>
    <w:rsid w:val="001058AD"/>
    <w:rsid w:val="00106B06"/>
    <w:rsid w:val="00106CC2"/>
    <w:rsid w:val="0011082C"/>
    <w:rsid w:val="001111CA"/>
    <w:rsid w:val="00111807"/>
    <w:rsid w:val="0011204C"/>
    <w:rsid w:val="00112329"/>
    <w:rsid w:val="00112B74"/>
    <w:rsid w:val="0011343C"/>
    <w:rsid w:val="0011419D"/>
    <w:rsid w:val="001143FF"/>
    <w:rsid w:val="001145EA"/>
    <w:rsid w:val="00115EAC"/>
    <w:rsid w:val="00116395"/>
    <w:rsid w:val="0011696D"/>
    <w:rsid w:val="00117D1B"/>
    <w:rsid w:val="00121399"/>
    <w:rsid w:val="00121529"/>
    <w:rsid w:val="001216E3"/>
    <w:rsid w:val="00121722"/>
    <w:rsid w:val="00121EF3"/>
    <w:rsid w:val="00122604"/>
    <w:rsid w:val="00124450"/>
    <w:rsid w:val="001334CC"/>
    <w:rsid w:val="00135245"/>
    <w:rsid w:val="00135626"/>
    <w:rsid w:val="00136D15"/>
    <w:rsid w:val="00152686"/>
    <w:rsid w:val="001532BC"/>
    <w:rsid w:val="00155254"/>
    <w:rsid w:val="00160586"/>
    <w:rsid w:val="00162C06"/>
    <w:rsid w:val="001630C8"/>
    <w:rsid w:val="0016325C"/>
    <w:rsid w:val="00163E50"/>
    <w:rsid w:val="00164806"/>
    <w:rsid w:val="00165E0A"/>
    <w:rsid w:val="0016601F"/>
    <w:rsid w:val="00170B0A"/>
    <w:rsid w:val="00172EFF"/>
    <w:rsid w:val="00173075"/>
    <w:rsid w:val="0017364E"/>
    <w:rsid w:val="00173B3F"/>
    <w:rsid w:val="00173FD6"/>
    <w:rsid w:val="001742E0"/>
    <w:rsid w:val="0017513C"/>
    <w:rsid w:val="0017542E"/>
    <w:rsid w:val="00176F7A"/>
    <w:rsid w:val="00176FBD"/>
    <w:rsid w:val="00180671"/>
    <w:rsid w:val="00180820"/>
    <w:rsid w:val="00180FBF"/>
    <w:rsid w:val="001815EF"/>
    <w:rsid w:val="0018239E"/>
    <w:rsid w:val="00184CC6"/>
    <w:rsid w:val="00184D6B"/>
    <w:rsid w:val="001853BF"/>
    <w:rsid w:val="00187779"/>
    <w:rsid w:val="00187EA2"/>
    <w:rsid w:val="00187EF0"/>
    <w:rsid w:val="00190C82"/>
    <w:rsid w:val="00190E5F"/>
    <w:rsid w:val="001924BD"/>
    <w:rsid w:val="00192B12"/>
    <w:rsid w:val="00192F41"/>
    <w:rsid w:val="00194562"/>
    <w:rsid w:val="00196391"/>
    <w:rsid w:val="001A013E"/>
    <w:rsid w:val="001A143B"/>
    <w:rsid w:val="001A22EE"/>
    <w:rsid w:val="001A2638"/>
    <w:rsid w:val="001A2DFB"/>
    <w:rsid w:val="001A35B6"/>
    <w:rsid w:val="001A3B27"/>
    <w:rsid w:val="001A442E"/>
    <w:rsid w:val="001A579C"/>
    <w:rsid w:val="001A59E6"/>
    <w:rsid w:val="001A69E8"/>
    <w:rsid w:val="001A704E"/>
    <w:rsid w:val="001A76A1"/>
    <w:rsid w:val="001B05CD"/>
    <w:rsid w:val="001B0E13"/>
    <w:rsid w:val="001B15CB"/>
    <w:rsid w:val="001B17C2"/>
    <w:rsid w:val="001B1DE5"/>
    <w:rsid w:val="001B2FE4"/>
    <w:rsid w:val="001B35F1"/>
    <w:rsid w:val="001B521C"/>
    <w:rsid w:val="001B6FD7"/>
    <w:rsid w:val="001C11FF"/>
    <w:rsid w:val="001C3BA4"/>
    <w:rsid w:val="001C6A49"/>
    <w:rsid w:val="001C7C02"/>
    <w:rsid w:val="001C7E0B"/>
    <w:rsid w:val="001D11D4"/>
    <w:rsid w:val="001D3636"/>
    <w:rsid w:val="001D4311"/>
    <w:rsid w:val="001D4E2C"/>
    <w:rsid w:val="001D54DB"/>
    <w:rsid w:val="001E0D67"/>
    <w:rsid w:val="001E1AB0"/>
    <w:rsid w:val="001E2214"/>
    <w:rsid w:val="001E2DA8"/>
    <w:rsid w:val="001E2EC3"/>
    <w:rsid w:val="001E3989"/>
    <w:rsid w:val="001E3FD7"/>
    <w:rsid w:val="001E45D7"/>
    <w:rsid w:val="001E470F"/>
    <w:rsid w:val="001E63C4"/>
    <w:rsid w:val="001E7F81"/>
    <w:rsid w:val="001F0F19"/>
    <w:rsid w:val="001F2878"/>
    <w:rsid w:val="001F2A01"/>
    <w:rsid w:val="001F4301"/>
    <w:rsid w:val="001F4355"/>
    <w:rsid w:val="001F4594"/>
    <w:rsid w:val="001F48EB"/>
    <w:rsid w:val="001F68F1"/>
    <w:rsid w:val="001F7E7A"/>
    <w:rsid w:val="002007E6"/>
    <w:rsid w:val="0020183E"/>
    <w:rsid w:val="002025B3"/>
    <w:rsid w:val="00202E6D"/>
    <w:rsid w:val="00204CB9"/>
    <w:rsid w:val="0020573A"/>
    <w:rsid w:val="00205BED"/>
    <w:rsid w:val="00205E8A"/>
    <w:rsid w:val="00207691"/>
    <w:rsid w:val="00207755"/>
    <w:rsid w:val="002105B1"/>
    <w:rsid w:val="0021232C"/>
    <w:rsid w:val="002133A0"/>
    <w:rsid w:val="0021572A"/>
    <w:rsid w:val="00220416"/>
    <w:rsid w:val="00220787"/>
    <w:rsid w:val="002218B3"/>
    <w:rsid w:val="00221A4B"/>
    <w:rsid w:val="00222C94"/>
    <w:rsid w:val="0022403A"/>
    <w:rsid w:val="00225427"/>
    <w:rsid w:val="00225B9B"/>
    <w:rsid w:val="00225F08"/>
    <w:rsid w:val="0022749E"/>
    <w:rsid w:val="00230447"/>
    <w:rsid w:val="002327AC"/>
    <w:rsid w:val="00232B0F"/>
    <w:rsid w:val="00233424"/>
    <w:rsid w:val="002338C3"/>
    <w:rsid w:val="0023409B"/>
    <w:rsid w:val="002369B2"/>
    <w:rsid w:val="00237C11"/>
    <w:rsid w:val="002413F6"/>
    <w:rsid w:val="00242974"/>
    <w:rsid w:val="002431CA"/>
    <w:rsid w:val="002463F1"/>
    <w:rsid w:val="00246AA4"/>
    <w:rsid w:val="00247D1E"/>
    <w:rsid w:val="00250FBC"/>
    <w:rsid w:val="00251287"/>
    <w:rsid w:val="002513A5"/>
    <w:rsid w:val="002514B7"/>
    <w:rsid w:val="00251534"/>
    <w:rsid w:val="002535F2"/>
    <w:rsid w:val="002544CC"/>
    <w:rsid w:val="00255FC7"/>
    <w:rsid w:val="002567A9"/>
    <w:rsid w:val="00256A6B"/>
    <w:rsid w:val="00256FD3"/>
    <w:rsid w:val="00261CCA"/>
    <w:rsid w:val="002642FA"/>
    <w:rsid w:val="002647D4"/>
    <w:rsid w:val="002648B0"/>
    <w:rsid w:val="00271B31"/>
    <w:rsid w:val="0027294F"/>
    <w:rsid w:val="002740CA"/>
    <w:rsid w:val="002742B1"/>
    <w:rsid w:val="002766F9"/>
    <w:rsid w:val="00276EB3"/>
    <w:rsid w:val="00281C1C"/>
    <w:rsid w:val="00283856"/>
    <w:rsid w:val="002848D3"/>
    <w:rsid w:val="002850E8"/>
    <w:rsid w:val="00287149"/>
    <w:rsid w:val="002878C9"/>
    <w:rsid w:val="00292AF0"/>
    <w:rsid w:val="00292FA4"/>
    <w:rsid w:val="002935D7"/>
    <w:rsid w:val="00295440"/>
    <w:rsid w:val="00295981"/>
    <w:rsid w:val="002A106B"/>
    <w:rsid w:val="002A1D1B"/>
    <w:rsid w:val="002A3466"/>
    <w:rsid w:val="002A36D7"/>
    <w:rsid w:val="002A402D"/>
    <w:rsid w:val="002A6A23"/>
    <w:rsid w:val="002B0085"/>
    <w:rsid w:val="002B0181"/>
    <w:rsid w:val="002B1C9F"/>
    <w:rsid w:val="002B4882"/>
    <w:rsid w:val="002B5B1C"/>
    <w:rsid w:val="002B61BB"/>
    <w:rsid w:val="002B678D"/>
    <w:rsid w:val="002B6866"/>
    <w:rsid w:val="002B6B13"/>
    <w:rsid w:val="002B7913"/>
    <w:rsid w:val="002C014F"/>
    <w:rsid w:val="002C13EE"/>
    <w:rsid w:val="002C34F1"/>
    <w:rsid w:val="002C4046"/>
    <w:rsid w:val="002C5594"/>
    <w:rsid w:val="002C6206"/>
    <w:rsid w:val="002C7661"/>
    <w:rsid w:val="002D561D"/>
    <w:rsid w:val="002D65FC"/>
    <w:rsid w:val="002D669D"/>
    <w:rsid w:val="002D72BD"/>
    <w:rsid w:val="002E0478"/>
    <w:rsid w:val="002E06E3"/>
    <w:rsid w:val="002E0917"/>
    <w:rsid w:val="002E15AF"/>
    <w:rsid w:val="002E24F8"/>
    <w:rsid w:val="002E3934"/>
    <w:rsid w:val="002E4BD9"/>
    <w:rsid w:val="002F07AD"/>
    <w:rsid w:val="002F10F2"/>
    <w:rsid w:val="002F1B71"/>
    <w:rsid w:val="002F1CBB"/>
    <w:rsid w:val="002F4D2D"/>
    <w:rsid w:val="002F5B5B"/>
    <w:rsid w:val="002F6051"/>
    <w:rsid w:val="002F6479"/>
    <w:rsid w:val="002F6C8C"/>
    <w:rsid w:val="002F7018"/>
    <w:rsid w:val="002F7047"/>
    <w:rsid w:val="00300D52"/>
    <w:rsid w:val="00304400"/>
    <w:rsid w:val="00304EBD"/>
    <w:rsid w:val="00305B8D"/>
    <w:rsid w:val="003064EA"/>
    <w:rsid w:val="00314B4F"/>
    <w:rsid w:val="00315477"/>
    <w:rsid w:val="003170E9"/>
    <w:rsid w:val="00317568"/>
    <w:rsid w:val="00317ADD"/>
    <w:rsid w:val="00320539"/>
    <w:rsid w:val="0032156C"/>
    <w:rsid w:val="00322816"/>
    <w:rsid w:val="00322FCB"/>
    <w:rsid w:val="003231F7"/>
    <w:rsid w:val="003249D6"/>
    <w:rsid w:val="00325C47"/>
    <w:rsid w:val="00333CCC"/>
    <w:rsid w:val="003342FF"/>
    <w:rsid w:val="003344C9"/>
    <w:rsid w:val="00334A06"/>
    <w:rsid w:val="00334F20"/>
    <w:rsid w:val="0033543C"/>
    <w:rsid w:val="00335FBD"/>
    <w:rsid w:val="00340355"/>
    <w:rsid w:val="003435A8"/>
    <w:rsid w:val="00347B6B"/>
    <w:rsid w:val="00350538"/>
    <w:rsid w:val="00351C64"/>
    <w:rsid w:val="00353986"/>
    <w:rsid w:val="00354B69"/>
    <w:rsid w:val="00355354"/>
    <w:rsid w:val="003574FB"/>
    <w:rsid w:val="00357849"/>
    <w:rsid w:val="003605E1"/>
    <w:rsid w:val="0036126A"/>
    <w:rsid w:val="00361462"/>
    <w:rsid w:val="00362046"/>
    <w:rsid w:val="00362721"/>
    <w:rsid w:val="003634B5"/>
    <w:rsid w:val="00364DB6"/>
    <w:rsid w:val="003670EE"/>
    <w:rsid w:val="0037029C"/>
    <w:rsid w:val="00372B38"/>
    <w:rsid w:val="00374B08"/>
    <w:rsid w:val="00374FD0"/>
    <w:rsid w:val="003760ED"/>
    <w:rsid w:val="00376C8B"/>
    <w:rsid w:val="003778AA"/>
    <w:rsid w:val="00380923"/>
    <w:rsid w:val="0038460C"/>
    <w:rsid w:val="003855B3"/>
    <w:rsid w:val="003864D0"/>
    <w:rsid w:val="003875D3"/>
    <w:rsid w:val="0038784D"/>
    <w:rsid w:val="00390356"/>
    <w:rsid w:val="003903EB"/>
    <w:rsid w:val="00391B60"/>
    <w:rsid w:val="00393689"/>
    <w:rsid w:val="0039397E"/>
    <w:rsid w:val="00396819"/>
    <w:rsid w:val="003A0C63"/>
    <w:rsid w:val="003A13D8"/>
    <w:rsid w:val="003A15A0"/>
    <w:rsid w:val="003A15CB"/>
    <w:rsid w:val="003A3F2B"/>
    <w:rsid w:val="003A4B71"/>
    <w:rsid w:val="003A5252"/>
    <w:rsid w:val="003A6E63"/>
    <w:rsid w:val="003A72AB"/>
    <w:rsid w:val="003A77F7"/>
    <w:rsid w:val="003A7A6D"/>
    <w:rsid w:val="003B057D"/>
    <w:rsid w:val="003B1A6D"/>
    <w:rsid w:val="003B3604"/>
    <w:rsid w:val="003B4240"/>
    <w:rsid w:val="003B59B8"/>
    <w:rsid w:val="003B5CE9"/>
    <w:rsid w:val="003B5F55"/>
    <w:rsid w:val="003B7872"/>
    <w:rsid w:val="003C08EC"/>
    <w:rsid w:val="003C50AB"/>
    <w:rsid w:val="003C5E25"/>
    <w:rsid w:val="003D307F"/>
    <w:rsid w:val="003D325B"/>
    <w:rsid w:val="003D3D7F"/>
    <w:rsid w:val="003D4D61"/>
    <w:rsid w:val="003D503F"/>
    <w:rsid w:val="003E164E"/>
    <w:rsid w:val="003E1F47"/>
    <w:rsid w:val="003E3451"/>
    <w:rsid w:val="003E43FF"/>
    <w:rsid w:val="003E4D6F"/>
    <w:rsid w:val="003E5412"/>
    <w:rsid w:val="003E622F"/>
    <w:rsid w:val="003E6CF1"/>
    <w:rsid w:val="003E704F"/>
    <w:rsid w:val="003E74E6"/>
    <w:rsid w:val="003F4525"/>
    <w:rsid w:val="003F53AD"/>
    <w:rsid w:val="003F59CF"/>
    <w:rsid w:val="003F5A9E"/>
    <w:rsid w:val="003F621F"/>
    <w:rsid w:val="003F7EF0"/>
    <w:rsid w:val="00400C78"/>
    <w:rsid w:val="0040100D"/>
    <w:rsid w:val="004034AD"/>
    <w:rsid w:val="004037EE"/>
    <w:rsid w:val="0040531F"/>
    <w:rsid w:val="00406970"/>
    <w:rsid w:val="004114D7"/>
    <w:rsid w:val="00414AE6"/>
    <w:rsid w:val="00414DB6"/>
    <w:rsid w:val="00415B3C"/>
    <w:rsid w:val="0041756B"/>
    <w:rsid w:val="0042037A"/>
    <w:rsid w:val="00420453"/>
    <w:rsid w:val="004207F9"/>
    <w:rsid w:val="0042084D"/>
    <w:rsid w:val="00421761"/>
    <w:rsid w:val="00421D7A"/>
    <w:rsid w:val="00421EE6"/>
    <w:rsid w:val="00422AD4"/>
    <w:rsid w:val="00423374"/>
    <w:rsid w:val="00425B7E"/>
    <w:rsid w:val="00427B8B"/>
    <w:rsid w:val="00427E8D"/>
    <w:rsid w:val="00427FD0"/>
    <w:rsid w:val="00431DF7"/>
    <w:rsid w:val="0043328F"/>
    <w:rsid w:val="00434E5F"/>
    <w:rsid w:val="004357C3"/>
    <w:rsid w:val="004363BA"/>
    <w:rsid w:val="00436CC0"/>
    <w:rsid w:val="00440A14"/>
    <w:rsid w:val="00441C14"/>
    <w:rsid w:val="0044255A"/>
    <w:rsid w:val="00442DB7"/>
    <w:rsid w:val="00443D15"/>
    <w:rsid w:val="004442E7"/>
    <w:rsid w:val="00444A3A"/>
    <w:rsid w:val="00454094"/>
    <w:rsid w:val="0045629B"/>
    <w:rsid w:val="004566AC"/>
    <w:rsid w:val="004567B3"/>
    <w:rsid w:val="0045680B"/>
    <w:rsid w:val="00456824"/>
    <w:rsid w:val="00460AEB"/>
    <w:rsid w:val="00460E3E"/>
    <w:rsid w:val="00460EB7"/>
    <w:rsid w:val="00461C4B"/>
    <w:rsid w:val="00462AA2"/>
    <w:rsid w:val="00464147"/>
    <w:rsid w:val="0046708B"/>
    <w:rsid w:val="004704F1"/>
    <w:rsid w:val="0047204D"/>
    <w:rsid w:val="00472927"/>
    <w:rsid w:val="004744F8"/>
    <w:rsid w:val="00476353"/>
    <w:rsid w:val="00477CE1"/>
    <w:rsid w:val="0048278F"/>
    <w:rsid w:val="0048398D"/>
    <w:rsid w:val="00485156"/>
    <w:rsid w:val="00487C79"/>
    <w:rsid w:val="00492BD4"/>
    <w:rsid w:val="00493594"/>
    <w:rsid w:val="00494D96"/>
    <w:rsid w:val="00496A54"/>
    <w:rsid w:val="00497CAF"/>
    <w:rsid w:val="004A02DA"/>
    <w:rsid w:val="004A06CE"/>
    <w:rsid w:val="004A6E4D"/>
    <w:rsid w:val="004B1923"/>
    <w:rsid w:val="004B22A4"/>
    <w:rsid w:val="004B4106"/>
    <w:rsid w:val="004B43DC"/>
    <w:rsid w:val="004B4561"/>
    <w:rsid w:val="004B57E5"/>
    <w:rsid w:val="004B6319"/>
    <w:rsid w:val="004C09B0"/>
    <w:rsid w:val="004C121F"/>
    <w:rsid w:val="004C17AD"/>
    <w:rsid w:val="004C1DB7"/>
    <w:rsid w:val="004C2234"/>
    <w:rsid w:val="004C3E19"/>
    <w:rsid w:val="004C513A"/>
    <w:rsid w:val="004C6261"/>
    <w:rsid w:val="004C7FE2"/>
    <w:rsid w:val="004D2C1D"/>
    <w:rsid w:val="004D2D6D"/>
    <w:rsid w:val="004D5C97"/>
    <w:rsid w:val="004D65F6"/>
    <w:rsid w:val="004E0B04"/>
    <w:rsid w:val="004E1B7F"/>
    <w:rsid w:val="004E347F"/>
    <w:rsid w:val="004E3B91"/>
    <w:rsid w:val="004E61DE"/>
    <w:rsid w:val="004F0D19"/>
    <w:rsid w:val="004F15A5"/>
    <w:rsid w:val="004F2910"/>
    <w:rsid w:val="004F33E1"/>
    <w:rsid w:val="004F4B30"/>
    <w:rsid w:val="004F5125"/>
    <w:rsid w:val="004F6AEC"/>
    <w:rsid w:val="00500C05"/>
    <w:rsid w:val="005010AD"/>
    <w:rsid w:val="005026B5"/>
    <w:rsid w:val="005055C5"/>
    <w:rsid w:val="00506C1C"/>
    <w:rsid w:val="0051086E"/>
    <w:rsid w:val="00510999"/>
    <w:rsid w:val="00513AF4"/>
    <w:rsid w:val="005166B7"/>
    <w:rsid w:val="00520137"/>
    <w:rsid w:val="00520176"/>
    <w:rsid w:val="0052037D"/>
    <w:rsid w:val="0052049E"/>
    <w:rsid w:val="00522273"/>
    <w:rsid w:val="00525843"/>
    <w:rsid w:val="005269D3"/>
    <w:rsid w:val="00526B3D"/>
    <w:rsid w:val="00526E2A"/>
    <w:rsid w:val="00527A9D"/>
    <w:rsid w:val="00527B0D"/>
    <w:rsid w:val="00531DBA"/>
    <w:rsid w:val="00532D9C"/>
    <w:rsid w:val="00533114"/>
    <w:rsid w:val="0053601A"/>
    <w:rsid w:val="00536251"/>
    <w:rsid w:val="00536332"/>
    <w:rsid w:val="005366A1"/>
    <w:rsid w:val="00541E81"/>
    <w:rsid w:val="00542255"/>
    <w:rsid w:val="0054397B"/>
    <w:rsid w:val="00544BDD"/>
    <w:rsid w:val="00546CAB"/>
    <w:rsid w:val="005470FF"/>
    <w:rsid w:val="00550799"/>
    <w:rsid w:val="005534C6"/>
    <w:rsid w:val="00553F7B"/>
    <w:rsid w:val="00553F7F"/>
    <w:rsid w:val="0055427D"/>
    <w:rsid w:val="00554750"/>
    <w:rsid w:val="00557585"/>
    <w:rsid w:val="00561309"/>
    <w:rsid w:val="00562410"/>
    <w:rsid w:val="005642DD"/>
    <w:rsid w:val="00564680"/>
    <w:rsid w:val="00565C8C"/>
    <w:rsid w:val="00565FDD"/>
    <w:rsid w:val="00566A75"/>
    <w:rsid w:val="00572A7F"/>
    <w:rsid w:val="00572C50"/>
    <w:rsid w:val="00576DA0"/>
    <w:rsid w:val="00576F30"/>
    <w:rsid w:val="00577502"/>
    <w:rsid w:val="00577575"/>
    <w:rsid w:val="00577D85"/>
    <w:rsid w:val="005823A0"/>
    <w:rsid w:val="005842EE"/>
    <w:rsid w:val="00586A33"/>
    <w:rsid w:val="005879B4"/>
    <w:rsid w:val="00590082"/>
    <w:rsid w:val="005901D4"/>
    <w:rsid w:val="0059208B"/>
    <w:rsid w:val="0059242D"/>
    <w:rsid w:val="00593CB1"/>
    <w:rsid w:val="00594972"/>
    <w:rsid w:val="005960A7"/>
    <w:rsid w:val="005A2CF7"/>
    <w:rsid w:val="005A3169"/>
    <w:rsid w:val="005A353B"/>
    <w:rsid w:val="005A792F"/>
    <w:rsid w:val="005A7AA9"/>
    <w:rsid w:val="005B21B0"/>
    <w:rsid w:val="005B311D"/>
    <w:rsid w:val="005B55AA"/>
    <w:rsid w:val="005B60DB"/>
    <w:rsid w:val="005B75FB"/>
    <w:rsid w:val="005C31A9"/>
    <w:rsid w:val="005C7F4C"/>
    <w:rsid w:val="005C7F6D"/>
    <w:rsid w:val="005D0AFD"/>
    <w:rsid w:val="005D1BD3"/>
    <w:rsid w:val="005D4103"/>
    <w:rsid w:val="005D5D3A"/>
    <w:rsid w:val="005D652F"/>
    <w:rsid w:val="005E1686"/>
    <w:rsid w:val="005E3D34"/>
    <w:rsid w:val="005E5751"/>
    <w:rsid w:val="005E6DC2"/>
    <w:rsid w:val="005E7FD9"/>
    <w:rsid w:val="005F0CD0"/>
    <w:rsid w:val="005F0FCC"/>
    <w:rsid w:val="005F13AF"/>
    <w:rsid w:val="005F1BCF"/>
    <w:rsid w:val="005F35A4"/>
    <w:rsid w:val="005F54A2"/>
    <w:rsid w:val="005F7704"/>
    <w:rsid w:val="00600F29"/>
    <w:rsid w:val="00603016"/>
    <w:rsid w:val="006033E0"/>
    <w:rsid w:val="00603B45"/>
    <w:rsid w:val="006042F4"/>
    <w:rsid w:val="0060473C"/>
    <w:rsid w:val="00607159"/>
    <w:rsid w:val="00610379"/>
    <w:rsid w:val="00610991"/>
    <w:rsid w:val="00611D83"/>
    <w:rsid w:val="00613905"/>
    <w:rsid w:val="00615BC9"/>
    <w:rsid w:val="00615F16"/>
    <w:rsid w:val="0061607E"/>
    <w:rsid w:val="006165F1"/>
    <w:rsid w:val="00616BBA"/>
    <w:rsid w:val="006179E6"/>
    <w:rsid w:val="00617C57"/>
    <w:rsid w:val="00617C62"/>
    <w:rsid w:val="00620ADB"/>
    <w:rsid w:val="006214A9"/>
    <w:rsid w:val="006214F9"/>
    <w:rsid w:val="006215BA"/>
    <w:rsid w:val="006219FF"/>
    <w:rsid w:val="00624D8D"/>
    <w:rsid w:val="00624E1E"/>
    <w:rsid w:val="00626710"/>
    <w:rsid w:val="00626AF3"/>
    <w:rsid w:val="00630834"/>
    <w:rsid w:val="0063123E"/>
    <w:rsid w:val="00633875"/>
    <w:rsid w:val="00636B6B"/>
    <w:rsid w:val="00642DE5"/>
    <w:rsid w:val="0064347D"/>
    <w:rsid w:val="006456C7"/>
    <w:rsid w:val="006462FA"/>
    <w:rsid w:val="006471E6"/>
    <w:rsid w:val="00647770"/>
    <w:rsid w:val="00651D19"/>
    <w:rsid w:val="00653864"/>
    <w:rsid w:val="006558F2"/>
    <w:rsid w:val="00655958"/>
    <w:rsid w:val="006562C5"/>
    <w:rsid w:val="006578A6"/>
    <w:rsid w:val="00657BF5"/>
    <w:rsid w:val="00661557"/>
    <w:rsid w:val="006651D4"/>
    <w:rsid w:val="00665FE0"/>
    <w:rsid w:val="00671F94"/>
    <w:rsid w:val="0067255F"/>
    <w:rsid w:val="0067545A"/>
    <w:rsid w:val="006776EF"/>
    <w:rsid w:val="006777B8"/>
    <w:rsid w:val="006816FB"/>
    <w:rsid w:val="00686B00"/>
    <w:rsid w:val="006876A5"/>
    <w:rsid w:val="00690C9F"/>
    <w:rsid w:val="00690FB1"/>
    <w:rsid w:val="0069220D"/>
    <w:rsid w:val="00693817"/>
    <w:rsid w:val="0069398E"/>
    <w:rsid w:val="006941E4"/>
    <w:rsid w:val="00695B3B"/>
    <w:rsid w:val="00697AA3"/>
    <w:rsid w:val="00697B6D"/>
    <w:rsid w:val="00697C87"/>
    <w:rsid w:val="006A1A2F"/>
    <w:rsid w:val="006A22E0"/>
    <w:rsid w:val="006A3412"/>
    <w:rsid w:val="006A35E0"/>
    <w:rsid w:val="006A5584"/>
    <w:rsid w:val="006A796D"/>
    <w:rsid w:val="006B0C78"/>
    <w:rsid w:val="006B1268"/>
    <w:rsid w:val="006B142C"/>
    <w:rsid w:val="006B1CDE"/>
    <w:rsid w:val="006B264A"/>
    <w:rsid w:val="006B314F"/>
    <w:rsid w:val="006B3BE5"/>
    <w:rsid w:val="006B56CA"/>
    <w:rsid w:val="006B5D3C"/>
    <w:rsid w:val="006B679D"/>
    <w:rsid w:val="006B7CE2"/>
    <w:rsid w:val="006C01C2"/>
    <w:rsid w:val="006C28DA"/>
    <w:rsid w:val="006C326A"/>
    <w:rsid w:val="006C40AA"/>
    <w:rsid w:val="006C5496"/>
    <w:rsid w:val="006C6EBB"/>
    <w:rsid w:val="006D0C6D"/>
    <w:rsid w:val="006D2DD0"/>
    <w:rsid w:val="006D31FB"/>
    <w:rsid w:val="006D4255"/>
    <w:rsid w:val="006D706C"/>
    <w:rsid w:val="006D70BE"/>
    <w:rsid w:val="006E0EA1"/>
    <w:rsid w:val="006E2A2A"/>
    <w:rsid w:val="006E2DA2"/>
    <w:rsid w:val="006E5E3C"/>
    <w:rsid w:val="006E5ED2"/>
    <w:rsid w:val="006E623E"/>
    <w:rsid w:val="006E627C"/>
    <w:rsid w:val="006E701D"/>
    <w:rsid w:val="006F1FB7"/>
    <w:rsid w:val="006F324D"/>
    <w:rsid w:val="006F7CF1"/>
    <w:rsid w:val="00702221"/>
    <w:rsid w:val="0070253E"/>
    <w:rsid w:val="00704E5E"/>
    <w:rsid w:val="007118A7"/>
    <w:rsid w:val="00712281"/>
    <w:rsid w:val="00712C5E"/>
    <w:rsid w:val="007135DA"/>
    <w:rsid w:val="00713C47"/>
    <w:rsid w:val="00714AF7"/>
    <w:rsid w:val="00715E1C"/>
    <w:rsid w:val="0072795B"/>
    <w:rsid w:val="00727EE5"/>
    <w:rsid w:val="007325CA"/>
    <w:rsid w:val="007330F1"/>
    <w:rsid w:val="00737867"/>
    <w:rsid w:val="007378A4"/>
    <w:rsid w:val="00741714"/>
    <w:rsid w:val="007422C2"/>
    <w:rsid w:val="0074271C"/>
    <w:rsid w:val="007445C4"/>
    <w:rsid w:val="007445EB"/>
    <w:rsid w:val="00744FD1"/>
    <w:rsid w:val="007458B9"/>
    <w:rsid w:val="00746DA7"/>
    <w:rsid w:val="00747BD2"/>
    <w:rsid w:val="00750762"/>
    <w:rsid w:val="00762B83"/>
    <w:rsid w:val="00762E0E"/>
    <w:rsid w:val="00763BA8"/>
    <w:rsid w:val="00764CE9"/>
    <w:rsid w:val="00765B00"/>
    <w:rsid w:val="007661B8"/>
    <w:rsid w:val="0077105E"/>
    <w:rsid w:val="00771C40"/>
    <w:rsid w:val="00772280"/>
    <w:rsid w:val="0077266D"/>
    <w:rsid w:val="0077387A"/>
    <w:rsid w:val="0077428B"/>
    <w:rsid w:val="00774A80"/>
    <w:rsid w:val="00774B08"/>
    <w:rsid w:val="007754E7"/>
    <w:rsid w:val="00775DA0"/>
    <w:rsid w:val="007765F2"/>
    <w:rsid w:val="00780DBC"/>
    <w:rsid w:val="00781A66"/>
    <w:rsid w:val="007820FD"/>
    <w:rsid w:val="00783DA9"/>
    <w:rsid w:val="007853E3"/>
    <w:rsid w:val="00785917"/>
    <w:rsid w:val="00786BDF"/>
    <w:rsid w:val="00787CD5"/>
    <w:rsid w:val="0079096C"/>
    <w:rsid w:val="00794D04"/>
    <w:rsid w:val="00794DEF"/>
    <w:rsid w:val="0079541F"/>
    <w:rsid w:val="007965E8"/>
    <w:rsid w:val="007A2556"/>
    <w:rsid w:val="007A3C26"/>
    <w:rsid w:val="007A44C5"/>
    <w:rsid w:val="007B1E01"/>
    <w:rsid w:val="007B3E86"/>
    <w:rsid w:val="007B55D2"/>
    <w:rsid w:val="007C058A"/>
    <w:rsid w:val="007C1DD3"/>
    <w:rsid w:val="007C27B9"/>
    <w:rsid w:val="007C3C21"/>
    <w:rsid w:val="007C673F"/>
    <w:rsid w:val="007C7299"/>
    <w:rsid w:val="007C72D5"/>
    <w:rsid w:val="007D015A"/>
    <w:rsid w:val="007D18BF"/>
    <w:rsid w:val="007D2FC8"/>
    <w:rsid w:val="007D3A13"/>
    <w:rsid w:val="007D608B"/>
    <w:rsid w:val="007D732E"/>
    <w:rsid w:val="007D773F"/>
    <w:rsid w:val="007D7C32"/>
    <w:rsid w:val="007D7CAE"/>
    <w:rsid w:val="007E07FC"/>
    <w:rsid w:val="007E1BCE"/>
    <w:rsid w:val="007E233B"/>
    <w:rsid w:val="007E6677"/>
    <w:rsid w:val="007E6D47"/>
    <w:rsid w:val="007E7A13"/>
    <w:rsid w:val="007F0AA7"/>
    <w:rsid w:val="007F0C9E"/>
    <w:rsid w:val="007F0F73"/>
    <w:rsid w:val="007F213B"/>
    <w:rsid w:val="007F35B8"/>
    <w:rsid w:val="007F3F06"/>
    <w:rsid w:val="007F3F79"/>
    <w:rsid w:val="007F4892"/>
    <w:rsid w:val="007F51BA"/>
    <w:rsid w:val="007F5358"/>
    <w:rsid w:val="007F7031"/>
    <w:rsid w:val="007F7EDF"/>
    <w:rsid w:val="00802AAC"/>
    <w:rsid w:val="00802F16"/>
    <w:rsid w:val="00805610"/>
    <w:rsid w:val="00806CFE"/>
    <w:rsid w:val="008110FE"/>
    <w:rsid w:val="008113F6"/>
    <w:rsid w:val="0081193A"/>
    <w:rsid w:val="008125AA"/>
    <w:rsid w:val="008127C8"/>
    <w:rsid w:val="00813FE7"/>
    <w:rsid w:val="00815603"/>
    <w:rsid w:val="00815A09"/>
    <w:rsid w:val="00815E04"/>
    <w:rsid w:val="0081627F"/>
    <w:rsid w:val="00817875"/>
    <w:rsid w:val="00821E47"/>
    <w:rsid w:val="00825BCA"/>
    <w:rsid w:val="00826D70"/>
    <w:rsid w:val="008273E3"/>
    <w:rsid w:val="00831878"/>
    <w:rsid w:val="00833061"/>
    <w:rsid w:val="00834BD6"/>
    <w:rsid w:val="00836EA2"/>
    <w:rsid w:val="00840805"/>
    <w:rsid w:val="00841E84"/>
    <w:rsid w:val="00843996"/>
    <w:rsid w:val="008442EF"/>
    <w:rsid w:val="00844D42"/>
    <w:rsid w:val="00845A4E"/>
    <w:rsid w:val="00845C25"/>
    <w:rsid w:val="00846884"/>
    <w:rsid w:val="00847B24"/>
    <w:rsid w:val="008517E5"/>
    <w:rsid w:val="00852DB7"/>
    <w:rsid w:val="00854349"/>
    <w:rsid w:val="008549FF"/>
    <w:rsid w:val="008555C1"/>
    <w:rsid w:val="00856076"/>
    <w:rsid w:val="008565AA"/>
    <w:rsid w:val="00860C65"/>
    <w:rsid w:val="00861005"/>
    <w:rsid w:val="00861CF2"/>
    <w:rsid w:val="00862DCB"/>
    <w:rsid w:val="00863270"/>
    <w:rsid w:val="00863F86"/>
    <w:rsid w:val="0086486C"/>
    <w:rsid w:val="0086501A"/>
    <w:rsid w:val="008651C9"/>
    <w:rsid w:val="00867A17"/>
    <w:rsid w:val="00867BB2"/>
    <w:rsid w:val="00871F36"/>
    <w:rsid w:val="0087343D"/>
    <w:rsid w:val="00874758"/>
    <w:rsid w:val="00875C4C"/>
    <w:rsid w:val="00880ACE"/>
    <w:rsid w:val="008818E4"/>
    <w:rsid w:val="00882B94"/>
    <w:rsid w:val="00883B62"/>
    <w:rsid w:val="0088436B"/>
    <w:rsid w:val="00885B2F"/>
    <w:rsid w:val="00886B86"/>
    <w:rsid w:val="008900A8"/>
    <w:rsid w:val="00893900"/>
    <w:rsid w:val="00895ECB"/>
    <w:rsid w:val="00895FB6"/>
    <w:rsid w:val="00896725"/>
    <w:rsid w:val="00897A5C"/>
    <w:rsid w:val="008A0ADC"/>
    <w:rsid w:val="008A13A4"/>
    <w:rsid w:val="008A20C5"/>
    <w:rsid w:val="008A6754"/>
    <w:rsid w:val="008A70B3"/>
    <w:rsid w:val="008B24B5"/>
    <w:rsid w:val="008B36BD"/>
    <w:rsid w:val="008B4C1B"/>
    <w:rsid w:val="008B4F7D"/>
    <w:rsid w:val="008B7A53"/>
    <w:rsid w:val="008B7C74"/>
    <w:rsid w:val="008C1029"/>
    <w:rsid w:val="008C41A9"/>
    <w:rsid w:val="008C6ECF"/>
    <w:rsid w:val="008D21FF"/>
    <w:rsid w:val="008D25C0"/>
    <w:rsid w:val="008D3541"/>
    <w:rsid w:val="008D532E"/>
    <w:rsid w:val="008D607A"/>
    <w:rsid w:val="008D665C"/>
    <w:rsid w:val="008D676A"/>
    <w:rsid w:val="008E00C0"/>
    <w:rsid w:val="008E1F8D"/>
    <w:rsid w:val="008E419F"/>
    <w:rsid w:val="008E6DD9"/>
    <w:rsid w:val="008E6FF1"/>
    <w:rsid w:val="008F157A"/>
    <w:rsid w:val="008F4BDE"/>
    <w:rsid w:val="008F5F36"/>
    <w:rsid w:val="008F64B9"/>
    <w:rsid w:val="008F65B5"/>
    <w:rsid w:val="008F6A61"/>
    <w:rsid w:val="00901938"/>
    <w:rsid w:val="00906664"/>
    <w:rsid w:val="009078F2"/>
    <w:rsid w:val="00913200"/>
    <w:rsid w:val="00913C65"/>
    <w:rsid w:val="009140E1"/>
    <w:rsid w:val="00914180"/>
    <w:rsid w:val="00920784"/>
    <w:rsid w:val="00920B2D"/>
    <w:rsid w:val="009215A0"/>
    <w:rsid w:val="00921A60"/>
    <w:rsid w:val="00921AAD"/>
    <w:rsid w:val="009239E0"/>
    <w:rsid w:val="009243CB"/>
    <w:rsid w:val="009252C4"/>
    <w:rsid w:val="00927073"/>
    <w:rsid w:val="0093097F"/>
    <w:rsid w:val="0093100B"/>
    <w:rsid w:val="009326DA"/>
    <w:rsid w:val="00933141"/>
    <w:rsid w:val="009346A9"/>
    <w:rsid w:val="00935ED2"/>
    <w:rsid w:val="00937456"/>
    <w:rsid w:val="009403D9"/>
    <w:rsid w:val="00940590"/>
    <w:rsid w:val="00941C5E"/>
    <w:rsid w:val="00941EAB"/>
    <w:rsid w:val="00944C4B"/>
    <w:rsid w:val="00947B59"/>
    <w:rsid w:val="00950AF9"/>
    <w:rsid w:val="00951A6C"/>
    <w:rsid w:val="00952F62"/>
    <w:rsid w:val="00952FD4"/>
    <w:rsid w:val="009541AC"/>
    <w:rsid w:val="00955E60"/>
    <w:rsid w:val="009561E4"/>
    <w:rsid w:val="0096083B"/>
    <w:rsid w:val="00961947"/>
    <w:rsid w:val="00961C50"/>
    <w:rsid w:val="00963142"/>
    <w:rsid w:val="00963378"/>
    <w:rsid w:val="00964BC4"/>
    <w:rsid w:val="00966139"/>
    <w:rsid w:val="00966171"/>
    <w:rsid w:val="00966234"/>
    <w:rsid w:val="00967DD3"/>
    <w:rsid w:val="0097085D"/>
    <w:rsid w:val="00970E39"/>
    <w:rsid w:val="009717CE"/>
    <w:rsid w:val="00976D68"/>
    <w:rsid w:val="00982A3C"/>
    <w:rsid w:val="00983F92"/>
    <w:rsid w:val="00985393"/>
    <w:rsid w:val="00987E27"/>
    <w:rsid w:val="0099174A"/>
    <w:rsid w:val="0099399F"/>
    <w:rsid w:val="00994900"/>
    <w:rsid w:val="0099714F"/>
    <w:rsid w:val="009973F1"/>
    <w:rsid w:val="009976FC"/>
    <w:rsid w:val="009A22BF"/>
    <w:rsid w:val="009A57BD"/>
    <w:rsid w:val="009B0653"/>
    <w:rsid w:val="009B0ABF"/>
    <w:rsid w:val="009B173F"/>
    <w:rsid w:val="009B1B6B"/>
    <w:rsid w:val="009B1C62"/>
    <w:rsid w:val="009B2497"/>
    <w:rsid w:val="009B37C3"/>
    <w:rsid w:val="009B4DBE"/>
    <w:rsid w:val="009B523A"/>
    <w:rsid w:val="009B61F8"/>
    <w:rsid w:val="009B7CCA"/>
    <w:rsid w:val="009C125E"/>
    <w:rsid w:val="009C4887"/>
    <w:rsid w:val="009C49A6"/>
    <w:rsid w:val="009C5E8B"/>
    <w:rsid w:val="009C74BF"/>
    <w:rsid w:val="009C7687"/>
    <w:rsid w:val="009D053B"/>
    <w:rsid w:val="009D2D78"/>
    <w:rsid w:val="009D3F7C"/>
    <w:rsid w:val="009D55AA"/>
    <w:rsid w:val="009D5713"/>
    <w:rsid w:val="009D64E7"/>
    <w:rsid w:val="009D672D"/>
    <w:rsid w:val="009E1E94"/>
    <w:rsid w:val="009E2104"/>
    <w:rsid w:val="009E4BD0"/>
    <w:rsid w:val="009E5748"/>
    <w:rsid w:val="009F045D"/>
    <w:rsid w:val="009F0E1E"/>
    <w:rsid w:val="009F1020"/>
    <w:rsid w:val="009F14E0"/>
    <w:rsid w:val="009F2128"/>
    <w:rsid w:val="009F5D63"/>
    <w:rsid w:val="009F661E"/>
    <w:rsid w:val="00A0191C"/>
    <w:rsid w:val="00A0194C"/>
    <w:rsid w:val="00A0591F"/>
    <w:rsid w:val="00A075FB"/>
    <w:rsid w:val="00A078C2"/>
    <w:rsid w:val="00A07D4E"/>
    <w:rsid w:val="00A117F8"/>
    <w:rsid w:val="00A2162D"/>
    <w:rsid w:val="00A21817"/>
    <w:rsid w:val="00A21834"/>
    <w:rsid w:val="00A2434D"/>
    <w:rsid w:val="00A31DA2"/>
    <w:rsid w:val="00A31E8A"/>
    <w:rsid w:val="00A32AC7"/>
    <w:rsid w:val="00A350DC"/>
    <w:rsid w:val="00A4085A"/>
    <w:rsid w:val="00A413A2"/>
    <w:rsid w:val="00A413D3"/>
    <w:rsid w:val="00A432AD"/>
    <w:rsid w:val="00A438A8"/>
    <w:rsid w:val="00A4580A"/>
    <w:rsid w:val="00A479D4"/>
    <w:rsid w:val="00A5134A"/>
    <w:rsid w:val="00A54B9D"/>
    <w:rsid w:val="00A61C98"/>
    <w:rsid w:val="00A63232"/>
    <w:rsid w:val="00A652C3"/>
    <w:rsid w:val="00A65690"/>
    <w:rsid w:val="00A6783C"/>
    <w:rsid w:val="00A70E60"/>
    <w:rsid w:val="00A73577"/>
    <w:rsid w:val="00A739D7"/>
    <w:rsid w:val="00A73AB9"/>
    <w:rsid w:val="00A73CB1"/>
    <w:rsid w:val="00A74C7C"/>
    <w:rsid w:val="00A75629"/>
    <w:rsid w:val="00A76000"/>
    <w:rsid w:val="00A8015F"/>
    <w:rsid w:val="00A806AE"/>
    <w:rsid w:val="00A80D89"/>
    <w:rsid w:val="00A80E80"/>
    <w:rsid w:val="00A80F84"/>
    <w:rsid w:val="00A85568"/>
    <w:rsid w:val="00A8751F"/>
    <w:rsid w:val="00A95088"/>
    <w:rsid w:val="00A974A8"/>
    <w:rsid w:val="00A97607"/>
    <w:rsid w:val="00AA02E4"/>
    <w:rsid w:val="00AA04E8"/>
    <w:rsid w:val="00AA100B"/>
    <w:rsid w:val="00AA1BED"/>
    <w:rsid w:val="00AA287D"/>
    <w:rsid w:val="00AA3345"/>
    <w:rsid w:val="00AA3910"/>
    <w:rsid w:val="00AA4205"/>
    <w:rsid w:val="00AA619A"/>
    <w:rsid w:val="00AA7D3D"/>
    <w:rsid w:val="00AB0AF9"/>
    <w:rsid w:val="00AB1877"/>
    <w:rsid w:val="00AB1BE8"/>
    <w:rsid w:val="00AB1DA7"/>
    <w:rsid w:val="00AB2E43"/>
    <w:rsid w:val="00AB781E"/>
    <w:rsid w:val="00AB7B94"/>
    <w:rsid w:val="00AC08A3"/>
    <w:rsid w:val="00AC1065"/>
    <w:rsid w:val="00AC2C88"/>
    <w:rsid w:val="00AC3873"/>
    <w:rsid w:val="00AC5575"/>
    <w:rsid w:val="00AC7CE0"/>
    <w:rsid w:val="00AC7F3A"/>
    <w:rsid w:val="00AD20E5"/>
    <w:rsid w:val="00AD326D"/>
    <w:rsid w:val="00AD5D73"/>
    <w:rsid w:val="00AD6A54"/>
    <w:rsid w:val="00AE01F0"/>
    <w:rsid w:val="00AE201B"/>
    <w:rsid w:val="00AE3A85"/>
    <w:rsid w:val="00AE3F71"/>
    <w:rsid w:val="00AE4812"/>
    <w:rsid w:val="00AE4B69"/>
    <w:rsid w:val="00AE4DF1"/>
    <w:rsid w:val="00AE5117"/>
    <w:rsid w:val="00AE5C98"/>
    <w:rsid w:val="00AE63EC"/>
    <w:rsid w:val="00AE6A9E"/>
    <w:rsid w:val="00AE7D79"/>
    <w:rsid w:val="00AF250B"/>
    <w:rsid w:val="00AF292E"/>
    <w:rsid w:val="00AF35F7"/>
    <w:rsid w:val="00AF4CD7"/>
    <w:rsid w:val="00B00F08"/>
    <w:rsid w:val="00B01159"/>
    <w:rsid w:val="00B02415"/>
    <w:rsid w:val="00B02487"/>
    <w:rsid w:val="00B04EFC"/>
    <w:rsid w:val="00B05549"/>
    <w:rsid w:val="00B0614B"/>
    <w:rsid w:val="00B0741D"/>
    <w:rsid w:val="00B10192"/>
    <w:rsid w:val="00B11B00"/>
    <w:rsid w:val="00B13597"/>
    <w:rsid w:val="00B14097"/>
    <w:rsid w:val="00B14626"/>
    <w:rsid w:val="00B14BCE"/>
    <w:rsid w:val="00B15207"/>
    <w:rsid w:val="00B16D09"/>
    <w:rsid w:val="00B17358"/>
    <w:rsid w:val="00B17A4B"/>
    <w:rsid w:val="00B215E7"/>
    <w:rsid w:val="00B22AF2"/>
    <w:rsid w:val="00B22DBB"/>
    <w:rsid w:val="00B2432E"/>
    <w:rsid w:val="00B27880"/>
    <w:rsid w:val="00B30157"/>
    <w:rsid w:val="00B30843"/>
    <w:rsid w:val="00B31BDF"/>
    <w:rsid w:val="00B34A59"/>
    <w:rsid w:val="00B362D4"/>
    <w:rsid w:val="00B37847"/>
    <w:rsid w:val="00B41406"/>
    <w:rsid w:val="00B41C96"/>
    <w:rsid w:val="00B45039"/>
    <w:rsid w:val="00B45D83"/>
    <w:rsid w:val="00B477AD"/>
    <w:rsid w:val="00B5074A"/>
    <w:rsid w:val="00B54094"/>
    <w:rsid w:val="00B549A4"/>
    <w:rsid w:val="00B566BC"/>
    <w:rsid w:val="00B57472"/>
    <w:rsid w:val="00B57DC9"/>
    <w:rsid w:val="00B618A0"/>
    <w:rsid w:val="00B64BF2"/>
    <w:rsid w:val="00B668EF"/>
    <w:rsid w:val="00B67019"/>
    <w:rsid w:val="00B677E8"/>
    <w:rsid w:val="00B67A27"/>
    <w:rsid w:val="00B67D48"/>
    <w:rsid w:val="00B708AA"/>
    <w:rsid w:val="00B737B3"/>
    <w:rsid w:val="00B74D54"/>
    <w:rsid w:val="00B7679F"/>
    <w:rsid w:val="00B77EFB"/>
    <w:rsid w:val="00B8248B"/>
    <w:rsid w:val="00B83988"/>
    <w:rsid w:val="00B83ADF"/>
    <w:rsid w:val="00B84630"/>
    <w:rsid w:val="00B84B16"/>
    <w:rsid w:val="00B85C42"/>
    <w:rsid w:val="00B86107"/>
    <w:rsid w:val="00B86DA3"/>
    <w:rsid w:val="00B86EB5"/>
    <w:rsid w:val="00B908AA"/>
    <w:rsid w:val="00B928DF"/>
    <w:rsid w:val="00B92F6E"/>
    <w:rsid w:val="00B9522F"/>
    <w:rsid w:val="00B97865"/>
    <w:rsid w:val="00BA1703"/>
    <w:rsid w:val="00BA4669"/>
    <w:rsid w:val="00BA5424"/>
    <w:rsid w:val="00BA747F"/>
    <w:rsid w:val="00BB1A87"/>
    <w:rsid w:val="00BB20D5"/>
    <w:rsid w:val="00BB54C9"/>
    <w:rsid w:val="00BB59FF"/>
    <w:rsid w:val="00BB7A90"/>
    <w:rsid w:val="00BC1B80"/>
    <w:rsid w:val="00BC22A4"/>
    <w:rsid w:val="00BC3591"/>
    <w:rsid w:val="00BC36E4"/>
    <w:rsid w:val="00BC3853"/>
    <w:rsid w:val="00BC3E42"/>
    <w:rsid w:val="00BC4C27"/>
    <w:rsid w:val="00BC4F4E"/>
    <w:rsid w:val="00BC56A2"/>
    <w:rsid w:val="00BC56B7"/>
    <w:rsid w:val="00BC5D9F"/>
    <w:rsid w:val="00BC5EA0"/>
    <w:rsid w:val="00BC6931"/>
    <w:rsid w:val="00BD1C22"/>
    <w:rsid w:val="00BD2F23"/>
    <w:rsid w:val="00BD5B0C"/>
    <w:rsid w:val="00BD6887"/>
    <w:rsid w:val="00BD7300"/>
    <w:rsid w:val="00BE41E1"/>
    <w:rsid w:val="00BE4830"/>
    <w:rsid w:val="00BE7929"/>
    <w:rsid w:val="00BF0AE0"/>
    <w:rsid w:val="00BF0B1C"/>
    <w:rsid w:val="00BF293F"/>
    <w:rsid w:val="00BF2F4A"/>
    <w:rsid w:val="00BF322D"/>
    <w:rsid w:val="00BF3DBC"/>
    <w:rsid w:val="00BF4FD8"/>
    <w:rsid w:val="00BF5CFB"/>
    <w:rsid w:val="00BF7C86"/>
    <w:rsid w:val="00C0174D"/>
    <w:rsid w:val="00C024B7"/>
    <w:rsid w:val="00C032F4"/>
    <w:rsid w:val="00C056D1"/>
    <w:rsid w:val="00C05FA0"/>
    <w:rsid w:val="00C10F73"/>
    <w:rsid w:val="00C12535"/>
    <w:rsid w:val="00C142FB"/>
    <w:rsid w:val="00C15951"/>
    <w:rsid w:val="00C174BE"/>
    <w:rsid w:val="00C20FA9"/>
    <w:rsid w:val="00C21D1B"/>
    <w:rsid w:val="00C23687"/>
    <w:rsid w:val="00C24E55"/>
    <w:rsid w:val="00C2619F"/>
    <w:rsid w:val="00C26774"/>
    <w:rsid w:val="00C3032F"/>
    <w:rsid w:val="00C31032"/>
    <w:rsid w:val="00C321EF"/>
    <w:rsid w:val="00C330FD"/>
    <w:rsid w:val="00C341BC"/>
    <w:rsid w:val="00C36306"/>
    <w:rsid w:val="00C37076"/>
    <w:rsid w:val="00C408F4"/>
    <w:rsid w:val="00C41218"/>
    <w:rsid w:val="00C4213B"/>
    <w:rsid w:val="00C430AD"/>
    <w:rsid w:val="00C43436"/>
    <w:rsid w:val="00C4353C"/>
    <w:rsid w:val="00C44305"/>
    <w:rsid w:val="00C44CA5"/>
    <w:rsid w:val="00C464BE"/>
    <w:rsid w:val="00C475A3"/>
    <w:rsid w:val="00C47907"/>
    <w:rsid w:val="00C506CB"/>
    <w:rsid w:val="00C50875"/>
    <w:rsid w:val="00C5135F"/>
    <w:rsid w:val="00C521AD"/>
    <w:rsid w:val="00C53818"/>
    <w:rsid w:val="00C55D03"/>
    <w:rsid w:val="00C561F9"/>
    <w:rsid w:val="00C570BD"/>
    <w:rsid w:val="00C573FF"/>
    <w:rsid w:val="00C574E3"/>
    <w:rsid w:val="00C60C85"/>
    <w:rsid w:val="00C61E7C"/>
    <w:rsid w:val="00C62B94"/>
    <w:rsid w:val="00C65A4A"/>
    <w:rsid w:val="00C65CA0"/>
    <w:rsid w:val="00C65FCB"/>
    <w:rsid w:val="00C668B7"/>
    <w:rsid w:val="00C679FE"/>
    <w:rsid w:val="00C67B8B"/>
    <w:rsid w:val="00C726F1"/>
    <w:rsid w:val="00C72B03"/>
    <w:rsid w:val="00C751B3"/>
    <w:rsid w:val="00C7584A"/>
    <w:rsid w:val="00C76A36"/>
    <w:rsid w:val="00C76A84"/>
    <w:rsid w:val="00C76CD8"/>
    <w:rsid w:val="00C7738D"/>
    <w:rsid w:val="00C81BE6"/>
    <w:rsid w:val="00C82324"/>
    <w:rsid w:val="00C832D4"/>
    <w:rsid w:val="00C83706"/>
    <w:rsid w:val="00C84062"/>
    <w:rsid w:val="00C84F6A"/>
    <w:rsid w:val="00C85241"/>
    <w:rsid w:val="00C85C05"/>
    <w:rsid w:val="00C869C0"/>
    <w:rsid w:val="00C87BE4"/>
    <w:rsid w:val="00C9065D"/>
    <w:rsid w:val="00C90EBD"/>
    <w:rsid w:val="00C910A8"/>
    <w:rsid w:val="00C95660"/>
    <w:rsid w:val="00C95773"/>
    <w:rsid w:val="00C96C03"/>
    <w:rsid w:val="00C9769A"/>
    <w:rsid w:val="00CA14E4"/>
    <w:rsid w:val="00CA321F"/>
    <w:rsid w:val="00CA3E51"/>
    <w:rsid w:val="00CA49D9"/>
    <w:rsid w:val="00CA7923"/>
    <w:rsid w:val="00CB1887"/>
    <w:rsid w:val="00CB23E1"/>
    <w:rsid w:val="00CB57F3"/>
    <w:rsid w:val="00CB650C"/>
    <w:rsid w:val="00CB6A5E"/>
    <w:rsid w:val="00CB7133"/>
    <w:rsid w:val="00CC1077"/>
    <w:rsid w:val="00CC143F"/>
    <w:rsid w:val="00CC2208"/>
    <w:rsid w:val="00CC3560"/>
    <w:rsid w:val="00CC3B60"/>
    <w:rsid w:val="00CC49EF"/>
    <w:rsid w:val="00CC5941"/>
    <w:rsid w:val="00CC6146"/>
    <w:rsid w:val="00CD0EAA"/>
    <w:rsid w:val="00CD1A6B"/>
    <w:rsid w:val="00CD2E7A"/>
    <w:rsid w:val="00CD4D10"/>
    <w:rsid w:val="00CD5943"/>
    <w:rsid w:val="00CD7982"/>
    <w:rsid w:val="00CD7AB1"/>
    <w:rsid w:val="00CE147A"/>
    <w:rsid w:val="00CE1EA6"/>
    <w:rsid w:val="00CE2BF0"/>
    <w:rsid w:val="00CE56C4"/>
    <w:rsid w:val="00CE6BD4"/>
    <w:rsid w:val="00CE6F11"/>
    <w:rsid w:val="00CE7C4D"/>
    <w:rsid w:val="00CE7D02"/>
    <w:rsid w:val="00CF00DE"/>
    <w:rsid w:val="00CF1F0F"/>
    <w:rsid w:val="00CF3628"/>
    <w:rsid w:val="00CF437E"/>
    <w:rsid w:val="00CF6FD4"/>
    <w:rsid w:val="00CF7350"/>
    <w:rsid w:val="00D019E3"/>
    <w:rsid w:val="00D024E1"/>
    <w:rsid w:val="00D04F31"/>
    <w:rsid w:val="00D05893"/>
    <w:rsid w:val="00D063D5"/>
    <w:rsid w:val="00D07DA0"/>
    <w:rsid w:val="00D1016C"/>
    <w:rsid w:val="00D114D8"/>
    <w:rsid w:val="00D139A7"/>
    <w:rsid w:val="00D14F2D"/>
    <w:rsid w:val="00D15164"/>
    <w:rsid w:val="00D16D8C"/>
    <w:rsid w:val="00D20429"/>
    <w:rsid w:val="00D20845"/>
    <w:rsid w:val="00D2218C"/>
    <w:rsid w:val="00D223BB"/>
    <w:rsid w:val="00D22F5E"/>
    <w:rsid w:val="00D2497E"/>
    <w:rsid w:val="00D25143"/>
    <w:rsid w:val="00D25A66"/>
    <w:rsid w:val="00D265FC"/>
    <w:rsid w:val="00D275D2"/>
    <w:rsid w:val="00D304E8"/>
    <w:rsid w:val="00D315C0"/>
    <w:rsid w:val="00D326FA"/>
    <w:rsid w:val="00D32B89"/>
    <w:rsid w:val="00D34048"/>
    <w:rsid w:val="00D34B8B"/>
    <w:rsid w:val="00D37F8E"/>
    <w:rsid w:val="00D406D2"/>
    <w:rsid w:val="00D40C08"/>
    <w:rsid w:val="00D443F4"/>
    <w:rsid w:val="00D467AD"/>
    <w:rsid w:val="00D500B0"/>
    <w:rsid w:val="00D51789"/>
    <w:rsid w:val="00D53CBA"/>
    <w:rsid w:val="00D54255"/>
    <w:rsid w:val="00D548D8"/>
    <w:rsid w:val="00D555F4"/>
    <w:rsid w:val="00D556FB"/>
    <w:rsid w:val="00D57126"/>
    <w:rsid w:val="00D61B8A"/>
    <w:rsid w:val="00D6458A"/>
    <w:rsid w:val="00D71000"/>
    <w:rsid w:val="00D72B78"/>
    <w:rsid w:val="00D72FF8"/>
    <w:rsid w:val="00D745EF"/>
    <w:rsid w:val="00D74EA4"/>
    <w:rsid w:val="00D75359"/>
    <w:rsid w:val="00D767C3"/>
    <w:rsid w:val="00D76DB9"/>
    <w:rsid w:val="00D77339"/>
    <w:rsid w:val="00D817DB"/>
    <w:rsid w:val="00D81CB5"/>
    <w:rsid w:val="00D81CBA"/>
    <w:rsid w:val="00D81CDD"/>
    <w:rsid w:val="00D821B4"/>
    <w:rsid w:val="00D843F6"/>
    <w:rsid w:val="00D854F2"/>
    <w:rsid w:val="00D85A49"/>
    <w:rsid w:val="00D87B25"/>
    <w:rsid w:val="00D91597"/>
    <w:rsid w:val="00D91B05"/>
    <w:rsid w:val="00D931E1"/>
    <w:rsid w:val="00D94C1D"/>
    <w:rsid w:val="00D95840"/>
    <w:rsid w:val="00D95B2D"/>
    <w:rsid w:val="00D972B8"/>
    <w:rsid w:val="00D97C70"/>
    <w:rsid w:val="00D97F5E"/>
    <w:rsid w:val="00D97FAC"/>
    <w:rsid w:val="00DA0140"/>
    <w:rsid w:val="00DA3FD4"/>
    <w:rsid w:val="00DA46AC"/>
    <w:rsid w:val="00DB0349"/>
    <w:rsid w:val="00DB0D4C"/>
    <w:rsid w:val="00DB25C4"/>
    <w:rsid w:val="00DB39BE"/>
    <w:rsid w:val="00DB606C"/>
    <w:rsid w:val="00DB760D"/>
    <w:rsid w:val="00DC023E"/>
    <w:rsid w:val="00DC29C8"/>
    <w:rsid w:val="00DC549F"/>
    <w:rsid w:val="00DC5FA4"/>
    <w:rsid w:val="00DC63EC"/>
    <w:rsid w:val="00DC699A"/>
    <w:rsid w:val="00DD0014"/>
    <w:rsid w:val="00DD0ABD"/>
    <w:rsid w:val="00DD2852"/>
    <w:rsid w:val="00DD29CB"/>
    <w:rsid w:val="00DD3CB0"/>
    <w:rsid w:val="00DD4EA8"/>
    <w:rsid w:val="00DD5053"/>
    <w:rsid w:val="00DD5271"/>
    <w:rsid w:val="00DD528A"/>
    <w:rsid w:val="00DD59B8"/>
    <w:rsid w:val="00DE0A60"/>
    <w:rsid w:val="00DE4158"/>
    <w:rsid w:val="00DE51B2"/>
    <w:rsid w:val="00DE60C3"/>
    <w:rsid w:val="00DE683E"/>
    <w:rsid w:val="00DF014D"/>
    <w:rsid w:val="00DF20A9"/>
    <w:rsid w:val="00DF211A"/>
    <w:rsid w:val="00DF35C7"/>
    <w:rsid w:val="00DF542E"/>
    <w:rsid w:val="00DF5E9E"/>
    <w:rsid w:val="00DF5EA4"/>
    <w:rsid w:val="00DF7E21"/>
    <w:rsid w:val="00E0143C"/>
    <w:rsid w:val="00E01772"/>
    <w:rsid w:val="00E01799"/>
    <w:rsid w:val="00E0334D"/>
    <w:rsid w:val="00E05149"/>
    <w:rsid w:val="00E0675A"/>
    <w:rsid w:val="00E07FA6"/>
    <w:rsid w:val="00E1056A"/>
    <w:rsid w:val="00E12595"/>
    <w:rsid w:val="00E125EF"/>
    <w:rsid w:val="00E12A5C"/>
    <w:rsid w:val="00E14532"/>
    <w:rsid w:val="00E15E4A"/>
    <w:rsid w:val="00E16922"/>
    <w:rsid w:val="00E16C3B"/>
    <w:rsid w:val="00E2164B"/>
    <w:rsid w:val="00E219FB"/>
    <w:rsid w:val="00E21B0F"/>
    <w:rsid w:val="00E225EC"/>
    <w:rsid w:val="00E249B3"/>
    <w:rsid w:val="00E249C0"/>
    <w:rsid w:val="00E24E07"/>
    <w:rsid w:val="00E250F8"/>
    <w:rsid w:val="00E2745A"/>
    <w:rsid w:val="00E27C49"/>
    <w:rsid w:val="00E30CF3"/>
    <w:rsid w:val="00E30DC0"/>
    <w:rsid w:val="00E31286"/>
    <w:rsid w:val="00E32629"/>
    <w:rsid w:val="00E334B4"/>
    <w:rsid w:val="00E336CB"/>
    <w:rsid w:val="00E349E6"/>
    <w:rsid w:val="00E34B1F"/>
    <w:rsid w:val="00E35F50"/>
    <w:rsid w:val="00E3635D"/>
    <w:rsid w:val="00E36530"/>
    <w:rsid w:val="00E429DA"/>
    <w:rsid w:val="00E431F2"/>
    <w:rsid w:val="00E4401D"/>
    <w:rsid w:val="00E454E4"/>
    <w:rsid w:val="00E47C33"/>
    <w:rsid w:val="00E524DB"/>
    <w:rsid w:val="00E52CF2"/>
    <w:rsid w:val="00E54869"/>
    <w:rsid w:val="00E54F6B"/>
    <w:rsid w:val="00E55625"/>
    <w:rsid w:val="00E556F5"/>
    <w:rsid w:val="00E609E4"/>
    <w:rsid w:val="00E6201A"/>
    <w:rsid w:val="00E6341E"/>
    <w:rsid w:val="00E63429"/>
    <w:rsid w:val="00E63746"/>
    <w:rsid w:val="00E63A11"/>
    <w:rsid w:val="00E65FBD"/>
    <w:rsid w:val="00E67266"/>
    <w:rsid w:val="00E70C6E"/>
    <w:rsid w:val="00E711A7"/>
    <w:rsid w:val="00E72DC4"/>
    <w:rsid w:val="00E74024"/>
    <w:rsid w:val="00E7403D"/>
    <w:rsid w:val="00E769D7"/>
    <w:rsid w:val="00E76A1B"/>
    <w:rsid w:val="00E85120"/>
    <w:rsid w:val="00E85AFD"/>
    <w:rsid w:val="00E861B2"/>
    <w:rsid w:val="00E901D1"/>
    <w:rsid w:val="00E9041B"/>
    <w:rsid w:val="00E907E3"/>
    <w:rsid w:val="00E91EDB"/>
    <w:rsid w:val="00E93287"/>
    <w:rsid w:val="00E941B9"/>
    <w:rsid w:val="00E9746B"/>
    <w:rsid w:val="00EA1EEB"/>
    <w:rsid w:val="00EA257D"/>
    <w:rsid w:val="00EA4AF4"/>
    <w:rsid w:val="00EA5B40"/>
    <w:rsid w:val="00EA70EE"/>
    <w:rsid w:val="00EB016F"/>
    <w:rsid w:val="00EB0406"/>
    <w:rsid w:val="00EB06CC"/>
    <w:rsid w:val="00EB06FB"/>
    <w:rsid w:val="00EB255D"/>
    <w:rsid w:val="00EB3C59"/>
    <w:rsid w:val="00EB4C5F"/>
    <w:rsid w:val="00EB5901"/>
    <w:rsid w:val="00EB70CD"/>
    <w:rsid w:val="00EC426D"/>
    <w:rsid w:val="00EC54FF"/>
    <w:rsid w:val="00EC5624"/>
    <w:rsid w:val="00EC5C2D"/>
    <w:rsid w:val="00EC5F1B"/>
    <w:rsid w:val="00EC601B"/>
    <w:rsid w:val="00EC6C87"/>
    <w:rsid w:val="00EC70F3"/>
    <w:rsid w:val="00EC7F16"/>
    <w:rsid w:val="00ED0529"/>
    <w:rsid w:val="00ED05E4"/>
    <w:rsid w:val="00ED10C8"/>
    <w:rsid w:val="00ED2948"/>
    <w:rsid w:val="00ED4676"/>
    <w:rsid w:val="00ED4BCA"/>
    <w:rsid w:val="00ED50E0"/>
    <w:rsid w:val="00ED53F0"/>
    <w:rsid w:val="00ED6D2C"/>
    <w:rsid w:val="00EE0CF7"/>
    <w:rsid w:val="00EE1C96"/>
    <w:rsid w:val="00EE570E"/>
    <w:rsid w:val="00EF1455"/>
    <w:rsid w:val="00EF5769"/>
    <w:rsid w:val="00EF61C4"/>
    <w:rsid w:val="00EF6E51"/>
    <w:rsid w:val="00EF6FC5"/>
    <w:rsid w:val="00EF7A74"/>
    <w:rsid w:val="00F0060C"/>
    <w:rsid w:val="00F05074"/>
    <w:rsid w:val="00F0556C"/>
    <w:rsid w:val="00F056DA"/>
    <w:rsid w:val="00F07158"/>
    <w:rsid w:val="00F102AD"/>
    <w:rsid w:val="00F1070A"/>
    <w:rsid w:val="00F1153A"/>
    <w:rsid w:val="00F126D5"/>
    <w:rsid w:val="00F15E51"/>
    <w:rsid w:val="00F16046"/>
    <w:rsid w:val="00F16993"/>
    <w:rsid w:val="00F176C4"/>
    <w:rsid w:val="00F20356"/>
    <w:rsid w:val="00F21065"/>
    <w:rsid w:val="00F21A6D"/>
    <w:rsid w:val="00F23DD4"/>
    <w:rsid w:val="00F24089"/>
    <w:rsid w:val="00F2551A"/>
    <w:rsid w:val="00F2758C"/>
    <w:rsid w:val="00F30EE5"/>
    <w:rsid w:val="00F31276"/>
    <w:rsid w:val="00F3272A"/>
    <w:rsid w:val="00F33025"/>
    <w:rsid w:val="00F3425C"/>
    <w:rsid w:val="00F3486B"/>
    <w:rsid w:val="00F407CF"/>
    <w:rsid w:val="00F416CE"/>
    <w:rsid w:val="00F41B98"/>
    <w:rsid w:val="00F431FE"/>
    <w:rsid w:val="00F446DB"/>
    <w:rsid w:val="00F454AF"/>
    <w:rsid w:val="00F47850"/>
    <w:rsid w:val="00F50BE5"/>
    <w:rsid w:val="00F517EF"/>
    <w:rsid w:val="00F520D2"/>
    <w:rsid w:val="00F5435D"/>
    <w:rsid w:val="00F54605"/>
    <w:rsid w:val="00F56015"/>
    <w:rsid w:val="00F56749"/>
    <w:rsid w:val="00F567F1"/>
    <w:rsid w:val="00F56F7F"/>
    <w:rsid w:val="00F61AC9"/>
    <w:rsid w:val="00F62567"/>
    <w:rsid w:val="00F642A8"/>
    <w:rsid w:val="00F655C4"/>
    <w:rsid w:val="00F65757"/>
    <w:rsid w:val="00F6645F"/>
    <w:rsid w:val="00F70976"/>
    <w:rsid w:val="00F722F4"/>
    <w:rsid w:val="00F72370"/>
    <w:rsid w:val="00F72B2A"/>
    <w:rsid w:val="00F7322F"/>
    <w:rsid w:val="00F7375D"/>
    <w:rsid w:val="00F81236"/>
    <w:rsid w:val="00F8389F"/>
    <w:rsid w:val="00F83D38"/>
    <w:rsid w:val="00F851C3"/>
    <w:rsid w:val="00F868CA"/>
    <w:rsid w:val="00F86D1A"/>
    <w:rsid w:val="00F90637"/>
    <w:rsid w:val="00F90C3F"/>
    <w:rsid w:val="00F90C94"/>
    <w:rsid w:val="00F91440"/>
    <w:rsid w:val="00F92B66"/>
    <w:rsid w:val="00F94168"/>
    <w:rsid w:val="00F96197"/>
    <w:rsid w:val="00F97082"/>
    <w:rsid w:val="00FA2990"/>
    <w:rsid w:val="00FA43E4"/>
    <w:rsid w:val="00FA4BDB"/>
    <w:rsid w:val="00FA4CA5"/>
    <w:rsid w:val="00FA4FC5"/>
    <w:rsid w:val="00FA5E39"/>
    <w:rsid w:val="00FA729F"/>
    <w:rsid w:val="00FA7AB2"/>
    <w:rsid w:val="00FB176B"/>
    <w:rsid w:val="00FB1DC2"/>
    <w:rsid w:val="00FB1F71"/>
    <w:rsid w:val="00FB2812"/>
    <w:rsid w:val="00FB4E24"/>
    <w:rsid w:val="00FB5333"/>
    <w:rsid w:val="00FB6013"/>
    <w:rsid w:val="00FB6DE1"/>
    <w:rsid w:val="00FC2B6F"/>
    <w:rsid w:val="00FC452A"/>
    <w:rsid w:val="00FC456A"/>
    <w:rsid w:val="00FC5A43"/>
    <w:rsid w:val="00FC62FA"/>
    <w:rsid w:val="00FC6774"/>
    <w:rsid w:val="00FC73FC"/>
    <w:rsid w:val="00FD1423"/>
    <w:rsid w:val="00FD1FCA"/>
    <w:rsid w:val="00FE1126"/>
    <w:rsid w:val="00FE1895"/>
    <w:rsid w:val="00FE1AD4"/>
    <w:rsid w:val="00FE30A6"/>
    <w:rsid w:val="00FE6112"/>
    <w:rsid w:val="00FF02E0"/>
    <w:rsid w:val="00FF1DE3"/>
    <w:rsid w:val="00FF390F"/>
    <w:rsid w:val="00FF3B6C"/>
    <w:rsid w:val="00FF5811"/>
    <w:rsid w:val="00FF702A"/>
    <w:rsid w:val="00FF776E"/>
    <w:rsid w:val="00FF7C6D"/>
  </w:rsids>
  <m:mathPr>
    <m:mathFont m:val="Cambria Math"/>
    <m:brkBin m:val="before"/>
    <m:brkBinSub m:val="--"/>
    <m:smallFrac/>
    <m:dispDef/>
    <m:lMargin m:val="0"/>
    <m:rMargin m:val="0"/>
    <m:defJc m:val="centerGroup"/>
    <m:wrapRight/>
    <m:intLim m:val="subSup"/>
    <m:naryLim m:val="subSup"/>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1BC642B"/>
  <w15:docId w15:val="{76FB5CEE-1A2D-4149-9048-601D2A9C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8C3"/>
    <w:pPr>
      <w:tabs>
        <w:tab w:val="left" w:pos="794"/>
        <w:tab w:val="left" w:pos="1191"/>
        <w:tab w:val="left" w:pos="1588"/>
        <w:tab w:val="left" w:pos="1985"/>
      </w:tabs>
      <w:overflowPunct w:val="0"/>
      <w:autoSpaceDE w:val="0"/>
      <w:autoSpaceDN w:val="0"/>
      <w:adjustRightInd w:val="0"/>
      <w:spacing w:before="120"/>
      <w:textAlignment w:val="baseline"/>
    </w:pPr>
    <w:rPr>
      <w:lang w:val="en-GB"/>
    </w:rPr>
  </w:style>
  <w:style w:type="paragraph" w:styleId="Heading1">
    <w:name w:val="heading 1"/>
    <w:basedOn w:val="Normal"/>
    <w:next w:val="Normal"/>
    <w:link w:val="Heading1Char"/>
    <w:qFormat/>
    <w:rsid w:val="002338C3"/>
    <w:pPr>
      <w:keepNext/>
      <w:keepLines/>
      <w:spacing w:before="360"/>
      <w:ind w:left="794" w:hanging="794"/>
      <w:outlineLvl w:val="0"/>
    </w:pPr>
    <w:rPr>
      <w:b/>
    </w:rPr>
  </w:style>
  <w:style w:type="paragraph" w:styleId="Heading2">
    <w:name w:val="heading 2"/>
    <w:basedOn w:val="Heading1"/>
    <w:next w:val="Normal"/>
    <w:link w:val="Heading2Char"/>
    <w:qFormat/>
    <w:rsid w:val="002338C3"/>
    <w:pPr>
      <w:spacing w:before="240"/>
      <w:outlineLvl w:val="1"/>
    </w:pPr>
  </w:style>
  <w:style w:type="paragraph" w:styleId="Heading3">
    <w:name w:val="heading 3"/>
    <w:basedOn w:val="Heading1"/>
    <w:next w:val="Normal"/>
    <w:link w:val="Heading3Char"/>
    <w:qFormat/>
    <w:rsid w:val="002338C3"/>
    <w:pPr>
      <w:spacing w:before="160"/>
      <w:outlineLvl w:val="2"/>
    </w:pPr>
  </w:style>
  <w:style w:type="paragraph" w:styleId="Heading4">
    <w:name w:val="heading 4"/>
    <w:basedOn w:val="Heading3"/>
    <w:next w:val="Normal"/>
    <w:qFormat/>
    <w:rsid w:val="002338C3"/>
    <w:pPr>
      <w:tabs>
        <w:tab w:val="clear" w:pos="794"/>
        <w:tab w:val="left" w:pos="1021"/>
      </w:tabs>
      <w:ind w:left="1021" w:hanging="1021"/>
      <w:outlineLvl w:val="3"/>
    </w:pPr>
  </w:style>
  <w:style w:type="paragraph" w:styleId="Heading5">
    <w:name w:val="heading 5"/>
    <w:basedOn w:val="Heading4"/>
    <w:next w:val="Normal"/>
    <w:qFormat/>
    <w:rsid w:val="002338C3"/>
    <w:pPr>
      <w:outlineLvl w:val="4"/>
    </w:pPr>
  </w:style>
  <w:style w:type="paragraph" w:styleId="Heading6">
    <w:name w:val="heading 6"/>
    <w:basedOn w:val="Heading4"/>
    <w:next w:val="Normal"/>
    <w:qFormat/>
    <w:rsid w:val="002338C3"/>
    <w:pPr>
      <w:tabs>
        <w:tab w:val="clear" w:pos="1021"/>
        <w:tab w:val="clear" w:pos="1191"/>
      </w:tabs>
      <w:ind w:left="1588" w:hanging="1588"/>
      <w:outlineLvl w:val="5"/>
    </w:pPr>
  </w:style>
  <w:style w:type="paragraph" w:styleId="Heading7">
    <w:name w:val="heading 7"/>
    <w:basedOn w:val="Heading6"/>
    <w:next w:val="Normal"/>
    <w:qFormat/>
    <w:rsid w:val="002338C3"/>
    <w:pPr>
      <w:outlineLvl w:val="6"/>
    </w:pPr>
  </w:style>
  <w:style w:type="paragraph" w:styleId="Heading8">
    <w:name w:val="heading 8"/>
    <w:basedOn w:val="Heading6"/>
    <w:next w:val="Normal"/>
    <w:qFormat/>
    <w:rsid w:val="002338C3"/>
    <w:pPr>
      <w:outlineLvl w:val="7"/>
    </w:pPr>
  </w:style>
  <w:style w:type="paragraph" w:styleId="Heading9">
    <w:name w:val="heading 9"/>
    <w:basedOn w:val="Heading6"/>
    <w:next w:val="Normal"/>
    <w:qFormat/>
    <w:rsid w:val="002338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E3CD0"/>
    <w:rPr>
      <w:b/>
      <w:sz w:val="24"/>
      <w:lang w:val="en-GB"/>
    </w:rPr>
  </w:style>
  <w:style w:type="character" w:customStyle="1" w:styleId="Heading2Char">
    <w:name w:val="Heading 2 Char"/>
    <w:basedOn w:val="DefaultParagraphFont"/>
    <w:link w:val="Heading2"/>
    <w:locked/>
    <w:rsid w:val="006E3CD0"/>
    <w:rPr>
      <w:b/>
      <w:sz w:val="24"/>
      <w:lang w:val="en-GB"/>
    </w:rPr>
  </w:style>
  <w:style w:type="character" w:customStyle="1" w:styleId="Heading3Char">
    <w:name w:val="Heading 3 Char"/>
    <w:basedOn w:val="DefaultParagraphFont"/>
    <w:link w:val="Heading3"/>
    <w:locked/>
    <w:rsid w:val="006E3CD0"/>
    <w:rPr>
      <w:b/>
      <w:sz w:val="24"/>
      <w:lang w:val="en-GB"/>
    </w:rPr>
  </w:style>
  <w:style w:type="paragraph" w:customStyle="1" w:styleId="AnnexNotitle">
    <w:name w:val="Annex_No &amp; title"/>
    <w:basedOn w:val="Normal"/>
    <w:next w:val="Normal"/>
    <w:rsid w:val="002338C3"/>
    <w:pPr>
      <w:keepNext/>
      <w:keepLines/>
      <w:spacing w:before="480"/>
      <w:jc w:val="center"/>
    </w:pPr>
    <w:rPr>
      <w:b/>
      <w:sz w:val="28"/>
    </w:rPr>
  </w:style>
  <w:style w:type="character" w:customStyle="1" w:styleId="Appdef">
    <w:name w:val="App_def"/>
    <w:basedOn w:val="DefaultParagraphFont"/>
    <w:rsid w:val="002338C3"/>
    <w:rPr>
      <w:rFonts w:ascii="Times New Roman" w:hAnsi="Times New Roman"/>
      <w:b/>
    </w:rPr>
  </w:style>
  <w:style w:type="character" w:customStyle="1" w:styleId="Appref">
    <w:name w:val="App_ref"/>
    <w:basedOn w:val="DefaultParagraphFont"/>
    <w:rsid w:val="002338C3"/>
  </w:style>
  <w:style w:type="paragraph" w:customStyle="1" w:styleId="AppendixNotitle">
    <w:name w:val="Appendix_No &amp; title"/>
    <w:basedOn w:val="AnnexNotitle"/>
    <w:next w:val="Normal"/>
    <w:rsid w:val="002338C3"/>
  </w:style>
  <w:style w:type="character" w:customStyle="1" w:styleId="Artdef">
    <w:name w:val="Art_def"/>
    <w:basedOn w:val="DefaultParagraphFont"/>
    <w:rsid w:val="002338C3"/>
    <w:rPr>
      <w:rFonts w:ascii="Times New Roman" w:hAnsi="Times New Roman"/>
      <w:b/>
    </w:rPr>
  </w:style>
  <w:style w:type="paragraph" w:customStyle="1" w:styleId="Artheading">
    <w:name w:val="Art_heading"/>
    <w:basedOn w:val="Normal"/>
    <w:next w:val="Normal"/>
    <w:rsid w:val="002338C3"/>
    <w:pPr>
      <w:spacing w:before="480"/>
      <w:jc w:val="center"/>
    </w:pPr>
    <w:rPr>
      <w:b/>
      <w:sz w:val="28"/>
    </w:rPr>
  </w:style>
  <w:style w:type="paragraph" w:customStyle="1" w:styleId="ArtNo">
    <w:name w:val="Art_No"/>
    <w:basedOn w:val="Normal"/>
    <w:next w:val="Normal"/>
    <w:rsid w:val="002338C3"/>
    <w:pPr>
      <w:keepNext/>
      <w:keepLines/>
      <w:spacing w:before="480"/>
      <w:jc w:val="center"/>
    </w:pPr>
    <w:rPr>
      <w:caps/>
      <w:sz w:val="28"/>
    </w:rPr>
  </w:style>
  <w:style w:type="character" w:customStyle="1" w:styleId="Artref">
    <w:name w:val="Art_ref"/>
    <w:basedOn w:val="DefaultParagraphFont"/>
    <w:rsid w:val="002338C3"/>
  </w:style>
  <w:style w:type="paragraph" w:customStyle="1" w:styleId="Arttitle">
    <w:name w:val="Art_title"/>
    <w:basedOn w:val="Normal"/>
    <w:next w:val="Normal"/>
    <w:rsid w:val="002338C3"/>
    <w:pPr>
      <w:keepNext/>
      <w:keepLines/>
      <w:spacing w:before="240"/>
      <w:jc w:val="center"/>
    </w:pPr>
    <w:rPr>
      <w:b/>
      <w:sz w:val="28"/>
    </w:rPr>
  </w:style>
  <w:style w:type="paragraph" w:customStyle="1" w:styleId="ASN1">
    <w:name w:val="ASN.1"/>
    <w:basedOn w:val="Normal"/>
    <w:rsid w:val="002338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2338C3"/>
    <w:pPr>
      <w:keepNext/>
      <w:keepLines/>
      <w:spacing w:before="160"/>
      <w:ind w:left="794"/>
    </w:pPr>
    <w:rPr>
      <w:i/>
    </w:rPr>
  </w:style>
  <w:style w:type="paragraph" w:customStyle="1" w:styleId="ChapNo">
    <w:name w:val="Chap_No"/>
    <w:basedOn w:val="Normal"/>
    <w:next w:val="Normal"/>
    <w:rsid w:val="002338C3"/>
    <w:pPr>
      <w:keepNext/>
      <w:keepLines/>
      <w:spacing w:before="480"/>
      <w:jc w:val="center"/>
    </w:pPr>
    <w:rPr>
      <w:b/>
      <w:caps/>
      <w:sz w:val="28"/>
    </w:rPr>
  </w:style>
  <w:style w:type="paragraph" w:customStyle="1" w:styleId="Chaptitle">
    <w:name w:val="Chap_title"/>
    <w:basedOn w:val="Normal"/>
    <w:next w:val="Normal"/>
    <w:rsid w:val="002338C3"/>
    <w:pPr>
      <w:keepNext/>
      <w:keepLines/>
      <w:spacing w:before="240"/>
      <w:jc w:val="center"/>
    </w:pPr>
    <w:rPr>
      <w:b/>
      <w:sz w:val="28"/>
    </w:rPr>
  </w:style>
  <w:style w:type="character" w:styleId="EndnoteReference">
    <w:name w:val="endnote reference"/>
    <w:basedOn w:val="DefaultParagraphFont"/>
    <w:semiHidden/>
    <w:rsid w:val="002338C3"/>
    <w:rPr>
      <w:vertAlign w:val="superscript"/>
    </w:rPr>
  </w:style>
  <w:style w:type="paragraph" w:customStyle="1" w:styleId="enumlev1">
    <w:name w:val="enumlev1"/>
    <w:basedOn w:val="Normal"/>
    <w:rsid w:val="002338C3"/>
    <w:pPr>
      <w:spacing w:before="80"/>
      <w:ind w:left="794" w:hanging="794"/>
    </w:pPr>
  </w:style>
  <w:style w:type="paragraph" w:customStyle="1" w:styleId="enumlev2">
    <w:name w:val="enumlev2"/>
    <w:basedOn w:val="enumlev1"/>
    <w:rsid w:val="002338C3"/>
    <w:pPr>
      <w:ind w:left="1191" w:hanging="397"/>
    </w:pPr>
  </w:style>
  <w:style w:type="paragraph" w:customStyle="1" w:styleId="enumlev3">
    <w:name w:val="enumlev3"/>
    <w:basedOn w:val="enumlev2"/>
    <w:rsid w:val="002338C3"/>
    <w:pPr>
      <w:ind w:left="1588"/>
    </w:pPr>
  </w:style>
  <w:style w:type="paragraph" w:customStyle="1" w:styleId="Equation">
    <w:name w:val="Equation"/>
    <w:basedOn w:val="Normal"/>
    <w:rsid w:val="002338C3"/>
    <w:pPr>
      <w:tabs>
        <w:tab w:val="clear" w:pos="1191"/>
        <w:tab w:val="clear" w:pos="1588"/>
        <w:tab w:val="clear" w:pos="1985"/>
        <w:tab w:val="center" w:pos="4820"/>
        <w:tab w:val="right" w:pos="9639"/>
      </w:tabs>
    </w:pPr>
  </w:style>
  <w:style w:type="paragraph" w:customStyle="1" w:styleId="Equationlegend">
    <w:name w:val="Equation_legend"/>
    <w:basedOn w:val="Normal"/>
    <w:rsid w:val="002338C3"/>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2338C3"/>
    <w:pPr>
      <w:keepNext/>
      <w:keepLines/>
      <w:spacing w:before="240" w:after="120"/>
      <w:jc w:val="center"/>
    </w:pPr>
  </w:style>
  <w:style w:type="paragraph" w:customStyle="1" w:styleId="Figurelegend">
    <w:name w:val="Figure_legend"/>
    <w:basedOn w:val="Normal"/>
    <w:rsid w:val="002338C3"/>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qFormat/>
    <w:rsid w:val="002338C3"/>
    <w:pPr>
      <w:keepLines/>
      <w:spacing w:before="240" w:after="120"/>
      <w:jc w:val="center"/>
    </w:pPr>
    <w:rPr>
      <w:b/>
    </w:rPr>
  </w:style>
  <w:style w:type="paragraph" w:customStyle="1" w:styleId="FigureNoBR">
    <w:name w:val="Figure_No_BR"/>
    <w:basedOn w:val="Normal"/>
    <w:next w:val="Normal"/>
    <w:rsid w:val="002338C3"/>
    <w:pPr>
      <w:keepNext/>
      <w:keepLines/>
      <w:spacing w:before="480" w:after="120"/>
      <w:jc w:val="center"/>
    </w:pPr>
    <w:rPr>
      <w:caps/>
    </w:rPr>
  </w:style>
  <w:style w:type="paragraph" w:customStyle="1" w:styleId="TabletitleBR">
    <w:name w:val="Table_title_BR"/>
    <w:basedOn w:val="Normal"/>
    <w:next w:val="Normal"/>
    <w:rsid w:val="002338C3"/>
    <w:pPr>
      <w:keepNext/>
      <w:keepLines/>
      <w:spacing w:before="0" w:after="120"/>
      <w:jc w:val="center"/>
    </w:pPr>
    <w:rPr>
      <w:b/>
    </w:rPr>
  </w:style>
  <w:style w:type="paragraph" w:customStyle="1" w:styleId="FiguretitleBR">
    <w:name w:val="Figure_title_BR"/>
    <w:basedOn w:val="TabletitleBR"/>
    <w:next w:val="Normal"/>
    <w:rsid w:val="002338C3"/>
    <w:pPr>
      <w:keepNext w:val="0"/>
      <w:spacing w:after="480"/>
    </w:pPr>
  </w:style>
  <w:style w:type="paragraph" w:customStyle="1" w:styleId="Figurewithouttitle">
    <w:name w:val="Figure_without_title"/>
    <w:basedOn w:val="Normal"/>
    <w:next w:val="Normal"/>
    <w:rsid w:val="002338C3"/>
    <w:pPr>
      <w:keepLines/>
      <w:spacing w:before="240" w:after="120"/>
      <w:jc w:val="center"/>
    </w:pPr>
  </w:style>
  <w:style w:type="paragraph" w:styleId="Footer">
    <w:name w:val="footer"/>
    <w:basedOn w:val="Normal"/>
    <w:link w:val="FooterChar"/>
    <w:rsid w:val="002338C3"/>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locked/>
    <w:rsid w:val="006E3CD0"/>
    <w:rPr>
      <w:caps/>
      <w:noProof/>
      <w:sz w:val="16"/>
      <w:lang w:val="en-GB"/>
    </w:rPr>
  </w:style>
  <w:style w:type="paragraph" w:customStyle="1" w:styleId="FirstFooter">
    <w:name w:val="FirstFooter"/>
    <w:basedOn w:val="Footer"/>
    <w:rsid w:val="002338C3"/>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2338C3"/>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basedOn w:val="DefaultParagraphFont"/>
    <w:rsid w:val="002338C3"/>
    <w:rPr>
      <w:position w:val="6"/>
      <w:sz w:val="18"/>
    </w:rPr>
  </w:style>
  <w:style w:type="paragraph" w:customStyle="1" w:styleId="Note">
    <w:name w:val="Note"/>
    <w:basedOn w:val="Normal"/>
    <w:rsid w:val="002338C3"/>
    <w:pPr>
      <w:spacing w:before="80"/>
    </w:pPr>
  </w:style>
  <w:style w:type="paragraph" w:styleId="FootnoteText">
    <w:name w:val="footnote text"/>
    <w:basedOn w:val="Note"/>
    <w:link w:val="FootnoteTextChar"/>
    <w:rsid w:val="002338C3"/>
    <w:pPr>
      <w:keepLines/>
      <w:tabs>
        <w:tab w:val="left" w:pos="255"/>
      </w:tabs>
      <w:ind w:left="255" w:hanging="255"/>
    </w:pPr>
  </w:style>
  <w:style w:type="character" w:customStyle="1" w:styleId="FootnoteTextChar">
    <w:name w:val="Footnote Text Char"/>
    <w:basedOn w:val="DefaultParagraphFont"/>
    <w:link w:val="FootnoteText"/>
    <w:locked/>
    <w:rsid w:val="006E3CD0"/>
    <w:rPr>
      <w:sz w:val="24"/>
      <w:lang w:val="en-GB"/>
    </w:rPr>
  </w:style>
  <w:style w:type="paragraph" w:customStyle="1" w:styleId="Formal">
    <w:name w:val="Formal"/>
    <w:basedOn w:val="ASN1"/>
    <w:rsid w:val="002338C3"/>
    <w:rPr>
      <w:b w:val="0"/>
    </w:rPr>
  </w:style>
  <w:style w:type="paragraph" w:styleId="Header">
    <w:name w:val="header"/>
    <w:basedOn w:val="Normal"/>
    <w:link w:val="HeaderChar"/>
    <w:uiPriority w:val="99"/>
    <w:rsid w:val="002338C3"/>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uiPriority w:val="99"/>
    <w:locked/>
    <w:rsid w:val="006E3CD0"/>
    <w:rPr>
      <w:sz w:val="18"/>
      <w:lang w:val="en-GB"/>
    </w:rPr>
  </w:style>
  <w:style w:type="paragraph" w:customStyle="1" w:styleId="Headingb">
    <w:name w:val="Heading_b"/>
    <w:basedOn w:val="Normal"/>
    <w:next w:val="Normal"/>
    <w:qFormat/>
    <w:rsid w:val="002338C3"/>
    <w:pPr>
      <w:keepNext/>
      <w:spacing w:before="160"/>
    </w:pPr>
    <w:rPr>
      <w:b/>
    </w:rPr>
  </w:style>
  <w:style w:type="paragraph" w:customStyle="1" w:styleId="Headingi">
    <w:name w:val="Heading_i"/>
    <w:basedOn w:val="Normal"/>
    <w:next w:val="Normal"/>
    <w:rsid w:val="002338C3"/>
    <w:pPr>
      <w:keepNext/>
      <w:spacing w:before="160"/>
    </w:pPr>
    <w:rPr>
      <w:i/>
    </w:rPr>
  </w:style>
  <w:style w:type="paragraph" w:styleId="Index1">
    <w:name w:val="index 1"/>
    <w:basedOn w:val="Normal"/>
    <w:next w:val="Normal"/>
    <w:semiHidden/>
    <w:rsid w:val="002338C3"/>
  </w:style>
  <w:style w:type="paragraph" w:styleId="Index2">
    <w:name w:val="index 2"/>
    <w:basedOn w:val="Normal"/>
    <w:next w:val="Normal"/>
    <w:semiHidden/>
    <w:rsid w:val="002338C3"/>
    <w:pPr>
      <w:ind w:left="283"/>
    </w:pPr>
  </w:style>
  <w:style w:type="paragraph" w:styleId="Index3">
    <w:name w:val="index 3"/>
    <w:basedOn w:val="Normal"/>
    <w:next w:val="Normal"/>
    <w:semiHidden/>
    <w:rsid w:val="002338C3"/>
    <w:pPr>
      <w:ind w:left="566"/>
    </w:pPr>
  </w:style>
  <w:style w:type="paragraph" w:customStyle="1" w:styleId="Normalaftertitle">
    <w:name w:val="Normal_after_title"/>
    <w:basedOn w:val="Normal"/>
    <w:next w:val="Normal"/>
    <w:rsid w:val="002338C3"/>
    <w:pPr>
      <w:spacing w:before="360"/>
    </w:pPr>
  </w:style>
  <w:style w:type="character" w:styleId="PageNumber">
    <w:name w:val="page number"/>
    <w:basedOn w:val="DefaultParagraphFont"/>
    <w:rsid w:val="002338C3"/>
  </w:style>
  <w:style w:type="paragraph" w:customStyle="1" w:styleId="PartNo">
    <w:name w:val="Part_No"/>
    <w:basedOn w:val="Normal"/>
    <w:next w:val="Normal"/>
    <w:rsid w:val="002338C3"/>
    <w:pPr>
      <w:keepNext/>
      <w:keepLines/>
      <w:spacing w:before="480" w:after="80"/>
      <w:jc w:val="center"/>
    </w:pPr>
    <w:rPr>
      <w:caps/>
      <w:sz w:val="28"/>
    </w:rPr>
  </w:style>
  <w:style w:type="paragraph" w:customStyle="1" w:styleId="Partref">
    <w:name w:val="Part_ref"/>
    <w:basedOn w:val="Normal"/>
    <w:next w:val="Normal"/>
    <w:rsid w:val="002338C3"/>
    <w:pPr>
      <w:keepNext/>
      <w:keepLines/>
      <w:spacing w:before="280"/>
      <w:jc w:val="center"/>
    </w:pPr>
  </w:style>
  <w:style w:type="paragraph" w:customStyle="1" w:styleId="Parttitle">
    <w:name w:val="Part_title"/>
    <w:basedOn w:val="Normal"/>
    <w:next w:val="Normalaftertitle"/>
    <w:rsid w:val="002338C3"/>
    <w:pPr>
      <w:keepNext/>
      <w:keepLines/>
      <w:spacing w:before="240" w:after="280"/>
      <w:jc w:val="center"/>
    </w:pPr>
    <w:rPr>
      <w:b/>
      <w:sz w:val="28"/>
    </w:rPr>
  </w:style>
  <w:style w:type="paragraph" w:customStyle="1" w:styleId="Recdate">
    <w:name w:val="Rec_date"/>
    <w:basedOn w:val="Normal"/>
    <w:next w:val="Normalaftertitle"/>
    <w:rsid w:val="002338C3"/>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2338C3"/>
  </w:style>
  <w:style w:type="paragraph" w:customStyle="1" w:styleId="RecNo">
    <w:name w:val="Rec_No"/>
    <w:basedOn w:val="Normal"/>
    <w:next w:val="Normal"/>
    <w:rsid w:val="002338C3"/>
    <w:pPr>
      <w:keepNext/>
      <w:keepLines/>
      <w:spacing w:before="0"/>
    </w:pPr>
    <w:rPr>
      <w:b/>
      <w:sz w:val="28"/>
    </w:rPr>
  </w:style>
  <w:style w:type="paragraph" w:customStyle="1" w:styleId="QuestionNo">
    <w:name w:val="Question_No"/>
    <w:basedOn w:val="RecNo"/>
    <w:next w:val="Normal"/>
    <w:rsid w:val="002338C3"/>
  </w:style>
  <w:style w:type="paragraph" w:customStyle="1" w:styleId="RecNoBR">
    <w:name w:val="Rec_No_BR"/>
    <w:basedOn w:val="Normal"/>
    <w:next w:val="Normal"/>
    <w:rsid w:val="002338C3"/>
    <w:pPr>
      <w:keepNext/>
      <w:keepLines/>
      <w:spacing w:before="480"/>
      <w:jc w:val="center"/>
    </w:pPr>
    <w:rPr>
      <w:caps/>
      <w:sz w:val="28"/>
    </w:rPr>
  </w:style>
  <w:style w:type="paragraph" w:customStyle="1" w:styleId="QuestionNoBR">
    <w:name w:val="Question_No_BR"/>
    <w:basedOn w:val="RecNoBR"/>
    <w:next w:val="Normal"/>
    <w:rsid w:val="002338C3"/>
  </w:style>
  <w:style w:type="paragraph" w:customStyle="1" w:styleId="Recref">
    <w:name w:val="Rec_ref"/>
    <w:basedOn w:val="Normal"/>
    <w:next w:val="Recdate"/>
    <w:rsid w:val="002338C3"/>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2338C3"/>
  </w:style>
  <w:style w:type="paragraph" w:customStyle="1" w:styleId="Rectitle">
    <w:name w:val="Rec_title"/>
    <w:basedOn w:val="Normal"/>
    <w:next w:val="Normalaftertitle"/>
    <w:rsid w:val="002338C3"/>
    <w:pPr>
      <w:keepNext/>
      <w:keepLines/>
      <w:spacing w:before="360"/>
      <w:jc w:val="center"/>
    </w:pPr>
    <w:rPr>
      <w:b/>
      <w:sz w:val="28"/>
    </w:rPr>
  </w:style>
  <w:style w:type="paragraph" w:customStyle="1" w:styleId="Questiontitle">
    <w:name w:val="Question_title"/>
    <w:basedOn w:val="Rectitle"/>
    <w:next w:val="Questionref"/>
    <w:rsid w:val="002338C3"/>
  </w:style>
  <w:style w:type="character" w:customStyle="1" w:styleId="Recdef">
    <w:name w:val="Rec_def"/>
    <w:basedOn w:val="DefaultParagraphFont"/>
    <w:rsid w:val="002338C3"/>
    <w:rPr>
      <w:b/>
    </w:rPr>
  </w:style>
  <w:style w:type="paragraph" w:customStyle="1" w:styleId="Reftext">
    <w:name w:val="Ref_text"/>
    <w:basedOn w:val="Normal"/>
    <w:rsid w:val="002338C3"/>
    <w:pPr>
      <w:ind w:left="794" w:hanging="794"/>
    </w:pPr>
  </w:style>
  <w:style w:type="paragraph" w:customStyle="1" w:styleId="Reftitle">
    <w:name w:val="Ref_title"/>
    <w:basedOn w:val="Normal"/>
    <w:next w:val="Reftext"/>
    <w:rsid w:val="002338C3"/>
    <w:pPr>
      <w:spacing w:before="480"/>
      <w:jc w:val="center"/>
    </w:pPr>
    <w:rPr>
      <w:b/>
    </w:rPr>
  </w:style>
  <w:style w:type="paragraph" w:customStyle="1" w:styleId="Repdate">
    <w:name w:val="Rep_date"/>
    <w:basedOn w:val="Recdate"/>
    <w:next w:val="Normalaftertitle"/>
    <w:rsid w:val="002338C3"/>
  </w:style>
  <w:style w:type="paragraph" w:customStyle="1" w:styleId="RepNo">
    <w:name w:val="Rep_No"/>
    <w:basedOn w:val="RecNo"/>
    <w:next w:val="Normal"/>
    <w:rsid w:val="002338C3"/>
  </w:style>
  <w:style w:type="paragraph" w:customStyle="1" w:styleId="RepNoBR">
    <w:name w:val="Rep_No_BR"/>
    <w:basedOn w:val="RecNoBR"/>
    <w:next w:val="Normal"/>
    <w:rsid w:val="002338C3"/>
  </w:style>
  <w:style w:type="paragraph" w:customStyle="1" w:styleId="Repref">
    <w:name w:val="Rep_ref"/>
    <w:basedOn w:val="Recref"/>
    <w:next w:val="Repdate"/>
    <w:rsid w:val="002338C3"/>
  </w:style>
  <w:style w:type="paragraph" w:customStyle="1" w:styleId="Reptitle">
    <w:name w:val="Rep_title"/>
    <w:basedOn w:val="Rectitle"/>
    <w:next w:val="Repref"/>
    <w:rsid w:val="002338C3"/>
  </w:style>
  <w:style w:type="paragraph" w:customStyle="1" w:styleId="Resdate">
    <w:name w:val="Res_date"/>
    <w:basedOn w:val="Recdate"/>
    <w:next w:val="Normalaftertitle"/>
    <w:rsid w:val="002338C3"/>
  </w:style>
  <w:style w:type="character" w:customStyle="1" w:styleId="Resdef">
    <w:name w:val="Res_def"/>
    <w:basedOn w:val="DefaultParagraphFont"/>
    <w:rsid w:val="002338C3"/>
    <w:rPr>
      <w:rFonts w:ascii="Times New Roman" w:hAnsi="Times New Roman"/>
      <w:b/>
    </w:rPr>
  </w:style>
  <w:style w:type="paragraph" w:customStyle="1" w:styleId="ResNo">
    <w:name w:val="Res_No"/>
    <w:basedOn w:val="RecNo"/>
    <w:next w:val="Normal"/>
    <w:rsid w:val="002338C3"/>
  </w:style>
  <w:style w:type="paragraph" w:customStyle="1" w:styleId="ResNoBR">
    <w:name w:val="Res_No_BR"/>
    <w:basedOn w:val="RecNoBR"/>
    <w:next w:val="Normal"/>
    <w:rsid w:val="002338C3"/>
  </w:style>
  <w:style w:type="paragraph" w:customStyle="1" w:styleId="Resref">
    <w:name w:val="Res_ref"/>
    <w:basedOn w:val="Recref"/>
    <w:next w:val="Resdate"/>
    <w:rsid w:val="002338C3"/>
  </w:style>
  <w:style w:type="paragraph" w:customStyle="1" w:styleId="Restitle">
    <w:name w:val="Res_title"/>
    <w:basedOn w:val="Rectitle"/>
    <w:next w:val="Resref"/>
    <w:link w:val="RestitleChar"/>
    <w:rsid w:val="002338C3"/>
  </w:style>
  <w:style w:type="paragraph" w:customStyle="1" w:styleId="Section1">
    <w:name w:val="Section_1"/>
    <w:basedOn w:val="Normal"/>
    <w:next w:val="Normal"/>
    <w:rsid w:val="002338C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338C3"/>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2338C3"/>
    <w:pPr>
      <w:keepNext/>
      <w:keepLines/>
      <w:spacing w:before="480" w:after="80"/>
      <w:jc w:val="center"/>
    </w:pPr>
    <w:rPr>
      <w:caps/>
      <w:sz w:val="28"/>
    </w:rPr>
  </w:style>
  <w:style w:type="paragraph" w:customStyle="1" w:styleId="Sectiontitle">
    <w:name w:val="Section_title"/>
    <w:basedOn w:val="Normal"/>
    <w:next w:val="Normalaftertitle"/>
    <w:rsid w:val="002338C3"/>
    <w:pPr>
      <w:keepNext/>
      <w:keepLines/>
      <w:spacing w:before="480" w:after="280"/>
      <w:jc w:val="center"/>
    </w:pPr>
    <w:rPr>
      <w:b/>
      <w:sz w:val="28"/>
    </w:rPr>
  </w:style>
  <w:style w:type="paragraph" w:customStyle="1" w:styleId="Source">
    <w:name w:val="Source"/>
    <w:basedOn w:val="Normal"/>
    <w:next w:val="Normalaftertitle"/>
    <w:rsid w:val="002338C3"/>
    <w:pPr>
      <w:spacing w:before="840" w:after="200"/>
      <w:jc w:val="center"/>
    </w:pPr>
    <w:rPr>
      <w:b/>
      <w:sz w:val="28"/>
    </w:rPr>
  </w:style>
  <w:style w:type="paragraph" w:customStyle="1" w:styleId="SpecialFooter">
    <w:name w:val="Special Footer"/>
    <w:basedOn w:val="Footer"/>
    <w:rsid w:val="002338C3"/>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2338C3"/>
    <w:rPr>
      <w:b/>
      <w:color w:val="auto"/>
    </w:rPr>
  </w:style>
  <w:style w:type="paragraph" w:customStyle="1" w:styleId="Tablehead">
    <w:name w:val="Table_head"/>
    <w:basedOn w:val="Normal"/>
    <w:next w:val="Normal"/>
    <w:rsid w:val="002338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338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qFormat/>
    <w:rsid w:val="002338C3"/>
    <w:pPr>
      <w:keepNext/>
      <w:keepLines/>
      <w:spacing w:before="360" w:after="120"/>
      <w:jc w:val="center"/>
    </w:pPr>
    <w:rPr>
      <w:b/>
    </w:rPr>
  </w:style>
  <w:style w:type="paragraph" w:customStyle="1" w:styleId="TableNoBR">
    <w:name w:val="Table_No_BR"/>
    <w:basedOn w:val="Normal"/>
    <w:next w:val="TabletitleBR"/>
    <w:rsid w:val="002338C3"/>
    <w:pPr>
      <w:keepNext/>
      <w:spacing w:before="560" w:after="120"/>
      <w:jc w:val="center"/>
    </w:pPr>
    <w:rPr>
      <w:caps/>
    </w:rPr>
  </w:style>
  <w:style w:type="paragraph" w:customStyle="1" w:styleId="Tableref">
    <w:name w:val="Table_ref"/>
    <w:basedOn w:val="Normal"/>
    <w:next w:val="TabletitleBR"/>
    <w:rsid w:val="002338C3"/>
    <w:pPr>
      <w:keepNext/>
      <w:spacing w:before="0" w:after="120"/>
      <w:jc w:val="center"/>
    </w:pPr>
  </w:style>
  <w:style w:type="paragraph" w:customStyle="1" w:styleId="Tabletext">
    <w:name w:val="Table_text"/>
    <w:basedOn w:val="Normal"/>
    <w:rsid w:val="002338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2338C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2338C3"/>
  </w:style>
  <w:style w:type="paragraph" w:customStyle="1" w:styleId="Title3">
    <w:name w:val="Title 3"/>
    <w:basedOn w:val="Title2"/>
    <w:next w:val="Normal"/>
    <w:rsid w:val="002338C3"/>
    <w:rPr>
      <w:caps w:val="0"/>
    </w:rPr>
  </w:style>
  <w:style w:type="paragraph" w:customStyle="1" w:styleId="Title4">
    <w:name w:val="Title 4"/>
    <w:basedOn w:val="Title3"/>
    <w:next w:val="Heading1"/>
    <w:rsid w:val="002338C3"/>
    <w:rPr>
      <w:b/>
    </w:rPr>
  </w:style>
  <w:style w:type="paragraph" w:customStyle="1" w:styleId="toc0">
    <w:name w:val="toc 0"/>
    <w:basedOn w:val="Normal"/>
    <w:next w:val="TOC1"/>
    <w:rsid w:val="002338C3"/>
    <w:pPr>
      <w:tabs>
        <w:tab w:val="clear" w:pos="794"/>
        <w:tab w:val="clear" w:pos="1191"/>
        <w:tab w:val="clear" w:pos="1588"/>
        <w:tab w:val="clear" w:pos="1985"/>
        <w:tab w:val="right" w:pos="9639"/>
      </w:tabs>
    </w:pPr>
    <w:rPr>
      <w:b/>
    </w:rPr>
  </w:style>
  <w:style w:type="paragraph" w:styleId="TOC1">
    <w:name w:val="toc 1"/>
    <w:basedOn w:val="Normal"/>
    <w:uiPriority w:val="39"/>
    <w:rsid w:val="002338C3"/>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rsid w:val="002338C3"/>
    <w:pPr>
      <w:spacing w:before="80"/>
      <w:ind w:left="1531" w:hanging="851"/>
    </w:pPr>
  </w:style>
  <w:style w:type="paragraph" w:styleId="TOC3">
    <w:name w:val="toc 3"/>
    <w:basedOn w:val="TOC2"/>
    <w:uiPriority w:val="39"/>
    <w:rsid w:val="002338C3"/>
  </w:style>
  <w:style w:type="paragraph" w:styleId="TOC4">
    <w:name w:val="toc 4"/>
    <w:basedOn w:val="TOC3"/>
    <w:uiPriority w:val="39"/>
    <w:rsid w:val="002338C3"/>
  </w:style>
  <w:style w:type="paragraph" w:styleId="TOC5">
    <w:name w:val="toc 5"/>
    <w:basedOn w:val="TOC4"/>
    <w:uiPriority w:val="39"/>
    <w:rsid w:val="002338C3"/>
  </w:style>
  <w:style w:type="paragraph" w:styleId="TOC6">
    <w:name w:val="toc 6"/>
    <w:basedOn w:val="TOC4"/>
    <w:uiPriority w:val="39"/>
    <w:rsid w:val="002338C3"/>
  </w:style>
  <w:style w:type="paragraph" w:styleId="TOC7">
    <w:name w:val="toc 7"/>
    <w:basedOn w:val="TOC4"/>
    <w:uiPriority w:val="39"/>
    <w:rsid w:val="002338C3"/>
  </w:style>
  <w:style w:type="paragraph" w:styleId="TOC8">
    <w:name w:val="toc 8"/>
    <w:basedOn w:val="TOC4"/>
    <w:uiPriority w:val="39"/>
    <w:rsid w:val="002338C3"/>
  </w:style>
  <w:style w:type="paragraph" w:styleId="EndnoteText">
    <w:name w:val="endnote text"/>
    <w:basedOn w:val="Normal"/>
    <w:link w:val="EndnoteTextChar"/>
    <w:rsid w:val="006E3CD0"/>
    <w:pPr>
      <w:spacing w:before="0"/>
    </w:pPr>
    <w:rPr>
      <w:sz w:val="20"/>
    </w:rPr>
  </w:style>
  <w:style w:type="character" w:customStyle="1" w:styleId="EndnoteTextChar">
    <w:name w:val="Endnote Text Char"/>
    <w:basedOn w:val="DefaultParagraphFont"/>
    <w:link w:val="EndnoteText"/>
    <w:rsid w:val="006E3CD0"/>
    <w:rPr>
      <w:lang w:val="en-GB"/>
    </w:rPr>
  </w:style>
  <w:style w:type="paragraph" w:customStyle="1" w:styleId="Docnumber">
    <w:name w:val="Docnumber"/>
    <w:basedOn w:val="Normal"/>
    <w:link w:val="DocnumberChar"/>
    <w:rsid w:val="006E3CD0"/>
    <w:pPr>
      <w:jc w:val="right"/>
    </w:pPr>
    <w:rPr>
      <w:b/>
      <w:sz w:val="28"/>
    </w:rPr>
  </w:style>
  <w:style w:type="character" w:customStyle="1" w:styleId="DocnumberChar">
    <w:name w:val="Docnumber Char"/>
    <w:basedOn w:val="DefaultParagraphFont"/>
    <w:link w:val="Docnumber"/>
    <w:locked/>
    <w:rsid w:val="006E3CD0"/>
    <w:rPr>
      <w:b/>
      <w:sz w:val="28"/>
      <w:lang w:val="en-GB"/>
    </w:rPr>
  </w:style>
  <w:style w:type="paragraph" w:styleId="BalloonText">
    <w:name w:val="Balloon Text"/>
    <w:basedOn w:val="Normal"/>
    <w:link w:val="BalloonTextChar"/>
    <w:uiPriority w:val="99"/>
    <w:rsid w:val="006E3CD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6E3CD0"/>
    <w:rPr>
      <w:rFonts w:ascii="Tahoma" w:hAnsi="Tahoma" w:cs="Tahoma"/>
      <w:sz w:val="16"/>
      <w:szCs w:val="16"/>
      <w:lang w:val="en-GB"/>
    </w:rPr>
  </w:style>
  <w:style w:type="character" w:styleId="Hyperlink">
    <w:name w:val="Hyperlink"/>
    <w:basedOn w:val="DefaultParagraphFont"/>
    <w:uiPriority w:val="99"/>
    <w:rsid w:val="006E3CD0"/>
    <w:rPr>
      <w:rFonts w:cs="Times New Roman"/>
      <w:color w:val="0000FF"/>
      <w:u w:val="single"/>
    </w:rPr>
  </w:style>
  <w:style w:type="paragraph" w:styleId="ListParagraph">
    <w:name w:val="List Paragraph"/>
    <w:basedOn w:val="Normal"/>
    <w:uiPriority w:val="34"/>
    <w:qFormat/>
    <w:rsid w:val="006E3CD0"/>
    <w:pPr>
      <w:tabs>
        <w:tab w:val="clear" w:pos="794"/>
        <w:tab w:val="clear" w:pos="1191"/>
        <w:tab w:val="clear" w:pos="1588"/>
        <w:tab w:val="clear" w:pos="1985"/>
      </w:tabs>
      <w:overflowPunct/>
      <w:autoSpaceDE/>
      <w:autoSpaceDN/>
      <w:adjustRightInd/>
      <w:spacing w:before="0"/>
      <w:ind w:left="720"/>
      <w:textAlignment w:val="auto"/>
    </w:pPr>
    <w:rPr>
      <w:rFonts w:ascii="Cambria" w:eastAsia="SimSun" w:hAnsi="Cambria"/>
      <w:lang w:val="en-US"/>
    </w:rPr>
  </w:style>
  <w:style w:type="paragraph" w:styleId="TOC9">
    <w:name w:val="toc 9"/>
    <w:basedOn w:val="Normal"/>
    <w:next w:val="Normal"/>
    <w:autoRedefine/>
    <w:uiPriority w:val="39"/>
    <w:rsid w:val="006E3CD0"/>
    <w:pPr>
      <w:tabs>
        <w:tab w:val="clear" w:pos="794"/>
        <w:tab w:val="clear" w:pos="1191"/>
        <w:tab w:val="clear" w:pos="1588"/>
        <w:tab w:val="clear" w:pos="1985"/>
      </w:tabs>
      <w:overflowPunct/>
      <w:autoSpaceDE/>
      <w:autoSpaceDN/>
      <w:adjustRightInd/>
      <w:spacing w:before="0"/>
      <w:ind w:left="1920"/>
      <w:textAlignment w:val="auto"/>
    </w:pPr>
    <w:rPr>
      <w:rFonts w:ascii="Cambria" w:eastAsia="SimSun" w:hAnsi="Cambria"/>
      <w:lang w:val="en-US"/>
    </w:rPr>
  </w:style>
  <w:style w:type="character" w:styleId="FollowedHyperlink">
    <w:name w:val="FollowedHyperlink"/>
    <w:basedOn w:val="DefaultParagraphFont"/>
    <w:rsid w:val="006E3CD0"/>
    <w:rPr>
      <w:rFonts w:cs="Times New Roman"/>
      <w:color w:val="800080"/>
      <w:u w:val="single"/>
    </w:rPr>
  </w:style>
  <w:style w:type="paragraph" w:styleId="CommentText">
    <w:name w:val="annotation text"/>
    <w:basedOn w:val="Normal"/>
    <w:link w:val="CommentTextChar"/>
    <w:rsid w:val="006E3CD0"/>
    <w:pPr>
      <w:tabs>
        <w:tab w:val="clear" w:pos="794"/>
        <w:tab w:val="clear" w:pos="1191"/>
        <w:tab w:val="clear" w:pos="1588"/>
        <w:tab w:val="clear" w:pos="1985"/>
      </w:tabs>
      <w:overflowPunct/>
      <w:autoSpaceDE/>
      <w:autoSpaceDN/>
      <w:adjustRightInd/>
      <w:spacing w:before="0"/>
      <w:textAlignment w:val="auto"/>
    </w:pPr>
    <w:rPr>
      <w:rFonts w:ascii="Cambria" w:eastAsia="SimSun" w:hAnsi="Cambria"/>
      <w:lang w:val="en-US"/>
    </w:rPr>
  </w:style>
  <w:style w:type="character" w:customStyle="1" w:styleId="CommentTextChar">
    <w:name w:val="Comment Text Char"/>
    <w:basedOn w:val="DefaultParagraphFont"/>
    <w:link w:val="CommentText"/>
    <w:rsid w:val="006E3CD0"/>
    <w:rPr>
      <w:rFonts w:ascii="Cambria" w:eastAsia="SimSun" w:hAnsi="Cambria"/>
      <w:sz w:val="24"/>
      <w:szCs w:val="24"/>
    </w:rPr>
  </w:style>
  <w:style w:type="character" w:styleId="CommentReference">
    <w:name w:val="annotation reference"/>
    <w:basedOn w:val="DefaultParagraphFont"/>
    <w:rsid w:val="006E3CD0"/>
    <w:rPr>
      <w:rFonts w:cs="Times New Roman"/>
      <w:sz w:val="16"/>
      <w:szCs w:val="16"/>
    </w:rPr>
  </w:style>
  <w:style w:type="paragraph" w:styleId="NormalWeb">
    <w:name w:val="Normal (Web)"/>
    <w:basedOn w:val="Normal"/>
    <w:uiPriority w:val="99"/>
    <w:rsid w:val="006E3CD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lang w:val="en-US" w:eastAsia="zh-CN"/>
    </w:rPr>
  </w:style>
  <w:style w:type="paragraph" w:styleId="DocumentMap">
    <w:name w:val="Document Map"/>
    <w:basedOn w:val="Normal"/>
    <w:link w:val="DocumentMapChar"/>
    <w:rsid w:val="006E3CD0"/>
    <w:pPr>
      <w:tabs>
        <w:tab w:val="clear" w:pos="794"/>
        <w:tab w:val="clear" w:pos="1191"/>
        <w:tab w:val="clear" w:pos="1588"/>
        <w:tab w:val="clear" w:pos="1985"/>
      </w:tabs>
      <w:overflowPunct/>
      <w:autoSpaceDE/>
      <w:autoSpaceDN/>
      <w:adjustRightInd/>
      <w:spacing w:before="0"/>
      <w:textAlignment w:val="auto"/>
    </w:pPr>
    <w:rPr>
      <w:rFonts w:ascii="SimSun" w:eastAsia="SimSun" w:hAnsi="Cambria"/>
      <w:sz w:val="18"/>
      <w:szCs w:val="18"/>
      <w:lang w:val="en-US"/>
    </w:rPr>
  </w:style>
  <w:style w:type="character" w:customStyle="1" w:styleId="DocumentMapChar">
    <w:name w:val="Document Map Char"/>
    <w:basedOn w:val="DefaultParagraphFont"/>
    <w:link w:val="DocumentMap"/>
    <w:rsid w:val="006E3CD0"/>
    <w:rPr>
      <w:rFonts w:ascii="SimSun" w:eastAsia="SimSun" w:hAnsi="Cambria"/>
      <w:sz w:val="18"/>
      <w:szCs w:val="18"/>
    </w:rPr>
  </w:style>
  <w:style w:type="paragraph" w:customStyle="1" w:styleId="ListParagraph1">
    <w:name w:val="List Paragraph1"/>
    <w:basedOn w:val="Normal"/>
    <w:qFormat/>
    <w:rsid w:val="005960A7"/>
    <w:pPr>
      <w:tabs>
        <w:tab w:val="clear" w:pos="794"/>
        <w:tab w:val="clear" w:pos="1191"/>
        <w:tab w:val="clear" w:pos="1588"/>
        <w:tab w:val="clear" w:pos="1985"/>
      </w:tabs>
      <w:overflowPunct/>
      <w:autoSpaceDE/>
      <w:autoSpaceDN/>
      <w:adjustRightInd/>
      <w:spacing w:before="0"/>
      <w:ind w:left="720"/>
      <w:textAlignment w:val="auto"/>
    </w:pPr>
    <w:rPr>
      <w:rFonts w:ascii="Cambria" w:hAnsi="Cambria" w:cs="Arial"/>
      <w:lang w:val="en-US"/>
    </w:rPr>
  </w:style>
  <w:style w:type="character" w:customStyle="1" w:styleId="apple-converted-space">
    <w:name w:val="apple-converted-space"/>
    <w:basedOn w:val="DefaultParagraphFont"/>
    <w:rsid w:val="005960A7"/>
  </w:style>
  <w:style w:type="paragraph" w:customStyle="1" w:styleId="bodytext">
    <w:name w:val="body_text"/>
    <w:basedOn w:val="Normal"/>
    <w:rsid w:val="005960A7"/>
    <w:pPr>
      <w:tabs>
        <w:tab w:val="clear" w:pos="794"/>
        <w:tab w:val="clear" w:pos="1191"/>
        <w:tab w:val="clear" w:pos="1588"/>
        <w:tab w:val="clear" w:pos="1985"/>
      </w:tabs>
      <w:overflowPunct/>
      <w:autoSpaceDE/>
      <w:autoSpaceDN/>
      <w:adjustRightInd/>
      <w:spacing w:before="100" w:beforeAutospacing="1" w:after="100" w:afterAutospacing="1"/>
      <w:textAlignment w:val="auto"/>
    </w:pPr>
    <w:rPr>
      <w:lang w:val="ru-RU" w:eastAsia="ru-RU"/>
    </w:rPr>
  </w:style>
  <w:style w:type="character" w:styleId="Strong">
    <w:name w:val="Strong"/>
    <w:qFormat/>
    <w:rsid w:val="005960A7"/>
    <w:rPr>
      <w:b/>
      <w:bCs/>
    </w:rPr>
  </w:style>
  <w:style w:type="character" w:styleId="Emphasis">
    <w:name w:val="Emphasis"/>
    <w:qFormat/>
    <w:rsid w:val="005960A7"/>
    <w:rPr>
      <w:i/>
      <w:iCs/>
    </w:rPr>
  </w:style>
  <w:style w:type="paragraph" w:styleId="PlainText">
    <w:name w:val="Plain Text"/>
    <w:basedOn w:val="Normal"/>
    <w:link w:val="PlainTextChar"/>
    <w:uiPriority w:val="99"/>
    <w:unhideWhenUsed/>
    <w:rsid w:val="00164806"/>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 w:val="22"/>
      <w:szCs w:val="21"/>
      <w:lang w:val="en-US"/>
    </w:rPr>
  </w:style>
  <w:style w:type="character" w:customStyle="1" w:styleId="PlainTextChar">
    <w:name w:val="Plain Text Char"/>
    <w:basedOn w:val="DefaultParagraphFont"/>
    <w:link w:val="PlainText"/>
    <w:uiPriority w:val="99"/>
    <w:rsid w:val="00164806"/>
    <w:rPr>
      <w:rFonts w:ascii="Calibri" w:eastAsiaTheme="minorEastAsia" w:hAnsi="Calibri" w:cstheme="minorBidi"/>
      <w:sz w:val="22"/>
      <w:szCs w:val="21"/>
    </w:rPr>
  </w:style>
  <w:style w:type="paragraph" w:styleId="CommentSubject">
    <w:name w:val="annotation subject"/>
    <w:basedOn w:val="CommentText"/>
    <w:next w:val="CommentText"/>
    <w:link w:val="CommentSubjectChar"/>
    <w:rsid w:val="00D745EF"/>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Times New Roman" w:hAnsi="Times New Roman"/>
      <w:b/>
      <w:bCs/>
      <w:sz w:val="20"/>
      <w:szCs w:val="20"/>
      <w:lang w:val="en-GB"/>
    </w:rPr>
  </w:style>
  <w:style w:type="character" w:customStyle="1" w:styleId="CommentSubjectChar">
    <w:name w:val="Comment Subject Char"/>
    <w:basedOn w:val="CommentTextChar"/>
    <w:link w:val="CommentSubject"/>
    <w:rsid w:val="00D745EF"/>
    <w:rPr>
      <w:rFonts w:ascii="Cambria" w:eastAsia="SimSun" w:hAnsi="Cambria"/>
      <w:b/>
      <w:bCs/>
      <w:sz w:val="20"/>
      <w:szCs w:val="20"/>
      <w:lang w:val="en-GB"/>
    </w:rPr>
  </w:style>
  <w:style w:type="paragraph" w:styleId="Revision">
    <w:name w:val="Revision"/>
    <w:hidden/>
    <w:rsid w:val="005F7704"/>
    <w:rPr>
      <w:lang w:val="en-GB"/>
    </w:rPr>
  </w:style>
  <w:style w:type="character" w:customStyle="1" w:styleId="RestitleChar">
    <w:name w:val="Res_title Char"/>
    <w:basedOn w:val="DefaultParagraphFont"/>
    <w:link w:val="Restitle"/>
    <w:locked/>
    <w:rsid w:val="00034365"/>
    <w:rPr>
      <w:b/>
      <w:sz w:val="28"/>
      <w:lang w:val="en-GB"/>
    </w:rPr>
  </w:style>
  <w:style w:type="paragraph" w:styleId="Index4">
    <w:name w:val="index 4"/>
    <w:basedOn w:val="Normal"/>
    <w:next w:val="Normal"/>
    <w:autoRedefine/>
    <w:rsid w:val="00D275D2"/>
    <w:pPr>
      <w:tabs>
        <w:tab w:val="clear" w:pos="794"/>
        <w:tab w:val="clear" w:pos="1191"/>
        <w:tab w:val="clear" w:pos="1588"/>
        <w:tab w:val="clear" w:pos="1985"/>
      </w:tabs>
      <w:ind w:left="960" w:hanging="240"/>
    </w:pPr>
  </w:style>
  <w:style w:type="paragraph" w:styleId="Index5">
    <w:name w:val="index 5"/>
    <w:basedOn w:val="Normal"/>
    <w:next w:val="Normal"/>
    <w:autoRedefine/>
    <w:rsid w:val="00D275D2"/>
    <w:pPr>
      <w:tabs>
        <w:tab w:val="clear" w:pos="794"/>
        <w:tab w:val="clear" w:pos="1191"/>
        <w:tab w:val="clear" w:pos="1588"/>
        <w:tab w:val="clear" w:pos="1985"/>
      </w:tabs>
      <w:ind w:left="1200" w:hanging="240"/>
    </w:pPr>
  </w:style>
  <w:style w:type="paragraph" w:styleId="Index6">
    <w:name w:val="index 6"/>
    <w:basedOn w:val="Normal"/>
    <w:next w:val="Normal"/>
    <w:autoRedefine/>
    <w:rsid w:val="00D275D2"/>
    <w:pPr>
      <w:tabs>
        <w:tab w:val="clear" w:pos="794"/>
        <w:tab w:val="clear" w:pos="1191"/>
        <w:tab w:val="clear" w:pos="1588"/>
        <w:tab w:val="clear" w:pos="1985"/>
      </w:tabs>
      <w:ind w:left="1440" w:hanging="240"/>
    </w:pPr>
  </w:style>
  <w:style w:type="paragraph" w:styleId="Index7">
    <w:name w:val="index 7"/>
    <w:basedOn w:val="Normal"/>
    <w:next w:val="Normal"/>
    <w:autoRedefine/>
    <w:rsid w:val="00D275D2"/>
    <w:pPr>
      <w:tabs>
        <w:tab w:val="clear" w:pos="794"/>
        <w:tab w:val="clear" w:pos="1191"/>
        <w:tab w:val="clear" w:pos="1588"/>
        <w:tab w:val="clear" w:pos="1985"/>
      </w:tabs>
      <w:ind w:left="1680" w:hanging="240"/>
    </w:pPr>
  </w:style>
  <w:style w:type="paragraph" w:styleId="Index8">
    <w:name w:val="index 8"/>
    <w:basedOn w:val="Normal"/>
    <w:next w:val="Normal"/>
    <w:autoRedefine/>
    <w:rsid w:val="00D275D2"/>
    <w:pPr>
      <w:tabs>
        <w:tab w:val="clear" w:pos="794"/>
        <w:tab w:val="clear" w:pos="1191"/>
        <w:tab w:val="clear" w:pos="1588"/>
        <w:tab w:val="clear" w:pos="1985"/>
      </w:tabs>
      <w:ind w:left="1920" w:hanging="240"/>
    </w:pPr>
  </w:style>
  <w:style w:type="paragraph" w:styleId="Index9">
    <w:name w:val="index 9"/>
    <w:basedOn w:val="Normal"/>
    <w:next w:val="Normal"/>
    <w:autoRedefine/>
    <w:rsid w:val="00D275D2"/>
    <w:pPr>
      <w:tabs>
        <w:tab w:val="clear" w:pos="794"/>
        <w:tab w:val="clear" w:pos="1191"/>
        <w:tab w:val="clear" w:pos="1588"/>
        <w:tab w:val="clear" w:pos="1985"/>
      </w:tabs>
      <w:ind w:left="2160" w:hanging="240"/>
    </w:pPr>
  </w:style>
  <w:style w:type="paragraph" w:styleId="IndexHeading">
    <w:name w:val="index heading"/>
    <w:basedOn w:val="Normal"/>
    <w:next w:val="Index1"/>
    <w:rsid w:val="00D275D2"/>
  </w:style>
  <w:style w:type="paragraph" w:styleId="TableofFigures">
    <w:name w:val="table of figures"/>
    <w:basedOn w:val="Normal"/>
    <w:next w:val="Normal"/>
    <w:uiPriority w:val="99"/>
    <w:rsid w:val="00B74D54"/>
    <w:pPr>
      <w:tabs>
        <w:tab w:val="clear" w:pos="794"/>
        <w:tab w:val="clear" w:pos="1191"/>
        <w:tab w:val="clear" w:pos="1588"/>
        <w:tab w:val="clear" w:pos="1985"/>
        <w:tab w:val="right" w:leader="dot" w:pos="9639"/>
      </w:tabs>
    </w:pPr>
    <w:rPr>
      <w:rFonts w:eastAsia="MS Mincho"/>
      <w:smallCaps/>
      <w:sz w:val="20"/>
    </w:rPr>
  </w:style>
  <w:style w:type="paragraph" w:styleId="TOCHeading">
    <w:name w:val="TOC Heading"/>
    <w:basedOn w:val="Heading1"/>
    <w:next w:val="Normal"/>
    <w:uiPriority w:val="39"/>
    <w:unhideWhenUsed/>
    <w:qFormat/>
    <w:rsid w:val="00D16D8C"/>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He">
    <w:name w:val="He"/>
    <w:basedOn w:val="Normal"/>
    <w:rsid w:val="0048398D"/>
    <w:pPr>
      <w:tabs>
        <w:tab w:val="clear" w:pos="794"/>
        <w:tab w:val="left" w:pos="709"/>
      </w:tabs>
    </w:pPr>
    <w:rPr>
      <w:b/>
      <w:bCs/>
      <w:lang w:val="es-ES_tradnl"/>
    </w:rPr>
  </w:style>
  <w:style w:type="paragraph" w:customStyle="1" w:styleId="Default">
    <w:name w:val="Default"/>
    <w:rsid w:val="006B1268"/>
    <w:pPr>
      <w:autoSpaceDE w:val="0"/>
      <w:autoSpaceDN w:val="0"/>
      <w:adjustRightInd w:val="0"/>
    </w:pPr>
    <w:rPr>
      <w:color w:val="000000"/>
    </w:rPr>
  </w:style>
  <w:style w:type="paragraph" w:customStyle="1" w:styleId="Reasons">
    <w:name w:val="Reasons"/>
    <w:basedOn w:val="Normal"/>
    <w:qFormat/>
    <w:rsid w:val="006B1268"/>
    <w:pPr>
      <w:tabs>
        <w:tab w:val="clear" w:pos="794"/>
        <w:tab w:val="clear" w:pos="1191"/>
        <w:tab w:val="clear" w:pos="1588"/>
        <w:tab w:val="clear" w:pos="1985"/>
      </w:tabs>
      <w:overflowPunct/>
      <w:autoSpaceDE/>
      <w:autoSpaceDN/>
      <w:adjustRightInd/>
      <w:spacing w:before="0"/>
      <w:textAlignment w:val="auto"/>
    </w:pPr>
    <w:rPr>
      <w:szCs w:val="20"/>
      <w:lang w:val="en-US"/>
    </w:rPr>
  </w:style>
  <w:style w:type="table" w:styleId="TableGrid">
    <w:name w:val="Table Grid"/>
    <w:basedOn w:val="TableNormal"/>
    <w:rsid w:val="00362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014368">
      <w:bodyDiv w:val="1"/>
      <w:marLeft w:val="0"/>
      <w:marRight w:val="0"/>
      <w:marTop w:val="0"/>
      <w:marBottom w:val="0"/>
      <w:divBdr>
        <w:top w:val="none" w:sz="0" w:space="0" w:color="auto"/>
        <w:left w:val="none" w:sz="0" w:space="0" w:color="auto"/>
        <w:bottom w:val="none" w:sz="0" w:space="0" w:color="auto"/>
        <w:right w:val="none" w:sz="0" w:space="0" w:color="auto"/>
      </w:divBdr>
    </w:div>
    <w:div w:id="1261330361">
      <w:bodyDiv w:val="1"/>
      <w:marLeft w:val="0"/>
      <w:marRight w:val="0"/>
      <w:marTop w:val="0"/>
      <w:marBottom w:val="0"/>
      <w:divBdr>
        <w:top w:val="none" w:sz="0" w:space="0" w:color="auto"/>
        <w:left w:val="none" w:sz="0" w:space="0" w:color="auto"/>
        <w:bottom w:val="none" w:sz="0" w:space="0" w:color="auto"/>
        <w:right w:val="none" w:sz="0" w:space="0" w:color="auto"/>
      </w:divBdr>
      <w:divsChild>
        <w:div w:id="1235772208">
          <w:marLeft w:val="0"/>
          <w:marRight w:val="0"/>
          <w:marTop w:val="0"/>
          <w:marBottom w:val="0"/>
          <w:divBdr>
            <w:top w:val="none" w:sz="0" w:space="0" w:color="auto"/>
            <w:left w:val="none" w:sz="0" w:space="0" w:color="auto"/>
            <w:bottom w:val="none" w:sz="0" w:space="0" w:color="auto"/>
            <w:right w:val="none" w:sz="0" w:space="0" w:color="auto"/>
          </w:divBdr>
          <w:divsChild>
            <w:div w:id="1059475530">
              <w:marLeft w:val="0"/>
              <w:marRight w:val="0"/>
              <w:marTop w:val="0"/>
              <w:marBottom w:val="0"/>
              <w:divBdr>
                <w:top w:val="none" w:sz="0" w:space="0" w:color="auto"/>
                <w:left w:val="none" w:sz="0" w:space="0" w:color="auto"/>
                <w:bottom w:val="none" w:sz="0" w:space="0" w:color="auto"/>
                <w:right w:val="none" w:sz="0" w:space="0" w:color="auto"/>
              </w:divBdr>
              <w:divsChild>
                <w:div w:id="955528888">
                  <w:marLeft w:val="0"/>
                  <w:marRight w:val="0"/>
                  <w:marTop w:val="0"/>
                  <w:marBottom w:val="0"/>
                  <w:divBdr>
                    <w:top w:val="none" w:sz="0" w:space="0" w:color="auto"/>
                    <w:left w:val="none" w:sz="0" w:space="0" w:color="auto"/>
                    <w:bottom w:val="none" w:sz="0" w:space="0" w:color="auto"/>
                    <w:right w:val="none" w:sz="0" w:space="0" w:color="auto"/>
                  </w:divBdr>
                  <w:divsChild>
                    <w:div w:id="27918871">
                      <w:marLeft w:val="0"/>
                      <w:marRight w:val="0"/>
                      <w:marTop w:val="0"/>
                      <w:marBottom w:val="0"/>
                      <w:divBdr>
                        <w:top w:val="none" w:sz="0" w:space="0" w:color="auto"/>
                        <w:left w:val="none" w:sz="0" w:space="0" w:color="auto"/>
                        <w:bottom w:val="none" w:sz="0" w:space="0" w:color="auto"/>
                        <w:right w:val="none" w:sz="0" w:space="0" w:color="auto"/>
                      </w:divBdr>
                      <w:divsChild>
                        <w:div w:id="37357775">
                          <w:marLeft w:val="0"/>
                          <w:marRight w:val="0"/>
                          <w:marTop w:val="0"/>
                          <w:marBottom w:val="0"/>
                          <w:divBdr>
                            <w:top w:val="none" w:sz="0" w:space="0" w:color="auto"/>
                            <w:left w:val="none" w:sz="0" w:space="0" w:color="auto"/>
                            <w:bottom w:val="none" w:sz="0" w:space="0" w:color="auto"/>
                            <w:right w:val="none" w:sz="0" w:space="0" w:color="auto"/>
                          </w:divBdr>
                          <w:divsChild>
                            <w:div w:id="1073772405">
                              <w:marLeft w:val="0"/>
                              <w:marRight w:val="0"/>
                              <w:marTop w:val="0"/>
                              <w:marBottom w:val="0"/>
                              <w:divBdr>
                                <w:top w:val="none" w:sz="0" w:space="0" w:color="auto"/>
                                <w:left w:val="none" w:sz="0" w:space="0" w:color="auto"/>
                                <w:bottom w:val="none" w:sz="0" w:space="0" w:color="auto"/>
                                <w:right w:val="none" w:sz="0" w:space="0" w:color="auto"/>
                              </w:divBdr>
                              <w:divsChild>
                                <w:div w:id="1053652051">
                                  <w:marLeft w:val="255"/>
                                  <w:marRight w:val="255"/>
                                  <w:marTop w:val="30"/>
                                  <w:marBottom w:val="2250"/>
                                  <w:divBdr>
                                    <w:top w:val="none" w:sz="0" w:space="0" w:color="auto"/>
                                    <w:left w:val="none" w:sz="0" w:space="0" w:color="auto"/>
                                    <w:bottom w:val="none" w:sz="0" w:space="0" w:color="auto"/>
                                    <w:right w:val="none" w:sz="0" w:space="0" w:color="auto"/>
                                  </w:divBdr>
                                  <w:divsChild>
                                    <w:div w:id="713501744">
                                      <w:marLeft w:val="0"/>
                                      <w:marRight w:val="0"/>
                                      <w:marTop w:val="0"/>
                                      <w:marBottom w:val="0"/>
                                      <w:divBdr>
                                        <w:top w:val="none" w:sz="0" w:space="0" w:color="auto"/>
                                        <w:left w:val="none" w:sz="0" w:space="0" w:color="auto"/>
                                        <w:bottom w:val="none" w:sz="0" w:space="0" w:color="auto"/>
                                        <w:right w:val="none" w:sz="0" w:space="0" w:color="auto"/>
                                      </w:divBdr>
                                      <w:divsChild>
                                        <w:div w:id="300810394">
                                          <w:marLeft w:val="0"/>
                                          <w:marRight w:val="0"/>
                                          <w:marTop w:val="0"/>
                                          <w:marBottom w:val="0"/>
                                          <w:divBdr>
                                            <w:top w:val="none" w:sz="0" w:space="0" w:color="auto"/>
                                            <w:left w:val="none" w:sz="0" w:space="0" w:color="auto"/>
                                            <w:bottom w:val="none" w:sz="0" w:space="0" w:color="auto"/>
                                            <w:right w:val="none" w:sz="0" w:space="0" w:color="auto"/>
                                          </w:divBdr>
                                          <w:divsChild>
                                            <w:div w:id="1699698367">
                                              <w:marLeft w:val="0"/>
                                              <w:marRight w:val="0"/>
                                              <w:marTop w:val="0"/>
                                              <w:marBottom w:val="0"/>
                                              <w:divBdr>
                                                <w:top w:val="none" w:sz="0" w:space="0" w:color="auto"/>
                                                <w:left w:val="none" w:sz="0" w:space="0" w:color="auto"/>
                                                <w:bottom w:val="none" w:sz="0" w:space="0" w:color="auto"/>
                                                <w:right w:val="none" w:sz="0" w:space="0" w:color="auto"/>
                                              </w:divBdr>
                                              <w:divsChild>
                                                <w:div w:id="1667123603">
                                                  <w:marLeft w:val="0"/>
                                                  <w:marRight w:val="0"/>
                                                  <w:marTop w:val="0"/>
                                                  <w:marBottom w:val="0"/>
                                                  <w:divBdr>
                                                    <w:top w:val="none" w:sz="0" w:space="0" w:color="auto"/>
                                                    <w:left w:val="none" w:sz="0" w:space="0" w:color="auto"/>
                                                    <w:bottom w:val="none" w:sz="0" w:space="0" w:color="auto"/>
                                                    <w:right w:val="none" w:sz="0" w:space="0" w:color="auto"/>
                                                  </w:divBdr>
                                                  <w:divsChild>
                                                    <w:div w:id="819688427">
                                                      <w:marLeft w:val="0"/>
                                                      <w:marRight w:val="0"/>
                                                      <w:marTop w:val="0"/>
                                                      <w:marBottom w:val="0"/>
                                                      <w:divBdr>
                                                        <w:top w:val="none" w:sz="0" w:space="0" w:color="auto"/>
                                                        <w:left w:val="none" w:sz="0" w:space="0" w:color="auto"/>
                                                        <w:bottom w:val="none" w:sz="0" w:space="0" w:color="auto"/>
                                                        <w:right w:val="none" w:sz="0" w:space="0" w:color="auto"/>
                                                      </w:divBdr>
                                                    </w:div>
                                                    <w:div w:id="6847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2474057">
      <w:bodyDiv w:val="1"/>
      <w:marLeft w:val="0"/>
      <w:marRight w:val="0"/>
      <w:marTop w:val="0"/>
      <w:marBottom w:val="0"/>
      <w:divBdr>
        <w:top w:val="none" w:sz="0" w:space="0" w:color="auto"/>
        <w:left w:val="none" w:sz="0" w:space="0" w:color="auto"/>
        <w:bottom w:val="none" w:sz="0" w:space="0" w:color="auto"/>
        <w:right w:val="none" w:sz="0" w:space="0" w:color="auto"/>
      </w:divBdr>
    </w:div>
    <w:div w:id="2078358310">
      <w:bodyDiv w:val="1"/>
      <w:marLeft w:val="0"/>
      <w:marRight w:val="0"/>
      <w:marTop w:val="0"/>
      <w:marBottom w:val="0"/>
      <w:divBdr>
        <w:top w:val="none" w:sz="0" w:space="0" w:color="auto"/>
        <w:left w:val="none" w:sz="0" w:space="0" w:color="auto"/>
        <w:bottom w:val="none" w:sz="0" w:space="0" w:color="auto"/>
        <w:right w:val="none" w:sz="0" w:space="0" w:color="auto"/>
      </w:divBdr>
      <w:divsChild>
        <w:div w:id="1733236174">
          <w:marLeft w:val="0"/>
          <w:marRight w:val="0"/>
          <w:marTop w:val="0"/>
          <w:marBottom w:val="0"/>
          <w:divBdr>
            <w:top w:val="none" w:sz="0" w:space="0" w:color="auto"/>
            <w:left w:val="none" w:sz="0" w:space="0" w:color="auto"/>
            <w:bottom w:val="none" w:sz="0" w:space="0" w:color="auto"/>
            <w:right w:val="none" w:sz="0" w:space="0" w:color="auto"/>
          </w:divBdr>
          <w:divsChild>
            <w:div w:id="1851410046">
              <w:marLeft w:val="0"/>
              <w:marRight w:val="0"/>
              <w:marTop w:val="0"/>
              <w:marBottom w:val="0"/>
              <w:divBdr>
                <w:top w:val="none" w:sz="0" w:space="0" w:color="auto"/>
                <w:left w:val="none" w:sz="0" w:space="0" w:color="auto"/>
                <w:bottom w:val="none" w:sz="0" w:space="0" w:color="auto"/>
                <w:right w:val="none" w:sz="0" w:space="0" w:color="auto"/>
              </w:divBdr>
              <w:divsChild>
                <w:div w:id="5299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udiciary.senate.gov/imo/media/doc/Willard%20Testimony%20032304.pdf" TargetMode="External"/><Relationship Id="rId117" Type="http://schemas.openxmlformats.org/officeDocument/2006/relationships/hyperlink" Target="http://www.bbc.co.uk/panorama/hi/front_page/newsid_9483000/9483148.stm" TargetMode="External"/><Relationship Id="rId21" Type="http://schemas.openxmlformats.org/officeDocument/2006/relationships/hyperlink" Target="http://spotafakephone.com//docs/eng/MMF_CounterfeitPhones_EN.pdf" TargetMode="External"/><Relationship Id="rId42" Type="http://schemas.openxmlformats.org/officeDocument/2006/relationships/hyperlink" Target="http://www.economie.gouv.fr/signature-deux-nouvelles-chartes-lutte-contre-contrefacon-sur-internet" TargetMode="External"/><Relationship Id="rId47" Type="http://schemas.openxmlformats.org/officeDocument/2006/relationships/image" Target="media/image3.png"/><Relationship Id="rId63" Type="http://schemas.openxmlformats.org/officeDocument/2006/relationships/hyperlink" Target="http://www.gs1.org/barcodes/technical/idkeys/grai" TargetMode="External"/><Relationship Id="rId68" Type="http://schemas.openxmlformats.org/officeDocument/2006/relationships/image" Target="media/image7.jpeg"/><Relationship Id="rId84" Type="http://schemas.openxmlformats.org/officeDocument/2006/relationships/hyperlink" Target="http://www.itu.int/en/ITU-T/Workshops-and-Seminars/patent/Pages/default.aspx" TargetMode="External"/><Relationship Id="rId89" Type="http://schemas.openxmlformats.org/officeDocument/2006/relationships/hyperlink" Target="http://www.itu.int/ITU-D/treg/Events/Seminars/GSR/GSR12/RA12/pdf/FinalReport_RA12.pdf" TargetMode="External"/><Relationship Id="rId112" Type="http://schemas.openxmlformats.org/officeDocument/2006/relationships/hyperlink" Target="https://www.iacc.org" TargetMode="External"/><Relationship Id="rId133" Type="http://schemas.openxmlformats.org/officeDocument/2006/relationships/hyperlink" Target="http://www.ipo.gov.uk/ipctoolkit.pdf" TargetMode="External"/><Relationship Id="rId138" Type="http://schemas.openxmlformats.org/officeDocument/2006/relationships/hyperlink" Target="http://www.rabita.az/en/c-media/news/details/134" TargetMode="External"/><Relationship Id="rId154" Type="http://schemas.openxmlformats.org/officeDocument/2006/relationships/oleObject" Target="embeddings/oleObject9.bin"/><Relationship Id="rId159" Type="http://schemas.openxmlformats.org/officeDocument/2006/relationships/image" Target="media/image15.emf"/><Relationship Id="rId175" Type="http://schemas.openxmlformats.org/officeDocument/2006/relationships/footer" Target="footer4.xml"/><Relationship Id="rId170" Type="http://schemas.openxmlformats.org/officeDocument/2006/relationships/hyperlink" Target="http://www.trademarkea.com/ea-loses-huge-sums-of-money-in-counterfeit-products/" TargetMode="External"/><Relationship Id="rId16" Type="http://schemas.openxmlformats.org/officeDocument/2006/relationships/hyperlink" Target="http://trade.ec.europa.eu/doclib/docs/2012/january/tradoc_149003.pdf" TargetMode="External"/><Relationship Id="rId107" Type="http://schemas.openxmlformats.org/officeDocument/2006/relationships/hyperlink" Target="http://www.aca.go.ke" TargetMode="External"/><Relationship Id="rId11" Type="http://schemas.openxmlformats.org/officeDocument/2006/relationships/header" Target="header2.xml"/><Relationship Id="rId32" Type="http://schemas.openxmlformats.org/officeDocument/2006/relationships/hyperlink" Target="http://www.computerworld.com/s/article/9231277/Microsoft_finds_new_computers_in_China_preinstalled_with_malware" TargetMode="External"/><Relationship Id="rId37" Type="http://schemas.openxmlformats.org/officeDocument/2006/relationships/hyperlink" Target="http://www.unodc.org/counterfeit/" TargetMode="External"/><Relationship Id="rId53" Type="http://schemas.openxmlformats.org/officeDocument/2006/relationships/hyperlink" Target="http://www.gsma.com/managedservices/mobile-equipment-identity/the-imei-database/accessing-the-imei-database/" TargetMode="External"/><Relationship Id="rId58" Type="http://schemas.openxmlformats.org/officeDocument/2006/relationships/hyperlink" Target="http://www.gs1.org/barcodes/technical/idkeys/giai" TargetMode="External"/><Relationship Id="rId74" Type="http://schemas.openxmlformats.org/officeDocument/2006/relationships/image" Target="media/image11.emf"/><Relationship Id="rId79" Type="http://schemas.openxmlformats.org/officeDocument/2006/relationships/image" Target="media/image12.emf"/><Relationship Id="rId102" Type="http://schemas.openxmlformats.org/officeDocument/2006/relationships/hyperlink" Target="http://www.wipo.int/treaties/en/ip/washington" TargetMode="External"/><Relationship Id="rId123" Type="http://schemas.openxmlformats.org/officeDocument/2006/relationships/hyperlink" Target="http://www.nkrzi.gov.ua/images/upload/142/3963/4b2c475b68c147860c36a6e1fc2a3e47.pdf" TargetMode="External"/><Relationship Id="rId128" Type="http://schemas.openxmlformats.org/officeDocument/2006/relationships/hyperlink" Target="http://www.unece.org/fileadmin/DAM/trade/wp6/documents/2009/WP6_2009_13e_final.pdf" TargetMode="External"/><Relationship Id="rId144" Type="http://schemas.openxmlformats.org/officeDocument/2006/relationships/hyperlink" Target="http://www.cellular-news.com/tags/imei" TargetMode="External"/><Relationship Id="rId149" Type="http://schemas.openxmlformats.org/officeDocument/2006/relationships/hyperlink" Target="http://www.cofek.co.ke/CCK%20Letter%20to%20Cofek%20-%20Counterfeit%20phone%20switch-off%20threat.pdf" TargetMode="External"/><Relationship Id="rId5" Type="http://schemas.openxmlformats.org/officeDocument/2006/relationships/webSettings" Target="webSettings.xml"/><Relationship Id="rId90" Type="http://schemas.openxmlformats.org/officeDocument/2006/relationships/hyperlink" Target="http://www.oecd.org/sti/ind/44088872.pdf" TargetMode="External"/><Relationship Id="rId95" Type="http://schemas.openxmlformats.org/officeDocument/2006/relationships/hyperlink" Target="http://www.spotafakephone.com/" TargetMode="External"/><Relationship Id="rId160" Type="http://schemas.openxmlformats.org/officeDocument/2006/relationships/oleObject" Target="embeddings/oleObject10.bin"/><Relationship Id="rId165" Type="http://schemas.openxmlformats.org/officeDocument/2006/relationships/image" Target="media/image18.emf"/><Relationship Id="rId22" Type="http://schemas.openxmlformats.org/officeDocument/2006/relationships/hyperlink" Target="http://www.mifare.net/files/6114/2295/3702/NXP_Whitepaper_Protect_your_reputation_with_genuine_MIFARE_products_2015.pdf" TargetMode="External"/><Relationship Id="rId27" Type="http://schemas.openxmlformats.org/officeDocument/2006/relationships/hyperlink" Target="http://www.express.co.uk/news/uk/387869/Designer-headphones-top-16m-deluge-of-fake-goods" TargetMode="External"/><Relationship Id="rId43" Type="http://schemas.openxmlformats.org/officeDocument/2006/relationships/hyperlink" Target="http://www.commerce.gov/news/fact-sheets/2013/12/20/fact-sheet-24th-us-china-joint-commission-commerce-and-trade-fact-sheet" TargetMode="External"/><Relationship Id="rId48" Type="http://schemas.openxmlformats.org/officeDocument/2006/relationships/image" Target="media/image4.emf"/><Relationship Id="rId64" Type="http://schemas.openxmlformats.org/officeDocument/2006/relationships/hyperlink" Target="http://www.gs1.org/barcodes/technical/idkeys/giai" TargetMode="External"/><Relationship Id="rId69" Type="http://schemas.openxmlformats.org/officeDocument/2006/relationships/image" Target="media/image8.emf"/><Relationship Id="rId113" Type="http://schemas.openxmlformats.org/officeDocument/2006/relationships/hyperlink" Target="http://www.ascdi.com/" TargetMode="External"/><Relationship Id="rId118" Type="http://schemas.openxmlformats.org/officeDocument/2006/relationships/hyperlink" Target="http://www.bbc.co.uk/news/world-europe-10846395" TargetMode="External"/><Relationship Id="rId134" Type="http://schemas.openxmlformats.org/officeDocument/2006/relationships/hyperlink" Target="http://www.itu.int/ITU-D/tech/NGN/ConformanceInterop/PP10_Resolution177.pdf" TargetMode="External"/><Relationship Id="rId139" Type="http://schemas.openxmlformats.org/officeDocument/2006/relationships/hyperlink" Target="http://www.mincom.gov.az/media-en/news-2/details/1840" TargetMode="External"/><Relationship Id="rId80" Type="http://schemas.openxmlformats.org/officeDocument/2006/relationships/oleObject" Target="embeddings/oleObject7.bin"/><Relationship Id="rId85" Type="http://schemas.openxmlformats.org/officeDocument/2006/relationships/hyperlink" Target="http://www.UIT.int/UIT-D/tech/ConformanceInteroperability/ConformanceInterop/Guidelines/Test_lab_guidelines_EV8.pdf" TargetMode="External"/><Relationship Id="rId150" Type="http://schemas.openxmlformats.org/officeDocument/2006/relationships/hyperlink" Target="http://www.newtimes.co.rw/news/views/article_print.php?i=15290&amp;a=64650&amp;icon=Print" TargetMode="External"/><Relationship Id="rId155" Type="http://schemas.openxmlformats.org/officeDocument/2006/relationships/hyperlink" Target="https://www.icta.mu/mediaoffice/publi.htm" TargetMode="External"/><Relationship Id="rId171" Type="http://schemas.openxmlformats.org/officeDocument/2006/relationships/hyperlink" Target="http://www.eaco.int/docs/19_congress_report.pdf" TargetMode="External"/><Relationship Id="rId176" Type="http://schemas.openxmlformats.org/officeDocument/2006/relationships/footer" Target="footer5.xml"/><Relationship Id="rId12" Type="http://schemas.openxmlformats.org/officeDocument/2006/relationships/header" Target="header3.xml"/><Relationship Id="rId17" Type="http://schemas.openxmlformats.org/officeDocument/2006/relationships/hyperlink" Target="http://press.ihs.com/press-release/design-supply-chain/cellphone-gray-market-goes-legit-sales-continue-decline" TargetMode="External"/><Relationship Id="rId33" Type="http://schemas.openxmlformats.org/officeDocument/2006/relationships/hyperlink" Target="http://www.theguardian.com/money/2011/dec/07/christmas-shopping-counterfeit-toys" TargetMode="External"/><Relationship Id="rId38" Type="http://schemas.openxmlformats.org/officeDocument/2006/relationships/hyperlink" Target="https://www.unodc.org/unodc/en/frontpage/2014/January/counterfeit-dont-buy-into-organized-crime---unodc-launches-new-outreach-campaign-on-250-billion-a-year-counterfeit-business.html" TargetMode="External"/><Relationship Id="rId59" Type="http://schemas.openxmlformats.org/officeDocument/2006/relationships/hyperlink" Target="http://www.gs1.org/barcodes/technical/idkeys/gsrn" TargetMode="External"/><Relationship Id="rId103" Type="http://schemas.openxmlformats.org/officeDocument/2006/relationships/hyperlink" Target="http://www.wcoipm.org" TargetMode="External"/><Relationship Id="rId108" Type="http://schemas.openxmlformats.org/officeDocument/2006/relationships/hyperlink" Target="http://www.iccwbo.org/bascap/id7608/index.html" TargetMode="External"/><Relationship Id="rId124" Type="http://schemas.openxmlformats.org/officeDocument/2006/relationships/hyperlink" Target="http://www.gs1.org/sites/default/files/docs/epc/tds_1_6-RatifiedStd-20110922.pdf" TargetMode="External"/><Relationship Id="rId129" Type="http://schemas.openxmlformats.org/officeDocument/2006/relationships/hyperlink" Target="http://www.unece.org/fileadmin/DAM/trade/wp6/Recommendations/Rec_M.pdf" TargetMode="External"/><Relationship Id="rId54" Type="http://schemas.openxmlformats.org/officeDocument/2006/relationships/hyperlink" Target="http://www.gs1.org/barcodes/technical/idkeys/gtin" TargetMode="External"/><Relationship Id="rId70" Type="http://schemas.openxmlformats.org/officeDocument/2006/relationships/oleObject" Target="embeddings/oleObject4.bin"/><Relationship Id="rId75" Type="http://schemas.openxmlformats.org/officeDocument/2006/relationships/oleObject" Target="embeddings/oleObject6.bin"/><Relationship Id="rId91" Type="http://schemas.openxmlformats.org/officeDocument/2006/relationships/hyperlink" Target="http://www.icc-ccs.org/icc/cib" TargetMode="External"/><Relationship Id="rId96" Type="http://schemas.openxmlformats.org/officeDocument/2006/relationships/hyperlink" Target="http://www.idc.com/getdoc.jsp?containerId=prUS23297412" TargetMode="External"/><Relationship Id="rId140" Type="http://schemas.openxmlformats.org/officeDocument/2006/relationships/hyperlink" Target="http://www.gsma.com/latinamerica/wp-content/uploads/2012/05/Final-CITEL-Resolution-on-Handset-Theft.pdf" TargetMode="External"/><Relationship Id="rId145" Type="http://schemas.openxmlformats.org/officeDocument/2006/relationships/hyperlink" Target="http://www.cellular-news.com/story/42911.php" TargetMode="External"/><Relationship Id="rId161" Type="http://schemas.openxmlformats.org/officeDocument/2006/relationships/image" Target="media/image16.emf"/><Relationship Id="rId166"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bloomberg.com/apps/news?pid=newsarchive&amp;sid=aLWvmmrHx9F0" TargetMode="External"/><Relationship Id="rId28" Type="http://schemas.openxmlformats.org/officeDocument/2006/relationships/hyperlink" Target="http://cts.businesswire.com/ct/CT?id=smartlink&amp;url=http%3A%2F%2Fwww.motorolasolutions.com&amp;esheet=50665634&amp;newsitemid=20130708005384&amp;lan=en-US&amp;anchor=Motorola+Solutions+Inc.&amp;index=1&amp;md5=50d64fa30616d6c84e2d6d72dc08321c" TargetMode="External"/><Relationship Id="rId49" Type="http://schemas.openxmlformats.org/officeDocument/2006/relationships/oleObject" Target="embeddings/oleObject1.bin"/><Relationship Id="rId114" Type="http://schemas.openxmlformats.org/officeDocument/2006/relationships/hyperlink" Target="http://www.anticounterfeitingforum.org.uk" TargetMode="External"/><Relationship Id="rId119" Type="http://schemas.openxmlformats.org/officeDocument/2006/relationships/hyperlink" Target="http://shop.bsigroup.com/en/ProductDetail/?pid=000000000030245346" TargetMode="External"/><Relationship Id="rId10" Type="http://schemas.openxmlformats.org/officeDocument/2006/relationships/hyperlink" Target="mailto:keith.mainwaring@ukrainesystems.com" TargetMode="External"/><Relationship Id="rId31" Type="http://schemas.openxmlformats.org/officeDocument/2006/relationships/hyperlink" Target="http://www.cnn.com/2013/03/22/tech/mobile/fake-ipads-walmart/" TargetMode="External"/><Relationship Id="rId44" Type="http://schemas.openxmlformats.org/officeDocument/2006/relationships/hyperlink" Target="http://www.counterfeit-kills.co.uk" TargetMode="External"/><Relationship Id="rId52" Type="http://schemas.openxmlformats.org/officeDocument/2006/relationships/hyperlink" Target="http://spotafakephone.com/" TargetMode="External"/><Relationship Id="rId60" Type="http://schemas.openxmlformats.org/officeDocument/2006/relationships/hyperlink" Target="http://www.gs1.org/barcodes/technical/idkeys/gdti" TargetMode="External"/><Relationship Id="rId65" Type="http://schemas.openxmlformats.org/officeDocument/2006/relationships/image" Target="media/image6.emf"/><Relationship Id="rId73" Type="http://schemas.openxmlformats.org/officeDocument/2006/relationships/oleObject" Target="embeddings/oleObject5.bin"/><Relationship Id="rId78" Type="http://schemas.openxmlformats.org/officeDocument/2006/relationships/hyperlink" Target="http://www.iso.org/iso/copolco_priority-programme_annual-report_2012.pdf" TargetMode="External"/><Relationship Id="rId81" Type="http://schemas.openxmlformats.org/officeDocument/2006/relationships/hyperlink" Target="http://www.itu.int/en/ITU-T/C-I/Pages/WSHP_counterfeit.aspx" TargetMode="External"/><Relationship Id="rId86" Type="http://schemas.openxmlformats.org/officeDocument/2006/relationships/hyperlink" Target="http://www.itu.int/ITU-T/newslog/ITU+Regional+Workshop+On+Bridging+The+Standardization+Gap+For+Arab+And+Africa+Regions+Interactive+Training+Session+And+Academia+Session.aspx" TargetMode="External"/><Relationship Id="rId94" Type="http://schemas.openxmlformats.org/officeDocument/2006/relationships/hyperlink" Target="http://www.havocscope.com/counterfeit-hp-printing-supplies" TargetMode="External"/><Relationship Id="rId99" Type="http://schemas.openxmlformats.org/officeDocument/2006/relationships/hyperlink" Target="http://www.gpo.gov/fdsys/pkg/BILLS-112hr1540enr/pdf/BILLS-112hr1540enr.pdf" TargetMode="External"/><Relationship Id="rId101" Type="http://schemas.openxmlformats.org/officeDocument/2006/relationships/hyperlink" Target="http://www.wipo.int/treaties/en/ip/paris/trtdocs_wo020.html" TargetMode="External"/><Relationship Id="rId122" Type="http://schemas.openxmlformats.org/officeDocument/2006/relationships/hyperlink" Target="http://www.c4dlab.ac.ke/wp-content/uploads/2014/04/VAT-Report_TKO.pdf" TargetMode="External"/><Relationship Id="rId130" Type="http://schemas.openxmlformats.org/officeDocument/2006/relationships/hyperlink" Target="http://www.nia.din.de/gremien/NA+043-01-31+AA/en/54773446.html" TargetMode="External"/><Relationship Id="rId135" Type="http://schemas.openxmlformats.org/officeDocument/2006/relationships/hyperlink" Target="http://www.itu.int/en/ITU-D/Technology/Documents/ConformanceInteroperability/CI_BasicGuidelines_February2014_E.pdf" TargetMode="External"/><Relationship Id="rId143" Type="http://schemas.openxmlformats.org/officeDocument/2006/relationships/hyperlink" Target="http://www.itu.int/ITU-D/tech/events/2012/CI_ARB_AFR_Tunis_November12/CI_Forum_Tunis_2012_Report.pdf" TargetMode="External"/><Relationship Id="rId148" Type="http://schemas.openxmlformats.org/officeDocument/2006/relationships/hyperlink" Target="http://www.cofek.co.ke/CCK%20Letter%20to%20Cofek%20-%20Counterfeit%20phone%20switch-off%20threat.pdf" TargetMode="External"/><Relationship Id="rId151" Type="http://schemas.openxmlformats.org/officeDocument/2006/relationships/hyperlink" Target="http://www.eaco.int/docs/19_congress_report.pdf" TargetMode="External"/><Relationship Id="rId156" Type="http://schemas.openxmlformats.org/officeDocument/2006/relationships/hyperlink" Target="http://ucc.co.ug/data/mreports/18/0/ELIMINATION%20OF%20COUNTERFEIT%20MOBILE%20PHONES.html" TargetMode="External"/><Relationship Id="rId164" Type="http://schemas.openxmlformats.org/officeDocument/2006/relationships/oleObject" Target="embeddings/oleObject12.bin"/><Relationship Id="rId169" Type="http://schemas.openxmlformats.org/officeDocument/2006/relationships/hyperlink" Target="http://www.uaeinteract.com/docs/TRA_urges_against_use_of_fake_cell_phones/47437.htm"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yperlink" Target="http://www.arctel-cplp.org/" TargetMode="External"/><Relationship Id="rId13" Type="http://schemas.openxmlformats.org/officeDocument/2006/relationships/footer" Target="footer2.xml"/><Relationship Id="rId18" Type="http://schemas.openxmlformats.org/officeDocument/2006/relationships/hyperlink" Target="http://spotafakephone.com//docs/eng/MMF_CounterfeitPhones_EN.pdf" TargetMode="External"/><Relationship Id="rId39" Type="http://schemas.openxmlformats.org/officeDocument/2006/relationships/hyperlink" Target="https://www.unodc.org/unodc/en/frontpage/2012/July/criminals-rake-in-250-billion-per-year-in-counterfeit-goods-that-pose-health-security-risks-to-unsuspecting-public.html" TargetMode="External"/><Relationship Id="rId109" Type="http://schemas.openxmlformats.org/officeDocument/2006/relationships/hyperlink" Target="http://www.pasdirectory.com" TargetMode="External"/><Relationship Id="rId34" Type="http://schemas.openxmlformats.org/officeDocument/2006/relationships/hyperlink" Target="http://www.wipo.int/wipo_magazine/en/2012/06/article_0007.html" TargetMode="External"/><Relationship Id="rId50" Type="http://schemas.openxmlformats.org/officeDocument/2006/relationships/image" Target="media/image5.emf"/><Relationship Id="rId55" Type="http://schemas.openxmlformats.org/officeDocument/2006/relationships/hyperlink" Target="http://www.gs1.org/barcodes/technical/idkeys/gln" TargetMode="External"/><Relationship Id="rId76" Type="http://schemas.openxmlformats.org/officeDocument/2006/relationships/hyperlink" Target="http://www.iec.ch/about/activities/conformity.htm" TargetMode="External"/><Relationship Id="rId97" Type="http://schemas.openxmlformats.org/officeDocument/2006/relationships/hyperlink" Target="http://www.gpo.gov/fdsys/pkg/CRPT-112srpt167/pdf/CRPT-112srpt167.pdf" TargetMode="External"/><Relationship Id="rId104" Type="http://schemas.openxmlformats.org/officeDocument/2006/relationships/hyperlink" Target="http://ipmpromo.wcoomdpublications.org/" TargetMode="External"/><Relationship Id="rId120" Type="http://schemas.openxmlformats.org/officeDocument/2006/relationships/hyperlink" Target="http://www.numberingplans.com/?page=analysis&amp;sub=imeinr" TargetMode="External"/><Relationship Id="rId125" Type="http://schemas.openxmlformats.org/officeDocument/2006/relationships/hyperlink" Target="http://www.uidcenter.org/learning-about-ucode" TargetMode="External"/><Relationship Id="rId141" Type="http://schemas.openxmlformats.org/officeDocument/2006/relationships/image" Target="media/image13.emf"/><Relationship Id="rId146" Type="http://schemas.openxmlformats.org/officeDocument/2006/relationships/hyperlink" Target="http://trade.ec.europa.eu/doclib/docs/2013/september/tradoc_151703.pdf" TargetMode="External"/><Relationship Id="rId167" Type="http://schemas.openxmlformats.org/officeDocument/2006/relationships/image" Target="media/image19.emf"/><Relationship Id="rId7" Type="http://schemas.openxmlformats.org/officeDocument/2006/relationships/endnotes" Target="endnotes.xml"/><Relationship Id="rId71" Type="http://schemas.openxmlformats.org/officeDocument/2006/relationships/image" Target="media/image9.jpeg"/><Relationship Id="rId92" Type="http://schemas.openxmlformats.org/officeDocument/2006/relationships/hyperlink" Target="http://www.iccwbo.org/uploadedFiles/BASCAP/Pages/Global%20Impacts%20-%20Final.pdf" TargetMode="External"/><Relationship Id="rId162" Type="http://schemas.openxmlformats.org/officeDocument/2006/relationships/oleObject" Target="embeddings/oleObject11.bin"/><Relationship Id="rId2" Type="http://schemas.openxmlformats.org/officeDocument/2006/relationships/numbering" Target="numbering.xml"/><Relationship Id="rId29" Type="http://schemas.openxmlformats.org/officeDocument/2006/relationships/hyperlink" Target="http://uk.reuters.com/article/2013/07/09/motorola-solutions-idUSnBw085384a+100+BSW20130709" TargetMode="External"/><Relationship Id="rId24" Type="http://schemas.openxmlformats.org/officeDocument/2006/relationships/hyperlink" Target="http://www.bbc.co.uk/news/business-25733346" TargetMode="External"/><Relationship Id="rId40" Type="http://schemas.openxmlformats.org/officeDocument/2006/relationships/hyperlink" Target="http://www.industrie.gouv.fr/enjeux/pi/cnac.php" TargetMode="External"/><Relationship Id="rId45" Type="http://schemas.openxmlformats.org/officeDocument/2006/relationships/hyperlink" Target="http://www.unifab.com/en/" TargetMode="External"/><Relationship Id="rId66" Type="http://schemas.openxmlformats.org/officeDocument/2006/relationships/oleObject" Target="embeddings/oleObject3.bin"/><Relationship Id="rId87" Type="http://schemas.openxmlformats.org/officeDocument/2006/relationships/hyperlink" Target="http://www.itu.int/ITU-D/tech/events/2012/CI_ARB_AFR_Tunis_November12/Presentations/Session5/CI%20Forum%202012_Tunis_AAlDin_S5_4.pdf" TargetMode="External"/><Relationship Id="rId110" Type="http://schemas.openxmlformats.org/officeDocument/2006/relationships/hyperlink" Target="http://www.iccwbo.org/bascap/id42204/index.html" TargetMode="External"/><Relationship Id="rId115" Type="http://schemas.openxmlformats.org/officeDocument/2006/relationships/hyperlink" Target="http://archive.basel.int/convention/basics.html" TargetMode="External"/><Relationship Id="rId131" Type="http://schemas.openxmlformats.org/officeDocument/2006/relationships/hyperlink" Target="http://www.anticounterfeitingforum.org.uk/best_practice.aspx" TargetMode="External"/><Relationship Id="rId136" Type="http://schemas.openxmlformats.org/officeDocument/2006/relationships/hyperlink" Target="http://www.itu.int/ITU-D/tech/ConformanceInteroperability/ConformanceInterop/Guidelines/Test_lab_guidelines_EV8.pdf" TargetMode="External"/><Relationship Id="rId157" Type="http://schemas.openxmlformats.org/officeDocument/2006/relationships/hyperlink" Target="http://www.monitor.co.ug/Business/Commodities/Survey+finds+30++of+Ugandan+phones+fake/-/688610/1527408/-/elvou8z/-/index.html" TargetMode="External"/><Relationship Id="rId178" Type="http://schemas.openxmlformats.org/officeDocument/2006/relationships/theme" Target="theme/theme1.xml"/><Relationship Id="rId61" Type="http://schemas.openxmlformats.org/officeDocument/2006/relationships/hyperlink" Target="http://www.gs1.org/barcodes/technical/idkeys/gsin" TargetMode="External"/><Relationship Id="rId82" Type="http://schemas.openxmlformats.org/officeDocument/2006/relationships/hyperlink" Target="http://www.itu.int/en/ITU-T/ipr/Pages/adhoc.aspx" TargetMode="External"/><Relationship Id="rId152" Type="http://schemas.openxmlformats.org/officeDocument/2006/relationships/hyperlink" Target="http://www.trc.gov.lk/images/pdf/eoi_ceir_07032013.pdf" TargetMode="External"/><Relationship Id="rId173" Type="http://schemas.openxmlformats.org/officeDocument/2006/relationships/hyperlink" Target="https://www.itu.int/ITU-D/treg/Events/Seminars/GSR/GSR12/RA12/pdf/Batista3_ARCTEL_Session3_mobilerobbery.pdf" TargetMode="External"/><Relationship Id="rId19" Type="http://schemas.openxmlformats.org/officeDocument/2006/relationships/hyperlink" Target="http://spotafakephone.com//docs/eng/MMF_CounterfeitPhones_EN.pdf" TargetMode="External"/><Relationship Id="rId14" Type="http://schemas.openxmlformats.org/officeDocument/2006/relationships/header" Target="header4.xml"/><Relationship Id="rId30" Type="http://schemas.openxmlformats.org/officeDocument/2006/relationships/hyperlink" Target="http://www.ebay.co.uk/gds/How-to-Identify-a-Fake-Nikon-Camera-/10000000177984982/g.html" TargetMode="External"/><Relationship Id="rId35" Type="http://schemas.openxmlformats.org/officeDocument/2006/relationships/hyperlink" Target="http://www.unep.org/ozonaction/News/Features/2012/SoutheastAsiaexploressynergies/tabid/104354/Default.aspx" TargetMode="External"/><Relationship Id="rId56" Type="http://schemas.openxmlformats.org/officeDocument/2006/relationships/hyperlink" Target="http://www.gs1.org/barcodes/technical/idkeys/sscc" TargetMode="External"/><Relationship Id="rId77" Type="http://schemas.openxmlformats.org/officeDocument/2006/relationships/hyperlink" Target="http://members.iecee.org/iecee/ieceemembers.nsf/cb_bulletin?OpenForm" TargetMode="External"/><Relationship Id="rId100" Type="http://schemas.openxmlformats.org/officeDocument/2006/relationships/hyperlink" Target="http://www.wipo.int/edocs/pubdocs/en/intproperty/489/wipo_pub_489.pdf" TargetMode="External"/><Relationship Id="rId105" Type="http://schemas.openxmlformats.org/officeDocument/2006/relationships/hyperlink" Target="http://www.unece.org/trade/wp6/SectoralInitiatives/MARS/MARS.html" TargetMode="External"/><Relationship Id="rId126" Type="http://schemas.openxmlformats.org/officeDocument/2006/relationships/hyperlink" Target="http://www.gs1.org/gsmp/kc/epcglobal" TargetMode="External"/><Relationship Id="rId147" Type="http://schemas.openxmlformats.org/officeDocument/2006/relationships/hyperlink" Target="http://www.aca.go.ke/index.php?option=com_docman&amp;task=doc_download&amp;gid=20&amp;Itemid=471" TargetMode="External"/><Relationship Id="rId168" Type="http://schemas.openxmlformats.org/officeDocument/2006/relationships/oleObject" Target="embeddings/oleObject14.bin"/><Relationship Id="rId8" Type="http://schemas.openxmlformats.org/officeDocument/2006/relationships/header" Target="header1.xml"/><Relationship Id="rId51" Type="http://schemas.openxmlformats.org/officeDocument/2006/relationships/oleObject" Target="embeddings/oleObject2.bin"/><Relationship Id="rId72" Type="http://schemas.openxmlformats.org/officeDocument/2006/relationships/image" Target="media/image10.emf"/><Relationship Id="rId93" Type="http://schemas.openxmlformats.org/officeDocument/2006/relationships/hyperlink" Target="http://www.ice.gov/doclib/iprcenter/pdf/ipr-fy-2011-seizure-report.pdf" TargetMode="External"/><Relationship Id="rId98" Type="http://schemas.openxmlformats.org/officeDocument/2006/relationships/hyperlink" Target="http://www.bis.doc.gov/index.php/forms-documents/doc_view/37-defense-industrial-base-assessment-of-count" TargetMode="External"/><Relationship Id="rId121" Type="http://schemas.openxmlformats.org/officeDocument/2006/relationships/hyperlink" Target="http://www.gsma.com/imei-database" TargetMode="External"/><Relationship Id="rId142" Type="http://schemas.openxmlformats.org/officeDocument/2006/relationships/oleObject" Target="embeddings/oleObject8.bin"/><Relationship Id="rId163" Type="http://schemas.openxmlformats.org/officeDocument/2006/relationships/image" Target="media/image17.emf"/><Relationship Id="rId3" Type="http://schemas.openxmlformats.org/officeDocument/2006/relationships/styles" Target="styles.xml"/><Relationship Id="rId25" Type="http://schemas.openxmlformats.org/officeDocument/2006/relationships/hyperlink" Target="http://www.judiciary.senate.gov/meetings/counterfeiting-and-theft-of-tangible-intellectual-property-challenges-and-solutions" TargetMode="External"/><Relationship Id="rId46" Type="http://schemas.openxmlformats.org/officeDocument/2006/relationships/hyperlink" Target="http://thor.inemi.org/webdownload/projects/Miniaturization/Counterfeit_WhitePaper_110513.pdf" TargetMode="External"/><Relationship Id="rId67" Type="http://schemas.openxmlformats.org/officeDocument/2006/relationships/hyperlink" Target="https://www.itu.int/rec/T-REC-X.1255-201309-I/en" TargetMode="External"/><Relationship Id="rId116" Type="http://schemas.openxmlformats.org/officeDocument/2006/relationships/hyperlink" Target="http://www.ier.org.tw/smm/6_PAS_141_2011_Reuse_Of_WEEE_And_UEEE.pdf" TargetMode="External"/><Relationship Id="rId137" Type="http://schemas.openxmlformats.org/officeDocument/2006/relationships/hyperlink" Target="http://webstore.ansi.org/RecordDetail.aspx?sku=ANSI+INCITS+371.1-2003" TargetMode="External"/><Relationship Id="rId158" Type="http://schemas.openxmlformats.org/officeDocument/2006/relationships/hyperlink" Target="http://www.ucc.co.ug/files/downloads/Counterfeit%20phones%20Consultative%20Document.pdf" TargetMode="External"/><Relationship Id="rId20" Type="http://schemas.openxmlformats.org/officeDocument/2006/relationships/hyperlink" Target="http://spotafakephone.com//docs/eng/MMF_CounterfeitPhones_EN.pdf" TargetMode="External"/><Relationship Id="rId41" Type="http://schemas.openxmlformats.org/officeDocument/2006/relationships/hyperlink" Target="http://www.inpi.fr/fr/accueil.html" TargetMode="External"/><Relationship Id="rId62" Type="http://schemas.openxmlformats.org/officeDocument/2006/relationships/hyperlink" Target="http://www.gs1.org/barcodes/technical/idkeys/ginc" TargetMode="External"/><Relationship Id="rId83" Type="http://schemas.openxmlformats.org/officeDocument/2006/relationships/hyperlink" Target="http://www.wipo.int/amc/en/events/workshops/2009/itu/index.html" TargetMode="External"/><Relationship Id="rId88" Type="http://schemas.openxmlformats.org/officeDocument/2006/relationships/hyperlink" Target="http://www.itu.int/dms_pub/itu-t/oth/06/5B/T065B00000E0005PPTE.pptx" TargetMode="External"/><Relationship Id="rId111" Type="http://schemas.openxmlformats.org/officeDocument/2006/relationships/hyperlink" Target="http://www.iccwbo.org/policy/ip/id2950/index.html" TargetMode="External"/><Relationship Id="rId132" Type="http://schemas.openxmlformats.org/officeDocument/2006/relationships/hyperlink" Target="http://www.cti-us.com/CCAP.htm" TargetMode="External"/><Relationship Id="rId153" Type="http://schemas.openxmlformats.org/officeDocument/2006/relationships/image" Target="media/image14.emf"/><Relationship Id="rId174" Type="http://schemas.openxmlformats.org/officeDocument/2006/relationships/header" Target="header5.xml"/><Relationship Id="rId15" Type="http://schemas.openxmlformats.org/officeDocument/2006/relationships/footer" Target="footer3.xml"/><Relationship Id="rId36" Type="http://schemas.openxmlformats.org/officeDocument/2006/relationships/hyperlink" Target="http://www.unescap.org/events/wipoescapunep-workshop-environmentally-safe-disposal-ip-infringing-goods" TargetMode="External"/><Relationship Id="rId57" Type="http://schemas.openxmlformats.org/officeDocument/2006/relationships/hyperlink" Target="http://www.gs1.org/barcodes/technical/idkeys/grai" TargetMode="External"/><Relationship Id="rId106" Type="http://schemas.openxmlformats.org/officeDocument/2006/relationships/hyperlink" Target="https://www.gov.uk/government/publications/annual-ip-crime-report-2013-to-2014" TargetMode="External"/><Relationship Id="rId127" Type="http://schemas.openxmlformats.org/officeDocument/2006/relationships/hyperlink" Target="http://www.wcoomd.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legislacao.anatel.gov.br/resolucoes/2007/9-resolucao-477" TargetMode="External"/><Relationship Id="rId3" Type="http://schemas.openxmlformats.org/officeDocument/2006/relationships/hyperlink" Target="https://apps.fcc.gov/oetcf/kdb/forms/FTSSearchResultPage.cfm?id=30744&amp;switch=P" TargetMode="External"/><Relationship Id="rId7" Type="http://schemas.openxmlformats.org/officeDocument/2006/relationships/hyperlink" Target="http://www3.epa.gov/epawaste/education/quest/pdfs/unit1/chap2/u1-2_product-life.pdf" TargetMode="External"/><Relationship Id="rId2" Type="http://schemas.openxmlformats.org/officeDocument/2006/relationships/hyperlink" Target="https://translate.google.com/translate?sl=pt&amp;tl=en&amp;js=y&amp;prev=_t&amp;hl=fr&amp;ie=UTF-8&amp;u=legislacao.anatel.gov.br%2Fresolu%C3%A7%C3%B5es%2F2007%2F192-resolu%C3%A7%C3%A3o-481&amp;edit-text" TargetMode="External"/><Relationship Id="rId1" Type="http://schemas.openxmlformats.org/officeDocument/2006/relationships/hyperlink" Target="http://spotafakephone.com//docs/eng/MMF%5FCounterfeitPhones%5FEN%2Epdf" TargetMode="External"/><Relationship Id="rId6" Type="http://schemas.openxmlformats.org/officeDocument/2006/relationships/hyperlink" Target="http://www.itu.int/en/ITU-D/Initiatives/m-Powering/Pages/default.aspx" TargetMode="External"/><Relationship Id="rId5" Type="http://schemas.openxmlformats.org/officeDocument/2006/relationships/hyperlink" Target="http://exporthelp.europa.eu/thdapp/display.htm?page=rt%2frt_TechnicalRequirements.html&amp;docType=main&amp;languageId=en" TargetMode="External"/><Relationship Id="rId10" Type="http://schemas.openxmlformats.org/officeDocument/2006/relationships/hyperlink" Target="mailto:prre@anatel.gov.br" TargetMode="External"/><Relationship Id="rId4" Type="http://schemas.openxmlformats.org/officeDocument/2006/relationships/hyperlink" Target="http://www.anatel.gov.br/grandeseventos/en/frequently-asked-questions-faqs" TargetMode="External"/><Relationship Id="rId9" Type="http://schemas.openxmlformats.org/officeDocument/2006/relationships/hyperlink" Target="http://www.abrtelecom.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AF11A-DAB3-4A0A-9C26-50FDCB6C1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ItutBasic-Template.dot</Template>
  <TotalTime>205</TotalTime>
  <Pages>76</Pages>
  <Words>34757</Words>
  <Characters>199158</Characters>
  <Application>Microsoft Office Word</Application>
  <DocSecurity>0</DocSecurity>
  <Lines>9957</Lines>
  <Paragraphs>4678</Paragraphs>
  <ScaleCrop>false</ScaleCrop>
  <HeadingPairs>
    <vt:vector size="6" baseType="variant">
      <vt:variant>
        <vt:lpstr>Title</vt:lpstr>
      </vt:variant>
      <vt:variant>
        <vt:i4>1</vt:i4>
      </vt:variant>
      <vt:variant>
        <vt:lpstr>Título</vt:lpstr>
      </vt:variant>
      <vt:variant>
        <vt:i4>1</vt:i4>
      </vt:variant>
      <vt:variant>
        <vt:lpstr>Rubrik</vt:lpstr>
      </vt:variant>
      <vt:variant>
        <vt:i4>1</vt:i4>
      </vt:variant>
    </vt:vector>
  </HeadingPairs>
  <TitlesOfParts>
    <vt:vector size="3" baseType="lpstr">
      <vt:lpstr>Output - Draft Technical Report on Counterfeiting</vt:lpstr>
      <vt:lpstr>Output - Draft Technical Report on Counterfeiting</vt:lpstr>
      <vt:lpstr>Output – Draft Technical Report on Counterfeit Equipment</vt:lpstr>
    </vt:vector>
  </TitlesOfParts>
  <Manager>ITU-T</Manager>
  <Company>International Telecommunication Union (ITU)</Company>
  <LinksUpToDate>false</LinksUpToDate>
  <CharactersWithSpaces>229237</CharactersWithSpaces>
  <SharedDoc>false</SharedDoc>
  <HLinks>
    <vt:vector size="300" baseType="variant">
      <vt:variant>
        <vt:i4>6226009</vt:i4>
      </vt:variant>
      <vt:variant>
        <vt:i4>291</vt:i4>
      </vt:variant>
      <vt:variant>
        <vt:i4>0</vt:i4>
      </vt:variant>
      <vt:variant>
        <vt:i4>5</vt:i4>
      </vt:variant>
      <vt:variant>
        <vt:lpwstr>http://www.itu.int/ITU-D/tech/NGN/ConformanceInterop/PP10_Resolution177.pdf</vt:lpwstr>
      </vt:variant>
      <vt:variant>
        <vt:lpwstr/>
      </vt:variant>
      <vt:variant>
        <vt:i4>262158</vt:i4>
      </vt:variant>
      <vt:variant>
        <vt:i4>288</vt:i4>
      </vt:variant>
      <vt:variant>
        <vt:i4>0</vt:i4>
      </vt:variant>
      <vt:variant>
        <vt:i4>5</vt:i4>
      </vt:variant>
      <vt:variant>
        <vt:lpwstr>http://www.ipo.gov.uk/ipctoolkit.pdf</vt:lpwstr>
      </vt:variant>
      <vt:variant>
        <vt:lpwstr/>
      </vt:variant>
      <vt:variant>
        <vt:i4>2883628</vt:i4>
      </vt:variant>
      <vt:variant>
        <vt:i4>285</vt:i4>
      </vt:variant>
      <vt:variant>
        <vt:i4>0</vt:i4>
      </vt:variant>
      <vt:variant>
        <vt:i4>5</vt:i4>
      </vt:variant>
      <vt:variant>
        <vt:lpwstr>http://www.cti-us.com/CCAP.htm</vt:lpwstr>
      </vt:variant>
      <vt:variant>
        <vt:lpwstr/>
      </vt:variant>
      <vt:variant>
        <vt:i4>4718707</vt:i4>
      </vt:variant>
      <vt:variant>
        <vt:i4>282</vt:i4>
      </vt:variant>
      <vt:variant>
        <vt:i4>0</vt:i4>
      </vt:variant>
      <vt:variant>
        <vt:i4>5</vt:i4>
      </vt:variant>
      <vt:variant>
        <vt:lpwstr>http://www.anticounterfeitingforum.org.uk/best_practice.aspx</vt:lpwstr>
      </vt:variant>
      <vt:variant>
        <vt:lpwstr/>
      </vt:variant>
      <vt:variant>
        <vt:i4>7143530</vt:i4>
      </vt:variant>
      <vt:variant>
        <vt:i4>279</vt:i4>
      </vt:variant>
      <vt:variant>
        <vt:i4>0</vt:i4>
      </vt:variant>
      <vt:variant>
        <vt:i4>5</vt:i4>
      </vt:variant>
      <vt:variant>
        <vt:lpwstr>http://www.nia.din.de/gremien/NA+043-01-31+AA/en/54773446.html</vt:lpwstr>
      </vt:variant>
      <vt:variant>
        <vt:lpwstr/>
      </vt:variant>
      <vt:variant>
        <vt:i4>7929880</vt:i4>
      </vt:variant>
      <vt:variant>
        <vt:i4>276</vt:i4>
      </vt:variant>
      <vt:variant>
        <vt:i4>0</vt:i4>
      </vt:variant>
      <vt:variant>
        <vt:i4>5</vt:i4>
      </vt:variant>
      <vt:variant>
        <vt:lpwstr>http://www.unece.org/fileadmin/DAM/trade/wp6/Recommendations/Rec_M.pdf</vt:lpwstr>
      </vt:variant>
      <vt:variant>
        <vt:lpwstr/>
      </vt:variant>
      <vt:variant>
        <vt:i4>6029367</vt:i4>
      </vt:variant>
      <vt:variant>
        <vt:i4>273</vt:i4>
      </vt:variant>
      <vt:variant>
        <vt:i4>0</vt:i4>
      </vt:variant>
      <vt:variant>
        <vt:i4>5</vt:i4>
      </vt:variant>
      <vt:variant>
        <vt:lpwstr>http://www.unece.org/fileadmin/DAM/trade/wp6/documents/2009/WP6_2009_13e_final.pdf</vt:lpwstr>
      </vt:variant>
      <vt:variant>
        <vt:lpwstr/>
      </vt:variant>
      <vt:variant>
        <vt:i4>6684780</vt:i4>
      </vt:variant>
      <vt:variant>
        <vt:i4>270</vt:i4>
      </vt:variant>
      <vt:variant>
        <vt:i4>0</vt:i4>
      </vt:variant>
      <vt:variant>
        <vt:i4>5</vt:i4>
      </vt:variant>
      <vt:variant>
        <vt:lpwstr>http://www.wcoomd.org/files/1. Public files/PDFandDocuments/Procedures and Facilitation/safe_package/safe_package_I_2011.pdf</vt:lpwstr>
      </vt:variant>
      <vt:variant>
        <vt:lpwstr/>
      </vt:variant>
      <vt:variant>
        <vt:i4>5701646</vt:i4>
      </vt:variant>
      <vt:variant>
        <vt:i4>267</vt:i4>
      </vt:variant>
      <vt:variant>
        <vt:i4>0</vt:i4>
      </vt:variant>
      <vt:variant>
        <vt:i4>5</vt:i4>
      </vt:variant>
      <vt:variant>
        <vt:lpwstr>http://www.gs1.org/gsmp/kc/epcglobal</vt:lpwstr>
      </vt:variant>
      <vt:variant>
        <vt:lpwstr/>
      </vt:variant>
      <vt:variant>
        <vt:i4>4980798</vt:i4>
      </vt:variant>
      <vt:variant>
        <vt:i4>264</vt:i4>
      </vt:variant>
      <vt:variant>
        <vt:i4>0</vt:i4>
      </vt:variant>
      <vt:variant>
        <vt:i4>5</vt:i4>
      </vt:variant>
      <vt:variant>
        <vt:lpwstr>http://www.uidcenter.org/learning-about-ucode</vt:lpwstr>
      </vt:variant>
      <vt:variant>
        <vt:lpwstr/>
      </vt:variant>
      <vt:variant>
        <vt:i4>5374015</vt:i4>
      </vt:variant>
      <vt:variant>
        <vt:i4>261</vt:i4>
      </vt:variant>
      <vt:variant>
        <vt:i4>0</vt:i4>
      </vt:variant>
      <vt:variant>
        <vt:i4>5</vt:i4>
      </vt:variant>
      <vt:variant>
        <vt:lpwstr>http://www.dailytrust.com.ng/index.php?option=com_content&amp;view=article&amp;id=160408:kenya-to-demobilise-all-fake-phones&amp;catid=1:news&amp;Itemid=2</vt:lpwstr>
      </vt:variant>
      <vt:variant>
        <vt:lpwstr/>
      </vt:variant>
      <vt:variant>
        <vt:i4>7602180</vt:i4>
      </vt:variant>
      <vt:variant>
        <vt:i4>258</vt:i4>
      </vt:variant>
      <vt:variant>
        <vt:i4>0</vt:i4>
      </vt:variant>
      <vt:variant>
        <vt:i4>5</vt:i4>
      </vt:variant>
      <vt:variant>
        <vt:lpwstr>http://www.numberingplans.com/?page=analysis&amp;sub=imeinr</vt:lpwstr>
      </vt:variant>
      <vt:variant>
        <vt:lpwstr/>
      </vt:variant>
      <vt:variant>
        <vt:i4>5308465</vt:i4>
      </vt:variant>
      <vt:variant>
        <vt:i4>255</vt:i4>
      </vt:variant>
      <vt:variant>
        <vt:i4>0</vt:i4>
      </vt:variant>
      <vt:variant>
        <vt:i4>5</vt:i4>
      </vt:variant>
      <vt:variant>
        <vt:lpwstr>http://shop.bsigroup.com/en/ProductDetail/?pid=000000000030245346</vt:lpwstr>
      </vt:variant>
      <vt:variant>
        <vt:lpwstr/>
      </vt:variant>
      <vt:variant>
        <vt:i4>7143446</vt:i4>
      </vt:variant>
      <vt:variant>
        <vt:i4>252</vt:i4>
      </vt:variant>
      <vt:variant>
        <vt:i4>0</vt:i4>
      </vt:variant>
      <vt:variant>
        <vt:i4>5</vt:i4>
      </vt:variant>
      <vt:variant>
        <vt:lpwstr>http://www.bbc.co.uk/news/world-europe-10846395</vt:lpwstr>
      </vt:variant>
      <vt:variant>
        <vt:lpwstr/>
      </vt:variant>
      <vt:variant>
        <vt:i4>7012473</vt:i4>
      </vt:variant>
      <vt:variant>
        <vt:i4>249</vt:i4>
      </vt:variant>
      <vt:variant>
        <vt:i4>0</vt:i4>
      </vt:variant>
      <vt:variant>
        <vt:i4>5</vt:i4>
      </vt:variant>
      <vt:variant>
        <vt:lpwstr>http://www.bbc.co.uk/panorama/hi/front_page/newsid_9483000/9483148.stm</vt:lpwstr>
      </vt:variant>
      <vt:variant>
        <vt:lpwstr/>
      </vt:variant>
      <vt:variant>
        <vt:i4>6750228</vt:i4>
      </vt:variant>
      <vt:variant>
        <vt:i4>246</vt:i4>
      </vt:variant>
      <vt:variant>
        <vt:i4>0</vt:i4>
      </vt:variant>
      <vt:variant>
        <vt:i4>5</vt:i4>
      </vt:variant>
      <vt:variant>
        <vt:lpwstr>http://archive.basel.int/convention/basics.html</vt:lpwstr>
      </vt:variant>
      <vt:variant>
        <vt:lpwstr/>
      </vt:variant>
      <vt:variant>
        <vt:i4>5570609</vt:i4>
      </vt:variant>
      <vt:variant>
        <vt:i4>243</vt:i4>
      </vt:variant>
      <vt:variant>
        <vt:i4>0</vt:i4>
      </vt:variant>
      <vt:variant>
        <vt:i4>5</vt:i4>
      </vt:variant>
      <vt:variant>
        <vt:lpwstr>http://www.anticounterfeitingforum.org.uk</vt:lpwstr>
      </vt:variant>
      <vt:variant>
        <vt:lpwstr/>
      </vt:variant>
      <vt:variant>
        <vt:i4>1769494</vt:i4>
      </vt:variant>
      <vt:variant>
        <vt:i4>240</vt:i4>
      </vt:variant>
      <vt:variant>
        <vt:i4>0</vt:i4>
      </vt:variant>
      <vt:variant>
        <vt:i4>5</vt:i4>
      </vt:variant>
      <vt:variant>
        <vt:lpwstr>https://iacc.org</vt:lpwstr>
      </vt:variant>
      <vt:variant>
        <vt:lpwstr/>
      </vt:variant>
      <vt:variant>
        <vt:i4>1310847</vt:i4>
      </vt:variant>
      <vt:variant>
        <vt:i4>237</vt:i4>
      </vt:variant>
      <vt:variant>
        <vt:i4>0</vt:i4>
      </vt:variant>
      <vt:variant>
        <vt:i4>5</vt:i4>
      </vt:variant>
      <vt:variant>
        <vt:lpwstr>http://www.iccwbo.org/policy/ip/id2950/index.html</vt:lpwstr>
      </vt:variant>
      <vt:variant>
        <vt:lpwstr/>
      </vt:variant>
      <vt:variant>
        <vt:i4>6881288</vt:i4>
      </vt:variant>
      <vt:variant>
        <vt:i4>234</vt:i4>
      </vt:variant>
      <vt:variant>
        <vt:i4>0</vt:i4>
      </vt:variant>
      <vt:variant>
        <vt:i4>5</vt:i4>
      </vt:variant>
      <vt:variant>
        <vt:lpwstr>http://www.iccwbo.org/bascap/id42204/index.html</vt:lpwstr>
      </vt:variant>
      <vt:variant>
        <vt:lpwstr/>
      </vt:variant>
      <vt:variant>
        <vt:i4>4063334</vt:i4>
      </vt:variant>
      <vt:variant>
        <vt:i4>231</vt:i4>
      </vt:variant>
      <vt:variant>
        <vt:i4>0</vt:i4>
      </vt:variant>
      <vt:variant>
        <vt:i4>5</vt:i4>
      </vt:variant>
      <vt:variant>
        <vt:lpwstr>http://www.iccwbo.org/bascap/id7608/index.html</vt:lpwstr>
      </vt:variant>
      <vt:variant>
        <vt:lpwstr/>
      </vt:variant>
      <vt:variant>
        <vt:i4>3735648</vt:i4>
      </vt:variant>
      <vt:variant>
        <vt:i4>228</vt:i4>
      </vt:variant>
      <vt:variant>
        <vt:i4>0</vt:i4>
      </vt:variant>
      <vt:variant>
        <vt:i4>5</vt:i4>
      </vt:variant>
      <vt:variant>
        <vt:lpwstr>http://www.iccwbo.org/bascap/id6169/index.html</vt:lpwstr>
      </vt:variant>
      <vt:variant>
        <vt:lpwstr/>
      </vt:variant>
      <vt:variant>
        <vt:i4>983044</vt:i4>
      </vt:variant>
      <vt:variant>
        <vt:i4>225</vt:i4>
      </vt:variant>
      <vt:variant>
        <vt:i4>0</vt:i4>
      </vt:variant>
      <vt:variant>
        <vt:i4>5</vt:i4>
      </vt:variant>
      <vt:variant>
        <vt:lpwstr>http://www.aca.or.ke</vt:lpwstr>
      </vt:variant>
      <vt:variant>
        <vt:lpwstr/>
      </vt:variant>
      <vt:variant>
        <vt:i4>2293829</vt:i4>
      </vt:variant>
      <vt:variant>
        <vt:i4>222</vt:i4>
      </vt:variant>
      <vt:variant>
        <vt:i4>0</vt:i4>
      </vt:variant>
      <vt:variant>
        <vt:i4>5</vt:i4>
      </vt:variant>
      <vt:variant>
        <vt:lpwstr>http://www.ipo.gov.uk/ipenforce/ipenforce-resources.htm</vt:lpwstr>
      </vt:variant>
      <vt:variant>
        <vt:lpwstr/>
      </vt:variant>
      <vt:variant>
        <vt:i4>4587556</vt:i4>
      </vt:variant>
      <vt:variant>
        <vt:i4>219</vt:i4>
      </vt:variant>
      <vt:variant>
        <vt:i4>0</vt:i4>
      </vt:variant>
      <vt:variant>
        <vt:i4>5</vt:i4>
      </vt:variant>
      <vt:variant>
        <vt:lpwstr>http://www.unece.org/trade/wp6/SectoralInitiatives/MARS/MARS.html</vt:lpwstr>
      </vt:variant>
      <vt:variant>
        <vt:lpwstr/>
      </vt:variant>
      <vt:variant>
        <vt:i4>7405653</vt:i4>
      </vt:variant>
      <vt:variant>
        <vt:i4>216</vt:i4>
      </vt:variant>
      <vt:variant>
        <vt:i4>0</vt:i4>
      </vt:variant>
      <vt:variant>
        <vt:i4>5</vt:i4>
      </vt:variant>
      <vt:variant>
        <vt:lpwstr>http://www.canadainternational.gc.ca/g8/summit-sommet/2009/ipeg.aspx?view=d</vt:lpwstr>
      </vt:variant>
      <vt:variant>
        <vt:lpwstr/>
      </vt:variant>
      <vt:variant>
        <vt:i4>7077949</vt:i4>
      </vt:variant>
      <vt:variant>
        <vt:i4>213</vt:i4>
      </vt:variant>
      <vt:variant>
        <vt:i4>0</vt:i4>
      </vt:variant>
      <vt:variant>
        <vt:i4>5</vt:i4>
      </vt:variant>
      <vt:variant>
        <vt:lpwstr>http://ipmpromo.wcoomdpublications.org</vt:lpwstr>
      </vt:variant>
      <vt:variant>
        <vt:lpwstr/>
      </vt:variant>
      <vt:variant>
        <vt:i4>7274538</vt:i4>
      </vt:variant>
      <vt:variant>
        <vt:i4>210</vt:i4>
      </vt:variant>
      <vt:variant>
        <vt:i4>0</vt:i4>
      </vt:variant>
      <vt:variant>
        <vt:i4>5</vt:i4>
      </vt:variant>
      <vt:variant>
        <vt:lpwstr>http://www.wipo.int/treaties/en/ip/paris/trtdocs_wo020.html</vt:lpwstr>
      </vt:variant>
      <vt:variant>
        <vt:lpwstr/>
      </vt:variant>
      <vt:variant>
        <vt:i4>4718674</vt:i4>
      </vt:variant>
      <vt:variant>
        <vt:i4>207</vt:i4>
      </vt:variant>
      <vt:variant>
        <vt:i4>0</vt:i4>
      </vt:variant>
      <vt:variant>
        <vt:i4>5</vt:i4>
      </vt:variant>
      <vt:variant>
        <vt:lpwstr>http://www.wipo.int/export/sites/www/about-ip/en/iprm/pdf/ip_handbook.pdf</vt:lpwstr>
      </vt:variant>
      <vt:variant>
        <vt:lpwstr/>
      </vt:variant>
      <vt:variant>
        <vt:i4>131102</vt:i4>
      </vt:variant>
      <vt:variant>
        <vt:i4>204</vt:i4>
      </vt:variant>
      <vt:variant>
        <vt:i4>0</vt:i4>
      </vt:variant>
      <vt:variant>
        <vt:i4>5</vt:i4>
      </vt:variant>
      <vt:variant>
        <vt:lpwstr>http://www.bis.doc.gov/defenseindustrialbaseprograms/osies/defmarketresearchrpts/final_counterfeit_electronics_report.pdf</vt:lpwstr>
      </vt:variant>
      <vt:variant>
        <vt:lpwstr/>
      </vt:variant>
      <vt:variant>
        <vt:i4>8323125</vt:i4>
      </vt:variant>
      <vt:variant>
        <vt:i4>201</vt:i4>
      </vt:variant>
      <vt:variant>
        <vt:i4>0</vt:i4>
      </vt:variant>
      <vt:variant>
        <vt:i4>5</vt:i4>
      </vt:variant>
      <vt:variant>
        <vt:lpwstr>http://www.idc.com/getdoc.jsp?containerId=prUS23297412</vt:lpwstr>
      </vt:variant>
      <vt:variant>
        <vt:lpwstr/>
      </vt:variant>
      <vt:variant>
        <vt:i4>3801133</vt:i4>
      </vt:variant>
      <vt:variant>
        <vt:i4>198</vt:i4>
      </vt:variant>
      <vt:variant>
        <vt:i4>0</vt:i4>
      </vt:variant>
      <vt:variant>
        <vt:i4>5</vt:i4>
      </vt:variant>
      <vt:variant>
        <vt:lpwstr>http://www.spotafakephone.com/</vt:lpwstr>
      </vt:variant>
      <vt:variant>
        <vt:lpwstr/>
      </vt:variant>
      <vt:variant>
        <vt:i4>2883701</vt:i4>
      </vt:variant>
      <vt:variant>
        <vt:i4>195</vt:i4>
      </vt:variant>
      <vt:variant>
        <vt:i4>0</vt:i4>
      </vt:variant>
      <vt:variant>
        <vt:i4>5</vt:i4>
      </vt:variant>
      <vt:variant>
        <vt:lpwstr>http://www.havocscope.com/counterfeit-hp-printing-supplies</vt:lpwstr>
      </vt:variant>
      <vt:variant>
        <vt:lpwstr/>
      </vt:variant>
      <vt:variant>
        <vt:i4>720931</vt:i4>
      </vt:variant>
      <vt:variant>
        <vt:i4>192</vt:i4>
      </vt:variant>
      <vt:variant>
        <vt:i4>0</vt:i4>
      </vt:variant>
      <vt:variant>
        <vt:i4>5</vt:i4>
      </vt:variant>
      <vt:variant>
        <vt:lpwstr>https://iacc.org/about-counterfeiting/advocacy-policy.php</vt:lpwstr>
      </vt:variant>
      <vt:variant>
        <vt:lpwstr/>
      </vt:variant>
      <vt:variant>
        <vt:i4>6881287</vt:i4>
      </vt:variant>
      <vt:variant>
        <vt:i4>189</vt:i4>
      </vt:variant>
      <vt:variant>
        <vt:i4>0</vt:i4>
      </vt:variant>
      <vt:variant>
        <vt:i4>5</vt:i4>
      </vt:variant>
      <vt:variant>
        <vt:lpwstr>http://www.iccwbo.org/uploadedFiles/BASCAP/Pages/Global Impacts - Final.pdf</vt:lpwstr>
      </vt:variant>
      <vt:variant>
        <vt:lpwstr/>
      </vt:variant>
      <vt:variant>
        <vt:i4>3276843</vt:i4>
      </vt:variant>
      <vt:variant>
        <vt:i4>186</vt:i4>
      </vt:variant>
      <vt:variant>
        <vt:i4>0</vt:i4>
      </vt:variant>
      <vt:variant>
        <vt:i4>5</vt:i4>
      </vt:variant>
      <vt:variant>
        <vt:lpwstr>http://www.icc-ccs.org/icc/cib</vt:lpwstr>
      </vt:variant>
      <vt:variant>
        <vt:lpwstr/>
      </vt:variant>
      <vt:variant>
        <vt:i4>3735632</vt:i4>
      </vt:variant>
      <vt:variant>
        <vt:i4>183</vt:i4>
      </vt:variant>
      <vt:variant>
        <vt:i4>0</vt:i4>
      </vt:variant>
      <vt:variant>
        <vt:i4>5</vt:i4>
      </vt:variant>
      <vt:variant>
        <vt:lpwstr>http://www.oecd.org/dataoecd/57/27/44088872.pdf</vt:lpwstr>
      </vt:variant>
      <vt:variant>
        <vt:lpwstr/>
      </vt:variant>
      <vt:variant>
        <vt:i4>1114221</vt:i4>
      </vt:variant>
      <vt:variant>
        <vt:i4>180</vt:i4>
      </vt:variant>
      <vt:variant>
        <vt:i4>0</vt:i4>
      </vt:variant>
      <vt:variant>
        <vt:i4>5</vt:i4>
      </vt:variant>
      <vt:variant>
        <vt:lpwstr>http://www.gs1.org/barcodes/technical/idkeys/ginc</vt:lpwstr>
      </vt:variant>
      <vt:variant>
        <vt:lpwstr/>
      </vt:variant>
      <vt:variant>
        <vt:i4>1441914</vt:i4>
      </vt:variant>
      <vt:variant>
        <vt:i4>177</vt:i4>
      </vt:variant>
      <vt:variant>
        <vt:i4>0</vt:i4>
      </vt:variant>
      <vt:variant>
        <vt:i4>5</vt:i4>
      </vt:variant>
      <vt:variant>
        <vt:lpwstr>http://www.gs1.org/barcodes/technical/idkeys/gsin</vt:lpwstr>
      </vt:variant>
      <vt:variant>
        <vt:lpwstr/>
      </vt:variant>
      <vt:variant>
        <vt:i4>721002</vt:i4>
      </vt:variant>
      <vt:variant>
        <vt:i4>174</vt:i4>
      </vt:variant>
      <vt:variant>
        <vt:i4>0</vt:i4>
      </vt:variant>
      <vt:variant>
        <vt:i4>5</vt:i4>
      </vt:variant>
      <vt:variant>
        <vt:lpwstr>http://www.gs1.org/barcodes/technical/idkeys/gdti</vt:lpwstr>
      </vt:variant>
      <vt:variant>
        <vt:lpwstr/>
      </vt:variant>
      <vt:variant>
        <vt:i4>852090</vt:i4>
      </vt:variant>
      <vt:variant>
        <vt:i4>171</vt:i4>
      </vt:variant>
      <vt:variant>
        <vt:i4>0</vt:i4>
      </vt:variant>
      <vt:variant>
        <vt:i4>5</vt:i4>
      </vt:variant>
      <vt:variant>
        <vt:lpwstr>http://www.gs1.org/barcodes/technical/idkeys/gsrn</vt:lpwstr>
      </vt:variant>
      <vt:variant>
        <vt:lpwstr/>
      </vt:variant>
      <vt:variant>
        <vt:i4>1966183</vt:i4>
      </vt:variant>
      <vt:variant>
        <vt:i4>168</vt:i4>
      </vt:variant>
      <vt:variant>
        <vt:i4>0</vt:i4>
      </vt:variant>
      <vt:variant>
        <vt:i4>5</vt:i4>
      </vt:variant>
      <vt:variant>
        <vt:lpwstr>http://www.gs1.org/barcodes/technical/idkeys/giai</vt:lpwstr>
      </vt:variant>
      <vt:variant>
        <vt:lpwstr/>
      </vt:variant>
      <vt:variant>
        <vt:i4>1966204</vt:i4>
      </vt:variant>
      <vt:variant>
        <vt:i4>165</vt:i4>
      </vt:variant>
      <vt:variant>
        <vt:i4>0</vt:i4>
      </vt:variant>
      <vt:variant>
        <vt:i4>5</vt:i4>
      </vt:variant>
      <vt:variant>
        <vt:lpwstr>http://www.gs1.org/barcodes/technical/idkeys/grai</vt:lpwstr>
      </vt:variant>
      <vt:variant>
        <vt:lpwstr/>
      </vt:variant>
      <vt:variant>
        <vt:i4>524407</vt:i4>
      </vt:variant>
      <vt:variant>
        <vt:i4>162</vt:i4>
      </vt:variant>
      <vt:variant>
        <vt:i4>0</vt:i4>
      </vt:variant>
      <vt:variant>
        <vt:i4>5</vt:i4>
      </vt:variant>
      <vt:variant>
        <vt:lpwstr>http://www.gs1.org/barcodes/technical/idkeys/sscc</vt:lpwstr>
      </vt:variant>
      <vt:variant>
        <vt:lpwstr/>
      </vt:variant>
      <vt:variant>
        <vt:i4>1114123</vt:i4>
      </vt:variant>
      <vt:variant>
        <vt:i4>159</vt:i4>
      </vt:variant>
      <vt:variant>
        <vt:i4>0</vt:i4>
      </vt:variant>
      <vt:variant>
        <vt:i4>5</vt:i4>
      </vt:variant>
      <vt:variant>
        <vt:lpwstr>http://www.gs1.org/barcodes/technical/idkeys/gln</vt:lpwstr>
      </vt:variant>
      <vt:variant>
        <vt:lpwstr/>
      </vt:variant>
      <vt:variant>
        <vt:i4>1441917</vt:i4>
      </vt:variant>
      <vt:variant>
        <vt:i4>156</vt:i4>
      </vt:variant>
      <vt:variant>
        <vt:i4>0</vt:i4>
      </vt:variant>
      <vt:variant>
        <vt:i4>5</vt:i4>
      </vt:variant>
      <vt:variant>
        <vt:lpwstr>http://www.gs1.org/barcodes/technical/idkeys/gtin</vt:lpwstr>
      </vt:variant>
      <vt:variant>
        <vt:lpwstr/>
      </vt:variant>
      <vt:variant>
        <vt:i4>5636222</vt:i4>
      </vt:variant>
      <vt:variant>
        <vt:i4>153</vt:i4>
      </vt:variant>
      <vt:variant>
        <vt:i4>0</vt:i4>
      </vt:variant>
      <vt:variant>
        <vt:i4>5</vt:i4>
      </vt:variant>
      <vt:variant>
        <vt:lpwstr>http://www.unifab.com/en/</vt:lpwstr>
      </vt:variant>
      <vt:variant>
        <vt:lpwstr/>
      </vt:variant>
      <vt:variant>
        <vt:i4>3604576</vt:i4>
      </vt:variant>
      <vt:variant>
        <vt:i4>150</vt:i4>
      </vt:variant>
      <vt:variant>
        <vt:i4>0</vt:i4>
      </vt:variant>
      <vt:variant>
        <vt:i4>5</vt:i4>
      </vt:variant>
      <vt:variant>
        <vt:lpwstr>http://www.economie.gouv.fr/signature-deux-nouvelles-chartes-lutte-contre-contrefacon-sur-internet</vt:lpwstr>
      </vt:variant>
      <vt:variant>
        <vt:lpwstr/>
      </vt:variant>
      <vt:variant>
        <vt:i4>1310778</vt:i4>
      </vt:variant>
      <vt:variant>
        <vt:i4>147</vt:i4>
      </vt:variant>
      <vt:variant>
        <vt:i4>0</vt:i4>
      </vt:variant>
      <vt:variant>
        <vt:i4>5</vt:i4>
      </vt:variant>
      <vt:variant>
        <vt:lpwstr>http://www.inpi.fr/fr/connaitre-la-pi/lutte-anti-contrefacon.html</vt:lpwstr>
      </vt:variant>
      <vt:variant>
        <vt:lpwstr/>
      </vt:variant>
      <vt:variant>
        <vt:i4>7471185</vt:i4>
      </vt:variant>
      <vt:variant>
        <vt:i4>144</vt:i4>
      </vt:variant>
      <vt:variant>
        <vt:i4>0</vt:i4>
      </vt:variant>
      <vt:variant>
        <vt:i4>5</vt:i4>
      </vt:variant>
      <vt:variant>
        <vt:lpwstr>http://trade.ec.europa.eu/doclib/docs/2012/january/tradoc_149003.pdf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Output - Draft Technical Report on Counterfeiting</dc:title>
  <dc:creator>Editor</dc:creator>
  <cp:keywords>8/11</cp:keywords>
  <cp:lastModifiedBy>Norton Viard, Emma</cp:lastModifiedBy>
  <cp:revision>22</cp:revision>
  <cp:lastPrinted>2016-04-07T10:05:00Z</cp:lastPrinted>
  <dcterms:created xsi:type="dcterms:W3CDTF">2016-03-31T13:23:00Z</dcterms:created>
  <dcterms:modified xsi:type="dcterms:W3CDTF">2016-04-07T10:06:00Z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341 (GEN/11)</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8/11</vt:lpwstr>
  </property>
  <property fmtid="{D5CDD505-2E9C-101B-9397-08002B2CF9AE}" pid="6" name="Docdest">
    <vt:lpwstr>Geneva, 21 February 2014</vt:lpwstr>
  </property>
  <property fmtid="{D5CDD505-2E9C-101B-9397-08002B2CF9AE}" pid="7" name="Docauthor">
    <vt:lpwstr>Editor</vt:lpwstr>
  </property>
</Properties>
</file>