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RPr="00F06884" w14:paraId="11197BC5" w14:textId="77777777" w:rsidTr="00E02690">
        <w:trPr>
          <w:trHeight w:hRule="exact" w:val="1418"/>
        </w:trPr>
        <w:tc>
          <w:tcPr>
            <w:tcW w:w="1428" w:type="dxa"/>
            <w:gridSpan w:val="2"/>
          </w:tcPr>
          <w:p w14:paraId="4FA26E24" w14:textId="77777777" w:rsidR="00E02690" w:rsidRPr="00F06884" w:rsidRDefault="00E02690" w:rsidP="00E02690">
            <w:pPr>
              <w:rPr>
                <w:lang w:val="en-GB"/>
              </w:rPr>
            </w:pPr>
          </w:p>
          <w:p w14:paraId="25682EDA" w14:textId="77777777" w:rsidR="00E02690" w:rsidRPr="00F06884" w:rsidRDefault="00E02690" w:rsidP="00E02690">
            <w:pPr>
              <w:spacing w:before="0"/>
              <w:rPr>
                <w:b/>
                <w:sz w:val="16"/>
                <w:lang w:val="en-GB"/>
              </w:rPr>
            </w:pPr>
          </w:p>
        </w:tc>
        <w:tc>
          <w:tcPr>
            <w:tcW w:w="8520" w:type="dxa"/>
            <w:gridSpan w:val="3"/>
          </w:tcPr>
          <w:p w14:paraId="28DA1785" w14:textId="77777777" w:rsidR="00E02690" w:rsidRPr="00F06884" w:rsidRDefault="00E02690" w:rsidP="00E02690">
            <w:pPr>
              <w:spacing w:before="0"/>
              <w:rPr>
                <w:rFonts w:ascii="Arial" w:hAnsi="Arial" w:cs="Arial"/>
                <w:lang w:val="en-GB"/>
              </w:rPr>
            </w:pPr>
          </w:p>
          <w:p w14:paraId="51C5173E" w14:textId="77777777" w:rsidR="00E02690" w:rsidRPr="00F06884" w:rsidRDefault="00E02690" w:rsidP="00E02690">
            <w:pPr>
              <w:spacing w:before="284"/>
              <w:rPr>
                <w:rFonts w:ascii="Arial" w:hAnsi="Arial" w:cs="Arial"/>
                <w:b/>
                <w:bCs/>
                <w:sz w:val="18"/>
                <w:lang w:val="en-GB"/>
              </w:rPr>
            </w:pPr>
            <w:r w:rsidRPr="00F06884">
              <w:rPr>
                <w:rFonts w:ascii="Arial" w:hAnsi="Arial" w:cs="Arial"/>
                <w:b/>
                <w:bCs/>
                <w:color w:val="808080"/>
                <w:spacing w:val="100"/>
                <w:lang w:val="en-GB"/>
              </w:rPr>
              <w:t>International Telecommunication Union</w:t>
            </w:r>
          </w:p>
        </w:tc>
      </w:tr>
      <w:tr w:rsidR="00E02690" w:rsidRPr="00F06884" w14:paraId="4E8556AF" w14:textId="77777777" w:rsidTr="00E02690">
        <w:trPr>
          <w:trHeight w:hRule="exact" w:val="992"/>
        </w:trPr>
        <w:tc>
          <w:tcPr>
            <w:tcW w:w="1428" w:type="dxa"/>
            <w:gridSpan w:val="2"/>
          </w:tcPr>
          <w:p w14:paraId="19ADEAAB" w14:textId="77777777" w:rsidR="00E02690" w:rsidRPr="00F06884" w:rsidRDefault="00E02690" w:rsidP="00E02690">
            <w:pPr>
              <w:spacing w:before="0"/>
              <w:rPr>
                <w:lang w:val="en-GB"/>
              </w:rPr>
            </w:pPr>
          </w:p>
        </w:tc>
        <w:tc>
          <w:tcPr>
            <w:tcW w:w="8520" w:type="dxa"/>
            <w:gridSpan w:val="3"/>
          </w:tcPr>
          <w:p w14:paraId="40105B24" w14:textId="77777777" w:rsidR="00E02690" w:rsidRPr="00F06884" w:rsidRDefault="00E02690" w:rsidP="00E02690">
            <w:pPr>
              <w:rPr>
                <w:lang w:val="en-GB"/>
              </w:rPr>
            </w:pPr>
          </w:p>
        </w:tc>
      </w:tr>
      <w:tr w:rsidR="00E02690" w:rsidRPr="00F06884" w14:paraId="42390110" w14:textId="77777777" w:rsidTr="00E02690">
        <w:tblPrEx>
          <w:tblCellMar>
            <w:left w:w="85" w:type="dxa"/>
            <w:right w:w="85" w:type="dxa"/>
          </w:tblCellMar>
        </w:tblPrEx>
        <w:trPr>
          <w:gridBefore w:val="2"/>
          <w:wBefore w:w="1428" w:type="dxa"/>
        </w:trPr>
        <w:tc>
          <w:tcPr>
            <w:tcW w:w="2520" w:type="dxa"/>
          </w:tcPr>
          <w:p w14:paraId="6C5B52E9" w14:textId="77777777" w:rsidR="00E02690" w:rsidRPr="00F06884" w:rsidRDefault="00E02690" w:rsidP="00E02690">
            <w:pPr>
              <w:rPr>
                <w:b/>
                <w:sz w:val="18"/>
                <w:lang w:val="en-GB"/>
              </w:rPr>
            </w:pPr>
            <w:bookmarkStart w:id="0" w:name="dnume" w:colFirst="1" w:colLast="1"/>
            <w:r w:rsidRPr="00F06884">
              <w:rPr>
                <w:rFonts w:ascii="Arial" w:hAnsi="Arial"/>
                <w:b/>
                <w:spacing w:val="40"/>
                <w:sz w:val="72"/>
                <w:lang w:val="en-GB"/>
              </w:rPr>
              <w:t>ITU-T</w:t>
            </w:r>
          </w:p>
        </w:tc>
        <w:tc>
          <w:tcPr>
            <w:tcW w:w="6000" w:type="dxa"/>
            <w:gridSpan w:val="2"/>
          </w:tcPr>
          <w:p w14:paraId="06889E99" w14:textId="77777777" w:rsidR="00E02690" w:rsidRPr="00F06884" w:rsidRDefault="00E02690" w:rsidP="00C26533">
            <w:pPr>
              <w:spacing w:before="240"/>
              <w:jc w:val="right"/>
              <w:rPr>
                <w:rFonts w:ascii="Arial" w:hAnsi="Arial" w:cs="Arial"/>
                <w:b/>
                <w:sz w:val="60"/>
                <w:lang w:val="en-GB"/>
              </w:rPr>
            </w:pPr>
            <w:r w:rsidRPr="00F06884">
              <w:rPr>
                <w:rFonts w:ascii="Arial" w:hAnsi="Arial"/>
                <w:b/>
                <w:sz w:val="60"/>
                <w:lang w:val="en-GB"/>
              </w:rPr>
              <w:t xml:space="preserve">Technical </w:t>
            </w:r>
            <w:r w:rsidR="00056DA0" w:rsidRPr="00F06884">
              <w:rPr>
                <w:rFonts w:ascii="Arial" w:hAnsi="Arial"/>
                <w:b/>
                <w:sz w:val="60"/>
                <w:lang w:val="en-GB"/>
              </w:rPr>
              <w:t>Paper</w:t>
            </w:r>
          </w:p>
        </w:tc>
      </w:tr>
      <w:tr w:rsidR="00E02690" w:rsidRPr="00F06884" w14:paraId="61D6CD6C" w14:textId="77777777" w:rsidTr="00E02690">
        <w:tblPrEx>
          <w:tblCellMar>
            <w:left w:w="85" w:type="dxa"/>
            <w:right w:w="85" w:type="dxa"/>
          </w:tblCellMar>
        </w:tblPrEx>
        <w:trPr>
          <w:gridBefore w:val="2"/>
          <w:wBefore w:w="1428" w:type="dxa"/>
          <w:trHeight w:val="974"/>
        </w:trPr>
        <w:tc>
          <w:tcPr>
            <w:tcW w:w="4549" w:type="dxa"/>
            <w:gridSpan w:val="2"/>
          </w:tcPr>
          <w:p w14:paraId="1FEAA678" w14:textId="77777777" w:rsidR="00E02690" w:rsidRPr="00F06884" w:rsidRDefault="00E02690" w:rsidP="00E02690">
            <w:pPr>
              <w:rPr>
                <w:b/>
                <w:lang w:val="en-GB"/>
              </w:rPr>
            </w:pPr>
            <w:bookmarkStart w:id="1" w:name="ddatee" w:colFirst="1" w:colLast="1"/>
            <w:bookmarkEnd w:id="0"/>
            <w:r w:rsidRPr="00F06884">
              <w:rPr>
                <w:rFonts w:ascii="Arial" w:hAnsi="Arial"/>
                <w:lang w:val="en-GB"/>
              </w:rPr>
              <w:t>TELECOMMUNICATION</w:t>
            </w:r>
            <w:r w:rsidRPr="00F06884">
              <w:rPr>
                <w:rFonts w:ascii="Arial" w:hAnsi="Arial"/>
                <w:lang w:val="en-GB"/>
              </w:rPr>
              <w:br/>
            </w:r>
            <w:proofErr w:type="gramStart"/>
            <w:r w:rsidRPr="00F06884">
              <w:rPr>
                <w:rFonts w:ascii="Arial" w:hAnsi="Arial"/>
                <w:lang w:val="en-GB"/>
              </w:rPr>
              <w:t>STANDARDIZATION  SECTOR</w:t>
            </w:r>
            <w:proofErr w:type="gramEnd"/>
            <w:r w:rsidRPr="00F06884">
              <w:rPr>
                <w:rFonts w:ascii="Arial" w:hAnsi="Arial"/>
                <w:lang w:val="en-GB"/>
              </w:rPr>
              <w:br/>
              <w:t>OF  ITU</w:t>
            </w:r>
          </w:p>
        </w:tc>
        <w:tc>
          <w:tcPr>
            <w:tcW w:w="3971" w:type="dxa"/>
          </w:tcPr>
          <w:p w14:paraId="08011367" w14:textId="77777777" w:rsidR="00E02690" w:rsidRPr="00F06884" w:rsidRDefault="00E02690" w:rsidP="00E02690">
            <w:pPr>
              <w:spacing w:before="284"/>
              <w:rPr>
                <w:lang w:val="en-GB"/>
              </w:rPr>
            </w:pPr>
          </w:p>
          <w:p w14:paraId="2C5206AC" w14:textId="12922751" w:rsidR="00E02690" w:rsidRPr="00F06884" w:rsidRDefault="00E02690" w:rsidP="00FC2449">
            <w:pPr>
              <w:pStyle w:val="TPapproval"/>
            </w:pPr>
            <w:r w:rsidRPr="00F06884">
              <w:t>(</w:t>
            </w:r>
            <w:r w:rsidR="00FC2449" w:rsidRPr="00F06884">
              <w:t xml:space="preserve">3 </w:t>
            </w:r>
            <w:r w:rsidR="00135F89" w:rsidRPr="00F06884">
              <w:t>July</w:t>
            </w:r>
            <w:r w:rsidRPr="00F06884">
              <w:t xml:space="preserve"> </w:t>
            </w:r>
            <w:r w:rsidR="00FC35F7" w:rsidRPr="00F06884">
              <w:t>2020</w:t>
            </w:r>
            <w:r w:rsidRPr="00F06884">
              <w:t>)</w:t>
            </w:r>
          </w:p>
        </w:tc>
      </w:tr>
      <w:tr w:rsidR="00E02690" w:rsidRPr="00F06884" w14:paraId="5B6558C9" w14:textId="77777777" w:rsidTr="00E02690">
        <w:trPr>
          <w:cantSplit/>
          <w:trHeight w:hRule="exact" w:val="3402"/>
        </w:trPr>
        <w:tc>
          <w:tcPr>
            <w:tcW w:w="1418" w:type="dxa"/>
          </w:tcPr>
          <w:p w14:paraId="08939961" w14:textId="77777777" w:rsidR="00E02690" w:rsidRPr="00F06884" w:rsidRDefault="00E02690" w:rsidP="00E02690">
            <w:pPr>
              <w:tabs>
                <w:tab w:val="right" w:pos="9639"/>
              </w:tabs>
              <w:rPr>
                <w:rFonts w:ascii="Arial" w:hAnsi="Arial"/>
                <w:sz w:val="18"/>
                <w:lang w:val="en-GB"/>
              </w:rPr>
            </w:pPr>
            <w:bookmarkStart w:id="2" w:name="dsece" w:colFirst="1" w:colLast="1"/>
            <w:bookmarkEnd w:id="1"/>
          </w:p>
        </w:tc>
        <w:tc>
          <w:tcPr>
            <w:tcW w:w="8530" w:type="dxa"/>
            <w:gridSpan w:val="4"/>
            <w:tcBorders>
              <w:bottom w:val="single" w:sz="12" w:space="0" w:color="auto"/>
            </w:tcBorders>
            <w:vAlign w:val="bottom"/>
          </w:tcPr>
          <w:p w14:paraId="216FDC5B" w14:textId="77777777" w:rsidR="00E02690" w:rsidRPr="00F06884" w:rsidRDefault="00E02690" w:rsidP="00E02690">
            <w:pPr>
              <w:tabs>
                <w:tab w:val="right" w:pos="9639"/>
              </w:tabs>
              <w:rPr>
                <w:rFonts w:ascii="Arial" w:hAnsi="Arial"/>
                <w:sz w:val="32"/>
                <w:lang w:val="en-GB"/>
              </w:rPr>
            </w:pPr>
          </w:p>
        </w:tc>
      </w:tr>
      <w:tr w:rsidR="00E02690" w:rsidRPr="00F06884" w14:paraId="51969C7F" w14:textId="77777777" w:rsidTr="00E02690">
        <w:trPr>
          <w:cantSplit/>
          <w:trHeight w:hRule="exact" w:val="4536"/>
        </w:trPr>
        <w:tc>
          <w:tcPr>
            <w:tcW w:w="1418" w:type="dxa"/>
          </w:tcPr>
          <w:p w14:paraId="5A0C0D08" w14:textId="77777777" w:rsidR="00E02690" w:rsidRPr="00F06884" w:rsidRDefault="00E02690" w:rsidP="00E02690">
            <w:pPr>
              <w:tabs>
                <w:tab w:val="right" w:pos="9639"/>
              </w:tabs>
              <w:rPr>
                <w:rFonts w:ascii="Arial" w:hAnsi="Arial"/>
                <w:sz w:val="18"/>
                <w:lang w:val="en-GB"/>
              </w:rPr>
            </w:pPr>
            <w:bookmarkStart w:id="3" w:name="c1tite" w:colFirst="1" w:colLast="1"/>
            <w:bookmarkEnd w:id="2"/>
          </w:p>
        </w:tc>
        <w:tc>
          <w:tcPr>
            <w:tcW w:w="8530" w:type="dxa"/>
            <w:gridSpan w:val="4"/>
          </w:tcPr>
          <w:p w14:paraId="103ECB1D" w14:textId="2F11EF8E" w:rsidR="000612E1" w:rsidRPr="00F06884" w:rsidRDefault="00FC35F7" w:rsidP="00FC2449">
            <w:pPr>
              <w:pStyle w:val="TPnumber"/>
            </w:pPr>
            <w:bookmarkStart w:id="4" w:name="TPAcro"/>
            <w:r w:rsidRPr="00F06884">
              <w:t>H</w:t>
            </w:r>
            <w:r w:rsidR="00E02690" w:rsidRPr="00F06884">
              <w:t>STP-</w:t>
            </w:r>
            <w:bookmarkEnd w:id="4"/>
            <w:r w:rsidR="00780B72" w:rsidRPr="00F06884">
              <w:t>VID-</w:t>
            </w:r>
            <w:r w:rsidRPr="00F06884">
              <w:t>WPOM</w:t>
            </w:r>
          </w:p>
          <w:p w14:paraId="1B5CC8F8" w14:textId="054F4F93" w:rsidR="00E02690" w:rsidRPr="00F06884" w:rsidRDefault="00FC35F7" w:rsidP="00FC2449">
            <w:pPr>
              <w:pStyle w:val="TPtitle"/>
            </w:pPr>
            <w:r w:rsidRPr="00F06884">
              <w:t>Working practices using objective metrics for evaluation of video coding efficiency experiments</w:t>
            </w:r>
          </w:p>
        </w:tc>
      </w:tr>
      <w:bookmarkEnd w:id="3"/>
      <w:tr w:rsidR="00E02690" w:rsidRPr="00F06884" w14:paraId="6705C57F" w14:textId="77777777" w:rsidTr="00E02690">
        <w:trPr>
          <w:cantSplit/>
          <w:trHeight w:hRule="exact" w:val="1418"/>
        </w:trPr>
        <w:tc>
          <w:tcPr>
            <w:tcW w:w="1418" w:type="dxa"/>
          </w:tcPr>
          <w:p w14:paraId="19FE9C24" w14:textId="77777777" w:rsidR="00E02690" w:rsidRPr="00F06884" w:rsidRDefault="00E02690" w:rsidP="00E02690">
            <w:pPr>
              <w:tabs>
                <w:tab w:val="right" w:pos="9639"/>
              </w:tabs>
              <w:rPr>
                <w:rFonts w:ascii="Arial" w:hAnsi="Arial"/>
                <w:sz w:val="18"/>
                <w:lang w:val="en-GB"/>
              </w:rPr>
            </w:pPr>
          </w:p>
        </w:tc>
        <w:tc>
          <w:tcPr>
            <w:tcW w:w="8530" w:type="dxa"/>
            <w:gridSpan w:val="4"/>
            <w:vAlign w:val="bottom"/>
          </w:tcPr>
          <w:p w14:paraId="57B8C90C" w14:textId="77777777" w:rsidR="00E02690" w:rsidRPr="00F06884" w:rsidRDefault="00E02690" w:rsidP="00E02690">
            <w:pPr>
              <w:tabs>
                <w:tab w:val="right" w:pos="9639"/>
              </w:tabs>
              <w:spacing w:before="60"/>
              <w:jc w:val="right"/>
              <w:rPr>
                <w:rFonts w:ascii="Arial" w:hAnsi="Arial" w:cs="Arial"/>
                <w:sz w:val="32"/>
                <w:lang w:val="en-GB"/>
              </w:rPr>
            </w:pPr>
            <w:bookmarkStart w:id="5" w:name="dnum2e"/>
            <w:bookmarkEnd w:id="5"/>
          </w:p>
        </w:tc>
      </w:tr>
    </w:tbl>
    <w:p w14:paraId="637687CE" w14:textId="77777777" w:rsidR="00E02690" w:rsidRPr="00F06884" w:rsidRDefault="00E02690" w:rsidP="00737170">
      <w:pPr>
        <w:spacing w:after="120"/>
        <w:jc w:val="center"/>
        <w:rPr>
          <w:lang w:val="en-GB"/>
        </w:rPr>
        <w:sectPr w:rsidR="00E02690" w:rsidRPr="00F06884" w:rsidSect="00B22DA4">
          <w:footerReference w:type="default" r:id="rId11"/>
          <w:headerReference w:type="first" r:id="rId12"/>
          <w:footerReference w:type="first" r:id="rId13"/>
          <w:pgSz w:w="11907" w:h="16840" w:code="9"/>
          <w:pgMar w:top="1225" w:right="1281" w:bottom="1440" w:left="1140" w:header="720" w:footer="720" w:gutter="0"/>
          <w:cols w:space="720"/>
          <w:titlePg/>
          <w:docGrid w:linePitch="326"/>
        </w:sectPr>
      </w:pPr>
    </w:p>
    <w:p w14:paraId="4ECA72C1" w14:textId="77777777" w:rsidR="00135F89" w:rsidRPr="00F06884" w:rsidRDefault="00135F89" w:rsidP="00135F89">
      <w:pPr>
        <w:pStyle w:val="Headingb"/>
      </w:pPr>
      <w:bookmarkStart w:id="6" w:name="_Toc44995568"/>
      <w:r w:rsidRPr="00F06884">
        <w:lastRenderedPageBreak/>
        <w:t>Summary</w:t>
      </w:r>
    </w:p>
    <w:bookmarkEnd w:id="6"/>
    <w:p w14:paraId="47A12709" w14:textId="77777777" w:rsidR="00135F89" w:rsidRPr="00F06884" w:rsidRDefault="00135F89" w:rsidP="00135F89">
      <w:pPr>
        <w:rPr>
          <w:rFonts w:eastAsia="????"/>
          <w:szCs w:val="24"/>
          <w:lang w:val="en-GB"/>
        </w:rPr>
      </w:pPr>
      <w:r w:rsidRPr="00F06884">
        <w:rPr>
          <w:rFonts w:eastAsia="????"/>
          <w:szCs w:val="24"/>
          <w:lang w:val="en-GB"/>
        </w:rPr>
        <w:t xml:space="preserve">This ITU-T Technical Paper provides a description of </w:t>
      </w:r>
      <w:proofErr w:type="spellStart"/>
      <w:r w:rsidRPr="00F06884">
        <w:rPr>
          <w:rFonts w:eastAsia="????"/>
          <w:szCs w:val="24"/>
          <w:lang w:val="en-GB"/>
        </w:rPr>
        <w:t>Bjøntegaard</w:t>
      </w:r>
      <w:proofErr w:type="spellEnd"/>
      <w:r w:rsidRPr="00F06884">
        <w:rPr>
          <w:rFonts w:eastAsia="????"/>
          <w:szCs w:val="24"/>
          <w:lang w:val="en-GB"/>
        </w:rPr>
        <w:t xml:space="preserve"> Delta rate (BD-rate) measurement practices for video coding experiments. It provides a concept-level overview of recent practices and provides references to technical papers that describe further details. It provides comments on why some of the choices were made and identifies situations where caution must be taken when interpreting the results.</w:t>
      </w:r>
    </w:p>
    <w:p w14:paraId="0C6364B5" w14:textId="4AD2F068" w:rsidR="00135F89" w:rsidRPr="00F06884" w:rsidRDefault="00135F89" w:rsidP="00135F89">
      <w:pPr>
        <w:rPr>
          <w:rFonts w:eastAsia="????"/>
          <w:szCs w:val="24"/>
          <w:lang w:val="en-GB"/>
        </w:rPr>
      </w:pPr>
      <w:r w:rsidRPr="00F06884">
        <w:rPr>
          <w:rFonts w:eastAsia="????"/>
          <w:szCs w:val="24"/>
          <w:lang w:val="en-GB"/>
        </w:rPr>
        <w:t xml:space="preserve">This Technical Paper was developed collaboratively with ISO/IEC JTC 1/SC 29, in technical alignment </w:t>
      </w:r>
      <w:r w:rsidRPr="00F06884">
        <w:rPr>
          <w:szCs w:val="24"/>
          <w:lang w:val="en-GB"/>
        </w:rPr>
        <w:t xml:space="preserve">with </w:t>
      </w:r>
      <w:r w:rsidR="003557A3" w:rsidRPr="00F06884">
        <w:rPr>
          <w:szCs w:val="24"/>
          <w:lang w:val="en-GB"/>
        </w:rPr>
        <w:t xml:space="preserve">ISO/IEC </w:t>
      </w:r>
      <w:r w:rsidR="00291057" w:rsidRPr="00F06884">
        <w:rPr>
          <w:lang w:val="en-GB"/>
        </w:rPr>
        <w:t>TR 23002-8:2020</w:t>
      </w:r>
      <w:r w:rsidRPr="00F06884">
        <w:rPr>
          <w:rFonts w:eastAsia="????"/>
          <w:szCs w:val="24"/>
          <w:lang w:val="en-GB"/>
        </w:rPr>
        <w:t>.</w:t>
      </w:r>
    </w:p>
    <w:p w14:paraId="6A1D3376" w14:textId="73ED3538" w:rsidR="003D42D6" w:rsidRPr="00F06884" w:rsidRDefault="00F06884" w:rsidP="003D42D6">
      <w:pPr>
        <w:rPr>
          <w:sz w:val="22"/>
          <w:lang w:val="en-GB"/>
        </w:rPr>
      </w:pPr>
      <w:r w:rsidRPr="00F06884">
        <w:rPr>
          <w:b/>
          <w:bCs/>
          <w:sz w:val="22"/>
          <w:lang w:val="en-GB"/>
        </w:rPr>
        <w:t>NOTE 1</w:t>
      </w:r>
      <w:r w:rsidR="002E3655" w:rsidRPr="00F06884">
        <w:rPr>
          <w:sz w:val="22"/>
          <w:lang w:val="en-GB"/>
        </w:rPr>
        <w:t xml:space="preserve"> –</w:t>
      </w:r>
      <w:r w:rsidR="002E3655" w:rsidRPr="00F06884">
        <w:rPr>
          <w:b/>
          <w:bCs/>
          <w:sz w:val="22"/>
          <w:lang w:val="en-GB"/>
        </w:rPr>
        <w:t xml:space="preserve"> </w:t>
      </w:r>
      <w:r w:rsidR="003D42D6" w:rsidRPr="00F06884">
        <w:rPr>
          <w:sz w:val="22"/>
          <w:lang w:val="en-GB"/>
        </w:rPr>
        <w:t>This is an informative ITU-T publication. Mandatory provisions, such as those found in ITU-T Recommendations, are outside the scope of this publication. This publication should only be referenced bibliographically in ITU-T Recommendations.</w:t>
      </w:r>
    </w:p>
    <w:p w14:paraId="469A199E" w14:textId="10A65BDD" w:rsidR="002E3655" w:rsidRPr="00F06884" w:rsidRDefault="002E3655" w:rsidP="003D42D6">
      <w:pPr>
        <w:rPr>
          <w:sz w:val="22"/>
          <w:lang w:val="en-GB"/>
        </w:rPr>
      </w:pPr>
      <w:r w:rsidRPr="00F06884">
        <w:rPr>
          <w:b/>
          <w:bCs/>
          <w:sz w:val="22"/>
          <w:lang w:val="en-GB"/>
        </w:rPr>
        <w:t>NOTE 2</w:t>
      </w:r>
      <w:r w:rsidRPr="00F06884">
        <w:rPr>
          <w:sz w:val="22"/>
          <w:lang w:val="en-GB"/>
        </w:rPr>
        <w:t xml:space="preserve"> – </w:t>
      </w:r>
      <w:r w:rsidRPr="00F06884">
        <w:rPr>
          <w:lang w:val="en-GB"/>
        </w:rPr>
        <w:t xml:space="preserve">This document </w:t>
      </w:r>
      <w:r w:rsidRPr="00F06884">
        <w:rPr>
          <w:lang w:val="en-GB"/>
        </w:rPr>
        <w:t>was</w:t>
      </w:r>
      <w:r w:rsidRPr="00F06884">
        <w:rPr>
          <w:lang w:val="en-GB"/>
        </w:rPr>
        <w:t xml:space="preserve"> reposted </w:t>
      </w:r>
      <w:r w:rsidRPr="00F06884">
        <w:rPr>
          <w:lang w:val="en-GB"/>
        </w:rPr>
        <w:t xml:space="preserve">in March 2025 </w:t>
      </w:r>
      <w:r w:rsidRPr="00F06884">
        <w:rPr>
          <w:lang w:val="en-GB"/>
        </w:rPr>
        <w:t>to fix broken cross-references in clause 7.4</w:t>
      </w:r>
      <w:r w:rsidRPr="00F06884">
        <w:rPr>
          <w:lang w:val="en-GB"/>
        </w:rPr>
        <w:t>.</w:t>
      </w:r>
    </w:p>
    <w:p w14:paraId="176C833D" w14:textId="77777777" w:rsidR="00135F89" w:rsidRPr="00F06884" w:rsidRDefault="00135F89" w:rsidP="00135F89">
      <w:pPr>
        <w:pStyle w:val="Headingb"/>
      </w:pPr>
      <w:r w:rsidRPr="00F06884">
        <w:t>Keywords</w:t>
      </w:r>
    </w:p>
    <w:p w14:paraId="38F383FE" w14:textId="5A818792" w:rsidR="00135F89" w:rsidRPr="00F06884" w:rsidRDefault="00135F89" w:rsidP="00135F89">
      <w:pPr>
        <w:rPr>
          <w:szCs w:val="24"/>
          <w:lang w:val="en-GB"/>
        </w:rPr>
      </w:pPr>
      <w:proofErr w:type="spellStart"/>
      <w:r w:rsidRPr="00F06884">
        <w:rPr>
          <w:szCs w:val="24"/>
          <w:lang w:val="en-GB"/>
        </w:rPr>
        <w:t>Bjøntegaard</w:t>
      </w:r>
      <w:proofErr w:type="spellEnd"/>
      <w:r w:rsidRPr="00F06884">
        <w:rPr>
          <w:szCs w:val="24"/>
          <w:lang w:val="en-GB"/>
        </w:rPr>
        <w:t xml:space="preserve"> Delta, BD-rate, BDR, HEVC, VVC, HDR, </w:t>
      </w:r>
      <w:r w:rsidRPr="00F06884">
        <w:rPr>
          <w:lang w:val="en-GB"/>
        </w:rPr>
        <w:t>360° video,</w:t>
      </w:r>
      <w:r w:rsidRPr="00F06884">
        <w:rPr>
          <w:szCs w:val="24"/>
          <w:lang w:val="en-GB"/>
        </w:rPr>
        <w:t xml:space="preserve"> video coding.</w:t>
      </w:r>
    </w:p>
    <w:p w14:paraId="711B7007" w14:textId="77777777" w:rsidR="00135F89" w:rsidRPr="00F06884" w:rsidRDefault="00135F89" w:rsidP="00135F89">
      <w:pPr>
        <w:pStyle w:val="Headingb"/>
      </w:pPr>
      <w:r w:rsidRPr="00F06884">
        <w:t>Change Log</w:t>
      </w:r>
    </w:p>
    <w:p w14:paraId="7E24A372" w14:textId="113402FE" w:rsidR="00291057" w:rsidRPr="00F06884" w:rsidRDefault="00291057" w:rsidP="00291057">
      <w:pPr>
        <w:rPr>
          <w:lang w:val="en-GB"/>
        </w:rPr>
      </w:pPr>
      <w:r w:rsidRPr="00F06884">
        <w:rPr>
          <w:lang w:val="en-GB"/>
        </w:rPr>
        <w:t xml:space="preserve">This document contains Version 1 of the ITU-T Technical Paper on </w:t>
      </w:r>
      <w:r w:rsidR="008C7B64" w:rsidRPr="00F06884">
        <w:rPr>
          <w:lang w:val="en-GB"/>
        </w:rPr>
        <w:t>"</w:t>
      </w:r>
      <w:r w:rsidRPr="00F06884">
        <w:rPr>
          <w:i/>
          <w:iCs/>
          <w:lang w:val="en-GB"/>
        </w:rPr>
        <w:fldChar w:fldCharType="begin"/>
      </w:r>
      <w:r w:rsidRPr="00F06884">
        <w:rPr>
          <w:i/>
          <w:iCs/>
          <w:lang w:val="en-GB"/>
        </w:rPr>
        <w:instrText xml:space="preserve"> styleref TPtitle </w:instrText>
      </w:r>
      <w:r w:rsidRPr="00F06884">
        <w:rPr>
          <w:i/>
          <w:iCs/>
          <w:lang w:val="en-GB"/>
        </w:rPr>
        <w:fldChar w:fldCharType="separate"/>
      </w:r>
      <w:r w:rsidR="00B66D04">
        <w:rPr>
          <w:i/>
          <w:iCs/>
          <w:noProof/>
          <w:lang w:val="en-GB"/>
        </w:rPr>
        <w:t>Working practices using objective metrics for evaluation of video coding efficiency experiments</w:t>
      </w:r>
      <w:r w:rsidRPr="00F06884">
        <w:rPr>
          <w:i/>
          <w:iCs/>
          <w:lang w:val="en-GB"/>
        </w:rPr>
        <w:fldChar w:fldCharType="end"/>
      </w:r>
      <w:r w:rsidR="008C7B64" w:rsidRPr="00F06884">
        <w:rPr>
          <w:lang w:val="en-GB"/>
        </w:rPr>
        <w:t>"</w:t>
      </w:r>
      <w:r w:rsidRPr="00F06884">
        <w:rPr>
          <w:lang w:val="en-GB"/>
        </w:rPr>
        <w:t xml:space="preserve"> approved at the ITU-T Study Group 16 virtual meeting held 22 June – 3 July 2020.</w:t>
      </w: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135F89" w:rsidRPr="00F06884" w14:paraId="2F41BF9A" w14:textId="77777777" w:rsidTr="00BA05EB">
        <w:trPr>
          <w:cantSplit/>
          <w:trHeight w:val="204"/>
          <w:jc w:val="center"/>
        </w:trPr>
        <w:tc>
          <w:tcPr>
            <w:tcW w:w="1617" w:type="dxa"/>
          </w:tcPr>
          <w:p w14:paraId="5F8ABAAD" w14:textId="77777777" w:rsidR="00135F89" w:rsidRPr="00F06884" w:rsidRDefault="00135F89" w:rsidP="003D42D6">
            <w:pPr>
              <w:ind w:left="82"/>
              <w:rPr>
                <w:b/>
                <w:bCs/>
                <w:lang w:val="en-GB"/>
              </w:rPr>
            </w:pPr>
            <w:r w:rsidRPr="00F06884">
              <w:rPr>
                <w:b/>
                <w:bCs/>
                <w:lang w:val="en-GB"/>
              </w:rPr>
              <w:t>Editors:</w:t>
            </w:r>
          </w:p>
        </w:tc>
        <w:tc>
          <w:tcPr>
            <w:tcW w:w="4394" w:type="dxa"/>
          </w:tcPr>
          <w:p w14:paraId="68286606" w14:textId="77777777" w:rsidR="00135F89" w:rsidRPr="00F06884" w:rsidRDefault="00135F89" w:rsidP="00BA05EB">
            <w:pPr>
              <w:rPr>
                <w:lang w:val="en-GB"/>
              </w:rPr>
            </w:pPr>
            <w:r w:rsidRPr="00F06884">
              <w:rPr>
                <w:lang w:val="en-GB"/>
              </w:rPr>
              <w:t>Jacob Ström</w:t>
            </w:r>
            <w:r w:rsidRPr="00F06884">
              <w:rPr>
                <w:lang w:val="en-GB" w:bidi="he-IL"/>
              </w:rPr>
              <w:br/>
            </w:r>
            <w:r w:rsidRPr="00F06884">
              <w:rPr>
                <w:lang w:val="en-GB"/>
              </w:rPr>
              <w:t>Ericsson AB</w:t>
            </w:r>
            <w:r w:rsidRPr="00F06884">
              <w:rPr>
                <w:highlight w:val="yellow"/>
                <w:lang w:val="en-GB"/>
              </w:rPr>
              <w:br/>
            </w:r>
            <w:r w:rsidRPr="00F06884">
              <w:rPr>
                <w:lang w:val="en-GB"/>
              </w:rPr>
              <w:t>Sweden</w:t>
            </w:r>
          </w:p>
        </w:tc>
        <w:tc>
          <w:tcPr>
            <w:tcW w:w="3912" w:type="dxa"/>
          </w:tcPr>
          <w:p w14:paraId="70DED296" w14:textId="77777777" w:rsidR="00135F89" w:rsidRPr="00F06884" w:rsidRDefault="00135F89" w:rsidP="00BA05EB">
            <w:pPr>
              <w:rPr>
                <w:lang w:val="en-GB"/>
              </w:rPr>
            </w:pPr>
            <w:r w:rsidRPr="00F06884">
              <w:rPr>
                <w:lang w:val="en-GB"/>
              </w:rPr>
              <w:t>E-mail: jacob.strom@ericsson.com</w:t>
            </w:r>
          </w:p>
        </w:tc>
      </w:tr>
      <w:tr w:rsidR="00135F89" w:rsidRPr="00F06884" w14:paraId="0AFC9D35" w14:textId="77777777" w:rsidTr="00BA05EB">
        <w:trPr>
          <w:cantSplit/>
          <w:trHeight w:val="204"/>
          <w:jc w:val="center"/>
        </w:trPr>
        <w:tc>
          <w:tcPr>
            <w:tcW w:w="1617" w:type="dxa"/>
          </w:tcPr>
          <w:p w14:paraId="08603B35" w14:textId="77777777" w:rsidR="00135F89" w:rsidRPr="00F06884" w:rsidRDefault="00135F89" w:rsidP="00BA05EB">
            <w:pPr>
              <w:rPr>
                <w:b/>
                <w:bCs/>
                <w:lang w:val="en-GB"/>
              </w:rPr>
            </w:pPr>
          </w:p>
        </w:tc>
        <w:tc>
          <w:tcPr>
            <w:tcW w:w="4394" w:type="dxa"/>
          </w:tcPr>
          <w:p w14:paraId="6ECC25EF" w14:textId="77777777" w:rsidR="00135F89" w:rsidRPr="00F06884" w:rsidRDefault="00135F89" w:rsidP="00BA05EB">
            <w:pPr>
              <w:rPr>
                <w:lang w:val="en-GB"/>
              </w:rPr>
            </w:pPr>
            <w:r w:rsidRPr="00F06884">
              <w:rPr>
                <w:lang w:val="en-GB"/>
              </w:rPr>
              <w:t>Kenneth Andersson</w:t>
            </w:r>
            <w:r w:rsidRPr="00F06884">
              <w:rPr>
                <w:lang w:val="en-GB"/>
              </w:rPr>
              <w:br/>
              <w:t>Ericsson AB</w:t>
            </w:r>
            <w:r w:rsidRPr="00F06884">
              <w:rPr>
                <w:lang w:val="en-GB"/>
              </w:rPr>
              <w:br/>
              <w:t>Sweden</w:t>
            </w:r>
          </w:p>
        </w:tc>
        <w:tc>
          <w:tcPr>
            <w:tcW w:w="3912" w:type="dxa"/>
          </w:tcPr>
          <w:p w14:paraId="28D83F2E" w14:textId="77777777" w:rsidR="00135F89" w:rsidRPr="00F06884" w:rsidRDefault="00135F89" w:rsidP="00BA05EB">
            <w:pPr>
              <w:rPr>
                <w:lang w:val="en-GB"/>
              </w:rPr>
            </w:pPr>
            <w:r w:rsidRPr="00F06884">
              <w:rPr>
                <w:lang w:val="en-GB"/>
              </w:rPr>
              <w:t>E-mail: kenneth.r.andersson@ericsson.com</w:t>
            </w:r>
          </w:p>
        </w:tc>
      </w:tr>
      <w:tr w:rsidR="00135F89" w:rsidRPr="00F06884" w14:paraId="6D432268" w14:textId="77777777" w:rsidTr="00BA05EB">
        <w:trPr>
          <w:cantSplit/>
          <w:trHeight w:val="204"/>
          <w:jc w:val="center"/>
        </w:trPr>
        <w:tc>
          <w:tcPr>
            <w:tcW w:w="1617" w:type="dxa"/>
          </w:tcPr>
          <w:p w14:paraId="1827B766" w14:textId="77777777" w:rsidR="00135F89" w:rsidRPr="00F06884" w:rsidRDefault="00135F89" w:rsidP="00BA05EB">
            <w:pPr>
              <w:rPr>
                <w:b/>
                <w:bCs/>
                <w:lang w:val="en-GB"/>
              </w:rPr>
            </w:pPr>
          </w:p>
        </w:tc>
        <w:tc>
          <w:tcPr>
            <w:tcW w:w="4394" w:type="dxa"/>
          </w:tcPr>
          <w:p w14:paraId="46B37FEC" w14:textId="77777777" w:rsidR="00135F89" w:rsidRPr="00F06884" w:rsidRDefault="00135F89" w:rsidP="00BA05EB">
            <w:pPr>
              <w:rPr>
                <w:lang w:val="en-GB"/>
              </w:rPr>
            </w:pPr>
            <w:r w:rsidRPr="00F06884">
              <w:rPr>
                <w:lang w:val="en-GB"/>
              </w:rPr>
              <w:t>Rickard Sjöberg</w:t>
            </w:r>
            <w:r w:rsidRPr="00F06884">
              <w:rPr>
                <w:lang w:val="en-GB"/>
              </w:rPr>
              <w:br/>
              <w:t>Ericsson AB</w:t>
            </w:r>
            <w:r w:rsidRPr="00F06884">
              <w:rPr>
                <w:lang w:val="en-GB"/>
              </w:rPr>
              <w:br/>
              <w:t>Sweden</w:t>
            </w:r>
          </w:p>
        </w:tc>
        <w:tc>
          <w:tcPr>
            <w:tcW w:w="3912" w:type="dxa"/>
          </w:tcPr>
          <w:p w14:paraId="6F3F5F97" w14:textId="77777777" w:rsidR="00135F89" w:rsidRPr="00F06884" w:rsidRDefault="00135F89" w:rsidP="00BA05EB">
            <w:pPr>
              <w:rPr>
                <w:lang w:val="en-GB"/>
              </w:rPr>
            </w:pPr>
            <w:r w:rsidRPr="00F06884">
              <w:rPr>
                <w:lang w:val="en-GB"/>
              </w:rPr>
              <w:t>E-mail: rickard.sjoberg@ericsson.com</w:t>
            </w:r>
          </w:p>
        </w:tc>
      </w:tr>
      <w:tr w:rsidR="00135F89" w:rsidRPr="00F06884" w14:paraId="28C6FFEC" w14:textId="77777777" w:rsidTr="00BA05EB">
        <w:trPr>
          <w:cantSplit/>
          <w:trHeight w:val="204"/>
          <w:jc w:val="center"/>
        </w:trPr>
        <w:tc>
          <w:tcPr>
            <w:tcW w:w="1617" w:type="dxa"/>
          </w:tcPr>
          <w:p w14:paraId="438BE80B" w14:textId="77777777" w:rsidR="00135F89" w:rsidRPr="00F06884" w:rsidRDefault="00135F89" w:rsidP="00BA05EB">
            <w:pPr>
              <w:rPr>
                <w:b/>
                <w:bCs/>
                <w:lang w:val="en-GB"/>
              </w:rPr>
            </w:pPr>
          </w:p>
        </w:tc>
        <w:tc>
          <w:tcPr>
            <w:tcW w:w="4394" w:type="dxa"/>
          </w:tcPr>
          <w:p w14:paraId="6951B600" w14:textId="77777777" w:rsidR="00135F89" w:rsidRPr="00F06884" w:rsidRDefault="00135F89" w:rsidP="00BA05EB">
            <w:pPr>
              <w:rPr>
                <w:lang w:val="en-GB"/>
              </w:rPr>
            </w:pPr>
            <w:r w:rsidRPr="00F06884">
              <w:rPr>
                <w:lang w:val="en-GB"/>
              </w:rPr>
              <w:t>Andrew Segall</w:t>
            </w:r>
            <w:r w:rsidRPr="00F06884">
              <w:rPr>
                <w:lang w:val="en-GB"/>
              </w:rPr>
              <w:br/>
              <w:t>Sharp Labs of America</w:t>
            </w:r>
            <w:r w:rsidRPr="00F06884">
              <w:rPr>
                <w:lang w:val="en-GB"/>
              </w:rPr>
              <w:br/>
              <w:t>USA</w:t>
            </w:r>
          </w:p>
        </w:tc>
        <w:tc>
          <w:tcPr>
            <w:tcW w:w="3912" w:type="dxa"/>
          </w:tcPr>
          <w:p w14:paraId="7EC00D31" w14:textId="77777777" w:rsidR="00135F89" w:rsidRPr="00F06884" w:rsidRDefault="00135F89" w:rsidP="00BA05EB">
            <w:pPr>
              <w:rPr>
                <w:lang w:val="en-GB"/>
              </w:rPr>
            </w:pPr>
            <w:r w:rsidRPr="00F06884">
              <w:rPr>
                <w:lang w:val="en-GB"/>
              </w:rPr>
              <w:t>E-mail: asegall@sharplabs.com</w:t>
            </w:r>
          </w:p>
        </w:tc>
      </w:tr>
      <w:tr w:rsidR="00135F89" w:rsidRPr="00F06884" w14:paraId="5762D754" w14:textId="77777777" w:rsidTr="00BA05EB">
        <w:trPr>
          <w:cantSplit/>
          <w:trHeight w:val="204"/>
          <w:jc w:val="center"/>
        </w:trPr>
        <w:tc>
          <w:tcPr>
            <w:tcW w:w="1617" w:type="dxa"/>
          </w:tcPr>
          <w:p w14:paraId="7554C298" w14:textId="77777777" w:rsidR="00135F89" w:rsidRPr="00F06884" w:rsidRDefault="00135F89" w:rsidP="00BA05EB">
            <w:pPr>
              <w:rPr>
                <w:b/>
                <w:bCs/>
                <w:lang w:val="en-GB"/>
              </w:rPr>
            </w:pPr>
          </w:p>
        </w:tc>
        <w:tc>
          <w:tcPr>
            <w:tcW w:w="4394" w:type="dxa"/>
          </w:tcPr>
          <w:p w14:paraId="4FBA3475" w14:textId="77777777" w:rsidR="00135F89" w:rsidRPr="00F06884" w:rsidRDefault="00135F89" w:rsidP="00BA05EB">
            <w:pPr>
              <w:rPr>
                <w:lang w:val="en-GB"/>
              </w:rPr>
            </w:pPr>
            <w:r w:rsidRPr="00F06884">
              <w:rPr>
                <w:lang w:val="en-GB"/>
              </w:rPr>
              <w:t xml:space="preserve">Frank Bossen </w:t>
            </w:r>
            <w:r w:rsidRPr="00F06884">
              <w:rPr>
                <w:lang w:val="en-GB"/>
              </w:rPr>
              <w:br/>
              <w:t>Sharp Labs of America</w:t>
            </w:r>
            <w:r w:rsidRPr="00F06884">
              <w:rPr>
                <w:lang w:val="en-GB"/>
              </w:rPr>
              <w:br/>
              <w:t>USA</w:t>
            </w:r>
          </w:p>
        </w:tc>
        <w:tc>
          <w:tcPr>
            <w:tcW w:w="3912" w:type="dxa"/>
          </w:tcPr>
          <w:p w14:paraId="357B546E" w14:textId="77777777" w:rsidR="00135F89" w:rsidRPr="00F06884" w:rsidRDefault="00135F89" w:rsidP="00BA05EB">
            <w:pPr>
              <w:rPr>
                <w:lang w:val="en-GB"/>
              </w:rPr>
            </w:pPr>
            <w:r w:rsidRPr="00F06884">
              <w:rPr>
                <w:lang w:val="en-GB"/>
              </w:rPr>
              <w:t>E-mail: fbossen@sharpsec.com</w:t>
            </w:r>
          </w:p>
        </w:tc>
      </w:tr>
      <w:tr w:rsidR="00135F89" w:rsidRPr="00F06884" w14:paraId="3B0DD6E3" w14:textId="77777777" w:rsidTr="00BA05EB">
        <w:trPr>
          <w:cantSplit/>
          <w:trHeight w:val="204"/>
          <w:jc w:val="center"/>
        </w:trPr>
        <w:tc>
          <w:tcPr>
            <w:tcW w:w="1617" w:type="dxa"/>
          </w:tcPr>
          <w:p w14:paraId="05EB836B" w14:textId="77777777" w:rsidR="00135F89" w:rsidRPr="00F06884" w:rsidRDefault="00135F89" w:rsidP="00BA05EB">
            <w:pPr>
              <w:rPr>
                <w:b/>
                <w:bCs/>
                <w:lang w:val="en-GB"/>
              </w:rPr>
            </w:pPr>
          </w:p>
        </w:tc>
        <w:tc>
          <w:tcPr>
            <w:tcW w:w="4394" w:type="dxa"/>
          </w:tcPr>
          <w:p w14:paraId="371D4171" w14:textId="77777777" w:rsidR="00135F89" w:rsidRPr="00F06884" w:rsidRDefault="00135F89" w:rsidP="00BA05EB">
            <w:pPr>
              <w:rPr>
                <w:lang w:val="en-GB"/>
              </w:rPr>
            </w:pPr>
            <w:r w:rsidRPr="00F06884">
              <w:rPr>
                <w:lang w:val="en-GB"/>
              </w:rPr>
              <w:t xml:space="preserve">Gary Sullivan </w:t>
            </w:r>
            <w:r w:rsidRPr="00F06884">
              <w:rPr>
                <w:lang w:val="en-GB"/>
              </w:rPr>
              <w:br/>
              <w:t>Microsoft</w:t>
            </w:r>
            <w:r w:rsidRPr="00F06884">
              <w:rPr>
                <w:lang w:val="en-GB"/>
              </w:rPr>
              <w:br/>
              <w:t>USA</w:t>
            </w:r>
          </w:p>
        </w:tc>
        <w:tc>
          <w:tcPr>
            <w:tcW w:w="3912" w:type="dxa"/>
          </w:tcPr>
          <w:p w14:paraId="78644DE9" w14:textId="77777777" w:rsidR="00135F89" w:rsidRPr="00F06884" w:rsidRDefault="00135F89" w:rsidP="00BA05EB">
            <w:pPr>
              <w:rPr>
                <w:lang w:val="en-GB"/>
              </w:rPr>
            </w:pPr>
            <w:r w:rsidRPr="00F06884">
              <w:rPr>
                <w:lang w:val="en-GB"/>
              </w:rPr>
              <w:t>E-mail: garysull@microsoft.com</w:t>
            </w:r>
          </w:p>
        </w:tc>
      </w:tr>
      <w:tr w:rsidR="00135F89" w:rsidRPr="00F06884" w14:paraId="38DEB76E" w14:textId="77777777" w:rsidTr="00BA05EB">
        <w:trPr>
          <w:cantSplit/>
          <w:trHeight w:val="204"/>
          <w:jc w:val="center"/>
        </w:trPr>
        <w:tc>
          <w:tcPr>
            <w:tcW w:w="1617" w:type="dxa"/>
          </w:tcPr>
          <w:p w14:paraId="1CF98408" w14:textId="77777777" w:rsidR="00135F89" w:rsidRPr="00F06884" w:rsidRDefault="00135F89" w:rsidP="00BA05EB">
            <w:pPr>
              <w:rPr>
                <w:b/>
                <w:bCs/>
                <w:lang w:val="en-GB"/>
              </w:rPr>
            </w:pPr>
          </w:p>
        </w:tc>
        <w:tc>
          <w:tcPr>
            <w:tcW w:w="4394" w:type="dxa"/>
          </w:tcPr>
          <w:p w14:paraId="2B4AD7E9" w14:textId="215F0DFE" w:rsidR="00135F89" w:rsidRPr="00F06884" w:rsidRDefault="00135F89" w:rsidP="00BA05EB">
            <w:pPr>
              <w:rPr>
                <w:lang w:val="en-GB"/>
              </w:rPr>
            </w:pPr>
            <w:r w:rsidRPr="00F06884">
              <w:rPr>
                <w:lang w:val="en-GB"/>
              </w:rPr>
              <w:t>Jens-Rai</w:t>
            </w:r>
            <w:r w:rsidR="008A58E6" w:rsidRPr="00F06884">
              <w:rPr>
                <w:lang w:val="en-GB"/>
              </w:rPr>
              <w:t>n</w:t>
            </w:r>
            <w:r w:rsidRPr="00F06884">
              <w:rPr>
                <w:lang w:val="en-GB"/>
              </w:rPr>
              <w:t xml:space="preserve">er Ohm </w:t>
            </w:r>
            <w:r w:rsidRPr="00F06884">
              <w:rPr>
                <w:lang w:val="en-GB"/>
              </w:rPr>
              <w:br/>
              <w:t>RWTH Aachen</w:t>
            </w:r>
            <w:r w:rsidRPr="00F06884">
              <w:rPr>
                <w:lang w:val="en-GB"/>
              </w:rPr>
              <w:br/>
              <w:t>Germany</w:t>
            </w:r>
          </w:p>
        </w:tc>
        <w:tc>
          <w:tcPr>
            <w:tcW w:w="3912" w:type="dxa"/>
          </w:tcPr>
          <w:p w14:paraId="7149D78A" w14:textId="77777777" w:rsidR="00135F89" w:rsidRPr="00F06884" w:rsidRDefault="00135F89" w:rsidP="00BA05EB">
            <w:pPr>
              <w:rPr>
                <w:lang w:val="en-GB"/>
              </w:rPr>
            </w:pPr>
            <w:r w:rsidRPr="00F06884">
              <w:rPr>
                <w:lang w:val="en-GB"/>
              </w:rPr>
              <w:t>E-mail: ohm@ient.rwth-aachen.de</w:t>
            </w:r>
          </w:p>
        </w:tc>
      </w:tr>
      <w:tr w:rsidR="00135F89" w:rsidRPr="00F06884" w14:paraId="66CF36B7" w14:textId="77777777" w:rsidTr="00BA05EB">
        <w:trPr>
          <w:cantSplit/>
          <w:trHeight w:val="204"/>
          <w:jc w:val="center"/>
        </w:trPr>
        <w:tc>
          <w:tcPr>
            <w:tcW w:w="1617" w:type="dxa"/>
          </w:tcPr>
          <w:p w14:paraId="532FB8D2" w14:textId="77777777" w:rsidR="00135F89" w:rsidRPr="00F06884" w:rsidRDefault="00135F89" w:rsidP="00BA05EB">
            <w:pPr>
              <w:rPr>
                <w:b/>
                <w:bCs/>
                <w:lang w:val="en-GB"/>
              </w:rPr>
            </w:pPr>
          </w:p>
        </w:tc>
        <w:tc>
          <w:tcPr>
            <w:tcW w:w="4394" w:type="dxa"/>
          </w:tcPr>
          <w:p w14:paraId="68D24387" w14:textId="77777777" w:rsidR="00135F89" w:rsidRPr="00F06884" w:rsidRDefault="00135F89" w:rsidP="00BA05EB">
            <w:pPr>
              <w:rPr>
                <w:lang w:val="en-GB"/>
              </w:rPr>
            </w:pPr>
            <w:r w:rsidRPr="00F06884">
              <w:rPr>
                <w:lang w:val="en-GB"/>
              </w:rPr>
              <w:t xml:space="preserve">Alexis Tourapis </w:t>
            </w:r>
            <w:r w:rsidRPr="00F06884">
              <w:rPr>
                <w:lang w:val="en-GB"/>
              </w:rPr>
              <w:br/>
              <w:t>Apple Inc.</w:t>
            </w:r>
            <w:r w:rsidRPr="00F06884">
              <w:rPr>
                <w:lang w:val="en-GB"/>
              </w:rPr>
              <w:br/>
              <w:t>USA</w:t>
            </w:r>
          </w:p>
        </w:tc>
        <w:tc>
          <w:tcPr>
            <w:tcW w:w="3912" w:type="dxa"/>
          </w:tcPr>
          <w:p w14:paraId="657579D1" w14:textId="77777777" w:rsidR="00135F89" w:rsidRPr="00F06884" w:rsidRDefault="00135F89" w:rsidP="00BA05EB">
            <w:pPr>
              <w:rPr>
                <w:lang w:val="en-GB"/>
              </w:rPr>
            </w:pPr>
            <w:r w:rsidRPr="00F06884">
              <w:rPr>
                <w:lang w:val="en-GB"/>
              </w:rPr>
              <w:t>E-mail: atourapis@apple.com</w:t>
            </w:r>
          </w:p>
        </w:tc>
      </w:tr>
    </w:tbl>
    <w:p w14:paraId="36730AFC" w14:textId="77777777" w:rsidR="00135F89" w:rsidRPr="00F06884" w:rsidRDefault="00135F89" w:rsidP="00135F89">
      <w:pPr>
        <w:rPr>
          <w:lang w:val="en-GB"/>
        </w:rPr>
      </w:pPr>
    </w:p>
    <w:p w14:paraId="76792CBA" w14:textId="77777777" w:rsidR="00135F89" w:rsidRPr="00F06884" w:rsidRDefault="00135F89" w:rsidP="00135F89">
      <w:pPr>
        <w:jc w:val="center"/>
        <w:rPr>
          <w:lang w:val="en-GB"/>
        </w:rPr>
      </w:pPr>
      <w:r w:rsidRPr="00F06884">
        <w:rPr>
          <w:lang w:val="en-GB"/>
        </w:rPr>
        <w:br w:type="page"/>
      </w:r>
    </w:p>
    <w:p w14:paraId="21B5CAD7" w14:textId="77777777" w:rsidR="00135F89" w:rsidRPr="00F06884" w:rsidRDefault="00135F89" w:rsidP="00135F89">
      <w:pPr>
        <w:keepNext/>
        <w:jc w:val="center"/>
        <w:rPr>
          <w:b/>
          <w:bCs/>
          <w:lang w:val="en-GB"/>
        </w:rPr>
      </w:pPr>
      <w:r w:rsidRPr="00F06884">
        <w:rPr>
          <w:b/>
          <w:bCs/>
          <w:lang w:val="en-GB"/>
        </w:rPr>
        <w:lastRenderedPageBreak/>
        <w:t>CONTENTS</w:t>
      </w:r>
    </w:p>
    <w:tbl>
      <w:tblPr>
        <w:tblW w:w="9889" w:type="dxa"/>
        <w:tblLayout w:type="fixed"/>
        <w:tblLook w:val="04A0" w:firstRow="1" w:lastRow="0" w:firstColumn="1" w:lastColumn="0" w:noHBand="0" w:noVBand="1"/>
      </w:tblPr>
      <w:tblGrid>
        <w:gridCol w:w="9889"/>
      </w:tblGrid>
      <w:tr w:rsidR="00135F89" w:rsidRPr="00F06884" w14:paraId="0D72ADEB" w14:textId="77777777" w:rsidTr="00BA05EB">
        <w:trPr>
          <w:tblHeader/>
        </w:trPr>
        <w:tc>
          <w:tcPr>
            <w:tcW w:w="9889" w:type="dxa"/>
          </w:tcPr>
          <w:p w14:paraId="563369E7" w14:textId="77777777" w:rsidR="00135F89" w:rsidRPr="00F06884" w:rsidRDefault="00135F89" w:rsidP="00BA05EB">
            <w:pPr>
              <w:pStyle w:val="toc0"/>
            </w:pPr>
            <w:r w:rsidRPr="00F06884">
              <w:tab/>
              <w:t>Page</w:t>
            </w:r>
          </w:p>
        </w:tc>
      </w:tr>
      <w:tr w:rsidR="00135F89" w:rsidRPr="00F06884" w14:paraId="254E73F8" w14:textId="77777777" w:rsidTr="00BA05EB">
        <w:tc>
          <w:tcPr>
            <w:tcW w:w="9889" w:type="dxa"/>
          </w:tcPr>
          <w:p w14:paraId="6E4C265C" w14:textId="6B96D803" w:rsidR="008C7B64" w:rsidRPr="00F06884" w:rsidRDefault="00135F89">
            <w:pPr>
              <w:pStyle w:val="TOC1"/>
              <w:tabs>
                <w:tab w:val="left" w:pos="480"/>
                <w:tab w:val="right" w:leader="dot" w:pos="9629"/>
              </w:tabs>
              <w:rPr>
                <w:rFonts w:asciiTheme="minorHAnsi" w:eastAsiaTheme="minorEastAsia" w:hAnsiTheme="minorHAnsi" w:cstheme="minorBidi"/>
                <w:b w:val="0"/>
                <w:bCs w:val="0"/>
                <w:caps w:val="0"/>
                <w:sz w:val="22"/>
                <w:szCs w:val="22"/>
                <w:lang w:val="en-GB" w:eastAsia="en-GB"/>
              </w:rPr>
            </w:pPr>
            <w:r w:rsidRPr="00F06884">
              <w:rPr>
                <w:szCs w:val="20"/>
                <w:lang w:val="en-GB" w:eastAsia="en-US"/>
              </w:rPr>
              <w:fldChar w:fldCharType="begin"/>
            </w:r>
            <w:r w:rsidRPr="00F06884">
              <w:rPr>
                <w:lang w:val="en-GB"/>
              </w:rPr>
              <w:instrText xml:space="preserve"> TOC \o "1-3" \h \z \t "Annex_NoTitle,1,Appendix_NoTitle,1,Annex_No &amp; title,1,Appendix_No &amp; title,1" </w:instrText>
            </w:r>
            <w:r w:rsidRPr="00F06884">
              <w:rPr>
                <w:szCs w:val="20"/>
                <w:lang w:val="en-GB" w:eastAsia="en-US"/>
              </w:rPr>
              <w:fldChar w:fldCharType="separate"/>
            </w:r>
            <w:hyperlink w:anchor="_Toc46752167" w:history="1">
              <w:r w:rsidR="008C7B64" w:rsidRPr="00F06884">
                <w:rPr>
                  <w:rStyle w:val="Hyperlink"/>
                  <w:lang w:val="en-GB" w:bidi="ar-DZ"/>
                </w:rPr>
                <w:t>1</w:t>
              </w:r>
              <w:r w:rsidR="008C7B64" w:rsidRPr="00F06884">
                <w:rPr>
                  <w:rFonts w:asciiTheme="minorHAnsi" w:eastAsiaTheme="minorEastAsia" w:hAnsiTheme="minorHAnsi" w:cstheme="minorBidi"/>
                  <w:b w:val="0"/>
                  <w:bCs w:val="0"/>
                  <w:caps w:val="0"/>
                  <w:sz w:val="22"/>
                  <w:szCs w:val="22"/>
                  <w:lang w:val="en-GB" w:eastAsia="en-GB"/>
                </w:rPr>
                <w:tab/>
              </w:r>
              <w:r w:rsidR="008C7B64" w:rsidRPr="00F06884">
                <w:rPr>
                  <w:rStyle w:val="Hyperlink"/>
                  <w:lang w:val="en-GB" w:bidi="ar-DZ"/>
                </w:rPr>
                <w:t>Scope</w:t>
              </w:r>
              <w:r w:rsidR="008C7B64" w:rsidRPr="00F06884">
                <w:rPr>
                  <w:webHidden/>
                  <w:lang w:val="en-GB"/>
                </w:rPr>
                <w:tab/>
              </w:r>
              <w:r w:rsidR="008C7B64" w:rsidRPr="00F06884">
                <w:rPr>
                  <w:webHidden/>
                  <w:lang w:val="en-GB"/>
                </w:rPr>
                <w:fldChar w:fldCharType="begin"/>
              </w:r>
              <w:r w:rsidR="008C7B64" w:rsidRPr="00F06884">
                <w:rPr>
                  <w:webHidden/>
                  <w:lang w:val="en-GB"/>
                </w:rPr>
                <w:instrText xml:space="preserve"> PAGEREF _Toc46752167 \h </w:instrText>
              </w:r>
              <w:r w:rsidR="008C7B64" w:rsidRPr="00F06884">
                <w:rPr>
                  <w:webHidden/>
                  <w:lang w:val="en-GB"/>
                </w:rPr>
              </w:r>
              <w:r w:rsidR="008C7B64" w:rsidRPr="00F06884">
                <w:rPr>
                  <w:webHidden/>
                  <w:lang w:val="en-GB"/>
                </w:rPr>
                <w:fldChar w:fldCharType="separate"/>
              </w:r>
              <w:r w:rsidR="00B66D04">
                <w:rPr>
                  <w:noProof/>
                  <w:webHidden/>
                  <w:lang w:val="en-GB"/>
                </w:rPr>
                <w:t>1</w:t>
              </w:r>
              <w:r w:rsidR="008C7B64" w:rsidRPr="00F06884">
                <w:rPr>
                  <w:webHidden/>
                  <w:lang w:val="en-GB"/>
                </w:rPr>
                <w:fldChar w:fldCharType="end"/>
              </w:r>
            </w:hyperlink>
          </w:p>
          <w:p w14:paraId="7A689346" w14:textId="6CFD0DAD" w:rsidR="008C7B64" w:rsidRPr="00F06884" w:rsidRDefault="008C7B64">
            <w:pPr>
              <w:pStyle w:val="TOC1"/>
              <w:tabs>
                <w:tab w:val="left" w:pos="480"/>
                <w:tab w:val="right" w:leader="dot" w:pos="9629"/>
              </w:tabs>
              <w:rPr>
                <w:rFonts w:asciiTheme="minorHAnsi" w:eastAsiaTheme="minorEastAsia" w:hAnsiTheme="minorHAnsi" w:cstheme="minorBidi"/>
                <w:b w:val="0"/>
                <w:bCs w:val="0"/>
                <w:caps w:val="0"/>
                <w:sz w:val="22"/>
                <w:szCs w:val="22"/>
                <w:lang w:val="en-GB" w:eastAsia="en-GB"/>
              </w:rPr>
            </w:pPr>
            <w:hyperlink w:anchor="_Toc46752168" w:history="1">
              <w:r w:rsidRPr="00F06884">
                <w:rPr>
                  <w:rStyle w:val="Hyperlink"/>
                  <w:lang w:val="en-GB" w:bidi="ar-DZ"/>
                </w:rPr>
                <w:t>2</w:t>
              </w:r>
              <w:r w:rsidRPr="00F06884">
                <w:rPr>
                  <w:rFonts w:asciiTheme="minorHAnsi" w:eastAsiaTheme="minorEastAsia" w:hAnsiTheme="minorHAnsi" w:cstheme="minorBidi"/>
                  <w:b w:val="0"/>
                  <w:bCs w:val="0"/>
                  <w:caps w:val="0"/>
                  <w:sz w:val="22"/>
                  <w:szCs w:val="22"/>
                  <w:lang w:val="en-GB" w:eastAsia="en-GB"/>
                </w:rPr>
                <w:tab/>
              </w:r>
              <w:r w:rsidRPr="00F06884">
                <w:rPr>
                  <w:rStyle w:val="Hyperlink"/>
                  <w:lang w:val="en-GB" w:bidi="ar-DZ"/>
                </w:rPr>
                <w:t>References</w:t>
              </w:r>
              <w:r w:rsidRPr="00F06884">
                <w:rPr>
                  <w:webHidden/>
                  <w:lang w:val="en-GB"/>
                </w:rPr>
                <w:tab/>
              </w:r>
              <w:r w:rsidRPr="00F06884">
                <w:rPr>
                  <w:webHidden/>
                  <w:lang w:val="en-GB"/>
                </w:rPr>
                <w:fldChar w:fldCharType="begin"/>
              </w:r>
              <w:r w:rsidRPr="00F06884">
                <w:rPr>
                  <w:webHidden/>
                  <w:lang w:val="en-GB"/>
                </w:rPr>
                <w:instrText xml:space="preserve"> PAGEREF _Toc46752168 \h </w:instrText>
              </w:r>
              <w:r w:rsidRPr="00F06884">
                <w:rPr>
                  <w:webHidden/>
                  <w:lang w:val="en-GB"/>
                </w:rPr>
              </w:r>
              <w:r w:rsidRPr="00F06884">
                <w:rPr>
                  <w:webHidden/>
                  <w:lang w:val="en-GB"/>
                </w:rPr>
                <w:fldChar w:fldCharType="separate"/>
              </w:r>
              <w:r w:rsidR="00B66D04">
                <w:rPr>
                  <w:noProof/>
                  <w:webHidden/>
                  <w:lang w:val="en-GB"/>
                </w:rPr>
                <w:t>1</w:t>
              </w:r>
              <w:r w:rsidRPr="00F06884">
                <w:rPr>
                  <w:webHidden/>
                  <w:lang w:val="en-GB"/>
                </w:rPr>
                <w:fldChar w:fldCharType="end"/>
              </w:r>
            </w:hyperlink>
          </w:p>
          <w:p w14:paraId="18E6EE60" w14:textId="57D4309A" w:rsidR="008C7B64" w:rsidRPr="00F06884" w:rsidRDefault="008C7B64">
            <w:pPr>
              <w:pStyle w:val="TOC1"/>
              <w:tabs>
                <w:tab w:val="left" w:pos="480"/>
                <w:tab w:val="right" w:leader="dot" w:pos="9629"/>
              </w:tabs>
              <w:rPr>
                <w:rFonts w:asciiTheme="minorHAnsi" w:eastAsiaTheme="minorEastAsia" w:hAnsiTheme="minorHAnsi" w:cstheme="minorBidi"/>
                <w:b w:val="0"/>
                <w:bCs w:val="0"/>
                <w:caps w:val="0"/>
                <w:sz w:val="22"/>
                <w:szCs w:val="22"/>
                <w:lang w:val="en-GB" w:eastAsia="en-GB"/>
              </w:rPr>
            </w:pPr>
            <w:hyperlink w:anchor="_Toc46752169" w:history="1">
              <w:r w:rsidRPr="00F06884">
                <w:rPr>
                  <w:rStyle w:val="Hyperlink"/>
                  <w:lang w:val="en-GB" w:bidi="ar-DZ"/>
                </w:rPr>
                <w:t>3</w:t>
              </w:r>
              <w:r w:rsidRPr="00F06884">
                <w:rPr>
                  <w:rFonts w:asciiTheme="minorHAnsi" w:eastAsiaTheme="minorEastAsia" w:hAnsiTheme="minorHAnsi" w:cstheme="minorBidi"/>
                  <w:b w:val="0"/>
                  <w:bCs w:val="0"/>
                  <w:caps w:val="0"/>
                  <w:sz w:val="22"/>
                  <w:szCs w:val="22"/>
                  <w:lang w:val="en-GB" w:eastAsia="en-GB"/>
                </w:rPr>
                <w:tab/>
              </w:r>
              <w:bookmarkStart w:id="7" w:name="_Hlk46752197"/>
              <w:r w:rsidRPr="00F06884">
                <w:rPr>
                  <w:rStyle w:val="Hyperlink"/>
                  <w:lang w:val="en-GB" w:bidi="ar-DZ"/>
                </w:rPr>
                <w:t>Terms and definitions</w:t>
              </w:r>
              <w:bookmarkEnd w:id="7"/>
              <w:r w:rsidRPr="00F06884">
                <w:rPr>
                  <w:webHidden/>
                  <w:lang w:val="en-GB"/>
                </w:rPr>
                <w:tab/>
              </w:r>
              <w:r w:rsidRPr="00F06884">
                <w:rPr>
                  <w:webHidden/>
                  <w:lang w:val="en-GB"/>
                </w:rPr>
                <w:fldChar w:fldCharType="begin"/>
              </w:r>
              <w:r w:rsidRPr="00F06884">
                <w:rPr>
                  <w:webHidden/>
                  <w:lang w:val="en-GB"/>
                </w:rPr>
                <w:instrText xml:space="preserve"> PAGEREF _Toc46752169 \h </w:instrText>
              </w:r>
              <w:r w:rsidRPr="00F06884">
                <w:rPr>
                  <w:webHidden/>
                  <w:lang w:val="en-GB"/>
                </w:rPr>
              </w:r>
              <w:r w:rsidRPr="00F06884">
                <w:rPr>
                  <w:webHidden/>
                  <w:lang w:val="en-GB"/>
                </w:rPr>
                <w:fldChar w:fldCharType="separate"/>
              </w:r>
              <w:r w:rsidR="00B66D04">
                <w:rPr>
                  <w:noProof/>
                  <w:webHidden/>
                  <w:lang w:val="en-GB"/>
                </w:rPr>
                <w:t>2</w:t>
              </w:r>
              <w:r w:rsidRPr="00F06884">
                <w:rPr>
                  <w:webHidden/>
                  <w:lang w:val="en-GB"/>
                </w:rPr>
                <w:fldChar w:fldCharType="end"/>
              </w:r>
            </w:hyperlink>
          </w:p>
          <w:p w14:paraId="6E539BC9" w14:textId="3DB128AD" w:rsidR="008C7B64" w:rsidRPr="00F06884" w:rsidRDefault="008C7B64">
            <w:pPr>
              <w:pStyle w:val="TOC1"/>
              <w:tabs>
                <w:tab w:val="left" w:pos="480"/>
                <w:tab w:val="right" w:leader="dot" w:pos="9629"/>
              </w:tabs>
              <w:rPr>
                <w:rFonts w:asciiTheme="minorHAnsi" w:eastAsiaTheme="minorEastAsia" w:hAnsiTheme="minorHAnsi" w:cstheme="minorBidi"/>
                <w:b w:val="0"/>
                <w:bCs w:val="0"/>
                <w:caps w:val="0"/>
                <w:sz w:val="22"/>
                <w:szCs w:val="22"/>
                <w:lang w:val="en-GB" w:eastAsia="en-GB"/>
              </w:rPr>
            </w:pPr>
            <w:hyperlink w:anchor="_Toc46752170" w:history="1">
              <w:r w:rsidRPr="00F06884">
                <w:rPr>
                  <w:rStyle w:val="Hyperlink"/>
                  <w:lang w:val="en-GB" w:bidi="ar-DZ"/>
                </w:rPr>
                <w:t>4</w:t>
              </w:r>
              <w:r w:rsidRPr="00F06884">
                <w:rPr>
                  <w:rFonts w:asciiTheme="minorHAnsi" w:eastAsiaTheme="minorEastAsia" w:hAnsiTheme="minorHAnsi" w:cstheme="minorBidi"/>
                  <w:b w:val="0"/>
                  <w:bCs w:val="0"/>
                  <w:caps w:val="0"/>
                  <w:sz w:val="22"/>
                  <w:szCs w:val="22"/>
                  <w:lang w:val="en-GB" w:eastAsia="en-GB"/>
                </w:rPr>
                <w:tab/>
              </w:r>
              <w:r w:rsidRPr="00F06884">
                <w:rPr>
                  <w:rStyle w:val="Hyperlink"/>
                  <w:lang w:val="en-GB" w:bidi="ar-DZ"/>
                </w:rPr>
                <w:t>Abbreviations and acronyms</w:t>
              </w:r>
              <w:r w:rsidRPr="00F06884">
                <w:rPr>
                  <w:webHidden/>
                  <w:lang w:val="en-GB"/>
                </w:rPr>
                <w:tab/>
              </w:r>
              <w:r w:rsidRPr="00F06884">
                <w:rPr>
                  <w:webHidden/>
                  <w:lang w:val="en-GB"/>
                </w:rPr>
                <w:fldChar w:fldCharType="begin"/>
              </w:r>
              <w:r w:rsidRPr="00F06884">
                <w:rPr>
                  <w:webHidden/>
                  <w:lang w:val="en-GB"/>
                </w:rPr>
                <w:instrText xml:space="preserve"> PAGEREF _Toc46752170 \h </w:instrText>
              </w:r>
              <w:r w:rsidRPr="00F06884">
                <w:rPr>
                  <w:webHidden/>
                  <w:lang w:val="en-GB"/>
                </w:rPr>
              </w:r>
              <w:r w:rsidRPr="00F06884">
                <w:rPr>
                  <w:webHidden/>
                  <w:lang w:val="en-GB"/>
                </w:rPr>
                <w:fldChar w:fldCharType="separate"/>
              </w:r>
              <w:r w:rsidR="00B66D04">
                <w:rPr>
                  <w:noProof/>
                  <w:webHidden/>
                  <w:lang w:val="en-GB"/>
                </w:rPr>
                <w:t>2</w:t>
              </w:r>
              <w:r w:rsidRPr="00F06884">
                <w:rPr>
                  <w:webHidden/>
                  <w:lang w:val="en-GB"/>
                </w:rPr>
                <w:fldChar w:fldCharType="end"/>
              </w:r>
            </w:hyperlink>
          </w:p>
          <w:p w14:paraId="188C4FBB" w14:textId="4DD6EC60" w:rsidR="008C7B64" w:rsidRPr="00F06884" w:rsidRDefault="008C7B64">
            <w:pPr>
              <w:pStyle w:val="TOC1"/>
              <w:tabs>
                <w:tab w:val="left" w:pos="480"/>
                <w:tab w:val="right" w:leader="dot" w:pos="9629"/>
              </w:tabs>
              <w:rPr>
                <w:rFonts w:asciiTheme="minorHAnsi" w:eastAsiaTheme="minorEastAsia" w:hAnsiTheme="minorHAnsi" w:cstheme="minorBidi"/>
                <w:b w:val="0"/>
                <w:bCs w:val="0"/>
                <w:caps w:val="0"/>
                <w:sz w:val="22"/>
                <w:szCs w:val="22"/>
                <w:lang w:val="en-GB" w:eastAsia="en-GB"/>
              </w:rPr>
            </w:pPr>
            <w:hyperlink w:anchor="_Toc46752171" w:history="1">
              <w:r w:rsidRPr="00F06884">
                <w:rPr>
                  <w:rStyle w:val="Hyperlink"/>
                  <w:lang w:val="en-GB" w:bidi="ar-DZ"/>
                </w:rPr>
                <w:t>5</w:t>
              </w:r>
              <w:r w:rsidRPr="00F06884">
                <w:rPr>
                  <w:rFonts w:asciiTheme="minorHAnsi" w:eastAsiaTheme="minorEastAsia" w:hAnsiTheme="minorHAnsi" w:cstheme="minorBidi"/>
                  <w:b w:val="0"/>
                  <w:bCs w:val="0"/>
                  <w:caps w:val="0"/>
                  <w:sz w:val="22"/>
                  <w:szCs w:val="22"/>
                  <w:lang w:val="en-GB" w:eastAsia="en-GB"/>
                </w:rPr>
                <w:tab/>
              </w:r>
              <w:r w:rsidRPr="00F06884">
                <w:rPr>
                  <w:rStyle w:val="Hyperlink"/>
                  <w:lang w:val="en-GB" w:bidi="ar-DZ"/>
                </w:rPr>
                <w:t xml:space="preserve">Video coding experiments using </w:t>
              </w:r>
              <w:r w:rsidRPr="00F06884">
                <w:rPr>
                  <w:rStyle w:val="Hyperlink"/>
                  <w:lang w:val="en-GB"/>
                </w:rPr>
                <w:t>Bjøntegaard Delta rate (BD-rate) measurements</w:t>
              </w:r>
              <w:r w:rsidRPr="00F06884">
                <w:rPr>
                  <w:webHidden/>
                  <w:lang w:val="en-GB"/>
                </w:rPr>
                <w:tab/>
              </w:r>
              <w:r w:rsidRPr="00F06884">
                <w:rPr>
                  <w:webHidden/>
                  <w:lang w:val="en-GB"/>
                </w:rPr>
                <w:fldChar w:fldCharType="begin"/>
              </w:r>
              <w:r w:rsidRPr="00F06884">
                <w:rPr>
                  <w:webHidden/>
                  <w:lang w:val="en-GB"/>
                </w:rPr>
                <w:instrText xml:space="preserve"> PAGEREF _Toc46752171 \h </w:instrText>
              </w:r>
              <w:r w:rsidRPr="00F06884">
                <w:rPr>
                  <w:webHidden/>
                  <w:lang w:val="en-GB"/>
                </w:rPr>
              </w:r>
              <w:r w:rsidRPr="00F06884">
                <w:rPr>
                  <w:webHidden/>
                  <w:lang w:val="en-GB"/>
                </w:rPr>
                <w:fldChar w:fldCharType="separate"/>
              </w:r>
              <w:r w:rsidR="00B66D04">
                <w:rPr>
                  <w:noProof/>
                  <w:webHidden/>
                  <w:lang w:val="en-GB"/>
                </w:rPr>
                <w:t>3</w:t>
              </w:r>
              <w:r w:rsidRPr="00F06884">
                <w:rPr>
                  <w:webHidden/>
                  <w:lang w:val="en-GB"/>
                </w:rPr>
                <w:fldChar w:fldCharType="end"/>
              </w:r>
            </w:hyperlink>
          </w:p>
          <w:p w14:paraId="59DB6703" w14:textId="606B6E0F" w:rsidR="008C7B64" w:rsidRPr="00F06884" w:rsidRDefault="008C7B64">
            <w:pPr>
              <w:pStyle w:val="TOC1"/>
              <w:tabs>
                <w:tab w:val="left" w:pos="480"/>
                <w:tab w:val="right" w:leader="dot" w:pos="9629"/>
              </w:tabs>
              <w:rPr>
                <w:rFonts w:asciiTheme="minorHAnsi" w:eastAsiaTheme="minorEastAsia" w:hAnsiTheme="minorHAnsi" w:cstheme="minorBidi"/>
                <w:b w:val="0"/>
                <w:bCs w:val="0"/>
                <w:caps w:val="0"/>
                <w:sz w:val="22"/>
                <w:szCs w:val="22"/>
                <w:lang w:val="en-GB" w:eastAsia="en-GB"/>
              </w:rPr>
            </w:pPr>
            <w:hyperlink w:anchor="_Toc46752172" w:history="1">
              <w:r w:rsidRPr="00F06884">
                <w:rPr>
                  <w:rStyle w:val="Hyperlink"/>
                  <w:lang w:val="en-GB"/>
                </w:rPr>
                <w:t>6</w:t>
              </w:r>
              <w:r w:rsidRPr="00F06884">
                <w:rPr>
                  <w:rFonts w:asciiTheme="minorHAnsi" w:eastAsiaTheme="minorEastAsia" w:hAnsiTheme="minorHAnsi" w:cstheme="minorBidi"/>
                  <w:b w:val="0"/>
                  <w:bCs w:val="0"/>
                  <w:caps w:val="0"/>
                  <w:sz w:val="22"/>
                  <w:szCs w:val="22"/>
                  <w:lang w:val="en-GB" w:eastAsia="en-GB"/>
                </w:rPr>
                <w:tab/>
              </w:r>
              <w:r w:rsidRPr="00F06884">
                <w:rPr>
                  <w:rStyle w:val="Hyperlink"/>
                  <w:lang w:val="en-GB"/>
                </w:rPr>
                <w:t>The PSNR-based BD-rate concept</w:t>
              </w:r>
              <w:r w:rsidRPr="00F06884">
                <w:rPr>
                  <w:webHidden/>
                  <w:lang w:val="en-GB"/>
                </w:rPr>
                <w:tab/>
              </w:r>
              <w:r w:rsidRPr="00F06884">
                <w:rPr>
                  <w:webHidden/>
                  <w:lang w:val="en-GB"/>
                </w:rPr>
                <w:fldChar w:fldCharType="begin"/>
              </w:r>
              <w:r w:rsidRPr="00F06884">
                <w:rPr>
                  <w:webHidden/>
                  <w:lang w:val="en-GB"/>
                </w:rPr>
                <w:instrText xml:space="preserve"> PAGEREF _Toc46752172 \h </w:instrText>
              </w:r>
              <w:r w:rsidRPr="00F06884">
                <w:rPr>
                  <w:webHidden/>
                  <w:lang w:val="en-GB"/>
                </w:rPr>
              </w:r>
              <w:r w:rsidRPr="00F06884">
                <w:rPr>
                  <w:webHidden/>
                  <w:lang w:val="en-GB"/>
                </w:rPr>
                <w:fldChar w:fldCharType="separate"/>
              </w:r>
              <w:r w:rsidR="00B66D04">
                <w:rPr>
                  <w:noProof/>
                  <w:webHidden/>
                  <w:lang w:val="en-GB"/>
                </w:rPr>
                <w:t>4</w:t>
              </w:r>
              <w:r w:rsidRPr="00F06884">
                <w:rPr>
                  <w:webHidden/>
                  <w:lang w:val="en-GB"/>
                </w:rPr>
                <w:fldChar w:fldCharType="end"/>
              </w:r>
            </w:hyperlink>
          </w:p>
          <w:p w14:paraId="510BD321" w14:textId="47CD2E08" w:rsidR="008C7B64" w:rsidRPr="00F06884" w:rsidRDefault="008C7B64">
            <w:pPr>
              <w:pStyle w:val="TOC1"/>
              <w:tabs>
                <w:tab w:val="left" w:pos="480"/>
                <w:tab w:val="right" w:leader="dot" w:pos="9629"/>
              </w:tabs>
              <w:rPr>
                <w:rFonts w:asciiTheme="minorHAnsi" w:eastAsiaTheme="minorEastAsia" w:hAnsiTheme="minorHAnsi" w:cstheme="minorBidi"/>
                <w:b w:val="0"/>
                <w:bCs w:val="0"/>
                <w:caps w:val="0"/>
                <w:sz w:val="22"/>
                <w:szCs w:val="22"/>
                <w:lang w:val="en-GB" w:eastAsia="en-GB"/>
              </w:rPr>
            </w:pPr>
            <w:hyperlink w:anchor="_Toc46752173" w:history="1">
              <w:r w:rsidRPr="00F06884">
                <w:rPr>
                  <w:rStyle w:val="Hyperlink"/>
                  <w:lang w:val="en-GB"/>
                </w:rPr>
                <w:t>7</w:t>
              </w:r>
              <w:r w:rsidRPr="00F06884">
                <w:rPr>
                  <w:rFonts w:asciiTheme="minorHAnsi" w:eastAsiaTheme="minorEastAsia" w:hAnsiTheme="minorHAnsi" w:cstheme="minorBidi"/>
                  <w:b w:val="0"/>
                  <w:bCs w:val="0"/>
                  <w:caps w:val="0"/>
                  <w:sz w:val="22"/>
                  <w:szCs w:val="22"/>
                  <w:lang w:val="en-GB" w:eastAsia="en-GB"/>
                </w:rPr>
                <w:tab/>
              </w:r>
              <w:r w:rsidRPr="00F06884">
                <w:rPr>
                  <w:rStyle w:val="Hyperlink"/>
                  <w:lang w:val="en-GB"/>
                </w:rPr>
                <w:t>PSNR-based BD-rate calculation</w:t>
              </w:r>
              <w:r w:rsidRPr="00F06884">
                <w:rPr>
                  <w:webHidden/>
                  <w:lang w:val="en-GB"/>
                </w:rPr>
                <w:tab/>
              </w:r>
              <w:r w:rsidRPr="00F06884">
                <w:rPr>
                  <w:webHidden/>
                  <w:lang w:val="en-GB"/>
                </w:rPr>
                <w:fldChar w:fldCharType="begin"/>
              </w:r>
              <w:r w:rsidRPr="00F06884">
                <w:rPr>
                  <w:webHidden/>
                  <w:lang w:val="en-GB"/>
                </w:rPr>
                <w:instrText xml:space="preserve"> PAGEREF _Toc46752173 \h </w:instrText>
              </w:r>
              <w:r w:rsidRPr="00F06884">
                <w:rPr>
                  <w:webHidden/>
                  <w:lang w:val="en-GB"/>
                </w:rPr>
              </w:r>
              <w:r w:rsidRPr="00F06884">
                <w:rPr>
                  <w:webHidden/>
                  <w:lang w:val="en-GB"/>
                </w:rPr>
                <w:fldChar w:fldCharType="separate"/>
              </w:r>
              <w:r w:rsidR="00B66D04">
                <w:rPr>
                  <w:noProof/>
                  <w:webHidden/>
                  <w:lang w:val="en-GB"/>
                </w:rPr>
                <w:t>4</w:t>
              </w:r>
              <w:r w:rsidRPr="00F06884">
                <w:rPr>
                  <w:webHidden/>
                  <w:lang w:val="en-GB"/>
                </w:rPr>
                <w:fldChar w:fldCharType="end"/>
              </w:r>
            </w:hyperlink>
          </w:p>
          <w:p w14:paraId="4DAF6830" w14:textId="331D9F6C" w:rsidR="008C7B64" w:rsidRPr="00F06884" w:rsidRDefault="008C7B64">
            <w:pPr>
              <w:pStyle w:val="TOC2"/>
              <w:tabs>
                <w:tab w:val="left" w:pos="720"/>
                <w:tab w:val="right" w:leader="dot" w:pos="9629"/>
              </w:tabs>
              <w:rPr>
                <w:rFonts w:asciiTheme="minorHAnsi" w:eastAsiaTheme="minorEastAsia" w:hAnsiTheme="minorHAnsi" w:cstheme="minorBidi"/>
                <w:smallCaps w:val="0"/>
                <w:sz w:val="22"/>
                <w:szCs w:val="22"/>
                <w:lang w:val="en-GB" w:eastAsia="en-GB"/>
              </w:rPr>
            </w:pPr>
            <w:hyperlink w:anchor="_Toc46752174" w:history="1">
              <w:r w:rsidRPr="00F06884">
                <w:rPr>
                  <w:rStyle w:val="Hyperlink"/>
                  <w:lang w:val="en-GB"/>
                </w:rPr>
                <w:t>7.1</w:t>
              </w:r>
              <w:r w:rsidRPr="00F06884">
                <w:rPr>
                  <w:rFonts w:asciiTheme="minorHAnsi" w:eastAsiaTheme="minorEastAsia" w:hAnsiTheme="minorHAnsi" w:cstheme="minorBidi"/>
                  <w:smallCaps w:val="0"/>
                  <w:sz w:val="22"/>
                  <w:szCs w:val="22"/>
                  <w:lang w:val="en-GB" w:eastAsia="en-GB"/>
                </w:rPr>
                <w:tab/>
              </w:r>
              <w:r w:rsidRPr="00F06884">
                <w:rPr>
                  <w:rStyle w:val="Hyperlink"/>
                  <w:lang w:val="en-GB"/>
                </w:rPr>
                <w:t>General</w:t>
              </w:r>
              <w:r w:rsidRPr="00F06884">
                <w:rPr>
                  <w:webHidden/>
                  <w:lang w:val="en-GB"/>
                </w:rPr>
                <w:tab/>
              </w:r>
              <w:r w:rsidRPr="00F06884">
                <w:rPr>
                  <w:webHidden/>
                  <w:lang w:val="en-GB"/>
                </w:rPr>
                <w:fldChar w:fldCharType="begin"/>
              </w:r>
              <w:r w:rsidRPr="00F06884">
                <w:rPr>
                  <w:webHidden/>
                  <w:lang w:val="en-GB"/>
                </w:rPr>
                <w:instrText xml:space="preserve"> PAGEREF _Toc46752174 \h </w:instrText>
              </w:r>
              <w:r w:rsidRPr="00F06884">
                <w:rPr>
                  <w:webHidden/>
                  <w:lang w:val="en-GB"/>
                </w:rPr>
              </w:r>
              <w:r w:rsidRPr="00F06884">
                <w:rPr>
                  <w:webHidden/>
                  <w:lang w:val="en-GB"/>
                </w:rPr>
                <w:fldChar w:fldCharType="separate"/>
              </w:r>
              <w:r w:rsidR="00B66D04">
                <w:rPr>
                  <w:noProof/>
                  <w:webHidden/>
                  <w:lang w:val="en-GB"/>
                </w:rPr>
                <w:t>4</w:t>
              </w:r>
              <w:r w:rsidRPr="00F06884">
                <w:rPr>
                  <w:webHidden/>
                  <w:lang w:val="en-GB"/>
                </w:rPr>
                <w:fldChar w:fldCharType="end"/>
              </w:r>
            </w:hyperlink>
          </w:p>
          <w:p w14:paraId="5D3CD30D" w14:textId="61AE7394" w:rsidR="008C7B64" w:rsidRPr="00F06884" w:rsidRDefault="008C7B64">
            <w:pPr>
              <w:pStyle w:val="TOC2"/>
              <w:tabs>
                <w:tab w:val="left" w:pos="720"/>
                <w:tab w:val="right" w:leader="dot" w:pos="9629"/>
              </w:tabs>
              <w:rPr>
                <w:rFonts w:asciiTheme="minorHAnsi" w:eastAsiaTheme="minorEastAsia" w:hAnsiTheme="minorHAnsi" w:cstheme="minorBidi"/>
                <w:smallCaps w:val="0"/>
                <w:sz w:val="22"/>
                <w:szCs w:val="22"/>
                <w:lang w:val="en-GB" w:eastAsia="en-GB"/>
              </w:rPr>
            </w:pPr>
            <w:hyperlink w:anchor="_Toc46752175" w:history="1">
              <w:r w:rsidRPr="00F06884">
                <w:rPr>
                  <w:rStyle w:val="Hyperlink"/>
                  <w:lang w:val="en-GB"/>
                </w:rPr>
                <w:t>7.2</w:t>
              </w:r>
              <w:r w:rsidRPr="00F06884">
                <w:rPr>
                  <w:rFonts w:asciiTheme="minorHAnsi" w:eastAsiaTheme="minorEastAsia" w:hAnsiTheme="minorHAnsi" w:cstheme="minorBidi"/>
                  <w:smallCaps w:val="0"/>
                  <w:sz w:val="22"/>
                  <w:szCs w:val="22"/>
                  <w:lang w:val="en-GB" w:eastAsia="en-GB"/>
                </w:rPr>
                <w:tab/>
              </w:r>
              <w:r w:rsidRPr="00F06884">
                <w:rPr>
                  <w:rStyle w:val="Hyperlink"/>
                  <w:lang w:val="en-GB"/>
                </w:rPr>
                <w:t>Calculation of PSNR for individual frames</w:t>
              </w:r>
              <w:r w:rsidRPr="00F06884">
                <w:rPr>
                  <w:webHidden/>
                  <w:lang w:val="en-GB"/>
                </w:rPr>
                <w:tab/>
              </w:r>
              <w:r w:rsidRPr="00F06884">
                <w:rPr>
                  <w:webHidden/>
                  <w:lang w:val="en-GB"/>
                </w:rPr>
                <w:fldChar w:fldCharType="begin"/>
              </w:r>
              <w:r w:rsidRPr="00F06884">
                <w:rPr>
                  <w:webHidden/>
                  <w:lang w:val="en-GB"/>
                </w:rPr>
                <w:instrText xml:space="preserve"> PAGEREF _Toc46752175 \h </w:instrText>
              </w:r>
              <w:r w:rsidRPr="00F06884">
                <w:rPr>
                  <w:webHidden/>
                  <w:lang w:val="en-GB"/>
                </w:rPr>
              </w:r>
              <w:r w:rsidRPr="00F06884">
                <w:rPr>
                  <w:webHidden/>
                  <w:lang w:val="en-GB"/>
                </w:rPr>
                <w:fldChar w:fldCharType="separate"/>
              </w:r>
              <w:r w:rsidR="00B66D04">
                <w:rPr>
                  <w:noProof/>
                  <w:webHidden/>
                  <w:lang w:val="en-GB"/>
                </w:rPr>
                <w:t>5</w:t>
              </w:r>
              <w:r w:rsidRPr="00F06884">
                <w:rPr>
                  <w:webHidden/>
                  <w:lang w:val="en-GB"/>
                </w:rPr>
                <w:fldChar w:fldCharType="end"/>
              </w:r>
            </w:hyperlink>
          </w:p>
          <w:p w14:paraId="01797CDB" w14:textId="75E90968" w:rsidR="008C7B64" w:rsidRPr="00F06884" w:rsidRDefault="008C7B64">
            <w:pPr>
              <w:pStyle w:val="TOC2"/>
              <w:tabs>
                <w:tab w:val="left" w:pos="720"/>
                <w:tab w:val="right" w:leader="dot" w:pos="9629"/>
              </w:tabs>
              <w:rPr>
                <w:rFonts w:asciiTheme="minorHAnsi" w:eastAsiaTheme="minorEastAsia" w:hAnsiTheme="minorHAnsi" w:cstheme="minorBidi"/>
                <w:smallCaps w:val="0"/>
                <w:sz w:val="22"/>
                <w:szCs w:val="22"/>
                <w:lang w:val="en-GB" w:eastAsia="en-GB"/>
              </w:rPr>
            </w:pPr>
            <w:hyperlink w:anchor="_Toc46752176" w:history="1">
              <w:r w:rsidRPr="00F06884">
                <w:rPr>
                  <w:rStyle w:val="Hyperlink"/>
                  <w:lang w:val="en-GB"/>
                </w:rPr>
                <w:t>7.3</w:t>
              </w:r>
              <w:r w:rsidRPr="00F06884">
                <w:rPr>
                  <w:rFonts w:asciiTheme="minorHAnsi" w:eastAsiaTheme="minorEastAsia" w:hAnsiTheme="minorHAnsi" w:cstheme="minorBidi"/>
                  <w:smallCaps w:val="0"/>
                  <w:sz w:val="22"/>
                  <w:szCs w:val="22"/>
                  <w:lang w:val="en-GB" w:eastAsia="en-GB"/>
                </w:rPr>
                <w:tab/>
              </w:r>
              <w:r w:rsidRPr="00F06884">
                <w:rPr>
                  <w:rStyle w:val="Hyperlink"/>
                  <w:lang w:val="en-GB"/>
                </w:rPr>
                <w:t>Calculation of sequence PSNR and bit rate numbers for each QP value</w:t>
              </w:r>
              <w:r w:rsidRPr="00F06884">
                <w:rPr>
                  <w:webHidden/>
                  <w:lang w:val="en-GB"/>
                </w:rPr>
                <w:tab/>
              </w:r>
              <w:r w:rsidRPr="00F06884">
                <w:rPr>
                  <w:webHidden/>
                  <w:lang w:val="en-GB"/>
                </w:rPr>
                <w:fldChar w:fldCharType="begin"/>
              </w:r>
              <w:r w:rsidRPr="00F06884">
                <w:rPr>
                  <w:webHidden/>
                  <w:lang w:val="en-GB"/>
                </w:rPr>
                <w:instrText xml:space="preserve"> PAGEREF _Toc46752176 \h </w:instrText>
              </w:r>
              <w:r w:rsidRPr="00F06884">
                <w:rPr>
                  <w:webHidden/>
                  <w:lang w:val="en-GB"/>
                </w:rPr>
              </w:r>
              <w:r w:rsidRPr="00F06884">
                <w:rPr>
                  <w:webHidden/>
                  <w:lang w:val="en-GB"/>
                </w:rPr>
                <w:fldChar w:fldCharType="separate"/>
              </w:r>
              <w:r w:rsidR="00B66D04">
                <w:rPr>
                  <w:noProof/>
                  <w:webHidden/>
                  <w:lang w:val="en-GB"/>
                </w:rPr>
                <w:t>5</w:t>
              </w:r>
              <w:r w:rsidRPr="00F06884">
                <w:rPr>
                  <w:webHidden/>
                  <w:lang w:val="en-GB"/>
                </w:rPr>
                <w:fldChar w:fldCharType="end"/>
              </w:r>
            </w:hyperlink>
          </w:p>
          <w:p w14:paraId="2CB79CF3" w14:textId="06E2E33B" w:rsidR="008C7B64" w:rsidRPr="00F06884" w:rsidRDefault="008C7B64">
            <w:pPr>
              <w:pStyle w:val="TOC2"/>
              <w:tabs>
                <w:tab w:val="left" w:pos="720"/>
                <w:tab w:val="right" w:leader="dot" w:pos="9629"/>
              </w:tabs>
              <w:rPr>
                <w:rFonts w:asciiTheme="minorHAnsi" w:eastAsiaTheme="minorEastAsia" w:hAnsiTheme="minorHAnsi" w:cstheme="minorBidi"/>
                <w:smallCaps w:val="0"/>
                <w:sz w:val="22"/>
                <w:szCs w:val="22"/>
                <w:lang w:val="en-GB" w:eastAsia="en-GB"/>
              </w:rPr>
            </w:pPr>
            <w:hyperlink w:anchor="_Toc46752177" w:history="1">
              <w:r w:rsidRPr="00F06884">
                <w:rPr>
                  <w:rStyle w:val="Hyperlink"/>
                  <w:lang w:val="en-GB"/>
                </w:rPr>
                <w:t>7.4</w:t>
              </w:r>
              <w:r w:rsidRPr="00F06884">
                <w:rPr>
                  <w:rFonts w:asciiTheme="minorHAnsi" w:eastAsiaTheme="minorEastAsia" w:hAnsiTheme="minorHAnsi" w:cstheme="minorBidi"/>
                  <w:smallCaps w:val="0"/>
                  <w:sz w:val="22"/>
                  <w:szCs w:val="22"/>
                  <w:lang w:val="en-GB" w:eastAsia="en-GB"/>
                </w:rPr>
                <w:tab/>
              </w:r>
              <w:r w:rsidRPr="00F06884">
                <w:rPr>
                  <w:rStyle w:val="Hyperlink"/>
                  <w:lang w:val="en-GB"/>
                </w:rPr>
                <w:t>Calculation of sequence BD-rate</w:t>
              </w:r>
              <w:r w:rsidRPr="00F06884">
                <w:rPr>
                  <w:rStyle w:val="Hyperlink"/>
                  <w:lang w:val="en-GB"/>
                </w:rPr>
                <w:t xml:space="preserve"> </w:t>
              </w:r>
              <w:r w:rsidRPr="00F06884">
                <w:rPr>
                  <w:rStyle w:val="Hyperlink"/>
                  <w:lang w:val="en-GB"/>
                </w:rPr>
                <w:t>number</w:t>
              </w:r>
              <w:r w:rsidRPr="00F06884">
                <w:rPr>
                  <w:webHidden/>
                  <w:lang w:val="en-GB"/>
                </w:rPr>
                <w:tab/>
              </w:r>
              <w:r w:rsidRPr="00F06884">
                <w:rPr>
                  <w:webHidden/>
                  <w:lang w:val="en-GB"/>
                </w:rPr>
                <w:fldChar w:fldCharType="begin"/>
              </w:r>
              <w:r w:rsidRPr="00F06884">
                <w:rPr>
                  <w:webHidden/>
                  <w:lang w:val="en-GB"/>
                </w:rPr>
                <w:instrText xml:space="preserve"> PAGEREF _Toc46752177 \h </w:instrText>
              </w:r>
              <w:r w:rsidRPr="00F06884">
                <w:rPr>
                  <w:webHidden/>
                  <w:lang w:val="en-GB"/>
                </w:rPr>
              </w:r>
              <w:r w:rsidRPr="00F06884">
                <w:rPr>
                  <w:webHidden/>
                  <w:lang w:val="en-GB"/>
                </w:rPr>
                <w:fldChar w:fldCharType="separate"/>
              </w:r>
              <w:r w:rsidR="00B66D04">
                <w:rPr>
                  <w:noProof/>
                  <w:webHidden/>
                  <w:lang w:val="en-GB"/>
                </w:rPr>
                <w:t>6</w:t>
              </w:r>
              <w:r w:rsidRPr="00F06884">
                <w:rPr>
                  <w:webHidden/>
                  <w:lang w:val="en-GB"/>
                </w:rPr>
                <w:fldChar w:fldCharType="end"/>
              </w:r>
            </w:hyperlink>
          </w:p>
          <w:p w14:paraId="1B0CE362" w14:textId="6D5F209D" w:rsidR="008C7B64" w:rsidRPr="00F06884" w:rsidRDefault="008C7B64">
            <w:pPr>
              <w:pStyle w:val="TOC2"/>
              <w:tabs>
                <w:tab w:val="left" w:pos="720"/>
                <w:tab w:val="right" w:leader="dot" w:pos="9629"/>
              </w:tabs>
              <w:rPr>
                <w:rFonts w:asciiTheme="minorHAnsi" w:eastAsiaTheme="minorEastAsia" w:hAnsiTheme="minorHAnsi" w:cstheme="minorBidi"/>
                <w:smallCaps w:val="0"/>
                <w:sz w:val="22"/>
                <w:szCs w:val="22"/>
                <w:lang w:val="en-GB" w:eastAsia="en-GB"/>
              </w:rPr>
            </w:pPr>
            <w:hyperlink w:anchor="_Toc46752178" w:history="1">
              <w:r w:rsidRPr="00F06884">
                <w:rPr>
                  <w:rStyle w:val="Hyperlink"/>
                  <w:lang w:val="en-GB"/>
                </w:rPr>
                <w:t>7.5</w:t>
              </w:r>
              <w:r w:rsidRPr="00F06884">
                <w:rPr>
                  <w:rFonts w:asciiTheme="minorHAnsi" w:eastAsiaTheme="minorEastAsia" w:hAnsiTheme="minorHAnsi" w:cstheme="minorBidi"/>
                  <w:smallCaps w:val="0"/>
                  <w:sz w:val="22"/>
                  <w:szCs w:val="22"/>
                  <w:lang w:val="en-GB" w:eastAsia="en-GB"/>
                </w:rPr>
                <w:tab/>
              </w:r>
              <w:r w:rsidRPr="00F06884">
                <w:rPr>
                  <w:rStyle w:val="Hyperlink"/>
                  <w:lang w:val="en-GB"/>
                </w:rPr>
                <w:t>Consideration of chroma fidelity</w:t>
              </w:r>
              <w:r w:rsidRPr="00F06884">
                <w:rPr>
                  <w:webHidden/>
                  <w:lang w:val="en-GB"/>
                </w:rPr>
                <w:tab/>
              </w:r>
              <w:r w:rsidRPr="00F06884">
                <w:rPr>
                  <w:webHidden/>
                  <w:lang w:val="en-GB"/>
                </w:rPr>
                <w:fldChar w:fldCharType="begin"/>
              </w:r>
              <w:r w:rsidRPr="00F06884">
                <w:rPr>
                  <w:webHidden/>
                  <w:lang w:val="en-GB"/>
                </w:rPr>
                <w:instrText xml:space="preserve"> PAGEREF _Toc46752178 \h </w:instrText>
              </w:r>
              <w:r w:rsidRPr="00F06884">
                <w:rPr>
                  <w:webHidden/>
                  <w:lang w:val="en-GB"/>
                </w:rPr>
              </w:r>
              <w:r w:rsidRPr="00F06884">
                <w:rPr>
                  <w:webHidden/>
                  <w:lang w:val="en-GB"/>
                </w:rPr>
                <w:fldChar w:fldCharType="separate"/>
              </w:r>
              <w:r w:rsidR="00B66D04">
                <w:rPr>
                  <w:noProof/>
                  <w:webHidden/>
                  <w:lang w:val="en-GB"/>
                </w:rPr>
                <w:t>8</w:t>
              </w:r>
              <w:r w:rsidRPr="00F06884">
                <w:rPr>
                  <w:webHidden/>
                  <w:lang w:val="en-GB"/>
                </w:rPr>
                <w:fldChar w:fldCharType="end"/>
              </w:r>
            </w:hyperlink>
          </w:p>
          <w:p w14:paraId="587BE20E" w14:textId="5AAA23E1" w:rsidR="008C7B64" w:rsidRPr="00F06884" w:rsidRDefault="008C7B64">
            <w:pPr>
              <w:pStyle w:val="TOC2"/>
              <w:tabs>
                <w:tab w:val="left" w:pos="720"/>
                <w:tab w:val="right" w:leader="dot" w:pos="9629"/>
              </w:tabs>
              <w:rPr>
                <w:rFonts w:asciiTheme="minorHAnsi" w:eastAsiaTheme="minorEastAsia" w:hAnsiTheme="minorHAnsi" w:cstheme="minorBidi"/>
                <w:smallCaps w:val="0"/>
                <w:sz w:val="22"/>
                <w:szCs w:val="22"/>
                <w:lang w:val="en-GB" w:eastAsia="en-GB"/>
              </w:rPr>
            </w:pPr>
            <w:hyperlink w:anchor="_Toc46752179" w:history="1">
              <w:r w:rsidRPr="00F06884">
                <w:rPr>
                  <w:rStyle w:val="Hyperlink"/>
                  <w:lang w:val="en-GB"/>
                </w:rPr>
                <w:t>7.6</w:t>
              </w:r>
              <w:r w:rsidRPr="00F06884">
                <w:rPr>
                  <w:rFonts w:asciiTheme="minorHAnsi" w:eastAsiaTheme="minorEastAsia" w:hAnsiTheme="minorHAnsi" w:cstheme="minorBidi"/>
                  <w:smallCaps w:val="0"/>
                  <w:sz w:val="22"/>
                  <w:szCs w:val="22"/>
                  <w:lang w:val="en-GB" w:eastAsia="en-GB"/>
                </w:rPr>
                <w:tab/>
              </w:r>
              <w:r w:rsidRPr="00F06884">
                <w:rPr>
                  <w:rStyle w:val="Hyperlink"/>
                  <w:lang w:val="en-GB"/>
                </w:rPr>
                <w:t>Calculation of aggregate BD-rate value for all sequences</w:t>
              </w:r>
              <w:r w:rsidRPr="00F06884">
                <w:rPr>
                  <w:webHidden/>
                  <w:lang w:val="en-GB"/>
                </w:rPr>
                <w:tab/>
              </w:r>
              <w:r w:rsidRPr="00F06884">
                <w:rPr>
                  <w:webHidden/>
                  <w:lang w:val="en-GB"/>
                </w:rPr>
                <w:fldChar w:fldCharType="begin"/>
              </w:r>
              <w:r w:rsidRPr="00F06884">
                <w:rPr>
                  <w:webHidden/>
                  <w:lang w:val="en-GB"/>
                </w:rPr>
                <w:instrText xml:space="preserve"> PAGEREF _Toc46752179 \h </w:instrText>
              </w:r>
              <w:r w:rsidRPr="00F06884">
                <w:rPr>
                  <w:webHidden/>
                  <w:lang w:val="en-GB"/>
                </w:rPr>
              </w:r>
              <w:r w:rsidRPr="00F06884">
                <w:rPr>
                  <w:webHidden/>
                  <w:lang w:val="en-GB"/>
                </w:rPr>
                <w:fldChar w:fldCharType="separate"/>
              </w:r>
              <w:r w:rsidR="00B66D04">
                <w:rPr>
                  <w:noProof/>
                  <w:webHidden/>
                  <w:lang w:val="en-GB"/>
                </w:rPr>
                <w:t>9</w:t>
              </w:r>
              <w:r w:rsidRPr="00F06884">
                <w:rPr>
                  <w:webHidden/>
                  <w:lang w:val="en-GB"/>
                </w:rPr>
                <w:fldChar w:fldCharType="end"/>
              </w:r>
            </w:hyperlink>
          </w:p>
          <w:p w14:paraId="239C252B" w14:textId="4D95A0B6" w:rsidR="008C7B64" w:rsidRPr="00F06884" w:rsidRDefault="008C7B64">
            <w:pPr>
              <w:pStyle w:val="TOC1"/>
              <w:tabs>
                <w:tab w:val="left" w:pos="480"/>
                <w:tab w:val="right" w:leader="dot" w:pos="9629"/>
              </w:tabs>
              <w:rPr>
                <w:rFonts w:asciiTheme="minorHAnsi" w:eastAsiaTheme="minorEastAsia" w:hAnsiTheme="minorHAnsi" w:cstheme="minorBidi"/>
                <w:b w:val="0"/>
                <w:bCs w:val="0"/>
                <w:caps w:val="0"/>
                <w:sz w:val="22"/>
                <w:szCs w:val="22"/>
                <w:lang w:val="en-GB" w:eastAsia="en-GB"/>
              </w:rPr>
            </w:pPr>
            <w:hyperlink w:anchor="_Toc46752180" w:history="1">
              <w:r w:rsidRPr="00F06884">
                <w:rPr>
                  <w:rStyle w:val="Hyperlink"/>
                  <w:lang w:val="en-GB"/>
                </w:rPr>
                <w:t>8</w:t>
              </w:r>
              <w:r w:rsidRPr="00F06884">
                <w:rPr>
                  <w:rFonts w:asciiTheme="minorHAnsi" w:eastAsiaTheme="minorEastAsia" w:hAnsiTheme="minorHAnsi" w:cstheme="minorBidi"/>
                  <w:b w:val="0"/>
                  <w:bCs w:val="0"/>
                  <w:caps w:val="0"/>
                  <w:sz w:val="22"/>
                  <w:szCs w:val="22"/>
                  <w:lang w:val="en-GB" w:eastAsia="en-GB"/>
                </w:rPr>
                <w:tab/>
              </w:r>
              <w:r w:rsidRPr="00F06884">
                <w:rPr>
                  <w:rStyle w:val="Hyperlink"/>
                  <w:lang w:val="en-GB"/>
                </w:rPr>
                <w:t>BD-rate calculation for HDR material</w:t>
              </w:r>
              <w:r w:rsidRPr="00F06884">
                <w:rPr>
                  <w:webHidden/>
                  <w:lang w:val="en-GB"/>
                </w:rPr>
                <w:tab/>
              </w:r>
              <w:r w:rsidRPr="00F06884">
                <w:rPr>
                  <w:webHidden/>
                  <w:lang w:val="en-GB"/>
                </w:rPr>
                <w:fldChar w:fldCharType="begin"/>
              </w:r>
              <w:r w:rsidRPr="00F06884">
                <w:rPr>
                  <w:webHidden/>
                  <w:lang w:val="en-GB"/>
                </w:rPr>
                <w:instrText xml:space="preserve"> PAGEREF _Toc46752180 \h </w:instrText>
              </w:r>
              <w:r w:rsidRPr="00F06884">
                <w:rPr>
                  <w:webHidden/>
                  <w:lang w:val="en-GB"/>
                </w:rPr>
              </w:r>
              <w:r w:rsidRPr="00F06884">
                <w:rPr>
                  <w:webHidden/>
                  <w:lang w:val="en-GB"/>
                </w:rPr>
                <w:fldChar w:fldCharType="separate"/>
              </w:r>
              <w:r w:rsidR="00B66D04">
                <w:rPr>
                  <w:noProof/>
                  <w:webHidden/>
                  <w:lang w:val="en-GB"/>
                </w:rPr>
                <w:t>9</w:t>
              </w:r>
              <w:r w:rsidRPr="00F06884">
                <w:rPr>
                  <w:webHidden/>
                  <w:lang w:val="en-GB"/>
                </w:rPr>
                <w:fldChar w:fldCharType="end"/>
              </w:r>
            </w:hyperlink>
          </w:p>
          <w:p w14:paraId="384A97F9" w14:textId="31499109" w:rsidR="008C7B64" w:rsidRPr="00F06884" w:rsidRDefault="008C7B64">
            <w:pPr>
              <w:pStyle w:val="TOC1"/>
              <w:tabs>
                <w:tab w:val="left" w:pos="480"/>
                <w:tab w:val="right" w:leader="dot" w:pos="9629"/>
              </w:tabs>
              <w:rPr>
                <w:rFonts w:asciiTheme="minorHAnsi" w:eastAsiaTheme="minorEastAsia" w:hAnsiTheme="minorHAnsi" w:cstheme="minorBidi"/>
                <w:b w:val="0"/>
                <w:bCs w:val="0"/>
                <w:caps w:val="0"/>
                <w:sz w:val="22"/>
                <w:szCs w:val="22"/>
                <w:lang w:val="en-GB" w:eastAsia="en-GB"/>
              </w:rPr>
            </w:pPr>
            <w:hyperlink w:anchor="_Toc46752181" w:history="1">
              <w:r w:rsidRPr="00F06884">
                <w:rPr>
                  <w:rStyle w:val="Hyperlink"/>
                  <w:lang w:val="en-GB"/>
                </w:rPr>
                <w:t>9</w:t>
              </w:r>
              <w:r w:rsidRPr="00F06884">
                <w:rPr>
                  <w:rFonts w:asciiTheme="minorHAnsi" w:eastAsiaTheme="minorEastAsia" w:hAnsiTheme="minorHAnsi" w:cstheme="minorBidi"/>
                  <w:b w:val="0"/>
                  <w:bCs w:val="0"/>
                  <w:caps w:val="0"/>
                  <w:sz w:val="22"/>
                  <w:szCs w:val="22"/>
                  <w:lang w:val="en-GB" w:eastAsia="en-GB"/>
                </w:rPr>
                <w:tab/>
              </w:r>
              <w:r w:rsidRPr="00F06884">
                <w:rPr>
                  <w:rStyle w:val="Hyperlink"/>
                  <w:lang w:val="en-GB"/>
                </w:rPr>
                <w:t>BD-rate calculation for 360° video</w:t>
              </w:r>
              <w:r w:rsidRPr="00F06884">
                <w:rPr>
                  <w:webHidden/>
                  <w:lang w:val="en-GB"/>
                </w:rPr>
                <w:tab/>
              </w:r>
              <w:r w:rsidRPr="00F06884">
                <w:rPr>
                  <w:webHidden/>
                  <w:lang w:val="en-GB"/>
                </w:rPr>
                <w:fldChar w:fldCharType="begin"/>
              </w:r>
              <w:r w:rsidRPr="00F06884">
                <w:rPr>
                  <w:webHidden/>
                  <w:lang w:val="en-GB"/>
                </w:rPr>
                <w:instrText xml:space="preserve"> PAGEREF _Toc46752181 \h </w:instrText>
              </w:r>
              <w:r w:rsidRPr="00F06884">
                <w:rPr>
                  <w:webHidden/>
                  <w:lang w:val="en-GB"/>
                </w:rPr>
              </w:r>
              <w:r w:rsidRPr="00F06884">
                <w:rPr>
                  <w:webHidden/>
                  <w:lang w:val="en-GB"/>
                </w:rPr>
                <w:fldChar w:fldCharType="separate"/>
              </w:r>
              <w:r w:rsidR="00B66D04">
                <w:rPr>
                  <w:noProof/>
                  <w:webHidden/>
                  <w:lang w:val="en-GB"/>
                </w:rPr>
                <w:t>10</w:t>
              </w:r>
              <w:r w:rsidRPr="00F06884">
                <w:rPr>
                  <w:webHidden/>
                  <w:lang w:val="en-GB"/>
                </w:rPr>
                <w:fldChar w:fldCharType="end"/>
              </w:r>
            </w:hyperlink>
          </w:p>
          <w:p w14:paraId="59AEE32F" w14:textId="20B4EB86" w:rsidR="00135F89" w:rsidRPr="00F06884" w:rsidRDefault="00135F89" w:rsidP="00BA05EB">
            <w:pPr>
              <w:pStyle w:val="TableofFigures"/>
              <w:rPr>
                <w:rFonts w:eastAsia="Times New Roman"/>
              </w:rPr>
            </w:pPr>
            <w:r w:rsidRPr="00F06884">
              <w:rPr>
                <w:rFonts w:eastAsia="Batang"/>
              </w:rPr>
              <w:fldChar w:fldCharType="end"/>
            </w:r>
          </w:p>
        </w:tc>
      </w:tr>
    </w:tbl>
    <w:p w14:paraId="4DC3A82A" w14:textId="77777777" w:rsidR="00135F89" w:rsidRPr="00F06884" w:rsidRDefault="00135F89" w:rsidP="00135F89">
      <w:pPr>
        <w:rPr>
          <w:lang w:val="en-GB"/>
        </w:rPr>
      </w:pPr>
    </w:p>
    <w:p w14:paraId="66174080" w14:textId="77777777" w:rsidR="00135F89" w:rsidRPr="00F06884" w:rsidRDefault="00135F89" w:rsidP="00135F89">
      <w:pPr>
        <w:keepNext/>
        <w:jc w:val="center"/>
        <w:rPr>
          <w:b/>
          <w:bCs/>
          <w:lang w:val="en-GB"/>
        </w:rPr>
      </w:pPr>
      <w:r w:rsidRPr="00F06884">
        <w:rPr>
          <w:b/>
          <w:bCs/>
          <w:lang w:val="en-GB"/>
        </w:rPr>
        <w:t>List of Tables</w:t>
      </w:r>
    </w:p>
    <w:tbl>
      <w:tblPr>
        <w:tblW w:w="9889" w:type="dxa"/>
        <w:tblLayout w:type="fixed"/>
        <w:tblLook w:val="04A0" w:firstRow="1" w:lastRow="0" w:firstColumn="1" w:lastColumn="0" w:noHBand="0" w:noVBand="1"/>
      </w:tblPr>
      <w:tblGrid>
        <w:gridCol w:w="9889"/>
      </w:tblGrid>
      <w:tr w:rsidR="00135F89" w:rsidRPr="00F06884" w14:paraId="4E368C2F" w14:textId="77777777" w:rsidTr="00BA05EB">
        <w:trPr>
          <w:tblHeader/>
        </w:trPr>
        <w:tc>
          <w:tcPr>
            <w:tcW w:w="9889" w:type="dxa"/>
          </w:tcPr>
          <w:p w14:paraId="25126843" w14:textId="77777777" w:rsidR="00135F89" w:rsidRPr="00F06884" w:rsidRDefault="00135F89" w:rsidP="00BA05EB">
            <w:pPr>
              <w:pStyle w:val="toc0"/>
              <w:keepNext/>
            </w:pPr>
            <w:r w:rsidRPr="00F06884">
              <w:tab/>
              <w:t>Page</w:t>
            </w:r>
          </w:p>
        </w:tc>
      </w:tr>
      <w:tr w:rsidR="00135F89" w:rsidRPr="00F06884" w14:paraId="2562C1EB" w14:textId="77777777" w:rsidTr="00BA05EB">
        <w:tc>
          <w:tcPr>
            <w:tcW w:w="9889" w:type="dxa"/>
          </w:tcPr>
          <w:p w14:paraId="189CAB95" w14:textId="3BCC7B8B" w:rsidR="008C7B64" w:rsidRPr="00F06884" w:rsidRDefault="00135F89">
            <w:pPr>
              <w:pStyle w:val="TableofFigures"/>
              <w:rPr>
                <w:rFonts w:asciiTheme="minorHAnsi" w:eastAsiaTheme="minorEastAsia" w:hAnsiTheme="minorHAnsi" w:cstheme="minorBidi"/>
                <w:smallCaps w:val="0"/>
                <w:sz w:val="22"/>
                <w:szCs w:val="22"/>
                <w:lang w:eastAsia="en-GB"/>
              </w:rPr>
            </w:pPr>
            <w:r w:rsidRPr="00F06884">
              <w:rPr>
                <w:rFonts w:eastAsia="Times New Roman"/>
              </w:rPr>
              <w:fldChar w:fldCharType="begin"/>
            </w:r>
            <w:r w:rsidRPr="00F06884">
              <w:rPr>
                <w:rFonts w:eastAsia="Times New Roman"/>
              </w:rPr>
              <w:instrText xml:space="preserve"> TOC \h \z \t "Table_No &amp; title" \c </w:instrText>
            </w:r>
            <w:r w:rsidRPr="00F06884">
              <w:rPr>
                <w:rFonts w:eastAsia="Times New Roman"/>
              </w:rPr>
              <w:fldChar w:fldCharType="separate"/>
            </w:r>
            <w:hyperlink w:anchor="_Toc46752182" w:history="1">
              <w:r w:rsidR="008C7B64" w:rsidRPr="00F06884">
                <w:rPr>
                  <w:rStyle w:val="Hyperlink"/>
                  <w:lang w:bidi="ar-DZ"/>
                </w:rPr>
                <w:t>Table 1 – Example bit rates and PSNR values for anchor and test</w:t>
              </w:r>
              <w:r w:rsidR="008C7B64" w:rsidRPr="00F06884">
                <w:rPr>
                  <w:webHidden/>
                </w:rPr>
                <w:tab/>
              </w:r>
              <w:r w:rsidR="008C7B64" w:rsidRPr="00F06884">
                <w:rPr>
                  <w:webHidden/>
                </w:rPr>
                <w:fldChar w:fldCharType="begin"/>
              </w:r>
              <w:r w:rsidR="008C7B64" w:rsidRPr="00F06884">
                <w:rPr>
                  <w:webHidden/>
                </w:rPr>
                <w:instrText xml:space="preserve"> PAGEREF _Toc46752182 \h </w:instrText>
              </w:r>
              <w:r w:rsidR="008C7B64" w:rsidRPr="00F06884">
                <w:rPr>
                  <w:webHidden/>
                </w:rPr>
              </w:r>
              <w:r w:rsidR="008C7B64" w:rsidRPr="00F06884">
                <w:rPr>
                  <w:webHidden/>
                </w:rPr>
                <w:fldChar w:fldCharType="separate"/>
              </w:r>
              <w:r w:rsidR="00B66D04">
                <w:rPr>
                  <w:noProof/>
                  <w:webHidden/>
                </w:rPr>
                <w:t>6</w:t>
              </w:r>
              <w:r w:rsidR="008C7B64" w:rsidRPr="00F06884">
                <w:rPr>
                  <w:webHidden/>
                </w:rPr>
                <w:fldChar w:fldCharType="end"/>
              </w:r>
            </w:hyperlink>
          </w:p>
          <w:p w14:paraId="08BF13AE" w14:textId="4D6F3657" w:rsidR="00135F89" w:rsidRPr="00F06884" w:rsidRDefault="00135F89" w:rsidP="00BA05EB">
            <w:pPr>
              <w:pStyle w:val="TableofFigures"/>
              <w:rPr>
                <w:rFonts w:eastAsia="Times New Roman"/>
              </w:rPr>
            </w:pPr>
            <w:r w:rsidRPr="00F06884">
              <w:rPr>
                <w:rFonts w:eastAsia="Times New Roman"/>
              </w:rPr>
              <w:fldChar w:fldCharType="end"/>
            </w:r>
          </w:p>
        </w:tc>
      </w:tr>
    </w:tbl>
    <w:p w14:paraId="58B627B1" w14:textId="77777777" w:rsidR="00135F89" w:rsidRPr="00F06884" w:rsidRDefault="00135F89" w:rsidP="00135F89">
      <w:pPr>
        <w:rPr>
          <w:lang w:val="en-GB"/>
        </w:rPr>
      </w:pPr>
    </w:p>
    <w:p w14:paraId="5F1D8A8A" w14:textId="1E5EE207" w:rsidR="00135F89" w:rsidRPr="00F06884" w:rsidRDefault="00135F89" w:rsidP="00135F89">
      <w:pPr>
        <w:keepNext/>
        <w:jc w:val="center"/>
        <w:rPr>
          <w:b/>
          <w:bCs/>
          <w:lang w:val="en-GB"/>
        </w:rPr>
      </w:pPr>
      <w:r w:rsidRPr="00F06884">
        <w:rPr>
          <w:b/>
          <w:bCs/>
          <w:lang w:val="en-GB"/>
        </w:rPr>
        <w:t>List of Figures</w:t>
      </w:r>
    </w:p>
    <w:tbl>
      <w:tblPr>
        <w:tblW w:w="9889" w:type="dxa"/>
        <w:tblLayout w:type="fixed"/>
        <w:tblLook w:val="04A0" w:firstRow="1" w:lastRow="0" w:firstColumn="1" w:lastColumn="0" w:noHBand="0" w:noVBand="1"/>
      </w:tblPr>
      <w:tblGrid>
        <w:gridCol w:w="9889"/>
      </w:tblGrid>
      <w:tr w:rsidR="00135F89" w:rsidRPr="00F06884" w14:paraId="65691103" w14:textId="77777777" w:rsidTr="00BA05EB">
        <w:trPr>
          <w:tblHeader/>
        </w:trPr>
        <w:tc>
          <w:tcPr>
            <w:tcW w:w="9889" w:type="dxa"/>
          </w:tcPr>
          <w:p w14:paraId="0B58B6CA" w14:textId="77777777" w:rsidR="00135F89" w:rsidRPr="00F06884" w:rsidRDefault="00135F89" w:rsidP="00BA05EB">
            <w:pPr>
              <w:pStyle w:val="toc0"/>
              <w:keepNext/>
            </w:pPr>
            <w:r w:rsidRPr="00F06884">
              <w:tab/>
              <w:t>Page</w:t>
            </w:r>
          </w:p>
        </w:tc>
      </w:tr>
      <w:tr w:rsidR="00135F89" w:rsidRPr="00F06884" w14:paraId="17D0DD87" w14:textId="77777777" w:rsidTr="00BA05EB">
        <w:tc>
          <w:tcPr>
            <w:tcW w:w="9889" w:type="dxa"/>
          </w:tcPr>
          <w:p w14:paraId="24435AC6" w14:textId="233B184C" w:rsidR="008C7B64" w:rsidRPr="00F06884" w:rsidRDefault="00135F89">
            <w:pPr>
              <w:pStyle w:val="TableofFigures"/>
              <w:rPr>
                <w:rFonts w:asciiTheme="minorHAnsi" w:eastAsiaTheme="minorEastAsia" w:hAnsiTheme="minorHAnsi" w:cstheme="minorBidi"/>
                <w:smallCaps w:val="0"/>
                <w:sz w:val="22"/>
                <w:szCs w:val="22"/>
                <w:lang w:eastAsia="en-GB"/>
              </w:rPr>
            </w:pPr>
            <w:r w:rsidRPr="00F06884">
              <w:rPr>
                <w:rFonts w:eastAsia="Times New Roman"/>
              </w:rPr>
              <w:fldChar w:fldCharType="begin"/>
            </w:r>
            <w:r w:rsidRPr="00F06884">
              <w:rPr>
                <w:rFonts w:eastAsia="Times New Roman"/>
              </w:rPr>
              <w:instrText xml:space="preserve"> TOC \h \z \t "Figure_No &amp; title" \c </w:instrText>
            </w:r>
            <w:r w:rsidRPr="00F06884">
              <w:rPr>
                <w:rFonts w:eastAsia="Times New Roman"/>
              </w:rPr>
              <w:fldChar w:fldCharType="separate"/>
            </w:r>
            <w:hyperlink w:anchor="_Toc46752183" w:history="1">
              <w:r w:rsidR="008C7B64" w:rsidRPr="00F06884">
                <w:rPr>
                  <w:rStyle w:val="Hyperlink"/>
                  <w:lang w:bidi="ar-DZ"/>
                </w:rPr>
                <w:t xml:space="preserve">Figure 1 – </w:t>
              </w:r>
              <w:r w:rsidR="008C7B64" w:rsidRPr="00F06884">
                <w:rPr>
                  <w:rStyle w:val="Hyperlink"/>
                </w:rPr>
                <w:t>The luma PSNR plotted as a function of bit rate of HM-16.20 (black) vs VTM-7.0 (red).</w:t>
              </w:r>
              <w:r w:rsidR="008C7B64" w:rsidRPr="00F06884">
                <w:rPr>
                  <w:webHidden/>
                </w:rPr>
                <w:tab/>
              </w:r>
              <w:r w:rsidR="008C7B64" w:rsidRPr="00F06884">
                <w:rPr>
                  <w:webHidden/>
                </w:rPr>
                <w:fldChar w:fldCharType="begin"/>
              </w:r>
              <w:r w:rsidR="008C7B64" w:rsidRPr="00F06884">
                <w:rPr>
                  <w:webHidden/>
                </w:rPr>
                <w:instrText xml:space="preserve"> PAGEREF _Toc46752183 \h </w:instrText>
              </w:r>
              <w:r w:rsidR="008C7B64" w:rsidRPr="00F06884">
                <w:rPr>
                  <w:webHidden/>
                </w:rPr>
              </w:r>
              <w:r w:rsidR="008C7B64" w:rsidRPr="00F06884">
                <w:rPr>
                  <w:webHidden/>
                </w:rPr>
                <w:fldChar w:fldCharType="separate"/>
              </w:r>
              <w:r w:rsidR="00B66D04">
                <w:rPr>
                  <w:noProof/>
                  <w:webHidden/>
                </w:rPr>
                <w:t>7</w:t>
              </w:r>
              <w:r w:rsidR="008C7B64" w:rsidRPr="00F06884">
                <w:rPr>
                  <w:webHidden/>
                </w:rPr>
                <w:fldChar w:fldCharType="end"/>
              </w:r>
            </w:hyperlink>
          </w:p>
          <w:p w14:paraId="46FE111B" w14:textId="3D8854EA" w:rsidR="008C7B64" w:rsidRPr="00F06884" w:rsidRDefault="008C7B64">
            <w:pPr>
              <w:pStyle w:val="TableofFigures"/>
              <w:rPr>
                <w:rFonts w:asciiTheme="minorHAnsi" w:eastAsiaTheme="minorEastAsia" w:hAnsiTheme="minorHAnsi" w:cstheme="minorBidi"/>
                <w:smallCaps w:val="0"/>
                <w:sz w:val="22"/>
                <w:szCs w:val="22"/>
                <w:lang w:eastAsia="en-GB"/>
              </w:rPr>
            </w:pPr>
            <w:hyperlink w:anchor="_Toc46752184" w:history="1">
              <w:r w:rsidRPr="00F06884">
                <w:rPr>
                  <w:rStyle w:val="Hyperlink"/>
                  <w:lang w:bidi="ar-DZ"/>
                </w:rPr>
                <w:t xml:space="preserve">Figure 2 – </w:t>
              </w:r>
              <w:r w:rsidRPr="00F06884">
                <w:rPr>
                  <w:rStyle w:val="Hyperlink"/>
                </w:rPr>
                <w:t>The luma PSNR plotted as a function of the bit rate of HM-16.20 (black) vs VTM-7.0 (red), where the bit rate axis is in log scale, as suggested in [3].</w:t>
              </w:r>
              <w:r w:rsidRPr="00F06884">
                <w:rPr>
                  <w:webHidden/>
                </w:rPr>
                <w:tab/>
              </w:r>
              <w:r w:rsidRPr="00F06884">
                <w:rPr>
                  <w:webHidden/>
                </w:rPr>
                <w:fldChar w:fldCharType="begin"/>
              </w:r>
              <w:r w:rsidRPr="00F06884">
                <w:rPr>
                  <w:webHidden/>
                </w:rPr>
                <w:instrText xml:space="preserve"> PAGEREF _Toc46752184 \h </w:instrText>
              </w:r>
              <w:r w:rsidRPr="00F06884">
                <w:rPr>
                  <w:webHidden/>
                </w:rPr>
              </w:r>
              <w:r w:rsidRPr="00F06884">
                <w:rPr>
                  <w:webHidden/>
                </w:rPr>
                <w:fldChar w:fldCharType="separate"/>
              </w:r>
              <w:r w:rsidR="00B66D04">
                <w:rPr>
                  <w:noProof/>
                  <w:webHidden/>
                </w:rPr>
                <w:t>7</w:t>
              </w:r>
              <w:r w:rsidRPr="00F06884">
                <w:rPr>
                  <w:webHidden/>
                </w:rPr>
                <w:fldChar w:fldCharType="end"/>
              </w:r>
            </w:hyperlink>
          </w:p>
          <w:p w14:paraId="112A1E16" w14:textId="1BE314F9" w:rsidR="00135F89" w:rsidRPr="00F06884" w:rsidRDefault="00135F89" w:rsidP="00BA05EB">
            <w:pPr>
              <w:pStyle w:val="TableofFigures"/>
              <w:rPr>
                <w:rFonts w:eastAsia="Times New Roman"/>
              </w:rPr>
            </w:pPr>
            <w:r w:rsidRPr="00F06884">
              <w:rPr>
                <w:rFonts w:eastAsia="Times New Roman"/>
              </w:rPr>
              <w:fldChar w:fldCharType="end"/>
            </w:r>
          </w:p>
        </w:tc>
      </w:tr>
    </w:tbl>
    <w:p w14:paraId="42CF4BF9" w14:textId="77777777" w:rsidR="00135F89" w:rsidRPr="00F06884" w:rsidRDefault="00135F89" w:rsidP="00135F89">
      <w:pPr>
        <w:rPr>
          <w:lang w:val="en-GB"/>
        </w:rPr>
      </w:pPr>
    </w:p>
    <w:p w14:paraId="25A277AF" w14:textId="77777777" w:rsidR="00135F89" w:rsidRPr="00F06884" w:rsidRDefault="00135F89" w:rsidP="00135F89">
      <w:pPr>
        <w:rPr>
          <w:lang w:val="en-GB"/>
        </w:rPr>
      </w:pPr>
    </w:p>
    <w:p w14:paraId="64D64173" w14:textId="77777777" w:rsidR="00135F89" w:rsidRPr="00F06884" w:rsidRDefault="00135F89" w:rsidP="00135F89">
      <w:pPr>
        <w:rPr>
          <w:lang w:val="en-GB"/>
        </w:rPr>
        <w:sectPr w:rsidR="00135F89" w:rsidRPr="00F06884" w:rsidSect="00BA05EB">
          <w:headerReference w:type="even" r:id="rId14"/>
          <w:headerReference w:type="first" r:id="rId15"/>
          <w:footerReference w:type="first" r:id="rId16"/>
          <w:pgSz w:w="11907" w:h="16840" w:code="9"/>
          <w:pgMar w:top="1134" w:right="1134" w:bottom="1134" w:left="1134" w:header="425" w:footer="709" w:gutter="0"/>
          <w:pgNumType w:fmt="lowerRoman" w:start="1"/>
          <w:cols w:space="720"/>
          <w:docGrid w:linePitch="326"/>
        </w:sectPr>
      </w:pPr>
    </w:p>
    <w:p w14:paraId="0A99C08E" w14:textId="3C7034B5" w:rsidR="00135F89" w:rsidRPr="00F06884" w:rsidRDefault="00135F89" w:rsidP="00135F89">
      <w:pPr>
        <w:pStyle w:val="RecNo"/>
      </w:pPr>
      <w:r w:rsidRPr="00F06884">
        <w:lastRenderedPageBreak/>
        <w:t xml:space="preserve">Technical Paper ITU-T </w:t>
      </w:r>
      <w:r w:rsidR="008C7B64" w:rsidRPr="00F06884">
        <w:fldChar w:fldCharType="begin"/>
      </w:r>
      <w:r w:rsidR="008C7B64" w:rsidRPr="00F06884">
        <w:instrText xml:space="preserve"> styleref TPnumber </w:instrText>
      </w:r>
      <w:r w:rsidR="008C7B64" w:rsidRPr="00F06884">
        <w:fldChar w:fldCharType="separate"/>
      </w:r>
      <w:r w:rsidR="00B66D04">
        <w:rPr>
          <w:noProof/>
        </w:rPr>
        <w:t>HSTP-VID-WPOM</w:t>
      </w:r>
      <w:r w:rsidR="008C7B64" w:rsidRPr="00F06884">
        <w:fldChar w:fldCharType="end"/>
      </w:r>
    </w:p>
    <w:p w14:paraId="477CD104" w14:textId="7F639325" w:rsidR="00135F89" w:rsidRPr="00F06884" w:rsidRDefault="008C7B64" w:rsidP="00135F89">
      <w:pPr>
        <w:pStyle w:val="Rectitle"/>
      </w:pPr>
      <w:r w:rsidRPr="00F06884">
        <w:t>ITU-T Technical Paper:</w:t>
      </w:r>
      <w:r w:rsidRPr="00F06884">
        <w:br/>
      </w:r>
      <w:r w:rsidRPr="00F06884">
        <w:fldChar w:fldCharType="begin"/>
      </w:r>
      <w:r w:rsidRPr="00F06884">
        <w:instrText xml:space="preserve"> styleref TPtitle </w:instrText>
      </w:r>
      <w:r w:rsidRPr="00F06884">
        <w:fldChar w:fldCharType="separate"/>
      </w:r>
      <w:r w:rsidR="00B66D04">
        <w:rPr>
          <w:noProof/>
        </w:rPr>
        <w:t>Working practices using objective metrics for evaluation of video coding efficiency experiments</w:t>
      </w:r>
      <w:r w:rsidRPr="00F06884">
        <w:fldChar w:fldCharType="end"/>
      </w:r>
    </w:p>
    <w:p w14:paraId="371F7668" w14:textId="77777777" w:rsidR="00135F89" w:rsidRPr="00F06884" w:rsidRDefault="00135F89" w:rsidP="00135F89">
      <w:pPr>
        <w:pStyle w:val="Heading1"/>
        <w:rPr>
          <w:lang w:bidi="ar-DZ"/>
        </w:rPr>
      </w:pPr>
      <w:bookmarkStart w:id="8" w:name="_Toc401158818"/>
      <w:bookmarkStart w:id="9" w:name="_Toc46752167"/>
      <w:r w:rsidRPr="00F06884">
        <w:rPr>
          <w:lang w:bidi="ar-DZ"/>
        </w:rPr>
        <w:t>Scope</w:t>
      </w:r>
      <w:bookmarkEnd w:id="8"/>
      <w:bookmarkEnd w:id="9"/>
    </w:p>
    <w:p w14:paraId="4D0E3A10" w14:textId="77777777" w:rsidR="00135F89" w:rsidRPr="00F06884" w:rsidRDefault="00135F89" w:rsidP="00135F89">
      <w:pPr>
        <w:rPr>
          <w:lang w:val="en-GB"/>
        </w:rPr>
      </w:pPr>
      <w:r w:rsidRPr="00F06884">
        <w:rPr>
          <w:lang w:val="en-GB"/>
        </w:rPr>
        <w:t>This document provides general summary information about coding efficiency measurement practices that have been used for video coding experiments in recent work for the development of video coding Recommendations in ITU-T SG 16. This document does not represent an authoritative recommendation for how video quality should be evaluated. It merely describes the practices that have recently followed for coding efficiency experiments conducted during work to develop video coding standards.</w:t>
      </w:r>
    </w:p>
    <w:p w14:paraId="35D66030" w14:textId="77777777" w:rsidR="00135F89" w:rsidRPr="00F06884" w:rsidRDefault="00135F89" w:rsidP="00135F89">
      <w:pPr>
        <w:pStyle w:val="Heading1"/>
        <w:rPr>
          <w:lang w:bidi="ar-DZ"/>
        </w:rPr>
      </w:pPr>
      <w:bookmarkStart w:id="10" w:name="_Toc401158819"/>
      <w:bookmarkStart w:id="11" w:name="_Toc46752168"/>
      <w:r w:rsidRPr="00F06884">
        <w:rPr>
          <w:lang w:bidi="ar-DZ"/>
        </w:rPr>
        <w:t>References</w:t>
      </w:r>
      <w:bookmarkEnd w:id="10"/>
      <w:bookmarkEnd w:id="11"/>
    </w:p>
    <w:p w14:paraId="7C34EC3F" w14:textId="12BF9BC2" w:rsidR="00135F89" w:rsidRPr="00F06884" w:rsidRDefault="00135F89" w:rsidP="00135F89">
      <w:pPr>
        <w:numPr>
          <w:ilvl w:val="0"/>
          <w:numId w:val="1"/>
        </w:numPr>
        <w:tabs>
          <w:tab w:val="clear" w:pos="576"/>
        </w:tabs>
        <w:overflowPunct w:val="0"/>
        <w:autoSpaceDE w:val="0"/>
        <w:autoSpaceDN w:val="0"/>
        <w:adjustRightInd w:val="0"/>
        <w:ind w:left="567" w:hanging="567"/>
        <w:textAlignment w:val="baseline"/>
        <w:rPr>
          <w:lang w:val="en-GB"/>
        </w:rPr>
      </w:pPr>
      <w:bookmarkStart w:id="12" w:name="_Ref44417834"/>
      <w:r w:rsidRPr="00F06884">
        <w:rPr>
          <w:szCs w:val="22"/>
          <w:lang w:val="en-GB"/>
        </w:rPr>
        <w:t xml:space="preserve">G. </w:t>
      </w:r>
      <w:proofErr w:type="spellStart"/>
      <w:r w:rsidRPr="00F06884">
        <w:rPr>
          <w:szCs w:val="22"/>
          <w:lang w:val="en-GB"/>
        </w:rPr>
        <w:t>Bjøntegaard</w:t>
      </w:r>
      <w:proofErr w:type="spellEnd"/>
      <w:r w:rsidRPr="00F06884">
        <w:rPr>
          <w:szCs w:val="22"/>
          <w:lang w:val="en-GB"/>
        </w:rPr>
        <w:t xml:space="preserve">, </w:t>
      </w:r>
      <w:r w:rsidR="008C7B64" w:rsidRPr="00F06884">
        <w:rPr>
          <w:szCs w:val="22"/>
          <w:lang w:val="en-GB"/>
        </w:rPr>
        <w:t>"</w:t>
      </w:r>
      <w:r w:rsidRPr="00F06884">
        <w:rPr>
          <w:szCs w:val="22"/>
          <w:lang w:val="en-GB"/>
        </w:rPr>
        <w:t>Calculation of average PSNR differences between RD-curves,</w:t>
      </w:r>
      <w:r w:rsidR="008C7B64" w:rsidRPr="00F06884">
        <w:rPr>
          <w:szCs w:val="22"/>
          <w:lang w:val="en-GB"/>
        </w:rPr>
        <w:t>"</w:t>
      </w:r>
      <w:r w:rsidRPr="00F06884">
        <w:rPr>
          <w:szCs w:val="22"/>
          <w:lang w:val="en-GB"/>
        </w:rPr>
        <w:t xml:space="preserve"> in ITU-T SG 16 Q.6 document VCEG-M33, 13th VCEG meeting, Austin, Texas, USA, Apr. 2001.</w:t>
      </w:r>
      <w:bookmarkEnd w:id="12"/>
    </w:p>
    <w:p w14:paraId="155832C9" w14:textId="70747E02" w:rsidR="00135F89" w:rsidRPr="00F06884" w:rsidRDefault="00135F89" w:rsidP="00135F89">
      <w:pPr>
        <w:numPr>
          <w:ilvl w:val="0"/>
          <w:numId w:val="1"/>
        </w:numPr>
        <w:tabs>
          <w:tab w:val="clear" w:pos="576"/>
        </w:tabs>
        <w:overflowPunct w:val="0"/>
        <w:autoSpaceDE w:val="0"/>
        <w:autoSpaceDN w:val="0"/>
        <w:adjustRightInd w:val="0"/>
        <w:ind w:left="567" w:hanging="567"/>
        <w:textAlignment w:val="baseline"/>
        <w:rPr>
          <w:lang w:val="en-GB"/>
        </w:rPr>
      </w:pPr>
      <w:bookmarkStart w:id="13" w:name="_Ref44418167"/>
      <w:r w:rsidRPr="00F06884">
        <w:rPr>
          <w:szCs w:val="22"/>
          <w:lang w:val="en-GB"/>
        </w:rPr>
        <w:t xml:space="preserve">S. </w:t>
      </w:r>
      <w:proofErr w:type="spellStart"/>
      <w:r w:rsidRPr="00F06884">
        <w:rPr>
          <w:szCs w:val="22"/>
          <w:lang w:val="en-GB"/>
        </w:rPr>
        <w:t>Pateux</w:t>
      </w:r>
      <w:proofErr w:type="spellEnd"/>
      <w:r w:rsidRPr="00F06884">
        <w:rPr>
          <w:szCs w:val="22"/>
          <w:lang w:val="en-GB"/>
        </w:rPr>
        <w:t xml:space="preserve"> and J. Jung, </w:t>
      </w:r>
      <w:r w:rsidR="008C7B64" w:rsidRPr="00F06884">
        <w:rPr>
          <w:szCs w:val="22"/>
          <w:lang w:val="en-GB"/>
        </w:rPr>
        <w:t>"</w:t>
      </w:r>
      <w:r w:rsidRPr="00F06884">
        <w:rPr>
          <w:szCs w:val="22"/>
          <w:lang w:val="en-GB"/>
        </w:rPr>
        <w:t xml:space="preserve">An Excel add-in for computing </w:t>
      </w:r>
      <w:proofErr w:type="spellStart"/>
      <w:r w:rsidRPr="00F06884">
        <w:rPr>
          <w:szCs w:val="22"/>
          <w:lang w:val="en-GB"/>
        </w:rPr>
        <w:t>Bjøntegaard</w:t>
      </w:r>
      <w:proofErr w:type="spellEnd"/>
      <w:r w:rsidRPr="00F06884">
        <w:rPr>
          <w:szCs w:val="22"/>
          <w:lang w:val="en-GB"/>
        </w:rPr>
        <w:t xml:space="preserve"> metric and its evolution,</w:t>
      </w:r>
      <w:r w:rsidR="008C7B64" w:rsidRPr="00F06884">
        <w:rPr>
          <w:szCs w:val="22"/>
          <w:lang w:val="en-GB"/>
        </w:rPr>
        <w:t>"</w:t>
      </w:r>
      <w:r w:rsidRPr="00F06884">
        <w:rPr>
          <w:szCs w:val="22"/>
          <w:lang w:val="en-GB"/>
        </w:rPr>
        <w:t xml:space="preserve"> ITU-T SG 16 Q.6 document VCEG-AE07, 31st VCEG meeting, Marrakech, Morocco, Jan. 2007.</w:t>
      </w:r>
      <w:bookmarkEnd w:id="13"/>
    </w:p>
    <w:p w14:paraId="73A11345" w14:textId="51C49FCA" w:rsidR="00135F89" w:rsidRPr="00F06884" w:rsidRDefault="00135F89" w:rsidP="00135F89">
      <w:pPr>
        <w:numPr>
          <w:ilvl w:val="0"/>
          <w:numId w:val="1"/>
        </w:numPr>
        <w:tabs>
          <w:tab w:val="clear" w:pos="576"/>
        </w:tabs>
        <w:overflowPunct w:val="0"/>
        <w:autoSpaceDE w:val="0"/>
        <w:autoSpaceDN w:val="0"/>
        <w:adjustRightInd w:val="0"/>
        <w:ind w:left="567" w:hanging="567"/>
        <w:textAlignment w:val="baseline"/>
        <w:rPr>
          <w:lang w:val="en-GB"/>
        </w:rPr>
      </w:pPr>
      <w:bookmarkStart w:id="14" w:name="_Ref44418122"/>
      <w:r w:rsidRPr="00F06884">
        <w:rPr>
          <w:szCs w:val="22"/>
          <w:lang w:val="en-GB"/>
        </w:rPr>
        <w:t xml:space="preserve">G. </w:t>
      </w:r>
      <w:proofErr w:type="spellStart"/>
      <w:r w:rsidRPr="00F06884">
        <w:rPr>
          <w:szCs w:val="22"/>
          <w:lang w:val="en-GB"/>
        </w:rPr>
        <w:t>Bjøntegaard</w:t>
      </w:r>
      <w:proofErr w:type="spellEnd"/>
      <w:r w:rsidRPr="00F06884">
        <w:rPr>
          <w:szCs w:val="22"/>
          <w:lang w:val="en-GB"/>
        </w:rPr>
        <w:t xml:space="preserve">, </w:t>
      </w:r>
      <w:r w:rsidR="008C7B64" w:rsidRPr="00F06884">
        <w:rPr>
          <w:szCs w:val="22"/>
          <w:lang w:val="en-GB"/>
        </w:rPr>
        <w:t>"</w:t>
      </w:r>
      <w:r w:rsidRPr="00F06884">
        <w:rPr>
          <w:szCs w:val="22"/>
          <w:lang w:val="en-GB"/>
        </w:rPr>
        <w:t>Improvements of the BD-PSNR model,</w:t>
      </w:r>
      <w:r w:rsidR="008C7B64" w:rsidRPr="00F06884">
        <w:rPr>
          <w:szCs w:val="22"/>
          <w:lang w:val="en-GB"/>
        </w:rPr>
        <w:t>"</w:t>
      </w:r>
      <w:r w:rsidRPr="00F06884">
        <w:rPr>
          <w:szCs w:val="22"/>
          <w:lang w:val="en-GB"/>
        </w:rPr>
        <w:t xml:space="preserve"> ITU-T SG16 Q.6 document VCEG-AI11, 35th VCEG meeting, Berlin, Germany, July 2008.</w:t>
      </w:r>
      <w:bookmarkEnd w:id="14"/>
    </w:p>
    <w:p w14:paraId="056D3E7F" w14:textId="14F6CCF2" w:rsidR="00135F89" w:rsidRPr="00F06884" w:rsidRDefault="00135F89" w:rsidP="00135F89">
      <w:pPr>
        <w:numPr>
          <w:ilvl w:val="0"/>
          <w:numId w:val="1"/>
        </w:numPr>
        <w:tabs>
          <w:tab w:val="clear" w:pos="576"/>
        </w:tabs>
        <w:overflowPunct w:val="0"/>
        <w:autoSpaceDE w:val="0"/>
        <w:autoSpaceDN w:val="0"/>
        <w:adjustRightInd w:val="0"/>
        <w:ind w:left="567" w:hanging="567"/>
        <w:textAlignment w:val="baseline"/>
        <w:rPr>
          <w:lang w:val="en-GB"/>
        </w:rPr>
      </w:pPr>
      <w:bookmarkStart w:id="15" w:name="_Ref44418178"/>
      <w:r w:rsidRPr="00F06884">
        <w:rPr>
          <w:szCs w:val="22"/>
          <w:lang w:val="en-GB"/>
        </w:rPr>
        <w:t xml:space="preserve">S. </w:t>
      </w:r>
      <w:proofErr w:type="spellStart"/>
      <w:r w:rsidRPr="00F06884">
        <w:rPr>
          <w:szCs w:val="22"/>
          <w:lang w:val="en-GB"/>
        </w:rPr>
        <w:t>Pateux</w:t>
      </w:r>
      <w:proofErr w:type="spellEnd"/>
      <w:r w:rsidRPr="00F06884">
        <w:rPr>
          <w:szCs w:val="22"/>
          <w:lang w:val="en-GB"/>
        </w:rPr>
        <w:t xml:space="preserve"> and J. Jung, </w:t>
      </w:r>
      <w:r w:rsidR="008C7B64" w:rsidRPr="00F06884">
        <w:rPr>
          <w:szCs w:val="22"/>
          <w:lang w:val="en-GB"/>
        </w:rPr>
        <w:t>"</w:t>
      </w:r>
      <w:r w:rsidRPr="00F06884">
        <w:rPr>
          <w:szCs w:val="22"/>
          <w:lang w:val="en-GB"/>
        </w:rPr>
        <w:t>Improvements of Excel macro for BD-gain computation,</w:t>
      </w:r>
      <w:r w:rsidR="008C7B64" w:rsidRPr="00F06884">
        <w:rPr>
          <w:szCs w:val="22"/>
          <w:lang w:val="en-GB"/>
        </w:rPr>
        <w:t>"</w:t>
      </w:r>
      <w:r w:rsidRPr="00F06884">
        <w:rPr>
          <w:szCs w:val="22"/>
          <w:lang w:val="en-GB"/>
        </w:rPr>
        <w:t xml:space="preserve"> ITU-T SG16 document C.358, Geneva, Switzerland, Oct. 2009.</w:t>
      </w:r>
      <w:bookmarkEnd w:id="15"/>
    </w:p>
    <w:p w14:paraId="4B034E80" w14:textId="007ED1AF" w:rsidR="00135F89" w:rsidRPr="00F06884" w:rsidRDefault="00135F89" w:rsidP="00135F89">
      <w:pPr>
        <w:numPr>
          <w:ilvl w:val="0"/>
          <w:numId w:val="1"/>
        </w:numPr>
        <w:tabs>
          <w:tab w:val="clear" w:pos="576"/>
        </w:tabs>
        <w:overflowPunct w:val="0"/>
        <w:autoSpaceDE w:val="0"/>
        <w:autoSpaceDN w:val="0"/>
        <w:adjustRightInd w:val="0"/>
        <w:ind w:left="567" w:hanging="567"/>
        <w:textAlignment w:val="baseline"/>
        <w:rPr>
          <w:lang w:val="en-GB"/>
        </w:rPr>
      </w:pPr>
      <w:bookmarkStart w:id="16" w:name="_Ref44418194"/>
      <w:r w:rsidRPr="00F06884">
        <w:rPr>
          <w:bCs/>
          <w:szCs w:val="22"/>
          <w:lang w:val="en-GB"/>
        </w:rPr>
        <w:t xml:space="preserve">A. M. Tourapis, D. Singer, Y. Su, K. </w:t>
      </w:r>
      <w:proofErr w:type="spellStart"/>
      <w:r w:rsidRPr="00F06884">
        <w:rPr>
          <w:bCs/>
          <w:szCs w:val="22"/>
          <w:lang w:val="en-GB"/>
        </w:rPr>
        <w:t>Mammou</w:t>
      </w:r>
      <w:proofErr w:type="spellEnd"/>
      <w:r w:rsidRPr="00F06884">
        <w:rPr>
          <w:bCs/>
          <w:szCs w:val="22"/>
          <w:lang w:val="en-GB"/>
        </w:rPr>
        <w:t xml:space="preserve">, </w:t>
      </w:r>
      <w:r w:rsidR="008C7B64" w:rsidRPr="00F06884">
        <w:rPr>
          <w:bCs/>
          <w:szCs w:val="22"/>
          <w:lang w:val="en-GB"/>
        </w:rPr>
        <w:t>"</w:t>
      </w:r>
      <w:r w:rsidRPr="00F06884">
        <w:rPr>
          <w:bCs/>
          <w:szCs w:val="22"/>
          <w:lang w:val="en-GB"/>
        </w:rPr>
        <w:t>BD-Rate/BD-PSNR Excel extensions,</w:t>
      </w:r>
      <w:r w:rsidR="008C7B64" w:rsidRPr="00F06884">
        <w:rPr>
          <w:bCs/>
          <w:szCs w:val="22"/>
          <w:lang w:val="en-GB"/>
        </w:rPr>
        <w:t>"</w:t>
      </w:r>
      <w:r w:rsidRPr="00F06884">
        <w:rPr>
          <w:bCs/>
          <w:szCs w:val="22"/>
          <w:lang w:val="en-GB"/>
        </w:rPr>
        <w:t xml:space="preserve"> Joint Video Exploration Team (JVET) of ITU-T SG 16 WP 3 and ISO/IEC JTC 1/SC 29/WG 11 document JVET-H0030, </w:t>
      </w:r>
      <w:r w:rsidRPr="00F06884">
        <w:rPr>
          <w:bCs/>
          <w:lang w:val="en-GB"/>
        </w:rPr>
        <w:t>8th JVET meeting, Macao, China, 18–25 Oct. 2017.</w:t>
      </w:r>
      <w:bookmarkEnd w:id="16"/>
    </w:p>
    <w:p w14:paraId="58E75F76" w14:textId="1266D69D" w:rsidR="00135F89" w:rsidRPr="00F06884" w:rsidRDefault="00135F89" w:rsidP="00135F89">
      <w:pPr>
        <w:numPr>
          <w:ilvl w:val="0"/>
          <w:numId w:val="1"/>
        </w:numPr>
        <w:tabs>
          <w:tab w:val="clear" w:pos="576"/>
        </w:tabs>
        <w:overflowPunct w:val="0"/>
        <w:autoSpaceDE w:val="0"/>
        <w:autoSpaceDN w:val="0"/>
        <w:adjustRightInd w:val="0"/>
        <w:ind w:left="567" w:hanging="567"/>
        <w:textAlignment w:val="baseline"/>
        <w:rPr>
          <w:lang w:val="en-GB"/>
        </w:rPr>
      </w:pPr>
      <w:bookmarkStart w:id="17" w:name="_Ref44418542"/>
      <w:r w:rsidRPr="00F06884">
        <w:rPr>
          <w:szCs w:val="22"/>
          <w:lang w:val="en-GB"/>
        </w:rPr>
        <w:t xml:space="preserve">Y. Ye, J. Boyce, </w:t>
      </w:r>
      <w:r w:rsidR="008C7B64" w:rsidRPr="00F06884">
        <w:rPr>
          <w:szCs w:val="22"/>
          <w:lang w:val="en-GB"/>
        </w:rPr>
        <w:t>"</w:t>
      </w:r>
      <w:r w:rsidRPr="00F06884">
        <w:rPr>
          <w:szCs w:val="22"/>
          <w:lang w:val="en-GB"/>
        </w:rPr>
        <w:t>Algorithm descriptions of projection format conversion and video quality metrics in 360Lib (Version 9),</w:t>
      </w:r>
      <w:r w:rsidR="008C7B64" w:rsidRPr="00F06884">
        <w:rPr>
          <w:szCs w:val="22"/>
          <w:lang w:val="en-GB"/>
        </w:rPr>
        <w:t>"</w:t>
      </w:r>
      <w:r w:rsidRPr="00F06884">
        <w:rPr>
          <w:szCs w:val="22"/>
          <w:lang w:val="en-GB"/>
        </w:rPr>
        <w:t xml:space="preserve"> Joint Video Experts Team (JVET) of </w:t>
      </w:r>
      <w:r w:rsidRPr="00F06884">
        <w:rPr>
          <w:bCs/>
          <w:szCs w:val="22"/>
          <w:lang w:val="en-GB"/>
        </w:rPr>
        <w:t>ITU-T SG 16 WP 3 and ISO/IEC JTC 1/SC 29/WG 11</w:t>
      </w:r>
      <w:r w:rsidRPr="00F06884">
        <w:rPr>
          <w:szCs w:val="22"/>
          <w:lang w:val="en-GB"/>
        </w:rPr>
        <w:t xml:space="preserve"> document JVET-M1004, 13th JVET meeting, Marrakech, Morocco, 9–18 Jan. 2019.</w:t>
      </w:r>
      <w:bookmarkEnd w:id="17"/>
    </w:p>
    <w:p w14:paraId="3F461F56" w14:textId="5618A41A" w:rsidR="00135F89" w:rsidRPr="00F06884" w:rsidRDefault="00135F89" w:rsidP="00135F89">
      <w:pPr>
        <w:numPr>
          <w:ilvl w:val="0"/>
          <w:numId w:val="1"/>
        </w:numPr>
        <w:tabs>
          <w:tab w:val="clear" w:pos="576"/>
        </w:tabs>
        <w:overflowPunct w:val="0"/>
        <w:autoSpaceDE w:val="0"/>
        <w:autoSpaceDN w:val="0"/>
        <w:adjustRightInd w:val="0"/>
        <w:ind w:left="567" w:hanging="567"/>
        <w:textAlignment w:val="baseline"/>
        <w:rPr>
          <w:lang w:val="en-GB"/>
        </w:rPr>
      </w:pPr>
      <w:bookmarkStart w:id="18" w:name="_Ref44418455"/>
      <w:r w:rsidRPr="00F06884">
        <w:rPr>
          <w:szCs w:val="22"/>
          <w:lang w:val="en-GB"/>
        </w:rPr>
        <w:t xml:space="preserve">A. Segall, E. François, W. Husak, S. Iwamura, D. </w:t>
      </w:r>
      <w:proofErr w:type="spellStart"/>
      <w:r w:rsidRPr="00F06884">
        <w:rPr>
          <w:szCs w:val="22"/>
          <w:lang w:val="en-GB"/>
        </w:rPr>
        <w:t>Rusanovskyy</w:t>
      </w:r>
      <w:proofErr w:type="spellEnd"/>
      <w:r w:rsidRPr="00F06884">
        <w:rPr>
          <w:szCs w:val="22"/>
          <w:lang w:val="en-GB"/>
        </w:rPr>
        <w:t xml:space="preserve">, </w:t>
      </w:r>
      <w:r w:rsidR="008C7B64" w:rsidRPr="00F06884">
        <w:rPr>
          <w:szCs w:val="22"/>
          <w:lang w:val="en-GB"/>
        </w:rPr>
        <w:t>"</w:t>
      </w:r>
      <w:r w:rsidRPr="00F06884">
        <w:rPr>
          <w:szCs w:val="22"/>
          <w:lang w:val="en-GB"/>
        </w:rPr>
        <w:t>JVET common test conditions and evaluation procedures for HDR/WCG video,</w:t>
      </w:r>
      <w:r w:rsidR="008C7B64" w:rsidRPr="00F06884">
        <w:rPr>
          <w:szCs w:val="22"/>
          <w:lang w:val="en-GB"/>
        </w:rPr>
        <w:t>"</w:t>
      </w:r>
      <w:r w:rsidRPr="00F06884">
        <w:rPr>
          <w:szCs w:val="22"/>
          <w:lang w:val="en-GB"/>
        </w:rPr>
        <w:t xml:space="preserve"> Joint Video Experts Team (JVET) of </w:t>
      </w:r>
      <w:r w:rsidRPr="00F06884">
        <w:rPr>
          <w:bCs/>
          <w:szCs w:val="22"/>
          <w:lang w:val="en-GB"/>
        </w:rPr>
        <w:t>ITU-T SG 16 WP 3 and ISO/IEC JTC 1/SC 29/WG 11</w:t>
      </w:r>
      <w:r w:rsidRPr="00F06884">
        <w:rPr>
          <w:szCs w:val="22"/>
          <w:lang w:val="en-GB"/>
        </w:rPr>
        <w:t xml:space="preserve"> document JVET-P2011, 16th JVET meeting, Geneva, Switzerland, Oct. 2019.</w:t>
      </w:r>
      <w:bookmarkEnd w:id="18"/>
    </w:p>
    <w:p w14:paraId="002D0E8C" w14:textId="3E8C8AFF" w:rsidR="00135F89" w:rsidRPr="00F06884" w:rsidRDefault="00135F89" w:rsidP="00135F89">
      <w:pPr>
        <w:numPr>
          <w:ilvl w:val="0"/>
          <w:numId w:val="1"/>
        </w:numPr>
        <w:tabs>
          <w:tab w:val="clear" w:pos="576"/>
        </w:tabs>
        <w:overflowPunct w:val="0"/>
        <w:autoSpaceDE w:val="0"/>
        <w:autoSpaceDN w:val="0"/>
        <w:adjustRightInd w:val="0"/>
        <w:ind w:left="567" w:hanging="567"/>
        <w:textAlignment w:val="baseline"/>
        <w:rPr>
          <w:lang w:val="en-GB"/>
        </w:rPr>
      </w:pPr>
      <w:bookmarkStart w:id="19" w:name="_Ref44418204"/>
      <w:r w:rsidRPr="00F06884">
        <w:rPr>
          <w:szCs w:val="22"/>
          <w:lang w:val="en-GB"/>
        </w:rPr>
        <w:t xml:space="preserve">F. Bossen, </w:t>
      </w:r>
      <w:r w:rsidR="008C7B64" w:rsidRPr="00F06884">
        <w:rPr>
          <w:szCs w:val="22"/>
          <w:lang w:val="en-GB"/>
        </w:rPr>
        <w:t>"</w:t>
      </w:r>
      <w:r w:rsidRPr="00F06884">
        <w:rPr>
          <w:szCs w:val="22"/>
          <w:lang w:val="en-GB"/>
        </w:rPr>
        <w:t>Common HM test conditions and software reference configurations,</w:t>
      </w:r>
      <w:r w:rsidR="008C7B64" w:rsidRPr="00F06884">
        <w:rPr>
          <w:szCs w:val="22"/>
          <w:lang w:val="en-GB"/>
        </w:rPr>
        <w:t>"</w:t>
      </w:r>
      <w:r w:rsidRPr="00F06884">
        <w:rPr>
          <w:szCs w:val="22"/>
          <w:lang w:val="en-GB"/>
        </w:rPr>
        <w:t xml:space="preserve"> Joint Collaborative Team on Video Coding (JCT-VC) of ISO/IEC MPEG and ITU-T VCEG document JCTVC-G1200, 7th JCT-VC meeting, Geneva, Switzerland, Nov. 2011.</w:t>
      </w:r>
      <w:bookmarkEnd w:id="19"/>
    </w:p>
    <w:p w14:paraId="5B93BE57" w14:textId="2CBD94E3" w:rsidR="00135F89" w:rsidRPr="00F06884" w:rsidRDefault="00135F89" w:rsidP="00135F89">
      <w:pPr>
        <w:numPr>
          <w:ilvl w:val="0"/>
          <w:numId w:val="1"/>
        </w:numPr>
        <w:tabs>
          <w:tab w:val="clear" w:pos="576"/>
        </w:tabs>
        <w:overflowPunct w:val="0"/>
        <w:autoSpaceDE w:val="0"/>
        <w:autoSpaceDN w:val="0"/>
        <w:adjustRightInd w:val="0"/>
        <w:ind w:left="567" w:hanging="567"/>
        <w:textAlignment w:val="baseline"/>
        <w:rPr>
          <w:lang w:val="en-GB"/>
        </w:rPr>
      </w:pPr>
      <w:bookmarkStart w:id="20" w:name="_Ref44418211"/>
      <w:r w:rsidRPr="00F06884">
        <w:rPr>
          <w:szCs w:val="22"/>
          <w:lang w:val="en-GB"/>
        </w:rPr>
        <w:t xml:space="preserve">F. Bossen, X. Li, A. Norkin, K. </w:t>
      </w:r>
      <w:proofErr w:type="spellStart"/>
      <w:r w:rsidRPr="00F06884">
        <w:rPr>
          <w:szCs w:val="22"/>
          <w:lang w:val="en-GB"/>
        </w:rPr>
        <w:t>Sühring</w:t>
      </w:r>
      <w:proofErr w:type="spellEnd"/>
      <w:r w:rsidRPr="00F06884">
        <w:rPr>
          <w:szCs w:val="22"/>
          <w:lang w:val="en-GB"/>
        </w:rPr>
        <w:t xml:space="preserve">, </w:t>
      </w:r>
      <w:r w:rsidR="008C7B64" w:rsidRPr="00F06884">
        <w:rPr>
          <w:szCs w:val="22"/>
          <w:lang w:val="en-GB"/>
        </w:rPr>
        <w:t>"</w:t>
      </w:r>
      <w:r w:rsidRPr="00F06884">
        <w:rPr>
          <w:szCs w:val="22"/>
          <w:lang w:val="en-GB"/>
        </w:rPr>
        <w:t>JVET AHG report: Test model software development (AHG3),</w:t>
      </w:r>
      <w:r w:rsidR="008C7B64" w:rsidRPr="00F06884">
        <w:rPr>
          <w:szCs w:val="22"/>
          <w:lang w:val="en-GB"/>
        </w:rPr>
        <w:t>"</w:t>
      </w:r>
      <w:r w:rsidRPr="00F06884">
        <w:rPr>
          <w:szCs w:val="22"/>
          <w:lang w:val="en-GB"/>
        </w:rPr>
        <w:t xml:space="preserve"> Joint Video Experts Team (JVET) of </w:t>
      </w:r>
      <w:r w:rsidRPr="00F06884">
        <w:rPr>
          <w:bCs/>
          <w:szCs w:val="22"/>
          <w:lang w:val="en-GB"/>
        </w:rPr>
        <w:t>ITU-T SG 16 WP 3 and ISO/IEC JTC 1/SC 29/WG 11</w:t>
      </w:r>
      <w:r w:rsidRPr="00F06884">
        <w:rPr>
          <w:szCs w:val="22"/>
          <w:lang w:val="en-GB"/>
        </w:rPr>
        <w:t xml:space="preserve"> document</w:t>
      </w:r>
      <w:r w:rsidRPr="00F06884" w:rsidDel="001924D4">
        <w:rPr>
          <w:szCs w:val="22"/>
          <w:lang w:val="en-GB"/>
        </w:rPr>
        <w:t xml:space="preserve"> </w:t>
      </w:r>
      <w:r w:rsidRPr="00F06884">
        <w:rPr>
          <w:szCs w:val="22"/>
          <w:lang w:val="en-GB"/>
        </w:rPr>
        <w:t>JVET-O0003, 15th JVET meeting, Gothenburg, Sweden, July 2019.</w:t>
      </w:r>
      <w:bookmarkEnd w:id="20"/>
    </w:p>
    <w:p w14:paraId="4DF9F343" w14:textId="77777777" w:rsidR="00135F89" w:rsidRPr="00F06884" w:rsidRDefault="00135F89" w:rsidP="00135F89">
      <w:pPr>
        <w:numPr>
          <w:ilvl w:val="0"/>
          <w:numId w:val="1"/>
        </w:numPr>
        <w:tabs>
          <w:tab w:val="clear" w:pos="576"/>
        </w:tabs>
        <w:overflowPunct w:val="0"/>
        <w:autoSpaceDE w:val="0"/>
        <w:autoSpaceDN w:val="0"/>
        <w:adjustRightInd w:val="0"/>
        <w:ind w:left="567" w:hanging="567"/>
        <w:textAlignment w:val="baseline"/>
        <w:rPr>
          <w:lang w:val="en-GB"/>
        </w:rPr>
      </w:pPr>
      <w:bookmarkStart w:id="21" w:name="_Ref44418380"/>
      <w:r w:rsidRPr="00F06884">
        <w:rPr>
          <w:szCs w:val="22"/>
          <w:lang w:val="en-GB"/>
        </w:rPr>
        <w:t xml:space="preserve">SMPTE ST 2084, </w:t>
      </w:r>
      <w:r w:rsidRPr="00F06884">
        <w:rPr>
          <w:i/>
          <w:iCs/>
          <w:szCs w:val="22"/>
          <w:lang w:val="en-GB"/>
        </w:rPr>
        <w:t>High Dynamic Range Electro-Optical Transfer Function of Mastering Reference Displays</w:t>
      </w:r>
      <w:r w:rsidRPr="00F06884">
        <w:rPr>
          <w:szCs w:val="22"/>
          <w:lang w:val="en-GB"/>
        </w:rPr>
        <w:t>, 2014.</w:t>
      </w:r>
      <w:bookmarkEnd w:id="21"/>
    </w:p>
    <w:p w14:paraId="08F62989" w14:textId="77777777" w:rsidR="00135F89" w:rsidRPr="00F06884" w:rsidRDefault="00135F89" w:rsidP="00135F89">
      <w:pPr>
        <w:numPr>
          <w:ilvl w:val="0"/>
          <w:numId w:val="1"/>
        </w:numPr>
        <w:tabs>
          <w:tab w:val="clear" w:pos="576"/>
        </w:tabs>
        <w:overflowPunct w:val="0"/>
        <w:autoSpaceDE w:val="0"/>
        <w:autoSpaceDN w:val="0"/>
        <w:adjustRightInd w:val="0"/>
        <w:ind w:left="567" w:hanging="567"/>
        <w:textAlignment w:val="baseline"/>
        <w:rPr>
          <w:lang w:val="en-GB"/>
        </w:rPr>
      </w:pPr>
      <w:bookmarkStart w:id="22" w:name="_Ref44418383"/>
      <w:r w:rsidRPr="00F06884">
        <w:rPr>
          <w:szCs w:val="22"/>
          <w:lang w:val="en-GB"/>
        </w:rPr>
        <w:t xml:space="preserve">Recommendation ITU-R BT.2100-2 (2018), </w:t>
      </w:r>
      <w:r w:rsidRPr="00F06884">
        <w:rPr>
          <w:i/>
          <w:iCs/>
          <w:szCs w:val="22"/>
          <w:lang w:val="en-GB"/>
        </w:rPr>
        <w:t>Image parameter values for high dynamic range television for use in production and international programme exchange</w:t>
      </w:r>
      <w:r w:rsidRPr="00F06884">
        <w:rPr>
          <w:szCs w:val="22"/>
          <w:lang w:val="en-GB"/>
        </w:rPr>
        <w:t>.</w:t>
      </w:r>
      <w:bookmarkEnd w:id="22"/>
    </w:p>
    <w:p w14:paraId="66A4183A" w14:textId="1F9ACCA8" w:rsidR="00135F89" w:rsidRPr="00F06884" w:rsidRDefault="00135F89" w:rsidP="00135F89">
      <w:pPr>
        <w:numPr>
          <w:ilvl w:val="0"/>
          <w:numId w:val="1"/>
        </w:numPr>
        <w:tabs>
          <w:tab w:val="clear" w:pos="576"/>
        </w:tabs>
        <w:overflowPunct w:val="0"/>
        <w:autoSpaceDE w:val="0"/>
        <w:autoSpaceDN w:val="0"/>
        <w:adjustRightInd w:val="0"/>
        <w:ind w:left="567" w:hanging="567"/>
        <w:textAlignment w:val="baseline"/>
        <w:rPr>
          <w:lang w:val="en-GB"/>
        </w:rPr>
      </w:pPr>
      <w:bookmarkStart w:id="23" w:name="_Ref44417959"/>
      <w:r w:rsidRPr="00F06884">
        <w:rPr>
          <w:szCs w:val="22"/>
          <w:lang w:val="en-GB"/>
        </w:rPr>
        <w:lastRenderedPageBreak/>
        <w:t xml:space="preserve">Z. Wang, A. C. Bovik, H. R. Sheikh, E. P. Simoncelli, </w:t>
      </w:r>
      <w:r w:rsidR="008C7B64" w:rsidRPr="00F06884">
        <w:rPr>
          <w:szCs w:val="22"/>
          <w:lang w:val="en-GB"/>
        </w:rPr>
        <w:t>"</w:t>
      </w:r>
      <w:r w:rsidRPr="00F06884">
        <w:rPr>
          <w:szCs w:val="22"/>
          <w:lang w:val="en-GB"/>
        </w:rPr>
        <w:t>Image quality assessment: from error visibility to structural similarity</w:t>
      </w:r>
      <w:r w:rsidR="008C7B64" w:rsidRPr="00F06884">
        <w:rPr>
          <w:szCs w:val="22"/>
          <w:lang w:val="en-GB"/>
        </w:rPr>
        <w:t>"</w:t>
      </w:r>
      <w:r w:rsidRPr="00F06884">
        <w:rPr>
          <w:szCs w:val="22"/>
          <w:lang w:val="en-GB"/>
        </w:rPr>
        <w:t xml:space="preserve">, </w:t>
      </w:r>
      <w:r w:rsidRPr="00F06884">
        <w:rPr>
          <w:i/>
          <w:iCs/>
          <w:szCs w:val="22"/>
          <w:lang w:val="en-GB"/>
        </w:rPr>
        <w:t>IEEE Transactions on Image Processing</w:t>
      </w:r>
      <w:r w:rsidRPr="00F06884">
        <w:rPr>
          <w:szCs w:val="22"/>
          <w:lang w:val="en-GB"/>
        </w:rPr>
        <w:t>, Vol. 13, No. 4, pp. 600–612, April 2004.</w:t>
      </w:r>
      <w:bookmarkEnd w:id="23"/>
    </w:p>
    <w:p w14:paraId="40425066" w14:textId="1A178CEA" w:rsidR="00135F89" w:rsidRPr="00F06884" w:rsidRDefault="00135F89" w:rsidP="00135F89">
      <w:pPr>
        <w:numPr>
          <w:ilvl w:val="0"/>
          <w:numId w:val="1"/>
        </w:numPr>
        <w:tabs>
          <w:tab w:val="clear" w:pos="576"/>
        </w:tabs>
        <w:overflowPunct w:val="0"/>
        <w:autoSpaceDE w:val="0"/>
        <w:autoSpaceDN w:val="0"/>
        <w:adjustRightInd w:val="0"/>
        <w:ind w:left="567" w:hanging="567"/>
        <w:textAlignment w:val="baseline"/>
        <w:rPr>
          <w:lang w:val="en-GB"/>
        </w:rPr>
      </w:pPr>
      <w:bookmarkStart w:id="24" w:name="_Ref44417981"/>
      <w:r w:rsidRPr="00F06884">
        <w:rPr>
          <w:szCs w:val="22"/>
          <w:lang w:val="en-GB"/>
        </w:rPr>
        <w:t xml:space="preserve">Z. Wang, E. P. Simoncelli, A. C. Bovik, </w:t>
      </w:r>
      <w:r w:rsidR="008C7B64" w:rsidRPr="00F06884">
        <w:rPr>
          <w:szCs w:val="22"/>
          <w:lang w:val="en-GB"/>
        </w:rPr>
        <w:t>"</w:t>
      </w:r>
      <w:r w:rsidRPr="00F06884">
        <w:rPr>
          <w:szCs w:val="22"/>
          <w:lang w:val="en-GB"/>
        </w:rPr>
        <w:t>Multiscale structural similarity for image quality assessment</w:t>
      </w:r>
      <w:r w:rsidR="008C7B64" w:rsidRPr="00F06884">
        <w:rPr>
          <w:szCs w:val="22"/>
          <w:lang w:val="en-GB"/>
        </w:rPr>
        <w:t>"</w:t>
      </w:r>
      <w:r w:rsidRPr="00F06884">
        <w:rPr>
          <w:szCs w:val="22"/>
          <w:lang w:val="en-GB"/>
        </w:rPr>
        <w:t xml:space="preserve"> in the </w:t>
      </w:r>
      <w:r w:rsidRPr="00F06884">
        <w:rPr>
          <w:i/>
          <w:iCs/>
          <w:szCs w:val="22"/>
          <w:lang w:val="en-GB"/>
        </w:rPr>
        <w:t>Proceedings of the Thirty-Seventh Asilomar Conference on Signals, Systems and Computers</w:t>
      </w:r>
      <w:r w:rsidRPr="00F06884">
        <w:rPr>
          <w:szCs w:val="22"/>
          <w:lang w:val="en-GB"/>
        </w:rPr>
        <w:t>, Vol. 2, pp. 1398–1402, 2004.</w:t>
      </w:r>
      <w:bookmarkEnd w:id="24"/>
    </w:p>
    <w:p w14:paraId="4B131F0A" w14:textId="63A95167" w:rsidR="00135F89" w:rsidRPr="00F06884" w:rsidRDefault="00135F89" w:rsidP="00135F89">
      <w:pPr>
        <w:numPr>
          <w:ilvl w:val="0"/>
          <w:numId w:val="1"/>
        </w:numPr>
        <w:tabs>
          <w:tab w:val="clear" w:pos="576"/>
        </w:tabs>
        <w:overflowPunct w:val="0"/>
        <w:autoSpaceDE w:val="0"/>
        <w:autoSpaceDN w:val="0"/>
        <w:adjustRightInd w:val="0"/>
        <w:ind w:left="567" w:hanging="567"/>
        <w:textAlignment w:val="baseline"/>
        <w:rPr>
          <w:lang w:val="en-GB"/>
        </w:rPr>
      </w:pPr>
      <w:bookmarkStart w:id="25" w:name="_Ref44418000"/>
      <w:r w:rsidRPr="00F06884">
        <w:rPr>
          <w:szCs w:val="22"/>
          <w:lang w:val="en-GB"/>
        </w:rPr>
        <w:t xml:space="preserve">Z. Li, A. Aaron, I. </w:t>
      </w:r>
      <w:proofErr w:type="spellStart"/>
      <w:r w:rsidRPr="00F06884">
        <w:rPr>
          <w:szCs w:val="22"/>
          <w:lang w:val="en-GB"/>
        </w:rPr>
        <w:t>Katsavounidis</w:t>
      </w:r>
      <w:proofErr w:type="spellEnd"/>
      <w:r w:rsidRPr="00F06884">
        <w:rPr>
          <w:szCs w:val="22"/>
          <w:lang w:val="en-GB"/>
        </w:rPr>
        <w:t xml:space="preserve">, A. Moorthy, M. Manohara, </w:t>
      </w:r>
      <w:r w:rsidR="008C7B64" w:rsidRPr="00F06884">
        <w:rPr>
          <w:szCs w:val="22"/>
          <w:lang w:val="en-GB"/>
        </w:rPr>
        <w:t>"</w:t>
      </w:r>
      <w:r w:rsidRPr="00F06884">
        <w:rPr>
          <w:szCs w:val="22"/>
          <w:lang w:val="en-GB"/>
        </w:rPr>
        <w:t>Toward A Practical Perceptual Video Quality Metric,</w:t>
      </w:r>
      <w:r w:rsidR="008C7B64" w:rsidRPr="00F06884">
        <w:rPr>
          <w:szCs w:val="22"/>
          <w:lang w:val="en-GB"/>
        </w:rPr>
        <w:t>"</w:t>
      </w:r>
      <w:r w:rsidRPr="00F06884">
        <w:rPr>
          <w:szCs w:val="22"/>
          <w:lang w:val="en-GB"/>
        </w:rPr>
        <w:t xml:space="preserve"> </w:t>
      </w:r>
      <w:r w:rsidRPr="00F06884">
        <w:rPr>
          <w:i/>
          <w:iCs/>
          <w:szCs w:val="22"/>
          <w:lang w:val="en-GB"/>
        </w:rPr>
        <w:t xml:space="preserve">Netflix </w:t>
      </w:r>
      <w:proofErr w:type="spellStart"/>
      <w:r w:rsidRPr="00F06884">
        <w:rPr>
          <w:i/>
          <w:iCs/>
          <w:szCs w:val="22"/>
          <w:lang w:val="en-GB"/>
        </w:rPr>
        <w:t>TechBlog</w:t>
      </w:r>
      <w:proofErr w:type="spellEnd"/>
      <w:r w:rsidRPr="00F06884">
        <w:rPr>
          <w:szCs w:val="22"/>
          <w:lang w:val="en-GB"/>
        </w:rPr>
        <w:t>, June 2016.</w:t>
      </w:r>
      <w:bookmarkEnd w:id="25"/>
    </w:p>
    <w:p w14:paraId="379A8F23" w14:textId="173449E7" w:rsidR="00135F89" w:rsidRPr="00F06884" w:rsidRDefault="00135F89" w:rsidP="00135F89">
      <w:pPr>
        <w:numPr>
          <w:ilvl w:val="0"/>
          <w:numId w:val="1"/>
        </w:numPr>
        <w:tabs>
          <w:tab w:val="clear" w:pos="576"/>
        </w:tabs>
        <w:overflowPunct w:val="0"/>
        <w:autoSpaceDE w:val="0"/>
        <w:autoSpaceDN w:val="0"/>
        <w:adjustRightInd w:val="0"/>
        <w:ind w:left="567" w:hanging="567"/>
        <w:textAlignment w:val="baseline"/>
        <w:rPr>
          <w:lang w:val="en-GB"/>
        </w:rPr>
      </w:pPr>
      <w:bookmarkStart w:id="26" w:name="_Ref44418055"/>
      <w:r w:rsidRPr="00F06884">
        <w:rPr>
          <w:lang w:val="en-GB"/>
        </w:rPr>
        <w:t>J. Ström, K. Andersson, R. Sjöberg, F. Bossen, A. Segall, G. J. Sullivan, J.-R. Ohm,</w:t>
      </w:r>
      <w:r w:rsidRPr="00F06884">
        <w:rPr>
          <w:szCs w:val="22"/>
          <w:lang w:val="en-GB"/>
        </w:rPr>
        <w:t xml:space="preserve"> </w:t>
      </w:r>
      <w:r w:rsidR="008C7B64" w:rsidRPr="00F06884">
        <w:rPr>
          <w:szCs w:val="22"/>
          <w:lang w:val="en-GB"/>
        </w:rPr>
        <w:t>"</w:t>
      </w:r>
      <w:r w:rsidRPr="00F06884">
        <w:rPr>
          <w:szCs w:val="22"/>
          <w:lang w:val="en-GB"/>
        </w:rPr>
        <w:t>Suggested content for summary information on BD-rate experiment evaluation practices,</w:t>
      </w:r>
      <w:r w:rsidR="008C7B64" w:rsidRPr="00F06884">
        <w:rPr>
          <w:szCs w:val="22"/>
          <w:lang w:val="en-GB"/>
        </w:rPr>
        <w:t>"</w:t>
      </w:r>
      <w:r w:rsidRPr="00F06884">
        <w:rPr>
          <w:szCs w:val="22"/>
          <w:lang w:val="en-GB"/>
        </w:rPr>
        <w:t xml:space="preserve"> Joint Video Experts Team (JVET) of </w:t>
      </w:r>
      <w:r w:rsidRPr="00F06884">
        <w:rPr>
          <w:bCs/>
          <w:szCs w:val="22"/>
          <w:lang w:val="en-GB"/>
        </w:rPr>
        <w:t>ITU-T SG 16 WP 3 and ISO/IEC JTC 1/SC 29/WG 11</w:t>
      </w:r>
      <w:r w:rsidRPr="00F06884">
        <w:rPr>
          <w:szCs w:val="22"/>
          <w:lang w:val="en-GB"/>
        </w:rPr>
        <w:t xml:space="preserve"> input document</w:t>
      </w:r>
      <w:r w:rsidRPr="00F06884" w:rsidDel="001924D4">
        <w:rPr>
          <w:szCs w:val="22"/>
          <w:lang w:val="en-GB"/>
        </w:rPr>
        <w:t xml:space="preserve"> </w:t>
      </w:r>
      <w:r w:rsidRPr="00F06884">
        <w:rPr>
          <w:szCs w:val="22"/>
          <w:lang w:val="en-GB"/>
        </w:rPr>
        <w:t>JVET-Q0826, 17th JVET meeting, Brussels, January 2020.</w:t>
      </w:r>
      <w:bookmarkEnd w:id="26"/>
    </w:p>
    <w:p w14:paraId="785AD06D" w14:textId="6782C18F" w:rsidR="00177AFF" w:rsidRPr="00F06884" w:rsidRDefault="00135F89" w:rsidP="00177AFF">
      <w:pPr>
        <w:numPr>
          <w:ilvl w:val="0"/>
          <w:numId w:val="1"/>
        </w:numPr>
        <w:tabs>
          <w:tab w:val="clear" w:pos="576"/>
        </w:tabs>
        <w:overflowPunct w:val="0"/>
        <w:autoSpaceDE w:val="0"/>
        <w:autoSpaceDN w:val="0"/>
        <w:adjustRightInd w:val="0"/>
        <w:ind w:left="567" w:hanging="567"/>
        <w:textAlignment w:val="baseline"/>
        <w:rPr>
          <w:lang w:val="en-GB"/>
        </w:rPr>
      </w:pPr>
      <w:bookmarkStart w:id="27" w:name="_Ref44418070"/>
      <w:r w:rsidRPr="00F06884">
        <w:rPr>
          <w:lang w:val="en-GB"/>
        </w:rPr>
        <w:t>K. Andersson, F. Bossen, J.-R. Ohm, A. Segall, R. Sjöberg, J. Ström, G. J. Sullivan, A. Tourapis</w:t>
      </w:r>
      <w:r w:rsidRPr="00F06884">
        <w:rPr>
          <w:szCs w:val="22"/>
          <w:lang w:val="en-GB"/>
        </w:rPr>
        <w:t xml:space="preserve"> </w:t>
      </w:r>
      <w:r w:rsidR="008C7B64" w:rsidRPr="00F06884">
        <w:rPr>
          <w:szCs w:val="22"/>
          <w:lang w:val="en-GB"/>
        </w:rPr>
        <w:t>"</w:t>
      </w:r>
      <w:r w:rsidRPr="00F06884">
        <w:rPr>
          <w:szCs w:val="22"/>
          <w:lang w:val="en-GB"/>
        </w:rPr>
        <w:t>Summary information on BD-rate experiment evaluation practices,</w:t>
      </w:r>
      <w:r w:rsidR="008C7B64" w:rsidRPr="00F06884">
        <w:rPr>
          <w:szCs w:val="22"/>
          <w:lang w:val="en-GB"/>
        </w:rPr>
        <w:t>"</w:t>
      </w:r>
      <w:r w:rsidRPr="00F06884">
        <w:rPr>
          <w:szCs w:val="22"/>
          <w:lang w:val="en-GB"/>
        </w:rPr>
        <w:t xml:space="preserve"> Joint Video Experts Team (JVET) of </w:t>
      </w:r>
      <w:r w:rsidRPr="00F06884">
        <w:rPr>
          <w:bCs/>
          <w:szCs w:val="22"/>
          <w:lang w:val="en-GB"/>
        </w:rPr>
        <w:t>ITU-T SG 16 WP 3 and ISO/IEC JTC 1/SC 29/WG 11</w:t>
      </w:r>
      <w:r w:rsidRPr="00F06884">
        <w:rPr>
          <w:szCs w:val="22"/>
          <w:lang w:val="en-GB"/>
        </w:rPr>
        <w:t xml:space="preserve"> output document</w:t>
      </w:r>
      <w:r w:rsidRPr="00F06884" w:rsidDel="001924D4">
        <w:rPr>
          <w:szCs w:val="22"/>
          <w:lang w:val="en-GB"/>
        </w:rPr>
        <w:t xml:space="preserve"> </w:t>
      </w:r>
      <w:r w:rsidRPr="00F06884">
        <w:rPr>
          <w:szCs w:val="22"/>
          <w:lang w:val="en-GB"/>
        </w:rPr>
        <w:t>JVET-R2016, 18th JVET meeting by teleconference, April 2020</w:t>
      </w:r>
      <w:bookmarkEnd w:id="27"/>
      <w:r w:rsidR="002F7F7E" w:rsidRPr="00F06884">
        <w:rPr>
          <w:szCs w:val="22"/>
          <w:lang w:val="en-GB"/>
        </w:rPr>
        <w:t>.</w:t>
      </w:r>
    </w:p>
    <w:p w14:paraId="12101C58" w14:textId="77777777" w:rsidR="00135F89" w:rsidRPr="00F06884" w:rsidRDefault="00135F89" w:rsidP="00135F89">
      <w:pPr>
        <w:pStyle w:val="Heading1"/>
        <w:rPr>
          <w:lang w:bidi="ar-DZ"/>
        </w:rPr>
      </w:pPr>
      <w:bookmarkStart w:id="28" w:name="_Toc401158820"/>
      <w:bookmarkStart w:id="29" w:name="_Toc46752169"/>
      <w:r w:rsidRPr="00F06884">
        <w:rPr>
          <w:lang w:bidi="ar-DZ"/>
        </w:rPr>
        <w:t>Terms and definitions</w:t>
      </w:r>
      <w:bookmarkEnd w:id="28"/>
      <w:bookmarkEnd w:id="29"/>
    </w:p>
    <w:p w14:paraId="1E8B27AE" w14:textId="65BE06C2" w:rsidR="00135F89" w:rsidRPr="00F06884" w:rsidRDefault="00135F89" w:rsidP="00F96DA7">
      <w:pPr>
        <w:tabs>
          <w:tab w:val="left" w:pos="851"/>
        </w:tabs>
        <w:rPr>
          <w:lang w:val="en-GB"/>
        </w:rPr>
      </w:pPr>
      <w:r w:rsidRPr="00F06884">
        <w:rPr>
          <w:b/>
          <w:bCs/>
          <w:lang w:val="en-GB"/>
        </w:rPr>
        <w:t>3.1</w:t>
      </w:r>
      <w:r w:rsidRPr="00F06884">
        <w:rPr>
          <w:b/>
          <w:bCs/>
          <w:lang w:val="en-GB"/>
        </w:rPr>
        <w:tab/>
      </w:r>
      <w:proofErr w:type="spellStart"/>
      <w:r w:rsidRPr="00F06884">
        <w:rPr>
          <w:b/>
          <w:bCs/>
          <w:lang w:val="en-GB"/>
        </w:rPr>
        <w:t>Bjøntegaard</w:t>
      </w:r>
      <w:proofErr w:type="spellEnd"/>
      <w:r w:rsidRPr="00F06884">
        <w:rPr>
          <w:b/>
          <w:bCs/>
          <w:lang w:val="en-GB"/>
        </w:rPr>
        <w:t xml:space="preserve"> Delta rate: </w:t>
      </w:r>
      <w:r w:rsidR="002F7F7E" w:rsidRPr="00F06884">
        <w:rPr>
          <w:lang w:val="en-GB"/>
        </w:rPr>
        <w:t>Average percentage</w:t>
      </w:r>
      <w:r w:rsidRPr="00F06884">
        <w:rPr>
          <w:lang w:val="en-GB"/>
        </w:rPr>
        <w:t xml:space="preserve"> bit rate </w:t>
      </w:r>
      <w:r w:rsidR="002F7F7E" w:rsidRPr="00F06884">
        <w:rPr>
          <w:lang w:val="en-GB"/>
        </w:rPr>
        <w:t xml:space="preserve">difference </w:t>
      </w:r>
      <w:r w:rsidRPr="00F06884">
        <w:rPr>
          <w:lang w:val="en-GB"/>
        </w:rPr>
        <w:t xml:space="preserve">at equal </w:t>
      </w:r>
      <w:r w:rsidR="004848E4" w:rsidRPr="00F06884">
        <w:rPr>
          <w:lang w:val="en-GB"/>
        </w:rPr>
        <w:t xml:space="preserve">measured </w:t>
      </w:r>
      <w:r w:rsidRPr="00F06884">
        <w:rPr>
          <w:lang w:val="en-GB"/>
        </w:rPr>
        <w:t>distortion</w:t>
      </w:r>
      <w:r w:rsidR="004848E4" w:rsidRPr="00F06884">
        <w:rPr>
          <w:lang w:val="en-GB"/>
        </w:rPr>
        <w:t xml:space="preserve">, integrated across a range of bit rates in the log domain (as originally described in </w:t>
      </w:r>
      <w:r w:rsidR="004848E4" w:rsidRPr="00F06884">
        <w:rPr>
          <w:lang w:val="en-GB"/>
        </w:rPr>
        <w:fldChar w:fldCharType="begin"/>
      </w:r>
      <w:r w:rsidR="004848E4" w:rsidRPr="00F06884">
        <w:rPr>
          <w:lang w:val="en-GB"/>
        </w:rPr>
        <w:instrText xml:space="preserve"> REF _Ref44417834 \r \h </w:instrText>
      </w:r>
      <w:r w:rsidR="004848E4" w:rsidRPr="00F06884">
        <w:rPr>
          <w:lang w:val="en-GB"/>
        </w:rPr>
      </w:r>
      <w:r w:rsidR="004848E4" w:rsidRPr="00F06884">
        <w:rPr>
          <w:lang w:val="en-GB"/>
        </w:rPr>
        <w:fldChar w:fldCharType="separate"/>
      </w:r>
      <w:r w:rsidR="00B66D04">
        <w:rPr>
          <w:lang w:val="en-GB"/>
        </w:rPr>
        <w:t>[1]</w:t>
      </w:r>
      <w:r w:rsidR="004848E4" w:rsidRPr="00F06884">
        <w:rPr>
          <w:lang w:val="en-GB"/>
        </w:rPr>
        <w:fldChar w:fldCharType="end"/>
      </w:r>
      <w:r w:rsidR="004848E4" w:rsidRPr="00F06884">
        <w:rPr>
          <w:lang w:val="en-GB"/>
        </w:rPr>
        <w:t>)</w:t>
      </w:r>
      <w:r w:rsidRPr="00F06884">
        <w:rPr>
          <w:lang w:val="en-GB"/>
        </w:rPr>
        <w:t>.</w:t>
      </w:r>
    </w:p>
    <w:p w14:paraId="5B7E0491" w14:textId="7CBF42D5" w:rsidR="00135F89" w:rsidRPr="00F06884" w:rsidRDefault="00135F89" w:rsidP="00135F89">
      <w:pPr>
        <w:pStyle w:val="Heading1"/>
        <w:rPr>
          <w:lang w:bidi="ar-DZ"/>
        </w:rPr>
      </w:pPr>
      <w:bookmarkStart w:id="30" w:name="_Toc401158823"/>
      <w:bookmarkStart w:id="31" w:name="_Toc46752170"/>
      <w:r w:rsidRPr="00F06884">
        <w:rPr>
          <w:lang w:bidi="ar-DZ"/>
        </w:rPr>
        <w:t>Abbreviations</w:t>
      </w:r>
      <w:bookmarkEnd w:id="30"/>
      <w:r w:rsidR="00F96DA7" w:rsidRPr="00F06884">
        <w:rPr>
          <w:lang w:bidi="ar-DZ"/>
        </w:rPr>
        <w:t xml:space="preserve"> and acronyms</w:t>
      </w:r>
      <w:bookmarkEnd w:id="31"/>
    </w:p>
    <w:p w14:paraId="6703F8A1" w14:textId="278F42A3" w:rsidR="00F96DA7" w:rsidRPr="00F06884" w:rsidRDefault="00F96DA7" w:rsidP="00F96DA7">
      <w:pPr>
        <w:rPr>
          <w:lang w:val="en-GB"/>
        </w:rPr>
      </w:pPr>
      <w:r w:rsidRPr="00F06884">
        <w:rPr>
          <w:lang w:val="en-GB"/>
        </w:rPr>
        <w:t>This Technical Paper uses the following</w:t>
      </w:r>
      <w:r w:rsidRPr="00F06884">
        <w:rPr>
          <w:lang w:val="en-GB" w:bidi="ar-DZ"/>
        </w:rPr>
        <w:t xml:space="preserve"> abbreviations and acronyms:</w:t>
      </w:r>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8C7B64" w:rsidRPr="00F06884" w14:paraId="08D5152A" w14:textId="77777777" w:rsidTr="008C7B64">
        <w:tc>
          <w:tcPr>
            <w:tcW w:w="1417" w:type="dxa"/>
            <w:shd w:val="clear" w:color="auto" w:fill="auto"/>
          </w:tcPr>
          <w:p w14:paraId="1A3E3F06" w14:textId="77777777" w:rsidR="008C7B64" w:rsidRPr="00F06884" w:rsidRDefault="008C7B64" w:rsidP="00360CBB">
            <w:pPr>
              <w:rPr>
                <w:lang w:val="en-GB"/>
              </w:rPr>
            </w:pPr>
            <w:r w:rsidRPr="00F06884">
              <w:rPr>
                <w:lang w:val="en-GB"/>
              </w:rPr>
              <w:t>AVC</w:t>
            </w:r>
          </w:p>
        </w:tc>
        <w:tc>
          <w:tcPr>
            <w:tcW w:w="8277" w:type="dxa"/>
            <w:shd w:val="clear" w:color="auto" w:fill="auto"/>
          </w:tcPr>
          <w:p w14:paraId="61049BAD" w14:textId="77777777" w:rsidR="008C7B64" w:rsidRPr="00F06884" w:rsidRDefault="008C7B64" w:rsidP="00360CBB">
            <w:pPr>
              <w:rPr>
                <w:lang w:val="en-GB"/>
              </w:rPr>
            </w:pPr>
            <w:r w:rsidRPr="00F06884">
              <w:rPr>
                <w:lang w:val="en-GB"/>
              </w:rPr>
              <w:t>Advanced Video Coding (Rec. ITU-T H.264 | ISO/IEC 14496-10)</w:t>
            </w:r>
          </w:p>
        </w:tc>
      </w:tr>
      <w:tr w:rsidR="008C7B64" w:rsidRPr="00F06884" w14:paraId="0441F6C6" w14:textId="77777777" w:rsidTr="008C7B64">
        <w:tc>
          <w:tcPr>
            <w:tcW w:w="1417" w:type="dxa"/>
            <w:shd w:val="clear" w:color="auto" w:fill="auto"/>
          </w:tcPr>
          <w:p w14:paraId="7199B383" w14:textId="77777777" w:rsidR="008C7B64" w:rsidRPr="00F06884" w:rsidRDefault="008C7B64" w:rsidP="00360CBB">
            <w:pPr>
              <w:rPr>
                <w:lang w:val="en-GB"/>
              </w:rPr>
            </w:pPr>
            <w:r w:rsidRPr="00F06884">
              <w:rPr>
                <w:lang w:val="en-GB"/>
              </w:rPr>
              <w:t>BD-rate</w:t>
            </w:r>
          </w:p>
        </w:tc>
        <w:tc>
          <w:tcPr>
            <w:tcW w:w="8277" w:type="dxa"/>
            <w:shd w:val="clear" w:color="auto" w:fill="auto"/>
          </w:tcPr>
          <w:p w14:paraId="30889ED4" w14:textId="77777777" w:rsidR="008C7B64" w:rsidRPr="00F06884" w:rsidRDefault="008C7B64" w:rsidP="00360CBB">
            <w:pPr>
              <w:rPr>
                <w:lang w:val="en-GB"/>
              </w:rPr>
            </w:pPr>
            <w:proofErr w:type="spellStart"/>
            <w:r w:rsidRPr="00F06884">
              <w:rPr>
                <w:lang w:val="en-GB"/>
              </w:rPr>
              <w:t>Bjøntegaard</w:t>
            </w:r>
            <w:proofErr w:type="spellEnd"/>
            <w:r w:rsidRPr="00F06884">
              <w:rPr>
                <w:lang w:val="en-GB"/>
              </w:rPr>
              <w:t xml:space="preserve"> Delta rate</w:t>
            </w:r>
          </w:p>
        </w:tc>
      </w:tr>
      <w:tr w:rsidR="008C7B64" w:rsidRPr="00F06884" w14:paraId="57B885D5" w14:textId="77777777" w:rsidTr="008C7B64">
        <w:tc>
          <w:tcPr>
            <w:tcW w:w="1417" w:type="dxa"/>
            <w:shd w:val="clear" w:color="auto" w:fill="auto"/>
          </w:tcPr>
          <w:p w14:paraId="71A4AF8A" w14:textId="77777777" w:rsidR="008C7B64" w:rsidRPr="00F06884" w:rsidRDefault="008C7B64" w:rsidP="00360CBB">
            <w:pPr>
              <w:rPr>
                <w:szCs w:val="24"/>
                <w:lang w:val="en-GB" w:bidi="ar-DZ"/>
              </w:rPr>
            </w:pPr>
            <w:r w:rsidRPr="00F06884">
              <w:rPr>
                <w:lang w:val="en-GB"/>
              </w:rPr>
              <w:t>HDR</w:t>
            </w:r>
          </w:p>
        </w:tc>
        <w:tc>
          <w:tcPr>
            <w:tcW w:w="8277" w:type="dxa"/>
            <w:shd w:val="clear" w:color="auto" w:fill="auto"/>
          </w:tcPr>
          <w:p w14:paraId="55EF4861" w14:textId="77777777" w:rsidR="008C7B64" w:rsidRPr="00F06884" w:rsidRDefault="008C7B64" w:rsidP="00360CBB">
            <w:pPr>
              <w:rPr>
                <w:szCs w:val="24"/>
                <w:lang w:val="en-GB" w:bidi="ar-DZ"/>
              </w:rPr>
            </w:pPr>
            <w:r w:rsidRPr="00F06884">
              <w:rPr>
                <w:lang w:val="en-GB"/>
              </w:rPr>
              <w:t>High Dynamic Range</w:t>
            </w:r>
          </w:p>
        </w:tc>
      </w:tr>
      <w:tr w:rsidR="008C7B64" w:rsidRPr="00F06884" w14:paraId="640DA4CC" w14:textId="77777777" w:rsidTr="008C7B64">
        <w:tc>
          <w:tcPr>
            <w:tcW w:w="1417" w:type="dxa"/>
            <w:shd w:val="clear" w:color="auto" w:fill="auto"/>
          </w:tcPr>
          <w:p w14:paraId="5CF318FD" w14:textId="77777777" w:rsidR="008C7B64" w:rsidRPr="00F06884" w:rsidRDefault="008C7B64" w:rsidP="00360CBB">
            <w:pPr>
              <w:rPr>
                <w:szCs w:val="24"/>
                <w:lang w:val="en-GB" w:bidi="ar-DZ"/>
              </w:rPr>
            </w:pPr>
            <w:r w:rsidRPr="00F06884">
              <w:rPr>
                <w:lang w:val="en-GB"/>
              </w:rPr>
              <w:t>HEVC</w:t>
            </w:r>
          </w:p>
        </w:tc>
        <w:tc>
          <w:tcPr>
            <w:tcW w:w="8277" w:type="dxa"/>
            <w:shd w:val="clear" w:color="auto" w:fill="auto"/>
          </w:tcPr>
          <w:p w14:paraId="75128F3A" w14:textId="77777777" w:rsidR="008C7B64" w:rsidRPr="00F06884" w:rsidRDefault="008C7B64" w:rsidP="00360CBB">
            <w:pPr>
              <w:rPr>
                <w:szCs w:val="24"/>
                <w:lang w:val="en-GB" w:bidi="ar-DZ"/>
              </w:rPr>
            </w:pPr>
            <w:r w:rsidRPr="00F06884">
              <w:rPr>
                <w:lang w:val="en-GB"/>
              </w:rPr>
              <w:t>High Efficiency Video Coding (Rec. ITU-T H.265 | ISO/IEC 23008-2)</w:t>
            </w:r>
          </w:p>
        </w:tc>
      </w:tr>
      <w:tr w:rsidR="008C7B64" w:rsidRPr="00F06884" w14:paraId="141D2652" w14:textId="77777777" w:rsidTr="008C7B64">
        <w:tc>
          <w:tcPr>
            <w:tcW w:w="1417" w:type="dxa"/>
            <w:shd w:val="clear" w:color="auto" w:fill="auto"/>
          </w:tcPr>
          <w:p w14:paraId="7A780258" w14:textId="77777777" w:rsidR="008C7B64" w:rsidRPr="00F06884" w:rsidRDefault="008C7B64" w:rsidP="00360CBB">
            <w:pPr>
              <w:rPr>
                <w:lang w:val="en-GB"/>
              </w:rPr>
            </w:pPr>
            <w:r w:rsidRPr="00F06884">
              <w:rPr>
                <w:lang w:val="en-GB"/>
              </w:rPr>
              <w:t>HLG</w:t>
            </w:r>
          </w:p>
        </w:tc>
        <w:tc>
          <w:tcPr>
            <w:tcW w:w="8277" w:type="dxa"/>
            <w:shd w:val="clear" w:color="auto" w:fill="auto"/>
          </w:tcPr>
          <w:p w14:paraId="68FEDACF" w14:textId="77777777" w:rsidR="008C7B64" w:rsidRPr="00F06884" w:rsidRDefault="008C7B64" w:rsidP="00360CBB">
            <w:pPr>
              <w:rPr>
                <w:lang w:val="en-GB"/>
              </w:rPr>
            </w:pPr>
            <w:r w:rsidRPr="00F06884">
              <w:rPr>
                <w:lang w:val="en-GB"/>
              </w:rPr>
              <w:t>Hybrid Log Gamma</w:t>
            </w:r>
          </w:p>
        </w:tc>
      </w:tr>
      <w:tr w:rsidR="008C7B64" w:rsidRPr="00F06884" w14:paraId="1BF55A62" w14:textId="77777777" w:rsidTr="008C7B64">
        <w:tc>
          <w:tcPr>
            <w:tcW w:w="1417" w:type="dxa"/>
            <w:shd w:val="clear" w:color="auto" w:fill="auto"/>
          </w:tcPr>
          <w:p w14:paraId="3D53D994" w14:textId="77777777" w:rsidR="008C7B64" w:rsidRPr="00F06884" w:rsidRDefault="008C7B64" w:rsidP="00360CBB">
            <w:pPr>
              <w:rPr>
                <w:lang w:val="en-GB"/>
              </w:rPr>
            </w:pPr>
            <w:r w:rsidRPr="00F06884">
              <w:rPr>
                <w:lang w:val="en-GB"/>
              </w:rPr>
              <w:t>JCT-VC</w:t>
            </w:r>
          </w:p>
        </w:tc>
        <w:tc>
          <w:tcPr>
            <w:tcW w:w="8277" w:type="dxa"/>
            <w:shd w:val="clear" w:color="auto" w:fill="auto"/>
          </w:tcPr>
          <w:p w14:paraId="54CEC8AC" w14:textId="77777777" w:rsidR="008C7B64" w:rsidRPr="00F06884" w:rsidRDefault="008C7B64" w:rsidP="00360CBB">
            <w:pPr>
              <w:rPr>
                <w:lang w:val="en-GB"/>
              </w:rPr>
            </w:pPr>
            <w:r w:rsidRPr="00F06884">
              <w:rPr>
                <w:lang w:val="en-GB"/>
              </w:rPr>
              <w:t>Joint Collaborative Team on Video Coding (for development of HEVC)</w:t>
            </w:r>
          </w:p>
        </w:tc>
      </w:tr>
      <w:tr w:rsidR="008C7B64" w:rsidRPr="00F06884" w14:paraId="1DB8FE17" w14:textId="77777777" w:rsidTr="008C7B64">
        <w:tc>
          <w:tcPr>
            <w:tcW w:w="1417" w:type="dxa"/>
            <w:shd w:val="clear" w:color="auto" w:fill="auto"/>
          </w:tcPr>
          <w:p w14:paraId="2E992AA8" w14:textId="77777777" w:rsidR="008C7B64" w:rsidRPr="00F06884" w:rsidRDefault="008C7B64" w:rsidP="00360CBB">
            <w:pPr>
              <w:rPr>
                <w:lang w:val="en-GB"/>
              </w:rPr>
            </w:pPr>
            <w:r w:rsidRPr="00F06884">
              <w:rPr>
                <w:lang w:val="en-GB"/>
              </w:rPr>
              <w:t>JVET</w:t>
            </w:r>
          </w:p>
        </w:tc>
        <w:tc>
          <w:tcPr>
            <w:tcW w:w="8277" w:type="dxa"/>
            <w:shd w:val="clear" w:color="auto" w:fill="auto"/>
          </w:tcPr>
          <w:p w14:paraId="45064CB1" w14:textId="77777777" w:rsidR="008C7B64" w:rsidRPr="00F06884" w:rsidRDefault="008C7B64" w:rsidP="00360CBB">
            <w:pPr>
              <w:rPr>
                <w:lang w:val="en-GB"/>
              </w:rPr>
            </w:pPr>
            <w:r w:rsidRPr="00F06884">
              <w:rPr>
                <w:lang w:val="en-GB"/>
              </w:rPr>
              <w:t>Joint Video Experts Team (for development of VVC)</w:t>
            </w:r>
          </w:p>
        </w:tc>
      </w:tr>
      <w:tr w:rsidR="008C7B64" w:rsidRPr="00F06884" w14:paraId="47326D93" w14:textId="77777777" w:rsidTr="008C7B64">
        <w:tc>
          <w:tcPr>
            <w:tcW w:w="1417" w:type="dxa"/>
            <w:shd w:val="clear" w:color="auto" w:fill="auto"/>
          </w:tcPr>
          <w:p w14:paraId="5CF87F63" w14:textId="77777777" w:rsidR="008C7B64" w:rsidRPr="00F06884" w:rsidRDefault="008C7B64" w:rsidP="00360CBB">
            <w:pPr>
              <w:rPr>
                <w:lang w:val="en-GB"/>
              </w:rPr>
            </w:pPr>
            <w:r w:rsidRPr="00F06884">
              <w:rPr>
                <w:lang w:val="en-GB"/>
              </w:rPr>
              <w:t>MPEG</w:t>
            </w:r>
          </w:p>
        </w:tc>
        <w:tc>
          <w:tcPr>
            <w:tcW w:w="8277" w:type="dxa"/>
            <w:shd w:val="clear" w:color="auto" w:fill="auto"/>
          </w:tcPr>
          <w:p w14:paraId="443BDA4C" w14:textId="77777777" w:rsidR="008C7B64" w:rsidRPr="00F06884" w:rsidRDefault="008C7B64" w:rsidP="00360CBB">
            <w:pPr>
              <w:rPr>
                <w:lang w:val="en-GB"/>
              </w:rPr>
            </w:pPr>
            <w:r w:rsidRPr="00F06884">
              <w:rPr>
                <w:lang w:val="en-GB"/>
              </w:rPr>
              <w:t>Moving Picture Experts Group</w:t>
            </w:r>
          </w:p>
        </w:tc>
      </w:tr>
      <w:tr w:rsidR="008C7B64" w:rsidRPr="00F06884" w14:paraId="0E906BC8" w14:textId="77777777" w:rsidTr="008C7B64">
        <w:tc>
          <w:tcPr>
            <w:tcW w:w="1417" w:type="dxa"/>
            <w:shd w:val="clear" w:color="auto" w:fill="auto"/>
          </w:tcPr>
          <w:p w14:paraId="74A283AE" w14:textId="77777777" w:rsidR="008C7B64" w:rsidRPr="00F06884" w:rsidRDefault="008C7B64" w:rsidP="00360CBB">
            <w:pPr>
              <w:rPr>
                <w:szCs w:val="24"/>
                <w:lang w:val="en-GB" w:bidi="ar-DZ"/>
              </w:rPr>
            </w:pPr>
            <w:r w:rsidRPr="00F06884">
              <w:rPr>
                <w:lang w:val="en-GB"/>
              </w:rPr>
              <w:t>MS-SSIM</w:t>
            </w:r>
          </w:p>
        </w:tc>
        <w:tc>
          <w:tcPr>
            <w:tcW w:w="8277" w:type="dxa"/>
            <w:shd w:val="clear" w:color="auto" w:fill="auto"/>
          </w:tcPr>
          <w:p w14:paraId="19A29DE7" w14:textId="77777777" w:rsidR="008C7B64" w:rsidRPr="00F06884" w:rsidRDefault="008C7B64" w:rsidP="00360CBB">
            <w:pPr>
              <w:rPr>
                <w:szCs w:val="24"/>
                <w:lang w:val="en-GB" w:bidi="ar-DZ"/>
              </w:rPr>
            </w:pPr>
            <w:r w:rsidRPr="00F06884">
              <w:rPr>
                <w:lang w:val="en-GB"/>
              </w:rPr>
              <w:t>Multi-scale Structural Similarity</w:t>
            </w:r>
          </w:p>
        </w:tc>
      </w:tr>
      <w:tr w:rsidR="008C7B64" w:rsidRPr="00F06884" w14:paraId="2005969E" w14:textId="77777777" w:rsidTr="008C7B64">
        <w:tc>
          <w:tcPr>
            <w:tcW w:w="1417" w:type="dxa"/>
            <w:shd w:val="clear" w:color="auto" w:fill="auto"/>
          </w:tcPr>
          <w:p w14:paraId="5583885C" w14:textId="77777777" w:rsidR="008C7B64" w:rsidRPr="00F06884" w:rsidRDefault="008C7B64" w:rsidP="00360CBB">
            <w:pPr>
              <w:rPr>
                <w:lang w:val="en-GB"/>
              </w:rPr>
            </w:pPr>
            <w:r w:rsidRPr="00F06884">
              <w:rPr>
                <w:lang w:val="en-GB"/>
              </w:rPr>
              <w:t>MSE</w:t>
            </w:r>
          </w:p>
        </w:tc>
        <w:tc>
          <w:tcPr>
            <w:tcW w:w="8277" w:type="dxa"/>
            <w:shd w:val="clear" w:color="auto" w:fill="auto"/>
          </w:tcPr>
          <w:p w14:paraId="32130DCF" w14:textId="77777777" w:rsidR="008C7B64" w:rsidRPr="00F06884" w:rsidRDefault="008C7B64" w:rsidP="00360CBB">
            <w:pPr>
              <w:rPr>
                <w:lang w:val="en-GB"/>
              </w:rPr>
            </w:pPr>
            <w:r w:rsidRPr="00F06884">
              <w:rPr>
                <w:lang w:val="en-GB"/>
              </w:rPr>
              <w:t>Mean Square Error</w:t>
            </w:r>
          </w:p>
        </w:tc>
      </w:tr>
      <w:tr w:rsidR="008C7B64" w:rsidRPr="00F06884" w14:paraId="5EA50FF1" w14:textId="77777777" w:rsidTr="008C7B64">
        <w:tc>
          <w:tcPr>
            <w:tcW w:w="1417" w:type="dxa"/>
            <w:shd w:val="clear" w:color="auto" w:fill="auto"/>
          </w:tcPr>
          <w:p w14:paraId="116FEBC4" w14:textId="77777777" w:rsidR="008C7B64" w:rsidRPr="00F06884" w:rsidRDefault="008C7B64" w:rsidP="00360CBB">
            <w:pPr>
              <w:rPr>
                <w:szCs w:val="24"/>
                <w:lang w:val="en-GB" w:bidi="ar-DZ"/>
              </w:rPr>
            </w:pPr>
            <w:r w:rsidRPr="00F06884">
              <w:rPr>
                <w:lang w:val="en-GB"/>
              </w:rPr>
              <w:t>PQ</w:t>
            </w:r>
          </w:p>
        </w:tc>
        <w:tc>
          <w:tcPr>
            <w:tcW w:w="8277" w:type="dxa"/>
            <w:shd w:val="clear" w:color="auto" w:fill="auto"/>
          </w:tcPr>
          <w:p w14:paraId="0DB472CE" w14:textId="444A1B7A" w:rsidR="008C7B64" w:rsidRPr="00F06884" w:rsidRDefault="008C7B64" w:rsidP="00360CBB">
            <w:pPr>
              <w:rPr>
                <w:szCs w:val="24"/>
                <w:lang w:val="en-GB" w:bidi="ar-DZ"/>
              </w:rPr>
            </w:pPr>
            <w:r w:rsidRPr="00F06884">
              <w:rPr>
                <w:lang w:val="en-GB"/>
              </w:rPr>
              <w:t xml:space="preserve">Perceptual Quantizer (as defined in </w:t>
            </w:r>
            <w:r w:rsidRPr="00F06884">
              <w:rPr>
                <w:lang w:val="en-GB"/>
              </w:rPr>
              <w:fldChar w:fldCharType="begin"/>
            </w:r>
            <w:r w:rsidRPr="00F06884">
              <w:rPr>
                <w:lang w:val="en-GB"/>
              </w:rPr>
              <w:instrText xml:space="preserve"> REF _Ref44418380 \r \h  \* MERGEFORMAT </w:instrText>
            </w:r>
            <w:r w:rsidRPr="00F06884">
              <w:rPr>
                <w:lang w:val="en-GB"/>
              </w:rPr>
            </w:r>
            <w:r w:rsidRPr="00F06884">
              <w:rPr>
                <w:lang w:val="en-GB"/>
              </w:rPr>
              <w:fldChar w:fldCharType="separate"/>
            </w:r>
            <w:r w:rsidR="00B66D04">
              <w:rPr>
                <w:lang w:val="en-GB"/>
              </w:rPr>
              <w:t>[10]</w:t>
            </w:r>
            <w:r w:rsidRPr="00F06884">
              <w:rPr>
                <w:lang w:val="en-GB"/>
              </w:rPr>
              <w:fldChar w:fldCharType="end"/>
            </w:r>
            <w:r w:rsidRPr="00F06884">
              <w:rPr>
                <w:lang w:val="en-GB"/>
              </w:rPr>
              <w:t xml:space="preserve"> and </w:t>
            </w:r>
            <w:r w:rsidRPr="00F06884">
              <w:rPr>
                <w:lang w:val="en-GB"/>
              </w:rPr>
              <w:fldChar w:fldCharType="begin"/>
            </w:r>
            <w:r w:rsidRPr="00F06884">
              <w:rPr>
                <w:lang w:val="en-GB"/>
              </w:rPr>
              <w:instrText xml:space="preserve"> REF _Ref44418383 \r \h  \* MERGEFORMAT </w:instrText>
            </w:r>
            <w:r w:rsidRPr="00F06884">
              <w:rPr>
                <w:lang w:val="en-GB"/>
              </w:rPr>
            </w:r>
            <w:r w:rsidRPr="00F06884">
              <w:rPr>
                <w:lang w:val="en-GB"/>
              </w:rPr>
              <w:fldChar w:fldCharType="separate"/>
            </w:r>
            <w:r w:rsidR="00B66D04">
              <w:rPr>
                <w:lang w:val="en-GB"/>
              </w:rPr>
              <w:t>[11]</w:t>
            </w:r>
            <w:r w:rsidRPr="00F06884">
              <w:rPr>
                <w:lang w:val="en-GB"/>
              </w:rPr>
              <w:fldChar w:fldCharType="end"/>
            </w:r>
            <w:r w:rsidRPr="00F06884">
              <w:rPr>
                <w:lang w:val="en-GB"/>
              </w:rPr>
              <w:t>)</w:t>
            </w:r>
          </w:p>
        </w:tc>
      </w:tr>
      <w:tr w:rsidR="008C7B64" w:rsidRPr="00F06884" w14:paraId="2A8EBE5D" w14:textId="77777777" w:rsidTr="008C7B64">
        <w:tc>
          <w:tcPr>
            <w:tcW w:w="1417" w:type="dxa"/>
            <w:shd w:val="clear" w:color="auto" w:fill="auto"/>
          </w:tcPr>
          <w:p w14:paraId="7D6178D9" w14:textId="77777777" w:rsidR="008C7B64" w:rsidRPr="00F06884" w:rsidRDefault="008C7B64" w:rsidP="00360CBB">
            <w:pPr>
              <w:rPr>
                <w:lang w:val="en-GB"/>
              </w:rPr>
            </w:pPr>
            <w:r w:rsidRPr="00F06884">
              <w:rPr>
                <w:lang w:val="en-GB"/>
              </w:rPr>
              <w:t>PSNR</w:t>
            </w:r>
          </w:p>
        </w:tc>
        <w:tc>
          <w:tcPr>
            <w:tcW w:w="8277" w:type="dxa"/>
            <w:shd w:val="clear" w:color="auto" w:fill="auto"/>
          </w:tcPr>
          <w:p w14:paraId="1F66170B" w14:textId="77777777" w:rsidR="008C7B64" w:rsidRPr="00F06884" w:rsidRDefault="008C7B64" w:rsidP="00360CBB">
            <w:pPr>
              <w:rPr>
                <w:lang w:val="en-GB"/>
              </w:rPr>
            </w:pPr>
            <w:r w:rsidRPr="00F06884">
              <w:rPr>
                <w:lang w:val="en-GB"/>
              </w:rPr>
              <w:t>Peak Signal-to-Noise Ratio</w:t>
            </w:r>
          </w:p>
        </w:tc>
      </w:tr>
      <w:tr w:rsidR="008C7B64" w:rsidRPr="00F06884" w14:paraId="4709A4BA" w14:textId="77777777" w:rsidTr="008C7B64">
        <w:tc>
          <w:tcPr>
            <w:tcW w:w="1417" w:type="dxa"/>
            <w:shd w:val="clear" w:color="auto" w:fill="auto"/>
          </w:tcPr>
          <w:p w14:paraId="4129C68F" w14:textId="77777777" w:rsidR="008C7B64" w:rsidRPr="00F06884" w:rsidRDefault="008C7B64" w:rsidP="00360CBB">
            <w:pPr>
              <w:rPr>
                <w:szCs w:val="24"/>
                <w:lang w:val="en-GB" w:bidi="ar-DZ"/>
              </w:rPr>
            </w:pPr>
            <w:r w:rsidRPr="00F06884">
              <w:rPr>
                <w:lang w:val="en-GB"/>
              </w:rPr>
              <w:t>QP</w:t>
            </w:r>
          </w:p>
        </w:tc>
        <w:tc>
          <w:tcPr>
            <w:tcW w:w="8277" w:type="dxa"/>
            <w:shd w:val="clear" w:color="auto" w:fill="auto"/>
          </w:tcPr>
          <w:p w14:paraId="7AB32E71" w14:textId="77777777" w:rsidR="008C7B64" w:rsidRPr="00F06884" w:rsidRDefault="008C7B64" w:rsidP="00360CBB">
            <w:pPr>
              <w:rPr>
                <w:szCs w:val="24"/>
                <w:lang w:val="en-GB" w:bidi="ar-DZ"/>
              </w:rPr>
            </w:pPr>
            <w:r w:rsidRPr="00F06884">
              <w:rPr>
                <w:lang w:val="en-GB"/>
              </w:rPr>
              <w:t>Quantization Parameter</w:t>
            </w:r>
          </w:p>
        </w:tc>
      </w:tr>
      <w:tr w:rsidR="008C7B64" w:rsidRPr="00F06884" w14:paraId="6BF50C73" w14:textId="77777777" w:rsidTr="008C7B64">
        <w:tc>
          <w:tcPr>
            <w:tcW w:w="1417" w:type="dxa"/>
            <w:shd w:val="clear" w:color="auto" w:fill="auto"/>
          </w:tcPr>
          <w:p w14:paraId="58016130" w14:textId="77777777" w:rsidR="008C7B64" w:rsidRPr="00F06884" w:rsidRDefault="008C7B64" w:rsidP="00360CBB">
            <w:pPr>
              <w:rPr>
                <w:lang w:val="en-GB"/>
              </w:rPr>
            </w:pPr>
            <w:r w:rsidRPr="00F06884">
              <w:rPr>
                <w:lang w:val="en-GB"/>
              </w:rPr>
              <w:t>SDR</w:t>
            </w:r>
          </w:p>
        </w:tc>
        <w:tc>
          <w:tcPr>
            <w:tcW w:w="8277" w:type="dxa"/>
            <w:shd w:val="clear" w:color="auto" w:fill="auto"/>
          </w:tcPr>
          <w:p w14:paraId="47FA64AD" w14:textId="77777777" w:rsidR="008C7B64" w:rsidRPr="00F06884" w:rsidRDefault="008C7B64" w:rsidP="00360CBB">
            <w:pPr>
              <w:rPr>
                <w:lang w:val="en-GB"/>
              </w:rPr>
            </w:pPr>
            <w:r w:rsidRPr="00F06884">
              <w:rPr>
                <w:lang w:val="en-GB"/>
              </w:rPr>
              <w:t>Standard Dynamic Range</w:t>
            </w:r>
          </w:p>
        </w:tc>
      </w:tr>
      <w:tr w:rsidR="008C7B64" w:rsidRPr="00F06884" w14:paraId="3B3CBA83" w14:textId="77777777" w:rsidTr="008C7B64">
        <w:tc>
          <w:tcPr>
            <w:tcW w:w="1417" w:type="dxa"/>
            <w:shd w:val="clear" w:color="auto" w:fill="auto"/>
          </w:tcPr>
          <w:p w14:paraId="32EB7C2F" w14:textId="77777777" w:rsidR="008C7B64" w:rsidRPr="00F06884" w:rsidRDefault="008C7B64" w:rsidP="00360CBB">
            <w:pPr>
              <w:rPr>
                <w:szCs w:val="24"/>
                <w:lang w:val="en-GB" w:bidi="ar-DZ"/>
              </w:rPr>
            </w:pPr>
            <w:r w:rsidRPr="00F06884">
              <w:rPr>
                <w:lang w:val="en-GB"/>
              </w:rPr>
              <w:t>SSIM</w:t>
            </w:r>
          </w:p>
        </w:tc>
        <w:tc>
          <w:tcPr>
            <w:tcW w:w="8277" w:type="dxa"/>
            <w:shd w:val="clear" w:color="auto" w:fill="auto"/>
          </w:tcPr>
          <w:p w14:paraId="0F07D9D7" w14:textId="77777777" w:rsidR="008C7B64" w:rsidRPr="00F06884" w:rsidRDefault="008C7B64" w:rsidP="00360CBB">
            <w:pPr>
              <w:rPr>
                <w:szCs w:val="24"/>
                <w:lang w:val="en-GB" w:bidi="ar-DZ"/>
              </w:rPr>
            </w:pPr>
            <w:r w:rsidRPr="00F06884">
              <w:rPr>
                <w:lang w:val="en-GB"/>
              </w:rPr>
              <w:t>Structural Similarity</w:t>
            </w:r>
          </w:p>
        </w:tc>
      </w:tr>
      <w:tr w:rsidR="008C7B64" w:rsidRPr="00F06884" w14:paraId="207B0617" w14:textId="77777777" w:rsidTr="008C7B64">
        <w:tc>
          <w:tcPr>
            <w:tcW w:w="1417" w:type="dxa"/>
            <w:shd w:val="clear" w:color="auto" w:fill="auto"/>
          </w:tcPr>
          <w:p w14:paraId="23CC1047" w14:textId="77777777" w:rsidR="008C7B64" w:rsidRPr="00F06884" w:rsidRDefault="008C7B64" w:rsidP="00360CBB">
            <w:pPr>
              <w:rPr>
                <w:szCs w:val="24"/>
                <w:lang w:val="en-GB" w:bidi="ar-DZ"/>
              </w:rPr>
            </w:pPr>
            <w:r w:rsidRPr="00F06884">
              <w:rPr>
                <w:lang w:val="en-GB"/>
              </w:rPr>
              <w:t>VMAF</w:t>
            </w:r>
          </w:p>
        </w:tc>
        <w:tc>
          <w:tcPr>
            <w:tcW w:w="8277" w:type="dxa"/>
            <w:shd w:val="clear" w:color="auto" w:fill="auto"/>
          </w:tcPr>
          <w:p w14:paraId="669941B7" w14:textId="77777777" w:rsidR="008C7B64" w:rsidRPr="00F06884" w:rsidRDefault="008C7B64" w:rsidP="00360CBB">
            <w:pPr>
              <w:rPr>
                <w:szCs w:val="24"/>
                <w:lang w:val="en-GB" w:bidi="ar-DZ"/>
              </w:rPr>
            </w:pPr>
            <w:r w:rsidRPr="00F06884">
              <w:rPr>
                <w:lang w:val="en-GB"/>
              </w:rPr>
              <w:t xml:space="preserve">Video Multimethod Assessment Fusion </w:t>
            </w:r>
          </w:p>
        </w:tc>
      </w:tr>
      <w:tr w:rsidR="008C7B64" w:rsidRPr="00F06884" w14:paraId="29131A49" w14:textId="77777777" w:rsidTr="008C7B64">
        <w:tc>
          <w:tcPr>
            <w:tcW w:w="1417" w:type="dxa"/>
            <w:shd w:val="clear" w:color="auto" w:fill="auto"/>
          </w:tcPr>
          <w:p w14:paraId="2AA55675" w14:textId="77777777" w:rsidR="008C7B64" w:rsidRPr="00F06884" w:rsidRDefault="008C7B64" w:rsidP="00360CBB">
            <w:pPr>
              <w:rPr>
                <w:lang w:val="en-GB"/>
              </w:rPr>
            </w:pPr>
            <w:r w:rsidRPr="00F06884">
              <w:rPr>
                <w:lang w:val="en-GB"/>
              </w:rPr>
              <w:t>VVC</w:t>
            </w:r>
          </w:p>
        </w:tc>
        <w:tc>
          <w:tcPr>
            <w:tcW w:w="8277" w:type="dxa"/>
            <w:shd w:val="clear" w:color="auto" w:fill="auto"/>
          </w:tcPr>
          <w:p w14:paraId="23F27F87" w14:textId="77777777" w:rsidR="008C7B64" w:rsidRPr="00F06884" w:rsidRDefault="008C7B64" w:rsidP="00360CBB">
            <w:pPr>
              <w:rPr>
                <w:lang w:val="en-GB"/>
              </w:rPr>
            </w:pPr>
            <w:r w:rsidRPr="00F06884">
              <w:rPr>
                <w:lang w:val="en-GB"/>
              </w:rPr>
              <w:t>Versatile Video Coding</w:t>
            </w:r>
          </w:p>
        </w:tc>
      </w:tr>
      <w:tr w:rsidR="008C7B64" w:rsidRPr="00F06884" w14:paraId="37BC22EC" w14:textId="77777777" w:rsidTr="008C7B64">
        <w:tc>
          <w:tcPr>
            <w:tcW w:w="1417" w:type="dxa"/>
            <w:shd w:val="clear" w:color="auto" w:fill="auto"/>
          </w:tcPr>
          <w:p w14:paraId="5CE43DDB" w14:textId="77777777" w:rsidR="008C7B64" w:rsidRPr="00F06884" w:rsidRDefault="008C7B64" w:rsidP="00360CBB">
            <w:pPr>
              <w:rPr>
                <w:szCs w:val="22"/>
                <w:lang w:val="en-GB"/>
              </w:rPr>
            </w:pPr>
            <w:r w:rsidRPr="00F06884">
              <w:rPr>
                <w:szCs w:val="22"/>
                <w:lang w:val="en-GB"/>
              </w:rPr>
              <w:t>WCG</w:t>
            </w:r>
          </w:p>
        </w:tc>
        <w:tc>
          <w:tcPr>
            <w:tcW w:w="8277" w:type="dxa"/>
            <w:shd w:val="clear" w:color="auto" w:fill="auto"/>
          </w:tcPr>
          <w:p w14:paraId="3B25E482" w14:textId="77777777" w:rsidR="008C7B64" w:rsidRPr="00F06884" w:rsidRDefault="008C7B64" w:rsidP="00360CBB">
            <w:pPr>
              <w:rPr>
                <w:lang w:val="en-GB"/>
              </w:rPr>
            </w:pPr>
            <w:r w:rsidRPr="00F06884">
              <w:rPr>
                <w:lang w:val="en-GB"/>
              </w:rPr>
              <w:t>Wide Colour Gamut</w:t>
            </w:r>
          </w:p>
        </w:tc>
      </w:tr>
      <w:tr w:rsidR="008C7B64" w:rsidRPr="00F06884" w14:paraId="0380A04F" w14:textId="77777777" w:rsidTr="008C7B64">
        <w:tc>
          <w:tcPr>
            <w:tcW w:w="1417" w:type="dxa"/>
            <w:shd w:val="clear" w:color="auto" w:fill="auto"/>
          </w:tcPr>
          <w:p w14:paraId="47948D74" w14:textId="77777777" w:rsidR="008C7B64" w:rsidRPr="00F06884" w:rsidRDefault="008C7B64" w:rsidP="00360CBB">
            <w:pPr>
              <w:rPr>
                <w:szCs w:val="22"/>
                <w:lang w:val="en-GB"/>
              </w:rPr>
            </w:pPr>
            <w:r w:rsidRPr="00F06884">
              <w:rPr>
                <w:szCs w:val="22"/>
                <w:lang w:val="en-GB"/>
              </w:rPr>
              <w:t>WVGA</w:t>
            </w:r>
          </w:p>
        </w:tc>
        <w:tc>
          <w:tcPr>
            <w:tcW w:w="8277" w:type="dxa"/>
            <w:shd w:val="clear" w:color="auto" w:fill="auto"/>
          </w:tcPr>
          <w:p w14:paraId="29036D30" w14:textId="77777777" w:rsidR="008C7B64" w:rsidRPr="00F06884" w:rsidRDefault="008C7B64" w:rsidP="00360CBB">
            <w:pPr>
              <w:rPr>
                <w:lang w:val="en-GB"/>
              </w:rPr>
            </w:pPr>
            <w:r w:rsidRPr="00F06884">
              <w:rPr>
                <w:lang w:val="en-GB"/>
              </w:rPr>
              <w:t>Wide Video Graphics Array</w:t>
            </w:r>
          </w:p>
        </w:tc>
      </w:tr>
      <w:tr w:rsidR="008C7B64" w:rsidRPr="00F06884" w14:paraId="73C04E3D" w14:textId="77777777" w:rsidTr="008C7B64">
        <w:tc>
          <w:tcPr>
            <w:tcW w:w="1417" w:type="dxa"/>
            <w:shd w:val="clear" w:color="auto" w:fill="auto"/>
          </w:tcPr>
          <w:p w14:paraId="7892B051" w14:textId="77777777" w:rsidR="008C7B64" w:rsidRPr="00F06884" w:rsidRDefault="008C7B64" w:rsidP="00360CBB">
            <w:pPr>
              <w:rPr>
                <w:i/>
                <w:iCs/>
                <w:szCs w:val="24"/>
                <w:lang w:val="en-GB" w:bidi="ar-DZ"/>
              </w:rPr>
            </w:pPr>
            <w:r w:rsidRPr="00F06884">
              <w:rPr>
                <w:i/>
                <w:iCs/>
                <w:szCs w:val="22"/>
                <w:lang w:val="en-GB"/>
              </w:rPr>
              <w:lastRenderedPageBreak/>
              <w:t>Y′C</w:t>
            </w:r>
            <w:r w:rsidRPr="00F06884">
              <w:rPr>
                <w:i/>
                <w:iCs/>
                <w:szCs w:val="22"/>
                <w:vertAlign w:val="subscript"/>
                <w:lang w:val="en-GB"/>
              </w:rPr>
              <w:t>B</w:t>
            </w:r>
            <w:r w:rsidRPr="00F06884">
              <w:rPr>
                <w:i/>
                <w:iCs/>
                <w:szCs w:val="22"/>
                <w:lang w:val="en-GB"/>
              </w:rPr>
              <w:t>C</w:t>
            </w:r>
            <w:r w:rsidRPr="00F06884">
              <w:rPr>
                <w:i/>
                <w:iCs/>
                <w:szCs w:val="22"/>
                <w:vertAlign w:val="subscript"/>
                <w:lang w:val="en-GB"/>
              </w:rPr>
              <w:t>R</w:t>
            </w:r>
          </w:p>
        </w:tc>
        <w:tc>
          <w:tcPr>
            <w:tcW w:w="8277" w:type="dxa"/>
            <w:shd w:val="clear" w:color="auto" w:fill="auto"/>
          </w:tcPr>
          <w:p w14:paraId="2E83076B" w14:textId="77777777" w:rsidR="008C7B64" w:rsidRPr="00F06884" w:rsidRDefault="008C7B64" w:rsidP="00360CBB">
            <w:pPr>
              <w:rPr>
                <w:szCs w:val="24"/>
                <w:lang w:val="en-GB" w:bidi="ar-DZ"/>
              </w:rPr>
            </w:pPr>
            <w:r w:rsidRPr="00F06884">
              <w:rPr>
                <w:lang w:val="en-GB"/>
              </w:rPr>
              <w:t xml:space="preserve">Colour space representation commonly used for video/image distribution, also written as </w:t>
            </w:r>
            <w:r w:rsidRPr="00F06884">
              <w:rPr>
                <w:i/>
                <w:iCs/>
                <w:lang w:val="en-GB"/>
              </w:rPr>
              <w:t>YUV</w:t>
            </w:r>
          </w:p>
        </w:tc>
      </w:tr>
      <w:tr w:rsidR="008C7B64" w:rsidRPr="00F06884" w14:paraId="7A79BABB" w14:textId="77777777" w:rsidTr="008C7B64">
        <w:tc>
          <w:tcPr>
            <w:tcW w:w="1417" w:type="dxa"/>
            <w:shd w:val="clear" w:color="auto" w:fill="auto"/>
          </w:tcPr>
          <w:p w14:paraId="3386671B" w14:textId="77777777" w:rsidR="008C7B64" w:rsidRPr="00F06884" w:rsidRDefault="008C7B64" w:rsidP="00360CBB">
            <w:pPr>
              <w:rPr>
                <w:i/>
                <w:iCs/>
                <w:szCs w:val="24"/>
                <w:lang w:val="en-GB" w:bidi="ar-DZ"/>
              </w:rPr>
            </w:pPr>
            <w:r w:rsidRPr="00F06884">
              <w:rPr>
                <w:i/>
                <w:iCs/>
                <w:lang w:val="en-GB"/>
              </w:rPr>
              <w:t>YUV</w:t>
            </w:r>
          </w:p>
        </w:tc>
        <w:tc>
          <w:tcPr>
            <w:tcW w:w="8277" w:type="dxa"/>
            <w:shd w:val="clear" w:color="auto" w:fill="auto"/>
          </w:tcPr>
          <w:p w14:paraId="462E54D8" w14:textId="77777777" w:rsidR="008C7B64" w:rsidRPr="00F06884" w:rsidRDefault="008C7B64" w:rsidP="00360CBB">
            <w:pPr>
              <w:rPr>
                <w:szCs w:val="24"/>
                <w:lang w:val="en-GB" w:bidi="ar-DZ"/>
              </w:rPr>
            </w:pPr>
            <w:r w:rsidRPr="00F06884">
              <w:rPr>
                <w:lang w:val="en-GB"/>
              </w:rPr>
              <w:t xml:space="preserve">Colour space representation commonly used for video/image distribution, also written as </w:t>
            </w:r>
            <w:r w:rsidRPr="00F06884">
              <w:rPr>
                <w:i/>
                <w:iCs/>
                <w:szCs w:val="22"/>
                <w:lang w:val="en-GB"/>
              </w:rPr>
              <w:t>Y′C</w:t>
            </w:r>
            <w:r w:rsidRPr="00F06884">
              <w:rPr>
                <w:i/>
                <w:iCs/>
                <w:szCs w:val="22"/>
                <w:vertAlign w:val="subscript"/>
                <w:lang w:val="en-GB"/>
              </w:rPr>
              <w:t>B</w:t>
            </w:r>
            <w:r w:rsidRPr="00F06884">
              <w:rPr>
                <w:i/>
                <w:iCs/>
                <w:szCs w:val="22"/>
                <w:lang w:val="en-GB"/>
              </w:rPr>
              <w:t>C</w:t>
            </w:r>
            <w:r w:rsidRPr="00F06884">
              <w:rPr>
                <w:i/>
                <w:iCs/>
                <w:szCs w:val="22"/>
                <w:vertAlign w:val="subscript"/>
                <w:lang w:val="en-GB"/>
              </w:rPr>
              <w:t>R</w:t>
            </w:r>
          </w:p>
        </w:tc>
      </w:tr>
    </w:tbl>
    <w:p w14:paraId="3B332F0E" w14:textId="29F154B1" w:rsidR="00135F89" w:rsidRPr="00F06884" w:rsidRDefault="000F6981" w:rsidP="00135F89">
      <w:pPr>
        <w:pStyle w:val="Heading1"/>
        <w:rPr>
          <w:lang w:bidi="ar-DZ"/>
        </w:rPr>
      </w:pPr>
      <w:bookmarkStart w:id="32" w:name="_Toc46752171"/>
      <w:r w:rsidRPr="00F06884">
        <w:rPr>
          <w:lang w:bidi="ar-DZ"/>
        </w:rPr>
        <w:t xml:space="preserve">Video coding experiments using </w:t>
      </w:r>
      <w:proofErr w:type="spellStart"/>
      <w:r w:rsidRPr="00F06884">
        <w:t>Bjøntegaard</w:t>
      </w:r>
      <w:proofErr w:type="spellEnd"/>
      <w:r w:rsidRPr="00F06884">
        <w:t xml:space="preserve"> Delta rate (BD-rate) measurements</w:t>
      </w:r>
      <w:bookmarkEnd w:id="32"/>
    </w:p>
    <w:p w14:paraId="35A10B65" w14:textId="77777777" w:rsidR="00135F89" w:rsidRPr="00F06884" w:rsidRDefault="00135F89" w:rsidP="00135F89">
      <w:pPr>
        <w:rPr>
          <w:lang w:val="en-GB"/>
        </w:rPr>
      </w:pPr>
      <w:r w:rsidRPr="00F06884">
        <w:rPr>
          <w:lang w:val="en-GB"/>
        </w:rPr>
        <w:t xml:space="preserve">This document provides general summary information about coding efficiency measurement practices that have been used for video coding experiments in recent work for the development of video coding Recommendations in ITU-T SG 16. Such work has often been conducted together with ISO/IEC JTC 1/SC 29/WG 11 (MPEG) in the JVET and JCT-VC joint collaborative teams. In particular, the document describes the use of </w:t>
      </w:r>
      <w:proofErr w:type="spellStart"/>
      <w:r w:rsidRPr="00F06884">
        <w:rPr>
          <w:lang w:val="en-GB"/>
        </w:rPr>
        <w:t>Bjøntegaard</w:t>
      </w:r>
      <w:proofErr w:type="spellEnd"/>
      <w:r w:rsidRPr="00F06884">
        <w:rPr>
          <w:lang w:val="en-GB"/>
        </w:rPr>
        <w:t xml:space="preserve"> Delta rate (BD-rate) measurements. It aims to provide a concept-level overview of such recent practices and to provide some references to other works that describe further details. It provides comments on why some of the choices were made and points at situations where caution must be taken when interpreting the results.</w:t>
      </w:r>
    </w:p>
    <w:p w14:paraId="7E3EFD53" w14:textId="40EF9214" w:rsidR="00135F89" w:rsidRPr="00F06884" w:rsidRDefault="00135F89" w:rsidP="00135F89">
      <w:pPr>
        <w:rPr>
          <w:lang w:val="en-GB"/>
        </w:rPr>
      </w:pPr>
      <w:r w:rsidRPr="00F06884">
        <w:rPr>
          <w:lang w:val="en-GB"/>
        </w:rPr>
        <w:t xml:space="preserve">This document does not represent an authoritative recommendation for how video quality should be evaluated. It merely describes the practices that have recently </w:t>
      </w:r>
      <w:r w:rsidR="00D80DAE" w:rsidRPr="00F06884">
        <w:rPr>
          <w:lang w:val="en-GB"/>
        </w:rPr>
        <w:t xml:space="preserve">been </w:t>
      </w:r>
      <w:r w:rsidRPr="00F06884">
        <w:rPr>
          <w:lang w:val="en-GB"/>
        </w:rPr>
        <w:t>followed for coding efficiency experiments conducted during work to develop video coding standards.</w:t>
      </w:r>
    </w:p>
    <w:p w14:paraId="51895EF9" w14:textId="77777777" w:rsidR="00135F89" w:rsidRPr="00F06884" w:rsidRDefault="00135F89" w:rsidP="00135F89">
      <w:pPr>
        <w:rPr>
          <w:lang w:val="en-GB"/>
        </w:rPr>
      </w:pPr>
      <w:r w:rsidRPr="00F06884">
        <w:rPr>
          <w:lang w:val="en-GB"/>
        </w:rPr>
        <w:t>For comparing different encodings, often it is helpful to control the encodings so that similar types and degrees of encoder optimization are applied, except for the aspects to be tested.</w:t>
      </w:r>
    </w:p>
    <w:p w14:paraId="1E0D602F" w14:textId="77777777" w:rsidR="00135F89" w:rsidRPr="00F06884" w:rsidRDefault="00135F89" w:rsidP="00135F89">
      <w:pPr>
        <w:rPr>
          <w:lang w:val="en-GB"/>
        </w:rPr>
      </w:pPr>
      <w:r w:rsidRPr="00F06884">
        <w:rPr>
          <w:lang w:val="en-GB"/>
        </w:rPr>
        <w:t>When there are large differences between the coding technologies being tested, and especially when there may be a substantial difference between the resulting subjective quality, subjective testing (i.e., using humans to measure the visual quality) is the appropriate action. There are also cases where the quality difference is expected to be primarily a matter of subjective effect – for example, when measuring the effects of deblocking filters.</w:t>
      </w:r>
    </w:p>
    <w:p w14:paraId="022FA9DE" w14:textId="0EB4A1B7" w:rsidR="00135F89" w:rsidRPr="00F06884" w:rsidRDefault="00135F89" w:rsidP="00135F89">
      <w:pPr>
        <w:rPr>
          <w:lang w:val="en-GB"/>
        </w:rPr>
      </w:pPr>
      <w:r w:rsidRPr="00F06884">
        <w:rPr>
          <w:lang w:val="en-GB"/>
        </w:rPr>
        <w:t>In the video coding community, we have typically used formal subjective testing at the Call for Proposals and Verification Testing stages of projects (i.e., at the beginning and the end of the work). For measuring smaller effects and where formal subjective testing is not feasible, it is necessary to use objective measurements. Since objective measurements are collected at multiple operational points, and to better understand coding behavio</w:t>
      </w:r>
      <w:r w:rsidR="008A58E6" w:rsidRPr="00F06884">
        <w:rPr>
          <w:lang w:val="en-GB"/>
        </w:rPr>
        <w:t>u</w:t>
      </w:r>
      <w:r w:rsidRPr="00F06884">
        <w:rPr>
          <w:lang w:val="en-GB"/>
        </w:rPr>
        <w:t>r across all these points, what has commonly been used in our community is the technique known as the BD-rate (</w:t>
      </w:r>
      <w:proofErr w:type="spellStart"/>
      <w:r w:rsidRPr="00F06884">
        <w:rPr>
          <w:lang w:val="en-GB"/>
        </w:rPr>
        <w:t>Bjøntegaard</w:t>
      </w:r>
      <w:proofErr w:type="spellEnd"/>
      <w:r w:rsidRPr="00F06884">
        <w:rPr>
          <w:lang w:val="en-GB"/>
        </w:rPr>
        <w:t xml:space="preserve"> Delta bit rate) comparison </w:t>
      </w:r>
      <w:r w:rsidRPr="00F06884">
        <w:rPr>
          <w:lang w:val="en-GB"/>
        </w:rPr>
        <w:fldChar w:fldCharType="begin"/>
      </w:r>
      <w:r w:rsidRPr="00F06884">
        <w:rPr>
          <w:lang w:val="en-GB"/>
        </w:rPr>
        <w:instrText xml:space="preserve"> REF _Ref44417834 \r \h </w:instrText>
      </w:r>
      <w:r w:rsidRPr="00F06884">
        <w:rPr>
          <w:lang w:val="en-GB"/>
        </w:rPr>
      </w:r>
      <w:r w:rsidRPr="00F06884">
        <w:rPr>
          <w:lang w:val="en-GB"/>
        </w:rPr>
        <w:fldChar w:fldCharType="separate"/>
      </w:r>
      <w:r w:rsidR="00B66D04">
        <w:rPr>
          <w:lang w:val="en-GB"/>
        </w:rPr>
        <w:t>[1]</w:t>
      </w:r>
      <w:r w:rsidRPr="00F06884">
        <w:rPr>
          <w:lang w:val="en-GB"/>
        </w:rPr>
        <w:fldChar w:fldCharType="end"/>
      </w:r>
      <w:r w:rsidRPr="00F06884">
        <w:rPr>
          <w:lang w:val="en-GB"/>
        </w:rPr>
        <w:t>.</w:t>
      </w:r>
    </w:p>
    <w:p w14:paraId="7994655D" w14:textId="77777777" w:rsidR="00135F89" w:rsidRPr="00F06884" w:rsidRDefault="00135F89" w:rsidP="00135F89">
      <w:pPr>
        <w:rPr>
          <w:lang w:val="en-GB"/>
        </w:rPr>
      </w:pPr>
      <w:r w:rsidRPr="00F06884">
        <w:rPr>
          <w:lang w:val="en-GB"/>
        </w:rPr>
        <w:t xml:space="preserve">We ordinarily perform encoding in the </w:t>
      </w:r>
      <w:r w:rsidRPr="00F06884">
        <w:rPr>
          <w:i/>
          <w:iCs/>
          <w:szCs w:val="22"/>
          <w:lang w:val="en-GB"/>
        </w:rPr>
        <w:t>Y′C</w:t>
      </w:r>
      <w:r w:rsidRPr="00F06884">
        <w:rPr>
          <w:i/>
          <w:iCs/>
          <w:szCs w:val="22"/>
          <w:vertAlign w:val="subscript"/>
          <w:lang w:val="en-GB"/>
        </w:rPr>
        <w:t>B</w:t>
      </w:r>
      <w:r w:rsidRPr="00F06884">
        <w:rPr>
          <w:i/>
          <w:iCs/>
          <w:szCs w:val="22"/>
          <w:lang w:val="en-GB"/>
        </w:rPr>
        <w:t>C</w:t>
      </w:r>
      <w:r w:rsidRPr="00F06884">
        <w:rPr>
          <w:i/>
          <w:iCs/>
          <w:szCs w:val="22"/>
          <w:vertAlign w:val="subscript"/>
          <w:lang w:val="en-GB"/>
        </w:rPr>
        <w:t>R</w:t>
      </w:r>
      <w:r w:rsidRPr="00F06884">
        <w:rPr>
          <w:lang w:val="en-GB"/>
        </w:rPr>
        <w:t xml:space="preserve"> domain (nicknamed </w:t>
      </w:r>
      <w:r w:rsidRPr="00F06884">
        <w:rPr>
          <w:i/>
          <w:iCs/>
          <w:lang w:val="en-GB"/>
        </w:rPr>
        <w:t>YUV</w:t>
      </w:r>
      <w:r w:rsidRPr="00F06884">
        <w:rPr>
          <w:lang w:val="en-GB"/>
        </w:rPr>
        <w:t xml:space="preserve"> herein for brevity and ease of typing). For typical multimedia applications, it is well known that the human visual system is most sensitive to the fidelity of the </w:t>
      </w:r>
      <w:r w:rsidRPr="00F06884">
        <w:rPr>
          <w:i/>
          <w:iCs/>
          <w:lang w:val="en-GB"/>
        </w:rPr>
        <w:t>Y</w:t>
      </w:r>
      <w:r w:rsidRPr="00F06884">
        <w:rPr>
          <w:lang w:val="en-GB"/>
        </w:rPr>
        <w:t xml:space="preserve"> component. The </w:t>
      </w:r>
      <w:r w:rsidRPr="00F06884">
        <w:rPr>
          <w:i/>
          <w:iCs/>
          <w:lang w:val="en-GB"/>
        </w:rPr>
        <w:t>Y</w:t>
      </w:r>
      <w:r w:rsidRPr="00F06884">
        <w:rPr>
          <w:lang w:val="en-GB"/>
        </w:rPr>
        <w:t xml:space="preserve"> component also tends to use most of the bit rate, so it is natural to focus primarily on the </w:t>
      </w:r>
      <w:r w:rsidRPr="00F06884">
        <w:rPr>
          <w:i/>
          <w:iCs/>
          <w:lang w:val="en-GB"/>
        </w:rPr>
        <w:t>Y</w:t>
      </w:r>
      <w:r w:rsidRPr="00F06884">
        <w:rPr>
          <w:lang w:val="en-GB"/>
        </w:rPr>
        <w:t xml:space="preserve"> component. However, we typically measure and report the fidelity of all three components and review the balance between luma and chroma fidelity when interpreting the results. This is also done </w:t>
      </w:r>
      <w:proofErr w:type="gramStart"/>
      <w:r w:rsidRPr="00F06884">
        <w:rPr>
          <w:lang w:val="en-GB"/>
        </w:rPr>
        <w:t>so as to</w:t>
      </w:r>
      <w:proofErr w:type="gramEnd"/>
      <w:r w:rsidRPr="00F06884">
        <w:rPr>
          <w:lang w:val="en-GB"/>
        </w:rPr>
        <w:t xml:space="preserve"> avoid situations where luma gain may be achieved at a significant cost of chroma fidelity.</w:t>
      </w:r>
    </w:p>
    <w:p w14:paraId="4D019813" w14:textId="61E77185" w:rsidR="00135F89" w:rsidRPr="00F06884" w:rsidRDefault="00135F89" w:rsidP="00135F89">
      <w:pPr>
        <w:rPr>
          <w:lang w:val="en-GB"/>
        </w:rPr>
      </w:pPr>
      <w:r w:rsidRPr="00F06884">
        <w:rPr>
          <w:lang w:val="en-GB"/>
        </w:rPr>
        <w:t xml:space="preserve">To calculate the </w:t>
      </w:r>
      <w:proofErr w:type="spellStart"/>
      <w:r w:rsidRPr="00F06884">
        <w:rPr>
          <w:lang w:val="en-GB"/>
        </w:rPr>
        <w:t>Bjøntegaard</w:t>
      </w:r>
      <w:proofErr w:type="spellEnd"/>
      <w:r w:rsidRPr="00F06884">
        <w:rPr>
          <w:lang w:val="en-GB"/>
        </w:rPr>
        <w:t xml:space="preserve"> Delta bit rate, a distortion metric needs to be used. For standard-dynamic range video, the distortion metric primarily used in our community has been the Peak Signal to Noise Ratio (PSNR). There are certainly some weaknesses to the PSNR-based BD-rate measure in terms of its correspondence with human perception of fidelity. Some other objective distortion metrics, which claim to have a better relationship with human perception, such as the Structural </w:t>
      </w:r>
      <w:proofErr w:type="spellStart"/>
      <w:r w:rsidRPr="00F06884">
        <w:rPr>
          <w:lang w:val="en-GB"/>
        </w:rPr>
        <w:t>SIMilarity</w:t>
      </w:r>
      <w:proofErr w:type="spellEnd"/>
      <w:r w:rsidRPr="00F06884">
        <w:rPr>
          <w:lang w:val="en-GB"/>
        </w:rPr>
        <w:t xml:space="preserve"> (SSIM) Index </w:t>
      </w:r>
      <w:r w:rsidRPr="00F06884">
        <w:rPr>
          <w:lang w:val="en-GB"/>
        </w:rPr>
        <w:fldChar w:fldCharType="begin"/>
      </w:r>
      <w:r w:rsidRPr="00F06884">
        <w:rPr>
          <w:lang w:val="en-GB"/>
        </w:rPr>
        <w:instrText xml:space="preserve"> REF _Ref44417959 \r \h </w:instrText>
      </w:r>
      <w:r w:rsidRPr="00F06884">
        <w:rPr>
          <w:lang w:val="en-GB"/>
        </w:rPr>
      </w:r>
      <w:r w:rsidRPr="00F06884">
        <w:rPr>
          <w:lang w:val="en-GB"/>
        </w:rPr>
        <w:fldChar w:fldCharType="separate"/>
      </w:r>
      <w:r w:rsidR="00B66D04">
        <w:rPr>
          <w:lang w:val="en-GB"/>
        </w:rPr>
        <w:t>[12]</w:t>
      </w:r>
      <w:r w:rsidRPr="00F06884">
        <w:rPr>
          <w:lang w:val="en-GB"/>
        </w:rPr>
        <w:fldChar w:fldCharType="end"/>
      </w:r>
      <w:r w:rsidRPr="00F06884">
        <w:rPr>
          <w:lang w:val="en-GB"/>
        </w:rPr>
        <w:t xml:space="preserve">, the Multi-Scale SSIM (MS-SSIM) </w:t>
      </w:r>
      <w:r w:rsidRPr="00F06884">
        <w:rPr>
          <w:lang w:val="en-GB"/>
        </w:rPr>
        <w:fldChar w:fldCharType="begin"/>
      </w:r>
      <w:r w:rsidRPr="00F06884">
        <w:rPr>
          <w:lang w:val="en-GB"/>
        </w:rPr>
        <w:instrText xml:space="preserve"> REF _Ref44417981 \r \h </w:instrText>
      </w:r>
      <w:r w:rsidRPr="00F06884">
        <w:rPr>
          <w:lang w:val="en-GB"/>
        </w:rPr>
      </w:r>
      <w:r w:rsidRPr="00F06884">
        <w:rPr>
          <w:lang w:val="en-GB"/>
        </w:rPr>
        <w:fldChar w:fldCharType="separate"/>
      </w:r>
      <w:r w:rsidR="00B66D04">
        <w:rPr>
          <w:lang w:val="en-GB"/>
        </w:rPr>
        <w:t>[13]</w:t>
      </w:r>
      <w:r w:rsidRPr="00F06884">
        <w:rPr>
          <w:lang w:val="en-GB"/>
        </w:rPr>
        <w:fldChar w:fldCharType="end"/>
      </w:r>
      <w:r w:rsidRPr="00F06884">
        <w:rPr>
          <w:lang w:val="en-GB"/>
        </w:rPr>
        <w:t xml:space="preserve">, and Video Multimethod Assessment Fusion (VMAF) </w:t>
      </w:r>
      <w:r w:rsidRPr="00F06884">
        <w:rPr>
          <w:lang w:val="en-GB"/>
        </w:rPr>
        <w:fldChar w:fldCharType="begin"/>
      </w:r>
      <w:r w:rsidRPr="00F06884">
        <w:rPr>
          <w:lang w:val="en-GB"/>
        </w:rPr>
        <w:instrText xml:space="preserve"> REF _Ref44418000 \r \h </w:instrText>
      </w:r>
      <w:r w:rsidRPr="00F06884">
        <w:rPr>
          <w:lang w:val="en-GB"/>
        </w:rPr>
      </w:r>
      <w:r w:rsidRPr="00F06884">
        <w:rPr>
          <w:lang w:val="en-GB"/>
        </w:rPr>
        <w:fldChar w:fldCharType="separate"/>
      </w:r>
      <w:r w:rsidR="00B66D04">
        <w:rPr>
          <w:lang w:val="en-GB"/>
        </w:rPr>
        <w:t>[14]</w:t>
      </w:r>
      <w:r w:rsidRPr="00F06884">
        <w:rPr>
          <w:lang w:val="en-GB"/>
        </w:rPr>
        <w:fldChar w:fldCharType="end"/>
      </w:r>
      <w:r w:rsidRPr="00F06884">
        <w:rPr>
          <w:lang w:val="en-GB"/>
        </w:rPr>
        <w:t xml:space="preserve">, have also been considered with the BD-rate measurement process. However, the use of PSNR-based BD-rate measures is the most prevalent in the video coding standardization community, for several reasons which we will not try to expound upon here in the interest of brevity and since this document is intended merely to describe the </w:t>
      </w:r>
      <w:r w:rsidRPr="00F06884">
        <w:rPr>
          <w:lang w:val="en-GB"/>
        </w:rPr>
        <w:lastRenderedPageBreak/>
        <w:t>common practice. In the following we will use the shorter term, BD-rate, to denote PSNR-based BD-rate unless explicitly mentioning another distortion metric.</w:t>
      </w:r>
    </w:p>
    <w:p w14:paraId="5133E20D" w14:textId="51DB41C9" w:rsidR="00135F89" w:rsidRPr="00F06884" w:rsidRDefault="00135F89" w:rsidP="00135F89">
      <w:pPr>
        <w:rPr>
          <w:lang w:val="en-GB"/>
        </w:rPr>
      </w:pPr>
      <w:bookmarkStart w:id="33" w:name="_Hlk45199877"/>
      <w:r w:rsidRPr="00F06884">
        <w:rPr>
          <w:lang w:val="en-GB"/>
        </w:rPr>
        <w:t xml:space="preserve">This document is based on JVET input document </w:t>
      </w:r>
      <w:r w:rsidRPr="00F06884">
        <w:rPr>
          <w:lang w:val="en-GB"/>
        </w:rPr>
        <w:fldChar w:fldCharType="begin"/>
      </w:r>
      <w:r w:rsidRPr="00F06884">
        <w:rPr>
          <w:lang w:val="en-GB"/>
        </w:rPr>
        <w:instrText xml:space="preserve"> REF _Ref44418055 \r \h </w:instrText>
      </w:r>
      <w:r w:rsidRPr="00F06884">
        <w:rPr>
          <w:lang w:val="en-GB"/>
        </w:rPr>
      </w:r>
      <w:r w:rsidRPr="00F06884">
        <w:rPr>
          <w:lang w:val="en-GB"/>
        </w:rPr>
        <w:fldChar w:fldCharType="separate"/>
      </w:r>
      <w:r w:rsidR="00B66D04">
        <w:rPr>
          <w:lang w:val="en-GB"/>
        </w:rPr>
        <w:t>[15]</w:t>
      </w:r>
      <w:r w:rsidRPr="00F06884">
        <w:rPr>
          <w:lang w:val="en-GB"/>
        </w:rPr>
        <w:fldChar w:fldCharType="end"/>
      </w:r>
      <w:r w:rsidRPr="00F06884">
        <w:rPr>
          <w:lang w:val="en-GB"/>
        </w:rPr>
        <w:t xml:space="preserve"> and JVET output document </w:t>
      </w:r>
      <w:r w:rsidRPr="00F06884">
        <w:rPr>
          <w:lang w:val="en-GB"/>
        </w:rPr>
        <w:fldChar w:fldCharType="begin"/>
      </w:r>
      <w:r w:rsidRPr="00F06884">
        <w:rPr>
          <w:lang w:val="en-GB"/>
        </w:rPr>
        <w:instrText xml:space="preserve"> REF _Ref44418070 \r \h </w:instrText>
      </w:r>
      <w:r w:rsidRPr="00F06884">
        <w:rPr>
          <w:lang w:val="en-GB"/>
        </w:rPr>
      </w:r>
      <w:r w:rsidRPr="00F06884">
        <w:rPr>
          <w:lang w:val="en-GB"/>
        </w:rPr>
        <w:fldChar w:fldCharType="separate"/>
      </w:r>
      <w:r w:rsidR="00B66D04">
        <w:rPr>
          <w:lang w:val="en-GB"/>
        </w:rPr>
        <w:t>[16]</w:t>
      </w:r>
      <w:r w:rsidRPr="00F06884">
        <w:rPr>
          <w:lang w:val="en-GB"/>
        </w:rPr>
        <w:fldChar w:fldCharType="end"/>
      </w:r>
      <w:r w:rsidRPr="00F06884">
        <w:rPr>
          <w:lang w:val="en-GB"/>
        </w:rPr>
        <w:t>.</w:t>
      </w:r>
    </w:p>
    <w:p w14:paraId="4E73DBB2" w14:textId="77777777" w:rsidR="00135F89" w:rsidRPr="00F06884" w:rsidRDefault="00135F89" w:rsidP="00135F89">
      <w:pPr>
        <w:pStyle w:val="Heading1"/>
      </w:pPr>
      <w:bookmarkStart w:id="34" w:name="_Toc46752172"/>
      <w:bookmarkEnd w:id="33"/>
      <w:r w:rsidRPr="00F06884">
        <w:t>The PSNR-based BD-rate concept</w:t>
      </w:r>
      <w:bookmarkEnd w:id="34"/>
    </w:p>
    <w:p w14:paraId="4DC026BC" w14:textId="77777777" w:rsidR="00135F89" w:rsidRPr="00F06884" w:rsidRDefault="00135F89" w:rsidP="00135F89">
      <w:pPr>
        <w:rPr>
          <w:lang w:val="en-GB" w:eastAsia="ja-JP"/>
        </w:rPr>
      </w:pPr>
      <w:r w:rsidRPr="00F06884">
        <w:rPr>
          <w:lang w:val="en-GB" w:eastAsia="ja-JP"/>
        </w:rPr>
        <w:t>When developing a video coding standard, it</w:t>
      </w:r>
      <w:r w:rsidRPr="00F06884" w:rsidDel="004E76EC">
        <w:rPr>
          <w:lang w:val="en-GB" w:eastAsia="ja-JP"/>
        </w:rPr>
        <w:t xml:space="preserve"> </w:t>
      </w:r>
      <w:r w:rsidRPr="00F06884">
        <w:rPr>
          <w:lang w:val="en-GB" w:eastAsia="ja-JP"/>
        </w:rPr>
        <w:t xml:space="preserve">is important to have a uniform way of reporting the compression results so that different contributions can be compared against each other. </w:t>
      </w:r>
    </w:p>
    <w:p w14:paraId="5F9AE9CA" w14:textId="42C29745" w:rsidR="00135F89" w:rsidRPr="00F06884" w:rsidRDefault="00135F89" w:rsidP="00135F89">
      <w:pPr>
        <w:rPr>
          <w:lang w:val="en-GB" w:eastAsia="ja-JP"/>
        </w:rPr>
      </w:pPr>
      <w:r w:rsidRPr="00F06884">
        <w:rPr>
          <w:lang w:val="en-GB" w:eastAsia="ja-JP"/>
        </w:rPr>
        <w:t xml:space="preserve">The PSNR metric is based on the squared error of individual sample values and does not </w:t>
      </w:r>
      <w:proofErr w:type="gramStart"/>
      <w:r w:rsidRPr="00F06884">
        <w:rPr>
          <w:lang w:val="en-GB" w:eastAsia="ja-JP"/>
        </w:rPr>
        <w:t>take into account</w:t>
      </w:r>
      <w:proofErr w:type="gramEnd"/>
      <w:r w:rsidRPr="00F06884">
        <w:rPr>
          <w:lang w:val="en-GB" w:eastAsia="ja-JP"/>
        </w:rPr>
        <w:t xml:space="preserve"> how the human visual system works. A relevant question is therefore whether the PSNR metric is a good predictor of subjective quality. The answer depends at least partly on how different the encoding methods being compared are to each other. If the two methods differ </w:t>
      </w:r>
      <w:r w:rsidR="00426D55" w:rsidRPr="00F06884">
        <w:rPr>
          <w:lang w:val="en-GB" w:eastAsia="ja-JP"/>
        </w:rPr>
        <w:t>greatly</w:t>
      </w:r>
      <w:r w:rsidRPr="00F06884">
        <w:rPr>
          <w:lang w:val="en-GB" w:eastAsia="ja-JP"/>
        </w:rPr>
        <w:t xml:space="preserve">, their artefacts </w:t>
      </w:r>
      <w:r w:rsidR="00426D55" w:rsidRPr="00F06884">
        <w:rPr>
          <w:lang w:val="en-GB" w:eastAsia="ja-JP"/>
        </w:rPr>
        <w:t xml:space="preserve">may </w:t>
      </w:r>
      <w:r w:rsidRPr="00F06884">
        <w:rPr>
          <w:lang w:val="en-GB" w:eastAsia="ja-JP"/>
        </w:rPr>
        <w:t>be very different</w:t>
      </w:r>
      <w:r w:rsidR="008A58E6" w:rsidRPr="00F06884">
        <w:rPr>
          <w:lang w:val="en-GB" w:eastAsia="ja-JP"/>
        </w:rPr>
        <w:t>,</w:t>
      </w:r>
      <w:r w:rsidRPr="00F06884">
        <w:rPr>
          <w:lang w:val="en-GB" w:eastAsia="ja-JP"/>
        </w:rPr>
        <w:t xml:space="preserve"> and the perceived subjective quality will depend heavily on which type of artefact is </w:t>
      </w:r>
      <w:proofErr w:type="spellStart"/>
      <w:r w:rsidRPr="00F06884">
        <w:rPr>
          <w:lang w:val="en-GB" w:eastAsia="ja-JP"/>
        </w:rPr>
        <w:t>psychovisually</w:t>
      </w:r>
      <w:proofErr w:type="spellEnd"/>
      <w:r w:rsidRPr="00F06884">
        <w:rPr>
          <w:lang w:val="en-GB" w:eastAsia="ja-JP"/>
        </w:rPr>
        <w:t xml:space="preserve"> more disturbing. BD-rate measurements are most often used to compare between two versions of the same video encoder that only differ in that in one of them one tool has been turned on or has been modified versus the other. In this scenario it is much more likely that the BD-rate score between these two versions will correlate with a difference in subjective quality. A clear exception is when tools are considered that are only </w:t>
      </w:r>
      <w:r w:rsidR="00426D55" w:rsidRPr="00F06884">
        <w:rPr>
          <w:lang w:val="en-GB" w:eastAsia="ja-JP"/>
        </w:rPr>
        <w:t>(or primarily) expected</w:t>
      </w:r>
      <w:r w:rsidR="00F85704" w:rsidRPr="00F06884">
        <w:rPr>
          <w:lang w:val="en-GB" w:eastAsia="ja-JP"/>
        </w:rPr>
        <w:t xml:space="preserve"> </w:t>
      </w:r>
      <w:r w:rsidRPr="00F06884">
        <w:rPr>
          <w:lang w:val="en-GB" w:eastAsia="ja-JP"/>
        </w:rPr>
        <w:t xml:space="preserve">to </w:t>
      </w:r>
      <w:r w:rsidR="00426D55" w:rsidRPr="00F06884">
        <w:rPr>
          <w:lang w:val="en-GB" w:eastAsia="ja-JP"/>
        </w:rPr>
        <w:t xml:space="preserve">affect </w:t>
      </w:r>
      <w:r w:rsidRPr="00F06884">
        <w:rPr>
          <w:lang w:val="en-GB" w:eastAsia="ja-JP"/>
        </w:rPr>
        <w:t>subjective quality, such as deblocking filter</w:t>
      </w:r>
      <w:r w:rsidR="009A0B73" w:rsidRPr="00F06884">
        <w:rPr>
          <w:lang w:val="en-GB" w:eastAsia="ja-JP"/>
        </w:rPr>
        <w:t>s</w:t>
      </w:r>
      <w:r w:rsidRPr="00F06884">
        <w:rPr>
          <w:lang w:val="en-GB" w:eastAsia="ja-JP"/>
        </w:rPr>
        <w:t xml:space="preserve">. Here, decisions are almost always based on a subjective test or expert viewing, and BD-rate numbers are provided more as an assurance that the tool has not </w:t>
      </w:r>
      <w:r w:rsidR="00343C45" w:rsidRPr="00F06884">
        <w:rPr>
          <w:lang w:val="en-GB" w:eastAsia="ja-JP"/>
        </w:rPr>
        <w:t>caused</w:t>
      </w:r>
      <w:r w:rsidR="00426D55" w:rsidRPr="00F06884">
        <w:rPr>
          <w:lang w:val="en-GB" w:eastAsia="ja-JP"/>
        </w:rPr>
        <w:t xml:space="preserve"> some </w:t>
      </w:r>
      <w:r w:rsidR="00343C45" w:rsidRPr="00F06884">
        <w:rPr>
          <w:lang w:val="en-GB" w:eastAsia="ja-JP"/>
        </w:rPr>
        <w:t>unexpected</w:t>
      </w:r>
      <w:r w:rsidR="00426D55" w:rsidRPr="00F06884">
        <w:rPr>
          <w:lang w:val="en-GB" w:eastAsia="ja-JP"/>
        </w:rPr>
        <w:t xml:space="preserve"> problem</w:t>
      </w:r>
      <w:r w:rsidRPr="00F06884">
        <w:rPr>
          <w:lang w:val="en-GB" w:eastAsia="ja-JP"/>
        </w:rPr>
        <w:t>.</w:t>
      </w:r>
    </w:p>
    <w:p w14:paraId="5507CF03" w14:textId="77777777" w:rsidR="00135F89" w:rsidRPr="00F06884" w:rsidRDefault="00135F89" w:rsidP="00135F89">
      <w:pPr>
        <w:rPr>
          <w:lang w:val="en-GB" w:eastAsia="ja-JP"/>
        </w:rPr>
      </w:pPr>
      <w:r w:rsidRPr="00F06884">
        <w:rPr>
          <w:lang w:val="en-GB" w:eastAsia="ja-JP"/>
        </w:rPr>
        <w:t xml:space="preserve">An advantage with using PSNR is that it is mathematically simple and therefore straightforward to optimize for. As an example, if a tool depends on filter coefficients or other parameters, the reference encoder can search for the parameter value that minimizes Mean Square Error (MSE) and thus optimizes PSNR, and this type of optimization is often straightforward to analyse and implement. The idea is that a real encoder can optimize for a different distortion metric that is </w:t>
      </w:r>
      <w:proofErr w:type="spellStart"/>
      <w:r w:rsidRPr="00F06884">
        <w:rPr>
          <w:lang w:val="en-GB" w:eastAsia="ja-JP"/>
        </w:rPr>
        <w:t>psychovisually</w:t>
      </w:r>
      <w:proofErr w:type="spellEnd"/>
      <w:r w:rsidRPr="00F06884">
        <w:rPr>
          <w:lang w:val="en-GB" w:eastAsia="ja-JP"/>
        </w:rPr>
        <w:t xml:space="preserve"> more relevant but where the parameter search may be a lot more complicated to implement. By choosing PSNR as the distortion metric in our BD-rate calculations, the work can concentrate on creating coding tools instead of spending time developing encoder optimizations for advanced distortion metrics.</w:t>
      </w:r>
    </w:p>
    <w:p w14:paraId="279D7DC2" w14:textId="20D19706" w:rsidR="00135F89" w:rsidRPr="00F06884" w:rsidRDefault="00135F89" w:rsidP="00135F89">
      <w:pPr>
        <w:rPr>
          <w:lang w:val="en-GB" w:eastAsia="ja-JP"/>
        </w:rPr>
      </w:pPr>
      <w:r w:rsidRPr="00F06884">
        <w:rPr>
          <w:lang w:val="en-GB" w:eastAsia="ja-JP"/>
        </w:rPr>
        <w:t>For high-dynamic range (HDR)</w:t>
      </w:r>
      <w:r w:rsidR="00426D55" w:rsidRPr="00F06884">
        <w:rPr>
          <w:lang w:val="en-GB" w:eastAsia="ja-JP"/>
        </w:rPr>
        <w:t xml:space="preserve"> </w:t>
      </w:r>
      <w:r w:rsidR="008A58E6" w:rsidRPr="00F06884">
        <w:rPr>
          <w:lang w:val="en-GB" w:eastAsia="ja-JP"/>
        </w:rPr>
        <w:t>/</w:t>
      </w:r>
      <w:r w:rsidR="00426D55" w:rsidRPr="00F06884">
        <w:rPr>
          <w:lang w:val="en-GB" w:eastAsia="ja-JP"/>
        </w:rPr>
        <w:t xml:space="preserve"> </w:t>
      </w:r>
      <w:r w:rsidR="008A58E6" w:rsidRPr="00F06884">
        <w:rPr>
          <w:lang w:val="en-GB" w:eastAsia="ja-JP"/>
        </w:rPr>
        <w:t>wide colour gamut (WCG)</w:t>
      </w:r>
      <w:r w:rsidRPr="00F06884">
        <w:rPr>
          <w:lang w:val="en-GB" w:eastAsia="ja-JP"/>
        </w:rPr>
        <w:t xml:space="preserve"> material and 360° video material, there are additional aspects that influence the usability of BD-rate calculations; these are addressed in </w:t>
      </w:r>
      <w:r w:rsidR="00CE0A2D" w:rsidRPr="00F06884">
        <w:rPr>
          <w:lang w:val="en-GB" w:eastAsia="ja-JP"/>
        </w:rPr>
        <w:t xml:space="preserve">clauses </w:t>
      </w:r>
      <w:r w:rsidRPr="00F06884">
        <w:rPr>
          <w:lang w:val="en-GB" w:eastAsia="ja-JP"/>
        </w:rPr>
        <w:t>7 and 8, respectively. The JVET common test conditions also specify a separate category for screen content material (i.e., material that has not been captured by a camera). However, in the context of standardization development, the group has not yet seen a need for a special metric and is still using PSNR-based BD-rate for this category.</w:t>
      </w:r>
    </w:p>
    <w:p w14:paraId="5FEE42E2" w14:textId="77777777" w:rsidR="00135F89" w:rsidRPr="00F06884" w:rsidRDefault="00135F89" w:rsidP="00135F89">
      <w:pPr>
        <w:pStyle w:val="Heading1"/>
      </w:pPr>
      <w:bookmarkStart w:id="35" w:name="_Toc46752173"/>
      <w:r w:rsidRPr="00F06884">
        <w:t>PSNR-based BD-rate calculation</w:t>
      </w:r>
      <w:bookmarkEnd w:id="35"/>
    </w:p>
    <w:p w14:paraId="50E6B916" w14:textId="4B1FE4A4" w:rsidR="00BB6719" w:rsidRPr="00F06884" w:rsidRDefault="00BB6719" w:rsidP="00BB6719">
      <w:pPr>
        <w:pStyle w:val="Heading2"/>
      </w:pPr>
      <w:bookmarkStart w:id="36" w:name="_Toc46752174"/>
      <w:r w:rsidRPr="00F06884">
        <w:t>General</w:t>
      </w:r>
      <w:bookmarkEnd w:id="36"/>
    </w:p>
    <w:p w14:paraId="5288B5E9" w14:textId="77777777" w:rsidR="00135F89" w:rsidRPr="00F06884" w:rsidRDefault="00135F89" w:rsidP="00135F89">
      <w:pPr>
        <w:rPr>
          <w:lang w:val="en-GB" w:eastAsia="ja-JP"/>
        </w:rPr>
      </w:pPr>
      <w:r w:rsidRPr="00F06884">
        <w:rPr>
          <w:lang w:val="en-GB" w:eastAsia="ja-JP"/>
        </w:rPr>
        <w:t>There are several steps in the BD-rate calculation process, where the result in each step is calculated from the result obtained in the previous step:</w:t>
      </w:r>
    </w:p>
    <w:p w14:paraId="61B7955E" w14:textId="77777777" w:rsidR="00135F89" w:rsidRPr="00F06884" w:rsidRDefault="00135F89" w:rsidP="00135F89">
      <w:pPr>
        <w:numPr>
          <w:ilvl w:val="0"/>
          <w:numId w:val="8"/>
        </w:numPr>
        <w:overflowPunct w:val="0"/>
        <w:autoSpaceDE w:val="0"/>
        <w:autoSpaceDN w:val="0"/>
        <w:adjustRightInd w:val="0"/>
        <w:ind w:left="567" w:hanging="567"/>
        <w:textAlignment w:val="baseline"/>
        <w:rPr>
          <w:lang w:val="en-GB" w:eastAsia="ja-JP"/>
        </w:rPr>
      </w:pPr>
      <w:r w:rsidRPr="00F06884">
        <w:rPr>
          <w:lang w:val="en-GB" w:eastAsia="ja-JP"/>
        </w:rPr>
        <w:t>Calculation of PSNR for individual frames</w:t>
      </w:r>
    </w:p>
    <w:p w14:paraId="5AEA1C4D" w14:textId="77777777" w:rsidR="00135F89" w:rsidRPr="00F06884" w:rsidRDefault="00135F89" w:rsidP="00135F89">
      <w:pPr>
        <w:numPr>
          <w:ilvl w:val="0"/>
          <w:numId w:val="8"/>
        </w:numPr>
        <w:overflowPunct w:val="0"/>
        <w:autoSpaceDE w:val="0"/>
        <w:autoSpaceDN w:val="0"/>
        <w:adjustRightInd w:val="0"/>
        <w:ind w:left="567" w:hanging="567"/>
        <w:textAlignment w:val="baseline"/>
        <w:rPr>
          <w:lang w:val="en-GB" w:eastAsia="ja-JP"/>
        </w:rPr>
      </w:pPr>
      <w:r w:rsidRPr="00F06884">
        <w:rPr>
          <w:lang w:val="en-GB" w:eastAsia="ja-JP"/>
        </w:rPr>
        <w:t xml:space="preserve">Calculation of per-sequence PSNR and bit rate values for each quantization parameter (QP) value. The QP value influences the resulting bit rate. Hence, compressing the sequence several times with different QPs ensures that the final BD-rate measurement will reflect the performance at many different bit rates. </w:t>
      </w:r>
    </w:p>
    <w:p w14:paraId="624C980D" w14:textId="77777777" w:rsidR="00135F89" w:rsidRPr="00F06884" w:rsidRDefault="00135F89" w:rsidP="00135F89">
      <w:pPr>
        <w:numPr>
          <w:ilvl w:val="0"/>
          <w:numId w:val="8"/>
        </w:numPr>
        <w:overflowPunct w:val="0"/>
        <w:autoSpaceDE w:val="0"/>
        <w:autoSpaceDN w:val="0"/>
        <w:adjustRightInd w:val="0"/>
        <w:ind w:left="567" w:hanging="567"/>
        <w:textAlignment w:val="baseline"/>
        <w:rPr>
          <w:lang w:val="en-GB" w:eastAsia="ja-JP"/>
        </w:rPr>
      </w:pPr>
      <w:r w:rsidRPr="00F06884">
        <w:rPr>
          <w:lang w:val="en-GB" w:eastAsia="ja-JP"/>
        </w:rPr>
        <w:t xml:space="preserve">Calculation of per-sequence BD-rate values </w:t>
      </w:r>
    </w:p>
    <w:p w14:paraId="2F722203" w14:textId="239B8FC8" w:rsidR="00135F89" w:rsidRPr="00F06884" w:rsidRDefault="00135F89" w:rsidP="00135F89">
      <w:pPr>
        <w:numPr>
          <w:ilvl w:val="0"/>
          <w:numId w:val="8"/>
        </w:numPr>
        <w:overflowPunct w:val="0"/>
        <w:autoSpaceDE w:val="0"/>
        <w:autoSpaceDN w:val="0"/>
        <w:adjustRightInd w:val="0"/>
        <w:ind w:left="567" w:hanging="567"/>
        <w:textAlignment w:val="baseline"/>
        <w:rPr>
          <w:lang w:val="en-GB" w:eastAsia="ja-JP"/>
        </w:rPr>
      </w:pPr>
      <w:r w:rsidRPr="00F06884">
        <w:rPr>
          <w:lang w:val="en-GB" w:eastAsia="ja-JP"/>
        </w:rPr>
        <w:t>Calculation of an aggregate BD-rate value for all sequences.</w:t>
      </w:r>
    </w:p>
    <w:p w14:paraId="488F8729" w14:textId="50ECE933" w:rsidR="00135F89" w:rsidRPr="00F06884" w:rsidRDefault="00BB6719" w:rsidP="00135F89">
      <w:pPr>
        <w:rPr>
          <w:lang w:val="en-GB" w:eastAsia="ja-JP"/>
        </w:rPr>
      </w:pPr>
      <w:r w:rsidRPr="00F06884">
        <w:rPr>
          <w:lang w:val="en-GB" w:eastAsia="ja-JP"/>
        </w:rPr>
        <w:lastRenderedPageBreak/>
        <w:t>T</w:t>
      </w:r>
      <w:r w:rsidR="00135F89" w:rsidRPr="00F06884">
        <w:rPr>
          <w:lang w:val="en-GB" w:eastAsia="ja-JP"/>
        </w:rPr>
        <w:t xml:space="preserve">hese steps are </w:t>
      </w:r>
      <w:r w:rsidRPr="00F06884">
        <w:rPr>
          <w:lang w:val="en-GB" w:eastAsia="ja-JP"/>
        </w:rPr>
        <w:t xml:space="preserve">further </w:t>
      </w:r>
      <w:r w:rsidR="00135F89" w:rsidRPr="00F06884">
        <w:rPr>
          <w:lang w:val="en-GB" w:eastAsia="ja-JP"/>
        </w:rPr>
        <w:t>described in the subclauses below.</w:t>
      </w:r>
    </w:p>
    <w:p w14:paraId="454100F8" w14:textId="77777777" w:rsidR="00135F89" w:rsidRPr="00F06884" w:rsidRDefault="00135F89" w:rsidP="00135F89">
      <w:pPr>
        <w:pStyle w:val="Heading2"/>
      </w:pPr>
      <w:bookmarkStart w:id="37" w:name="_Toc46752175"/>
      <w:r w:rsidRPr="00F06884">
        <w:t>Calculation of PSNR for individual frames</w:t>
      </w:r>
      <w:bookmarkEnd w:id="37"/>
    </w:p>
    <w:p w14:paraId="69CEF219" w14:textId="77777777" w:rsidR="00135F89" w:rsidRPr="00F06884" w:rsidRDefault="00135F89" w:rsidP="00135F89">
      <w:pPr>
        <w:keepNext/>
        <w:rPr>
          <w:lang w:val="en-GB"/>
        </w:rPr>
      </w:pPr>
      <w:r w:rsidRPr="00F06884">
        <w:rPr>
          <w:lang w:val="en-GB" w:eastAsia="ko-KR"/>
        </w:rPr>
        <w:t>For</w:t>
      </w:r>
      <w:r w:rsidRPr="00F06884">
        <w:rPr>
          <w:lang w:val="en-GB"/>
        </w:rPr>
        <w:t xml:space="preserve"> an individual frame, the mean square error is calculated between the luma channel </w:t>
      </w:r>
      <m:oMath>
        <m:r>
          <w:rPr>
            <w:rFonts w:ascii="Cambria Math" w:hAnsi="Cambria Math"/>
            <w:lang w:val="en-GB"/>
          </w:rPr>
          <m:t>decY</m:t>
        </m:r>
      </m:oMath>
      <w:r w:rsidRPr="00F06884">
        <w:rPr>
          <w:lang w:val="en-GB"/>
        </w:rPr>
        <w:t xml:space="preserve"> of the decoded output image and the luma channel </w:t>
      </w:r>
      <m:oMath>
        <m:r>
          <w:rPr>
            <w:rFonts w:ascii="Cambria Math" w:hAnsi="Cambria Math"/>
            <w:lang w:val="en-GB"/>
          </w:rPr>
          <m:t>origY</m:t>
        </m:r>
      </m:oMath>
      <w:r w:rsidRPr="00F06884">
        <w:rPr>
          <w:lang w:val="en-GB"/>
        </w:rPr>
        <w:t xml:space="preserve"> of the original image according to</w:t>
      </w:r>
    </w:p>
    <w:p w14:paraId="432A9847" w14:textId="2BBB2C49" w:rsidR="00135F89" w:rsidRPr="00F06884" w:rsidRDefault="00135F89" w:rsidP="00135F89">
      <w:pPr>
        <w:rPr>
          <w:lang w:val="en-GB"/>
        </w:rPr>
      </w:pPr>
      <m:oMathPara>
        <m:oMath>
          <m:r>
            <w:rPr>
              <w:rFonts w:ascii="Cambria Math" w:hAnsi="Cambria Math"/>
              <w:lang w:val="en-GB"/>
            </w:rPr>
            <m:t>MSE_Y=</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W*H</m:t>
              </m:r>
            </m:den>
          </m:f>
          <m:nary>
            <m:naryPr>
              <m:chr m:val="∑"/>
              <m:limLoc m:val="undOvr"/>
              <m:ctrlPr>
                <w:rPr>
                  <w:rFonts w:ascii="Cambria Math" w:hAnsi="Cambria Math"/>
                  <w:i/>
                  <w:lang w:val="en-GB"/>
                </w:rPr>
              </m:ctrlPr>
            </m:naryPr>
            <m:sub>
              <m:r>
                <w:rPr>
                  <w:rFonts w:ascii="Cambria Math" w:hAnsi="Cambria Math"/>
                  <w:lang w:val="en-GB"/>
                </w:rPr>
                <m:t>y=0</m:t>
              </m:r>
            </m:sub>
            <m:sup>
              <m:r>
                <w:rPr>
                  <w:rFonts w:ascii="Cambria Math" w:hAnsi="Cambria Math"/>
                  <w:lang w:val="en-GB"/>
                </w:rPr>
                <m:t>H-1</m:t>
              </m:r>
            </m:sup>
            <m:e>
              <m:nary>
                <m:naryPr>
                  <m:chr m:val="∑"/>
                  <m:limLoc m:val="undOvr"/>
                  <m:ctrlPr>
                    <w:rPr>
                      <w:rFonts w:ascii="Cambria Math" w:hAnsi="Cambria Math"/>
                      <w:i/>
                      <w:lang w:val="en-GB"/>
                    </w:rPr>
                  </m:ctrlPr>
                </m:naryPr>
                <m:sub>
                  <m:r>
                    <w:rPr>
                      <w:rFonts w:ascii="Cambria Math" w:hAnsi="Cambria Math"/>
                      <w:lang w:val="en-GB"/>
                    </w:rPr>
                    <m:t>x=0</m:t>
                  </m:r>
                </m:sub>
                <m:sup>
                  <m:r>
                    <w:rPr>
                      <w:rFonts w:ascii="Cambria Math" w:hAnsi="Cambria Math"/>
                      <w:lang w:val="en-GB"/>
                    </w:rPr>
                    <m:t>W-1</m:t>
                  </m:r>
                </m:sup>
                <m:e>
                  <m:sSup>
                    <m:sSupPr>
                      <m:ctrlPr>
                        <w:rPr>
                          <w:rFonts w:ascii="Cambria Math" w:hAnsi="Cambria Math"/>
                          <w:i/>
                          <w:lang w:val="en-GB"/>
                        </w:rPr>
                      </m:ctrlPr>
                    </m:sSupPr>
                    <m:e>
                      <m:d>
                        <m:dPr>
                          <m:ctrlPr>
                            <w:rPr>
                              <w:rFonts w:ascii="Cambria Math" w:hAnsi="Cambria Math"/>
                              <w:i/>
                              <w:lang w:val="en-GB"/>
                            </w:rPr>
                          </m:ctrlPr>
                        </m:dPr>
                        <m:e>
                          <m:r>
                            <w:rPr>
                              <w:rFonts w:ascii="Cambria Math" w:hAnsi="Cambria Math"/>
                              <w:lang w:val="en-GB"/>
                            </w:rPr>
                            <m:t>decY</m:t>
                          </m:r>
                          <m:d>
                            <m:dPr>
                              <m:ctrlPr>
                                <w:rPr>
                                  <w:rFonts w:ascii="Cambria Math" w:hAnsi="Cambria Math"/>
                                  <w:i/>
                                  <w:lang w:val="en-GB"/>
                                </w:rPr>
                              </m:ctrlPr>
                            </m:dPr>
                            <m:e>
                              <m:r>
                                <w:rPr>
                                  <w:rFonts w:ascii="Cambria Math" w:hAnsi="Cambria Math"/>
                                  <w:lang w:val="en-GB"/>
                                </w:rPr>
                                <m:t>x,y</m:t>
                              </m:r>
                            </m:e>
                          </m:d>
                          <m:r>
                            <w:rPr>
                              <w:rFonts w:ascii="Cambria Math" w:hAnsi="Cambria Math"/>
                              <w:lang w:val="en-GB"/>
                            </w:rPr>
                            <m:t>-origY</m:t>
                          </m:r>
                          <m:d>
                            <m:dPr>
                              <m:ctrlPr>
                                <w:rPr>
                                  <w:rFonts w:ascii="Cambria Math" w:hAnsi="Cambria Math"/>
                                  <w:i/>
                                  <w:lang w:val="en-GB"/>
                                </w:rPr>
                              </m:ctrlPr>
                            </m:dPr>
                            <m:e>
                              <m:r>
                                <w:rPr>
                                  <w:rFonts w:ascii="Cambria Math" w:hAnsi="Cambria Math"/>
                                  <w:lang w:val="en-GB"/>
                                </w:rPr>
                                <m:t>x,y</m:t>
                              </m:r>
                            </m:e>
                          </m:d>
                        </m:e>
                      </m:d>
                    </m:e>
                    <m:sup>
                      <m:r>
                        <w:rPr>
                          <w:rFonts w:ascii="Cambria Math" w:hAnsi="Cambria Math"/>
                          <w:lang w:val="en-GB"/>
                        </w:rPr>
                        <m:t>2</m:t>
                      </m:r>
                    </m:sup>
                  </m:sSup>
                </m:e>
              </m:nary>
            </m:e>
          </m:nary>
          <m:r>
            <w:rPr>
              <w:rFonts w:ascii="Cambria Math" w:hAnsi="Cambria Math"/>
              <w:lang w:val="en-GB"/>
            </w:rPr>
            <m:t xml:space="preserve">,             </m:t>
          </m:r>
          <m:r>
            <m:rPr>
              <m:nor/>
            </m:rPr>
            <w:rPr>
              <w:rFonts w:ascii="Cambria Math" w:hAnsi="Cambria Math"/>
              <w:lang w:val="en-GB"/>
            </w:rPr>
            <m:t>(1)</m:t>
          </m:r>
        </m:oMath>
      </m:oMathPara>
    </w:p>
    <w:p w14:paraId="5420A48C" w14:textId="71A8C220" w:rsidR="00135F89" w:rsidRPr="00F06884" w:rsidRDefault="00135F89" w:rsidP="00135F89">
      <w:pPr>
        <w:rPr>
          <w:lang w:val="en-GB"/>
        </w:rPr>
      </w:pPr>
      <w:r w:rsidRPr="00F06884">
        <w:rPr>
          <w:lang w:val="en-GB"/>
        </w:rPr>
        <w:t xml:space="preserve">where </w:t>
      </w:r>
      <m:oMath>
        <m:r>
          <w:rPr>
            <w:rFonts w:ascii="Cambria Math" w:hAnsi="Cambria Math"/>
            <w:lang w:val="en-GB"/>
          </w:rPr>
          <m:t>decY(x,y)</m:t>
        </m:r>
      </m:oMath>
      <w:r w:rsidRPr="00F06884">
        <w:rPr>
          <w:lang w:val="en-GB"/>
        </w:rPr>
        <w:t xml:space="preserve"> and </w:t>
      </w:r>
      <m:oMath>
        <m:r>
          <w:rPr>
            <w:rFonts w:ascii="Cambria Math" w:hAnsi="Cambria Math"/>
            <w:lang w:val="en-GB"/>
          </w:rPr>
          <m:t>origY(x,y)</m:t>
        </m:r>
      </m:oMath>
      <w:r w:rsidRPr="00F06884">
        <w:rPr>
          <w:lang w:val="en-GB"/>
        </w:rPr>
        <w:t xml:space="preserve"> are the luma sample values at position </w:t>
      </w:r>
      <m:oMath>
        <m:d>
          <m:dPr>
            <m:ctrlPr>
              <w:rPr>
                <w:rFonts w:ascii="Cambria Math" w:hAnsi="Cambria Math"/>
                <w:i/>
                <w:lang w:val="en-GB"/>
              </w:rPr>
            </m:ctrlPr>
          </m:dPr>
          <m:e>
            <m:r>
              <w:rPr>
                <w:rFonts w:ascii="Cambria Math" w:hAnsi="Cambria Math"/>
                <w:lang w:val="en-GB"/>
              </w:rPr>
              <m:t>x,y</m:t>
            </m:r>
          </m:e>
        </m:d>
      </m:oMath>
      <w:r w:rsidRPr="00F06884">
        <w:rPr>
          <w:lang w:val="en-GB"/>
        </w:rPr>
        <w:t xml:space="preserve"> of the decoded and original images at the same time instance</w:t>
      </w:r>
      <w:r w:rsidR="00D80DAE" w:rsidRPr="00F06884">
        <w:rPr>
          <w:lang w:val="en-GB"/>
        </w:rPr>
        <w:t>,</w:t>
      </w:r>
      <w:r w:rsidRPr="00F06884">
        <w:rPr>
          <w:lang w:val="en-GB"/>
        </w:rPr>
        <w:t xml:space="preserve"> respectively. </w:t>
      </w:r>
      <m:oMath>
        <m:r>
          <w:rPr>
            <w:rFonts w:ascii="Cambria Math" w:hAnsi="Cambria Math"/>
            <w:lang w:val="en-GB"/>
          </w:rPr>
          <m:t>W</m:t>
        </m:r>
      </m:oMath>
      <w:r w:rsidRPr="00F06884">
        <w:rPr>
          <w:lang w:val="en-GB"/>
        </w:rPr>
        <w:t xml:space="preserve"> and </w:t>
      </w:r>
      <m:oMath>
        <m:r>
          <w:rPr>
            <w:rFonts w:ascii="Cambria Math" w:hAnsi="Cambria Math"/>
            <w:lang w:val="en-GB"/>
          </w:rPr>
          <m:t>H</m:t>
        </m:r>
      </m:oMath>
      <w:r w:rsidRPr="00F06884">
        <w:rPr>
          <w:lang w:val="en-GB"/>
        </w:rPr>
        <w:t xml:space="preserve"> are the width and height of the luma component</w:t>
      </w:r>
      <w:r w:rsidR="00D80DAE" w:rsidRPr="00F06884">
        <w:rPr>
          <w:lang w:val="en-GB"/>
        </w:rPr>
        <w:t>,</w:t>
      </w:r>
      <w:r w:rsidRPr="00F06884">
        <w:rPr>
          <w:lang w:val="en-GB"/>
        </w:rPr>
        <w:t xml:space="preserve"> respectively. The luma PSNR value for the frame is then calculated as</w:t>
      </w:r>
    </w:p>
    <w:p w14:paraId="03557704" w14:textId="7B69A490" w:rsidR="00135F89" w:rsidRPr="00F06884" w:rsidRDefault="00135F89" w:rsidP="00135F89">
      <w:pPr>
        <w:rPr>
          <w:color w:val="000000"/>
          <w:lang w:val="en-GB"/>
        </w:rPr>
      </w:pPr>
      <m:oMathPara>
        <m:oMath>
          <m:r>
            <w:rPr>
              <w:rFonts w:ascii="Cambria Math" w:hAnsi="Cambria Math"/>
              <w:lang w:val="en-GB"/>
            </w:rPr>
            <m:t xml:space="preserve">PSNR_Y= </m:t>
          </m:r>
          <m:r>
            <m:rPr>
              <m:sty m:val="p"/>
            </m:rPr>
            <w:rPr>
              <w:rFonts w:ascii="Cambria Math" w:hAnsi="Cambria Math"/>
              <w:color w:val="000000"/>
              <w:lang w:val="en-GB"/>
            </w:rPr>
            <m:t>10*log10</m:t>
          </m:r>
          <m:d>
            <m:dPr>
              <m:ctrlPr>
                <w:rPr>
                  <w:rFonts w:ascii="Cambria Math" w:hAnsi="Cambria Math"/>
                  <w:color w:val="000000"/>
                  <w:lang w:val="en-GB"/>
                </w:rPr>
              </m:ctrlPr>
            </m:dPr>
            <m:e>
              <m:f>
                <m:fPr>
                  <m:ctrlPr>
                    <w:rPr>
                      <w:rFonts w:ascii="Cambria Math" w:hAnsi="Cambria Math"/>
                      <w:color w:val="000000"/>
                      <w:lang w:val="en-GB"/>
                    </w:rPr>
                  </m:ctrlPr>
                </m:fPr>
                <m:num>
                  <m:sSup>
                    <m:sSupPr>
                      <m:ctrlPr>
                        <w:rPr>
                          <w:rFonts w:ascii="Cambria Math" w:hAnsi="Cambria Math"/>
                          <w:i/>
                          <w:color w:val="000000"/>
                          <w:lang w:val="en-GB"/>
                        </w:rPr>
                      </m:ctrlPr>
                    </m:sSupPr>
                    <m:e>
                      <m:d>
                        <m:dPr>
                          <m:ctrlPr>
                            <w:rPr>
                              <w:rFonts w:ascii="Cambria Math" w:hAnsi="Cambria Math"/>
                              <w:i/>
                              <w:color w:val="000000"/>
                              <w:lang w:val="en-GB"/>
                            </w:rPr>
                          </m:ctrlPr>
                        </m:dPr>
                        <m:e>
                          <m:r>
                            <m:rPr>
                              <m:sty m:val="p"/>
                            </m:rPr>
                            <w:rPr>
                              <w:rFonts w:ascii="Cambria Math" w:hAnsi="Cambria Math"/>
                              <w:color w:val="000000"/>
                              <w:lang w:val="en-GB"/>
                            </w:rPr>
                            <m:t>255≪</m:t>
                          </m:r>
                          <m:d>
                            <m:dPr>
                              <m:ctrlPr>
                                <w:rPr>
                                  <w:rFonts w:ascii="Cambria Math" w:hAnsi="Cambria Math"/>
                                  <w:color w:val="000000"/>
                                  <w:lang w:val="en-GB"/>
                                </w:rPr>
                              </m:ctrlPr>
                            </m:dPr>
                            <m:e>
                              <m:r>
                                <m:rPr>
                                  <m:sty m:val="p"/>
                                </m:rPr>
                                <w:rPr>
                                  <w:rFonts w:ascii="Cambria Math" w:hAnsi="Cambria Math"/>
                                  <w:color w:val="000000"/>
                                  <w:lang w:val="en-GB"/>
                                </w:rPr>
                                <m:t>bitDepth-8</m:t>
                              </m:r>
                            </m:e>
                          </m:d>
                        </m:e>
                      </m:d>
                    </m:e>
                    <m:sup>
                      <m:r>
                        <w:rPr>
                          <w:rFonts w:ascii="Cambria Math" w:hAnsi="Cambria Math"/>
                          <w:color w:val="000000"/>
                          <w:lang w:val="en-GB"/>
                        </w:rPr>
                        <m:t>2</m:t>
                      </m:r>
                    </m:sup>
                  </m:sSup>
                </m:num>
                <m:den>
                  <m:r>
                    <w:rPr>
                      <w:rFonts w:ascii="Cambria Math" w:hAnsi="Cambria Math"/>
                      <w:color w:val="000000"/>
                      <w:lang w:val="en-GB"/>
                    </w:rPr>
                    <m:t>MSE_Y</m:t>
                  </m:r>
                </m:den>
              </m:f>
            </m:e>
          </m:d>
          <m:r>
            <w:rPr>
              <w:rFonts w:ascii="Cambria Math" w:hAnsi="Cambria Math"/>
              <w:color w:val="000000"/>
              <w:lang w:val="en-GB"/>
            </w:rPr>
            <m:t xml:space="preserve">,            </m:t>
          </m:r>
          <m:r>
            <m:rPr>
              <m:nor/>
            </m:rPr>
            <w:rPr>
              <w:rFonts w:ascii="Cambria Math" w:hAnsi="Cambria Math"/>
              <w:color w:val="000000"/>
              <w:lang w:val="en-GB"/>
            </w:rPr>
            <m:t>(2)</m:t>
          </m:r>
        </m:oMath>
      </m:oMathPara>
    </w:p>
    <w:p w14:paraId="00C37401" w14:textId="1EDB1D5A" w:rsidR="00135F89" w:rsidRPr="00F06884" w:rsidRDefault="00135F89" w:rsidP="00135F89">
      <w:pPr>
        <w:rPr>
          <w:color w:val="000000"/>
          <w:lang w:val="en-GB"/>
        </w:rPr>
      </w:pPr>
      <w:r w:rsidRPr="00F06884">
        <w:rPr>
          <w:color w:val="000000"/>
          <w:lang w:val="en-GB"/>
        </w:rPr>
        <w:t xml:space="preserve">where </w:t>
      </w:r>
      <w:proofErr w:type="spellStart"/>
      <w:r w:rsidRPr="00F06884">
        <w:rPr>
          <w:color w:val="000000"/>
          <w:lang w:val="en-GB"/>
        </w:rPr>
        <w:t>bitDepth</w:t>
      </w:r>
      <w:proofErr w:type="spellEnd"/>
      <w:r w:rsidRPr="00F06884">
        <w:rPr>
          <w:color w:val="000000"/>
          <w:lang w:val="en-GB"/>
        </w:rPr>
        <w:t xml:space="preserve"> = 10 for 10-bit inputs and where </w:t>
      </w:r>
      <m:oMath>
        <m:r>
          <w:rPr>
            <w:rFonts w:ascii="Cambria Math" w:hAnsi="Cambria Math"/>
            <w:color w:val="000000"/>
            <w:lang w:val="en-GB"/>
          </w:rPr>
          <m:t>≪</m:t>
        </m:r>
      </m:oMath>
      <w:r w:rsidRPr="00F06884">
        <w:rPr>
          <w:color w:val="000000"/>
          <w:lang w:val="en-GB"/>
        </w:rPr>
        <w:t xml:space="preserve"> denotes a bitwise left-shift operation. If </w:t>
      </w:r>
      <m:oMath>
        <m:r>
          <w:rPr>
            <w:rFonts w:ascii="Cambria Math" w:hAnsi="Cambria Math"/>
            <w:color w:val="000000"/>
            <w:lang w:val="en-GB"/>
          </w:rPr>
          <m:t>MSE_Y=0</m:t>
        </m:r>
      </m:oMath>
      <w:r w:rsidRPr="00F06884">
        <w:rPr>
          <w:color w:val="000000"/>
          <w:lang w:val="en-GB"/>
        </w:rPr>
        <w:t>, i.e., if the decoded image exactly matches the original image, there is some adjustment applied to avoid a division by zero. Different implementations may use a different adjustment method. For example, the</w:t>
      </w:r>
      <w:r w:rsidR="003557A3" w:rsidRPr="00F06884">
        <w:rPr>
          <w:color w:val="000000"/>
          <w:lang w:val="en-GB"/>
        </w:rPr>
        <w:t xml:space="preserve"> HEVC test model (</w:t>
      </w:r>
      <w:r w:rsidRPr="00F06884">
        <w:rPr>
          <w:color w:val="000000"/>
          <w:lang w:val="en-GB"/>
        </w:rPr>
        <w:t>HM</w:t>
      </w:r>
      <w:r w:rsidR="003557A3" w:rsidRPr="00F06884">
        <w:rPr>
          <w:color w:val="000000"/>
          <w:lang w:val="en-GB"/>
        </w:rPr>
        <w:t>)</w:t>
      </w:r>
      <w:r w:rsidRPr="00F06884">
        <w:rPr>
          <w:color w:val="000000"/>
          <w:lang w:val="en-GB"/>
        </w:rPr>
        <w:t xml:space="preserve"> and V</w:t>
      </w:r>
      <w:r w:rsidR="003557A3" w:rsidRPr="00F06884">
        <w:rPr>
          <w:color w:val="000000"/>
          <w:lang w:val="en-GB"/>
        </w:rPr>
        <w:t>VC test model (VTM)</w:t>
      </w:r>
      <w:r w:rsidRPr="00F06884">
        <w:rPr>
          <w:color w:val="000000"/>
          <w:lang w:val="en-GB"/>
        </w:rPr>
        <w:t xml:space="preserve"> software packages set the </w:t>
      </w:r>
      <m:oMath>
        <m:r>
          <w:rPr>
            <w:rFonts w:ascii="Cambria Math" w:hAnsi="Cambria Math"/>
            <w:color w:val="000000"/>
            <w:lang w:val="en-GB"/>
          </w:rPr>
          <m:t>PSNR_Y</m:t>
        </m:r>
      </m:oMath>
      <w:r w:rsidRPr="00F06884">
        <w:rPr>
          <w:color w:val="000000"/>
          <w:lang w:val="en-GB"/>
        </w:rPr>
        <w:t xml:space="preserve"> value to 999.99 in this case, the </w:t>
      </w:r>
      <w:r w:rsidR="00F61572" w:rsidRPr="00F06884">
        <w:rPr>
          <w:color w:val="000000"/>
          <w:lang w:val="en-GB"/>
        </w:rPr>
        <w:t>AVC test model (</w:t>
      </w:r>
      <w:r w:rsidRPr="00F06884">
        <w:rPr>
          <w:color w:val="000000"/>
          <w:lang w:val="en-GB"/>
        </w:rPr>
        <w:t>JM</w:t>
      </w:r>
      <w:r w:rsidR="00F61572" w:rsidRPr="00F06884">
        <w:rPr>
          <w:color w:val="000000"/>
          <w:lang w:val="en-GB"/>
        </w:rPr>
        <w:t>)</w:t>
      </w:r>
      <w:r w:rsidRPr="00F06884">
        <w:rPr>
          <w:color w:val="000000"/>
          <w:lang w:val="en-GB"/>
        </w:rPr>
        <w:t xml:space="preserve"> and </w:t>
      </w:r>
      <w:proofErr w:type="spellStart"/>
      <w:r w:rsidRPr="00F06884">
        <w:rPr>
          <w:color w:val="000000"/>
          <w:lang w:val="en-GB"/>
        </w:rPr>
        <w:t>HDRTools</w:t>
      </w:r>
      <w:proofErr w:type="spellEnd"/>
      <w:r w:rsidRPr="00F06884">
        <w:rPr>
          <w:color w:val="000000"/>
          <w:lang w:val="en-GB"/>
        </w:rPr>
        <w:t xml:space="preserve"> software packages impose a minimum MSE of 1 ÷ (W * H), and another approach could be to impose a minimum MSE of 1÷12, since that is the MSE that would theoretically result from rounding large numbers to the nearest multiple of 1 LSB. The use of 255 </w:t>
      </w:r>
      <w:r w:rsidRPr="00F06884">
        <w:rPr>
          <w:rFonts w:ascii="Cambria Math" w:hAnsi="Cambria Math" w:cs="Cambria Math"/>
          <w:color w:val="000000"/>
          <w:lang w:val="en-GB"/>
        </w:rPr>
        <w:t>≪</w:t>
      </w:r>
      <w:r w:rsidRPr="00F06884">
        <w:rPr>
          <w:color w:val="000000"/>
          <w:lang w:val="en-GB"/>
        </w:rPr>
        <w:t xml:space="preserve"> (</w:t>
      </w:r>
      <w:proofErr w:type="spellStart"/>
      <w:r w:rsidRPr="00F06884">
        <w:rPr>
          <w:color w:val="000000"/>
          <w:lang w:val="en-GB"/>
        </w:rPr>
        <w:t>bitDepth</w:t>
      </w:r>
      <w:proofErr w:type="spellEnd"/>
      <w:r w:rsidRPr="00F06884">
        <w:rPr>
          <w:color w:val="000000"/>
          <w:lang w:val="en-GB"/>
        </w:rPr>
        <w:t xml:space="preserve"> − 8) instead of 2</w:t>
      </w:r>
      <w:r w:rsidRPr="00F06884">
        <w:rPr>
          <w:color w:val="000000"/>
          <w:vertAlign w:val="superscript"/>
          <w:lang w:val="en-GB"/>
        </w:rPr>
        <w:t>bit</w:t>
      </w:r>
      <w:r w:rsidR="00AD5906" w:rsidRPr="00F06884">
        <w:rPr>
          <w:color w:val="000000"/>
          <w:vertAlign w:val="superscript"/>
          <w:lang w:val="en-GB"/>
        </w:rPr>
        <w:t>D</w:t>
      </w:r>
      <w:r w:rsidRPr="00F06884">
        <w:rPr>
          <w:color w:val="000000"/>
          <w:vertAlign w:val="superscript"/>
          <w:lang w:val="en-GB"/>
        </w:rPr>
        <w:t>epth</w:t>
      </w:r>
      <w:r w:rsidRPr="00F06884">
        <w:rPr>
          <w:color w:val="000000"/>
          <w:lang w:val="en-GB"/>
        </w:rPr>
        <w:t xml:space="preserve"> − 1 is a small adjustment so that if the same video content is coded using </w:t>
      </w:r>
      <w:proofErr w:type="spellStart"/>
      <w:r w:rsidRPr="00F06884">
        <w:rPr>
          <w:color w:val="000000"/>
          <w:lang w:val="en-GB"/>
        </w:rPr>
        <w:t>bitDepth</w:t>
      </w:r>
      <w:proofErr w:type="spellEnd"/>
      <w:r w:rsidRPr="00F06884">
        <w:rPr>
          <w:color w:val="000000"/>
          <w:lang w:val="en-GB"/>
        </w:rPr>
        <w:t xml:space="preserve"> = 8 or is coded by shifting it up by two bits and using a 10-bit encoder, and when any error is also just scaled up accordingly, there will be no difference in the resulting fidelity measurement. The difference between the two types of measurement is just a constant offset of 0.0255 dB, so it is normally insignificant.</w:t>
      </w:r>
    </w:p>
    <w:p w14:paraId="6545E988" w14:textId="77777777" w:rsidR="00135F89" w:rsidRPr="00F06884" w:rsidRDefault="00135F89" w:rsidP="00135F89">
      <w:pPr>
        <w:rPr>
          <w:lang w:val="en-GB" w:eastAsia="ja-JP"/>
        </w:rPr>
      </w:pPr>
      <w:r w:rsidRPr="00F06884">
        <w:rPr>
          <w:color w:val="000000"/>
          <w:lang w:val="en-GB"/>
        </w:rPr>
        <w:t>Three PSNR numbers are ordinarily calculated in this manner; one for luma (PSNR_Y), and two for chroma (PSNR_U and PSNR_V).</w:t>
      </w:r>
    </w:p>
    <w:p w14:paraId="461CF5D3" w14:textId="77777777" w:rsidR="00135F89" w:rsidRPr="00F06884" w:rsidRDefault="00135F89" w:rsidP="00135F89">
      <w:pPr>
        <w:pStyle w:val="Heading2"/>
      </w:pPr>
      <w:bookmarkStart w:id="38" w:name="_Toc46752176"/>
      <w:r w:rsidRPr="00F06884">
        <w:t>Calculation of sequence PSNR and bit rate numbers for each QP value</w:t>
      </w:r>
      <w:bookmarkEnd w:id="38"/>
      <w:r w:rsidRPr="00F06884">
        <w:t xml:space="preserve"> </w:t>
      </w:r>
    </w:p>
    <w:p w14:paraId="600F88C6" w14:textId="77777777" w:rsidR="00135F89" w:rsidRPr="00F06884" w:rsidRDefault="00135F89" w:rsidP="00135F89">
      <w:pPr>
        <w:rPr>
          <w:lang w:val="en-GB"/>
        </w:rPr>
      </w:pPr>
      <w:r w:rsidRPr="00F06884">
        <w:rPr>
          <w:lang w:val="en-GB"/>
        </w:rPr>
        <w:t xml:space="preserve">The aggregate PSNR for a test sequence is calculated as the average of the PSNR values for the individual frames: </w:t>
      </w:r>
    </w:p>
    <w:p w14:paraId="4EFF0E10" w14:textId="32C16734" w:rsidR="00135F89" w:rsidRPr="00F06884" w:rsidRDefault="00135F89" w:rsidP="00135F89">
      <w:pPr>
        <w:rPr>
          <w:lang w:val="en-GB"/>
        </w:rPr>
      </w:pPr>
      <m:oMathPara>
        <m:oMath>
          <m:r>
            <w:rPr>
              <w:rFonts w:ascii="Cambria Math" w:hAnsi="Cambria Math"/>
              <w:lang w:val="en-GB"/>
            </w:rPr>
            <m:t>PSN</m:t>
          </m:r>
          <m:sSub>
            <m:sSubPr>
              <m:ctrlPr>
                <w:rPr>
                  <w:rFonts w:ascii="Cambria Math" w:hAnsi="Cambria Math"/>
                  <w:i/>
                  <w:lang w:val="en-GB"/>
                </w:rPr>
              </m:ctrlPr>
            </m:sSubPr>
            <m:e>
              <m:r>
                <w:rPr>
                  <w:rFonts w:ascii="Cambria Math" w:hAnsi="Cambria Math"/>
                  <w:lang w:val="en-GB"/>
                </w:rPr>
                <m:t>R_Y</m:t>
              </m:r>
            </m:e>
            <m:sub>
              <m:r>
                <w:rPr>
                  <w:rFonts w:ascii="Cambria Math" w:hAnsi="Cambria Math"/>
                  <w:lang w:val="en-GB"/>
                </w:rPr>
                <m:t>sequence</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NumFrames</m:t>
              </m:r>
            </m:den>
          </m:f>
          <m:nary>
            <m:naryPr>
              <m:chr m:val="∑"/>
              <m:limLoc m:val="undOvr"/>
              <m:ctrlPr>
                <w:rPr>
                  <w:rFonts w:ascii="Cambria Math" w:hAnsi="Cambria Math"/>
                  <w:i/>
                  <w:lang w:val="en-GB"/>
                </w:rPr>
              </m:ctrlPr>
            </m:naryPr>
            <m:sub>
              <m:r>
                <w:rPr>
                  <w:rFonts w:ascii="Cambria Math" w:hAnsi="Cambria Math"/>
                  <w:lang w:val="en-GB"/>
                </w:rPr>
                <m:t>k=0</m:t>
              </m:r>
            </m:sub>
            <m:sup>
              <m:r>
                <w:rPr>
                  <w:rFonts w:ascii="Cambria Math" w:hAnsi="Cambria Math"/>
                  <w:lang w:val="en-GB"/>
                </w:rPr>
                <m:t>NumFrames-1</m:t>
              </m:r>
            </m:sup>
            <m:e>
              <m:r>
                <w:rPr>
                  <w:rFonts w:ascii="Cambria Math" w:hAnsi="Cambria Math"/>
                  <w:lang w:val="en-GB"/>
                </w:rPr>
                <m:t>PSN</m:t>
              </m:r>
              <m:sSub>
                <m:sSubPr>
                  <m:ctrlPr>
                    <w:rPr>
                      <w:rFonts w:ascii="Cambria Math" w:hAnsi="Cambria Math"/>
                      <w:i/>
                      <w:lang w:val="en-GB"/>
                    </w:rPr>
                  </m:ctrlPr>
                </m:sSubPr>
                <m:e>
                  <m:r>
                    <w:rPr>
                      <w:rFonts w:ascii="Cambria Math" w:hAnsi="Cambria Math"/>
                      <w:lang w:val="en-GB"/>
                    </w:rPr>
                    <m:t>R_Y</m:t>
                  </m:r>
                </m:e>
                <m:sub>
                  <m:r>
                    <w:rPr>
                      <w:rFonts w:ascii="Cambria Math" w:hAnsi="Cambria Math"/>
                      <w:lang w:val="en-GB"/>
                    </w:rPr>
                    <m:t>k</m:t>
                  </m:r>
                </m:sub>
              </m:sSub>
            </m:e>
          </m:nary>
          <m:r>
            <w:rPr>
              <w:rFonts w:ascii="Cambria Math" w:hAnsi="Cambria Math"/>
              <w:lang w:val="en-GB"/>
            </w:rPr>
            <m:t xml:space="preserve">,        </m:t>
          </m:r>
          <m:r>
            <m:rPr>
              <m:nor/>
            </m:rPr>
            <w:rPr>
              <w:rFonts w:ascii="Cambria Math" w:hAnsi="Cambria Math"/>
              <w:lang w:val="en-GB"/>
            </w:rPr>
            <m:t>(3)</m:t>
          </m:r>
        </m:oMath>
      </m:oMathPara>
    </w:p>
    <w:p w14:paraId="29CB5880" w14:textId="215FAF00" w:rsidR="00135F89" w:rsidRPr="00F06884" w:rsidRDefault="00135F89" w:rsidP="00135F89">
      <w:pPr>
        <w:rPr>
          <w:lang w:val="en-GB"/>
        </w:rPr>
      </w:pPr>
      <w:r w:rsidRPr="00F06884">
        <w:rPr>
          <w:lang w:val="en-GB"/>
        </w:rPr>
        <w:t xml:space="preserve">where </w:t>
      </w:r>
      <m:oMath>
        <m:r>
          <w:rPr>
            <w:rFonts w:ascii="Cambria Math" w:hAnsi="Cambria Math"/>
            <w:lang w:val="en-GB"/>
          </w:rPr>
          <m:t>PSN</m:t>
        </m:r>
        <m:sSub>
          <m:sSubPr>
            <m:ctrlPr>
              <w:rPr>
                <w:rFonts w:ascii="Cambria Math" w:hAnsi="Cambria Math"/>
                <w:i/>
                <w:lang w:val="en-GB"/>
              </w:rPr>
            </m:ctrlPr>
          </m:sSubPr>
          <m:e>
            <m:r>
              <w:rPr>
                <w:rFonts w:ascii="Cambria Math" w:hAnsi="Cambria Math"/>
                <w:lang w:val="en-GB"/>
              </w:rPr>
              <m:t>R_Y</m:t>
            </m:r>
          </m:e>
          <m:sub>
            <m:r>
              <w:rPr>
                <w:rFonts w:ascii="Cambria Math" w:hAnsi="Cambria Math"/>
                <w:lang w:val="en-GB"/>
              </w:rPr>
              <m:t>k</m:t>
            </m:r>
          </m:sub>
        </m:sSub>
      </m:oMath>
      <w:r w:rsidRPr="00F06884">
        <w:rPr>
          <w:lang w:val="en-GB"/>
        </w:rPr>
        <w:t xml:space="preserve"> is the </w:t>
      </w:r>
      <m:oMath>
        <m:r>
          <w:rPr>
            <w:rFonts w:ascii="Cambria Math" w:hAnsi="Cambria Math"/>
            <w:lang w:val="en-GB"/>
          </w:rPr>
          <m:t>PSNR_Y</m:t>
        </m:r>
      </m:oMath>
      <w:r w:rsidRPr="00F06884">
        <w:rPr>
          <w:lang w:val="en-GB"/>
        </w:rPr>
        <w:t xml:space="preserve"> value for frame </w:t>
      </w:r>
      <m:oMath>
        <m:r>
          <w:rPr>
            <w:rFonts w:ascii="Cambria Math" w:hAnsi="Cambria Math"/>
            <w:lang w:val="en-GB"/>
          </w:rPr>
          <m:t>k</m:t>
        </m:r>
      </m:oMath>
      <w:r w:rsidRPr="00F06884">
        <w:rPr>
          <w:lang w:val="en-GB"/>
        </w:rPr>
        <w:t xml:space="preserve"> calculated according to the </w:t>
      </w:r>
      <w:r w:rsidR="00CE0A2D" w:rsidRPr="00F06884">
        <w:rPr>
          <w:lang w:val="en-GB"/>
        </w:rPr>
        <w:t>subclause 7.2</w:t>
      </w:r>
      <w:r w:rsidRPr="00F06884">
        <w:rPr>
          <w:lang w:val="en-GB"/>
        </w:rPr>
        <w:t xml:space="preserve"> and </w:t>
      </w:r>
      <w:proofErr w:type="spellStart"/>
      <w:r w:rsidR="00C7124E" w:rsidRPr="00F06884">
        <w:rPr>
          <w:lang w:val="en-GB"/>
        </w:rPr>
        <w:t>NumFrames</w:t>
      </w:r>
      <w:proofErr w:type="spellEnd"/>
      <w:r w:rsidR="00C7124E" w:rsidRPr="00F06884">
        <w:rPr>
          <w:lang w:val="en-GB"/>
        </w:rPr>
        <w:t xml:space="preserve"> </w:t>
      </w:r>
      <w:r w:rsidRPr="00F06884">
        <w:rPr>
          <w:lang w:val="en-GB"/>
        </w:rPr>
        <w:t xml:space="preserve">is the number of frames in the sequence. An alternative to averaging PSNR would be to average the MSE value and then use Equation 2 to calculate the aggregate PSNR for the sequence. That would avoid the issue with dividing by a zero </w:t>
      </w:r>
      <w:r w:rsidRPr="00F06884">
        <w:rPr>
          <w:i/>
          <w:iCs/>
          <w:lang w:val="en-GB"/>
        </w:rPr>
        <w:t>MSE_Y</w:t>
      </w:r>
      <w:r w:rsidRPr="00F06884">
        <w:rPr>
          <w:lang w:val="en-GB"/>
        </w:rPr>
        <w:t xml:space="preserve"> value in Equation 2 </w:t>
      </w:r>
      <w:r w:rsidR="00E122C8" w:rsidRPr="00F06884">
        <w:rPr>
          <w:lang w:val="en-GB"/>
        </w:rPr>
        <w:t xml:space="preserve">when </w:t>
      </w:r>
      <w:r w:rsidRPr="00F06884">
        <w:rPr>
          <w:lang w:val="en-GB"/>
        </w:rPr>
        <w:t>a single decoded frame matches the original perfectly. More generally, it would avoid the case where a single frame with very high fidelity has a large influence on the average. However, that would also mean that a single frame with very poor fidelity could influence the final number considerably, although it may arguably be difficult to notice, especially at high frame rates. It has been the typical practice to average the PSNR scores instead. The bit rate for the sequence is calculated in kilobits per second and is calculated from the number of frames per second (</w:t>
      </w:r>
      <m:oMath>
        <m:r>
          <w:rPr>
            <w:rFonts w:ascii="Cambria Math" w:hAnsi="Cambria Math"/>
            <w:lang w:val="en-GB"/>
          </w:rPr>
          <m:t>fps</m:t>
        </m:r>
      </m:oMath>
      <w:r w:rsidRPr="00F06884">
        <w:rPr>
          <w:lang w:val="en-GB"/>
        </w:rPr>
        <w:t>), the number of frames in the sequence, and the size of the file in bytes according to:</w:t>
      </w:r>
    </w:p>
    <w:p w14:paraId="790EF46C" w14:textId="64799DC7" w:rsidR="00135F89" w:rsidRPr="00F06884" w:rsidRDefault="00AD5906" w:rsidP="00135F89">
      <w:pPr>
        <w:rPr>
          <w:lang w:val="en-GB"/>
        </w:rPr>
      </w:pPr>
      <m:oMathPara>
        <m:oMath>
          <m:r>
            <w:rPr>
              <w:rFonts w:ascii="Cambria Math" w:hAnsi="Cambria Math"/>
              <w:lang w:val="en-GB"/>
            </w:rPr>
            <w:lastRenderedPageBreak/>
            <m:t>BitRate=</m:t>
          </m:r>
          <m:f>
            <m:fPr>
              <m:ctrlPr>
                <w:rPr>
                  <w:rFonts w:ascii="Cambria Math" w:hAnsi="Cambria Math"/>
                  <w:i/>
                  <w:lang w:val="en-GB"/>
                </w:rPr>
              </m:ctrlPr>
            </m:fPr>
            <m:num>
              <m:r>
                <w:rPr>
                  <w:rFonts w:ascii="Cambria Math" w:hAnsi="Cambria Math"/>
                  <w:lang w:val="en-GB"/>
                </w:rPr>
                <m:t>8*FilesizeInBytes*fps</m:t>
              </m:r>
            </m:num>
            <m:den>
              <m:r>
                <w:rPr>
                  <w:rFonts w:ascii="Cambria Math" w:hAnsi="Cambria Math"/>
                  <w:lang w:val="en-GB"/>
                </w:rPr>
                <m:t>NumFrames*1000</m:t>
              </m:r>
            </m:den>
          </m:f>
          <m:r>
            <w:rPr>
              <w:rFonts w:ascii="Cambria Math" w:hAnsi="Cambria Math"/>
              <w:lang w:val="en-GB"/>
            </w:rPr>
            <m:t xml:space="preserve">.                </m:t>
          </m:r>
          <m:r>
            <m:rPr>
              <m:nor/>
            </m:rPr>
            <w:rPr>
              <w:rFonts w:ascii="Cambria Math" w:hAnsi="Cambria Math"/>
              <w:lang w:val="en-GB"/>
            </w:rPr>
            <m:t>(4)</m:t>
          </m:r>
        </m:oMath>
      </m:oMathPara>
    </w:p>
    <w:p w14:paraId="4DC3CFD7" w14:textId="69631FEC" w:rsidR="00135F89" w:rsidRPr="00F06884" w:rsidRDefault="00135F89" w:rsidP="00135F89">
      <w:pPr>
        <w:rPr>
          <w:lang w:val="en-GB"/>
        </w:rPr>
      </w:pPr>
      <w:r w:rsidRPr="00F06884">
        <w:rPr>
          <w:lang w:val="en-GB"/>
        </w:rPr>
        <w:t>It should be noted that there is sometimes extra information in the bitstream, such as checksums, that is not necessary for decoding. This information is only used for bitstream validation and is not counted in</w:t>
      </w:r>
      <w:r w:rsidR="00656903" w:rsidRPr="00F06884">
        <w:rPr>
          <w:lang w:val="en-GB"/>
        </w:rPr>
        <w:t xml:space="preserve"> </w:t>
      </w:r>
      <w:proofErr w:type="spellStart"/>
      <w:r w:rsidR="00656903" w:rsidRPr="00F06884">
        <w:rPr>
          <w:lang w:val="en-GB"/>
        </w:rPr>
        <w:t>FilesizeInBytes</w:t>
      </w:r>
      <w:proofErr w:type="spellEnd"/>
      <w:r w:rsidR="00656903" w:rsidRPr="00F06884">
        <w:rPr>
          <w:lang w:val="en-GB"/>
        </w:rPr>
        <w:t>.</w:t>
      </w:r>
      <w:r w:rsidRPr="00F06884">
        <w:rPr>
          <w:lang w:val="en-GB"/>
        </w:rPr>
        <w:t xml:space="preserve"> Each test sequence is compressed using four different QP values (values 22, 27, 32 and 37 according to the JVET common test conditions). PSNR numbers and bit rate numbers are calculated for each QP. </w:t>
      </w:r>
    </w:p>
    <w:p w14:paraId="6C0947A4" w14:textId="77777777" w:rsidR="00135F89" w:rsidRPr="00F06884" w:rsidRDefault="00135F89" w:rsidP="00135F89">
      <w:pPr>
        <w:rPr>
          <w:lang w:val="en-GB" w:eastAsia="ja-JP"/>
        </w:rPr>
      </w:pPr>
      <w:r w:rsidRPr="00F06884">
        <w:rPr>
          <w:lang w:val="en-GB"/>
        </w:rPr>
        <w:t xml:space="preserve">For chroma, </w:t>
      </w:r>
      <m:oMath>
        <m:r>
          <w:rPr>
            <w:rFonts w:ascii="Cambria Math" w:hAnsi="Cambria Math"/>
            <w:lang w:val="en-GB"/>
          </w:rPr>
          <m:t>PSNR</m:t>
        </m:r>
        <m:sSub>
          <m:sSubPr>
            <m:ctrlPr>
              <w:rPr>
                <w:rFonts w:ascii="Cambria Math" w:hAnsi="Cambria Math"/>
                <w:i/>
                <w:lang w:val="en-GB"/>
              </w:rPr>
            </m:ctrlPr>
          </m:sSubPr>
          <m:e>
            <m:r>
              <w:rPr>
                <w:rFonts w:ascii="Cambria Math" w:hAnsi="Cambria Math"/>
                <w:lang w:val="en-GB"/>
              </w:rPr>
              <m:t>_U</m:t>
            </m:r>
          </m:e>
          <m:sub>
            <m:r>
              <w:rPr>
                <w:rFonts w:ascii="Cambria Math" w:hAnsi="Cambria Math"/>
                <w:lang w:val="en-GB"/>
              </w:rPr>
              <m:t>sequence</m:t>
            </m:r>
          </m:sub>
        </m:sSub>
      </m:oMath>
      <w:r w:rsidRPr="00F06884">
        <w:rPr>
          <w:lang w:val="en-GB"/>
        </w:rPr>
        <w:t xml:space="preserve"> and </w:t>
      </w:r>
      <m:oMath>
        <m:r>
          <w:rPr>
            <w:rFonts w:ascii="Cambria Math" w:hAnsi="Cambria Math"/>
            <w:lang w:val="en-GB"/>
          </w:rPr>
          <m:t>PSNR</m:t>
        </m:r>
        <m:sSub>
          <m:sSubPr>
            <m:ctrlPr>
              <w:rPr>
                <w:rFonts w:ascii="Cambria Math" w:hAnsi="Cambria Math"/>
                <w:i/>
                <w:lang w:val="en-GB"/>
              </w:rPr>
            </m:ctrlPr>
          </m:sSubPr>
          <m:e>
            <m:r>
              <w:rPr>
                <w:rFonts w:ascii="Cambria Math" w:hAnsi="Cambria Math"/>
                <w:lang w:val="en-GB"/>
              </w:rPr>
              <m:t>_V</m:t>
            </m:r>
          </m:e>
          <m:sub>
            <m:r>
              <w:rPr>
                <w:rFonts w:ascii="Cambria Math" w:hAnsi="Cambria Math"/>
                <w:lang w:val="en-GB"/>
              </w:rPr>
              <m:t>sequence</m:t>
            </m:r>
          </m:sub>
        </m:sSub>
      </m:oMath>
      <w:r w:rsidRPr="00F06884">
        <w:rPr>
          <w:lang w:val="en-GB"/>
        </w:rPr>
        <w:t xml:space="preserve"> are calculated in a similar fashion.</w:t>
      </w:r>
    </w:p>
    <w:p w14:paraId="3B0E44EE" w14:textId="77777777" w:rsidR="00135F89" w:rsidRPr="00F06884" w:rsidRDefault="00135F89" w:rsidP="00135F89">
      <w:pPr>
        <w:pStyle w:val="Heading2"/>
      </w:pPr>
      <w:bookmarkStart w:id="39" w:name="_Toc46752177"/>
      <w:r w:rsidRPr="00F06884">
        <w:t>Calculation of sequence BD-rate number</w:t>
      </w:r>
      <w:bookmarkEnd w:id="39"/>
    </w:p>
    <w:p w14:paraId="2D773D19" w14:textId="1E8CC8F6" w:rsidR="00135F89" w:rsidRPr="00F06884" w:rsidRDefault="00CE0A2D" w:rsidP="00135F89">
      <w:pPr>
        <w:rPr>
          <w:lang w:val="en-GB"/>
        </w:rPr>
      </w:pPr>
      <w:r w:rsidRPr="00F06884">
        <w:rPr>
          <w:lang w:val="en-GB"/>
        </w:rPr>
        <w:t>Subclauses 7.2 and 7.3</w:t>
      </w:r>
      <w:r w:rsidR="00135F89" w:rsidRPr="00F06884">
        <w:rPr>
          <w:lang w:val="en-GB"/>
        </w:rPr>
        <w:t xml:space="preserve"> have </w:t>
      </w:r>
      <w:r w:rsidRPr="00F06884">
        <w:rPr>
          <w:lang w:val="en-GB"/>
        </w:rPr>
        <w:t>determined the</w:t>
      </w:r>
      <w:r w:rsidR="00135F89" w:rsidRPr="00F06884">
        <w:rPr>
          <w:lang w:val="en-GB"/>
        </w:rPr>
        <w:t xml:space="preserve"> PSNR values and bit rate values for each QP value, both for the anchor and for the tested method. The anchor here refers to the baseline that a tested method is compared against, such as the HEVC reference software HM-16.20, whereas the test is the tested method under investigation, for instance the VVC reference software VTM-7.0. </w:t>
      </w:r>
      <w:r w:rsidR="002E3655" w:rsidRPr="00F06884">
        <w:rPr>
          <w:lang w:val="en-GB"/>
        </w:rPr>
        <w:t xml:space="preserve">Table 1 </w:t>
      </w:r>
      <w:r w:rsidR="00135F89" w:rsidRPr="00F06884">
        <w:rPr>
          <w:lang w:val="en-GB"/>
        </w:rPr>
        <w:t>presents one example of how the values may differ between the anchor and test scenarios:</w:t>
      </w:r>
    </w:p>
    <w:p w14:paraId="210E1356" w14:textId="6DC3F7E3" w:rsidR="00135F89" w:rsidRPr="00F06884" w:rsidRDefault="00135F89" w:rsidP="00135F89">
      <w:pPr>
        <w:pStyle w:val="TableNotitle"/>
        <w:rPr>
          <w:lang w:bidi="ar-DZ"/>
        </w:rPr>
      </w:pPr>
      <w:bookmarkStart w:id="40" w:name="_Toc46752182"/>
      <w:r w:rsidRPr="00F06884">
        <w:rPr>
          <w:lang w:bidi="ar-DZ"/>
        </w:rPr>
        <w:t>Table 1</w:t>
      </w:r>
      <w:r w:rsidR="008C7B64" w:rsidRPr="00F06884">
        <w:rPr>
          <w:lang w:bidi="ar-DZ"/>
        </w:rPr>
        <w:t xml:space="preserve"> –</w:t>
      </w:r>
      <w:r w:rsidRPr="00F06884">
        <w:rPr>
          <w:lang w:bidi="ar-DZ"/>
        </w:rPr>
        <w:t xml:space="preserve"> Example bit rates and PSNR values for anchor and test</w:t>
      </w:r>
      <w:bookmarkEnd w:id="4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8"/>
        <w:gridCol w:w="2539"/>
        <w:gridCol w:w="1775"/>
        <w:gridCol w:w="2208"/>
        <w:gridCol w:w="1445"/>
      </w:tblGrid>
      <w:tr w:rsidR="00135F89" w:rsidRPr="00F06884" w14:paraId="1A8777C9" w14:textId="77777777" w:rsidTr="00BA05EB">
        <w:trPr>
          <w:tblHeader/>
          <w:jc w:val="center"/>
        </w:trPr>
        <w:tc>
          <w:tcPr>
            <w:tcW w:w="0" w:type="auto"/>
            <w:tcBorders>
              <w:top w:val="single" w:sz="12" w:space="0" w:color="auto"/>
              <w:bottom w:val="single" w:sz="12" w:space="0" w:color="auto"/>
            </w:tcBorders>
            <w:shd w:val="clear" w:color="auto" w:fill="auto"/>
          </w:tcPr>
          <w:p w14:paraId="34088A15" w14:textId="77777777" w:rsidR="00135F89" w:rsidRPr="00F06884" w:rsidRDefault="00135F89" w:rsidP="00BA05EB">
            <w:pPr>
              <w:pStyle w:val="Tablehead"/>
              <w:rPr>
                <w:lang w:bidi="ar-DZ"/>
              </w:rPr>
            </w:pPr>
            <w:r w:rsidRPr="00F06884">
              <w:rPr>
                <w:lang w:bidi="ar-DZ"/>
              </w:rPr>
              <w:t>QP value</w:t>
            </w:r>
          </w:p>
        </w:tc>
        <w:tc>
          <w:tcPr>
            <w:tcW w:w="0" w:type="auto"/>
            <w:tcBorders>
              <w:top w:val="single" w:sz="12" w:space="0" w:color="auto"/>
              <w:bottom w:val="single" w:sz="12" w:space="0" w:color="auto"/>
            </w:tcBorders>
            <w:shd w:val="clear" w:color="auto" w:fill="auto"/>
          </w:tcPr>
          <w:p w14:paraId="46A6182D" w14:textId="77777777" w:rsidR="00135F89" w:rsidRPr="00F06884" w:rsidRDefault="00135F89" w:rsidP="00BA05EB">
            <w:pPr>
              <w:pStyle w:val="Tablehead"/>
              <w:rPr>
                <w:lang w:bidi="ar-DZ"/>
              </w:rPr>
            </w:pPr>
            <w:r w:rsidRPr="00F06884">
              <w:rPr>
                <w:lang w:bidi="ar-DZ"/>
              </w:rPr>
              <w:t>Bit rate of anchor (kbps)</w:t>
            </w:r>
          </w:p>
        </w:tc>
        <w:tc>
          <w:tcPr>
            <w:tcW w:w="0" w:type="auto"/>
            <w:tcBorders>
              <w:top w:val="single" w:sz="12" w:space="0" w:color="auto"/>
              <w:bottom w:val="single" w:sz="12" w:space="0" w:color="auto"/>
            </w:tcBorders>
          </w:tcPr>
          <w:p w14:paraId="6CFA5A4D" w14:textId="77777777" w:rsidR="00135F89" w:rsidRPr="00F06884" w:rsidRDefault="00135F89" w:rsidP="00BA05EB">
            <w:pPr>
              <w:pStyle w:val="Tablehead"/>
              <w:rPr>
                <w:lang w:bidi="ar-DZ"/>
              </w:rPr>
            </w:pPr>
            <w:r w:rsidRPr="00F06884">
              <w:rPr>
                <w:bCs/>
              </w:rPr>
              <w:t>PSNR_Y anchor</w:t>
            </w:r>
          </w:p>
        </w:tc>
        <w:tc>
          <w:tcPr>
            <w:tcW w:w="0" w:type="auto"/>
            <w:tcBorders>
              <w:top w:val="single" w:sz="12" w:space="0" w:color="auto"/>
              <w:bottom w:val="single" w:sz="12" w:space="0" w:color="auto"/>
            </w:tcBorders>
          </w:tcPr>
          <w:p w14:paraId="5B6721A6" w14:textId="77777777" w:rsidR="00135F89" w:rsidRPr="00F06884" w:rsidRDefault="00135F89" w:rsidP="00BA05EB">
            <w:pPr>
              <w:pStyle w:val="Tablehead"/>
              <w:rPr>
                <w:lang w:bidi="ar-DZ"/>
              </w:rPr>
            </w:pPr>
            <w:r w:rsidRPr="00F06884">
              <w:rPr>
                <w:bCs/>
              </w:rPr>
              <w:t>Bit rate of test (kbps)</w:t>
            </w:r>
          </w:p>
        </w:tc>
        <w:tc>
          <w:tcPr>
            <w:tcW w:w="0" w:type="auto"/>
            <w:tcBorders>
              <w:top w:val="single" w:sz="12" w:space="0" w:color="auto"/>
              <w:bottom w:val="single" w:sz="12" w:space="0" w:color="auto"/>
            </w:tcBorders>
          </w:tcPr>
          <w:p w14:paraId="1E82C9E1" w14:textId="77777777" w:rsidR="00135F89" w:rsidRPr="00F06884" w:rsidRDefault="00135F89" w:rsidP="00BA05EB">
            <w:pPr>
              <w:pStyle w:val="Tablehead"/>
              <w:rPr>
                <w:lang w:bidi="ar-DZ"/>
              </w:rPr>
            </w:pPr>
            <w:r w:rsidRPr="00F06884">
              <w:rPr>
                <w:bCs/>
              </w:rPr>
              <w:t>PSNR_Y test</w:t>
            </w:r>
          </w:p>
        </w:tc>
      </w:tr>
      <w:tr w:rsidR="00135F89" w:rsidRPr="00F06884" w14:paraId="6C42E71B" w14:textId="77777777" w:rsidTr="00BA05EB">
        <w:trPr>
          <w:jc w:val="center"/>
        </w:trPr>
        <w:tc>
          <w:tcPr>
            <w:tcW w:w="0" w:type="auto"/>
            <w:tcBorders>
              <w:top w:val="single" w:sz="12" w:space="0" w:color="auto"/>
            </w:tcBorders>
            <w:shd w:val="clear" w:color="auto" w:fill="auto"/>
          </w:tcPr>
          <w:p w14:paraId="5A0B1297" w14:textId="77777777" w:rsidR="00135F89" w:rsidRPr="00F06884" w:rsidRDefault="00135F89" w:rsidP="00BA05EB">
            <w:pPr>
              <w:pStyle w:val="Tabletext"/>
              <w:rPr>
                <w:lang w:bidi="ar-DZ"/>
              </w:rPr>
            </w:pPr>
            <w:r w:rsidRPr="00F06884">
              <w:rPr>
                <w:lang w:bidi="ar-DZ"/>
              </w:rPr>
              <w:t>22</w:t>
            </w:r>
          </w:p>
        </w:tc>
        <w:tc>
          <w:tcPr>
            <w:tcW w:w="0" w:type="auto"/>
            <w:tcBorders>
              <w:top w:val="single" w:sz="12" w:space="0" w:color="auto"/>
            </w:tcBorders>
            <w:shd w:val="clear" w:color="auto" w:fill="auto"/>
          </w:tcPr>
          <w:p w14:paraId="75D50A03" w14:textId="77777777" w:rsidR="00135F89" w:rsidRPr="00F06884" w:rsidRDefault="00135F89" w:rsidP="00BA05EB">
            <w:pPr>
              <w:pStyle w:val="Tabletext"/>
              <w:rPr>
                <w:lang w:bidi="ar-DZ"/>
              </w:rPr>
            </w:pPr>
            <w:r w:rsidRPr="00F06884">
              <w:t>29419.76</w:t>
            </w:r>
          </w:p>
        </w:tc>
        <w:tc>
          <w:tcPr>
            <w:tcW w:w="0" w:type="auto"/>
            <w:tcBorders>
              <w:top w:val="single" w:sz="12" w:space="0" w:color="auto"/>
            </w:tcBorders>
          </w:tcPr>
          <w:p w14:paraId="08EE0928" w14:textId="77777777" w:rsidR="00135F89" w:rsidRPr="00F06884" w:rsidRDefault="00135F89" w:rsidP="00BA05EB">
            <w:pPr>
              <w:pStyle w:val="Tabletext"/>
              <w:rPr>
                <w:lang w:bidi="ar-DZ"/>
              </w:rPr>
            </w:pPr>
            <w:r w:rsidRPr="00F06884">
              <w:t>40.19</w:t>
            </w:r>
          </w:p>
        </w:tc>
        <w:tc>
          <w:tcPr>
            <w:tcW w:w="0" w:type="auto"/>
            <w:tcBorders>
              <w:top w:val="single" w:sz="12" w:space="0" w:color="auto"/>
            </w:tcBorders>
          </w:tcPr>
          <w:p w14:paraId="2EE204F2" w14:textId="77777777" w:rsidR="00135F89" w:rsidRPr="00F06884" w:rsidRDefault="00135F89" w:rsidP="00BA05EB">
            <w:pPr>
              <w:pStyle w:val="Tabletext"/>
              <w:rPr>
                <w:lang w:bidi="ar-DZ"/>
              </w:rPr>
            </w:pPr>
            <w:r w:rsidRPr="00F06884">
              <w:t>28020.45</w:t>
            </w:r>
          </w:p>
        </w:tc>
        <w:tc>
          <w:tcPr>
            <w:tcW w:w="0" w:type="auto"/>
            <w:tcBorders>
              <w:top w:val="single" w:sz="12" w:space="0" w:color="auto"/>
            </w:tcBorders>
          </w:tcPr>
          <w:p w14:paraId="2FE48158" w14:textId="77777777" w:rsidR="00135F89" w:rsidRPr="00F06884" w:rsidRDefault="00135F89" w:rsidP="00BA05EB">
            <w:pPr>
              <w:pStyle w:val="Tabletext"/>
              <w:rPr>
                <w:lang w:bidi="ar-DZ"/>
              </w:rPr>
            </w:pPr>
            <w:r w:rsidRPr="00F06884">
              <w:t>40.38</w:t>
            </w:r>
          </w:p>
        </w:tc>
      </w:tr>
      <w:tr w:rsidR="00135F89" w:rsidRPr="00F06884" w14:paraId="710371D0" w14:textId="77777777" w:rsidTr="00BA05EB">
        <w:trPr>
          <w:jc w:val="center"/>
        </w:trPr>
        <w:tc>
          <w:tcPr>
            <w:tcW w:w="0" w:type="auto"/>
            <w:shd w:val="clear" w:color="auto" w:fill="auto"/>
          </w:tcPr>
          <w:p w14:paraId="5DA8E45A" w14:textId="77777777" w:rsidR="00135F89" w:rsidRPr="00F06884" w:rsidRDefault="00135F89" w:rsidP="00BA05EB">
            <w:pPr>
              <w:pStyle w:val="Tabletext"/>
              <w:rPr>
                <w:lang w:bidi="ar-DZ"/>
              </w:rPr>
            </w:pPr>
            <w:r w:rsidRPr="00F06884">
              <w:rPr>
                <w:lang w:bidi="ar-DZ"/>
              </w:rPr>
              <w:t>27</w:t>
            </w:r>
          </w:p>
        </w:tc>
        <w:tc>
          <w:tcPr>
            <w:tcW w:w="0" w:type="auto"/>
            <w:shd w:val="clear" w:color="auto" w:fill="auto"/>
          </w:tcPr>
          <w:p w14:paraId="334D401D" w14:textId="77777777" w:rsidR="00135F89" w:rsidRPr="00F06884" w:rsidRDefault="00135F89" w:rsidP="00BA05EB">
            <w:pPr>
              <w:pStyle w:val="Tabletext"/>
              <w:rPr>
                <w:lang w:bidi="ar-DZ"/>
              </w:rPr>
            </w:pPr>
            <w:r w:rsidRPr="00F06884">
              <w:t>8876.16</w:t>
            </w:r>
          </w:p>
        </w:tc>
        <w:tc>
          <w:tcPr>
            <w:tcW w:w="0" w:type="auto"/>
          </w:tcPr>
          <w:p w14:paraId="35A17632" w14:textId="77777777" w:rsidR="00135F89" w:rsidRPr="00F06884" w:rsidRDefault="00135F89" w:rsidP="00BA05EB">
            <w:pPr>
              <w:pStyle w:val="Tabletext"/>
              <w:rPr>
                <w:lang w:bidi="ar-DZ"/>
              </w:rPr>
            </w:pPr>
            <w:r w:rsidRPr="00F06884">
              <w:t>39.44</w:t>
            </w:r>
          </w:p>
        </w:tc>
        <w:tc>
          <w:tcPr>
            <w:tcW w:w="0" w:type="auto"/>
          </w:tcPr>
          <w:p w14:paraId="0E4037F4" w14:textId="77777777" w:rsidR="00135F89" w:rsidRPr="00F06884" w:rsidRDefault="00135F89" w:rsidP="00BA05EB">
            <w:pPr>
              <w:pStyle w:val="Tabletext"/>
              <w:rPr>
                <w:lang w:bidi="ar-DZ"/>
              </w:rPr>
            </w:pPr>
            <w:r w:rsidRPr="00F06884">
              <w:t>7622.83</w:t>
            </w:r>
          </w:p>
        </w:tc>
        <w:tc>
          <w:tcPr>
            <w:tcW w:w="0" w:type="auto"/>
          </w:tcPr>
          <w:p w14:paraId="50AF52AC" w14:textId="77777777" w:rsidR="00135F89" w:rsidRPr="00F06884" w:rsidRDefault="00135F89" w:rsidP="00BA05EB">
            <w:pPr>
              <w:pStyle w:val="Tabletext"/>
              <w:rPr>
                <w:lang w:bidi="ar-DZ"/>
              </w:rPr>
            </w:pPr>
            <w:r w:rsidRPr="00F06884">
              <w:t>39.70</w:t>
            </w:r>
          </w:p>
        </w:tc>
      </w:tr>
      <w:tr w:rsidR="00135F89" w:rsidRPr="00F06884" w14:paraId="7E079888" w14:textId="77777777" w:rsidTr="00BA05EB">
        <w:trPr>
          <w:jc w:val="center"/>
        </w:trPr>
        <w:tc>
          <w:tcPr>
            <w:tcW w:w="0" w:type="auto"/>
            <w:shd w:val="clear" w:color="auto" w:fill="auto"/>
          </w:tcPr>
          <w:p w14:paraId="2C3236E5" w14:textId="77777777" w:rsidR="00135F89" w:rsidRPr="00F06884" w:rsidRDefault="00135F89" w:rsidP="00BA05EB">
            <w:pPr>
              <w:pStyle w:val="Tabletext"/>
              <w:rPr>
                <w:lang w:bidi="ar-DZ"/>
              </w:rPr>
            </w:pPr>
            <w:r w:rsidRPr="00F06884">
              <w:rPr>
                <w:lang w:bidi="ar-DZ"/>
              </w:rPr>
              <w:t>32</w:t>
            </w:r>
          </w:p>
        </w:tc>
        <w:tc>
          <w:tcPr>
            <w:tcW w:w="0" w:type="auto"/>
            <w:shd w:val="clear" w:color="auto" w:fill="auto"/>
          </w:tcPr>
          <w:p w14:paraId="1D70AC43" w14:textId="77777777" w:rsidR="00135F89" w:rsidRPr="00F06884" w:rsidRDefault="00135F89" w:rsidP="00BA05EB">
            <w:pPr>
              <w:pStyle w:val="Tabletext"/>
              <w:rPr>
                <w:lang w:bidi="ar-DZ"/>
              </w:rPr>
            </w:pPr>
            <w:r w:rsidRPr="00F06884">
              <w:t>4564.60</w:t>
            </w:r>
          </w:p>
        </w:tc>
        <w:tc>
          <w:tcPr>
            <w:tcW w:w="0" w:type="auto"/>
          </w:tcPr>
          <w:p w14:paraId="068D3B3E" w14:textId="77777777" w:rsidR="00135F89" w:rsidRPr="00F06884" w:rsidRDefault="00135F89" w:rsidP="00BA05EB">
            <w:pPr>
              <w:pStyle w:val="Tabletext"/>
              <w:rPr>
                <w:lang w:bidi="ar-DZ"/>
              </w:rPr>
            </w:pPr>
            <w:r w:rsidRPr="00F06884">
              <w:t>38.42</w:t>
            </w:r>
          </w:p>
        </w:tc>
        <w:tc>
          <w:tcPr>
            <w:tcW w:w="0" w:type="auto"/>
          </w:tcPr>
          <w:p w14:paraId="73267623" w14:textId="77777777" w:rsidR="00135F89" w:rsidRPr="00F06884" w:rsidRDefault="00135F89" w:rsidP="00BA05EB">
            <w:pPr>
              <w:pStyle w:val="Tabletext"/>
              <w:rPr>
                <w:lang w:bidi="ar-DZ"/>
              </w:rPr>
            </w:pPr>
            <w:r w:rsidRPr="00F06884">
              <w:t>3661.62</w:t>
            </w:r>
          </w:p>
        </w:tc>
        <w:tc>
          <w:tcPr>
            <w:tcW w:w="0" w:type="auto"/>
          </w:tcPr>
          <w:p w14:paraId="258F1AE5" w14:textId="77777777" w:rsidR="00135F89" w:rsidRPr="00F06884" w:rsidRDefault="00135F89" w:rsidP="00BA05EB">
            <w:pPr>
              <w:pStyle w:val="Tabletext"/>
              <w:rPr>
                <w:lang w:bidi="ar-DZ"/>
              </w:rPr>
            </w:pPr>
            <w:r w:rsidRPr="00F06884">
              <w:t>38.86</w:t>
            </w:r>
          </w:p>
        </w:tc>
      </w:tr>
      <w:tr w:rsidR="00135F89" w:rsidRPr="00F06884" w14:paraId="53B4837F" w14:textId="77777777" w:rsidTr="00BA05EB">
        <w:trPr>
          <w:jc w:val="center"/>
        </w:trPr>
        <w:tc>
          <w:tcPr>
            <w:tcW w:w="0" w:type="auto"/>
            <w:shd w:val="clear" w:color="auto" w:fill="auto"/>
          </w:tcPr>
          <w:p w14:paraId="04739557" w14:textId="77777777" w:rsidR="00135F89" w:rsidRPr="00F06884" w:rsidRDefault="00135F89" w:rsidP="00BA05EB">
            <w:pPr>
              <w:pStyle w:val="Tabletext"/>
              <w:rPr>
                <w:lang w:bidi="ar-DZ"/>
              </w:rPr>
            </w:pPr>
            <w:r w:rsidRPr="00F06884">
              <w:rPr>
                <w:lang w:bidi="ar-DZ"/>
              </w:rPr>
              <w:t>37</w:t>
            </w:r>
          </w:p>
        </w:tc>
        <w:tc>
          <w:tcPr>
            <w:tcW w:w="0" w:type="auto"/>
            <w:shd w:val="clear" w:color="auto" w:fill="auto"/>
          </w:tcPr>
          <w:p w14:paraId="6134EEDD" w14:textId="77777777" w:rsidR="00135F89" w:rsidRPr="00F06884" w:rsidRDefault="00135F89" w:rsidP="00BA05EB">
            <w:pPr>
              <w:pStyle w:val="Tabletext"/>
              <w:rPr>
                <w:lang w:bidi="ar-DZ"/>
              </w:rPr>
            </w:pPr>
            <w:r w:rsidRPr="00F06884">
              <w:t>2551.37</w:t>
            </w:r>
          </w:p>
        </w:tc>
        <w:tc>
          <w:tcPr>
            <w:tcW w:w="0" w:type="auto"/>
          </w:tcPr>
          <w:p w14:paraId="46BC8055" w14:textId="77777777" w:rsidR="00135F89" w:rsidRPr="00F06884" w:rsidRDefault="00135F89" w:rsidP="00BA05EB">
            <w:pPr>
              <w:pStyle w:val="Tabletext"/>
              <w:rPr>
                <w:lang w:bidi="ar-DZ"/>
              </w:rPr>
            </w:pPr>
            <w:r w:rsidRPr="00F06884">
              <w:t>36.90</w:t>
            </w:r>
          </w:p>
        </w:tc>
        <w:tc>
          <w:tcPr>
            <w:tcW w:w="0" w:type="auto"/>
          </w:tcPr>
          <w:p w14:paraId="489413DF" w14:textId="77777777" w:rsidR="00135F89" w:rsidRPr="00F06884" w:rsidRDefault="00135F89" w:rsidP="00BA05EB">
            <w:pPr>
              <w:pStyle w:val="Tabletext"/>
              <w:rPr>
                <w:lang w:bidi="ar-DZ"/>
              </w:rPr>
            </w:pPr>
            <w:r w:rsidRPr="00F06884">
              <w:t>1979.02</w:t>
            </w:r>
          </w:p>
        </w:tc>
        <w:tc>
          <w:tcPr>
            <w:tcW w:w="0" w:type="auto"/>
          </w:tcPr>
          <w:p w14:paraId="73CB276D" w14:textId="77777777" w:rsidR="00135F89" w:rsidRPr="00F06884" w:rsidRDefault="00135F89" w:rsidP="00BA05EB">
            <w:pPr>
              <w:pStyle w:val="Tabletext"/>
              <w:rPr>
                <w:lang w:bidi="ar-DZ"/>
              </w:rPr>
            </w:pPr>
            <w:r w:rsidRPr="00F06884">
              <w:t>37.54</w:t>
            </w:r>
          </w:p>
        </w:tc>
      </w:tr>
    </w:tbl>
    <w:p w14:paraId="4F258590" w14:textId="77777777" w:rsidR="00135F89" w:rsidRPr="00F06884" w:rsidRDefault="00135F89" w:rsidP="00135F89">
      <w:pPr>
        <w:rPr>
          <w:lang w:val="en-GB" w:bidi="ar-DZ"/>
        </w:rPr>
      </w:pPr>
      <w:r w:rsidRPr="00F06884">
        <w:rPr>
          <w:lang w:val="en-GB" w:bidi="ar-DZ"/>
        </w:rPr>
        <w:t>The values in this table can be plotted as two curves as shown in Figure 1 and Figure 2.</w:t>
      </w:r>
    </w:p>
    <w:p w14:paraId="6D81CAC3" w14:textId="77777777" w:rsidR="00135F89" w:rsidRPr="00F06884" w:rsidRDefault="00135F89" w:rsidP="00135F89">
      <w:pPr>
        <w:pStyle w:val="Figurelegend"/>
        <w:jc w:val="center"/>
      </w:pPr>
      <w:r w:rsidRPr="00F06884">
        <w:lastRenderedPageBreak/>
        <w:drawing>
          <wp:inline distT="0" distB="0" distL="0" distR="0" wp14:anchorId="0E6464CE" wp14:editId="7DBCAF8B">
            <wp:extent cx="5690681" cy="3961900"/>
            <wp:effectExtent l="0" t="0" r="5715" b="635"/>
            <wp:docPr id="39" name="Chart 39">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4C98CC" w14:textId="27156ED2" w:rsidR="00135F89" w:rsidRPr="00F06884" w:rsidRDefault="00135F89" w:rsidP="00135F89">
      <w:pPr>
        <w:pStyle w:val="FigureNotitle"/>
      </w:pPr>
      <w:bookmarkStart w:id="41" w:name="_Toc46752183"/>
      <w:r w:rsidRPr="00F06884">
        <w:rPr>
          <w:lang w:bidi="ar-DZ"/>
        </w:rPr>
        <w:t>Figure 1</w:t>
      </w:r>
      <w:r w:rsidR="008C7B64" w:rsidRPr="00F06884">
        <w:rPr>
          <w:lang w:bidi="ar-DZ"/>
        </w:rPr>
        <w:t xml:space="preserve"> –</w:t>
      </w:r>
      <w:r w:rsidRPr="00F06884">
        <w:rPr>
          <w:lang w:bidi="ar-DZ"/>
        </w:rPr>
        <w:t xml:space="preserve"> </w:t>
      </w:r>
      <w:r w:rsidRPr="00F06884">
        <w:t>The luma PSNR plotted as a function of bit rate of</w:t>
      </w:r>
      <w:r w:rsidR="00426D55" w:rsidRPr="00F06884">
        <w:br/>
      </w:r>
      <w:r w:rsidRPr="00F06884">
        <w:t>HM-16.20 (black) vs VTM-7.0 (red).</w:t>
      </w:r>
      <w:bookmarkEnd w:id="41"/>
    </w:p>
    <w:p w14:paraId="408E8A9F" w14:textId="4EB88B8D" w:rsidR="00135F89" w:rsidRPr="00F06884" w:rsidRDefault="00CE6712" w:rsidP="00135F89">
      <w:pPr>
        <w:pStyle w:val="Figurelegend"/>
        <w:jc w:val="center"/>
      </w:pPr>
      <w:r w:rsidRPr="00F06884">
        <w:drawing>
          <wp:inline distT="0" distB="0" distL="0" distR="0" wp14:anchorId="7446F320" wp14:editId="4AA76DC4">
            <wp:extent cx="5729591" cy="3949552"/>
            <wp:effectExtent l="0" t="0" r="5080" b="13335"/>
            <wp:docPr id="28" name="Chart 28">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68DEAA" w14:textId="22A15179" w:rsidR="00135F89" w:rsidRPr="00F06884" w:rsidRDefault="00135F89" w:rsidP="00135F89">
      <w:pPr>
        <w:pStyle w:val="FigureNotitle"/>
      </w:pPr>
      <w:bookmarkStart w:id="42" w:name="_Toc46752184"/>
      <w:r w:rsidRPr="00F06884">
        <w:rPr>
          <w:lang w:bidi="ar-DZ"/>
        </w:rPr>
        <w:t>Figure 2</w:t>
      </w:r>
      <w:r w:rsidR="008C7B64" w:rsidRPr="00F06884">
        <w:rPr>
          <w:lang w:bidi="ar-DZ"/>
        </w:rPr>
        <w:t xml:space="preserve"> –</w:t>
      </w:r>
      <w:r w:rsidRPr="00F06884">
        <w:rPr>
          <w:lang w:bidi="ar-DZ"/>
        </w:rPr>
        <w:t xml:space="preserve"> </w:t>
      </w:r>
      <w:r w:rsidRPr="00F06884">
        <w:t>The luma PSNR plotted as a function of the bit rate of</w:t>
      </w:r>
      <w:r w:rsidR="00426D55" w:rsidRPr="00F06884">
        <w:br/>
      </w:r>
      <w:r w:rsidRPr="00F06884">
        <w:t xml:space="preserve">HM-16.20 (black) vs VTM-7.0 (red), where the bit rate axis is in log scale, as suggested in </w:t>
      </w:r>
      <w:r w:rsidRPr="00F06884">
        <w:fldChar w:fldCharType="begin"/>
      </w:r>
      <w:r w:rsidRPr="00F06884">
        <w:instrText xml:space="preserve"> REF _Ref44418122 \r \h </w:instrText>
      </w:r>
      <w:r w:rsidRPr="00F06884">
        <w:fldChar w:fldCharType="separate"/>
      </w:r>
      <w:r w:rsidR="00B66D04">
        <w:t>[3]</w:t>
      </w:r>
      <w:r w:rsidRPr="00F06884">
        <w:fldChar w:fldCharType="end"/>
      </w:r>
      <w:r w:rsidRPr="00F06884">
        <w:t>.</w:t>
      </w:r>
      <w:bookmarkEnd w:id="42"/>
    </w:p>
    <w:p w14:paraId="4D32DE9F" w14:textId="340F8EAB" w:rsidR="00135F89" w:rsidRPr="00F06884" w:rsidRDefault="00135F89" w:rsidP="00135F89">
      <w:pPr>
        <w:rPr>
          <w:lang w:val="en-GB"/>
        </w:rPr>
      </w:pPr>
      <w:r w:rsidRPr="00F06884">
        <w:rPr>
          <w:lang w:val="en-GB"/>
        </w:rPr>
        <w:lastRenderedPageBreak/>
        <w:t xml:space="preserve">The idea is now to estimate the area between these two curves to compute an average bit rate savings for equal measured quality, i.e., the </w:t>
      </w:r>
      <w:proofErr w:type="spellStart"/>
      <w:r w:rsidRPr="00F06884">
        <w:rPr>
          <w:lang w:val="en-GB"/>
        </w:rPr>
        <w:t>Bj</w:t>
      </w:r>
      <w:r w:rsidRPr="00F06884">
        <w:rPr>
          <w:szCs w:val="22"/>
          <w:lang w:val="en-GB"/>
        </w:rPr>
        <w:t>ø</w:t>
      </w:r>
      <w:r w:rsidRPr="00F06884">
        <w:rPr>
          <w:lang w:val="en-GB"/>
        </w:rPr>
        <w:t>ntegaard</w:t>
      </w:r>
      <w:proofErr w:type="spellEnd"/>
      <w:r w:rsidRPr="00F06884">
        <w:rPr>
          <w:lang w:val="en-GB"/>
        </w:rPr>
        <w:t xml:space="preserve">-delta rate (BD-rate) </w:t>
      </w:r>
      <w:r w:rsidR="002E3655" w:rsidRPr="00F06884">
        <w:rPr>
          <w:lang w:val="en-GB"/>
        </w:rPr>
        <w:fldChar w:fldCharType="begin"/>
      </w:r>
      <w:r w:rsidR="002E3655" w:rsidRPr="00F06884">
        <w:rPr>
          <w:lang w:val="en-GB"/>
        </w:rPr>
        <w:instrText xml:space="preserve"> REF _Ref44417834 \r \h </w:instrText>
      </w:r>
      <w:r w:rsidR="002E3655" w:rsidRPr="00F06884">
        <w:rPr>
          <w:lang w:val="en-GB"/>
        </w:rPr>
      </w:r>
      <w:r w:rsidR="002E3655" w:rsidRPr="00F06884">
        <w:rPr>
          <w:lang w:val="en-GB"/>
        </w:rPr>
        <w:fldChar w:fldCharType="separate"/>
      </w:r>
      <w:r w:rsidR="00B66D04">
        <w:rPr>
          <w:lang w:val="en-GB"/>
        </w:rPr>
        <w:t>[1]</w:t>
      </w:r>
      <w:r w:rsidR="002E3655" w:rsidRPr="00F06884">
        <w:rPr>
          <w:lang w:val="en-GB"/>
        </w:rPr>
        <w:fldChar w:fldCharType="end"/>
      </w:r>
      <w:r w:rsidRPr="00F06884">
        <w:rPr>
          <w:lang w:val="en-GB"/>
        </w:rPr>
        <w:t>. This is done with the help of a piecewise cubic fitting</w:t>
      </w:r>
      <w:r w:rsidRPr="00F06884">
        <w:rPr>
          <w:rStyle w:val="FootnoteReference"/>
          <w:lang w:val="en-GB"/>
        </w:rPr>
        <w:footnoteReference w:id="1"/>
      </w:r>
      <w:r w:rsidRPr="00F06884">
        <w:rPr>
          <w:lang w:val="en-GB"/>
        </w:rPr>
        <w:t xml:space="preserve"> of the PSNR-Y/rate curves, where the </w:t>
      </w:r>
      <w:r w:rsidR="00CE0A2D" w:rsidRPr="00F06884">
        <w:rPr>
          <w:lang w:val="en-GB"/>
        </w:rPr>
        <w:t xml:space="preserve">bit </w:t>
      </w:r>
      <w:r w:rsidRPr="00F06884">
        <w:rPr>
          <w:lang w:val="en-GB"/>
        </w:rPr>
        <w:t xml:space="preserve">rate is measured in the log domain. An integration is then performed to determine the area between the two curves. The area is further divided by the PSNR range to obtain an average rate difference. The details of how this is done are described in references </w:t>
      </w:r>
      <w:r w:rsidRPr="00F06884">
        <w:rPr>
          <w:lang w:val="en-GB"/>
        </w:rPr>
        <w:fldChar w:fldCharType="begin"/>
      </w:r>
      <w:r w:rsidRPr="00F06884">
        <w:rPr>
          <w:lang w:val="en-GB"/>
        </w:rPr>
        <w:instrText xml:space="preserve"> REF _Ref44417834 \r \h </w:instrText>
      </w:r>
      <w:r w:rsidRPr="00F06884">
        <w:rPr>
          <w:lang w:val="en-GB"/>
        </w:rPr>
      </w:r>
      <w:r w:rsidRPr="00F06884">
        <w:rPr>
          <w:lang w:val="en-GB"/>
        </w:rPr>
        <w:fldChar w:fldCharType="separate"/>
      </w:r>
      <w:r w:rsidR="00B66D04">
        <w:rPr>
          <w:lang w:val="en-GB"/>
        </w:rPr>
        <w:t>[1]</w:t>
      </w:r>
      <w:r w:rsidRPr="00F06884">
        <w:rPr>
          <w:lang w:val="en-GB"/>
        </w:rPr>
        <w:fldChar w:fldCharType="end"/>
      </w:r>
      <w:r w:rsidRPr="00F06884">
        <w:rPr>
          <w:lang w:val="en-GB"/>
        </w:rPr>
        <w:fldChar w:fldCharType="begin"/>
      </w:r>
      <w:r w:rsidRPr="00F06884">
        <w:rPr>
          <w:lang w:val="en-GB"/>
        </w:rPr>
        <w:instrText xml:space="preserve"> REF _Ref44418167 \r \h </w:instrText>
      </w:r>
      <w:r w:rsidRPr="00F06884">
        <w:rPr>
          <w:lang w:val="en-GB"/>
        </w:rPr>
      </w:r>
      <w:r w:rsidRPr="00F06884">
        <w:rPr>
          <w:lang w:val="en-GB"/>
        </w:rPr>
        <w:fldChar w:fldCharType="separate"/>
      </w:r>
      <w:r w:rsidR="00B66D04">
        <w:rPr>
          <w:lang w:val="en-GB"/>
        </w:rPr>
        <w:t>[2]</w:t>
      </w:r>
      <w:r w:rsidRPr="00F06884">
        <w:rPr>
          <w:lang w:val="en-GB"/>
        </w:rPr>
        <w:fldChar w:fldCharType="end"/>
      </w:r>
      <w:r w:rsidRPr="00F06884">
        <w:rPr>
          <w:lang w:val="en-GB"/>
        </w:rPr>
        <w:fldChar w:fldCharType="begin"/>
      </w:r>
      <w:r w:rsidRPr="00F06884">
        <w:rPr>
          <w:lang w:val="en-GB"/>
        </w:rPr>
        <w:instrText xml:space="preserve"> REF _Ref44418122 \r \h </w:instrText>
      </w:r>
      <w:r w:rsidRPr="00F06884">
        <w:rPr>
          <w:lang w:val="en-GB"/>
        </w:rPr>
      </w:r>
      <w:r w:rsidRPr="00F06884">
        <w:rPr>
          <w:lang w:val="en-GB"/>
        </w:rPr>
        <w:fldChar w:fldCharType="separate"/>
      </w:r>
      <w:r w:rsidR="00B66D04">
        <w:rPr>
          <w:lang w:val="en-GB"/>
        </w:rPr>
        <w:t>[3]</w:t>
      </w:r>
      <w:r w:rsidRPr="00F06884">
        <w:rPr>
          <w:lang w:val="en-GB"/>
        </w:rPr>
        <w:fldChar w:fldCharType="end"/>
      </w:r>
      <w:r w:rsidRPr="00F06884">
        <w:rPr>
          <w:lang w:val="en-GB"/>
        </w:rPr>
        <w:fldChar w:fldCharType="begin"/>
      </w:r>
      <w:r w:rsidRPr="00F06884">
        <w:rPr>
          <w:lang w:val="en-GB"/>
        </w:rPr>
        <w:instrText xml:space="preserve"> REF _Ref44418178 \r \h </w:instrText>
      </w:r>
      <w:r w:rsidRPr="00F06884">
        <w:rPr>
          <w:lang w:val="en-GB"/>
        </w:rPr>
      </w:r>
      <w:r w:rsidRPr="00F06884">
        <w:rPr>
          <w:lang w:val="en-GB"/>
        </w:rPr>
        <w:fldChar w:fldCharType="separate"/>
      </w:r>
      <w:r w:rsidR="00B66D04">
        <w:rPr>
          <w:lang w:val="en-GB"/>
        </w:rPr>
        <w:t>[4]</w:t>
      </w:r>
      <w:r w:rsidRPr="00F06884">
        <w:rPr>
          <w:lang w:val="en-GB"/>
        </w:rPr>
        <w:fldChar w:fldCharType="end"/>
      </w:r>
      <w:r w:rsidRPr="00F06884">
        <w:rPr>
          <w:lang w:val="en-GB"/>
        </w:rPr>
        <w:fldChar w:fldCharType="begin"/>
      </w:r>
      <w:r w:rsidRPr="00F06884">
        <w:rPr>
          <w:lang w:val="en-GB"/>
        </w:rPr>
        <w:instrText xml:space="preserve"> REF _Ref44418194 \r \h </w:instrText>
      </w:r>
      <w:r w:rsidRPr="00F06884">
        <w:rPr>
          <w:lang w:val="en-GB"/>
        </w:rPr>
      </w:r>
      <w:r w:rsidRPr="00F06884">
        <w:rPr>
          <w:lang w:val="en-GB"/>
        </w:rPr>
        <w:fldChar w:fldCharType="separate"/>
      </w:r>
      <w:r w:rsidR="00B66D04">
        <w:rPr>
          <w:lang w:val="en-GB"/>
        </w:rPr>
        <w:t>[5]</w:t>
      </w:r>
      <w:r w:rsidRPr="00F06884">
        <w:rPr>
          <w:lang w:val="en-GB"/>
        </w:rPr>
        <w:fldChar w:fldCharType="end"/>
      </w:r>
      <w:r w:rsidRPr="00F06884">
        <w:rPr>
          <w:lang w:val="en-GB"/>
        </w:rPr>
        <w:fldChar w:fldCharType="begin"/>
      </w:r>
      <w:r w:rsidRPr="00F06884">
        <w:rPr>
          <w:lang w:val="en-GB"/>
        </w:rPr>
        <w:instrText xml:space="preserve"> REF _Ref44418204 \r \h </w:instrText>
      </w:r>
      <w:r w:rsidRPr="00F06884">
        <w:rPr>
          <w:lang w:val="en-GB"/>
        </w:rPr>
      </w:r>
      <w:r w:rsidRPr="00F06884">
        <w:rPr>
          <w:lang w:val="en-GB"/>
        </w:rPr>
        <w:fldChar w:fldCharType="separate"/>
      </w:r>
      <w:r w:rsidR="00B66D04">
        <w:rPr>
          <w:lang w:val="en-GB"/>
        </w:rPr>
        <w:t>[8]</w:t>
      </w:r>
      <w:r w:rsidRPr="00F06884">
        <w:rPr>
          <w:lang w:val="en-GB"/>
        </w:rPr>
        <w:fldChar w:fldCharType="end"/>
      </w:r>
      <w:r w:rsidRPr="00F06884">
        <w:rPr>
          <w:lang w:val="en-GB"/>
        </w:rPr>
        <w:t xml:space="preserve"> and </w:t>
      </w:r>
      <w:r w:rsidRPr="00F06884">
        <w:rPr>
          <w:lang w:val="en-GB"/>
        </w:rPr>
        <w:fldChar w:fldCharType="begin"/>
      </w:r>
      <w:r w:rsidRPr="00F06884">
        <w:rPr>
          <w:lang w:val="en-GB"/>
        </w:rPr>
        <w:instrText xml:space="preserve"> REF _Ref44418211 \r \h </w:instrText>
      </w:r>
      <w:r w:rsidRPr="00F06884">
        <w:rPr>
          <w:lang w:val="en-GB"/>
        </w:rPr>
      </w:r>
      <w:r w:rsidRPr="00F06884">
        <w:rPr>
          <w:lang w:val="en-GB"/>
        </w:rPr>
        <w:fldChar w:fldCharType="separate"/>
      </w:r>
      <w:r w:rsidR="00B66D04">
        <w:rPr>
          <w:lang w:val="en-GB"/>
        </w:rPr>
        <w:t>[9]</w:t>
      </w:r>
      <w:r w:rsidRPr="00F06884">
        <w:rPr>
          <w:lang w:val="en-GB"/>
        </w:rPr>
        <w:fldChar w:fldCharType="end"/>
      </w:r>
      <w:r w:rsidRPr="00F06884">
        <w:rPr>
          <w:lang w:val="en-GB"/>
        </w:rPr>
        <w:t xml:space="preserve">. Currently a VBS script </w:t>
      </w:r>
      <w:proofErr w:type="spellStart"/>
      <w:proofErr w:type="gramStart"/>
      <w:r w:rsidRPr="00F06884">
        <w:rPr>
          <w:lang w:val="en-GB"/>
        </w:rPr>
        <w:t>bdrate</w:t>
      </w:r>
      <w:proofErr w:type="spellEnd"/>
      <w:r w:rsidRPr="00F06884">
        <w:rPr>
          <w:lang w:val="en-GB"/>
        </w:rPr>
        <w:t>( )</w:t>
      </w:r>
      <w:proofErr w:type="gramEnd"/>
      <w:r w:rsidRPr="00F06884">
        <w:rPr>
          <w:lang w:val="en-GB"/>
        </w:rPr>
        <w:t xml:space="preserve"> from the Excel file available in </w:t>
      </w:r>
      <w:r w:rsidRPr="00F06884">
        <w:rPr>
          <w:lang w:val="en-GB"/>
        </w:rPr>
        <w:fldChar w:fldCharType="begin"/>
      </w:r>
      <w:r w:rsidRPr="00F06884">
        <w:rPr>
          <w:lang w:val="en-GB"/>
        </w:rPr>
        <w:instrText xml:space="preserve"> REF _Ref44418211 \r \h </w:instrText>
      </w:r>
      <w:r w:rsidRPr="00F06884">
        <w:rPr>
          <w:lang w:val="en-GB"/>
        </w:rPr>
      </w:r>
      <w:r w:rsidRPr="00F06884">
        <w:rPr>
          <w:lang w:val="en-GB"/>
        </w:rPr>
        <w:fldChar w:fldCharType="separate"/>
      </w:r>
      <w:r w:rsidR="00B66D04">
        <w:rPr>
          <w:lang w:val="en-GB"/>
        </w:rPr>
        <w:t>[9]</w:t>
      </w:r>
      <w:r w:rsidRPr="00F06884">
        <w:rPr>
          <w:lang w:val="en-GB"/>
        </w:rPr>
        <w:fldChar w:fldCharType="end"/>
      </w:r>
      <w:r w:rsidRPr="00F06884">
        <w:rPr>
          <w:bCs/>
          <w:szCs w:val="22"/>
          <w:lang w:val="en-GB"/>
        </w:rPr>
        <w:t xml:space="preserve"> </w:t>
      </w:r>
      <w:r w:rsidRPr="00F06884">
        <w:rPr>
          <w:lang w:val="en-GB"/>
        </w:rPr>
        <w:t xml:space="preserve">is used. A VBS script </w:t>
      </w:r>
      <w:proofErr w:type="spellStart"/>
      <w:proofErr w:type="gramStart"/>
      <w:r w:rsidRPr="00F06884">
        <w:rPr>
          <w:lang w:val="en-GB"/>
        </w:rPr>
        <w:t>bdrateOld</w:t>
      </w:r>
      <w:proofErr w:type="spellEnd"/>
      <w:r w:rsidRPr="00F06884">
        <w:rPr>
          <w:lang w:val="en-GB"/>
        </w:rPr>
        <w:t>( )</w:t>
      </w:r>
      <w:proofErr w:type="gramEnd"/>
      <w:r w:rsidRPr="00F06884">
        <w:rPr>
          <w:lang w:val="en-GB"/>
        </w:rPr>
        <w:t xml:space="preserve"> is also available and computes a BD-rate value using cubic fitting, which was used historically. The two BD-rate values obtained with piecewise cubic and cubic fitting may diverge significantly, indicating a numerical instability. When the two values are close to each other, the result </w:t>
      </w:r>
      <w:proofErr w:type="gramStart"/>
      <w:r w:rsidRPr="00F06884">
        <w:rPr>
          <w:lang w:val="en-GB"/>
        </w:rPr>
        <w:t>is considered to be</w:t>
      </w:r>
      <w:proofErr w:type="gramEnd"/>
      <w:r w:rsidRPr="00F06884">
        <w:rPr>
          <w:lang w:val="en-GB"/>
        </w:rPr>
        <w:t xml:space="preserve"> more reliable. There are also newer BD-rate functions in </w:t>
      </w:r>
      <w:r w:rsidRPr="00F06884">
        <w:rPr>
          <w:lang w:val="en-GB"/>
        </w:rPr>
        <w:fldChar w:fldCharType="begin"/>
      </w:r>
      <w:r w:rsidRPr="00F06884">
        <w:rPr>
          <w:lang w:val="en-GB"/>
        </w:rPr>
        <w:instrText xml:space="preserve"> REF _Ref44418194 \r \h </w:instrText>
      </w:r>
      <w:r w:rsidRPr="00F06884">
        <w:rPr>
          <w:lang w:val="en-GB"/>
        </w:rPr>
      </w:r>
      <w:r w:rsidRPr="00F06884">
        <w:rPr>
          <w:lang w:val="en-GB"/>
        </w:rPr>
        <w:fldChar w:fldCharType="separate"/>
      </w:r>
      <w:r w:rsidR="00B66D04">
        <w:rPr>
          <w:lang w:val="en-GB"/>
        </w:rPr>
        <w:t>[5]</w:t>
      </w:r>
      <w:r w:rsidRPr="00F06884">
        <w:rPr>
          <w:lang w:val="en-GB"/>
        </w:rPr>
        <w:fldChar w:fldCharType="end"/>
      </w:r>
      <w:r w:rsidRPr="00F06884">
        <w:rPr>
          <w:lang w:val="en-GB"/>
        </w:rPr>
        <w:t xml:space="preserve"> that can handle more than 4 points, can also calculate the BD-rate within a specified range, or </w:t>
      </w:r>
      <w:r w:rsidR="00DB7151" w:rsidRPr="00F06884">
        <w:rPr>
          <w:lang w:val="en-GB"/>
        </w:rPr>
        <w:t xml:space="preserve">can </w:t>
      </w:r>
      <w:r w:rsidRPr="00F06884">
        <w:rPr>
          <w:lang w:val="en-GB"/>
        </w:rPr>
        <w:t>also consider extrapolation techniques to deal with cases with minimal overlap between the two curves.</w:t>
      </w:r>
    </w:p>
    <w:p w14:paraId="339362D0" w14:textId="0BFAA1F6" w:rsidR="00135F89" w:rsidRPr="00F06884" w:rsidRDefault="00135F89" w:rsidP="00135F89">
      <w:pPr>
        <w:keepNext/>
        <w:keepLines/>
        <w:rPr>
          <w:lang w:val="en-GB"/>
        </w:rPr>
      </w:pPr>
      <w:r w:rsidRPr="00F06884">
        <w:rPr>
          <w:lang w:val="en-GB"/>
        </w:rPr>
        <w:t>The PSNR ranges of the curves generally do not overlap completely, and the current practice is to avoid measuring the part of the area between curves that are extrapolated</w:t>
      </w:r>
      <w:r w:rsidRPr="00F06884">
        <w:rPr>
          <w:rStyle w:val="FootnoteReference"/>
          <w:lang w:val="en-GB"/>
        </w:rPr>
        <w:footnoteReference w:id="2"/>
      </w:r>
      <w:r w:rsidRPr="00F06884">
        <w:rPr>
          <w:lang w:val="en-GB"/>
        </w:rPr>
        <w:t xml:space="preserve"> rather than interpolated, which can give unpredictable results if the non-overlapping parts are large. Therefore, the area between the two curves is only measured in the region where there is an overlap, i.e., the area between the two green lines in</w:t>
      </w:r>
      <w:r w:rsidR="002332E0" w:rsidRPr="00F06884">
        <w:rPr>
          <w:lang w:val="en-GB"/>
        </w:rPr>
        <w:t xml:space="preserve"> Figure 1</w:t>
      </w:r>
      <w:r w:rsidRPr="00F06884">
        <w:rPr>
          <w:lang w:val="en-GB"/>
        </w:rPr>
        <w:t xml:space="preserve">. In the above example, this would mean that BD-rate is calculated only within the area between </w:t>
      </w:r>
      <w:proofErr w:type="spellStart"/>
      <w:r w:rsidRPr="00F06884">
        <w:rPr>
          <w:lang w:val="en-GB"/>
        </w:rPr>
        <w:t>minPSNR</w:t>
      </w:r>
      <w:proofErr w:type="spellEnd"/>
      <w:r w:rsidRPr="00F06884">
        <w:rPr>
          <w:lang w:val="en-GB"/>
        </w:rPr>
        <w:t xml:space="preserve"> and </w:t>
      </w:r>
      <w:proofErr w:type="spellStart"/>
      <w:r w:rsidRPr="00F06884">
        <w:rPr>
          <w:lang w:val="en-GB"/>
        </w:rPr>
        <w:t>maxPSNR</w:t>
      </w:r>
      <w:proofErr w:type="spellEnd"/>
      <w:r w:rsidRPr="00F06884">
        <w:rPr>
          <w:lang w:val="en-GB"/>
        </w:rPr>
        <w:t>, where</w:t>
      </w:r>
    </w:p>
    <w:p w14:paraId="3842925D" w14:textId="77777777" w:rsidR="00135F89" w:rsidRPr="00F06884" w:rsidRDefault="00135F89" w:rsidP="00135F89">
      <w:pPr>
        <w:keepNext/>
        <w:ind w:left="360"/>
        <w:rPr>
          <w:lang w:val="en-GB"/>
        </w:rPr>
      </w:pPr>
      <w:proofErr w:type="spellStart"/>
      <w:r w:rsidRPr="00F06884">
        <w:rPr>
          <w:lang w:val="en-GB"/>
        </w:rPr>
        <w:t>minPSNR</w:t>
      </w:r>
      <w:proofErr w:type="spellEnd"/>
      <w:r w:rsidRPr="00F06884">
        <w:rPr>
          <w:lang w:val="en-GB"/>
        </w:rPr>
        <w:t xml:space="preserve"> = </w:t>
      </w:r>
      <w:proofErr w:type="gramStart"/>
      <w:r w:rsidRPr="00F06884">
        <w:rPr>
          <w:lang w:val="en-GB"/>
        </w:rPr>
        <w:t>Max( Min</w:t>
      </w:r>
      <w:r w:rsidRPr="00F06884">
        <w:rPr>
          <w:i/>
          <w:iCs/>
          <w:vertAlign w:val="subscript"/>
          <w:lang w:val="en-GB"/>
        </w:rPr>
        <w:t>i</w:t>
      </w:r>
      <w:proofErr w:type="gramEnd"/>
      <w:r w:rsidRPr="00F06884">
        <w:rPr>
          <w:i/>
          <w:iCs/>
          <w:vertAlign w:val="subscript"/>
          <w:lang w:val="en-GB"/>
        </w:rPr>
        <w:t> = 0..N</w:t>
      </w:r>
      <w:r w:rsidRPr="00F06884">
        <w:rPr>
          <w:lang w:val="en-GB"/>
        </w:rPr>
        <w:t>(</w:t>
      </w:r>
      <w:proofErr w:type="spellStart"/>
      <w:r w:rsidRPr="00F06884">
        <w:rPr>
          <w:lang w:val="en-GB"/>
        </w:rPr>
        <w:t>PSNR_anchor</w:t>
      </w:r>
      <w:r w:rsidRPr="00F06884">
        <w:rPr>
          <w:i/>
          <w:iCs/>
          <w:vertAlign w:val="subscript"/>
          <w:lang w:val="en-GB"/>
        </w:rPr>
        <w:t>i</w:t>
      </w:r>
      <w:proofErr w:type="spellEnd"/>
      <w:r w:rsidRPr="00F06884">
        <w:rPr>
          <w:lang w:val="en-GB"/>
        </w:rPr>
        <w:t>), Min</w:t>
      </w:r>
      <w:r w:rsidRPr="00F06884">
        <w:rPr>
          <w:i/>
          <w:iCs/>
          <w:vertAlign w:val="subscript"/>
          <w:lang w:val="en-GB"/>
        </w:rPr>
        <w:t>i = 0..N</w:t>
      </w:r>
      <w:r w:rsidRPr="00F06884">
        <w:rPr>
          <w:lang w:val="en-GB"/>
        </w:rPr>
        <w:t>(</w:t>
      </w:r>
      <w:proofErr w:type="spellStart"/>
      <w:r w:rsidRPr="00F06884">
        <w:rPr>
          <w:lang w:val="en-GB"/>
        </w:rPr>
        <w:t>PSNR_test</w:t>
      </w:r>
      <w:r w:rsidRPr="00F06884">
        <w:rPr>
          <w:i/>
          <w:iCs/>
          <w:vertAlign w:val="subscript"/>
          <w:lang w:val="en-GB"/>
        </w:rPr>
        <w:t>i</w:t>
      </w:r>
      <w:proofErr w:type="spellEnd"/>
      <w:r w:rsidRPr="00F06884">
        <w:rPr>
          <w:lang w:val="en-GB"/>
        </w:rPr>
        <w:t>) ) = 37.5394 in this example, and</w:t>
      </w:r>
    </w:p>
    <w:p w14:paraId="6CF5DA97" w14:textId="77777777" w:rsidR="00135F89" w:rsidRPr="00F06884" w:rsidRDefault="00135F89" w:rsidP="00135F89">
      <w:pPr>
        <w:ind w:left="360"/>
        <w:rPr>
          <w:lang w:val="en-GB"/>
        </w:rPr>
      </w:pPr>
      <w:proofErr w:type="spellStart"/>
      <w:r w:rsidRPr="00F06884">
        <w:rPr>
          <w:lang w:val="en-GB"/>
        </w:rPr>
        <w:t>maxPSNR</w:t>
      </w:r>
      <w:proofErr w:type="spellEnd"/>
      <w:r w:rsidRPr="00F06884">
        <w:rPr>
          <w:lang w:val="en-GB"/>
        </w:rPr>
        <w:t xml:space="preserve"> = </w:t>
      </w:r>
      <w:proofErr w:type="gramStart"/>
      <w:r w:rsidRPr="00F06884">
        <w:rPr>
          <w:lang w:val="en-GB"/>
        </w:rPr>
        <w:t>Min( Max</w:t>
      </w:r>
      <w:r w:rsidRPr="00F06884">
        <w:rPr>
          <w:i/>
          <w:iCs/>
          <w:vertAlign w:val="subscript"/>
          <w:lang w:val="en-GB"/>
        </w:rPr>
        <w:t>i</w:t>
      </w:r>
      <w:proofErr w:type="gramEnd"/>
      <w:r w:rsidRPr="00F06884">
        <w:rPr>
          <w:i/>
          <w:iCs/>
          <w:vertAlign w:val="subscript"/>
          <w:lang w:val="en-GB"/>
        </w:rPr>
        <w:t> = 0..N</w:t>
      </w:r>
      <w:r w:rsidRPr="00F06884">
        <w:rPr>
          <w:lang w:val="en-GB"/>
        </w:rPr>
        <w:t>(</w:t>
      </w:r>
      <w:proofErr w:type="spellStart"/>
      <w:r w:rsidRPr="00F06884">
        <w:rPr>
          <w:lang w:val="en-GB"/>
        </w:rPr>
        <w:t>PSNR_anchor</w:t>
      </w:r>
      <w:r w:rsidRPr="00F06884">
        <w:rPr>
          <w:i/>
          <w:iCs/>
          <w:vertAlign w:val="subscript"/>
          <w:lang w:val="en-GB"/>
        </w:rPr>
        <w:t>i</w:t>
      </w:r>
      <w:proofErr w:type="spellEnd"/>
      <w:r w:rsidRPr="00F06884">
        <w:rPr>
          <w:lang w:val="en-GB"/>
        </w:rPr>
        <w:t>), Max</w:t>
      </w:r>
      <w:r w:rsidRPr="00F06884">
        <w:rPr>
          <w:i/>
          <w:iCs/>
          <w:vertAlign w:val="subscript"/>
          <w:lang w:val="en-GB"/>
        </w:rPr>
        <w:t>i = 0..N</w:t>
      </w:r>
      <w:r w:rsidRPr="00F06884">
        <w:rPr>
          <w:lang w:val="en-GB"/>
        </w:rPr>
        <w:t>(</w:t>
      </w:r>
      <w:proofErr w:type="spellStart"/>
      <w:r w:rsidRPr="00F06884">
        <w:rPr>
          <w:lang w:val="en-GB"/>
        </w:rPr>
        <w:t>PSNR_test</w:t>
      </w:r>
      <w:r w:rsidRPr="00F06884">
        <w:rPr>
          <w:i/>
          <w:iCs/>
          <w:vertAlign w:val="subscript"/>
          <w:lang w:val="en-GB"/>
        </w:rPr>
        <w:t>i</w:t>
      </w:r>
      <w:proofErr w:type="spellEnd"/>
      <w:r w:rsidRPr="00F06884">
        <w:rPr>
          <w:lang w:val="en-GB"/>
        </w:rPr>
        <w:t xml:space="preserve">) ) = 40.1949 in this example. </w:t>
      </w:r>
    </w:p>
    <w:p w14:paraId="2ECFC6C5" w14:textId="7CC95B0D" w:rsidR="00135F89" w:rsidRPr="00F06884" w:rsidRDefault="00135F89" w:rsidP="00135F89">
      <w:pPr>
        <w:rPr>
          <w:lang w:val="en-GB"/>
        </w:rPr>
      </w:pPr>
      <w:r w:rsidRPr="00F06884">
        <w:rPr>
          <w:lang w:val="en-GB"/>
        </w:rPr>
        <w:t xml:space="preserve">This is done by a script provided in </w:t>
      </w:r>
      <w:r w:rsidRPr="00F06884">
        <w:rPr>
          <w:lang w:val="en-GB"/>
        </w:rPr>
        <w:fldChar w:fldCharType="begin"/>
      </w:r>
      <w:r w:rsidRPr="00F06884">
        <w:rPr>
          <w:lang w:val="en-GB"/>
        </w:rPr>
        <w:instrText xml:space="preserve"> REF _Ref44418211 \r \h </w:instrText>
      </w:r>
      <w:r w:rsidRPr="00F06884">
        <w:rPr>
          <w:lang w:val="en-GB"/>
        </w:rPr>
      </w:r>
      <w:r w:rsidRPr="00F06884">
        <w:rPr>
          <w:lang w:val="en-GB"/>
        </w:rPr>
        <w:fldChar w:fldCharType="separate"/>
      </w:r>
      <w:r w:rsidR="00B66D04">
        <w:rPr>
          <w:lang w:val="en-GB"/>
        </w:rPr>
        <w:t>[9]</w:t>
      </w:r>
      <w:r w:rsidRPr="00F06884">
        <w:rPr>
          <w:lang w:val="en-GB"/>
        </w:rPr>
        <w:fldChar w:fldCharType="end"/>
      </w:r>
      <w:r w:rsidRPr="00F06884">
        <w:rPr>
          <w:lang w:val="en-GB"/>
        </w:rPr>
        <w:t>.</w:t>
      </w:r>
    </w:p>
    <w:p w14:paraId="74094D67" w14:textId="77777777" w:rsidR="00135F89" w:rsidRPr="00F06884" w:rsidRDefault="00135F89" w:rsidP="00135F89">
      <w:pPr>
        <w:rPr>
          <w:lang w:val="en-GB"/>
        </w:rPr>
      </w:pPr>
      <w:r w:rsidRPr="00F06884">
        <w:rPr>
          <w:lang w:val="en-GB"/>
        </w:rPr>
        <w:t>Calculating the value only where there is overlap poses another challenge; if the overlap is only in a very small region, the BD-rate will be calculated using only a small (and possibly atypical) part of the available data. Therefore, it is important that the overlap is substantial for the BD-rate value to be meaningful.</w:t>
      </w:r>
    </w:p>
    <w:p w14:paraId="23EB6075" w14:textId="77777777" w:rsidR="00135F89" w:rsidRPr="00F06884" w:rsidRDefault="00135F89" w:rsidP="00135F89">
      <w:pPr>
        <w:rPr>
          <w:lang w:val="en-GB"/>
        </w:rPr>
      </w:pPr>
      <w:r w:rsidRPr="00F06884">
        <w:rPr>
          <w:lang w:val="en-GB"/>
        </w:rPr>
        <w:t>Another issue to be careful of is if the shapes of the curves are very complicated or have unusual characteristics. Especially if they are crossing over each other multiple times, the BD-rate value can be unreliable.</w:t>
      </w:r>
    </w:p>
    <w:p w14:paraId="17E01BAF" w14:textId="07368285" w:rsidR="00135F89" w:rsidRPr="00F06884" w:rsidRDefault="00135F89" w:rsidP="00135F89">
      <w:pPr>
        <w:rPr>
          <w:lang w:val="en-GB"/>
        </w:rPr>
      </w:pPr>
      <w:r w:rsidRPr="00F06884">
        <w:rPr>
          <w:lang w:val="en-GB"/>
        </w:rPr>
        <w:t xml:space="preserve">A negative value indicates a gain, i.e., an improvement in coding efficiency. As an example, if the luma BD-rate value is −1.0%, this means that it is possible to compress using the </w:t>
      </w:r>
      <w:r w:rsidR="008C7B64" w:rsidRPr="00F06884">
        <w:rPr>
          <w:lang w:val="en-GB"/>
        </w:rPr>
        <w:t>"</w:t>
      </w:r>
      <w:r w:rsidRPr="00F06884">
        <w:rPr>
          <w:lang w:val="en-GB"/>
        </w:rPr>
        <w:t>test</w:t>
      </w:r>
      <w:r w:rsidR="008C7B64" w:rsidRPr="00F06884">
        <w:rPr>
          <w:lang w:val="en-GB"/>
        </w:rPr>
        <w:t>"</w:t>
      </w:r>
      <w:r w:rsidRPr="00F06884">
        <w:rPr>
          <w:lang w:val="en-GB"/>
        </w:rPr>
        <w:t xml:space="preserve"> method using 1% fewer bits than using the </w:t>
      </w:r>
      <w:r w:rsidR="008C7B64" w:rsidRPr="00F06884">
        <w:rPr>
          <w:lang w:val="en-GB"/>
        </w:rPr>
        <w:t>"</w:t>
      </w:r>
      <w:r w:rsidRPr="00F06884">
        <w:rPr>
          <w:lang w:val="en-GB"/>
        </w:rPr>
        <w:t>anchor</w:t>
      </w:r>
      <w:r w:rsidR="008C7B64" w:rsidRPr="00F06884">
        <w:rPr>
          <w:lang w:val="en-GB"/>
        </w:rPr>
        <w:t>"</w:t>
      </w:r>
      <w:r w:rsidRPr="00F06884">
        <w:rPr>
          <w:lang w:val="en-GB"/>
        </w:rPr>
        <w:t xml:space="preserve"> method while maintaining the same luma PSNR.</w:t>
      </w:r>
    </w:p>
    <w:p w14:paraId="179E2C63" w14:textId="25E3DC43" w:rsidR="00135F89" w:rsidRPr="00F06884" w:rsidRDefault="00135F89" w:rsidP="00135F89">
      <w:pPr>
        <w:rPr>
          <w:lang w:val="en-GB" w:eastAsia="ja-JP"/>
        </w:rPr>
      </w:pPr>
      <w:r w:rsidRPr="00F06884">
        <w:rPr>
          <w:lang w:val="en-GB"/>
        </w:rPr>
        <w:t xml:space="preserve">An alternative approach to calculating BD-rate is to calculate BD-PSNR. Instead of giving an answer like </w:t>
      </w:r>
      <w:r w:rsidR="008C7B64" w:rsidRPr="00F06884">
        <w:rPr>
          <w:lang w:val="en-GB"/>
        </w:rPr>
        <w:t>"</w:t>
      </w:r>
      <w:r w:rsidRPr="00F06884">
        <w:rPr>
          <w:lang w:val="en-GB"/>
        </w:rPr>
        <w:t>at equal PSNR, the tested method has 1% lower bit rate</w:t>
      </w:r>
      <w:r w:rsidR="008C7B64" w:rsidRPr="00F06884">
        <w:rPr>
          <w:lang w:val="en-GB"/>
        </w:rPr>
        <w:t>"</w:t>
      </w:r>
      <w:r w:rsidRPr="00F06884">
        <w:rPr>
          <w:lang w:val="en-GB"/>
        </w:rPr>
        <w:t xml:space="preserve">, BD-PSNR gives an answer like </w:t>
      </w:r>
      <w:r w:rsidR="008C7B64" w:rsidRPr="00F06884">
        <w:rPr>
          <w:lang w:val="en-GB"/>
        </w:rPr>
        <w:t>"</w:t>
      </w:r>
      <w:r w:rsidRPr="00F06884">
        <w:rPr>
          <w:lang w:val="en-GB"/>
        </w:rPr>
        <w:t>at equal bit rate, the tested method has 0.05 dB higher PSNR</w:t>
      </w:r>
      <w:r w:rsidR="008C7B64" w:rsidRPr="00F06884">
        <w:rPr>
          <w:lang w:val="en-GB"/>
        </w:rPr>
        <w:t>"</w:t>
      </w:r>
      <w:r w:rsidRPr="00F06884">
        <w:rPr>
          <w:lang w:val="en-GB"/>
        </w:rPr>
        <w:t>. However, while 1% lower bit rate at a given quality is a simple concept to understand, it may not be immediately obvious what an increase in PSNR of 0.05 dB means. Hence the common practice is to use BD-rate.</w:t>
      </w:r>
    </w:p>
    <w:p w14:paraId="2A199EB1" w14:textId="77777777" w:rsidR="00135F89" w:rsidRPr="00F06884" w:rsidRDefault="00135F89" w:rsidP="00135F89">
      <w:pPr>
        <w:pStyle w:val="Heading2"/>
      </w:pPr>
      <w:bookmarkStart w:id="43" w:name="_Toc46752178"/>
      <w:r w:rsidRPr="00F06884">
        <w:t>Consideration of chroma fidelity</w:t>
      </w:r>
      <w:bookmarkEnd w:id="43"/>
    </w:p>
    <w:p w14:paraId="33E9C624" w14:textId="77777777" w:rsidR="00135F89" w:rsidRPr="00F06884" w:rsidRDefault="00135F89" w:rsidP="00135F89">
      <w:pPr>
        <w:rPr>
          <w:lang w:val="en-GB"/>
        </w:rPr>
      </w:pPr>
      <w:r w:rsidRPr="00F06884">
        <w:rPr>
          <w:lang w:val="en-GB"/>
        </w:rPr>
        <w:t xml:space="preserve">Whereas the PSNR values will be different for luma and chroma, the same bit rate is used in both cases, since the encoding represents the three components together and it is not very feasible to try </w:t>
      </w:r>
      <w:r w:rsidRPr="00F06884">
        <w:rPr>
          <w:lang w:val="en-GB"/>
        </w:rPr>
        <w:lastRenderedPageBreak/>
        <w:t>to separate which bits to assign to which components. Since more of the bits are used to encode luma channels than are used for the chroma channels, this means that the chroma BD-rate values can become difficult to interpret if they deviate too much from the luma BD-rate values. If the BD-rate measures are very different for the luma and chroma components or have opposite signs, the results can be misleading. As an example, if the luma BD-rate value is +0.5% (</w:t>
      </w:r>
      <w:r w:rsidRPr="00F06884">
        <w:rPr>
          <w:i/>
          <w:iCs/>
          <w:lang w:val="en-GB"/>
        </w:rPr>
        <w:t>Y</w:t>
      </w:r>
      <w:r w:rsidRPr="00F06884">
        <w:rPr>
          <w:lang w:val="en-GB"/>
        </w:rPr>
        <w:t>), while the chroma differences are −10.0% (</w:t>
      </w:r>
      <w:r w:rsidRPr="00F06884">
        <w:rPr>
          <w:i/>
          <w:iCs/>
          <w:lang w:val="en-GB"/>
        </w:rPr>
        <w:t>U</w:t>
      </w:r>
      <w:r w:rsidRPr="00F06884">
        <w:rPr>
          <w:lang w:val="en-GB"/>
        </w:rPr>
        <w:t>) and −9.0% (</w:t>
      </w:r>
      <w:r w:rsidRPr="00F06884">
        <w:rPr>
          <w:i/>
          <w:iCs/>
          <w:lang w:val="en-GB"/>
        </w:rPr>
        <w:t>V</w:t>
      </w:r>
      <w:r w:rsidRPr="00F06884">
        <w:rPr>
          <w:lang w:val="en-GB"/>
        </w:rPr>
        <w:t xml:space="preserve">), it may be difficult to judge which method (test or anchor) is </w:t>
      </w:r>
      <w:proofErr w:type="gramStart"/>
      <w:r w:rsidRPr="00F06884">
        <w:rPr>
          <w:lang w:val="en-GB"/>
        </w:rPr>
        <w:t>actually better</w:t>
      </w:r>
      <w:proofErr w:type="gramEnd"/>
      <w:r w:rsidRPr="00F06884">
        <w:rPr>
          <w:lang w:val="en-GB"/>
        </w:rPr>
        <w:t xml:space="preserve"> in terms of compression efficiency. A common way around this problem is to carry out a new test where bits are transferred from chroma to luma, for instance by increasing the step-size used for chroma quantization. If the new results are −0.5% (</w:t>
      </w:r>
      <w:r w:rsidRPr="00F06884">
        <w:rPr>
          <w:i/>
          <w:iCs/>
          <w:lang w:val="en-GB"/>
        </w:rPr>
        <w:t>Y</w:t>
      </w:r>
      <w:r w:rsidRPr="00F06884">
        <w:rPr>
          <w:lang w:val="en-GB"/>
        </w:rPr>
        <w:t>), −0.03% (</w:t>
      </w:r>
      <w:r w:rsidRPr="00F06884">
        <w:rPr>
          <w:i/>
          <w:iCs/>
          <w:lang w:val="en-GB"/>
        </w:rPr>
        <w:t>U</w:t>
      </w:r>
      <w:r w:rsidRPr="00F06884">
        <w:rPr>
          <w:lang w:val="en-GB"/>
        </w:rPr>
        <w:t>), −0.02% (</w:t>
      </w:r>
      <w:r w:rsidRPr="00F06884">
        <w:rPr>
          <w:i/>
          <w:iCs/>
          <w:lang w:val="en-GB"/>
        </w:rPr>
        <w:t>V</w:t>
      </w:r>
      <w:r w:rsidRPr="00F06884">
        <w:rPr>
          <w:lang w:val="en-GB"/>
        </w:rPr>
        <w:t>), it is safer to say that the tested method is better. An alternative approach that provides a rough simplified measurement and does not require running a new simulation is to calculate a weighted per-sequence combined PSNR average, for example:</w:t>
      </w:r>
    </w:p>
    <w:p w14:paraId="2A6324C0" w14:textId="0C60A735" w:rsidR="00135F89" w:rsidRPr="00F06884" w:rsidRDefault="007E247F" w:rsidP="00135F89">
      <w:pPr>
        <w:rPr>
          <w:lang w:val="en-GB"/>
        </w:rPr>
      </w:pPr>
      <m:oMathPara>
        <m:oMath>
          <m:r>
            <w:rPr>
              <w:rFonts w:ascii="Cambria Math" w:hAnsi="Cambria Math"/>
              <w:lang w:val="en-GB"/>
            </w:rPr>
            <m:t>PSNR_YU</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sequence</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8</m:t>
              </m:r>
            </m:den>
          </m:f>
          <m:d>
            <m:dPr>
              <m:ctrlPr>
                <w:rPr>
                  <w:rFonts w:ascii="Cambria Math" w:hAnsi="Cambria Math"/>
                  <w:i/>
                  <w:lang w:val="en-GB"/>
                </w:rPr>
              </m:ctrlPr>
            </m:dPr>
            <m:e>
              <m:r>
                <w:rPr>
                  <w:rFonts w:ascii="Cambria Math" w:hAnsi="Cambria Math"/>
                  <w:lang w:val="en-GB"/>
                </w:rPr>
                <m:t>6*PSNR</m:t>
              </m:r>
              <m:sSub>
                <m:sSubPr>
                  <m:ctrlPr>
                    <w:rPr>
                      <w:rFonts w:ascii="Cambria Math" w:hAnsi="Cambria Math"/>
                      <w:i/>
                      <w:lang w:val="en-GB"/>
                    </w:rPr>
                  </m:ctrlPr>
                </m:sSubPr>
                <m:e>
                  <m:r>
                    <w:rPr>
                      <w:rFonts w:ascii="Cambria Math" w:hAnsi="Cambria Math"/>
                      <w:lang w:val="en-GB"/>
                    </w:rPr>
                    <m:t>_Y</m:t>
                  </m:r>
                </m:e>
                <m:sub>
                  <m:r>
                    <w:rPr>
                      <w:rFonts w:ascii="Cambria Math" w:hAnsi="Cambria Math"/>
                      <w:lang w:val="en-GB"/>
                    </w:rPr>
                    <m:t>sequence</m:t>
                  </m:r>
                </m:sub>
              </m:sSub>
              <m:r>
                <w:rPr>
                  <w:rFonts w:ascii="Cambria Math" w:hAnsi="Cambria Math"/>
                  <w:lang w:val="en-GB"/>
                </w:rPr>
                <m:t>+PSNR</m:t>
              </m:r>
              <m:sSub>
                <m:sSubPr>
                  <m:ctrlPr>
                    <w:rPr>
                      <w:rFonts w:ascii="Cambria Math" w:hAnsi="Cambria Math"/>
                      <w:i/>
                      <w:lang w:val="en-GB"/>
                    </w:rPr>
                  </m:ctrlPr>
                </m:sSubPr>
                <m:e>
                  <m:r>
                    <w:rPr>
                      <w:rFonts w:ascii="Cambria Math" w:hAnsi="Cambria Math"/>
                      <w:lang w:val="en-GB"/>
                    </w:rPr>
                    <m:t>_U</m:t>
                  </m:r>
                </m:e>
                <m:sub>
                  <m:r>
                    <w:rPr>
                      <w:rFonts w:ascii="Cambria Math" w:hAnsi="Cambria Math"/>
                      <w:lang w:val="en-GB"/>
                    </w:rPr>
                    <m:t>sequence</m:t>
                  </m:r>
                </m:sub>
              </m:sSub>
              <m:r>
                <w:rPr>
                  <w:rFonts w:ascii="Cambria Math" w:hAnsi="Cambria Math"/>
                  <w:lang w:val="en-GB"/>
                </w:rPr>
                <m:t>+PSNR_</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sequence</m:t>
                  </m:r>
                </m:sub>
              </m:sSub>
            </m:e>
          </m:d>
          <m:r>
            <w:rPr>
              <w:rFonts w:ascii="Cambria Math" w:hAnsi="Cambria Math"/>
              <w:lang w:val="en-GB"/>
            </w:rPr>
            <m:t xml:space="preserve">           </m:t>
          </m:r>
          <m:r>
            <m:rPr>
              <m:nor/>
            </m:rPr>
            <w:rPr>
              <w:rFonts w:ascii="Cambria Math" w:hAnsi="Cambria Math"/>
              <w:lang w:val="en-GB"/>
            </w:rPr>
            <m:t>(5)</m:t>
          </m:r>
        </m:oMath>
      </m:oMathPara>
    </w:p>
    <w:p w14:paraId="3885B324" w14:textId="65BE8816" w:rsidR="00135F89" w:rsidRPr="00F06884" w:rsidRDefault="00135F89" w:rsidP="00135F89">
      <w:pPr>
        <w:rPr>
          <w:lang w:val="en-GB" w:eastAsia="ja-JP"/>
        </w:rPr>
      </w:pPr>
      <w:r w:rsidRPr="00F06884">
        <w:rPr>
          <w:lang w:val="en-GB"/>
        </w:rPr>
        <w:t xml:space="preserve">Here the stronger weighting of luma PSNR is to compensate for the fact that most of the bits are used to describe luma information. The per-sequence </w:t>
      </w:r>
      <m:oMath>
        <m:r>
          <w:rPr>
            <w:rFonts w:ascii="Cambria Math" w:hAnsi="Cambria Math"/>
            <w:lang w:val="en-GB"/>
          </w:rPr>
          <m:t>PSNR_YU</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sequence</m:t>
            </m:r>
          </m:sub>
        </m:sSub>
      </m:oMath>
      <w:r w:rsidRPr="00F06884">
        <w:rPr>
          <w:lang w:val="en-GB"/>
        </w:rPr>
        <w:t xml:space="preserve"> values are then used together with the bit rate values to obtain a YUV-BD-rate value for each sequence. These YUV-BD-rate numbers can be helpful especially if there are many methods that should be compared with each other. Another possibility, which is not recommended, is to simply create an average of the BD-rates. In such case a larger weight is typically used for the luma channel</w:t>
      </w:r>
      <w:r w:rsidR="008C7B64" w:rsidRPr="00F06884">
        <w:rPr>
          <w:lang w:val="en-GB"/>
        </w:rPr>
        <w:t>'</w:t>
      </w:r>
      <w:r w:rsidRPr="00F06884">
        <w:rPr>
          <w:lang w:val="en-GB"/>
        </w:rPr>
        <w:t>s BD-rate. As an example, a BD-rate difference of +0.5% (</w:t>
      </w:r>
      <w:r w:rsidRPr="00F06884">
        <w:rPr>
          <w:i/>
          <w:iCs/>
          <w:lang w:val="en-GB"/>
        </w:rPr>
        <w:t>Y</w:t>
      </w:r>
      <w:r w:rsidRPr="00F06884">
        <w:rPr>
          <w:lang w:val="en-GB"/>
        </w:rPr>
        <w:t>), −10.0% (</w:t>
      </w:r>
      <w:r w:rsidRPr="00F06884">
        <w:rPr>
          <w:i/>
          <w:iCs/>
          <w:lang w:val="en-GB"/>
        </w:rPr>
        <w:t>U</w:t>
      </w:r>
      <w:r w:rsidRPr="00F06884">
        <w:rPr>
          <w:lang w:val="en-GB"/>
        </w:rPr>
        <w:t>), −9.0% (</w:t>
      </w:r>
      <w:r w:rsidRPr="00F06884">
        <w:rPr>
          <w:i/>
          <w:iCs/>
          <w:lang w:val="en-GB"/>
        </w:rPr>
        <w:t>V</w:t>
      </w:r>
      <w:r w:rsidRPr="00F06884">
        <w:rPr>
          <w:lang w:val="en-GB"/>
        </w:rPr>
        <w:t>) would be averaged to (6 * 0.5% − 10.0% − 9.0%) / 8 = −2.0%. This other method may misrepresent gains by a substantial amount when the gain in the chroma channels is substantially larger than the gain in the chroma channel.</w:t>
      </w:r>
    </w:p>
    <w:p w14:paraId="7C363A4D" w14:textId="77777777" w:rsidR="00135F89" w:rsidRPr="00F06884" w:rsidRDefault="00135F89" w:rsidP="00135F89">
      <w:pPr>
        <w:pStyle w:val="Heading2"/>
      </w:pPr>
      <w:bookmarkStart w:id="44" w:name="_Toc46752179"/>
      <w:r w:rsidRPr="00F06884">
        <w:t>Calculation of aggregate BD-rate value for all sequences</w:t>
      </w:r>
      <w:bookmarkEnd w:id="44"/>
    </w:p>
    <w:p w14:paraId="47678E17" w14:textId="77777777" w:rsidR="00135F89" w:rsidRPr="00F06884" w:rsidRDefault="00135F89" w:rsidP="00135F89">
      <w:pPr>
        <w:keepNext/>
        <w:rPr>
          <w:lang w:val="en-GB"/>
        </w:rPr>
      </w:pPr>
      <w:r w:rsidRPr="00F06884">
        <w:rPr>
          <w:lang w:val="en-GB"/>
        </w:rPr>
        <w:t>Once the BD-rate values for a set of test sequences have been determined, they are typically combined using an arithmetic average:</w:t>
      </w:r>
    </w:p>
    <w:p w14:paraId="6AC2D468" w14:textId="72FB4D67" w:rsidR="00135F89" w:rsidRPr="00F06884" w:rsidRDefault="00135F89" w:rsidP="00135F89">
      <w:pPr>
        <w:rPr>
          <w:lang w:val="en-GB"/>
        </w:rPr>
      </w:pPr>
      <m:oMathPara>
        <m:oMath>
          <m:r>
            <m:rPr>
              <m:nor/>
            </m:rPr>
            <w:rPr>
              <w:iCs/>
              <w:lang w:val="en-GB"/>
            </w:rPr>
            <m:t>BD-rate aggregated over several sequences</m:t>
          </m:r>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N</m:t>
              </m:r>
            </m:den>
          </m:f>
          <m:nary>
            <m:naryPr>
              <m:chr m:val="∑"/>
              <m:limLoc m:val="undOvr"/>
              <m:ctrlPr>
                <w:rPr>
                  <w:rFonts w:ascii="Cambria Math" w:hAnsi="Cambria Math"/>
                  <w:i/>
                  <w:lang w:val="en-GB"/>
                </w:rPr>
              </m:ctrlPr>
            </m:naryPr>
            <m:sub>
              <m:r>
                <w:rPr>
                  <w:rFonts w:ascii="Cambria Math" w:hAnsi="Cambria Math"/>
                  <w:lang w:val="en-GB"/>
                </w:rPr>
                <m:t>k=1</m:t>
              </m:r>
            </m:sub>
            <m:sup>
              <m:r>
                <w:rPr>
                  <w:rFonts w:ascii="Cambria Math" w:hAnsi="Cambria Math"/>
                  <w:lang w:val="en-GB"/>
                </w:rPr>
                <m:t>N</m:t>
              </m:r>
            </m:sup>
            <m:e>
              <m:r>
                <m:rPr>
                  <m:nor/>
                </m:rPr>
                <w:rPr>
                  <w:iCs/>
                  <w:lang w:val="en-GB"/>
                </w:rPr>
                <m:t xml:space="preserve">BD-rate for test sequence </m:t>
              </m:r>
              <m:r>
                <w:rPr>
                  <w:rFonts w:ascii="Cambria Math" w:hAnsi="Cambria Math"/>
                  <w:lang w:val="en-GB"/>
                </w:rPr>
                <m:t>k</m:t>
              </m:r>
            </m:e>
          </m:nary>
          <m:r>
            <w:rPr>
              <w:rFonts w:ascii="Cambria Math" w:hAnsi="Cambria Math"/>
              <w:lang w:val="en-GB"/>
            </w:rPr>
            <m:t xml:space="preserve">        </m:t>
          </m:r>
          <m:r>
            <m:rPr>
              <m:nor/>
            </m:rPr>
            <w:rPr>
              <w:rFonts w:ascii="Cambria Math" w:hAnsi="Cambria Math"/>
              <w:lang w:val="en-GB"/>
            </w:rPr>
            <m:t>(6)</m:t>
          </m:r>
        </m:oMath>
      </m:oMathPara>
    </w:p>
    <w:p w14:paraId="4F5B81A2" w14:textId="77777777" w:rsidR="00135F89" w:rsidRPr="00F06884" w:rsidRDefault="00135F89" w:rsidP="00135F89">
      <w:pPr>
        <w:rPr>
          <w:szCs w:val="22"/>
          <w:lang w:val="en-GB"/>
        </w:rPr>
      </w:pPr>
      <w:r w:rsidRPr="00F06884">
        <w:rPr>
          <w:szCs w:val="22"/>
          <w:lang w:val="en-GB"/>
        </w:rPr>
        <w:t>Typically, the test sequences are divided into classes that are categorized mainly by resolution or by other characteristics, such as whether they contain camera-captured content versus containing text and graphics with motion. One aggregate BD-rate value per class is reported. Hence one number is reported for all the HD sequences, one for WVGA resolution sequences, and so on. Finally, one aggregate BD-rate value may be calculated by averaging across sequences of different classes.</w:t>
      </w:r>
    </w:p>
    <w:p w14:paraId="0488F441" w14:textId="2DD56E9E" w:rsidR="00135F89" w:rsidRPr="00F06884" w:rsidRDefault="00135F89" w:rsidP="00135F89">
      <w:pPr>
        <w:pStyle w:val="Heading1"/>
      </w:pPr>
      <w:bookmarkStart w:id="45" w:name="_Toc46752180"/>
      <w:r w:rsidRPr="00F06884">
        <w:t>BD-rate calculation for HDR material</w:t>
      </w:r>
      <w:bookmarkEnd w:id="45"/>
    </w:p>
    <w:p w14:paraId="150F1145" w14:textId="4F7CEA96" w:rsidR="00135F89" w:rsidRPr="00F06884" w:rsidRDefault="00135F89" w:rsidP="00135F89">
      <w:pPr>
        <w:rPr>
          <w:lang w:val="en-GB"/>
        </w:rPr>
      </w:pPr>
      <w:r w:rsidRPr="00F06884">
        <w:rPr>
          <w:lang w:val="en-GB"/>
        </w:rPr>
        <w:t xml:space="preserve">As discussed in the introduction, a PSNR-based BD-rate measurement is limited in its capability to predict subjective quality improvements. For high-dynamic range (HDR) material, there is a further complication in that there is a very non-linear mapping between the luma codewords that are used as an input to the encoder, and the luminance values that would be output by a display. This is especially true for content that is represented with the Perceptual Quantizer (PQ) transfer function </w:t>
      </w:r>
      <w:r w:rsidRPr="00F06884">
        <w:rPr>
          <w:lang w:val="en-GB"/>
        </w:rPr>
        <w:fldChar w:fldCharType="begin"/>
      </w:r>
      <w:r w:rsidRPr="00F06884">
        <w:rPr>
          <w:lang w:val="en-GB"/>
        </w:rPr>
        <w:instrText xml:space="preserve"> REF _Ref44418380 \r \h </w:instrText>
      </w:r>
      <w:r w:rsidRPr="00F06884">
        <w:rPr>
          <w:lang w:val="en-GB"/>
        </w:rPr>
      </w:r>
      <w:r w:rsidRPr="00F06884">
        <w:rPr>
          <w:lang w:val="en-GB"/>
        </w:rPr>
        <w:fldChar w:fldCharType="separate"/>
      </w:r>
      <w:r w:rsidR="00B66D04">
        <w:rPr>
          <w:lang w:val="en-GB"/>
        </w:rPr>
        <w:t>[10]</w:t>
      </w:r>
      <w:r w:rsidRPr="00F06884">
        <w:rPr>
          <w:lang w:val="en-GB"/>
        </w:rPr>
        <w:fldChar w:fldCharType="end"/>
      </w:r>
      <w:r w:rsidRPr="00F06884">
        <w:rPr>
          <w:lang w:val="en-GB"/>
        </w:rPr>
        <w:fldChar w:fldCharType="begin"/>
      </w:r>
      <w:r w:rsidRPr="00F06884">
        <w:rPr>
          <w:lang w:val="en-GB"/>
        </w:rPr>
        <w:instrText xml:space="preserve"> REF _Ref44418383 \r \h </w:instrText>
      </w:r>
      <w:r w:rsidRPr="00F06884">
        <w:rPr>
          <w:lang w:val="en-GB"/>
        </w:rPr>
      </w:r>
      <w:r w:rsidRPr="00F06884">
        <w:rPr>
          <w:lang w:val="en-GB"/>
        </w:rPr>
        <w:fldChar w:fldCharType="separate"/>
      </w:r>
      <w:r w:rsidR="00B66D04">
        <w:rPr>
          <w:lang w:val="en-GB"/>
        </w:rPr>
        <w:t>[11]</w:t>
      </w:r>
      <w:r w:rsidRPr="00F06884">
        <w:rPr>
          <w:lang w:val="en-GB"/>
        </w:rPr>
        <w:fldChar w:fldCharType="end"/>
      </w:r>
      <w:r w:rsidRPr="00F06884">
        <w:rPr>
          <w:lang w:val="en-GB"/>
        </w:rPr>
        <w:t xml:space="preserve">. This transfer function gives a much higher importance and allocates </w:t>
      </w:r>
      <w:proofErr w:type="gramStart"/>
      <w:r w:rsidRPr="00F06884">
        <w:rPr>
          <w:lang w:val="en-GB"/>
        </w:rPr>
        <w:t>a large number of</w:t>
      </w:r>
      <w:proofErr w:type="gramEnd"/>
      <w:r w:rsidRPr="00F06884">
        <w:rPr>
          <w:lang w:val="en-GB"/>
        </w:rPr>
        <w:t xml:space="preserve"> codewords to darker regions, as compared to transfer functions typically used for standard dynamic range content. In our experience, this reduces the correlation between the PSNR-based BD-rate measurement and subjective quality.  </w:t>
      </w:r>
    </w:p>
    <w:p w14:paraId="7E164B9F" w14:textId="3E0111C5" w:rsidR="00135F89" w:rsidRPr="00F06884" w:rsidRDefault="00135F89" w:rsidP="00135F89">
      <w:pPr>
        <w:rPr>
          <w:lang w:val="en-GB"/>
        </w:rPr>
      </w:pPr>
      <w:r w:rsidRPr="00F06884">
        <w:rPr>
          <w:lang w:val="en-GB"/>
        </w:rPr>
        <w:t xml:space="preserve">For HDR content, it is the experience of the JVET and JCT-VC groups that calculating the PSNR on the luma and chroma codewords, as is done for the standard dynamic range (SDR) case, is still appropriate for HDR content that employs an Hybrid Log-Gamma (HLG) transfer function </w:t>
      </w:r>
      <w:r w:rsidRPr="00F06884">
        <w:rPr>
          <w:lang w:val="en-GB"/>
        </w:rPr>
        <w:fldChar w:fldCharType="begin"/>
      </w:r>
      <w:r w:rsidRPr="00F06884">
        <w:rPr>
          <w:lang w:val="en-GB"/>
        </w:rPr>
        <w:instrText xml:space="preserve"> REF _Ref44418383 \r \h </w:instrText>
      </w:r>
      <w:r w:rsidRPr="00F06884">
        <w:rPr>
          <w:lang w:val="en-GB"/>
        </w:rPr>
      </w:r>
      <w:r w:rsidRPr="00F06884">
        <w:rPr>
          <w:lang w:val="en-GB"/>
        </w:rPr>
        <w:fldChar w:fldCharType="separate"/>
      </w:r>
      <w:r w:rsidR="00B66D04">
        <w:rPr>
          <w:lang w:val="en-GB"/>
        </w:rPr>
        <w:t>[11]</w:t>
      </w:r>
      <w:r w:rsidRPr="00F06884">
        <w:rPr>
          <w:lang w:val="en-GB"/>
        </w:rPr>
        <w:fldChar w:fldCharType="end"/>
      </w:r>
      <w:r w:rsidRPr="00F06884">
        <w:rPr>
          <w:lang w:val="en-GB"/>
        </w:rPr>
        <w:t xml:space="preserve">. </w:t>
      </w:r>
      <w:r w:rsidRPr="00F06884">
        <w:rPr>
          <w:lang w:val="en-GB"/>
        </w:rPr>
        <w:lastRenderedPageBreak/>
        <w:t xml:space="preserve">However, as mentioned, it is necessary to complement the PSNR metric with </w:t>
      </w:r>
      <w:proofErr w:type="gramStart"/>
      <w:r w:rsidRPr="00F06884">
        <w:rPr>
          <w:lang w:val="en-GB"/>
        </w:rPr>
        <w:t>a number of</w:t>
      </w:r>
      <w:proofErr w:type="gramEnd"/>
      <w:r w:rsidRPr="00F06884">
        <w:rPr>
          <w:lang w:val="en-GB"/>
        </w:rPr>
        <w:t xml:space="preserve"> additional metrics for HDR content represented with the PQ transfer function </w:t>
      </w:r>
      <w:r w:rsidRPr="00F06884">
        <w:rPr>
          <w:lang w:val="en-GB"/>
        </w:rPr>
        <w:fldChar w:fldCharType="begin"/>
      </w:r>
      <w:r w:rsidRPr="00F06884">
        <w:rPr>
          <w:lang w:val="en-GB"/>
        </w:rPr>
        <w:instrText xml:space="preserve"> REF _Ref44418455 \r \h </w:instrText>
      </w:r>
      <w:r w:rsidRPr="00F06884">
        <w:rPr>
          <w:lang w:val="en-GB"/>
        </w:rPr>
      </w:r>
      <w:r w:rsidRPr="00F06884">
        <w:rPr>
          <w:lang w:val="en-GB"/>
        </w:rPr>
        <w:fldChar w:fldCharType="separate"/>
      </w:r>
      <w:r w:rsidR="00B66D04">
        <w:rPr>
          <w:lang w:val="en-GB"/>
        </w:rPr>
        <w:t>[7]</w:t>
      </w:r>
      <w:r w:rsidRPr="00F06884">
        <w:rPr>
          <w:lang w:val="en-GB"/>
        </w:rPr>
        <w:fldChar w:fldCharType="end"/>
      </w:r>
      <w:r w:rsidRPr="00F06884">
        <w:rPr>
          <w:lang w:val="en-GB"/>
        </w:rPr>
        <w:t>. These metrics include:</w:t>
      </w:r>
    </w:p>
    <w:p w14:paraId="385FFE82" w14:textId="77777777" w:rsidR="00135F89" w:rsidRPr="00F06884" w:rsidRDefault="00135F89" w:rsidP="00135F89">
      <w:pPr>
        <w:numPr>
          <w:ilvl w:val="0"/>
          <w:numId w:val="9"/>
        </w:numPr>
        <w:overflowPunct w:val="0"/>
        <w:autoSpaceDE w:val="0"/>
        <w:autoSpaceDN w:val="0"/>
        <w:adjustRightInd w:val="0"/>
        <w:ind w:left="567" w:hanging="567"/>
        <w:textAlignment w:val="baseline"/>
        <w:rPr>
          <w:lang w:val="en-GB" w:eastAsia="ja-JP"/>
        </w:rPr>
      </w:pPr>
      <w:r w:rsidRPr="00F06884">
        <w:rPr>
          <w:lang w:val="en-GB"/>
        </w:rPr>
        <w:t xml:space="preserve">PSNRL100: This metric is calculated using the luminance values rather than the luma codewords. It is based on the </w:t>
      </w:r>
      <w:proofErr w:type="spellStart"/>
      <w:r w:rsidRPr="00F06884">
        <w:rPr>
          <w:lang w:val="en-GB" w:eastAsia="ja-JP"/>
        </w:rPr>
        <w:t>CIELab</w:t>
      </w:r>
      <w:proofErr w:type="spellEnd"/>
      <w:r w:rsidRPr="00F06884">
        <w:rPr>
          <w:lang w:val="en-GB" w:eastAsia="ja-JP"/>
        </w:rPr>
        <w:t xml:space="preserve"> colour space representation of the input and output sample values of the codec.</w:t>
      </w:r>
    </w:p>
    <w:p w14:paraId="55B3A2DB" w14:textId="77777777" w:rsidR="00135F89" w:rsidRPr="00F06884" w:rsidRDefault="00135F89" w:rsidP="00135F89">
      <w:pPr>
        <w:numPr>
          <w:ilvl w:val="0"/>
          <w:numId w:val="9"/>
        </w:numPr>
        <w:overflowPunct w:val="0"/>
        <w:autoSpaceDE w:val="0"/>
        <w:autoSpaceDN w:val="0"/>
        <w:adjustRightInd w:val="0"/>
        <w:ind w:left="567" w:hanging="567"/>
        <w:textAlignment w:val="baseline"/>
        <w:rPr>
          <w:lang w:val="en-GB"/>
        </w:rPr>
      </w:pPr>
      <w:proofErr w:type="spellStart"/>
      <w:r w:rsidRPr="00F06884">
        <w:rPr>
          <w:lang w:val="en-GB"/>
        </w:rPr>
        <w:t>wPSNR</w:t>
      </w:r>
      <w:proofErr w:type="spellEnd"/>
      <w:r w:rsidRPr="00F06884">
        <w:rPr>
          <w:lang w:val="en-GB"/>
        </w:rPr>
        <w:t xml:space="preserve">: This is a PSNR-like metric calculated from the codewords, that attempts to compensate for the more significant distribution of luma codewords to the darker regions mentioned above by performing a weighting of the codewords before calculating the PSNR. </w:t>
      </w:r>
    </w:p>
    <w:p w14:paraId="677B9F65" w14:textId="77777777" w:rsidR="00135F89" w:rsidRPr="00F06884" w:rsidRDefault="00135F89" w:rsidP="00135F89">
      <w:pPr>
        <w:numPr>
          <w:ilvl w:val="0"/>
          <w:numId w:val="9"/>
        </w:numPr>
        <w:overflowPunct w:val="0"/>
        <w:autoSpaceDE w:val="0"/>
        <w:autoSpaceDN w:val="0"/>
        <w:adjustRightInd w:val="0"/>
        <w:ind w:left="567" w:hanging="567"/>
        <w:textAlignment w:val="baseline"/>
        <w:rPr>
          <w:lang w:val="en-GB"/>
        </w:rPr>
      </w:pPr>
      <w:r w:rsidRPr="00F06884">
        <w:rPr>
          <w:lang w:val="en-GB"/>
        </w:rPr>
        <w:t xml:space="preserve">DE100: This is a metric based on the </w:t>
      </w:r>
      <w:proofErr w:type="spellStart"/>
      <w:r w:rsidRPr="00F06884">
        <w:rPr>
          <w:lang w:val="en-GB"/>
        </w:rPr>
        <w:t>CIELab</w:t>
      </w:r>
      <w:proofErr w:type="spellEnd"/>
      <w:r w:rsidRPr="00F06884">
        <w:rPr>
          <w:lang w:val="en-GB"/>
        </w:rPr>
        <w:t xml:space="preserve"> colour space representation of the input and output sample values of the codec. It is specifically targeted at chrominance fidelity.</w:t>
      </w:r>
    </w:p>
    <w:p w14:paraId="0C9EDEDB" w14:textId="6AE4649D" w:rsidR="00135F89" w:rsidRPr="00F06884" w:rsidRDefault="00135F89" w:rsidP="00135F89">
      <w:pPr>
        <w:rPr>
          <w:lang w:val="en-GB"/>
        </w:rPr>
      </w:pPr>
      <w:r w:rsidRPr="00F06884">
        <w:rPr>
          <w:lang w:val="en-GB"/>
        </w:rPr>
        <w:t xml:space="preserve">For more details on these metrics, see </w:t>
      </w:r>
      <w:r w:rsidRPr="00F06884">
        <w:rPr>
          <w:lang w:val="en-GB"/>
        </w:rPr>
        <w:fldChar w:fldCharType="begin"/>
      </w:r>
      <w:r w:rsidRPr="00F06884">
        <w:rPr>
          <w:lang w:val="en-GB"/>
        </w:rPr>
        <w:instrText xml:space="preserve"> REF _Ref44418455 \r \h </w:instrText>
      </w:r>
      <w:r w:rsidRPr="00F06884">
        <w:rPr>
          <w:lang w:val="en-GB"/>
        </w:rPr>
      </w:r>
      <w:r w:rsidRPr="00F06884">
        <w:rPr>
          <w:lang w:val="en-GB"/>
        </w:rPr>
        <w:fldChar w:fldCharType="separate"/>
      </w:r>
      <w:r w:rsidR="00B66D04">
        <w:rPr>
          <w:lang w:val="en-GB"/>
        </w:rPr>
        <w:t>[7]</w:t>
      </w:r>
      <w:r w:rsidRPr="00F06884">
        <w:rPr>
          <w:lang w:val="en-GB"/>
        </w:rPr>
        <w:fldChar w:fldCharType="end"/>
      </w:r>
      <w:r w:rsidRPr="00F06884">
        <w:rPr>
          <w:lang w:val="en-GB"/>
        </w:rPr>
        <w:t>.</w:t>
      </w:r>
    </w:p>
    <w:p w14:paraId="45D82005" w14:textId="0A4967CF" w:rsidR="00135F89" w:rsidRPr="00F06884" w:rsidRDefault="00135F89" w:rsidP="00135F89">
      <w:pPr>
        <w:rPr>
          <w:lang w:val="en-GB" w:eastAsia="ja-JP"/>
        </w:rPr>
      </w:pPr>
      <w:r w:rsidRPr="00F06884">
        <w:rPr>
          <w:lang w:val="en-GB"/>
        </w:rPr>
        <w:t xml:space="preserve">It is also noted that the JVET and JCT-VC groups do not typically create combined metrics using the </w:t>
      </w:r>
      <w:proofErr w:type="spellStart"/>
      <w:r w:rsidRPr="00F06884">
        <w:rPr>
          <w:lang w:val="en-GB"/>
        </w:rPr>
        <w:t>wPSNR</w:t>
      </w:r>
      <w:proofErr w:type="spellEnd"/>
      <w:r w:rsidRPr="00F06884">
        <w:rPr>
          <w:lang w:val="en-GB"/>
        </w:rPr>
        <w:t xml:space="preserve"> information from the luma and chroma channels, as was described in </w:t>
      </w:r>
      <w:r w:rsidR="00CE0A2D" w:rsidRPr="00F06884">
        <w:rPr>
          <w:lang w:val="en-GB"/>
        </w:rPr>
        <w:t>clause 7</w:t>
      </w:r>
      <w:r w:rsidRPr="00F06884">
        <w:rPr>
          <w:lang w:val="en-GB"/>
        </w:rPr>
        <w:t xml:space="preserve">. Instead, the group relies on the PSNRL100 and DE100 metrics. If a combined metric is desired, then attention should be given to the colour gamut used for the content. In particular, the weighting would need to be adjusted when using the ITU-R BT.2100 colour gamut </w:t>
      </w:r>
      <w:r w:rsidRPr="00F06884">
        <w:rPr>
          <w:lang w:val="en-GB"/>
        </w:rPr>
        <w:fldChar w:fldCharType="begin"/>
      </w:r>
      <w:r w:rsidRPr="00F06884">
        <w:rPr>
          <w:lang w:val="en-GB"/>
        </w:rPr>
        <w:instrText xml:space="preserve"> REF _Ref44418383 \r \h </w:instrText>
      </w:r>
      <w:r w:rsidRPr="00F06884">
        <w:rPr>
          <w:lang w:val="en-GB"/>
        </w:rPr>
      </w:r>
      <w:r w:rsidRPr="00F06884">
        <w:rPr>
          <w:lang w:val="en-GB"/>
        </w:rPr>
        <w:fldChar w:fldCharType="separate"/>
      </w:r>
      <w:r w:rsidR="00B66D04">
        <w:rPr>
          <w:lang w:val="en-GB"/>
        </w:rPr>
        <w:t>[11]</w:t>
      </w:r>
      <w:r w:rsidRPr="00F06884">
        <w:rPr>
          <w:lang w:val="en-GB"/>
        </w:rPr>
        <w:fldChar w:fldCharType="end"/>
      </w:r>
      <w:r w:rsidRPr="00F06884">
        <w:rPr>
          <w:lang w:val="en-GB"/>
        </w:rPr>
        <w:t xml:space="preserve"> typically employed for HDR content. The JVET and JCT-VC groups have not codified any specific adjustment to date.</w:t>
      </w:r>
    </w:p>
    <w:p w14:paraId="0F513CF5" w14:textId="54F5438F" w:rsidR="00135F89" w:rsidRPr="00F06884" w:rsidRDefault="00135F89" w:rsidP="00135F89">
      <w:pPr>
        <w:pStyle w:val="Heading1"/>
      </w:pPr>
      <w:bookmarkStart w:id="46" w:name="_Toc46752181"/>
      <w:r w:rsidRPr="00F06884">
        <w:t>BD-rate calculation for 360° video</w:t>
      </w:r>
      <w:bookmarkEnd w:id="46"/>
    </w:p>
    <w:p w14:paraId="3A9C2E03" w14:textId="17A8F721" w:rsidR="00135F89" w:rsidRPr="00F06884" w:rsidRDefault="00135F89" w:rsidP="00135F89">
      <w:pPr>
        <w:rPr>
          <w:lang w:val="en-GB" w:eastAsia="ja-JP"/>
        </w:rPr>
      </w:pPr>
      <w:r w:rsidRPr="00F06884">
        <w:rPr>
          <w:lang w:val="en-GB"/>
        </w:rPr>
        <w:t xml:space="preserve">For 360° omnidirectional video applications, the video scene is theoretically positioned on the interior of a distant sphere surrounding the viewer, who is looking out from the centre of the sphere. Since video encoding ordinarily works by compressing rectangular arrays of video samples rather than spheres, a projection must be used to map the scene content on the sphere to the values of the samples of a rectangular array before compression can take place. This also means that measuring the PSNR value of the rectangular video array can be very misleading, since the amount of area on the sphere that corresponds to the sample values at different positions can be very different. As an example, one possible projection is the equirectangular projection, which is </w:t>
      </w:r>
      <w:proofErr w:type="gramStart"/>
      <w:r w:rsidRPr="00F06884">
        <w:rPr>
          <w:lang w:val="en-GB"/>
        </w:rPr>
        <w:t>similar to</w:t>
      </w:r>
      <w:proofErr w:type="gramEnd"/>
      <w:r w:rsidRPr="00F06884">
        <w:rPr>
          <w:lang w:val="en-GB"/>
        </w:rPr>
        <w:t xml:space="preserve"> a simplistic mapping between the geography depicted on a globe and on a 2D map of the world. If the PSNR value were to be calculated on the rectangular video that was created using such a mapping, it would result in a strong over-emphasis of errors near the poles, since these regions are stretched out considerably. </w:t>
      </w:r>
      <w:proofErr w:type="gramStart"/>
      <w:r w:rsidRPr="00F06884">
        <w:rPr>
          <w:lang w:val="en-GB"/>
        </w:rPr>
        <w:t>In order to</w:t>
      </w:r>
      <w:proofErr w:type="gramEnd"/>
      <w:r w:rsidRPr="00F06884">
        <w:rPr>
          <w:lang w:val="en-GB"/>
        </w:rPr>
        <w:t xml:space="preserve"> get around this problem, a modified measurement known as the Weighted to Spherically uniform PSNR (WS-PSNR) has been used. This is a weighted form of PSNR that compensates for this stretching. For more information on WS-PSNR, see </w:t>
      </w:r>
      <w:r w:rsidRPr="00F06884">
        <w:rPr>
          <w:lang w:val="en-GB"/>
        </w:rPr>
        <w:fldChar w:fldCharType="begin"/>
      </w:r>
      <w:r w:rsidRPr="00F06884">
        <w:rPr>
          <w:lang w:val="en-GB"/>
        </w:rPr>
        <w:instrText xml:space="preserve"> REF _Ref44418542 \r \h </w:instrText>
      </w:r>
      <w:r w:rsidRPr="00F06884">
        <w:rPr>
          <w:lang w:val="en-GB"/>
        </w:rPr>
      </w:r>
      <w:r w:rsidRPr="00F06884">
        <w:rPr>
          <w:lang w:val="en-GB"/>
        </w:rPr>
        <w:fldChar w:fldCharType="separate"/>
      </w:r>
      <w:r w:rsidR="00B66D04">
        <w:rPr>
          <w:lang w:val="en-GB"/>
        </w:rPr>
        <w:t>[6]</w:t>
      </w:r>
      <w:r w:rsidRPr="00F06884">
        <w:rPr>
          <w:lang w:val="en-GB"/>
        </w:rPr>
        <w:fldChar w:fldCharType="end"/>
      </w:r>
      <w:r w:rsidRPr="00F06884">
        <w:rPr>
          <w:lang w:val="en-GB"/>
        </w:rPr>
        <w:t>.</w:t>
      </w:r>
    </w:p>
    <w:p w14:paraId="149E0CF9" w14:textId="77777777" w:rsidR="00135F89" w:rsidRPr="00F06884" w:rsidRDefault="00135F89" w:rsidP="00135F89">
      <w:pPr>
        <w:jc w:val="center"/>
        <w:rPr>
          <w:lang w:val="en-GB"/>
        </w:rPr>
      </w:pPr>
      <w:r w:rsidRPr="00F06884">
        <w:rPr>
          <w:lang w:val="en-GB"/>
        </w:rPr>
        <w:t>___________________</w:t>
      </w:r>
    </w:p>
    <w:p w14:paraId="601C68D7" w14:textId="09FEF7FA" w:rsidR="004C46CD" w:rsidRPr="00F06884" w:rsidRDefault="004C46CD" w:rsidP="00135F89">
      <w:pPr>
        <w:rPr>
          <w:lang w:val="en-GB"/>
        </w:rPr>
      </w:pPr>
    </w:p>
    <w:sectPr w:rsidR="004C46CD" w:rsidRPr="00F06884" w:rsidSect="00BA05EB">
      <w:footerReference w:type="first" r:id="rId19"/>
      <w:pgSz w:w="11907" w:h="16840" w:code="9"/>
      <w:pgMar w:top="1134" w:right="1134" w:bottom="1134" w:left="1134" w:header="425"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C8B45" w14:textId="77777777" w:rsidR="00766A32" w:rsidRDefault="00766A32">
      <w:r>
        <w:separator/>
      </w:r>
    </w:p>
  </w:endnote>
  <w:endnote w:type="continuationSeparator" w:id="0">
    <w:p w14:paraId="1379F940" w14:textId="77777777" w:rsidR="00766A32" w:rsidRDefault="0076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MS Mincho"/>
    <w:charset w:val="80"/>
    <w:family w:val="auto"/>
    <w:pitch w:val="variable"/>
    <w:sig w:usb0="01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Yu Gothic"/>
    <w:charset w:val="80"/>
    <w:family w:val="auto"/>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3AE9E" w14:textId="58C18B15" w:rsidR="008C7B64" w:rsidRDefault="008C7B64" w:rsidP="008C7B64">
    <w:pPr>
      <w:pStyle w:val="Footer"/>
      <w:tabs>
        <w:tab w:val="clear" w:pos="4320"/>
        <w:tab w:val="clear" w:pos="8640"/>
        <w:tab w:val="left" w:pos="2835"/>
        <w:tab w:val="right" w:pos="9356"/>
      </w:tabs>
      <w:jc w:val="right"/>
      <w:rPr>
        <w:b/>
        <w:sz w:val="20"/>
      </w:rPr>
    </w:pPr>
    <w:r>
      <w:rPr>
        <w:b/>
        <w:sz w:val="20"/>
      </w:rPr>
      <w:fldChar w:fldCharType="begin"/>
    </w:r>
    <w:r>
      <w:rPr>
        <w:b/>
        <w:sz w:val="20"/>
      </w:rPr>
      <w:instrText xml:space="preserve"> styleref TPnumber </w:instrText>
    </w:r>
    <w:r>
      <w:rPr>
        <w:b/>
        <w:sz w:val="20"/>
      </w:rPr>
      <w:fldChar w:fldCharType="separate"/>
    </w:r>
    <w:r w:rsidR="00B66D04">
      <w:rPr>
        <w:b/>
        <w:noProof/>
        <w:sz w:val="20"/>
      </w:rPr>
      <w:t>HSTP-VID-WPOM</w:t>
    </w:r>
    <w:r>
      <w:rPr>
        <w:b/>
        <w:sz w:val="20"/>
      </w:rPr>
      <w:fldChar w:fldCharType="end"/>
    </w:r>
    <w:r>
      <w:rPr>
        <w:b/>
        <w:sz w:val="20"/>
      </w:rPr>
      <w:t xml:space="preserve"> (2020-07) </w:t>
    </w:r>
    <w:r>
      <w:rPr>
        <w:b/>
        <w:sz w:val="20"/>
      </w:rPr>
      <w:tab/>
    </w:r>
    <w:r>
      <w:rPr>
        <w:rStyle w:val="PageNumber"/>
        <w:rFonts w:ascii="Times New Roman Bold" w:hAnsi="Times New Roman Bold"/>
        <w:b/>
        <w:bCs/>
        <w:sz w:val="20"/>
      </w:rPr>
      <w:fldChar w:fldCharType="begin"/>
    </w:r>
    <w:r>
      <w:rPr>
        <w:rStyle w:val="PageNumber"/>
        <w:rFonts w:ascii="Times New Roman Bold" w:hAnsi="Times New Roman Bold"/>
        <w:b/>
        <w:bCs/>
        <w:sz w:val="20"/>
      </w:rPr>
      <w:instrText xml:space="preserve"> PAGE </w:instrText>
    </w:r>
    <w:r>
      <w:rPr>
        <w:rStyle w:val="PageNumber"/>
        <w:rFonts w:ascii="Times New Roman Bold" w:hAnsi="Times New Roman Bold"/>
        <w:b/>
        <w:bCs/>
        <w:sz w:val="20"/>
      </w:rPr>
      <w:fldChar w:fldCharType="separate"/>
    </w:r>
    <w:r>
      <w:rPr>
        <w:rStyle w:val="PageNumber"/>
        <w:rFonts w:ascii="Times New Roman Bold" w:hAnsi="Times New Roman Bold"/>
        <w:b/>
        <w:bCs/>
        <w:sz w:val="20"/>
      </w:rPr>
      <w:t>i</w:t>
    </w:r>
    <w:r>
      <w:rPr>
        <w:rStyle w:val="PageNumber"/>
        <w:rFonts w:ascii="Times New Roman Bold" w:hAnsi="Times New Roman Bold"/>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EE6A7" w14:textId="77777777" w:rsidR="00291057" w:rsidRDefault="00291057">
    <w:pPr>
      <w:pStyle w:val="Footer"/>
      <w:tabs>
        <w:tab w:val="left" w:pos="5245"/>
      </w:tabs>
      <w:rPr>
        <w:sz w:val="16"/>
      </w:rPr>
    </w:pPr>
    <w:r>
      <w:rPr>
        <w:noProof/>
        <w:sz w:val="16"/>
      </w:rPr>
      <w:drawing>
        <wp:anchor distT="0" distB="0" distL="114300" distR="114300" simplePos="0" relativeHeight="251662336" behindDoc="0" locked="0" layoutInCell="1" allowOverlap="1" wp14:anchorId="5BCC01FD" wp14:editId="3C751EF4">
          <wp:simplePos x="0" y="0"/>
          <wp:positionH relativeFrom="column">
            <wp:posOffset>5182235</wp:posOffset>
          </wp:positionH>
          <wp:positionV relativeFrom="paragraph">
            <wp:posOffset>-137160</wp:posOffset>
          </wp:positionV>
          <wp:extent cx="1504315" cy="634365"/>
          <wp:effectExtent l="0" t="0" r="0" b="0"/>
          <wp:wrapNone/>
          <wp:docPr id="4" name="Picture 4"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C1084" w14:textId="3891BCE5" w:rsidR="00291057" w:rsidRDefault="00291057">
    <w:pPr>
      <w:pStyle w:val="Footer"/>
      <w:tabs>
        <w:tab w:val="clear" w:pos="4320"/>
        <w:tab w:val="clear" w:pos="8640"/>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47CC" w14:textId="77777777" w:rsidR="00291057" w:rsidRPr="00B22DA4" w:rsidRDefault="00291057"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12A24" w14:textId="77777777" w:rsidR="00766A32" w:rsidRDefault="00766A32">
      <w:r>
        <w:separator/>
      </w:r>
    </w:p>
  </w:footnote>
  <w:footnote w:type="continuationSeparator" w:id="0">
    <w:p w14:paraId="67D1D2AB" w14:textId="77777777" w:rsidR="00766A32" w:rsidRDefault="00766A32">
      <w:r>
        <w:continuationSeparator/>
      </w:r>
    </w:p>
  </w:footnote>
  <w:footnote w:id="1">
    <w:p w14:paraId="2C28260F" w14:textId="77777777" w:rsidR="00291057" w:rsidRPr="006B38B5" w:rsidRDefault="00291057" w:rsidP="00135F89">
      <w:pPr>
        <w:pStyle w:val="FootnoteText"/>
        <w:rPr>
          <w:sz w:val="20"/>
        </w:rPr>
      </w:pPr>
      <w:r w:rsidRPr="006B38B5">
        <w:rPr>
          <w:rStyle w:val="FootnoteReference"/>
          <w:sz w:val="20"/>
          <w:vertAlign w:val="superscript"/>
        </w:rPr>
        <w:footnoteRef/>
      </w:r>
      <w:r w:rsidRPr="006B38B5">
        <w:rPr>
          <w:sz w:val="20"/>
        </w:rPr>
        <w:t xml:space="preserve"> A piecewise-cubic Hermite interpolating polynomial is used.</w:t>
      </w:r>
    </w:p>
  </w:footnote>
  <w:footnote w:id="2">
    <w:p w14:paraId="1B48CA85" w14:textId="77777777" w:rsidR="00291057" w:rsidRPr="002543CF" w:rsidRDefault="00291057" w:rsidP="00135F89">
      <w:pPr>
        <w:pStyle w:val="FootnoteText"/>
        <w:rPr>
          <w:sz w:val="22"/>
          <w:szCs w:val="22"/>
        </w:rPr>
      </w:pPr>
      <w:r w:rsidRPr="006B38B5">
        <w:rPr>
          <w:rStyle w:val="FootnoteReference"/>
          <w:sz w:val="20"/>
          <w:vertAlign w:val="superscript"/>
        </w:rPr>
        <w:footnoteRef/>
      </w:r>
      <w:r w:rsidRPr="006B38B5">
        <w:rPr>
          <w:sz w:val="20"/>
        </w:rPr>
        <w:t xml:space="preserve"> It should be noted that no extrapolation occurs when using piecewise cubic fitting. However, extrapolation occurs with cubic fitting.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9DC1" w14:textId="77777777" w:rsidR="00291057" w:rsidRDefault="00291057">
    <w:pPr>
      <w:pStyle w:val="Header"/>
    </w:pPr>
    <w:r>
      <w:rPr>
        <w:noProof/>
      </w:rPr>
      <w:drawing>
        <wp:anchor distT="0" distB="0" distL="114300" distR="114300" simplePos="0" relativeHeight="251660288" behindDoc="0" locked="0" layoutInCell="1" allowOverlap="1" wp14:anchorId="2C095F4A" wp14:editId="7E9957D8">
          <wp:simplePos x="0" y="0"/>
          <wp:positionH relativeFrom="column">
            <wp:posOffset>-762000</wp:posOffset>
          </wp:positionH>
          <wp:positionV relativeFrom="paragraph">
            <wp:posOffset>-492760</wp:posOffset>
          </wp:positionV>
          <wp:extent cx="1569720" cy="10771505"/>
          <wp:effectExtent l="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A3D9C" w14:textId="77777777" w:rsidR="00291057" w:rsidRDefault="00291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422E" w14:textId="77777777" w:rsidR="00291057" w:rsidRPr="00B22DA4" w:rsidRDefault="00291057" w:rsidP="00B22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7646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C626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E836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3AA0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625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2D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0402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625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84B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40E1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7C52E5"/>
    <w:multiLevelType w:val="hybridMultilevel"/>
    <w:tmpl w:val="D69E2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213C47"/>
    <w:multiLevelType w:val="hybridMultilevel"/>
    <w:tmpl w:val="699A9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C7175D"/>
    <w:multiLevelType w:val="hybridMultilevel"/>
    <w:tmpl w:val="FF922EEC"/>
    <w:lvl w:ilvl="0" w:tplc="9D4871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645C7AB2"/>
    <w:multiLevelType w:val="hybridMultilevel"/>
    <w:tmpl w:val="B0C05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3B5428C"/>
    <w:multiLevelType w:val="multilevel"/>
    <w:tmpl w:val="51D02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17699">
    <w:abstractNumId w:val="11"/>
  </w:num>
  <w:num w:numId="2" w16cid:durableId="26219026">
    <w:abstractNumId w:val="15"/>
  </w:num>
  <w:num w:numId="3" w16cid:durableId="478883656">
    <w:abstractNumId w:val="10"/>
  </w:num>
  <w:num w:numId="4" w16cid:durableId="629818864">
    <w:abstractNumId w:val="12"/>
  </w:num>
  <w:num w:numId="5" w16cid:durableId="1216116099">
    <w:abstractNumId w:val="16"/>
  </w:num>
  <w:num w:numId="6" w16cid:durableId="14444993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9210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3787973">
    <w:abstractNumId w:val="14"/>
  </w:num>
  <w:num w:numId="9" w16cid:durableId="1687563131">
    <w:abstractNumId w:val="13"/>
  </w:num>
  <w:num w:numId="10" w16cid:durableId="63570575">
    <w:abstractNumId w:val="9"/>
  </w:num>
  <w:num w:numId="11" w16cid:durableId="50008047">
    <w:abstractNumId w:val="7"/>
  </w:num>
  <w:num w:numId="12" w16cid:durableId="296767525">
    <w:abstractNumId w:val="6"/>
  </w:num>
  <w:num w:numId="13" w16cid:durableId="1793013860">
    <w:abstractNumId w:val="5"/>
  </w:num>
  <w:num w:numId="14" w16cid:durableId="1519469493">
    <w:abstractNumId w:val="4"/>
  </w:num>
  <w:num w:numId="15" w16cid:durableId="248269000">
    <w:abstractNumId w:val="8"/>
  </w:num>
  <w:num w:numId="16" w16cid:durableId="1961111397">
    <w:abstractNumId w:val="3"/>
  </w:num>
  <w:num w:numId="17" w16cid:durableId="607860383">
    <w:abstractNumId w:val="2"/>
  </w:num>
  <w:num w:numId="18" w16cid:durableId="1025054781">
    <w:abstractNumId w:val="1"/>
  </w:num>
  <w:num w:numId="19" w16cid:durableId="61428898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CB"/>
    <w:rsid w:val="00003CAA"/>
    <w:rsid w:val="00004A38"/>
    <w:rsid w:val="00006FD8"/>
    <w:rsid w:val="0003282B"/>
    <w:rsid w:val="00054822"/>
    <w:rsid w:val="00056DA0"/>
    <w:rsid w:val="000612E1"/>
    <w:rsid w:val="00064919"/>
    <w:rsid w:val="00067382"/>
    <w:rsid w:val="0008375F"/>
    <w:rsid w:val="00087100"/>
    <w:rsid w:val="000B48B5"/>
    <w:rsid w:val="000E13C9"/>
    <w:rsid w:val="000E7D8E"/>
    <w:rsid w:val="000F6981"/>
    <w:rsid w:val="001010EC"/>
    <w:rsid w:val="00101CA2"/>
    <w:rsid w:val="0011433A"/>
    <w:rsid w:val="00122AB8"/>
    <w:rsid w:val="00127CDE"/>
    <w:rsid w:val="00135F89"/>
    <w:rsid w:val="00146A98"/>
    <w:rsid w:val="00152C27"/>
    <w:rsid w:val="00177AFF"/>
    <w:rsid w:val="00190A2B"/>
    <w:rsid w:val="001949CA"/>
    <w:rsid w:val="001C1902"/>
    <w:rsid w:val="001C606F"/>
    <w:rsid w:val="001E0A1C"/>
    <w:rsid w:val="001E4AA3"/>
    <w:rsid w:val="00216074"/>
    <w:rsid w:val="002240A7"/>
    <w:rsid w:val="002332E0"/>
    <w:rsid w:val="002378FD"/>
    <w:rsid w:val="00245610"/>
    <w:rsid w:val="002506D1"/>
    <w:rsid w:val="00291057"/>
    <w:rsid w:val="0029185B"/>
    <w:rsid w:val="002A0A59"/>
    <w:rsid w:val="002A45A6"/>
    <w:rsid w:val="002B0E11"/>
    <w:rsid w:val="002B5C88"/>
    <w:rsid w:val="002C67BB"/>
    <w:rsid w:val="002D41EB"/>
    <w:rsid w:val="002E3655"/>
    <w:rsid w:val="002F7F7E"/>
    <w:rsid w:val="0030222D"/>
    <w:rsid w:val="00306EE6"/>
    <w:rsid w:val="003076FB"/>
    <w:rsid w:val="00320C88"/>
    <w:rsid w:val="003225C0"/>
    <w:rsid w:val="003233ED"/>
    <w:rsid w:val="003355D9"/>
    <w:rsid w:val="00343C45"/>
    <w:rsid w:val="00355736"/>
    <w:rsid w:val="003557A3"/>
    <w:rsid w:val="003859FC"/>
    <w:rsid w:val="003A4716"/>
    <w:rsid w:val="003B5C40"/>
    <w:rsid w:val="003D42D6"/>
    <w:rsid w:val="003D6ABF"/>
    <w:rsid w:val="003E4AF9"/>
    <w:rsid w:val="003F03EC"/>
    <w:rsid w:val="004016AE"/>
    <w:rsid w:val="0040627C"/>
    <w:rsid w:val="00412492"/>
    <w:rsid w:val="00426D55"/>
    <w:rsid w:val="004276FF"/>
    <w:rsid w:val="0043347D"/>
    <w:rsid w:val="004509BB"/>
    <w:rsid w:val="00454C0C"/>
    <w:rsid w:val="00467172"/>
    <w:rsid w:val="00467B14"/>
    <w:rsid w:val="004848E4"/>
    <w:rsid w:val="00492BA3"/>
    <w:rsid w:val="004B39E2"/>
    <w:rsid w:val="004C062A"/>
    <w:rsid w:val="004C08B3"/>
    <w:rsid w:val="004C46CD"/>
    <w:rsid w:val="004E76EC"/>
    <w:rsid w:val="00501B49"/>
    <w:rsid w:val="00536593"/>
    <w:rsid w:val="005A3329"/>
    <w:rsid w:val="005A7875"/>
    <w:rsid w:val="005C712C"/>
    <w:rsid w:val="0060241A"/>
    <w:rsid w:val="00614441"/>
    <w:rsid w:val="00633928"/>
    <w:rsid w:val="0064792C"/>
    <w:rsid w:val="00656903"/>
    <w:rsid w:val="00665E46"/>
    <w:rsid w:val="006727AE"/>
    <w:rsid w:val="00675621"/>
    <w:rsid w:val="006935CA"/>
    <w:rsid w:val="00695CC7"/>
    <w:rsid w:val="006F4EBF"/>
    <w:rsid w:val="006F7457"/>
    <w:rsid w:val="00737170"/>
    <w:rsid w:val="0076623D"/>
    <w:rsid w:val="00766A32"/>
    <w:rsid w:val="00780B72"/>
    <w:rsid w:val="00785779"/>
    <w:rsid w:val="0078774F"/>
    <w:rsid w:val="0078796F"/>
    <w:rsid w:val="007965D0"/>
    <w:rsid w:val="00796608"/>
    <w:rsid w:val="007E247F"/>
    <w:rsid w:val="007F417E"/>
    <w:rsid w:val="00823E19"/>
    <w:rsid w:val="0083023F"/>
    <w:rsid w:val="00835311"/>
    <w:rsid w:val="0084023B"/>
    <w:rsid w:val="00844F16"/>
    <w:rsid w:val="008578CD"/>
    <w:rsid w:val="00885622"/>
    <w:rsid w:val="008A5719"/>
    <w:rsid w:val="008A58E6"/>
    <w:rsid w:val="008A693C"/>
    <w:rsid w:val="008B001E"/>
    <w:rsid w:val="008B5499"/>
    <w:rsid w:val="008C2F1C"/>
    <w:rsid w:val="008C7B64"/>
    <w:rsid w:val="008D2096"/>
    <w:rsid w:val="008D24BE"/>
    <w:rsid w:val="008E6D55"/>
    <w:rsid w:val="008F1C66"/>
    <w:rsid w:val="008F79FF"/>
    <w:rsid w:val="00911869"/>
    <w:rsid w:val="009148A5"/>
    <w:rsid w:val="00915154"/>
    <w:rsid w:val="009217A0"/>
    <w:rsid w:val="0092628F"/>
    <w:rsid w:val="0095330F"/>
    <w:rsid w:val="0095669C"/>
    <w:rsid w:val="00960647"/>
    <w:rsid w:val="009606D8"/>
    <w:rsid w:val="00962424"/>
    <w:rsid w:val="00962725"/>
    <w:rsid w:val="009635CB"/>
    <w:rsid w:val="00974F9A"/>
    <w:rsid w:val="00981C2C"/>
    <w:rsid w:val="00986A86"/>
    <w:rsid w:val="00997B55"/>
    <w:rsid w:val="009A0B73"/>
    <w:rsid w:val="009A4898"/>
    <w:rsid w:val="009A4F98"/>
    <w:rsid w:val="009B1408"/>
    <w:rsid w:val="009C01D1"/>
    <w:rsid w:val="009C46D8"/>
    <w:rsid w:val="009D26EB"/>
    <w:rsid w:val="009E0134"/>
    <w:rsid w:val="00A004DE"/>
    <w:rsid w:val="00A01C5E"/>
    <w:rsid w:val="00A10F23"/>
    <w:rsid w:val="00A36E26"/>
    <w:rsid w:val="00A36F12"/>
    <w:rsid w:val="00A54A51"/>
    <w:rsid w:val="00A617C9"/>
    <w:rsid w:val="00A7792D"/>
    <w:rsid w:val="00A90B48"/>
    <w:rsid w:val="00A93B35"/>
    <w:rsid w:val="00A94169"/>
    <w:rsid w:val="00AA4884"/>
    <w:rsid w:val="00AD5906"/>
    <w:rsid w:val="00AF0764"/>
    <w:rsid w:val="00AF3A7B"/>
    <w:rsid w:val="00B22DA4"/>
    <w:rsid w:val="00B279D3"/>
    <w:rsid w:val="00B51CCD"/>
    <w:rsid w:val="00B61A15"/>
    <w:rsid w:val="00B6296C"/>
    <w:rsid w:val="00B639E4"/>
    <w:rsid w:val="00B64756"/>
    <w:rsid w:val="00B66D04"/>
    <w:rsid w:val="00B77181"/>
    <w:rsid w:val="00B847E7"/>
    <w:rsid w:val="00B87323"/>
    <w:rsid w:val="00B93849"/>
    <w:rsid w:val="00BA05EB"/>
    <w:rsid w:val="00BB0069"/>
    <w:rsid w:val="00BB6719"/>
    <w:rsid w:val="00BB7441"/>
    <w:rsid w:val="00BD6371"/>
    <w:rsid w:val="00BE0E26"/>
    <w:rsid w:val="00BF6782"/>
    <w:rsid w:val="00C066A8"/>
    <w:rsid w:val="00C1062C"/>
    <w:rsid w:val="00C26533"/>
    <w:rsid w:val="00C30650"/>
    <w:rsid w:val="00C42501"/>
    <w:rsid w:val="00C7124E"/>
    <w:rsid w:val="00C80C5B"/>
    <w:rsid w:val="00C84388"/>
    <w:rsid w:val="00C932B1"/>
    <w:rsid w:val="00C97CD8"/>
    <w:rsid w:val="00CA3F8B"/>
    <w:rsid w:val="00CA6A4B"/>
    <w:rsid w:val="00CA7EB6"/>
    <w:rsid w:val="00CE0A2D"/>
    <w:rsid w:val="00CE189D"/>
    <w:rsid w:val="00CE6712"/>
    <w:rsid w:val="00D43B30"/>
    <w:rsid w:val="00D442E0"/>
    <w:rsid w:val="00D46926"/>
    <w:rsid w:val="00D509D0"/>
    <w:rsid w:val="00D645D7"/>
    <w:rsid w:val="00D80DAE"/>
    <w:rsid w:val="00D9069A"/>
    <w:rsid w:val="00DA3B88"/>
    <w:rsid w:val="00DB7151"/>
    <w:rsid w:val="00DC0285"/>
    <w:rsid w:val="00DF41E8"/>
    <w:rsid w:val="00E018DA"/>
    <w:rsid w:val="00E024FD"/>
    <w:rsid w:val="00E02690"/>
    <w:rsid w:val="00E122C8"/>
    <w:rsid w:val="00E41D57"/>
    <w:rsid w:val="00E43981"/>
    <w:rsid w:val="00E46AC6"/>
    <w:rsid w:val="00E57618"/>
    <w:rsid w:val="00EB6999"/>
    <w:rsid w:val="00EC1781"/>
    <w:rsid w:val="00F014D0"/>
    <w:rsid w:val="00F040F0"/>
    <w:rsid w:val="00F05ED5"/>
    <w:rsid w:val="00F06884"/>
    <w:rsid w:val="00F14A92"/>
    <w:rsid w:val="00F433B4"/>
    <w:rsid w:val="00F56B31"/>
    <w:rsid w:val="00F61572"/>
    <w:rsid w:val="00F62345"/>
    <w:rsid w:val="00F73B54"/>
    <w:rsid w:val="00F85704"/>
    <w:rsid w:val="00F905F4"/>
    <w:rsid w:val="00F9594B"/>
    <w:rsid w:val="00F96DA7"/>
    <w:rsid w:val="00FA0911"/>
    <w:rsid w:val="00FC1669"/>
    <w:rsid w:val="00FC2449"/>
    <w:rsid w:val="00FC331F"/>
    <w:rsid w:val="00FC35F7"/>
    <w:rsid w:val="00FC51E5"/>
    <w:rsid w:val="00FD7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9F1640"/>
  <w15:docId w15:val="{C60010DF-9034-4012-8F6B-FB6A7BA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D09"/>
    <w:pPr>
      <w:spacing w:before="120"/>
    </w:pPr>
    <w:rPr>
      <w:sz w:val="24"/>
    </w:rPr>
  </w:style>
  <w:style w:type="paragraph" w:styleId="Heading1">
    <w:name w:val="heading 1"/>
    <w:basedOn w:val="Normal"/>
    <w:next w:val="Normal"/>
    <w:link w:val="Heading1Char"/>
    <w:rsid w:val="00F14A92"/>
    <w:pPr>
      <w:keepNext/>
      <w:numPr>
        <w:numId w:val="2"/>
      </w:numPr>
      <w:spacing w:before="240" w:after="60"/>
      <w:outlineLvl w:val="0"/>
    </w:pPr>
    <w:rPr>
      <w:rFonts w:cs="Arial"/>
      <w:b/>
      <w:bCs/>
      <w:kern w:val="32"/>
      <w:szCs w:val="32"/>
      <w:lang w:val="en-GB" w:eastAsia="ja-JP"/>
    </w:rPr>
  </w:style>
  <w:style w:type="paragraph" w:styleId="Heading2">
    <w:name w:val="heading 2"/>
    <w:basedOn w:val="Normal"/>
    <w:next w:val="Normal"/>
    <w:rsid w:val="00F14A92"/>
    <w:pPr>
      <w:keepNext/>
      <w:numPr>
        <w:ilvl w:val="1"/>
        <w:numId w:val="2"/>
      </w:numPr>
      <w:spacing w:before="240" w:after="60"/>
      <w:outlineLvl w:val="1"/>
    </w:pPr>
    <w:rPr>
      <w:rFonts w:cs="Arial"/>
      <w:b/>
      <w:bCs/>
      <w:iCs/>
      <w:szCs w:val="28"/>
      <w:lang w:val="en-GB" w:eastAsia="ja-JP"/>
    </w:rPr>
  </w:style>
  <w:style w:type="paragraph" w:styleId="Heading3">
    <w:name w:val="heading 3"/>
    <w:basedOn w:val="Normal"/>
    <w:next w:val="Normal"/>
    <w:rsid w:val="00F14A92"/>
    <w:pPr>
      <w:keepNext/>
      <w:numPr>
        <w:ilvl w:val="2"/>
        <w:numId w:val="2"/>
      </w:numPr>
      <w:spacing w:before="240" w:after="60"/>
      <w:outlineLvl w:val="2"/>
    </w:pPr>
    <w:rPr>
      <w:rFonts w:cs="Arial"/>
      <w:b/>
      <w:bCs/>
      <w:szCs w:val="26"/>
      <w:lang w:val="en-GB" w:eastAsia="ja-JP"/>
    </w:rPr>
  </w:style>
  <w:style w:type="paragraph" w:styleId="Heading4">
    <w:name w:val="heading 4"/>
    <w:basedOn w:val="Normal"/>
    <w:next w:val="Normal"/>
    <w:qFormat/>
    <w:rsid w:val="00F14A92"/>
    <w:pPr>
      <w:keepNext/>
      <w:numPr>
        <w:ilvl w:val="3"/>
        <w:numId w:val="2"/>
      </w:numPr>
      <w:spacing w:before="240" w:after="60"/>
      <w:outlineLvl w:val="3"/>
    </w:pPr>
    <w:rPr>
      <w:b/>
      <w:bCs/>
      <w:szCs w:val="28"/>
      <w:lang w:val="en-GB" w:eastAsia="ja-JP"/>
    </w:rPr>
  </w:style>
  <w:style w:type="paragraph" w:styleId="Heading5">
    <w:name w:val="heading 5"/>
    <w:basedOn w:val="Normal"/>
    <w:next w:val="Normal"/>
    <w:qFormat/>
    <w:rsid w:val="00F14A92"/>
    <w:pPr>
      <w:numPr>
        <w:ilvl w:val="4"/>
        <w:numId w:val="2"/>
      </w:numPr>
      <w:spacing w:before="240" w:after="60"/>
      <w:outlineLvl w:val="4"/>
    </w:pPr>
    <w:rPr>
      <w:b/>
      <w:bCs/>
      <w:i/>
      <w:iCs/>
      <w:szCs w:val="26"/>
      <w:lang w:val="en-GB" w:eastAsia="ja-JP"/>
    </w:rPr>
  </w:style>
  <w:style w:type="paragraph" w:styleId="Heading6">
    <w:name w:val="heading 6"/>
    <w:basedOn w:val="Normal"/>
    <w:next w:val="Normal"/>
    <w:rsid w:val="00F14A92"/>
    <w:pPr>
      <w:numPr>
        <w:ilvl w:val="5"/>
        <w:numId w:val="2"/>
      </w:numPr>
      <w:spacing w:before="240" w:after="60"/>
      <w:outlineLvl w:val="5"/>
    </w:pPr>
    <w:rPr>
      <w:b/>
      <w:bCs/>
      <w:szCs w:val="22"/>
      <w:lang w:val="en-GB" w:eastAsia="ja-JP"/>
    </w:rPr>
  </w:style>
  <w:style w:type="paragraph" w:styleId="Heading7">
    <w:name w:val="heading 7"/>
    <w:basedOn w:val="Normal"/>
    <w:next w:val="Normal"/>
    <w:rsid w:val="00F14A92"/>
    <w:pPr>
      <w:numPr>
        <w:ilvl w:val="6"/>
        <w:numId w:val="2"/>
      </w:numPr>
      <w:spacing w:before="240" w:after="60"/>
      <w:outlineLvl w:val="6"/>
    </w:pPr>
    <w:rPr>
      <w:szCs w:val="24"/>
      <w:lang w:val="en-GB" w:eastAsia="ja-JP"/>
    </w:rPr>
  </w:style>
  <w:style w:type="paragraph" w:styleId="Heading8">
    <w:name w:val="heading 8"/>
    <w:basedOn w:val="Normal"/>
    <w:next w:val="Normal"/>
    <w:rsid w:val="00F14A92"/>
    <w:pPr>
      <w:numPr>
        <w:ilvl w:val="7"/>
        <w:numId w:val="2"/>
      </w:numPr>
      <w:spacing w:before="240" w:after="60"/>
      <w:outlineLvl w:val="7"/>
    </w:pPr>
    <w:rPr>
      <w:i/>
      <w:iCs/>
      <w:szCs w:val="24"/>
      <w:lang w:val="en-GB" w:eastAsia="ja-JP"/>
    </w:rPr>
  </w:style>
  <w:style w:type="paragraph" w:styleId="Heading9">
    <w:name w:val="heading 9"/>
    <w:basedOn w:val="Normal"/>
    <w:next w:val="Normal"/>
    <w:rsid w:val="00F14A92"/>
    <w:pPr>
      <w:numPr>
        <w:ilvl w:val="8"/>
        <w:numId w:val="2"/>
      </w:numPr>
      <w:spacing w:before="240" w:after="60"/>
      <w:outlineLvl w:val="8"/>
    </w:pPr>
    <w:rPr>
      <w:rFonts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5595B"/>
    <w:pPr>
      <w:spacing w:after="120"/>
    </w:pPr>
    <w:rPr>
      <w:b/>
      <w:bCs/>
      <w:caps/>
      <w:sz w:val="20"/>
      <w:szCs w:val="24"/>
    </w:rPr>
  </w:style>
  <w:style w:type="paragraph" w:styleId="TOC2">
    <w:name w:val="toc 2"/>
    <w:basedOn w:val="Normal"/>
    <w:next w:val="Normal"/>
    <w:autoRedefine/>
    <w:uiPriority w:val="39"/>
    <w:rsid w:val="00A0117B"/>
    <w:pPr>
      <w:spacing w:before="0"/>
      <w:ind w:left="240"/>
    </w:pPr>
    <w:rPr>
      <w:smallCaps/>
      <w:sz w:val="20"/>
      <w:szCs w:val="24"/>
    </w:rPr>
  </w:style>
  <w:style w:type="paragraph" w:styleId="TOC3">
    <w:name w:val="toc 3"/>
    <w:basedOn w:val="Normal"/>
    <w:next w:val="Normal"/>
    <w:autoRedefine/>
    <w:uiPriority w:val="39"/>
    <w:rsid w:val="00A0117B"/>
    <w:pPr>
      <w:spacing w:before="0"/>
      <w:ind w:left="480"/>
    </w:pPr>
    <w:rPr>
      <w:i/>
      <w:iCs/>
      <w:sz w:val="20"/>
      <w:szCs w:val="24"/>
    </w:rPr>
  </w:style>
  <w:style w:type="character" w:styleId="Hyperlink">
    <w:name w:val="Hyperlink"/>
    <w:uiPriority w:val="99"/>
    <w:rsid w:val="00A0117B"/>
    <w:rPr>
      <w:color w:val="0000FF"/>
      <w:u w:val="single"/>
    </w:rPr>
  </w:style>
  <w:style w:type="paragraph" w:styleId="CommentText">
    <w:name w:val="annotation text"/>
    <w:basedOn w:val="Normal"/>
    <w:semiHidden/>
    <w:rsid w:val="00A0117B"/>
    <w:rPr>
      <w:rFonts w:eastAsia="Times New Roman"/>
      <w:sz w:val="20"/>
      <w:lang w:eastAsia="en-US"/>
    </w:rPr>
  </w:style>
  <w:style w:type="character" w:styleId="FollowedHyperlink">
    <w:name w:val="FollowedHyperlink"/>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val="en-GB"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val="en-GB" w:eastAsia="en-US"/>
    </w:rPr>
  </w:style>
  <w:style w:type="character" w:styleId="CommentReference">
    <w:name w:val="annotation reference"/>
    <w:semiHidden/>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styleId="TOC4">
    <w:name w:val="toc 4"/>
    <w:basedOn w:val="Normal"/>
    <w:next w:val="Normal"/>
    <w:autoRedefine/>
    <w:semiHidden/>
    <w:rsid w:val="00166D09"/>
    <w:pPr>
      <w:spacing w:before="0"/>
      <w:ind w:left="720"/>
    </w:pPr>
    <w:rPr>
      <w:sz w:val="18"/>
      <w:szCs w:val="21"/>
    </w:rPr>
  </w:style>
  <w:style w:type="paragraph" w:styleId="TOC5">
    <w:name w:val="toc 5"/>
    <w:basedOn w:val="Normal"/>
    <w:next w:val="Normal"/>
    <w:autoRedefine/>
    <w:semiHidden/>
    <w:rsid w:val="00166D09"/>
    <w:pPr>
      <w:spacing w:before="0"/>
      <w:ind w:left="960"/>
    </w:pPr>
    <w:rPr>
      <w:sz w:val="18"/>
      <w:szCs w:val="21"/>
    </w:rPr>
  </w:style>
  <w:style w:type="paragraph" w:styleId="TOC6">
    <w:name w:val="toc 6"/>
    <w:basedOn w:val="Normal"/>
    <w:next w:val="Normal"/>
    <w:autoRedefine/>
    <w:semiHidden/>
    <w:rsid w:val="00166D09"/>
    <w:pPr>
      <w:spacing w:before="0"/>
      <w:ind w:left="1200"/>
    </w:pPr>
    <w:rPr>
      <w:sz w:val="18"/>
      <w:szCs w:val="21"/>
    </w:rPr>
  </w:style>
  <w:style w:type="paragraph" w:styleId="TOC7">
    <w:name w:val="toc 7"/>
    <w:basedOn w:val="Normal"/>
    <w:next w:val="Normal"/>
    <w:autoRedefine/>
    <w:semiHidden/>
    <w:rsid w:val="00166D09"/>
    <w:pPr>
      <w:spacing w:before="0"/>
      <w:ind w:left="1440"/>
    </w:pPr>
    <w:rPr>
      <w:sz w:val="18"/>
      <w:szCs w:val="21"/>
    </w:rPr>
  </w:style>
  <w:style w:type="paragraph" w:styleId="TOC8">
    <w:name w:val="toc 8"/>
    <w:basedOn w:val="Normal"/>
    <w:next w:val="Normal"/>
    <w:autoRedefine/>
    <w:semiHidden/>
    <w:rsid w:val="00166D09"/>
    <w:pPr>
      <w:spacing w:before="0"/>
      <w:ind w:left="1680"/>
    </w:pPr>
    <w:rPr>
      <w:sz w:val="18"/>
      <w:szCs w:val="21"/>
    </w:rPr>
  </w:style>
  <w:style w:type="paragraph" w:styleId="TOC9">
    <w:name w:val="toc 9"/>
    <w:basedOn w:val="Normal"/>
    <w:next w:val="Normal"/>
    <w:autoRedefine/>
    <w:semiHidden/>
    <w:rsid w:val="00166D09"/>
    <w:pPr>
      <w:spacing w:before="0"/>
      <w:ind w:left="1920"/>
    </w:pPr>
    <w:rPr>
      <w:sz w:val="18"/>
      <w:szCs w:val="21"/>
    </w:rPr>
  </w:style>
  <w:style w:type="paragraph" w:customStyle="1" w:styleId="FigureNotitle">
    <w:name w:val="Figure_No &amp; title"/>
    <w:basedOn w:val="Normal"/>
    <w:next w:val="Normal"/>
    <w:qFormat/>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paragraph" w:styleId="BalloonText">
    <w:name w:val="Balloon Text"/>
    <w:basedOn w:val="Normal"/>
    <w:semiHidden/>
    <w:rsid w:val="00FE7DA8"/>
    <w:rPr>
      <w:rFonts w:ascii="ヒラギノ角ゴ Pro W3" w:eastAsia="ヒラギノ角ゴ Pro W3"/>
      <w:sz w:val="18"/>
      <w:szCs w:val="18"/>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ingb">
    <w:name w:val="Heading_b"/>
    <w:basedOn w:val="Normal"/>
    <w:next w:val="Normal"/>
    <w:qFormat/>
    <w:rsid w:val="00F14A92"/>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overflowPunct w:val="0"/>
      <w:autoSpaceDE w:val="0"/>
      <w:autoSpaceDN w:val="0"/>
      <w:adjustRightInd w:val="0"/>
      <w:textAlignment w:val="baseline"/>
    </w:pPr>
    <w:rPr>
      <w:smallCaps/>
      <w:sz w:val="20"/>
      <w:szCs w:val="24"/>
      <w:lang w:val="en-GB" w:eastAsia="en-US"/>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F14A92"/>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ja-JP"/>
    </w:rPr>
  </w:style>
  <w:style w:type="paragraph" w:customStyle="1" w:styleId="Headingib">
    <w:name w:val="Heading_ib"/>
    <w:basedOn w:val="Headingi"/>
    <w:qFormat/>
    <w:rsid w:val="00F14A92"/>
    <w:rPr>
      <w:b/>
      <w:bCs/>
    </w:rPr>
  </w:style>
  <w:style w:type="paragraph" w:customStyle="1" w:styleId="Tablehead">
    <w:name w:val="Table_head"/>
    <w:basedOn w:val="Normal"/>
    <w:next w:val="Normal"/>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text">
    <w:name w:val="Table_text"/>
    <w:basedOn w:val="Normal"/>
    <w:rsid w:val="00F14A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paragraph" w:customStyle="1" w:styleId="Figure">
    <w:name w:val="Figure"/>
    <w:basedOn w:val="Normal"/>
    <w:next w:val="Normal"/>
    <w:rsid w:val="00F14A9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val="en-GB" w:eastAsia="en-US"/>
    </w:rPr>
  </w:style>
  <w:style w:type="paragraph" w:styleId="List2">
    <w:name w:val="List 2"/>
    <w:basedOn w:val="Normal"/>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val="en-GB"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val="en-GB"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val="en-GB"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val="en-GB" w:eastAsia="en-US"/>
    </w:rPr>
  </w:style>
  <w:style w:type="paragraph" w:styleId="Caption">
    <w:name w:val="caption"/>
    <w:basedOn w:val="Normal"/>
    <w:next w:val="Normal"/>
    <w:rsid w:val="0060241A"/>
    <w:pPr>
      <w:spacing w:after="120"/>
      <w:jc w:val="center"/>
    </w:pPr>
    <w:rPr>
      <w:rFonts w:eastAsia="Times New Roman"/>
      <w:b/>
      <w:bCs/>
      <w:szCs w:val="24"/>
      <w:lang w:val="en-GB" w:eastAsia="en-US"/>
    </w:rPr>
  </w:style>
  <w:style w:type="paragraph" w:customStyle="1" w:styleId="Tablelegend">
    <w:name w:val="Table_legend"/>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val="en-GB" w:eastAsia="en-US"/>
    </w:rPr>
  </w:style>
  <w:style w:type="paragraph" w:styleId="TOCHeading">
    <w:name w:val="TOC Heading"/>
    <w:basedOn w:val="Heading1"/>
    <w:next w:val="Normal"/>
    <w:uiPriority w:val="39"/>
    <w:semiHidden/>
    <w:unhideWhenUsed/>
    <w:qFormat/>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Heading1Char">
    <w:name w:val="Heading 1 Char"/>
    <w:link w:val="Heading1"/>
    <w:rsid w:val="009635CB"/>
    <w:rPr>
      <w:rFonts w:cs="Arial"/>
      <w:b/>
      <w:bCs/>
      <w:kern w:val="32"/>
      <w:sz w:val="24"/>
      <w:szCs w:val="32"/>
      <w:lang w:val="en-GB" w:eastAsia="ja-JP"/>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character" w:styleId="UnresolvedMention">
    <w:name w:val="Unresolved Mention"/>
    <w:basedOn w:val="DefaultParagraphFont"/>
    <w:uiPriority w:val="99"/>
    <w:semiHidden/>
    <w:unhideWhenUsed/>
    <w:rsid w:val="00DA3B88"/>
    <w:rPr>
      <w:color w:val="605E5C"/>
      <w:shd w:val="clear" w:color="auto" w:fill="E1DFDD"/>
    </w:rPr>
  </w:style>
  <w:style w:type="paragraph" w:styleId="ListParagraph">
    <w:name w:val="List Paragraph"/>
    <w:basedOn w:val="Normal"/>
    <w:uiPriority w:val="34"/>
    <w:qFormat/>
    <w:rsid w:val="004E76EC"/>
    <w:pPr>
      <w:ind w:left="720"/>
      <w:contextualSpacing/>
    </w:pPr>
  </w:style>
  <w:style w:type="paragraph" w:styleId="FootnoteText">
    <w:name w:val="footnote text"/>
    <w:basedOn w:val="Normal"/>
    <w:link w:val="FootnoteTextChar"/>
    <w:rsid w:val="004509BB"/>
    <w:pPr>
      <w:tabs>
        <w:tab w:val="left" w:pos="256"/>
        <w:tab w:val="left" w:pos="794"/>
        <w:tab w:val="left" w:pos="1191"/>
        <w:tab w:val="left" w:pos="1588"/>
        <w:tab w:val="left" w:pos="1985"/>
      </w:tabs>
      <w:overflowPunct w:val="0"/>
      <w:autoSpaceDE w:val="0"/>
      <w:autoSpaceDN w:val="0"/>
      <w:adjustRightInd w:val="0"/>
      <w:spacing w:before="136"/>
      <w:jc w:val="both"/>
      <w:textAlignment w:val="baseline"/>
    </w:pPr>
    <w:rPr>
      <w:rFonts w:eastAsia="Times New Roman"/>
      <w:sz w:val="18"/>
      <w:lang w:val="en-GB" w:eastAsia="en-US"/>
    </w:rPr>
  </w:style>
  <w:style w:type="character" w:customStyle="1" w:styleId="FootnoteTextChar">
    <w:name w:val="Footnote Text Char"/>
    <w:basedOn w:val="DefaultParagraphFont"/>
    <w:link w:val="FootnoteText"/>
    <w:rsid w:val="004509BB"/>
    <w:rPr>
      <w:rFonts w:eastAsia="Times New Roman"/>
      <w:sz w:val="18"/>
      <w:lang w:val="en-GB" w:eastAsia="en-US"/>
    </w:rPr>
  </w:style>
  <w:style w:type="character" w:styleId="FootnoteReference">
    <w:name w:val="footnote reference"/>
    <w:basedOn w:val="DefaultParagraphFont"/>
    <w:rsid w:val="004509BB"/>
    <w:rPr>
      <w:position w:val="6"/>
      <w:sz w:val="16"/>
    </w:rPr>
  </w:style>
  <w:style w:type="character" w:styleId="PlaceholderText">
    <w:name w:val="Placeholder Text"/>
    <w:basedOn w:val="DefaultParagraphFont"/>
    <w:uiPriority w:val="99"/>
    <w:semiHidden/>
    <w:rsid w:val="008A5719"/>
  </w:style>
  <w:style w:type="paragraph" w:customStyle="1" w:styleId="Docnumber">
    <w:name w:val="Docnumber"/>
    <w:basedOn w:val="Normal"/>
    <w:link w:val="DocnumberChar"/>
    <w:rsid w:val="00135F89"/>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32"/>
      <w:szCs w:val="24"/>
      <w:lang w:val="en-GB" w:eastAsia="en-US"/>
    </w:rPr>
  </w:style>
  <w:style w:type="character" w:customStyle="1" w:styleId="DocnumberChar">
    <w:name w:val="Docnumber Char"/>
    <w:basedOn w:val="DefaultParagraphFont"/>
    <w:link w:val="Docnumber"/>
    <w:rsid w:val="00135F89"/>
    <w:rPr>
      <w:rFonts w:eastAsia="Times New Roman"/>
      <w:b/>
      <w:bCs/>
      <w:sz w:val="32"/>
      <w:szCs w:val="24"/>
      <w:lang w:val="en-GB" w:eastAsia="en-US"/>
    </w:rPr>
  </w:style>
  <w:style w:type="character" w:customStyle="1" w:styleId="HeaderChar">
    <w:name w:val="Header Char"/>
    <w:basedOn w:val="DefaultParagraphFont"/>
    <w:link w:val="Header"/>
    <w:rsid w:val="00135F89"/>
    <w:rPr>
      <w:sz w:val="24"/>
    </w:rPr>
  </w:style>
  <w:style w:type="paragraph" w:customStyle="1" w:styleId="TPapproval">
    <w:name w:val="TPapproval"/>
    <w:basedOn w:val="Normal"/>
    <w:rsid w:val="00FC2449"/>
    <w:pPr>
      <w:wordWrap w:val="0"/>
      <w:spacing w:before="284"/>
      <w:jc w:val="right"/>
    </w:pPr>
    <w:rPr>
      <w:rFonts w:ascii="Arial" w:hAnsi="Arial"/>
      <w:sz w:val="28"/>
      <w:lang w:val="en-GB"/>
    </w:rPr>
  </w:style>
  <w:style w:type="paragraph" w:customStyle="1" w:styleId="TPnumber">
    <w:name w:val="TPnumber"/>
    <w:basedOn w:val="Normal"/>
    <w:rsid w:val="00FC2449"/>
    <w:pPr>
      <w:tabs>
        <w:tab w:val="right" w:pos="9639"/>
      </w:tabs>
    </w:pPr>
    <w:rPr>
      <w:rFonts w:ascii="Arial" w:hAnsi="Arial" w:cs="Arial"/>
      <w:b/>
      <w:bCs/>
      <w:sz w:val="36"/>
      <w:lang w:val="en-GB"/>
    </w:rPr>
  </w:style>
  <w:style w:type="paragraph" w:customStyle="1" w:styleId="TPtitle">
    <w:name w:val="TPtitle"/>
    <w:basedOn w:val="Normal"/>
    <w:rsid w:val="00FC2449"/>
    <w:pPr>
      <w:tabs>
        <w:tab w:val="right" w:pos="9639"/>
      </w:tabs>
    </w:pPr>
    <w:rPr>
      <w:rFonts w:ascii="Arial" w:hAnsi="Arial" w:cs="Arial"/>
      <w:b/>
      <w:bCs/>
      <w:sz w:val="36"/>
      <w:lang w:val="en-GB"/>
    </w:rPr>
  </w:style>
  <w:style w:type="character" w:customStyle="1" w:styleId="FooterChar">
    <w:name w:val="Footer Char"/>
    <w:basedOn w:val="DefaultParagraphFont"/>
    <w:link w:val="Footer"/>
    <w:rsid w:val="008C7B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06993">
      <w:bodyDiv w:val="1"/>
      <w:marLeft w:val="0"/>
      <w:marRight w:val="0"/>
      <w:marTop w:val="0"/>
      <w:marBottom w:val="0"/>
      <w:divBdr>
        <w:top w:val="none" w:sz="0" w:space="0" w:color="auto"/>
        <w:left w:val="none" w:sz="0" w:space="0" w:color="auto"/>
        <w:bottom w:val="none" w:sz="0" w:space="0" w:color="auto"/>
        <w:right w:val="none" w:sz="0" w:space="0" w:color="auto"/>
      </w:divBdr>
    </w:div>
    <w:div w:id="688332799">
      <w:bodyDiv w:val="1"/>
      <w:marLeft w:val="0"/>
      <w:marRight w:val="0"/>
      <w:marTop w:val="0"/>
      <w:marBottom w:val="0"/>
      <w:divBdr>
        <w:top w:val="none" w:sz="0" w:space="0" w:color="auto"/>
        <w:left w:val="none" w:sz="0" w:space="0" w:color="auto"/>
        <w:bottom w:val="none" w:sz="0" w:space="0" w:color="auto"/>
        <w:right w:val="none" w:sz="0" w:space="0" w:color="auto"/>
      </w:divBdr>
    </w:div>
    <w:div w:id="128518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s\ejacstr\Documents\JVET\Brussels2020\BDrate\hm-16.20_vs_vtm-7.0_template_from_JVET-O0003.xlsm"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Users\bossen\Library\Containers\com.apple.mail\Data\Library\Mail%20Downloads\9F359C64-FC75-4D5D-AE21-27BB850EA64E\hm-16.20_vs_vtm-7.0_template_from_JVET-O0003.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5" b="1" i="0" strike="noStrike" baseline="0">
                <a:solidFill>
                  <a:srgbClr val="000000"/>
                </a:solidFill>
                <a:latin typeface="Arial"/>
                <a:ea typeface="Arial"/>
                <a:cs typeface="Arial"/>
              </a:defRPr>
            </a:pPr>
            <a:r>
              <a:rPr lang="en-US"/>
              <a:t>PSNR_Y vs bit rate</a:t>
            </a:r>
          </a:p>
        </c:rich>
      </c:tx>
      <c:layout>
        <c:manualLayout>
          <c:xMode val="edge"/>
          <c:yMode val="edge"/>
          <c:x val="0.42148731408573897"/>
          <c:y val="3.1413643388034401E-2"/>
        </c:manualLayout>
      </c:layout>
      <c:overlay val="0"/>
      <c:spPr>
        <a:noFill/>
        <a:ln w="25400">
          <a:noFill/>
          <a:prstDash val="solid"/>
        </a:ln>
      </c:spPr>
    </c:title>
    <c:autoTitleDeleted val="0"/>
    <c:plotArea>
      <c:layout>
        <c:manualLayout>
          <c:layoutTarget val="inner"/>
          <c:xMode val="edge"/>
          <c:yMode val="edge"/>
          <c:x val="7.9338794950852096E-2"/>
          <c:y val="0.115183282880784"/>
          <c:w val="0.874379636020849"/>
          <c:h val="0.76439815002701905"/>
        </c:manualLayout>
      </c:layout>
      <c:scatterChart>
        <c:scatterStyle val="smoothMarker"/>
        <c:varyColors val="0"/>
        <c:ser>
          <c:idx val="0"/>
          <c:order val="0"/>
          <c:tx>
            <c:strRef>
              <c:f>Summary!$J$3</c:f>
              <c:strCache>
                <c:ptCount val="1"/>
                <c:pt idx="0">
                  <c:v>hm-16.20</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xVal>
            <c:numRef>
              <c:f>Plot!$AD$3:$AD$6</c:f>
              <c:numCache>
                <c:formatCode>General</c:formatCode>
                <c:ptCount val="4"/>
                <c:pt idx="0">
                  <c:v>29419.763299999999</c:v>
                </c:pt>
                <c:pt idx="1">
                  <c:v>8876.1633000000002</c:v>
                </c:pt>
                <c:pt idx="2">
                  <c:v>4564.6040999999996</c:v>
                </c:pt>
                <c:pt idx="3">
                  <c:v>2551.3730999999998</c:v>
                </c:pt>
              </c:numCache>
            </c:numRef>
          </c:xVal>
          <c:yVal>
            <c:numRef>
              <c:f>Plot!$AE$3:$AE$6</c:f>
              <c:numCache>
                <c:formatCode>General</c:formatCode>
                <c:ptCount val="4"/>
                <c:pt idx="0">
                  <c:v>40.194899999999997</c:v>
                </c:pt>
                <c:pt idx="1">
                  <c:v>39.4375</c:v>
                </c:pt>
                <c:pt idx="2">
                  <c:v>38.424600000000012</c:v>
                </c:pt>
                <c:pt idx="3">
                  <c:v>36.903000000000013</c:v>
                </c:pt>
              </c:numCache>
            </c:numRef>
          </c:yVal>
          <c:smooth val="1"/>
          <c:extLst>
            <c:ext xmlns:c16="http://schemas.microsoft.com/office/drawing/2014/chart" uri="{C3380CC4-5D6E-409C-BE32-E72D297353CC}">
              <c16:uniqueId val="{00000000-751F-499A-B7DD-DF0672FF3092}"/>
            </c:ext>
          </c:extLst>
        </c:ser>
        <c:ser>
          <c:idx val="1"/>
          <c:order val="1"/>
          <c:tx>
            <c:strRef>
              <c:f>Summary!$J$4</c:f>
              <c:strCache>
                <c:ptCount val="1"/>
                <c:pt idx="0">
                  <c:v>vtm-7.0</c:v>
                </c:pt>
              </c:strCache>
            </c:strRef>
          </c:tx>
          <c:spPr>
            <a:ln w="12700">
              <a:solidFill>
                <a:srgbClr val="DD2D32"/>
              </a:solidFill>
              <a:prstDash val="solid"/>
            </a:ln>
          </c:spPr>
          <c:marker>
            <c:symbol val="square"/>
            <c:size val="5"/>
            <c:spPr>
              <a:solidFill>
                <a:srgbClr val="DD2D32"/>
              </a:solidFill>
              <a:ln>
                <a:solidFill>
                  <a:srgbClr val="DD2D32"/>
                </a:solidFill>
                <a:prstDash val="solid"/>
              </a:ln>
            </c:spPr>
          </c:marker>
          <c:xVal>
            <c:numRef>
              <c:f>Plot!$AI$3:$AI$6</c:f>
              <c:numCache>
                <c:formatCode>General</c:formatCode>
                <c:ptCount val="4"/>
                <c:pt idx="0">
                  <c:v>28020.4506</c:v>
                </c:pt>
                <c:pt idx="1">
                  <c:v>7622.8327000000008</c:v>
                </c:pt>
                <c:pt idx="2">
                  <c:v>3661.6196</c:v>
                </c:pt>
                <c:pt idx="3">
                  <c:v>1979.0171</c:v>
                </c:pt>
              </c:numCache>
            </c:numRef>
          </c:xVal>
          <c:yVal>
            <c:numRef>
              <c:f>Plot!$AJ$3:$AJ$6</c:f>
              <c:numCache>
                <c:formatCode>General</c:formatCode>
                <c:ptCount val="4"/>
                <c:pt idx="0">
                  <c:v>40.378400000000013</c:v>
                </c:pt>
                <c:pt idx="1">
                  <c:v>39.704800000000013</c:v>
                </c:pt>
                <c:pt idx="2">
                  <c:v>38.8551</c:v>
                </c:pt>
                <c:pt idx="3">
                  <c:v>37.539400000000001</c:v>
                </c:pt>
              </c:numCache>
            </c:numRef>
          </c:yVal>
          <c:smooth val="1"/>
          <c:extLst>
            <c:ext xmlns:c16="http://schemas.microsoft.com/office/drawing/2014/chart" uri="{C3380CC4-5D6E-409C-BE32-E72D297353CC}">
              <c16:uniqueId val="{00000001-751F-499A-B7DD-DF0672FF3092}"/>
            </c:ext>
          </c:extLst>
        </c:ser>
        <c:dLbls>
          <c:showLegendKey val="0"/>
          <c:showVal val="0"/>
          <c:showCatName val="0"/>
          <c:showSerName val="0"/>
          <c:showPercent val="0"/>
          <c:showBubbleSize val="0"/>
        </c:dLbls>
        <c:axId val="2080589128"/>
        <c:axId val="-2123887272"/>
      </c:scatterChart>
      <c:valAx>
        <c:axId val="2080589128"/>
        <c:scaling>
          <c:orientation val="minMax"/>
        </c:scaling>
        <c:delete val="0"/>
        <c:axPos val="b"/>
        <c:title>
          <c:tx>
            <c:rich>
              <a:bodyPr/>
              <a:lstStyle/>
              <a:p>
                <a:pPr>
                  <a:defRPr sz="900" b="1" i="0" strike="noStrike" baseline="0">
                    <a:solidFill>
                      <a:srgbClr val="000000"/>
                    </a:solidFill>
                    <a:latin typeface="Arial"/>
                    <a:ea typeface="Arial"/>
                    <a:cs typeface="Arial"/>
                  </a:defRPr>
                </a:pPr>
                <a:r>
                  <a:rPr lang="en-US"/>
                  <a:t>bit rate (kbps)</a:t>
                </a:r>
              </a:p>
            </c:rich>
          </c:tx>
          <c:layout>
            <c:manualLayout>
              <c:xMode val="edge"/>
              <c:yMode val="edge"/>
              <c:x val="0.45950383979780302"/>
              <c:y val="0.92931949861407503"/>
            </c:manualLayout>
          </c:layout>
          <c:overlay val="0"/>
          <c:spPr>
            <a:noFill/>
            <a:ln w="25400">
              <a:noFill/>
              <a:prstDash val="solid"/>
            </a:ln>
          </c:spPr>
        </c:title>
        <c:numFmt formatCode="General" sourceLinked="1"/>
        <c:majorTickMark val="out"/>
        <c:minorTickMark val="none"/>
        <c:tickLblPos val="nextTo"/>
        <c:spPr>
          <a:ln w="3175">
            <a:solidFill>
              <a:srgbClr val="000000"/>
            </a:solidFill>
            <a:prstDash val="solid"/>
          </a:ln>
        </c:spPr>
        <c:txPr>
          <a:bodyPr rot="0" vert="horz"/>
          <a:lstStyle/>
          <a:p>
            <a:pPr>
              <a:defRPr sz="900" b="0" i="0" strike="noStrike" baseline="0">
                <a:solidFill>
                  <a:srgbClr val="000000"/>
                </a:solidFill>
                <a:latin typeface="Arial"/>
                <a:ea typeface="Arial"/>
                <a:cs typeface="Arial"/>
              </a:defRPr>
            </a:pPr>
            <a:endParaRPr lang="en-US"/>
          </a:p>
        </c:txPr>
        <c:crossAx val="-2123887272"/>
        <c:crosses val="autoZero"/>
        <c:crossBetween val="midCat"/>
      </c:valAx>
      <c:valAx>
        <c:axId val="-2123887272"/>
        <c:scaling>
          <c:orientation val="minMax"/>
          <c:max val="41"/>
          <c:min val="37"/>
        </c:scaling>
        <c:delete val="0"/>
        <c:axPos val="l"/>
        <c:majorGridlines>
          <c:spPr>
            <a:ln w="3175">
              <a:solidFill>
                <a:srgbClr val="000000"/>
              </a:solidFill>
              <a:prstDash val="solid"/>
            </a:ln>
          </c:spPr>
        </c:majorGridlines>
        <c:minorGridlines>
          <c:spPr>
            <a:ln w="3175">
              <a:solidFill>
                <a:srgbClr val="808080"/>
              </a:solidFill>
              <a:prstDash val="solid"/>
            </a:ln>
          </c:spPr>
        </c:minorGridlines>
        <c:title>
          <c:tx>
            <c:rich>
              <a:bodyPr/>
              <a:lstStyle/>
              <a:p>
                <a:pPr>
                  <a:defRPr sz="900" b="1" i="0" strike="noStrike" baseline="0">
                    <a:solidFill>
                      <a:srgbClr val="000000"/>
                    </a:solidFill>
                    <a:latin typeface="Arial"/>
                    <a:ea typeface="Arial"/>
                    <a:cs typeface="Arial"/>
                  </a:defRPr>
                </a:pPr>
                <a:r>
                  <a:rPr lang="en-US"/>
                  <a:t>PSNR_Y (dB)</a:t>
                </a:r>
              </a:p>
            </c:rich>
          </c:tx>
          <c:layout>
            <c:manualLayout>
              <c:xMode val="edge"/>
              <c:yMode val="edge"/>
              <c:x val="1.6730264486169995E-2"/>
              <c:y val="0.42146615658202718"/>
            </c:manualLayout>
          </c:layout>
          <c:overlay val="0"/>
          <c:spPr>
            <a:noFill/>
            <a:ln w="25400">
              <a:noFill/>
              <a:prstDash val="solid"/>
            </a:ln>
          </c:spPr>
        </c:title>
        <c:numFmt formatCode="General" sourceLinked="1"/>
        <c:majorTickMark val="out"/>
        <c:minorTickMark val="none"/>
        <c:tickLblPos val="nextTo"/>
        <c:spPr>
          <a:ln w="3175">
            <a:solidFill>
              <a:srgbClr val="000000"/>
            </a:solidFill>
            <a:prstDash val="solid"/>
          </a:ln>
        </c:spPr>
        <c:txPr>
          <a:bodyPr rot="0" vert="horz"/>
          <a:lstStyle/>
          <a:p>
            <a:pPr>
              <a:defRPr sz="900" b="0" i="0" strike="noStrike" baseline="0">
                <a:solidFill>
                  <a:srgbClr val="000000"/>
                </a:solidFill>
                <a:latin typeface="Arial"/>
                <a:ea typeface="Arial"/>
                <a:cs typeface="Arial"/>
              </a:defRPr>
            </a:pPr>
            <a:endParaRPr lang="en-US"/>
          </a:p>
        </c:txPr>
        <c:crossAx val="2080589128"/>
        <c:crosses val="autoZero"/>
        <c:crossBetween val="midCat"/>
        <c:majorUnit val="1"/>
        <c:minorUnit val="0.5"/>
      </c:valAx>
    </c:plotArea>
    <c:legend>
      <c:legendPos val="r"/>
      <c:legendEntry>
        <c:idx val="0"/>
        <c:txPr>
          <a:bodyPr/>
          <a:lstStyle/>
          <a:p>
            <a:pPr>
              <a:defRPr sz="1000" b="0" i="0" strike="noStrike" baseline="0">
                <a:solidFill>
                  <a:srgbClr val="000000"/>
                </a:solidFill>
                <a:latin typeface="Arial"/>
                <a:ea typeface="Arial"/>
                <a:cs typeface="Arial"/>
              </a:defRPr>
            </a:pPr>
            <a:endParaRPr lang="en-US"/>
          </a:p>
        </c:txPr>
      </c:legendEntry>
      <c:legendEntry>
        <c:idx val="1"/>
        <c:txPr>
          <a:bodyPr/>
          <a:lstStyle/>
          <a:p>
            <a:pPr>
              <a:defRPr sz="1000" b="0" i="0" strike="noStrike" baseline="0">
                <a:solidFill>
                  <a:srgbClr val="000000"/>
                </a:solidFill>
                <a:latin typeface="Arial"/>
                <a:ea typeface="Arial"/>
                <a:cs typeface="Arial"/>
              </a:defRPr>
            </a:pPr>
            <a:endParaRPr lang="en-US"/>
          </a:p>
        </c:txPr>
      </c:legendEntry>
      <c:layout>
        <c:manualLayout>
          <c:xMode val="edge"/>
          <c:yMode val="edge"/>
          <c:x val="0.64892431834450504"/>
          <c:y val="0.74355905511811005"/>
          <c:w val="0.29305375716924298"/>
          <c:h val="9.6969019059533507E-2"/>
        </c:manualLayout>
      </c:layout>
      <c:overlay val="0"/>
      <c:spPr>
        <a:solidFill>
          <a:srgbClr val="FFFFFF"/>
        </a:solidFill>
        <a:ln w="3175">
          <a:solidFill>
            <a:srgbClr val="000000"/>
          </a:solidFill>
          <a:prstDash val="solid"/>
        </a:ln>
      </c:spPr>
      <c:txPr>
        <a:bodyPr/>
        <a:lstStyle/>
        <a:p>
          <a:pPr>
            <a:defRPr sz="630" b="0" i="0" strike="noStrike" baseline="0">
              <a:solidFill>
                <a:srgbClr val="000000"/>
              </a:solidFill>
              <a:latin typeface="Arial"/>
              <a:ea typeface="Arial"/>
              <a:cs typeface="Arial"/>
            </a:defRPr>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5" b="1" i="0" strike="noStrike" baseline="0">
                <a:solidFill>
                  <a:srgbClr val="000000"/>
                </a:solidFill>
                <a:latin typeface="Arial"/>
                <a:ea typeface="Arial"/>
                <a:cs typeface="Arial"/>
              </a:defRPr>
            </a:pPr>
            <a:r>
              <a:rPr lang="en-US"/>
              <a:t>PSNR_Y vs bit rate (in log scale)</a:t>
            </a:r>
          </a:p>
        </c:rich>
      </c:tx>
      <c:layout>
        <c:manualLayout>
          <c:xMode val="edge"/>
          <c:yMode val="edge"/>
          <c:x val="0.36303620493800798"/>
          <c:y val="3.1331531319779102E-2"/>
        </c:manualLayout>
      </c:layout>
      <c:overlay val="0"/>
      <c:spPr>
        <a:noFill/>
        <a:ln w="25400">
          <a:noFill/>
          <a:prstDash val="solid"/>
        </a:ln>
      </c:spPr>
    </c:title>
    <c:autoTitleDeleted val="0"/>
    <c:plotArea>
      <c:layout>
        <c:manualLayout>
          <c:layoutTarget val="inner"/>
          <c:xMode val="edge"/>
          <c:yMode val="edge"/>
          <c:x val="8.0858069520841902E-2"/>
          <c:y val="0.114882616374075"/>
          <c:w val="0.85478530636318595"/>
          <c:h val="0.76501378630918004"/>
        </c:manualLayout>
      </c:layout>
      <c:scatterChart>
        <c:scatterStyle val="smoothMarker"/>
        <c:varyColors val="0"/>
        <c:ser>
          <c:idx val="0"/>
          <c:order val="0"/>
          <c:tx>
            <c:strRef>
              <c:f>Summary!$J$3</c:f>
              <c:strCache>
                <c:ptCount val="1"/>
                <c:pt idx="0">
                  <c:v>hm-16.20</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xVal>
            <c:numRef>
              <c:f>Plot!$AD$3:$AD$6</c:f>
              <c:numCache>
                <c:formatCode>General</c:formatCode>
                <c:ptCount val="4"/>
                <c:pt idx="0">
                  <c:v>29419.763299999999</c:v>
                </c:pt>
                <c:pt idx="1">
                  <c:v>8876.1633000000002</c:v>
                </c:pt>
                <c:pt idx="2">
                  <c:v>4564.6040999999996</c:v>
                </c:pt>
                <c:pt idx="3">
                  <c:v>2551.3730999999998</c:v>
                </c:pt>
              </c:numCache>
            </c:numRef>
          </c:xVal>
          <c:yVal>
            <c:numRef>
              <c:f>Plot!$AE$3:$AE$6</c:f>
              <c:numCache>
                <c:formatCode>General</c:formatCode>
                <c:ptCount val="4"/>
                <c:pt idx="0">
                  <c:v>40.194899999999997</c:v>
                </c:pt>
                <c:pt idx="1">
                  <c:v>39.4375</c:v>
                </c:pt>
                <c:pt idx="2">
                  <c:v>38.424599999999998</c:v>
                </c:pt>
                <c:pt idx="3">
                  <c:v>36.902999999999999</c:v>
                </c:pt>
              </c:numCache>
            </c:numRef>
          </c:yVal>
          <c:smooth val="1"/>
          <c:extLst>
            <c:ext xmlns:c16="http://schemas.microsoft.com/office/drawing/2014/chart" uri="{C3380CC4-5D6E-409C-BE32-E72D297353CC}">
              <c16:uniqueId val="{00000000-111A-DD44-852C-ACB3DC7E6B65}"/>
            </c:ext>
          </c:extLst>
        </c:ser>
        <c:ser>
          <c:idx val="1"/>
          <c:order val="1"/>
          <c:tx>
            <c:strRef>
              <c:f>Summary!$J$4</c:f>
              <c:strCache>
                <c:ptCount val="1"/>
                <c:pt idx="0">
                  <c:v>vtm-7.0</c:v>
                </c:pt>
              </c:strCache>
            </c:strRef>
          </c:tx>
          <c:spPr>
            <a:ln w="12700">
              <a:solidFill>
                <a:srgbClr val="DD2D32"/>
              </a:solidFill>
              <a:prstDash val="solid"/>
            </a:ln>
          </c:spPr>
          <c:marker>
            <c:symbol val="square"/>
            <c:size val="5"/>
            <c:spPr>
              <a:solidFill>
                <a:srgbClr val="DD2D32"/>
              </a:solidFill>
              <a:ln>
                <a:solidFill>
                  <a:srgbClr val="DD2D32"/>
                </a:solidFill>
                <a:prstDash val="solid"/>
              </a:ln>
            </c:spPr>
          </c:marker>
          <c:xVal>
            <c:numRef>
              <c:f>Plot!$AI$3:$AI$6</c:f>
              <c:numCache>
                <c:formatCode>General</c:formatCode>
                <c:ptCount val="4"/>
                <c:pt idx="0">
                  <c:v>28020.4506</c:v>
                </c:pt>
                <c:pt idx="1">
                  <c:v>7622.8326999999999</c:v>
                </c:pt>
                <c:pt idx="2">
                  <c:v>3661.6196</c:v>
                </c:pt>
                <c:pt idx="3">
                  <c:v>1979.0171</c:v>
                </c:pt>
              </c:numCache>
            </c:numRef>
          </c:xVal>
          <c:yVal>
            <c:numRef>
              <c:f>Plot!$AJ$3:$AJ$6</c:f>
              <c:numCache>
                <c:formatCode>General</c:formatCode>
                <c:ptCount val="4"/>
                <c:pt idx="0">
                  <c:v>40.378399999999999</c:v>
                </c:pt>
                <c:pt idx="1">
                  <c:v>39.704799999999999</c:v>
                </c:pt>
                <c:pt idx="2">
                  <c:v>38.8551</c:v>
                </c:pt>
                <c:pt idx="3">
                  <c:v>37.539400000000001</c:v>
                </c:pt>
              </c:numCache>
            </c:numRef>
          </c:yVal>
          <c:smooth val="1"/>
          <c:extLst>
            <c:ext xmlns:c16="http://schemas.microsoft.com/office/drawing/2014/chart" uri="{C3380CC4-5D6E-409C-BE32-E72D297353CC}">
              <c16:uniqueId val="{00000001-111A-DD44-852C-ACB3DC7E6B65}"/>
            </c:ext>
          </c:extLst>
        </c:ser>
        <c:dLbls>
          <c:showLegendKey val="0"/>
          <c:showVal val="0"/>
          <c:showCatName val="0"/>
          <c:showSerName val="0"/>
          <c:showPercent val="0"/>
          <c:showBubbleSize val="0"/>
        </c:dLbls>
        <c:axId val="2144473272"/>
        <c:axId val="-2123880856"/>
      </c:scatterChart>
      <c:valAx>
        <c:axId val="2144473272"/>
        <c:scaling>
          <c:logBase val="10"/>
          <c:orientation val="minMax"/>
          <c:max val="100000"/>
          <c:min val="1000"/>
        </c:scaling>
        <c:delete val="0"/>
        <c:axPos val="b"/>
        <c:title>
          <c:tx>
            <c:rich>
              <a:bodyPr/>
              <a:lstStyle/>
              <a:p>
                <a:pPr>
                  <a:defRPr sz="900" b="1" i="0" strike="noStrike" baseline="0">
                    <a:solidFill>
                      <a:srgbClr val="000000"/>
                    </a:solidFill>
                    <a:latin typeface="Arial"/>
                    <a:ea typeface="Arial"/>
                    <a:cs typeface="Arial"/>
                  </a:defRPr>
                </a:pPr>
                <a:r>
                  <a:rPr lang="en-US"/>
                  <a:t>bit rate (kbps)</a:t>
                </a:r>
              </a:p>
            </c:rich>
          </c:tx>
          <c:layout>
            <c:manualLayout>
              <c:xMode val="edge"/>
              <c:yMode val="edge"/>
              <c:x val="0.45709564356243398"/>
              <c:y val="0.92950464214361295"/>
            </c:manualLayout>
          </c:layout>
          <c:overlay val="0"/>
          <c:spPr>
            <a:noFill/>
            <a:ln w="25400">
              <a:noFill/>
              <a:prstDash val="solid"/>
            </a:ln>
          </c:spPr>
        </c:title>
        <c:numFmt formatCode="General" sourceLinked="1"/>
        <c:majorTickMark val="out"/>
        <c:minorTickMark val="none"/>
        <c:tickLblPos val="nextTo"/>
        <c:spPr>
          <a:ln w="3175">
            <a:solidFill>
              <a:srgbClr val="000000"/>
            </a:solidFill>
            <a:prstDash val="solid"/>
          </a:ln>
        </c:spPr>
        <c:txPr>
          <a:bodyPr rot="0" vert="horz"/>
          <a:lstStyle/>
          <a:p>
            <a:pPr>
              <a:defRPr sz="900" b="0" i="0" strike="noStrike" baseline="0">
                <a:solidFill>
                  <a:srgbClr val="000000"/>
                </a:solidFill>
                <a:latin typeface="Arial"/>
                <a:ea typeface="Arial"/>
                <a:cs typeface="Arial"/>
              </a:defRPr>
            </a:pPr>
            <a:endParaRPr lang="en-US"/>
          </a:p>
        </c:txPr>
        <c:crossAx val="-2123880856"/>
        <c:crosses val="autoZero"/>
        <c:crossBetween val="midCat"/>
      </c:valAx>
      <c:valAx>
        <c:axId val="-2123880856"/>
        <c:scaling>
          <c:orientation val="minMax"/>
          <c:max val="41"/>
          <c:min val="37"/>
        </c:scaling>
        <c:delete val="0"/>
        <c:axPos val="l"/>
        <c:majorGridlines>
          <c:spPr>
            <a:ln w="3175">
              <a:solidFill>
                <a:srgbClr val="000000"/>
              </a:solidFill>
              <a:prstDash val="solid"/>
            </a:ln>
          </c:spPr>
        </c:majorGridlines>
        <c:minorGridlines>
          <c:spPr>
            <a:ln w="3175">
              <a:solidFill>
                <a:srgbClr val="808080"/>
              </a:solidFill>
              <a:prstDash val="solid"/>
            </a:ln>
          </c:spPr>
        </c:minorGridlines>
        <c:title>
          <c:tx>
            <c:rich>
              <a:bodyPr/>
              <a:lstStyle/>
              <a:p>
                <a:pPr>
                  <a:defRPr sz="900" b="1" i="0" strike="noStrike" baseline="0">
                    <a:solidFill>
                      <a:srgbClr val="000000"/>
                    </a:solidFill>
                    <a:latin typeface="Arial"/>
                    <a:ea typeface="Arial"/>
                    <a:cs typeface="Arial"/>
                  </a:defRPr>
                </a:pPr>
                <a:r>
                  <a:rPr lang="en-US"/>
                  <a:t>PSNR_Y (dB)</a:t>
                </a:r>
              </a:p>
            </c:rich>
          </c:tx>
          <c:layout>
            <c:manualLayout>
              <c:xMode val="edge"/>
              <c:yMode val="edge"/>
              <c:x val="1.8828824281580187E-2"/>
              <c:y val="0.4229768931799599"/>
            </c:manualLayout>
          </c:layout>
          <c:overlay val="0"/>
          <c:spPr>
            <a:noFill/>
            <a:ln w="25400">
              <a:noFill/>
              <a:prstDash val="solid"/>
            </a:ln>
          </c:spPr>
        </c:title>
        <c:numFmt formatCode="General" sourceLinked="1"/>
        <c:majorTickMark val="out"/>
        <c:minorTickMark val="none"/>
        <c:tickLblPos val="nextTo"/>
        <c:spPr>
          <a:ln w="3175">
            <a:solidFill>
              <a:srgbClr val="000000"/>
            </a:solidFill>
            <a:prstDash val="solid"/>
          </a:ln>
        </c:spPr>
        <c:txPr>
          <a:bodyPr rot="0" vert="horz"/>
          <a:lstStyle/>
          <a:p>
            <a:pPr>
              <a:defRPr sz="900" b="0" i="0" strike="noStrike" baseline="0">
                <a:solidFill>
                  <a:srgbClr val="000000"/>
                </a:solidFill>
                <a:latin typeface="Arial"/>
                <a:ea typeface="Arial"/>
                <a:cs typeface="Arial"/>
              </a:defRPr>
            </a:pPr>
            <a:endParaRPr lang="en-US"/>
          </a:p>
        </c:txPr>
        <c:crossAx val="2144473272"/>
        <c:crosses val="autoZero"/>
        <c:crossBetween val="midCat"/>
        <c:majorUnit val="1"/>
        <c:minorUnit val="0.5"/>
      </c:valAx>
    </c:plotArea>
    <c:legend>
      <c:legendPos val="r"/>
      <c:layout>
        <c:manualLayout>
          <c:xMode val="edge"/>
          <c:yMode val="edge"/>
          <c:x val="0.65351456838548705"/>
          <c:y val="0.79477611940298498"/>
          <c:w val="0.27953992187474702"/>
          <c:h val="9.6788106710541694E-2"/>
        </c:manualLayout>
      </c:layout>
      <c:overlay val="0"/>
      <c:spPr>
        <a:solidFill>
          <a:srgbClr val="FFFFFF"/>
        </a:solidFill>
        <a:ln w="3175">
          <a:solidFill>
            <a:srgbClr val="000000"/>
          </a:solidFill>
          <a:prstDash val="solid"/>
        </a:ln>
      </c:spPr>
      <c:txPr>
        <a:bodyPr/>
        <a:lstStyle/>
        <a:p>
          <a:pPr>
            <a:defRPr sz="1000" b="0" i="0" strike="noStrike" baseline="0">
              <a:solidFill>
                <a:srgbClr val="000000"/>
              </a:solidFill>
              <a:latin typeface="Arial"/>
              <a:ea typeface="Arial"/>
              <a:cs typeface="Arial"/>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0.63733</cdr:x>
      <cdr:y>0.2681</cdr:y>
    </cdr:from>
    <cdr:to>
      <cdr:x>0.81088</cdr:x>
      <cdr:y>0.2681</cdr:y>
    </cdr:to>
    <cdr:cxnSp macro="">
      <cdr:nvCxnSpPr>
        <cdr:cNvPr id="3" name="Straight Connector 2">
          <a:extLst xmlns:a="http://schemas.openxmlformats.org/drawingml/2006/main">
            <a:ext uri="{FF2B5EF4-FFF2-40B4-BE49-F238E27FC236}">
              <a16:creationId xmlns:a16="http://schemas.microsoft.com/office/drawing/2014/main" id="{1E48203E-EBF4-DE42-B9F6-6010E74B2CEC}"/>
            </a:ext>
          </a:extLst>
        </cdr:cNvPr>
        <cdr:cNvCxnSpPr/>
      </cdr:nvCxnSpPr>
      <cdr:spPr>
        <a:xfrm xmlns:a="http://schemas.openxmlformats.org/drawingml/2006/main" flipH="1">
          <a:off x="4890156" y="1373288"/>
          <a:ext cx="1331663" cy="0"/>
        </a:xfrm>
        <a:prstGeom xmlns:a="http://schemas.openxmlformats.org/drawingml/2006/main" prst="line">
          <a:avLst/>
        </a:prstGeom>
        <a:ln xmlns:a="http://schemas.openxmlformats.org/drawingml/2006/main" w="12700">
          <a:solidFill>
            <a:srgbClr val="00B05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0.13241</cdr:x>
      <cdr:y>0.77707</cdr:y>
    </cdr:from>
    <cdr:to>
      <cdr:x>0.16069</cdr:x>
      <cdr:y>0.77707</cdr:y>
    </cdr:to>
    <cdr:cxnSp macro="">
      <cdr:nvCxnSpPr>
        <cdr:cNvPr id="7" name="Straight Connector 6">
          <a:extLst xmlns:a="http://schemas.openxmlformats.org/drawingml/2006/main">
            <a:ext uri="{FF2B5EF4-FFF2-40B4-BE49-F238E27FC236}">
              <a16:creationId xmlns:a16="http://schemas.microsoft.com/office/drawing/2014/main" id="{6E8A0DED-C1CE-9C46-B9E9-6C93866F25C5}"/>
            </a:ext>
          </a:extLst>
        </cdr:cNvPr>
        <cdr:cNvCxnSpPr/>
      </cdr:nvCxnSpPr>
      <cdr:spPr>
        <a:xfrm xmlns:a="http://schemas.openxmlformats.org/drawingml/2006/main">
          <a:off x="1016000" y="3980392"/>
          <a:ext cx="216958" cy="0"/>
        </a:xfrm>
        <a:prstGeom xmlns:a="http://schemas.openxmlformats.org/drawingml/2006/main" prst="line">
          <a:avLst/>
        </a:prstGeom>
        <a:ln xmlns:a="http://schemas.openxmlformats.org/drawingml/2006/main" w="12700">
          <a:solidFill>
            <a:srgbClr val="00B05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0.63234</cdr:x>
      <cdr:y>0.26691</cdr:y>
    </cdr:from>
    <cdr:to>
      <cdr:x>0.70616</cdr:x>
      <cdr:y>0.26691</cdr:y>
    </cdr:to>
    <cdr:cxnSp macro="">
      <cdr:nvCxnSpPr>
        <cdr:cNvPr id="5" name="Straight Connector 4">
          <a:extLst xmlns:a="http://schemas.openxmlformats.org/drawingml/2006/main">
            <a:ext uri="{FF2B5EF4-FFF2-40B4-BE49-F238E27FC236}">
              <a16:creationId xmlns:a16="http://schemas.microsoft.com/office/drawing/2014/main" id="{8EDF6BFD-7FB8-4A4A-A8FC-FAB1E17CA04E}"/>
            </a:ext>
          </a:extLst>
        </cdr:cNvPr>
        <cdr:cNvCxnSpPr/>
      </cdr:nvCxnSpPr>
      <cdr:spPr>
        <a:xfrm xmlns:a="http://schemas.openxmlformats.org/drawingml/2006/main">
          <a:off x="3622657" y="1054045"/>
          <a:ext cx="422912" cy="0"/>
        </a:xfrm>
        <a:prstGeom xmlns:a="http://schemas.openxmlformats.org/drawingml/2006/main" prst="line">
          <a:avLst/>
        </a:prstGeom>
        <a:ln xmlns:a="http://schemas.openxmlformats.org/drawingml/2006/main" w="12700">
          <a:solidFill>
            <a:srgbClr val="00B05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0.20636</cdr:x>
      <cdr:y>0.7773</cdr:y>
    </cdr:from>
    <cdr:to>
      <cdr:x>0.29715</cdr:x>
      <cdr:y>0.7773</cdr:y>
    </cdr:to>
    <cdr:cxnSp macro="">
      <cdr:nvCxnSpPr>
        <cdr:cNvPr id="11" name="Straight Connector 10">
          <a:extLst xmlns:a="http://schemas.openxmlformats.org/drawingml/2006/main">
            <a:ext uri="{FF2B5EF4-FFF2-40B4-BE49-F238E27FC236}">
              <a16:creationId xmlns:a16="http://schemas.microsoft.com/office/drawing/2014/main" id="{5A5CC456-8D96-B247-A054-BE2E19A7DF89}"/>
            </a:ext>
          </a:extLst>
        </cdr:cNvPr>
        <cdr:cNvCxnSpPr/>
      </cdr:nvCxnSpPr>
      <cdr:spPr>
        <a:xfrm xmlns:a="http://schemas.openxmlformats.org/drawingml/2006/main">
          <a:off x="1595362" y="4030133"/>
          <a:ext cx="701960" cy="0"/>
        </a:xfrm>
        <a:prstGeom xmlns:a="http://schemas.openxmlformats.org/drawingml/2006/main" prst="line">
          <a:avLst/>
        </a:prstGeom>
        <a:ln xmlns:a="http://schemas.openxmlformats.org/drawingml/2006/main" w="12700">
          <a:solidFill>
            <a:srgbClr val="00B05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AED62-9493-4577-AC19-FD22FE91DFFA}">
  <ds:schemaRefs>
    <ds:schemaRef ds:uri="http://schemas.microsoft.com/sharepoint/v3/contenttype/forms"/>
  </ds:schemaRefs>
</ds:datastoreItem>
</file>

<file path=customXml/itemProps2.xml><?xml version="1.0" encoding="utf-8"?>
<ds:datastoreItem xmlns:ds="http://schemas.openxmlformats.org/officeDocument/2006/customXml" ds:itemID="{0848CA5E-AE96-4215-8FEA-432F975B6F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AAC5F2-46CD-4D2C-9324-10F47E79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5795A-A01B-0E49-B0A6-DB3C0D5B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5029</Words>
  <Characters>28667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Approval: HSTP-VID-WPOM "Technical Paper: Working practices using objective metrics for evaluation of video coding efficiency experiments" (New)</vt:lpstr>
    </vt:vector>
  </TitlesOfParts>
  <Manager>ITU-T</Manager>
  <Company>International Telecommunication Union (ITU)</Company>
  <LinksUpToDate>false</LinksUpToDate>
  <CharactersWithSpaces>33629</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HSTP-VID-WPOM "Technical Paper: Working practices using objective metrics for evaluation of video coding efficiency experiments" (New)</dc:title>
  <dc:creator>Rapporteur Q6/16</dc:creator>
  <cp:keywords>Bjøntegaard Delta, BD-rate, BDR, HEVC, VVC, HDR, 360° video, video coding</cp:keywords>
  <dc:description>SG16-TD444/PLEN  For: Geneva, 22 June – 3 July 2020_x000d_Document date: _x000d_Saved by ITU51013388 at 17:37:40 on 01/07/2020</dc:description>
  <cp:lastModifiedBy>TSB-AC</cp:lastModifiedBy>
  <cp:revision>5</cp:revision>
  <cp:lastPrinted>2025-03-26T15:46:00Z</cp:lastPrinted>
  <dcterms:created xsi:type="dcterms:W3CDTF">2025-03-26T15:46:00Z</dcterms:created>
  <dcterms:modified xsi:type="dcterms:W3CDTF">2025-03-26T15:47:00Z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SG16-TD444/PLEN</vt:lpwstr>
  </property>
  <property fmtid="{D5CDD505-2E9C-101B-9397-08002B2CF9AE}" pid="3" name="Docdate">
    <vt:lpwstr/>
  </property>
  <property fmtid="{D5CDD505-2E9C-101B-9397-08002B2CF9AE}" pid="4" name="Docorlang">
    <vt:lpwstr/>
  </property>
  <property fmtid="{D5CDD505-2E9C-101B-9397-08002B2CF9AE}" pid="5" name="Docbluepink">
    <vt:lpwstr>6/16</vt:lpwstr>
  </property>
  <property fmtid="{D5CDD505-2E9C-101B-9397-08002B2CF9AE}" pid="6" name="Docdest">
    <vt:lpwstr>Geneva, 22 June – 3 July 2020</vt:lpwstr>
  </property>
  <property fmtid="{D5CDD505-2E9C-101B-9397-08002B2CF9AE}" pid="7" name="Docauthor">
    <vt:lpwstr>Rapporteur Q6/16</vt:lpwstr>
  </property>
  <property fmtid="{D5CDD505-2E9C-101B-9397-08002B2CF9AE}" pid="8" name="ContentTypeId">
    <vt:lpwstr>0x010100D089D8AEFAC1A247B7216C0DD884D876</vt:lpwstr>
  </property>
  <property fmtid="{D5CDD505-2E9C-101B-9397-08002B2CF9AE}" pid="9" name="TitusGUID">
    <vt:lpwstr>b037eb84-ebe5-4e91-86be-a45a59f5d108</vt:lpwstr>
  </property>
  <property fmtid="{D5CDD505-2E9C-101B-9397-08002B2CF9AE}" pid="10" name="CTP_TimeStamp">
    <vt:lpwstr>2020-07-01 03:46:52Z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