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B638EE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C0F1C4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C0F1C4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CF206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4E21D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6E135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CF206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CF206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CF206B">
              <w:rPr>
                <w:color w:val="FFFFFF"/>
                <w:lang w:val="fr-FR"/>
              </w:rPr>
              <w:t>I</w:t>
            </w:r>
            <w:r w:rsidR="00780666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2D59E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2D59E7">
              <w:rPr>
                <w:color w:val="FFFFFF"/>
                <w:lang w:val="fr-FR"/>
              </w:rPr>
              <w:t>18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756C09">
              <w:rPr>
                <w:color w:val="FFFFFF"/>
                <w:lang w:val="fr-FR"/>
              </w:rPr>
              <w:t>janvier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B638EE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22" w:name="_Toc280291886"/>
            <w:bookmarkStart w:id="23" w:name="_Toc295307437"/>
            <w:bookmarkStart w:id="24" w:name="_Toc296609647"/>
            <w:bookmarkStart w:id="25" w:name="_Toc308428444"/>
            <w:bookmarkStart w:id="26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22"/>
              <w:bookmarkEnd w:id="23"/>
              <w:bookmarkEnd w:id="24"/>
              <w:bookmarkEnd w:id="25"/>
            </w:hyperlink>
            <w:bookmarkEnd w:id="26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27" w:name="_Toc280291887"/>
            <w:bookmarkStart w:id="28" w:name="_Toc295307438"/>
            <w:bookmarkStart w:id="29" w:name="_Toc296609648"/>
            <w:bookmarkStart w:id="30" w:name="_Toc308428445"/>
            <w:bookmarkStart w:id="31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27"/>
              <w:bookmarkEnd w:id="28"/>
              <w:bookmarkEnd w:id="29"/>
              <w:bookmarkEnd w:id="30"/>
            </w:hyperlink>
            <w:bookmarkEnd w:id="31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32" w:name="_Toc253407911"/>
      <w:bookmarkStart w:id="33" w:name="_Toc255827797"/>
      <w:bookmarkStart w:id="34" w:name="_Toc265053943"/>
      <w:bookmarkStart w:id="35" w:name="_Toc266116909"/>
      <w:bookmarkStart w:id="36" w:name="_Toc271633942"/>
      <w:bookmarkStart w:id="37" w:name="_Toc274142255"/>
      <w:bookmarkStart w:id="38" w:name="_Toc276716376"/>
      <w:bookmarkStart w:id="39" w:name="_Toc279667585"/>
      <w:bookmarkStart w:id="40" w:name="_Toc280291888"/>
      <w:bookmarkStart w:id="41" w:name="_Toc282525359"/>
      <w:bookmarkStart w:id="42" w:name="_Toc283734828"/>
      <w:bookmarkStart w:id="43" w:name="_Toc286068857"/>
      <w:bookmarkStart w:id="44" w:name="_Toc288659469"/>
      <w:bookmarkStart w:id="45" w:name="_Toc291004522"/>
      <w:bookmarkStart w:id="46" w:name="_Toc292700025"/>
      <w:bookmarkStart w:id="47" w:name="_Toc295307375"/>
      <w:bookmarkStart w:id="48" w:name="_Toc295307439"/>
      <w:bookmarkStart w:id="49" w:name="_Toc296609649"/>
      <w:bookmarkStart w:id="50" w:name="_Toc297803831"/>
      <w:bookmarkStart w:id="51" w:name="_Toc301943864"/>
      <w:bookmarkStart w:id="52" w:name="_Toc303343150"/>
      <w:bookmarkStart w:id="53" w:name="_Toc304886911"/>
      <w:bookmarkStart w:id="54" w:name="_Toc308428446"/>
      <w:bookmarkStart w:id="55" w:name="_Toc311050047"/>
      <w:bookmarkStart w:id="56" w:name="_Toc313963485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410231" w:rsidRPr="007F41C3" w:rsidRDefault="00410231" w:rsidP="00BD0965">
      <w:pPr>
        <w:pStyle w:val="TOC1"/>
        <w:spacing w:before="360"/>
        <w:rPr>
          <w:rFonts w:eastAsia="SimSun" w:cs="Arial"/>
          <w:sz w:val="22"/>
          <w:szCs w:val="22"/>
          <w:lang w:eastAsia="zh-CN"/>
        </w:rPr>
      </w:pPr>
      <w:r w:rsidRPr="007F41C3">
        <w:rPr>
          <w:rStyle w:val="Hyperlink"/>
          <w:b/>
          <w:bCs/>
          <w:color w:val="auto"/>
          <w:u w:val="none"/>
        </w:rPr>
        <w:t>Information</w:t>
      </w:r>
      <w:r w:rsidR="00704077">
        <w:rPr>
          <w:rStyle w:val="Hyperlink"/>
          <w:b/>
          <w:bCs/>
          <w:color w:val="auto"/>
          <w:u w:val="none"/>
        </w:rPr>
        <w:t xml:space="preserve"> </w:t>
      </w:r>
      <w:r w:rsidRPr="007F41C3">
        <w:rPr>
          <w:rStyle w:val="Hyperlink"/>
          <w:b/>
          <w:bCs/>
          <w:color w:val="auto"/>
          <w:u w:val="none"/>
        </w:rPr>
        <w:t>générale</w:t>
      </w:r>
    </w:p>
    <w:p w:rsidR="00597973" w:rsidRDefault="00597973" w:rsidP="00BF402F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</w:rPr>
      </w:pPr>
      <w:r w:rsidRPr="00EC1C9A">
        <w:t>Listes annexées</w:t>
      </w:r>
      <w:r w:rsidR="00362152">
        <w:t xml:space="preserve"> </w:t>
      </w:r>
      <w:r w:rsidRPr="00EC1C9A">
        <w:t>au</w:t>
      </w:r>
      <w:r w:rsidR="0086636B">
        <w:t xml:space="preserve"> </w:t>
      </w:r>
      <w:r w:rsidRPr="00EC1C9A">
        <w:t>Bulletin</w:t>
      </w:r>
      <w:r w:rsidR="005308C4">
        <w:t xml:space="preserve"> </w:t>
      </w:r>
      <w:r w:rsidRPr="00EC1C9A">
        <w:t>d'exploitation de l'UIT</w:t>
      </w:r>
      <w:r>
        <w:t>:</w:t>
      </w:r>
      <w:r w:rsidRPr="00EC1C9A">
        <w:t xml:space="preserve"> </w:t>
      </w:r>
      <w:r w:rsidRPr="00EC1C9A">
        <w:rPr>
          <w:i/>
          <w:iCs/>
        </w:rPr>
        <w:t>Note du TSB</w:t>
      </w:r>
      <w:r w:rsidRPr="00EC1C9A">
        <w:rPr>
          <w:webHidden/>
        </w:rPr>
        <w:tab/>
      </w:r>
      <w:r>
        <w:rPr>
          <w:webHidden/>
        </w:rPr>
        <w:tab/>
      </w:r>
      <w:r w:rsidR="00BF402F">
        <w:rPr>
          <w:webHidden/>
        </w:rPr>
        <w:t>3</w:t>
      </w:r>
    </w:p>
    <w:p w:rsidR="00C8791F" w:rsidRPr="00C8791F" w:rsidRDefault="00C8791F" w:rsidP="008653F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8791F">
        <w:t>A</w:t>
      </w:r>
      <w:r w:rsidR="008653F2">
        <w:t>pprobation des Recommandations UIT-T</w:t>
      </w:r>
      <w:r w:rsidRPr="00C8791F">
        <w:rPr>
          <w:webHidden/>
        </w:rPr>
        <w:tab/>
      </w:r>
      <w:r>
        <w:rPr>
          <w:webHidden/>
        </w:rPr>
        <w:tab/>
      </w:r>
      <w:r w:rsidRPr="00C8791F">
        <w:rPr>
          <w:webHidden/>
        </w:rPr>
        <w:t>4</w:t>
      </w:r>
    </w:p>
    <w:p w:rsidR="00C8791F" w:rsidRPr="00DB3711" w:rsidRDefault="00C8791F" w:rsidP="008653F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B3711">
        <w:t xml:space="preserve">Service </w:t>
      </w:r>
      <w:r w:rsidR="008653F2" w:rsidRPr="00DB3711">
        <w:t>t</w:t>
      </w:r>
      <w:r w:rsidRPr="00DB3711">
        <w:t>éléphonique</w:t>
      </w:r>
      <w:r w:rsidRPr="00DB3711">
        <w:rPr>
          <w:webHidden/>
        </w:rPr>
        <w:t>:</w:t>
      </w:r>
    </w:p>
    <w:p w:rsidR="00E87F58" w:rsidRPr="00E87F58" w:rsidRDefault="00E87F58" w:rsidP="00E87F58">
      <w:pPr>
        <w:pStyle w:val="TOC2"/>
        <w:tabs>
          <w:tab w:val="clear" w:pos="567"/>
          <w:tab w:val="center" w:leader="dot" w:pos="8505"/>
          <w:tab w:val="right" w:pos="9072"/>
        </w:tabs>
        <w:rPr>
          <w:bCs/>
          <w:i/>
          <w:lang w:val="fr-CH"/>
        </w:rPr>
      </w:pPr>
      <w:r w:rsidRPr="00E87F58">
        <w:rPr>
          <w:i/>
          <w:lang w:val="fr-FR"/>
        </w:rPr>
        <w:t>Burkina Faso (</w:t>
      </w:r>
      <w:r w:rsidRPr="00E87F58">
        <w:rPr>
          <w:i/>
          <w:iCs/>
          <w:lang w:val="fr-FR"/>
        </w:rPr>
        <w:t>Autorité</w:t>
      </w:r>
      <w:r w:rsidRPr="00E87F58">
        <w:rPr>
          <w:bCs/>
          <w:i/>
          <w:iCs/>
          <w:lang w:val="fr-FR"/>
        </w:rPr>
        <w:t xml:space="preserve"> de Régulation des Communications Electroniques et des Postes (ARCEP</w:t>
      </w:r>
      <w:r w:rsidRPr="00E87F58">
        <w:rPr>
          <w:bCs/>
          <w:i/>
          <w:lang w:val="fr-FR"/>
        </w:rPr>
        <w:t>), Ouagadougou</w:t>
      </w:r>
      <w:r>
        <w:rPr>
          <w:bCs/>
          <w:i/>
          <w:lang w:val="fr-FR"/>
        </w:rPr>
        <w:t>)</w:t>
      </w:r>
      <w:r>
        <w:rPr>
          <w:bCs/>
          <w:i/>
          <w:lang w:val="fr-FR"/>
        </w:rPr>
        <w:tab/>
      </w:r>
      <w:r>
        <w:rPr>
          <w:bCs/>
          <w:i/>
          <w:lang w:val="fr-FR"/>
        </w:rPr>
        <w:tab/>
      </w:r>
      <w:r w:rsidRPr="00E87F58">
        <w:rPr>
          <w:bCs/>
          <w:iCs/>
          <w:lang w:val="fr-FR"/>
        </w:rPr>
        <w:t>5</w:t>
      </w:r>
    </w:p>
    <w:p w:rsidR="00C8791F" w:rsidRPr="00E218A9" w:rsidRDefault="00E218A9" w:rsidP="00DF54C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E218A9">
        <w:rPr>
          <w:bCs/>
          <w:i/>
          <w:lang w:val="es-ES_tradnl"/>
        </w:rPr>
        <w:t>Costa Rica (</w:t>
      </w:r>
      <w:r w:rsidRPr="00E218A9">
        <w:rPr>
          <w:i/>
          <w:iCs/>
          <w:lang w:val="es-ES_tradnl"/>
        </w:rPr>
        <w:t>Superin</w:t>
      </w:r>
      <w:r w:rsidR="008653F2">
        <w:rPr>
          <w:i/>
          <w:iCs/>
          <w:lang w:val="es-ES_tradnl"/>
        </w:rPr>
        <w:t>ten</w:t>
      </w:r>
      <w:r w:rsidRPr="00E218A9">
        <w:rPr>
          <w:i/>
          <w:iCs/>
          <w:lang w:val="es-ES_tradnl"/>
        </w:rPr>
        <w:t>dencia de Telecomunicaciones (SUTEL), San José</w:t>
      </w:r>
      <w:r w:rsidR="00C8791F" w:rsidRPr="00E218A9">
        <w:rPr>
          <w:i/>
          <w:lang w:val="es-ES_tradnl"/>
        </w:rPr>
        <w:t>)</w:t>
      </w:r>
      <w:r w:rsidR="00C8791F" w:rsidRPr="00E218A9">
        <w:rPr>
          <w:i/>
          <w:webHidden/>
          <w:lang w:val="es-ES_tradnl"/>
        </w:rPr>
        <w:tab/>
      </w:r>
      <w:r w:rsidR="002141FC" w:rsidRPr="00E218A9">
        <w:rPr>
          <w:i/>
          <w:webHidden/>
          <w:lang w:val="es-ES_tradnl"/>
        </w:rPr>
        <w:tab/>
      </w:r>
      <w:r w:rsidR="00DF54C4" w:rsidRPr="00DF54C4">
        <w:rPr>
          <w:iCs/>
          <w:webHidden/>
          <w:lang w:val="es-ES_tradnl"/>
        </w:rPr>
        <w:t>6</w:t>
      </w:r>
    </w:p>
    <w:p w:rsidR="00C8791F" w:rsidRDefault="00E218A9" w:rsidP="00DF54C4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</w:rPr>
      </w:pPr>
      <w:proofErr w:type="spellStart"/>
      <w:r w:rsidRPr="00E218A9">
        <w:rPr>
          <w:i/>
        </w:rPr>
        <w:t>Allemagne</w:t>
      </w:r>
      <w:proofErr w:type="spellEnd"/>
      <w:r w:rsidRPr="00E218A9">
        <w:rPr>
          <w:i/>
        </w:rPr>
        <w:t xml:space="preserve"> (Federal Network Agency for Electricity, Gas, Telecommunications, Post and Railway ,</w:t>
      </w:r>
      <w:r w:rsidR="00D32B16">
        <w:rPr>
          <w:i/>
        </w:rPr>
        <w:br/>
      </w:r>
      <w:r w:rsidRPr="00E218A9">
        <w:rPr>
          <w:i/>
        </w:rPr>
        <w:t>(</w:t>
      </w:r>
      <w:proofErr w:type="spellStart"/>
      <w:r w:rsidRPr="00E218A9">
        <w:rPr>
          <w:i/>
          <w:iCs/>
        </w:rPr>
        <w:t>BNetzA</w:t>
      </w:r>
      <w:proofErr w:type="spellEnd"/>
      <w:r w:rsidRPr="00E218A9">
        <w:rPr>
          <w:i/>
        </w:rPr>
        <w:t>), Mainz</w:t>
      </w:r>
      <w:r w:rsidR="000238E8">
        <w:rPr>
          <w:i/>
        </w:rPr>
        <w:t>)</w:t>
      </w:r>
      <w:r w:rsidR="00C8791F" w:rsidRPr="00C8791F">
        <w:rPr>
          <w:i/>
          <w:webHidden/>
        </w:rPr>
        <w:tab/>
      </w:r>
      <w:r w:rsidR="002141FC">
        <w:rPr>
          <w:i/>
          <w:webHidden/>
        </w:rPr>
        <w:tab/>
      </w:r>
      <w:r w:rsidR="00DF54C4">
        <w:rPr>
          <w:iCs/>
          <w:webHidden/>
        </w:rPr>
        <w:t>7</w:t>
      </w:r>
    </w:p>
    <w:p w:rsidR="00C8791F" w:rsidRPr="002141FC" w:rsidRDefault="00E218A9" w:rsidP="00D32B16">
      <w:pPr>
        <w:pStyle w:val="TOC2"/>
        <w:tabs>
          <w:tab w:val="clear" w:pos="567"/>
          <w:tab w:val="center" w:leader="dot" w:pos="8505"/>
          <w:tab w:val="right" w:pos="9072"/>
        </w:tabs>
      </w:pPr>
      <w:proofErr w:type="spellStart"/>
      <w:r w:rsidRPr="00E218A9">
        <w:rPr>
          <w:bCs/>
          <w:i/>
        </w:rPr>
        <w:t>Koweït</w:t>
      </w:r>
      <w:proofErr w:type="spellEnd"/>
      <w:r w:rsidRPr="00E218A9">
        <w:rPr>
          <w:bCs/>
          <w:i/>
        </w:rPr>
        <w:t xml:space="preserve"> (</w:t>
      </w:r>
      <w:r w:rsidRPr="00E218A9">
        <w:rPr>
          <w:i/>
        </w:rPr>
        <w:t xml:space="preserve">Ministry of Communications (MOC), </w:t>
      </w:r>
      <w:proofErr w:type="spellStart"/>
      <w:r w:rsidRPr="00E218A9">
        <w:rPr>
          <w:i/>
        </w:rPr>
        <w:t>Safat</w:t>
      </w:r>
      <w:proofErr w:type="spellEnd"/>
      <w:r w:rsidR="00C8791F">
        <w:rPr>
          <w:i/>
        </w:rPr>
        <w:t>)</w:t>
      </w:r>
      <w:r w:rsidR="00C8791F" w:rsidRPr="00C8791F">
        <w:rPr>
          <w:i/>
          <w:webHidden/>
        </w:rPr>
        <w:tab/>
      </w:r>
      <w:r w:rsidR="002141FC">
        <w:rPr>
          <w:i/>
          <w:webHidden/>
        </w:rPr>
        <w:tab/>
      </w:r>
      <w:r w:rsidR="00D32B16">
        <w:rPr>
          <w:webHidden/>
        </w:rPr>
        <w:t>7</w:t>
      </w:r>
    </w:p>
    <w:p w:rsidR="00C8791F" w:rsidRPr="002141FC" w:rsidRDefault="00E218A9" w:rsidP="00DF54C4">
      <w:pPr>
        <w:pStyle w:val="TOC2"/>
        <w:tabs>
          <w:tab w:val="clear" w:pos="567"/>
          <w:tab w:val="center" w:leader="dot" w:pos="8505"/>
          <w:tab w:val="right" w:pos="9072"/>
        </w:tabs>
      </w:pPr>
      <w:r w:rsidRPr="00E218A9">
        <w:rPr>
          <w:bCs/>
          <w:i/>
        </w:rPr>
        <w:t>Nouvelle-</w:t>
      </w:r>
      <w:proofErr w:type="spellStart"/>
      <w:r w:rsidRPr="00E218A9">
        <w:rPr>
          <w:bCs/>
          <w:i/>
        </w:rPr>
        <w:t>Zélande</w:t>
      </w:r>
      <w:proofErr w:type="spellEnd"/>
      <w:r w:rsidRPr="00E218A9">
        <w:rPr>
          <w:bCs/>
          <w:i/>
        </w:rPr>
        <w:t xml:space="preserve"> (</w:t>
      </w:r>
      <w:r w:rsidRPr="00E218A9">
        <w:rPr>
          <w:i/>
          <w:iCs/>
        </w:rPr>
        <w:t>Ministry of Economic Development, Wellington</w:t>
      </w:r>
      <w:r w:rsidR="00C8791F">
        <w:rPr>
          <w:i/>
        </w:rPr>
        <w:t>)</w:t>
      </w:r>
      <w:r w:rsidR="00C8791F" w:rsidRPr="00C8791F">
        <w:rPr>
          <w:i/>
          <w:webHidden/>
        </w:rPr>
        <w:tab/>
      </w:r>
      <w:r w:rsidR="002141FC">
        <w:rPr>
          <w:i/>
          <w:webHidden/>
        </w:rPr>
        <w:tab/>
      </w:r>
      <w:r w:rsidR="00DF54C4">
        <w:rPr>
          <w:webHidden/>
        </w:rPr>
        <w:t>10</w:t>
      </w:r>
    </w:p>
    <w:p w:rsidR="00C8791F" w:rsidRPr="00DB3711" w:rsidRDefault="00E218A9" w:rsidP="00DF54C4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fr-FR"/>
        </w:rPr>
      </w:pPr>
      <w:r w:rsidRPr="00DB3711">
        <w:rPr>
          <w:i/>
          <w:lang w:val="fr-FR"/>
        </w:rPr>
        <w:t>Seychelles (</w:t>
      </w:r>
      <w:proofErr w:type="spellStart"/>
      <w:r w:rsidRPr="00DB3711">
        <w:rPr>
          <w:i/>
          <w:lang w:val="fr-FR"/>
        </w:rPr>
        <w:t>Department</w:t>
      </w:r>
      <w:proofErr w:type="spellEnd"/>
      <w:r w:rsidRPr="00DB3711">
        <w:rPr>
          <w:i/>
          <w:lang w:val="fr-FR"/>
        </w:rPr>
        <w:t xml:space="preserve"> of Information Communications </w:t>
      </w:r>
      <w:proofErr w:type="spellStart"/>
      <w:r w:rsidRPr="00DB3711">
        <w:rPr>
          <w:i/>
          <w:lang w:val="fr-FR"/>
        </w:rPr>
        <w:t>Technology</w:t>
      </w:r>
      <w:proofErr w:type="spellEnd"/>
      <w:r w:rsidRPr="00DB3711">
        <w:rPr>
          <w:i/>
          <w:lang w:val="fr-FR"/>
        </w:rPr>
        <w:t xml:space="preserve">, </w:t>
      </w:r>
      <w:r w:rsidRPr="00DB3711">
        <w:rPr>
          <w:i/>
          <w:iCs/>
          <w:lang w:val="fr-FR"/>
        </w:rPr>
        <w:t>Victoria</w:t>
      </w:r>
      <w:r w:rsidR="00C8791F" w:rsidRPr="00DB3711">
        <w:rPr>
          <w:i/>
          <w:lang w:val="fr-FR"/>
        </w:rPr>
        <w:t>)</w:t>
      </w:r>
      <w:r w:rsidR="00C8791F" w:rsidRPr="00DB3711">
        <w:rPr>
          <w:i/>
          <w:webHidden/>
          <w:lang w:val="fr-FR"/>
        </w:rPr>
        <w:tab/>
      </w:r>
      <w:r w:rsidR="002141FC" w:rsidRPr="00DB3711">
        <w:rPr>
          <w:i/>
          <w:webHidden/>
          <w:lang w:val="fr-FR"/>
        </w:rPr>
        <w:tab/>
      </w:r>
      <w:r w:rsidR="00C8791F" w:rsidRPr="00DB3711">
        <w:rPr>
          <w:webHidden/>
          <w:lang w:val="fr-FR"/>
        </w:rPr>
        <w:t>1</w:t>
      </w:r>
      <w:r w:rsidR="00DF54C4" w:rsidRPr="00DB3711">
        <w:rPr>
          <w:webHidden/>
          <w:lang w:val="fr-FR"/>
        </w:rPr>
        <w:t>3</w:t>
      </w:r>
    </w:p>
    <w:p w:rsidR="00E218A9" w:rsidRPr="00DB3711" w:rsidRDefault="00E218A9" w:rsidP="00DF54C4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fr-FR"/>
        </w:rPr>
      </w:pPr>
      <w:r w:rsidRPr="00DB3711">
        <w:rPr>
          <w:i/>
          <w:lang w:val="fr-FR"/>
        </w:rPr>
        <w:t>Salomon (Iles) (</w:t>
      </w:r>
      <w:proofErr w:type="spellStart"/>
      <w:r w:rsidRPr="00DB3711">
        <w:rPr>
          <w:i/>
          <w:lang w:val="fr-FR"/>
        </w:rPr>
        <w:t>Telecommunications</w:t>
      </w:r>
      <w:proofErr w:type="spellEnd"/>
      <w:r w:rsidRPr="00DB3711">
        <w:rPr>
          <w:i/>
          <w:lang w:val="fr-FR"/>
        </w:rPr>
        <w:t xml:space="preserve"> Commission (TCSI), Honiara)</w:t>
      </w:r>
      <w:r w:rsidRPr="00DB3711">
        <w:rPr>
          <w:i/>
          <w:lang w:val="fr-FR"/>
        </w:rPr>
        <w:tab/>
      </w:r>
      <w:r w:rsidRPr="00DB3711">
        <w:rPr>
          <w:i/>
          <w:lang w:val="fr-FR"/>
        </w:rPr>
        <w:tab/>
      </w:r>
      <w:r w:rsidR="00D32B16" w:rsidRPr="00DB3711">
        <w:rPr>
          <w:iCs/>
          <w:lang w:val="fr-FR"/>
        </w:rPr>
        <w:t>2</w:t>
      </w:r>
      <w:r w:rsidR="00DF54C4" w:rsidRPr="00DB3711">
        <w:rPr>
          <w:iCs/>
          <w:lang w:val="fr-FR"/>
        </w:rPr>
        <w:t>1</w:t>
      </w:r>
    </w:p>
    <w:p w:rsidR="000A253F" w:rsidRPr="00DB3711" w:rsidRDefault="004D568A" w:rsidP="004D568A">
      <w:pPr>
        <w:pStyle w:val="TOC1"/>
        <w:tabs>
          <w:tab w:val="clear" w:pos="567"/>
          <w:tab w:val="center" w:leader="dot" w:pos="8505"/>
          <w:tab w:val="right" w:pos="9072"/>
        </w:tabs>
      </w:pPr>
      <w:r w:rsidRPr="00831B80">
        <w:t>Changements dans les Administrations/ER et autres entités</w:t>
      </w:r>
      <w:r>
        <w:t xml:space="preserve"> </w:t>
      </w:r>
      <w:r w:rsidRPr="00831B80">
        <w:t>ou Organisations</w:t>
      </w:r>
      <w:r w:rsidR="000A253F" w:rsidRPr="00DB3711">
        <w:t>:</w:t>
      </w:r>
    </w:p>
    <w:p w:rsidR="000A253F" w:rsidRPr="00E87F58" w:rsidRDefault="000A253F" w:rsidP="00DF54C4">
      <w:pPr>
        <w:pStyle w:val="TOC2"/>
        <w:tabs>
          <w:tab w:val="clear" w:pos="567"/>
          <w:tab w:val="center" w:leader="dot" w:pos="8505"/>
          <w:tab w:val="right" w:pos="9072"/>
        </w:tabs>
        <w:rPr>
          <w:iCs/>
        </w:rPr>
      </w:pPr>
      <w:proofErr w:type="spellStart"/>
      <w:r w:rsidRPr="00E87F58">
        <w:rPr>
          <w:i/>
        </w:rPr>
        <w:t>Dane</w:t>
      </w:r>
      <w:r w:rsidR="00EC0BAC">
        <w:rPr>
          <w:i/>
        </w:rPr>
        <w:t>m</w:t>
      </w:r>
      <w:r w:rsidRPr="00E87F58">
        <w:rPr>
          <w:i/>
        </w:rPr>
        <w:t>ark</w:t>
      </w:r>
      <w:proofErr w:type="spellEnd"/>
      <w:r w:rsidRPr="00E87F58">
        <w:rPr>
          <w:i/>
        </w:rPr>
        <w:t xml:space="preserve"> (</w:t>
      </w:r>
      <w:r w:rsidR="00EC0BAC">
        <w:rPr>
          <w:i/>
        </w:rPr>
        <w:t>Danish Business Authority</w:t>
      </w:r>
      <w:r w:rsidRPr="00E87F58">
        <w:rPr>
          <w:i/>
        </w:rPr>
        <w:t xml:space="preserve">, Copenhagen): </w:t>
      </w:r>
      <w:proofErr w:type="spellStart"/>
      <w:r w:rsidRPr="00E87F58">
        <w:rPr>
          <w:i/>
        </w:rPr>
        <w:t>Changement</w:t>
      </w:r>
      <w:proofErr w:type="spellEnd"/>
      <w:r w:rsidRPr="00E87F58">
        <w:rPr>
          <w:i/>
        </w:rPr>
        <w:t xml:space="preserve"> de nom</w:t>
      </w:r>
      <w:r w:rsidRPr="00E87F58">
        <w:rPr>
          <w:i/>
        </w:rPr>
        <w:tab/>
      </w:r>
      <w:r w:rsidRPr="00E87F58">
        <w:rPr>
          <w:i/>
        </w:rPr>
        <w:tab/>
      </w:r>
      <w:r w:rsidRPr="00E87F58">
        <w:rPr>
          <w:iCs/>
        </w:rPr>
        <w:t>2</w:t>
      </w:r>
      <w:r w:rsidR="00DF54C4">
        <w:rPr>
          <w:iCs/>
        </w:rPr>
        <w:t>2</w:t>
      </w:r>
    </w:p>
    <w:p w:rsidR="000A253F" w:rsidRPr="00E87F58" w:rsidRDefault="000A253F" w:rsidP="004003D8">
      <w:pPr>
        <w:pStyle w:val="TOC2"/>
        <w:tabs>
          <w:tab w:val="clear" w:pos="567"/>
          <w:tab w:val="center" w:leader="dot" w:pos="8505"/>
          <w:tab w:val="right" w:pos="9072"/>
        </w:tabs>
        <w:rPr>
          <w:bCs/>
          <w:i/>
          <w:iCs/>
          <w:lang w:val="fr-CH"/>
        </w:rPr>
      </w:pPr>
      <w:r w:rsidRPr="00E87F58">
        <w:rPr>
          <w:i/>
          <w:lang w:val="fr-CH"/>
        </w:rPr>
        <w:t>Jap</w:t>
      </w:r>
      <w:r w:rsidR="004003D8" w:rsidRPr="00E87F58">
        <w:rPr>
          <w:i/>
          <w:lang w:val="fr-CH"/>
        </w:rPr>
        <w:t>o</w:t>
      </w:r>
      <w:r w:rsidRPr="00E87F58">
        <w:rPr>
          <w:i/>
          <w:lang w:val="fr-CH"/>
        </w:rPr>
        <w:t>n (</w:t>
      </w:r>
      <w:r w:rsidRPr="00E87F58">
        <w:rPr>
          <w:i/>
          <w:iCs/>
          <w:lang w:val="fr-CH"/>
        </w:rPr>
        <w:t xml:space="preserve">SOFTBANK BB Corp., </w:t>
      </w:r>
      <w:r w:rsidRPr="00E87F58">
        <w:rPr>
          <w:i/>
          <w:lang w:val="fr-CH"/>
        </w:rPr>
        <w:t xml:space="preserve">Tokyo): </w:t>
      </w:r>
      <w:r w:rsidR="004003D8">
        <w:rPr>
          <w:rFonts w:cs="Arial"/>
          <w:bCs/>
          <w:i/>
          <w:lang w:val="fr-FR"/>
        </w:rPr>
        <w:t>Changements d’adresse, de numéros de téléphone, de télécopie, d’adresse électronique et d’URL</w:t>
      </w:r>
      <w:r w:rsidRPr="00E87F58">
        <w:rPr>
          <w:bCs/>
          <w:i/>
          <w:iCs/>
          <w:lang w:val="fr-CH"/>
        </w:rPr>
        <w:tab/>
      </w:r>
      <w:r w:rsidRPr="00E87F58">
        <w:rPr>
          <w:bCs/>
          <w:i/>
          <w:iCs/>
          <w:lang w:val="fr-CH"/>
        </w:rPr>
        <w:tab/>
      </w:r>
      <w:r w:rsidR="00DF54C4">
        <w:rPr>
          <w:lang w:val="fr-CH"/>
        </w:rPr>
        <w:t>22</w:t>
      </w:r>
    </w:p>
    <w:p w:rsidR="000A253F" w:rsidRPr="00E87F58" w:rsidRDefault="004003D8" w:rsidP="00DF54C4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fr-CH"/>
        </w:rPr>
      </w:pPr>
      <w:r w:rsidRPr="00E87F58">
        <w:rPr>
          <w:i/>
          <w:iCs/>
          <w:lang w:val="fr-CH"/>
        </w:rPr>
        <w:t>Japo</w:t>
      </w:r>
      <w:r w:rsidR="000A253F" w:rsidRPr="00E87F58">
        <w:rPr>
          <w:i/>
          <w:iCs/>
          <w:lang w:val="fr-CH"/>
        </w:rPr>
        <w:t xml:space="preserve">n (SOFTBANK MOBILE Corp., Tokyo): </w:t>
      </w:r>
      <w:r>
        <w:rPr>
          <w:rFonts w:cs="Arial"/>
          <w:bCs/>
          <w:i/>
          <w:lang w:val="fr-FR"/>
        </w:rPr>
        <w:t>Changements d’adresse et d’adresse électronique</w:t>
      </w:r>
      <w:r w:rsidR="000A253F" w:rsidRPr="00E87F58">
        <w:rPr>
          <w:i/>
          <w:iCs/>
          <w:lang w:val="fr-CH"/>
        </w:rPr>
        <w:tab/>
      </w:r>
      <w:r w:rsidR="000A253F" w:rsidRPr="00E87F58">
        <w:rPr>
          <w:i/>
          <w:iCs/>
          <w:lang w:val="fr-CH"/>
        </w:rPr>
        <w:tab/>
      </w:r>
      <w:r w:rsidR="000A253F" w:rsidRPr="00E87F58">
        <w:rPr>
          <w:lang w:val="fr-CH"/>
        </w:rPr>
        <w:t>2</w:t>
      </w:r>
      <w:r w:rsidR="00DF54C4">
        <w:rPr>
          <w:lang w:val="fr-CH"/>
        </w:rPr>
        <w:t>2</w:t>
      </w:r>
    </w:p>
    <w:p w:rsidR="000A253F" w:rsidRPr="00E87F58" w:rsidRDefault="00BB22C4" w:rsidP="004003D8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fr-CH"/>
        </w:rPr>
      </w:pPr>
      <w:r w:rsidRPr="00E87F58">
        <w:rPr>
          <w:i/>
          <w:iCs/>
          <w:lang w:val="fr-CH"/>
        </w:rPr>
        <w:t>Japo</w:t>
      </w:r>
      <w:r w:rsidR="000A253F" w:rsidRPr="00E87F58">
        <w:rPr>
          <w:i/>
          <w:iCs/>
          <w:lang w:val="fr-CH"/>
        </w:rPr>
        <w:t xml:space="preserve">n (SOFTBANK TELECOM Corp., Tokyo): </w:t>
      </w:r>
      <w:r w:rsidR="004003D8" w:rsidRPr="004003D8">
        <w:rPr>
          <w:bCs/>
          <w:i/>
          <w:iCs/>
          <w:lang w:val="fr-FR"/>
        </w:rPr>
        <w:t xml:space="preserve">Changements d’adresse, de numéros de téléphone, de </w:t>
      </w:r>
      <w:r w:rsidR="004003D8">
        <w:rPr>
          <w:bCs/>
          <w:i/>
          <w:iCs/>
          <w:lang w:val="fr-FR"/>
        </w:rPr>
        <w:br/>
      </w:r>
      <w:r w:rsidR="004003D8" w:rsidRPr="004003D8">
        <w:rPr>
          <w:bCs/>
          <w:i/>
          <w:iCs/>
          <w:lang w:val="fr-FR"/>
        </w:rPr>
        <w:t>télécopie, d’adresse électronique et d’URL</w:t>
      </w:r>
      <w:r w:rsidR="000A253F" w:rsidRPr="00E87F58">
        <w:rPr>
          <w:i/>
          <w:iCs/>
          <w:lang w:val="fr-CH"/>
        </w:rPr>
        <w:tab/>
      </w:r>
      <w:r w:rsidR="000A253F" w:rsidRPr="00E87F58">
        <w:rPr>
          <w:i/>
          <w:iCs/>
          <w:lang w:val="fr-CH"/>
        </w:rPr>
        <w:tab/>
      </w:r>
      <w:r w:rsidR="000A253F" w:rsidRPr="00E87F58">
        <w:rPr>
          <w:lang w:val="fr-CH"/>
        </w:rPr>
        <w:t>2</w:t>
      </w:r>
      <w:r w:rsidR="00DF54C4">
        <w:rPr>
          <w:lang w:val="fr-CH"/>
        </w:rPr>
        <w:t>3</w:t>
      </w:r>
    </w:p>
    <w:p w:rsidR="000A253F" w:rsidRPr="00E87F58" w:rsidRDefault="002677B4" w:rsidP="00DF54C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hyperlink w:history="1">
        <w:r w:rsidR="00BB22C4" w:rsidRPr="00E87F58">
          <w:rPr>
            <w:i/>
            <w:iCs/>
            <w:lang w:val="fr-CH"/>
          </w:rPr>
          <w:t xml:space="preserve">La ex </w:t>
        </w:r>
        <w:proofErr w:type="spellStart"/>
        <w:r w:rsidR="00BB22C4" w:rsidRPr="00E87F58">
          <w:rPr>
            <w:i/>
            <w:iCs/>
            <w:lang w:val="fr-CH"/>
          </w:rPr>
          <w:t>Ré</w:t>
        </w:r>
        <w:r w:rsidR="000A253F" w:rsidRPr="00E87F58">
          <w:rPr>
            <w:i/>
            <w:iCs/>
            <w:lang w:val="fr-CH"/>
          </w:rPr>
          <w:t>p</w:t>
        </w:r>
        <w:proofErr w:type="spellEnd"/>
        <w:r w:rsidR="000A253F" w:rsidRPr="00E87F58">
          <w:rPr>
            <w:i/>
            <w:iCs/>
            <w:lang w:val="fr-CH"/>
          </w:rPr>
          <w:t xml:space="preserve">. </w:t>
        </w:r>
        <w:r w:rsidR="00BB22C4" w:rsidRPr="00E87F58">
          <w:rPr>
            <w:i/>
            <w:iCs/>
            <w:lang w:val="fr-CH"/>
          </w:rPr>
          <w:t>yo</w:t>
        </w:r>
        <w:r w:rsidR="000A253F" w:rsidRPr="00E87F58">
          <w:rPr>
            <w:i/>
            <w:iCs/>
            <w:lang w:val="fr-CH"/>
          </w:rPr>
          <w:t>ugoslav</w:t>
        </w:r>
        <w:r w:rsidR="00BB22C4" w:rsidRPr="00E87F58">
          <w:rPr>
            <w:i/>
            <w:iCs/>
            <w:lang w:val="fr-CH"/>
          </w:rPr>
          <w:t>e</w:t>
        </w:r>
        <w:r w:rsidR="000A253F" w:rsidRPr="00E87F58">
          <w:rPr>
            <w:i/>
            <w:iCs/>
            <w:lang w:val="fr-CH"/>
          </w:rPr>
          <w:t xml:space="preserve"> de Mac</w:t>
        </w:r>
        <w:r w:rsidR="00BB22C4" w:rsidRPr="00E87F58">
          <w:rPr>
            <w:i/>
            <w:iCs/>
            <w:lang w:val="fr-CH"/>
          </w:rPr>
          <w:t>é</w:t>
        </w:r>
        <w:r w:rsidR="000A253F" w:rsidRPr="00E87F58">
          <w:rPr>
            <w:i/>
            <w:iCs/>
            <w:lang w:val="fr-CH"/>
          </w:rPr>
          <w:t>doi</w:t>
        </w:r>
      </w:hyperlink>
      <w:r w:rsidR="00BB22C4" w:rsidRPr="00EC0BAC">
        <w:rPr>
          <w:i/>
          <w:iCs/>
          <w:lang w:val="fr-CH"/>
        </w:rPr>
        <w:t>ne</w:t>
      </w:r>
      <w:r w:rsidR="000A253F" w:rsidRPr="00EC0BAC">
        <w:rPr>
          <w:i/>
          <w:iCs/>
          <w:lang w:val="fr-CH"/>
        </w:rPr>
        <w:t xml:space="preserve"> </w:t>
      </w:r>
      <w:r w:rsidR="000A253F" w:rsidRPr="00E87F58">
        <w:rPr>
          <w:i/>
          <w:iCs/>
          <w:lang w:val="fr-CH"/>
        </w:rPr>
        <w:t>(</w:t>
      </w:r>
      <w:proofErr w:type="spellStart"/>
      <w:r w:rsidR="000A253F" w:rsidRPr="00E87F58">
        <w:rPr>
          <w:i/>
          <w:iCs/>
          <w:lang w:val="fr-CH"/>
        </w:rPr>
        <w:t>Ministry</w:t>
      </w:r>
      <w:proofErr w:type="spellEnd"/>
      <w:r w:rsidR="000A253F" w:rsidRPr="00E87F58">
        <w:rPr>
          <w:i/>
          <w:iCs/>
          <w:lang w:val="fr-CH"/>
        </w:rPr>
        <w:t xml:space="preserve"> of Transport and Communications, Skopje): </w:t>
      </w:r>
      <w:r w:rsidR="00281D84" w:rsidRPr="00E87F58">
        <w:rPr>
          <w:i/>
          <w:iCs/>
          <w:lang w:val="fr-CH"/>
        </w:rPr>
        <w:br/>
      </w:r>
      <w:r w:rsidR="00BB22C4" w:rsidRPr="00755117">
        <w:rPr>
          <w:rFonts w:cs="Arial"/>
          <w:i/>
          <w:iCs/>
          <w:lang w:val="fr-FR"/>
        </w:rPr>
        <w:t>Changements de nom, d’adresse électronique et d’URL</w:t>
      </w:r>
      <w:r w:rsidR="000A253F" w:rsidRPr="00E87F58">
        <w:rPr>
          <w:i/>
          <w:iCs/>
          <w:lang w:val="fr-CH"/>
        </w:rPr>
        <w:tab/>
      </w:r>
      <w:r w:rsidR="000A253F" w:rsidRPr="00E87F58">
        <w:rPr>
          <w:i/>
          <w:iCs/>
          <w:lang w:val="fr-CH"/>
        </w:rPr>
        <w:tab/>
      </w:r>
      <w:r w:rsidR="000A253F" w:rsidRPr="00E87F58">
        <w:rPr>
          <w:lang w:val="fr-CH"/>
        </w:rPr>
        <w:t>2</w:t>
      </w:r>
      <w:r w:rsidR="00DF54C4">
        <w:rPr>
          <w:lang w:val="fr-CH"/>
        </w:rPr>
        <w:t>3</w:t>
      </w:r>
    </w:p>
    <w:p w:rsidR="00D561E5" w:rsidRPr="00E87F58" w:rsidRDefault="00D561E5" w:rsidP="00DF54C4">
      <w:pPr>
        <w:pStyle w:val="TOC2"/>
        <w:tabs>
          <w:tab w:val="clear" w:pos="567"/>
          <w:tab w:val="center" w:leader="dot" w:pos="8505"/>
          <w:tab w:val="right" w:pos="9072"/>
        </w:tabs>
        <w:rPr>
          <w:bCs/>
          <w:i/>
          <w:iCs/>
          <w:lang w:val="fr-CH"/>
        </w:rPr>
      </w:pPr>
      <w:r w:rsidRPr="00E87F58">
        <w:rPr>
          <w:i/>
          <w:lang w:val="fr-CH"/>
        </w:rPr>
        <w:t>Espagne (</w:t>
      </w:r>
      <w:proofErr w:type="spellStart"/>
      <w:r w:rsidRPr="00E87F58">
        <w:rPr>
          <w:i/>
          <w:iCs/>
          <w:lang w:val="fr-CH"/>
        </w:rPr>
        <w:t>Ministerio</w:t>
      </w:r>
      <w:proofErr w:type="spellEnd"/>
      <w:r w:rsidRPr="00E87F58">
        <w:rPr>
          <w:i/>
          <w:iCs/>
          <w:lang w:val="fr-CH"/>
        </w:rPr>
        <w:t xml:space="preserve"> de </w:t>
      </w:r>
      <w:proofErr w:type="spellStart"/>
      <w:r w:rsidRPr="00E87F58">
        <w:rPr>
          <w:i/>
          <w:iCs/>
          <w:lang w:val="fr-CH"/>
        </w:rPr>
        <w:t>Industria</w:t>
      </w:r>
      <w:proofErr w:type="spellEnd"/>
      <w:r w:rsidRPr="00E87F58">
        <w:rPr>
          <w:i/>
          <w:iCs/>
          <w:lang w:val="fr-CH"/>
        </w:rPr>
        <w:t xml:space="preserve">, </w:t>
      </w:r>
      <w:proofErr w:type="spellStart"/>
      <w:r w:rsidRPr="00E87F58">
        <w:rPr>
          <w:i/>
          <w:iCs/>
          <w:lang w:val="fr-CH"/>
        </w:rPr>
        <w:t>Turismo</w:t>
      </w:r>
      <w:proofErr w:type="spellEnd"/>
      <w:r w:rsidRPr="00E87F58">
        <w:rPr>
          <w:i/>
          <w:iCs/>
          <w:lang w:val="fr-CH"/>
        </w:rPr>
        <w:t xml:space="preserve"> y </w:t>
      </w:r>
      <w:proofErr w:type="spellStart"/>
      <w:r w:rsidRPr="00E87F58">
        <w:rPr>
          <w:i/>
          <w:iCs/>
          <w:lang w:val="fr-CH"/>
        </w:rPr>
        <w:t>Comercio</w:t>
      </w:r>
      <w:proofErr w:type="spellEnd"/>
      <w:r w:rsidRPr="00E87F58">
        <w:rPr>
          <w:i/>
          <w:lang w:val="fr-CH"/>
        </w:rPr>
        <w:t xml:space="preserve">, Madrid): </w:t>
      </w:r>
      <w:r w:rsidRPr="00755117">
        <w:rPr>
          <w:rFonts w:cs="Arial"/>
          <w:i/>
          <w:iCs/>
          <w:lang w:val="fr-FR"/>
        </w:rPr>
        <w:t>Changements de nom, d’adresse électronique et d’URL</w:t>
      </w:r>
      <w:r w:rsidRPr="00E87F58">
        <w:rPr>
          <w:i/>
          <w:iCs/>
          <w:lang w:val="fr-CH"/>
        </w:rPr>
        <w:tab/>
      </w:r>
      <w:r w:rsidRPr="00E87F58">
        <w:rPr>
          <w:i/>
          <w:iCs/>
          <w:lang w:val="fr-CH"/>
        </w:rPr>
        <w:tab/>
      </w:r>
      <w:r w:rsidRPr="00E87F58">
        <w:rPr>
          <w:lang w:val="fr-CH"/>
        </w:rPr>
        <w:t>2</w:t>
      </w:r>
      <w:r w:rsidR="00DF54C4">
        <w:rPr>
          <w:lang w:val="fr-CH"/>
        </w:rPr>
        <w:t>3</w:t>
      </w:r>
    </w:p>
    <w:p w:rsidR="00C8791F" w:rsidRPr="00C8791F" w:rsidRDefault="00C8791F" w:rsidP="00DF54C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8791F">
        <w:t>Restrictions</w:t>
      </w:r>
      <w:r w:rsidRPr="00C8791F">
        <w:rPr>
          <w:lang w:val="fr-CH"/>
        </w:rPr>
        <w:t xml:space="preserve"> de service</w:t>
      </w:r>
      <w:r>
        <w:rPr>
          <w:lang w:val="fr-CH"/>
        </w:rPr>
        <w:t xml:space="preserve">: </w:t>
      </w:r>
      <w:r w:rsidRPr="00C8791F">
        <w:rPr>
          <w:i/>
        </w:rPr>
        <w:t>Note du TSB</w:t>
      </w:r>
      <w:r>
        <w:rPr>
          <w:lang w:val="fr-CH"/>
        </w:rPr>
        <w:t xml:space="preserve"> </w:t>
      </w:r>
      <w:r w:rsidRPr="00C8791F">
        <w:rPr>
          <w:webHidden/>
        </w:rPr>
        <w:tab/>
      </w:r>
      <w:r>
        <w:rPr>
          <w:webHidden/>
        </w:rPr>
        <w:tab/>
      </w:r>
      <w:r w:rsidR="00DF54C4">
        <w:rPr>
          <w:webHidden/>
        </w:rPr>
        <w:t>24</w:t>
      </w:r>
    </w:p>
    <w:p w:rsidR="00C8791F" w:rsidRPr="00C8791F" w:rsidRDefault="00C8791F" w:rsidP="00DF54C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8791F">
        <w:t>Systèmes de rappel (Call-Back) et procédures d'appel alternatives (Rés. 21 Rév. PP-2006)</w:t>
      </w:r>
      <w:r w:rsidRPr="00C8791F">
        <w:rPr>
          <w:webHidden/>
        </w:rPr>
        <w:tab/>
      </w:r>
      <w:r>
        <w:rPr>
          <w:webHidden/>
        </w:rPr>
        <w:tab/>
      </w:r>
      <w:r w:rsidR="008D664E">
        <w:rPr>
          <w:webHidden/>
        </w:rPr>
        <w:t>2</w:t>
      </w:r>
      <w:r w:rsidR="00DF54C4">
        <w:rPr>
          <w:webHidden/>
        </w:rPr>
        <w:t>5</w:t>
      </w:r>
    </w:p>
    <w:p w:rsidR="00D01797" w:rsidRDefault="00D017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b/>
          <w:bCs/>
          <w:noProof/>
          <w:color w:val="auto"/>
          <w:szCs w:val="32"/>
          <w:u w:val="none"/>
          <w:lang w:val="fr-FR"/>
        </w:rPr>
      </w:pPr>
      <w:r w:rsidRPr="00E87F58">
        <w:rPr>
          <w:rStyle w:val="Hyperlink"/>
          <w:b/>
          <w:bCs/>
          <w:color w:val="auto"/>
          <w:u w:val="none"/>
          <w:lang w:val="fr-CH"/>
        </w:rPr>
        <w:br w:type="page"/>
      </w:r>
    </w:p>
    <w:p w:rsidR="00C8791F" w:rsidRPr="00547291" w:rsidRDefault="00C8791F" w:rsidP="002141FC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asciiTheme="minorHAnsi" w:eastAsiaTheme="minorEastAsia" w:hAnsiTheme="minorHAnsi" w:cstheme="minorBidi"/>
          <w:szCs w:val="20"/>
          <w:lang w:val="fr-CH"/>
        </w:rPr>
      </w:pPr>
      <w:r w:rsidRPr="001C0606">
        <w:rPr>
          <w:rStyle w:val="Hyperlink"/>
          <w:b/>
          <w:bCs/>
          <w:color w:val="auto"/>
          <w:u w:val="none"/>
        </w:rPr>
        <w:lastRenderedPageBreak/>
        <w:t>Amendements aux publications de service</w:t>
      </w:r>
    </w:p>
    <w:p w:rsidR="00C8791F" w:rsidRPr="00C8791F" w:rsidRDefault="00C8791F" w:rsidP="00D01797">
      <w:pPr>
        <w:pStyle w:val="TOC1"/>
        <w:tabs>
          <w:tab w:val="clear" w:pos="567"/>
          <w:tab w:val="center" w:leader="dot" w:pos="8505"/>
          <w:tab w:val="right" w:pos="9072"/>
        </w:tabs>
      </w:pPr>
      <w:r w:rsidRPr="00C8791F">
        <w:rPr>
          <w:lang w:val="fr-CH"/>
        </w:rPr>
        <w:t>L</w:t>
      </w:r>
      <w:r w:rsidRPr="00C8791F">
        <w:t>iste des numéros identificateurs d'entités émettrices pour</w:t>
      </w:r>
      <w:r w:rsidR="002C2803">
        <w:t xml:space="preserve"> </w:t>
      </w:r>
      <w:r w:rsidRPr="00C8791F">
        <w:t>les cartes internationales de facturation</w:t>
      </w:r>
      <w:r>
        <w:br/>
      </w:r>
      <w:r w:rsidRPr="00C8791F">
        <w:t>des télécommunications</w:t>
      </w:r>
      <w:r w:rsidRPr="00C8791F">
        <w:rPr>
          <w:webHidden/>
        </w:rPr>
        <w:tab/>
      </w:r>
      <w:r w:rsidR="002141FC">
        <w:rPr>
          <w:webHidden/>
        </w:rPr>
        <w:tab/>
      </w:r>
      <w:r w:rsidR="007F2ED4">
        <w:rPr>
          <w:webHidden/>
        </w:rPr>
        <w:t>26</w:t>
      </w:r>
    </w:p>
    <w:p w:rsidR="00C8791F" w:rsidRPr="00C8791F" w:rsidRDefault="00C8791F" w:rsidP="007F2ED4">
      <w:pPr>
        <w:pStyle w:val="TOC1"/>
        <w:tabs>
          <w:tab w:val="clear" w:pos="567"/>
          <w:tab w:val="center" w:leader="dot" w:pos="8505"/>
          <w:tab w:val="right" w:pos="9072"/>
        </w:tabs>
      </w:pPr>
      <w:r w:rsidRPr="00C8791F">
        <w:t>Indicatifs/numéros d'accès à des réseaux mobiles</w:t>
      </w:r>
      <w:r w:rsidRPr="00C8791F">
        <w:rPr>
          <w:webHidden/>
        </w:rPr>
        <w:tab/>
      </w:r>
      <w:r w:rsidR="002141FC">
        <w:rPr>
          <w:webHidden/>
        </w:rPr>
        <w:tab/>
      </w:r>
      <w:r w:rsidR="00D01797">
        <w:rPr>
          <w:webHidden/>
        </w:rPr>
        <w:t>2</w:t>
      </w:r>
      <w:r w:rsidR="007F2ED4">
        <w:rPr>
          <w:webHidden/>
        </w:rPr>
        <w:t>7</w:t>
      </w:r>
    </w:p>
    <w:p w:rsidR="00C8791F" w:rsidRPr="00C8791F" w:rsidRDefault="00C8791F" w:rsidP="00D01797">
      <w:pPr>
        <w:pStyle w:val="TOC1"/>
        <w:tabs>
          <w:tab w:val="clear" w:pos="567"/>
          <w:tab w:val="center" w:leader="dot" w:pos="8505"/>
          <w:tab w:val="right" w:pos="9072"/>
        </w:tabs>
      </w:pPr>
      <w:r w:rsidRPr="00C8791F">
        <w:t>Codes de réseau mobile (MNC) pour le plan d'identification international pour les réseaux publics et</w:t>
      </w:r>
      <w:r>
        <w:br/>
      </w:r>
      <w:r w:rsidRPr="00C8791F">
        <w:t>les abonnements</w:t>
      </w:r>
      <w:r w:rsidRPr="00C8791F">
        <w:rPr>
          <w:webHidden/>
        </w:rPr>
        <w:tab/>
      </w:r>
      <w:r w:rsidR="002141FC">
        <w:rPr>
          <w:webHidden/>
        </w:rPr>
        <w:tab/>
      </w:r>
      <w:r w:rsidR="007F2ED4">
        <w:rPr>
          <w:webHidden/>
        </w:rPr>
        <w:t>27</w:t>
      </w:r>
    </w:p>
    <w:p w:rsidR="00C8791F" w:rsidRPr="00C8791F" w:rsidRDefault="00C8791F" w:rsidP="007F2ED4">
      <w:pPr>
        <w:pStyle w:val="TOC1"/>
        <w:tabs>
          <w:tab w:val="clear" w:pos="567"/>
          <w:tab w:val="center" w:leader="dot" w:pos="8505"/>
          <w:tab w:val="right" w:pos="9072"/>
        </w:tabs>
      </w:pPr>
      <w:r w:rsidRPr="00C8791F">
        <w:t>Liste des codes de transporteur de l’UIT</w:t>
      </w:r>
      <w:r w:rsidRPr="00C8791F">
        <w:rPr>
          <w:webHidden/>
        </w:rPr>
        <w:tab/>
      </w:r>
      <w:r w:rsidR="002141FC">
        <w:rPr>
          <w:webHidden/>
        </w:rPr>
        <w:tab/>
      </w:r>
      <w:r w:rsidR="00D01797">
        <w:rPr>
          <w:webHidden/>
        </w:rPr>
        <w:t>2</w:t>
      </w:r>
      <w:r w:rsidR="007F2ED4">
        <w:rPr>
          <w:webHidden/>
        </w:rPr>
        <w:t>9</w:t>
      </w:r>
    </w:p>
    <w:p w:rsidR="00C8791F" w:rsidRPr="00C8791F" w:rsidRDefault="00C8791F" w:rsidP="007F2ED4">
      <w:pPr>
        <w:pStyle w:val="TOC1"/>
        <w:tabs>
          <w:tab w:val="clear" w:pos="567"/>
          <w:tab w:val="center" w:leader="dot" w:pos="8505"/>
          <w:tab w:val="right" w:pos="9072"/>
        </w:tabs>
      </w:pPr>
      <w:r w:rsidRPr="00C8791F">
        <w:t>Liste des codes de points sémaphores internationaux (ISPC)</w:t>
      </w:r>
      <w:r w:rsidRPr="00C8791F">
        <w:rPr>
          <w:webHidden/>
        </w:rPr>
        <w:tab/>
      </w:r>
      <w:r w:rsidR="002141FC">
        <w:rPr>
          <w:webHidden/>
        </w:rPr>
        <w:tab/>
      </w:r>
      <w:r w:rsidR="007F2ED4">
        <w:rPr>
          <w:webHidden/>
        </w:rPr>
        <w:t>30</w:t>
      </w:r>
    </w:p>
    <w:p w:rsidR="00C8791F" w:rsidRPr="00C8791F" w:rsidRDefault="00C8791F" w:rsidP="00D0179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8791F">
        <w:t>Plan de nu</w:t>
      </w:r>
      <w:r w:rsidRPr="00C8791F">
        <w:rPr>
          <w:lang w:val="fr-CH"/>
        </w:rPr>
        <w:t>mérotage national</w:t>
      </w:r>
      <w:r w:rsidRPr="00C8791F">
        <w:rPr>
          <w:webHidden/>
        </w:rPr>
        <w:tab/>
      </w:r>
      <w:r w:rsidR="002141FC">
        <w:rPr>
          <w:webHidden/>
        </w:rPr>
        <w:tab/>
      </w:r>
      <w:r w:rsidR="007F2ED4">
        <w:rPr>
          <w:webHidden/>
        </w:rPr>
        <w:t>30</w:t>
      </w:r>
    </w:p>
    <w:p w:rsidR="00C8791F" w:rsidRDefault="00C879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szCs w:val="32"/>
          <w:lang w:val="fr-CH"/>
        </w:rPr>
      </w:pPr>
    </w:p>
    <w:p w:rsidR="00D976FA" w:rsidRPr="00047332" w:rsidRDefault="00D976FA" w:rsidP="00D976FA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D976FA" w:rsidRPr="00B638EE" w:rsidTr="00C0718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360A35" w:rsidRDefault="00D976FA" w:rsidP="00C0718C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360A35" w:rsidRDefault="00D976FA" w:rsidP="00C0718C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98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99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1000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.I</w:t>
            </w:r>
            <w:r>
              <w:rPr>
                <w:rFonts w:eastAsia="SimSun"/>
                <w:lang w:eastAsia="zh-CN"/>
              </w:rPr>
              <w:t>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1001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1002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1003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1008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03.XII.2012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Pr="00B9132D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57" w:name="_Toc253407912"/>
      <w:bookmarkStart w:id="58" w:name="_Toc255827798"/>
      <w:bookmarkStart w:id="59" w:name="_Toc265053944"/>
      <w:bookmarkStart w:id="60" w:name="_Toc266116910"/>
      <w:bookmarkStart w:id="61" w:name="_Toc271633943"/>
      <w:bookmarkStart w:id="62" w:name="_Toc274142256"/>
      <w:bookmarkStart w:id="63" w:name="_Toc276716377"/>
      <w:bookmarkStart w:id="64" w:name="_Toc279667586"/>
      <w:bookmarkStart w:id="65" w:name="_Toc280291889"/>
      <w:bookmarkStart w:id="66" w:name="_Toc282525360"/>
      <w:bookmarkStart w:id="67" w:name="_Toc283734829"/>
      <w:bookmarkStart w:id="68" w:name="_Toc286068858"/>
      <w:bookmarkStart w:id="69" w:name="_Toc288659470"/>
      <w:bookmarkStart w:id="70" w:name="_Toc291004523"/>
      <w:bookmarkStart w:id="71" w:name="_Toc292700026"/>
      <w:bookmarkStart w:id="72" w:name="_Toc295307376"/>
      <w:bookmarkStart w:id="73" w:name="_Toc295307440"/>
      <w:bookmarkStart w:id="74" w:name="_Toc296609650"/>
      <w:bookmarkStart w:id="75" w:name="_Toc297803832"/>
      <w:bookmarkStart w:id="76" w:name="_Toc301943865"/>
      <w:bookmarkStart w:id="77" w:name="_Toc303343151"/>
      <w:bookmarkStart w:id="78" w:name="_Toc304886912"/>
      <w:bookmarkStart w:id="79" w:name="_Toc308428447"/>
      <w:bookmarkStart w:id="80" w:name="_Toc311050048"/>
      <w:bookmarkStart w:id="81" w:name="_Toc313963486"/>
      <w:r w:rsidR="00E10D9E" w:rsidRPr="00B9132D">
        <w:rPr>
          <w:lang w:val="fr-FR"/>
        </w:rPr>
        <w:lastRenderedPageBreak/>
        <w:t>INFORMATION  GÉNÉRALE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E10D9E" w:rsidRPr="00E10D9E" w:rsidRDefault="00E10D9E" w:rsidP="00923D49">
      <w:pPr>
        <w:pStyle w:val="Heading20"/>
        <w:spacing w:before="40" w:after="40"/>
      </w:pPr>
      <w:bookmarkStart w:id="82" w:name="_Toc253407913"/>
      <w:bookmarkStart w:id="83" w:name="_Toc255827799"/>
      <w:bookmarkStart w:id="84" w:name="_Toc259726507"/>
      <w:bookmarkStart w:id="85" w:name="_Toc262756245"/>
      <w:bookmarkStart w:id="86" w:name="_Toc265053945"/>
      <w:bookmarkStart w:id="87" w:name="_Toc266116911"/>
      <w:bookmarkStart w:id="88" w:name="_Toc268854489"/>
      <w:bookmarkStart w:id="89" w:name="_Toc271633944"/>
      <w:bookmarkStart w:id="90" w:name="_Toc273021659"/>
      <w:bookmarkStart w:id="91" w:name="_Toc274142257"/>
      <w:bookmarkStart w:id="92" w:name="_Toc276716378"/>
      <w:bookmarkStart w:id="93" w:name="_Toc279667587"/>
      <w:bookmarkStart w:id="94" w:name="_Toc280291890"/>
      <w:bookmarkStart w:id="95" w:name="_Toc282525361"/>
      <w:bookmarkStart w:id="96" w:name="_Toc283734830"/>
      <w:bookmarkStart w:id="97" w:name="_Toc286068859"/>
      <w:bookmarkStart w:id="98" w:name="_Toc288659471"/>
      <w:bookmarkStart w:id="99" w:name="_Toc291004524"/>
      <w:bookmarkStart w:id="100" w:name="_Toc292700027"/>
      <w:bookmarkStart w:id="101" w:name="_Toc295307377"/>
      <w:bookmarkStart w:id="102" w:name="_Toc295307441"/>
      <w:bookmarkStart w:id="103" w:name="_Toc296609651"/>
      <w:bookmarkStart w:id="104" w:name="_Toc297803833"/>
      <w:bookmarkStart w:id="105" w:name="_Toc301943866"/>
      <w:bookmarkStart w:id="106" w:name="_Toc303343152"/>
      <w:bookmarkStart w:id="107" w:name="_Toc304886913"/>
      <w:bookmarkStart w:id="108" w:name="_Toc308428448"/>
      <w:bookmarkStart w:id="109" w:name="_Toc311050049"/>
      <w:bookmarkStart w:id="110" w:name="_Toc313963487"/>
      <w:r w:rsidRPr="00E10D9E">
        <w:t>Listes annexées au Bulletin d'exploitation de l'UIT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B8609F" w:rsidRPr="007F41C3" w:rsidRDefault="00B8609F" w:rsidP="00923D49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2677B4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111" w:name="_Toc266116912"/>
      <w:bookmarkStart w:id="112" w:name="_Toc268854490"/>
      <w:bookmarkStart w:id="113" w:name="_Toc271633945"/>
      <w:bookmarkStart w:id="114" w:name="_Toc273021660"/>
      <w:bookmarkStart w:id="115" w:name="_Toc274142258"/>
      <w:bookmarkStart w:id="116" w:name="_Toc276716379"/>
      <w:bookmarkStart w:id="117" w:name="_Toc279667588"/>
      <w:bookmarkStart w:id="118" w:name="_Toc280291891"/>
      <w:bookmarkStart w:id="119" w:name="_Toc282525362"/>
      <w:bookmarkStart w:id="120" w:name="_Toc283734831"/>
      <w:bookmarkStart w:id="121" w:name="_Toc286068860"/>
      <w:bookmarkStart w:id="122" w:name="_Toc288659472"/>
      <w:bookmarkStart w:id="123" w:name="_Toc291004525"/>
      <w:bookmarkStart w:id="124" w:name="_Toc292700028"/>
      <w:bookmarkStart w:id="125" w:name="_Toc295307442"/>
      <w:bookmarkStart w:id="126" w:name="_Toc296609652"/>
      <w:bookmarkStart w:id="127" w:name="_Toc297803834"/>
      <w:bookmarkStart w:id="128" w:name="_Toc301943867"/>
      <w:bookmarkStart w:id="129" w:name="_Toc303343153"/>
      <w:bookmarkStart w:id="130" w:name="_Toc304886914"/>
      <w:bookmarkStart w:id="131" w:name="_Toc308428449"/>
      <w:bookmarkStart w:id="132" w:name="_Toc311050050"/>
      <w:bookmarkStart w:id="133" w:name="_Toc313963488"/>
      <w:r w:rsidR="00033F01" w:rsidRPr="001C209E">
        <w:rPr>
          <w:lang w:val="fr-FR"/>
        </w:rPr>
        <w:instrText>Note du TSB</w:instrTex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="00033F01" w:rsidRPr="002E71C6">
        <w:rPr>
          <w:lang w:val="fr-CH"/>
        </w:rPr>
        <w:instrText xml:space="preserve">" \f C \l "1" </w:instrText>
      </w:r>
      <w:r w:rsidR="002677B4">
        <w:rPr>
          <w:lang w:val="fr-FR"/>
        </w:rPr>
        <w:fldChar w:fldCharType="end"/>
      </w:r>
    </w:p>
    <w:p w:rsidR="00B8609F" w:rsidRPr="00E42A7E" w:rsidRDefault="00B8609F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923D49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A8217C" w:rsidRPr="00923D49" w:rsidRDefault="00A8217C" w:rsidP="000247E5">
      <w:pPr>
        <w:spacing w:before="0"/>
        <w:ind w:left="567" w:hanging="567"/>
        <w:rPr>
          <w:rFonts w:cs="Calibri"/>
          <w:sz w:val="2"/>
          <w:lang w:val="fr-FR"/>
        </w:rPr>
      </w:pPr>
    </w:p>
    <w:p w:rsidR="00A8217C" w:rsidRPr="00E42A7E" w:rsidRDefault="00A8217C" w:rsidP="000441D3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0441D3">
        <w:rPr>
          <w:lang w:val="fr-FR"/>
        </w:rPr>
        <w:t>1</w:t>
      </w:r>
      <w:r w:rsidRPr="00E42A7E">
        <w:rPr>
          <w:lang w:val="fr-FR"/>
        </w:rPr>
        <w:t>)</w:t>
      </w:r>
    </w:p>
    <w:p w:rsidR="000247E5" w:rsidRDefault="000247E5" w:rsidP="000247E5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B27413" w:rsidRDefault="00B27413" w:rsidP="00B2741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3926FD" w:rsidRPr="00E42A7E" w:rsidRDefault="003926FD" w:rsidP="00A8217C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0F596A" w:rsidRDefault="000F596A" w:rsidP="00A8217C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</w:t>
      </w:r>
      <w:proofErr w:type="spellStart"/>
      <w:r>
        <w:rPr>
          <w:lang w:val="fr-FR"/>
        </w:rPr>
        <w:t>Call-Back</w:t>
      </w:r>
      <w:proofErr w:type="spellEnd"/>
      <w:r>
        <w:rPr>
          <w:lang w:val="fr-FR"/>
        </w:rPr>
        <w:t>) et procédures d'appel alternatives (</w:t>
      </w:r>
      <w:proofErr w:type="spellStart"/>
      <w:r>
        <w:rPr>
          <w:lang w:val="fr-FR"/>
        </w:rPr>
        <w:t>Rés</w:t>
      </w:r>
      <w:proofErr w:type="spellEnd"/>
      <w:r>
        <w:rPr>
          <w:lang w:val="fr-FR"/>
        </w:rPr>
        <w:t xml:space="preserve">. 21 </w:t>
      </w:r>
      <w:proofErr w:type="spellStart"/>
      <w:r>
        <w:rPr>
          <w:lang w:val="fr-FR"/>
        </w:rPr>
        <w:t>Rév</w:t>
      </w:r>
      <w:proofErr w:type="spellEnd"/>
      <w:r>
        <w:rPr>
          <w:lang w:val="fr-FR"/>
        </w:rPr>
        <w:t>. PP-2006)</w:t>
      </w:r>
    </w:p>
    <w:p w:rsidR="001E261D" w:rsidRDefault="001E261D" w:rsidP="00A8217C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2F2AF6" w:rsidRPr="002F2AF6" w:rsidRDefault="002F2AF6" w:rsidP="00A8217C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337046" w:rsidRPr="00E42A7E" w:rsidRDefault="00337046" w:rsidP="00923D49">
      <w:pPr>
        <w:spacing w:before="0"/>
        <w:ind w:left="567" w:hanging="567"/>
        <w:rPr>
          <w:lang w:val="fr-FR"/>
        </w:rPr>
      </w:pPr>
      <w:r>
        <w:rPr>
          <w:rFonts w:cs="Calibri"/>
          <w:lang w:val="fr-FR"/>
        </w:rPr>
        <w:t>9</w:t>
      </w:r>
      <w:r>
        <w:rPr>
          <w:rFonts w:cs="Calibri" w:hint="cs"/>
          <w:rtl/>
          <w:lang w:val="fr-FR"/>
        </w:rPr>
        <w:t>79</w:t>
      </w:r>
      <w:r>
        <w:rPr>
          <w:rFonts w:cs="Calibri"/>
          <w:lang w:val="fr-FR"/>
        </w:rPr>
        <w:tab/>
        <w:t>Liste des codes de points sémaphores internationaux (ISPC) (Selon la Recommandation UIT-T Q.708 (03/99)) (Situation au 1</w:t>
      </w:r>
      <w:r w:rsidRPr="00337046">
        <w:rPr>
          <w:rFonts w:cs="Calibri"/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2011)</w:t>
      </w:r>
    </w:p>
    <w:p w:rsidR="00631FC2" w:rsidRPr="00DC509F" w:rsidRDefault="00631FC2" w:rsidP="00923D49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A23CA" w:rsidRDefault="006A23CA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="00804CAD">
        <w:rPr>
          <w:lang w:val="fr-FR"/>
        </w:rPr>
        <w:t>75</w:t>
      </w:r>
      <w:r>
        <w:rPr>
          <w:lang w:val="fr-FR"/>
        </w:rPr>
        <w:tab/>
        <w:t>Heure légale 2011</w:t>
      </w:r>
    </w:p>
    <w:p w:rsidR="005E629D" w:rsidRPr="00E42A7E" w:rsidRDefault="00F8150C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 w:rsidR="00923D49"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923D49">
      <w:pPr>
        <w:spacing w:before="0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923D49">
      <w:pPr>
        <w:spacing w:before="0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394831" w:rsidRPr="00E42A7E" w:rsidRDefault="00394831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923D49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977C98" w:rsidRDefault="00977C98" w:rsidP="00923D49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952</w:t>
      </w:r>
      <w:r>
        <w:rPr>
          <w:lang w:val="fr-FR"/>
        </w:rPr>
        <w:tab/>
        <w:t>Liste des autorités nationales, chargées de l'attribution des codes du prestataire terminal UIT-T T.35</w:t>
      </w:r>
      <w:r w:rsidR="00B74FE4">
        <w:rPr>
          <w:lang w:val="fr-FR"/>
        </w:rPr>
        <w:t xml:space="preserve"> </w:t>
      </w:r>
      <w:r w:rsidR="00B74FE4" w:rsidRPr="00E42A7E">
        <w:rPr>
          <w:lang w:val="fr-FR"/>
        </w:rPr>
        <w:t>(Situation au 1</w:t>
      </w:r>
      <w:r w:rsidR="00B74FE4">
        <w:rPr>
          <w:lang w:val="fr-FR"/>
        </w:rPr>
        <w:t>5</w:t>
      </w:r>
      <w:r w:rsidR="00B74FE4" w:rsidRPr="00E42A7E">
        <w:rPr>
          <w:lang w:val="fr-FR"/>
        </w:rPr>
        <w:t xml:space="preserve"> </w:t>
      </w:r>
      <w:r w:rsidR="00B74FE4">
        <w:rPr>
          <w:lang w:val="fr-FR"/>
        </w:rPr>
        <w:t>mars</w:t>
      </w:r>
      <w:r w:rsidR="00B74FE4" w:rsidRPr="00E42A7E">
        <w:rPr>
          <w:lang w:val="fr-FR"/>
        </w:rPr>
        <w:t xml:space="preserve"> 20</w:t>
      </w:r>
      <w:r w:rsidR="00B74FE4">
        <w:rPr>
          <w:lang w:val="fr-FR"/>
        </w:rPr>
        <w:t>10</w:t>
      </w:r>
      <w:r w:rsidR="00B74FE4" w:rsidRPr="00E42A7E">
        <w:rPr>
          <w:lang w:val="fr-FR"/>
        </w:rPr>
        <w:t>)</w:t>
      </w:r>
    </w:p>
    <w:p w:rsidR="00B8609F" w:rsidRPr="00E42A7E" w:rsidRDefault="00B8609F" w:rsidP="00923D49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877</w:t>
      </w:r>
      <w:r w:rsidRPr="00E42A7E">
        <w:rPr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février 2007)</w:t>
      </w:r>
    </w:p>
    <w:p w:rsidR="00B8609F" w:rsidRPr="00E42A7E" w:rsidRDefault="00B8609F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B27413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B8609F" w:rsidRDefault="00B8609F" w:rsidP="001A447C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</w:t>
      </w:r>
      <w:proofErr w:type="spellStart"/>
      <w:r w:rsidRPr="00221BCF">
        <w:rPr>
          <w:sz w:val="18"/>
          <w:szCs w:val="18"/>
          <w:lang w:val="fr-FR"/>
        </w:rPr>
        <w:t>Bureaufax</w:t>
      </w:r>
      <w:proofErr w:type="spellEnd"/>
      <w:r w:rsidRPr="00221BCF">
        <w:rPr>
          <w:sz w:val="18"/>
          <w:szCs w:val="18"/>
          <w:lang w:val="fr-FR"/>
        </w:rPr>
        <w:t xml:space="preserve">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3D28A7" w:rsidRPr="003D28A7" w:rsidRDefault="003D28A7" w:rsidP="003D28A7">
      <w:pPr>
        <w:pStyle w:val="Heading20"/>
        <w:spacing w:before="0"/>
      </w:pPr>
      <w:r w:rsidRPr="003D28A7">
        <w:lastRenderedPageBreak/>
        <w:t>Approbation de Recommandations UIT-T</w:t>
      </w:r>
    </w:p>
    <w:p w:rsidR="003D28A7" w:rsidRDefault="00EC0BAC" w:rsidP="00DA4876">
      <w:pPr>
        <w:spacing w:before="240"/>
        <w:rPr>
          <w:lang w:val="fr-FR"/>
        </w:rPr>
      </w:pPr>
      <w:r>
        <w:rPr>
          <w:lang w:val="fr-FR"/>
        </w:rPr>
        <w:t>A.</w:t>
      </w:r>
      <w:r>
        <w:rPr>
          <w:lang w:val="fr-FR"/>
        </w:rPr>
        <w:tab/>
      </w:r>
      <w:r w:rsidR="003D28A7" w:rsidRPr="003D28A7">
        <w:rPr>
          <w:lang w:val="fr-FR"/>
        </w:rPr>
        <w:t>Par AAP-74, il a été annoncé l’approbation des Recommandations UIT-T suivantes, conformément à la procédure définie dans la Recommandation UIT-T A.8: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G.993.2 (16/12/2011): Emetteurs-récepteurs de ligne d'abonné numérique à très grande vitesse 2 (VDSL2)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G.993.5 (2010) </w:t>
      </w:r>
      <w:proofErr w:type="spellStart"/>
      <w:r w:rsidRPr="003D28A7">
        <w:rPr>
          <w:lang w:val="fr-FR"/>
        </w:rPr>
        <w:t>Amd</w:t>
      </w:r>
      <w:proofErr w:type="spellEnd"/>
      <w:r w:rsidRPr="003D28A7">
        <w:rPr>
          <w:lang w:val="fr-FR"/>
        </w:rPr>
        <w:t>. 1 (16/12/2011)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G.994.1 (2007) </w:t>
      </w:r>
      <w:proofErr w:type="spellStart"/>
      <w:r w:rsidRPr="003D28A7">
        <w:rPr>
          <w:lang w:val="fr-FR"/>
        </w:rPr>
        <w:t>Amd</w:t>
      </w:r>
      <w:proofErr w:type="spellEnd"/>
      <w:r w:rsidRPr="003D28A7">
        <w:rPr>
          <w:lang w:val="fr-FR"/>
        </w:rPr>
        <w:t>. 8 (16/12/2011)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G.997.1 (2009) </w:t>
      </w:r>
      <w:proofErr w:type="spellStart"/>
      <w:r w:rsidRPr="003D28A7">
        <w:rPr>
          <w:lang w:val="fr-FR"/>
        </w:rPr>
        <w:t>Amd</w:t>
      </w:r>
      <w:proofErr w:type="spellEnd"/>
      <w:r w:rsidRPr="003D28A7">
        <w:rPr>
          <w:lang w:val="fr-FR"/>
        </w:rPr>
        <w:t>. 4 (16/12/2011)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G.998.4 (2010) Cor. 3 (16/12/2011)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G.8110.1/Y.1370.1 (16/12/2011): Architecture du réseau de couche MPLS-TP 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G.9960 (16/12/2011): Emetteurs-récepteurs unifiés de réseau domestique en câble à haute vitesse – Spécifications de l'architecture du système et de la couche physique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G.9961 (2010) Cor. 1 (16/12/2011)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G.9963 (16/12/2011): Emetteurs-récepteurs de réseau domestique filaires unifiés à haut débit – Entrées multiples/sorties multiples 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H.264 (13/01/2012): Codage vidéo évolué pour les services audiovisuels génériques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H.264.1 (13/01/2012): Spécification de conformité pour le codage vidéo évolué UIT-T H.264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H.264.2 (13/01/2012): Logiciels de référence pour le codage vidéo évolué H.264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J.205 (13/01/2012): Spécifications d'un cadre de contrôle harmonisé pour les applications hybrides de diffusion large bande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J.295 (13/01/2012): Spécification d'un boîtier-décodeur évolué pour réseaux câblés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J.706 (13/01/2012): Aperçu de la distribution de contenu ciblée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J.707 (13/01/2012): Messages et protocoles permettant une distribution de contenu ciblée sur les réseaux câblés intégrés large bande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J.902 (13/01/2012): Structure de données multicouches pour la représentation modulable d'une gamme de points de vue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J.1001 (13/01/2012): Spécifications du système de sécurité pour le renouvellement à distance de logiciels client à accès conditionnel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P.501 (13/01/2012): Signaux d'essai à utiliser en </w:t>
      </w:r>
      <w:proofErr w:type="spellStart"/>
      <w:r w:rsidRPr="003D28A7">
        <w:rPr>
          <w:lang w:val="fr-FR"/>
        </w:rPr>
        <w:t>téléphonométrie</w:t>
      </w:r>
      <w:proofErr w:type="spellEnd"/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Q.3909 (29/11/2011): Tests de conformité et d'interopérabilité des réseaux NGN: cadre et aperçu 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Q.3950 (29/11/2011): Tests et architecture de réseau type pour les systèmes et fonctions d'identification par étiquette 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T.800 (2002) </w:t>
      </w:r>
      <w:proofErr w:type="spellStart"/>
      <w:r w:rsidRPr="003D28A7">
        <w:rPr>
          <w:lang w:val="fr-FR"/>
        </w:rPr>
        <w:t>Amd</w:t>
      </w:r>
      <w:proofErr w:type="spellEnd"/>
      <w:r w:rsidRPr="003D28A7">
        <w:rPr>
          <w:lang w:val="fr-FR"/>
        </w:rPr>
        <w:t>. 5 (13/01/2012): Améliorations des profils pour le cinéma numérique et les archives (fréquences d'image supplémentaires)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T.805 (13/01/2012): Technologies de l'information – Système de codage d'images JPEG 2000: Format de fichier d'image composite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T.810 (2006) </w:t>
      </w:r>
      <w:proofErr w:type="spellStart"/>
      <w:r w:rsidRPr="003D28A7">
        <w:rPr>
          <w:lang w:val="fr-FR"/>
        </w:rPr>
        <w:t>Amd</w:t>
      </w:r>
      <w:proofErr w:type="spellEnd"/>
      <w:r w:rsidRPr="003D28A7">
        <w:rPr>
          <w:lang w:val="fr-FR"/>
        </w:rPr>
        <w:t>. 1 (13/01/2012): Réseaux hertziens fondés sur IP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T.832 (13/01/2012): Technologies de l'information – Système de codage d'image JPEG XR – Spécification du codage des images 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lastRenderedPageBreak/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Y.2057 (29/11/2011): Cadre de séparation des identificateurs et des localisateurs dans les réseaux de prochaine génération utilisant le protocole IPv6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Y.3011 (13/01/2012): Cadre applicable à la </w:t>
      </w:r>
      <w:proofErr w:type="spellStart"/>
      <w:r w:rsidRPr="003D28A7">
        <w:rPr>
          <w:lang w:val="fr-FR"/>
        </w:rPr>
        <w:t>virtualisation</w:t>
      </w:r>
      <w:proofErr w:type="spellEnd"/>
      <w:r w:rsidRPr="003D28A7">
        <w:rPr>
          <w:lang w:val="fr-FR"/>
        </w:rPr>
        <w:t xml:space="preserve"> de réseau dans les réseaux futurs 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Y.3021 (13/01/2012): Cadre applicable à réalisation d'économies d'énergie dans les réseaux futurs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Z.100 (22/12/2011): SDL: langage de description et de spécification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Z.101 (22/12/2011): Langage de description et de spécification: Langage SDL-2010 de base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Z.102 (22/12/2011): Langage de description et de spécification: Langage SDL-2010 complet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Z.103 (22/12/2011): Langage de description et de spécification: Notation abrégée et annotation dans le langage SDL-2010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Z.104 (22/12/2011): Langage de description et de spécification: Caractéristiques du langage SDL-2010 pour les données et les actions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 xml:space="preserve">Recommandation UIT-T Z.105 (22/12/2011): Langage de description et de spécification: Langage SDL-2010 combiné avec des modules ASN.1 </w:t>
      </w:r>
    </w:p>
    <w:p w:rsidR="003D28A7" w:rsidRDefault="003D28A7" w:rsidP="00DA4876">
      <w:pPr>
        <w:ind w:left="567" w:hanging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3D28A7">
        <w:rPr>
          <w:lang w:val="fr-FR"/>
        </w:rPr>
        <w:t>Recommandation UIT-T Z.106 (22/12/2011): Langage de description et de spécification: Format d'échange commun pour le langage SDL-2010</w:t>
      </w:r>
    </w:p>
    <w:p w:rsidR="00783907" w:rsidRPr="00A0182B" w:rsidRDefault="00783907" w:rsidP="00DA4876">
      <w:pPr>
        <w:rPr>
          <w:rFonts w:eastAsiaTheme="minorEastAsia"/>
          <w:lang w:val="fr-FR" w:eastAsia="zh-CN"/>
        </w:rPr>
      </w:pPr>
      <w:r w:rsidRPr="00A0182B">
        <w:rPr>
          <w:rFonts w:eastAsiaTheme="minorEastAsia"/>
          <w:lang w:val="fr-FR" w:eastAsia="zh-CN"/>
        </w:rPr>
        <w:t>B.</w:t>
      </w:r>
      <w:r w:rsidRPr="00A0182B">
        <w:rPr>
          <w:rFonts w:eastAsiaTheme="minorEastAsia"/>
          <w:lang w:val="fr-FR" w:eastAsia="zh-CN"/>
        </w:rPr>
        <w:tab/>
        <w:t>Par la Circulaire TSB 248 du 17 janvier 2012, il a été annoncé l'approbation des Recommandations UIT-T suivantes, conformément à la procédure définie dans la Résolution 1:</w:t>
      </w:r>
    </w:p>
    <w:p w:rsidR="00783907" w:rsidRPr="00A0182B" w:rsidRDefault="00783907" w:rsidP="00DA4876">
      <w:pPr>
        <w:ind w:left="567" w:hanging="567"/>
        <w:rPr>
          <w:lang w:val="fr-CH"/>
        </w:rPr>
      </w:pPr>
      <w:r w:rsidRPr="00A0182B">
        <w:rPr>
          <w:lang w:val="fr-CH"/>
        </w:rPr>
        <w:t xml:space="preserve">– </w:t>
      </w:r>
      <w:r>
        <w:rPr>
          <w:lang w:val="fr-CH"/>
        </w:rPr>
        <w:tab/>
      </w:r>
      <w:r w:rsidRPr="00A0182B">
        <w:rPr>
          <w:lang w:val="fr-CH"/>
        </w:rPr>
        <w:t>Recommandation UIT-T G.9955 (12/2011): Emetteurs-récepteurs OFDM à bande étroite utilisant les courants porteurs en ligne - Spécification de la couche physique</w:t>
      </w:r>
    </w:p>
    <w:p w:rsidR="00783907" w:rsidRDefault="00783907" w:rsidP="00DA4876">
      <w:pPr>
        <w:ind w:left="567" w:hanging="567"/>
        <w:rPr>
          <w:lang w:val="fr-CH"/>
        </w:rPr>
      </w:pPr>
      <w:r w:rsidRPr="00A0182B">
        <w:rPr>
          <w:lang w:val="fr-CH"/>
        </w:rPr>
        <w:t xml:space="preserve">– </w:t>
      </w:r>
      <w:r>
        <w:rPr>
          <w:lang w:val="fr-CH"/>
        </w:rPr>
        <w:tab/>
      </w:r>
      <w:r w:rsidRPr="00A0182B">
        <w:rPr>
          <w:lang w:val="fr-CH"/>
        </w:rPr>
        <w:t>Recommandation UIT-T G.9964 (12/2011): Emetteurs-récepteurs de réseau domestique filaires unifiés à haut débit – Spécification des éléments liés au spectre</w:t>
      </w:r>
    </w:p>
    <w:p w:rsidR="00DA4876" w:rsidRDefault="00DA4876" w:rsidP="00DA4876">
      <w:pPr>
        <w:rPr>
          <w:lang w:val="fr-CH"/>
        </w:rPr>
      </w:pPr>
    </w:p>
    <w:p w:rsidR="00DA4876" w:rsidRPr="00A0182B" w:rsidRDefault="00DA4876" w:rsidP="00DA4876">
      <w:pPr>
        <w:rPr>
          <w:lang w:val="fr-CH"/>
        </w:rPr>
      </w:pPr>
    </w:p>
    <w:p w:rsidR="00754284" w:rsidRPr="008E2D6D" w:rsidRDefault="00754284" w:rsidP="00545C84">
      <w:pPr>
        <w:pStyle w:val="Heading20"/>
        <w:spacing w:before="240"/>
      </w:pPr>
      <w:bookmarkStart w:id="134" w:name="_Toc301947207"/>
      <w:bookmarkStart w:id="135" w:name="_Toc304895933"/>
      <w:bookmarkStart w:id="136" w:name="_Toc303344658"/>
      <w:bookmarkStart w:id="137" w:name="_Toc313963490"/>
      <w:r w:rsidRPr="008E2D6D">
        <w:t xml:space="preserve">Service </w:t>
      </w:r>
      <w:bookmarkEnd w:id="134"/>
      <w:bookmarkEnd w:id="135"/>
      <w:bookmarkEnd w:id="136"/>
      <w:r w:rsidR="00545C84">
        <w:t>t</w:t>
      </w:r>
      <w:r w:rsidRPr="008E2D6D">
        <w:t>éléphonique</w:t>
      </w:r>
      <w:bookmarkEnd w:id="137"/>
    </w:p>
    <w:p w:rsidR="00476817" w:rsidRPr="00476817" w:rsidRDefault="00476817" w:rsidP="00476817">
      <w:pPr>
        <w:rPr>
          <w:b/>
          <w:lang w:val="fr-FR"/>
        </w:rPr>
      </w:pPr>
      <w:r w:rsidRPr="00476817">
        <w:rPr>
          <w:b/>
          <w:lang w:val="fr-FR"/>
        </w:rPr>
        <w:t>Burkina Faso (indicatif de pays +226)</w:t>
      </w:r>
    </w:p>
    <w:p w:rsidR="00476817" w:rsidRPr="00476817" w:rsidRDefault="00476817" w:rsidP="0044792A">
      <w:pPr>
        <w:spacing w:before="0"/>
        <w:rPr>
          <w:lang w:val="fr-FR"/>
        </w:rPr>
      </w:pPr>
      <w:r w:rsidRPr="00476817">
        <w:rPr>
          <w:lang w:val="fr-FR"/>
        </w:rPr>
        <w:t>Communication du 20.XII.2012:</w:t>
      </w:r>
    </w:p>
    <w:p w:rsidR="00476817" w:rsidRPr="00476817" w:rsidRDefault="00476817" w:rsidP="0044792A">
      <w:pPr>
        <w:rPr>
          <w:lang w:val="fr-FR"/>
        </w:rPr>
      </w:pPr>
      <w:r w:rsidRPr="00476817">
        <w:rPr>
          <w:lang w:val="fr-FR"/>
        </w:rPr>
        <w:t>L</w:t>
      </w:r>
      <w:r w:rsidRPr="00476817">
        <w:rPr>
          <w:i/>
          <w:iCs/>
          <w:lang w:val="fr-FR"/>
        </w:rPr>
        <w:t>’Autorité de Régulation des Communications Electroniques et des Postes (ARCEP</w:t>
      </w:r>
      <w:r w:rsidRPr="00476817">
        <w:rPr>
          <w:lang w:val="fr-FR"/>
        </w:rPr>
        <w:t>), Ouagadougou, annonce l’attribution des nouvelles séries de numéros suivantes:</w:t>
      </w:r>
    </w:p>
    <w:p w:rsidR="00476817" w:rsidRPr="00E87F58" w:rsidRDefault="00476817" w:rsidP="00E87F58">
      <w:pPr>
        <w:spacing w:before="0"/>
        <w:rPr>
          <w:sz w:val="8"/>
          <w:szCs w:val="8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7"/>
        <w:gridCol w:w="1755"/>
        <w:gridCol w:w="2705"/>
        <w:gridCol w:w="2285"/>
      </w:tblGrid>
      <w:tr w:rsidR="00476817" w:rsidRPr="00B638EE" w:rsidTr="0044792A">
        <w:trPr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F2" w:rsidRPr="0044792A" w:rsidRDefault="00476817" w:rsidP="0044792A">
            <w:pPr>
              <w:pStyle w:val="Tablehead0"/>
            </w:pPr>
            <w:r w:rsidRPr="0044792A">
              <w:t>Opérateur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F2" w:rsidRPr="0044792A" w:rsidRDefault="00476817" w:rsidP="0044792A">
            <w:pPr>
              <w:pStyle w:val="Tablehead0"/>
            </w:pPr>
            <w:r w:rsidRPr="0044792A">
              <w:t>Service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F2" w:rsidRPr="0044792A" w:rsidRDefault="00476817" w:rsidP="0044792A">
            <w:pPr>
              <w:pStyle w:val="Tablehead0"/>
            </w:pPr>
            <w:r w:rsidRPr="0044792A">
              <w:t xml:space="preserve">Séries de numéros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F2" w:rsidRPr="0044792A" w:rsidRDefault="00476817" w:rsidP="0044792A">
            <w:pPr>
              <w:pStyle w:val="Tablehead0"/>
            </w:pPr>
            <w:r w:rsidRPr="0044792A">
              <w:t>Date de mise en service</w:t>
            </w:r>
          </w:p>
        </w:tc>
      </w:tr>
      <w:tr w:rsidR="00476817" w:rsidRPr="0044792A" w:rsidTr="0044792A">
        <w:trPr>
          <w:trHeight w:val="264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17" w:rsidRPr="00476817" w:rsidRDefault="00476817" w:rsidP="0044792A">
            <w:pPr>
              <w:pStyle w:val="Tabletext0"/>
              <w:rPr>
                <w:lang w:val="es-ES_tradnl"/>
              </w:rPr>
            </w:pPr>
            <w:proofErr w:type="spellStart"/>
            <w:r w:rsidRPr="00476817">
              <w:rPr>
                <w:lang w:val="es-ES_tradnl"/>
              </w:rPr>
              <w:t>Onatel</w:t>
            </w:r>
            <w:proofErr w:type="spellEnd"/>
            <w:r w:rsidRPr="00476817">
              <w:rPr>
                <w:lang w:val="es-ES_tradnl"/>
              </w:rPr>
              <w:t xml:space="preserve"> </w:t>
            </w:r>
            <w:proofErr w:type="spellStart"/>
            <w:r w:rsidRPr="00476817">
              <w:rPr>
                <w:lang w:val="es-ES_tradnl"/>
              </w:rPr>
              <w:t>Sa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17" w:rsidRPr="0044792A" w:rsidRDefault="00476817" w:rsidP="0044792A">
            <w:pPr>
              <w:pStyle w:val="Tabletext0"/>
              <w:rPr>
                <w:lang w:val="es-ES_tradnl"/>
              </w:rPr>
            </w:pPr>
            <w:proofErr w:type="spellStart"/>
            <w:r w:rsidRPr="0044792A">
              <w:rPr>
                <w:lang w:val="es-ES_tradnl"/>
              </w:rPr>
              <w:t>mobile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17" w:rsidRPr="0044792A" w:rsidRDefault="00476817" w:rsidP="0044792A">
            <w:pPr>
              <w:pStyle w:val="Tabletext0"/>
              <w:rPr>
                <w:lang w:val="es-ES_tradnl"/>
              </w:rPr>
            </w:pPr>
            <w:r w:rsidRPr="0044792A">
              <w:rPr>
                <w:lang w:val="es-ES_tradnl"/>
              </w:rPr>
              <w:t>6020 XXXX – 6039 XXXX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7" w:rsidRPr="0044792A" w:rsidRDefault="00476817" w:rsidP="0044792A">
            <w:pPr>
              <w:pStyle w:val="Tabletext0"/>
              <w:rPr>
                <w:lang w:val="es-ES_tradnl"/>
              </w:rPr>
            </w:pPr>
            <w:r w:rsidRPr="0044792A">
              <w:rPr>
                <w:lang w:val="es-ES_tradnl"/>
              </w:rPr>
              <w:t>20.XII.2011</w:t>
            </w:r>
          </w:p>
        </w:tc>
      </w:tr>
    </w:tbl>
    <w:p w:rsidR="00476817" w:rsidRPr="00476817" w:rsidRDefault="00476817" w:rsidP="00476817">
      <w:pPr>
        <w:rPr>
          <w:lang w:val="fr-FR"/>
        </w:rPr>
      </w:pPr>
      <w:r w:rsidRPr="00476817">
        <w:rPr>
          <w:lang w:val="fr-FR"/>
        </w:rPr>
        <w:t>Contact:</w:t>
      </w:r>
      <w:r w:rsidRPr="00476817">
        <w:rPr>
          <w:lang w:val="fr-FR"/>
        </w:rPr>
        <w:tab/>
      </w:r>
    </w:p>
    <w:p w:rsidR="00476817" w:rsidRPr="00476817" w:rsidRDefault="00476817" w:rsidP="00944E5B">
      <w:pPr>
        <w:ind w:left="567" w:hanging="567"/>
        <w:jc w:val="left"/>
        <w:rPr>
          <w:lang w:val="es-ES_tradnl"/>
        </w:rPr>
      </w:pPr>
      <w:r>
        <w:rPr>
          <w:lang w:val="fr-FR"/>
        </w:rPr>
        <w:tab/>
      </w:r>
      <w:r w:rsidRPr="00476817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476817">
        <w:rPr>
          <w:lang w:val="fr-CH"/>
        </w:rPr>
        <w:t xml:space="preserve">01 B.P. </w:t>
      </w:r>
      <w:r w:rsidRPr="00476817">
        <w:rPr>
          <w:lang w:val="fr-CH"/>
        </w:rPr>
        <w:br/>
      </w:r>
      <w:r w:rsidRPr="00476817">
        <w:rPr>
          <w:lang w:val="es-ES_tradnl"/>
        </w:rPr>
        <w:t>6437 OUAGADOUGOU 01</w:t>
      </w:r>
      <w:r w:rsidRPr="00476817">
        <w:rPr>
          <w:lang w:val="es-ES_tradnl"/>
        </w:rPr>
        <w:br/>
        <w:t xml:space="preserve">Burkina Faso </w:t>
      </w:r>
      <w:r w:rsidRPr="00476817">
        <w:rPr>
          <w:lang w:val="es-ES_tradnl"/>
        </w:rPr>
        <w:br/>
      </w:r>
      <w:proofErr w:type="spellStart"/>
      <w:r w:rsidR="002E1365">
        <w:rPr>
          <w:lang w:val="es-ES_tradnl"/>
        </w:rPr>
        <w:t>Tél</w:t>
      </w:r>
      <w:proofErr w:type="spellEnd"/>
      <w:r w:rsidR="002E1365">
        <w:rPr>
          <w:lang w:val="es-ES_tradnl"/>
        </w:rPr>
        <w:t>:</w:t>
      </w:r>
      <w:r w:rsidR="002C2803">
        <w:rPr>
          <w:lang w:val="es-ES_tradnl"/>
        </w:rPr>
        <w:t xml:space="preserve"> </w:t>
      </w:r>
      <w:r w:rsidRPr="00476817">
        <w:rPr>
          <w:lang w:val="es-ES_tradnl"/>
        </w:rPr>
        <w:tab/>
        <w:t>+226 50 37 5360/61/62</w:t>
      </w:r>
      <w:r w:rsidRPr="00476817">
        <w:rPr>
          <w:lang w:val="es-ES_tradnl"/>
        </w:rPr>
        <w:br/>
        <w:t xml:space="preserve">Fax: </w:t>
      </w:r>
      <w:r w:rsidRPr="00476817">
        <w:rPr>
          <w:lang w:val="es-ES_tradnl"/>
        </w:rPr>
        <w:tab/>
        <w:t>+226 50 37 5364</w:t>
      </w:r>
      <w:r w:rsidRPr="00476817">
        <w:rPr>
          <w:lang w:val="es-ES_tradnl"/>
        </w:rPr>
        <w:br/>
        <w:t xml:space="preserve">E-mail: </w:t>
      </w:r>
      <w:r w:rsidRPr="00476817">
        <w:rPr>
          <w:lang w:val="es-ES_tradnl"/>
        </w:rPr>
        <w:tab/>
        <w:t>secretariat@arce.bf</w:t>
      </w:r>
      <w:r w:rsidRPr="00476817">
        <w:rPr>
          <w:lang w:val="es-ES_tradnl"/>
        </w:rPr>
        <w:br/>
        <w:t>URL</w:t>
      </w:r>
      <w:r w:rsidR="00944E5B">
        <w:rPr>
          <w:lang w:val="es-ES_tradnl"/>
        </w:rPr>
        <w:t>:</w:t>
      </w:r>
      <w:r w:rsidRPr="00476817">
        <w:rPr>
          <w:lang w:val="es-ES_tradnl"/>
        </w:rPr>
        <w:tab/>
        <w:t>www.arce.bf</w:t>
      </w:r>
    </w:p>
    <w:p w:rsidR="00DA4876" w:rsidRPr="00DB3711" w:rsidRDefault="00DA4876" w:rsidP="009971FC">
      <w:pPr>
        <w:rPr>
          <w:b/>
          <w:lang w:val="es-ES"/>
        </w:rPr>
      </w:pPr>
    </w:p>
    <w:p w:rsidR="00DA4876" w:rsidRPr="00DB3711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s-ES"/>
        </w:rPr>
      </w:pPr>
      <w:r w:rsidRPr="00DB3711">
        <w:rPr>
          <w:b/>
          <w:lang w:val="es-ES"/>
        </w:rPr>
        <w:br w:type="page"/>
      </w:r>
    </w:p>
    <w:p w:rsidR="009971FC" w:rsidRPr="009971FC" w:rsidRDefault="009971FC" w:rsidP="009971FC">
      <w:pPr>
        <w:rPr>
          <w:b/>
          <w:i/>
          <w:iCs/>
          <w:lang w:val="fr-CH"/>
        </w:rPr>
      </w:pPr>
      <w:r w:rsidRPr="009971FC">
        <w:rPr>
          <w:b/>
          <w:lang w:val="fr-CH"/>
        </w:rPr>
        <w:lastRenderedPageBreak/>
        <w:t>Costa Rica (indicatif de pays +506)</w:t>
      </w:r>
    </w:p>
    <w:p w:rsidR="009971FC" w:rsidRPr="009971FC" w:rsidRDefault="009971FC" w:rsidP="009971FC">
      <w:pPr>
        <w:spacing w:before="0"/>
        <w:rPr>
          <w:lang w:val="fr-FR"/>
        </w:rPr>
      </w:pPr>
      <w:proofErr w:type="spellStart"/>
      <w:r w:rsidRPr="009971FC">
        <w:rPr>
          <w:lang w:val="fr-FR"/>
        </w:rPr>
        <w:t>Comunication</w:t>
      </w:r>
      <w:proofErr w:type="spellEnd"/>
      <w:r w:rsidRPr="009971FC">
        <w:rPr>
          <w:lang w:val="fr-FR"/>
        </w:rPr>
        <w:t xml:space="preserve"> du 22.XII.2011:</w:t>
      </w:r>
    </w:p>
    <w:p w:rsidR="009971FC" w:rsidRPr="009971FC" w:rsidRDefault="009971FC" w:rsidP="00545C84">
      <w:pPr>
        <w:rPr>
          <w:lang w:val="fr-FR"/>
        </w:rPr>
      </w:pPr>
      <w:r w:rsidRPr="009971FC">
        <w:rPr>
          <w:lang w:val="fr-CH"/>
        </w:rPr>
        <w:t xml:space="preserve">La </w:t>
      </w:r>
      <w:proofErr w:type="spellStart"/>
      <w:r w:rsidRPr="009971FC">
        <w:rPr>
          <w:i/>
          <w:iCs/>
          <w:lang w:val="fr-CH"/>
        </w:rPr>
        <w:t>Superin</w:t>
      </w:r>
      <w:r w:rsidR="00545C84">
        <w:rPr>
          <w:i/>
          <w:iCs/>
          <w:lang w:val="fr-CH"/>
        </w:rPr>
        <w:t>ten</w:t>
      </w:r>
      <w:r w:rsidRPr="009971FC">
        <w:rPr>
          <w:i/>
          <w:iCs/>
          <w:lang w:val="fr-CH"/>
        </w:rPr>
        <w:t>dencia</w:t>
      </w:r>
      <w:proofErr w:type="spellEnd"/>
      <w:r w:rsidRPr="009971FC">
        <w:rPr>
          <w:i/>
          <w:iCs/>
          <w:lang w:val="fr-CH"/>
        </w:rPr>
        <w:t xml:space="preserve"> de </w:t>
      </w:r>
      <w:proofErr w:type="spellStart"/>
      <w:r w:rsidRPr="009971FC">
        <w:rPr>
          <w:i/>
          <w:iCs/>
          <w:lang w:val="fr-CH"/>
        </w:rPr>
        <w:t>Telecomunicaciones</w:t>
      </w:r>
      <w:proofErr w:type="spellEnd"/>
      <w:r w:rsidRPr="009971FC">
        <w:rPr>
          <w:i/>
          <w:iCs/>
          <w:lang w:val="fr-CH"/>
        </w:rPr>
        <w:t xml:space="preserve"> (SUTEL)</w:t>
      </w:r>
      <w:r w:rsidRPr="00545C84">
        <w:rPr>
          <w:lang w:val="fr-CH"/>
        </w:rPr>
        <w:t xml:space="preserve">, San José, </w:t>
      </w:r>
      <w:r w:rsidRPr="00545C84">
        <w:rPr>
          <w:lang w:val="fr-FR"/>
        </w:rPr>
        <w:t xml:space="preserve">qui </w:t>
      </w:r>
      <w:r w:rsidRPr="009971FC">
        <w:rPr>
          <w:lang w:val="fr-FR"/>
        </w:rPr>
        <w:t xml:space="preserve">conformément au Décret N° 35187-MINAET (Plan de numérotage national) est chargée du contrôle et de la gestion de la ressource de numérotage du Costa Rica, en application de la Recommandation UIT-T E.129 annonce ce qui suit: </w:t>
      </w:r>
    </w:p>
    <w:p w:rsidR="009971FC" w:rsidRPr="009971FC" w:rsidRDefault="009971FC" w:rsidP="009971FC">
      <w:pPr>
        <w:jc w:val="center"/>
        <w:rPr>
          <w:iCs/>
          <w:lang w:val="fr-CH"/>
        </w:rPr>
      </w:pPr>
      <w:r w:rsidRPr="009971FC">
        <w:rPr>
          <w:bCs/>
          <w:lang w:val="fr-CH"/>
        </w:rPr>
        <w:t xml:space="preserve">Changement au </w:t>
      </w:r>
      <w:r w:rsidRPr="009971FC">
        <w:rPr>
          <w:iCs/>
          <w:lang w:val="fr-CH"/>
        </w:rPr>
        <w:t>Plan de Numérotage National</w:t>
      </w:r>
      <w:r w:rsidRPr="009971FC">
        <w:rPr>
          <w:bCs/>
          <w:iCs/>
          <w:lang w:val="fr-CH"/>
        </w:rPr>
        <w:t xml:space="preserve"> (NNP –</w:t>
      </w:r>
      <w:r w:rsidRPr="009971FC">
        <w:rPr>
          <w:iCs/>
          <w:lang w:val="fr-CH"/>
        </w:rPr>
        <w:t xml:space="preserve"> National </w:t>
      </w:r>
      <w:proofErr w:type="spellStart"/>
      <w:r w:rsidRPr="009971FC">
        <w:rPr>
          <w:iCs/>
          <w:lang w:val="fr-CH"/>
        </w:rPr>
        <w:t>Numbering</w:t>
      </w:r>
      <w:proofErr w:type="spellEnd"/>
      <w:r w:rsidRPr="009971FC">
        <w:rPr>
          <w:iCs/>
          <w:lang w:val="fr-CH"/>
        </w:rPr>
        <w:t xml:space="preserve"> Plan</w:t>
      </w:r>
      <w:r w:rsidRPr="009971FC">
        <w:rPr>
          <w:bCs/>
          <w:iCs/>
          <w:lang w:val="fr-CH"/>
        </w:rPr>
        <w:t xml:space="preserve"> ) E.164 </w:t>
      </w:r>
      <w:r>
        <w:rPr>
          <w:bCs/>
          <w:iCs/>
          <w:lang w:val="fr-CH"/>
        </w:rPr>
        <w:br/>
      </w:r>
      <w:r w:rsidRPr="009971FC">
        <w:rPr>
          <w:iCs/>
          <w:lang w:val="fr-CH"/>
        </w:rPr>
        <w:t>pour l’indicatif de pays: 506</w:t>
      </w:r>
    </w:p>
    <w:p w:rsidR="009971FC" w:rsidRPr="009971FC" w:rsidRDefault="009971FC" w:rsidP="00545C84">
      <w:pPr>
        <w:jc w:val="center"/>
        <w:rPr>
          <w:i/>
          <w:lang w:val="fr-CH"/>
        </w:rPr>
      </w:pPr>
      <w:r w:rsidRPr="009971FC">
        <w:rPr>
          <w:i/>
          <w:lang w:val="fr-CH"/>
        </w:rPr>
        <w:t>Tableau 1</w:t>
      </w:r>
      <w:r w:rsidR="00545C84">
        <w:rPr>
          <w:i/>
          <w:lang w:val="fr-CH"/>
        </w:rPr>
        <w:t xml:space="preserve"> –</w:t>
      </w:r>
      <w:r w:rsidRPr="009971FC">
        <w:rPr>
          <w:i/>
          <w:lang w:val="fr-CH"/>
        </w:rPr>
        <w:t xml:space="preserve"> Description des changements de numéros dans le plan de numérotage UIT-T E.164 </w:t>
      </w:r>
      <w:r>
        <w:rPr>
          <w:i/>
          <w:lang w:val="fr-CH"/>
        </w:rPr>
        <w:br/>
      </w:r>
      <w:r w:rsidRPr="009971FC">
        <w:rPr>
          <w:i/>
          <w:lang w:val="fr-CH"/>
        </w:rPr>
        <w:t>pour l’indicatif de pays: 506</w:t>
      </w:r>
    </w:p>
    <w:p w:rsidR="009971FC" w:rsidRPr="00E87F58" w:rsidRDefault="009971FC" w:rsidP="00E87F58">
      <w:pPr>
        <w:spacing w:before="0"/>
        <w:rPr>
          <w:i/>
          <w:sz w:val="8"/>
          <w:szCs w:val="8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1078"/>
        <w:gridCol w:w="1110"/>
        <w:gridCol w:w="2414"/>
        <w:gridCol w:w="1980"/>
      </w:tblGrid>
      <w:tr w:rsidR="009971FC" w:rsidRPr="00B638EE" w:rsidTr="00E87F58">
        <w:trPr>
          <w:cantSplit/>
          <w:trHeight w:val="245"/>
          <w:tblHeader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t>NDC (indicatif national de destination ou premiers chiffres du N(S)N (numéro (significatif) national)</w:t>
            </w:r>
            <w:r w:rsidRPr="009971FC">
              <w:br/>
              <w:t>X = 0 à 9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t>Longueur du N(S)N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rPr>
                <w:lang w:val="en-GB"/>
              </w:rPr>
              <w:t xml:space="preserve">Utilisation du </w:t>
            </w:r>
            <w:proofErr w:type="spellStart"/>
            <w:r w:rsidRPr="009971FC">
              <w:rPr>
                <w:lang w:val="en-GB"/>
              </w:rPr>
              <w:t>numéro</w:t>
            </w:r>
            <w:proofErr w:type="spellEnd"/>
            <w:r w:rsidRPr="009971FC">
              <w:rPr>
                <w:lang w:val="en-GB"/>
              </w:rPr>
              <w:t xml:space="preserve"> E.164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DA6A0A">
            <w:pPr>
              <w:pStyle w:val="Tablehead0"/>
            </w:pPr>
            <w:r w:rsidRPr="009971FC">
              <w:t>Date et heure de l’introduction</w:t>
            </w:r>
          </w:p>
        </w:tc>
      </w:tr>
      <w:tr w:rsidR="009971FC" w:rsidRPr="009971FC" w:rsidTr="00E87F58">
        <w:trPr>
          <w:cantSplit/>
          <w:tblHeader/>
          <w:jc w:val="center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rPr>
                <w:i/>
                <w:lang w:val="fr-CH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t>Longueur maximale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t>Longueur minimale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rPr>
                <w:i/>
                <w:lang w:val="fr-FR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DA6A0A">
            <w:pPr>
              <w:jc w:val="center"/>
              <w:rPr>
                <w:i/>
                <w:lang w:val="es-ES"/>
              </w:rPr>
            </w:pPr>
          </w:p>
        </w:tc>
      </w:tr>
      <w:tr w:rsidR="009971FC" w:rsidRPr="009971FC" w:rsidTr="00E87F58">
        <w:trPr>
          <w:cantSplit/>
          <w:jc w:val="center"/>
        </w:trPr>
        <w:tc>
          <w:tcPr>
            <w:tcW w:w="2490" w:type="dxa"/>
            <w:noWrap/>
          </w:tcPr>
          <w:p w:rsidR="009971FC" w:rsidRPr="009971FC" w:rsidRDefault="009971FC" w:rsidP="00EC07EA">
            <w:pPr>
              <w:pStyle w:val="Tabletext0"/>
            </w:pPr>
            <w:r w:rsidRPr="009971FC">
              <w:t xml:space="preserve">4040 00XX </w:t>
            </w:r>
          </w:p>
        </w:tc>
        <w:tc>
          <w:tcPr>
            <w:tcW w:w="1078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8 chiffres</w:t>
            </w:r>
          </w:p>
        </w:tc>
        <w:tc>
          <w:tcPr>
            <w:tcW w:w="111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8 chiffres</w:t>
            </w:r>
          </w:p>
        </w:tc>
        <w:tc>
          <w:tcPr>
            <w:tcW w:w="2414" w:type="dxa"/>
            <w:noWrap/>
          </w:tcPr>
          <w:p w:rsidR="009971FC" w:rsidRPr="009971FC" w:rsidRDefault="009971FC" w:rsidP="00E87F58">
            <w:pPr>
              <w:pStyle w:val="Tabletext0"/>
            </w:pPr>
            <w:r w:rsidRPr="009971FC">
              <w:t xml:space="preserve">Service de téléphonie IP </w:t>
            </w:r>
            <w:r w:rsidR="00E87F58">
              <w:br/>
            </w:r>
            <w:r w:rsidRPr="009971FC">
              <w:t>E-</w:t>
            </w:r>
            <w:proofErr w:type="spellStart"/>
            <w:r w:rsidRPr="009971FC">
              <w:t>Diay</w:t>
            </w:r>
            <w:proofErr w:type="spellEnd"/>
          </w:p>
        </w:tc>
        <w:tc>
          <w:tcPr>
            <w:tcW w:w="1980" w:type="dxa"/>
            <w:noWrap/>
          </w:tcPr>
          <w:p w:rsidR="009971FC" w:rsidRPr="009971FC" w:rsidRDefault="009971FC" w:rsidP="00DA6A0A">
            <w:pPr>
              <w:pStyle w:val="Tabletext0"/>
              <w:jc w:val="center"/>
            </w:pPr>
            <w:r w:rsidRPr="009971FC">
              <w:t>22.XII.2011 – 00</w:t>
            </w:r>
            <w:r w:rsidR="00BE48E3">
              <w:t>:</w:t>
            </w:r>
            <w:r w:rsidRPr="009971FC">
              <w:t>00</w:t>
            </w:r>
          </w:p>
        </w:tc>
      </w:tr>
      <w:tr w:rsidR="009971FC" w:rsidRPr="009971FC" w:rsidTr="00E87F58">
        <w:trPr>
          <w:cantSplit/>
          <w:jc w:val="center"/>
        </w:trPr>
        <w:tc>
          <w:tcPr>
            <w:tcW w:w="2490" w:type="dxa"/>
            <w:noWrap/>
          </w:tcPr>
          <w:p w:rsidR="009971FC" w:rsidRPr="009971FC" w:rsidRDefault="009971FC" w:rsidP="009971FC">
            <w:pPr>
              <w:pStyle w:val="Tabletext0"/>
              <w:rPr>
                <w:lang w:val="es-ES_tradnl"/>
              </w:rPr>
            </w:pPr>
            <w:r w:rsidRPr="009971FC">
              <w:rPr>
                <w:lang w:val="es-ES_tradnl"/>
              </w:rPr>
              <w:t>1015</w:t>
            </w:r>
          </w:p>
        </w:tc>
        <w:tc>
          <w:tcPr>
            <w:tcW w:w="1078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4 chiffres</w:t>
            </w:r>
          </w:p>
        </w:tc>
        <w:tc>
          <w:tcPr>
            <w:tcW w:w="111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4 chiffres</w:t>
            </w:r>
          </w:p>
        </w:tc>
        <w:tc>
          <w:tcPr>
            <w:tcW w:w="2414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Service de télégestion E-</w:t>
            </w:r>
            <w:proofErr w:type="spellStart"/>
            <w:r w:rsidRPr="009971FC">
              <w:t>Diay</w:t>
            </w:r>
            <w:proofErr w:type="spellEnd"/>
          </w:p>
        </w:tc>
        <w:tc>
          <w:tcPr>
            <w:tcW w:w="1980" w:type="dxa"/>
            <w:noWrap/>
          </w:tcPr>
          <w:p w:rsidR="009971FC" w:rsidRPr="009971FC" w:rsidRDefault="009971FC" w:rsidP="00DA6A0A">
            <w:pPr>
              <w:pStyle w:val="Tabletext0"/>
              <w:jc w:val="center"/>
            </w:pPr>
            <w:r w:rsidRPr="009971FC">
              <w:t>22.XII.2011 – 00</w:t>
            </w:r>
            <w:r w:rsidR="00BE48E3">
              <w:t>:</w:t>
            </w:r>
            <w:r w:rsidRPr="009971FC">
              <w:t>00</w:t>
            </w:r>
          </w:p>
        </w:tc>
      </w:tr>
      <w:tr w:rsidR="009971FC" w:rsidRPr="009971FC" w:rsidTr="00E87F58">
        <w:trPr>
          <w:cantSplit/>
          <w:jc w:val="center"/>
        </w:trPr>
        <w:tc>
          <w:tcPr>
            <w:tcW w:w="2490" w:type="dxa"/>
            <w:noWrap/>
          </w:tcPr>
          <w:p w:rsidR="009971FC" w:rsidRPr="009971FC" w:rsidRDefault="009971FC" w:rsidP="009971FC">
            <w:pPr>
              <w:pStyle w:val="Tabletext0"/>
              <w:rPr>
                <w:lang w:val="es-ES_tradnl"/>
              </w:rPr>
            </w:pPr>
            <w:r w:rsidRPr="009971FC">
              <w:rPr>
                <w:lang w:val="es-ES_tradnl"/>
              </w:rPr>
              <w:t>1515</w:t>
            </w:r>
          </w:p>
        </w:tc>
        <w:tc>
          <w:tcPr>
            <w:tcW w:w="1078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4 chiffres</w:t>
            </w:r>
          </w:p>
        </w:tc>
        <w:tc>
          <w:tcPr>
            <w:tcW w:w="111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4 chiffres</w:t>
            </w:r>
          </w:p>
        </w:tc>
        <w:tc>
          <w:tcPr>
            <w:tcW w:w="2414" w:type="dxa"/>
            <w:noWrap/>
          </w:tcPr>
          <w:p w:rsidR="009971FC" w:rsidRPr="009971FC" w:rsidRDefault="009971FC" w:rsidP="00545C84">
            <w:pPr>
              <w:pStyle w:val="Tabletext0"/>
            </w:pPr>
            <w:r w:rsidRPr="009971FC">
              <w:rPr>
                <w:lang w:val="fr-CH"/>
              </w:rPr>
              <w:t xml:space="preserve">Service d’accès à la plate-forme du service prépayé </w:t>
            </w:r>
            <w:proofErr w:type="spellStart"/>
            <w:r w:rsidRPr="009971FC">
              <w:t>E</w:t>
            </w:r>
            <w:r w:rsidR="00545C84">
              <w:noBreakHyphen/>
            </w:r>
            <w:r w:rsidRPr="009971FC">
              <w:t>Diay</w:t>
            </w:r>
            <w:proofErr w:type="spellEnd"/>
          </w:p>
        </w:tc>
        <w:tc>
          <w:tcPr>
            <w:tcW w:w="1980" w:type="dxa"/>
            <w:noWrap/>
          </w:tcPr>
          <w:p w:rsidR="009971FC" w:rsidRPr="009971FC" w:rsidRDefault="009971FC" w:rsidP="00DA6A0A">
            <w:pPr>
              <w:pStyle w:val="Tabletext0"/>
              <w:jc w:val="center"/>
            </w:pPr>
            <w:r w:rsidRPr="009971FC">
              <w:t>22.XII.2011 – 00</w:t>
            </w:r>
            <w:r w:rsidR="00BE48E3">
              <w:t>:</w:t>
            </w:r>
            <w:r w:rsidRPr="009971FC">
              <w:t>00</w:t>
            </w:r>
          </w:p>
        </w:tc>
      </w:tr>
      <w:tr w:rsidR="009971FC" w:rsidRPr="009971FC" w:rsidTr="00E87F58">
        <w:trPr>
          <w:cantSplit/>
          <w:jc w:val="center"/>
        </w:trPr>
        <w:tc>
          <w:tcPr>
            <w:tcW w:w="2490" w:type="dxa"/>
            <w:noWrap/>
          </w:tcPr>
          <w:p w:rsidR="009971FC" w:rsidRPr="009971FC" w:rsidRDefault="009971FC" w:rsidP="009971FC">
            <w:pPr>
              <w:pStyle w:val="Tabletext0"/>
              <w:rPr>
                <w:lang w:val="es-ES_tradnl"/>
              </w:rPr>
            </w:pPr>
            <w:r w:rsidRPr="009971FC">
              <w:rPr>
                <w:lang w:val="es-ES_tradnl"/>
              </w:rPr>
              <w:t>1904</w:t>
            </w:r>
          </w:p>
        </w:tc>
        <w:tc>
          <w:tcPr>
            <w:tcW w:w="1078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4 chiffres</w:t>
            </w:r>
          </w:p>
        </w:tc>
        <w:tc>
          <w:tcPr>
            <w:tcW w:w="111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4 chiffres</w:t>
            </w:r>
          </w:p>
        </w:tc>
        <w:tc>
          <w:tcPr>
            <w:tcW w:w="2414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Indicatif de présélection pour</w:t>
            </w:r>
            <w:r w:rsidRPr="009971FC">
              <w:rPr>
                <w:lang w:val="fr-CH"/>
              </w:rPr>
              <w:t xml:space="preserve"> l’opérateur</w:t>
            </w:r>
            <w:r w:rsidRPr="009971FC">
              <w:t xml:space="preserve"> E-</w:t>
            </w:r>
            <w:proofErr w:type="spellStart"/>
            <w:r w:rsidRPr="009971FC">
              <w:t>Diay</w:t>
            </w:r>
            <w:proofErr w:type="spellEnd"/>
          </w:p>
        </w:tc>
        <w:tc>
          <w:tcPr>
            <w:tcW w:w="1980" w:type="dxa"/>
            <w:noWrap/>
          </w:tcPr>
          <w:p w:rsidR="009971FC" w:rsidRPr="009971FC" w:rsidRDefault="009971FC" w:rsidP="00DA6A0A">
            <w:pPr>
              <w:pStyle w:val="Tabletext0"/>
              <w:jc w:val="center"/>
            </w:pPr>
            <w:r w:rsidRPr="009971FC">
              <w:t>22.XII.2011 – 00</w:t>
            </w:r>
            <w:r w:rsidR="00BE48E3">
              <w:t>:</w:t>
            </w:r>
            <w:r w:rsidRPr="009971FC">
              <w:t>00</w:t>
            </w:r>
          </w:p>
        </w:tc>
      </w:tr>
    </w:tbl>
    <w:p w:rsidR="009971FC" w:rsidRPr="009971FC" w:rsidRDefault="009971FC" w:rsidP="009971FC">
      <w:pPr>
        <w:rPr>
          <w:bCs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1078"/>
        <w:gridCol w:w="1110"/>
        <w:gridCol w:w="2423"/>
        <w:gridCol w:w="1971"/>
      </w:tblGrid>
      <w:tr w:rsidR="009971FC" w:rsidRPr="00B638EE" w:rsidTr="002871D0">
        <w:trPr>
          <w:cantSplit/>
          <w:trHeight w:val="245"/>
          <w:tblHeader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t>NDC (indicatif national de destination ou premiers chiffres du N(S)N (numéro (significatif) national)</w:t>
            </w:r>
            <w:r w:rsidRPr="009971FC">
              <w:br/>
              <w:t>X = 0 à 9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t>Longueur du N(S)N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rPr>
                <w:lang w:val="en-GB"/>
              </w:rPr>
              <w:t xml:space="preserve">Utilisation du </w:t>
            </w:r>
            <w:proofErr w:type="spellStart"/>
            <w:r w:rsidRPr="009971FC">
              <w:rPr>
                <w:lang w:val="en-GB"/>
              </w:rPr>
              <w:t>numéro</w:t>
            </w:r>
            <w:proofErr w:type="spellEnd"/>
            <w:r w:rsidRPr="009971FC">
              <w:rPr>
                <w:lang w:val="en-GB"/>
              </w:rPr>
              <w:t xml:space="preserve"> E.164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t>Date et heure de l’introduction</w:t>
            </w:r>
          </w:p>
        </w:tc>
      </w:tr>
      <w:tr w:rsidR="009971FC" w:rsidRPr="009971FC" w:rsidTr="002871D0">
        <w:trPr>
          <w:cantSplit/>
          <w:tblHeader/>
          <w:jc w:val="center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rPr>
                <w:i/>
                <w:lang w:val="fr-CH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t>Longueur maximale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pStyle w:val="Tablehead0"/>
            </w:pPr>
            <w:r w:rsidRPr="009971FC">
              <w:t>Longueur minimale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rPr>
                <w:i/>
                <w:lang w:val="fr-FR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FC" w:rsidRPr="009971FC" w:rsidRDefault="009971FC" w:rsidP="009971FC">
            <w:pPr>
              <w:rPr>
                <w:i/>
                <w:lang w:val="es-ES"/>
              </w:rPr>
            </w:pPr>
          </w:p>
        </w:tc>
      </w:tr>
      <w:tr w:rsidR="009971FC" w:rsidRPr="009971FC" w:rsidTr="002871D0">
        <w:trPr>
          <w:cantSplit/>
          <w:jc w:val="center"/>
        </w:trPr>
        <w:tc>
          <w:tcPr>
            <w:tcW w:w="2490" w:type="dxa"/>
            <w:noWrap/>
          </w:tcPr>
          <w:p w:rsidR="009971FC" w:rsidRPr="00A4522B" w:rsidRDefault="009971FC" w:rsidP="009971FC">
            <w:pPr>
              <w:pStyle w:val="Tabletext0"/>
              <w:rPr>
                <w:lang w:val="en-GB"/>
              </w:rPr>
            </w:pPr>
            <w:r w:rsidRPr="00A4522B">
              <w:rPr>
                <w:lang w:val="en-GB"/>
              </w:rPr>
              <w:t xml:space="preserve">2100 XXXX </w:t>
            </w:r>
          </w:p>
          <w:p w:rsidR="009971FC" w:rsidRPr="00A4522B" w:rsidRDefault="009971FC" w:rsidP="009971FC">
            <w:pPr>
              <w:pStyle w:val="Tabletext0"/>
              <w:rPr>
                <w:lang w:val="en-GB"/>
              </w:rPr>
            </w:pPr>
            <w:r w:rsidRPr="00A4522B">
              <w:rPr>
                <w:lang w:val="en-GB"/>
              </w:rPr>
              <w:t xml:space="preserve">2101 XXXX </w:t>
            </w:r>
          </w:p>
          <w:p w:rsidR="009971FC" w:rsidRPr="00A4522B" w:rsidRDefault="009971FC" w:rsidP="009971FC">
            <w:pPr>
              <w:pStyle w:val="Tabletext0"/>
              <w:rPr>
                <w:lang w:val="en-GB"/>
              </w:rPr>
            </w:pPr>
            <w:r w:rsidRPr="00A4522B">
              <w:rPr>
                <w:lang w:val="en-GB"/>
              </w:rPr>
              <w:t xml:space="preserve">2102 XXXX </w:t>
            </w:r>
          </w:p>
          <w:p w:rsidR="009971FC" w:rsidRPr="00A4522B" w:rsidRDefault="009971FC" w:rsidP="009971FC">
            <w:pPr>
              <w:pStyle w:val="Tabletext0"/>
              <w:rPr>
                <w:lang w:val="en-GB"/>
              </w:rPr>
            </w:pPr>
            <w:r w:rsidRPr="00A4522B">
              <w:rPr>
                <w:lang w:val="en-GB"/>
              </w:rPr>
              <w:t xml:space="preserve">2103 XXXX </w:t>
            </w:r>
          </w:p>
          <w:p w:rsidR="009971FC" w:rsidRPr="00A4522B" w:rsidRDefault="009971FC" w:rsidP="009971FC">
            <w:pPr>
              <w:pStyle w:val="Tabletext0"/>
              <w:rPr>
                <w:lang w:val="en-GB"/>
              </w:rPr>
            </w:pPr>
            <w:r w:rsidRPr="00A4522B">
              <w:rPr>
                <w:lang w:val="en-GB"/>
              </w:rPr>
              <w:t xml:space="preserve">2104 XXXX </w:t>
            </w:r>
          </w:p>
          <w:p w:rsidR="009971FC" w:rsidRPr="00A4522B" w:rsidRDefault="009971FC" w:rsidP="009971FC">
            <w:pPr>
              <w:pStyle w:val="Tabletext0"/>
              <w:rPr>
                <w:lang w:val="en-GB"/>
              </w:rPr>
            </w:pPr>
            <w:r w:rsidRPr="00A4522B">
              <w:rPr>
                <w:lang w:val="en-GB"/>
              </w:rPr>
              <w:t xml:space="preserve">2105 XXXX </w:t>
            </w:r>
          </w:p>
          <w:p w:rsidR="009971FC" w:rsidRPr="00EC07EA" w:rsidRDefault="009971FC" w:rsidP="00EC07EA">
            <w:pPr>
              <w:pStyle w:val="Tabletext0"/>
              <w:rPr>
                <w:b/>
              </w:rPr>
            </w:pPr>
            <w:r w:rsidRPr="009971FC">
              <w:t>2106 XXXX</w:t>
            </w:r>
            <w:r w:rsidRPr="009971FC">
              <w:rPr>
                <w:b/>
              </w:rPr>
              <w:t xml:space="preserve"> </w:t>
            </w:r>
          </w:p>
        </w:tc>
        <w:tc>
          <w:tcPr>
            <w:tcW w:w="1078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8 chiffres</w:t>
            </w:r>
          </w:p>
        </w:tc>
        <w:tc>
          <w:tcPr>
            <w:tcW w:w="111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8 chiffres</w:t>
            </w:r>
          </w:p>
        </w:tc>
        <w:tc>
          <w:tcPr>
            <w:tcW w:w="2423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Service de téléphonie IP ICE</w:t>
            </w:r>
          </w:p>
        </w:tc>
        <w:tc>
          <w:tcPr>
            <w:tcW w:w="1971" w:type="dxa"/>
            <w:noWrap/>
          </w:tcPr>
          <w:p w:rsidR="009971FC" w:rsidRPr="009971FC" w:rsidRDefault="009971FC" w:rsidP="00DA6A0A">
            <w:pPr>
              <w:pStyle w:val="Tabletext0"/>
              <w:jc w:val="center"/>
            </w:pPr>
            <w:r w:rsidRPr="009971FC">
              <w:t>22.XII.2011 – 00</w:t>
            </w:r>
            <w:r w:rsidR="00BE48E3">
              <w:t>:</w:t>
            </w:r>
            <w:r w:rsidRPr="009971FC">
              <w:t>00</w:t>
            </w:r>
          </w:p>
        </w:tc>
      </w:tr>
    </w:tbl>
    <w:p w:rsidR="009971FC" w:rsidRPr="009971FC" w:rsidRDefault="009971FC" w:rsidP="009971FC">
      <w:pPr>
        <w:rPr>
          <w:bCs/>
          <w:lang w:val="es-ES"/>
        </w:rPr>
      </w:pPr>
      <w:proofErr w:type="spellStart"/>
      <w:r w:rsidRPr="009971FC">
        <w:rPr>
          <w:bCs/>
          <w:lang w:val="es-ES"/>
        </w:rPr>
        <w:t>Contact</w:t>
      </w:r>
      <w:proofErr w:type="spellEnd"/>
      <w:r w:rsidRPr="009971FC">
        <w:rPr>
          <w:bCs/>
          <w:lang w:val="es-ES"/>
        </w:rPr>
        <w:t>:</w:t>
      </w:r>
    </w:p>
    <w:p w:rsidR="009971FC" w:rsidRPr="00A4522B" w:rsidRDefault="00EC07EA" w:rsidP="00EC07EA">
      <w:pPr>
        <w:ind w:left="567" w:hanging="567"/>
        <w:jc w:val="left"/>
        <w:rPr>
          <w:lang w:val="es-ES_tradnl"/>
        </w:rPr>
      </w:pPr>
      <w:r>
        <w:rPr>
          <w:lang w:val="es-ES"/>
        </w:rPr>
        <w:tab/>
      </w:r>
      <w:r w:rsidR="009971FC" w:rsidRPr="009971FC">
        <w:rPr>
          <w:lang w:val="es-ES"/>
        </w:rPr>
        <w:t xml:space="preserve">Ing. Pedro Arce Villalobos </w:t>
      </w:r>
      <w:r>
        <w:rPr>
          <w:lang w:val="es-ES"/>
        </w:rPr>
        <w:br/>
      </w:r>
      <w:r w:rsidR="009971FC" w:rsidRPr="009971FC">
        <w:rPr>
          <w:lang w:val="es-ES"/>
        </w:rPr>
        <w:t>Superintendencia de Telecomunicaciones (SUTEL)</w:t>
      </w:r>
      <w:r>
        <w:rPr>
          <w:lang w:val="es-ES"/>
        </w:rPr>
        <w:br/>
      </w:r>
      <w:r w:rsidR="009971FC" w:rsidRPr="009971FC">
        <w:rPr>
          <w:lang w:val="es-ES"/>
        </w:rPr>
        <w:t>Apartado Postal 9</w:t>
      </w:r>
      <w:r w:rsidR="00545C84">
        <w:rPr>
          <w:lang w:val="es-ES"/>
        </w:rPr>
        <w:t>36-1000</w:t>
      </w:r>
      <w:r w:rsidR="00545C84">
        <w:rPr>
          <w:lang w:val="es-ES"/>
        </w:rPr>
        <w:br/>
        <w:t xml:space="preserve">SAN JOSÉ, </w:t>
      </w:r>
      <w:r w:rsidR="00545C84">
        <w:rPr>
          <w:lang w:val="es-ES"/>
        </w:rPr>
        <w:br/>
        <w:t>Costa Rica</w:t>
      </w:r>
      <w:r w:rsidR="00545C84">
        <w:rPr>
          <w:lang w:val="es-ES"/>
        </w:rPr>
        <w:br/>
      </w:r>
      <w:proofErr w:type="spellStart"/>
      <w:r w:rsidR="00545C84">
        <w:rPr>
          <w:lang w:val="es-ES"/>
        </w:rPr>
        <w:t>Té</w:t>
      </w:r>
      <w:r w:rsidR="009971FC" w:rsidRPr="009971FC">
        <w:rPr>
          <w:lang w:val="es-ES"/>
        </w:rPr>
        <w:t>l</w:t>
      </w:r>
      <w:proofErr w:type="spellEnd"/>
      <w:r w:rsidR="009971FC" w:rsidRPr="009971FC">
        <w:rPr>
          <w:lang w:val="es-ES"/>
        </w:rPr>
        <w:t>:</w:t>
      </w:r>
      <w:r w:rsidR="009971FC" w:rsidRPr="009971FC">
        <w:rPr>
          <w:lang w:val="es-ES"/>
        </w:rPr>
        <w:tab/>
        <w:t>+506 4000 0000</w:t>
      </w:r>
      <w:r w:rsidR="009971FC" w:rsidRPr="009971FC">
        <w:rPr>
          <w:lang w:val="es-ES"/>
        </w:rPr>
        <w:br/>
        <w:t>Fax:</w:t>
      </w:r>
      <w:r w:rsidR="009971FC" w:rsidRPr="009971FC">
        <w:rPr>
          <w:lang w:val="es-ES"/>
        </w:rPr>
        <w:tab/>
        <w:t>+506 2215 6821</w:t>
      </w:r>
      <w:r>
        <w:rPr>
          <w:lang w:val="es-ES"/>
        </w:rPr>
        <w:br/>
      </w:r>
      <w:r w:rsidR="009971FC" w:rsidRPr="00A4522B">
        <w:rPr>
          <w:lang w:val="es-ES_tradnl"/>
        </w:rPr>
        <w:t>E-mail:</w:t>
      </w:r>
      <w:r w:rsidRPr="00A4522B">
        <w:rPr>
          <w:lang w:val="es-ES_tradnl"/>
        </w:rPr>
        <w:tab/>
      </w:r>
      <w:r w:rsidR="009971FC" w:rsidRPr="00A4522B">
        <w:rPr>
          <w:lang w:val="es-ES_tradnl"/>
        </w:rPr>
        <w:t>pedro.arce@sutel.go.cr</w:t>
      </w:r>
    </w:p>
    <w:p w:rsidR="00DA4876" w:rsidRPr="00DB3711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es-ES"/>
        </w:rPr>
      </w:pPr>
      <w:r w:rsidRPr="00DB3711">
        <w:rPr>
          <w:b/>
          <w:bCs/>
          <w:lang w:val="es-ES"/>
        </w:rPr>
        <w:br w:type="page"/>
      </w:r>
    </w:p>
    <w:p w:rsidR="009971FC" w:rsidRPr="009971FC" w:rsidRDefault="009971FC" w:rsidP="009971FC">
      <w:pPr>
        <w:rPr>
          <w:b/>
          <w:bCs/>
          <w:lang w:val="fr-FR"/>
        </w:rPr>
      </w:pPr>
      <w:r w:rsidRPr="009971FC">
        <w:rPr>
          <w:b/>
          <w:bCs/>
          <w:lang w:val="fr-FR"/>
        </w:rPr>
        <w:lastRenderedPageBreak/>
        <w:t>Allemagne (indicatif de pays +49)</w:t>
      </w:r>
    </w:p>
    <w:p w:rsidR="009971FC" w:rsidRPr="009971FC" w:rsidRDefault="009971FC" w:rsidP="009971FC">
      <w:pPr>
        <w:rPr>
          <w:lang w:val="fr-FR"/>
        </w:rPr>
      </w:pPr>
      <w:r w:rsidRPr="009971FC">
        <w:rPr>
          <w:lang w:val="fr-FR"/>
        </w:rPr>
        <w:t>Communication du 4.I.2012:</w:t>
      </w:r>
    </w:p>
    <w:p w:rsidR="009971FC" w:rsidRPr="009971FC" w:rsidRDefault="009971FC" w:rsidP="009971FC">
      <w:pPr>
        <w:rPr>
          <w:lang w:val="fr-FR"/>
        </w:rPr>
      </w:pPr>
      <w:r w:rsidRPr="009971FC">
        <w:rPr>
          <w:iCs/>
          <w:lang w:val="fr-CH"/>
        </w:rPr>
        <w:t>La</w:t>
      </w:r>
      <w:r w:rsidRPr="009971FC">
        <w:rPr>
          <w:i/>
          <w:lang w:val="fr-CH"/>
        </w:rPr>
        <w:t xml:space="preserve"> </w:t>
      </w:r>
      <w:proofErr w:type="spellStart"/>
      <w:r w:rsidRPr="009971FC">
        <w:rPr>
          <w:i/>
          <w:lang w:val="fr-CH"/>
        </w:rPr>
        <w:t>Federal</w:t>
      </w:r>
      <w:proofErr w:type="spellEnd"/>
      <w:r w:rsidRPr="009971FC">
        <w:rPr>
          <w:i/>
          <w:lang w:val="fr-CH"/>
        </w:rPr>
        <w:t xml:space="preserve"> Network </w:t>
      </w:r>
      <w:proofErr w:type="spellStart"/>
      <w:r w:rsidRPr="009971FC">
        <w:rPr>
          <w:i/>
          <w:lang w:val="fr-CH"/>
        </w:rPr>
        <w:t>Agency</w:t>
      </w:r>
      <w:proofErr w:type="spellEnd"/>
      <w:r w:rsidRPr="009971FC">
        <w:rPr>
          <w:i/>
          <w:lang w:val="fr-CH"/>
        </w:rPr>
        <w:t xml:space="preserve"> for </w:t>
      </w:r>
      <w:proofErr w:type="spellStart"/>
      <w:r w:rsidRPr="009971FC">
        <w:rPr>
          <w:i/>
          <w:lang w:val="fr-CH"/>
        </w:rPr>
        <w:t>Electricity</w:t>
      </w:r>
      <w:proofErr w:type="spellEnd"/>
      <w:r w:rsidRPr="009971FC">
        <w:rPr>
          <w:i/>
          <w:lang w:val="fr-CH"/>
        </w:rPr>
        <w:t xml:space="preserve">, </w:t>
      </w:r>
      <w:proofErr w:type="spellStart"/>
      <w:r w:rsidRPr="009971FC">
        <w:rPr>
          <w:i/>
          <w:lang w:val="fr-CH"/>
        </w:rPr>
        <w:t>Gas</w:t>
      </w:r>
      <w:proofErr w:type="spellEnd"/>
      <w:r w:rsidRPr="009971FC">
        <w:rPr>
          <w:i/>
          <w:lang w:val="fr-CH"/>
        </w:rPr>
        <w:t xml:space="preserve">, </w:t>
      </w:r>
      <w:proofErr w:type="spellStart"/>
      <w:r w:rsidRPr="009971FC">
        <w:rPr>
          <w:i/>
          <w:lang w:val="fr-CH"/>
        </w:rPr>
        <w:t>Telecommunications</w:t>
      </w:r>
      <w:proofErr w:type="spellEnd"/>
      <w:r w:rsidRPr="009971FC">
        <w:rPr>
          <w:i/>
          <w:lang w:val="fr-CH"/>
        </w:rPr>
        <w:t xml:space="preserve">, Post and </w:t>
      </w:r>
      <w:proofErr w:type="spellStart"/>
      <w:r w:rsidRPr="009971FC">
        <w:rPr>
          <w:i/>
          <w:lang w:val="fr-CH"/>
        </w:rPr>
        <w:t>Railway</w:t>
      </w:r>
      <w:proofErr w:type="spellEnd"/>
      <w:r w:rsidRPr="009971FC">
        <w:rPr>
          <w:i/>
          <w:lang w:val="fr-CH"/>
        </w:rPr>
        <w:t xml:space="preserve"> ,(</w:t>
      </w:r>
      <w:proofErr w:type="spellStart"/>
      <w:r w:rsidRPr="009971FC">
        <w:rPr>
          <w:iCs/>
          <w:lang w:val="fr-CH"/>
        </w:rPr>
        <w:t>BNetzA</w:t>
      </w:r>
      <w:proofErr w:type="spellEnd"/>
      <w:r w:rsidRPr="009971FC">
        <w:rPr>
          <w:lang w:val="fr-CH"/>
        </w:rPr>
        <w:t xml:space="preserve">), Mainz, annonce que le Plan de numérotage national de l'Allemagne a été mis à jour et qu'il peut être consulté depuis le site web de numérotage de l'UIT: </w:t>
      </w:r>
      <w:r w:rsidRPr="005963D0">
        <w:rPr>
          <w:lang w:val="fr-FR"/>
        </w:rPr>
        <w:t>www.itu.int/ITU-T/inr/nnp/</w:t>
      </w:r>
    </w:p>
    <w:p w:rsidR="009971FC" w:rsidRPr="009971FC" w:rsidRDefault="009971FC" w:rsidP="009971FC">
      <w:pPr>
        <w:rPr>
          <w:lang w:val="fr-CH"/>
        </w:rPr>
      </w:pPr>
      <w:r w:rsidRPr="009971FC">
        <w:rPr>
          <w:lang w:val="fr-CH"/>
        </w:rPr>
        <w:t>Il est demandé à toutes les Administrations et les exploitations reconnues (ER) de s'assurer que tous les numéros nationaux (</w:t>
      </w:r>
      <w:proofErr w:type="spellStart"/>
      <w:r w:rsidRPr="009971FC">
        <w:rPr>
          <w:lang w:val="fr-CH"/>
        </w:rPr>
        <w:t>siginficatifs</w:t>
      </w:r>
      <w:proofErr w:type="spellEnd"/>
      <w:r w:rsidRPr="009971FC">
        <w:rPr>
          <w:lang w:val="fr-CH"/>
        </w:rPr>
        <w:t xml:space="preserve">) soient accessibles en informant les sociétés de télécommunications dans leur pays. </w:t>
      </w:r>
    </w:p>
    <w:p w:rsidR="009971FC" w:rsidRPr="009971FC" w:rsidRDefault="009971FC" w:rsidP="009971FC">
      <w:r w:rsidRPr="009971FC">
        <w:t>Contact:</w:t>
      </w:r>
    </w:p>
    <w:p w:rsidR="009971FC" w:rsidRPr="009971FC" w:rsidRDefault="009971FC" w:rsidP="00EC07EA">
      <w:pPr>
        <w:ind w:left="567" w:hanging="567"/>
        <w:jc w:val="left"/>
        <w:rPr>
          <w:iCs/>
          <w:lang w:val="fr-FR"/>
        </w:rPr>
      </w:pPr>
      <w:r w:rsidRPr="009971FC">
        <w:tab/>
        <w:t xml:space="preserve">Mme Martina </w:t>
      </w:r>
      <w:proofErr w:type="spellStart"/>
      <w:r w:rsidRPr="009971FC">
        <w:t>Welcher</w:t>
      </w:r>
      <w:proofErr w:type="spellEnd"/>
      <w:r w:rsidRPr="009971FC">
        <w:br/>
      </w:r>
      <w:r w:rsidRPr="009971FC">
        <w:rPr>
          <w:iCs/>
        </w:rPr>
        <w:t>Federal Network Agency for Electricity, Gas, Telecommunications, Post and Railway</w:t>
      </w:r>
      <w:r w:rsidRPr="009971FC">
        <w:rPr>
          <w:iCs/>
        </w:rPr>
        <w:br/>
      </w:r>
      <w:proofErr w:type="spellStart"/>
      <w:r w:rsidRPr="009971FC">
        <w:rPr>
          <w:iCs/>
        </w:rPr>
        <w:t>Canisiusstr</w:t>
      </w:r>
      <w:proofErr w:type="spellEnd"/>
      <w:r w:rsidRPr="009971FC">
        <w:rPr>
          <w:iCs/>
        </w:rPr>
        <w:t xml:space="preserve">. </w:t>
      </w:r>
      <w:r w:rsidRPr="009971FC">
        <w:rPr>
          <w:iCs/>
          <w:lang w:val="fr-CH"/>
        </w:rPr>
        <w:t>21</w:t>
      </w:r>
      <w:r w:rsidRPr="009971FC">
        <w:rPr>
          <w:iCs/>
          <w:lang w:val="fr-CH"/>
        </w:rPr>
        <w:br/>
        <w:t>55122 MAINZ</w:t>
      </w:r>
      <w:r w:rsidRPr="009971FC">
        <w:rPr>
          <w:iCs/>
          <w:lang w:val="fr-CH"/>
        </w:rPr>
        <w:br/>
        <w:t>Allemagne</w:t>
      </w:r>
      <w:r w:rsidRPr="009971FC">
        <w:rPr>
          <w:iCs/>
          <w:lang w:val="fr-CH"/>
        </w:rPr>
        <w:br/>
        <w:t>Tél:</w:t>
      </w:r>
      <w:r w:rsidRPr="009971FC">
        <w:rPr>
          <w:iCs/>
          <w:lang w:val="fr-CH"/>
        </w:rPr>
        <w:tab/>
        <w:t>+49 6131 18 2246</w:t>
      </w:r>
      <w:r w:rsidRPr="009971FC">
        <w:rPr>
          <w:iCs/>
          <w:lang w:val="fr-CH"/>
        </w:rPr>
        <w:br/>
        <w:t>Fax:</w:t>
      </w:r>
      <w:r w:rsidRPr="009971FC">
        <w:rPr>
          <w:iCs/>
          <w:lang w:val="fr-CH"/>
        </w:rPr>
        <w:tab/>
        <w:t>+49 6131 18 5650</w:t>
      </w:r>
      <w:r w:rsidRPr="009971FC">
        <w:rPr>
          <w:iCs/>
          <w:lang w:val="fr-CH"/>
        </w:rPr>
        <w:br/>
      </w:r>
      <w:r w:rsidRPr="009971FC">
        <w:rPr>
          <w:lang w:val="fr-CH"/>
        </w:rPr>
        <w:t>E-mail:</w:t>
      </w:r>
      <w:r w:rsidRPr="009971FC">
        <w:rPr>
          <w:lang w:val="fr-CH"/>
        </w:rPr>
        <w:tab/>
      </w:r>
      <w:r w:rsidRPr="00EC07EA">
        <w:rPr>
          <w:lang w:val="fr-CH"/>
        </w:rPr>
        <w:t>martina.welcher@bnetza.de</w:t>
      </w:r>
      <w:r w:rsidRPr="009971FC">
        <w:rPr>
          <w:lang w:val="fr-FR"/>
        </w:rPr>
        <w:br/>
      </w:r>
      <w:r w:rsidRPr="009971FC">
        <w:rPr>
          <w:iCs/>
          <w:lang w:val="fr-FR"/>
        </w:rPr>
        <w:t>URL:</w:t>
      </w:r>
      <w:r w:rsidRPr="009971FC">
        <w:rPr>
          <w:iCs/>
          <w:lang w:val="fr-FR"/>
        </w:rPr>
        <w:tab/>
        <w:t>www.bundesnetzagentur.de</w:t>
      </w:r>
    </w:p>
    <w:p w:rsidR="009971FC" w:rsidRPr="009971FC" w:rsidRDefault="009971FC" w:rsidP="009971FC">
      <w:pPr>
        <w:rPr>
          <w:lang w:val="fr-FR"/>
        </w:rPr>
      </w:pPr>
    </w:p>
    <w:p w:rsidR="00961043" w:rsidRDefault="009610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fr-FR"/>
        </w:rPr>
      </w:pPr>
    </w:p>
    <w:p w:rsidR="009971FC" w:rsidRPr="009971FC" w:rsidRDefault="009971FC" w:rsidP="009971FC">
      <w:pPr>
        <w:rPr>
          <w:b/>
          <w:lang w:val="fr-FR"/>
        </w:rPr>
      </w:pPr>
      <w:r w:rsidRPr="009971FC">
        <w:rPr>
          <w:b/>
          <w:lang w:val="fr-FR"/>
        </w:rPr>
        <w:t>Koweït (indicatif de pays +965)</w:t>
      </w:r>
    </w:p>
    <w:p w:rsidR="009971FC" w:rsidRPr="009971FC" w:rsidRDefault="009971FC" w:rsidP="009971FC">
      <w:pPr>
        <w:rPr>
          <w:lang w:val="fr-CH"/>
        </w:rPr>
      </w:pPr>
      <w:r w:rsidRPr="009971FC">
        <w:rPr>
          <w:lang w:val="fr-CH"/>
        </w:rPr>
        <w:t xml:space="preserve">Communication du </w:t>
      </w:r>
      <w:r w:rsidRPr="009971FC">
        <w:rPr>
          <w:bCs/>
          <w:lang w:val="fr-FR"/>
        </w:rPr>
        <w:t>21.XII.2011</w:t>
      </w:r>
      <w:r w:rsidRPr="009971FC">
        <w:rPr>
          <w:lang w:val="fr-CH"/>
        </w:rPr>
        <w:t>:</w:t>
      </w:r>
    </w:p>
    <w:p w:rsidR="009971FC" w:rsidRPr="009971FC" w:rsidRDefault="009971FC" w:rsidP="00545C84">
      <w:pPr>
        <w:rPr>
          <w:lang w:val="fr-FR"/>
        </w:rPr>
      </w:pPr>
      <w:r w:rsidRPr="009971FC">
        <w:rPr>
          <w:lang w:val="fr-CH"/>
        </w:rPr>
        <w:t xml:space="preserve">Le </w:t>
      </w:r>
      <w:proofErr w:type="spellStart"/>
      <w:r w:rsidRPr="009971FC">
        <w:rPr>
          <w:i/>
          <w:lang w:val="fr-CH"/>
        </w:rPr>
        <w:t>Ministry</w:t>
      </w:r>
      <w:proofErr w:type="spellEnd"/>
      <w:r w:rsidRPr="009971FC">
        <w:rPr>
          <w:i/>
          <w:lang w:val="fr-CH"/>
        </w:rPr>
        <w:t xml:space="preserve"> of Communications (MOC)</w:t>
      </w:r>
      <w:r w:rsidRPr="009971FC">
        <w:rPr>
          <w:lang w:val="fr-CH"/>
        </w:rPr>
        <w:t xml:space="preserve">, </w:t>
      </w:r>
      <w:proofErr w:type="spellStart"/>
      <w:r w:rsidRPr="009971FC">
        <w:rPr>
          <w:lang w:val="fr-CH"/>
        </w:rPr>
        <w:t>Safat</w:t>
      </w:r>
      <w:proofErr w:type="spellEnd"/>
      <w:r w:rsidRPr="009971FC">
        <w:rPr>
          <w:lang w:val="fr-CH"/>
        </w:rPr>
        <w:t xml:space="preserve">, annonce que la nouvelle série de numéros 508 XXXXX a été introduite par VIVA Telecom , un des opérateurs mobile au </w:t>
      </w:r>
      <w:r w:rsidRPr="009971FC">
        <w:rPr>
          <w:lang w:val="fr-FR"/>
        </w:rPr>
        <w:t>Koweït</w:t>
      </w:r>
      <w:r w:rsidRPr="009971FC">
        <w:rPr>
          <w:lang w:val="fr-CH"/>
        </w:rPr>
        <w:t xml:space="preserve"> . </w:t>
      </w:r>
      <w:r w:rsidRPr="009971FC">
        <w:rPr>
          <w:lang w:val="fr-FR"/>
        </w:rPr>
        <w:t>La mise à jour du</w:t>
      </w:r>
      <w:r w:rsidRPr="009971FC">
        <w:rPr>
          <w:lang w:val="fr-CH"/>
        </w:rPr>
        <w:t xml:space="preserve"> Plan de Numérotage National</w:t>
      </w:r>
      <w:r w:rsidRPr="009971FC">
        <w:rPr>
          <w:lang w:val="fr-FR"/>
        </w:rPr>
        <w:t xml:space="preserve"> (NNP) du Koweït est la suivante:</w:t>
      </w:r>
    </w:p>
    <w:p w:rsidR="009971FC" w:rsidRPr="009971FC" w:rsidRDefault="004668BB" w:rsidP="004668BB">
      <w:pPr>
        <w:rPr>
          <w:lang w:val="fr-CH"/>
        </w:rPr>
      </w:pPr>
      <w:r>
        <w:rPr>
          <w:lang w:val="fr-CH"/>
        </w:rPr>
        <w:t>I.</w:t>
      </w:r>
      <w:r>
        <w:rPr>
          <w:lang w:val="fr-CH"/>
        </w:rPr>
        <w:tab/>
      </w:r>
      <w:r w:rsidR="009971FC" w:rsidRPr="009971FC">
        <w:rPr>
          <w:lang w:val="fr-CH"/>
        </w:rPr>
        <w:t xml:space="preserve">Séries de numéros d'abonné au réseau fixe utilisées par le </w:t>
      </w:r>
      <w:proofErr w:type="spellStart"/>
      <w:r w:rsidR="009971FC" w:rsidRPr="00545C84">
        <w:rPr>
          <w:i/>
          <w:iCs/>
          <w:lang w:val="fr-CH"/>
        </w:rPr>
        <w:t>Ministry</w:t>
      </w:r>
      <w:proofErr w:type="spellEnd"/>
      <w:r w:rsidR="009971FC" w:rsidRPr="00545C84">
        <w:rPr>
          <w:i/>
          <w:iCs/>
          <w:lang w:val="fr-CH"/>
        </w:rPr>
        <w:t xml:space="preserve"> of Communications</w:t>
      </w:r>
      <w:r w:rsidR="009971FC" w:rsidRPr="009971FC">
        <w:rPr>
          <w:lang w:val="fr-CH"/>
        </w:rPr>
        <w:t>:</w:t>
      </w:r>
    </w:p>
    <w:p w:rsidR="009971FC" w:rsidRPr="009971FC" w:rsidRDefault="009971FC" w:rsidP="00545C84">
      <w:pPr>
        <w:rPr>
          <w:lang w:val="fr-CH"/>
        </w:rPr>
      </w:pPr>
      <w:r w:rsidRPr="009971FC">
        <w:rPr>
          <w:lang w:val="fr-CH"/>
        </w:rPr>
        <w:t>Note</w:t>
      </w:r>
      <w:r w:rsidR="00545C84">
        <w:rPr>
          <w:lang w:val="fr-CH"/>
        </w:rPr>
        <w:t xml:space="preserve"> –</w:t>
      </w:r>
      <w:r w:rsidRPr="009971FC">
        <w:rPr>
          <w:lang w:val="fr-CH"/>
        </w:rPr>
        <w:t xml:space="preserve"> La série 18XX XXX est d’une longueur maximale de dix (10) chiffres, l’indicatif de pays inclus.</w:t>
      </w:r>
    </w:p>
    <w:p w:rsidR="009971FC" w:rsidRPr="009971FC" w:rsidRDefault="009971FC" w:rsidP="009971FC">
      <w:pPr>
        <w:rPr>
          <w:lang w:val="fr-CH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3589"/>
      </w:tblGrid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SN.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rPr>
                <w:iCs/>
                <w:lang w:val="fr-CH"/>
              </w:rPr>
              <w:t>Séries de numéros d'abonné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1800 000 – 1899 999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2200 0000 – 2299 9999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2300 0000 – 2399 9999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2410 0000 – 2439 9999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2450 0000 – 2499 9999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2500 0000 – 2500 9999</w:t>
            </w:r>
          </w:p>
        </w:tc>
      </w:tr>
      <w:tr w:rsidR="009971FC" w:rsidRPr="009971FC" w:rsidTr="004E748D">
        <w:trPr>
          <w:trHeight w:val="350"/>
        </w:trPr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2503 0000 – 2504 9999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2520 0000 – 2549 9999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2551 0000 – 2553 9999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2560 0000 – 2569 9999</w:t>
            </w:r>
          </w:p>
        </w:tc>
      </w:tr>
      <w:tr w:rsidR="009971FC" w:rsidRPr="009971FC" w:rsidTr="004E748D">
        <w:tc>
          <w:tcPr>
            <w:tcW w:w="75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2571 0000 – 2577 9999</w:t>
            </w:r>
          </w:p>
        </w:tc>
      </w:tr>
    </w:tbl>
    <w:p w:rsidR="004668BB" w:rsidRDefault="004668BB" w:rsidP="004668BB">
      <w:pPr>
        <w:rPr>
          <w:lang w:val="fr-CH"/>
        </w:rPr>
      </w:pPr>
    </w:p>
    <w:p w:rsidR="00DA4876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9971FC" w:rsidRPr="009971FC" w:rsidRDefault="004668BB" w:rsidP="004668BB">
      <w:pPr>
        <w:rPr>
          <w:lang w:val="fr-CH"/>
        </w:rPr>
      </w:pPr>
      <w:r>
        <w:rPr>
          <w:lang w:val="fr-CH"/>
        </w:rPr>
        <w:lastRenderedPageBreak/>
        <w:t>II.</w:t>
      </w:r>
      <w:r>
        <w:rPr>
          <w:lang w:val="fr-CH"/>
        </w:rPr>
        <w:tab/>
      </w:r>
      <w:r w:rsidR="009971FC" w:rsidRPr="009971FC">
        <w:rPr>
          <w:lang w:val="fr-CH"/>
        </w:rPr>
        <w:t xml:space="preserve">Séries de numéros d'abonné au réseau mobile de l'opérateur mobile, </w:t>
      </w:r>
      <w:proofErr w:type="spellStart"/>
      <w:r w:rsidR="009971FC" w:rsidRPr="009971FC">
        <w:rPr>
          <w:lang w:val="fr-CH"/>
        </w:rPr>
        <w:t>Wataniya</w:t>
      </w:r>
      <w:proofErr w:type="spellEnd"/>
      <w:r w:rsidR="009971FC" w:rsidRPr="009971FC">
        <w:rPr>
          <w:lang w:val="fr-CH"/>
        </w:rPr>
        <w:t xml:space="preserve"> Telecom:</w:t>
      </w:r>
    </w:p>
    <w:p w:rsidR="009971FC" w:rsidRPr="009971FC" w:rsidRDefault="009971FC" w:rsidP="009971FC">
      <w:pPr>
        <w:rPr>
          <w:lang w:val="fr-F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572"/>
      </w:tblGrid>
      <w:tr w:rsidR="009971FC" w:rsidRPr="009971FC" w:rsidTr="004E748D">
        <w:trPr>
          <w:trHeight w:val="289"/>
          <w:tblHeader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SN.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rPr>
                <w:iCs/>
                <w:lang w:val="fr-CH"/>
              </w:rPr>
              <w:t>Séries de numéros d'abonné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6000 0000 – 6009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6030 0000 – 6039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6040 0000 – 6049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6060 0000 – 6069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6070 0000 – 6079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6090 0000 – 6099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6500 0000 – 6500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6501 0000 – 6502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6503 0000 – 6503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6504 0000 – 6504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6505 0000 – 6509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6510 0000 – 6519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6550 0000 – 6550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6551 0000 – 6551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6552 0000 – 6552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6553 0000 – 6553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6554 0000 – 6559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6560 0000 – 6569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6570 0000 – 6570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6571 0000 – 6577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6578 0000 – 6579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6580 0000 – 6599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6600 0000 – 6699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6700 0000 – 6701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6703 0000 – 6709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6760 0000 – 6769 9999</w:t>
            </w:r>
          </w:p>
        </w:tc>
      </w:tr>
      <w:tr w:rsidR="009971FC" w:rsidRPr="009971FC" w:rsidTr="004E748D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6770 0000 – 6776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6777 0000 – 6777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6778 0000 – 6779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30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6960 0000 – 6969 9999</w:t>
            </w:r>
          </w:p>
        </w:tc>
      </w:tr>
      <w:tr w:rsidR="009971FC" w:rsidRPr="009971FC" w:rsidTr="004E748D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31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6990 0000 – 6999 9999</w:t>
            </w:r>
          </w:p>
        </w:tc>
      </w:tr>
    </w:tbl>
    <w:p w:rsidR="009971FC" w:rsidRPr="009971FC" w:rsidRDefault="009971FC" w:rsidP="009971FC">
      <w:pPr>
        <w:rPr>
          <w:lang w:val="en-US"/>
        </w:rPr>
      </w:pPr>
    </w:p>
    <w:p w:rsidR="00DA4876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9971FC" w:rsidRPr="009971FC" w:rsidRDefault="004668BB" w:rsidP="00DA4876">
      <w:pPr>
        <w:rPr>
          <w:lang w:val="fr-FR"/>
        </w:rPr>
      </w:pPr>
      <w:r>
        <w:rPr>
          <w:lang w:val="fr-FR"/>
        </w:rPr>
        <w:lastRenderedPageBreak/>
        <w:t>III.</w:t>
      </w:r>
      <w:r>
        <w:rPr>
          <w:lang w:val="fr-FR"/>
        </w:rPr>
        <w:tab/>
      </w:r>
      <w:r w:rsidR="009971FC" w:rsidRPr="009971FC">
        <w:rPr>
          <w:lang w:val="fr-CH"/>
        </w:rPr>
        <w:t>Séries de numéros d'abonné au réseau mobile de l'opérateur mobile, ZAIN</w:t>
      </w:r>
      <w:r w:rsidR="00BE48E3">
        <w:rPr>
          <w:lang w:val="fr-CH"/>
        </w:rPr>
        <w:t>:</w:t>
      </w:r>
    </w:p>
    <w:tbl>
      <w:tblPr>
        <w:tblpPr w:leftFromText="180" w:rightFromText="180" w:vertAnchor="text" w:horzAnchor="margin" w:tblpX="288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605"/>
      </w:tblGrid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SN.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rPr>
                <w:iCs/>
                <w:lang w:val="fr-CH"/>
              </w:rPr>
              <w:t>Séries de numéros d'abonné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9000 0000 – 9009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9090 0000 – 9099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9400 0000 – 9409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9440 0000 – 9449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9490 0000 – 9499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9660 0000 – 9669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9702 0000 – 9702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9710 0000 – 9769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9770 0000 – 9779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9780 0000 – 9799 9999</w:t>
            </w:r>
          </w:p>
        </w:tc>
      </w:tr>
      <w:tr w:rsidR="009971FC" w:rsidRPr="009971FC" w:rsidTr="004E748D">
        <w:tc>
          <w:tcPr>
            <w:tcW w:w="823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9900 0000 – 9999 </w:t>
            </w:r>
            <w:proofErr w:type="spellStart"/>
            <w:r w:rsidRPr="009971FC">
              <w:t>9999</w:t>
            </w:r>
            <w:proofErr w:type="spellEnd"/>
          </w:p>
        </w:tc>
      </w:tr>
    </w:tbl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9971FC" w:rsidP="009971FC">
      <w:pPr>
        <w:rPr>
          <w:lang w:val="en-US"/>
        </w:rPr>
      </w:pPr>
    </w:p>
    <w:p w:rsidR="009971FC" w:rsidRPr="009971FC" w:rsidRDefault="004668BB" w:rsidP="004668BB">
      <w:pPr>
        <w:rPr>
          <w:lang w:val="fr-FR"/>
        </w:rPr>
      </w:pPr>
      <w:r>
        <w:rPr>
          <w:lang w:val="fr-CH"/>
        </w:rPr>
        <w:t>IV.</w:t>
      </w:r>
      <w:r>
        <w:rPr>
          <w:lang w:val="fr-CH"/>
        </w:rPr>
        <w:tab/>
      </w:r>
      <w:r w:rsidR="009971FC" w:rsidRPr="009971FC">
        <w:rPr>
          <w:lang w:val="fr-CH"/>
        </w:rPr>
        <w:t>Séries de numéros d'abonné au réseau mobile de l'opérateur mobile, VIVA:</w:t>
      </w:r>
    </w:p>
    <w:p w:rsidR="009971FC" w:rsidRPr="009971FC" w:rsidRDefault="009971FC" w:rsidP="009971FC">
      <w:pPr>
        <w:rPr>
          <w:lang w:val="fr-FR"/>
        </w:rPr>
      </w:pPr>
    </w:p>
    <w:tbl>
      <w:tblPr>
        <w:tblpPr w:leftFromText="180" w:rightFromText="180" w:vertAnchor="text" w:horzAnchor="margin" w:tblpX="28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</w:tblGrid>
      <w:tr w:rsidR="009971FC" w:rsidRPr="009971FC" w:rsidTr="004E748D">
        <w:tc>
          <w:tcPr>
            <w:tcW w:w="828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SN.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rPr>
                <w:iCs/>
                <w:lang w:val="fr-CH"/>
              </w:rPr>
              <w:t>Séries de numéros d'abonné</w:t>
            </w:r>
          </w:p>
        </w:tc>
      </w:tr>
      <w:tr w:rsidR="009971FC" w:rsidRPr="009971FC" w:rsidTr="004E748D">
        <w:tc>
          <w:tcPr>
            <w:tcW w:w="828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500 00000 – 500 99999</w:t>
            </w:r>
          </w:p>
        </w:tc>
      </w:tr>
      <w:tr w:rsidR="009971FC" w:rsidRPr="009971FC" w:rsidTr="004E748D">
        <w:tc>
          <w:tcPr>
            <w:tcW w:w="828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501 00000 – 501 99999</w:t>
            </w:r>
          </w:p>
        </w:tc>
      </w:tr>
      <w:tr w:rsidR="009971FC" w:rsidRPr="009971FC" w:rsidTr="004E748D">
        <w:tc>
          <w:tcPr>
            <w:tcW w:w="828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502 00000 – 502 99999</w:t>
            </w:r>
          </w:p>
        </w:tc>
      </w:tr>
      <w:tr w:rsidR="009971FC" w:rsidRPr="009971FC" w:rsidTr="004E748D">
        <w:tc>
          <w:tcPr>
            <w:tcW w:w="828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550 00000 – 559 99999</w:t>
            </w:r>
          </w:p>
        </w:tc>
      </w:tr>
      <w:tr w:rsidR="009971FC" w:rsidRPr="009971FC" w:rsidTr="004E748D">
        <w:tc>
          <w:tcPr>
            <w:tcW w:w="828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505 00000 – 505 99999 </w:t>
            </w:r>
          </w:p>
        </w:tc>
      </w:tr>
      <w:tr w:rsidR="009971FC" w:rsidRPr="009971FC" w:rsidTr="004E748D">
        <w:tc>
          <w:tcPr>
            <w:tcW w:w="828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506 00000 – 506 99999</w:t>
            </w:r>
          </w:p>
        </w:tc>
      </w:tr>
      <w:tr w:rsidR="009971FC" w:rsidRPr="009971FC" w:rsidTr="004E748D">
        <w:tc>
          <w:tcPr>
            <w:tcW w:w="828" w:type="dxa"/>
            <w:shd w:val="clear" w:color="auto" w:fill="auto"/>
            <w:vAlign w:val="center"/>
          </w:tcPr>
          <w:p w:rsidR="009971FC" w:rsidRPr="00545C84" w:rsidRDefault="009971FC" w:rsidP="009971FC">
            <w:pPr>
              <w:pStyle w:val="Tabletext0"/>
              <w:rPr>
                <w:b/>
              </w:rPr>
            </w:pPr>
            <w:r w:rsidRPr="00545C84">
              <w:rPr>
                <w:b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71FC" w:rsidRPr="00545C84" w:rsidRDefault="009971FC" w:rsidP="009971FC">
            <w:pPr>
              <w:pStyle w:val="Tabletext0"/>
              <w:rPr>
                <w:b/>
              </w:rPr>
            </w:pPr>
            <w:r w:rsidRPr="00545C84">
              <w:rPr>
                <w:b/>
              </w:rPr>
              <w:t>508 00000 – 508 99999</w:t>
            </w:r>
          </w:p>
        </w:tc>
      </w:tr>
    </w:tbl>
    <w:p w:rsidR="009971FC" w:rsidRPr="009971FC" w:rsidRDefault="009971FC" w:rsidP="009971FC"/>
    <w:p w:rsidR="009971FC" w:rsidRPr="009971FC" w:rsidRDefault="009971FC" w:rsidP="009971FC"/>
    <w:p w:rsidR="009971FC" w:rsidRPr="009971FC" w:rsidRDefault="009971FC" w:rsidP="009971FC"/>
    <w:p w:rsidR="009971FC" w:rsidRPr="009971FC" w:rsidRDefault="009971FC" w:rsidP="009971FC"/>
    <w:p w:rsidR="009971FC" w:rsidRPr="009971FC" w:rsidRDefault="009971FC" w:rsidP="009971FC"/>
    <w:p w:rsidR="009971FC" w:rsidRPr="009971FC" w:rsidRDefault="009971FC" w:rsidP="009971FC"/>
    <w:p w:rsidR="009971FC" w:rsidRPr="009971FC" w:rsidRDefault="009971FC" w:rsidP="009971FC"/>
    <w:p w:rsidR="009971FC" w:rsidRPr="009971FC" w:rsidRDefault="009971FC" w:rsidP="009971FC"/>
    <w:p w:rsidR="009971FC" w:rsidRPr="009971FC" w:rsidRDefault="009971FC" w:rsidP="00545C84">
      <w:pPr>
        <w:rPr>
          <w:b/>
          <w:bCs/>
          <w:lang w:val="fr-FR"/>
        </w:rPr>
      </w:pPr>
      <w:r w:rsidRPr="009971FC">
        <w:rPr>
          <w:lang w:val="fr-FR"/>
        </w:rPr>
        <w:t>Note</w:t>
      </w:r>
      <w:r w:rsidR="00545C84">
        <w:rPr>
          <w:lang w:val="fr-FR"/>
        </w:rPr>
        <w:t xml:space="preserve"> –</w:t>
      </w:r>
      <w:r w:rsidRPr="009971FC">
        <w:rPr>
          <w:lang w:val="fr-FR"/>
        </w:rPr>
        <w:t xml:space="preserve"> La série en caractères gras est nouvellement définie</w:t>
      </w:r>
    </w:p>
    <w:p w:rsidR="005E4C27" w:rsidRPr="00476817" w:rsidRDefault="004668BB" w:rsidP="005E4C27">
      <w:pPr>
        <w:rPr>
          <w:lang w:val="fr-CH"/>
        </w:rPr>
      </w:pPr>
      <w:r>
        <w:rPr>
          <w:lang w:val="fr-CH"/>
        </w:rPr>
        <w:t>•</w:t>
      </w:r>
      <w:r>
        <w:rPr>
          <w:lang w:val="fr-CH"/>
        </w:rPr>
        <w:tab/>
      </w:r>
      <w:r w:rsidR="009971FC" w:rsidRPr="009971FC">
        <w:rPr>
          <w:lang w:val="fr-CH"/>
        </w:rPr>
        <w:t xml:space="preserve">Les numéros d'abonné fixes à trois (3) chiffres (100-179), utilisés par le </w:t>
      </w:r>
      <w:proofErr w:type="spellStart"/>
      <w:r w:rsidR="009971FC" w:rsidRPr="00545C84">
        <w:rPr>
          <w:i/>
          <w:iCs/>
          <w:lang w:val="fr-CH"/>
        </w:rPr>
        <w:t>Ministry</w:t>
      </w:r>
      <w:proofErr w:type="spellEnd"/>
      <w:r w:rsidR="009971FC" w:rsidRPr="00545C84">
        <w:rPr>
          <w:i/>
          <w:iCs/>
          <w:lang w:val="fr-CH"/>
        </w:rPr>
        <w:t xml:space="preserve"> of Communications</w:t>
      </w:r>
      <w:r w:rsidR="009971FC" w:rsidRPr="009971FC">
        <w:rPr>
          <w:lang w:val="fr-CH"/>
        </w:rPr>
        <w:t xml:space="preserve"> (M</w:t>
      </w:r>
      <w:r w:rsidR="00545C84" w:rsidRPr="009971FC">
        <w:rPr>
          <w:lang w:val="fr-CH"/>
        </w:rPr>
        <w:t>O</w:t>
      </w:r>
      <w:r w:rsidR="009971FC" w:rsidRPr="009971FC">
        <w:rPr>
          <w:lang w:val="fr-CH"/>
        </w:rPr>
        <w:t>C), restent inchangés</w:t>
      </w:r>
      <w:r w:rsidR="005E4C27">
        <w:rPr>
          <w:lang w:val="fr-CH"/>
        </w:rPr>
        <w:t>.</w:t>
      </w:r>
    </w:p>
    <w:p w:rsidR="00DA4876" w:rsidRPr="00DB3711" w:rsidRDefault="00DA4876" w:rsidP="00F869D6">
      <w:pPr>
        <w:ind w:left="567" w:hanging="567"/>
        <w:jc w:val="left"/>
        <w:rPr>
          <w:lang w:val="fr-FR"/>
        </w:rPr>
      </w:pPr>
    </w:p>
    <w:p w:rsidR="00F869D6" w:rsidRDefault="009971FC" w:rsidP="00F869D6">
      <w:pPr>
        <w:ind w:left="567" w:hanging="567"/>
        <w:jc w:val="left"/>
        <w:rPr>
          <w:lang w:val="en-US"/>
        </w:rPr>
      </w:pPr>
      <w:r w:rsidRPr="009971FC">
        <w:rPr>
          <w:lang w:val="en-US"/>
        </w:rPr>
        <w:t>Contact:</w:t>
      </w:r>
    </w:p>
    <w:p w:rsidR="009971FC" w:rsidRPr="009971FC" w:rsidRDefault="00F869D6" w:rsidP="00F869D6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="009971FC" w:rsidRPr="009971FC">
        <w:rPr>
          <w:lang w:val="en-US"/>
        </w:rPr>
        <w:t>ISCC Kuwait</w:t>
      </w:r>
      <w:r>
        <w:rPr>
          <w:lang w:val="en-US"/>
        </w:rPr>
        <w:br/>
      </w:r>
      <w:r w:rsidR="009971FC" w:rsidRPr="009971FC">
        <w:rPr>
          <w:lang w:val="en-US"/>
        </w:rPr>
        <w:t>Ministry of Communications</w:t>
      </w:r>
      <w:r w:rsidR="009971FC" w:rsidRPr="009971FC">
        <w:rPr>
          <w:lang w:val="en-US"/>
        </w:rPr>
        <w:br/>
        <w:t>P.O. Box 318</w:t>
      </w:r>
      <w:r w:rsidR="009971FC" w:rsidRPr="009971FC">
        <w:rPr>
          <w:lang w:val="en-US"/>
        </w:rPr>
        <w:br/>
        <w:t>11111 SAFAT</w:t>
      </w:r>
      <w:r w:rsidR="009971FC" w:rsidRPr="009971FC">
        <w:rPr>
          <w:lang w:val="en-US"/>
        </w:rPr>
        <w:br/>
      </w:r>
      <w:proofErr w:type="spellStart"/>
      <w:r w:rsidR="009971FC" w:rsidRPr="009971FC">
        <w:rPr>
          <w:lang w:val="en-US"/>
        </w:rPr>
        <w:t>Koweït</w:t>
      </w:r>
      <w:proofErr w:type="spellEnd"/>
      <w:r w:rsidR="009971FC" w:rsidRPr="009971FC">
        <w:rPr>
          <w:lang w:val="en-US"/>
        </w:rPr>
        <w:br/>
      </w:r>
      <w:proofErr w:type="spellStart"/>
      <w:r w:rsidR="002E1365">
        <w:rPr>
          <w:lang w:val="en-US"/>
        </w:rPr>
        <w:t>Tél</w:t>
      </w:r>
      <w:proofErr w:type="spellEnd"/>
      <w:r w:rsidR="002E1365">
        <w:rPr>
          <w:lang w:val="en-US"/>
        </w:rPr>
        <w:t>:</w:t>
      </w:r>
      <w:r w:rsidR="009971FC" w:rsidRPr="009971FC">
        <w:rPr>
          <w:lang w:val="en-US"/>
        </w:rPr>
        <w:tab/>
        <w:t>+965 2241 1777</w:t>
      </w:r>
      <w:r w:rsidR="009971FC" w:rsidRPr="009971FC">
        <w:rPr>
          <w:lang w:val="en-US"/>
        </w:rPr>
        <w:br/>
        <w:t>Fax:</w:t>
      </w:r>
      <w:r w:rsidR="009971FC" w:rsidRPr="009971FC">
        <w:rPr>
          <w:lang w:val="en-US"/>
        </w:rPr>
        <w:tab/>
        <w:t>+965 2241 9815</w:t>
      </w:r>
      <w:r w:rsidR="009971FC" w:rsidRPr="009971FC">
        <w:rPr>
          <w:lang w:val="en-US"/>
        </w:rPr>
        <w:br/>
        <w:t>E-mail</w:t>
      </w:r>
      <w:r>
        <w:rPr>
          <w:lang w:val="en-US"/>
        </w:rPr>
        <w:t>:</w:t>
      </w:r>
      <w:r>
        <w:rPr>
          <w:lang w:val="en-US"/>
        </w:rPr>
        <w:tab/>
      </w:r>
      <w:r w:rsidR="009971FC" w:rsidRPr="009971FC">
        <w:rPr>
          <w:lang w:val="en-US"/>
        </w:rPr>
        <w:t>iscckuwait@gmail.com</w:t>
      </w:r>
      <w:r w:rsidR="009971FC" w:rsidRPr="009971FC">
        <w:rPr>
          <w:lang w:val="en-US"/>
        </w:rPr>
        <w:br/>
        <w:t>URL:</w:t>
      </w:r>
      <w:r w:rsidR="009971FC" w:rsidRPr="009971FC">
        <w:rPr>
          <w:lang w:val="en-US"/>
        </w:rPr>
        <w:tab/>
        <w:t>www.moc.kw</w:t>
      </w:r>
    </w:p>
    <w:p w:rsidR="009971FC" w:rsidRPr="009971FC" w:rsidRDefault="009971FC" w:rsidP="009971FC">
      <w:pPr>
        <w:rPr>
          <w:b/>
          <w:lang w:val="en-US"/>
        </w:rPr>
      </w:pPr>
    </w:p>
    <w:p w:rsidR="00DA4876" w:rsidRPr="00DB3711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/>
        </w:rPr>
      </w:pPr>
      <w:r w:rsidRPr="00DB3711">
        <w:rPr>
          <w:b/>
          <w:lang w:val="en-US"/>
        </w:rPr>
        <w:br w:type="page"/>
      </w:r>
    </w:p>
    <w:p w:rsidR="009971FC" w:rsidRPr="009971FC" w:rsidRDefault="009971FC" w:rsidP="009971FC">
      <w:pPr>
        <w:rPr>
          <w:b/>
          <w:lang w:val="fr-FR"/>
        </w:rPr>
      </w:pPr>
      <w:r w:rsidRPr="009971FC">
        <w:rPr>
          <w:b/>
          <w:lang w:val="fr-FR"/>
        </w:rPr>
        <w:lastRenderedPageBreak/>
        <w:t>Nouvelle-Zélande</w:t>
      </w:r>
      <w:r w:rsidR="002C2803">
        <w:rPr>
          <w:b/>
          <w:lang w:val="fr-FR"/>
        </w:rPr>
        <w:t xml:space="preserve"> </w:t>
      </w:r>
      <w:r w:rsidRPr="009971FC">
        <w:rPr>
          <w:b/>
          <w:lang w:val="fr-FR"/>
        </w:rPr>
        <w:t xml:space="preserve">(indicatif de pays +64) </w:t>
      </w:r>
    </w:p>
    <w:p w:rsidR="009971FC" w:rsidRPr="009971FC" w:rsidRDefault="009971FC" w:rsidP="00EC07EA">
      <w:pPr>
        <w:spacing w:before="0"/>
        <w:rPr>
          <w:bCs/>
          <w:lang w:val="fr-FR"/>
        </w:rPr>
      </w:pPr>
      <w:r w:rsidRPr="009971FC">
        <w:rPr>
          <w:bCs/>
          <w:lang w:val="fr-FR"/>
        </w:rPr>
        <w:t>Communication du 18.XII.2011</w:t>
      </w:r>
    </w:p>
    <w:p w:rsidR="009971FC" w:rsidRPr="009971FC" w:rsidRDefault="009971FC" w:rsidP="009971FC">
      <w:pPr>
        <w:rPr>
          <w:lang w:val="fr-FR"/>
        </w:rPr>
      </w:pPr>
      <w:r w:rsidRPr="009971FC">
        <w:rPr>
          <w:lang w:val="fr-FR"/>
        </w:rPr>
        <w:t>Le</w:t>
      </w:r>
      <w:r w:rsidRPr="009971FC">
        <w:rPr>
          <w:i/>
          <w:iCs/>
          <w:lang w:val="fr-FR"/>
        </w:rPr>
        <w:t xml:space="preserve"> </w:t>
      </w:r>
      <w:proofErr w:type="spellStart"/>
      <w:r w:rsidRPr="009971FC">
        <w:rPr>
          <w:i/>
          <w:iCs/>
          <w:lang w:val="fr-FR"/>
        </w:rPr>
        <w:t>Ministry</w:t>
      </w:r>
      <w:proofErr w:type="spellEnd"/>
      <w:r w:rsidRPr="009971FC">
        <w:rPr>
          <w:i/>
          <w:iCs/>
          <w:lang w:val="fr-FR"/>
        </w:rPr>
        <w:t xml:space="preserve"> of </w:t>
      </w:r>
      <w:proofErr w:type="spellStart"/>
      <w:r w:rsidRPr="009971FC">
        <w:rPr>
          <w:i/>
          <w:iCs/>
          <w:lang w:val="fr-FR"/>
        </w:rPr>
        <w:t>Economic</w:t>
      </w:r>
      <w:proofErr w:type="spellEnd"/>
      <w:r w:rsidRPr="009971FC">
        <w:rPr>
          <w:i/>
          <w:iCs/>
          <w:lang w:val="fr-FR"/>
        </w:rPr>
        <w:t xml:space="preserve"> </w:t>
      </w:r>
      <w:proofErr w:type="spellStart"/>
      <w:r w:rsidRPr="009971FC">
        <w:rPr>
          <w:i/>
          <w:iCs/>
          <w:lang w:val="fr-FR"/>
        </w:rPr>
        <w:t>Development</w:t>
      </w:r>
      <w:proofErr w:type="spellEnd"/>
      <w:r w:rsidRPr="009971FC">
        <w:rPr>
          <w:i/>
          <w:iCs/>
          <w:lang w:val="fr-FR"/>
        </w:rPr>
        <w:t xml:space="preserve">, </w:t>
      </w:r>
      <w:r w:rsidRPr="009971FC">
        <w:rPr>
          <w:iCs/>
          <w:lang w:val="fr-FR"/>
        </w:rPr>
        <w:t>Wellington</w:t>
      </w:r>
      <w:r w:rsidR="002677B4" w:rsidRPr="009971FC">
        <w:rPr>
          <w:iCs/>
          <w:lang w:val="fr-FR"/>
        </w:rPr>
        <w:fldChar w:fldCharType="begin"/>
      </w:r>
      <w:r w:rsidRPr="009971FC">
        <w:rPr>
          <w:lang w:val="fr-FR"/>
        </w:rPr>
        <w:instrText xml:space="preserve"> TC "</w:instrText>
      </w:r>
      <w:proofErr w:type="spellStart"/>
      <w:r w:rsidRPr="009971FC">
        <w:rPr>
          <w:i/>
          <w:iCs/>
          <w:lang w:val="fr-FR"/>
        </w:rPr>
        <w:instrText>Ministry</w:instrText>
      </w:r>
      <w:proofErr w:type="spellEnd"/>
      <w:r w:rsidRPr="009971FC">
        <w:rPr>
          <w:i/>
          <w:iCs/>
          <w:lang w:val="fr-FR"/>
        </w:rPr>
        <w:instrText xml:space="preserve"> of </w:instrText>
      </w:r>
      <w:proofErr w:type="spellStart"/>
      <w:r w:rsidRPr="009971FC">
        <w:rPr>
          <w:i/>
          <w:iCs/>
          <w:lang w:val="fr-FR"/>
        </w:rPr>
        <w:instrText>Economic</w:instrText>
      </w:r>
      <w:proofErr w:type="spellEnd"/>
      <w:r w:rsidRPr="009971FC">
        <w:rPr>
          <w:i/>
          <w:iCs/>
          <w:lang w:val="fr-FR"/>
        </w:rPr>
        <w:instrText xml:space="preserve"> </w:instrText>
      </w:r>
      <w:proofErr w:type="spellStart"/>
      <w:r w:rsidRPr="009971FC">
        <w:rPr>
          <w:i/>
          <w:iCs/>
          <w:lang w:val="fr-FR"/>
        </w:rPr>
        <w:instrText>Development</w:instrText>
      </w:r>
      <w:proofErr w:type="spellEnd"/>
      <w:r w:rsidRPr="009971FC">
        <w:rPr>
          <w:i/>
          <w:iCs/>
          <w:lang w:val="fr-FR"/>
        </w:rPr>
        <w:instrText xml:space="preserve">, </w:instrText>
      </w:r>
      <w:r w:rsidRPr="009971FC">
        <w:rPr>
          <w:iCs/>
          <w:lang w:val="fr-FR"/>
        </w:rPr>
        <w:instrText>Wellington</w:instrText>
      </w:r>
      <w:r w:rsidRPr="009971FC">
        <w:rPr>
          <w:lang w:val="fr-FR"/>
        </w:rPr>
        <w:instrText xml:space="preserve">" \f C \l "1" </w:instrText>
      </w:r>
      <w:r w:rsidR="002677B4" w:rsidRPr="009971FC">
        <w:rPr>
          <w:iCs/>
          <w:lang w:val="fr-FR"/>
        </w:rPr>
        <w:fldChar w:fldCharType="end"/>
      </w:r>
      <w:r w:rsidRPr="009971FC">
        <w:rPr>
          <w:i/>
          <w:iCs/>
          <w:lang w:val="fr-FR"/>
        </w:rPr>
        <w:t xml:space="preserve">, </w:t>
      </w:r>
      <w:r w:rsidRPr="009971FC">
        <w:rPr>
          <w:lang w:val="fr-FR"/>
        </w:rPr>
        <w:t xml:space="preserve">annonce le plan de numérotage national </w:t>
      </w:r>
      <w:proofErr w:type="spellStart"/>
      <w:r w:rsidRPr="009971FC">
        <w:rPr>
          <w:lang w:val="fr-FR"/>
        </w:rPr>
        <w:t>ci</w:t>
      </w:r>
      <w:r w:rsidRPr="009971FC">
        <w:rPr>
          <w:lang w:val="fr-FR"/>
        </w:rPr>
        <w:noBreakHyphen/>
        <w:t>après</w:t>
      </w:r>
      <w:proofErr w:type="spellEnd"/>
      <w:r w:rsidRPr="009971FC">
        <w:rPr>
          <w:lang w:val="fr-FR"/>
        </w:rPr>
        <w:t xml:space="preserve"> de la Nouvelle-Zélande, conformément à la Recommandation UIT</w:t>
      </w:r>
      <w:r w:rsidRPr="009971FC">
        <w:rPr>
          <w:lang w:val="fr-FR"/>
        </w:rPr>
        <w:noBreakHyphen/>
        <w:t>T E.129:</w:t>
      </w:r>
    </w:p>
    <w:p w:rsidR="009971FC" w:rsidRPr="009971FC" w:rsidRDefault="009971FC" w:rsidP="00545C84">
      <w:pPr>
        <w:jc w:val="left"/>
        <w:rPr>
          <w:bCs/>
          <w:lang w:val="fr-CH"/>
        </w:rPr>
      </w:pPr>
      <w:r w:rsidRPr="009971FC">
        <w:rPr>
          <w:bCs/>
          <w:lang w:val="fr-CH"/>
        </w:rPr>
        <w:t>–</w:t>
      </w:r>
      <w:r w:rsidRPr="009971FC">
        <w:rPr>
          <w:bCs/>
          <w:lang w:val="fr-CH"/>
        </w:rPr>
        <w:tab/>
        <w:t>Longueur minimale du numéro (sans l'indicatif de pays):</w:t>
      </w:r>
      <w:r w:rsidRPr="009971FC">
        <w:rPr>
          <w:bCs/>
          <w:lang w:val="fr-CH"/>
        </w:rPr>
        <w:tab/>
        <w:t>trois (3) chiffres.</w:t>
      </w:r>
      <w:r w:rsidR="00545C84">
        <w:rPr>
          <w:bCs/>
          <w:lang w:val="fr-CH"/>
        </w:rPr>
        <w:br/>
      </w:r>
      <w:r w:rsidRPr="009971FC">
        <w:rPr>
          <w:bCs/>
          <w:lang w:val="fr-CH"/>
        </w:rPr>
        <w:t>–</w:t>
      </w:r>
      <w:r w:rsidRPr="009971FC">
        <w:rPr>
          <w:bCs/>
          <w:lang w:val="fr-CH"/>
        </w:rPr>
        <w:tab/>
        <w:t>Longueur maximale du numéro (sans l'indicatif de pays):</w:t>
      </w:r>
      <w:r w:rsidRPr="009971FC">
        <w:rPr>
          <w:bCs/>
          <w:lang w:val="fr-CH"/>
        </w:rPr>
        <w:tab/>
        <w:t>neuf</w:t>
      </w:r>
      <w:r w:rsidR="00545C84">
        <w:rPr>
          <w:bCs/>
          <w:lang w:val="fr-CH"/>
        </w:rPr>
        <w:t xml:space="preserve"> </w:t>
      </w:r>
      <w:r w:rsidRPr="009971FC">
        <w:rPr>
          <w:bCs/>
          <w:lang w:val="fr-CH"/>
        </w:rPr>
        <w:t>(9) chiffres.</w:t>
      </w:r>
    </w:p>
    <w:p w:rsidR="009971FC" w:rsidRPr="009971FC" w:rsidRDefault="009971FC" w:rsidP="009971FC">
      <w:pPr>
        <w:rPr>
          <w:lang w:val="fr-FR"/>
        </w:rPr>
      </w:pPr>
      <w:r w:rsidRPr="009971FC">
        <w:rPr>
          <w:lang w:val="fr-FR"/>
        </w:rPr>
        <w:t>Le tableau ci-dessous ne comprend que les groupes de numéros qui peuvent être composés depuis l'étranger.</w:t>
      </w:r>
    </w:p>
    <w:p w:rsidR="009971FC" w:rsidRPr="009971FC" w:rsidRDefault="009971FC" w:rsidP="009971FC">
      <w:pPr>
        <w:rPr>
          <w:lang w:val="fr-FR"/>
        </w:rPr>
      </w:pPr>
      <w:r w:rsidRPr="009971FC">
        <w:rPr>
          <w:lang w:val="fr-FR"/>
        </w:rPr>
        <w:t>La dernière mise à jour du plan de numérotation a été effectuée le 16 décembre 2011.</w:t>
      </w:r>
    </w:p>
    <w:p w:rsidR="009971FC" w:rsidRPr="00DA6A0A" w:rsidRDefault="00DA6A0A" w:rsidP="00DA6A0A">
      <w:pPr>
        <w:jc w:val="center"/>
        <w:rPr>
          <w:i/>
          <w:iCs/>
          <w:lang w:val="fr-FR"/>
        </w:rPr>
      </w:pPr>
      <w:r w:rsidRPr="00DA6A0A">
        <w:rPr>
          <w:i/>
          <w:iCs/>
          <w:lang w:val="fr-FR"/>
        </w:rPr>
        <w:t>Détails du plan de numérotage</w:t>
      </w:r>
    </w:p>
    <w:p w:rsidR="009971FC" w:rsidRPr="009971FC" w:rsidRDefault="009971FC" w:rsidP="009971FC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1134"/>
        <w:gridCol w:w="1134"/>
        <w:gridCol w:w="2552"/>
        <w:gridCol w:w="2405"/>
      </w:tblGrid>
      <w:tr w:rsidR="009971FC" w:rsidRPr="009971FC" w:rsidTr="00DA4876">
        <w:trPr>
          <w:cantSplit/>
          <w:tblHeader/>
          <w:jc w:val="center"/>
        </w:trPr>
        <w:tc>
          <w:tcPr>
            <w:tcW w:w="1847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(1)</w:t>
            </w:r>
          </w:p>
        </w:tc>
        <w:tc>
          <w:tcPr>
            <w:tcW w:w="2268" w:type="dxa"/>
            <w:gridSpan w:val="2"/>
            <w:vAlign w:val="center"/>
          </w:tcPr>
          <w:p w:rsidR="009971FC" w:rsidRPr="009971FC" w:rsidRDefault="009971FC" w:rsidP="00F869D6">
            <w:pPr>
              <w:pStyle w:val="Tablehead0"/>
            </w:pPr>
            <w:r w:rsidRPr="009971FC">
              <w:t>(2)</w:t>
            </w:r>
          </w:p>
        </w:tc>
        <w:tc>
          <w:tcPr>
            <w:tcW w:w="2552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(3)</w:t>
            </w:r>
          </w:p>
        </w:tc>
        <w:tc>
          <w:tcPr>
            <w:tcW w:w="2405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(4)</w:t>
            </w:r>
          </w:p>
        </w:tc>
      </w:tr>
      <w:tr w:rsidR="009971FC" w:rsidRPr="009971FC" w:rsidTr="00DA4876">
        <w:trPr>
          <w:cantSplit/>
          <w:tblHeader/>
          <w:jc w:val="center"/>
        </w:trPr>
        <w:tc>
          <w:tcPr>
            <w:tcW w:w="1847" w:type="dxa"/>
            <w:vMerge w:val="restart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rPr>
                <w:iCs/>
                <w:lang w:val="fr-CH"/>
              </w:rPr>
              <w:t>NDC (indicatif national de destination) ou premiers chiffres du N(S)N (numéro national (significatif))</w:t>
            </w:r>
          </w:p>
        </w:tc>
        <w:tc>
          <w:tcPr>
            <w:tcW w:w="2268" w:type="dxa"/>
            <w:gridSpan w:val="2"/>
            <w:vAlign w:val="center"/>
          </w:tcPr>
          <w:p w:rsidR="009971FC" w:rsidRPr="009971FC" w:rsidRDefault="009971FC" w:rsidP="00F869D6">
            <w:pPr>
              <w:pStyle w:val="Tablehead0"/>
            </w:pPr>
            <w:r w:rsidRPr="009971FC">
              <w:rPr>
                <w:iCs/>
                <w:lang w:val="fr-CH"/>
              </w:rPr>
              <w:t>Longueur du</w:t>
            </w:r>
            <w:r w:rsidRPr="009971FC">
              <w:rPr>
                <w:iCs/>
                <w:lang w:val="fr-CH"/>
              </w:rPr>
              <w:br/>
              <w:t>numéro N(S)N</w:t>
            </w:r>
          </w:p>
        </w:tc>
        <w:tc>
          <w:tcPr>
            <w:tcW w:w="2552" w:type="dxa"/>
            <w:vMerge w:val="restart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rPr>
                <w:iCs/>
              </w:rPr>
              <w:t>Utilisation du numéro E.164</w:t>
            </w:r>
          </w:p>
        </w:tc>
        <w:tc>
          <w:tcPr>
            <w:tcW w:w="2405" w:type="dxa"/>
            <w:vMerge w:val="restart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rPr>
                <w:iCs/>
              </w:rPr>
              <w:t>Informations additionnelles</w:t>
            </w:r>
          </w:p>
        </w:tc>
      </w:tr>
      <w:tr w:rsidR="009971FC" w:rsidRPr="009971FC" w:rsidTr="00DA4876">
        <w:trPr>
          <w:cantSplit/>
          <w:tblHeader/>
          <w:jc w:val="center"/>
        </w:trPr>
        <w:tc>
          <w:tcPr>
            <w:tcW w:w="1847" w:type="dxa"/>
            <w:vMerge/>
            <w:vAlign w:val="center"/>
          </w:tcPr>
          <w:p w:rsidR="009971FC" w:rsidRPr="009971FC" w:rsidRDefault="009971FC" w:rsidP="009971FC">
            <w:pPr>
              <w:rPr>
                <w:bCs/>
                <w:i/>
              </w:rPr>
            </w:pPr>
          </w:p>
        </w:tc>
        <w:tc>
          <w:tcPr>
            <w:tcW w:w="1134" w:type="dxa"/>
            <w:vAlign w:val="center"/>
          </w:tcPr>
          <w:p w:rsidR="009971FC" w:rsidRPr="009971FC" w:rsidRDefault="009971FC" w:rsidP="00F869D6">
            <w:pPr>
              <w:pStyle w:val="Tablehead0"/>
            </w:pPr>
            <w:r w:rsidRPr="009971FC">
              <w:t>Longueur maximale</w:t>
            </w:r>
          </w:p>
        </w:tc>
        <w:tc>
          <w:tcPr>
            <w:tcW w:w="1134" w:type="dxa"/>
            <w:vAlign w:val="center"/>
          </w:tcPr>
          <w:p w:rsidR="009971FC" w:rsidRPr="009971FC" w:rsidRDefault="009971FC" w:rsidP="00F869D6">
            <w:pPr>
              <w:pStyle w:val="Tablehead0"/>
            </w:pPr>
            <w:r w:rsidRPr="009971FC">
              <w:t>Longueur minimale</w:t>
            </w:r>
          </w:p>
        </w:tc>
        <w:tc>
          <w:tcPr>
            <w:tcW w:w="2552" w:type="dxa"/>
            <w:vMerge/>
            <w:vAlign w:val="center"/>
          </w:tcPr>
          <w:p w:rsidR="009971FC" w:rsidRPr="009971FC" w:rsidRDefault="009971FC" w:rsidP="009971FC">
            <w:pPr>
              <w:rPr>
                <w:bCs/>
                <w:i/>
              </w:rPr>
            </w:pPr>
          </w:p>
        </w:tc>
        <w:tc>
          <w:tcPr>
            <w:tcW w:w="2405" w:type="dxa"/>
            <w:vMerge/>
            <w:vAlign w:val="center"/>
          </w:tcPr>
          <w:p w:rsidR="009971FC" w:rsidRPr="009971FC" w:rsidRDefault="009971FC" w:rsidP="009971FC">
            <w:pPr>
              <w:rPr>
                <w:bCs/>
                <w:i/>
              </w:rPr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d'essai pour commutateur passerelle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11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14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10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à valeur ajoutée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 direct pour la Nouvelle-Zélande lorsque ce service est assuré 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12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6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 direct pour la Nouvelle-Zélande lorsque ce service est assuré 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210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211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212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213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214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215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216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217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218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219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22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240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F869D6">
            <w:pPr>
              <w:pStyle w:val="Tabletext0"/>
            </w:pPr>
            <w:r w:rsidRPr="009971FC">
              <w:t>Base antarctique Scott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26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de radiomessagerie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27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mobile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32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33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lastRenderedPageBreak/>
              <w:t>34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35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36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37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42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43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44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45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46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49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6C3A01">
            <w:pPr>
              <w:pStyle w:val="Tabletext0"/>
              <w:keepNext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50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7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7</w:t>
            </w:r>
          </w:p>
        </w:tc>
        <w:tc>
          <w:tcPr>
            <w:tcW w:w="2552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 xml:space="preserve">Service national </w:t>
            </w:r>
          </w:p>
        </w:tc>
        <w:tc>
          <w:tcPr>
            <w:tcW w:w="2405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Sauf indicatifs de libre-appel 508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60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4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4</w:t>
            </w:r>
          </w:p>
        </w:tc>
        <w:tc>
          <w:tcPr>
            <w:tcW w:w="2552" w:type="dxa"/>
          </w:tcPr>
          <w:p w:rsidR="009971FC" w:rsidRPr="009971FC" w:rsidRDefault="009971FC" w:rsidP="006C3A01">
            <w:pPr>
              <w:pStyle w:val="Tabletext0"/>
              <w:keepNext/>
            </w:pPr>
          </w:p>
        </w:tc>
        <w:tc>
          <w:tcPr>
            <w:tcW w:w="2405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 xml:space="preserve">Opératrice pour services de renseignements uniquement 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62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6C3A01">
            <w:pPr>
              <w:pStyle w:val="Tabletext0"/>
              <w:keepNext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6C3A01">
            <w:pPr>
              <w:pStyle w:val="Tabletext0"/>
              <w:keepNext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6C3A01">
            <w:pPr>
              <w:pStyle w:val="Tabletext0"/>
              <w:keepNext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63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65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66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pour les services fixes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67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68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69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72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pour les services fixes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73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lastRenderedPageBreak/>
              <w:t>74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Numéros non géographiques pour les services fixes 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75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78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79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80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à valeur ajoutée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 libre appel international (0800), sous réserve d'un accord </w:t>
            </w:r>
          </w:p>
        </w:tc>
      </w:tr>
      <w:tr w:rsidR="009971FC" w:rsidRPr="009971FC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83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5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à valeur ajoutée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vocaux améliorés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85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14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à valeur ajoutée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 libre appel international (0800), sous réserve d'un accord 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86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à valeur ajoutée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Services de radiomessagerie améliorée et service direct pour la </w:t>
            </w:r>
            <w:proofErr w:type="spellStart"/>
            <w:r w:rsidRPr="009971FC">
              <w:t>Nouvelle</w:t>
            </w:r>
            <w:r w:rsidRPr="009971FC">
              <w:noBreakHyphen/>
              <w:t>Zélande</w:t>
            </w:r>
            <w:proofErr w:type="spellEnd"/>
            <w:r w:rsidRPr="009971FC">
              <w:t xml:space="preserve"> le cas échéant 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87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4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à valeur ajoutée</w:t>
            </w:r>
          </w:p>
        </w:tc>
        <w:tc>
          <w:tcPr>
            <w:tcW w:w="2405" w:type="dxa"/>
          </w:tcPr>
          <w:p w:rsidR="009971FC" w:rsidRPr="009971FC" w:rsidRDefault="009971FC" w:rsidP="00545C84">
            <w:pPr>
              <w:pStyle w:val="Tabletext0"/>
            </w:pPr>
            <w:r w:rsidRPr="009971FC">
              <w:t>Accès aux services de données par le R</w:t>
            </w:r>
            <w:r w:rsidR="00545C84">
              <w:t>T</w:t>
            </w:r>
            <w:r w:rsidRPr="009971FC">
              <w:t>PC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90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11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9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kiosques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Certains indicatifs du service kiosque peuvent être composés depuis l'étranger lorsque des dispositions sont en vigueur </w:t>
            </w: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92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93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94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95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96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DA4876">
        <w:trPr>
          <w:cantSplit/>
          <w:jc w:val="center"/>
        </w:trPr>
        <w:tc>
          <w:tcPr>
            <w:tcW w:w="184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99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1134" w:type="dxa"/>
          </w:tcPr>
          <w:p w:rsidR="009971FC" w:rsidRPr="009971FC" w:rsidRDefault="009971FC" w:rsidP="00F869D6">
            <w:pPr>
              <w:pStyle w:val="Tabletext0"/>
              <w:jc w:val="center"/>
            </w:pPr>
            <w:r w:rsidRPr="009971FC">
              <w:t>8</w:t>
            </w:r>
          </w:p>
        </w:tc>
        <w:tc>
          <w:tcPr>
            <w:tcW w:w="255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Numéros non géographiques pour les services fixes</w:t>
            </w:r>
          </w:p>
        </w:tc>
        <w:tc>
          <w:tcPr>
            <w:tcW w:w="2405" w:type="dxa"/>
          </w:tcPr>
          <w:p w:rsidR="009971FC" w:rsidRPr="009971FC" w:rsidRDefault="009971FC" w:rsidP="009971FC">
            <w:pPr>
              <w:pStyle w:val="Tabletext0"/>
            </w:pPr>
          </w:p>
        </w:tc>
      </w:tr>
    </w:tbl>
    <w:p w:rsidR="00DA4876" w:rsidRPr="00DB3711" w:rsidRDefault="00DA4876" w:rsidP="009971FC">
      <w:pPr>
        <w:rPr>
          <w:lang w:val="fr-FR"/>
        </w:rPr>
      </w:pPr>
    </w:p>
    <w:p w:rsidR="00DA4876" w:rsidRPr="00DB3711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DB3711">
        <w:rPr>
          <w:lang w:val="fr-FR"/>
        </w:rPr>
        <w:br w:type="page"/>
      </w:r>
    </w:p>
    <w:p w:rsidR="009971FC" w:rsidRPr="009971FC" w:rsidRDefault="009971FC" w:rsidP="009971FC">
      <w:r w:rsidRPr="009971FC">
        <w:lastRenderedPageBreak/>
        <w:t>Contact:</w:t>
      </w:r>
    </w:p>
    <w:p w:rsidR="009971FC" w:rsidRPr="009971FC" w:rsidRDefault="00611993" w:rsidP="00611993">
      <w:pPr>
        <w:ind w:left="567" w:hanging="567"/>
        <w:jc w:val="left"/>
      </w:pPr>
      <w:r>
        <w:tab/>
      </w:r>
      <w:r w:rsidR="009971FC" w:rsidRPr="009971FC">
        <w:t>Dr Frank March</w:t>
      </w:r>
      <w:r w:rsidR="009971FC" w:rsidRPr="009971FC">
        <w:br/>
        <w:t>Senior Specialist Advisor</w:t>
      </w:r>
      <w:r w:rsidR="009971FC" w:rsidRPr="009971FC">
        <w:br/>
        <w:t>Communications and IT Group</w:t>
      </w:r>
      <w:r w:rsidR="009971FC" w:rsidRPr="009971FC">
        <w:br/>
        <w:t>Ministry of Economic Development</w:t>
      </w:r>
      <w:r w:rsidR="009971FC" w:rsidRPr="009971FC">
        <w:br/>
        <w:t>P.</w:t>
      </w:r>
      <w:r w:rsidR="00545C84">
        <w:t>O. Box 1473</w:t>
      </w:r>
      <w:r w:rsidR="00545C84">
        <w:br/>
        <w:t>WELLINGTON</w:t>
      </w:r>
      <w:r w:rsidR="00545C84">
        <w:br/>
        <w:t>Nouvelle-</w:t>
      </w:r>
      <w:proofErr w:type="spellStart"/>
      <w:r w:rsidR="009971FC" w:rsidRPr="009971FC">
        <w:t>Zélande</w:t>
      </w:r>
      <w:proofErr w:type="spellEnd"/>
      <w:r w:rsidR="009971FC" w:rsidRPr="009971FC">
        <w:br/>
      </w:r>
      <w:proofErr w:type="spellStart"/>
      <w:r w:rsidR="002E1365">
        <w:t>Tél</w:t>
      </w:r>
      <w:proofErr w:type="spellEnd"/>
      <w:r w:rsidR="002E1365">
        <w:t>:</w:t>
      </w:r>
      <w:r w:rsidR="009971FC" w:rsidRPr="009971FC">
        <w:tab/>
        <w:t>+64 21 494 165</w:t>
      </w:r>
      <w:r w:rsidR="009971FC" w:rsidRPr="009971FC">
        <w:br/>
        <w:t>Fax:</w:t>
      </w:r>
      <w:r w:rsidR="009971FC" w:rsidRPr="009971FC">
        <w:tab/>
        <w:t>+64 4 499 0969</w:t>
      </w:r>
      <w:r w:rsidR="009971FC" w:rsidRPr="009971FC">
        <w:br/>
        <w:t xml:space="preserve">E-mail: </w:t>
      </w:r>
      <w:r>
        <w:tab/>
      </w:r>
      <w:r w:rsidR="009971FC" w:rsidRPr="00611993">
        <w:t>frank.march@med.govt.nz</w:t>
      </w:r>
    </w:p>
    <w:p w:rsidR="00DA4876" w:rsidRPr="00DB3711" w:rsidRDefault="00DA4876" w:rsidP="009971FC">
      <w:pPr>
        <w:rPr>
          <w:b/>
          <w:bCs/>
          <w:lang w:val="en-US"/>
        </w:rPr>
      </w:pPr>
      <w:bookmarkStart w:id="138" w:name="_Toc303674700"/>
    </w:p>
    <w:p w:rsidR="00DA4876" w:rsidRPr="00DB3711" w:rsidRDefault="00DA4876" w:rsidP="009971FC">
      <w:pPr>
        <w:rPr>
          <w:b/>
          <w:bCs/>
          <w:lang w:val="en-US"/>
        </w:rPr>
      </w:pPr>
    </w:p>
    <w:p w:rsidR="00DA4876" w:rsidRPr="00DB3711" w:rsidRDefault="00DA4876" w:rsidP="009971FC">
      <w:pPr>
        <w:rPr>
          <w:b/>
          <w:bCs/>
          <w:lang w:val="en-US"/>
        </w:rPr>
      </w:pPr>
    </w:p>
    <w:p w:rsidR="009971FC" w:rsidRPr="009971FC" w:rsidRDefault="009971FC" w:rsidP="009971FC">
      <w:pPr>
        <w:rPr>
          <w:b/>
          <w:bCs/>
          <w:lang w:val="fr-FR"/>
        </w:rPr>
      </w:pPr>
      <w:r w:rsidRPr="009971FC">
        <w:rPr>
          <w:b/>
          <w:bCs/>
          <w:lang w:val="fr-FR"/>
        </w:rPr>
        <w:t>Seychelles (indicatif de pays +248)</w:t>
      </w:r>
      <w:r w:rsidR="002C2803">
        <w:rPr>
          <w:b/>
          <w:bCs/>
          <w:lang w:val="fr-FR"/>
        </w:rPr>
        <w:t xml:space="preserve">  </w:t>
      </w:r>
    </w:p>
    <w:p w:rsidR="009971FC" w:rsidRPr="009971FC" w:rsidRDefault="009971FC" w:rsidP="00611993">
      <w:pPr>
        <w:spacing w:before="0"/>
        <w:rPr>
          <w:lang w:val="fr-FR"/>
        </w:rPr>
      </w:pPr>
      <w:r w:rsidRPr="009971FC">
        <w:rPr>
          <w:lang w:val="fr-FR"/>
        </w:rPr>
        <w:t>Communication du 21.XII.2011:</w:t>
      </w:r>
    </w:p>
    <w:p w:rsidR="009971FC" w:rsidRDefault="009971FC" w:rsidP="009971FC">
      <w:pPr>
        <w:rPr>
          <w:lang w:val="fr-CH"/>
        </w:rPr>
      </w:pPr>
      <w:r w:rsidRPr="009971FC">
        <w:rPr>
          <w:lang w:val="fr-FR"/>
        </w:rPr>
        <w:t xml:space="preserve">Le </w:t>
      </w:r>
      <w:proofErr w:type="spellStart"/>
      <w:r w:rsidRPr="009971FC">
        <w:rPr>
          <w:i/>
          <w:lang w:val="fr-FR"/>
        </w:rPr>
        <w:t>Department</w:t>
      </w:r>
      <w:proofErr w:type="spellEnd"/>
      <w:r w:rsidRPr="009971FC">
        <w:rPr>
          <w:i/>
          <w:lang w:val="fr-FR"/>
        </w:rPr>
        <w:t xml:space="preserve"> of Information Communications </w:t>
      </w:r>
      <w:proofErr w:type="spellStart"/>
      <w:r w:rsidRPr="009971FC">
        <w:rPr>
          <w:i/>
          <w:lang w:val="fr-FR"/>
        </w:rPr>
        <w:t>Technology</w:t>
      </w:r>
      <w:proofErr w:type="spellEnd"/>
      <w:r w:rsidRPr="009971FC">
        <w:rPr>
          <w:i/>
          <w:lang w:val="fr-FR"/>
        </w:rPr>
        <w:t xml:space="preserve">, </w:t>
      </w:r>
      <w:r w:rsidRPr="009971FC">
        <w:rPr>
          <w:iCs/>
          <w:lang w:val="fr-FR"/>
        </w:rPr>
        <w:t>Victoria</w:t>
      </w:r>
      <w:r w:rsidRPr="009971FC">
        <w:rPr>
          <w:i/>
          <w:lang w:val="fr-FR"/>
        </w:rPr>
        <w:t xml:space="preserve">, </w:t>
      </w:r>
      <w:r w:rsidRPr="009971FC">
        <w:rPr>
          <w:lang w:val="fr-CH"/>
        </w:rPr>
        <w:t>annonce la mise à jour suivante du Plan national de numérotage des Seychelles</w:t>
      </w:r>
      <w:r w:rsidR="00545C84">
        <w:rPr>
          <w:lang w:val="fr-CH"/>
        </w:rPr>
        <w:t>:</w:t>
      </w:r>
    </w:p>
    <w:p w:rsidR="002871D0" w:rsidRPr="009971FC" w:rsidRDefault="002871D0" w:rsidP="009971FC">
      <w:pPr>
        <w:rPr>
          <w:lang w:val="fr-FR"/>
        </w:rPr>
      </w:pPr>
    </w:p>
    <w:p w:rsidR="009971FC" w:rsidRPr="009971FC" w:rsidRDefault="009971FC" w:rsidP="00545C84">
      <w:pPr>
        <w:spacing w:after="80"/>
        <w:jc w:val="center"/>
        <w:rPr>
          <w:bCs/>
          <w:lang w:val="fr-CH"/>
        </w:rPr>
      </w:pPr>
      <w:r w:rsidRPr="009971FC">
        <w:rPr>
          <w:bCs/>
          <w:lang w:val="fr-CH"/>
        </w:rPr>
        <w:t>Indicatifs internationaux attribués par l'Union internationale des télécommunications (UIT) aux Seychelles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3389"/>
        <w:gridCol w:w="4159"/>
      </w:tblGrid>
      <w:tr w:rsidR="009971FC" w:rsidRPr="009971FC" w:rsidTr="0037055C">
        <w:trPr>
          <w:tblHeader/>
          <w:jc w:val="center"/>
        </w:trPr>
        <w:tc>
          <w:tcPr>
            <w:tcW w:w="1599" w:type="dxa"/>
            <w:vAlign w:val="center"/>
          </w:tcPr>
          <w:bookmarkEnd w:id="138"/>
          <w:p w:rsidR="009971FC" w:rsidRPr="009971FC" w:rsidRDefault="009971FC" w:rsidP="009971FC">
            <w:pPr>
              <w:pStyle w:val="Tablehead0"/>
              <w:rPr>
                <w:b/>
              </w:rPr>
            </w:pPr>
            <w:r w:rsidRPr="009971FC">
              <w:t>Indicatifs internationaux</w:t>
            </w:r>
          </w:p>
        </w:tc>
        <w:tc>
          <w:tcPr>
            <w:tcW w:w="4063" w:type="dxa"/>
            <w:vAlign w:val="center"/>
          </w:tcPr>
          <w:p w:rsidR="009971FC" w:rsidRPr="009971FC" w:rsidRDefault="009971FC" w:rsidP="009971FC">
            <w:pPr>
              <w:pStyle w:val="Tablehead0"/>
              <w:rPr>
                <w:b/>
              </w:rPr>
            </w:pPr>
            <w:r w:rsidRPr="009971FC">
              <w:t>Type de services</w:t>
            </w:r>
          </w:p>
        </w:tc>
        <w:tc>
          <w:tcPr>
            <w:tcW w:w="4958" w:type="dxa"/>
            <w:vAlign w:val="center"/>
          </w:tcPr>
          <w:p w:rsidR="009971FC" w:rsidRPr="009971FC" w:rsidRDefault="009971FC" w:rsidP="009971FC">
            <w:pPr>
              <w:pStyle w:val="Tablehead0"/>
              <w:rPr>
                <w:b/>
              </w:rPr>
            </w:pPr>
            <w:r w:rsidRPr="009971FC">
              <w:t>Remarques</w:t>
            </w:r>
          </w:p>
        </w:tc>
      </w:tr>
      <w:tr w:rsidR="009971FC" w:rsidRPr="00B638EE" w:rsidTr="00611993">
        <w:trPr>
          <w:trHeight w:val="530"/>
          <w:jc w:val="center"/>
        </w:trPr>
        <w:tc>
          <w:tcPr>
            <w:tcW w:w="1599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6-066</w:t>
            </w:r>
          </w:p>
        </w:tc>
        <w:tc>
          <w:tcPr>
            <w:tcW w:w="4063" w:type="dxa"/>
            <w:vMerge w:val="restart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Code de zone de signalisation internationale (SANC)</w:t>
            </w:r>
          </w:p>
        </w:tc>
        <w:tc>
          <w:tcPr>
            <w:tcW w:w="4958" w:type="dxa"/>
            <w:vMerge w:val="restart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Pour l'assignation de codes de points sémaphores internationaux (ISPC)</w:t>
            </w:r>
          </w:p>
        </w:tc>
      </w:tr>
      <w:tr w:rsidR="009971FC" w:rsidRPr="009971FC" w:rsidTr="00611993">
        <w:trPr>
          <w:trHeight w:val="530"/>
          <w:jc w:val="center"/>
        </w:trPr>
        <w:tc>
          <w:tcPr>
            <w:tcW w:w="1599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6-067</w:t>
            </w:r>
          </w:p>
        </w:tc>
        <w:tc>
          <w:tcPr>
            <w:tcW w:w="4063" w:type="dxa"/>
            <w:vMerge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4958" w:type="dxa"/>
            <w:vMerge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</w:tr>
      <w:tr w:rsidR="009971FC" w:rsidRPr="00B638EE" w:rsidTr="00611993">
        <w:trPr>
          <w:jc w:val="center"/>
        </w:trPr>
        <w:tc>
          <w:tcPr>
            <w:tcW w:w="1599" w:type="dxa"/>
            <w:vAlign w:val="center"/>
          </w:tcPr>
          <w:p w:rsidR="009971FC" w:rsidRPr="009971FC" w:rsidRDefault="009971FC" w:rsidP="00863B1E">
            <w:pPr>
              <w:pStyle w:val="Tabletext0"/>
            </w:pPr>
            <w:r w:rsidRPr="009971FC">
              <w:t>633</w:t>
            </w:r>
          </w:p>
        </w:tc>
        <w:tc>
          <w:tcPr>
            <w:tcW w:w="4063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Indicatif de pays pour transmission de données (DCC)</w:t>
            </w:r>
          </w:p>
        </w:tc>
        <w:tc>
          <w:tcPr>
            <w:tcW w:w="4958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Pour l'assignation de code d'identification de réseau pour données (DNIC)</w:t>
            </w:r>
          </w:p>
        </w:tc>
      </w:tr>
      <w:tr w:rsidR="009971FC" w:rsidRPr="00B638EE" w:rsidTr="00611993">
        <w:trPr>
          <w:jc w:val="center"/>
        </w:trPr>
        <w:tc>
          <w:tcPr>
            <w:tcW w:w="1599" w:type="dxa"/>
            <w:vAlign w:val="center"/>
          </w:tcPr>
          <w:p w:rsidR="009971FC" w:rsidRPr="009971FC" w:rsidRDefault="009971FC" w:rsidP="00863B1E">
            <w:pPr>
              <w:pStyle w:val="Tabletext0"/>
              <w:rPr>
                <w:lang w:val="en-GB"/>
              </w:rPr>
            </w:pPr>
            <w:r w:rsidRPr="009971FC">
              <w:rPr>
                <w:lang w:val="en-GB"/>
              </w:rPr>
              <w:t>633</w:t>
            </w:r>
          </w:p>
        </w:tc>
        <w:tc>
          <w:tcPr>
            <w:tcW w:w="4063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Indicatif de pays du mobile (MCC)</w:t>
            </w:r>
          </w:p>
        </w:tc>
        <w:tc>
          <w:tcPr>
            <w:tcW w:w="4958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Pour l'assignation d'identités de stations mobiles terrestres comme l'identité internationale de station mobile (IMSI pour l'itinérance internationale)</w:t>
            </w:r>
          </w:p>
        </w:tc>
      </w:tr>
      <w:tr w:rsidR="009971FC" w:rsidRPr="00B638EE" w:rsidTr="00611993">
        <w:trPr>
          <w:jc w:val="center"/>
        </w:trPr>
        <w:tc>
          <w:tcPr>
            <w:tcW w:w="1599" w:type="dxa"/>
            <w:vAlign w:val="center"/>
          </w:tcPr>
          <w:p w:rsidR="009971FC" w:rsidRPr="009971FC" w:rsidRDefault="009971FC" w:rsidP="00863B1E">
            <w:pPr>
              <w:pStyle w:val="Tabletext0"/>
              <w:rPr>
                <w:lang w:val="en-GB"/>
              </w:rPr>
            </w:pPr>
            <w:r w:rsidRPr="009971FC">
              <w:rPr>
                <w:lang w:val="en-GB"/>
              </w:rPr>
              <w:t>664</w:t>
            </w:r>
          </w:p>
        </w:tc>
        <w:tc>
          <w:tcPr>
            <w:tcW w:w="4063" w:type="dxa"/>
            <w:vAlign w:val="center"/>
          </w:tcPr>
          <w:p w:rsidR="009971FC" w:rsidRPr="009971FC" w:rsidRDefault="009971FC" w:rsidP="009971FC">
            <w:pPr>
              <w:pStyle w:val="Tabletext0"/>
              <w:rPr>
                <w:lang w:val="en-GB"/>
              </w:rPr>
            </w:pPr>
            <w:proofErr w:type="spellStart"/>
            <w:r w:rsidRPr="009971FC">
              <w:rPr>
                <w:lang w:val="en-GB"/>
              </w:rPr>
              <w:t>Chiffres</w:t>
            </w:r>
            <w:proofErr w:type="spellEnd"/>
            <w:r w:rsidRPr="009971FC">
              <w:rPr>
                <w:lang w:val="en-GB"/>
              </w:rPr>
              <w:t xml:space="preserve"> </w:t>
            </w:r>
            <w:proofErr w:type="spellStart"/>
            <w:r w:rsidRPr="009971FC">
              <w:rPr>
                <w:lang w:val="en-GB"/>
              </w:rPr>
              <w:t>d'identification</w:t>
            </w:r>
            <w:proofErr w:type="spellEnd"/>
            <w:r w:rsidRPr="009971FC">
              <w:rPr>
                <w:lang w:val="en-GB"/>
              </w:rPr>
              <w:t xml:space="preserve"> maritime (CIM)</w:t>
            </w:r>
          </w:p>
        </w:tc>
        <w:tc>
          <w:tcPr>
            <w:tcW w:w="4958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Pour l'assignation d'identités de stations de navire comme l'identité dans le service mobile maritime (MMSI) </w:t>
            </w:r>
          </w:p>
        </w:tc>
      </w:tr>
      <w:tr w:rsidR="009971FC" w:rsidRPr="00B638EE" w:rsidTr="00611993">
        <w:trPr>
          <w:jc w:val="center"/>
        </w:trPr>
        <w:tc>
          <w:tcPr>
            <w:tcW w:w="1599" w:type="dxa"/>
            <w:vAlign w:val="center"/>
          </w:tcPr>
          <w:p w:rsidR="009971FC" w:rsidRPr="009971FC" w:rsidRDefault="009971FC" w:rsidP="00863B1E">
            <w:pPr>
              <w:pStyle w:val="Tabletext0"/>
              <w:rPr>
                <w:lang w:val="en-GB"/>
              </w:rPr>
            </w:pPr>
            <w:r w:rsidRPr="009971FC">
              <w:rPr>
                <w:lang w:val="en-GB"/>
              </w:rPr>
              <w:t>965</w:t>
            </w:r>
          </w:p>
        </w:tc>
        <w:tc>
          <w:tcPr>
            <w:tcW w:w="4063" w:type="dxa"/>
            <w:vAlign w:val="center"/>
          </w:tcPr>
          <w:p w:rsidR="009971FC" w:rsidRPr="009971FC" w:rsidRDefault="009971FC" w:rsidP="009971FC">
            <w:pPr>
              <w:pStyle w:val="Tabletext0"/>
              <w:rPr>
                <w:lang w:val="en-GB"/>
              </w:rPr>
            </w:pPr>
            <w:r w:rsidRPr="009971FC">
              <w:rPr>
                <w:lang w:val="en-GB"/>
              </w:rPr>
              <w:t xml:space="preserve">Code </w:t>
            </w:r>
            <w:proofErr w:type="spellStart"/>
            <w:r w:rsidRPr="009971FC">
              <w:rPr>
                <w:lang w:val="en-GB"/>
              </w:rPr>
              <w:t>télex</w:t>
            </w:r>
            <w:proofErr w:type="spellEnd"/>
            <w:r w:rsidRPr="009971FC">
              <w:rPr>
                <w:lang w:val="en-GB"/>
              </w:rPr>
              <w:t xml:space="preserve"> de destination</w:t>
            </w:r>
          </w:p>
        </w:tc>
        <w:tc>
          <w:tcPr>
            <w:tcW w:w="4958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Pour l'acheminement des appels dans le cadre de la fourniture du service télex automatique international </w:t>
            </w:r>
          </w:p>
        </w:tc>
      </w:tr>
      <w:tr w:rsidR="009971FC" w:rsidRPr="00B638EE" w:rsidTr="00611993">
        <w:trPr>
          <w:jc w:val="center"/>
        </w:trPr>
        <w:tc>
          <w:tcPr>
            <w:tcW w:w="1599" w:type="dxa"/>
            <w:vAlign w:val="center"/>
          </w:tcPr>
          <w:p w:rsidR="009971FC" w:rsidRPr="009971FC" w:rsidRDefault="009971FC" w:rsidP="00863B1E">
            <w:pPr>
              <w:pStyle w:val="Tabletext0"/>
              <w:rPr>
                <w:lang w:val="en-GB"/>
              </w:rPr>
            </w:pPr>
            <w:r w:rsidRPr="009971FC">
              <w:rPr>
                <w:lang w:val="en-GB"/>
              </w:rPr>
              <w:t>248</w:t>
            </w:r>
          </w:p>
        </w:tc>
        <w:tc>
          <w:tcPr>
            <w:tcW w:w="4063" w:type="dxa"/>
            <w:vAlign w:val="center"/>
          </w:tcPr>
          <w:p w:rsidR="009971FC" w:rsidRPr="009971FC" w:rsidRDefault="009971FC" w:rsidP="009971FC">
            <w:pPr>
              <w:pStyle w:val="Tabletext0"/>
              <w:rPr>
                <w:lang w:val="en-GB"/>
              </w:rPr>
            </w:pPr>
            <w:proofErr w:type="spellStart"/>
            <w:r w:rsidRPr="009971FC">
              <w:rPr>
                <w:lang w:val="en-GB"/>
              </w:rPr>
              <w:t>Indicatif</w:t>
            </w:r>
            <w:proofErr w:type="spellEnd"/>
            <w:r w:rsidRPr="009971FC">
              <w:rPr>
                <w:lang w:val="en-GB"/>
              </w:rPr>
              <w:t xml:space="preserve"> de pays</w:t>
            </w:r>
          </w:p>
        </w:tc>
        <w:tc>
          <w:tcPr>
            <w:tcW w:w="4958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Pour l'acheminement des appels internationaux à destination des Seychelles</w:t>
            </w:r>
          </w:p>
        </w:tc>
      </w:tr>
      <w:tr w:rsidR="009971FC" w:rsidRPr="00B638EE" w:rsidTr="00611993">
        <w:trPr>
          <w:jc w:val="center"/>
        </w:trPr>
        <w:tc>
          <w:tcPr>
            <w:tcW w:w="1599" w:type="dxa"/>
            <w:vAlign w:val="center"/>
          </w:tcPr>
          <w:p w:rsidR="009971FC" w:rsidRPr="009971FC" w:rsidRDefault="009971FC" w:rsidP="00863B1E">
            <w:pPr>
              <w:pStyle w:val="Tabletext0"/>
              <w:rPr>
                <w:lang w:val="en-GB"/>
              </w:rPr>
            </w:pPr>
            <w:r w:rsidRPr="009971FC">
              <w:rPr>
                <w:lang w:val="en-GB"/>
              </w:rPr>
              <w:t>89248XX</w:t>
            </w:r>
          </w:p>
        </w:tc>
        <w:tc>
          <w:tcPr>
            <w:tcW w:w="406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 identificateur d'entité émettrice (IIN)</w:t>
            </w:r>
          </w:p>
        </w:tc>
        <w:tc>
          <w:tcPr>
            <w:tcW w:w="4958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Pour l'assignation d'un numéro IIN pour les émetteurs de carte de taxation de télécommunications internationales</w:t>
            </w:r>
          </w:p>
        </w:tc>
      </w:tr>
      <w:tr w:rsidR="009971FC" w:rsidRPr="00B638EE" w:rsidTr="00611993">
        <w:trPr>
          <w:jc w:val="center"/>
        </w:trPr>
        <w:tc>
          <w:tcPr>
            <w:tcW w:w="1599" w:type="dxa"/>
            <w:vAlign w:val="center"/>
          </w:tcPr>
          <w:p w:rsidR="009971FC" w:rsidRPr="009971FC" w:rsidRDefault="009971FC" w:rsidP="00863B1E">
            <w:pPr>
              <w:pStyle w:val="Tabletext0"/>
              <w:rPr>
                <w:lang w:val="en-GB"/>
              </w:rPr>
            </w:pPr>
            <w:r w:rsidRPr="009971FC">
              <w:rPr>
                <w:lang w:val="en-GB"/>
              </w:rPr>
              <w:t>SC</w:t>
            </w:r>
          </w:p>
        </w:tc>
        <w:tc>
          <w:tcPr>
            <w:tcW w:w="4063" w:type="dxa"/>
            <w:vAlign w:val="center"/>
          </w:tcPr>
          <w:p w:rsidR="009971FC" w:rsidRPr="009971FC" w:rsidRDefault="009971FC" w:rsidP="009971FC">
            <w:pPr>
              <w:pStyle w:val="Tabletext0"/>
              <w:rPr>
                <w:lang w:val="en-GB"/>
              </w:rPr>
            </w:pPr>
            <w:proofErr w:type="spellStart"/>
            <w:r w:rsidRPr="009971FC">
              <w:rPr>
                <w:lang w:val="en-GB"/>
              </w:rPr>
              <w:t>Indicatif</w:t>
            </w:r>
            <w:proofErr w:type="spellEnd"/>
            <w:r w:rsidRPr="009971FC">
              <w:rPr>
                <w:lang w:val="en-GB"/>
              </w:rPr>
              <w:t xml:space="preserve"> de pays</w:t>
            </w:r>
          </w:p>
        </w:tc>
        <w:tc>
          <w:tcPr>
            <w:tcW w:w="4958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Pour les services publics de messagerie</w:t>
            </w:r>
          </w:p>
        </w:tc>
      </w:tr>
    </w:tbl>
    <w:p w:rsidR="009971FC" w:rsidRPr="009971FC" w:rsidRDefault="009971FC" w:rsidP="009971FC">
      <w:pPr>
        <w:rPr>
          <w:lang w:val="fr-FR"/>
        </w:rPr>
      </w:pPr>
    </w:p>
    <w:p w:rsidR="00DA4876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Cs/>
          <w:lang w:val="fr-FR"/>
        </w:rPr>
      </w:pPr>
      <w:bookmarkStart w:id="139" w:name="_Toc303674699"/>
      <w:bookmarkStart w:id="140" w:name="_Toc54067595"/>
      <w:bookmarkStart w:id="141" w:name="_Toc54067618"/>
      <w:r>
        <w:rPr>
          <w:bCs/>
          <w:lang w:val="fr-FR"/>
        </w:rPr>
        <w:br w:type="page"/>
      </w:r>
    </w:p>
    <w:p w:rsidR="009971FC" w:rsidRPr="009971FC" w:rsidRDefault="009971FC" w:rsidP="00545C84">
      <w:pPr>
        <w:spacing w:after="80"/>
        <w:jc w:val="center"/>
        <w:rPr>
          <w:bCs/>
          <w:lang w:val="fr-FR"/>
        </w:rPr>
      </w:pPr>
      <w:r w:rsidRPr="009971FC">
        <w:rPr>
          <w:bCs/>
          <w:lang w:val="fr-FR"/>
        </w:rPr>
        <w:lastRenderedPageBreak/>
        <w:t>Résumé du Plan national de numérotage</w:t>
      </w:r>
      <w:bookmarkEnd w:id="139"/>
      <w:bookmarkEnd w:id="140"/>
      <w:bookmarkEnd w:id="14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6"/>
        <w:gridCol w:w="7066"/>
      </w:tblGrid>
      <w:tr w:rsidR="009971FC" w:rsidRPr="009971FC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Services</w:t>
            </w:r>
          </w:p>
        </w:tc>
      </w:tr>
      <w:tr w:rsidR="009971FC" w:rsidRPr="00B638EE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0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Préfixe international de numérotation</w:t>
            </w:r>
          </w:p>
          <w:p w:rsidR="009971FC" w:rsidRPr="009971FC" w:rsidRDefault="009971FC" w:rsidP="009971FC">
            <w:pPr>
              <w:pStyle w:val="Tabletext0"/>
            </w:pPr>
            <w:r w:rsidRPr="009971FC">
              <w:t>Sélection de l’opérateur de service international</w:t>
            </w:r>
          </w:p>
          <w:p w:rsidR="009971FC" w:rsidRPr="009971FC" w:rsidRDefault="009971FC" w:rsidP="009971FC">
            <w:pPr>
              <w:pStyle w:val="Tabletext0"/>
            </w:pPr>
            <w:r w:rsidRPr="009971FC">
              <w:t>Code d’</w:t>
            </w:r>
            <w:proofErr w:type="spellStart"/>
            <w:r w:rsidRPr="009971FC">
              <w:t>accés</w:t>
            </w:r>
            <w:proofErr w:type="spellEnd"/>
            <w:r w:rsidRPr="009971FC">
              <w:t xml:space="preserve"> du RNIS international</w:t>
            </w:r>
          </w:p>
        </w:tc>
      </w:tr>
      <w:tr w:rsidR="009971FC" w:rsidRPr="00E87F58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</w:t>
            </w:r>
          </w:p>
        </w:tc>
        <w:tc>
          <w:tcPr>
            <w:tcW w:w="7066" w:type="dxa"/>
            <w:vAlign w:val="center"/>
          </w:tcPr>
          <w:p w:rsidR="009971FC" w:rsidRPr="009971FC" w:rsidRDefault="00966342" w:rsidP="00966342">
            <w:pPr>
              <w:pStyle w:val="Tabletext0"/>
            </w:pPr>
            <w:r>
              <w:t xml:space="preserve">Numérotation des numéros courte </w:t>
            </w:r>
            <w:r w:rsidR="009971FC" w:rsidRPr="009971FC">
              <w:t xml:space="preserve">(pour les services de </w:t>
            </w:r>
            <w:proofErr w:type="spellStart"/>
            <w:r w:rsidR="009971FC" w:rsidRPr="009971FC">
              <w:t>telecommunications</w:t>
            </w:r>
            <w:proofErr w:type="spellEnd"/>
            <w:r w:rsidR="009971FC" w:rsidRPr="009971FC">
              <w:t xml:space="preserve"> orientés vers le client. Par exemple service d’aide au client et services d’annuaire)</w:t>
            </w:r>
          </w:p>
        </w:tc>
      </w:tr>
      <w:tr w:rsidR="009971FC" w:rsidRPr="00B638EE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2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 (y compris services pour cellulaire fixe)</w:t>
            </w:r>
          </w:p>
        </w:tc>
      </w:tr>
      <w:tr w:rsidR="009971FC" w:rsidRPr="009971FC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3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Réservé pour développement futur</w:t>
            </w:r>
          </w:p>
        </w:tc>
      </w:tr>
      <w:tr w:rsidR="009971FC" w:rsidRPr="009971FC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4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66342">
            <w:pPr>
              <w:pStyle w:val="Tabletext0"/>
            </w:pPr>
            <w:r w:rsidRPr="009971FC">
              <w:t xml:space="preserve">Services </w:t>
            </w:r>
            <w:r w:rsidR="00966342">
              <w:t>f</w:t>
            </w:r>
            <w:r w:rsidRPr="009971FC">
              <w:t>ixe</w:t>
            </w:r>
          </w:p>
        </w:tc>
      </w:tr>
      <w:tr w:rsidR="009971FC" w:rsidRPr="009971FC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5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Réservé pour développement futur</w:t>
            </w:r>
          </w:p>
        </w:tc>
      </w:tr>
      <w:tr w:rsidR="009971FC" w:rsidRPr="009971FC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Services fixes </w:t>
            </w:r>
            <w:proofErr w:type="spellStart"/>
            <w:r w:rsidRPr="009971FC">
              <w:t>VoIP</w:t>
            </w:r>
            <w:proofErr w:type="spellEnd"/>
            <w:r w:rsidRPr="009971FC">
              <w:rPr>
                <w:vertAlign w:val="superscript"/>
              </w:rPr>
              <w:footnoteReference w:id="1"/>
            </w:r>
          </w:p>
        </w:tc>
      </w:tr>
      <w:tr w:rsidR="009971FC" w:rsidRPr="009971FC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7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Réservé pour développement futur</w:t>
            </w:r>
          </w:p>
        </w:tc>
      </w:tr>
      <w:tr w:rsidR="009971FC" w:rsidRPr="00B638EE" w:rsidTr="00966342">
        <w:trPr>
          <w:cantSplit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8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Services libre-appel et futures services possibles</w:t>
            </w:r>
          </w:p>
        </w:tc>
      </w:tr>
      <w:tr w:rsidR="009971FC" w:rsidRPr="00B638EE" w:rsidTr="00966342">
        <w:trPr>
          <w:cantSplit/>
          <w:trHeight w:val="475"/>
          <w:jc w:val="center"/>
        </w:trPr>
        <w:tc>
          <w:tcPr>
            <w:tcW w:w="200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</w:t>
            </w:r>
          </w:p>
        </w:tc>
        <w:tc>
          <w:tcPr>
            <w:tcW w:w="7066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 Kiosque</w:t>
            </w:r>
          </w:p>
          <w:p w:rsidR="009971FC" w:rsidRPr="009971FC" w:rsidRDefault="009971FC" w:rsidP="009971FC">
            <w:pPr>
              <w:pStyle w:val="Tabletext0"/>
            </w:pPr>
            <w:r w:rsidRPr="009971FC">
              <w:t>(Numéros courts pour les services</w:t>
            </w:r>
            <w:r w:rsidR="008E4E44">
              <w:t xml:space="preserve"> </w:t>
            </w:r>
            <w:r w:rsidRPr="009971FC">
              <w:t>VAS</w:t>
            </w:r>
            <w:r w:rsidRPr="009971FC">
              <w:rPr>
                <w:vertAlign w:val="superscript"/>
              </w:rPr>
              <w:footnoteReference w:id="2"/>
            </w:r>
            <w:r w:rsidRPr="009971FC">
              <w:t xml:space="preserve"> SMS</w:t>
            </w:r>
            <w:r w:rsidRPr="009971FC">
              <w:rPr>
                <w:vertAlign w:val="superscript"/>
              </w:rPr>
              <w:footnoteReference w:id="3"/>
            </w:r>
            <w:r w:rsidRPr="009971FC">
              <w:t>/MMS</w:t>
            </w:r>
            <w:r w:rsidRPr="009971FC">
              <w:rPr>
                <w:vertAlign w:val="superscript"/>
              </w:rPr>
              <w:footnoteReference w:id="4"/>
            </w:r>
            <w:r w:rsidRPr="009971FC">
              <w:t xml:space="preserve"> et Services </w:t>
            </w:r>
            <w:proofErr w:type="spellStart"/>
            <w:r w:rsidRPr="009971FC">
              <w:t>audiotexte</w:t>
            </w:r>
            <w:proofErr w:type="spellEnd"/>
            <w:r w:rsidRPr="009971FC">
              <w:t>)</w:t>
            </w:r>
          </w:p>
          <w:p w:rsidR="009971FC" w:rsidRPr="009971FC" w:rsidRDefault="009971FC" w:rsidP="009971FC">
            <w:pPr>
              <w:pStyle w:val="Tabletext0"/>
            </w:pPr>
            <w:r w:rsidRPr="009971FC">
              <w:t>Services d’urgence</w:t>
            </w:r>
          </w:p>
          <w:p w:rsidR="009971FC" w:rsidRPr="009971FC" w:rsidRDefault="009971FC" w:rsidP="00966342">
            <w:pPr>
              <w:pStyle w:val="Tabletext0"/>
            </w:pPr>
            <w:r w:rsidRPr="009971FC">
              <w:t>(Note</w:t>
            </w:r>
            <w:r w:rsidR="00966342">
              <w:t xml:space="preserve"> –</w:t>
            </w:r>
            <w:r w:rsidRPr="009971FC">
              <w:t xml:space="preserve"> Le reste de la série “99” est</w:t>
            </w:r>
            <w:r w:rsidR="002C2803">
              <w:t xml:space="preserve"> </w:t>
            </w:r>
            <w:r w:rsidRPr="009971FC">
              <w:t>réservé afin de garantir l’intégrité de “999”.)</w:t>
            </w:r>
          </w:p>
        </w:tc>
      </w:tr>
    </w:tbl>
    <w:p w:rsidR="009971FC" w:rsidRPr="009971FC" w:rsidRDefault="009971FC" w:rsidP="00863B1E">
      <w:pPr>
        <w:rPr>
          <w:lang w:val="fr-FR"/>
        </w:rPr>
      </w:pPr>
    </w:p>
    <w:tbl>
      <w:tblPr>
        <w:tblStyle w:val="TableGrid"/>
        <w:tblW w:w="9072" w:type="dxa"/>
        <w:jc w:val="center"/>
        <w:tblLook w:val="04A0"/>
      </w:tblPr>
      <w:tblGrid>
        <w:gridCol w:w="1962"/>
        <w:gridCol w:w="7110"/>
      </w:tblGrid>
      <w:tr w:rsidR="009971FC" w:rsidRPr="009971FC" w:rsidTr="00863B1E">
        <w:trPr>
          <w:jc w:val="center"/>
        </w:trPr>
        <w:tc>
          <w:tcPr>
            <w:tcW w:w="2115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  <w:tc>
          <w:tcPr>
            <w:tcW w:w="7965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Description</w:t>
            </w:r>
          </w:p>
        </w:tc>
      </w:tr>
      <w:tr w:rsidR="009971FC" w:rsidRPr="00B638EE" w:rsidTr="00863B1E">
        <w:trPr>
          <w:jc w:val="center"/>
        </w:trPr>
        <w:tc>
          <w:tcPr>
            <w:tcW w:w="2115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7965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Attribué à aucun opérateur / fournisseur de service</w:t>
            </w:r>
          </w:p>
        </w:tc>
      </w:tr>
      <w:tr w:rsidR="009971FC" w:rsidRPr="009971FC" w:rsidTr="00863B1E">
        <w:trPr>
          <w:jc w:val="center"/>
        </w:trPr>
        <w:tc>
          <w:tcPr>
            <w:tcW w:w="2115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7965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Réservé pour développement futur</w:t>
            </w:r>
          </w:p>
        </w:tc>
      </w:tr>
      <w:tr w:rsidR="009971FC" w:rsidRPr="00B638EE" w:rsidTr="00863B1E">
        <w:trPr>
          <w:jc w:val="center"/>
        </w:trPr>
        <w:tc>
          <w:tcPr>
            <w:tcW w:w="2115" w:type="dxa"/>
            <w:vAlign w:val="center"/>
          </w:tcPr>
          <w:p w:rsidR="009971FC" w:rsidRPr="002541B2" w:rsidRDefault="002541B2" w:rsidP="009971FC">
            <w:pPr>
              <w:pStyle w:val="Tabletext0"/>
              <w:rPr>
                <w:lang w:val="en-US"/>
              </w:rPr>
            </w:pPr>
            <w:r w:rsidRPr="002541B2">
              <w:rPr>
                <w:lang w:val="en-US"/>
              </w:rPr>
              <w:t xml:space="preserve">Indicating Operator </w:t>
            </w:r>
            <w:r w:rsidR="009971FC" w:rsidRPr="002541B2">
              <w:rPr>
                <w:lang w:val="en-US"/>
              </w:rPr>
              <w:t>(e.g. CWS)</w:t>
            </w:r>
          </w:p>
        </w:tc>
        <w:tc>
          <w:tcPr>
            <w:tcW w:w="7965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Attribué à un opérateur / fournisseur de service</w:t>
            </w:r>
          </w:p>
        </w:tc>
      </w:tr>
      <w:tr w:rsidR="009971FC" w:rsidRPr="00B638EE" w:rsidTr="00863B1E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E359EC" w:rsidRPr="009971FC">
              <w:t>ous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Attribué à tous les opérateurs / fournisseurs de service</w:t>
            </w:r>
          </w:p>
        </w:tc>
      </w:tr>
    </w:tbl>
    <w:p w:rsidR="009971FC" w:rsidRPr="009971FC" w:rsidRDefault="009971FC" w:rsidP="00545C84">
      <w:pPr>
        <w:spacing w:after="80"/>
        <w:jc w:val="center"/>
        <w:rPr>
          <w:lang w:val="fr-CH"/>
        </w:rPr>
      </w:pPr>
      <w:bookmarkStart w:id="142" w:name="_Toc54067598"/>
      <w:bookmarkStart w:id="143" w:name="_Toc54067621"/>
      <w:bookmarkStart w:id="144" w:name="_Toc303674701"/>
      <w:r w:rsidRPr="009971FC">
        <w:rPr>
          <w:lang w:val="fr-CH"/>
        </w:rPr>
        <w:t>Assignation de numéros commençant par le chiffre «0»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39"/>
        <w:gridCol w:w="1127"/>
        <w:gridCol w:w="4069"/>
        <w:gridCol w:w="1394"/>
        <w:gridCol w:w="1243"/>
      </w:tblGrid>
      <w:tr w:rsidR="009971FC" w:rsidRPr="009971FC" w:rsidTr="000A41A0">
        <w:trPr>
          <w:tblHeader/>
          <w:jc w:val="center"/>
        </w:trPr>
        <w:tc>
          <w:tcPr>
            <w:tcW w:w="1239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1127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4069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394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  <w:tc>
          <w:tcPr>
            <w:tcW w:w="1243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Catégorie</w:t>
            </w:r>
          </w:p>
        </w:tc>
      </w:tr>
      <w:tr w:rsidR="009971FC" w:rsidRPr="009971FC" w:rsidTr="000A41A0">
        <w:trPr>
          <w:tblHeader/>
          <w:jc w:val="center"/>
        </w:trPr>
        <w:tc>
          <w:tcPr>
            <w:tcW w:w="123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00</w:t>
            </w:r>
          </w:p>
        </w:tc>
        <w:tc>
          <w:tcPr>
            <w:tcW w:w="1127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2</w:t>
            </w:r>
          </w:p>
        </w:tc>
        <w:tc>
          <w:tcPr>
            <w:tcW w:w="406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Préfixe international</w:t>
            </w:r>
          </w:p>
        </w:tc>
        <w:tc>
          <w:tcPr>
            <w:tcW w:w="139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243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0A41A0">
        <w:trPr>
          <w:tblHeader/>
          <w:jc w:val="center"/>
        </w:trPr>
        <w:tc>
          <w:tcPr>
            <w:tcW w:w="123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01</w:t>
            </w:r>
          </w:p>
        </w:tc>
        <w:tc>
          <w:tcPr>
            <w:tcW w:w="1127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2</w:t>
            </w:r>
          </w:p>
        </w:tc>
        <w:tc>
          <w:tcPr>
            <w:tcW w:w="406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Indicatif d'accès à une passerelle internationale</w:t>
            </w:r>
          </w:p>
        </w:tc>
        <w:tc>
          <w:tcPr>
            <w:tcW w:w="139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  <w:r w:rsidR="000A41A0">
              <w:t>*</w:t>
            </w:r>
          </w:p>
        </w:tc>
        <w:tc>
          <w:tcPr>
            <w:tcW w:w="1243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0A41A0">
        <w:trPr>
          <w:tblHeader/>
          <w:jc w:val="center"/>
        </w:trPr>
        <w:tc>
          <w:tcPr>
            <w:tcW w:w="123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010</w:t>
            </w:r>
          </w:p>
        </w:tc>
        <w:tc>
          <w:tcPr>
            <w:tcW w:w="1127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406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Indicatif d'accès international RNIS</w:t>
            </w:r>
          </w:p>
        </w:tc>
        <w:tc>
          <w:tcPr>
            <w:tcW w:w="139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243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0A41A0">
        <w:trPr>
          <w:tblHeader/>
          <w:jc w:val="center"/>
        </w:trPr>
        <w:tc>
          <w:tcPr>
            <w:tcW w:w="123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02</w:t>
            </w:r>
          </w:p>
        </w:tc>
        <w:tc>
          <w:tcPr>
            <w:tcW w:w="1127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2</w:t>
            </w:r>
          </w:p>
        </w:tc>
        <w:tc>
          <w:tcPr>
            <w:tcW w:w="406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Indicatif d'accès à une passerelle internationale</w:t>
            </w:r>
          </w:p>
        </w:tc>
        <w:tc>
          <w:tcPr>
            <w:tcW w:w="139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  <w:tc>
          <w:tcPr>
            <w:tcW w:w="1243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0A41A0">
        <w:trPr>
          <w:tblHeader/>
          <w:jc w:val="center"/>
        </w:trPr>
        <w:tc>
          <w:tcPr>
            <w:tcW w:w="123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0(3-9)</w:t>
            </w:r>
          </w:p>
        </w:tc>
        <w:tc>
          <w:tcPr>
            <w:tcW w:w="1127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2</w:t>
            </w:r>
          </w:p>
        </w:tc>
        <w:tc>
          <w:tcPr>
            <w:tcW w:w="406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 pour développement futur</w:t>
            </w:r>
          </w:p>
        </w:tc>
        <w:tc>
          <w:tcPr>
            <w:tcW w:w="139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243" w:type="dxa"/>
          </w:tcPr>
          <w:p w:rsidR="009971FC" w:rsidRPr="009971FC" w:rsidRDefault="009971FC" w:rsidP="005963D0">
            <w:pPr>
              <w:pStyle w:val="Tabletext0"/>
              <w:jc w:val="center"/>
            </w:pPr>
            <w:r w:rsidRPr="009971FC">
              <w:t>–</w:t>
            </w:r>
          </w:p>
        </w:tc>
      </w:tr>
    </w:tbl>
    <w:p w:rsidR="009971FC" w:rsidRPr="009971FC" w:rsidRDefault="009971FC" w:rsidP="009971FC"/>
    <w:tbl>
      <w:tblPr>
        <w:tblW w:w="9072" w:type="dxa"/>
        <w:jc w:val="center"/>
        <w:tblLook w:val="01E0"/>
      </w:tblPr>
      <w:tblGrid>
        <w:gridCol w:w="1543"/>
        <w:gridCol w:w="7529"/>
      </w:tblGrid>
      <w:tr w:rsidR="009971FC" w:rsidRPr="00B638EE" w:rsidTr="004E748D">
        <w:trPr>
          <w:tblHeader/>
          <w:jc w:val="center"/>
        </w:trPr>
        <w:tc>
          <w:tcPr>
            <w:tcW w:w="1618" w:type="dxa"/>
          </w:tcPr>
          <w:p w:rsidR="009971FC" w:rsidRPr="009971FC" w:rsidRDefault="009971FC" w:rsidP="009971FC">
            <w:proofErr w:type="spellStart"/>
            <w:r w:rsidRPr="009971FC">
              <w:t>Catégorie</w:t>
            </w:r>
            <w:proofErr w:type="spellEnd"/>
            <w:r w:rsidRPr="009971FC">
              <w:t xml:space="preserve"> 1</w:t>
            </w:r>
          </w:p>
        </w:tc>
        <w:tc>
          <w:tcPr>
            <w:tcW w:w="8364" w:type="dxa"/>
          </w:tcPr>
          <w:p w:rsidR="009971FC" w:rsidRPr="009971FC" w:rsidRDefault="009971FC" w:rsidP="009971FC">
            <w:pPr>
              <w:rPr>
                <w:lang w:val="fr-CH"/>
              </w:rPr>
            </w:pPr>
            <w:r w:rsidRPr="009971FC">
              <w:rPr>
                <w:lang w:val="fr-CH"/>
              </w:rPr>
              <w:t>Indicatifs universellement accessibles et universellement attribués à tous les opérateurs</w:t>
            </w:r>
          </w:p>
        </w:tc>
      </w:tr>
      <w:tr w:rsidR="009971FC" w:rsidRPr="00B638EE" w:rsidTr="004E748D">
        <w:trPr>
          <w:tblHeader/>
          <w:jc w:val="center"/>
        </w:trPr>
        <w:tc>
          <w:tcPr>
            <w:tcW w:w="1618" w:type="dxa"/>
          </w:tcPr>
          <w:p w:rsidR="009971FC" w:rsidRPr="009971FC" w:rsidRDefault="009971FC" w:rsidP="009971FC">
            <w:proofErr w:type="spellStart"/>
            <w:r w:rsidRPr="009971FC">
              <w:t>Catégorie</w:t>
            </w:r>
            <w:proofErr w:type="spellEnd"/>
            <w:r w:rsidRPr="009971FC">
              <w:t xml:space="preserve"> 2</w:t>
            </w:r>
          </w:p>
        </w:tc>
        <w:tc>
          <w:tcPr>
            <w:tcW w:w="8364" w:type="dxa"/>
          </w:tcPr>
          <w:p w:rsidR="009971FC" w:rsidRPr="009971FC" w:rsidRDefault="009971FC" w:rsidP="009971FC">
            <w:pPr>
              <w:rPr>
                <w:lang w:val="fr-CH"/>
              </w:rPr>
            </w:pPr>
            <w:r w:rsidRPr="009971FC">
              <w:rPr>
                <w:lang w:val="fr-CH"/>
              </w:rPr>
              <w:t>Indicatifs universellement accessibles et universellement attribués à un seul opérateur</w:t>
            </w:r>
          </w:p>
        </w:tc>
      </w:tr>
      <w:tr w:rsidR="009971FC" w:rsidRPr="00B638EE" w:rsidTr="004E748D">
        <w:trPr>
          <w:tblHeader/>
          <w:jc w:val="center"/>
        </w:trPr>
        <w:tc>
          <w:tcPr>
            <w:tcW w:w="1618" w:type="dxa"/>
          </w:tcPr>
          <w:p w:rsidR="009971FC" w:rsidRPr="009971FC" w:rsidRDefault="009971FC" w:rsidP="009971FC">
            <w:proofErr w:type="spellStart"/>
            <w:r w:rsidRPr="009971FC">
              <w:t>Catégorie</w:t>
            </w:r>
            <w:proofErr w:type="spellEnd"/>
            <w:r w:rsidRPr="009971FC">
              <w:t xml:space="preserve"> 3</w:t>
            </w:r>
          </w:p>
        </w:tc>
        <w:tc>
          <w:tcPr>
            <w:tcW w:w="8364" w:type="dxa"/>
          </w:tcPr>
          <w:p w:rsidR="009971FC" w:rsidRPr="009971FC" w:rsidRDefault="009971FC" w:rsidP="009971FC">
            <w:pPr>
              <w:rPr>
                <w:lang w:val="fr-CH"/>
              </w:rPr>
            </w:pPr>
            <w:r w:rsidRPr="009971FC">
              <w:rPr>
                <w:lang w:val="fr-CH"/>
              </w:rPr>
              <w:t>Indicatifs qui ne seront généralement pas transmis d'un réseau à l'autre et qui sont universellement attribués à tous les opérateurs</w:t>
            </w:r>
          </w:p>
        </w:tc>
      </w:tr>
    </w:tbl>
    <w:bookmarkEnd w:id="142"/>
    <w:bookmarkEnd w:id="143"/>
    <w:bookmarkEnd w:id="144"/>
    <w:p w:rsidR="009971FC" w:rsidRPr="009971FC" w:rsidRDefault="009971FC" w:rsidP="00A53ECA">
      <w:pPr>
        <w:rPr>
          <w:lang w:val="fr-CH"/>
        </w:rPr>
      </w:pPr>
      <w:r w:rsidRPr="009971FC">
        <w:rPr>
          <w:lang w:val="fr-FR"/>
        </w:rPr>
        <w:t>*</w:t>
      </w:r>
      <w:r w:rsidR="00A53ECA">
        <w:rPr>
          <w:lang w:val="fr-FR"/>
        </w:rPr>
        <w:tab/>
      </w:r>
      <w:r w:rsidRPr="009971FC">
        <w:rPr>
          <w:lang w:val="fr-FR"/>
        </w:rPr>
        <w:t xml:space="preserve">Se </w:t>
      </w:r>
      <w:proofErr w:type="spellStart"/>
      <w:r w:rsidRPr="009971FC">
        <w:rPr>
          <w:lang w:val="fr-FR"/>
        </w:rPr>
        <w:t>réferer</w:t>
      </w:r>
      <w:proofErr w:type="spellEnd"/>
      <w:r w:rsidRPr="009971FC">
        <w:rPr>
          <w:lang w:val="fr-FR"/>
        </w:rPr>
        <w:t xml:space="preserve"> à l’Appendice A.1</w:t>
      </w:r>
      <w:r w:rsidR="002C2803">
        <w:rPr>
          <w:lang w:val="fr-FR"/>
        </w:rPr>
        <w:t xml:space="preserve"> </w:t>
      </w:r>
      <w:r w:rsidRPr="009971FC">
        <w:rPr>
          <w:lang w:val="fr-FR"/>
        </w:rPr>
        <w:t xml:space="preserve"> </w:t>
      </w:r>
      <w:r w:rsidRPr="009971FC">
        <w:rPr>
          <w:lang w:val="fr-CH"/>
        </w:rPr>
        <w:t xml:space="preserve">Dénominations complètes des opérateurs </w:t>
      </w:r>
    </w:p>
    <w:p w:rsidR="009971FC" w:rsidRPr="009971FC" w:rsidRDefault="009971FC" w:rsidP="00545C84">
      <w:pPr>
        <w:spacing w:after="80"/>
        <w:jc w:val="center"/>
        <w:rPr>
          <w:lang w:val="fr-CH"/>
        </w:rPr>
      </w:pPr>
      <w:r w:rsidRPr="009971FC">
        <w:rPr>
          <w:lang w:val="fr-CH"/>
        </w:rPr>
        <w:lastRenderedPageBreak/>
        <w:t>Assignation de numéros commençant par le chiffre «1»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7"/>
        <w:gridCol w:w="1007"/>
        <w:gridCol w:w="4272"/>
        <w:gridCol w:w="1487"/>
        <w:gridCol w:w="1259"/>
      </w:tblGrid>
      <w:tr w:rsidR="009971FC" w:rsidRPr="009971FC" w:rsidTr="004E748D">
        <w:trPr>
          <w:tblHeader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E145AB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C83055">
            <w:pPr>
              <w:pStyle w:val="Tablehead0"/>
            </w:pPr>
            <w:r w:rsidRPr="009971FC">
              <w:t>Catégorie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100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  <w:vAlign w:val="center"/>
          </w:tcPr>
          <w:p w:rsidR="009971FC" w:rsidRPr="009971FC" w:rsidRDefault="009971FC" w:rsidP="000A41A0">
            <w:pPr>
              <w:pStyle w:val="Tabletext0"/>
            </w:pPr>
            <w:r w:rsidRPr="009971FC">
              <w:t>Assistance d'un opérateur international de transit/service prépayé IVR</w:t>
            </w:r>
            <w:r w:rsidRPr="009971FC">
              <w:rPr>
                <w:vertAlign w:val="superscript"/>
              </w:rPr>
              <w:footnoteReference w:id="5"/>
            </w:r>
            <w:r w:rsidR="000A41A0">
              <w:t>/Menu administratif</w:t>
            </w:r>
            <w:r w:rsidRPr="009971FC">
              <w:t xml:space="preserve"> pour le service clientèle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101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Messagerie vocale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102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Messagerie vocale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103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Messagerie vocale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CWS/AIRTEL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104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Carte d’appel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KOKONET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105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Assistance d'un opérateur national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106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RTPC Carte d'appel à prépaiement (autre île)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107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Carte d'appel à prépaiement internationale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108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RTPC Carte d'appel à prépaiement (</w:t>
            </w:r>
            <w:r w:rsidR="000A41A0" w:rsidRPr="009971FC">
              <w:t>î</w:t>
            </w:r>
            <w:r w:rsidRPr="009971FC">
              <w:t>le principale)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109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à prépaiement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110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à prépaiement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111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proofErr w:type="spellStart"/>
            <w:r w:rsidRPr="009971FC">
              <w:t>Reservé</w:t>
            </w:r>
            <w:proofErr w:type="spellEnd"/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112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Numéro d'urgence pour tous les services mobiles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1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11(3-6)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117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RTPC à prépaiement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11(8-9)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120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Dérangements (clients d'entreprises)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121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Dérangements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trHeight w:val="251"/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122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Information pour les clients du service mobile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123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Assistance aux utilisateurs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C83055">
            <w:pPr>
              <w:pStyle w:val="Tabletext0"/>
              <w:keepNext/>
            </w:pPr>
            <w:r w:rsidRPr="009971FC">
              <w:t>124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keepNext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C83055">
            <w:pPr>
              <w:pStyle w:val="Tabletext0"/>
              <w:keepNext/>
            </w:pPr>
            <w:r w:rsidRPr="009971FC">
              <w:t>Information de facturation pour les clients du service mobile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C83055">
            <w:pPr>
              <w:pStyle w:val="Tabletext0"/>
              <w:keepNext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keepNext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C83055">
            <w:pPr>
              <w:pStyle w:val="Tabletext0"/>
              <w:keepNext/>
            </w:pPr>
            <w:r w:rsidRPr="009971FC">
              <w:t>125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keepNext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C83055">
            <w:pPr>
              <w:pStyle w:val="Tabletext0"/>
              <w:keepNext/>
            </w:pPr>
            <w:r w:rsidRPr="009971FC">
              <w:t>Assistance aux utilisateurs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C83055">
            <w:pPr>
              <w:pStyle w:val="Tabletext0"/>
              <w:keepNext/>
            </w:pPr>
            <w:r w:rsidRPr="009971FC">
              <w:t>AIRTEL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keepNext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126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Dérangements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127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Information pour les clients du service mobile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128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Assistance aux utilisateurs/Service des réclamations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INTELVISION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129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130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131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proofErr w:type="spellStart"/>
            <w:r w:rsidRPr="009971FC">
              <w:t>Phonogram</w:t>
            </w:r>
            <w:proofErr w:type="spellEnd"/>
            <w:r w:rsidRPr="009971FC">
              <w:t xml:space="preserve"> international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E359EC" w:rsidRPr="009971FC">
              <w:t>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1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132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133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Police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E359EC" w:rsidRPr="009971FC">
              <w:t>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1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13(4-9)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140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Horloge parlante (anglais)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E359EC" w:rsidRPr="009971FC">
              <w:t>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141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Horloge parlante (français)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E359EC" w:rsidRPr="009971FC">
              <w:t>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142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Horloge parlante (créole)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E359EC" w:rsidRPr="009971FC">
              <w:t>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14(3-9)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150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7C64CB">
            <w:pPr>
              <w:pStyle w:val="Tabletext0"/>
              <w:keepNext/>
            </w:pPr>
            <w:r w:rsidRPr="009971FC">
              <w:lastRenderedPageBreak/>
              <w:t>151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7C64CB">
            <w:pPr>
              <w:pStyle w:val="Tabletext0"/>
              <w:keepNext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7C64CB">
            <w:pPr>
              <w:pStyle w:val="Tabletext0"/>
              <w:keepNext/>
            </w:pPr>
            <w:r w:rsidRPr="009971FC">
              <w:t>Services d'assistance médicale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7C64CB">
            <w:pPr>
              <w:pStyle w:val="Tabletext0"/>
              <w:keepNext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7C64CB">
            <w:pPr>
              <w:pStyle w:val="Tabletext0"/>
              <w:keepNext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7C64CB">
            <w:pPr>
              <w:pStyle w:val="Tabletext0"/>
              <w:keepNext/>
            </w:pPr>
            <w:r w:rsidRPr="009971FC">
              <w:t>15(2-4)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7C64CB">
            <w:pPr>
              <w:pStyle w:val="Tabletext0"/>
              <w:keepNext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7C64CB">
            <w:pPr>
              <w:pStyle w:val="Tabletext0"/>
              <w:keepNext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7C64CB">
            <w:pPr>
              <w:pStyle w:val="Tabletext0"/>
              <w:keepNext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7C64CB">
            <w:pPr>
              <w:pStyle w:val="Tabletext0"/>
              <w:keepNext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155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Compte mobile</w:t>
            </w:r>
          </w:p>
        </w:tc>
        <w:tc>
          <w:tcPr>
            <w:tcW w:w="1800" w:type="dxa"/>
            <w:vAlign w:val="center"/>
          </w:tcPr>
          <w:p w:rsidR="009971FC" w:rsidRPr="009971FC" w:rsidRDefault="00E359E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15(6-9)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160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16(1-9)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Essai</w:t>
            </w:r>
          </w:p>
        </w:tc>
        <w:tc>
          <w:tcPr>
            <w:tcW w:w="1800" w:type="dxa"/>
            <w:vAlign w:val="center"/>
          </w:tcPr>
          <w:p w:rsidR="009971FC" w:rsidRPr="009971FC" w:rsidRDefault="00E359E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170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171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Contrôle de maintenance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172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Sous-identification de l'opérateur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173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Tonalité d'avertissement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3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174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Indicatif d'accès de l'opérateur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175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Indicatif d'accès de l'opérateur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176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Indicatif d'accès de l'opérateur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INTELVISION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17(7-9)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180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181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Consultation d'annuaire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18(2-4)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185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Consultation d'annuaire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18(6-7)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trHeight w:val="233"/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188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Consultation d'annuaire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INTELVISION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189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190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191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de réveil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19(2-4)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195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de réveil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  <w:r w:rsidRPr="009971FC">
              <w:t>2</w:t>
            </w:r>
          </w:p>
        </w:tc>
      </w:tr>
      <w:tr w:rsidR="009971FC" w:rsidRPr="009971FC" w:rsidTr="004E748D">
        <w:trPr>
          <w:jc w:val="center"/>
        </w:trPr>
        <w:tc>
          <w:tcPr>
            <w:tcW w:w="124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19(6-9)</w:t>
            </w:r>
          </w:p>
        </w:tc>
        <w:tc>
          <w:tcPr>
            <w:tcW w:w="1200" w:type="dxa"/>
            <w:vAlign w:val="center"/>
          </w:tcPr>
          <w:p w:rsidR="009971FC" w:rsidRPr="009971FC" w:rsidRDefault="009971FC" w:rsidP="00E145AB">
            <w:pPr>
              <w:pStyle w:val="Tabletext0"/>
              <w:jc w:val="center"/>
            </w:pPr>
          </w:p>
        </w:tc>
        <w:tc>
          <w:tcPr>
            <w:tcW w:w="528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515" w:type="dxa"/>
            <w:vAlign w:val="center"/>
          </w:tcPr>
          <w:p w:rsidR="009971FC" w:rsidRPr="009971FC" w:rsidRDefault="009971FC" w:rsidP="00C83055">
            <w:pPr>
              <w:pStyle w:val="Tabletext0"/>
              <w:jc w:val="center"/>
            </w:pPr>
          </w:p>
        </w:tc>
      </w:tr>
    </w:tbl>
    <w:p w:rsidR="009971FC" w:rsidRPr="009971FC" w:rsidRDefault="009971FC" w:rsidP="009971FC">
      <w:pPr>
        <w:rPr>
          <w:lang w:val="fr-FR"/>
        </w:rPr>
      </w:pPr>
      <w:bookmarkStart w:id="145" w:name="_Toc54067600"/>
      <w:bookmarkStart w:id="146" w:name="_Toc54067623"/>
      <w:r w:rsidRPr="009971FC">
        <w:rPr>
          <w:lang w:val="fr-FR"/>
        </w:rPr>
        <w:t>Catégorie 1</w:t>
      </w:r>
      <w:r w:rsidRPr="009971FC">
        <w:rPr>
          <w:lang w:val="fr-FR"/>
        </w:rPr>
        <w:tab/>
      </w:r>
      <w:r w:rsidRPr="009971FC">
        <w:rPr>
          <w:lang w:val="fr-CH"/>
        </w:rPr>
        <w:t>Indicatifs universellement accessibles et universellement attribués à tous les opérateurs</w:t>
      </w:r>
      <w:r w:rsidRPr="009971FC">
        <w:rPr>
          <w:lang w:val="fr-FR"/>
        </w:rPr>
        <w:t xml:space="preserve"> </w:t>
      </w:r>
    </w:p>
    <w:p w:rsidR="009971FC" w:rsidRPr="009971FC" w:rsidRDefault="009971FC" w:rsidP="009971FC">
      <w:pPr>
        <w:rPr>
          <w:lang w:val="fr-FR"/>
        </w:rPr>
      </w:pPr>
      <w:r w:rsidRPr="009971FC">
        <w:rPr>
          <w:lang w:val="fr-FR"/>
        </w:rPr>
        <w:t xml:space="preserve">Catégorie 2 </w:t>
      </w:r>
      <w:r w:rsidRPr="009971FC">
        <w:rPr>
          <w:lang w:val="fr-FR"/>
        </w:rPr>
        <w:tab/>
      </w:r>
      <w:r w:rsidRPr="009971FC">
        <w:rPr>
          <w:lang w:val="fr-CH"/>
        </w:rPr>
        <w:t>Indicatifs universellement accessibles et universellement attribués à un seul opérateur</w:t>
      </w:r>
    </w:p>
    <w:p w:rsidR="009971FC" w:rsidRPr="009971FC" w:rsidRDefault="009971FC" w:rsidP="00131AEA">
      <w:pPr>
        <w:ind w:left="1276" w:hanging="1276"/>
        <w:rPr>
          <w:b/>
          <w:u w:val="single"/>
          <w:lang w:val="fr-FR"/>
        </w:rPr>
      </w:pPr>
      <w:r w:rsidRPr="009971FC">
        <w:rPr>
          <w:lang w:val="fr-FR"/>
        </w:rPr>
        <w:t>Catégorie 3</w:t>
      </w:r>
      <w:r w:rsidRPr="009971FC">
        <w:rPr>
          <w:lang w:val="fr-FR"/>
        </w:rPr>
        <w:tab/>
      </w:r>
      <w:r w:rsidRPr="009971FC">
        <w:rPr>
          <w:lang w:val="fr-CH"/>
        </w:rPr>
        <w:t>Indicatifs qui ne seront généralement pas transmis d'un réseau à l'autre et qui sont universellement attribués à tous les opérateurs</w:t>
      </w:r>
      <w:r w:rsidRPr="009971FC">
        <w:rPr>
          <w:lang w:val="fr-FR"/>
        </w:rPr>
        <w:t xml:space="preserve"> </w:t>
      </w:r>
    </w:p>
    <w:bookmarkEnd w:id="145"/>
    <w:bookmarkEnd w:id="146"/>
    <w:p w:rsidR="00DA4876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9971FC" w:rsidRDefault="009971FC" w:rsidP="00545C84">
      <w:pPr>
        <w:spacing w:after="80"/>
        <w:jc w:val="center"/>
        <w:rPr>
          <w:lang w:val="fr-CH"/>
        </w:rPr>
      </w:pPr>
      <w:r w:rsidRPr="009971FC">
        <w:rPr>
          <w:lang w:val="fr-CH"/>
        </w:rPr>
        <w:lastRenderedPageBreak/>
        <w:t>Assignation de numéros commençant par le chiffre «2»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4"/>
        <w:gridCol w:w="1236"/>
        <w:gridCol w:w="5101"/>
        <w:gridCol w:w="1411"/>
      </w:tblGrid>
      <w:tr w:rsidR="009971FC" w:rsidRPr="009971FC" w:rsidTr="00131AEA">
        <w:trPr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4E748D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2(0-4)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25(0-4)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255(0-5)*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Cellulaire fixe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255(6-9)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25(6-9)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26(0-9)</w:t>
            </w:r>
            <w:bookmarkStart w:id="147" w:name="_GoBack"/>
            <w:bookmarkEnd w:id="147"/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27(0-7)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278(0-1)*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Cellulaire fixe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2782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2783*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Cellulaire fixe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278(4-9)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279(0-9)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28(0-9)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131AEA">
        <w:trPr>
          <w:jc w:val="center"/>
        </w:trPr>
        <w:tc>
          <w:tcPr>
            <w:tcW w:w="132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29(0-9)</w:t>
            </w:r>
          </w:p>
        </w:tc>
        <w:tc>
          <w:tcPr>
            <w:tcW w:w="1236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51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mobiles</w:t>
            </w:r>
          </w:p>
        </w:tc>
        <w:tc>
          <w:tcPr>
            <w:tcW w:w="141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</w:tbl>
    <w:p w:rsidR="009971FC" w:rsidRPr="009971FC" w:rsidRDefault="009971FC" w:rsidP="009971FC"/>
    <w:p w:rsidR="009971FC" w:rsidRPr="009971FC" w:rsidRDefault="009971FC" w:rsidP="009971FC">
      <w:pPr>
        <w:rPr>
          <w:lang w:val="fr-FR"/>
        </w:rPr>
      </w:pPr>
      <w:r w:rsidRPr="009971FC">
        <w:rPr>
          <w:lang w:val="fr-FR"/>
        </w:rPr>
        <w:t>*</w:t>
      </w:r>
      <w:r w:rsidR="00DC74EC">
        <w:rPr>
          <w:lang w:val="fr-FR"/>
        </w:rPr>
        <w:tab/>
      </w:r>
      <w:r w:rsidRPr="009971FC">
        <w:rPr>
          <w:lang w:val="fr-FR"/>
        </w:rPr>
        <w:t>Noter que les services de cellulaire fixe pratiquent les mêmes tarifs que les</w:t>
      </w:r>
      <w:r w:rsidR="002D5D40">
        <w:rPr>
          <w:lang w:val="fr-FR"/>
        </w:rPr>
        <w:t xml:space="preserve"> services de ligne fixe.</w:t>
      </w:r>
    </w:p>
    <w:p w:rsidR="009971FC" w:rsidRDefault="009971FC" w:rsidP="00545C84">
      <w:pPr>
        <w:spacing w:after="80"/>
        <w:jc w:val="center"/>
        <w:rPr>
          <w:lang w:val="fr-CH"/>
        </w:rPr>
      </w:pPr>
      <w:bookmarkStart w:id="148" w:name="_Toc54067601"/>
      <w:bookmarkStart w:id="149" w:name="_Toc54067624"/>
      <w:bookmarkStart w:id="150" w:name="_Toc303674704"/>
      <w:r w:rsidRPr="004E748D">
        <w:rPr>
          <w:lang w:val="fr-CH"/>
        </w:rPr>
        <w:t>Assignation de numéros commençant par le chiffre «3»</w:t>
      </w:r>
      <w:bookmarkEnd w:id="148"/>
      <w:bookmarkEnd w:id="149"/>
      <w:bookmarkEnd w:id="15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260"/>
        <w:gridCol w:w="5220"/>
        <w:gridCol w:w="1440"/>
      </w:tblGrid>
      <w:tr w:rsidR="009971FC" w:rsidRPr="009971FC" w:rsidTr="00DC74E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DC74EC">
        <w:trPr>
          <w:jc w:val="center"/>
        </w:trPr>
        <w:tc>
          <w:tcPr>
            <w:tcW w:w="118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3(0-9)</w:t>
            </w:r>
          </w:p>
        </w:tc>
        <w:tc>
          <w:tcPr>
            <w:tcW w:w="1260" w:type="dxa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522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44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</w:tbl>
    <w:p w:rsidR="009971FC" w:rsidRPr="009971FC" w:rsidRDefault="009971FC" w:rsidP="00DC74EC"/>
    <w:p w:rsidR="009971FC" w:rsidRDefault="009971FC" w:rsidP="00545C84">
      <w:pPr>
        <w:spacing w:after="80"/>
        <w:jc w:val="center"/>
        <w:rPr>
          <w:lang w:val="fr-CH"/>
        </w:rPr>
      </w:pPr>
      <w:bookmarkStart w:id="151" w:name="_Toc54067602"/>
      <w:bookmarkStart w:id="152" w:name="_Toc54067625"/>
      <w:bookmarkStart w:id="153" w:name="_Toc303674705"/>
      <w:r w:rsidRPr="009971FC">
        <w:rPr>
          <w:lang w:val="fr-CH"/>
        </w:rPr>
        <w:t>Assignation de numéros commençant par le chiffre «4»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260"/>
        <w:gridCol w:w="4860"/>
        <w:gridCol w:w="1800"/>
      </w:tblGrid>
      <w:tr w:rsidR="009971FC" w:rsidRPr="009971FC" w:rsidTr="00DC74EC">
        <w:trPr>
          <w:trHeight w:val="57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51"/>
          <w:bookmarkEnd w:id="152"/>
          <w:bookmarkEnd w:id="153"/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DC74EC">
        <w:trPr>
          <w:trHeight w:val="270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:rsidR="009971FC" w:rsidRPr="009971FC" w:rsidRDefault="009971FC" w:rsidP="009971FC">
            <w:pPr>
              <w:pStyle w:val="Tabletext0"/>
            </w:pPr>
            <w:r w:rsidRPr="009971FC">
              <w:t>4(0-1)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Services fixes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DC74EC">
        <w:trPr>
          <w:trHeight w:val="270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42(0-9)*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Services fixes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DC74EC">
        <w:trPr>
          <w:trHeight w:val="270"/>
          <w:jc w:val="center"/>
        </w:trPr>
        <w:tc>
          <w:tcPr>
            <w:tcW w:w="118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43(0-9)</w:t>
            </w:r>
          </w:p>
        </w:tc>
        <w:tc>
          <w:tcPr>
            <w:tcW w:w="1260" w:type="dxa"/>
            <w:vAlign w:val="center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486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Services fixes</w:t>
            </w:r>
          </w:p>
        </w:tc>
        <w:tc>
          <w:tcPr>
            <w:tcW w:w="180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DC74EC">
        <w:trPr>
          <w:trHeight w:val="270"/>
          <w:jc w:val="center"/>
        </w:trPr>
        <w:tc>
          <w:tcPr>
            <w:tcW w:w="118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44(0-9)</w:t>
            </w:r>
          </w:p>
        </w:tc>
        <w:tc>
          <w:tcPr>
            <w:tcW w:w="1260" w:type="dxa"/>
            <w:vAlign w:val="center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486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Services fixes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INTELVISION</w:t>
            </w:r>
          </w:p>
        </w:tc>
      </w:tr>
      <w:tr w:rsidR="009971FC" w:rsidRPr="009971FC" w:rsidTr="00DC74EC">
        <w:trPr>
          <w:trHeight w:val="270"/>
          <w:jc w:val="center"/>
        </w:trPr>
        <w:tc>
          <w:tcPr>
            <w:tcW w:w="118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45(0-9)</w:t>
            </w:r>
          </w:p>
        </w:tc>
        <w:tc>
          <w:tcPr>
            <w:tcW w:w="1260" w:type="dxa"/>
            <w:vAlign w:val="center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486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Services fixes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DC74EC">
        <w:trPr>
          <w:trHeight w:val="270"/>
          <w:jc w:val="center"/>
        </w:trPr>
        <w:tc>
          <w:tcPr>
            <w:tcW w:w="118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46(0-9)</w:t>
            </w:r>
          </w:p>
        </w:tc>
        <w:tc>
          <w:tcPr>
            <w:tcW w:w="1260" w:type="dxa"/>
            <w:vAlign w:val="center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486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Services fixes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DC74EC">
        <w:trPr>
          <w:trHeight w:val="270"/>
          <w:jc w:val="center"/>
        </w:trPr>
        <w:tc>
          <w:tcPr>
            <w:tcW w:w="1188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4(7-9)</w:t>
            </w:r>
          </w:p>
        </w:tc>
        <w:tc>
          <w:tcPr>
            <w:tcW w:w="1260" w:type="dxa"/>
            <w:vAlign w:val="center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486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Services fixes</w:t>
            </w:r>
          </w:p>
        </w:tc>
        <w:tc>
          <w:tcPr>
            <w:tcW w:w="1800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</w:tbl>
    <w:p w:rsidR="009971FC" w:rsidRPr="009971FC" w:rsidRDefault="009971FC" w:rsidP="009971FC">
      <w:pPr>
        <w:rPr>
          <w:lang w:val="fr-FR"/>
        </w:rPr>
      </w:pPr>
      <w:r w:rsidRPr="009971FC">
        <w:rPr>
          <w:lang w:val="fr-FR"/>
        </w:rPr>
        <w:t>*</w:t>
      </w:r>
      <w:r w:rsidRPr="009971FC">
        <w:rPr>
          <w:lang w:val="fr-FR"/>
        </w:rPr>
        <w:tab/>
        <w:t xml:space="preserve">NOTE – Les numéros avec les premiers chiffres </w:t>
      </w:r>
      <w:r w:rsidRPr="002D5D40">
        <w:rPr>
          <w:b/>
          <w:bCs/>
          <w:lang w:val="fr-FR"/>
        </w:rPr>
        <w:t>4229</w:t>
      </w:r>
      <w:r w:rsidRPr="009971FC">
        <w:rPr>
          <w:lang w:val="fr-FR"/>
        </w:rPr>
        <w:t xml:space="preserve"> sont utilisés pour avoir accès aux autres îles (</w:t>
      </w:r>
      <w:proofErr w:type="spellStart"/>
      <w:r w:rsidRPr="009971FC">
        <w:rPr>
          <w:i/>
          <w:iCs/>
          <w:lang w:val="fr-FR"/>
        </w:rPr>
        <w:t>Outer</w:t>
      </w:r>
      <w:proofErr w:type="spellEnd"/>
      <w:r w:rsidRPr="009971FC">
        <w:rPr>
          <w:i/>
          <w:iCs/>
          <w:lang w:val="fr-FR"/>
        </w:rPr>
        <w:t xml:space="preserve"> </w:t>
      </w:r>
      <w:proofErr w:type="spellStart"/>
      <w:r w:rsidRPr="009971FC">
        <w:rPr>
          <w:i/>
          <w:iCs/>
          <w:lang w:val="fr-FR"/>
        </w:rPr>
        <w:t>Islands</w:t>
      </w:r>
      <w:proofErr w:type="spellEnd"/>
      <w:r w:rsidRPr="009971FC">
        <w:rPr>
          <w:lang w:val="fr-FR"/>
        </w:rPr>
        <w:t>) et ont un tarif différent</w:t>
      </w:r>
      <w:r w:rsidR="002D5D40">
        <w:rPr>
          <w:lang w:val="fr-FR"/>
        </w:rPr>
        <w:t xml:space="preserve"> de celui</w:t>
      </w:r>
      <w:r w:rsidRPr="009971FC">
        <w:rPr>
          <w:lang w:val="fr-FR"/>
        </w:rPr>
        <w:t xml:space="preserve"> des services de ligne fixe offerts sur l’île principale des Seychelles</w:t>
      </w:r>
    </w:p>
    <w:p w:rsidR="009971FC" w:rsidRPr="009971FC" w:rsidRDefault="009971FC" w:rsidP="009971FC">
      <w:pPr>
        <w:rPr>
          <w:lang w:val="fr-FR"/>
        </w:rPr>
      </w:pPr>
      <w:bookmarkStart w:id="154" w:name="_Toc54067603"/>
      <w:bookmarkStart w:id="155" w:name="_Toc54067626"/>
      <w:bookmarkStart w:id="156" w:name="_Toc303674706"/>
    </w:p>
    <w:p w:rsidR="009971FC" w:rsidRPr="009971FC" w:rsidRDefault="009971FC" w:rsidP="002D5D40">
      <w:pPr>
        <w:keepNext/>
        <w:spacing w:after="80"/>
        <w:jc w:val="center"/>
        <w:rPr>
          <w:lang w:val="fr-CH"/>
        </w:rPr>
      </w:pPr>
      <w:r w:rsidRPr="009971FC">
        <w:rPr>
          <w:lang w:val="fr-CH"/>
        </w:rPr>
        <w:t>Assignation de numéros commençant par le chiffre «5»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712"/>
        <w:gridCol w:w="2492"/>
        <w:gridCol w:w="3037"/>
        <w:gridCol w:w="1831"/>
      </w:tblGrid>
      <w:tr w:rsidR="009971FC" w:rsidRPr="009971FC" w:rsidTr="004E748D">
        <w:trPr>
          <w:tblHeader/>
          <w:jc w:val="center"/>
        </w:trPr>
        <w:tc>
          <w:tcPr>
            <w:tcW w:w="1712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2492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3037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831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4E748D">
        <w:trPr>
          <w:jc w:val="center"/>
        </w:trPr>
        <w:tc>
          <w:tcPr>
            <w:tcW w:w="1712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5(0-9))</w:t>
            </w:r>
          </w:p>
        </w:tc>
        <w:tc>
          <w:tcPr>
            <w:tcW w:w="2492" w:type="dxa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303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3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bookmarkEnd w:id="154"/>
      <w:bookmarkEnd w:id="155"/>
      <w:bookmarkEnd w:id="156"/>
    </w:tbl>
    <w:p w:rsidR="009971FC" w:rsidRPr="009971FC" w:rsidRDefault="009971FC" w:rsidP="009971FC"/>
    <w:p w:rsidR="00DA4876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157" w:name="_Toc54067604"/>
      <w:bookmarkStart w:id="158" w:name="_Toc54067627"/>
      <w:bookmarkStart w:id="159" w:name="_Toc303674707"/>
      <w:r>
        <w:rPr>
          <w:lang w:val="fr-CH"/>
        </w:rPr>
        <w:br w:type="page"/>
      </w:r>
    </w:p>
    <w:p w:rsidR="009971FC" w:rsidRPr="009971FC" w:rsidRDefault="009971FC" w:rsidP="00545C84">
      <w:pPr>
        <w:spacing w:after="80"/>
        <w:jc w:val="center"/>
        <w:rPr>
          <w:lang w:val="fr-CH"/>
        </w:rPr>
      </w:pPr>
      <w:r w:rsidRPr="009971FC">
        <w:rPr>
          <w:lang w:val="fr-CH"/>
        </w:rPr>
        <w:lastRenderedPageBreak/>
        <w:t>Assignation de numéros commençant par le chiffre «6»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4"/>
        <w:gridCol w:w="2422"/>
        <w:gridCol w:w="3149"/>
        <w:gridCol w:w="1817"/>
      </w:tblGrid>
      <w:tr w:rsidR="009971FC" w:rsidRPr="009971FC" w:rsidTr="004E748D">
        <w:trPr>
          <w:jc w:val="center"/>
        </w:trPr>
        <w:tc>
          <w:tcPr>
            <w:tcW w:w="1684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2422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3149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817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4E748D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6(0-3)</w:t>
            </w:r>
          </w:p>
        </w:tc>
        <w:tc>
          <w:tcPr>
            <w:tcW w:w="2422" w:type="dxa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3149" w:type="dxa"/>
          </w:tcPr>
          <w:p w:rsidR="009971FC" w:rsidRPr="009971FC" w:rsidRDefault="009971FC" w:rsidP="002D5D40">
            <w:pPr>
              <w:pStyle w:val="Tabletext0"/>
            </w:pPr>
            <w:proofErr w:type="spellStart"/>
            <w:r w:rsidRPr="009971FC">
              <w:t>VoIP</w:t>
            </w:r>
            <w:proofErr w:type="spellEnd"/>
            <w:r w:rsidRPr="009971FC">
              <w:t xml:space="preserve"> fixe</w:t>
            </w:r>
          </w:p>
        </w:tc>
        <w:tc>
          <w:tcPr>
            <w:tcW w:w="181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4E748D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64(0-9)</w:t>
            </w:r>
          </w:p>
        </w:tc>
        <w:tc>
          <w:tcPr>
            <w:tcW w:w="2422" w:type="dxa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3149" w:type="dxa"/>
          </w:tcPr>
          <w:p w:rsidR="009971FC" w:rsidRPr="009971FC" w:rsidRDefault="009971FC" w:rsidP="009971FC">
            <w:pPr>
              <w:pStyle w:val="Tabletext0"/>
            </w:pPr>
            <w:proofErr w:type="spellStart"/>
            <w:r w:rsidRPr="009971FC">
              <w:t>VoIP</w:t>
            </w:r>
            <w:proofErr w:type="spellEnd"/>
            <w:r w:rsidRPr="009971FC">
              <w:t xml:space="preserve"> fixe</w:t>
            </w:r>
          </w:p>
        </w:tc>
        <w:tc>
          <w:tcPr>
            <w:tcW w:w="181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KOKONET</w:t>
            </w:r>
          </w:p>
        </w:tc>
      </w:tr>
      <w:tr w:rsidR="009971FC" w:rsidRPr="009971FC" w:rsidTr="004E748D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6(5-9)</w:t>
            </w:r>
          </w:p>
        </w:tc>
        <w:tc>
          <w:tcPr>
            <w:tcW w:w="2422" w:type="dxa"/>
          </w:tcPr>
          <w:p w:rsidR="009971FC" w:rsidRPr="009971FC" w:rsidRDefault="009971FC" w:rsidP="00E145AB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3149" w:type="dxa"/>
          </w:tcPr>
          <w:p w:rsidR="009971FC" w:rsidRPr="009971FC" w:rsidRDefault="009971FC" w:rsidP="009971FC">
            <w:pPr>
              <w:pStyle w:val="Tabletext0"/>
            </w:pPr>
            <w:proofErr w:type="spellStart"/>
            <w:r w:rsidRPr="009971FC">
              <w:t>VoIP</w:t>
            </w:r>
            <w:proofErr w:type="spellEnd"/>
            <w:r w:rsidRPr="009971FC">
              <w:t xml:space="preserve"> fixe</w:t>
            </w:r>
          </w:p>
        </w:tc>
        <w:tc>
          <w:tcPr>
            <w:tcW w:w="181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</w:tbl>
    <w:p w:rsidR="00EC6AED" w:rsidRDefault="00EC6AED" w:rsidP="009971FC">
      <w:pPr>
        <w:rPr>
          <w:lang w:val="fr-CH"/>
        </w:rPr>
      </w:pPr>
      <w:bookmarkStart w:id="160" w:name="_Toc54067605"/>
      <w:bookmarkStart w:id="161" w:name="_Toc54067628"/>
      <w:bookmarkStart w:id="162" w:name="_Toc303674708"/>
      <w:bookmarkEnd w:id="157"/>
      <w:bookmarkEnd w:id="158"/>
      <w:bookmarkEnd w:id="159"/>
    </w:p>
    <w:p w:rsidR="009971FC" w:rsidRPr="009971FC" w:rsidRDefault="009971FC" w:rsidP="00545C84">
      <w:pPr>
        <w:spacing w:after="80"/>
        <w:jc w:val="center"/>
        <w:rPr>
          <w:lang w:val="fr-CH"/>
        </w:rPr>
      </w:pPr>
      <w:r w:rsidRPr="009971FC">
        <w:rPr>
          <w:lang w:val="fr-CH"/>
        </w:rPr>
        <w:t>Assignation de numéros commençant par le chiffre «7»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0"/>
        <w:gridCol w:w="2375"/>
        <w:gridCol w:w="3140"/>
        <w:gridCol w:w="1817"/>
      </w:tblGrid>
      <w:tr w:rsidR="009971FC" w:rsidRPr="009971FC" w:rsidTr="004E748D">
        <w:trPr>
          <w:jc w:val="center"/>
        </w:trPr>
        <w:tc>
          <w:tcPr>
            <w:tcW w:w="1740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2375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3140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817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4E748D">
        <w:trPr>
          <w:jc w:val="center"/>
        </w:trPr>
        <w:tc>
          <w:tcPr>
            <w:tcW w:w="174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7(0-9)</w:t>
            </w:r>
          </w:p>
        </w:tc>
        <w:tc>
          <w:tcPr>
            <w:tcW w:w="2375" w:type="dxa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3140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1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</w:tbl>
    <w:p w:rsidR="009971FC" w:rsidRPr="009971FC" w:rsidRDefault="009971FC" w:rsidP="004E748D">
      <w:bookmarkStart w:id="163" w:name="_Toc54067606"/>
      <w:bookmarkStart w:id="164" w:name="_Toc54067629"/>
      <w:bookmarkStart w:id="165" w:name="_Toc303674709"/>
      <w:bookmarkEnd w:id="160"/>
      <w:bookmarkEnd w:id="161"/>
      <w:bookmarkEnd w:id="162"/>
    </w:p>
    <w:p w:rsidR="009971FC" w:rsidRPr="009971FC" w:rsidRDefault="009971FC" w:rsidP="00545C84">
      <w:pPr>
        <w:spacing w:after="80"/>
        <w:jc w:val="center"/>
        <w:rPr>
          <w:lang w:val="fr-CH"/>
        </w:rPr>
      </w:pPr>
      <w:r w:rsidRPr="009971FC">
        <w:rPr>
          <w:lang w:val="fr-CH"/>
        </w:rPr>
        <w:t>Assignation de numéros commençant par le chiffre «8»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1"/>
        <w:gridCol w:w="2385"/>
        <w:gridCol w:w="3149"/>
        <w:gridCol w:w="1817"/>
      </w:tblGrid>
      <w:tr w:rsidR="009971FC" w:rsidRPr="009971FC" w:rsidTr="004E748D">
        <w:trPr>
          <w:jc w:val="center"/>
        </w:trPr>
        <w:tc>
          <w:tcPr>
            <w:tcW w:w="1721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9971FC" w:rsidRPr="009971FC" w:rsidRDefault="009971FC" w:rsidP="004E748D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4E748D">
        <w:trPr>
          <w:jc w:val="center"/>
        </w:trPr>
        <w:tc>
          <w:tcPr>
            <w:tcW w:w="1721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800(0)</w:t>
            </w:r>
          </w:p>
        </w:tc>
        <w:tc>
          <w:tcPr>
            <w:tcW w:w="2385" w:type="dxa"/>
            <w:shd w:val="clear" w:color="auto" w:fill="auto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6</w:t>
            </w:r>
          </w:p>
        </w:tc>
        <w:tc>
          <w:tcPr>
            <w:tcW w:w="3149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Appel gratuit</w:t>
            </w:r>
            <w:r w:rsidR="002C2803"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4E748D">
        <w:trPr>
          <w:trHeight w:val="180"/>
          <w:jc w:val="center"/>
        </w:trPr>
        <w:tc>
          <w:tcPr>
            <w:tcW w:w="1721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800(1-9)</w:t>
            </w:r>
          </w:p>
        </w:tc>
        <w:tc>
          <w:tcPr>
            <w:tcW w:w="2385" w:type="dxa"/>
            <w:shd w:val="clear" w:color="auto" w:fill="auto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6</w:t>
            </w:r>
          </w:p>
        </w:tc>
        <w:tc>
          <w:tcPr>
            <w:tcW w:w="3149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Appel gratuit</w:t>
            </w:r>
            <w:r w:rsidR="002C2803"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4E748D">
        <w:trPr>
          <w:trHeight w:val="340"/>
          <w:jc w:val="center"/>
        </w:trPr>
        <w:tc>
          <w:tcPr>
            <w:tcW w:w="1721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80(1-9)</w:t>
            </w:r>
          </w:p>
        </w:tc>
        <w:tc>
          <w:tcPr>
            <w:tcW w:w="2385" w:type="dxa"/>
            <w:shd w:val="clear" w:color="auto" w:fill="auto"/>
          </w:tcPr>
          <w:p w:rsidR="009971FC" w:rsidRPr="009971FC" w:rsidRDefault="009971FC" w:rsidP="004E748D">
            <w:pPr>
              <w:pStyle w:val="Tabletext0"/>
              <w:jc w:val="center"/>
            </w:pPr>
          </w:p>
        </w:tc>
        <w:tc>
          <w:tcPr>
            <w:tcW w:w="3149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17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4E748D">
        <w:trPr>
          <w:trHeight w:val="314"/>
          <w:jc w:val="center"/>
        </w:trPr>
        <w:tc>
          <w:tcPr>
            <w:tcW w:w="1721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8(1-9)</w:t>
            </w:r>
          </w:p>
        </w:tc>
        <w:tc>
          <w:tcPr>
            <w:tcW w:w="2385" w:type="dxa"/>
            <w:shd w:val="clear" w:color="auto" w:fill="auto"/>
          </w:tcPr>
          <w:p w:rsidR="009971FC" w:rsidRPr="009971FC" w:rsidRDefault="009971FC" w:rsidP="004E748D">
            <w:pPr>
              <w:pStyle w:val="Tabletext0"/>
              <w:jc w:val="center"/>
            </w:pPr>
          </w:p>
        </w:tc>
        <w:tc>
          <w:tcPr>
            <w:tcW w:w="3149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817" w:type="dxa"/>
            <w:shd w:val="clear" w:color="auto" w:fill="auto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</w:tbl>
    <w:p w:rsidR="00EC6AED" w:rsidRDefault="00EC6AED" w:rsidP="009971FC">
      <w:pPr>
        <w:rPr>
          <w:lang w:val="fr-CH"/>
        </w:rPr>
      </w:pPr>
      <w:bookmarkStart w:id="166" w:name="_Toc54067607"/>
      <w:bookmarkStart w:id="167" w:name="_Toc54067630"/>
      <w:bookmarkStart w:id="168" w:name="_Toc303674710"/>
      <w:bookmarkEnd w:id="163"/>
      <w:bookmarkEnd w:id="164"/>
      <w:bookmarkEnd w:id="165"/>
    </w:p>
    <w:p w:rsidR="009971FC" w:rsidRPr="009971FC" w:rsidRDefault="009971FC" w:rsidP="00545C84">
      <w:pPr>
        <w:spacing w:after="80"/>
        <w:jc w:val="center"/>
        <w:rPr>
          <w:lang w:val="fr-CH"/>
        </w:rPr>
      </w:pPr>
      <w:r w:rsidRPr="009971FC">
        <w:rPr>
          <w:lang w:val="fr-CH"/>
        </w:rPr>
        <w:t>Assignation de numéros commençant par le chiffre «9»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4"/>
        <w:gridCol w:w="2408"/>
        <w:gridCol w:w="3187"/>
        <w:gridCol w:w="1793"/>
      </w:tblGrid>
      <w:tr w:rsidR="009971FC" w:rsidRPr="009971FC" w:rsidTr="00E145AB">
        <w:trPr>
          <w:jc w:val="center"/>
        </w:trPr>
        <w:tc>
          <w:tcPr>
            <w:tcW w:w="1684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2408" w:type="dxa"/>
            <w:vAlign w:val="center"/>
          </w:tcPr>
          <w:p w:rsidR="009971FC" w:rsidRPr="009971FC" w:rsidRDefault="009971FC" w:rsidP="004E748D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3187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793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E145AB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9(0-5)</w:t>
            </w:r>
          </w:p>
        </w:tc>
        <w:tc>
          <w:tcPr>
            <w:tcW w:w="2408" w:type="dxa"/>
          </w:tcPr>
          <w:p w:rsidR="009971FC" w:rsidRPr="009971FC" w:rsidRDefault="009971FC" w:rsidP="004E748D">
            <w:pPr>
              <w:pStyle w:val="Tabletext0"/>
              <w:jc w:val="center"/>
            </w:pPr>
          </w:p>
        </w:tc>
        <w:tc>
          <w:tcPr>
            <w:tcW w:w="318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79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E145AB">
        <w:trPr>
          <w:jc w:val="center"/>
        </w:trPr>
        <w:tc>
          <w:tcPr>
            <w:tcW w:w="1684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96(0-9)</w:t>
            </w:r>
          </w:p>
        </w:tc>
        <w:tc>
          <w:tcPr>
            <w:tcW w:w="2408" w:type="dxa"/>
            <w:vAlign w:val="center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4</w:t>
            </w:r>
          </w:p>
        </w:tc>
        <w:tc>
          <w:tcPr>
            <w:tcW w:w="3187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Numéros courts pour VAS SMS/MMS</w:t>
            </w:r>
          </w:p>
        </w:tc>
        <w:tc>
          <w:tcPr>
            <w:tcW w:w="1793" w:type="dxa"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voir A.2</w:t>
            </w:r>
          </w:p>
        </w:tc>
      </w:tr>
      <w:tr w:rsidR="009971FC" w:rsidRPr="009971FC" w:rsidTr="00E145AB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970</w:t>
            </w:r>
          </w:p>
        </w:tc>
        <w:tc>
          <w:tcPr>
            <w:tcW w:w="2408" w:type="dxa"/>
          </w:tcPr>
          <w:p w:rsidR="009971FC" w:rsidRPr="009971FC" w:rsidRDefault="009971FC" w:rsidP="004E748D">
            <w:pPr>
              <w:pStyle w:val="Tabletext0"/>
              <w:jc w:val="center"/>
            </w:pPr>
          </w:p>
        </w:tc>
        <w:tc>
          <w:tcPr>
            <w:tcW w:w="318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79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E145AB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971</w:t>
            </w:r>
          </w:p>
        </w:tc>
        <w:tc>
          <w:tcPr>
            <w:tcW w:w="2408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318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Services </w:t>
            </w:r>
            <w:proofErr w:type="spellStart"/>
            <w:r w:rsidRPr="009971FC">
              <w:t>Audiotexte</w:t>
            </w:r>
            <w:proofErr w:type="spellEnd"/>
          </w:p>
        </w:tc>
        <w:tc>
          <w:tcPr>
            <w:tcW w:w="179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E145AB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97(2-9)</w:t>
            </w:r>
          </w:p>
        </w:tc>
        <w:tc>
          <w:tcPr>
            <w:tcW w:w="2408" w:type="dxa"/>
          </w:tcPr>
          <w:p w:rsidR="009971FC" w:rsidRPr="009971FC" w:rsidRDefault="009971FC" w:rsidP="004E748D">
            <w:pPr>
              <w:pStyle w:val="Tabletext0"/>
              <w:jc w:val="center"/>
            </w:pPr>
          </w:p>
        </w:tc>
        <w:tc>
          <w:tcPr>
            <w:tcW w:w="318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79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E145AB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98(0-9)</w:t>
            </w:r>
          </w:p>
        </w:tc>
        <w:tc>
          <w:tcPr>
            <w:tcW w:w="2408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6</w:t>
            </w:r>
          </w:p>
        </w:tc>
        <w:tc>
          <w:tcPr>
            <w:tcW w:w="318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VAS/SMS</w:t>
            </w:r>
          </w:p>
        </w:tc>
        <w:tc>
          <w:tcPr>
            <w:tcW w:w="179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MEDIATECH</w:t>
            </w:r>
          </w:p>
        </w:tc>
      </w:tr>
      <w:tr w:rsidR="009971FC" w:rsidRPr="009971FC" w:rsidTr="00E145AB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99(0-8)</w:t>
            </w:r>
          </w:p>
        </w:tc>
        <w:tc>
          <w:tcPr>
            <w:tcW w:w="2408" w:type="dxa"/>
          </w:tcPr>
          <w:p w:rsidR="009971FC" w:rsidRPr="009971FC" w:rsidRDefault="009971FC" w:rsidP="004E748D">
            <w:pPr>
              <w:pStyle w:val="Tabletext0"/>
              <w:jc w:val="center"/>
            </w:pPr>
          </w:p>
        </w:tc>
        <w:tc>
          <w:tcPr>
            <w:tcW w:w="318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79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E145AB">
        <w:trPr>
          <w:jc w:val="center"/>
        </w:trPr>
        <w:tc>
          <w:tcPr>
            <w:tcW w:w="1684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999</w:t>
            </w:r>
          </w:p>
        </w:tc>
        <w:tc>
          <w:tcPr>
            <w:tcW w:w="2408" w:type="dxa"/>
          </w:tcPr>
          <w:p w:rsidR="009971FC" w:rsidRPr="009971FC" w:rsidRDefault="009971FC" w:rsidP="004E748D">
            <w:pPr>
              <w:pStyle w:val="Tabletext0"/>
              <w:jc w:val="center"/>
            </w:pPr>
            <w:r w:rsidRPr="009971FC">
              <w:t>3</w:t>
            </w:r>
          </w:p>
        </w:tc>
        <w:tc>
          <w:tcPr>
            <w:tcW w:w="3187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d'urgence</w:t>
            </w:r>
          </w:p>
        </w:tc>
        <w:tc>
          <w:tcPr>
            <w:tcW w:w="179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TOUS</w:t>
            </w:r>
          </w:p>
        </w:tc>
      </w:tr>
      <w:bookmarkEnd w:id="166"/>
      <w:bookmarkEnd w:id="167"/>
      <w:bookmarkEnd w:id="168"/>
    </w:tbl>
    <w:p w:rsidR="009971FC" w:rsidRPr="009971FC" w:rsidRDefault="009971FC" w:rsidP="009971FC"/>
    <w:p w:rsidR="009971FC" w:rsidRPr="009971FC" w:rsidRDefault="009971FC" w:rsidP="00545C84">
      <w:pPr>
        <w:spacing w:after="80"/>
        <w:jc w:val="center"/>
        <w:rPr>
          <w:lang w:val="fr-CH"/>
        </w:rPr>
      </w:pPr>
      <w:bookmarkStart w:id="169" w:name="_Toc54067608"/>
      <w:bookmarkStart w:id="170" w:name="_Toc54067631"/>
      <w:bookmarkStart w:id="171" w:name="_Toc303674711"/>
      <w:r w:rsidRPr="009971FC">
        <w:rPr>
          <w:lang w:val="fr-CH"/>
        </w:rPr>
        <w:t>Codes d'identification de réseau pour données (CIRD) attribués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0"/>
        <w:gridCol w:w="5106"/>
        <w:gridCol w:w="2626"/>
      </w:tblGrid>
      <w:tr w:rsidR="009971FC" w:rsidRPr="009971FC" w:rsidTr="0023068D">
        <w:trPr>
          <w:trHeight w:val="255"/>
          <w:tblHeader/>
          <w:jc w:val="center"/>
        </w:trPr>
        <w:tc>
          <w:tcPr>
            <w:tcW w:w="1340" w:type="dxa"/>
            <w:noWrap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CIRD Attribué</w:t>
            </w:r>
          </w:p>
        </w:tc>
        <w:tc>
          <w:tcPr>
            <w:tcW w:w="5106" w:type="dxa"/>
            <w:noWrap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Service</w:t>
            </w:r>
          </w:p>
        </w:tc>
        <w:tc>
          <w:tcPr>
            <w:tcW w:w="2626" w:type="dxa"/>
            <w:noWrap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6330</w:t>
            </w:r>
          </w:p>
        </w:tc>
        <w:tc>
          <w:tcPr>
            <w:tcW w:w="510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–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6331</w:t>
            </w:r>
          </w:p>
        </w:tc>
        <w:tc>
          <w:tcPr>
            <w:tcW w:w="5106" w:type="dxa"/>
            <w:noWrap/>
          </w:tcPr>
          <w:p w:rsidR="009971FC" w:rsidRPr="009971FC" w:rsidRDefault="002D5D40" w:rsidP="002D5D40">
            <w:pPr>
              <w:pStyle w:val="Tabletext0"/>
            </w:pPr>
            <w:r>
              <w:t>Ré</w:t>
            </w:r>
            <w:r w:rsidRPr="009971FC">
              <w:t xml:space="preserve">seau </w:t>
            </w:r>
            <w:r w:rsidR="009971FC" w:rsidRPr="009971FC">
              <w:t>à commutation par paquets (INFOLINK)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6332</w:t>
            </w:r>
          </w:p>
        </w:tc>
        <w:tc>
          <w:tcPr>
            <w:tcW w:w="510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–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6333</w:t>
            </w:r>
          </w:p>
        </w:tc>
        <w:tc>
          <w:tcPr>
            <w:tcW w:w="510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–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6334</w:t>
            </w:r>
          </w:p>
        </w:tc>
        <w:tc>
          <w:tcPr>
            <w:tcW w:w="510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–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6335</w:t>
            </w:r>
          </w:p>
        </w:tc>
        <w:tc>
          <w:tcPr>
            <w:tcW w:w="510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–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6336</w:t>
            </w:r>
          </w:p>
        </w:tc>
        <w:tc>
          <w:tcPr>
            <w:tcW w:w="510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–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6337</w:t>
            </w:r>
          </w:p>
        </w:tc>
        <w:tc>
          <w:tcPr>
            <w:tcW w:w="510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–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6338</w:t>
            </w:r>
          </w:p>
        </w:tc>
        <w:tc>
          <w:tcPr>
            <w:tcW w:w="510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–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jc w:val="center"/>
        </w:trPr>
        <w:tc>
          <w:tcPr>
            <w:tcW w:w="1340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6339</w:t>
            </w:r>
          </w:p>
        </w:tc>
        <w:tc>
          <w:tcPr>
            <w:tcW w:w="510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–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bookmarkEnd w:id="169"/>
      <w:bookmarkEnd w:id="170"/>
      <w:bookmarkEnd w:id="171"/>
    </w:tbl>
    <w:p w:rsidR="009971FC" w:rsidRPr="009971FC" w:rsidRDefault="009971FC" w:rsidP="009971FC"/>
    <w:p w:rsidR="009971FC" w:rsidRPr="009971FC" w:rsidRDefault="009971FC" w:rsidP="00545C84">
      <w:pPr>
        <w:spacing w:after="80"/>
        <w:jc w:val="center"/>
        <w:rPr>
          <w:lang w:val="fr-CH"/>
        </w:rPr>
      </w:pPr>
      <w:bookmarkStart w:id="172" w:name="_Toc54067609"/>
      <w:bookmarkStart w:id="173" w:name="_Toc54067632"/>
      <w:bookmarkStart w:id="174" w:name="_Toc303674712"/>
      <w:r w:rsidRPr="009971FC">
        <w:rPr>
          <w:lang w:val="fr-CH"/>
        </w:rPr>
        <w:lastRenderedPageBreak/>
        <w:t>Codes de points sémaphores internationaux (ISPC) attribués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5"/>
        <w:gridCol w:w="5121"/>
        <w:gridCol w:w="2626"/>
      </w:tblGrid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</w:tcPr>
          <w:p w:rsidR="009971FC" w:rsidRPr="009971FC" w:rsidRDefault="009971FC" w:rsidP="009971FC">
            <w:pPr>
              <w:pStyle w:val="Tablehead0"/>
            </w:pPr>
            <w:r w:rsidRPr="009971FC">
              <w:t>ISPC Attribué</w:t>
            </w:r>
          </w:p>
        </w:tc>
        <w:tc>
          <w:tcPr>
            <w:tcW w:w="5121" w:type="dxa"/>
            <w:noWrap/>
          </w:tcPr>
          <w:p w:rsidR="009971FC" w:rsidRPr="009971FC" w:rsidRDefault="009971FC" w:rsidP="009971FC">
            <w:pPr>
              <w:pStyle w:val="Tablehead0"/>
            </w:pPr>
            <w:r w:rsidRPr="009971FC">
              <w:t>nœud/central</w:t>
            </w:r>
          </w:p>
        </w:tc>
        <w:tc>
          <w:tcPr>
            <w:tcW w:w="2626" w:type="dxa"/>
            <w:noWrap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6-066-0</w:t>
            </w:r>
          </w:p>
        </w:tc>
        <w:tc>
          <w:tcPr>
            <w:tcW w:w="5121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E10S1</w:t>
            </w: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6-066-1</w:t>
            </w:r>
          </w:p>
        </w:tc>
        <w:tc>
          <w:tcPr>
            <w:tcW w:w="5121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Seychelles MSC</w:t>
            </w: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6-066-2</w:t>
            </w:r>
          </w:p>
        </w:tc>
        <w:tc>
          <w:tcPr>
            <w:tcW w:w="5121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Media Gateway (MGW)</w:t>
            </w: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6-066-3</w:t>
            </w:r>
          </w:p>
        </w:tc>
        <w:tc>
          <w:tcPr>
            <w:tcW w:w="5121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6-066-4</w:t>
            </w:r>
          </w:p>
        </w:tc>
        <w:tc>
          <w:tcPr>
            <w:tcW w:w="5121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INTV-MAHE-01</w:t>
            </w: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INTELVISION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6-066-5</w:t>
            </w:r>
          </w:p>
        </w:tc>
        <w:tc>
          <w:tcPr>
            <w:tcW w:w="5121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Media Gateway-AIRTEL</w:t>
            </w: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6-066-6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TLS</w:t>
            </w: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6-066-7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MSC</w:t>
            </w: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6-067-0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KOKONET-0</w:t>
            </w: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KOKONET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6-067-1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6-067-2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6-067-3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6-067-4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6-067-5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6-067-6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tr w:rsidR="009971FC" w:rsidRPr="009971FC" w:rsidTr="0023068D">
        <w:trPr>
          <w:trHeight w:val="255"/>
          <w:tblHeader/>
          <w:jc w:val="center"/>
        </w:trPr>
        <w:tc>
          <w:tcPr>
            <w:tcW w:w="1325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6-067-7</w:t>
            </w:r>
          </w:p>
        </w:tc>
        <w:tc>
          <w:tcPr>
            <w:tcW w:w="5121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2626" w:type="dxa"/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</w:tr>
      <w:bookmarkEnd w:id="172"/>
      <w:bookmarkEnd w:id="173"/>
      <w:bookmarkEnd w:id="174"/>
    </w:tbl>
    <w:p w:rsidR="009971FC" w:rsidRPr="009971FC" w:rsidRDefault="009971FC" w:rsidP="009971FC"/>
    <w:p w:rsidR="009971FC" w:rsidRPr="009971FC" w:rsidRDefault="009971FC" w:rsidP="00545C84">
      <w:pPr>
        <w:spacing w:after="80"/>
        <w:jc w:val="center"/>
        <w:rPr>
          <w:lang w:val="fr-FR"/>
        </w:rPr>
      </w:pPr>
      <w:bookmarkStart w:id="175" w:name="_Toc54067610"/>
      <w:bookmarkStart w:id="176" w:name="_Toc54067633"/>
      <w:bookmarkStart w:id="177" w:name="_Toc303674713"/>
      <w:r w:rsidRPr="009971FC">
        <w:rPr>
          <w:lang w:val="fr-CH"/>
        </w:rPr>
        <w:t>Numéros d'identification d'entité émettrice (IIN) attribués</w:t>
      </w:r>
      <w:bookmarkEnd w:id="175"/>
      <w:bookmarkEnd w:id="176"/>
      <w:bookmarkEnd w:id="177"/>
    </w:p>
    <w:tbl>
      <w:tblPr>
        <w:tblW w:w="9173" w:type="dxa"/>
        <w:jc w:val="center"/>
        <w:tblInd w:w="108" w:type="dxa"/>
        <w:tblLook w:val="0000"/>
      </w:tblPr>
      <w:tblGrid>
        <w:gridCol w:w="3134"/>
        <w:gridCol w:w="4289"/>
        <w:gridCol w:w="1750"/>
      </w:tblGrid>
      <w:tr w:rsidR="009971FC" w:rsidRPr="009971FC" w:rsidTr="002871D0">
        <w:trPr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71FC" w:rsidRPr="009971FC" w:rsidRDefault="009971FC" w:rsidP="004E748D">
            <w:pPr>
              <w:pStyle w:val="Tablehead0"/>
              <w:rPr>
                <w:b/>
                <w:bCs/>
              </w:rPr>
            </w:pPr>
            <w:r w:rsidRPr="009971FC">
              <w:t xml:space="preserve">Attribution IIN 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 xml:space="preserve">Nom de la compagnie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</w:tr>
      <w:tr w:rsidR="009971FC" w:rsidRPr="009971FC" w:rsidTr="002871D0">
        <w:trPr>
          <w:trHeight w:val="315"/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9971FC" w:rsidRDefault="009971FC" w:rsidP="009971FC">
            <w:r w:rsidRPr="009971FC">
              <w:t> 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971FC" w:rsidRPr="009971FC" w:rsidRDefault="009971FC" w:rsidP="009971FC"/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9971FC" w:rsidRDefault="009971FC" w:rsidP="009971FC">
            <w:r w:rsidRPr="009971FC">
              <w:t> </w:t>
            </w:r>
          </w:p>
        </w:tc>
      </w:tr>
      <w:tr w:rsidR="009971FC" w:rsidRPr="009971FC" w:rsidTr="002871D0">
        <w:trPr>
          <w:trHeight w:val="315"/>
          <w:jc w:val="center"/>
        </w:trPr>
        <w:tc>
          <w:tcPr>
            <w:tcW w:w="3134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2D5D40" w:rsidRDefault="009971FC" w:rsidP="009971FC">
            <w:r w:rsidRPr="002D5D40">
              <w:t xml:space="preserve">IIN à 7 </w:t>
            </w:r>
            <w:proofErr w:type="spellStart"/>
            <w:r w:rsidRPr="002D5D40">
              <w:t>chiffres</w:t>
            </w:r>
            <w:proofErr w:type="spellEnd"/>
          </w:p>
        </w:tc>
        <w:tc>
          <w:tcPr>
            <w:tcW w:w="4289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971FC" w:rsidRPr="009971FC" w:rsidRDefault="009971FC" w:rsidP="009971FC"/>
        </w:tc>
        <w:tc>
          <w:tcPr>
            <w:tcW w:w="175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9971FC" w:rsidRDefault="009971FC" w:rsidP="009971FC">
            <w:r w:rsidRPr="009971FC">
              <w:t> </w:t>
            </w:r>
          </w:p>
        </w:tc>
      </w:tr>
      <w:tr w:rsidR="009971FC" w:rsidRPr="009971FC" w:rsidTr="002871D0">
        <w:trPr>
          <w:trHeight w:val="285"/>
          <w:jc w:val="center"/>
        </w:trPr>
        <w:tc>
          <w:tcPr>
            <w:tcW w:w="3134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9971FC" w:rsidRDefault="009971FC" w:rsidP="009971FC">
            <w:pPr>
              <w:rPr>
                <w:b/>
                <w:bCs/>
                <w:u w:val="single"/>
              </w:rPr>
            </w:pPr>
          </w:p>
        </w:tc>
        <w:tc>
          <w:tcPr>
            <w:tcW w:w="4289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971FC" w:rsidRPr="009971FC" w:rsidRDefault="009971FC" w:rsidP="009971FC"/>
        </w:tc>
        <w:tc>
          <w:tcPr>
            <w:tcW w:w="175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9971FC" w:rsidRDefault="009971FC" w:rsidP="009971FC">
            <w:r w:rsidRPr="009971FC">
              <w:t> </w:t>
            </w:r>
          </w:p>
        </w:tc>
      </w:tr>
      <w:tr w:rsidR="009971FC" w:rsidRPr="009971FC" w:rsidTr="002871D0">
        <w:trPr>
          <w:trHeight w:val="315"/>
          <w:jc w:val="center"/>
        </w:trPr>
        <w:tc>
          <w:tcPr>
            <w:tcW w:w="3134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9971FC" w:rsidRDefault="009971FC" w:rsidP="002D5D40">
            <w:pPr>
              <w:pStyle w:val="Tabletext0"/>
              <w:jc w:val="center"/>
            </w:pPr>
            <w:r w:rsidRPr="009971FC">
              <w:t>89 248 01</w:t>
            </w:r>
          </w:p>
        </w:tc>
        <w:tc>
          <w:tcPr>
            <w:tcW w:w="4289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971FC" w:rsidRPr="009971FC" w:rsidRDefault="009971FC" w:rsidP="002D5D40">
            <w:pPr>
              <w:pStyle w:val="Tabletext0"/>
              <w:jc w:val="center"/>
            </w:pPr>
            <w:r w:rsidRPr="009971FC">
              <w:t>CWS</w:t>
            </w:r>
          </w:p>
        </w:tc>
        <w:tc>
          <w:tcPr>
            <w:tcW w:w="175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9971FC" w:rsidRDefault="009971FC" w:rsidP="009971FC">
            <w:pPr>
              <w:pStyle w:val="Tabletext0"/>
            </w:pPr>
            <w:r w:rsidRPr="009971FC">
              <w:t>Attribué</w:t>
            </w:r>
          </w:p>
        </w:tc>
      </w:tr>
      <w:tr w:rsidR="009971FC" w:rsidRPr="009971FC" w:rsidTr="002871D0">
        <w:trPr>
          <w:trHeight w:val="330"/>
          <w:jc w:val="center"/>
        </w:trPr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9971FC" w:rsidRDefault="009971FC" w:rsidP="009971FC">
            <w:r w:rsidRPr="009971FC">
              <w:t> </w:t>
            </w:r>
          </w:p>
        </w:tc>
        <w:tc>
          <w:tcPr>
            <w:tcW w:w="4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71FC" w:rsidRPr="009971FC" w:rsidRDefault="009971FC" w:rsidP="009971FC"/>
        </w:tc>
        <w:tc>
          <w:tcPr>
            <w:tcW w:w="1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971FC" w:rsidRPr="009971FC" w:rsidRDefault="009971FC" w:rsidP="009971FC">
            <w:r w:rsidRPr="009971FC">
              <w:t> </w:t>
            </w:r>
          </w:p>
        </w:tc>
      </w:tr>
    </w:tbl>
    <w:p w:rsidR="00BE35B5" w:rsidRDefault="00BE35B5" w:rsidP="00BE35B5">
      <w:pPr>
        <w:rPr>
          <w:lang w:val="fr-CH"/>
        </w:rPr>
      </w:pPr>
      <w:bookmarkStart w:id="178" w:name="_Toc54067611"/>
      <w:bookmarkStart w:id="179" w:name="_Toc54067634"/>
      <w:bookmarkStart w:id="180" w:name="_Toc303674714"/>
    </w:p>
    <w:p w:rsidR="009971FC" w:rsidRPr="009971FC" w:rsidRDefault="009971FC" w:rsidP="00545C84">
      <w:pPr>
        <w:spacing w:after="80"/>
        <w:jc w:val="center"/>
        <w:rPr>
          <w:lang w:val="fr-CH"/>
        </w:rPr>
      </w:pPr>
      <w:r w:rsidRPr="009971FC">
        <w:rPr>
          <w:lang w:val="fr-CH"/>
        </w:rPr>
        <w:t>Indicatif de pays du mobile (MCC) et code de réseau mobile (MNC) attribués</w:t>
      </w:r>
    </w:p>
    <w:bookmarkEnd w:id="178"/>
    <w:bookmarkEnd w:id="179"/>
    <w:bookmarkEnd w:id="180"/>
    <w:p w:rsidR="009971FC" w:rsidRPr="009971FC" w:rsidRDefault="009971FC" w:rsidP="009971FC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097"/>
        <w:gridCol w:w="3259"/>
        <w:gridCol w:w="2716"/>
      </w:tblGrid>
      <w:tr w:rsidR="009971FC" w:rsidRPr="009971FC" w:rsidTr="002871D0">
        <w:trPr>
          <w:trHeight w:val="20"/>
          <w:jc w:val="center"/>
        </w:trPr>
        <w:tc>
          <w:tcPr>
            <w:tcW w:w="3080" w:type="dxa"/>
            <w:noWrap/>
            <w:vAlign w:val="center"/>
          </w:tcPr>
          <w:p w:rsidR="009971FC" w:rsidRPr="009971FC" w:rsidRDefault="009971FC" w:rsidP="004E748D">
            <w:pPr>
              <w:pStyle w:val="Tablehead0"/>
            </w:pPr>
            <w:r w:rsidRPr="009971FC">
              <w:t>Attribution</w:t>
            </w:r>
            <w:r w:rsidR="004E748D">
              <w:br/>
            </w:r>
            <w:r w:rsidRPr="009971FC">
              <w:t>MCC - MNC</w:t>
            </w:r>
          </w:p>
        </w:tc>
        <w:tc>
          <w:tcPr>
            <w:tcW w:w="3240" w:type="dxa"/>
            <w:noWrap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Réseau Mobile</w:t>
            </w:r>
          </w:p>
        </w:tc>
        <w:tc>
          <w:tcPr>
            <w:tcW w:w="2700" w:type="dxa"/>
            <w:noWrap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 xml:space="preserve">Opérateur Mobile </w:t>
            </w:r>
          </w:p>
        </w:tc>
      </w:tr>
      <w:tr w:rsidR="009971FC" w:rsidRPr="009971FC" w:rsidTr="002871D0">
        <w:trPr>
          <w:trHeight w:val="20"/>
          <w:jc w:val="center"/>
        </w:trPr>
        <w:tc>
          <w:tcPr>
            <w:tcW w:w="3080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633-01</w:t>
            </w:r>
          </w:p>
        </w:tc>
        <w:tc>
          <w:tcPr>
            <w:tcW w:w="3240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GSM/3G</w:t>
            </w:r>
          </w:p>
        </w:tc>
        <w:tc>
          <w:tcPr>
            <w:tcW w:w="2700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CWS</w:t>
            </w:r>
          </w:p>
        </w:tc>
      </w:tr>
      <w:tr w:rsidR="009971FC" w:rsidRPr="009971FC" w:rsidTr="002871D0">
        <w:trPr>
          <w:trHeight w:val="20"/>
          <w:jc w:val="center"/>
        </w:trPr>
        <w:tc>
          <w:tcPr>
            <w:tcW w:w="3080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633-10</w:t>
            </w:r>
          </w:p>
        </w:tc>
        <w:tc>
          <w:tcPr>
            <w:tcW w:w="3240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GSM/3G</w:t>
            </w:r>
          </w:p>
        </w:tc>
        <w:tc>
          <w:tcPr>
            <w:tcW w:w="2700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AIRTEL</w:t>
            </w:r>
          </w:p>
        </w:tc>
      </w:tr>
      <w:tr w:rsidR="009971FC" w:rsidRPr="009971FC" w:rsidTr="002871D0">
        <w:trPr>
          <w:trHeight w:val="20"/>
          <w:jc w:val="center"/>
        </w:trPr>
        <w:tc>
          <w:tcPr>
            <w:tcW w:w="3080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633-02</w:t>
            </w:r>
          </w:p>
        </w:tc>
        <w:tc>
          <w:tcPr>
            <w:tcW w:w="3240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GSM</w:t>
            </w:r>
          </w:p>
        </w:tc>
        <w:tc>
          <w:tcPr>
            <w:tcW w:w="2700" w:type="dxa"/>
            <w:noWrap/>
            <w:vAlign w:val="center"/>
          </w:tcPr>
          <w:p w:rsidR="009971FC" w:rsidRPr="009971FC" w:rsidRDefault="009971FC" w:rsidP="009971FC">
            <w:pPr>
              <w:pStyle w:val="Tabletext0"/>
            </w:pPr>
            <w:r w:rsidRPr="009971FC">
              <w:t>MEDIATECH</w:t>
            </w:r>
          </w:p>
        </w:tc>
      </w:tr>
    </w:tbl>
    <w:p w:rsidR="009971FC" w:rsidRPr="009971FC" w:rsidRDefault="009971FC" w:rsidP="009971FC"/>
    <w:p w:rsidR="00DA4876" w:rsidRDefault="00DA48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bookmarkStart w:id="181" w:name="_Toc54067612"/>
      <w:bookmarkStart w:id="182" w:name="_Toc54067635"/>
      <w:bookmarkStart w:id="183" w:name="_Toc303674715"/>
      <w:r>
        <w:br w:type="page"/>
      </w:r>
    </w:p>
    <w:p w:rsidR="009971FC" w:rsidRPr="009971FC" w:rsidRDefault="009971FC" w:rsidP="004E748D">
      <w:r w:rsidRPr="009971FC">
        <w:lastRenderedPageBreak/>
        <w:t>A.1</w:t>
      </w:r>
      <w:r w:rsidR="004E748D">
        <w:tab/>
      </w:r>
      <w:r w:rsidRPr="009971FC">
        <w:rPr>
          <w:lang w:val="fr-CH"/>
        </w:rPr>
        <w:t xml:space="preserve">Dénominations complètes des opérateurs </w:t>
      </w:r>
      <w:bookmarkEnd w:id="181"/>
      <w:bookmarkEnd w:id="182"/>
      <w:bookmarkEnd w:id="183"/>
    </w:p>
    <w:p w:rsidR="009971FC" w:rsidRPr="009971FC" w:rsidRDefault="009971FC" w:rsidP="009971FC">
      <w:pPr>
        <w:rPr>
          <w:b/>
          <w:u w:val="single"/>
        </w:rPr>
      </w:pPr>
    </w:p>
    <w:p w:rsidR="009971FC" w:rsidRPr="009971FC" w:rsidRDefault="009971FC" w:rsidP="0023068D">
      <w:proofErr w:type="spellStart"/>
      <w:r w:rsidRPr="009971FC">
        <w:t>Opérateurs</w:t>
      </w:r>
      <w:proofErr w:type="spellEnd"/>
      <w:r w:rsidR="002D5D40">
        <w:t>:</w:t>
      </w:r>
    </w:p>
    <w:p w:rsidR="009971FC" w:rsidRPr="009971FC" w:rsidRDefault="009971FC" w:rsidP="0023068D">
      <w:pPr>
        <w:jc w:val="left"/>
      </w:pPr>
      <w:r w:rsidRPr="009971FC">
        <w:t>CWS</w:t>
      </w:r>
      <w:r w:rsidRPr="009971FC">
        <w:tab/>
      </w:r>
      <w:r w:rsidR="0023068D">
        <w:tab/>
      </w:r>
      <w:r w:rsidRPr="009971FC">
        <w:t>Cable and Wireless (Seychelles) Ltd</w:t>
      </w:r>
      <w:r>
        <w:br/>
      </w:r>
      <w:r w:rsidRPr="009971FC">
        <w:t>AIRTEL</w:t>
      </w:r>
      <w:r w:rsidRPr="009971FC">
        <w:tab/>
      </w:r>
      <w:r w:rsidRPr="009971FC">
        <w:tab/>
      </w:r>
      <w:proofErr w:type="spellStart"/>
      <w:r w:rsidRPr="009971FC">
        <w:t>Airtel</w:t>
      </w:r>
      <w:proofErr w:type="spellEnd"/>
      <w:r w:rsidRPr="009971FC">
        <w:t xml:space="preserve"> Seychelles</w:t>
      </w:r>
      <w:r>
        <w:br/>
      </w:r>
      <w:r w:rsidRPr="009971FC">
        <w:t>INTELVISION</w:t>
      </w:r>
      <w:r w:rsidRPr="009971FC">
        <w:tab/>
      </w:r>
      <w:proofErr w:type="spellStart"/>
      <w:r w:rsidRPr="009971FC">
        <w:t>Intelvision</w:t>
      </w:r>
      <w:proofErr w:type="spellEnd"/>
      <w:r w:rsidRPr="009971FC">
        <w:t xml:space="preserve"> Ltd</w:t>
      </w:r>
      <w:r>
        <w:br/>
      </w:r>
      <w:r w:rsidRPr="009971FC">
        <w:t>KOKONET</w:t>
      </w:r>
      <w:r w:rsidRPr="009971FC">
        <w:tab/>
      </w:r>
      <w:proofErr w:type="spellStart"/>
      <w:r w:rsidRPr="009971FC">
        <w:t>Kokonet</w:t>
      </w:r>
      <w:proofErr w:type="spellEnd"/>
      <w:r w:rsidRPr="009971FC">
        <w:t xml:space="preserve"> Ltd</w:t>
      </w:r>
      <w:r>
        <w:br/>
      </w:r>
      <w:r w:rsidRPr="009971FC">
        <w:t>MEDIATECH</w:t>
      </w:r>
      <w:r w:rsidRPr="009971FC">
        <w:tab/>
      </w:r>
      <w:proofErr w:type="spellStart"/>
      <w:r w:rsidRPr="009971FC">
        <w:t>Mediatech</w:t>
      </w:r>
      <w:proofErr w:type="spellEnd"/>
      <w:r w:rsidRPr="009971FC">
        <w:t xml:space="preserve"> International Limited</w:t>
      </w:r>
    </w:p>
    <w:p w:rsidR="009971FC" w:rsidRPr="009971FC" w:rsidRDefault="009971FC" w:rsidP="009971FC"/>
    <w:p w:rsidR="009971FC" w:rsidRPr="009971FC" w:rsidRDefault="009971FC" w:rsidP="009971FC">
      <w:pPr>
        <w:rPr>
          <w:lang w:val="fr-CH"/>
        </w:rPr>
      </w:pPr>
      <w:bookmarkStart w:id="184" w:name="_Toc303674716"/>
      <w:r w:rsidRPr="009971FC">
        <w:rPr>
          <w:lang w:val="fr-CH"/>
        </w:rPr>
        <w:t>A.2</w:t>
      </w:r>
      <w:r w:rsidRPr="009971FC">
        <w:rPr>
          <w:lang w:val="fr-CH"/>
        </w:rPr>
        <w:tab/>
        <w:t>Numéros courts pour les services VAS SMS/MMS</w:t>
      </w:r>
    </w:p>
    <w:p w:rsidR="009971FC" w:rsidRPr="009971FC" w:rsidRDefault="009971FC" w:rsidP="009971FC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1575"/>
        <w:gridCol w:w="3604"/>
        <w:gridCol w:w="1249"/>
        <w:gridCol w:w="1172"/>
      </w:tblGrid>
      <w:tr w:rsidR="009971FC" w:rsidRPr="009971FC" w:rsidTr="004E748D">
        <w:trPr>
          <w:tblHeader/>
          <w:jc w:val="center"/>
        </w:trPr>
        <w:tc>
          <w:tcPr>
            <w:tcW w:w="1379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Premiers chiffres</w:t>
            </w:r>
          </w:p>
        </w:tc>
        <w:tc>
          <w:tcPr>
            <w:tcW w:w="1477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Nombre de chiffres</w:t>
            </w:r>
          </w:p>
        </w:tc>
        <w:tc>
          <w:tcPr>
            <w:tcW w:w="3379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171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  <w:tc>
          <w:tcPr>
            <w:tcW w:w="1099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Catégorie</w:t>
            </w:r>
          </w:p>
        </w:tc>
      </w:tr>
      <w:tr w:rsidR="009971FC" w:rsidRPr="009971FC" w:rsidTr="004E748D">
        <w:trPr>
          <w:tblHeader/>
          <w:jc w:val="center"/>
        </w:trPr>
        <w:tc>
          <w:tcPr>
            <w:tcW w:w="1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960</w:t>
            </w:r>
          </w:p>
        </w:tc>
        <w:tc>
          <w:tcPr>
            <w:tcW w:w="1477" w:type="dxa"/>
            <w:vMerge w:val="restart"/>
            <w:vAlign w:val="center"/>
          </w:tcPr>
          <w:p w:rsidR="009971FC" w:rsidRPr="009971FC" w:rsidRDefault="009971FC" w:rsidP="009971FC">
            <w:pPr>
              <w:pStyle w:val="Tabletext0"/>
              <w:jc w:val="center"/>
            </w:pPr>
            <w:r w:rsidRPr="009971FC">
              <w:t>4</w:t>
            </w:r>
          </w:p>
        </w:tc>
        <w:tc>
          <w:tcPr>
            <w:tcW w:w="3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Services </w:t>
            </w:r>
            <w:proofErr w:type="spellStart"/>
            <w:r w:rsidRPr="009971FC">
              <w:t>transréseaux</w:t>
            </w:r>
            <w:proofErr w:type="spellEnd"/>
            <w:r w:rsidRPr="009971FC">
              <w:t xml:space="preserve"> (voir A.3)</w:t>
            </w:r>
          </w:p>
        </w:tc>
        <w:tc>
          <w:tcPr>
            <w:tcW w:w="117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Voir A.3</w:t>
            </w:r>
          </w:p>
        </w:tc>
        <w:tc>
          <w:tcPr>
            <w:tcW w:w="109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 ou 2</w:t>
            </w:r>
          </w:p>
        </w:tc>
      </w:tr>
      <w:tr w:rsidR="009971FC" w:rsidRPr="009971FC" w:rsidTr="004E748D">
        <w:trPr>
          <w:tblHeader/>
          <w:jc w:val="center"/>
        </w:trPr>
        <w:tc>
          <w:tcPr>
            <w:tcW w:w="1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96(1-2)</w:t>
            </w:r>
          </w:p>
        </w:tc>
        <w:tc>
          <w:tcPr>
            <w:tcW w:w="1477" w:type="dxa"/>
            <w:vMerge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3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propres au réseau</w:t>
            </w:r>
          </w:p>
        </w:tc>
        <w:tc>
          <w:tcPr>
            <w:tcW w:w="117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2D5D40" w:rsidRPr="009971FC">
              <w:t>ous</w:t>
            </w:r>
          </w:p>
        </w:tc>
        <w:tc>
          <w:tcPr>
            <w:tcW w:w="109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</w:t>
            </w:r>
          </w:p>
        </w:tc>
      </w:tr>
      <w:tr w:rsidR="009971FC" w:rsidRPr="009971FC" w:rsidTr="004E748D">
        <w:trPr>
          <w:tblHeader/>
          <w:jc w:val="center"/>
        </w:trPr>
        <w:tc>
          <w:tcPr>
            <w:tcW w:w="1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963</w:t>
            </w:r>
          </w:p>
        </w:tc>
        <w:tc>
          <w:tcPr>
            <w:tcW w:w="1477" w:type="dxa"/>
            <w:vMerge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3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Services </w:t>
            </w:r>
            <w:proofErr w:type="spellStart"/>
            <w:r w:rsidRPr="009971FC">
              <w:t>transréseaux</w:t>
            </w:r>
            <w:proofErr w:type="spellEnd"/>
          </w:p>
        </w:tc>
        <w:tc>
          <w:tcPr>
            <w:tcW w:w="117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09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N/A</w:t>
            </w:r>
          </w:p>
        </w:tc>
      </w:tr>
      <w:tr w:rsidR="009971FC" w:rsidRPr="009971FC" w:rsidTr="004E748D">
        <w:trPr>
          <w:tblHeader/>
          <w:jc w:val="center"/>
        </w:trPr>
        <w:tc>
          <w:tcPr>
            <w:tcW w:w="1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96(4-5)</w:t>
            </w:r>
          </w:p>
        </w:tc>
        <w:tc>
          <w:tcPr>
            <w:tcW w:w="1477" w:type="dxa"/>
            <w:vMerge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3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propres au réseau</w:t>
            </w:r>
          </w:p>
        </w:tc>
        <w:tc>
          <w:tcPr>
            <w:tcW w:w="117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145620" w:rsidRPr="009971FC">
              <w:t>ous</w:t>
            </w:r>
          </w:p>
        </w:tc>
        <w:tc>
          <w:tcPr>
            <w:tcW w:w="109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</w:t>
            </w:r>
          </w:p>
        </w:tc>
      </w:tr>
      <w:tr w:rsidR="009971FC" w:rsidRPr="009971FC" w:rsidTr="004E748D">
        <w:trPr>
          <w:tblHeader/>
          <w:jc w:val="center"/>
        </w:trPr>
        <w:tc>
          <w:tcPr>
            <w:tcW w:w="1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966</w:t>
            </w:r>
          </w:p>
        </w:tc>
        <w:tc>
          <w:tcPr>
            <w:tcW w:w="1477" w:type="dxa"/>
            <w:vMerge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3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 xml:space="preserve">Services </w:t>
            </w:r>
            <w:proofErr w:type="spellStart"/>
            <w:r w:rsidRPr="009971FC">
              <w:t>transréseaux</w:t>
            </w:r>
            <w:proofErr w:type="spellEnd"/>
          </w:p>
        </w:tc>
        <w:tc>
          <w:tcPr>
            <w:tcW w:w="117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Réservé</w:t>
            </w:r>
          </w:p>
        </w:tc>
        <w:tc>
          <w:tcPr>
            <w:tcW w:w="109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N/A</w:t>
            </w:r>
          </w:p>
        </w:tc>
      </w:tr>
      <w:tr w:rsidR="009971FC" w:rsidRPr="009971FC" w:rsidTr="004E748D">
        <w:trPr>
          <w:tblHeader/>
          <w:jc w:val="center"/>
        </w:trPr>
        <w:tc>
          <w:tcPr>
            <w:tcW w:w="1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96(7-9)</w:t>
            </w:r>
          </w:p>
        </w:tc>
        <w:tc>
          <w:tcPr>
            <w:tcW w:w="1477" w:type="dxa"/>
            <w:vMerge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337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Services propres au réseau</w:t>
            </w:r>
          </w:p>
        </w:tc>
        <w:tc>
          <w:tcPr>
            <w:tcW w:w="117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145620" w:rsidRPr="009971FC">
              <w:t>ous</w:t>
            </w:r>
          </w:p>
        </w:tc>
        <w:tc>
          <w:tcPr>
            <w:tcW w:w="109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3</w:t>
            </w:r>
          </w:p>
        </w:tc>
      </w:tr>
    </w:tbl>
    <w:p w:rsidR="009971FC" w:rsidRPr="009971FC" w:rsidRDefault="009971FC" w:rsidP="009971FC"/>
    <w:tbl>
      <w:tblPr>
        <w:tblW w:w="8998" w:type="dxa"/>
        <w:jc w:val="center"/>
        <w:tblInd w:w="-151" w:type="dxa"/>
        <w:tblLook w:val="04A0"/>
      </w:tblPr>
      <w:tblGrid>
        <w:gridCol w:w="1599"/>
        <w:gridCol w:w="7399"/>
      </w:tblGrid>
      <w:tr w:rsidR="009971FC" w:rsidRPr="00B638EE" w:rsidTr="009971FC">
        <w:trPr>
          <w:tblHeader/>
          <w:jc w:val="center"/>
        </w:trPr>
        <w:tc>
          <w:tcPr>
            <w:tcW w:w="1599" w:type="dxa"/>
          </w:tcPr>
          <w:p w:rsidR="009971FC" w:rsidRPr="009971FC" w:rsidRDefault="009971FC" w:rsidP="009971FC">
            <w:proofErr w:type="spellStart"/>
            <w:r w:rsidRPr="009971FC">
              <w:t>Catégorie</w:t>
            </w:r>
            <w:proofErr w:type="spellEnd"/>
            <w:r w:rsidRPr="009971FC">
              <w:t xml:space="preserve"> 1</w:t>
            </w:r>
          </w:p>
        </w:tc>
        <w:tc>
          <w:tcPr>
            <w:tcW w:w="7399" w:type="dxa"/>
          </w:tcPr>
          <w:p w:rsidR="009971FC" w:rsidRPr="009971FC" w:rsidRDefault="009971FC" w:rsidP="009971FC">
            <w:pPr>
              <w:rPr>
                <w:lang w:val="fr-CH"/>
              </w:rPr>
            </w:pPr>
            <w:r w:rsidRPr="009971FC">
              <w:rPr>
                <w:lang w:val="fr-CH"/>
              </w:rPr>
              <w:t>Indicatifs universellement accessibles et universellement attribués à tous les opérateurs</w:t>
            </w:r>
            <w:r w:rsidR="002C2803">
              <w:rPr>
                <w:lang w:val="fr-CH"/>
              </w:rPr>
              <w:t xml:space="preserve"> </w:t>
            </w:r>
          </w:p>
        </w:tc>
      </w:tr>
      <w:tr w:rsidR="009971FC" w:rsidRPr="00B638EE" w:rsidTr="009971FC">
        <w:trPr>
          <w:tblHeader/>
          <w:jc w:val="center"/>
        </w:trPr>
        <w:tc>
          <w:tcPr>
            <w:tcW w:w="1599" w:type="dxa"/>
          </w:tcPr>
          <w:p w:rsidR="009971FC" w:rsidRPr="009971FC" w:rsidRDefault="009971FC" w:rsidP="009971FC">
            <w:proofErr w:type="spellStart"/>
            <w:r w:rsidRPr="009971FC">
              <w:t>Catégorie</w:t>
            </w:r>
            <w:proofErr w:type="spellEnd"/>
            <w:r w:rsidRPr="009971FC">
              <w:t xml:space="preserve"> 2</w:t>
            </w:r>
          </w:p>
        </w:tc>
        <w:tc>
          <w:tcPr>
            <w:tcW w:w="7399" w:type="dxa"/>
          </w:tcPr>
          <w:p w:rsidR="009971FC" w:rsidRPr="009971FC" w:rsidRDefault="009971FC" w:rsidP="009971FC">
            <w:pPr>
              <w:rPr>
                <w:lang w:val="fr-CH"/>
              </w:rPr>
            </w:pPr>
            <w:r w:rsidRPr="009971FC">
              <w:rPr>
                <w:lang w:val="fr-CH"/>
              </w:rPr>
              <w:t>Indicatifs universellement accessibles et attribués à un seul opérateur</w:t>
            </w:r>
          </w:p>
        </w:tc>
      </w:tr>
      <w:tr w:rsidR="009971FC" w:rsidRPr="00B638EE" w:rsidTr="009971FC">
        <w:trPr>
          <w:tblHeader/>
          <w:jc w:val="center"/>
        </w:trPr>
        <w:tc>
          <w:tcPr>
            <w:tcW w:w="1599" w:type="dxa"/>
          </w:tcPr>
          <w:p w:rsidR="009971FC" w:rsidRPr="009971FC" w:rsidRDefault="009971FC" w:rsidP="009971FC">
            <w:proofErr w:type="spellStart"/>
            <w:r w:rsidRPr="009971FC">
              <w:t>Catégorie</w:t>
            </w:r>
            <w:proofErr w:type="spellEnd"/>
            <w:r w:rsidRPr="009971FC">
              <w:t xml:space="preserve"> 3</w:t>
            </w:r>
          </w:p>
        </w:tc>
        <w:tc>
          <w:tcPr>
            <w:tcW w:w="7399" w:type="dxa"/>
          </w:tcPr>
          <w:p w:rsidR="009971FC" w:rsidRPr="009971FC" w:rsidRDefault="009971FC" w:rsidP="009971FC">
            <w:pPr>
              <w:rPr>
                <w:lang w:val="fr-CH"/>
              </w:rPr>
            </w:pPr>
            <w:r w:rsidRPr="009971FC">
              <w:rPr>
                <w:lang w:val="fr-CH"/>
              </w:rPr>
              <w:t>Indicatifs qui ne seront généralement pas transmis d'un réseau à l'autre et qui sont universellement attribués à tous les opérateurs</w:t>
            </w:r>
          </w:p>
        </w:tc>
      </w:tr>
    </w:tbl>
    <w:p w:rsidR="009971FC" w:rsidRPr="009971FC" w:rsidRDefault="009971FC" w:rsidP="009971FC">
      <w:pPr>
        <w:rPr>
          <w:lang w:val="fr-CH"/>
        </w:rPr>
      </w:pPr>
    </w:p>
    <w:p w:rsidR="009971FC" w:rsidRPr="009971FC" w:rsidRDefault="009971FC" w:rsidP="009971FC">
      <w:pPr>
        <w:rPr>
          <w:lang w:val="fr-CH"/>
        </w:rPr>
      </w:pPr>
      <w:r w:rsidRPr="009971FC">
        <w:rPr>
          <w:lang w:val="fr-CH"/>
        </w:rPr>
        <w:t>A.3</w:t>
      </w:r>
      <w:r w:rsidRPr="009971FC">
        <w:rPr>
          <w:lang w:val="fr-CH"/>
        </w:rPr>
        <w:tab/>
        <w:t xml:space="preserve">Numéros courts pour les services VAS SMS/MMS </w:t>
      </w:r>
      <w:proofErr w:type="spellStart"/>
      <w:r w:rsidRPr="009971FC">
        <w:rPr>
          <w:lang w:val="fr-CH"/>
        </w:rPr>
        <w:t>transréseaux</w:t>
      </w:r>
      <w:proofErr w:type="spellEnd"/>
    </w:p>
    <w:p w:rsidR="009971FC" w:rsidRPr="009971FC" w:rsidRDefault="009971FC" w:rsidP="009971FC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5353"/>
        <w:gridCol w:w="1001"/>
        <w:gridCol w:w="1329"/>
      </w:tblGrid>
      <w:tr w:rsidR="009971FC" w:rsidRPr="009971FC" w:rsidTr="004E748D">
        <w:trPr>
          <w:tblHeader/>
          <w:jc w:val="center"/>
        </w:trPr>
        <w:tc>
          <w:tcPr>
            <w:tcW w:w="1389" w:type="dxa"/>
          </w:tcPr>
          <w:p w:rsidR="009971FC" w:rsidRPr="009971FC" w:rsidRDefault="009971FC" w:rsidP="009971FC">
            <w:pPr>
              <w:pStyle w:val="Tablehead0"/>
            </w:pPr>
            <w:r w:rsidRPr="009971FC">
              <w:t>Indicatif</w:t>
            </w:r>
          </w:p>
        </w:tc>
        <w:tc>
          <w:tcPr>
            <w:tcW w:w="5353" w:type="dxa"/>
          </w:tcPr>
          <w:p w:rsidR="009971FC" w:rsidRPr="009971FC" w:rsidRDefault="009971FC" w:rsidP="009971FC">
            <w:pPr>
              <w:pStyle w:val="Tablehead0"/>
            </w:pPr>
            <w:r w:rsidRPr="009971FC">
              <w:t>Type de services</w:t>
            </w:r>
          </w:p>
        </w:tc>
        <w:tc>
          <w:tcPr>
            <w:tcW w:w="1001" w:type="dxa"/>
          </w:tcPr>
          <w:p w:rsidR="009971FC" w:rsidRPr="009971FC" w:rsidRDefault="009971FC" w:rsidP="009971FC">
            <w:pPr>
              <w:pStyle w:val="Tablehead0"/>
            </w:pPr>
            <w:r w:rsidRPr="009971FC">
              <w:t>Statut</w:t>
            </w:r>
          </w:p>
        </w:tc>
        <w:tc>
          <w:tcPr>
            <w:tcW w:w="1329" w:type="dxa"/>
          </w:tcPr>
          <w:p w:rsidR="009971FC" w:rsidRPr="009971FC" w:rsidRDefault="009971FC" w:rsidP="009971FC">
            <w:pPr>
              <w:pStyle w:val="Tablehead0"/>
            </w:pPr>
            <w:r w:rsidRPr="009971FC">
              <w:t>Catégorie</w:t>
            </w:r>
          </w:p>
        </w:tc>
      </w:tr>
      <w:tr w:rsidR="009971FC" w:rsidRPr="009971FC" w:rsidTr="004E748D">
        <w:trPr>
          <w:tblHeader/>
          <w:jc w:val="center"/>
        </w:trPr>
        <w:tc>
          <w:tcPr>
            <w:tcW w:w="138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9600</w:t>
            </w:r>
          </w:p>
        </w:tc>
        <w:tc>
          <w:tcPr>
            <w:tcW w:w="535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Service d'information pour l'inscription sur les listes électorales du Bureau du Commissaire électoral (ECO)</w:t>
            </w:r>
          </w:p>
        </w:tc>
        <w:tc>
          <w:tcPr>
            <w:tcW w:w="1001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T</w:t>
            </w:r>
            <w:r w:rsidR="00145620" w:rsidRPr="009971FC">
              <w:t>ous</w:t>
            </w:r>
          </w:p>
        </w:tc>
        <w:tc>
          <w:tcPr>
            <w:tcW w:w="132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1</w:t>
            </w:r>
          </w:p>
        </w:tc>
      </w:tr>
      <w:tr w:rsidR="009971FC" w:rsidRPr="009971FC" w:rsidTr="004E748D">
        <w:trPr>
          <w:tblHeader/>
          <w:jc w:val="center"/>
        </w:trPr>
        <w:tc>
          <w:tcPr>
            <w:tcW w:w="1389" w:type="dxa"/>
            <w:vAlign w:val="center"/>
          </w:tcPr>
          <w:p w:rsidR="009971FC" w:rsidRPr="009971FC" w:rsidRDefault="009971FC" w:rsidP="009971FC">
            <w:pPr>
              <w:pStyle w:val="Tabletext0"/>
              <w:rPr>
                <w:lang w:val="en-GB"/>
              </w:rPr>
            </w:pPr>
            <w:r w:rsidRPr="009971FC">
              <w:rPr>
                <w:lang w:val="en-GB"/>
              </w:rPr>
              <w:t>9601</w:t>
            </w:r>
          </w:p>
        </w:tc>
        <w:tc>
          <w:tcPr>
            <w:tcW w:w="5353" w:type="dxa"/>
            <w:vAlign w:val="center"/>
          </w:tcPr>
          <w:p w:rsidR="009971FC" w:rsidRPr="00B638EE" w:rsidRDefault="00E760F4" w:rsidP="00B638EE">
            <w:pPr>
              <w:pStyle w:val="Tabletext0"/>
            </w:pPr>
            <w:r>
              <w:t>Service d’information</w:t>
            </w:r>
            <w:r w:rsidR="00B638EE" w:rsidRPr="00B638EE">
              <w:t xml:space="preserve"> de Licence</w:t>
            </w:r>
            <w:r w:rsidR="00B638EE">
              <w:t xml:space="preserve"> </w:t>
            </w:r>
            <w:r w:rsidR="009971FC" w:rsidRPr="00B638EE">
              <w:t xml:space="preserve">Seychelles </w:t>
            </w:r>
            <w:proofErr w:type="spellStart"/>
            <w:r w:rsidR="009971FC" w:rsidRPr="00B638EE">
              <w:t>Licensing</w:t>
            </w:r>
            <w:proofErr w:type="spellEnd"/>
            <w:r w:rsidR="009971FC" w:rsidRPr="00B638EE">
              <w:t xml:space="preserve"> </w:t>
            </w:r>
            <w:proofErr w:type="spellStart"/>
            <w:r w:rsidR="009971FC" w:rsidRPr="00B638EE">
              <w:t>Authority’s</w:t>
            </w:r>
            <w:proofErr w:type="spellEnd"/>
            <w:r w:rsidR="009971FC" w:rsidRPr="00B638EE">
              <w:t xml:space="preserve"> (SLA) </w:t>
            </w:r>
          </w:p>
        </w:tc>
        <w:tc>
          <w:tcPr>
            <w:tcW w:w="1001" w:type="dxa"/>
            <w:vAlign w:val="center"/>
          </w:tcPr>
          <w:p w:rsidR="009971FC" w:rsidRPr="009971FC" w:rsidRDefault="009971FC" w:rsidP="009971FC">
            <w:pPr>
              <w:pStyle w:val="Tabletext0"/>
              <w:rPr>
                <w:lang w:val="en-GB"/>
              </w:rPr>
            </w:pPr>
            <w:proofErr w:type="spellStart"/>
            <w:r w:rsidRPr="009971FC">
              <w:rPr>
                <w:lang w:val="en-GB"/>
              </w:rPr>
              <w:t>Tous</w:t>
            </w:r>
            <w:proofErr w:type="spellEnd"/>
          </w:p>
        </w:tc>
        <w:tc>
          <w:tcPr>
            <w:tcW w:w="1329" w:type="dxa"/>
            <w:vAlign w:val="center"/>
          </w:tcPr>
          <w:p w:rsidR="009971FC" w:rsidRPr="009971FC" w:rsidRDefault="009971FC" w:rsidP="009971FC">
            <w:pPr>
              <w:pStyle w:val="Tabletext0"/>
              <w:rPr>
                <w:lang w:val="en-GB"/>
              </w:rPr>
            </w:pPr>
            <w:r w:rsidRPr="009971FC">
              <w:rPr>
                <w:lang w:val="en-GB"/>
              </w:rPr>
              <w:t>1</w:t>
            </w:r>
          </w:p>
        </w:tc>
      </w:tr>
      <w:tr w:rsidR="009971FC" w:rsidRPr="009971FC" w:rsidTr="004E748D">
        <w:trPr>
          <w:tblHeader/>
          <w:jc w:val="center"/>
        </w:trPr>
        <w:tc>
          <w:tcPr>
            <w:tcW w:w="1389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960(2-9)</w:t>
            </w:r>
          </w:p>
        </w:tc>
        <w:tc>
          <w:tcPr>
            <w:tcW w:w="535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Non attribué</w:t>
            </w:r>
          </w:p>
        </w:tc>
        <w:tc>
          <w:tcPr>
            <w:tcW w:w="1001" w:type="dxa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1329" w:type="dxa"/>
          </w:tcPr>
          <w:p w:rsidR="009971FC" w:rsidRPr="009971FC" w:rsidRDefault="009971FC" w:rsidP="009971FC">
            <w:pPr>
              <w:pStyle w:val="Tabletext0"/>
            </w:pPr>
          </w:p>
        </w:tc>
      </w:tr>
      <w:bookmarkEnd w:id="184"/>
    </w:tbl>
    <w:p w:rsidR="009971FC" w:rsidRPr="009971FC" w:rsidRDefault="009971FC" w:rsidP="009971FC"/>
    <w:p w:rsidR="009971FC" w:rsidRPr="009971FC" w:rsidRDefault="009971FC" w:rsidP="009971FC">
      <w:r w:rsidRPr="009971FC">
        <w:t>Contact:</w:t>
      </w:r>
    </w:p>
    <w:p w:rsidR="009971FC" w:rsidRPr="009971FC" w:rsidRDefault="009971FC" w:rsidP="009971FC">
      <w:pPr>
        <w:ind w:left="567" w:hanging="567"/>
        <w:jc w:val="left"/>
      </w:pPr>
      <w:r w:rsidRPr="009971FC">
        <w:tab/>
        <w:t>Ministry of National Development</w:t>
      </w:r>
      <w:r w:rsidRPr="009971FC">
        <w:br/>
        <w:t xml:space="preserve">Department of Information Communications Technology </w:t>
      </w:r>
      <w:r w:rsidRPr="009971FC">
        <w:br/>
        <w:t>Communications Division</w:t>
      </w:r>
      <w:r w:rsidRPr="009971FC">
        <w:br/>
        <w:t xml:space="preserve">P.O. Box 737 </w:t>
      </w:r>
      <w:r w:rsidRPr="009971FC">
        <w:br/>
        <w:t>3</w:t>
      </w:r>
      <w:r w:rsidRPr="00145620">
        <w:rPr>
          <w:vertAlign w:val="superscript"/>
        </w:rPr>
        <w:t>rd</w:t>
      </w:r>
      <w:r w:rsidRPr="009971FC">
        <w:t xml:space="preserve"> Floor, </w:t>
      </w:r>
      <w:proofErr w:type="spellStart"/>
      <w:r w:rsidRPr="009971FC">
        <w:t>Caravelle</w:t>
      </w:r>
      <w:proofErr w:type="spellEnd"/>
      <w:r w:rsidRPr="009971FC">
        <w:t xml:space="preserve"> House</w:t>
      </w:r>
      <w:r w:rsidRPr="009971FC">
        <w:br/>
      </w:r>
      <w:proofErr w:type="spellStart"/>
      <w:r w:rsidRPr="009971FC">
        <w:t>Manglier</w:t>
      </w:r>
      <w:proofErr w:type="spellEnd"/>
      <w:r w:rsidRPr="009971FC">
        <w:t xml:space="preserve"> Street</w:t>
      </w:r>
      <w:r w:rsidRPr="009971FC">
        <w:br/>
        <w:t>VICTORIA</w:t>
      </w:r>
      <w:r w:rsidRPr="009971FC">
        <w:br/>
        <w:t>Seychelles</w:t>
      </w:r>
      <w:r w:rsidRPr="009971FC">
        <w:br/>
      </w:r>
      <w:proofErr w:type="spellStart"/>
      <w:r w:rsidR="002E1365">
        <w:t>Tél</w:t>
      </w:r>
      <w:proofErr w:type="spellEnd"/>
      <w:r w:rsidR="002E1365">
        <w:t>:</w:t>
      </w:r>
      <w:r w:rsidRPr="009971FC">
        <w:tab/>
        <w:t>+248 4 286 600 </w:t>
      </w:r>
      <w:r w:rsidRPr="009971FC">
        <w:br/>
        <w:t>Fax:</w:t>
      </w:r>
      <w:r w:rsidRPr="009971FC">
        <w:tab/>
        <w:t>+248 4 225 325</w:t>
      </w:r>
      <w:r w:rsidRPr="009971FC">
        <w:br/>
        <w:t>E-mail:</w:t>
      </w:r>
      <w:r w:rsidRPr="009971FC">
        <w:tab/>
        <w:t>communications@ict.gov.sc</w:t>
      </w:r>
    </w:p>
    <w:p w:rsidR="009971FC" w:rsidRPr="009971FC" w:rsidRDefault="009971FC" w:rsidP="009971FC">
      <w:pPr>
        <w:rPr>
          <w:b/>
          <w:bCs/>
          <w:lang w:val="fr-CH"/>
        </w:rPr>
      </w:pPr>
      <w:bookmarkStart w:id="185" w:name="_Toc218929447"/>
      <w:r w:rsidRPr="009971FC">
        <w:rPr>
          <w:b/>
          <w:bCs/>
          <w:lang w:val="fr-CH"/>
        </w:rPr>
        <w:lastRenderedPageBreak/>
        <w:t>Salomon (Iles) (indicatif de pays +677)</w:t>
      </w:r>
    </w:p>
    <w:p w:rsidR="009971FC" w:rsidRPr="009971FC" w:rsidRDefault="009971FC" w:rsidP="002C47FF">
      <w:pPr>
        <w:spacing w:before="0"/>
        <w:rPr>
          <w:bCs/>
          <w:lang w:val="fr-CH"/>
        </w:rPr>
      </w:pPr>
      <w:r w:rsidRPr="009971FC">
        <w:rPr>
          <w:bCs/>
          <w:lang w:val="fr-CH"/>
        </w:rPr>
        <w:t>Communication du 9.XII.2011:</w:t>
      </w:r>
    </w:p>
    <w:p w:rsidR="009971FC" w:rsidRPr="009971FC" w:rsidRDefault="009971FC" w:rsidP="009971FC">
      <w:pPr>
        <w:rPr>
          <w:lang w:val="fr-CH"/>
        </w:rPr>
      </w:pPr>
      <w:r w:rsidRPr="009971FC">
        <w:rPr>
          <w:lang w:val="fr-FR"/>
        </w:rPr>
        <w:t>La</w:t>
      </w:r>
      <w:r w:rsidRPr="009971FC">
        <w:rPr>
          <w:i/>
          <w:iCs/>
          <w:lang w:val="fr-FR"/>
        </w:rPr>
        <w:t xml:space="preserve"> </w:t>
      </w:r>
      <w:proofErr w:type="spellStart"/>
      <w:r w:rsidRPr="009971FC">
        <w:rPr>
          <w:i/>
          <w:iCs/>
          <w:lang w:val="fr-FR"/>
        </w:rPr>
        <w:t>Telecommunications</w:t>
      </w:r>
      <w:proofErr w:type="spellEnd"/>
      <w:r w:rsidRPr="009971FC">
        <w:rPr>
          <w:i/>
          <w:iCs/>
          <w:lang w:val="fr-FR"/>
        </w:rPr>
        <w:t xml:space="preserve"> Commission (TCSI)</w:t>
      </w:r>
      <w:r w:rsidRPr="009971FC">
        <w:rPr>
          <w:lang w:val="fr-FR"/>
        </w:rPr>
        <w:t>, Honiara</w:t>
      </w:r>
      <w:r w:rsidRPr="009971FC">
        <w:rPr>
          <w:lang w:val="fr-CH"/>
        </w:rPr>
        <w:t xml:space="preserve">, annonce l’ouverture d’une série supplémentaire de numéros à sept chiffres GSM </w:t>
      </w:r>
      <w:r w:rsidRPr="009971FC">
        <w:rPr>
          <w:bCs/>
          <w:lang w:val="fr-CH"/>
        </w:rPr>
        <w:t xml:space="preserve">à prépaiement </w:t>
      </w:r>
      <w:r w:rsidRPr="009971FC">
        <w:rPr>
          <w:lang w:val="fr-CH"/>
        </w:rPr>
        <w:t>pour Honiara et d’autres Provinces dans les Iles Salomon.</w:t>
      </w:r>
    </w:p>
    <w:bookmarkEnd w:id="185"/>
    <w:p w:rsidR="009971FC" w:rsidRDefault="009971FC" w:rsidP="009971FC">
      <w:r w:rsidRPr="009971FC">
        <w:t>Service GSM – Solomon Telekom Company Limited</w:t>
      </w:r>
    </w:p>
    <w:p w:rsidR="00DA4876" w:rsidRPr="009971FC" w:rsidRDefault="00DA4876" w:rsidP="009971FC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83"/>
        <w:gridCol w:w="1245"/>
        <w:gridCol w:w="1124"/>
        <w:gridCol w:w="2807"/>
        <w:gridCol w:w="2013"/>
      </w:tblGrid>
      <w:tr w:rsidR="009971FC" w:rsidRPr="009971FC" w:rsidTr="00565516">
        <w:trPr>
          <w:tblHeader/>
          <w:jc w:val="center"/>
        </w:trPr>
        <w:tc>
          <w:tcPr>
            <w:tcW w:w="1883" w:type="dxa"/>
            <w:tcBorders>
              <w:bottom w:val="nil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(1)</w:t>
            </w:r>
          </w:p>
        </w:tc>
        <w:tc>
          <w:tcPr>
            <w:tcW w:w="2369" w:type="dxa"/>
            <w:gridSpan w:val="2"/>
            <w:tcBorders>
              <w:bottom w:val="nil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(2)</w:t>
            </w:r>
          </w:p>
        </w:tc>
        <w:tc>
          <w:tcPr>
            <w:tcW w:w="2807" w:type="dxa"/>
            <w:tcBorders>
              <w:bottom w:val="nil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(3)</w:t>
            </w:r>
          </w:p>
        </w:tc>
        <w:tc>
          <w:tcPr>
            <w:tcW w:w="2013" w:type="dxa"/>
            <w:tcBorders>
              <w:bottom w:val="nil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(4)</w:t>
            </w:r>
          </w:p>
        </w:tc>
      </w:tr>
      <w:tr w:rsidR="009971FC" w:rsidRPr="009971FC" w:rsidTr="00565516">
        <w:trPr>
          <w:trHeight w:val="20"/>
          <w:tblHeader/>
          <w:jc w:val="center"/>
        </w:trPr>
        <w:tc>
          <w:tcPr>
            <w:tcW w:w="1883" w:type="dxa"/>
            <w:vMerge w:val="restart"/>
            <w:tcBorders>
              <w:top w:val="nil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NDC (indicatif national de destination ou premiers chiffres du N(S)N (numéro (significatif) national)</w:t>
            </w:r>
          </w:p>
        </w:tc>
        <w:tc>
          <w:tcPr>
            <w:tcW w:w="2369" w:type="dxa"/>
            <w:gridSpan w:val="2"/>
            <w:tcBorders>
              <w:top w:val="nil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Longueur du numéro N(S)N</w:t>
            </w:r>
            <w:r w:rsidRPr="009971FC">
              <w:br/>
            </w:r>
          </w:p>
        </w:tc>
        <w:tc>
          <w:tcPr>
            <w:tcW w:w="2807" w:type="dxa"/>
            <w:vMerge w:val="restart"/>
            <w:tcBorders>
              <w:top w:val="nil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Utilisation du numéro E.164</w:t>
            </w:r>
          </w:p>
        </w:tc>
        <w:tc>
          <w:tcPr>
            <w:tcW w:w="2013" w:type="dxa"/>
            <w:vMerge w:val="restart"/>
            <w:tcBorders>
              <w:top w:val="nil"/>
            </w:tcBorders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Informations additionnelles</w:t>
            </w:r>
          </w:p>
        </w:tc>
      </w:tr>
      <w:tr w:rsidR="009971FC" w:rsidRPr="009971FC" w:rsidTr="00565516">
        <w:trPr>
          <w:trHeight w:val="601"/>
          <w:tblHeader/>
          <w:jc w:val="center"/>
        </w:trPr>
        <w:tc>
          <w:tcPr>
            <w:tcW w:w="1883" w:type="dxa"/>
            <w:vMerge/>
            <w:vAlign w:val="center"/>
          </w:tcPr>
          <w:p w:rsidR="009971FC" w:rsidRPr="009971FC" w:rsidRDefault="009971FC" w:rsidP="009971FC">
            <w:pPr>
              <w:pStyle w:val="Tabletext0"/>
            </w:pPr>
          </w:p>
        </w:tc>
        <w:tc>
          <w:tcPr>
            <w:tcW w:w="1245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Longueur maximale</w:t>
            </w:r>
          </w:p>
        </w:tc>
        <w:tc>
          <w:tcPr>
            <w:tcW w:w="1124" w:type="dxa"/>
            <w:vAlign w:val="center"/>
          </w:tcPr>
          <w:p w:rsidR="009971FC" w:rsidRPr="009971FC" w:rsidRDefault="009971FC" w:rsidP="009971FC">
            <w:pPr>
              <w:pStyle w:val="Tablehead0"/>
            </w:pPr>
            <w:r w:rsidRPr="009971FC">
              <w:t>Longueur minimale</w:t>
            </w:r>
          </w:p>
        </w:tc>
        <w:tc>
          <w:tcPr>
            <w:tcW w:w="2807" w:type="dxa"/>
            <w:vMerge/>
            <w:vAlign w:val="center"/>
          </w:tcPr>
          <w:p w:rsidR="009971FC" w:rsidRPr="009971FC" w:rsidRDefault="009971FC" w:rsidP="009971FC">
            <w:pPr>
              <w:pStyle w:val="Tabletext0"/>
              <w:rPr>
                <w:b/>
              </w:rPr>
            </w:pPr>
          </w:p>
        </w:tc>
        <w:tc>
          <w:tcPr>
            <w:tcW w:w="2013" w:type="dxa"/>
            <w:vMerge/>
            <w:vAlign w:val="center"/>
          </w:tcPr>
          <w:p w:rsidR="009971FC" w:rsidRPr="009971FC" w:rsidRDefault="009971FC" w:rsidP="009971FC">
            <w:pPr>
              <w:pStyle w:val="Tabletext0"/>
              <w:rPr>
                <w:b/>
              </w:rPr>
            </w:pPr>
          </w:p>
        </w:tc>
      </w:tr>
      <w:tr w:rsidR="009971FC" w:rsidRPr="009971FC" w:rsidTr="00565516">
        <w:trPr>
          <w:trHeight w:val="20"/>
          <w:tblHeader/>
          <w:jc w:val="center"/>
        </w:trPr>
        <w:tc>
          <w:tcPr>
            <w:tcW w:w="1883" w:type="dxa"/>
          </w:tcPr>
          <w:p w:rsidR="009971FC" w:rsidRPr="009971FC" w:rsidRDefault="009971FC" w:rsidP="009971FC">
            <w:pPr>
              <w:pStyle w:val="Tabletext0"/>
            </w:pPr>
            <w:r w:rsidRPr="009971FC">
              <w:t>76 40000 – 76 49999</w:t>
            </w:r>
          </w:p>
        </w:tc>
        <w:tc>
          <w:tcPr>
            <w:tcW w:w="1245" w:type="dxa"/>
          </w:tcPr>
          <w:p w:rsidR="009971FC" w:rsidRPr="009971FC" w:rsidRDefault="009971FC" w:rsidP="009971FC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1124" w:type="dxa"/>
          </w:tcPr>
          <w:p w:rsidR="009971FC" w:rsidRPr="009971FC" w:rsidRDefault="009971FC" w:rsidP="009971FC">
            <w:pPr>
              <w:pStyle w:val="Tabletext0"/>
              <w:jc w:val="center"/>
            </w:pPr>
            <w:r w:rsidRPr="009971FC">
              <w:t>7</w:t>
            </w:r>
          </w:p>
        </w:tc>
        <w:tc>
          <w:tcPr>
            <w:tcW w:w="2807" w:type="dxa"/>
          </w:tcPr>
          <w:p w:rsidR="009971FC" w:rsidRPr="009971FC" w:rsidRDefault="009971FC" w:rsidP="009971FC">
            <w:pPr>
              <w:pStyle w:val="Tabletext0"/>
              <w:rPr>
                <w:lang w:val="fr-CH"/>
              </w:rPr>
            </w:pPr>
            <w:r w:rsidRPr="009971FC">
              <w:t>Numéro non géographique –digital mobile GSM à prépaiement</w:t>
            </w:r>
            <w:r w:rsidRPr="009971FC">
              <w:rPr>
                <w:lang w:val="fr-CH"/>
              </w:rPr>
              <w:t xml:space="preserve"> </w:t>
            </w:r>
          </w:p>
          <w:p w:rsidR="009971FC" w:rsidRPr="009971FC" w:rsidRDefault="009971FC" w:rsidP="009971FC">
            <w:pPr>
              <w:pStyle w:val="Tabletext0"/>
            </w:pPr>
            <w:r w:rsidRPr="009971FC">
              <w:t>Opérateur – Honiara et autres Provinces</w:t>
            </w:r>
          </w:p>
        </w:tc>
        <w:tc>
          <w:tcPr>
            <w:tcW w:w="2013" w:type="dxa"/>
          </w:tcPr>
          <w:p w:rsidR="009971FC" w:rsidRPr="009971FC" w:rsidRDefault="009971FC" w:rsidP="009971FC">
            <w:pPr>
              <w:pStyle w:val="Tabletext0"/>
            </w:pPr>
            <w:proofErr w:type="spellStart"/>
            <w:r w:rsidRPr="009971FC">
              <w:t>Solomon</w:t>
            </w:r>
            <w:proofErr w:type="spellEnd"/>
            <w:r w:rsidRPr="009971FC">
              <w:t xml:space="preserve"> Telekom </w:t>
            </w:r>
            <w:proofErr w:type="spellStart"/>
            <w:r w:rsidRPr="009971FC">
              <w:t>Company</w:t>
            </w:r>
            <w:proofErr w:type="spellEnd"/>
            <w:r w:rsidRPr="009971FC">
              <w:t xml:space="preserve"> Limited</w:t>
            </w:r>
          </w:p>
        </w:tc>
      </w:tr>
    </w:tbl>
    <w:p w:rsidR="009971FC" w:rsidRPr="009971FC" w:rsidRDefault="009971FC" w:rsidP="009971FC">
      <w:pPr>
        <w:rPr>
          <w:lang w:val="fr-FR"/>
        </w:rPr>
      </w:pPr>
      <w:r w:rsidRPr="009971FC">
        <w:rPr>
          <w:lang w:val="fr-FR"/>
        </w:rPr>
        <w:t>Il est demandé à toutes les administrations et aux exploitations reconnues (ER) de faire le nécessaire pour permettre aux abonnés d'avoir accès à la nouvelle numérotation.</w:t>
      </w:r>
    </w:p>
    <w:p w:rsidR="009971FC" w:rsidRPr="00E218A9" w:rsidRDefault="009971FC" w:rsidP="009971FC">
      <w:pPr>
        <w:rPr>
          <w:lang w:val="fr-CH"/>
        </w:rPr>
      </w:pPr>
      <w:r w:rsidRPr="00E218A9">
        <w:rPr>
          <w:lang w:val="fr-CH"/>
        </w:rPr>
        <w:t>Contacts:</w:t>
      </w:r>
    </w:p>
    <w:p w:rsidR="009971FC" w:rsidRPr="00E218A9" w:rsidRDefault="009971FC" w:rsidP="009971FC">
      <w:pPr>
        <w:rPr>
          <w:lang w:val="fr-CH"/>
        </w:rPr>
      </w:pPr>
      <w:r w:rsidRPr="00E218A9">
        <w:rPr>
          <w:lang w:val="fr-CH"/>
        </w:rPr>
        <w:t>Questions administratives:</w:t>
      </w:r>
    </w:p>
    <w:p w:rsidR="009971FC" w:rsidRPr="00E218A9" w:rsidRDefault="009971FC" w:rsidP="009971FC">
      <w:pPr>
        <w:ind w:left="567" w:hanging="567"/>
        <w:jc w:val="left"/>
        <w:rPr>
          <w:lang w:val="fr-CH"/>
        </w:rPr>
      </w:pPr>
      <w:r>
        <w:rPr>
          <w:lang w:val="fr-FR"/>
        </w:rPr>
        <w:tab/>
      </w:r>
      <w:proofErr w:type="spellStart"/>
      <w:r w:rsidRPr="009971FC">
        <w:rPr>
          <w:lang w:val="fr-FR"/>
        </w:rPr>
        <w:t>Telecommunications</w:t>
      </w:r>
      <w:proofErr w:type="spellEnd"/>
      <w:r w:rsidRPr="009971FC">
        <w:rPr>
          <w:lang w:val="fr-FR"/>
        </w:rPr>
        <w:t xml:space="preserve"> </w:t>
      </w:r>
      <w:proofErr w:type="spellStart"/>
      <w:r w:rsidRPr="009971FC">
        <w:rPr>
          <w:lang w:val="fr-FR"/>
        </w:rPr>
        <w:t>Commissioner</w:t>
      </w:r>
      <w:proofErr w:type="spellEnd"/>
      <w:r>
        <w:rPr>
          <w:lang w:val="fr-FR"/>
        </w:rPr>
        <w:br/>
      </w:r>
      <w:proofErr w:type="spellStart"/>
      <w:r w:rsidRPr="009971FC">
        <w:rPr>
          <w:lang w:val="fr-FR"/>
        </w:rPr>
        <w:t>Telecommunications</w:t>
      </w:r>
      <w:proofErr w:type="spellEnd"/>
      <w:r w:rsidRPr="009971FC">
        <w:rPr>
          <w:lang w:val="fr-FR"/>
        </w:rPr>
        <w:t xml:space="preserve"> Commission (TCSI)</w:t>
      </w:r>
      <w:r>
        <w:rPr>
          <w:lang w:val="fr-FR"/>
        </w:rPr>
        <w:br/>
      </w:r>
      <w:r w:rsidRPr="009971FC">
        <w:rPr>
          <w:lang w:val="fr-FR"/>
        </w:rPr>
        <w:t>PO Box 2180</w:t>
      </w:r>
      <w:r>
        <w:rPr>
          <w:lang w:val="fr-FR"/>
        </w:rPr>
        <w:br/>
      </w:r>
      <w:r w:rsidRPr="009971FC">
        <w:rPr>
          <w:lang w:val="fr-FR"/>
        </w:rPr>
        <w:t xml:space="preserve">HONIARA </w:t>
      </w:r>
      <w:r>
        <w:rPr>
          <w:lang w:val="fr-FR"/>
        </w:rPr>
        <w:br/>
      </w:r>
      <w:r w:rsidRPr="009971FC">
        <w:rPr>
          <w:lang w:val="fr-FR"/>
        </w:rPr>
        <w:t>Salomon (Iles)</w:t>
      </w:r>
      <w:r>
        <w:rPr>
          <w:lang w:val="fr-FR"/>
        </w:rPr>
        <w:br/>
      </w:r>
      <w:r w:rsidRPr="009971FC">
        <w:rPr>
          <w:lang w:val="fr-FR"/>
        </w:rPr>
        <w:t>Tél</w:t>
      </w:r>
      <w:r w:rsidR="00BE48E3">
        <w:rPr>
          <w:lang w:val="fr-FR"/>
        </w:rPr>
        <w:t>:</w:t>
      </w:r>
      <w:r w:rsidRPr="009971FC">
        <w:rPr>
          <w:lang w:val="fr-FR"/>
        </w:rPr>
        <w:t xml:space="preserve"> </w:t>
      </w:r>
      <w:r w:rsidRPr="009971FC">
        <w:rPr>
          <w:lang w:val="fr-FR"/>
        </w:rPr>
        <w:tab/>
        <w:t>+677 23862</w:t>
      </w:r>
      <w:r>
        <w:rPr>
          <w:lang w:val="fr-FR"/>
        </w:rPr>
        <w:br/>
      </w:r>
      <w:r w:rsidRPr="009971FC">
        <w:rPr>
          <w:lang w:val="fr-FR"/>
        </w:rPr>
        <w:t xml:space="preserve">Fax: </w:t>
      </w:r>
      <w:r w:rsidRPr="009971FC">
        <w:rPr>
          <w:lang w:val="fr-FR"/>
        </w:rPr>
        <w:tab/>
        <w:t>+677 23861</w:t>
      </w:r>
      <w:r>
        <w:rPr>
          <w:lang w:val="fr-FR"/>
        </w:rPr>
        <w:br/>
      </w:r>
      <w:r w:rsidRPr="009971FC">
        <w:rPr>
          <w:lang w:val="fr-FR"/>
        </w:rPr>
        <w:t xml:space="preserve">E-mail: </w:t>
      </w:r>
      <w:r w:rsidRPr="009971FC">
        <w:rPr>
          <w:lang w:val="fr-FR"/>
        </w:rPr>
        <w:tab/>
        <w:t>nicholas.williams@tcsi.org.sb</w:t>
      </w:r>
    </w:p>
    <w:p w:rsidR="009971FC" w:rsidRDefault="009971FC" w:rsidP="009971FC">
      <w:r w:rsidRPr="009971FC">
        <w:t>Questions techniques:</w:t>
      </w:r>
    </w:p>
    <w:p w:rsidR="009971FC" w:rsidRPr="00E218A9" w:rsidRDefault="009971FC" w:rsidP="009971FC">
      <w:pPr>
        <w:ind w:left="567" w:hanging="567"/>
        <w:jc w:val="left"/>
      </w:pPr>
      <w:r>
        <w:tab/>
      </w:r>
      <w:r w:rsidRPr="009971FC">
        <w:t xml:space="preserve">Mr Martin </w:t>
      </w:r>
      <w:proofErr w:type="spellStart"/>
      <w:r w:rsidRPr="009971FC">
        <w:t>Horika</w:t>
      </w:r>
      <w:proofErr w:type="spellEnd"/>
      <w:r>
        <w:br/>
      </w:r>
      <w:r w:rsidRPr="009971FC">
        <w:t>Asst Manager Call Centre</w:t>
      </w:r>
      <w:r>
        <w:br/>
      </w:r>
      <w:r w:rsidRPr="009971FC">
        <w:t>Solomon Telekom Company Limited</w:t>
      </w:r>
      <w:r>
        <w:br/>
      </w:r>
      <w:r w:rsidRPr="009971FC">
        <w:t xml:space="preserve">Telekom House </w:t>
      </w:r>
      <w:proofErr w:type="spellStart"/>
      <w:r w:rsidRPr="009971FC">
        <w:t>Mendana</w:t>
      </w:r>
      <w:proofErr w:type="spellEnd"/>
      <w:r w:rsidRPr="009971FC">
        <w:t xml:space="preserve"> Avenue</w:t>
      </w:r>
      <w:r>
        <w:br/>
      </w:r>
      <w:r w:rsidRPr="00E218A9">
        <w:t>P.O. box 148</w:t>
      </w:r>
      <w:r w:rsidRPr="00E218A9">
        <w:br/>
        <w:t>HONIARA</w:t>
      </w:r>
      <w:r w:rsidRPr="00E218A9">
        <w:br/>
        <w:t>Salomon (Iles)</w:t>
      </w:r>
      <w:r w:rsidRPr="00E218A9">
        <w:br/>
      </w:r>
      <w:proofErr w:type="spellStart"/>
      <w:r w:rsidRPr="00E218A9">
        <w:t>Tél</w:t>
      </w:r>
      <w:proofErr w:type="spellEnd"/>
      <w:r w:rsidRPr="00E218A9">
        <w:t>:</w:t>
      </w:r>
      <w:r w:rsidRPr="00E218A9">
        <w:tab/>
        <w:t>+ 677 26766</w:t>
      </w:r>
      <w:r w:rsidRPr="00E218A9">
        <w:br/>
        <w:t>Fax:</w:t>
      </w:r>
      <w:r w:rsidRPr="00E218A9">
        <w:tab/>
        <w:t>+ 677 21468</w:t>
      </w:r>
      <w:r w:rsidRPr="00E218A9">
        <w:br/>
        <w:t xml:space="preserve">E-mail: </w:t>
      </w:r>
      <w:r w:rsidRPr="00E218A9">
        <w:tab/>
        <w:t>martin.horika@telekom.com.sb</w:t>
      </w:r>
    </w:p>
    <w:p w:rsidR="00A347CA" w:rsidRDefault="00A347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A347CA" w:rsidRPr="00831B80" w:rsidRDefault="00A347CA" w:rsidP="00A347CA">
      <w:pPr>
        <w:pStyle w:val="Heading20"/>
        <w:spacing w:before="240" w:after="360"/>
      </w:pPr>
      <w:bookmarkStart w:id="186" w:name="_Toc262756275"/>
      <w:r w:rsidRPr="00831B80">
        <w:lastRenderedPageBreak/>
        <w:t>Changements dans les Administrations/ER et autres entités</w:t>
      </w:r>
      <w:r w:rsidRPr="00831B80">
        <w:br/>
        <w:t>ou Organisations</w:t>
      </w:r>
      <w:bookmarkEnd w:id="186"/>
    </w:p>
    <w:p w:rsidR="00A347CA" w:rsidRPr="00E8749E" w:rsidRDefault="00A347CA" w:rsidP="00A347CA">
      <w:pPr>
        <w:rPr>
          <w:b/>
          <w:bCs/>
          <w:lang w:val="fr-FR"/>
        </w:rPr>
      </w:pPr>
      <w:r w:rsidRPr="00E8749E">
        <w:rPr>
          <w:b/>
          <w:bCs/>
          <w:lang w:val="fr-FR"/>
        </w:rPr>
        <w:t>Danemark</w:t>
      </w:r>
    </w:p>
    <w:p w:rsidR="00A347CA" w:rsidRPr="00D95C91" w:rsidRDefault="00A347CA" w:rsidP="00A347CA">
      <w:pPr>
        <w:spacing w:before="0"/>
        <w:rPr>
          <w:lang w:val="fr-FR"/>
        </w:rPr>
      </w:pPr>
      <w:r w:rsidRPr="00D95C91">
        <w:rPr>
          <w:lang w:val="fr-FR"/>
        </w:rPr>
        <w:t>Communication du 12.XII.2011:</w:t>
      </w:r>
    </w:p>
    <w:p w:rsidR="00A347CA" w:rsidRDefault="00A347CA" w:rsidP="00A347CA">
      <w:pPr>
        <w:jc w:val="center"/>
        <w:rPr>
          <w:i/>
          <w:iCs/>
          <w:lang w:val="fr-FR"/>
        </w:rPr>
      </w:pPr>
      <w:r w:rsidRPr="00D95C91">
        <w:rPr>
          <w:i/>
          <w:iCs/>
          <w:lang w:val="fr-FR"/>
        </w:rPr>
        <w:t>Changement de nom</w:t>
      </w:r>
    </w:p>
    <w:p w:rsidR="00A347CA" w:rsidRPr="00E8749E" w:rsidRDefault="00BC3FDF" w:rsidP="00145620">
      <w:pPr>
        <w:rPr>
          <w:rFonts w:asciiTheme="minorHAnsi" w:hAnsiTheme="minorHAnsi" w:cstheme="minorHAnsi"/>
          <w:i/>
          <w:iCs/>
          <w:lang w:val="fr-FR"/>
        </w:rPr>
      </w:pPr>
      <w:r w:rsidRPr="00BC3FDF">
        <w:rPr>
          <w:rFonts w:asciiTheme="minorHAnsi" w:hAnsiTheme="minorHAnsi" w:cstheme="minorHAnsi"/>
          <w:lang w:val="fr-FR"/>
        </w:rPr>
        <w:t>La</w:t>
      </w:r>
      <w:r>
        <w:rPr>
          <w:rFonts w:asciiTheme="minorHAnsi" w:hAnsiTheme="minorHAnsi" w:cstheme="minorHAnsi"/>
          <w:i/>
          <w:iCs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val="fr-FR"/>
        </w:rPr>
        <w:t>Danish</w:t>
      </w:r>
      <w:proofErr w:type="spellEnd"/>
      <w:r>
        <w:rPr>
          <w:rFonts w:asciiTheme="minorHAnsi" w:hAnsiTheme="minorHAnsi" w:cstheme="minorHAnsi"/>
          <w:i/>
          <w:iCs/>
          <w:lang w:val="fr-FR"/>
        </w:rPr>
        <w:t xml:space="preserve"> Business </w:t>
      </w:r>
      <w:proofErr w:type="spellStart"/>
      <w:r>
        <w:rPr>
          <w:rFonts w:asciiTheme="minorHAnsi" w:hAnsiTheme="minorHAnsi" w:cstheme="minorHAnsi"/>
          <w:i/>
          <w:iCs/>
          <w:lang w:val="fr-FR"/>
        </w:rPr>
        <w:t>Authority</w:t>
      </w:r>
      <w:proofErr w:type="spellEnd"/>
      <w:r w:rsidR="00A347CA" w:rsidRPr="00E8749E">
        <w:rPr>
          <w:rFonts w:asciiTheme="minorHAnsi" w:hAnsiTheme="minorHAnsi" w:cstheme="minorHAnsi"/>
          <w:i/>
          <w:iCs/>
          <w:lang w:val="fr-FR"/>
        </w:rPr>
        <w:t>,</w:t>
      </w:r>
      <w:r w:rsidR="00A347CA" w:rsidRPr="00E8749E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A347CA" w:rsidRPr="00E8749E">
        <w:rPr>
          <w:rFonts w:asciiTheme="minorHAnsi" w:hAnsiTheme="minorHAnsi" w:cstheme="minorHAnsi"/>
          <w:lang w:val="fr-FR"/>
        </w:rPr>
        <w:t>Copenhagen</w:t>
      </w:r>
      <w:proofErr w:type="spellEnd"/>
      <w:r w:rsidR="00A347CA" w:rsidRPr="00E8749E">
        <w:rPr>
          <w:rFonts w:asciiTheme="minorHAnsi" w:hAnsiTheme="minorHAnsi" w:cstheme="minorHAnsi"/>
          <w:lang w:val="fr-FR"/>
        </w:rPr>
        <w:t>, annonce que:</w:t>
      </w:r>
      <w:r w:rsidR="00145620">
        <w:rPr>
          <w:rFonts w:asciiTheme="minorHAnsi" w:hAnsiTheme="minorHAnsi" w:cstheme="minorHAnsi"/>
          <w:lang w:val="fr-FR"/>
        </w:rPr>
        <w:t xml:space="preserve"> </w:t>
      </w:r>
      <w:r w:rsidR="00A347CA" w:rsidRPr="00E8749E">
        <w:rPr>
          <w:rFonts w:asciiTheme="minorHAnsi" w:hAnsiTheme="minorHAnsi" w:cstheme="minorHAnsi"/>
          <w:lang w:val="fr-FR"/>
        </w:rPr>
        <w:t>«</w:t>
      </w:r>
      <w:r w:rsidR="00A347CA" w:rsidRPr="00E8749E">
        <w:rPr>
          <w:rFonts w:asciiTheme="minorHAnsi" w:eastAsia="SimSun" w:hAnsiTheme="minorHAnsi" w:cstheme="minorHAnsi"/>
          <w:color w:val="000000"/>
          <w:lang w:val="fr-FR"/>
        </w:rPr>
        <w:t>SONOFON</w:t>
      </w:r>
      <w:r w:rsidR="00A347CA" w:rsidRPr="00E8749E">
        <w:rPr>
          <w:rFonts w:asciiTheme="minorHAnsi" w:hAnsiTheme="minorHAnsi" w:cstheme="minorHAnsi"/>
          <w:lang w:val="fr-FR"/>
        </w:rPr>
        <w:t>» a changé de</w:t>
      </w:r>
      <w:r w:rsidR="002C2803">
        <w:rPr>
          <w:rFonts w:asciiTheme="minorHAnsi" w:hAnsiTheme="minorHAnsi" w:cstheme="minorHAnsi"/>
          <w:lang w:val="fr-FR"/>
        </w:rPr>
        <w:t xml:space="preserve"> </w:t>
      </w:r>
      <w:r w:rsidR="00A347CA" w:rsidRPr="00E8749E">
        <w:rPr>
          <w:rFonts w:asciiTheme="minorHAnsi" w:hAnsiTheme="minorHAnsi" w:cstheme="minorHAnsi"/>
          <w:lang w:val="fr-FR"/>
        </w:rPr>
        <w:t>nom. Elle s’appelle désormais: «</w:t>
      </w:r>
      <w:r w:rsidR="00A347CA" w:rsidRPr="00E8749E">
        <w:rPr>
          <w:rFonts w:asciiTheme="minorHAnsi" w:eastAsia="SimSun" w:hAnsiTheme="minorHAnsi" w:cstheme="minorHAnsi"/>
          <w:color w:val="000000"/>
          <w:lang w:val="fr-FR"/>
        </w:rPr>
        <w:t>TELENOR</w:t>
      </w:r>
      <w:r w:rsidR="00A347CA" w:rsidRPr="00E8749E">
        <w:rPr>
          <w:rFonts w:asciiTheme="minorHAnsi" w:hAnsiTheme="minorHAnsi" w:cstheme="minorHAnsi"/>
          <w:lang w:val="fr-FR"/>
        </w:rPr>
        <w:t>».</w:t>
      </w:r>
    </w:p>
    <w:p w:rsidR="00A347CA" w:rsidRPr="00DB3711" w:rsidRDefault="00A347CA" w:rsidP="00A347CA">
      <w:pPr>
        <w:ind w:left="567" w:hanging="567"/>
        <w:jc w:val="left"/>
        <w:rPr>
          <w:lang w:val="fr-FR"/>
        </w:rPr>
      </w:pPr>
      <w:r w:rsidRPr="00E87F58">
        <w:rPr>
          <w:rFonts w:eastAsia="SimSun"/>
          <w:lang w:val="fr-CH"/>
        </w:rPr>
        <w:tab/>
      </w:r>
      <w:r w:rsidRPr="00DB3711">
        <w:rPr>
          <w:rFonts w:eastAsia="SimSun"/>
          <w:lang w:val="fr-FR"/>
        </w:rPr>
        <w:t>TELENOR</w:t>
      </w:r>
      <w:r w:rsidRPr="00DB3711">
        <w:rPr>
          <w:rFonts w:eastAsia="SimSun"/>
          <w:lang w:val="fr-FR"/>
        </w:rPr>
        <w:br/>
      </w:r>
      <w:proofErr w:type="spellStart"/>
      <w:r w:rsidRPr="00DB3711">
        <w:rPr>
          <w:rFonts w:eastAsia="SimSun"/>
          <w:lang w:val="fr-FR"/>
        </w:rPr>
        <w:t>Fredrikskaj</w:t>
      </w:r>
      <w:proofErr w:type="spellEnd"/>
      <w:r w:rsidRPr="00DB3711">
        <w:rPr>
          <w:lang w:val="fr-FR"/>
        </w:rPr>
        <w:t xml:space="preserve"> </w:t>
      </w:r>
      <w:r w:rsidRPr="00DB3711">
        <w:rPr>
          <w:lang w:val="fr-FR"/>
        </w:rPr>
        <w:br/>
      </w:r>
      <w:r w:rsidRPr="00DB3711">
        <w:rPr>
          <w:rFonts w:eastAsia="SimSun"/>
          <w:lang w:val="fr-FR"/>
        </w:rPr>
        <w:t>1780 COPENHAGEN</w:t>
      </w:r>
      <w:r w:rsidRPr="00DB3711">
        <w:rPr>
          <w:rFonts w:eastAsia="SimSun"/>
          <w:lang w:val="fr-FR"/>
        </w:rPr>
        <w:br/>
      </w:r>
      <w:r w:rsidRPr="00DB3711">
        <w:rPr>
          <w:lang w:val="fr-FR"/>
        </w:rPr>
        <w:t>Danemark</w:t>
      </w:r>
      <w:r w:rsidRPr="00DB3711">
        <w:rPr>
          <w:lang w:val="fr-FR"/>
        </w:rPr>
        <w:br/>
        <w:t>Tél:</w:t>
      </w:r>
      <w:r w:rsidRPr="00DB3711">
        <w:rPr>
          <w:lang w:val="fr-FR"/>
        </w:rPr>
        <w:tab/>
        <w:t>+45 7212 7205</w:t>
      </w:r>
      <w:r w:rsidRPr="00DB3711">
        <w:rPr>
          <w:lang w:val="fr-FR"/>
        </w:rPr>
        <w:br/>
        <w:t>Fax:</w:t>
      </w:r>
      <w:r w:rsidRPr="00DB3711">
        <w:rPr>
          <w:lang w:val="fr-FR"/>
        </w:rPr>
        <w:tab/>
        <w:t>+45 7212 7224</w:t>
      </w:r>
      <w:r w:rsidRPr="00DB3711">
        <w:rPr>
          <w:lang w:val="fr-FR"/>
        </w:rPr>
        <w:br/>
        <w:t>E-mail:</w:t>
      </w:r>
      <w:r w:rsidRPr="00DB3711">
        <w:rPr>
          <w:lang w:val="fr-FR"/>
        </w:rPr>
        <w:tab/>
        <w:t>stp@dmt.sonofon.dk</w:t>
      </w:r>
    </w:p>
    <w:p w:rsidR="0021765D" w:rsidRPr="00DB3711" w:rsidRDefault="0021765D" w:rsidP="00A347CA">
      <w:pPr>
        <w:rPr>
          <w:b/>
          <w:bCs/>
          <w:lang w:val="fr-FR"/>
        </w:rPr>
      </w:pPr>
    </w:p>
    <w:p w:rsidR="00145620" w:rsidRPr="00DB3711" w:rsidRDefault="00145620" w:rsidP="00A347CA">
      <w:pPr>
        <w:rPr>
          <w:b/>
          <w:bCs/>
          <w:lang w:val="fr-FR"/>
        </w:rPr>
      </w:pPr>
    </w:p>
    <w:p w:rsidR="00A347CA" w:rsidRPr="00DB3711" w:rsidRDefault="00A347CA" w:rsidP="00A347CA">
      <w:pPr>
        <w:rPr>
          <w:b/>
          <w:bCs/>
          <w:lang w:val="fr-FR" w:bidi="he-IL"/>
        </w:rPr>
      </w:pPr>
      <w:r w:rsidRPr="00DB3711">
        <w:rPr>
          <w:b/>
          <w:bCs/>
          <w:lang w:val="fr-FR" w:bidi="he-IL"/>
        </w:rPr>
        <w:t>Japon</w:t>
      </w:r>
    </w:p>
    <w:p w:rsidR="00A347CA" w:rsidRPr="00DB3711" w:rsidRDefault="00A347CA" w:rsidP="00A347CA">
      <w:pPr>
        <w:overflowPunct/>
        <w:autoSpaceDE/>
        <w:adjustRightInd/>
        <w:spacing w:before="0" w:after="120"/>
        <w:ind w:right="273"/>
        <w:rPr>
          <w:rFonts w:cs="Arial"/>
          <w:lang w:val="fr-FR" w:bidi="he-IL"/>
        </w:rPr>
      </w:pPr>
      <w:r w:rsidRPr="00DB3711">
        <w:rPr>
          <w:rFonts w:cs="Arial"/>
          <w:lang w:val="fr-FR" w:bidi="he-IL"/>
        </w:rPr>
        <w:t>Communication du 4.I.2012:</w:t>
      </w:r>
    </w:p>
    <w:p w:rsidR="00A347CA" w:rsidRDefault="00A347CA" w:rsidP="00A347CA">
      <w:pPr>
        <w:keepNext/>
        <w:keepLines/>
        <w:jc w:val="center"/>
        <w:outlineLvl w:val="5"/>
        <w:rPr>
          <w:rFonts w:cs="Arial"/>
          <w:bCs/>
          <w:i/>
          <w:lang w:val="fr-FR"/>
        </w:rPr>
      </w:pPr>
      <w:r>
        <w:rPr>
          <w:rFonts w:cs="Arial"/>
          <w:bCs/>
          <w:i/>
          <w:lang w:val="fr-FR"/>
        </w:rPr>
        <w:t xml:space="preserve">Changements d’adresse, de numéros de téléphone, de télécopie, d’adresse électronique et d’URL </w:t>
      </w:r>
    </w:p>
    <w:p w:rsidR="00A347CA" w:rsidRPr="00CD6272" w:rsidRDefault="00A347CA" w:rsidP="00A347CA">
      <w:pPr>
        <w:keepNext/>
        <w:keepLines/>
        <w:outlineLvl w:val="5"/>
        <w:rPr>
          <w:rFonts w:cs="Arial"/>
          <w:bCs/>
          <w:iCs/>
          <w:lang w:val="fr-CH"/>
        </w:rPr>
      </w:pPr>
      <w:r w:rsidRPr="00331D7C">
        <w:rPr>
          <w:rFonts w:cs="Arial"/>
          <w:i/>
          <w:iCs/>
          <w:lang w:val="fr-FR"/>
        </w:rPr>
        <w:t>SOFTBANK BB Corp.,</w:t>
      </w:r>
      <w:r w:rsidRPr="00331D7C">
        <w:rPr>
          <w:rFonts w:eastAsiaTheme="minorEastAsia" w:cs="Arial"/>
          <w:i/>
          <w:iCs/>
          <w:lang w:val="fr-FR" w:eastAsia="zh-CN"/>
        </w:rPr>
        <w:t xml:space="preserve"> </w:t>
      </w:r>
      <w:r w:rsidRPr="00331D7C">
        <w:rPr>
          <w:rFonts w:eastAsiaTheme="minorEastAsia" w:cs="Arial"/>
          <w:lang w:val="fr-FR" w:eastAsia="zh-CN"/>
        </w:rPr>
        <w:t>Tokyo,</w:t>
      </w:r>
      <w:r w:rsidRPr="00331D7C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 xml:space="preserve">annonce que son adresse, ses </w:t>
      </w:r>
      <w:r>
        <w:rPr>
          <w:rFonts w:cs="Arial"/>
          <w:bCs/>
          <w:iCs/>
          <w:lang w:val="fr-FR"/>
        </w:rPr>
        <w:t>numéros de téléphone, de télécopie, son adresse électronique et son URL ont changé.</w:t>
      </w:r>
    </w:p>
    <w:p w:rsidR="00A347CA" w:rsidRPr="00E8749E" w:rsidRDefault="00A347CA" w:rsidP="00A347CA">
      <w:pPr>
        <w:ind w:left="567" w:hanging="567"/>
        <w:jc w:val="left"/>
      </w:pPr>
      <w:r w:rsidRPr="00E87F58">
        <w:rPr>
          <w:lang w:val="fr-CH"/>
        </w:rPr>
        <w:tab/>
      </w:r>
      <w:r>
        <w:t>SOFTBANK BB Corp.</w:t>
      </w:r>
      <w:r>
        <w:br/>
        <w:t>Regulatory and External Affairs Division</w:t>
      </w:r>
      <w:r>
        <w:br/>
        <w:t xml:space="preserve">1-9-1, </w:t>
      </w:r>
      <w:proofErr w:type="spellStart"/>
      <w:r>
        <w:t>Higashishinbashi</w:t>
      </w:r>
      <w:proofErr w:type="spellEnd"/>
      <w:r>
        <w:t>, Minato-</w:t>
      </w:r>
      <w:proofErr w:type="spellStart"/>
      <w:r>
        <w:t>ku</w:t>
      </w:r>
      <w:proofErr w:type="spellEnd"/>
      <w:r>
        <w:br/>
      </w:r>
      <w:r w:rsidRPr="00E8749E">
        <w:t>105-7309 TOKYO</w:t>
      </w:r>
      <w:r w:rsidRPr="00E8749E">
        <w:br/>
      </w:r>
      <w:proofErr w:type="spellStart"/>
      <w:r w:rsidRPr="00E8749E">
        <w:t>Japon</w:t>
      </w:r>
      <w:proofErr w:type="spellEnd"/>
      <w:r w:rsidRPr="00E8749E">
        <w:br/>
      </w:r>
      <w:proofErr w:type="spellStart"/>
      <w:r w:rsidRPr="00E8749E">
        <w:t>Tél</w:t>
      </w:r>
      <w:proofErr w:type="spellEnd"/>
      <w:r w:rsidRPr="00E8749E">
        <w:t>:</w:t>
      </w:r>
      <w:r w:rsidRPr="00E8749E">
        <w:tab/>
        <w:t>+81 3 6889</w:t>
      </w:r>
      <w:r w:rsidR="00BC3FDF">
        <w:t xml:space="preserve"> </w:t>
      </w:r>
      <w:r w:rsidRPr="00E8749E">
        <w:t xml:space="preserve">6434 </w:t>
      </w:r>
      <w:r>
        <w:br/>
      </w:r>
      <w:r w:rsidRPr="00E8749E">
        <w:t>Fax</w:t>
      </w:r>
      <w:r w:rsidR="00BE48E3">
        <w:t>:</w:t>
      </w:r>
      <w:r w:rsidRPr="00E8749E">
        <w:tab/>
        <w:t>+81 3 6889</w:t>
      </w:r>
      <w:r w:rsidR="00BC3FDF">
        <w:t xml:space="preserve"> </w:t>
      </w:r>
      <w:r w:rsidRPr="00E8749E">
        <w:t xml:space="preserve">6671 </w:t>
      </w:r>
      <w:r>
        <w:br/>
      </w:r>
      <w:r w:rsidRPr="00E8749E">
        <w:t>E-mail</w:t>
      </w:r>
      <w:r w:rsidR="00BE48E3">
        <w:t>:</w:t>
      </w:r>
      <w:r w:rsidRPr="00E8749E">
        <w:tab/>
        <w:t xml:space="preserve">sbmgrp-regulatory.jp.1@g.softbank.co.jp </w:t>
      </w:r>
      <w:r>
        <w:br/>
      </w:r>
      <w:r w:rsidRPr="00E8749E">
        <w:t>URL:</w:t>
      </w:r>
      <w:r w:rsidRPr="00E8749E">
        <w:tab/>
        <w:t xml:space="preserve">www.softbankmobile.co.jp </w:t>
      </w:r>
    </w:p>
    <w:p w:rsidR="0021765D" w:rsidRPr="00E87F58" w:rsidRDefault="002176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bidi="he-IL"/>
        </w:rPr>
      </w:pPr>
    </w:p>
    <w:p w:rsidR="00A347CA" w:rsidRPr="00331D7C" w:rsidRDefault="00A347CA" w:rsidP="00A347CA">
      <w:pPr>
        <w:overflowPunct/>
        <w:autoSpaceDE/>
        <w:adjustRightInd/>
        <w:spacing w:after="120"/>
        <w:ind w:right="273"/>
        <w:rPr>
          <w:rFonts w:cs="Arial"/>
          <w:lang w:val="fr-FR" w:bidi="he-IL"/>
        </w:rPr>
      </w:pPr>
      <w:r w:rsidRPr="00331D7C">
        <w:rPr>
          <w:rFonts w:cs="Arial"/>
          <w:lang w:val="fr-FR" w:bidi="he-IL"/>
        </w:rPr>
        <w:t>Communication du 4.I.2012:</w:t>
      </w:r>
    </w:p>
    <w:p w:rsidR="00A347CA" w:rsidRPr="00331D7C" w:rsidRDefault="00A347CA" w:rsidP="00A347CA">
      <w:pPr>
        <w:overflowPunct/>
        <w:autoSpaceDE/>
        <w:adjustRightInd/>
        <w:ind w:left="357" w:right="272"/>
        <w:jc w:val="center"/>
        <w:rPr>
          <w:rFonts w:cs="Arial"/>
          <w:i/>
          <w:iCs/>
          <w:lang w:val="fr-FR" w:bidi="he-IL"/>
        </w:rPr>
      </w:pPr>
      <w:r>
        <w:rPr>
          <w:rFonts w:cs="Arial"/>
          <w:bCs/>
          <w:i/>
          <w:lang w:val="fr-FR"/>
        </w:rPr>
        <w:t xml:space="preserve">Changements d’adresse et d’adresse électronique </w:t>
      </w:r>
    </w:p>
    <w:p w:rsidR="00A347CA" w:rsidRPr="00E26066" w:rsidRDefault="00A347CA" w:rsidP="00A347CA">
      <w:pPr>
        <w:rPr>
          <w:rFonts w:cs="Arial"/>
          <w:lang w:val="fr-FR"/>
        </w:rPr>
      </w:pPr>
      <w:r w:rsidRPr="00E26066">
        <w:rPr>
          <w:rFonts w:cs="Arial"/>
          <w:i/>
          <w:iCs/>
          <w:lang w:val="fr-FR"/>
        </w:rPr>
        <w:t>SOFTBANK MOBILE Corp</w:t>
      </w:r>
      <w:r w:rsidRPr="00E26066">
        <w:rPr>
          <w:rFonts w:cs="Arial"/>
          <w:lang w:val="fr-FR"/>
        </w:rPr>
        <w:t>.</w:t>
      </w:r>
      <w:r w:rsidRPr="00E26066">
        <w:rPr>
          <w:rFonts w:eastAsiaTheme="minorEastAsia" w:cs="Arial"/>
          <w:i/>
          <w:iCs/>
          <w:lang w:val="fr-FR" w:eastAsia="zh-CN"/>
        </w:rPr>
        <w:t xml:space="preserve">, </w:t>
      </w:r>
      <w:r>
        <w:rPr>
          <w:rFonts w:eastAsiaTheme="minorEastAsia" w:cs="Arial"/>
          <w:lang w:val="fr-FR" w:eastAsia="zh-CN"/>
        </w:rPr>
        <w:t xml:space="preserve">Tokyo, </w:t>
      </w:r>
      <w:r w:rsidRPr="00E26066">
        <w:rPr>
          <w:rFonts w:eastAsiaTheme="minorEastAsia" w:cs="Arial"/>
          <w:lang w:val="fr-FR" w:eastAsia="zh-CN"/>
        </w:rPr>
        <w:t>annonce que son adresse et son adresse électronique ont changé.</w:t>
      </w:r>
      <w:r w:rsidRPr="00E26066">
        <w:rPr>
          <w:rFonts w:cs="Arial"/>
          <w:lang w:val="fr-FR"/>
        </w:rPr>
        <w:t xml:space="preserve"> </w:t>
      </w:r>
    </w:p>
    <w:p w:rsidR="00A347CA" w:rsidRPr="00383188" w:rsidRDefault="00A347CA" w:rsidP="00A347CA">
      <w:pPr>
        <w:ind w:left="567" w:hanging="567"/>
        <w:jc w:val="left"/>
      </w:pPr>
      <w:r w:rsidRPr="00E87F58">
        <w:rPr>
          <w:lang w:val="fr-CH"/>
        </w:rPr>
        <w:tab/>
      </w:r>
      <w:r>
        <w:t>SOFTBANK MOBILE Corp.</w:t>
      </w:r>
      <w:r>
        <w:br/>
        <w:t>Regulatory &amp; External Affairs Division</w:t>
      </w:r>
      <w:r>
        <w:br/>
        <w:t xml:space="preserve">Tokyo </w:t>
      </w:r>
      <w:proofErr w:type="spellStart"/>
      <w:r>
        <w:t>Shiodome</w:t>
      </w:r>
      <w:proofErr w:type="spellEnd"/>
      <w:r>
        <w:t xml:space="preserve"> Building</w:t>
      </w:r>
      <w:r>
        <w:br/>
      </w:r>
      <w:r w:rsidRPr="00E8749E">
        <w:t xml:space="preserve">1-9-1, </w:t>
      </w:r>
      <w:proofErr w:type="spellStart"/>
      <w:r w:rsidRPr="00E8749E">
        <w:t>Higashishinbashi</w:t>
      </w:r>
      <w:proofErr w:type="spellEnd"/>
      <w:r w:rsidRPr="00E8749E">
        <w:t>, Minato-</w:t>
      </w:r>
      <w:proofErr w:type="spellStart"/>
      <w:r w:rsidRPr="00E8749E">
        <w:t>ku</w:t>
      </w:r>
      <w:proofErr w:type="spellEnd"/>
      <w:r w:rsidRPr="00E8749E">
        <w:br/>
        <w:t>105-7317 TOKYO</w:t>
      </w:r>
      <w:r w:rsidRPr="00E8749E">
        <w:br/>
      </w:r>
      <w:proofErr w:type="spellStart"/>
      <w:r w:rsidRPr="00E8749E">
        <w:t>Japon</w:t>
      </w:r>
      <w:proofErr w:type="spellEnd"/>
      <w:r w:rsidRPr="00E8749E">
        <w:br/>
      </w:r>
      <w:proofErr w:type="spellStart"/>
      <w:r w:rsidRPr="00E8749E">
        <w:t>Tél</w:t>
      </w:r>
      <w:proofErr w:type="spellEnd"/>
      <w:r w:rsidRPr="00E8749E">
        <w:t>:</w:t>
      </w:r>
      <w:r w:rsidRPr="00E8749E">
        <w:tab/>
        <w:t>+81 3 6889</w:t>
      </w:r>
      <w:r w:rsidR="00BC3FDF">
        <w:t xml:space="preserve"> </w:t>
      </w:r>
      <w:r w:rsidRPr="00E8749E">
        <w:t xml:space="preserve">6434 </w:t>
      </w:r>
      <w:r>
        <w:br/>
      </w:r>
      <w:r w:rsidRPr="00E8749E">
        <w:t>Fax:</w:t>
      </w:r>
      <w:r w:rsidRPr="00E8749E">
        <w:tab/>
        <w:t>+81 3 6889</w:t>
      </w:r>
      <w:r w:rsidR="00BC3FDF">
        <w:t xml:space="preserve"> </w:t>
      </w:r>
      <w:r w:rsidRPr="00E8749E">
        <w:t xml:space="preserve">6671 </w:t>
      </w:r>
      <w:r>
        <w:br/>
      </w:r>
      <w:r w:rsidRPr="00E8749E">
        <w:t>E-mail:</w:t>
      </w:r>
      <w:r w:rsidRPr="00E8749E">
        <w:tab/>
        <w:t xml:space="preserve">sbmgrp-regulatory.jp.1@g.softbank.co.jp </w:t>
      </w:r>
      <w:r>
        <w:br/>
      </w:r>
      <w:r w:rsidRPr="00383188">
        <w:t>URL:</w:t>
      </w:r>
      <w:r w:rsidRPr="00383188">
        <w:tab/>
        <w:t>www.softbankmobile.co.jp/en/index.html</w:t>
      </w:r>
    </w:p>
    <w:p w:rsidR="00A347CA" w:rsidRPr="00383188" w:rsidRDefault="00A347CA" w:rsidP="00A347CA">
      <w:pPr>
        <w:overflowPunct/>
        <w:autoSpaceDE/>
        <w:adjustRightInd/>
        <w:spacing w:after="120"/>
        <w:ind w:right="273"/>
        <w:rPr>
          <w:rFonts w:cs="Arial"/>
          <w:lang w:bidi="he-IL"/>
        </w:rPr>
      </w:pPr>
    </w:p>
    <w:p w:rsidR="001603EA" w:rsidRPr="00E87F58" w:rsidRDefault="001603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bidi="he-IL"/>
        </w:rPr>
      </w:pPr>
      <w:r w:rsidRPr="00E87F58">
        <w:rPr>
          <w:rFonts w:cs="Arial"/>
          <w:lang w:bidi="he-IL"/>
        </w:rPr>
        <w:br w:type="page"/>
      </w:r>
    </w:p>
    <w:p w:rsidR="00A347CA" w:rsidRPr="00E26066" w:rsidRDefault="00A347CA" w:rsidP="00A347CA">
      <w:pPr>
        <w:spacing w:after="120"/>
        <w:ind w:right="273"/>
        <w:rPr>
          <w:rFonts w:cs="Arial"/>
          <w:lang w:val="fr-FR" w:bidi="he-IL"/>
        </w:rPr>
      </w:pPr>
      <w:r w:rsidRPr="00E26066">
        <w:rPr>
          <w:rFonts w:cs="Arial"/>
          <w:lang w:val="fr-FR" w:bidi="he-IL"/>
        </w:rPr>
        <w:lastRenderedPageBreak/>
        <w:t>Communication du 4.I.2012:</w:t>
      </w:r>
    </w:p>
    <w:p w:rsidR="00A347CA" w:rsidRDefault="00A347CA" w:rsidP="00A347CA">
      <w:pPr>
        <w:keepNext/>
        <w:keepLines/>
        <w:jc w:val="center"/>
        <w:outlineLvl w:val="5"/>
        <w:rPr>
          <w:rFonts w:cs="Arial"/>
          <w:bCs/>
          <w:i/>
          <w:lang w:val="fr-FR"/>
        </w:rPr>
      </w:pPr>
      <w:r>
        <w:rPr>
          <w:rFonts w:cs="Arial"/>
          <w:bCs/>
          <w:i/>
          <w:lang w:val="fr-FR"/>
        </w:rPr>
        <w:t>Changements d’adresse, de numéros de téléphone, de télécopi</w:t>
      </w:r>
      <w:r w:rsidR="004003D8">
        <w:rPr>
          <w:rFonts w:cs="Arial"/>
          <w:bCs/>
          <w:i/>
          <w:lang w:val="fr-FR"/>
        </w:rPr>
        <w:t>e, d’adresse électronique et d’U</w:t>
      </w:r>
      <w:r>
        <w:rPr>
          <w:rFonts w:cs="Arial"/>
          <w:bCs/>
          <w:i/>
          <w:lang w:val="fr-FR"/>
        </w:rPr>
        <w:t xml:space="preserve">RL </w:t>
      </w:r>
    </w:p>
    <w:p w:rsidR="00A347CA" w:rsidRPr="00DA6C8D" w:rsidRDefault="00A347CA" w:rsidP="00A347CA">
      <w:pPr>
        <w:rPr>
          <w:rFonts w:cs="Arial"/>
          <w:bCs/>
          <w:iCs/>
          <w:lang w:val="fr-CH"/>
        </w:rPr>
      </w:pPr>
      <w:r w:rsidRPr="00DA6C8D">
        <w:rPr>
          <w:rFonts w:cs="Arial"/>
          <w:i/>
          <w:iCs/>
          <w:lang w:val="fr-FR"/>
        </w:rPr>
        <w:t>SOFTBANK TELECOM Corp</w:t>
      </w:r>
      <w:r w:rsidRPr="00DA6C8D">
        <w:rPr>
          <w:rFonts w:cs="Arial"/>
          <w:lang w:val="fr-FR"/>
        </w:rPr>
        <w:t>.</w:t>
      </w:r>
      <w:r w:rsidRPr="00DA6C8D">
        <w:rPr>
          <w:rFonts w:eastAsiaTheme="minorEastAsia" w:cs="Arial"/>
          <w:i/>
          <w:iCs/>
          <w:lang w:val="fr-FR" w:eastAsia="zh-CN"/>
        </w:rPr>
        <w:t xml:space="preserve">, </w:t>
      </w:r>
      <w:r w:rsidRPr="00DA6C8D">
        <w:rPr>
          <w:rFonts w:eastAsiaTheme="minorEastAsia" w:cs="Arial"/>
          <w:lang w:val="fr-FR" w:eastAsia="zh-CN"/>
        </w:rPr>
        <w:t>Tokyo,</w:t>
      </w:r>
      <w:r w:rsidRPr="00DA6C8D">
        <w:rPr>
          <w:rFonts w:cs="Arial"/>
          <w:lang w:val="fr-FR"/>
        </w:rPr>
        <w:t xml:space="preserve"> annonce que</w:t>
      </w:r>
      <w:r>
        <w:rPr>
          <w:rFonts w:cs="Arial"/>
          <w:lang w:val="fr-FR"/>
        </w:rPr>
        <w:t xml:space="preserve"> son adresse,</w:t>
      </w:r>
      <w:r w:rsidRPr="00DA6C8D">
        <w:rPr>
          <w:rFonts w:cs="Arial"/>
          <w:lang w:val="fr-FR"/>
        </w:rPr>
        <w:t xml:space="preserve"> ses </w:t>
      </w:r>
      <w:r w:rsidRPr="00DA6C8D">
        <w:rPr>
          <w:rFonts w:cs="Arial"/>
          <w:bCs/>
          <w:iCs/>
          <w:lang w:val="fr-FR"/>
        </w:rPr>
        <w:t>numéros de téléphone, de télécopie, son adresse électronique et son URL ont changé.</w:t>
      </w:r>
    </w:p>
    <w:p w:rsidR="00A347CA" w:rsidRPr="00383188" w:rsidRDefault="00A347CA" w:rsidP="00A347CA">
      <w:pPr>
        <w:ind w:left="567" w:hanging="567"/>
        <w:jc w:val="left"/>
      </w:pPr>
      <w:r w:rsidRPr="00E87F58">
        <w:rPr>
          <w:lang w:val="fr-CH"/>
        </w:rPr>
        <w:tab/>
      </w:r>
      <w:r>
        <w:t>SOFTBANK TELECOM Corp.</w:t>
      </w:r>
      <w:r>
        <w:br/>
        <w:t>Regulatory and External Affairs Division</w:t>
      </w:r>
      <w:r>
        <w:br/>
      </w:r>
      <w:r w:rsidRPr="00383188">
        <w:t xml:space="preserve">1-9-1, </w:t>
      </w:r>
      <w:proofErr w:type="spellStart"/>
      <w:r w:rsidRPr="00383188">
        <w:t>Higashishinbashi</w:t>
      </w:r>
      <w:proofErr w:type="spellEnd"/>
      <w:r w:rsidRPr="00383188">
        <w:t>, Minato-</w:t>
      </w:r>
      <w:proofErr w:type="spellStart"/>
      <w:r w:rsidRPr="00383188">
        <w:t>ku</w:t>
      </w:r>
      <w:proofErr w:type="spellEnd"/>
      <w:r w:rsidRPr="00383188">
        <w:t>,</w:t>
      </w:r>
      <w:r w:rsidRPr="00383188">
        <w:br/>
        <w:t>105-7309 TOKYO</w:t>
      </w:r>
      <w:r w:rsidRPr="00383188">
        <w:br/>
      </w:r>
      <w:proofErr w:type="spellStart"/>
      <w:r w:rsidRPr="00383188">
        <w:t>Japon</w:t>
      </w:r>
      <w:proofErr w:type="spellEnd"/>
      <w:r w:rsidRPr="00383188">
        <w:br/>
      </w:r>
      <w:proofErr w:type="spellStart"/>
      <w:r w:rsidRPr="00383188">
        <w:t>Tél</w:t>
      </w:r>
      <w:proofErr w:type="spellEnd"/>
      <w:r w:rsidRPr="00383188">
        <w:t>:</w:t>
      </w:r>
      <w:r w:rsidRPr="00383188">
        <w:tab/>
        <w:t>+81 3 6889</w:t>
      </w:r>
      <w:r w:rsidR="00BC3FDF">
        <w:t xml:space="preserve"> </w:t>
      </w:r>
      <w:r w:rsidRPr="00383188">
        <w:t xml:space="preserve">6434 </w:t>
      </w:r>
      <w:r>
        <w:br/>
      </w:r>
      <w:r w:rsidRPr="00383188">
        <w:t>Fax</w:t>
      </w:r>
      <w:r w:rsidR="00BE48E3">
        <w:t>:</w:t>
      </w:r>
      <w:r w:rsidRPr="00383188">
        <w:tab/>
        <w:t>+81 3 6889</w:t>
      </w:r>
      <w:r w:rsidR="00BC3FDF">
        <w:t xml:space="preserve"> </w:t>
      </w:r>
      <w:r w:rsidRPr="00383188">
        <w:t xml:space="preserve">6671 </w:t>
      </w:r>
      <w:r>
        <w:br/>
      </w:r>
      <w:r w:rsidRPr="00383188">
        <w:t>E-mail:</w:t>
      </w:r>
      <w:r w:rsidRPr="00383188">
        <w:tab/>
        <w:t xml:space="preserve">sbmgrp-regulatory.jp.1@g.softbank.co.jp </w:t>
      </w:r>
      <w:r>
        <w:br/>
      </w:r>
      <w:r w:rsidRPr="00383188">
        <w:t>URL:</w:t>
      </w:r>
      <w:r w:rsidRPr="00383188">
        <w:tab/>
        <w:t xml:space="preserve">www.softbankmobile.co.jp </w:t>
      </w:r>
    </w:p>
    <w:p w:rsidR="0021765D" w:rsidRDefault="0021765D" w:rsidP="00EE38EE"/>
    <w:p w:rsidR="00145620" w:rsidRPr="00E87F58" w:rsidRDefault="00145620" w:rsidP="00EE38EE"/>
    <w:p w:rsidR="00A347CA" w:rsidRDefault="00A347CA" w:rsidP="00A347CA">
      <w:pPr>
        <w:overflowPunct/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L'ex-</w:t>
      </w:r>
      <w:proofErr w:type="spellStart"/>
      <w:r>
        <w:rPr>
          <w:rFonts w:cs="Arial"/>
          <w:b/>
          <w:bCs/>
          <w:lang w:val="fr-FR"/>
        </w:rPr>
        <w:t>Rép</w:t>
      </w:r>
      <w:proofErr w:type="spellEnd"/>
      <w:r>
        <w:rPr>
          <w:rFonts w:cs="Arial"/>
          <w:b/>
          <w:bCs/>
          <w:lang w:val="fr-FR"/>
        </w:rPr>
        <w:t xml:space="preserve">. yougoslave de Macédoine </w:t>
      </w:r>
    </w:p>
    <w:p w:rsidR="00A347CA" w:rsidRPr="00E26066" w:rsidRDefault="00A347CA" w:rsidP="00A347CA">
      <w:pPr>
        <w:overflowPunct/>
        <w:spacing w:before="0"/>
        <w:rPr>
          <w:rFonts w:cs="Arial"/>
          <w:lang w:val="fr-FR"/>
        </w:rPr>
      </w:pPr>
      <w:r w:rsidRPr="00E26066">
        <w:rPr>
          <w:rFonts w:cs="Arial"/>
          <w:lang w:val="fr-FR"/>
        </w:rPr>
        <w:t>Communication du 17.I.2012:</w:t>
      </w:r>
    </w:p>
    <w:p w:rsidR="00A347CA" w:rsidRPr="00755117" w:rsidRDefault="00A347CA" w:rsidP="00A347CA">
      <w:pPr>
        <w:keepNext/>
        <w:tabs>
          <w:tab w:val="left" w:pos="720"/>
        </w:tabs>
        <w:overflowPunct/>
        <w:jc w:val="center"/>
        <w:outlineLvl w:val="0"/>
        <w:rPr>
          <w:rFonts w:cs="Arial"/>
          <w:i/>
          <w:iCs/>
          <w:lang w:val="fr-FR"/>
        </w:rPr>
      </w:pPr>
      <w:r w:rsidRPr="00755117">
        <w:rPr>
          <w:rFonts w:cs="Arial"/>
          <w:i/>
          <w:iCs/>
          <w:lang w:val="fr-FR"/>
        </w:rPr>
        <w:t>Changements de nom, d’adresse électronique et d’URL</w:t>
      </w:r>
    </w:p>
    <w:p w:rsidR="00A347CA" w:rsidRDefault="00BC3FDF" w:rsidP="00D14FC9">
      <w:pPr>
        <w:overflowPunct/>
        <w:autoSpaceDE/>
        <w:adjustRightInd/>
        <w:spacing w:before="0"/>
        <w:rPr>
          <w:rFonts w:cs="Arial"/>
          <w:lang w:val="fr-FR"/>
        </w:rPr>
      </w:pPr>
      <w:r>
        <w:rPr>
          <w:rFonts w:cs="Arial"/>
          <w:lang w:val="fr-FR"/>
        </w:rPr>
        <w:t>L</w:t>
      </w:r>
      <w:r w:rsidR="00A347CA" w:rsidRPr="0057008F">
        <w:rPr>
          <w:rFonts w:cs="Arial"/>
          <w:lang w:val="fr-FR"/>
        </w:rPr>
        <w:t xml:space="preserve">e </w:t>
      </w:r>
      <w:proofErr w:type="spellStart"/>
      <w:r w:rsidR="00A347CA" w:rsidRPr="0057008F">
        <w:rPr>
          <w:rFonts w:cs="Arial"/>
          <w:i/>
          <w:iCs/>
          <w:lang w:val="fr-FR"/>
        </w:rPr>
        <w:t>Ministry</w:t>
      </w:r>
      <w:proofErr w:type="spellEnd"/>
      <w:r w:rsidR="00A347CA" w:rsidRPr="0057008F">
        <w:rPr>
          <w:rFonts w:cs="Arial"/>
          <w:i/>
          <w:iCs/>
          <w:lang w:val="fr-FR"/>
        </w:rPr>
        <w:t xml:space="preserve"> of Transport and Communications,</w:t>
      </w:r>
      <w:r w:rsidR="00A347CA" w:rsidRPr="0057008F">
        <w:rPr>
          <w:rFonts w:cs="Arial"/>
          <w:lang w:val="fr-FR"/>
        </w:rPr>
        <w:t xml:space="preserve"> Skopje, </w:t>
      </w:r>
      <w:r w:rsidR="00A347CA">
        <w:rPr>
          <w:rFonts w:cs="Arial"/>
          <w:lang w:val="fr-FR"/>
        </w:rPr>
        <w:t>annonce qu’il a changé</w:t>
      </w:r>
      <w:r w:rsidR="00A347CA" w:rsidRPr="0057008F">
        <w:rPr>
          <w:rFonts w:cs="Arial"/>
          <w:lang w:val="fr-FR"/>
        </w:rPr>
        <w:t xml:space="preserve"> de nom. </w:t>
      </w:r>
      <w:r w:rsidR="00A347CA">
        <w:rPr>
          <w:rFonts w:cs="Arial"/>
          <w:lang w:val="fr-FR"/>
        </w:rPr>
        <w:t>Il s’appelle désormais</w:t>
      </w:r>
      <w:r w:rsidR="00BE48E3">
        <w:rPr>
          <w:rFonts w:cs="Arial"/>
          <w:lang w:val="fr-FR"/>
        </w:rPr>
        <w:t>:</w:t>
      </w:r>
    </w:p>
    <w:p w:rsidR="00A347CA" w:rsidRPr="00755117" w:rsidRDefault="00A347CA" w:rsidP="00D14FC9">
      <w:pPr>
        <w:spacing w:before="0"/>
        <w:rPr>
          <w:rFonts w:cs="Arial"/>
          <w:bCs/>
          <w:i/>
          <w:lang w:val="fr-FR"/>
        </w:rPr>
      </w:pPr>
      <w:r w:rsidRPr="00B638EE">
        <w:rPr>
          <w:rFonts w:cs="Arial"/>
          <w:lang w:val="fr-FR"/>
        </w:rPr>
        <w:t>«</w:t>
      </w:r>
      <w:r w:rsidRPr="00B638EE">
        <w:rPr>
          <w:rFonts w:eastAsia="SimSun" w:cs="Arial"/>
          <w:color w:val="000000"/>
          <w:lang w:val="fr-FR"/>
        </w:rPr>
        <w:t xml:space="preserve"> </w:t>
      </w:r>
      <w:proofErr w:type="spellStart"/>
      <w:r w:rsidRPr="00B638EE">
        <w:rPr>
          <w:rFonts w:eastAsia="SimSun" w:cs="Arial"/>
          <w:color w:val="000000"/>
          <w:lang w:val="fr-FR"/>
        </w:rPr>
        <w:t>Ministry</w:t>
      </w:r>
      <w:proofErr w:type="spellEnd"/>
      <w:r w:rsidRPr="00B638EE">
        <w:rPr>
          <w:rFonts w:eastAsia="SimSun" w:cs="Arial"/>
          <w:color w:val="000000"/>
          <w:lang w:val="fr-FR"/>
        </w:rPr>
        <w:t xml:space="preserve"> of Information Society and Administration</w:t>
      </w:r>
      <w:r w:rsidRPr="00B638EE">
        <w:rPr>
          <w:rFonts w:cs="Arial"/>
          <w:lang w:val="fr-FR"/>
        </w:rPr>
        <w:t xml:space="preserve"> ».</w:t>
      </w:r>
      <w:r w:rsidR="002C2803" w:rsidRPr="00B638EE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I</w:t>
      </w:r>
      <w:r w:rsidRPr="00755117">
        <w:rPr>
          <w:rFonts w:cs="Arial"/>
          <w:lang w:val="fr-FR"/>
        </w:rPr>
        <w:t>l an</w:t>
      </w:r>
      <w:r>
        <w:rPr>
          <w:rFonts w:cs="Arial"/>
          <w:lang w:val="fr-FR"/>
        </w:rPr>
        <w:t>nonce également que son adresse</w:t>
      </w:r>
      <w:r w:rsidRPr="00755117">
        <w:rPr>
          <w:rFonts w:cs="Arial"/>
          <w:lang w:val="fr-FR"/>
        </w:rPr>
        <w:t xml:space="preserve"> électronique et son URL ont chan</w:t>
      </w:r>
      <w:r>
        <w:rPr>
          <w:rFonts w:cs="Arial"/>
          <w:lang w:val="fr-FR"/>
        </w:rPr>
        <w:t>gé.</w:t>
      </w:r>
    </w:p>
    <w:p w:rsidR="00A347CA" w:rsidRPr="00E87F58" w:rsidRDefault="00A347CA" w:rsidP="00D14FC9">
      <w:pPr>
        <w:spacing w:before="0"/>
        <w:ind w:left="567" w:hanging="567"/>
        <w:jc w:val="left"/>
        <w:rPr>
          <w:rFonts w:eastAsia="SimSun"/>
          <w:color w:val="000000"/>
          <w:lang w:val="fr-CH"/>
        </w:rPr>
      </w:pPr>
      <w:r w:rsidRPr="00E87F58">
        <w:rPr>
          <w:rFonts w:eastAsia="SimSun"/>
          <w:color w:val="000000"/>
          <w:lang w:val="fr-CH"/>
        </w:rPr>
        <w:tab/>
      </w:r>
      <w:proofErr w:type="spellStart"/>
      <w:r w:rsidRPr="00E87F58">
        <w:rPr>
          <w:rFonts w:eastAsia="SimSun"/>
          <w:color w:val="000000"/>
          <w:lang w:val="fr-CH"/>
        </w:rPr>
        <w:t>Ministry</w:t>
      </w:r>
      <w:proofErr w:type="spellEnd"/>
      <w:r w:rsidRPr="00E87F58">
        <w:rPr>
          <w:rFonts w:eastAsia="SimSun"/>
          <w:color w:val="000000"/>
          <w:lang w:val="fr-CH"/>
        </w:rPr>
        <w:t xml:space="preserve"> of Information Society and Administration</w:t>
      </w:r>
      <w:r w:rsidRPr="00E87F58">
        <w:rPr>
          <w:rFonts w:eastAsia="SimSun"/>
          <w:color w:val="000000"/>
          <w:lang w:val="fr-CH"/>
        </w:rPr>
        <w:br/>
        <w:t xml:space="preserve">Mito </w:t>
      </w:r>
      <w:proofErr w:type="spellStart"/>
      <w:r w:rsidRPr="00E87F58">
        <w:rPr>
          <w:rFonts w:eastAsia="SimSun"/>
          <w:color w:val="000000"/>
          <w:lang w:val="fr-CH"/>
        </w:rPr>
        <w:t>Hadzi</w:t>
      </w:r>
      <w:proofErr w:type="spellEnd"/>
      <w:r w:rsidRPr="00E87F58">
        <w:rPr>
          <w:rFonts w:eastAsia="SimSun"/>
          <w:color w:val="000000"/>
          <w:lang w:val="fr-CH"/>
        </w:rPr>
        <w:t>-</w:t>
      </w:r>
      <w:proofErr w:type="spellStart"/>
      <w:r w:rsidRPr="00E87F58">
        <w:rPr>
          <w:rFonts w:eastAsia="SimSun"/>
          <w:color w:val="000000"/>
          <w:lang w:val="fr-CH"/>
        </w:rPr>
        <w:t>Vasilev</w:t>
      </w:r>
      <w:proofErr w:type="spellEnd"/>
      <w:r w:rsidRPr="00E87F58">
        <w:rPr>
          <w:rFonts w:eastAsia="SimSun"/>
          <w:color w:val="000000"/>
          <w:lang w:val="fr-CH"/>
        </w:rPr>
        <w:t xml:space="preserve"> Jasmin </w:t>
      </w:r>
      <w:proofErr w:type="spellStart"/>
      <w:r w:rsidRPr="00E87F58">
        <w:rPr>
          <w:rFonts w:eastAsia="SimSun"/>
          <w:color w:val="000000"/>
          <w:lang w:val="fr-CH"/>
        </w:rPr>
        <w:t>bb</w:t>
      </w:r>
      <w:proofErr w:type="spellEnd"/>
      <w:r w:rsidRPr="00E87F58">
        <w:rPr>
          <w:rFonts w:eastAsia="SimSun"/>
          <w:color w:val="000000"/>
          <w:lang w:val="fr-CH"/>
        </w:rPr>
        <w:br/>
        <w:t>1000 SKOPJE</w:t>
      </w:r>
      <w:r w:rsidRPr="00E87F58">
        <w:rPr>
          <w:rFonts w:eastAsia="SimSun"/>
          <w:color w:val="000000"/>
          <w:lang w:val="fr-CH"/>
        </w:rPr>
        <w:br/>
        <w:t>L'ex-</w:t>
      </w:r>
      <w:proofErr w:type="spellStart"/>
      <w:r w:rsidRPr="00E87F58">
        <w:rPr>
          <w:rFonts w:eastAsia="SimSun"/>
          <w:color w:val="000000"/>
          <w:lang w:val="fr-CH"/>
        </w:rPr>
        <w:t>Rép</w:t>
      </w:r>
      <w:proofErr w:type="spellEnd"/>
      <w:r w:rsidRPr="00E87F58">
        <w:rPr>
          <w:rFonts w:eastAsia="SimSun"/>
          <w:color w:val="000000"/>
          <w:lang w:val="fr-CH"/>
        </w:rPr>
        <w:t>. yougoslave de Macédoine</w:t>
      </w:r>
      <w:r w:rsidRPr="00E87F58">
        <w:rPr>
          <w:rFonts w:eastAsia="SimSun"/>
          <w:color w:val="000000"/>
          <w:lang w:val="fr-CH"/>
        </w:rPr>
        <w:br/>
        <w:t>Tél:</w:t>
      </w:r>
      <w:r w:rsidRPr="00E87F58">
        <w:rPr>
          <w:rFonts w:eastAsia="SimSun"/>
          <w:color w:val="000000"/>
          <w:lang w:val="fr-CH"/>
        </w:rPr>
        <w:tab/>
        <w:t>+389 2 320</w:t>
      </w:r>
      <w:r w:rsidR="00BC3FDF">
        <w:rPr>
          <w:rFonts w:eastAsia="SimSun"/>
          <w:color w:val="000000"/>
          <w:lang w:val="fr-CH"/>
        </w:rPr>
        <w:t xml:space="preserve"> </w:t>
      </w:r>
      <w:r w:rsidRPr="00E87F58">
        <w:rPr>
          <w:rFonts w:eastAsia="SimSun"/>
          <w:color w:val="000000"/>
          <w:lang w:val="fr-CH"/>
        </w:rPr>
        <w:t xml:space="preserve">0870 </w:t>
      </w:r>
      <w:r w:rsidRPr="00E87F58">
        <w:rPr>
          <w:rFonts w:eastAsia="SimSun"/>
          <w:color w:val="000000"/>
          <w:lang w:val="fr-CH"/>
        </w:rPr>
        <w:br/>
        <w:t>Fax:</w:t>
      </w:r>
      <w:r w:rsidRPr="00E87F58">
        <w:rPr>
          <w:rFonts w:eastAsia="SimSun"/>
          <w:color w:val="000000"/>
          <w:lang w:val="fr-CH"/>
        </w:rPr>
        <w:tab/>
        <w:t>+389 2 322</w:t>
      </w:r>
      <w:r w:rsidR="00BC3FDF">
        <w:rPr>
          <w:rFonts w:eastAsia="SimSun"/>
          <w:color w:val="000000"/>
          <w:lang w:val="fr-CH"/>
        </w:rPr>
        <w:t xml:space="preserve"> </w:t>
      </w:r>
      <w:r w:rsidRPr="00E87F58">
        <w:rPr>
          <w:rFonts w:eastAsia="SimSun"/>
          <w:color w:val="000000"/>
          <w:lang w:val="fr-CH"/>
        </w:rPr>
        <w:t xml:space="preserve">1883 </w:t>
      </w:r>
      <w:r w:rsidRPr="00E87F58">
        <w:rPr>
          <w:rFonts w:eastAsia="SimSun"/>
          <w:color w:val="000000"/>
          <w:lang w:val="fr-CH"/>
        </w:rPr>
        <w:br/>
        <w:t>E-mail:</w:t>
      </w:r>
      <w:r w:rsidRPr="00E87F58">
        <w:rPr>
          <w:rFonts w:eastAsia="SimSun"/>
          <w:color w:val="000000"/>
          <w:lang w:val="fr-CH"/>
        </w:rPr>
        <w:tab/>
        <w:t xml:space="preserve">contact_mis@mis.gov.mk </w:t>
      </w:r>
      <w:r w:rsidRPr="00E87F58">
        <w:rPr>
          <w:rFonts w:eastAsia="SimSun"/>
          <w:color w:val="000000"/>
          <w:lang w:val="fr-CH"/>
        </w:rPr>
        <w:br/>
        <w:t>URL:</w:t>
      </w:r>
      <w:r w:rsidRPr="00E87F58">
        <w:rPr>
          <w:rFonts w:eastAsia="SimSun"/>
          <w:color w:val="000000"/>
          <w:lang w:val="fr-CH"/>
        </w:rPr>
        <w:tab/>
        <w:t xml:space="preserve">www.mio.gov.mk </w:t>
      </w:r>
    </w:p>
    <w:p w:rsidR="00A347CA" w:rsidRDefault="00A347CA" w:rsidP="00A347CA">
      <w:pPr>
        <w:rPr>
          <w:lang w:val="fr-CH"/>
        </w:rPr>
      </w:pPr>
    </w:p>
    <w:p w:rsidR="00145620" w:rsidRPr="00E87F58" w:rsidRDefault="00145620" w:rsidP="00A347CA">
      <w:pPr>
        <w:rPr>
          <w:lang w:val="fr-CH"/>
        </w:rPr>
      </w:pPr>
    </w:p>
    <w:p w:rsidR="001603EA" w:rsidRPr="00E8749E" w:rsidRDefault="001603EA" w:rsidP="001603EA">
      <w:pPr>
        <w:rPr>
          <w:b/>
          <w:bCs/>
          <w:lang w:val="fr-CH"/>
        </w:rPr>
      </w:pPr>
      <w:r w:rsidRPr="00E8749E">
        <w:rPr>
          <w:b/>
          <w:bCs/>
          <w:lang w:val="fr-CH"/>
        </w:rPr>
        <w:t>Espagne</w:t>
      </w:r>
    </w:p>
    <w:p w:rsidR="001603EA" w:rsidRPr="00E8749E" w:rsidRDefault="001603EA" w:rsidP="001603EA">
      <w:pPr>
        <w:tabs>
          <w:tab w:val="left" w:pos="720"/>
        </w:tabs>
        <w:overflowPunct/>
        <w:spacing w:before="0"/>
        <w:rPr>
          <w:rFonts w:cs="Arial"/>
          <w:lang w:val="fr-CH"/>
        </w:rPr>
      </w:pPr>
      <w:r w:rsidRPr="00E8749E">
        <w:rPr>
          <w:rFonts w:cs="Arial"/>
          <w:lang w:val="fr-CH"/>
        </w:rPr>
        <w:t>Communication du 16.I.2012:</w:t>
      </w:r>
    </w:p>
    <w:p w:rsidR="001603EA" w:rsidRPr="00755117" w:rsidRDefault="001603EA" w:rsidP="001603EA">
      <w:pPr>
        <w:keepNext/>
        <w:tabs>
          <w:tab w:val="left" w:pos="720"/>
        </w:tabs>
        <w:overflowPunct/>
        <w:jc w:val="center"/>
        <w:outlineLvl w:val="0"/>
        <w:rPr>
          <w:rFonts w:cs="Arial"/>
          <w:i/>
          <w:iCs/>
          <w:lang w:val="fr-FR"/>
        </w:rPr>
      </w:pPr>
      <w:r w:rsidRPr="00755117">
        <w:rPr>
          <w:rFonts w:cs="Arial"/>
          <w:i/>
          <w:iCs/>
          <w:lang w:val="fr-FR"/>
        </w:rPr>
        <w:t>Changements de nom, d’adresse électronique et d’URL</w:t>
      </w:r>
    </w:p>
    <w:p w:rsidR="001603EA" w:rsidRPr="00755117" w:rsidRDefault="001603EA" w:rsidP="00BC3FDF">
      <w:pPr>
        <w:rPr>
          <w:rFonts w:cs="Arial"/>
          <w:bCs/>
          <w:i/>
          <w:lang w:val="fr-FR"/>
        </w:rPr>
      </w:pPr>
      <w:r w:rsidRPr="00E87F58">
        <w:rPr>
          <w:rFonts w:cs="Arial"/>
          <w:lang w:val="es-ES_tradnl"/>
        </w:rPr>
        <w:t>Le</w:t>
      </w:r>
      <w:r w:rsidRPr="00E87F58">
        <w:rPr>
          <w:rFonts w:cs="Arial"/>
          <w:i/>
          <w:iCs/>
          <w:lang w:val="es-ES_tradnl"/>
        </w:rPr>
        <w:t xml:space="preserve"> Ministerio de Industria, Turismo y Comercio</w:t>
      </w:r>
      <w:r w:rsidRPr="00E87F58">
        <w:rPr>
          <w:rFonts w:cs="Arial"/>
          <w:lang w:val="es-ES_tradnl"/>
        </w:rPr>
        <w:t xml:space="preserve">, Madrid, </w:t>
      </w:r>
      <w:proofErr w:type="spellStart"/>
      <w:r w:rsidRPr="00E87F58">
        <w:rPr>
          <w:rFonts w:cs="Arial"/>
          <w:lang w:val="es-ES_tradnl"/>
        </w:rPr>
        <w:t>annonce</w:t>
      </w:r>
      <w:proofErr w:type="spellEnd"/>
      <w:r w:rsidRPr="00E87F58">
        <w:rPr>
          <w:rFonts w:cs="Arial"/>
          <w:lang w:val="es-ES_tradnl"/>
        </w:rPr>
        <w:t xml:space="preserve"> </w:t>
      </w:r>
      <w:proofErr w:type="spellStart"/>
      <w:r w:rsidRPr="00E87F58">
        <w:rPr>
          <w:rFonts w:cs="Arial"/>
          <w:lang w:val="es-ES_tradnl"/>
        </w:rPr>
        <w:t>qu’il</w:t>
      </w:r>
      <w:proofErr w:type="spellEnd"/>
      <w:r w:rsidRPr="00E87F58">
        <w:rPr>
          <w:rFonts w:cs="Arial"/>
          <w:lang w:val="es-ES_tradnl"/>
        </w:rPr>
        <w:t xml:space="preserve"> a </w:t>
      </w:r>
      <w:proofErr w:type="spellStart"/>
      <w:r w:rsidRPr="00E87F58">
        <w:rPr>
          <w:rFonts w:cs="Arial"/>
          <w:lang w:val="es-ES_tradnl"/>
        </w:rPr>
        <w:t>changé</w:t>
      </w:r>
      <w:proofErr w:type="spellEnd"/>
      <w:r w:rsidRPr="00E87F58">
        <w:rPr>
          <w:rFonts w:cs="Arial"/>
          <w:lang w:val="es-ES_tradnl"/>
        </w:rPr>
        <w:t xml:space="preserve"> de </w:t>
      </w:r>
      <w:proofErr w:type="spellStart"/>
      <w:r w:rsidRPr="00E87F58">
        <w:rPr>
          <w:rFonts w:cs="Arial"/>
          <w:lang w:val="es-ES_tradnl"/>
        </w:rPr>
        <w:t>nom</w:t>
      </w:r>
      <w:proofErr w:type="spellEnd"/>
      <w:r w:rsidRPr="00E87F58">
        <w:rPr>
          <w:rFonts w:cs="Arial"/>
          <w:lang w:val="es-ES_tradnl"/>
        </w:rPr>
        <w:t xml:space="preserve">. </w:t>
      </w:r>
      <w:r w:rsidRPr="00755117">
        <w:rPr>
          <w:rFonts w:cs="Arial"/>
          <w:lang w:val="fr-FR"/>
        </w:rPr>
        <w:t>Il s’appelle désormais:</w:t>
      </w:r>
      <w:r w:rsidR="00BC3FDF">
        <w:rPr>
          <w:rFonts w:cs="Arial"/>
          <w:lang w:val="fr-FR"/>
        </w:rPr>
        <w:t xml:space="preserve"> </w:t>
      </w:r>
      <w:r w:rsidRPr="00E87F58">
        <w:rPr>
          <w:rFonts w:cs="Arial"/>
          <w:lang w:val="fr-CH"/>
        </w:rPr>
        <w:t>«</w:t>
      </w:r>
      <w:proofErr w:type="spellStart"/>
      <w:r w:rsidRPr="00E87F58">
        <w:rPr>
          <w:rFonts w:cs="Arial"/>
          <w:lang w:val="fr-CH"/>
        </w:rPr>
        <w:t>Ministerio</w:t>
      </w:r>
      <w:proofErr w:type="spellEnd"/>
      <w:r w:rsidRPr="00E87F58">
        <w:rPr>
          <w:rFonts w:cs="Arial"/>
          <w:lang w:val="fr-CH"/>
        </w:rPr>
        <w:t xml:space="preserve"> de </w:t>
      </w:r>
      <w:proofErr w:type="spellStart"/>
      <w:r w:rsidRPr="00E87F58">
        <w:rPr>
          <w:rFonts w:cs="Arial"/>
          <w:lang w:val="fr-CH"/>
        </w:rPr>
        <w:t>Industria</w:t>
      </w:r>
      <w:proofErr w:type="spellEnd"/>
      <w:r w:rsidRPr="00E87F58">
        <w:rPr>
          <w:rFonts w:cs="Arial"/>
          <w:lang w:val="fr-CH"/>
        </w:rPr>
        <w:t xml:space="preserve">, </w:t>
      </w:r>
      <w:proofErr w:type="spellStart"/>
      <w:r w:rsidRPr="00E87F58">
        <w:rPr>
          <w:rFonts w:cs="Arial"/>
          <w:lang w:val="fr-CH"/>
        </w:rPr>
        <w:t>Energía</w:t>
      </w:r>
      <w:proofErr w:type="spellEnd"/>
      <w:r w:rsidRPr="00E87F58">
        <w:rPr>
          <w:rFonts w:cs="Arial"/>
          <w:lang w:val="fr-CH"/>
        </w:rPr>
        <w:t xml:space="preserve"> y </w:t>
      </w:r>
      <w:proofErr w:type="spellStart"/>
      <w:r w:rsidRPr="00E87F58">
        <w:rPr>
          <w:rFonts w:cs="Arial"/>
          <w:lang w:val="fr-CH"/>
        </w:rPr>
        <w:t>Turismo</w:t>
      </w:r>
      <w:proofErr w:type="spellEnd"/>
      <w:r w:rsidRPr="00E87F58">
        <w:rPr>
          <w:rFonts w:cs="Arial"/>
          <w:lang w:val="fr-CH"/>
        </w:rPr>
        <w:t xml:space="preserve">». </w:t>
      </w:r>
      <w:r>
        <w:rPr>
          <w:rFonts w:cs="Arial"/>
          <w:lang w:val="fr-FR"/>
        </w:rPr>
        <w:t>I</w:t>
      </w:r>
      <w:r w:rsidRPr="00755117">
        <w:rPr>
          <w:rFonts w:cs="Arial"/>
          <w:lang w:val="fr-FR"/>
        </w:rPr>
        <w:t>l an</w:t>
      </w:r>
      <w:r>
        <w:rPr>
          <w:rFonts w:cs="Arial"/>
          <w:lang w:val="fr-FR"/>
        </w:rPr>
        <w:t>nonce également que son adresse</w:t>
      </w:r>
      <w:r w:rsidRPr="00755117">
        <w:rPr>
          <w:rFonts w:cs="Arial"/>
          <w:lang w:val="fr-FR"/>
        </w:rPr>
        <w:t xml:space="preserve"> électronique et son URL ont chan</w:t>
      </w:r>
      <w:r>
        <w:rPr>
          <w:rFonts w:cs="Arial"/>
          <w:lang w:val="fr-FR"/>
        </w:rPr>
        <w:t>gé.</w:t>
      </w:r>
    </w:p>
    <w:p w:rsidR="001603EA" w:rsidRPr="00E8749E" w:rsidRDefault="001603EA" w:rsidP="00BC3FDF">
      <w:pPr>
        <w:ind w:left="567" w:hanging="567"/>
        <w:jc w:val="left"/>
        <w:rPr>
          <w:lang w:val="es-ES_tradnl"/>
        </w:rPr>
      </w:pPr>
      <w:r w:rsidRPr="00E87F58">
        <w:rPr>
          <w:lang w:val="fr-CH"/>
        </w:rPr>
        <w:tab/>
      </w:r>
      <w:r>
        <w:rPr>
          <w:lang w:val="es-ES"/>
        </w:rPr>
        <w:t>Ministerio de Industria, Energía y Turismo</w:t>
      </w:r>
      <w:r>
        <w:rPr>
          <w:lang w:val="es-ES"/>
        </w:rPr>
        <w:br/>
        <w:t>Paseo de la Castellana, 160</w:t>
      </w:r>
      <w:r>
        <w:rPr>
          <w:lang w:val="es-ES"/>
        </w:rPr>
        <w:br/>
        <w:t>28071 MADRID</w:t>
      </w:r>
      <w:r>
        <w:rPr>
          <w:lang w:val="es-ES"/>
        </w:rPr>
        <w:br/>
      </w:r>
      <w:proofErr w:type="spellStart"/>
      <w:r>
        <w:rPr>
          <w:lang w:val="es-ES"/>
        </w:rPr>
        <w:t>Espagne</w:t>
      </w:r>
      <w:proofErr w:type="spellEnd"/>
      <w:r>
        <w:rPr>
          <w:lang w:val="es-ES"/>
        </w:rPr>
        <w:br/>
      </w:r>
      <w:proofErr w:type="spellStart"/>
      <w:r w:rsidRPr="00E8749E">
        <w:rPr>
          <w:lang w:val="es-ES_tradnl"/>
        </w:rPr>
        <w:t>Tél</w:t>
      </w:r>
      <w:proofErr w:type="spellEnd"/>
      <w:r w:rsidRPr="00E8749E">
        <w:rPr>
          <w:lang w:val="es-ES_tradnl"/>
        </w:rPr>
        <w:t>:</w:t>
      </w:r>
      <w:r w:rsidRPr="00E8749E">
        <w:rPr>
          <w:lang w:val="es-ES_tradnl"/>
        </w:rPr>
        <w:tab/>
        <w:t>+34 90</w:t>
      </w:r>
      <w:r w:rsidR="00BC3FDF">
        <w:rPr>
          <w:lang w:val="es-ES_tradnl"/>
        </w:rPr>
        <w:t xml:space="preserve"> </w:t>
      </w:r>
      <w:r w:rsidRPr="00E8749E">
        <w:rPr>
          <w:lang w:val="es-ES_tradnl"/>
        </w:rPr>
        <w:t xml:space="preserve">2446006 </w:t>
      </w:r>
      <w:r>
        <w:rPr>
          <w:lang w:val="es-ES_tradnl"/>
        </w:rPr>
        <w:br/>
      </w:r>
      <w:r w:rsidRPr="00E8749E">
        <w:rPr>
          <w:lang w:val="es-ES_tradnl"/>
        </w:rPr>
        <w:t>Fax:</w:t>
      </w:r>
      <w:r w:rsidRPr="00E8749E">
        <w:rPr>
          <w:lang w:val="es-ES_tradnl"/>
        </w:rPr>
        <w:tab/>
        <w:t xml:space="preserve">+34 91 4578066 </w:t>
      </w:r>
      <w:r>
        <w:rPr>
          <w:lang w:val="es-ES_tradnl"/>
        </w:rPr>
        <w:br/>
      </w:r>
      <w:r w:rsidRPr="00E8749E">
        <w:rPr>
          <w:lang w:val="es-ES_tradnl"/>
        </w:rPr>
        <w:t>E-mail:</w:t>
      </w:r>
      <w:r w:rsidRPr="00E8749E">
        <w:rPr>
          <w:lang w:val="es-ES_tradnl"/>
        </w:rPr>
        <w:tab/>
        <w:t xml:space="preserve">info@minetur.es </w:t>
      </w:r>
      <w:r>
        <w:rPr>
          <w:lang w:val="es-ES_tradnl"/>
        </w:rPr>
        <w:br/>
      </w:r>
      <w:r w:rsidRPr="00E8749E">
        <w:rPr>
          <w:lang w:val="es-ES_tradnl"/>
        </w:rPr>
        <w:t>URL:</w:t>
      </w:r>
      <w:r w:rsidRPr="00E8749E">
        <w:rPr>
          <w:lang w:val="es-ES_tradnl"/>
        </w:rPr>
        <w:tab/>
        <w:t xml:space="preserve">www.minetur.gob.es </w:t>
      </w:r>
    </w:p>
    <w:p w:rsidR="001603EA" w:rsidRPr="00E87F58" w:rsidRDefault="001603EA" w:rsidP="001603EA">
      <w:pPr>
        <w:rPr>
          <w:b/>
          <w:bCs/>
          <w:lang w:val="es-ES_tradnl" w:bidi="he-IL"/>
        </w:rPr>
      </w:pPr>
    </w:p>
    <w:p w:rsidR="00754284" w:rsidRPr="00E87F58" w:rsidRDefault="007542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 w:rsidRPr="00E87F58">
        <w:rPr>
          <w:lang w:val="es-ES_tradnl"/>
        </w:rPr>
        <w:br w:type="page"/>
      </w:r>
    </w:p>
    <w:p w:rsidR="00D013D6" w:rsidRPr="00E87F58" w:rsidRDefault="00D013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s-ES_tradnl"/>
        </w:rPr>
      </w:pPr>
    </w:p>
    <w:p w:rsidR="003E6D3B" w:rsidRPr="00E87F58" w:rsidRDefault="003E6D3B" w:rsidP="001B0EE0">
      <w:pPr>
        <w:rPr>
          <w:sz w:val="4"/>
          <w:lang w:val="es-ES_tradnl"/>
        </w:rPr>
      </w:pPr>
    </w:p>
    <w:p w:rsidR="006C1119" w:rsidRPr="006D0A68" w:rsidRDefault="006C1119" w:rsidP="006C1119">
      <w:pPr>
        <w:pStyle w:val="Heading20"/>
        <w:spacing w:before="0"/>
        <w:rPr>
          <w:lang w:val="fr-CH"/>
        </w:rPr>
      </w:pPr>
      <w:bookmarkStart w:id="187" w:name="_Toc248829285"/>
      <w:bookmarkStart w:id="188" w:name="_Toc251059439"/>
      <w:bookmarkStart w:id="189" w:name="_Toc252175433"/>
      <w:bookmarkStart w:id="190" w:name="_Toc253407936"/>
      <w:bookmarkStart w:id="191" w:name="_Toc255827806"/>
      <w:bookmarkStart w:id="192" w:name="_Toc259726559"/>
      <w:bookmarkStart w:id="193" w:name="_Toc262756308"/>
      <w:bookmarkStart w:id="194" w:name="_Toc265053971"/>
      <w:bookmarkStart w:id="195" w:name="_Toc266116935"/>
      <w:bookmarkStart w:id="196" w:name="_Toc268854532"/>
      <w:bookmarkStart w:id="197" w:name="_Toc271633977"/>
      <w:bookmarkStart w:id="198" w:name="_Toc273021701"/>
      <w:bookmarkStart w:id="199" w:name="_Toc274142290"/>
      <w:bookmarkStart w:id="200" w:name="_Toc276716398"/>
      <w:bookmarkStart w:id="201" w:name="_Toc279667619"/>
      <w:bookmarkStart w:id="202" w:name="_Toc280291911"/>
      <w:bookmarkStart w:id="203" w:name="_Toc282525379"/>
      <w:bookmarkStart w:id="204" w:name="_Toc283734859"/>
      <w:bookmarkStart w:id="205" w:name="_Toc286068881"/>
      <w:bookmarkStart w:id="206" w:name="_Toc288659506"/>
      <w:bookmarkStart w:id="207" w:name="_Toc291004552"/>
      <w:bookmarkStart w:id="208" w:name="_Toc292700060"/>
      <w:bookmarkStart w:id="209" w:name="_Toc295307382"/>
      <w:bookmarkStart w:id="210" w:name="_Toc295307462"/>
      <w:bookmarkStart w:id="211" w:name="_Toc296609674"/>
      <w:bookmarkStart w:id="212" w:name="_Toc297803854"/>
      <w:bookmarkStart w:id="213" w:name="_Toc301943886"/>
      <w:bookmarkStart w:id="214" w:name="_Toc303343170"/>
      <w:bookmarkStart w:id="215" w:name="_Toc304886940"/>
      <w:bookmarkStart w:id="216" w:name="_Toc308428461"/>
      <w:bookmarkStart w:id="217" w:name="_Toc311050069"/>
      <w:bookmarkStart w:id="218" w:name="_Toc313963500"/>
      <w:r w:rsidRPr="006D0A68">
        <w:rPr>
          <w:lang w:val="fr-CH"/>
        </w:rPr>
        <w:t>Restrictions</w:t>
      </w:r>
      <w:bookmarkEnd w:id="187"/>
      <w:bookmarkEnd w:id="188"/>
      <w:r w:rsidRPr="006D0A68">
        <w:rPr>
          <w:lang w:val="fr-CH"/>
        </w:rPr>
        <w:t xml:space="preserve"> de service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:rsidR="006C1119" w:rsidRPr="00E42A7E" w:rsidRDefault="006C1119" w:rsidP="009D2D88">
      <w:pPr>
        <w:pStyle w:val="Normalaftertitle"/>
        <w:spacing w:before="220"/>
        <w:rPr>
          <w:lang w:val="fr-FR"/>
        </w:rPr>
      </w:pPr>
      <w:bookmarkStart w:id="219" w:name="_Toc97092277"/>
      <w:bookmarkStart w:id="220" w:name="_Toc98306179"/>
      <w:bookmarkStart w:id="221" w:name="_Toc100050762"/>
      <w:bookmarkStart w:id="222" w:name="_Toc101246657"/>
      <w:bookmarkStart w:id="223" w:name="_Toc102534883"/>
      <w:bookmarkStart w:id="224" w:name="_Toc105302160"/>
      <w:bookmarkStart w:id="225" w:name="_Toc106504917"/>
      <w:bookmarkStart w:id="226" w:name="_Toc107798486"/>
      <w:bookmarkStart w:id="227" w:name="_Toc109028771"/>
      <w:bookmarkStart w:id="228" w:name="_Toc109631797"/>
      <w:bookmarkStart w:id="229" w:name="_Toc109631892"/>
      <w:bookmarkStart w:id="230" w:name="_Toc110233132"/>
      <w:bookmarkStart w:id="231" w:name="_Toc110233372"/>
      <w:bookmarkStart w:id="232" w:name="_Toc111607537"/>
      <w:bookmarkStart w:id="233" w:name="_Toc113250059"/>
      <w:bookmarkStart w:id="234" w:name="_Toc114285871"/>
      <w:bookmarkStart w:id="235" w:name="_Toc116117120"/>
      <w:bookmarkStart w:id="236" w:name="_Toc117389567"/>
      <w:bookmarkStart w:id="237" w:name="_Toc119749659"/>
      <w:bookmarkStart w:id="238" w:name="_Toc121281109"/>
      <w:bookmarkStart w:id="239" w:name="_Toc122238456"/>
      <w:bookmarkStart w:id="240" w:name="_Toc122940748"/>
      <w:bookmarkStart w:id="241" w:name="_Toc126481968"/>
      <w:bookmarkStart w:id="242" w:name="_Toc127606639"/>
      <w:bookmarkStart w:id="243" w:name="_Toc128886977"/>
      <w:bookmarkStart w:id="244" w:name="_Toc131917148"/>
      <w:bookmarkStart w:id="245" w:name="_Toc131917422"/>
      <w:bookmarkStart w:id="246" w:name="_Toc135453283"/>
      <w:bookmarkStart w:id="247" w:name="_Toc136762629"/>
      <w:bookmarkStart w:id="248" w:name="_Toc138153397"/>
      <w:bookmarkStart w:id="249" w:name="_Toc139444705"/>
      <w:bookmarkStart w:id="250" w:name="_Toc140656552"/>
      <w:bookmarkStart w:id="251" w:name="_Toc141774339"/>
      <w:bookmarkStart w:id="252" w:name="_Toc143331220"/>
      <w:bookmarkStart w:id="253" w:name="_Toc144780384"/>
      <w:bookmarkStart w:id="254" w:name="_Toc146011662"/>
      <w:bookmarkStart w:id="255" w:name="_Toc147313868"/>
      <w:bookmarkStart w:id="256" w:name="_Toc150078580"/>
      <w:bookmarkStart w:id="257" w:name="_Toc151281257"/>
      <w:bookmarkStart w:id="258" w:name="_Toc152663544"/>
      <w:bookmarkStart w:id="259" w:name="_Toc153877744"/>
      <w:bookmarkStart w:id="260" w:name="_Toc158019388"/>
      <w:bookmarkStart w:id="261" w:name="_Toc159212725"/>
      <w:bookmarkStart w:id="262" w:name="_Toc160456167"/>
      <w:bookmarkStart w:id="263" w:name="_Toc161638237"/>
      <w:bookmarkStart w:id="264" w:name="_Toc162942714"/>
      <w:bookmarkStart w:id="265" w:name="_Toc164586148"/>
      <w:bookmarkStart w:id="266" w:name="_Toc165690539"/>
      <w:bookmarkStart w:id="267" w:name="_Toc166647571"/>
      <w:bookmarkStart w:id="268" w:name="_Toc168388036"/>
      <w:bookmarkStart w:id="269" w:name="_Toc169584474"/>
      <w:bookmarkStart w:id="270" w:name="_Toc170815303"/>
      <w:bookmarkStart w:id="271" w:name="_Toc171936802"/>
      <w:bookmarkStart w:id="272" w:name="_Toc173647067"/>
      <w:bookmarkStart w:id="273" w:name="_Toc174436304"/>
      <w:bookmarkStart w:id="274" w:name="_Toc176340245"/>
      <w:bookmarkStart w:id="275" w:name="_Toc177526456"/>
      <w:bookmarkStart w:id="276" w:name="_Toc178733569"/>
      <w:bookmarkStart w:id="277" w:name="_Toc181591811"/>
      <w:bookmarkStart w:id="278" w:name="_Toc182996188"/>
      <w:bookmarkStart w:id="279" w:name="_Toc184099139"/>
      <w:bookmarkStart w:id="280" w:name="_Toc187491754"/>
      <w:bookmarkStart w:id="281" w:name="_Toc188073964"/>
      <w:bookmarkStart w:id="282" w:name="_Toc191803645"/>
      <w:bookmarkStart w:id="283" w:name="_Toc192925270"/>
      <w:bookmarkStart w:id="284" w:name="_Toc193013119"/>
      <w:bookmarkStart w:id="285" w:name="_Toc196019531"/>
      <w:bookmarkStart w:id="286" w:name="_Toc197223475"/>
      <w:bookmarkStart w:id="287" w:name="_Toc198519409"/>
      <w:bookmarkStart w:id="288" w:name="_Toc200872046"/>
      <w:bookmarkStart w:id="289" w:name="_Toc202750879"/>
      <w:bookmarkStart w:id="290" w:name="_Toc202750989"/>
      <w:bookmarkStart w:id="291" w:name="_Toc202751352"/>
      <w:bookmarkStart w:id="292" w:name="_Toc203553678"/>
      <w:bookmarkStart w:id="293" w:name="_Toc204666558"/>
      <w:bookmarkStart w:id="294" w:name="_Toc205106621"/>
      <w:bookmarkStart w:id="295" w:name="_Toc206390002"/>
      <w:bookmarkStart w:id="296" w:name="_Toc208205506"/>
      <w:bookmarkStart w:id="297" w:name="_Toc211848203"/>
      <w:bookmarkStart w:id="298" w:name="_Toc212964637"/>
      <w:bookmarkStart w:id="299" w:name="_Toc214162757"/>
      <w:bookmarkStart w:id="300" w:name="_Toc215907236"/>
      <w:bookmarkStart w:id="301" w:name="_Toc219001218"/>
      <w:bookmarkStart w:id="302" w:name="_Toc219610105"/>
      <w:bookmarkStart w:id="303" w:name="_Toc222028839"/>
      <w:bookmarkStart w:id="304" w:name="_Toc223252058"/>
      <w:bookmarkStart w:id="305" w:name="_Toc224533701"/>
      <w:bookmarkStart w:id="306" w:name="_Toc226791586"/>
      <w:bookmarkStart w:id="307" w:name="_Toc228766419"/>
      <w:bookmarkStart w:id="308" w:name="_Toc229971385"/>
      <w:bookmarkStart w:id="309" w:name="_Toc232323966"/>
      <w:bookmarkStart w:id="310" w:name="_Toc233609618"/>
      <w:bookmarkStart w:id="311" w:name="_Toc235352440"/>
      <w:bookmarkStart w:id="312" w:name="_Toc236573583"/>
      <w:bookmarkStart w:id="313" w:name="_Toc240790150"/>
      <w:bookmarkStart w:id="314" w:name="_Toc242001458"/>
      <w:bookmarkStart w:id="315" w:name="_Toc243300345"/>
      <w:bookmarkStart w:id="316" w:name="_Toc244506998"/>
      <w:bookmarkStart w:id="317" w:name="_Toc248829286"/>
      <w:r w:rsidRPr="00170C75">
        <w:rPr>
          <w:b/>
          <w:bCs/>
          <w:lang w:val="fr-FR"/>
        </w:rPr>
        <w:t>Note du TSB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r w:rsidR="002677B4">
        <w:rPr>
          <w:lang w:val="fr-FR"/>
        </w:rPr>
        <w:fldChar w:fldCharType="begin"/>
      </w:r>
      <w:r w:rsidRPr="00BD4486">
        <w:rPr>
          <w:lang w:val="fr-FR"/>
        </w:rPr>
        <w:instrText xml:space="preserve"> TC "</w:instrText>
      </w:r>
      <w:bookmarkStart w:id="318" w:name="_Toc253407937"/>
      <w:bookmarkStart w:id="319" w:name="_Toc255827807"/>
      <w:bookmarkStart w:id="320" w:name="_Toc259726560"/>
      <w:bookmarkStart w:id="321" w:name="_Toc262756309"/>
      <w:bookmarkStart w:id="322" w:name="_Toc265053972"/>
      <w:bookmarkStart w:id="323" w:name="_Toc266116936"/>
      <w:bookmarkStart w:id="324" w:name="_Toc268854533"/>
      <w:bookmarkStart w:id="325" w:name="_Toc271633978"/>
      <w:bookmarkStart w:id="326" w:name="_Toc273021702"/>
      <w:bookmarkStart w:id="327" w:name="_Toc274142291"/>
      <w:bookmarkStart w:id="328" w:name="_Toc276716399"/>
      <w:bookmarkStart w:id="329" w:name="_Toc279667620"/>
      <w:bookmarkStart w:id="330" w:name="_Toc280291912"/>
      <w:bookmarkStart w:id="331" w:name="_Toc282525380"/>
      <w:bookmarkStart w:id="332" w:name="_Toc283734860"/>
      <w:bookmarkStart w:id="333" w:name="_Toc286068882"/>
      <w:bookmarkStart w:id="334" w:name="_Toc288659507"/>
      <w:bookmarkStart w:id="335" w:name="_Toc291004553"/>
      <w:bookmarkStart w:id="336" w:name="_Toc292700061"/>
      <w:bookmarkStart w:id="337" w:name="_Toc295307463"/>
      <w:bookmarkStart w:id="338" w:name="_Toc296609675"/>
      <w:bookmarkStart w:id="339" w:name="_Toc297803855"/>
      <w:bookmarkStart w:id="340" w:name="_Toc301943887"/>
      <w:bookmarkStart w:id="341" w:name="_Toc303343171"/>
      <w:bookmarkStart w:id="342" w:name="_Toc304886941"/>
      <w:bookmarkStart w:id="343" w:name="_Toc308428462"/>
      <w:bookmarkStart w:id="344" w:name="_Toc311050070"/>
      <w:bookmarkStart w:id="345" w:name="_Toc313963501"/>
      <w:r w:rsidRPr="00FB7B61">
        <w:rPr>
          <w:lang w:val="fr-FR"/>
        </w:rPr>
        <w:instrText>Note du TSB</w:instrTex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r w:rsidRPr="00BD4486">
        <w:rPr>
          <w:lang w:val="fr-FR"/>
        </w:rPr>
        <w:instrText xml:space="preserve">" \f C \l "3" </w:instrText>
      </w:r>
      <w:r w:rsidR="002677B4">
        <w:rPr>
          <w:lang w:val="fr-FR"/>
        </w:rPr>
        <w:fldChar w:fldCharType="end"/>
      </w:r>
    </w:p>
    <w:p w:rsidR="006C1119" w:rsidRPr="00E42A7E" w:rsidRDefault="006C1119" w:rsidP="006C1119">
      <w:pPr>
        <w:rPr>
          <w:lang w:val="fr-FR"/>
        </w:rPr>
      </w:pPr>
      <w:r w:rsidRPr="00E42A7E">
        <w:rPr>
          <w:lang w:val="fr-FR"/>
        </w:rPr>
        <w:t xml:space="preserve">Les communications des pays suivants concernant les restrictions de service relatives aux différents services de télécommunication internationaux offerts au public ont été publiées </w:t>
      </w:r>
      <w:proofErr w:type="spellStart"/>
      <w:r w:rsidRPr="00E42A7E">
        <w:rPr>
          <w:lang w:val="fr-FR"/>
        </w:rPr>
        <w:t>individuel</w:t>
      </w:r>
      <w:r w:rsidRPr="00E42A7E">
        <w:rPr>
          <w:lang w:val="fr-FR"/>
        </w:rPr>
        <w:softHyphen/>
        <w:t>lement</w:t>
      </w:r>
      <w:proofErr w:type="spellEnd"/>
      <w:r w:rsidRPr="00E42A7E">
        <w:rPr>
          <w:lang w:val="fr-FR"/>
        </w:rPr>
        <w:t xml:space="preserve"> dans le Bulletin d'exploitation de l'UIT (BE):</w:t>
      </w:r>
    </w:p>
    <w:p w:rsidR="006C1119" w:rsidRPr="007E3F87" w:rsidRDefault="006C1119" w:rsidP="006C1119">
      <w:pPr>
        <w:rPr>
          <w:sz w:val="4"/>
          <w:lang w:val="fr-FR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6C1119" w:rsidRPr="00E42A7E" w:rsidTr="00715FCD">
        <w:trPr>
          <w:jc w:val="center"/>
        </w:trPr>
        <w:tc>
          <w:tcPr>
            <w:tcW w:w="2268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  <w:rPr>
                <w:b/>
                <w:bCs/>
              </w:rPr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Allemagne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Malawi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699 (p.6)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Antigua-et-Barbuda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Maldives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766 (p.19)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Arabie saoudite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Maroc</w:t>
            </w:r>
          </w:p>
        </w:tc>
        <w:tc>
          <w:tcPr>
            <w:tcW w:w="1985" w:type="dxa"/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692 (p.8), 727 (p.5)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</w:pPr>
            <w:r>
              <w:t>Argentine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Maurice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610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Aruba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Australie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Nigéria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Barbade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Norvège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716 (p.17)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Belgique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Nouvelle-Calédonie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896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Belize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Pakistan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827 (p.14), 852 (p.13)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Bulgarie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Panama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839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Cayman (Iles)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Pays-Bas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939 (p.8)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Chypre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Pérou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753 (p.9)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Colombie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République arabe syrienne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828 (p.38)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432D7C">
            <w:pPr>
              <w:pStyle w:val="Tabletext0"/>
              <w:spacing w:before="20" w:after="20"/>
              <w:rPr>
                <w:b/>
              </w:rPr>
            </w:pPr>
            <w:r>
              <w:t>Cura</w:t>
            </w:r>
            <w:r>
              <w:rPr>
                <w:rFonts w:ascii="Times New Roman" w:hAnsi="Times New Roman"/>
              </w:rPr>
              <w:t>ç</w:t>
            </w:r>
            <w:r>
              <w:t xml:space="preserve">ao, </w:t>
            </w:r>
            <w:proofErr w:type="spellStart"/>
            <w:r>
              <w:t>Sint</w:t>
            </w:r>
            <w:proofErr w:type="spellEnd"/>
            <w:r>
              <w:t xml:space="preserve"> Maarten, Bonaire, S</w:t>
            </w:r>
            <w:r w:rsidR="00E330EE">
              <w:t>a</w:t>
            </w:r>
            <w:r>
              <w:t xml:space="preserve">int </w:t>
            </w:r>
            <w:proofErr w:type="spellStart"/>
            <w:r>
              <w:t>Eustatius</w:t>
            </w:r>
            <w:proofErr w:type="spellEnd"/>
            <w:r>
              <w:t xml:space="preserve"> et Saba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  <w:spacing w:before="20" w:after="20"/>
            </w:pPr>
            <w:r w:rsidRPr="00E42A7E"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Roumanie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Danemark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Sainte-Lucie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853 (p.12)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Dominique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Saint-Marin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834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Emirats arabes unis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724 (p.7), 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Saint-Vincent-et-les-</w:t>
            </w:r>
            <w:r w:rsidRPr="00E42A7E">
              <w:br/>
              <w:t>Grenadines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797 (p.21)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proofErr w:type="spellStart"/>
            <w:r w:rsidRPr="00E42A7E">
              <w:t>Féderation</w:t>
            </w:r>
            <w:proofErr w:type="spellEnd"/>
            <w:r w:rsidRPr="00E42A7E">
              <w:t xml:space="preserve"> de Russie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Serbie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804 (p.8)</w:t>
            </w:r>
            <w:r>
              <w:t>, 955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Fidji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Singapour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829 (p.19)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Finlande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>
              <w:t>Slovaquie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>
              <w:t>790 (p.4), 798 (p.12)</w:t>
            </w:r>
            <w:r>
              <w:br/>
              <w:t>853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Slovénie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609 (p.15), 711 (p.8)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France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924 (p.12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Soudan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827 (p.14)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Gibraltar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Sri Lanka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865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Groenland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proofErr w:type="spellStart"/>
            <w:r w:rsidRPr="00E42A7E">
              <w:t>Sudafricaine</w:t>
            </w:r>
            <w:proofErr w:type="spellEnd"/>
            <w:r w:rsidRPr="00E42A7E">
              <w:t xml:space="preserve"> (</w:t>
            </w:r>
            <w:proofErr w:type="spellStart"/>
            <w:r w:rsidRPr="00E42A7E">
              <w:t>Rép</w:t>
            </w:r>
            <w:proofErr w:type="spellEnd"/>
            <w:r w:rsidRPr="00E42A7E">
              <w:t>.)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667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Guyana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Suède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818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Honduras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Swaziland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877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Hongrie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Trinité-et-Tobago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894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Indonésie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726 (p.16, p.31),</w:t>
            </w:r>
            <w:r w:rsidRPr="00E42A7E"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Turques et Caïques (Iles)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841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Islande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Japon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Uruguay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849 (p.20)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Kenya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Vanuatu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740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Koweït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Yémen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Liban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</w:tr>
    </w:tbl>
    <w:p w:rsidR="006C1119" w:rsidRPr="009D2D88" w:rsidRDefault="006C1119" w:rsidP="009D2D88">
      <w:pPr>
        <w:spacing w:before="0"/>
        <w:ind w:left="567" w:hanging="567"/>
        <w:jc w:val="left"/>
        <w:rPr>
          <w:sz w:val="2"/>
          <w:lang w:val="fr-CH"/>
        </w:rPr>
      </w:pPr>
    </w:p>
    <w:p w:rsidR="006F5569" w:rsidRDefault="006F55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6F5569" w:rsidRPr="00650C72" w:rsidRDefault="006F5569" w:rsidP="00650C72">
      <w:pPr>
        <w:spacing w:before="0"/>
        <w:rPr>
          <w:sz w:val="6"/>
          <w:lang w:val="fr-CH"/>
        </w:rPr>
      </w:pPr>
    </w:p>
    <w:p w:rsidR="00650C72" w:rsidRPr="00E42A7E" w:rsidRDefault="00650C72" w:rsidP="00650C72">
      <w:pPr>
        <w:pStyle w:val="Heading20"/>
        <w:spacing w:before="0"/>
      </w:pPr>
      <w:bookmarkStart w:id="346" w:name="_Toc190583978"/>
      <w:bookmarkStart w:id="347" w:name="_Toc191715175"/>
      <w:bookmarkStart w:id="348" w:name="_Toc193013700"/>
      <w:bookmarkStart w:id="349" w:name="_Toc194811199"/>
      <w:bookmarkStart w:id="350" w:name="_Toc196016416"/>
      <w:bookmarkStart w:id="351" w:name="_Toc197219131"/>
      <w:bookmarkStart w:id="352" w:name="_Toc198364506"/>
      <w:bookmarkStart w:id="353" w:name="_Toc199662475"/>
      <w:bookmarkStart w:id="354" w:name="_Toc200866980"/>
      <w:bookmarkStart w:id="355" w:name="_Toc202686481"/>
      <w:bookmarkStart w:id="356" w:name="_Toc203551965"/>
      <w:bookmarkStart w:id="357" w:name="_Toc204668219"/>
      <w:bookmarkStart w:id="358" w:name="_Toc205090228"/>
      <w:bookmarkStart w:id="359" w:name="_Toc206383860"/>
      <w:bookmarkStart w:id="360" w:name="_Toc208199970"/>
      <w:bookmarkStart w:id="361" w:name="_Toc211846650"/>
      <w:bookmarkStart w:id="362" w:name="_Toc214158948"/>
      <w:bookmarkStart w:id="363" w:name="_Toc215903445"/>
      <w:bookmarkStart w:id="364" w:name="_Toc217291440"/>
      <w:bookmarkStart w:id="365" w:name="_Toc218929457"/>
      <w:bookmarkStart w:id="366" w:name="_Toc220822912"/>
      <w:bookmarkStart w:id="367" w:name="_Toc222026669"/>
      <w:bookmarkStart w:id="368" w:name="_Toc223250159"/>
      <w:bookmarkStart w:id="369" w:name="_Toc223250738"/>
      <w:bookmarkStart w:id="370" w:name="_Toc226796833"/>
      <w:bookmarkStart w:id="371" w:name="_Toc228761752"/>
      <w:bookmarkStart w:id="372" w:name="_Toc229969488"/>
      <w:bookmarkStart w:id="373" w:name="_Toc231198994"/>
      <w:bookmarkStart w:id="374" w:name="_Toc232315673"/>
      <w:bookmarkStart w:id="375" w:name="_Toc233618262"/>
      <w:bookmarkStart w:id="376" w:name="_Toc236568466"/>
      <w:bookmarkStart w:id="377" w:name="_Toc240772445"/>
      <w:bookmarkStart w:id="378" w:name="_Toc242000168"/>
      <w:bookmarkStart w:id="379" w:name="_Toc243283630"/>
      <w:bookmarkStart w:id="380" w:name="_Toc244503096"/>
      <w:bookmarkStart w:id="381" w:name="_Toc247966344"/>
      <w:bookmarkStart w:id="382" w:name="_Toc252175434"/>
      <w:bookmarkStart w:id="383" w:name="_Toc253407938"/>
      <w:bookmarkStart w:id="384" w:name="_Toc255827808"/>
      <w:bookmarkStart w:id="385" w:name="_Toc259726561"/>
      <w:bookmarkStart w:id="386" w:name="_Toc262756310"/>
      <w:bookmarkStart w:id="387" w:name="_Toc265053973"/>
      <w:bookmarkStart w:id="388" w:name="_Toc266116937"/>
      <w:bookmarkStart w:id="389" w:name="_Toc268854534"/>
      <w:bookmarkStart w:id="390" w:name="_Toc271633979"/>
      <w:bookmarkStart w:id="391" w:name="_Toc273021703"/>
      <w:bookmarkStart w:id="392" w:name="_Toc274142292"/>
      <w:bookmarkStart w:id="393" w:name="_Toc276716400"/>
      <w:bookmarkStart w:id="394" w:name="_Toc279667621"/>
      <w:bookmarkStart w:id="395" w:name="_Toc280291913"/>
      <w:bookmarkStart w:id="396" w:name="_Toc282525381"/>
      <w:bookmarkStart w:id="397" w:name="_Toc283734861"/>
      <w:bookmarkStart w:id="398" w:name="_Toc286068883"/>
      <w:bookmarkStart w:id="399" w:name="_Toc288659508"/>
      <w:bookmarkStart w:id="400" w:name="_Toc291004554"/>
      <w:bookmarkStart w:id="401" w:name="_Toc292700062"/>
      <w:bookmarkStart w:id="402" w:name="_Toc295307383"/>
      <w:bookmarkStart w:id="403" w:name="_Toc295307464"/>
      <w:bookmarkStart w:id="404" w:name="_Toc296609676"/>
      <w:bookmarkStart w:id="405" w:name="_Toc297803856"/>
      <w:bookmarkStart w:id="406" w:name="_Toc301943888"/>
      <w:bookmarkStart w:id="407" w:name="_Toc303343172"/>
      <w:bookmarkStart w:id="408" w:name="_Toc304886942"/>
      <w:bookmarkStart w:id="409" w:name="_Toc308428463"/>
      <w:bookmarkStart w:id="410" w:name="_Toc311050071"/>
      <w:bookmarkStart w:id="411" w:name="_Toc313963502"/>
      <w:r w:rsidRPr="00E42A7E">
        <w:t>Systèmes de rappel (</w:t>
      </w:r>
      <w:proofErr w:type="spellStart"/>
      <w:r w:rsidRPr="00E42A7E">
        <w:t>Call-Back</w:t>
      </w:r>
      <w:proofErr w:type="spellEnd"/>
      <w:r w:rsidRPr="00E42A7E">
        <w:t>)</w:t>
      </w:r>
      <w:r w:rsidRPr="00E42A7E">
        <w:br/>
        <w:t>et procédures d'appel alternatives (</w:t>
      </w:r>
      <w:proofErr w:type="spellStart"/>
      <w:r w:rsidRPr="00E42A7E">
        <w:t>Rés</w:t>
      </w:r>
      <w:proofErr w:type="spellEnd"/>
      <w:r w:rsidRPr="00E42A7E">
        <w:t xml:space="preserve">. 21 </w:t>
      </w:r>
      <w:proofErr w:type="spellStart"/>
      <w:r w:rsidRPr="00E42A7E">
        <w:t>Rév</w:t>
      </w:r>
      <w:proofErr w:type="spellEnd"/>
      <w:r w:rsidRPr="00E42A7E">
        <w:t>. PP-200</w:t>
      </w:r>
      <w:r w:rsidR="00DD1549">
        <w:t>6</w:t>
      </w:r>
      <w:r w:rsidRPr="00E42A7E">
        <w:t>)</w:t>
      </w:r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Pr="00354FCE" w:rsidRDefault="002051BC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412" w:name="_Toc253407940"/>
      <w:bookmarkStart w:id="413" w:name="_Toc255827810"/>
      <w:bookmarkStart w:id="414" w:name="_Toc265053975"/>
      <w:bookmarkStart w:id="415" w:name="_Toc266116939"/>
      <w:bookmarkStart w:id="416" w:name="_Toc271633981"/>
      <w:bookmarkStart w:id="417" w:name="_Toc274142287"/>
      <w:bookmarkStart w:id="418" w:name="_Toc276716401"/>
      <w:bookmarkStart w:id="419" w:name="_Toc279667622"/>
      <w:bookmarkStart w:id="420" w:name="_Toc280291914"/>
      <w:bookmarkStart w:id="421" w:name="_Toc282525382"/>
      <w:bookmarkStart w:id="422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423" w:name="_Toc286068884"/>
      <w:bookmarkStart w:id="424" w:name="_Toc288659509"/>
      <w:bookmarkStart w:id="425" w:name="_Toc291004555"/>
      <w:bookmarkStart w:id="426" w:name="_Toc292700063"/>
      <w:bookmarkStart w:id="427" w:name="_Toc295307384"/>
      <w:bookmarkStart w:id="428" w:name="_Toc295307465"/>
      <w:bookmarkStart w:id="429" w:name="_Toc296609677"/>
      <w:bookmarkStart w:id="430" w:name="_Toc297803857"/>
      <w:bookmarkStart w:id="431" w:name="_Toc301943889"/>
      <w:bookmarkStart w:id="432" w:name="_Toc303343173"/>
      <w:bookmarkStart w:id="433" w:name="_Toc304886943"/>
      <w:bookmarkStart w:id="434" w:name="_Toc308428464"/>
      <w:bookmarkStart w:id="435" w:name="_Toc311050072"/>
      <w:bookmarkStart w:id="436" w:name="_Toc313963503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  <w:proofErr w:type="spellEnd"/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paragraphe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  <w:proofErr w:type="spellEnd"/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remplacer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supprimer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866741" w:rsidRDefault="00866741" w:rsidP="00754284">
      <w:pPr>
        <w:rPr>
          <w:lang w:val="fr-CH"/>
        </w:rPr>
      </w:pPr>
    </w:p>
    <w:p w:rsidR="00050E31" w:rsidRDefault="00050E31" w:rsidP="00754284">
      <w:pPr>
        <w:rPr>
          <w:lang w:val="fr-CH"/>
        </w:rPr>
      </w:pPr>
    </w:p>
    <w:p w:rsidR="00754284" w:rsidRPr="00E37702" w:rsidRDefault="00754284" w:rsidP="00754284">
      <w:pPr>
        <w:pStyle w:val="Heading20"/>
        <w:spacing w:before="240"/>
        <w:rPr>
          <w:lang w:val="fr-CH"/>
        </w:rPr>
      </w:pPr>
      <w:bookmarkStart w:id="437" w:name="_Toc295307466"/>
      <w:bookmarkStart w:id="438" w:name="_Toc295307385"/>
      <w:bookmarkStart w:id="439" w:name="_Toc313963504"/>
      <w:r w:rsidRPr="00E37702">
        <w:rPr>
          <w:lang w:val="fr-CH"/>
        </w:rPr>
        <w:t xml:space="preserve">Liste des numéros identificateurs d'entités émettrices pour </w:t>
      </w:r>
      <w:r w:rsidRPr="00E37702">
        <w:rPr>
          <w:lang w:val="fr-CH"/>
        </w:rPr>
        <w:br/>
        <w:t>les cartes internationales de facturation des télécommunications</w:t>
      </w:r>
      <w:r w:rsidRPr="00E37702">
        <w:rPr>
          <w:lang w:val="fr-CH"/>
        </w:rPr>
        <w:br/>
        <w:t>(selon la Recommandation UIT-T E.118 (05/2006))</w:t>
      </w:r>
      <w:r w:rsidRPr="00E37702">
        <w:rPr>
          <w:lang w:val="fr-CH"/>
        </w:rPr>
        <w:br/>
        <w:t>(Situation au 1</w:t>
      </w:r>
      <w:r w:rsidRPr="00347550">
        <w:rPr>
          <w:vertAlign w:val="superscript"/>
          <w:lang w:val="fr-CH"/>
        </w:rPr>
        <w:t>er</w:t>
      </w:r>
      <w:r w:rsidRPr="00E37702">
        <w:rPr>
          <w:lang w:val="fr-CH"/>
        </w:rPr>
        <w:t xml:space="preserve"> janvier 2011)</w:t>
      </w:r>
      <w:bookmarkEnd w:id="437"/>
      <w:bookmarkEnd w:id="438"/>
      <w:bookmarkEnd w:id="439"/>
    </w:p>
    <w:p w:rsidR="00754284" w:rsidRDefault="00754284" w:rsidP="00BC2E66">
      <w:pPr>
        <w:rPr>
          <w:lang w:val="fr-CH"/>
        </w:rPr>
      </w:pPr>
    </w:p>
    <w:p w:rsidR="00BC2E66" w:rsidRDefault="00BC2E66" w:rsidP="00BC2E66">
      <w:pPr>
        <w:tabs>
          <w:tab w:val="left" w:pos="720"/>
        </w:tabs>
        <w:spacing w:before="240"/>
        <w:jc w:val="center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(Annexe au Bulletin d'exploitation de l'UIT N° 971 – 1.I.2011)</w:t>
      </w:r>
      <w:r>
        <w:rPr>
          <w:rFonts w:asciiTheme="minorHAnsi" w:hAnsiTheme="minorHAnsi"/>
          <w:lang w:val="fr-FR"/>
        </w:rPr>
        <w:br/>
        <w:t>(Amendement N° 17)</w:t>
      </w:r>
    </w:p>
    <w:p w:rsidR="00BC2E66" w:rsidRPr="00FD766E" w:rsidRDefault="00BC2E66" w:rsidP="00BC2E66">
      <w:pPr>
        <w:overflowPunct/>
        <w:autoSpaceDE/>
        <w:adjustRightInd/>
        <w:spacing w:after="200" w:line="276" w:lineRule="auto"/>
        <w:rPr>
          <w:rFonts w:cs="Arial"/>
          <w:lang w:val="fr-FR"/>
        </w:rPr>
      </w:pPr>
    </w:p>
    <w:p w:rsidR="00BC2E66" w:rsidRDefault="00BC2E66" w:rsidP="00BC2E66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</w:rPr>
      </w:pPr>
      <w:r>
        <w:rPr>
          <w:rFonts w:cs="Arial"/>
          <w:b/>
        </w:rPr>
        <w:t>P 46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3E47DE">
        <w:rPr>
          <w:rFonts w:cs="Arial"/>
          <w:b/>
          <w:bCs/>
          <w:i/>
          <w:iCs/>
        </w:rPr>
        <w:t>Maurice</w:t>
      </w:r>
      <w:r>
        <w:rPr>
          <w:rFonts w:cs="Arial"/>
          <w:b/>
          <w:i/>
        </w:rPr>
        <w:t xml:space="preserve">    </w:t>
      </w:r>
      <w:r>
        <w:rPr>
          <w:rFonts w:cs="Arial"/>
        </w:rPr>
        <w:t xml:space="preserve"> </w:t>
      </w:r>
      <w:r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112"/>
        <w:gridCol w:w="1422"/>
        <w:gridCol w:w="2973"/>
        <w:gridCol w:w="1271"/>
      </w:tblGrid>
      <w:tr w:rsidR="00BC2E66" w:rsidRPr="00B638EE" w:rsidTr="00DD7D4E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E66" w:rsidRPr="00DD7D4E" w:rsidRDefault="00BC2E66" w:rsidP="00DD7D4E">
            <w:pPr>
              <w:pStyle w:val="Tablehead0"/>
              <w:rPr>
                <w:szCs w:val="19"/>
              </w:rPr>
            </w:pPr>
            <w:r w:rsidRPr="00DD7D4E">
              <w:rPr>
                <w:szCs w:val="18"/>
              </w:rPr>
              <w:t>Pays/zone géographique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E66" w:rsidRPr="00DD7D4E" w:rsidRDefault="00BC2E66" w:rsidP="00DD7D4E">
            <w:pPr>
              <w:pStyle w:val="Tablehead0"/>
            </w:pPr>
            <w:r w:rsidRPr="00DD7D4E">
              <w:rPr>
                <w:szCs w:val="18"/>
              </w:rPr>
              <w:t>Nom de la compagnie/</w:t>
            </w:r>
            <w:r w:rsidRPr="00DD7D4E">
              <w:rPr>
                <w:szCs w:val="18"/>
              </w:rPr>
              <w:br/>
              <w:t>Adresse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E66" w:rsidRPr="00DD7D4E" w:rsidRDefault="00BC2E66" w:rsidP="00DD7D4E">
            <w:pPr>
              <w:pStyle w:val="Tablehead0"/>
            </w:pPr>
            <w:r w:rsidRPr="00DD7D4E">
              <w:t>Identification d’entité émettrice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E66" w:rsidRPr="00DD7D4E" w:rsidRDefault="00BC2E66" w:rsidP="00DD7D4E">
            <w:pPr>
              <w:pStyle w:val="Tablehead0"/>
            </w:pPr>
            <w:r w:rsidRPr="00DD7D4E">
              <w:t>Contact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E66" w:rsidRPr="00DD7D4E" w:rsidRDefault="00BC2E66" w:rsidP="00DD7D4E">
            <w:pPr>
              <w:pStyle w:val="Tablehead0"/>
            </w:pPr>
            <w:r w:rsidRPr="00DD7D4E">
              <w:t xml:space="preserve">Date de </w:t>
            </w:r>
            <w:r w:rsidRPr="00DD7D4E">
              <w:br/>
              <w:t>mise en application</w:t>
            </w:r>
          </w:p>
        </w:tc>
      </w:tr>
      <w:tr w:rsidR="00BC2E66" w:rsidTr="00DD7D4E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E66" w:rsidRPr="00BC2E66" w:rsidRDefault="00BC2E66" w:rsidP="00BC2E66">
            <w:pPr>
              <w:pStyle w:val="Tabletext0"/>
            </w:pPr>
            <w:r w:rsidRPr="00BC2E66">
              <w:t>Maurice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E66" w:rsidRPr="00E218A9" w:rsidRDefault="00BC2E66" w:rsidP="00BC3FDF">
            <w:pPr>
              <w:pStyle w:val="Tabletext0"/>
              <w:rPr>
                <w:lang w:val="en-GB"/>
              </w:rPr>
            </w:pPr>
            <w:proofErr w:type="spellStart"/>
            <w:r w:rsidRPr="00E218A9">
              <w:rPr>
                <w:b/>
                <w:bCs w:val="0"/>
                <w:lang w:val="en-GB"/>
              </w:rPr>
              <w:t>Mahanagar</w:t>
            </w:r>
            <w:proofErr w:type="spellEnd"/>
            <w:r w:rsidRPr="00E218A9">
              <w:rPr>
                <w:b/>
                <w:bCs w:val="0"/>
                <w:lang w:val="en-GB"/>
              </w:rPr>
              <w:t xml:space="preserve"> Telephone (Mauritius) Limited</w:t>
            </w:r>
            <w:r w:rsidRPr="00E218A9">
              <w:rPr>
                <w:b/>
                <w:bCs w:val="0"/>
                <w:lang w:val="en-GB"/>
              </w:rPr>
              <w:br/>
            </w:r>
            <w:r w:rsidRPr="00E218A9">
              <w:rPr>
                <w:lang w:val="en-GB"/>
              </w:rPr>
              <w:t>MTLM Square, No 63</w:t>
            </w:r>
            <w:r w:rsidRPr="00E218A9">
              <w:rPr>
                <w:lang w:val="en-GB"/>
              </w:rPr>
              <w:br/>
              <w:t>Cyber City</w:t>
            </w:r>
            <w:r w:rsidRPr="00E218A9">
              <w:rPr>
                <w:lang w:val="en-GB"/>
              </w:rPr>
              <w:br/>
              <w:t>EBENE</w:t>
            </w:r>
            <w:r w:rsidRPr="00E218A9">
              <w:rPr>
                <w:lang w:val="en-GB"/>
              </w:rPr>
              <w:br/>
              <w:t>Mauri</w:t>
            </w:r>
            <w:r w:rsidR="00BC3FDF">
              <w:rPr>
                <w:lang w:val="en-GB"/>
              </w:rPr>
              <w:t>ce</w:t>
            </w:r>
          </w:p>
          <w:p w:rsidR="00BC2E66" w:rsidRPr="00E218A9" w:rsidRDefault="00BC2E66" w:rsidP="00BC2E66">
            <w:pPr>
              <w:pStyle w:val="Tabletext0"/>
              <w:rPr>
                <w:rFonts w:cs="Arial"/>
                <w:sz w:val="20"/>
                <w:lang w:val="en-GB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E66" w:rsidRPr="00EE38EE" w:rsidRDefault="00BC2E66" w:rsidP="00BC2E66">
            <w:pPr>
              <w:pStyle w:val="Tabletext0"/>
              <w:jc w:val="center"/>
              <w:rPr>
                <w:b/>
                <w:bCs w:val="0"/>
              </w:rPr>
            </w:pPr>
            <w:r w:rsidRPr="00EE38EE">
              <w:rPr>
                <w:b/>
                <w:bCs w:val="0"/>
              </w:rPr>
              <w:t>89 230 03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E66" w:rsidRPr="00E87F58" w:rsidRDefault="00BC2E66" w:rsidP="00EE38EE">
            <w:pPr>
              <w:pStyle w:val="Tabletext0"/>
              <w:tabs>
                <w:tab w:val="clear" w:pos="1276"/>
                <w:tab w:val="left" w:pos="597"/>
              </w:tabs>
              <w:rPr>
                <w:lang w:val="en-GB"/>
              </w:rPr>
            </w:pPr>
            <w:r w:rsidRPr="00E218A9">
              <w:rPr>
                <w:lang w:val="en-GB"/>
              </w:rPr>
              <w:t xml:space="preserve">Mr Sanjay </w:t>
            </w:r>
            <w:proofErr w:type="spellStart"/>
            <w:r w:rsidRPr="00E218A9">
              <w:rPr>
                <w:lang w:val="en-GB"/>
              </w:rPr>
              <w:t>Garg</w:t>
            </w:r>
            <w:proofErr w:type="spellEnd"/>
            <w:r>
              <w:rPr>
                <w:lang w:val="nl-NL"/>
              </w:rPr>
              <w:br/>
            </w:r>
            <w:proofErr w:type="spellStart"/>
            <w:r w:rsidRPr="00E218A9">
              <w:rPr>
                <w:lang w:val="en-GB"/>
              </w:rPr>
              <w:t>Mahanagar</w:t>
            </w:r>
            <w:proofErr w:type="spellEnd"/>
            <w:r w:rsidRPr="00E218A9">
              <w:rPr>
                <w:lang w:val="en-GB"/>
              </w:rPr>
              <w:t xml:space="preserve"> Telephone (Mauritius) Limited</w:t>
            </w:r>
            <w:r w:rsidR="00EE38EE">
              <w:rPr>
                <w:lang w:val="en-GB"/>
              </w:rPr>
              <w:br/>
            </w:r>
            <w:r w:rsidRPr="00E218A9">
              <w:rPr>
                <w:lang w:val="en-GB"/>
              </w:rPr>
              <w:t>MTLM Square, No 63</w:t>
            </w:r>
            <w:r w:rsidRPr="00E218A9">
              <w:rPr>
                <w:lang w:val="en-GB"/>
              </w:rPr>
              <w:br/>
              <w:t>Cyber City</w:t>
            </w:r>
            <w:r w:rsidRPr="00E218A9">
              <w:rPr>
                <w:lang w:val="en-GB"/>
              </w:rPr>
              <w:br/>
              <w:t>EBENE</w:t>
            </w:r>
            <w:r w:rsidRPr="00E218A9">
              <w:rPr>
                <w:lang w:val="en-GB"/>
              </w:rPr>
              <w:br/>
              <w:t>Mauritius</w:t>
            </w:r>
            <w:r w:rsidR="00EE38EE">
              <w:rPr>
                <w:lang w:val="en-GB"/>
              </w:rPr>
              <w:br/>
            </w:r>
            <w:proofErr w:type="spellStart"/>
            <w:r w:rsidR="002E1365">
              <w:rPr>
                <w:lang w:val="en-GB"/>
              </w:rPr>
              <w:t>Tél</w:t>
            </w:r>
            <w:proofErr w:type="spellEnd"/>
            <w:r w:rsidR="002E1365">
              <w:rPr>
                <w:lang w:val="en-GB"/>
              </w:rPr>
              <w:t>:</w:t>
            </w:r>
            <w:r w:rsidR="00EE38EE" w:rsidRPr="00E87F58">
              <w:rPr>
                <w:lang w:val="en-GB"/>
              </w:rPr>
              <w:tab/>
            </w:r>
            <w:r w:rsidRPr="00E87F58">
              <w:rPr>
                <w:lang w:val="en-GB"/>
              </w:rPr>
              <w:t>+230 294 3333</w:t>
            </w:r>
            <w:r w:rsidR="00EE38EE" w:rsidRPr="00E87F58">
              <w:rPr>
                <w:lang w:val="en-GB"/>
              </w:rPr>
              <w:br/>
            </w:r>
            <w:r w:rsidRPr="00E87F58">
              <w:rPr>
                <w:lang w:val="en-GB"/>
              </w:rPr>
              <w:t xml:space="preserve">Fax: </w:t>
            </w:r>
            <w:r w:rsidR="00EE38EE" w:rsidRPr="00E87F58">
              <w:rPr>
                <w:lang w:val="en-GB"/>
              </w:rPr>
              <w:tab/>
            </w:r>
            <w:r w:rsidRPr="00E87F58">
              <w:rPr>
                <w:lang w:val="en-GB"/>
              </w:rPr>
              <w:t>+230 427 8092</w:t>
            </w:r>
            <w:r w:rsidR="00EE38EE" w:rsidRPr="00E87F58">
              <w:rPr>
                <w:lang w:val="en-GB"/>
              </w:rPr>
              <w:br/>
            </w:r>
            <w:r w:rsidRPr="00E87F58">
              <w:rPr>
                <w:lang w:val="en-GB"/>
              </w:rPr>
              <w:t xml:space="preserve">E-mail: </w:t>
            </w:r>
            <w:r w:rsidR="00EE38EE" w:rsidRPr="00E87F58">
              <w:rPr>
                <w:lang w:val="en-GB"/>
              </w:rPr>
              <w:tab/>
            </w:r>
            <w:r w:rsidRPr="00E87F58">
              <w:rPr>
                <w:lang w:val="en-GB"/>
              </w:rPr>
              <w:t>ceo@mtmltd.net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E66" w:rsidRDefault="00BC2E66" w:rsidP="00EE38EE">
            <w:pPr>
              <w:pStyle w:val="Tabletext0"/>
              <w:jc w:val="center"/>
            </w:pPr>
            <w:r>
              <w:t>10.XI.2011</w:t>
            </w:r>
          </w:p>
        </w:tc>
      </w:tr>
    </w:tbl>
    <w:p w:rsidR="00BC2E66" w:rsidRDefault="00BC2E66" w:rsidP="00BC2E66"/>
    <w:p w:rsidR="00BC2E66" w:rsidRDefault="00BC2E66" w:rsidP="00BC2E66"/>
    <w:p w:rsidR="00BC2E66" w:rsidRDefault="00BC2E66" w:rsidP="00BC2E66">
      <w:pPr>
        <w:rPr>
          <w:lang w:val="fr-CH"/>
        </w:rPr>
      </w:pPr>
    </w:p>
    <w:p w:rsidR="00BC2E66" w:rsidRDefault="00BC2E66" w:rsidP="00BC2E66">
      <w:pPr>
        <w:rPr>
          <w:lang w:val="fr-CH"/>
        </w:rPr>
      </w:pPr>
    </w:p>
    <w:p w:rsidR="00BC2E66" w:rsidRDefault="00BC2E66" w:rsidP="00BC2E66">
      <w:pPr>
        <w:rPr>
          <w:lang w:val="fr-CH"/>
        </w:rPr>
      </w:pPr>
    </w:p>
    <w:p w:rsidR="0072706F" w:rsidRDefault="007270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sz w:val="8"/>
          <w:lang w:val="fr-FR"/>
        </w:rPr>
      </w:pPr>
      <w:r>
        <w:rPr>
          <w:rFonts w:cs="Arial"/>
          <w:sz w:val="8"/>
          <w:lang w:val="fr-FR"/>
        </w:rPr>
        <w:br w:type="page"/>
      </w:r>
    </w:p>
    <w:p w:rsidR="00E37702" w:rsidRPr="00754284" w:rsidRDefault="00E37702" w:rsidP="00754284">
      <w:pPr>
        <w:spacing w:before="0"/>
        <w:rPr>
          <w:rFonts w:cs="Arial"/>
          <w:sz w:val="8"/>
          <w:lang w:val="fr-FR"/>
        </w:rPr>
      </w:pPr>
    </w:p>
    <w:p w:rsidR="00E37702" w:rsidRDefault="00E37702" w:rsidP="00754284">
      <w:pPr>
        <w:pStyle w:val="Heading20"/>
        <w:spacing w:before="0"/>
      </w:pPr>
      <w:bookmarkStart w:id="440" w:name="_Toc313963505"/>
      <w:r>
        <w:t>Indicatifs/numéros d'accès à des réseaux mobiles</w:t>
      </w:r>
      <w:r>
        <w:br/>
        <w:t>(Selon la Recommandation E.164 (11/2010))</w:t>
      </w:r>
      <w:r>
        <w:br/>
        <w:t>(Situation au 1 décembre 2011)</w:t>
      </w:r>
      <w:bookmarkEnd w:id="440"/>
    </w:p>
    <w:p w:rsidR="00E37702" w:rsidRDefault="00E37702" w:rsidP="00E37702">
      <w:pPr>
        <w:tabs>
          <w:tab w:val="clear" w:pos="567"/>
          <w:tab w:val="left" w:pos="720"/>
        </w:tabs>
        <w:spacing w:before="240"/>
        <w:jc w:val="center"/>
        <w:rPr>
          <w:lang w:val="fr-CH"/>
        </w:rPr>
      </w:pPr>
      <w:r>
        <w:rPr>
          <w:lang w:val="fr-CH"/>
        </w:rPr>
        <w:t>(Annexe au Bulletin d'exploitation de l'UIT N</w:t>
      </w:r>
      <w:r>
        <w:rPr>
          <w:vertAlign w:val="superscript"/>
          <w:lang w:val="fr-CH"/>
        </w:rPr>
        <w:t>o</w:t>
      </w:r>
      <w:r>
        <w:rPr>
          <w:lang w:val="fr-CH"/>
        </w:rPr>
        <w:t xml:space="preserve"> 993 – 1.XII.2011)</w:t>
      </w:r>
    </w:p>
    <w:p w:rsidR="00E37702" w:rsidRDefault="00922FBF" w:rsidP="00E37702">
      <w:pPr>
        <w:tabs>
          <w:tab w:val="clear" w:pos="567"/>
          <w:tab w:val="left" w:pos="720"/>
        </w:tabs>
        <w:spacing w:before="0"/>
        <w:jc w:val="center"/>
      </w:pPr>
      <w:r>
        <w:t>(</w:t>
      </w:r>
      <w:proofErr w:type="spellStart"/>
      <w:r>
        <w:t>Amendement</w:t>
      </w:r>
      <w:proofErr w:type="spellEnd"/>
      <w:r>
        <w:t xml:space="preserve"> N</w:t>
      </w:r>
      <w:r w:rsidRPr="005963D0">
        <w:rPr>
          <w:vertAlign w:val="superscript"/>
        </w:rPr>
        <w:t>o</w:t>
      </w:r>
      <w:r>
        <w:t>. 3)</w:t>
      </w:r>
    </w:p>
    <w:p w:rsidR="00922FBF" w:rsidRDefault="00922FBF" w:rsidP="00922FBF"/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5"/>
        <w:gridCol w:w="1416"/>
        <w:gridCol w:w="4254"/>
      </w:tblGrid>
      <w:tr w:rsidR="00922FBF" w:rsidRPr="00B638EE" w:rsidTr="00131AEA">
        <w:trPr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FBF" w:rsidRDefault="00922FBF" w:rsidP="00131AEA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Pays/zone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géographique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FBF" w:rsidRDefault="00922FBF" w:rsidP="00131AEA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E.164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indicatif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de pays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FBF" w:rsidRDefault="00922FBF" w:rsidP="00131AEA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>Numéros de téléphone mobile, premiers chiffres</w:t>
            </w:r>
            <w:r>
              <w:rPr>
                <w:rFonts w:asciiTheme="minorHAnsi" w:hAnsiTheme="minorHAnsi"/>
                <w:i/>
                <w:sz w:val="18"/>
                <w:szCs w:val="18"/>
                <w:lang w:val="fr-CH"/>
              </w:rPr>
              <w:br/>
              <w:t>après l'indicatif de pays</w:t>
            </w:r>
          </w:p>
        </w:tc>
      </w:tr>
    </w:tbl>
    <w:p w:rsidR="00922FBF" w:rsidRPr="00032AEF" w:rsidRDefault="00922FBF" w:rsidP="00922FBF">
      <w:pPr>
        <w:rPr>
          <w:lang w:val="fr-FR"/>
        </w:rPr>
      </w:pPr>
    </w:p>
    <w:p w:rsidR="00922FBF" w:rsidRPr="00032AEF" w:rsidRDefault="00922FBF" w:rsidP="00922FBF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fr-FR"/>
        </w:rPr>
      </w:pPr>
      <w:r w:rsidRPr="00032AEF">
        <w:rPr>
          <w:rFonts w:asciiTheme="minorHAnsi" w:hAnsiTheme="minorHAnsi" w:cs="Arial"/>
          <w:b/>
          <w:lang w:val="fr-FR"/>
        </w:rPr>
        <w:t xml:space="preserve">P  </w:t>
      </w:r>
      <w:r w:rsidR="00B55EA6">
        <w:rPr>
          <w:rFonts w:asciiTheme="minorHAnsi" w:hAnsiTheme="minorHAnsi" w:cs="Arial"/>
          <w:b/>
          <w:lang w:val="fr-FR"/>
        </w:rPr>
        <w:t>4</w:t>
      </w:r>
      <w:r w:rsidRPr="00032AEF">
        <w:rPr>
          <w:rFonts w:asciiTheme="minorHAnsi" w:hAnsiTheme="minorHAnsi" w:cs="Arial"/>
          <w:b/>
          <w:lang w:val="fr-FR"/>
        </w:rPr>
        <w:t xml:space="preserve">     Côte d’Ivoire (République de)  LIR </w:t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34"/>
        <w:gridCol w:w="1417"/>
        <w:gridCol w:w="4254"/>
      </w:tblGrid>
      <w:tr w:rsidR="00922FBF" w:rsidTr="00131AEA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FBF" w:rsidRPr="00BC3FDF" w:rsidRDefault="00922FBF" w:rsidP="00131AEA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C3FDF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Côte d’Ivoire (République de)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FBF" w:rsidRPr="00BC3FDF" w:rsidRDefault="00922FBF" w:rsidP="00131AEA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BC3FDF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225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FBF" w:rsidRPr="00BC3FDF" w:rsidRDefault="00922FBF" w:rsidP="00131AEA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BC3FDF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0, 44-50, 60, 66, 67, 69</w:t>
            </w:r>
          </w:p>
        </w:tc>
      </w:tr>
    </w:tbl>
    <w:p w:rsidR="00922FBF" w:rsidRDefault="00922FBF" w:rsidP="00922FBF">
      <w:pPr>
        <w:rPr>
          <w:lang w:val="en-US"/>
        </w:rPr>
      </w:pPr>
    </w:p>
    <w:p w:rsidR="00922FBF" w:rsidRDefault="00922FBF" w:rsidP="00922FBF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t xml:space="preserve">P  </w:t>
      </w:r>
      <w:r w:rsidR="00B55EA6">
        <w:rPr>
          <w:rFonts w:asciiTheme="minorHAnsi" w:hAnsiTheme="minorHAnsi" w:cs="Arial"/>
          <w:b/>
          <w:lang w:val="en-US"/>
        </w:rPr>
        <w:t>6</w:t>
      </w:r>
      <w:r>
        <w:rPr>
          <w:rFonts w:asciiTheme="minorHAnsi" w:hAnsiTheme="minorHAnsi" w:cs="Arial"/>
          <w:b/>
          <w:lang w:val="en-US"/>
        </w:rPr>
        <w:t xml:space="preserve">    El Salvador </w:t>
      </w:r>
      <w:r w:rsidRPr="00032AEF">
        <w:rPr>
          <w:rFonts w:asciiTheme="minorHAnsi" w:hAnsiTheme="minorHAnsi" w:cs="Arial"/>
          <w:b/>
          <w:lang w:val="fr-FR"/>
        </w:rPr>
        <w:t xml:space="preserve">(République de) </w:t>
      </w:r>
      <w:r>
        <w:rPr>
          <w:rFonts w:asciiTheme="minorHAnsi" w:hAnsiTheme="minorHAnsi" w:cs="Arial"/>
          <w:b/>
          <w:lang w:val="en-US"/>
        </w:rPr>
        <w:t xml:space="preserve">   LIR </w:t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34"/>
        <w:gridCol w:w="1417"/>
        <w:gridCol w:w="4254"/>
      </w:tblGrid>
      <w:tr w:rsidR="00922FBF" w:rsidRPr="00BC3FDF" w:rsidTr="00131AEA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FBF" w:rsidRPr="00BC3FDF" w:rsidRDefault="00922FBF" w:rsidP="00131AEA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C3FDF">
              <w:rPr>
                <w:rFonts w:asciiTheme="minorHAnsi" w:hAnsiTheme="minorHAnsi" w:cs="Arial"/>
                <w:sz w:val="18"/>
                <w:szCs w:val="18"/>
                <w:lang w:val="en-US"/>
              </w:rPr>
              <w:t>El Salvador</w:t>
            </w:r>
            <w:r w:rsidRPr="00BC3F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  <w:r w:rsidRPr="00BC3FDF">
              <w:rPr>
                <w:rFonts w:asciiTheme="minorHAnsi" w:hAnsiTheme="minorHAnsi" w:cs="Arial"/>
                <w:sz w:val="18"/>
                <w:szCs w:val="18"/>
                <w:lang w:val="fr-FR"/>
              </w:rPr>
              <w:t>(République de)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FBF" w:rsidRPr="00BC3FDF" w:rsidRDefault="00922FBF" w:rsidP="00131AEA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C3F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503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FBF" w:rsidRPr="00BC3FDF" w:rsidRDefault="00922FBF" w:rsidP="00131AEA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C3FDF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6, 7</w:t>
            </w:r>
          </w:p>
        </w:tc>
      </w:tr>
    </w:tbl>
    <w:p w:rsidR="00922FBF" w:rsidRDefault="00922FBF" w:rsidP="00922FBF">
      <w:pPr>
        <w:rPr>
          <w:lang w:val="en-US"/>
        </w:rPr>
      </w:pPr>
    </w:p>
    <w:p w:rsidR="00922FBF" w:rsidRDefault="00922FBF" w:rsidP="00922FBF">
      <w:pPr>
        <w:rPr>
          <w:lang w:val="es-ES_tradnl"/>
        </w:rPr>
      </w:pPr>
    </w:p>
    <w:p w:rsidR="00922FBF" w:rsidRDefault="00922FBF" w:rsidP="00E37702">
      <w:pPr>
        <w:rPr>
          <w:lang w:val="en-US"/>
        </w:rPr>
      </w:pPr>
    </w:p>
    <w:p w:rsidR="00050E31" w:rsidRDefault="00050E31" w:rsidP="00E37702">
      <w:pPr>
        <w:rPr>
          <w:lang w:val="en-US"/>
        </w:rPr>
      </w:pPr>
    </w:p>
    <w:p w:rsidR="00C940BA" w:rsidRPr="00C940BA" w:rsidRDefault="00C940BA" w:rsidP="00C940BA">
      <w:pPr>
        <w:pStyle w:val="Heading20"/>
        <w:spacing w:before="0"/>
      </w:pPr>
      <w:bookmarkStart w:id="441" w:name="_Toc313963506"/>
      <w:bookmarkStart w:id="442" w:name="_Toc292705001"/>
      <w:bookmarkStart w:id="443" w:name="_Toc301945317"/>
      <w:bookmarkStart w:id="444" w:name="_Toc304892192"/>
      <w:r w:rsidRPr="00C940BA">
        <w:t>Codes de réseau mobile (MNC) pour le plan d'identification international</w:t>
      </w:r>
      <w:r w:rsidRPr="00C940BA">
        <w:br/>
        <w:t>pour les réseaux publics et les abonnements</w:t>
      </w:r>
      <w:r w:rsidRPr="00C940BA">
        <w:br/>
        <w:t>(Selon la Recommandation UIT-T E.212 (05/2008))</w:t>
      </w:r>
      <w:r w:rsidRPr="00C940BA">
        <w:br/>
        <w:t>(Situation au 15 novembre 2011)</w:t>
      </w:r>
      <w:bookmarkEnd w:id="441"/>
    </w:p>
    <w:bookmarkEnd w:id="442"/>
    <w:bookmarkEnd w:id="443"/>
    <w:bookmarkEnd w:id="444"/>
    <w:p w:rsidR="00DD7D4E" w:rsidRPr="00E218A9" w:rsidRDefault="00DD7D4E" w:rsidP="00DD7D4E">
      <w:pPr>
        <w:rPr>
          <w:lang w:val="fr-CH"/>
        </w:rPr>
      </w:pPr>
    </w:p>
    <w:p w:rsidR="00DD7D4E" w:rsidRDefault="00DD7D4E" w:rsidP="00DD7D4E">
      <w:pPr>
        <w:jc w:val="center"/>
        <w:rPr>
          <w:lang w:val="fr-CH"/>
        </w:rPr>
      </w:pPr>
      <w:r w:rsidRPr="009C152F">
        <w:rPr>
          <w:lang w:val="fr-CH"/>
        </w:rPr>
        <w:t>(</w:t>
      </w:r>
      <w:r w:rsidRPr="009C152F">
        <w:rPr>
          <w:rFonts w:cs="Arial"/>
          <w:lang w:val="fr-FR"/>
        </w:rPr>
        <w:t>Annexe au Bulletin d'exploitation de l'UIT N</w:t>
      </w:r>
      <w:r w:rsidRPr="009C152F">
        <w:rPr>
          <w:rFonts w:cs="Arial"/>
          <w:vertAlign w:val="superscript"/>
          <w:lang w:val="fr-FR"/>
        </w:rPr>
        <w:t>o</w:t>
      </w:r>
      <w:r w:rsidRPr="009C152F">
        <w:rPr>
          <w:rFonts w:cs="Arial"/>
          <w:lang w:val="fr-FR"/>
        </w:rPr>
        <w:t xml:space="preserve"> 992 </w:t>
      </w:r>
      <w:r w:rsidRPr="009C152F">
        <w:rPr>
          <w:lang w:val="fr-CH"/>
        </w:rPr>
        <w:t xml:space="preserve"> – 15.XI.2011)</w:t>
      </w:r>
      <w:r w:rsidRPr="009C152F">
        <w:rPr>
          <w:lang w:val="fr-CH"/>
        </w:rPr>
        <w:br/>
        <w:t>(Amendement N</w:t>
      </w:r>
      <w:r w:rsidRPr="005963D0">
        <w:rPr>
          <w:vertAlign w:val="superscript"/>
          <w:lang w:val="fr-CH"/>
        </w:rPr>
        <w:t>o</w:t>
      </w:r>
      <w:r w:rsidRPr="009C152F">
        <w:rPr>
          <w:lang w:val="fr-CH"/>
        </w:rPr>
        <w:t xml:space="preserve">. </w:t>
      </w:r>
      <w:r>
        <w:rPr>
          <w:lang w:val="fr-CH"/>
        </w:rPr>
        <w:t>5</w:t>
      </w:r>
      <w:r w:rsidRPr="009C152F">
        <w:rPr>
          <w:lang w:val="fr-CH"/>
        </w:rPr>
        <w:t>)</w:t>
      </w:r>
    </w:p>
    <w:p w:rsidR="00DD7D4E" w:rsidRDefault="00DD7D4E" w:rsidP="00DD7D4E">
      <w:pPr>
        <w:rPr>
          <w:b/>
          <w:bCs/>
          <w:lang w:val="fr-FR"/>
        </w:rPr>
      </w:pPr>
      <w:r>
        <w:rPr>
          <w:b/>
          <w:lang w:val="fr-FR"/>
        </w:rPr>
        <w:t xml:space="preserve">P  </w:t>
      </w:r>
      <w:r w:rsidR="00B63EFC">
        <w:rPr>
          <w:b/>
          <w:lang w:val="fr-FR"/>
        </w:rPr>
        <w:t xml:space="preserve">14     </w:t>
      </w:r>
      <w:r>
        <w:rPr>
          <w:b/>
          <w:lang w:val="fr-FR"/>
        </w:rPr>
        <w:t xml:space="preserve"> Gabon   REP</w:t>
      </w:r>
      <w:r>
        <w:rPr>
          <w:lang w:val="fr-FR"/>
        </w:rPr>
        <w:t xml:space="preserve">  </w:t>
      </w:r>
      <w:r w:rsidRPr="00BC3FDF">
        <w:rPr>
          <w:i/>
          <w:iCs/>
          <w:lang w:val="fr-FR"/>
        </w:rPr>
        <w:t>toutes les informations par:</w:t>
      </w:r>
    </w:p>
    <w:p w:rsidR="00DD7D4E" w:rsidRDefault="00DD7D4E" w:rsidP="00DD7D4E">
      <w:pPr>
        <w:ind w:right="-1"/>
        <w:rPr>
          <w:rFonts w:cs="Arial"/>
          <w:sz w:val="24"/>
          <w:szCs w:val="24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24"/>
        <w:gridCol w:w="2919"/>
        <w:gridCol w:w="3929"/>
      </w:tblGrid>
      <w:tr w:rsidR="00DD7D4E" w:rsidTr="00DD7D4E">
        <w:trPr>
          <w:tblHeader/>
          <w:jc w:val="center"/>
        </w:trPr>
        <w:tc>
          <w:tcPr>
            <w:tcW w:w="2480" w:type="dxa"/>
            <w:hideMark/>
          </w:tcPr>
          <w:p w:rsidR="00DD7D4E" w:rsidRDefault="00DD7D4E" w:rsidP="00DD7D4E">
            <w:pPr>
              <w:pStyle w:val="Tablehead0"/>
            </w:pPr>
            <w:r>
              <w:t>Pays/zone géographique</w:t>
            </w:r>
          </w:p>
        </w:tc>
        <w:tc>
          <w:tcPr>
            <w:tcW w:w="3260" w:type="dxa"/>
            <w:hideMark/>
          </w:tcPr>
          <w:p w:rsidR="00DD7D4E" w:rsidRDefault="00DD7D4E" w:rsidP="00DD7D4E">
            <w:pPr>
              <w:pStyle w:val="Tablehead0"/>
              <w:rPr>
                <w:rFonts w:eastAsiaTheme="minorEastAsia" w:cs="Arial"/>
              </w:rPr>
            </w:pPr>
            <w:r>
              <w:rPr>
                <w:b/>
                <w:bCs/>
              </w:rPr>
              <w:t>MCC + MNC*</w:t>
            </w:r>
          </w:p>
        </w:tc>
        <w:tc>
          <w:tcPr>
            <w:tcW w:w="4395" w:type="dxa"/>
          </w:tcPr>
          <w:p w:rsidR="00DD7D4E" w:rsidRDefault="00DD7D4E" w:rsidP="00B63EFC">
            <w:pPr>
              <w:pStyle w:val="Tablehead0"/>
              <w:rPr>
                <w:rFonts w:cs="Arial"/>
                <w:b/>
              </w:rPr>
            </w:pPr>
            <w:r>
              <w:t>Nom de Réseau/Opérateur</w:t>
            </w:r>
          </w:p>
        </w:tc>
      </w:tr>
      <w:tr w:rsidR="00DD7D4E" w:rsidRPr="00B638EE" w:rsidTr="00DD7D4E">
        <w:trPr>
          <w:trHeight w:val="567"/>
          <w:tblHeader/>
          <w:jc w:val="center"/>
        </w:trPr>
        <w:tc>
          <w:tcPr>
            <w:tcW w:w="2480" w:type="dxa"/>
            <w:hideMark/>
          </w:tcPr>
          <w:p w:rsidR="00DD7D4E" w:rsidRDefault="00DD7D4E" w:rsidP="00DD7D4E">
            <w:pPr>
              <w:pStyle w:val="Tabletext0"/>
              <w:rPr>
                <w:i/>
              </w:rPr>
            </w:pPr>
            <w:r>
              <w:t>Gabon</w:t>
            </w:r>
          </w:p>
        </w:tc>
        <w:tc>
          <w:tcPr>
            <w:tcW w:w="3260" w:type="dxa"/>
            <w:hideMark/>
          </w:tcPr>
          <w:p w:rsidR="00DD7D4E" w:rsidRDefault="00DD7D4E" w:rsidP="00DD7D4E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628 01</w:t>
            </w:r>
          </w:p>
          <w:p w:rsidR="00DD7D4E" w:rsidRDefault="00DD7D4E" w:rsidP="00DD7D4E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628 02</w:t>
            </w:r>
          </w:p>
          <w:p w:rsidR="00DD7D4E" w:rsidRDefault="00DD7D4E" w:rsidP="00DD7D4E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628 03</w:t>
            </w:r>
          </w:p>
          <w:p w:rsidR="00DD7D4E" w:rsidRDefault="00DD7D4E" w:rsidP="00DD7D4E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628 04</w:t>
            </w:r>
          </w:p>
          <w:p w:rsidR="00DD7D4E" w:rsidRDefault="00DD7D4E" w:rsidP="00DD7D4E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628 05</w:t>
            </w:r>
          </w:p>
        </w:tc>
        <w:tc>
          <w:tcPr>
            <w:tcW w:w="4395" w:type="dxa"/>
            <w:hideMark/>
          </w:tcPr>
          <w:p w:rsidR="00DD7D4E" w:rsidRDefault="00DD7D4E" w:rsidP="00DD7D4E">
            <w:pPr>
              <w:pStyle w:val="Tabletext0"/>
              <w:rPr>
                <w:rFonts w:cs="Calibri"/>
              </w:rPr>
            </w:pPr>
            <w:r>
              <w:rPr>
                <w:rFonts w:cs="Calibri"/>
              </w:rPr>
              <w:t>LIBERTIS</w:t>
            </w:r>
          </w:p>
          <w:p w:rsidR="00DD7D4E" w:rsidRDefault="00DD7D4E" w:rsidP="00DD7D4E">
            <w:pPr>
              <w:pStyle w:val="Tabletext0"/>
              <w:rPr>
                <w:rFonts w:cs="Calibri"/>
              </w:rPr>
            </w:pPr>
            <w:r>
              <w:rPr>
                <w:rFonts w:cs="Calibri"/>
              </w:rPr>
              <w:t>MOOV</w:t>
            </w:r>
          </w:p>
          <w:p w:rsidR="00DD7D4E" w:rsidRDefault="00DD7D4E" w:rsidP="00DD7D4E">
            <w:pPr>
              <w:pStyle w:val="Tabletext0"/>
              <w:rPr>
                <w:rFonts w:cs="Calibri"/>
              </w:rPr>
            </w:pPr>
            <w:r>
              <w:rPr>
                <w:rFonts w:cs="Calibri"/>
              </w:rPr>
              <w:t>CELTEL</w:t>
            </w:r>
          </w:p>
          <w:p w:rsidR="00DD7D4E" w:rsidRDefault="00DD7D4E" w:rsidP="00DD7D4E">
            <w:pPr>
              <w:pStyle w:val="Tabletext0"/>
              <w:rPr>
                <w:rFonts w:cs="Calibri"/>
              </w:rPr>
            </w:pPr>
            <w:r>
              <w:rPr>
                <w:rFonts w:cs="Calibri"/>
              </w:rPr>
              <w:t>USAN GABON</w:t>
            </w:r>
          </w:p>
          <w:p w:rsidR="00DD7D4E" w:rsidRDefault="00DD7D4E" w:rsidP="00DD7D4E">
            <w:pPr>
              <w:pStyle w:val="Tabletext0"/>
              <w:rPr>
                <w:rFonts w:cs="Arial"/>
                <w:sz w:val="20"/>
              </w:rPr>
            </w:pPr>
            <w:r>
              <w:rPr>
                <w:rFonts w:cs="Calibri"/>
              </w:rPr>
              <w:t xml:space="preserve">Réseau de </w:t>
            </w:r>
            <w:r>
              <w:rPr>
                <w:rFonts w:cs="Calibri"/>
              </w:rPr>
              <w:br/>
              <w:t>l’Administration Gabonaise (RAG)</w:t>
            </w:r>
          </w:p>
        </w:tc>
      </w:tr>
    </w:tbl>
    <w:p w:rsidR="00DD7D4E" w:rsidRPr="008A520D" w:rsidRDefault="00DD7D4E" w:rsidP="00DD7D4E">
      <w:pPr>
        <w:rPr>
          <w:lang w:val="fr-FR"/>
        </w:rPr>
      </w:pPr>
    </w:p>
    <w:p w:rsidR="00DD7D4E" w:rsidRPr="00DD7D4E" w:rsidRDefault="00DD7D4E" w:rsidP="00DD7D4E">
      <w:pPr>
        <w:rPr>
          <w:b/>
          <w:bCs/>
        </w:rPr>
      </w:pPr>
      <w:r w:rsidRPr="00DD7D4E">
        <w:rPr>
          <w:b/>
          <w:bCs/>
        </w:rPr>
        <w:t xml:space="preserve">P  </w:t>
      </w:r>
      <w:r w:rsidR="00B63EFC">
        <w:rPr>
          <w:b/>
          <w:bCs/>
        </w:rPr>
        <w:t xml:space="preserve">25     </w:t>
      </w:r>
      <w:r w:rsidRPr="00DD7D4E">
        <w:rPr>
          <w:b/>
          <w:bCs/>
        </w:rPr>
        <w:t>Mozambique ADD</w:t>
      </w:r>
    </w:p>
    <w:p w:rsidR="00DD7D4E" w:rsidRDefault="00DD7D4E" w:rsidP="00DD7D4E">
      <w:pPr>
        <w:ind w:right="-1"/>
        <w:rPr>
          <w:rFonts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24"/>
        <w:gridCol w:w="2919"/>
        <w:gridCol w:w="3929"/>
      </w:tblGrid>
      <w:tr w:rsidR="00DD7D4E" w:rsidTr="00DD7D4E">
        <w:trPr>
          <w:trHeight w:val="20"/>
          <w:tblHeader/>
          <w:jc w:val="center"/>
        </w:trPr>
        <w:tc>
          <w:tcPr>
            <w:tcW w:w="2480" w:type="dxa"/>
            <w:hideMark/>
          </w:tcPr>
          <w:p w:rsidR="00DD7D4E" w:rsidRDefault="00DD7D4E" w:rsidP="00DD7D4E">
            <w:pPr>
              <w:pStyle w:val="Tablehead0"/>
            </w:pPr>
            <w:r>
              <w:t>Pays/zone géographique</w:t>
            </w:r>
          </w:p>
        </w:tc>
        <w:tc>
          <w:tcPr>
            <w:tcW w:w="3260" w:type="dxa"/>
            <w:hideMark/>
          </w:tcPr>
          <w:p w:rsidR="00DD7D4E" w:rsidRDefault="00DD7D4E" w:rsidP="00DD7D4E">
            <w:pPr>
              <w:pStyle w:val="Tablehead0"/>
              <w:rPr>
                <w:rFonts w:cs="Arial"/>
              </w:rPr>
            </w:pPr>
            <w:r>
              <w:t>MCC + MNC*</w:t>
            </w:r>
          </w:p>
        </w:tc>
        <w:tc>
          <w:tcPr>
            <w:tcW w:w="4395" w:type="dxa"/>
          </w:tcPr>
          <w:p w:rsidR="00DD7D4E" w:rsidRDefault="00DD7D4E" w:rsidP="00DD7D4E">
            <w:pPr>
              <w:pStyle w:val="Tablehead0"/>
              <w:rPr>
                <w:rFonts w:cs="Arial"/>
                <w:b/>
              </w:rPr>
            </w:pPr>
            <w:r>
              <w:t>Nom de Réseau/Opérateur</w:t>
            </w:r>
          </w:p>
        </w:tc>
      </w:tr>
      <w:tr w:rsidR="00DD7D4E" w:rsidTr="00DD7D4E">
        <w:trPr>
          <w:trHeight w:val="20"/>
          <w:tblHeader/>
          <w:jc w:val="center"/>
        </w:trPr>
        <w:tc>
          <w:tcPr>
            <w:tcW w:w="2480" w:type="dxa"/>
            <w:hideMark/>
          </w:tcPr>
          <w:p w:rsidR="00DD7D4E" w:rsidRDefault="00DD7D4E" w:rsidP="00DD7D4E">
            <w:pPr>
              <w:pStyle w:val="Tabletext0"/>
              <w:rPr>
                <w:i/>
              </w:rPr>
            </w:pPr>
            <w:r>
              <w:t>Mozambique</w:t>
            </w:r>
          </w:p>
        </w:tc>
        <w:tc>
          <w:tcPr>
            <w:tcW w:w="3260" w:type="dxa"/>
            <w:hideMark/>
          </w:tcPr>
          <w:p w:rsidR="00DD7D4E" w:rsidRDefault="00DD7D4E" w:rsidP="00DD7D4E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643 03</w:t>
            </w:r>
          </w:p>
        </w:tc>
        <w:tc>
          <w:tcPr>
            <w:tcW w:w="4395" w:type="dxa"/>
            <w:hideMark/>
          </w:tcPr>
          <w:p w:rsidR="00DD7D4E" w:rsidRDefault="00DD7D4E" w:rsidP="00DD7D4E">
            <w:pPr>
              <w:pStyle w:val="Tabletext0"/>
              <w:rPr>
                <w:rFonts w:cs="Arial"/>
              </w:rPr>
            </w:pPr>
            <w:proofErr w:type="spellStart"/>
            <w:r>
              <w:rPr>
                <w:szCs w:val="18"/>
              </w:rPr>
              <w:t>Movitel</w:t>
            </w:r>
            <w:proofErr w:type="spellEnd"/>
          </w:p>
        </w:tc>
      </w:tr>
    </w:tbl>
    <w:p w:rsidR="00DD7D4E" w:rsidRDefault="00DD7D4E" w:rsidP="00DD7D4E"/>
    <w:p w:rsidR="00DD7D4E" w:rsidRPr="00BC3FDF" w:rsidRDefault="00DD7D4E" w:rsidP="00DD7D4E">
      <w:pPr>
        <w:rPr>
          <w:b/>
          <w:bCs/>
          <w:i/>
          <w:iCs/>
          <w:lang w:val="fr-FR"/>
        </w:rPr>
      </w:pPr>
      <w:r w:rsidRPr="003F47A4">
        <w:rPr>
          <w:b/>
          <w:lang w:val="fr-FR"/>
        </w:rPr>
        <w:lastRenderedPageBreak/>
        <w:t xml:space="preserve">P  </w:t>
      </w:r>
      <w:r w:rsidR="00B63EFC">
        <w:rPr>
          <w:b/>
          <w:lang w:val="fr-FR"/>
        </w:rPr>
        <w:t xml:space="preserve">27     </w:t>
      </w:r>
      <w:r>
        <w:rPr>
          <w:b/>
          <w:lang w:val="fr-FR"/>
        </w:rPr>
        <w:t>Pologne</w:t>
      </w:r>
      <w:r w:rsidRPr="003F47A4">
        <w:rPr>
          <w:b/>
          <w:lang w:val="fr-FR"/>
        </w:rPr>
        <w:t xml:space="preserve"> </w:t>
      </w:r>
      <w:r>
        <w:rPr>
          <w:lang w:val="fr-FR"/>
        </w:rPr>
        <w:t xml:space="preserve"> </w:t>
      </w:r>
      <w:r w:rsidRPr="005D320C">
        <w:rPr>
          <w:b/>
          <w:bCs/>
          <w:lang w:val="fr-FR"/>
        </w:rPr>
        <w:t xml:space="preserve">REP </w:t>
      </w:r>
      <w:r w:rsidRPr="00BC3FDF">
        <w:rPr>
          <w:i/>
          <w:iCs/>
          <w:lang w:val="fr-FR"/>
        </w:rPr>
        <w:t>toutes les informations par:</w:t>
      </w:r>
    </w:p>
    <w:p w:rsidR="00DD7D4E" w:rsidRPr="003F47A4" w:rsidRDefault="00DD7D4E" w:rsidP="00DD7D4E">
      <w:pPr>
        <w:ind w:right="-1"/>
        <w:rPr>
          <w:rFonts w:cs="Arial"/>
          <w:sz w:val="24"/>
          <w:szCs w:val="24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21"/>
        <w:gridCol w:w="2786"/>
        <w:gridCol w:w="3965"/>
      </w:tblGrid>
      <w:tr w:rsidR="00DD7D4E" w:rsidTr="00B63EFC">
        <w:trPr>
          <w:tblHeader/>
          <w:jc w:val="center"/>
        </w:trPr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D4E" w:rsidRDefault="00DD7D4E" w:rsidP="00DD7D4E">
            <w:pPr>
              <w:pStyle w:val="Tablehead0"/>
              <w:rPr>
                <w:rFonts w:cs="Arial"/>
                <w:lang w:val="en-GB"/>
              </w:rPr>
            </w:pPr>
            <w:r>
              <w:t>Pays/zone géographique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head0"/>
              <w:rPr>
                <w:rFonts w:cs="Arial"/>
                <w:lang w:val="en-GB"/>
              </w:rPr>
            </w:pPr>
            <w:r>
              <w:t>MCC + MNC*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E" w:rsidRDefault="00DD7D4E" w:rsidP="00B63EFC">
            <w:pPr>
              <w:pStyle w:val="Tablehead0"/>
              <w:rPr>
                <w:rFonts w:cs="Arial"/>
                <w:sz w:val="20"/>
                <w:lang w:val="pl-PL" w:eastAsia="pl-PL"/>
              </w:rPr>
            </w:pPr>
            <w:r>
              <w:t>Nom de Réseau/Opérateur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D7D4E" w:rsidRDefault="00DD7D4E" w:rsidP="00DD7D4E">
            <w:pPr>
              <w:pStyle w:val="Tabletext0"/>
            </w:pPr>
            <w:r>
              <w:t>Pologne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260  01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r>
              <w:rPr>
                <w:sz w:val="20"/>
                <w:lang w:val="pl-PL" w:eastAsia="pl-PL"/>
              </w:rPr>
              <w:t>Plus / Polkomtel S.A.</w:t>
            </w:r>
          </w:p>
        </w:tc>
      </w:tr>
      <w:tr w:rsidR="00DD7D4E" w:rsidRPr="00B638E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260  02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>T-Mobile / PTC S.A.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260  03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 xml:space="preserve">Orange / PTK </w:t>
            </w:r>
            <w:proofErr w:type="spellStart"/>
            <w:r>
              <w:rPr>
                <w:sz w:val="20"/>
              </w:rPr>
              <w:t>Centertel</w:t>
            </w:r>
            <w:proofErr w:type="spellEnd"/>
            <w:r>
              <w:rPr>
                <w:sz w:val="20"/>
              </w:rPr>
              <w:t xml:space="preserve"> Sp. z </w:t>
            </w:r>
            <w:proofErr w:type="spellStart"/>
            <w:r>
              <w:rPr>
                <w:sz w:val="20"/>
              </w:rPr>
              <w:t>o.o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260  04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 xml:space="preserve">LTE / </w:t>
            </w:r>
            <w:proofErr w:type="spellStart"/>
            <w:r>
              <w:rPr>
                <w:sz w:val="20"/>
              </w:rPr>
              <w:t>CenterNet</w:t>
            </w:r>
            <w:proofErr w:type="spellEnd"/>
            <w:r>
              <w:rPr>
                <w:sz w:val="20"/>
              </w:rPr>
              <w:t xml:space="preserve"> </w:t>
            </w:r>
            <w:smartTag w:uri="urn:schemas-microsoft-com:office:smarttags" w:element="place">
              <w:r>
                <w:rPr>
                  <w:sz w:val="20"/>
                </w:rPr>
                <w:t>S.A.</w:t>
              </w:r>
            </w:smartTag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260  05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 xml:space="preserve">Orange(UMTS) / PTK </w:t>
            </w:r>
            <w:proofErr w:type="spellStart"/>
            <w:r>
              <w:rPr>
                <w:sz w:val="20"/>
              </w:rPr>
              <w:t>Centertel</w:t>
            </w:r>
            <w:proofErr w:type="spellEnd"/>
            <w:r>
              <w:rPr>
                <w:sz w:val="20"/>
              </w:rPr>
              <w:t xml:space="preserve"> Sp. z </w:t>
            </w:r>
            <w:proofErr w:type="spellStart"/>
            <w:r>
              <w:rPr>
                <w:sz w:val="20"/>
              </w:rPr>
              <w:t>o.o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260  06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Pr="00E218A9" w:rsidRDefault="00DD7D4E" w:rsidP="00DD7D4E">
            <w:pPr>
              <w:pStyle w:val="Tabletext0"/>
              <w:rPr>
                <w:sz w:val="20"/>
                <w:lang w:val="en-GB"/>
              </w:rPr>
            </w:pPr>
            <w:r w:rsidRPr="00E218A9">
              <w:rPr>
                <w:sz w:val="20"/>
                <w:lang w:val="en-GB"/>
              </w:rPr>
              <w:t xml:space="preserve">Play / P4 Sp. z </w:t>
            </w:r>
            <w:proofErr w:type="spellStart"/>
            <w:r w:rsidRPr="00E218A9">
              <w:rPr>
                <w:sz w:val="20"/>
                <w:lang w:val="en-GB"/>
              </w:rPr>
              <w:t>o.o</w:t>
            </w:r>
            <w:proofErr w:type="spellEnd"/>
            <w:r w:rsidRPr="00E218A9">
              <w:rPr>
                <w:sz w:val="20"/>
                <w:lang w:val="en-GB"/>
              </w:rPr>
              <w:t>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Pr="00E218A9" w:rsidRDefault="00DD7D4E" w:rsidP="00DD7D4E">
            <w:pPr>
              <w:pStyle w:val="Tabletext0"/>
              <w:rPr>
                <w:lang w:val="en-GB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260  07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Netia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Netia</w:t>
            </w:r>
            <w:proofErr w:type="spellEnd"/>
            <w:r>
              <w:rPr>
                <w:sz w:val="20"/>
              </w:rPr>
              <w:t xml:space="preserve"> </w:t>
            </w:r>
            <w:smartTag w:uri="urn:schemas-microsoft-com:office:smarttags" w:element="place">
              <w:r>
                <w:rPr>
                  <w:sz w:val="20"/>
                </w:rPr>
                <w:t>S.A.</w:t>
              </w:r>
            </w:smartTag>
          </w:p>
        </w:tc>
      </w:tr>
      <w:tr w:rsidR="00DD7D4E" w:rsidRPr="00B638E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260  08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E-Telko / E-Telko Sp. z o.o.</w:t>
            </w:r>
          </w:p>
        </w:tc>
      </w:tr>
      <w:tr w:rsidR="00DD7D4E" w:rsidRPr="00B638E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260  09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Lycamobile / Lycamobile Sp. z o.o.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Sferia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Sferia</w:t>
            </w:r>
            <w:proofErr w:type="spellEnd"/>
            <w:r>
              <w:rPr>
                <w:sz w:val="20"/>
              </w:rPr>
              <w:t xml:space="preserve"> </w:t>
            </w:r>
            <w:smartTag w:uri="urn:schemas-microsoft-com:office:smarttags" w:element="place">
              <w:r>
                <w:rPr>
                  <w:sz w:val="20"/>
                </w:rPr>
                <w:t>S.A.</w:t>
              </w:r>
            </w:smartTag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Nordisk Polska / Nordisk Polska Sp. z o.o.</w:t>
            </w:r>
          </w:p>
        </w:tc>
      </w:tr>
      <w:tr w:rsidR="00DD7D4E" w:rsidRPr="00B638E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Cyfrowy Polsat / Cyfrowy Polsat S.A.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Sferia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Sferia</w:t>
            </w:r>
            <w:proofErr w:type="spellEnd"/>
            <w:r>
              <w:rPr>
                <w:sz w:val="20"/>
              </w:rPr>
              <w:t xml:space="preserve"> </w:t>
            </w:r>
            <w:smartTag w:uri="urn:schemas-microsoft-com:office:smarttags" w:element="place">
              <w:r>
                <w:rPr>
                  <w:sz w:val="20"/>
                </w:rPr>
                <w:t>S.A.</w:t>
              </w:r>
            </w:smartTag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260  14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Sferia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Sferia</w:t>
            </w:r>
            <w:proofErr w:type="spellEnd"/>
            <w:r>
              <w:rPr>
                <w:sz w:val="20"/>
              </w:rPr>
              <w:t xml:space="preserve"> </w:t>
            </w:r>
            <w:smartTag w:uri="urn:schemas-microsoft-com:office:smarttags" w:element="place">
              <w:r>
                <w:rPr>
                  <w:sz w:val="20"/>
                </w:rPr>
                <w:t>S.A.</w:t>
              </w:r>
            </w:smartTag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260  15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CenterNet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CenterNet</w:t>
            </w:r>
            <w:proofErr w:type="spellEnd"/>
            <w:r>
              <w:rPr>
                <w:sz w:val="20"/>
              </w:rPr>
              <w:t xml:space="preserve"> </w:t>
            </w:r>
            <w:smartTag w:uri="urn:schemas-microsoft-com:office:smarttags" w:element="place">
              <w:r>
                <w:rPr>
                  <w:sz w:val="20"/>
                </w:rPr>
                <w:t>S.A.</w:t>
              </w:r>
            </w:smartTag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260  16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Mobyland / Mobyland Sp. z o.o.</w:t>
            </w:r>
          </w:p>
        </w:tc>
      </w:tr>
      <w:tr w:rsidR="00DD7D4E" w:rsidRPr="00B638E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260  17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Aero 2 / Aero 2 Sp. z o.o.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260  18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>AMD Telecom / AMD Telecom S.A.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260  19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Teleena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smartTag w:uri="urn:schemas-microsoft-com:office:smarttags" w:element="place">
              <w:r>
                <w:rPr>
                  <w:sz w:val="20"/>
                </w:rPr>
                <w:t>Teleena</w:t>
              </w:r>
              <w:proofErr w:type="spellEnd"/>
              <w:r>
                <w:rPr>
                  <w:sz w:val="20"/>
                </w:rPr>
                <w:t xml:space="preserve"> Holding BV</w:t>
              </w:r>
            </w:smartTag>
          </w:p>
        </w:tc>
      </w:tr>
      <w:tr w:rsidR="00DD7D4E" w:rsidRPr="00B638E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t>260  20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Mobile.Net / Mobile.Net Sp. z o.o.</w:t>
            </w:r>
          </w:p>
        </w:tc>
      </w:tr>
      <w:tr w:rsidR="00DD7D4E" w:rsidRPr="00B638E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  <w:rPr>
                <w:lang w:val="pl-PL"/>
              </w:rPr>
            </w:pPr>
            <w:r>
              <w:t>260  21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Exteri / Exteri Sp. z o.o.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  <w:rPr>
                <w:lang w:val="pl-PL"/>
              </w:rPr>
            </w:pPr>
            <w:r>
              <w:t>260  22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Arcomm / Arcomm Sp. z o.o.</w:t>
            </w:r>
          </w:p>
        </w:tc>
      </w:tr>
      <w:tr w:rsidR="00DD7D4E" w:rsidRPr="00B638E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  <w:rPr>
                <w:lang w:val="pl-PL"/>
              </w:rPr>
            </w:pPr>
            <w:r>
              <w:t>260  23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Amicomm / Amicomm Sp. z o.o.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  <w:rPr>
                <w:lang w:val="pl-PL"/>
              </w:rPr>
            </w:pPr>
            <w:r>
              <w:t>260  24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WideNet / WideNet Sp. z o.o.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  <w:rPr>
                <w:lang w:val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  <w:rPr>
                <w:lang w:val="pl-PL"/>
              </w:rPr>
            </w:pPr>
            <w:r>
              <w:t>260  25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 xml:space="preserve">BS&amp;T / Best Solutions &amp; </w:t>
            </w:r>
            <w:proofErr w:type="spellStart"/>
            <w:r>
              <w:rPr>
                <w:sz w:val="20"/>
              </w:rPr>
              <w:t>Technology</w:t>
            </w:r>
            <w:proofErr w:type="spellEnd"/>
            <w:r>
              <w:rPr>
                <w:sz w:val="20"/>
              </w:rPr>
              <w:t xml:space="preserve"> Sp. z </w:t>
            </w:r>
            <w:proofErr w:type="spellStart"/>
            <w:r>
              <w:rPr>
                <w:sz w:val="20"/>
              </w:rPr>
              <w:t>o.o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  <w:rPr>
                <w:lang w:val="pl-PL"/>
              </w:rPr>
            </w:pPr>
            <w:r>
              <w:t>260  26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Pr="00E218A9" w:rsidRDefault="00DD7D4E" w:rsidP="00DD7D4E">
            <w:pPr>
              <w:pStyle w:val="Tabletext0"/>
              <w:rPr>
                <w:sz w:val="20"/>
                <w:lang w:val="en-GB"/>
              </w:rPr>
            </w:pPr>
            <w:r w:rsidRPr="00E218A9">
              <w:rPr>
                <w:sz w:val="20"/>
                <w:lang w:val="en-GB"/>
              </w:rPr>
              <w:t xml:space="preserve">ATE / ATE-Advanced Technology &amp; Experience Sp. z </w:t>
            </w:r>
            <w:proofErr w:type="spellStart"/>
            <w:r w:rsidRPr="00E218A9">
              <w:rPr>
                <w:sz w:val="20"/>
                <w:lang w:val="en-GB"/>
              </w:rPr>
              <w:t>o.o</w:t>
            </w:r>
            <w:proofErr w:type="spellEnd"/>
            <w:r w:rsidRPr="00E218A9">
              <w:rPr>
                <w:sz w:val="20"/>
                <w:lang w:val="en-GB"/>
              </w:rPr>
              <w:t>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Pr="00E218A9" w:rsidRDefault="00DD7D4E" w:rsidP="00DD7D4E">
            <w:pPr>
              <w:pStyle w:val="Tabletext0"/>
              <w:rPr>
                <w:lang w:val="en-GB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  <w:rPr>
                <w:lang w:val="pl-PL"/>
              </w:rPr>
            </w:pPr>
            <w:r>
              <w:t>260  27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Intertelcom / Intertelcom Sp. z o.o.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Pr="00E218A9" w:rsidRDefault="00DD7D4E" w:rsidP="00DD7D4E">
            <w:pPr>
              <w:pStyle w:val="Tabletext0"/>
              <w:rPr>
                <w:lang w:val="en-GB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rPr>
                <w:lang w:val="en-GB"/>
              </w:rPr>
              <w:t>260  28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Pr="00E218A9" w:rsidRDefault="00DD7D4E" w:rsidP="00DD7D4E">
            <w:pPr>
              <w:pStyle w:val="Tabletext0"/>
              <w:rPr>
                <w:sz w:val="20"/>
                <w:lang w:val="en-GB"/>
              </w:rPr>
            </w:pPr>
            <w:proofErr w:type="spellStart"/>
            <w:r w:rsidRPr="00E218A9">
              <w:rPr>
                <w:sz w:val="20"/>
                <w:lang w:val="en-GB"/>
              </w:rPr>
              <w:t>PhoneNet</w:t>
            </w:r>
            <w:proofErr w:type="spellEnd"/>
            <w:r w:rsidRPr="00E218A9">
              <w:rPr>
                <w:sz w:val="20"/>
                <w:lang w:val="en-GB"/>
              </w:rPr>
              <w:t xml:space="preserve"> / </w:t>
            </w:r>
            <w:proofErr w:type="spellStart"/>
            <w:r w:rsidRPr="00E218A9">
              <w:rPr>
                <w:sz w:val="20"/>
                <w:lang w:val="en-GB"/>
              </w:rPr>
              <w:t>PhoneNet</w:t>
            </w:r>
            <w:proofErr w:type="spellEnd"/>
            <w:r w:rsidRPr="00E218A9">
              <w:rPr>
                <w:sz w:val="20"/>
                <w:lang w:val="en-GB"/>
              </w:rPr>
              <w:t xml:space="preserve"> Sp. z </w:t>
            </w:r>
            <w:proofErr w:type="spellStart"/>
            <w:r w:rsidRPr="00E218A9">
              <w:rPr>
                <w:sz w:val="20"/>
                <w:lang w:val="en-GB"/>
              </w:rPr>
              <w:t>o.o</w:t>
            </w:r>
            <w:proofErr w:type="spellEnd"/>
            <w:r w:rsidRPr="00E218A9">
              <w:rPr>
                <w:sz w:val="20"/>
                <w:lang w:val="en-GB"/>
              </w:rPr>
              <w:t>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Pr="00E218A9" w:rsidRDefault="00DD7D4E" w:rsidP="00DD7D4E">
            <w:pPr>
              <w:pStyle w:val="Tabletext0"/>
              <w:rPr>
                <w:lang w:val="en-GB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rPr>
                <w:lang w:val="en-GB"/>
              </w:rPr>
              <w:t>260  29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Interfonica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Interfonica</w:t>
            </w:r>
            <w:proofErr w:type="spellEnd"/>
            <w:r>
              <w:rPr>
                <w:sz w:val="20"/>
              </w:rPr>
              <w:t xml:space="preserve"> Sp. z </w:t>
            </w:r>
            <w:proofErr w:type="spellStart"/>
            <w:r>
              <w:rPr>
                <w:sz w:val="20"/>
              </w:rPr>
              <w:t>o.o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rPr>
                <w:lang w:val="en-GB"/>
              </w:rPr>
              <w:t>260  30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GrandTel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GrandTel</w:t>
            </w:r>
            <w:proofErr w:type="spellEnd"/>
            <w:r>
              <w:rPr>
                <w:sz w:val="20"/>
              </w:rPr>
              <w:t xml:space="preserve"> Sp. z </w:t>
            </w:r>
            <w:proofErr w:type="spellStart"/>
            <w:r>
              <w:rPr>
                <w:sz w:val="20"/>
              </w:rPr>
              <w:t>o.o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rPr>
                <w:lang w:val="en-GB"/>
              </w:rPr>
              <w:t>260  31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Pr="00E218A9" w:rsidRDefault="00DD7D4E" w:rsidP="00DD7D4E">
            <w:pPr>
              <w:pStyle w:val="Tabletext0"/>
              <w:rPr>
                <w:sz w:val="20"/>
                <w:lang w:val="en-GB"/>
              </w:rPr>
            </w:pPr>
            <w:r w:rsidRPr="00E218A9">
              <w:rPr>
                <w:sz w:val="20"/>
                <w:lang w:val="en-GB"/>
              </w:rPr>
              <w:t xml:space="preserve">Phone IT / Phone IT Sp. z </w:t>
            </w:r>
            <w:proofErr w:type="spellStart"/>
            <w:r w:rsidRPr="00E218A9">
              <w:rPr>
                <w:sz w:val="20"/>
                <w:lang w:val="en-GB"/>
              </w:rPr>
              <w:t>o.o</w:t>
            </w:r>
            <w:proofErr w:type="spellEnd"/>
            <w:r w:rsidRPr="00E218A9">
              <w:rPr>
                <w:sz w:val="20"/>
                <w:lang w:val="en-GB"/>
              </w:rPr>
              <w:t>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Pr="00E218A9" w:rsidRDefault="00DD7D4E" w:rsidP="00DD7D4E">
            <w:pPr>
              <w:pStyle w:val="Tabletext0"/>
              <w:rPr>
                <w:lang w:val="en-GB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rPr>
                <w:lang w:val="en-GB"/>
              </w:rPr>
              <w:t>260  32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Compatel</w:t>
            </w:r>
            <w:proofErr w:type="spellEnd"/>
            <w:r>
              <w:rPr>
                <w:sz w:val="20"/>
              </w:rPr>
              <w:t xml:space="preserve"> Ltd / COMPATEL LIMITED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rPr>
                <w:lang w:val="en-GB"/>
              </w:rPr>
              <w:t>260  33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proofErr w:type="spellStart"/>
            <w:r>
              <w:rPr>
                <w:sz w:val="20"/>
              </w:rPr>
              <w:t>Truphone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Poland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Truphone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Poland</w:t>
            </w:r>
            <w:proofErr w:type="spellEnd"/>
            <w:r>
              <w:rPr>
                <w:sz w:val="20"/>
              </w:rPr>
              <w:t xml:space="preserve"> Sp. z </w:t>
            </w:r>
            <w:proofErr w:type="spellStart"/>
            <w:r>
              <w:rPr>
                <w:sz w:val="20"/>
              </w:rPr>
              <w:t>o.o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7D4E" w:rsidRPr="00B638E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rPr>
                <w:lang w:val="en-GB"/>
              </w:rPr>
              <w:t>260  34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DD7D4E">
            <w:pPr>
              <w:pStyle w:val="Tabletext0"/>
              <w:rPr>
                <w:sz w:val="20"/>
              </w:rPr>
            </w:pPr>
            <w:r>
              <w:rPr>
                <w:sz w:val="20"/>
              </w:rPr>
              <w:t>T-Mobile / PTC S.A.</w:t>
            </w:r>
          </w:p>
        </w:tc>
      </w:tr>
      <w:tr w:rsidR="00DD7D4E" w:rsidTr="00B63EFC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E" w:rsidRDefault="00DD7D4E" w:rsidP="00DD7D4E">
            <w:pPr>
              <w:pStyle w:val="Tabletext0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Default="00DD7D4E" w:rsidP="00B63EFC">
            <w:pPr>
              <w:pStyle w:val="Tabletext0"/>
              <w:jc w:val="center"/>
            </w:pPr>
            <w:r>
              <w:rPr>
                <w:lang w:val="en-GB"/>
              </w:rPr>
              <w:t>260  98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D4E" w:rsidRPr="00E218A9" w:rsidRDefault="00DD7D4E" w:rsidP="00DD7D4E">
            <w:pPr>
              <w:pStyle w:val="Tabletext0"/>
              <w:rPr>
                <w:sz w:val="20"/>
                <w:lang w:val="en-GB"/>
              </w:rPr>
            </w:pPr>
            <w:r w:rsidRPr="00E218A9">
              <w:rPr>
                <w:sz w:val="20"/>
                <w:lang w:val="en-GB"/>
              </w:rPr>
              <w:t>Play (</w:t>
            </w:r>
            <w:proofErr w:type="spellStart"/>
            <w:r w:rsidRPr="00E218A9">
              <w:rPr>
                <w:sz w:val="20"/>
                <w:lang w:val="en-GB"/>
              </w:rPr>
              <w:t>testowy</w:t>
            </w:r>
            <w:proofErr w:type="spellEnd"/>
            <w:r w:rsidRPr="00E218A9">
              <w:rPr>
                <w:sz w:val="20"/>
                <w:lang w:val="en-GB"/>
              </w:rPr>
              <w:t xml:space="preserve">) / P4 Sp. z </w:t>
            </w:r>
            <w:proofErr w:type="spellStart"/>
            <w:r w:rsidRPr="00E218A9">
              <w:rPr>
                <w:sz w:val="20"/>
                <w:lang w:val="en-GB"/>
              </w:rPr>
              <w:t>o.o</w:t>
            </w:r>
            <w:proofErr w:type="spellEnd"/>
            <w:r w:rsidRPr="00E218A9">
              <w:rPr>
                <w:sz w:val="20"/>
                <w:lang w:val="en-GB"/>
              </w:rPr>
              <w:t>.</w:t>
            </w:r>
          </w:p>
        </w:tc>
      </w:tr>
    </w:tbl>
    <w:p w:rsidR="0072706F" w:rsidRPr="00E87F58" w:rsidRDefault="0072706F" w:rsidP="00DD7D4E">
      <w:pPr>
        <w:rPr>
          <w:b/>
          <w:bCs/>
        </w:rPr>
      </w:pPr>
    </w:p>
    <w:p w:rsidR="0072706F" w:rsidRPr="00E87F58" w:rsidRDefault="007270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 w:rsidRPr="00E87F58">
        <w:rPr>
          <w:b/>
          <w:bCs/>
        </w:rPr>
        <w:br w:type="page"/>
      </w:r>
    </w:p>
    <w:p w:rsidR="00DD7D4E" w:rsidRPr="00DD7D4E" w:rsidRDefault="00DD7D4E" w:rsidP="00BC3FDF">
      <w:pPr>
        <w:rPr>
          <w:b/>
          <w:bCs/>
          <w:lang w:val="fr-FR"/>
        </w:rPr>
      </w:pPr>
      <w:r w:rsidRPr="00DD7D4E">
        <w:rPr>
          <w:b/>
          <w:bCs/>
          <w:lang w:val="fr-FR"/>
        </w:rPr>
        <w:lastRenderedPageBreak/>
        <w:t xml:space="preserve">P 30   </w:t>
      </w:r>
      <w:r w:rsidR="00BC3FDF" w:rsidRPr="00DD7D4E">
        <w:rPr>
          <w:rFonts w:cs="Arial"/>
          <w:b/>
          <w:bCs/>
          <w:lang w:val="fr-FR"/>
        </w:rPr>
        <w:t>ADD</w:t>
      </w:r>
      <w:r w:rsidR="00BC3FDF" w:rsidRPr="00DD7D4E">
        <w:rPr>
          <w:b/>
          <w:bCs/>
          <w:lang w:val="fr-FR"/>
        </w:rPr>
        <w:t xml:space="preserve"> </w:t>
      </w:r>
      <w:r w:rsidR="00BC3FDF">
        <w:rPr>
          <w:b/>
          <w:bCs/>
          <w:lang w:val="fr-FR"/>
        </w:rPr>
        <w:t xml:space="preserve">   </w:t>
      </w:r>
      <w:r w:rsidRPr="00DD7D4E">
        <w:rPr>
          <w:b/>
          <w:bCs/>
          <w:lang w:val="fr-FR"/>
        </w:rPr>
        <w:t xml:space="preserve">Soudan du Sud  </w:t>
      </w:r>
    </w:p>
    <w:p w:rsidR="00DD7D4E" w:rsidRPr="00DA5ED2" w:rsidRDefault="00DD7D4E" w:rsidP="00DD7D4E">
      <w:pPr>
        <w:ind w:right="-1"/>
        <w:rPr>
          <w:rFonts w:cs="Arial"/>
          <w:sz w:val="24"/>
          <w:szCs w:val="24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24"/>
        <w:gridCol w:w="2919"/>
        <w:gridCol w:w="3929"/>
      </w:tblGrid>
      <w:tr w:rsidR="00DD7D4E" w:rsidTr="00DD7D4E">
        <w:trPr>
          <w:tblHeader/>
          <w:jc w:val="center"/>
        </w:trPr>
        <w:tc>
          <w:tcPr>
            <w:tcW w:w="2480" w:type="dxa"/>
            <w:hideMark/>
          </w:tcPr>
          <w:p w:rsidR="00DD7D4E" w:rsidRDefault="00DD7D4E" w:rsidP="00DD7D4E">
            <w:pPr>
              <w:pStyle w:val="Tablehead0"/>
            </w:pPr>
            <w:r w:rsidRPr="00A86FE4">
              <w:t>Pays/zone géographique</w:t>
            </w:r>
          </w:p>
        </w:tc>
        <w:tc>
          <w:tcPr>
            <w:tcW w:w="3260" w:type="dxa"/>
            <w:hideMark/>
          </w:tcPr>
          <w:p w:rsidR="00DD7D4E" w:rsidRDefault="00DD7D4E" w:rsidP="00B63EFC">
            <w:pPr>
              <w:pStyle w:val="Tablehead0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MCC + MNC*</w:t>
            </w:r>
          </w:p>
        </w:tc>
        <w:tc>
          <w:tcPr>
            <w:tcW w:w="4395" w:type="dxa"/>
          </w:tcPr>
          <w:p w:rsidR="00DD7D4E" w:rsidRDefault="00DD7D4E" w:rsidP="00DD7D4E">
            <w:pPr>
              <w:pStyle w:val="Tablehead0"/>
              <w:rPr>
                <w:rFonts w:cs="Arial"/>
                <w:b/>
              </w:rPr>
            </w:pPr>
            <w:r w:rsidRPr="00A86FE4">
              <w:rPr>
                <w:iCs/>
              </w:rPr>
              <w:t>Nom de Réseau/Opérateur</w:t>
            </w:r>
          </w:p>
        </w:tc>
      </w:tr>
      <w:tr w:rsidR="00DD7D4E" w:rsidTr="00DD7D4E">
        <w:trPr>
          <w:trHeight w:val="567"/>
          <w:tblHeader/>
          <w:jc w:val="center"/>
        </w:trPr>
        <w:tc>
          <w:tcPr>
            <w:tcW w:w="2480" w:type="dxa"/>
            <w:hideMark/>
          </w:tcPr>
          <w:p w:rsidR="00DD7D4E" w:rsidRDefault="00DD7D4E" w:rsidP="00DD7D4E">
            <w:pPr>
              <w:pStyle w:val="Tabletext0"/>
            </w:pPr>
            <w:r>
              <w:t>Soudan du Sud</w:t>
            </w:r>
          </w:p>
        </w:tc>
        <w:tc>
          <w:tcPr>
            <w:tcW w:w="3260" w:type="dxa"/>
            <w:hideMark/>
          </w:tcPr>
          <w:p w:rsidR="00DD7D4E" w:rsidRDefault="00DD7D4E" w:rsidP="00B63EFC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659 92</w:t>
            </w:r>
          </w:p>
          <w:p w:rsidR="00DD7D4E" w:rsidRDefault="00DD7D4E" w:rsidP="00B63EFC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659 91</w:t>
            </w:r>
          </w:p>
          <w:p w:rsidR="00DD7D4E" w:rsidRDefault="00DD7D4E" w:rsidP="00B63EFC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659 12</w:t>
            </w:r>
          </w:p>
          <w:p w:rsidR="00DD7D4E" w:rsidRDefault="00DD7D4E" w:rsidP="00B63EFC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659 97</w:t>
            </w:r>
          </w:p>
          <w:p w:rsidR="00DD7D4E" w:rsidRDefault="00DD7D4E" w:rsidP="00B63EFC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659 95</w:t>
            </w:r>
          </w:p>
        </w:tc>
        <w:tc>
          <w:tcPr>
            <w:tcW w:w="4395" w:type="dxa"/>
            <w:hideMark/>
          </w:tcPr>
          <w:p w:rsidR="00DD7D4E" w:rsidRPr="00E218A9" w:rsidRDefault="00DD7D4E" w:rsidP="00DD7D4E">
            <w:pPr>
              <w:pStyle w:val="Tabletext0"/>
              <w:rPr>
                <w:rFonts w:asciiTheme="minorHAnsi" w:hAnsiTheme="minorHAnsi" w:cstheme="minorHAnsi"/>
                <w:lang w:val="en-GB"/>
              </w:rPr>
            </w:pPr>
            <w:r w:rsidRPr="00E218A9">
              <w:rPr>
                <w:szCs w:val="18"/>
                <w:lang w:val="en-GB"/>
              </w:rPr>
              <w:t>MTN-</w:t>
            </w:r>
            <w:r w:rsidRPr="00E218A9">
              <w:rPr>
                <w:lang w:val="en-GB"/>
              </w:rPr>
              <w:t>South Sudan</w:t>
            </w:r>
          </w:p>
          <w:p w:rsidR="00DD7D4E" w:rsidRPr="00E218A9" w:rsidRDefault="00DD7D4E" w:rsidP="00DD7D4E">
            <w:pPr>
              <w:pStyle w:val="Tabletext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218A9">
              <w:rPr>
                <w:rFonts w:asciiTheme="minorHAnsi" w:hAnsiTheme="minorHAnsi" w:cstheme="minorHAnsi"/>
                <w:lang w:val="en-GB"/>
              </w:rPr>
              <w:t>Zain</w:t>
            </w:r>
            <w:proofErr w:type="spellEnd"/>
            <w:r w:rsidRPr="00E218A9">
              <w:rPr>
                <w:rFonts w:asciiTheme="minorHAnsi" w:hAnsiTheme="minorHAnsi" w:cstheme="minorHAnsi"/>
                <w:lang w:val="en-GB"/>
              </w:rPr>
              <w:t>-South Sudan</w:t>
            </w:r>
          </w:p>
          <w:p w:rsidR="00DD7D4E" w:rsidRDefault="00DD7D4E" w:rsidP="00DD7D4E">
            <w:pPr>
              <w:pStyle w:val="Tabletext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Sudani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Sudatel</w:t>
            </w:r>
            <w:proofErr w:type="spellEnd"/>
          </w:p>
          <w:p w:rsidR="00DD7D4E" w:rsidRDefault="00DD7D4E" w:rsidP="00DD7D4E">
            <w:pPr>
              <w:pStyle w:val="Tabletext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Gemtel</w:t>
            </w:r>
            <w:proofErr w:type="spellEnd"/>
          </w:p>
          <w:p w:rsidR="00DD7D4E" w:rsidRDefault="00DD7D4E" w:rsidP="00DD7D4E">
            <w:pPr>
              <w:pStyle w:val="Tabletext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Vivacel</w:t>
            </w:r>
            <w:proofErr w:type="spellEnd"/>
            <w:r>
              <w:rPr>
                <w:rFonts w:cs="Arial"/>
              </w:rPr>
              <w:t>/NOW</w:t>
            </w:r>
          </w:p>
        </w:tc>
      </w:tr>
    </w:tbl>
    <w:p w:rsidR="00C940BA" w:rsidRPr="00C940BA" w:rsidRDefault="00C940BA" w:rsidP="00C940BA">
      <w:pPr>
        <w:rPr>
          <w:lang w:val="en-US"/>
        </w:rPr>
      </w:pPr>
      <w:r w:rsidRPr="00C940BA">
        <w:rPr>
          <w:lang w:val="en-US"/>
        </w:rPr>
        <w:t>______________</w:t>
      </w:r>
    </w:p>
    <w:p w:rsidR="00C940BA" w:rsidRPr="00C940BA" w:rsidRDefault="00C940BA" w:rsidP="00C940BA">
      <w:pPr>
        <w:tabs>
          <w:tab w:val="clear" w:pos="567"/>
          <w:tab w:val="left" w:pos="284"/>
        </w:tabs>
        <w:rPr>
          <w:sz w:val="16"/>
          <w:szCs w:val="16"/>
          <w:lang w:val="en-US"/>
        </w:rPr>
      </w:pPr>
      <w:r w:rsidRPr="00C940BA">
        <w:rPr>
          <w:sz w:val="16"/>
          <w:szCs w:val="16"/>
          <w:lang w:val="en-US"/>
        </w:rPr>
        <w:t>*</w:t>
      </w:r>
      <w:r w:rsidRPr="00C940BA">
        <w:rPr>
          <w:sz w:val="16"/>
          <w:szCs w:val="16"/>
          <w:lang w:val="en-US"/>
        </w:rPr>
        <w:tab/>
        <w:t>MCC</w:t>
      </w:r>
      <w:r w:rsidR="00BE48E3">
        <w:rPr>
          <w:sz w:val="16"/>
          <w:szCs w:val="16"/>
          <w:lang w:val="en-US"/>
        </w:rPr>
        <w:t>:</w:t>
      </w:r>
      <w:r w:rsidRPr="00C940BA">
        <w:rPr>
          <w:sz w:val="16"/>
          <w:szCs w:val="16"/>
          <w:lang w:val="en-US"/>
        </w:rPr>
        <w:t xml:space="preserve"> Mobile Country Code / </w:t>
      </w:r>
      <w:proofErr w:type="spellStart"/>
      <w:r w:rsidRPr="00C940BA">
        <w:rPr>
          <w:sz w:val="16"/>
          <w:szCs w:val="16"/>
          <w:lang w:val="en-US"/>
        </w:rPr>
        <w:t>Indicatif</w:t>
      </w:r>
      <w:proofErr w:type="spellEnd"/>
      <w:r w:rsidRPr="00C940BA">
        <w:rPr>
          <w:sz w:val="16"/>
          <w:szCs w:val="16"/>
          <w:lang w:val="en-US"/>
        </w:rPr>
        <w:t xml:space="preserve"> de pays du mobile / </w:t>
      </w:r>
      <w:proofErr w:type="spellStart"/>
      <w:r w:rsidRPr="00C940BA">
        <w:rPr>
          <w:sz w:val="16"/>
          <w:szCs w:val="16"/>
          <w:lang w:val="en-US"/>
        </w:rPr>
        <w:t>Indicativo</w:t>
      </w:r>
      <w:proofErr w:type="spellEnd"/>
      <w:r w:rsidRPr="00C940BA">
        <w:rPr>
          <w:sz w:val="16"/>
          <w:szCs w:val="16"/>
          <w:lang w:val="en-US"/>
        </w:rPr>
        <w:t xml:space="preserve"> de </w:t>
      </w:r>
      <w:proofErr w:type="spellStart"/>
      <w:r w:rsidRPr="00C940BA">
        <w:rPr>
          <w:sz w:val="16"/>
          <w:szCs w:val="16"/>
          <w:lang w:val="en-US"/>
        </w:rPr>
        <w:t>país</w:t>
      </w:r>
      <w:proofErr w:type="spellEnd"/>
      <w:r w:rsidRPr="00C940BA">
        <w:rPr>
          <w:sz w:val="16"/>
          <w:szCs w:val="16"/>
          <w:lang w:val="en-US"/>
        </w:rPr>
        <w:t xml:space="preserve"> </w:t>
      </w:r>
      <w:proofErr w:type="spellStart"/>
      <w:r w:rsidRPr="00C940BA">
        <w:rPr>
          <w:sz w:val="16"/>
          <w:szCs w:val="16"/>
          <w:lang w:val="en-US"/>
        </w:rPr>
        <w:t>para</w:t>
      </w:r>
      <w:proofErr w:type="spellEnd"/>
      <w:r w:rsidRPr="00C940BA">
        <w:rPr>
          <w:sz w:val="16"/>
          <w:szCs w:val="16"/>
          <w:lang w:val="en-US"/>
        </w:rPr>
        <w:t xml:space="preserve"> el </w:t>
      </w:r>
      <w:proofErr w:type="spellStart"/>
      <w:r w:rsidRPr="00C940BA">
        <w:rPr>
          <w:sz w:val="16"/>
          <w:szCs w:val="16"/>
          <w:lang w:val="en-US"/>
        </w:rPr>
        <w:t>servicio</w:t>
      </w:r>
      <w:proofErr w:type="spellEnd"/>
      <w:r w:rsidRPr="00C940BA">
        <w:rPr>
          <w:sz w:val="16"/>
          <w:szCs w:val="16"/>
          <w:lang w:val="en-US"/>
        </w:rPr>
        <w:t xml:space="preserve"> </w:t>
      </w:r>
      <w:proofErr w:type="spellStart"/>
      <w:r w:rsidRPr="00C940BA">
        <w:rPr>
          <w:sz w:val="16"/>
          <w:szCs w:val="16"/>
          <w:lang w:val="en-US"/>
        </w:rPr>
        <w:t>móvil</w:t>
      </w:r>
      <w:proofErr w:type="spellEnd"/>
    </w:p>
    <w:p w:rsidR="00C940BA" w:rsidRPr="00C940BA" w:rsidRDefault="00C940BA" w:rsidP="00C940BA">
      <w:pPr>
        <w:tabs>
          <w:tab w:val="clear" w:pos="567"/>
          <w:tab w:val="left" w:pos="284"/>
        </w:tabs>
        <w:spacing w:before="0"/>
        <w:rPr>
          <w:sz w:val="16"/>
          <w:szCs w:val="16"/>
          <w:lang w:val="en-US"/>
        </w:rPr>
      </w:pPr>
      <w:r w:rsidRPr="00C940BA">
        <w:rPr>
          <w:sz w:val="16"/>
          <w:szCs w:val="16"/>
          <w:lang w:val="en-US"/>
        </w:rPr>
        <w:tab/>
        <w:t>MNC</w:t>
      </w:r>
      <w:r w:rsidR="00BE48E3">
        <w:rPr>
          <w:sz w:val="16"/>
          <w:szCs w:val="16"/>
          <w:lang w:val="en-US"/>
        </w:rPr>
        <w:t>:</w:t>
      </w:r>
      <w:r w:rsidRPr="00C940BA">
        <w:rPr>
          <w:sz w:val="16"/>
          <w:szCs w:val="16"/>
          <w:lang w:val="en-US"/>
        </w:rPr>
        <w:t xml:space="preserve"> Mobile Network Code / Code de </w:t>
      </w:r>
      <w:proofErr w:type="spellStart"/>
      <w:r w:rsidRPr="00C940BA">
        <w:rPr>
          <w:sz w:val="16"/>
          <w:szCs w:val="16"/>
          <w:lang w:val="en-US"/>
        </w:rPr>
        <w:t>réseau</w:t>
      </w:r>
      <w:proofErr w:type="spellEnd"/>
      <w:r w:rsidRPr="00C940BA">
        <w:rPr>
          <w:sz w:val="16"/>
          <w:szCs w:val="16"/>
          <w:lang w:val="en-US"/>
        </w:rPr>
        <w:t xml:space="preserve"> mobile / </w:t>
      </w:r>
      <w:proofErr w:type="spellStart"/>
      <w:r w:rsidRPr="00C940BA">
        <w:rPr>
          <w:sz w:val="16"/>
          <w:szCs w:val="16"/>
          <w:lang w:val="en-US"/>
        </w:rPr>
        <w:t>Indicativo</w:t>
      </w:r>
      <w:proofErr w:type="spellEnd"/>
      <w:r w:rsidRPr="00C940BA">
        <w:rPr>
          <w:sz w:val="16"/>
          <w:szCs w:val="16"/>
          <w:lang w:val="en-US"/>
        </w:rPr>
        <w:t xml:space="preserve"> de red </w:t>
      </w:r>
      <w:proofErr w:type="spellStart"/>
      <w:r w:rsidRPr="00C940BA">
        <w:rPr>
          <w:sz w:val="16"/>
          <w:szCs w:val="16"/>
          <w:lang w:val="en-US"/>
        </w:rPr>
        <w:t>para</w:t>
      </w:r>
      <w:proofErr w:type="spellEnd"/>
      <w:r w:rsidRPr="00C940BA">
        <w:rPr>
          <w:sz w:val="16"/>
          <w:szCs w:val="16"/>
          <w:lang w:val="en-US"/>
        </w:rPr>
        <w:t xml:space="preserve"> el </w:t>
      </w:r>
      <w:proofErr w:type="spellStart"/>
      <w:r w:rsidRPr="00C940BA">
        <w:rPr>
          <w:sz w:val="16"/>
          <w:szCs w:val="16"/>
          <w:lang w:val="en-US"/>
        </w:rPr>
        <w:t>servicio</w:t>
      </w:r>
      <w:proofErr w:type="spellEnd"/>
      <w:r w:rsidRPr="00C940BA">
        <w:rPr>
          <w:sz w:val="16"/>
          <w:szCs w:val="16"/>
          <w:lang w:val="en-US"/>
        </w:rPr>
        <w:t xml:space="preserve"> </w:t>
      </w:r>
      <w:proofErr w:type="spellStart"/>
      <w:r w:rsidRPr="00C940BA">
        <w:rPr>
          <w:sz w:val="16"/>
          <w:szCs w:val="16"/>
          <w:lang w:val="en-US"/>
        </w:rPr>
        <w:t>móvil</w:t>
      </w:r>
      <w:proofErr w:type="spellEnd"/>
    </w:p>
    <w:p w:rsidR="00C940BA" w:rsidRDefault="00C940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72706F" w:rsidRDefault="007270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72706F" w:rsidRDefault="007270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754284" w:rsidRPr="00C940BA" w:rsidRDefault="00754284" w:rsidP="00C940BA">
      <w:pPr>
        <w:spacing w:before="0"/>
        <w:rPr>
          <w:sz w:val="6"/>
          <w:lang w:val="en-US"/>
        </w:rPr>
      </w:pPr>
    </w:p>
    <w:p w:rsidR="00E37702" w:rsidRDefault="00E37702" w:rsidP="00E37702">
      <w:pPr>
        <w:pStyle w:val="Heading20"/>
        <w:spacing w:before="240"/>
      </w:pPr>
      <w:bookmarkStart w:id="445" w:name="_Toc303343176"/>
      <w:bookmarkStart w:id="446" w:name="_Toc313963507"/>
      <w:r>
        <w:rPr>
          <w:lang w:val="fr-CH"/>
        </w:rPr>
        <w:t>Liste des codes de transporteur de l’UIT</w:t>
      </w:r>
      <w:r>
        <w:rPr>
          <w:lang w:val="fr-CH"/>
        </w:rPr>
        <w:br/>
        <w:t>(Selon la Recommandation UIT-T M.1400 (07/2006))</w:t>
      </w:r>
      <w:bookmarkEnd w:id="445"/>
      <w:r>
        <w:rPr>
          <w:lang w:val="fr-CH"/>
        </w:rPr>
        <w:br/>
        <w:t>(Situation au 1</w:t>
      </w:r>
      <w:r w:rsidR="00347550" w:rsidRPr="00347550">
        <w:rPr>
          <w:vertAlign w:val="superscript"/>
          <w:lang w:val="fr-CH"/>
        </w:rPr>
        <w:t>er</w:t>
      </w:r>
      <w:r>
        <w:rPr>
          <w:lang w:val="fr-CH"/>
        </w:rPr>
        <w:t xml:space="preserve"> juin 2011)</w:t>
      </w:r>
      <w:bookmarkEnd w:id="446"/>
    </w:p>
    <w:p w:rsidR="005203F4" w:rsidRDefault="005203F4" w:rsidP="005203F4">
      <w:pPr>
        <w:keepNext/>
        <w:tabs>
          <w:tab w:val="right" w:pos="1021"/>
          <w:tab w:val="left" w:pos="1701"/>
          <w:tab w:val="left" w:pos="2268"/>
        </w:tabs>
        <w:spacing w:before="360"/>
        <w:jc w:val="center"/>
        <w:rPr>
          <w:lang w:val="fr-CH"/>
        </w:rPr>
      </w:pPr>
      <w:bookmarkStart w:id="447" w:name="_Toc313963508"/>
      <w:r>
        <w:rPr>
          <w:lang w:val="fr-CH"/>
        </w:rPr>
        <w:t>(Annexe au Bulletin d'exploitation de l'UIT N° 981 – 1.V.2011)</w:t>
      </w:r>
      <w:r>
        <w:rPr>
          <w:lang w:val="fr-CH"/>
        </w:rPr>
        <w:br/>
        <w:t>(Amendement N° 6)</w:t>
      </w:r>
    </w:p>
    <w:p w:rsidR="005203F4" w:rsidRDefault="005203F4" w:rsidP="005203F4">
      <w:pPr>
        <w:rPr>
          <w:lang w:val="fr-CH"/>
        </w:rPr>
      </w:pPr>
    </w:p>
    <w:p w:rsidR="005203F4" w:rsidRDefault="005203F4" w:rsidP="005203F4">
      <w:pPr>
        <w:rPr>
          <w:lang w:val="fr-CH"/>
        </w:rPr>
      </w:pPr>
    </w:p>
    <w:tbl>
      <w:tblPr>
        <w:tblW w:w="5000" w:type="pct"/>
        <w:jc w:val="center"/>
        <w:tblLayout w:type="fixed"/>
        <w:tblLook w:val="04A0"/>
      </w:tblPr>
      <w:tblGrid>
        <w:gridCol w:w="3789"/>
        <w:gridCol w:w="2268"/>
        <w:gridCol w:w="3224"/>
      </w:tblGrid>
      <w:tr w:rsidR="00E145AB" w:rsidRPr="00B63EFC" w:rsidTr="005203F4">
        <w:trPr>
          <w:tblHeader/>
          <w:jc w:val="center"/>
        </w:trPr>
        <w:tc>
          <w:tcPr>
            <w:tcW w:w="3789" w:type="dxa"/>
            <w:vMerge w:val="restart"/>
            <w:hideMark/>
          </w:tcPr>
          <w:p w:rsidR="00E145AB" w:rsidRPr="00B63EFC" w:rsidRDefault="00E145AB" w:rsidP="00E145AB">
            <w:pPr>
              <w:spacing w:line="276" w:lineRule="auto"/>
              <w:jc w:val="left"/>
              <w:rPr>
                <w:rFonts w:cs="Calibri"/>
                <w:b/>
                <w:i/>
                <w:iCs/>
                <w:lang w:val="fr-CH"/>
              </w:rPr>
            </w:pPr>
            <w:r w:rsidRPr="00B63EFC">
              <w:rPr>
                <w:rFonts w:cs="Calibri"/>
                <w:b/>
                <w:i/>
                <w:iCs/>
                <w:lang w:val="fr-CH"/>
              </w:rPr>
              <w:t>Pays ou zone/code ISO</w:t>
            </w:r>
            <w:r>
              <w:rPr>
                <w:rFonts w:cs="Calibri"/>
                <w:b/>
                <w:i/>
                <w:iCs/>
                <w:lang w:val="fr-CH"/>
              </w:rPr>
              <w:br/>
            </w:r>
            <w:r w:rsidRPr="00B63EFC">
              <w:rPr>
                <w:rFonts w:cs="Calibri"/>
                <w:b/>
                <w:i/>
                <w:iCs/>
                <w:lang w:val="fr-CH"/>
              </w:rPr>
              <w:t>Nom de la société/Adresse</w:t>
            </w:r>
          </w:p>
        </w:tc>
        <w:tc>
          <w:tcPr>
            <w:tcW w:w="2268" w:type="dxa"/>
            <w:hideMark/>
          </w:tcPr>
          <w:p w:rsidR="00E145AB" w:rsidRPr="00B63EFC" w:rsidRDefault="00E145AB" w:rsidP="00131AEA">
            <w:pPr>
              <w:spacing w:line="276" w:lineRule="auto"/>
              <w:jc w:val="center"/>
              <w:rPr>
                <w:rFonts w:cs="Calibri"/>
                <w:b/>
                <w:i/>
                <w:iCs/>
              </w:rPr>
            </w:pPr>
            <w:r w:rsidRPr="00B63EFC">
              <w:rPr>
                <w:rFonts w:cs="Calibri"/>
                <w:b/>
                <w:i/>
                <w:iCs/>
              </w:rPr>
              <w:t xml:space="preserve">Code de la </w:t>
            </w:r>
            <w:proofErr w:type="spellStart"/>
            <w:r w:rsidRPr="00B63EFC">
              <w:rPr>
                <w:rFonts w:cs="Calibri"/>
                <w:b/>
                <w:i/>
                <w:iCs/>
              </w:rPr>
              <w:t>Société</w:t>
            </w:r>
            <w:proofErr w:type="spellEnd"/>
          </w:p>
        </w:tc>
        <w:tc>
          <w:tcPr>
            <w:tcW w:w="3224" w:type="dxa"/>
            <w:hideMark/>
          </w:tcPr>
          <w:p w:rsidR="00E145AB" w:rsidRPr="00B63EFC" w:rsidRDefault="00E145AB" w:rsidP="00131AEA">
            <w:pPr>
              <w:spacing w:line="276" w:lineRule="auto"/>
              <w:rPr>
                <w:rFonts w:cs="Calibri"/>
                <w:b/>
                <w:i/>
                <w:iCs/>
              </w:rPr>
            </w:pPr>
            <w:r w:rsidRPr="00B63EFC">
              <w:rPr>
                <w:rFonts w:cs="Calibri"/>
                <w:b/>
                <w:i/>
                <w:iCs/>
              </w:rPr>
              <w:t>Contact</w:t>
            </w:r>
          </w:p>
        </w:tc>
      </w:tr>
      <w:tr w:rsidR="00E145AB" w:rsidRPr="00B63EFC" w:rsidTr="00131AEA">
        <w:trPr>
          <w:tblHeader/>
          <w:jc w:val="center"/>
        </w:trPr>
        <w:tc>
          <w:tcPr>
            <w:tcW w:w="3789" w:type="dxa"/>
            <w:vMerge/>
            <w:tcBorders>
              <w:bottom w:val="single" w:sz="4" w:space="0" w:color="auto"/>
            </w:tcBorders>
            <w:hideMark/>
          </w:tcPr>
          <w:p w:rsidR="00E145AB" w:rsidRPr="00B63EFC" w:rsidRDefault="00E145AB" w:rsidP="00131AEA">
            <w:pPr>
              <w:spacing w:line="276" w:lineRule="auto"/>
              <w:rPr>
                <w:rFonts w:cs="Calibri"/>
                <w:b/>
                <w:i/>
                <w:iCs/>
                <w:lang w:val="fr-CH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E145AB" w:rsidRPr="00B63EFC" w:rsidRDefault="00E145AB" w:rsidP="00131AEA">
            <w:pPr>
              <w:spacing w:line="276" w:lineRule="auto"/>
              <w:jc w:val="center"/>
              <w:rPr>
                <w:rFonts w:cs="Calibri"/>
                <w:b/>
                <w:i/>
                <w:iCs/>
                <w:lang w:val="fr-CH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AB" w:rsidRPr="00B63EFC" w:rsidRDefault="00E145AB" w:rsidP="00131AEA">
            <w:pPr>
              <w:spacing w:line="276" w:lineRule="auto"/>
              <w:rPr>
                <w:rFonts w:cs="Calibri"/>
                <w:b/>
                <w:i/>
                <w:iCs/>
                <w:lang w:val="fr-CH"/>
              </w:rPr>
            </w:pPr>
          </w:p>
        </w:tc>
      </w:tr>
    </w:tbl>
    <w:p w:rsidR="005203F4" w:rsidRPr="00B63EFC" w:rsidRDefault="005203F4" w:rsidP="005203F4">
      <w:pPr>
        <w:rPr>
          <w:rFonts w:cs="Calibri"/>
          <w:color w:val="000000"/>
        </w:rPr>
      </w:pPr>
      <w:r w:rsidRPr="00B63EFC">
        <w:rPr>
          <w:rFonts w:cs="Arial"/>
          <w:b/>
          <w:bCs/>
          <w:i/>
          <w:iCs/>
          <w:color w:val="000000"/>
        </w:rPr>
        <w:t xml:space="preserve">P </w:t>
      </w:r>
      <w:r w:rsidR="00B63EFC" w:rsidRPr="00B63EFC">
        <w:rPr>
          <w:rFonts w:cs="Arial"/>
          <w:b/>
          <w:bCs/>
          <w:i/>
          <w:iCs/>
          <w:color w:val="000000"/>
        </w:rPr>
        <w:t xml:space="preserve">19     </w:t>
      </w:r>
      <w:proofErr w:type="spellStart"/>
      <w:r w:rsidRPr="00B63EFC">
        <w:rPr>
          <w:rFonts w:cs="Arial"/>
          <w:b/>
          <w:bCs/>
          <w:i/>
          <w:iCs/>
          <w:color w:val="000000"/>
        </w:rPr>
        <w:t>Danemark</w:t>
      </w:r>
      <w:proofErr w:type="spellEnd"/>
      <w:r w:rsidRPr="00B63EFC">
        <w:rPr>
          <w:rFonts w:cs="Arial"/>
          <w:b/>
          <w:bCs/>
          <w:i/>
          <w:iCs/>
          <w:color w:val="000000"/>
        </w:rPr>
        <w:t xml:space="preserve"> / DNK</w:t>
      </w:r>
    </w:p>
    <w:tbl>
      <w:tblPr>
        <w:tblW w:w="9322" w:type="dxa"/>
        <w:tblLayout w:type="fixed"/>
        <w:tblLook w:val="04A0"/>
      </w:tblPr>
      <w:tblGrid>
        <w:gridCol w:w="4219"/>
        <w:gridCol w:w="1843"/>
        <w:gridCol w:w="3260"/>
      </w:tblGrid>
      <w:tr w:rsidR="005203F4" w:rsidRPr="00B63EFC" w:rsidTr="007F2ED4">
        <w:trPr>
          <w:trHeight w:val="1472"/>
        </w:trPr>
        <w:tc>
          <w:tcPr>
            <w:tcW w:w="4219" w:type="dxa"/>
            <w:hideMark/>
          </w:tcPr>
          <w:p w:rsidR="005203F4" w:rsidRPr="00B63EFC" w:rsidRDefault="005203F4" w:rsidP="005203F4">
            <w:pPr>
              <w:widowControl w:val="0"/>
              <w:spacing w:before="282"/>
              <w:rPr>
                <w:b/>
                <w:bCs/>
                <w:color w:val="000000"/>
              </w:rPr>
            </w:pPr>
            <w:r w:rsidRPr="00B63EFC">
              <w:rPr>
                <w:color w:val="000000"/>
              </w:rPr>
              <w:t>TELENOR</w:t>
            </w:r>
            <w:r w:rsidRPr="00B63EFC">
              <w:br/>
            </w:r>
            <w:proofErr w:type="spellStart"/>
            <w:r w:rsidRPr="00B63EFC">
              <w:rPr>
                <w:color w:val="000000"/>
              </w:rPr>
              <w:t>Fredrikskaj</w:t>
            </w:r>
            <w:proofErr w:type="spellEnd"/>
            <w:r w:rsidRPr="00B63EFC">
              <w:rPr>
                <w:color w:val="000000"/>
              </w:rPr>
              <w:br/>
              <w:t>DK-1780 KOEBENHAVN</w:t>
            </w:r>
          </w:p>
        </w:tc>
        <w:tc>
          <w:tcPr>
            <w:tcW w:w="1843" w:type="dxa"/>
            <w:hideMark/>
          </w:tcPr>
          <w:p w:rsidR="005203F4" w:rsidRPr="00B63EFC" w:rsidRDefault="005203F4" w:rsidP="00131AEA">
            <w:pPr>
              <w:widowControl w:val="0"/>
              <w:spacing w:before="282"/>
              <w:jc w:val="center"/>
              <w:rPr>
                <w:b/>
                <w:bCs/>
                <w:color w:val="000000"/>
              </w:rPr>
            </w:pPr>
            <w:r w:rsidRPr="00B63EFC">
              <w:rPr>
                <w:color w:val="000000"/>
              </w:rPr>
              <w:t>SONO</w:t>
            </w:r>
          </w:p>
        </w:tc>
        <w:tc>
          <w:tcPr>
            <w:tcW w:w="3260" w:type="dxa"/>
            <w:hideMark/>
          </w:tcPr>
          <w:p w:rsidR="005203F4" w:rsidRPr="00B63EFC" w:rsidRDefault="005203F4" w:rsidP="005203F4">
            <w:pPr>
              <w:widowControl w:val="0"/>
              <w:spacing w:before="282"/>
              <w:jc w:val="left"/>
              <w:rPr>
                <w:color w:val="000000"/>
              </w:rPr>
            </w:pPr>
            <w:r w:rsidRPr="00B63EFC">
              <w:rPr>
                <w:color w:val="000000"/>
              </w:rPr>
              <w:t>Steen Th. Pedersen</w:t>
            </w:r>
            <w:r w:rsidRPr="00B63EFC">
              <w:rPr>
                <w:color w:val="000000"/>
              </w:rPr>
              <w:br/>
            </w:r>
            <w:proofErr w:type="spellStart"/>
            <w:r w:rsidR="002E1365">
              <w:rPr>
                <w:color w:val="000000"/>
              </w:rPr>
              <w:t>Tél</w:t>
            </w:r>
            <w:proofErr w:type="spellEnd"/>
            <w:r w:rsidR="002E1365">
              <w:rPr>
                <w:color w:val="000000"/>
              </w:rPr>
              <w:t>:</w:t>
            </w:r>
            <w:r w:rsidRPr="00B63EFC">
              <w:tab/>
            </w:r>
            <w:r w:rsidRPr="00B63EFC">
              <w:rPr>
                <w:color w:val="000000"/>
              </w:rPr>
              <w:t>+45 7212 7205</w:t>
            </w:r>
            <w:r w:rsidRPr="00B63EFC">
              <w:rPr>
                <w:color w:val="000000"/>
              </w:rPr>
              <w:br/>
              <w:t>Fax:</w:t>
            </w:r>
            <w:r w:rsidRPr="00B63EFC">
              <w:tab/>
            </w:r>
            <w:r w:rsidRPr="00B63EFC">
              <w:rPr>
                <w:color w:val="000000"/>
              </w:rPr>
              <w:t>+45 7212 7224</w:t>
            </w:r>
            <w:r w:rsidRPr="00B63EFC">
              <w:rPr>
                <w:color w:val="000000"/>
              </w:rPr>
              <w:br/>
              <w:t>E-mail:</w:t>
            </w:r>
            <w:r w:rsidRPr="00B63EFC">
              <w:tab/>
            </w:r>
            <w:r w:rsidRPr="00B63EFC">
              <w:rPr>
                <w:color w:val="000000"/>
              </w:rPr>
              <w:t>stp@dmt.sonofon.dk</w:t>
            </w:r>
          </w:p>
        </w:tc>
      </w:tr>
    </w:tbl>
    <w:p w:rsidR="005203F4" w:rsidRPr="00B63EFC" w:rsidRDefault="005203F4" w:rsidP="005203F4">
      <w:pPr>
        <w:rPr>
          <w:rFonts w:cs="Calibri"/>
          <w:color w:val="000000"/>
        </w:rPr>
      </w:pPr>
      <w:r w:rsidRPr="00B63EFC">
        <w:rPr>
          <w:rFonts w:eastAsia="SimSun" w:cs="Arial"/>
          <w:b/>
          <w:bCs/>
          <w:i/>
          <w:iCs/>
          <w:color w:val="000000"/>
          <w:lang w:val="fr-FR"/>
        </w:rPr>
        <w:t>P 73</w:t>
      </w:r>
      <w:r w:rsidR="00B63EFC" w:rsidRPr="00B63EFC">
        <w:rPr>
          <w:rFonts w:eastAsia="SimSun" w:cs="Arial"/>
          <w:b/>
          <w:bCs/>
          <w:i/>
          <w:iCs/>
          <w:color w:val="000000"/>
          <w:lang w:val="fr-FR"/>
        </w:rPr>
        <w:t xml:space="preserve">     </w:t>
      </w:r>
      <w:r w:rsidRPr="00B63EFC">
        <w:rPr>
          <w:rFonts w:eastAsia="SimSun" w:cs="Arial"/>
          <w:b/>
          <w:bCs/>
          <w:i/>
          <w:iCs/>
          <w:color w:val="000000"/>
          <w:lang w:val="fr-FR"/>
        </w:rPr>
        <w:t xml:space="preserve"> </w:t>
      </w:r>
      <w:proofErr w:type="spellStart"/>
      <w:r w:rsidRPr="00B63EFC">
        <w:rPr>
          <w:rFonts w:eastAsia="SimSun" w:cs="Arial"/>
          <w:b/>
          <w:bCs/>
          <w:i/>
          <w:iCs/>
          <w:color w:val="000000"/>
        </w:rPr>
        <w:t>Roumanie</w:t>
      </w:r>
      <w:proofErr w:type="spellEnd"/>
      <w:r w:rsidRPr="00B63EFC">
        <w:rPr>
          <w:rFonts w:eastAsia="SimSun" w:cs="Arial"/>
          <w:b/>
          <w:bCs/>
          <w:i/>
          <w:iCs/>
          <w:color w:val="000000"/>
        </w:rPr>
        <w:t xml:space="preserve"> / ROM</w:t>
      </w:r>
    </w:p>
    <w:tbl>
      <w:tblPr>
        <w:tblW w:w="9322" w:type="dxa"/>
        <w:tblLayout w:type="fixed"/>
        <w:tblLook w:val="04A0"/>
      </w:tblPr>
      <w:tblGrid>
        <w:gridCol w:w="4218"/>
        <w:gridCol w:w="1843"/>
        <w:gridCol w:w="3261"/>
      </w:tblGrid>
      <w:tr w:rsidR="005203F4" w:rsidRPr="00B63EFC" w:rsidTr="007F2ED4">
        <w:trPr>
          <w:trHeight w:val="1423"/>
        </w:trPr>
        <w:tc>
          <w:tcPr>
            <w:tcW w:w="4218" w:type="dxa"/>
            <w:hideMark/>
          </w:tcPr>
          <w:p w:rsidR="005203F4" w:rsidRPr="00B63EFC" w:rsidRDefault="005203F4" w:rsidP="005203F4">
            <w:pPr>
              <w:widowControl w:val="0"/>
              <w:spacing w:before="282"/>
              <w:jc w:val="left"/>
              <w:rPr>
                <w:rFonts w:cs="Arial"/>
                <w:b/>
                <w:bCs/>
                <w:color w:val="000000"/>
              </w:rPr>
            </w:pPr>
            <w:r w:rsidRPr="00B63EFC">
              <w:rPr>
                <w:rFonts w:cs="Arial"/>
                <w:color w:val="000000"/>
              </w:rPr>
              <w:t>World Venture Group Telecom S.R.L</w:t>
            </w:r>
            <w:r w:rsidRPr="00B63EFC">
              <w:rPr>
                <w:rFonts w:cs="Arial"/>
                <w:color w:val="000000"/>
              </w:rPr>
              <w:br/>
            </w:r>
            <w:proofErr w:type="spellStart"/>
            <w:r w:rsidRPr="00B63EFC">
              <w:rPr>
                <w:rFonts w:cs="Arial"/>
                <w:color w:val="000000"/>
              </w:rPr>
              <w:t>Camil</w:t>
            </w:r>
            <w:proofErr w:type="spellEnd"/>
            <w:r w:rsidRPr="00B63EFC">
              <w:rPr>
                <w:rFonts w:cs="Arial"/>
                <w:color w:val="000000"/>
              </w:rPr>
              <w:t xml:space="preserve"> </w:t>
            </w:r>
            <w:proofErr w:type="spellStart"/>
            <w:r w:rsidRPr="00B63EFC">
              <w:rPr>
                <w:rFonts w:cs="Arial"/>
                <w:color w:val="000000"/>
              </w:rPr>
              <w:t>Ressu</w:t>
            </w:r>
            <w:proofErr w:type="spellEnd"/>
            <w:r w:rsidRPr="00B63EFC">
              <w:rPr>
                <w:rFonts w:cs="Arial"/>
                <w:color w:val="000000"/>
              </w:rPr>
              <w:t xml:space="preserve"> #13</w:t>
            </w:r>
            <w:r w:rsidRPr="00B63EFC">
              <w:rPr>
                <w:rFonts w:cs="Arial"/>
                <w:color w:val="000000"/>
              </w:rPr>
              <w:br/>
              <w:t>BL58B, SC.A#6,Bucharest</w:t>
            </w:r>
            <w:r w:rsidRPr="00B63EFC">
              <w:rPr>
                <w:rFonts w:cs="Arial"/>
                <w:color w:val="000000"/>
              </w:rPr>
              <w:br/>
            </w:r>
            <w:r w:rsidRPr="00B63EFC">
              <w:t>Romania</w:t>
            </w:r>
          </w:p>
        </w:tc>
        <w:tc>
          <w:tcPr>
            <w:tcW w:w="1843" w:type="dxa"/>
            <w:hideMark/>
          </w:tcPr>
          <w:p w:rsidR="005203F4" w:rsidRPr="00B63EFC" w:rsidRDefault="005203F4" w:rsidP="00131AEA">
            <w:pPr>
              <w:widowControl w:val="0"/>
              <w:spacing w:before="282"/>
              <w:jc w:val="center"/>
              <w:rPr>
                <w:rFonts w:cs="Arial"/>
                <w:b/>
                <w:bCs/>
                <w:color w:val="000000"/>
              </w:rPr>
            </w:pPr>
            <w:r w:rsidRPr="00B63EFC">
              <w:rPr>
                <w:rFonts w:cs="Arial"/>
                <w:color w:val="000000"/>
              </w:rPr>
              <w:t>WVGTEL</w:t>
            </w:r>
          </w:p>
        </w:tc>
        <w:tc>
          <w:tcPr>
            <w:tcW w:w="3261" w:type="dxa"/>
            <w:hideMark/>
          </w:tcPr>
          <w:p w:rsidR="005203F4" w:rsidRPr="00B63EFC" w:rsidRDefault="005203F4" w:rsidP="005203F4">
            <w:pPr>
              <w:widowControl w:val="0"/>
              <w:spacing w:before="282"/>
              <w:jc w:val="left"/>
              <w:rPr>
                <w:rFonts w:cs="Arial"/>
                <w:color w:val="000000"/>
              </w:rPr>
            </w:pPr>
            <w:r w:rsidRPr="00B63EFC">
              <w:rPr>
                <w:rFonts w:cs="Arial"/>
                <w:color w:val="000000"/>
              </w:rPr>
              <w:t xml:space="preserve">Mr </w:t>
            </w:r>
            <w:proofErr w:type="spellStart"/>
            <w:r w:rsidRPr="00B63EFC">
              <w:rPr>
                <w:rFonts w:cs="Arial"/>
                <w:color w:val="000000"/>
              </w:rPr>
              <w:t>Sathiyagiri</w:t>
            </w:r>
            <w:proofErr w:type="spellEnd"/>
            <w:r w:rsidRPr="00B63EFC">
              <w:rPr>
                <w:rFonts w:cs="Arial"/>
                <w:color w:val="000000"/>
              </w:rPr>
              <w:t xml:space="preserve"> </w:t>
            </w:r>
            <w:proofErr w:type="spellStart"/>
            <w:r w:rsidRPr="00B63EFC">
              <w:rPr>
                <w:rFonts w:cs="Arial"/>
                <w:color w:val="000000"/>
              </w:rPr>
              <w:t>Valliappan</w:t>
            </w:r>
            <w:proofErr w:type="spellEnd"/>
            <w:r w:rsidRPr="00B63EFC">
              <w:rPr>
                <w:rFonts w:cs="Arial"/>
                <w:color w:val="000000"/>
              </w:rPr>
              <w:br/>
            </w:r>
            <w:proofErr w:type="spellStart"/>
            <w:r w:rsidR="002E1365">
              <w:rPr>
                <w:rFonts w:cs="Arial"/>
                <w:color w:val="000000"/>
              </w:rPr>
              <w:t>Tél</w:t>
            </w:r>
            <w:proofErr w:type="spellEnd"/>
            <w:r w:rsidR="002E1365">
              <w:rPr>
                <w:rFonts w:cs="Arial"/>
                <w:color w:val="000000"/>
              </w:rPr>
              <w:t>:</w:t>
            </w:r>
            <w:r w:rsidRPr="00B63EFC">
              <w:tab/>
            </w:r>
            <w:r w:rsidRPr="00B63EFC">
              <w:rPr>
                <w:rFonts w:cs="Arial"/>
                <w:color w:val="000000"/>
              </w:rPr>
              <w:t>+40 31 780 0158</w:t>
            </w:r>
            <w:r w:rsidRPr="00B63EFC">
              <w:rPr>
                <w:rFonts w:cs="Arial"/>
                <w:color w:val="000000"/>
              </w:rPr>
              <w:br/>
              <w:t>Fax:</w:t>
            </w:r>
            <w:r w:rsidRPr="00B63EFC">
              <w:tab/>
            </w:r>
            <w:r w:rsidRPr="00B63EFC">
              <w:rPr>
                <w:rFonts w:cs="Arial"/>
                <w:color w:val="000000"/>
              </w:rPr>
              <w:t>+40 31 710 7343</w:t>
            </w:r>
            <w:r w:rsidRPr="00B63EFC">
              <w:rPr>
                <w:rFonts w:cs="Arial"/>
                <w:color w:val="000000"/>
              </w:rPr>
              <w:br/>
              <w:t>E-mail:</w:t>
            </w:r>
            <w:r w:rsidRPr="00B63EFC">
              <w:rPr>
                <w:rFonts w:cs="Arial"/>
                <w:color w:val="000000"/>
              </w:rPr>
              <w:tab/>
              <w:t>giri@wvg-tele.com</w:t>
            </w:r>
          </w:p>
        </w:tc>
      </w:tr>
    </w:tbl>
    <w:p w:rsidR="005203F4" w:rsidRPr="00E218A9" w:rsidRDefault="005203F4" w:rsidP="005203F4">
      <w:pPr>
        <w:rPr>
          <w:sz w:val="4"/>
        </w:rPr>
      </w:pPr>
    </w:p>
    <w:p w:rsidR="005203F4" w:rsidRPr="00E218A9" w:rsidRDefault="005203F4" w:rsidP="005203F4"/>
    <w:p w:rsidR="00A4522B" w:rsidRPr="00E218A9" w:rsidRDefault="00A4522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 w:rsidRPr="00E218A9">
        <w:br w:type="page"/>
      </w:r>
    </w:p>
    <w:p w:rsidR="00A4522B" w:rsidRPr="00542D9D" w:rsidRDefault="00A4522B" w:rsidP="00A4522B">
      <w:pPr>
        <w:pStyle w:val="Heading20"/>
      </w:pPr>
      <w:r w:rsidRPr="008149B6">
        <w:lastRenderedPageBreak/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mai 2011)</w:t>
      </w:r>
    </w:p>
    <w:p w:rsidR="00A4522B" w:rsidRPr="00BF01C9" w:rsidRDefault="00A4522B" w:rsidP="00A4522B">
      <w:pPr>
        <w:pStyle w:val="Heading70"/>
        <w:keepNext/>
        <w:rPr>
          <w:lang w:val="fr-FR"/>
        </w:rPr>
      </w:pPr>
      <w:r w:rsidRPr="00BF01C9">
        <w:rPr>
          <w:lang w:val="fr-FR"/>
        </w:rPr>
        <w:t>(Annexe au Bulletin d'exploitation de l'UIT No. 979 - 1.V.2011)</w:t>
      </w:r>
      <w:r w:rsidRPr="00BF01C9">
        <w:rPr>
          <w:lang w:val="fr-FR"/>
        </w:rPr>
        <w:br/>
        <w:t>(Amendement No. 18)</w:t>
      </w:r>
    </w:p>
    <w:p w:rsidR="00A4522B" w:rsidRPr="00BF01C9" w:rsidRDefault="00A4522B" w:rsidP="00A4522B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A4522B" w:rsidRPr="00B638EE" w:rsidTr="00131AEA">
        <w:trPr>
          <w:cantSplit/>
          <w:trHeight w:val="227"/>
        </w:trPr>
        <w:tc>
          <w:tcPr>
            <w:tcW w:w="1818" w:type="dxa"/>
            <w:gridSpan w:val="2"/>
          </w:tcPr>
          <w:p w:rsidR="00A4522B" w:rsidRDefault="00A4522B" w:rsidP="00131AEA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A4522B" w:rsidRPr="00870C6B" w:rsidRDefault="00A4522B" w:rsidP="00131AEA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4522B" w:rsidRPr="00870C6B" w:rsidRDefault="00A4522B" w:rsidP="00131AEA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A4522B" w:rsidRPr="00B62253" w:rsidTr="00131AEA">
        <w:trPr>
          <w:cantSplit/>
          <w:trHeight w:val="227"/>
        </w:trPr>
        <w:tc>
          <w:tcPr>
            <w:tcW w:w="909" w:type="dxa"/>
          </w:tcPr>
          <w:p w:rsidR="00A4522B" w:rsidRPr="00870C6B" w:rsidRDefault="00A4522B" w:rsidP="00131AEA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A4522B" w:rsidRDefault="00A4522B" w:rsidP="00131AEA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4522B" w:rsidRPr="00870C6B" w:rsidRDefault="00A4522B" w:rsidP="00131AEA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A4522B" w:rsidRPr="00870C6B" w:rsidRDefault="00A4522B" w:rsidP="00131AEA">
            <w:pPr>
              <w:pStyle w:val="Tablehead0"/>
              <w:jc w:val="left"/>
            </w:pPr>
          </w:p>
        </w:tc>
      </w:tr>
      <w:tr w:rsidR="00A4522B" w:rsidRPr="00A4522B" w:rsidTr="00131AE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4522B" w:rsidRPr="00A4522B" w:rsidRDefault="00B63EFC" w:rsidP="00131AEA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 4    </w:t>
            </w:r>
            <w:proofErr w:type="spellStart"/>
            <w:r w:rsidR="00A4522B" w:rsidRPr="00A4522B">
              <w:rPr>
                <w:b/>
                <w:bCs/>
              </w:rPr>
              <w:t>Allemagne</w:t>
            </w:r>
            <w:proofErr w:type="spellEnd"/>
            <w:r w:rsidR="00A4522B" w:rsidRPr="00A4522B">
              <w:rPr>
                <w:b/>
                <w:bCs/>
              </w:rPr>
              <w:t xml:space="preserve">    ADD</w:t>
            </w:r>
          </w:p>
        </w:tc>
      </w:tr>
      <w:tr w:rsidR="00A4522B" w:rsidRPr="00870C6B" w:rsidTr="00131AE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4522B" w:rsidRPr="00E7062C" w:rsidRDefault="00A4522B" w:rsidP="00131AEA">
            <w:pPr>
              <w:pStyle w:val="StyleTabletextLeft"/>
            </w:pPr>
            <w:r w:rsidRPr="00E7062C">
              <w:t>2-036-4</w:t>
            </w:r>
          </w:p>
        </w:tc>
        <w:tc>
          <w:tcPr>
            <w:tcW w:w="909" w:type="dxa"/>
            <w:shd w:val="clear" w:color="auto" w:fill="auto"/>
          </w:tcPr>
          <w:p w:rsidR="00A4522B" w:rsidRPr="00E7062C" w:rsidRDefault="00A4522B" w:rsidP="00131AEA">
            <w:pPr>
              <w:pStyle w:val="StyleTabletextLeft"/>
            </w:pPr>
            <w:r w:rsidRPr="00E7062C">
              <w:t>4388</w:t>
            </w:r>
          </w:p>
        </w:tc>
        <w:tc>
          <w:tcPr>
            <w:tcW w:w="2640" w:type="dxa"/>
            <w:shd w:val="clear" w:color="auto" w:fill="auto"/>
          </w:tcPr>
          <w:p w:rsidR="00A4522B" w:rsidRPr="00FF621E" w:rsidRDefault="00A4522B" w:rsidP="00131AEA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A4522B" w:rsidRPr="00FF621E" w:rsidRDefault="00A4522B" w:rsidP="00131AEA">
            <w:pPr>
              <w:pStyle w:val="StyleTabletextLeft"/>
            </w:pPr>
            <w:r w:rsidRPr="00FF621E">
              <w:t>Capital City Ltd</w:t>
            </w:r>
          </w:p>
        </w:tc>
      </w:tr>
      <w:tr w:rsidR="00A4522B" w:rsidRPr="00A4522B" w:rsidTr="00131AE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4522B" w:rsidRPr="00A4522B" w:rsidRDefault="00B63EFC" w:rsidP="00B63EFC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 63    </w:t>
            </w:r>
            <w:proofErr w:type="spellStart"/>
            <w:r w:rsidR="00A4522B" w:rsidRPr="00A4522B">
              <w:rPr>
                <w:b/>
                <w:bCs/>
              </w:rPr>
              <w:t>Hongrie</w:t>
            </w:r>
            <w:proofErr w:type="spellEnd"/>
            <w:r w:rsidR="00A4522B" w:rsidRPr="00A4522B">
              <w:rPr>
                <w:b/>
                <w:bCs/>
              </w:rPr>
              <w:t xml:space="preserve">    ADD</w:t>
            </w:r>
          </w:p>
        </w:tc>
      </w:tr>
      <w:tr w:rsidR="00A4522B" w:rsidRPr="00870C6B" w:rsidTr="00131AE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4522B" w:rsidRPr="00E7062C" w:rsidRDefault="00A4522B" w:rsidP="00131AEA">
            <w:pPr>
              <w:pStyle w:val="StyleTabletextLeft"/>
            </w:pPr>
            <w:r w:rsidRPr="00E7062C">
              <w:t>2-032-0</w:t>
            </w:r>
          </w:p>
        </w:tc>
        <w:tc>
          <w:tcPr>
            <w:tcW w:w="909" w:type="dxa"/>
            <w:shd w:val="clear" w:color="auto" w:fill="auto"/>
          </w:tcPr>
          <w:p w:rsidR="00A4522B" w:rsidRPr="00E7062C" w:rsidRDefault="00A4522B" w:rsidP="00131AEA">
            <w:pPr>
              <w:pStyle w:val="StyleTabletextLeft"/>
            </w:pPr>
            <w:r w:rsidRPr="00E7062C">
              <w:t>4352</w:t>
            </w:r>
          </w:p>
        </w:tc>
        <w:tc>
          <w:tcPr>
            <w:tcW w:w="2640" w:type="dxa"/>
            <w:shd w:val="clear" w:color="auto" w:fill="auto"/>
          </w:tcPr>
          <w:p w:rsidR="00A4522B" w:rsidRPr="00FF621E" w:rsidRDefault="00A4522B" w:rsidP="00131AEA">
            <w:pPr>
              <w:pStyle w:val="StyleTabletextLeft"/>
            </w:pPr>
            <w:proofErr w:type="spellStart"/>
            <w:r w:rsidRPr="00FF621E">
              <w:t>Pannon</w:t>
            </w:r>
            <w:proofErr w:type="spellEnd"/>
            <w:r w:rsidRPr="00FF621E">
              <w:t xml:space="preserve"> INT2</w:t>
            </w:r>
          </w:p>
        </w:tc>
        <w:tc>
          <w:tcPr>
            <w:tcW w:w="4009" w:type="dxa"/>
          </w:tcPr>
          <w:p w:rsidR="00A4522B" w:rsidRPr="00FF621E" w:rsidRDefault="00A4522B" w:rsidP="00131AEA">
            <w:pPr>
              <w:pStyle w:val="StyleTabletextLeft"/>
            </w:pPr>
            <w:proofErr w:type="spellStart"/>
            <w:r w:rsidRPr="00FF621E">
              <w:t>Telenor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Hungary</w:t>
            </w:r>
            <w:proofErr w:type="spellEnd"/>
            <w:r w:rsidRPr="00FF621E">
              <w:t xml:space="preserve"> Ltd</w:t>
            </w:r>
          </w:p>
        </w:tc>
      </w:tr>
    </w:tbl>
    <w:p w:rsidR="00A4522B" w:rsidRPr="00FF621E" w:rsidRDefault="00A4522B" w:rsidP="00A4522B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A4522B" w:rsidRDefault="00A4522B" w:rsidP="00A4522B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 xml:space="preserve">International </w:t>
      </w:r>
      <w:proofErr w:type="spellStart"/>
      <w:r w:rsidRPr="00FF621E">
        <w:rPr>
          <w:b w:val="0"/>
          <w:sz w:val="16"/>
          <w:szCs w:val="16"/>
        </w:rPr>
        <w:t>Signalling</w:t>
      </w:r>
      <w:proofErr w:type="spellEnd"/>
      <w:r w:rsidRPr="00FF621E">
        <w:rPr>
          <w:b w:val="0"/>
          <w:sz w:val="16"/>
          <w:szCs w:val="16"/>
        </w:rPr>
        <w:t xml:space="preserve"> Point Codes.</w:t>
      </w:r>
    </w:p>
    <w:p w:rsidR="00A4522B" w:rsidRDefault="00A4522B" w:rsidP="00A4522B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A4522B" w:rsidRPr="00756D3F" w:rsidRDefault="00A4522B" w:rsidP="00A4522B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A4522B" w:rsidRPr="00756D3F" w:rsidRDefault="00A4522B" w:rsidP="00A4522B">
      <w:pPr>
        <w:rPr>
          <w:lang w:val="es-ES"/>
        </w:rPr>
      </w:pPr>
    </w:p>
    <w:p w:rsidR="00A4522B" w:rsidRPr="00A4522B" w:rsidRDefault="00A4522B" w:rsidP="005203F4">
      <w:pPr>
        <w:rPr>
          <w:lang w:val="es-ES"/>
        </w:rPr>
      </w:pPr>
    </w:p>
    <w:bookmarkEnd w:id="447"/>
    <w:p w:rsidR="00C940BA" w:rsidRPr="00A4522B" w:rsidRDefault="00C940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</w:p>
    <w:p w:rsidR="00604058" w:rsidRPr="00604058" w:rsidRDefault="00604058" w:rsidP="00604058">
      <w:pPr>
        <w:pStyle w:val="Heading20"/>
        <w:spacing w:before="240"/>
        <w:rPr>
          <w:lang w:val="fr-CH"/>
        </w:rPr>
      </w:pPr>
      <w:bookmarkStart w:id="448" w:name="_Toc36874412"/>
      <w:bookmarkStart w:id="449" w:name="_Toc313963511"/>
      <w:r w:rsidRPr="00604058">
        <w:rPr>
          <w:lang w:val="fr-CH"/>
        </w:rPr>
        <w:t>Plan de nu</w:t>
      </w:r>
      <w:smartTag w:uri="urn:schemas-microsoft-com:office:smarttags" w:element="PersonName">
        <w:r w:rsidRPr="00604058">
          <w:rPr>
            <w:lang w:val="fr-CH"/>
          </w:rPr>
          <w:t>m</w:t>
        </w:r>
      </w:smartTag>
      <w:r w:rsidRPr="00604058">
        <w:rPr>
          <w:lang w:val="fr-CH"/>
        </w:rPr>
        <w:t>érotage national</w:t>
      </w:r>
      <w:r w:rsidRPr="00604058">
        <w:rPr>
          <w:lang w:val="fr-CH"/>
        </w:rPr>
        <w:br/>
        <w:t>(Selon la Reco</w:t>
      </w:r>
      <w:smartTag w:uri="urn:schemas-microsoft-com:office:smarttags" w:element="PersonName">
        <w:r w:rsidRPr="00604058">
          <w:rPr>
            <w:lang w:val="fr-CH"/>
          </w:rPr>
          <w:t>m</w:t>
        </w:r>
      </w:smartTag>
      <w:smartTag w:uri="urn:schemas-microsoft-com:office:smarttags" w:element="PersonName">
        <w:r w:rsidRPr="00604058">
          <w:rPr>
            <w:lang w:val="fr-CH"/>
          </w:rPr>
          <w:t>m</w:t>
        </w:r>
      </w:smartTag>
      <w:r w:rsidRPr="00604058">
        <w:rPr>
          <w:lang w:val="fr-CH"/>
        </w:rPr>
        <w:t>andation UIT-T E.129 (11/2009))</w:t>
      </w:r>
      <w:bookmarkEnd w:id="448"/>
      <w:bookmarkEnd w:id="449"/>
    </w:p>
    <w:p w:rsidR="00604058" w:rsidRPr="00E550A0" w:rsidRDefault="00604058" w:rsidP="00E550A0">
      <w:pPr>
        <w:jc w:val="center"/>
        <w:rPr>
          <w:rFonts w:asciiTheme="minorHAnsi" w:hAnsiTheme="minorHAnsi"/>
        </w:rPr>
      </w:pPr>
      <w:bookmarkStart w:id="450" w:name="_Toc36875244"/>
      <w:r w:rsidRPr="00E550A0">
        <w:rPr>
          <w:rFonts w:asciiTheme="minorHAnsi" w:hAnsiTheme="minorHAnsi"/>
        </w:rPr>
        <w:t>Web:</w:t>
      </w:r>
      <w:r w:rsidR="00C1563E" w:rsidRPr="00E550A0">
        <w:rPr>
          <w:rFonts w:asciiTheme="minorHAnsi" w:hAnsiTheme="minorHAnsi"/>
        </w:rPr>
        <w:t xml:space="preserve"> </w:t>
      </w:r>
      <w:hyperlink r:id="rId16" w:history="1">
        <w:r w:rsidRPr="00E550A0">
          <w:rPr>
            <w:rFonts w:asciiTheme="minorHAnsi" w:hAnsiTheme="minorHAnsi"/>
          </w:rPr>
          <w:t>www.itu.int/itu-t/inr/nnp/index.html</w:t>
        </w:r>
      </w:hyperlink>
    </w:p>
    <w:bookmarkEnd w:id="450"/>
    <w:p w:rsidR="00C1563E" w:rsidRPr="008C287A" w:rsidRDefault="00C1563E" w:rsidP="00C1563E">
      <w:pPr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C1563E" w:rsidRPr="008C287A" w:rsidRDefault="00C1563E" w:rsidP="00C1563E">
      <w:pPr>
        <w:rPr>
          <w:rFonts w:cs="Arial"/>
          <w:lang w:val="fr-FR"/>
        </w:rPr>
      </w:pPr>
      <w:r w:rsidRPr="008C287A">
        <w:rPr>
          <w:rFonts w:cs="Arial"/>
          <w:lang w:val="fr-FR"/>
        </w:rPr>
        <w:t>Pour leur site web sur le nu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ations à l’UIT/TSB (e-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>
        <w:rPr>
          <w:rFonts w:cs="Arial"/>
          <w:lang w:val="fr-FR"/>
        </w:rPr>
        <w:t>ail: tsbtson@itu.int), les A</w:t>
      </w:r>
      <w:r w:rsidRPr="008C287A">
        <w:rPr>
          <w:rFonts w:cs="Arial"/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at tel que décrit dans la Reco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ise à jour de ces infor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eilleurs délais.</w:t>
      </w:r>
    </w:p>
    <w:p w:rsidR="00C1563E" w:rsidRDefault="00C1563E" w:rsidP="00C1563E">
      <w:pPr>
        <w:rPr>
          <w:rFonts w:cs="Arial"/>
          <w:lang w:val="fr-FR"/>
        </w:rPr>
      </w:pPr>
      <w:r>
        <w:rPr>
          <w:rFonts w:cs="Arial"/>
          <w:lang w:val="fr-FR"/>
        </w:rPr>
        <w:t>Le</w:t>
      </w:r>
      <w:r w:rsidRPr="008C287A">
        <w:rPr>
          <w:rFonts w:cs="Arial"/>
          <w:lang w:val="fr-FR"/>
        </w:rPr>
        <w:t xml:space="preserve"> 1</w:t>
      </w:r>
      <w:r>
        <w:rPr>
          <w:rFonts w:cs="Arial"/>
          <w:lang w:val="fr-FR"/>
        </w:rPr>
        <w:t>.I.2012,</w:t>
      </w:r>
      <w:r w:rsidRPr="008C287A">
        <w:rPr>
          <w:rFonts w:cs="Arial"/>
          <w:lang w:val="fr-FR"/>
        </w:rPr>
        <w:t xml:space="preserve"> les pays suivants ont actualisé leur plan de nu</w:t>
      </w:r>
      <w:smartTag w:uri="urn:schemas-microsoft-com:office:smarttags" w:element="PersonName">
        <w:r w:rsidRPr="008C287A">
          <w:rPr>
            <w:rFonts w:cs="Arial"/>
            <w:lang w:val="fr-FR"/>
          </w:rPr>
          <w:t>m</w:t>
        </w:r>
      </w:smartTag>
      <w:r w:rsidRPr="008C287A">
        <w:rPr>
          <w:rFonts w:cs="Arial"/>
          <w:lang w:val="fr-FR"/>
        </w:rPr>
        <w:t>érotage national sur le site:</w:t>
      </w:r>
    </w:p>
    <w:p w:rsidR="00C1563E" w:rsidRDefault="00C1563E" w:rsidP="00C1563E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C1563E" w:rsidTr="00C1563E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Default="00C1563E" w:rsidP="00C1563E">
            <w:pPr>
              <w:pStyle w:val="TableHead1"/>
              <w:tabs>
                <w:tab w:val="clear" w:pos="1418"/>
                <w:tab w:val="left" w:pos="897"/>
                <w:tab w:val="center" w:pos="1413"/>
              </w:tabs>
            </w:pPr>
            <w:r>
              <w:t>Pays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Default="00C1563E" w:rsidP="00C1563E">
            <w:pPr>
              <w:pStyle w:val="TableHead1"/>
              <w:rPr>
                <w:lang w:val="fr-CH"/>
              </w:rPr>
            </w:pPr>
            <w:proofErr w:type="spellStart"/>
            <w:r w:rsidRPr="005F3FCA">
              <w:rPr>
                <w:rFonts w:eastAsia="SimSun" w:cs="Arial"/>
                <w:lang w:eastAsia="zh-CN"/>
              </w:rPr>
              <w:t>Indicatifs</w:t>
            </w:r>
            <w:proofErr w:type="spellEnd"/>
            <w:r w:rsidRPr="005F3FCA">
              <w:rPr>
                <w:rFonts w:eastAsia="SimSun" w:cs="Arial"/>
                <w:lang w:eastAsia="zh-CN"/>
              </w:rPr>
              <w:t xml:space="preserve"> de pays (CC)</w:t>
            </w:r>
          </w:p>
        </w:tc>
      </w:tr>
      <w:tr w:rsidR="00C1563E" w:rsidTr="00C1563E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Default="00C1563E" w:rsidP="00841AE0">
            <w:pPr>
              <w:pStyle w:val="Tabletext0"/>
              <w:rPr>
                <w:rFonts w:cs="Arial"/>
              </w:rPr>
            </w:pPr>
            <w:r>
              <w:rPr>
                <w:rFonts w:eastAsia="SimSun" w:cs="Arial"/>
                <w:lang w:val="en-GB"/>
              </w:rPr>
              <w:t>C</w:t>
            </w:r>
            <w:r w:rsidR="00841AE0">
              <w:rPr>
                <w:rFonts w:eastAsia="SimSun" w:cs="Arial"/>
                <w:lang w:val="en-GB"/>
              </w:rPr>
              <w:t>ô</w:t>
            </w:r>
            <w:r>
              <w:rPr>
                <w:rFonts w:eastAsia="SimSun" w:cs="Arial"/>
                <w:lang w:val="en-GB"/>
              </w:rPr>
              <w:t>te d’Ivoire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Pr="005059B0" w:rsidRDefault="00C1563E" w:rsidP="00C1563E">
            <w:pPr>
              <w:pStyle w:val="Tabletext0"/>
              <w:jc w:val="center"/>
              <w:rPr>
                <w:rFonts w:cs="Arial"/>
                <w:lang w:val="fr-CH"/>
              </w:rPr>
            </w:pPr>
            <w:r w:rsidRPr="005059B0">
              <w:rPr>
                <w:rFonts w:cs="Arial"/>
              </w:rPr>
              <w:t>+225</w:t>
            </w:r>
          </w:p>
        </w:tc>
      </w:tr>
      <w:tr w:rsidR="00C1563E" w:rsidTr="00C1563E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Default="00C1563E" w:rsidP="00C1563E">
            <w:pPr>
              <w:pStyle w:val="Tabletext0"/>
              <w:rPr>
                <w:rFonts w:eastAsia="SimSun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Pr="005B09F4" w:rsidRDefault="00C1563E" w:rsidP="00C1563E">
            <w:pPr>
              <w:pStyle w:val="Tabletext0"/>
              <w:jc w:val="center"/>
              <w:rPr>
                <w:rFonts w:eastAsia="SimSun" w:cs="Arial"/>
                <w:lang w:eastAsia="zh-CN"/>
              </w:rPr>
            </w:pPr>
            <w:r w:rsidRPr="005B09F4">
              <w:rPr>
                <w:rFonts w:eastAsia="SimSun" w:cs="Arial"/>
                <w:lang w:val="en-GB" w:eastAsia="zh-CN"/>
              </w:rPr>
              <w:t>+503</w:t>
            </w:r>
          </w:p>
        </w:tc>
      </w:tr>
      <w:tr w:rsidR="00C1563E" w:rsidTr="00C1563E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Default="00C1563E" w:rsidP="00C1563E">
            <w:pPr>
              <w:pStyle w:val="Tabletext0"/>
              <w:rPr>
                <w:rFonts w:cs="Arial"/>
              </w:rPr>
            </w:pPr>
            <w:r>
              <w:rPr>
                <w:rFonts w:cs="Arial"/>
                <w:szCs w:val="18"/>
              </w:rPr>
              <w:t>Liban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Default="00C1563E" w:rsidP="00C1563E">
            <w:pPr>
              <w:pStyle w:val="Tabletext0"/>
              <w:jc w:val="center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+961</w:t>
            </w:r>
          </w:p>
        </w:tc>
      </w:tr>
      <w:tr w:rsidR="00C1563E" w:rsidTr="00C1563E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Default="00C1563E" w:rsidP="00C1563E">
            <w:pPr>
              <w:pStyle w:val="Tabletext0"/>
              <w:rPr>
                <w:rFonts w:cs="Arial"/>
                <w:b/>
              </w:rPr>
            </w:pPr>
            <w:r>
              <w:t>Nations Unies (OCHA)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3E" w:rsidRDefault="00C1563E" w:rsidP="00C1563E">
            <w:pPr>
              <w:pStyle w:val="Tabletext0"/>
              <w:jc w:val="center"/>
              <w:rPr>
                <w:rFonts w:cs="Arial"/>
              </w:rPr>
            </w:pPr>
            <w:r>
              <w:t>+888</w:t>
            </w:r>
          </w:p>
        </w:tc>
      </w:tr>
    </w:tbl>
    <w:p w:rsidR="004D01A9" w:rsidRDefault="004D01A9" w:rsidP="00C1563E">
      <w:pPr>
        <w:rPr>
          <w:lang w:val="fr-FR"/>
        </w:rPr>
      </w:pPr>
    </w:p>
    <w:p w:rsidR="004D01A9" w:rsidRPr="00FB5378" w:rsidRDefault="004D01A9" w:rsidP="00C1563E">
      <w:pPr>
        <w:rPr>
          <w:lang w:val="fr-FR"/>
        </w:rPr>
      </w:pPr>
    </w:p>
    <w:sectPr w:rsidR="004D01A9" w:rsidRPr="00FB5378" w:rsidSect="002871D0">
      <w:footerReference w:type="even" r:id="rId17"/>
      <w:footerReference w:type="default" r:id="rId18"/>
      <w:footerReference w:type="first" r:id="rId19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EE" w:rsidRDefault="00030FEE">
      <w:r>
        <w:separator/>
      </w:r>
    </w:p>
  </w:endnote>
  <w:endnote w:type="continuationSeparator" w:id="0">
    <w:p w:rsidR="00030FEE" w:rsidRDefault="0003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panose1 w:val="0000080000000009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B638E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638EE" w:rsidRDefault="00B638E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638EE" w:rsidRPr="007F091C" w:rsidRDefault="00B638E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38EE" w:rsidRDefault="00B638EE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B638EE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B638EE" w:rsidRPr="007F091C" w:rsidRDefault="00B638EE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2677B4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2677B4" w:rsidRPr="007F091C">
            <w:rPr>
              <w:color w:val="FFFFFF"/>
              <w:lang w:val="es-ES_tradnl"/>
            </w:rPr>
            <w:fldChar w:fldCharType="separate"/>
          </w:r>
          <w:r w:rsidR="005963D0">
            <w:rPr>
              <w:noProof/>
              <w:color w:val="FFFFFF"/>
              <w:lang w:val="es-ES_tradnl"/>
            </w:rPr>
            <w:t>997</w:t>
          </w:r>
          <w:r w:rsidR="002677B4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2677B4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2677B4" w:rsidRPr="007F091C">
            <w:rPr>
              <w:color w:val="FFFFFF"/>
              <w:lang w:val="en-US"/>
            </w:rPr>
            <w:fldChar w:fldCharType="separate"/>
          </w:r>
          <w:r w:rsidR="005963D0">
            <w:rPr>
              <w:noProof/>
              <w:color w:val="FFFFFF"/>
              <w:lang w:val="en-US"/>
            </w:rPr>
            <w:t>26</w:t>
          </w:r>
          <w:r w:rsidR="002677B4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638EE" w:rsidRPr="007F091C" w:rsidRDefault="00B638EE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B638EE" w:rsidRDefault="00B638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B638EE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B638EE" w:rsidRPr="007F091C" w:rsidRDefault="00B638EE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B638EE" w:rsidRPr="007F091C" w:rsidRDefault="00B638EE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2677B4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2677B4" w:rsidRPr="007F091C">
            <w:rPr>
              <w:color w:val="FFFFFF"/>
              <w:lang w:val="es-ES_tradnl"/>
            </w:rPr>
            <w:fldChar w:fldCharType="separate"/>
          </w:r>
          <w:r w:rsidR="005963D0">
            <w:rPr>
              <w:noProof/>
              <w:color w:val="FFFFFF"/>
              <w:lang w:val="es-ES_tradnl"/>
            </w:rPr>
            <w:t>997</w:t>
          </w:r>
          <w:r w:rsidR="002677B4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2677B4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2677B4" w:rsidRPr="007F091C">
            <w:rPr>
              <w:color w:val="FFFFFF"/>
              <w:lang w:val="en-US"/>
            </w:rPr>
            <w:fldChar w:fldCharType="separate"/>
          </w:r>
          <w:r w:rsidR="005963D0">
            <w:rPr>
              <w:noProof/>
              <w:color w:val="FFFFFF"/>
              <w:lang w:val="en-US"/>
            </w:rPr>
            <w:t>27</w:t>
          </w:r>
          <w:r w:rsidR="002677B4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638EE" w:rsidRDefault="00B638E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B638EE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B638EE" w:rsidRPr="007F091C" w:rsidRDefault="00B638EE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B638EE" w:rsidRPr="007F091C" w:rsidRDefault="00B638EE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2677B4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2677B4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997</w:t>
          </w:r>
          <w:r w:rsidR="002677B4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2677B4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2677B4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40</w:t>
          </w:r>
          <w:r w:rsidR="002677B4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638EE" w:rsidRDefault="00B638EE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EE" w:rsidRDefault="00030FEE">
      <w:r>
        <w:separator/>
      </w:r>
    </w:p>
  </w:footnote>
  <w:footnote w:type="continuationSeparator" w:id="0">
    <w:p w:rsidR="00030FEE" w:rsidRDefault="00030FEE">
      <w:r>
        <w:continuationSeparator/>
      </w:r>
    </w:p>
  </w:footnote>
  <w:footnote w:id="1">
    <w:p w:rsidR="00B638EE" w:rsidRPr="0092118C" w:rsidRDefault="00B638EE" w:rsidP="009971FC">
      <w:pPr>
        <w:pStyle w:val="FootnoteText"/>
        <w:rPr>
          <w:sz w:val="16"/>
          <w:szCs w:val="16"/>
        </w:rPr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92118C">
        <w:rPr>
          <w:sz w:val="16"/>
          <w:szCs w:val="16"/>
        </w:rPr>
        <w:t>VoIP</w:t>
      </w:r>
      <w:r w:rsidRPr="0092118C">
        <w:rPr>
          <w:sz w:val="16"/>
          <w:szCs w:val="16"/>
        </w:rPr>
        <w:tab/>
        <w:t>Voice Over Internet Protocol</w:t>
      </w:r>
    </w:p>
  </w:footnote>
  <w:footnote w:id="2">
    <w:p w:rsidR="00B638EE" w:rsidRPr="005A3131" w:rsidRDefault="00B638EE" w:rsidP="0092118C">
      <w:pPr>
        <w:pStyle w:val="FootnoteText"/>
        <w:rPr>
          <w:sz w:val="18"/>
          <w:szCs w:val="18"/>
        </w:rPr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92118C">
        <w:rPr>
          <w:sz w:val="16"/>
          <w:szCs w:val="16"/>
        </w:rPr>
        <w:t>VAS</w:t>
      </w:r>
      <w:r w:rsidRPr="0092118C">
        <w:rPr>
          <w:sz w:val="16"/>
          <w:szCs w:val="16"/>
        </w:rPr>
        <w:tab/>
        <w:t>Value Added Service</w:t>
      </w:r>
    </w:p>
  </w:footnote>
  <w:footnote w:id="3">
    <w:p w:rsidR="00B638EE" w:rsidRPr="005A3131" w:rsidRDefault="00B638EE" w:rsidP="009971FC">
      <w:pPr>
        <w:pStyle w:val="FootnoteText"/>
        <w:rPr>
          <w:sz w:val="18"/>
          <w:szCs w:val="18"/>
        </w:rPr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92118C">
        <w:rPr>
          <w:sz w:val="16"/>
          <w:szCs w:val="16"/>
        </w:rPr>
        <w:t>SMS</w:t>
      </w:r>
      <w:r w:rsidRPr="0092118C">
        <w:rPr>
          <w:sz w:val="16"/>
          <w:szCs w:val="16"/>
        </w:rPr>
        <w:tab/>
      </w:r>
      <w:r w:rsidRPr="0092118C">
        <w:rPr>
          <w:rStyle w:val="st1"/>
          <w:bCs/>
          <w:color w:val="000000"/>
          <w:sz w:val="16"/>
          <w:szCs w:val="16"/>
        </w:rPr>
        <w:t>Short Message Service</w:t>
      </w:r>
    </w:p>
  </w:footnote>
  <w:footnote w:id="4">
    <w:p w:rsidR="00B638EE" w:rsidRDefault="00B638EE" w:rsidP="009971FC">
      <w:pPr>
        <w:pStyle w:val="FootnoteText"/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92118C">
        <w:rPr>
          <w:sz w:val="16"/>
          <w:szCs w:val="16"/>
        </w:rPr>
        <w:t>MMS</w:t>
      </w:r>
      <w:r w:rsidRPr="0092118C">
        <w:rPr>
          <w:sz w:val="16"/>
          <w:szCs w:val="16"/>
        </w:rPr>
        <w:tab/>
        <w:t>Multimedia Messaging Service</w:t>
      </w:r>
    </w:p>
  </w:footnote>
  <w:footnote w:id="5">
    <w:p w:rsidR="00B638EE" w:rsidRPr="000A41A0" w:rsidRDefault="00B638EE" w:rsidP="000A41A0">
      <w:pPr>
        <w:tabs>
          <w:tab w:val="clear" w:pos="567"/>
          <w:tab w:val="left" w:pos="284"/>
          <w:tab w:val="left" w:pos="709"/>
        </w:tabs>
        <w:rPr>
          <w:rStyle w:val="FootnoteReference"/>
          <w:sz w:val="16"/>
          <w:szCs w:val="16"/>
        </w:rPr>
      </w:pPr>
      <w:r w:rsidRPr="00884E33">
        <w:rPr>
          <w:vertAlign w:val="superscript"/>
        </w:rPr>
        <w:footnoteRef/>
      </w:r>
      <w:r w:rsidRPr="002C2883">
        <w:t xml:space="preserve"> </w:t>
      </w:r>
      <w:r>
        <w:tab/>
      </w:r>
      <w:r w:rsidRPr="000A41A0">
        <w:rPr>
          <w:sz w:val="16"/>
          <w:szCs w:val="16"/>
        </w:rPr>
        <w:t>IVR</w:t>
      </w:r>
      <w:r w:rsidRPr="000A41A0">
        <w:rPr>
          <w:sz w:val="16"/>
          <w:szCs w:val="16"/>
        </w:rPr>
        <w:tab/>
        <w:t>Interactive Voice Response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4031576"/>
    <w:multiLevelType w:val="hybridMultilevel"/>
    <w:tmpl w:val="0568A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051C4"/>
    <w:multiLevelType w:val="hybridMultilevel"/>
    <w:tmpl w:val="25C2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63F89"/>
    <w:multiLevelType w:val="hybridMultilevel"/>
    <w:tmpl w:val="B930F5F8"/>
    <w:lvl w:ilvl="0" w:tplc="1554B4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72B63"/>
    <w:multiLevelType w:val="hybridMultilevel"/>
    <w:tmpl w:val="443AF124"/>
    <w:lvl w:ilvl="0" w:tplc="E0DA9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F6F5E"/>
    <w:multiLevelType w:val="hybridMultilevel"/>
    <w:tmpl w:val="63B0E378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D462B"/>
    <w:multiLevelType w:val="hybridMultilevel"/>
    <w:tmpl w:val="FCCCC6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0863A2"/>
    <w:multiLevelType w:val="hybridMultilevel"/>
    <w:tmpl w:val="F090867E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A5735"/>
    <w:multiLevelType w:val="hybridMultilevel"/>
    <w:tmpl w:val="BFE2B19C"/>
    <w:lvl w:ilvl="0" w:tplc="2682B150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B6A65"/>
    <w:multiLevelType w:val="hybridMultilevel"/>
    <w:tmpl w:val="CCB28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820252"/>
    <w:multiLevelType w:val="hybridMultilevel"/>
    <w:tmpl w:val="CD34C36E"/>
    <w:lvl w:ilvl="0" w:tplc="FB5A77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47A10"/>
    <w:multiLevelType w:val="hybridMultilevel"/>
    <w:tmpl w:val="29F053B2"/>
    <w:lvl w:ilvl="0" w:tplc="F1666DFE">
      <w:start w:val="10"/>
      <w:numFmt w:val="bullet"/>
      <w:lvlText w:val="*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56670"/>
    <w:multiLevelType w:val="hybridMultilevel"/>
    <w:tmpl w:val="34B69FAC"/>
    <w:lvl w:ilvl="0" w:tplc="01D6E6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A72"/>
    <w:multiLevelType w:val="hybridMultilevel"/>
    <w:tmpl w:val="8812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202DF"/>
    <w:multiLevelType w:val="hybridMultilevel"/>
    <w:tmpl w:val="8AF44F10"/>
    <w:lvl w:ilvl="0" w:tplc="E56603EA">
      <w:start w:val="1"/>
      <w:numFmt w:val="bullet"/>
      <w:lvlText w:val="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91DF2"/>
    <w:multiLevelType w:val="hybridMultilevel"/>
    <w:tmpl w:val="85241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A6254"/>
    <w:multiLevelType w:val="hybridMultilevel"/>
    <w:tmpl w:val="389AE5E2"/>
    <w:lvl w:ilvl="0" w:tplc="73725EF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01DE"/>
    <w:multiLevelType w:val="hybridMultilevel"/>
    <w:tmpl w:val="8164675E"/>
    <w:lvl w:ilvl="0" w:tplc="847059B2">
      <w:start w:val="10"/>
      <w:numFmt w:val="bullet"/>
      <w:lvlText w:val="·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8B299B"/>
    <w:multiLevelType w:val="hybridMultilevel"/>
    <w:tmpl w:val="0DC20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E0653D"/>
    <w:multiLevelType w:val="hybridMultilevel"/>
    <w:tmpl w:val="79D4591E"/>
    <w:lvl w:ilvl="0" w:tplc="0040DD90">
      <w:start w:val="1"/>
      <w:numFmt w:val="decimal"/>
      <w:lvlText w:val="%1"/>
      <w:lvlJc w:val="left"/>
      <w:pPr>
        <w:ind w:left="27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2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01526"/>
    <w:multiLevelType w:val="hybridMultilevel"/>
    <w:tmpl w:val="F8825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395073"/>
    <w:multiLevelType w:val="hybridMultilevel"/>
    <w:tmpl w:val="36A4C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206001"/>
    <w:multiLevelType w:val="hybridMultilevel"/>
    <w:tmpl w:val="BC9AD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10587"/>
    <w:multiLevelType w:val="hybridMultilevel"/>
    <w:tmpl w:val="9D5A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F43FF"/>
    <w:multiLevelType w:val="hybridMultilevel"/>
    <w:tmpl w:val="AC76C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37"/>
  </w:num>
  <w:num w:numId="6">
    <w:abstractNumId w:val="28"/>
  </w:num>
  <w:num w:numId="7">
    <w:abstractNumId w:val="32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36"/>
  </w:num>
  <w:num w:numId="15">
    <w:abstractNumId w:val="5"/>
  </w:num>
  <w:num w:numId="16">
    <w:abstractNumId w:val="7"/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6"/>
  </w:num>
  <w:num w:numId="19">
    <w:abstractNumId w:val="38"/>
  </w:num>
  <w:num w:numId="20">
    <w:abstractNumId w:val="17"/>
  </w:num>
  <w:num w:numId="21">
    <w:abstractNumId w:val="16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9"/>
  </w:num>
  <w:num w:numId="25">
    <w:abstractNumId w:val="26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22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7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1">
    <w:abstractNumId w:val="33"/>
  </w:num>
  <w:num w:numId="42">
    <w:abstractNumId w:val="34"/>
  </w:num>
  <w:num w:numId="43">
    <w:abstractNumId w:val="10"/>
  </w:num>
  <w:num w:numId="44">
    <w:abstractNumId w:val="1"/>
  </w:num>
  <w:num w:numId="45">
    <w:abstractNumId w:val="35"/>
  </w:num>
  <w:num w:numId="46">
    <w:abstractNumId w:val="31"/>
  </w:num>
  <w:num w:numId="47">
    <w:abstractNumId w:val="23"/>
  </w:num>
  <w:num w:numId="48">
    <w:abstractNumId w:val="15"/>
  </w:num>
  <w:num w:numId="49">
    <w:abstractNumId w:val="4"/>
  </w:num>
  <w:num w:numId="50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/>
  <w:stylePaneFormatFilter w:val="3F08"/>
  <w:defaultTabStop w:val="142"/>
  <w:evenAndOddHeaders/>
  <w:noPunctuationKerning/>
  <w:characterSpacingControl w:val="doNotCompress"/>
  <w:hdrShapeDefaults>
    <o:shapedefaults v:ext="edit" spidmax="16199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2C83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7332"/>
    <w:rsid w:val="0005000E"/>
    <w:rsid w:val="00050044"/>
    <w:rsid w:val="00050555"/>
    <w:rsid w:val="0005074E"/>
    <w:rsid w:val="00050E31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F57"/>
    <w:rsid w:val="00066657"/>
    <w:rsid w:val="00066CD3"/>
    <w:rsid w:val="000704F0"/>
    <w:rsid w:val="00070AD3"/>
    <w:rsid w:val="00071440"/>
    <w:rsid w:val="000717F5"/>
    <w:rsid w:val="0007199A"/>
    <w:rsid w:val="00072482"/>
    <w:rsid w:val="0007327B"/>
    <w:rsid w:val="0007394A"/>
    <w:rsid w:val="00074A46"/>
    <w:rsid w:val="00074D9B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95C"/>
    <w:rsid w:val="00082046"/>
    <w:rsid w:val="000822DA"/>
    <w:rsid w:val="00082B2E"/>
    <w:rsid w:val="00083651"/>
    <w:rsid w:val="00083BEC"/>
    <w:rsid w:val="000845D2"/>
    <w:rsid w:val="00084B65"/>
    <w:rsid w:val="00085CB9"/>
    <w:rsid w:val="000866FD"/>
    <w:rsid w:val="00086A6C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93D"/>
    <w:rsid w:val="00094CA1"/>
    <w:rsid w:val="000959BB"/>
    <w:rsid w:val="00095F87"/>
    <w:rsid w:val="00096295"/>
    <w:rsid w:val="000968C6"/>
    <w:rsid w:val="000968D9"/>
    <w:rsid w:val="00097AE8"/>
    <w:rsid w:val="00097C5F"/>
    <w:rsid w:val="000A063B"/>
    <w:rsid w:val="000A0BDD"/>
    <w:rsid w:val="000A13A7"/>
    <w:rsid w:val="000A253F"/>
    <w:rsid w:val="000A25DC"/>
    <w:rsid w:val="000A27F5"/>
    <w:rsid w:val="000A300C"/>
    <w:rsid w:val="000A3F71"/>
    <w:rsid w:val="000A41A0"/>
    <w:rsid w:val="000A4757"/>
    <w:rsid w:val="000A4BD2"/>
    <w:rsid w:val="000A4E27"/>
    <w:rsid w:val="000A5071"/>
    <w:rsid w:val="000A5377"/>
    <w:rsid w:val="000A64DE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FB"/>
    <w:rsid w:val="000C10C3"/>
    <w:rsid w:val="000C1370"/>
    <w:rsid w:val="000C1FDE"/>
    <w:rsid w:val="000C27F7"/>
    <w:rsid w:val="000C2DDC"/>
    <w:rsid w:val="000C336E"/>
    <w:rsid w:val="000C388E"/>
    <w:rsid w:val="000C3D5A"/>
    <w:rsid w:val="000C4637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6F7C"/>
    <w:rsid w:val="000D70F7"/>
    <w:rsid w:val="000E005B"/>
    <w:rsid w:val="000E027F"/>
    <w:rsid w:val="000E064F"/>
    <w:rsid w:val="000E078E"/>
    <w:rsid w:val="000E14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B6F"/>
    <w:rsid w:val="00110189"/>
    <w:rsid w:val="00111012"/>
    <w:rsid w:val="001112F6"/>
    <w:rsid w:val="0011220D"/>
    <w:rsid w:val="001127BA"/>
    <w:rsid w:val="00113094"/>
    <w:rsid w:val="00113CBB"/>
    <w:rsid w:val="001149AA"/>
    <w:rsid w:val="00114DC3"/>
    <w:rsid w:val="001154D1"/>
    <w:rsid w:val="00115D5C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363A"/>
    <w:rsid w:val="001437F7"/>
    <w:rsid w:val="00143D17"/>
    <w:rsid w:val="00144895"/>
    <w:rsid w:val="00144F3B"/>
    <w:rsid w:val="00145620"/>
    <w:rsid w:val="00145F81"/>
    <w:rsid w:val="001462ED"/>
    <w:rsid w:val="0014650E"/>
    <w:rsid w:val="00146B47"/>
    <w:rsid w:val="00147AB8"/>
    <w:rsid w:val="00151637"/>
    <w:rsid w:val="00151B25"/>
    <w:rsid w:val="00152104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53FE"/>
    <w:rsid w:val="00165E66"/>
    <w:rsid w:val="00166383"/>
    <w:rsid w:val="00167240"/>
    <w:rsid w:val="00167700"/>
    <w:rsid w:val="0017069A"/>
    <w:rsid w:val="00170C75"/>
    <w:rsid w:val="0017220D"/>
    <w:rsid w:val="00172475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29D5"/>
    <w:rsid w:val="00183EE3"/>
    <w:rsid w:val="00184B9A"/>
    <w:rsid w:val="001856AD"/>
    <w:rsid w:val="001866C9"/>
    <w:rsid w:val="00186780"/>
    <w:rsid w:val="00186905"/>
    <w:rsid w:val="001907BC"/>
    <w:rsid w:val="00190837"/>
    <w:rsid w:val="00190D01"/>
    <w:rsid w:val="001910EF"/>
    <w:rsid w:val="00191AD7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096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F90"/>
    <w:rsid w:val="001C281C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3F96"/>
    <w:rsid w:val="001E40CE"/>
    <w:rsid w:val="001E4D71"/>
    <w:rsid w:val="001E5531"/>
    <w:rsid w:val="001E555A"/>
    <w:rsid w:val="001E5807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A7A"/>
    <w:rsid w:val="001F333C"/>
    <w:rsid w:val="001F3BE4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20035A"/>
    <w:rsid w:val="002006EA"/>
    <w:rsid w:val="00201DFB"/>
    <w:rsid w:val="002022C0"/>
    <w:rsid w:val="00203838"/>
    <w:rsid w:val="00203A42"/>
    <w:rsid w:val="00203B55"/>
    <w:rsid w:val="002043A1"/>
    <w:rsid w:val="002049BB"/>
    <w:rsid w:val="00204A3D"/>
    <w:rsid w:val="002050FE"/>
    <w:rsid w:val="002051BC"/>
    <w:rsid w:val="002057E8"/>
    <w:rsid w:val="00205847"/>
    <w:rsid w:val="0020619E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3619"/>
    <w:rsid w:val="002141FC"/>
    <w:rsid w:val="002145CC"/>
    <w:rsid w:val="00214873"/>
    <w:rsid w:val="00214C92"/>
    <w:rsid w:val="00215601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306"/>
    <w:rsid w:val="00231E2E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85A"/>
    <w:rsid w:val="00247953"/>
    <w:rsid w:val="00250F5C"/>
    <w:rsid w:val="002514B1"/>
    <w:rsid w:val="00251C77"/>
    <w:rsid w:val="00252238"/>
    <w:rsid w:val="0025260A"/>
    <w:rsid w:val="002541B2"/>
    <w:rsid w:val="0025420C"/>
    <w:rsid w:val="00254C43"/>
    <w:rsid w:val="002551FB"/>
    <w:rsid w:val="00255BA0"/>
    <w:rsid w:val="002566D3"/>
    <w:rsid w:val="002607CD"/>
    <w:rsid w:val="00262138"/>
    <w:rsid w:val="00262160"/>
    <w:rsid w:val="002621F5"/>
    <w:rsid w:val="002623E3"/>
    <w:rsid w:val="0026291E"/>
    <w:rsid w:val="00263098"/>
    <w:rsid w:val="00263E76"/>
    <w:rsid w:val="00264A9C"/>
    <w:rsid w:val="0026587A"/>
    <w:rsid w:val="002658F3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900"/>
    <w:rsid w:val="00273D3F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1D6A"/>
    <w:rsid w:val="00281D84"/>
    <w:rsid w:val="0028223D"/>
    <w:rsid w:val="00283447"/>
    <w:rsid w:val="002840CC"/>
    <w:rsid w:val="00284237"/>
    <w:rsid w:val="00284887"/>
    <w:rsid w:val="00284ED3"/>
    <w:rsid w:val="002855C4"/>
    <w:rsid w:val="00285DE0"/>
    <w:rsid w:val="0028619F"/>
    <w:rsid w:val="002870A0"/>
    <w:rsid w:val="002871D0"/>
    <w:rsid w:val="00287ECF"/>
    <w:rsid w:val="00290650"/>
    <w:rsid w:val="00293984"/>
    <w:rsid w:val="00293DD0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97DFA"/>
    <w:rsid w:val="002A07D7"/>
    <w:rsid w:val="002A0F27"/>
    <w:rsid w:val="002A189F"/>
    <w:rsid w:val="002A1CF3"/>
    <w:rsid w:val="002A205D"/>
    <w:rsid w:val="002A28F7"/>
    <w:rsid w:val="002A2A7A"/>
    <w:rsid w:val="002A3065"/>
    <w:rsid w:val="002A3F84"/>
    <w:rsid w:val="002A46AC"/>
    <w:rsid w:val="002A482A"/>
    <w:rsid w:val="002A4CDC"/>
    <w:rsid w:val="002A67F2"/>
    <w:rsid w:val="002A6B0F"/>
    <w:rsid w:val="002B1EC8"/>
    <w:rsid w:val="002B2AEC"/>
    <w:rsid w:val="002B33AE"/>
    <w:rsid w:val="002B3779"/>
    <w:rsid w:val="002B3ABC"/>
    <w:rsid w:val="002B3B6D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9D"/>
    <w:rsid w:val="002D27CC"/>
    <w:rsid w:val="002D2FE7"/>
    <w:rsid w:val="002D3F2F"/>
    <w:rsid w:val="002D434B"/>
    <w:rsid w:val="002D4FB2"/>
    <w:rsid w:val="002D5582"/>
    <w:rsid w:val="002D59E7"/>
    <w:rsid w:val="002D5D40"/>
    <w:rsid w:val="002D7DA8"/>
    <w:rsid w:val="002D7F81"/>
    <w:rsid w:val="002E03AB"/>
    <w:rsid w:val="002E0E14"/>
    <w:rsid w:val="002E121A"/>
    <w:rsid w:val="002E1365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94"/>
    <w:rsid w:val="00301C74"/>
    <w:rsid w:val="00302201"/>
    <w:rsid w:val="00302FD4"/>
    <w:rsid w:val="003036C3"/>
    <w:rsid w:val="00303706"/>
    <w:rsid w:val="00303D91"/>
    <w:rsid w:val="00304150"/>
    <w:rsid w:val="0030448C"/>
    <w:rsid w:val="00304CB4"/>
    <w:rsid w:val="00305E34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9EC"/>
    <w:rsid w:val="003171D2"/>
    <w:rsid w:val="00317F61"/>
    <w:rsid w:val="00320148"/>
    <w:rsid w:val="0032062C"/>
    <w:rsid w:val="00320655"/>
    <w:rsid w:val="003208E2"/>
    <w:rsid w:val="003210AF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724F"/>
    <w:rsid w:val="00327FB6"/>
    <w:rsid w:val="00330743"/>
    <w:rsid w:val="00330993"/>
    <w:rsid w:val="00330A88"/>
    <w:rsid w:val="0033149A"/>
    <w:rsid w:val="003314E9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890"/>
    <w:rsid w:val="0034109B"/>
    <w:rsid w:val="003433D0"/>
    <w:rsid w:val="00343D9D"/>
    <w:rsid w:val="0034402F"/>
    <w:rsid w:val="00344B7A"/>
    <w:rsid w:val="003450F4"/>
    <w:rsid w:val="00345FF6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F7"/>
    <w:rsid w:val="00352263"/>
    <w:rsid w:val="0035245B"/>
    <w:rsid w:val="003530F9"/>
    <w:rsid w:val="0035408A"/>
    <w:rsid w:val="003542E0"/>
    <w:rsid w:val="003545E1"/>
    <w:rsid w:val="00354BF4"/>
    <w:rsid w:val="00354FCE"/>
    <w:rsid w:val="00355385"/>
    <w:rsid w:val="00355D04"/>
    <w:rsid w:val="00356341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802D2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35A"/>
    <w:rsid w:val="003905F6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472"/>
    <w:rsid w:val="003967E0"/>
    <w:rsid w:val="00396C6D"/>
    <w:rsid w:val="00397C27"/>
    <w:rsid w:val="003A0310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F34"/>
    <w:rsid w:val="003A65AE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F17"/>
    <w:rsid w:val="003B410B"/>
    <w:rsid w:val="003B46B7"/>
    <w:rsid w:val="003B51D5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28DE"/>
    <w:rsid w:val="003C2A85"/>
    <w:rsid w:val="003C316B"/>
    <w:rsid w:val="003C38CE"/>
    <w:rsid w:val="003C44E2"/>
    <w:rsid w:val="003C45EB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43EC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8C2"/>
    <w:rsid w:val="003F09F1"/>
    <w:rsid w:val="003F19F2"/>
    <w:rsid w:val="003F1E2E"/>
    <w:rsid w:val="003F1E87"/>
    <w:rsid w:val="003F215D"/>
    <w:rsid w:val="003F24B5"/>
    <w:rsid w:val="003F371C"/>
    <w:rsid w:val="003F3D42"/>
    <w:rsid w:val="003F42D7"/>
    <w:rsid w:val="003F4541"/>
    <w:rsid w:val="003F5BA9"/>
    <w:rsid w:val="003F7313"/>
    <w:rsid w:val="003F7C8F"/>
    <w:rsid w:val="004003D8"/>
    <w:rsid w:val="00400947"/>
    <w:rsid w:val="00401911"/>
    <w:rsid w:val="0040262E"/>
    <w:rsid w:val="004026F9"/>
    <w:rsid w:val="0040290A"/>
    <w:rsid w:val="00403DF3"/>
    <w:rsid w:val="004042E1"/>
    <w:rsid w:val="0040431F"/>
    <w:rsid w:val="00404812"/>
    <w:rsid w:val="004054A1"/>
    <w:rsid w:val="00405D32"/>
    <w:rsid w:val="00407A7D"/>
    <w:rsid w:val="00410231"/>
    <w:rsid w:val="0041052D"/>
    <w:rsid w:val="004115E8"/>
    <w:rsid w:val="00411C23"/>
    <w:rsid w:val="00413666"/>
    <w:rsid w:val="0041375F"/>
    <w:rsid w:val="00414529"/>
    <w:rsid w:val="00415261"/>
    <w:rsid w:val="0041537D"/>
    <w:rsid w:val="00415B65"/>
    <w:rsid w:val="00415BA9"/>
    <w:rsid w:val="00416C55"/>
    <w:rsid w:val="00416CAD"/>
    <w:rsid w:val="0042025F"/>
    <w:rsid w:val="0042026B"/>
    <w:rsid w:val="00420DC4"/>
    <w:rsid w:val="00420E4A"/>
    <w:rsid w:val="004210B0"/>
    <w:rsid w:val="00422282"/>
    <w:rsid w:val="00422363"/>
    <w:rsid w:val="004229F8"/>
    <w:rsid w:val="00422A6B"/>
    <w:rsid w:val="00422CD5"/>
    <w:rsid w:val="00422D81"/>
    <w:rsid w:val="00422F49"/>
    <w:rsid w:val="00423FBE"/>
    <w:rsid w:val="00425456"/>
    <w:rsid w:val="004259ED"/>
    <w:rsid w:val="00426444"/>
    <w:rsid w:val="004273B0"/>
    <w:rsid w:val="00427815"/>
    <w:rsid w:val="00427988"/>
    <w:rsid w:val="00427F50"/>
    <w:rsid w:val="00430599"/>
    <w:rsid w:val="0043124D"/>
    <w:rsid w:val="00431F2E"/>
    <w:rsid w:val="00432D7C"/>
    <w:rsid w:val="00433049"/>
    <w:rsid w:val="00433A62"/>
    <w:rsid w:val="0043517C"/>
    <w:rsid w:val="004353A2"/>
    <w:rsid w:val="0043798E"/>
    <w:rsid w:val="00441344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46"/>
    <w:rsid w:val="00445930"/>
    <w:rsid w:val="00445FC3"/>
    <w:rsid w:val="0044619E"/>
    <w:rsid w:val="004475FC"/>
    <w:rsid w:val="0044792A"/>
    <w:rsid w:val="004508F7"/>
    <w:rsid w:val="004517CF"/>
    <w:rsid w:val="0045198C"/>
    <w:rsid w:val="00452C48"/>
    <w:rsid w:val="00453267"/>
    <w:rsid w:val="00453E58"/>
    <w:rsid w:val="00454828"/>
    <w:rsid w:val="00454994"/>
    <w:rsid w:val="00455ABD"/>
    <w:rsid w:val="00456E0D"/>
    <w:rsid w:val="004575AF"/>
    <w:rsid w:val="00457E79"/>
    <w:rsid w:val="00461D9F"/>
    <w:rsid w:val="00461F5C"/>
    <w:rsid w:val="0046202F"/>
    <w:rsid w:val="004628DD"/>
    <w:rsid w:val="00462D02"/>
    <w:rsid w:val="00463034"/>
    <w:rsid w:val="004636FC"/>
    <w:rsid w:val="004645A5"/>
    <w:rsid w:val="00464AF6"/>
    <w:rsid w:val="00464EA4"/>
    <w:rsid w:val="004652FB"/>
    <w:rsid w:val="00465735"/>
    <w:rsid w:val="0046573F"/>
    <w:rsid w:val="00465B8C"/>
    <w:rsid w:val="00465BBD"/>
    <w:rsid w:val="004668BB"/>
    <w:rsid w:val="004669C6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5059"/>
    <w:rsid w:val="00495549"/>
    <w:rsid w:val="00495FF3"/>
    <w:rsid w:val="00496225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49E8"/>
    <w:rsid w:val="004B4ED8"/>
    <w:rsid w:val="004B5018"/>
    <w:rsid w:val="004B50E1"/>
    <w:rsid w:val="004B70DC"/>
    <w:rsid w:val="004B78F7"/>
    <w:rsid w:val="004B7C4D"/>
    <w:rsid w:val="004C0063"/>
    <w:rsid w:val="004C02F4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811"/>
    <w:rsid w:val="004C537E"/>
    <w:rsid w:val="004C6127"/>
    <w:rsid w:val="004C6918"/>
    <w:rsid w:val="004C6BD6"/>
    <w:rsid w:val="004C6DEE"/>
    <w:rsid w:val="004C712C"/>
    <w:rsid w:val="004C742A"/>
    <w:rsid w:val="004C75D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90F"/>
    <w:rsid w:val="004D568A"/>
    <w:rsid w:val="004D5898"/>
    <w:rsid w:val="004D5E05"/>
    <w:rsid w:val="004D6643"/>
    <w:rsid w:val="004D6764"/>
    <w:rsid w:val="004D6D57"/>
    <w:rsid w:val="004D7D39"/>
    <w:rsid w:val="004E0DC7"/>
    <w:rsid w:val="004E1543"/>
    <w:rsid w:val="004E18A1"/>
    <w:rsid w:val="004E1DAC"/>
    <w:rsid w:val="004E20D1"/>
    <w:rsid w:val="004E20D2"/>
    <w:rsid w:val="004E21DC"/>
    <w:rsid w:val="004E2773"/>
    <w:rsid w:val="004E37C6"/>
    <w:rsid w:val="004E3CAD"/>
    <w:rsid w:val="004E3DA9"/>
    <w:rsid w:val="004E41FE"/>
    <w:rsid w:val="004E5A6A"/>
    <w:rsid w:val="004E5C05"/>
    <w:rsid w:val="004E6412"/>
    <w:rsid w:val="004E6597"/>
    <w:rsid w:val="004E748D"/>
    <w:rsid w:val="004F0496"/>
    <w:rsid w:val="004F1780"/>
    <w:rsid w:val="004F209B"/>
    <w:rsid w:val="004F238D"/>
    <w:rsid w:val="004F294A"/>
    <w:rsid w:val="004F2DAF"/>
    <w:rsid w:val="004F3189"/>
    <w:rsid w:val="004F36D7"/>
    <w:rsid w:val="004F40CE"/>
    <w:rsid w:val="004F51E3"/>
    <w:rsid w:val="004F5AA4"/>
    <w:rsid w:val="004F5ADE"/>
    <w:rsid w:val="004F647A"/>
    <w:rsid w:val="004F6F64"/>
    <w:rsid w:val="004F773E"/>
    <w:rsid w:val="004F7C0C"/>
    <w:rsid w:val="00500B1C"/>
    <w:rsid w:val="00501179"/>
    <w:rsid w:val="005014A2"/>
    <w:rsid w:val="00501819"/>
    <w:rsid w:val="005019B8"/>
    <w:rsid w:val="00501E3D"/>
    <w:rsid w:val="00502083"/>
    <w:rsid w:val="00502552"/>
    <w:rsid w:val="00504792"/>
    <w:rsid w:val="00504A7F"/>
    <w:rsid w:val="00507172"/>
    <w:rsid w:val="00507397"/>
    <w:rsid w:val="0050746C"/>
    <w:rsid w:val="00507D30"/>
    <w:rsid w:val="00507E61"/>
    <w:rsid w:val="005108BF"/>
    <w:rsid w:val="00510B38"/>
    <w:rsid w:val="005111BE"/>
    <w:rsid w:val="00511DDF"/>
    <w:rsid w:val="005124BB"/>
    <w:rsid w:val="00512935"/>
    <w:rsid w:val="00512E35"/>
    <w:rsid w:val="00513A5F"/>
    <w:rsid w:val="00513B49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7291"/>
    <w:rsid w:val="00547BFF"/>
    <w:rsid w:val="00547E87"/>
    <w:rsid w:val="00550C5E"/>
    <w:rsid w:val="0055138C"/>
    <w:rsid w:val="0055174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4719"/>
    <w:rsid w:val="0056472E"/>
    <w:rsid w:val="00565493"/>
    <w:rsid w:val="00565516"/>
    <w:rsid w:val="0056693C"/>
    <w:rsid w:val="00566A5B"/>
    <w:rsid w:val="0056764E"/>
    <w:rsid w:val="00567A05"/>
    <w:rsid w:val="00567BD4"/>
    <w:rsid w:val="0057009B"/>
    <w:rsid w:val="00571EC5"/>
    <w:rsid w:val="00571F10"/>
    <w:rsid w:val="00572D79"/>
    <w:rsid w:val="00573436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E44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D2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6684"/>
    <w:rsid w:val="005B7133"/>
    <w:rsid w:val="005C0400"/>
    <w:rsid w:val="005C0758"/>
    <w:rsid w:val="005C1631"/>
    <w:rsid w:val="005C2044"/>
    <w:rsid w:val="005C239A"/>
    <w:rsid w:val="005C2544"/>
    <w:rsid w:val="005C2888"/>
    <w:rsid w:val="005C336B"/>
    <w:rsid w:val="005C3FFB"/>
    <w:rsid w:val="005C528E"/>
    <w:rsid w:val="005C5519"/>
    <w:rsid w:val="005C6BDD"/>
    <w:rsid w:val="005C7004"/>
    <w:rsid w:val="005D0F07"/>
    <w:rsid w:val="005D23CA"/>
    <w:rsid w:val="005D3F83"/>
    <w:rsid w:val="005D4C27"/>
    <w:rsid w:val="005D552D"/>
    <w:rsid w:val="005D65FB"/>
    <w:rsid w:val="005D69F6"/>
    <w:rsid w:val="005E0967"/>
    <w:rsid w:val="005E0CBD"/>
    <w:rsid w:val="005E1450"/>
    <w:rsid w:val="005E20BB"/>
    <w:rsid w:val="005E2675"/>
    <w:rsid w:val="005E4A01"/>
    <w:rsid w:val="005E4C27"/>
    <w:rsid w:val="005E550B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53EA"/>
    <w:rsid w:val="005F6E67"/>
    <w:rsid w:val="005F701E"/>
    <w:rsid w:val="005F75CC"/>
    <w:rsid w:val="005F7E56"/>
    <w:rsid w:val="006000B4"/>
    <w:rsid w:val="00600233"/>
    <w:rsid w:val="006011EE"/>
    <w:rsid w:val="00601B7A"/>
    <w:rsid w:val="00601E9B"/>
    <w:rsid w:val="00602B90"/>
    <w:rsid w:val="00602BAD"/>
    <w:rsid w:val="00602E56"/>
    <w:rsid w:val="00604058"/>
    <w:rsid w:val="006042FD"/>
    <w:rsid w:val="00604517"/>
    <w:rsid w:val="006047A4"/>
    <w:rsid w:val="0060584A"/>
    <w:rsid w:val="00605F01"/>
    <w:rsid w:val="00607308"/>
    <w:rsid w:val="0060783F"/>
    <w:rsid w:val="006078A7"/>
    <w:rsid w:val="00610D99"/>
    <w:rsid w:val="0061113B"/>
    <w:rsid w:val="00611993"/>
    <w:rsid w:val="006119EC"/>
    <w:rsid w:val="0061277B"/>
    <w:rsid w:val="006131D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AD5"/>
    <w:rsid w:val="00620687"/>
    <w:rsid w:val="00620943"/>
    <w:rsid w:val="00620955"/>
    <w:rsid w:val="0062272B"/>
    <w:rsid w:val="00622F5C"/>
    <w:rsid w:val="00623429"/>
    <w:rsid w:val="0062471F"/>
    <w:rsid w:val="00624A18"/>
    <w:rsid w:val="0062687C"/>
    <w:rsid w:val="00626BBA"/>
    <w:rsid w:val="00626CE4"/>
    <w:rsid w:val="00626CF5"/>
    <w:rsid w:val="00627083"/>
    <w:rsid w:val="0062790C"/>
    <w:rsid w:val="00627F4E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632A"/>
    <w:rsid w:val="00636B2A"/>
    <w:rsid w:val="006376FE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463"/>
    <w:rsid w:val="00650C72"/>
    <w:rsid w:val="00651999"/>
    <w:rsid w:val="00651A18"/>
    <w:rsid w:val="00651B39"/>
    <w:rsid w:val="0065264A"/>
    <w:rsid w:val="0065273C"/>
    <w:rsid w:val="006527F2"/>
    <w:rsid w:val="00653B87"/>
    <w:rsid w:val="00654572"/>
    <w:rsid w:val="00654809"/>
    <w:rsid w:val="00654A8E"/>
    <w:rsid w:val="00654B7F"/>
    <w:rsid w:val="006555AF"/>
    <w:rsid w:val="00655E7C"/>
    <w:rsid w:val="00656C84"/>
    <w:rsid w:val="006573D1"/>
    <w:rsid w:val="00657789"/>
    <w:rsid w:val="00660336"/>
    <w:rsid w:val="00662CA5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701AA"/>
    <w:rsid w:val="00670639"/>
    <w:rsid w:val="006709AF"/>
    <w:rsid w:val="00670CEB"/>
    <w:rsid w:val="00670F6C"/>
    <w:rsid w:val="006719FE"/>
    <w:rsid w:val="00672666"/>
    <w:rsid w:val="00673031"/>
    <w:rsid w:val="00673305"/>
    <w:rsid w:val="00674A9E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1626"/>
    <w:rsid w:val="0068180F"/>
    <w:rsid w:val="00681C69"/>
    <w:rsid w:val="00682209"/>
    <w:rsid w:val="0068237E"/>
    <w:rsid w:val="00683131"/>
    <w:rsid w:val="00684132"/>
    <w:rsid w:val="00684FBB"/>
    <w:rsid w:val="0068556F"/>
    <w:rsid w:val="0069038E"/>
    <w:rsid w:val="00690676"/>
    <w:rsid w:val="00690989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AFF"/>
    <w:rsid w:val="00696E70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805"/>
    <w:rsid w:val="006A6859"/>
    <w:rsid w:val="006A6A7E"/>
    <w:rsid w:val="006A6C23"/>
    <w:rsid w:val="006A6D6E"/>
    <w:rsid w:val="006A735B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3BEE"/>
    <w:rsid w:val="006B4859"/>
    <w:rsid w:val="006B4F20"/>
    <w:rsid w:val="006B6197"/>
    <w:rsid w:val="006B6704"/>
    <w:rsid w:val="006B7294"/>
    <w:rsid w:val="006B7D3E"/>
    <w:rsid w:val="006C0084"/>
    <w:rsid w:val="006C0BA2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63CB"/>
    <w:rsid w:val="006C6EA8"/>
    <w:rsid w:val="006D0A68"/>
    <w:rsid w:val="006D14EB"/>
    <w:rsid w:val="006D2731"/>
    <w:rsid w:val="006D27EB"/>
    <w:rsid w:val="006D2DE1"/>
    <w:rsid w:val="006D2EE4"/>
    <w:rsid w:val="006D3A85"/>
    <w:rsid w:val="006D66B8"/>
    <w:rsid w:val="006D67AC"/>
    <w:rsid w:val="006D69A5"/>
    <w:rsid w:val="006D7500"/>
    <w:rsid w:val="006D7EAF"/>
    <w:rsid w:val="006D7F96"/>
    <w:rsid w:val="006E0C8D"/>
    <w:rsid w:val="006E103D"/>
    <w:rsid w:val="006E135A"/>
    <w:rsid w:val="006E1963"/>
    <w:rsid w:val="006E2213"/>
    <w:rsid w:val="006E25BE"/>
    <w:rsid w:val="006E42AE"/>
    <w:rsid w:val="006E440A"/>
    <w:rsid w:val="006E4C79"/>
    <w:rsid w:val="006E51EA"/>
    <w:rsid w:val="006E56CC"/>
    <w:rsid w:val="006E5916"/>
    <w:rsid w:val="006E7AB1"/>
    <w:rsid w:val="006E7DA8"/>
    <w:rsid w:val="006F37A2"/>
    <w:rsid w:val="006F4278"/>
    <w:rsid w:val="006F4429"/>
    <w:rsid w:val="006F5460"/>
    <w:rsid w:val="006F5536"/>
    <w:rsid w:val="006F5569"/>
    <w:rsid w:val="006F6753"/>
    <w:rsid w:val="006F6845"/>
    <w:rsid w:val="006F7852"/>
    <w:rsid w:val="006F798F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E8E"/>
    <w:rsid w:val="00730030"/>
    <w:rsid w:val="007300BF"/>
    <w:rsid w:val="00730D73"/>
    <w:rsid w:val="0073103B"/>
    <w:rsid w:val="00731D0C"/>
    <w:rsid w:val="00732061"/>
    <w:rsid w:val="00732E08"/>
    <w:rsid w:val="00732E4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6042B"/>
    <w:rsid w:val="00760A4C"/>
    <w:rsid w:val="00760A5D"/>
    <w:rsid w:val="00760DE5"/>
    <w:rsid w:val="00761388"/>
    <w:rsid w:val="00761417"/>
    <w:rsid w:val="007624F3"/>
    <w:rsid w:val="00762E3F"/>
    <w:rsid w:val="0076390C"/>
    <w:rsid w:val="007640D5"/>
    <w:rsid w:val="00764260"/>
    <w:rsid w:val="0076456D"/>
    <w:rsid w:val="00765045"/>
    <w:rsid w:val="0076591D"/>
    <w:rsid w:val="00765C3F"/>
    <w:rsid w:val="00765D26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AD8"/>
    <w:rsid w:val="00773567"/>
    <w:rsid w:val="007743AA"/>
    <w:rsid w:val="007743AC"/>
    <w:rsid w:val="00774843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6"/>
    <w:rsid w:val="0078066A"/>
    <w:rsid w:val="00781A1E"/>
    <w:rsid w:val="00781E36"/>
    <w:rsid w:val="00782455"/>
    <w:rsid w:val="00783907"/>
    <w:rsid w:val="00783B23"/>
    <w:rsid w:val="00783FDE"/>
    <w:rsid w:val="00784BDE"/>
    <w:rsid w:val="00784EC8"/>
    <w:rsid w:val="00786114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3326"/>
    <w:rsid w:val="007A430F"/>
    <w:rsid w:val="007A49C2"/>
    <w:rsid w:val="007A4CD5"/>
    <w:rsid w:val="007A5371"/>
    <w:rsid w:val="007A58BD"/>
    <w:rsid w:val="007A5BA7"/>
    <w:rsid w:val="007A5EE1"/>
    <w:rsid w:val="007A646F"/>
    <w:rsid w:val="007A69B9"/>
    <w:rsid w:val="007A7E48"/>
    <w:rsid w:val="007B031D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C72"/>
    <w:rsid w:val="007B73EE"/>
    <w:rsid w:val="007B784A"/>
    <w:rsid w:val="007C0527"/>
    <w:rsid w:val="007C0AFA"/>
    <w:rsid w:val="007C0DD3"/>
    <w:rsid w:val="007C1A87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B6"/>
    <w:rsid w:val="00803CCD"/>
    <w:rsid w:val="00803F6B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DCF"/>
    <w:rsid w:val="0081052F"/>
    <w:rsid w:val="00810823"/>
    <w:rsid w:val="00811816"/>
    <w:rsid w:val="00811F5D"/>
    <w:rsid w:val="008122EA"/>
    <w:rsid w:val="00812909"/>
    <w:rsid w:val="008130C4"/>
    <w:rsid w:val="00813105"/>
    <w:rsid w:val="008143B5"/>
    <w:rsid w:val="008149B6"/>
    <w:rsid w:val="00814CFD"/>
    <w:rsid w:val="00814F93"/>
    <w:rsid w:val="0081521A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B1C"/>
    <w:rsid w:val="00837CD1"/>
    <w:rsid w:val="008416AA"/>
    <w:rsid w:val="008417A5"/>
    <w:rsid w:val="00841AE0"/>
    <w:rsid w:val="00841CDC"/>
    <w:rsid w:val="00842076"/>
    <w:rsid w:val="0084393E"/>
    <w:rsid w:val="00844121"/>
    <w:rsid w:val="00844BCF"/>
    <w:rsid w:val="008450EE"/>
    <w:rsid w:val="00845B3B"/>
    <w:rsid w:val="00845CD9"/>
    <w:rsid w:val="00846360"/>
    <w:rsid w:val="008465F9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C7"/>
    <w:rsid w:val="0085559B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230F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E35"/>
    <w:rsid w:val="00892EDA"/>
    <w:rsid w:val="0089498B"/>
    <w:rsid w:val="00894CB8"/>
    <w:rsid w:val="0089524F"/>
    <w:rsid w:val="00896764"/>
    <w:rsid w:val="008975E1"/>
    <w:rsid w:val="0089761A"/>
    <w:rsid w:val="00897FE5"/>
    <w:rsid w:val="008A1A31"/>
    <w:rsid w:val="008A272E"/>
    <w:rsid w:val="008A3920"/>
    <w:rsid w:val="008A45C8"/>
    <w:rsid w:val="008A45E8"/>
    <w:rsid w:val="008A5F0B"/>
    <w:rsid w:val="008A66FC"/>
    <w:rsid w:val="008A7BD4"/>
    <w:rsid w:val="008B1EEB"/>
    <w:rsid w:val="008B28D2"/>
    <w:rsid w:val="008B2B10"/>
    <w:rsid w:val="008B318F"/>
    <w:rsid w:val="008B4675"/>
    <w:rsid w:val="008B56E2"/>
    <w:rsid w:val="008B60B5"/>
    <w:rsid w:val="008C0524"/>
    <w:rsid w:val="008C0B85"/>
    <w:rsid w:val="008C0D18"/>
    <w:rsid w:val="008C0F22"/>
    <w:rsid w:val="008C1557"/>
    <w:rsid w:val="008C1A8B"/>
    <w:rsid w:val="008C1ABF"/>
    <w:rsid w:val="008C265B"/>
    <w:rsid w:val="008C28D9"/>
    <w:rsid w:val="008C387F"/>
    <w:rsid w:val="008C3AA5"/>
    <w:rsid w:val="008C5393"/>
    <w:rsid w:val="008C57AD"/>
    <w:rsid w:val="008C5FEE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664E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F0D"/>
    <w:rsid w:val="008E1F97"/>
    <w:rsid w:val="008E24C8"/>
    <w:rsid w:val="008E3026"/>
    <w:rsid w:val="008E3336"/>
    <w:rsid w:val="008E40C7"/>
    <w:rsid w:val="008E4A34"/>
    <w:rsid w:val="008E4DE6"/>
    <w:rsid w:val="008E4E44"/>
    <w:rsid w:val="008E509F"/>
    <w:rsid w:val="008E5175"/>
    <w:rsid w:val="008E65DE"/>
    <w:rsid w:val="008E6D24"/>
    <w:rsid w:val="008F0669"/>
    <w:rsid w:val="008F0B62"/>
    <w:rsid w:val="008F1764"/>
    <w:rsid w:val="008F275A"/>
    <w:rsid w:val="008F27C2"/>
    <w:rsid w:val="008F444A"/>
    <w:rsid w:val="008F4A9B"/>
    <w:rsid w:val="008F58C4"/>
    <w:rsid w:val="008F5E04"/>
    <w:rsid w:val="008F62F4"/>
    <w:rsid w:val="008F6E9A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5457"/>
    <w:rsid w:val="00915997"/>
    <w:rsid w:val="00915998"/>
    <w:rsid w:val="00916346"/>
    <w:rsid w:val="00916D39"/>
    <w:rsid w:val="00916F7D"/>
    <w:rsid w:val="0092017A"/>
    <w:rsid w:val="0092118C"/>
    <w:rsid w:val="00921455"/>
    <w:rsid w:val="00921679"/>
    <w:rsid w:val="00922F83"/>
    <w:rsid w:val="00922FBF"/>
    <w:rsid w:val="00923508"/>
    <w:rsid w:val="00923C37"/>
    <w:rsid w:val="00923D49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4026D"/>
    <w:rsid w:val="0094054B"/>
    <w:rsid w:val="009410DE"/>
    <w:rsid w:val="009414CD"/>
    <w:rsid w:val="00941BA1"/>
    <w:rsid w:val="00941FE8"/>
    <w:rsid w:val="009422FF"/>
    <w:rsid w:val="00942C33"/>
    <w:rsid w:val="00942F73"/>
    <w:rsid w:val="00943089"/>
    <w:rsid w:val="00943984"/>
    <w:rsid w:val="00943991"/>
    <w:rsid w:val="0094423C"/>
    <w:rsid w:val="00944E5B"/>
    <w:rsid w:val="009450AE"/>
    <w:rsid w:val="00945B3D"/>
    <w:rsid w:val="00946CDB"/>
    <w:rsid w:val="00946DCD"/>
    <w:rsid w:val="00947975"/>
    <w:rsid w:val="00947E33"/>
    <w:rsid w:val="00951CF8"/>
    <w:rsid w:val="00953FBF"/>
    <w:rsid w:val="00954B51"/>
    <w:rsid w:val="009563F0"/>
    <w:rsid w:val="009564FE"/>
    <w:rsid w:val="00956D6E"/>
    <w:rsid w:val="00956D9B"/>
    <w:rsid w:val="009578B6"/>
    <w:rsid w:val="00957B8E"/>
    <w:rsid w:val="00961043"/>
    <w:rsid w:val="0096168D"/>
    <w:rsid w:val="009621A6"/>
    <w:rsid w:val="00962DD3"/>
    <w:rsid w:val="00964D92"/>
    <w:rsid w:val="00964DBE"/>
    <w:rsid w:val="00964E2A"/>
    <w:rsid w:val="00965644"/>
    <w:rsid w:val="00965AB9"/>
    <w:rsid w:val="00966342"/>
    <w:rsid w:val="00966DAB"/>
    <w:rsid w:val="00967C24"/>
    <w:rsid w:val="00967F0D"/>
    <w:rsid w:val="0097003A"/>
    <w:rsid w:val="00970BA7"/>
    <w:rsid w:val="009716CD"/>
    <w:rsid w:val="00971ADB"/>
    <w:rsid w:val="009726C3"/>
    <w:rsid w:val="00974B07"/>
    <w:rsid w:val="00974C0C"/>
    <w:rsid w:val="009755B8"/>
    <w:rsid w:val="0097632B"/>
    <w:rsid w:val="00976820"/>
    <w:rsid w:val="00976B11"/>
    <w:rsid w:val="00977C98"/>
    <w:rsid w:val="00980787"/>
    <w:rsid w:val="00980B65"/>
    <w:rsid w:val="00982408"/>
    <w:rsid w:val="0098273A"/>
    <w:rsid w:val="009827D5"/>
    <w:rsid w:val="00982C99"/>
    <w:rsid w:val="00983610"/>
    <w:rsid w:val="009838B5"/>
    <w:rsid w:val="0098394F"/>
    <w:rsid w:val="00984C6E"/>
    <w:rsid w:val="0098553F"/>
    <w:rsid w:val="009858AF"/>
    <w:rsid w:val="00986BD4"/>
    <w:rsid w:val="00987439"/>
    <w:rsid w:val="00987754"/>
    <w:rsid w:val="00987FEB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63CA"/>
    <w:rsid w:val="0099672B"/>
    <w:rsid w:val="009971FC"/>
    <w:rsid w:val="009978F2"/>
    <w:rsid w:val="00997A1F"/>
    <w:rsid w:val="00997C81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A66"/>
    <w:rsid w:val="009B03FF"/>
    <w:rsid w:val="009B0EB1"/>
    <w:rsid w:val="009B148E"/>
    <w:rsid w:val="009B24E5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98E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C7A48"/>
    <w:rsid w:val="009D042B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FF0"/>
    <w:rsid w:val="009D6374"/>
    <w:rsid w:val="009D70F6"/>
    <w:rsid w:val="009D77A8"/>
    <w:rsid w:val="009D787E"/>
    <w:rsid w:val="009E0287"/>
    <w:rsid w:val="009E08FF"/>
    <w:rsid w:val="009E0B00"/>
    <w:rsid w:val="009E0B03"/>
    <w:rsid w:val="009E115A"/>
    <w:rsid w:val="009E12DC"/>
    <w:rsid w:val="009E18F3"/>
    <w:rsid w:val="009E2537"/>
    <w:rsid w:val="009E4C65"/>
    <w:rsid w:val="009E53E6"/>
    <w:rsid w:val="009E55D1"/>
    <w:rsid w:val="009E565D"/>
    <w:rsid w:val="009E625F"/>
    <w:rsid w:val="009E62FF"/>
    <w:rsid w:val="009E6739"/>
    <w:rsid w:val="009E7396"/>
    <w:rsid w:val="009F0859"/>
    <w:rsid w:val="009F0A2F"/>
    <w:rsid w:val="009F1F6D"/>
    <w:rsid w:val="009F335B"/>
    <w:rsid w:val="009F3398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44EA"/>
    <w:rsid w:val="00A0467B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708A"/>
    <w:rsid w:val="00A20428"/>
    <w:rsid w:val="00A204BC"/>
    <w:rsid w:val="00A206A7"/>
    <w:rsid w:val="00A20721"/>
    <w:rsid w:val="00A212A8"/>
    <w:rsid w:val="00A21DE8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F0C"/>
    <w:rsid w:val="00A258B2"/>
    <w:rsid w:val="00A25ECA"/>
    <w:rsid w:val="00A26214"/>
    <w:rsid w:val="00A26716"/>
    <w:rsid w:val="00A268A3"/>
    <w:rsid w:val="00A26AE6"/>
    <w:rsid w:val="00A26F05"/>
    <w:rsid w:val="00A303CA"/>
    <w:rsid w:val="00A30A90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CA"/>
    <w:rsid w:val="00A35027"/>
    <w:rsid w:val="00A350B2"/>
    <w:rsid w:val="00A35C1C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522B"/>
    <w:rsid w:val="00A46C12"/>
    <w:rsid w:val="00A52716"/>
    <w:rsid w:val="00A53ECA"/>
    <w:rsid w:val="00A54249"/>
    <w:rsid w:val="00A54738"/>
    <w:rsid w:val="00A550F4"/>
    <w:rsid w:val="00A554A7"/>
    <w:rsid w:val="00A55C66"/>
    <w:rsid w:val="00A56003"/>
    <w:rsid w:val="00A56749"/>
    <w:rsid w:val="00A56FA1"/>
    <w:rsid w:val="00A57055"/>
    <w:rsid w:val="00A57311"/>
    <w:rsid w:val="00A57EBD"/>
    <w:rsid w:val="00A602AE"/>
    <w:rsid w:val="00A602D5"/>
    <w:rsid w:val="00A60EB2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C48"/>
    <w:rsid w:val="00A76EDE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714"/>
    <w:rsid w:val="00A94AEF"/>
    <w:rsid w:val="00A96CD7"/>
    <w:rsid w:val="00A973D9"/>
    <w:rsid w:val="00A97D16"/>
    <w:rsid w:val="00AA02BA"/>
    <w:rsid w:val="00AA0579"/>
    <w:rsid w:val="00AA07AD"/>
    <w:rsid w:val="00AA0CEC"/>
    <w:rsid w:val="00AA1917"/>
    <w:rsid w:val="00AA1ED9"/>
    <w:rsid w:val="00AA361D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715E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817"/>
    <w:rsid w:val="00AB3C76"/>
    <w:rsid w:val="00AB4EB5"/>
    <w:rsid w:val="00AB5212"/>
    <w:rsid w:val="00AB56F3"/>
    <w:rsid w:val="00AB7803"/>
    <w:rsid w:val="00AB7CAB"/>
    <w:rsid w:val="00AC02CB"/>
    <w:rsid w:val="00AC0357"/>
    <w:rsid w:val="00AC0503"/>
    <w:rsid w:val="00AC1887"/>
    <w:rsid w:val="00AC2533"/>
    <w:rsid w:val="00AC257D"/>
    <w:rsid w:val="00AC3409"/>
    <w:rsid w:val="00AC4542"/>
    <w:rsid w:val="00AC4CB6"/>
    <w:rsid w:val="00AC50D4"/>
    <w:rsid w:val="00AC599B"/>
    <w:rsid w:val="00AC6945"/>
    <w:rsid w:val="00AC70C8"/>
    <w:rsid w:val="00AC7A9D"/>
    <w:rsid w:val="00AD04D6"/>
    <w:rsid w:val="00AD0878"/>
    <w:rsid w:val="00AD0E99"/>
    <w:rsid w:val="00AD13BC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D69"/>
    <w:rsid w:val="00AF114D"/>
    <w:rsid w:val="00AF21C5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E9E"/>
    <w:rsid w:val="00B25681"/>
    <w:rsid w:val="00B25D9D"/>
    <w:rsid w:val="00B260F4"/>
    <w:rsid w:val="00B271B8"/>
    <w:rsid w:val="00B27413"/>
    <w:rsid w:val="00B27599"/>
    <w:rsid w:val="00B301A7"/>
    <w:rsid w:val="00B305DE"/>
    <w:rsid w:val="00B30B2B"/>
    <w:rsid w:val="00B30CFD"/>
    <w:rsid w:val="00B30D8F"/>
    <w:rsid w:val="00B32B6F"/>
    <w:rsid w:val="00B32F72"/>
    <w:rsid w:val="00B331A4"/>
    <w:rsid w:val="00B33283"/>
    <w:rsid w:val="00B33765"/>
    <w:rsid w:val="00B33D35"/>
    <w:rsid w:val="00B34853"/>
    <w:rsid w:val="00B34C4F"/>
    <w:rsid w:val="00B34E39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40ECC"/>
    <w:rsid w:val="00B4149F"/>
    <w:rsid w:val="00B417D0"/>
    <w:rsid w:val="00B4183C"/>
    <w:rsid w:val="00B42B15"/>
    <w:rsid w:val="00B42E19"/>
    <w:rsid w:val="00B4495B"/>
    <w:rsid w:val="00B44B63"/>
    <w:rsid w:val="00B4532D"/>
    <w:rsid w:val="00B45357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F8B"/>
    <w:rsid w:val="00B5718C"/>
    <w:rsid w:val="00B57209"/>
    <w:rsid w:val="00B574F5"/>
    <w:rsid w:val="00B57EA9"/>
    <w:rsid w:val="00B60362"/>
    <w:rsid w:val="00B611E5"/>
    <w:rsid w:val="00B61725"/>
    <w:rsid w:val="00B61B51"/>
    <w:rsid w:val="00B626B7"/>
    <w:rsid w:val="00B63769"/>
    <w:rsid w:val="00B638EE"/>
    <w:rsid w:val="00B63BE5"/>
    <w:rsid w:val="00B63EFC"/>
    <w:rsid w:val="00B6427D"/>
    <w:rsid w:val="00B649BB"/>
    <w:rsid w:val="00B6502A"/>
    <w:rsid w:val="00B6601D"/>
    <w:rsid w:val="00B6663C"/>
    <w:rsid w:val="00B66B40"/>
    <w:rsid w:val="00B6744F"/>
    <w:rsid w:val="00B679FC"/>
    <w:rsid w:val="00B67BD5"/>
    <w:rsid w:val="00B7048B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74D2"/>
    <w:rsid w:val="00B8044B"/>
    <w:rsid w:val="00B80D2C"/>
    <w:rsid w:val="00B813E4"/>
    <w:rsid w:val="00B83AFF"/>
    <w:rsid w:val="00B83DA4"/>
    <w:rsid w:val="00B83E8A"/>
    <w:rsid w:val="00B843E2"/>
    <w:rsid w:val="00B85BEB"/>
    <w:rsid w:val="00B8609F"/>
    <w:rsid w:val="00B8694D"/>
    <w:rsid w:val="00B87C91"/>
    <w:rsid w:val="00B901CE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4F44"/>
    <w:rsid w:val="00B94FD8"/>
    <w:rsid w:val="00B951C7"/>
    <w:rsid w:val="00B95A34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E37"/>
    <w:rsid w:val="00BA48A9"/>
    <w:rsid w:val="00BA5961"/>
    <w:rsid w:val="00BA5CE3"/>
    <w:rsid w:val="00BA67EB"/>
    <w:rsid w:val="00BA6F4B"/>
    <w:rsid w:val="00BA7FCC"/>
    <w:rsid w:val="00BB100B"/>
    <w:rsid w:val="00BB1552"/>
    <w:rsid w:val="00BB21DB"/>
    <w:rsid w:val="00BB22C4"/>
    <w:rsid w:val="00BB437F"/>
    <w:rsid w:val="00BB5437"/>
    <w:rsid w:val="00BB753A"/>
    <w:rsid w:val="00BC004A"/>
    <w:rsid w:val="00BC0D66"/>
    <w:rsid w:val="00BC13EA"/>
    <w:rsid w:val="00BC1FCD"/>
    <w:rsid w:val="00BC24C9"/>
    <w:rsid w:val="00BC2E66"/>
    <w:rsid w:val="00BC33F1"/>
    <w:rsid w:val="00BC3FDF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948"/>
    <w:rsid w:val="00BD5DFD"/>
    <w:rsid w:val="00BD633F"/>
    <w:rsid w:val="00BD67FC"/>
    <w:rsid w:val="00BD6E1E"/>
    <w:rsid w:val="00BD77D5"/>
    <w:rsid w:val="00BE24E0"/>
    <w:rsid w:val="00BE35B5"/>
    <w:rsid w:val="00BE3668"/>
    <w:rsid w:val="00BE3F4B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2E37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E2F"/>
    <w:rsid w:val="00C028A5"/>
    <w:rsid w:val="00C02C7A"/>
    <w:rsid w:val="00C03778"/>
    <w:rsid w:val="00C038F6"/>
    <w:rsid w:val="00C03A07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A3D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64C"/>
    <w:rsid w:val="00C24A3D"/>
    <w:rsid w:val="00C2555B"/>
    <w:rsid w:val="00C25707"/>
    <w:rsid w:val="00C25EEA"/>
    <w:rsid w:val="00C26086"/>
    <w:rsid w:val="00C260B4"/>
    <w:rsid w:val="00C2631A"/>
    <w:rsid w:val="00C263EE"/>
    <w:rsid w:val="00C264B0"/>
    <w:rsid w:val="00C26648"/>
    <w:rsid w:val="00C2697F"/>
    <w:rsid w:val="00C2768E"/>
    <w:rsid w:val="00C278B2"/>
    <w:rsid w:val="00C27E9D"/>
    <w:rsid w:val="00C304F1"/>
    <w:rsid w:val="00C30797"/>
    <w:rsid w:val="00C31694"/>
    <w:rsid w:val="00C3190B"/>
    <w:rsid w:val="00C31D34"/>
    <w:rsid w:val="00C31E3A"/>
    <w:rsid w:val="00C32F1F"/>
    <w:rsid w:val="00C3342B"/>
    <w:rsid w:val="00C33D45"/>
    <w:rsid w:val="00C33ECB"/>
    <w:rsid w:val="00C34429"/>
    <w:rsid w:val="00C34903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362A"/>
    <w:rsid w:val="00C53BCC"/>
    <w:rsid w:val="00C53E3B"/>
    <w:rsid w:val="00C54A54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110D"/>
    <w:rsid w:val="00C61262"/>
    <w:rsid w:val="00C61F2A"/>
    <w:rsid w:val="00C62DCB"/>
    <w:rsid w:val="00C63AF0"/>
    <w:rsid w:val="00C64252"/>
    <w:rsid w:val="00C658D2"/>
    <w:rsid w:val="00C65972"/>
    <w:rsid w:val="00C65DD5"/>
    <w:rsid w:val="00C665AC"/>
    <w:rsid w:val="00C668DD"/>
    <w:rsid w:val="00C66A2F"/>
    <w:rsid w:val="00C66EFF"/>
    <w:rsid w:val="00C67238"/>
    <w:rsid w:val="00C7039C"/>
    <w:rsid w:val="00C718CE"/>
    <w:rsid w:val="00C718D0"/>
    <w:rsid w:val="00C72B36"/>
    <w:rsid w:val="00C7317C"/>
    <w:rsid w:val="00C73C43"/>
    <w:rsid w:val="00C750A7"/>
    <w:rsid w:val="00C76A56"/>
    <w:rsid w:val="00C77683"/>
    <w:rsid w:val="00C80B55"/>
    <w:rsid w:val="00C81002"/>
    <w:rsid w:val="00C810CF"/>
    <w:rsid w:val="00C81E8E"/>
    <w:rsid w:val="00C826EA"/>
    <w:rsid w:val="00C82D2A"/>
    <w:rsid w:val="00C82ECC"/>
    <w:rsid w:val="00C83055"/>
    <w:rsid w:val="00C856FF"/>
    <w:rsid w:val="00C85FED"/>
    <w:rsid w:val="00C86055"/>
    <w:rsid w:val="00C8631A"/>
    <w:rsid w:val="00C865F0"/>
    <w:rsid w:val="00C871AA"/>
    <w:rsid w:val="00C872BF"/>
    <w:rsid w:val="00C8791F"/>
    <w:rsid w:val="00C91011"/>
    <w:rsid w:val="00C940BA"/>
    <w:rsid w:val="00C945A4"/>
    <w:rsid w:val="00C94D47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A0B"/>
    <w:rsid w:val="00CA5E1B"/>
    <w:rsid w:val="00CA5F1B"/>
    <w:rsid w:val="00CA6381"/>
    <w:rsid w:val="00CA738B"/>
    <w:rsid w:val="00CA7651"/>
    <w:rsid w:val="00CB0B02"/>
    <w:rsid w:val="00CB0B6B"/>
    <w:rsid w:val="00CB1C86"/>
    <w:rsid w:val="00CB246C"/>
    <w:rsid w:val="00CB34AB"/>
    <w:rsid w:val="00CB3D8A"/>
    <w:rsid w:val="00CB3E18"/>
    <w:rsid w:val="00CB428E"/>
    <w:rsid w:val="00CB4927"/>
    <w:rsid w:val="00CB5CB7"/>
    <w:rsid w:val="00CB63D4"/>
    <w:rsid w:val="00CB6724"/>
    <w:rsid w:val="00CB677E"/>
    <w:rsid w:val="00CB681E"/>
    <w:rsid w:val="00CB70E3"/>
    <w:rsid w:val="00CB7FDC"/>
    <w:rsid w:val="00CC13FD"/>
    <w:rsid w:val="00CC1515"/>
    <w:rsid w:val="00CC1A2A"/>
    <w:rsid w:val="00CC1BB4"/>
    <w:rsid w:val="00CC20DA"/>
    <w:rsid w:val="00CC21D6"/>
    <w:rsid w:val="00CC289E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7E5"/>
    <w:rsid w:val="00CD096F"/>
    <w:rsid w:val="00CD10D2"/>
    <w:rsid w:val="00CD237F"/>
    <w:rsid w:val="00CD2419"/>
    <w:rsid w:val="00CD2737"/>
    <w:rsid w:val="00CD3BB3"/>
    <w:rsid w:val="00CD3F3D"/>
    <w:rsid w:val="00CD483A"/>
    <w:rsid w:val="00CD49B2"/>
    <w:rsid w:val="00CD6911"/>
    <w:rsid w:val="00CD6B49"/>
    <w:rsid w:val="00CD6B79"/>
    <w:rsid w:val="00CD6C45"/>
    <w:rsid w:val="00CD6EF6"/>
    <w:rsid w:val="00CE0A59"/>
    <w:rsid w:val="00CE1E49"/>
    <w:rsid w:val="00CE2C73"/>
    <w:rsid w:val="00CE2CFE"/>
    <w:rsid w:val="00CE37A1"/>
    <w:rsid w:val="00CE3BE5"/>
    <w:rsid w:val="00CE3DDF"/>
    <w:rsid w:val="00CE41CB"/>
    <w:rsid w:val="00CE428D"/>
    <w:rsid w:val="00CE4C47"/>
    <w:rsid w:val="00CE4E5E"/>
    <w:rsid w:val="00CE55B5"/>
    <w:rsid w:val="00CE5D48"/>
    <w:rsid w:val="00CE6BCF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56DE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4FC9"/>
    <w:rsid w:val="00D15AB8"/>
    <w:rsid w:val="00D15E9C"/>
    <w:rsid w:val="00D161D1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C22"/>
    <w:rsid w:val="00D239C8"/>
    <w:rsid w:val="00D242CA"/>
    <w:rsid w:val="00D24861"/>
    <w:rsid w:val="00D24A37"/>
    <w:rsid w:val="00D259C1"/>
    <w:rsid w:val="00D26A7D"/>
    <w:rsid w:val="00D306AD"/>
    <w:rsid w:val="00D31106"/>
    <w:rsid w:val="00D31340"/>
    <w:rsid w:val="00D32B16"/>
    <w:rsid w:val="00D32BCF"/>
    <w:rsid w:val="00D3361C"/>
    <w:rsid w:val="00D33AB9"/>
    <w:rsid w:val="00D33C7C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A4C"/>
    <w:rsid w:val="00D43642"/>
    <w:rsid w:val="00D44FC0"/>
    <w:rsid w:val="00D45872"/>
    <w:rsid w:val="00D45B7E"/>
    <w:rsid w:val="00D469AC"/>
    <w:rsid w:val="00D46D80"/>
    <w:rsid w:val="00D50A3C"/>
    <w:rsid w:val="00D50D9C"/>
    <w:rsid w:val="00D511B9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E48"/>
    <w:rsid w:val="00D764C2"/>
    <w:rsid w:val="00D768F6"/>
    <w:rsid w:val="00D76D2F"/>
    <w:rsid w:val="00D76F00"/>
    <w:rsid w:val="00D77174"/>
    <w:rsid w:val="00D804E4"/>
    <w:rsid w:val="00D80AAF"/>
    <w:rsid w:val="00D80BB0"/>
    <w:rsid w:val="00D8170C"/>
    <w:rsid w:val="00D81A68"/>
    <w:rsid w:val="00D82565"/>
    <w:rsid w:val="00D83AEC"/>
    <w:rsid w:val="00D83F7D"/>
    <w:rsid w:val="00D85431"/>
    <w:rsid w:val="00D86403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ACB"/>
    <w:rsid w:val="00D93E37"/>
    <w:rsid w:val="00D947AF"/>
    <w:rsid w:val="00D94E5D"/>
    <w:rsid w:val="00D95B10"/>
    <w:rsid w:val="00D966FA"/>
    <w:rsid w:val="00D976FA"/>
    <w:rsid w:val="00D97C88"/>
    <w:rsid w:val="00DA02B9"/>
    <w:rsid w:val="00DA046E"/>
    <w:rsid w:val="00DA0709"/>
    <w:rsid w:val="00DA0BBA"/>
    <w:rsid w:val="00DA11C0"/>
    <w:rsid w:val="00DA19CB"/>
    <w:rsid w:val="00DA1AC9"/>
    <w:rsid w:val="00DA1F67"/>
    <w:rsid w:val="00DA2500"/>
    <w:rsid w:val="00DA2588"/>
    <w:rsid w:val="00DA29C6"/>
    <w:rsid w:val="00DA2D80"/>
    <w:rsid w:val="00DA327B"/>
    <w:rsid w:val="00DA3DF8"/>
    <w:rsid w:val="00DA4876"/>
    <w:rsid w:val="00DA4BF0"/>
    <w:rsid w:val="00DA5068"/>
    <w:rsid w:val="00DA557E"/>
    <w:rsid w:val="00DA61BA"/>
    <w:rsid w:val="00DA628B"/>
    <w:rsid w:val="00DA6311"/>
    <w:rsid w:val="00DA6A0A"/>
    <w:rsid w:val="00DA768E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A7D"/>
    <w:rsid w:val="00DD5BD5"/>
    <w:rsid w:val="00DD66E5"/>
    <w:rsid w:val="00DD6DF1"/>
    <w:rsid w:val="00DD7176"/>
    <w:rsid w:val="00DD7AF7"/>
    <w:rsid w:val="00DD7D4E"/>
    <w:rsid w:val="00DD7E64"/>
    <w:rsid w:val="00DE01B3"/>
    <w:rsid w:val="00DE0240"/>
    <w:rsid w:val="00DE0B48"/>
    <w:rsid w:val="00DE1A09"/>
    <w:rsid w:val="00DE1E75"/>
    <w:rsid w:val="00DE1F6D"/>
    <w:rsid w:val="00DE3470"/>
    <w:rsid w:val="00DE36B5"/>
    <w:rsid w:val="00DE378E"/>
    <w:rsid w:val="00DE3822"/>
    <w:rsid w:val="00DE3CB9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C2C"/>
    <w:rsid w:val="00DF4759"/>
    <w:rsid w:val="00DF5388"/>
    <w:rsid w:val="00DF54C4"/>
    <w:rsid w:val="00DF5583"/>
    <w:rsid w:val="00DF67A9"/>
    <w:rsid w:val="00DF6FEE"/>
    <w:rsid w:val="00E0178B"/>
    <w:rsid w:val="00E01A2D"/>
    <w:rsid w:val="00E023F8"/>
    <w:rsid w:val="00E02422"/>
    <w:rsid w:val="00E04339"/>
    <w:rsid w:val="00E04E1B"/>
    <w:rsid w:val="00E04FC8"/>
    <w:rsid w:val="00E058C3"/>
    <w:rsid w:val="00E060E7"/>
    <w:rsid w:val="00E06CA7"/>
    <w:rsid w:val="00E100E6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33DB"/>
    <w:rsid w:val="00E234C3"/>
    <w:rsid w:val="00E247FE"/>
    <w:rsid w:val="00E249A9"/>
    <w:rsid w:val="00E2689E"/>
    <w:rsid w:val="00E26B43"/>
    <w:rsid w:val="00E26E08"/>
    <w:rsid w:val="00E27452"/>
    <w:rsid w:val="00E27A85"/>
    <w:rsid w:val="00E31059"/>
    <w:rsid w:val="00E3119C"/>
    <w:rsid w:val="00E313D7"/>
    <w:rsid w:val="00E330EE"/>
    <w:rsid w:val="00E33E36"/>
    <w:rsid w:val="00E341B6"/>
    <w:rsid w:val="00E350C1"/>
    <w:rsid w:val="00E3539C"/>
    <w:rsid w:val="00E3548C"/>
    <w:rsid w:val="00E35869"/>
    <w:rsid w:val="00E359EC"/>
    <w:rsid w:val="00E35C25"/>
    <w:rsid w:val="00E36D86"/>
    <w:rsid w:val="00E375B5"/>
    <w:rsid w:val="00E3770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4584"/>
    <w:rsid w:val="00E44691"/>
    <w:rsid w:val="00E44FA7"/>
    <w:rsid w:val="00E45EB4"/>
    <w:rsid w:val="00E465A1"/>
    <w:rsid w:val="00E47269"/>
    <w:rsid w:val="00E47F60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B2E"/>
    <w:rsid w:val="00E550A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45C5"/>
    <w:rsid w:val="00E95189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640"/>
    <w:rsid w:val="00EB5CD3"/>
    <w:rsid w:val="00EB6DFF"/>
    <w:rsid w:val="00EB6EBC"/>
    <w:rsid w:val="00EB7191"/>
    <w:rsid w:val="00EB75DB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D84"/>
    <w:rsid w:val="00ED322A"/>
    <w:rsid w:val="00ED3763"/>
    <w:rsid w:val="00ED3E86"/>
    <w:rsid w:val="00ED434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33D"/>
    <w:rsid w:val="00EE37A0"/>
    <w:rsid w:val="00EE38EE"/>
    <w:rsid w:val="00EE3FC2"/>
    <w:rsid w:val="00EE4C00"/>
    <w:rsid w:val="00EE541C"/>
    <w:rsid w:val="00EE606A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820"/>
    <w:rsid w:val="00EF5870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23D2"/>
    <w:rsid w:val="00F02988"/>
    <w:rsid w:val="00F032E2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E1"/>
    <w:rsid w:val="00F138A9"/>
    <w:rsid w:val="00F138F7"/>
    <w:rsid w:val="00F1400D"/>
    <w:rsid w:val="00F14FD7"/>
    <w:rsid w:val="00F15107"/>
    <w:rsid w:val="00F1662A"/>
    <w:rsid w:val="00F170FF"/>
    <w:rsid w:val="00F17ADC"/>
    <w:rsid w:val="00F21129"/>
    <w:rsid w:val="00F21E62"/>
    <w:rsid w:val="00F22202"/>
    <w:rsid w:val="00F222DD"/>
    <w:rsid w:val="00F22718"/>
    <w:rsid w:val="00F23438"/>
    <w:rsid w:val="00F23A4F"/>
    <w:rsid w:val="00F23DCC"/>
    <w:rsid w:val="00F2407C"/>
    <w:rsid w:val="00F25694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645E"/>
    <w:rsid w:val="00F56B48"/>
    <w:rsid w:val="00F57803"/>
    <w:rsid w:val="00F57E8A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9F2"/>
    <w:rsid w:val="00F65CEE"/>
    <w:rsid w:val="00F65E55"/>
    <w:rsid w:val="00F661BB"/>
    <w:rsid w:val="00F670D1"/>
    <w:rsid w:val="00F67DDA"/>
    <w:rsid w:val="00F67E0B"/>
    <w:rsid w:val="00F718DB"/>
    <w:rsid w:val="00F71DB2"/>
    <w:rsid w:val="00F722C1"/>
    <w:rsid w:val="00F7362B"/>
    <w:rsid w:val="00F73A1B"/>
    <w:rsid w:val="00F73CC1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5E5"/>
    <w:rsid w:val="00F84478"/>
    <w:rsid w:val="00F84CDE"/>
    <w:rsid w:val="00F85428"/>
    <w:rsid w:val="00F8558F"/>
    <w:rsid w:val="00F85621"/>
    <w:rsid w:val="00F859E5"/>
    <w:rsid w:val="00F85A85"/>
    <w:rsid w:val="00F85B2E"/>
    <w:rsid w:val="00F86469"/>
    <w:rsid w:val="00F869D6"/>
    <w:rsid w:val="00F86A20"/>
    <w:rsid w:val="00F87120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762"/>
    <w:rsid w:val="00FA7DBB"/>
    <w:rsid w:val="00FB04EE"/>
    <w:rsid w:val="00FB0665"/>
    <w:rsid w:val="00FB06D6"/>
    <w:rsid w:val="00FB0708"/>
    <w:rsid w:val="00FB0CAD"/>
    <w:rsid w:val="00FB0E7C"/>
    <w:rsid w:val="00FB0F34"/>
    <w:rsid w:val="00FB1BAC"/>
    <w:rsid w:val="00FB2A78"/>
    <w:rsid w:val="00FB32BC"/>
    <w:rsid w:val="00FB340A"/>
    <w:rsid w:val="00FB428C"/>
    <w:rsid w:val="00FB4700"/>
    <w:rsid w:val="00FB485F"/>
    <w:rsid w:val="00FB5364"/>
    <w:rsid w:val="00FB5378"/>
    <w:rsid w:val="00FB53C9"/>
    <w:rsid w:val="00FB58D1"/>
    <w:rsid w:val="00FB6109"/>
    <w:rsid w:val="00FB61F0"/>
    <w:rsid w:val="00FB7B9F"/>
    <w:rsid w:val="00FC03F5"/>
    <w:rsid w:val="00FC0615"/>
    <w:rsid w:val="00FC09B7"/>
    <w:rsid w:val="00FC0D0A"/>
    <w:rsid w:val="00FC0E89"/>
    <w:rsid w:val="00FC1ACF"/>
    <w:rsid w:val="00FC2036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45B"/>
    <w:rsid w:val="00FD15C7"/>
    <w:rsid w:val="00FD2447"/>
    <w:rsid w:val="00FD3099"/>
    <w:rsid w:val="00FD3963"/>
    <w:rsid w:val="00FD40A6"/>
    <w:rsid w:val="00FD5347"/>
    <w:rsid w:val="00FD5543"/>
    <w:rsid w:val="00FD59C3"/>
    <w:rsid w:val="00FD5A51"/>
    <w:rsid w:val="00FD5B6E"/>
    <w:rsid w:val="00FD6EDE"/>
    <w:rsid w:val="00FD79C9"/>
    <w:rsid w:val="00FE0805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619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endnote text" w:uiPriority="99"/>
    <w:lsdException w:name="Title" w:uiPriority="10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b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1">
    <w:name w:val="EmailStyle473"/>
    <w:aliases w:val="EmailStyle473"/>
    <w:basedOn w:val="DefaultParagraphFont"/>
    <w:semiHidden/>
    <w:personal/>
    <w:personalReply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0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</w:style>
  <w:style w:type="character" w:customStyle="1" w:styleId="Column4Char">
    <w:name w:val="Column_4 Char"/>
    <w:basedOn w:val="Column3Char"/>
    <w:link w:val="Column4"/>
    <w:rsid w:val="004C1655"/>
  </w:style>
  <w:style w:type="character" w:customStyle="1" w:styleId="Column6Char">
    <w:name w:val="Column_6 Char"/>
    <w:basedOn w:val="Column4Char"/>
    <w:link w:val="Column6"/>
    <w:rsid w:val="004C1655"/>
    <w:rPr>
      <w:szCs w:val="18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1">
    <w:name w:val="EmailStyle529"/>
    <w:aliases w:val="EmailStyle529"/>
    <w:basedOn w:val="DefaultParagraphFont"/>
    <w:semiHidden/>
    <w:personal/>
    <w:personalReply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2">
    <w:name w:val="Char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">
    <w:name w:val="EmailStyle6061"/>
    <w:aliases w:val="EmailStyle6061"/>
    <w:basedOn w:val="DefaultParagraphFont"/>
    <w:semiHidden/>
    <w:personal/>
    <w:personalReply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4">
    <w:name w:val="Char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1">
    <w:name w:val="EmailStyle611"/>
    <w:aliases w:val="EmailStyle611"/>
    <w:basedOn w:val="DefaultParagraphFont"/>
    <w:semiHidden/>
    <w:personal/>
    <w:personalReply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5">
    <w:name w:val="Char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">
    <w:name w:val="EmailStyle6191"/>
    <w:aliases w:val="EmailStyle6191"/>
    <w:basedOn w:val="DefaultParagraphFont"/>
    <w:semiHidden/>
    <w:personal/>
    <w:personalReply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6">
    <w:name w:val="Char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1">
    <w:name w:val="EmailStyle624"/>
    <w:aliases w:val="EmailStyle624"/>
    <w:basedOn w:val="DefaultParagraphFont"/>
    <w:semiHidden/>
    <w:personal/>
    <w:personalReply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7">
    <w:name w:val="Char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">
    <w:name w:val="EmailStyle6301"/>
    <w:aliases w:val="EmailStyle6301"/>
    <w:basedOn w:val="DefaultParagraphFont"/>
    <w:semiHidden/>
    <w:personal/>
    <w:personalReply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8">
    <w:name w:val="Char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">
    <w:name w:val="EmailStyle6391"/>
    <w:aliases w:val="EmailStyle6391"/>
    <w:basedOn w:val="DefaultParagraphFont"/>
    <w:semiHidden/>
    <w:personal/>
    <w:personalReply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1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8E1A-D1A2-4386-96E6-B6D6BF86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6912</Words>
  <Characters>41225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48041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Récup. + corr. KJ</dc:description>
  <cp:lastModifiedBy>clausel</cp:lastModifiedBy>
  <cp:revision>4</cp:revision>
  <cp:lastPrinted>2012-01-20T09:56:00Z</cp:lastPrinted>
  <dcterms:created xsi:type="dcterms:W3CDTF">2012-01-27T14:41:00Z</dcterms:created>
  <dcterms:modified xsi:type="dcterms:W3CDTF">2012-01-31T11:28:00Z</dcterms:modified>
</cp:coreProperties>
</file>