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8E5C87"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8E5C87" w14:paraId="4BB55DEB" w14:textId="77777777" w:rsidTr="00EC36AF">
        <w:tc>
          <w:tcPr>
            <w:tcW w:w="1507" w:type="dxa"/>
            <w:tcBorders>
              <w:top w:val="nil"/>
              <w:left w:val="single" w:sz="8" w:space="0" w:color="333333"/>
              <w:bottom w:val="nil"/>
            </w:tcBorders>
            <w:shd w:val="clear" w:color="auto" w:fill="4C4C4C"/>
            <w:vAlign w:val="center"/>
          </w:tcPr>
          <w:p w14:paraId="2450D859" w14:textId="6DE16410" w:rsidR="00BF6D6B" w:rsidRPr="006573E2"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DA2A51">
              <w:rPr>
                <w:rStyle w:val="Foot"/>
                <w:rFonts w:ascii="Arial" w:hAnsi="Arial" w:cs="Arial"/>
                <w:b/>
                <w:bCs/>
                <w:color w:val="FFFFFF"/>
                <w:sz w:val="28"/>
                <w:szCs w:val="28"/>
                <w:lang w:val="fr-FR"/>
              </w:rPr>
              <w:t>9</w:t>
            </w:r>
          </w:p>
        </w:tc>
        <w:tc>
          <w:tcPr>
            <w:tcW w:w="1035" w:type="dxa"/>
            <w:tcBorders>
              <w:top w:val="nil"/>
              <w:bottom w:val="nil"/>
            </w:tcBorders>
            <w:shd w:val="clear" w:color="auto" w:fill="A6A6A6"/>
            <w:vAlign w:val="center"/>
          </w:tcPr>
          <w:p w14:paraId="4C88A0FA" w14:textId="123DA056"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Pr="00144FEF">
              <w:rPr>
                <w:color w:val="FFFFFF" w:themeColor="background1"/>
              </w:rPr>
              <w:t>.</w:t>
            </w:r>
            <w:r w:rsidR="00F2297B">
              <w:rPr>
                <w:color w:val="FFFFFF" w:themeColor="background1"/>
              </w:rPr>
              <w:t>X</w:t>
            </w:r>
            <w:r w:rsidR="006573E2">
              <w:rPr>
                <w:color w:val="FFFFFF" w:themeColor="background1"/>
                <w:lang w:val="en-US"/>
              </w:rPr>
              <w:t>I</w:t>
            </w:r>
            <w:r w:rsidR="005255C2">
              <w:rPr>
                <w:color w:val="FFFFFF" w:themeColor="background1"/>
                <w:lang w:val="en-US"/>
              </w:rPr>
              <w:t>I</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10AF7B73"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5255C2">
              <w:rPr>
                <w:color w:val="FFFFFF"/>
                <w:lang w:val="fr-FR"/>
              </w:rPr>
              <w:t>14</w:t>
            </w:r>
            <w:r w:rsidR="00203527">
              <w:rPr>
                <w:color w:val="FFFFFF"/>
                <w:lang w:val="fr-FR"/>
              </w:rPr>
              <w:t xml:space="preserve"> </w:t>
            </w:r>
            <w:r w:rsidR="005255C2">
              <w:rPr>
                <w:color w:val="FFFFFF"/>
                <w:lang w:val="fr-FR"/>
              </w:rPr>
              <w:t>novemb</w:t>
            </w:r>
            <w:r w:rsidR="009D510E">
              <w:rPr>
                <w:color w:val="FFFFFF"/>
                <w:lang w:val="fr-FR"/>
              </w:rPr>
              <w:t>re</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8E5C87"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791D8EB1" w:rsidR="00EF4363" w:rsidRDefault="000F70A6" w:rsidP="004F2689">
      <w:pPr>
        <w:pStyle w:val="TOC1"/>
      </w:pPr>
      <w:r w:rsidRPr="000F70A6">
        <w:rPr>
          <w:lang w:val="fr-CH"/>
        </w:rPr>
        <w:t>Approbation et suppression de Recommandations UIT-T</w:t>
      </w:r>
      <w:r w:rsidR="004F2689" w:rsidRPr="000204B2">
        <w:tab/>
      </w:r>
      <w:r w:rsidR="004F2689" w:rsidRPr="000204B2">
        <w:tab/>
        <w:t>4</w:t>
      </w:r>
    </w:p>
    <w:p w14:paraId="126B849B" w14:textId="7F426CFC" w:rsidR="00D41E35" w:rsidRDefault="00D41E35" w:rsidP="00D41E35">
      <w:pPr>
        <w:pStyle w:val="TOC1"/>
      </w:pPr>
      <w:r w:rsidRPr="00D41E35">
        <w:rPr>
          <w:lang w:val="fr-CH"/>
        </w:rPr>
        <w:t>Service</w:t>
      </w:r>
      <w:r w:rsidRPr="00F96671">
        <w:t xml:space="preserve"> téléphonique</w:t>
      </w:r>
      <w:r>
        <w:t>:</w:t>
      </w:r>
    </w:p>
    <w:p w14:paraId="4B646441" w14:textId="0B1E6A55" w:rsidR="00D41E35" w:rsidRPr="00672728" w:rsidRDefault="005255C2" w:rsidP="00D41E35">
      <w:pPr>
        <w:pStyle w:val="TOC1"/>
        <w:ind w:firstLine="0"/>
        <w:rPr>
          <w:lang w:val="fr-CH"/>
        </w:rPr>
      </w:pPr>
      <w:r w:rsidRPr="00E559D1">
        <w:rPr>
          <w:rStyle w:val="Hyperlink"/>
          <w:color w:val="auto"/>
          <w:u w:val="none"/>
          <w:lang w:val="fr-CH"/>
        </w:rPr>
        <w:t>Malta</w:t>
      </w:r>
      <w:r w:rsidRPr="00392760">
        <w:rPr>
          <w:lang w:val="fr-CH"/>
        </w:rPr>
        <w:t xml:space="preserve"> (</w:t>
      </w:r>
      <w:r w:rsidRPr="00392760">
        <w:rPr>
          <w:rFonts w:cs="Arial"/>
          <w:i/>
          <w:lang w:val="fr-CH"/>
        </w:rPr>
        <w:t>Malta Communications Authority (MCA)</w:t>
      </w:r>
      <w:r w:rsidRPr="00392760">
        <w:rPr>
          <w:rFonts w:cs="Arial"/>
          <w:lang w:val="fr-CH"/>
        </w:rPr>
        <w:t>, Floriana</w:t>
      </w:r>
      <w:r w:rsidRPr="00392760">
        <w:rPr>
          <w:lang w:val="fr-CH"/>
        </w:rPr>
        <w:t>)</w:t>
      </w:r>
      <w:r w:rsidR="00D41E35">
        <w:rPr>
          <w:lang w:val="fr-CH"/>
        </w:rPr>
        <w:tab/>
      </w:r>
      <w:r w:rsidR="00D41E35">
        <w:rPr>
          <w:lang w:val="fr-CH"/>
        </w:rPr>
        <w:tab/>
      </w:r>
      <w:r>
        <w:rPr>
          <w:lang w:val="fr-CH"/>
        </w:rPr>
        <w:t>5</w:t>
      </w:r>
    </w:p>
    <w:p w14:paraId="6566F591" w14:textId="5A42A5EC" w:rsidR="00D41E35" w:rsidRDefault="00D41E35" w:rsidP="00D41E35">
      <w:pPr>
        <w:pStyle w:val="TOC1"/>
        <w:ind w:firstLine="0"/>
        <w:rPr>
          <w:lang w:val="fr-CH"/>
        </w:rPr>
      </w:pPr>
      <w:r w:rsidRPr="00672728">
        <w:t>M</w:t>
      </w:r>
      <w:r>
        <w:t>aroc</w:t>
      </w:r>
      <w:r w:rsidRPr="00672728">
        <w:rPr>
          <w:lang w:val="fr-CH"/>
        </w:rPr>
        <w:t xml:space="preserve"> (</w:t>
      </w:r>
      <w:r w:rsidRPr="00F96671">
        <w:rPr>
          <w:i/>
          <w:iCs/>
        </w:rPr>
        <w:t>Agence Nationale de Réglementation des Télécommunications (ANRT)</w:t>
      </w:r>
      <w:r w:rsidRPr="00F96671">
        <w:t>, Rabat</w:t>
      </w:r>
      <w:r w:rsidRPr="00672728">
        <w:rPr>
          <w:lang w:val="fr-CH"/>
        </w:rPr>
        <w:t>)</w:t>
      </w:r>
      <w:r>
        <w:rPr>
          <w:lang w:val="fr-CH"/>
        </w:rPr>
        <w:tab/>
      </w:r>
      <w:r>
        <w:rPr>
          <w:lang w:val="fr-CH"/>
        </w:rPr>
        <w:tab/>
      </w:r>
      <w:r w:rsidR="005255C2">
        <w:rPr>
          <w:lang w:val="fr-CH"/>
        </w:rPr>
        <w:t>6</w:t>
      </w:r>
    </w:p>
    <w:p w14:paraId="166E4B3B" w14:textId="680F2137"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D41E35">
        <w:rPr>
          <w:lang w:val="fr-CH"/>
        </w:rPr>
        <w:t>Restrictions</w:t>
      </w:r>
      <w:r w:rsidRPr="002603A9">
        <w:t xml:space="preserve"> de service</w:t>
      </w:r>
      <w:r>
        <w:rPr>
          <w:webHidden/>
        </w:rPr>
        <w:tab/>
      </w:r>
      <w:r w:rsidR="00AB15D6">
        <w:rPr>
          <w:webHidden/>
        </w:rPr>
        <w:tab/>
      </w:r>
      <w:r w:rsidR="005255C2">
        <w:rPr>
          <w:webHidden/>
        </w:rPr>
        <w:t>7</w:t>
      </w:r>
    </w:p>
    <w:p w14:paraId="2048CFC2" w14:textId="0829A931"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5255C2">
        <w:rPr>
          <w:webHidden/>
        </w:rPr>
        <w:t>7</w:t>
      </w:r>
    </w:p>
    <w:p w14:paraId="2456F73B" w14:textId="66C0F1D6" w:rsidR="00314DA4" w:rsidRPr="005F1088" w:rsidRDefault="00314DA4" w:rsidP="005255C2">
      <w:pPr>
        <w:pStyle w:val="TOC1"/>
        <w:spacing w:before="360"/>
        <w:rPr>
          <w:rStyle w:val="Hyperlink"/>
          <w:b/>
          <w:bCs/>
          <w:color w:val="auto"/>
        </w:rPr>
      </w:pPr>
      <w:r w:rsidRPr="002603A9">
        <w:rPr>
          <w:b/>
          <w:bCs/>
        </w:rPr>
        <w:t>AMENDEMENTS AUX PUBLICATIONS DE SERVICE</w:t>
      </w:r>
    </w:p>
    <w:p w14:paraId="6D33CB00" w14:textId="42BDF207" w:rsidR="004E256B" w:rsidRPr="009A08C2" w:rsidRDefault="009A08C2" w:rsidP="004F2689">
      <w:pPr>
        <w:pStyle w:val="TOC1"/>
      </w:pPr>
      <w:r w:rsidRPr="009A08C2">
        <w:t>Liste des numéros identificateurs d'entités émettrices</w:t>
      </w:r>
      <w:r w:rsidRPr="009A08C2">
        <w:tab/>
      </w:r>
      <w:r w:rsidRPr="009A08C2">
        <w:tab/>
      </w:r>
      <w:r w:rsidR="005255C2">
        <w:t>8</w:t>
      </w:r>
    </w:p>
    <w:p w14:paraId="4A453C3D" w14:textId="73B67F39" w:rsid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sidRPr="004F2689">
        <w:rPr>
          <w:lang w:val="fr-CH"/>
        </w:rPr>
        <w:t xml:space="preserve">pour les réseaux </w:t>
      </w:r>
      <w:r w:rsidR="009629B3">
        <w:rPr>
          <w:lang w:val="fr-CH"/>
        </w:rPr>
        <w:br/>
      </w:r>
      <w:r w:rsidRPr="004F2689">
        <w:rPr>
          <w:lang w:val="fr-CH"/>
        </w:rPr>
        <w:t>publics et les abonnements</w:t>
      </w:r>
      <w:r>
        <w:rPr>
          <w:lang w:val="fr-CH"/>
        </w:rPr>
        <w:tab/>
      </w:r>
      <w:r>
        <w:rPr>
          <w:lang w:val="fr-CH"/>
        </w:rPr>
        <w:tab/>
      </w:r>
      <w:r w:rsidR="005255C2">
        <w:rPr>
          <w:lang w:val="fr-CH"/>
        </w:rPr>
        <w:t>9</w:t>
      </w:r>
    </w:p>
    <w:p w14:paraId="10D71D34" w14:textId="2A83E5BC" w:rsidR="000F70A6" w:rsidRPr="000F70A6" w:rsidRDefault="000F70A6" w:rsidP="000F70A6">
      <w:pPr>
        <w:pStyle w:val="TOC1"/>
        <w:rPr>
          <w:lang w:val="fr-CH"/>
        </w:rPr>
      </w:pPr>
      <w:r w:rsidRPr="000F70A6">
        <w:rPr>
          <w:lang w:val="fr-CH"/>
        </w:rPr>
        <w:t>Liste des codes de transporteur de l'UIT</w:t>
      </w:r>
      <w:r w:rsidRPr="000F70A6">
        <w:rPr>
          <w:lang w:val="fr-CH"/>
        </w:rPr>
        <w:tab/>
      </w:r>
      <w:r>
        <w:rPr>
          <w:lang w:val="fr-CH"/>
        </w:rPr>
        <w:tab/>
      </w:r>
      <w:r w:rsidR="005255C2">
        <w:rPr>
          <w:lang w:val="fr-CH"/>
        </w:rPr>
        <w:t>9</w:t>
      </w:r>
    </w:p>
    <w:p w14:paraId="3C155967" w14:textId="366A53B3"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5255C2">
        <w:rPr>
          <w:lang w:val="fr-CH"/>
        </w:rPr>
        <w:t>10</w:t>
      </w:r>
    </w:p>
    <w:p w14:paraId="59AE259E" w14:textId="78D80DFF" w:rsidR="0066652F" w:rsidRDefault="0066652F" w:rsidP="0066652F">
      <w:pPr>
        <w:pStyle w:val="TOC1"/>
        <w:rPr>
          <w:lang w:val="fr-CH"/>
        </w:rPr>
      </w:pPr>
      <w:r w:rsidRPr="0066652F">
        <w:rPr>
          <w:lang w:val="fr-CH"/>
        </w:rPr>
        <w:t>Plan de numérotage national</w:t>
      </w:r>
      <w:r>
        <w:rPr>
          <w:lang w:val="fr-CH"/>
        </w:rPr>
        <w:tab/>
      </w:r>
      <w:r>
        <w:rPr>
          <w:lang w:val="fr-CH"/>
        </w:rPr>
        <w:tab/>
      </w:r>
      <w:r w:rsidR="004E256B">
        <w:rPr>
          <w:lang w:val="fr-CH"/>
        </w:rPr>
        <w:t>1</w:t>
      </w:r>
      <w:r w:rsidR="005255C2">
        <w:rPr>
          <w:lang w:val="fr-CH"/>
        </w:rPr>
        <w:t>0</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E5218"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E5218"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E5218">
              <w:rPr>
                <w:rFonts w:eastAsia="SimSun"/>
                <w:i/>
                <w:sz w:val="18"/>
                <w:lang w:eastAsia="zh-CN"/>
              </w:rPr>
              <w:lastRenderedPageBreak/>
              <w:t>Dates of publication of the next</w:t>
            </w:r>
            <w:r w:rsidRPr="000E5218">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BC3327"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BC3327">
              <w:rPr>
                <w:rFonts w:eastAsia="SimSun"/>
                <w:i/>
                <w:sz w:val="18"/>
                <w:lang w:eastAsia="zh-CN"/>
              </w:rPr>
              <w:t>Including information</w:t>
            </w:r>
            <w:r w:rsidRPr="00BC3327">
              <w:rPr>
                <w:rFonts w:eastAsia="SimSun"/>
                <w:i/>
                <w:sz w:val="18"/>
                <w:lang w:eastAsia="zh-CN"/>
              </w:rPr>
              <w:br/>
              <w:t>received by:</w:t>
            </w:r>
          </w:p>
        </w:tc>
      </w:tr>
      <w:tr w:rsidR="00CB7230" w:rsidRPr="00573174" w14:paraId="7C50126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A693CFA"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325549FE"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0D0462D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CB7230" w:rsidRPr="000E5218" w14:paraId="1B89A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26DF5D94"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6215ADFC"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74C097BA"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CB7230" w:rsidRPr="000E5218" w14:paraId="41D2E04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B9BA90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B02DA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D3939E"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CB7230" w:rsidRPr="000E5218" w14:paraId="08A6DED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51F3C3E3"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0FAEB41C"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40451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CB7230" w:rsidRPr="000E5218" w14:paraId="4F6C1A8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4C0B2E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6F9B3F79"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1DEE7B7"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CB7230" w:rsidRPr="000E5218"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CB7230" w:rsidRPr="000E5218"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CB7230" w:rsidRPr="000E5218"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CB7230" w:rsidRPr="000E5218"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CB7230" w:rsidRPr="000E5218"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CB7230" w:rsidRPr="000E5218"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CB7230" w:rsidRPr="000E5218"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CB7230" w:rsidRPr="000E5218"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CB7230" w:rsidRPr="000E5218"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CB7230" w:rsidRPr="000E5218"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CB7230" w:rsidRPr="000E5218"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CB7230" w:rsidRPr="000E5218"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CB7230" w:rsidRPr="000E5218"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CB7230" w:rsidRPr="000E5218"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CB7230" w:rsidRPr="000E5218"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CB7230" w:rsidRPr="000E5218"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CB7230" w:rsidRPr="000E5218"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CB7230" w:rsidRPr="000E5218"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CB7230" w:rsidRPr="000E5218"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CB7230" w:rsidRPr="000E5218"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CB7230" w:rsidRPr="000E5218"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6F37B020" w14:textId="77777777" w:rsidR="00B85D36" w:rsidRPr="005422CB" w:rsidRDefault="00B85D36" w:rsidP="004C1024">
      <w:pPr>
        <w:pStyle w:val="Heading2grey"/>
      </w:pPr>
      <w:bookmarkStart w:id="543" w:name="Content"/>
      <w:bookmarkEnd w:id="543"/>
      <w:r w:rsidRPr="005422CB">
        <w:lastRenderedPageBreak/>
        <w:t xml:space="preserve">Approbation </w:t>
      </w:r>
      <w:r>
        <w:t xml:space="preserve">et suppression </w:t>
      </w:r>
      <w:r w:rsidRPr="005422CB">
        <w:t>de Recommandations UIT-T</w:t>
      </w:r>
    </w:p>
    <w:p w14:paraId="466CBA54" w14:textId="78BA14E8" w:rsidR="00B85D36" w:rsidRDefault="00B85D36" w:rsidP="004D707F">
      <w:pPr>
        <w:spacing w:before="240"/>
        <w:rPr>
          <w:rStyle w:val="Strong"/>
          <w:lang w:val="fr-FR"/>
        </w:rPr>
      </w:pPr>
      <w:bookmarkStart w:id="544" w:name="_Toc4420922"/>
      <w:bookmarkStart w:id="545" w:name="_Toc1570037"/>
      <w:r w:rsidRPr="005A3209">
        <w:rPr>
          <w:rStyle w:val="Strong"/>
          <w:lang w:val="fr-FR"/>
        </w:rPr>
        <w:t>Recommandations approuvées:</w:t>
      </w:r>
      <w:bookmarkStart w:id="546" w:name="ApprovedContent"/>
      <w:bookmarkEnd w:id="546"/>
    </w:p>
    <w:p w14:paraId="3C4359E3" w14:textId="77777777" w:rsidR="00F42652" w:rsidRPr="00F42652" w:rsidRDefault="00F42652" w:rsidP="00F42652">
      <w:pPr>
        <w:rPr>
          <w:lang w:val="fr-FR"/>
        </w:rPr>
      </w:pPr>
      <w:r w:rsidRPr="00F42652">
        <w:rPr>
          <w:lang w:val="fr-FR"/>
        </w:rPr>
        <w:t xml:space="preserve">Par </w:t>
      </w:r>
      <w:hyperlink r:id="rId10" w:history="1">
        <w:r w:rsidRPr="00F42652">
          <w:rPr>
            <w:rStyle w:val="Hyperlink"/>
            <w:lang w:val="fr-FR"/>
          </w:rPr>
          <w:t>AAP-25</w:t>
        </w:r>
      </w:hyperlink>
      <w:r w:rsidRPr="00F42652">
        <w:rPr>
          <w:lang w:val="fr-FR"/>
        </w:rPr>
        <w:t>, il a été annoncé l’approbation des Recommandations UIT-T suivantes, conformément à la procédure définie dans la Recommandation UIT-T A.8:</w:t>
      </w:r>
    </w:p>
    <w:p w14:paraId="7EDC2E0E" w14:textId="6F38E164" w:rsidR="00F42652" w:rsidRDefault="004D707F" w:rsidP="00F42652">
      <w:pPr>
        <w:ind w:left="567" w:hanging="567"/>
      </w:pPr>
      <w:r>
        <w:t>–</w:t>
      </w:r>
      <w:r>
        <w:tab/>
      </w:r>
      <w:hyperlink r:id="rId11" w:history="1">
        <w:r w:rsidR="00F42652">
          <w:rPr>
            <w:rStyle w:val="Hyperlink"/>
          </w:rPr>
          <w:t>ITU-T Y.4238 (11/2025)</w:t>
        </w:r>
      </w:hyperlink>
      <w:r w:rsidR="00F42652">
        <w:t>: Requirements for integrating virtual and physical worlds through digital twins in the metaverse (en cours de traduction)</w:t>
      </w:r>
    </w:p>
    <w:p w14:paraId="5FDFD20F" w14:textId="41441737" w:rsidR="00F42652" w:rsidRDefault="004D707F" w:rsidP="00F42652">
      <w:pPr>
        <w:ind w:left="567" w:hanging="567"/>
      </w:pPr>
      <w:r>
        <w:t>–</w:t>
      </w:r>
      <w:r>
        <w:tab/>
      </w:r>
      <w:hyperlink r:id="rId12" w:history="1">
        <w:r w:rsidR="00F42652">
          <w:rPr>
            <w:rStyle w:val="Hyperlink"/>
          </w:rPr>
          <w:t>ITU-T Y.4239 (11/2025)</w:t>
        </w:r>
      </w:hyperlink>
      <w:r w:rsidR="00F42652">
        <w:t>: Reference model for integrating virtual and physical worlds through digital twins in the metaverse (en cours de traduction)</w:t>
      </w:r>
    </w:p>
    <w:p w14:paraId="288A76C5" w14:textId="6E31CD93" w:rsidR="00F42652" w:rsidRDefault="004D707F" w:rsidP="00F42652">
      <w:pPr>
        <w:ind w:left="567" w:hanging="567"/>
      </w:pPr>
      <w:r>
        <w:t>–</w:t>
      </w:r>
      <w:r>
        <w:tab/>
      </w:r>
      <w:hyperlink r:id="rId13" w:history="1">
        <w:r w:rsidR="00F42652">
          <w:rPr>
            <w:rStyle w:val="Hyperlink"/>
          </w:rPr>
          <w:t>ITU-T Y.4240 (11/2025)</w:t>
        </w:r>
      </w:hyperlink>
      <w:r w:rsidR="00F42652">
        <w:t>: Interoperability for integrating virtual and physical worlds through digital twins in the metaverse (en cours de traduction)</w:t>
      </w:r>
    </w:p>
    <w:p w14:paraId="62FB3DEE" w14:textId="4FBDC1FC" w:rsidR="00F42652" w:rsidRDefault="004D707F" w:rsidP="00F42652">
      <w:pPr>
        <w:ind w:left="567" w:hanging="567"/>
      </w:pPr>
      <w:r>
        <w:t>–</w:t>
      </w:r>
      <w:r>
        <w:tab/>
      </w:r>
      <w:hyperlink r:id="rId14" w:history="1">
        <w:r w:rsidR="00F42652">
          <w:rPr>
            <w:rStyle w:val="Hyperlink"/>
          </w:rPr>
          <w:t>ITU-T Y.4417 (11/2025)</w:t>
        </w:r>
      </w:hyperlink>
      <w:r w:rsidR="00F42652">
        <w:t>: Framework of self-organization networking in Internet of things environments (en cours de traduction)</w:t>
      </w:r>
    </w:p>
    <w:p w14:paraId="5B83AF8C" w14:textId="5F97919E" w:rsidR="00F42652" w:rsidRDefault="004D707F" w:rsidP="00F42652">
      <w:pPr>
        <w:ind w:left="567" w:hanging="567"/>
      </w:pPr>
      <w:r>
        <w:t>–</w:t>
      </w:r>
      <w:r>
        <w:tab/>
      </w:r>
      <w:hyperlink r:id="rId15" w:history="1">
        <w:r w:rsidR="00F42652">
          <w:rPr>
            <w:rStyle w:val="Hyperlink"/>
          </w:rPr>
          <w:t>ITU-T Y.4477 (11/2025)</w:t>
        </w:r>
      </w:hyperlink>
      <w:r w:rsidR="00F42652">
        <w:t>: Framework for autonomous service interworking with device discovery and management in heterogeneous Internet of things environments (en cours de traduction)</w:t>
      </w:r>
    </w:p>
    <w:p w14:paraId="65F270C3" w14:textId="39EFCA5E" w:rsidR="00F42652" w:rsidRDefault="004D707F" w:rsidP="00F42652">
      <w:pPr>
        <w:ind w:left="567" w:hanging="567"/>
      </w:pPr>
      <w:r>
        <w:t>–</w:t>
      </w:r>
      <w:r>
        <w:tab/>
      </w:r>
      <w:hyperlink r:id="rId16" w:history="1">
        <w:r w:rsidR="00F42652">
          <w:rPr>
            <w:rStyle w:val="Hyperlink"/>
          </w:rPr>
          <w:t>ITU-T Y.4511 (11/2025)</w:t>
        </w:r>
      </w:hyperlink>
      <w:r w:rsidR="00F42652">
        <w:t>: Convergence framework for enhancement of service intelligence based on Internet of things (en cours de traduction)</w:t>
      </w:r>
    </w:p>
    <w:p w14:paraId="20DCE00E" w14:textId="7EB3B963" w:rsidR="00F42652" w:rsidRDefault="004D707F" w:rsidP="00F42652">
      <w:pPr>
        <w:ind w:left="567" w:hanging="567"/>
      </w:pPr>
      <w:r>
        <w:t>–</w:t>
      </w:r>
      <w:r>
        <w:tab/>
      </w:r>
      <w:hyperlink r:id="rId17" w:history="1">
        <w:r w:rsidR="00F42652">
          <w:rPr>
            <w:rStyle w:val="Hyperlink"/>
          </w:rPr>
          <w:t>ITU-T Y.4513 (11/2025)</w:t>
        </w:r>
      </w:hyperlink>
      <w:r w:rsidR="00F42652">
        <w:t>: Requirements and functional architecture for blockchain-based sustainable and cooperative digital twin creation system (en cours de traduction)</w:t>
      </w:r>
    </w:p>
    <w:p w14:paraId="548C2C30" w14:textId="156AA9FA" w:rsidR="00F42652" w:rsidRDefault="004D707F" w:rsidP="00F42652">
      <w:pPr>
        <w:ind w:left="567" w:hanging="567"/>
      </w:pPr>
      <w:r>
        <w:t>–</w:t>
      </w:r>
      <w:r>
        <w:tab/>
      </w:r>
      <w:hyperlink r:id="rId18" w:history="1">
        <w:r w:rsidR="00F42652">
          <w:rPr>
            <w:rStyle w:val="Hyperlink"/>
          </w:rPr>
          <w:t>ITU-T Y.4610 (11/2025)</w:t>
        </w:r>
      </w:hyperlink>
      <w:r w:rsidR="00F42652">
        <w:t>: Data requirements and models for smart pest and disease management services (en cours de traduction)</w:t>
      </w:r>
    </w:p>
    <w:p w14:paraId="208802A2" w14:textId="168CEE1A" w:rsidR="00F42652" w:rsidRDefault="004D707F" w:rsidP="00F42652">
      <w:pPr>
        <w:ind w:left="567" w:hanging="567"/>
      </w:pPr>
      <w:r>
        <w:t>–</w:t>
      </w:r>
      <w:r>
        <w:tab/>
      </w:r>
      <w:hyperlink r:id="rId19" w:history="1">
        <w:r w:rsidR="00F42652">
          <w:rPr>
            <w:rStyle w:val="Hyperlink"/>
          </w:rPr>
          <w:t>ITU-T Y.4611 (11/2025)</w:t>
        </w:r>
      </w:hyperlink>
      <w:r w:rsidR="00F42652">
        <w:t>: Requirements and data model of data collected from city infrastructure (en cours de traduction)</w:t>
      </w:r>
    </w:p>
    <w:p w14:paraId="1CD9C87C" w14:textId="5659D4BB" w:rsidR="00F42652" w:rsidRDefault="004D707F" w:rsidP="00F42652">
      <w:r>
        <w:t>–</w:t>
      </w:r>
      <w:r>
        <w:tab/>
      </w:r>
      <w:hyperlink r:id="rId20" w:history="1">
        <w:r w:rsidR="00F42652">
          <w:rPr>
            <w:rStyle w:val="Hyperlink"/>
          </w:rPr>
          <w:t>ITU-T Y.4612 (11/2025)</w:t>
        </w:r>
      </w:hyperlink>
      <w:r w:rsidR="00F42652">
        <w:t>: Framework of Artificial Intelligence of Things (en cours de traduction)</w:t>
      </w:r>
    </w:p>
    <w:p w14:paraId="69ED0966" w14:textId="5D8AEF3B" w:rsidR="00F42652" w:rsidRDefault="004D707F" w:rsidP="00F42652">
      <w:pPr>
        <w:ind w:left="567" w:hanging="567"/>
      </w:pPr>
      <w:r>
        <w:t>–</w:t>
      </w:r>
      <w:r>
        <w:tab/>
      </w:r>
      <w:hyperlink r:id="rId21" w:history="1">
        <w:r w:rsidR="00F42652">
          <w:rPr>
            <w:rStyle w:val="Hyperlink"/>
          </w:rPr>
          <w:t>ITU-T Y.4613 (11/2025)</w:t>
        </w:r>
      </w:hyperlink>
      <w:r w:rsidR="00F42652">
        <w:t>: Functional requirements and capabilities of data processing for smart manufacturing with Artificial Intelligence of Things (en cours de traduction)</w:t>
      </w:r>
    </w:p>
    <w:p w14:paraId="58B3CB16" w14:textId="2651ED76" w:rsidR="00F42652" w:rsidRPr="00F42652" w:rsidRDefault="00F42652" w:rsidP="00F42652">
      <w:pPr>
        <w:rPr>
          <w:lang w:val="fr-FR"/>
        </w:rPr>
      </w:pPr>
      <w:r w:rsidRPr="00F42652">
        <w:rPr>
          <w:lang w:val="fr-FR"/>
        </w:rPr>
        <w:t xml:space="preserve">Par la Circulaire TSB </w:t>
      </w:r>
      <w:hyperlink r:id="rId22" w:history="1">
        <w:r w:rsidRPr="00F42652">
          <w:rPr>
            <w:rStyle w:val="Hyperlink"/>
            <w:lang w:val="fr-FR"/>
          </w:rPr>
          <w:t>CIR-85</w:t>
        </w:r>
      </w:hyperlink>
      <w:r w:rsidRPr="00F42652">
        <w:rPr>
          <w:lang w:val="fr-FR"/>
        </w:rPr>
        <w:t xml:space="preserve"> du 05 novembre 2025, il a été annoncé </w:t>
      </w:r>
      <w:r w:rsidR="008E5C87" w:rsidRPr="00F42652">
        <w:rPr>
          <w:lang w:val="fr-FR"/>
        </w:rPr>
        <w:t xml:space="preserve">l’approbation </w:t>
      </w:r>
      <w:r w:rsidRPr="00F42652">
        <w:rPr>
          <w:lang w:val="fr-FR"/>
        </w:rPr>
        <w:t>des Recommandations UIT-T suivantes, conformément à la procédure définie dans la Résolution 1:</w:t>
      </w:r>
    </w:p>
    <w:p w14:paraId="04830308" w14:textId="0ADE1A29" w:rsidR="00F42652" w:rsidRPr="00F42652" w:rsidRDefault="004D707F" w:rsidP="00F42652">
      <w:pPr>
        <w:ind w:left="567" w:hanging="567"/>
        <w:rPr>
          <w:lang w:val="fr-FR"/>
        </w:rPr>
      </w:pPr>
      <w:r w:rsidRPr="00DD709C">
        <w:rPr>
          <w:lang w:val="fr-FR"/>
        </w:rPr>
        <w:t>–</w:t>
      </w:r>
      <w:r w:rsidRPr="00DD709C">
        <w:rPr>
          <w:lang w:val="fr-FR"/>
        </w:rPr>
        <w:tab/>
      </w:r>
      <w:hyperlink r:id="rId23" w:history="1">
        <w:r w:rsidR="00F42652" w:rsidRPr="00F42652">
          <w:rPr>
            <w:rStyle w:val="Hyperlink"/>
            <w:lang w:val="fr-FR"/>
          </w:rPr>
          <w:t>ITU-T F.748.56 (10/2025)</w:t>
        </w:r>
      </w:hyperlink>
      <w:r w:rsidR="00F42652" w:rsidRPr="00F42652">
        <w:rPr>
          <w:lang w:val="fr-FR"/>
        </w:rPr>
        <w:t>: Artificial intelligence generated content – General framework and requirements (en cours de traduction)</w:t>
      </w:r>
    </w:p>
    <w:p w14:paraId="3117FCEF" w14:textId="4E7DDC69" w:rsidR="00F42652" w:rsidRPr="00F42652" w:rsidRDefault="004D707F" w:rsidP="00F42652">
      <w:pPr>
        <w:ind w:left="567" w:hanging="567"/>
        <w:rPr>
          <w:lang w:val="fr-FR"/>
        </w:rPr>
      </w:pPr>
      <w:r w:rsidRPr="00DD709C">
        <w:rPr>
          <w:lang w:val="fr-FR"/>
        </w:rPr>
        <w:t>–</w:t>
      </w:r>
      <w:r w:rsidRPr="00DD709C">
        <w:rPr>
          <w:lang w:val="fr-FR"/>
        </w:rPr>
        <w:tab/>
      </w:r>
      <w:hyperlink r:id="rId24" w:history="1">
        <w:r w:rsidR="00F42652" w:rsidRPr="00F42652">
          <w:rPr>
            <w:rStyle w:val="Hyperlink"/>
            <w:lang w:val="fr-FR"/>
          </w:rPr>
          <w:t>ITU-T F.748.57 (10/2025)</w:t>
        </w:r>
      </w:hyperlink>
      <w:r w:rsidR="00F42652" w:rsidRPr="00F42652">
        <w:rPr>
          <w:lang w:val="fr-FR"/>
        </w:rPr>
        <w:t>: Technical requirements and assessment methods of generative artificial intelligence enabled multimedia applications (en cours de traduction)</w:t>
      </w:r>
    </w:p>
    <w:p w14:paraId="03BBA7CA" w14:textId="1C26F493" w:rsidR="00F42652" w:rsidRPr="00F42652" w:rsidRDefault="00F42652" w:rsidP="00F42652">
      <w:pPr>
        <w:rPr>
          <w:lang w:val="fr-FR"/>
        </w:rPr>
      </w:pPr>
      <w:r w:rsidRPr="00F42652">
        <w:rPr>
          <w:lang w:val="fr-FR"/>
        </w:rPr>
        <w:t xml:space="preserve">Par la Circulaire TSB </w:t>
      </w:r>
      <w:hyperlink r:id="rId25" w:history="1">
        <w:r w:rsidRPr="00F42652">
          <w:rPr>
            <w:rStyle w:val="Hyperlink"/>
            <w:lang w:val="fr-FR"/>
          </w:rPr>
          <w:t>CIR-89</w:t>
        </w:r>
      </w:hyperlink>
      <w:r w:rsidRPr="00F42652">
        <w:rPr>
          <w:lang w:val="fr-FR"/>
        </w:rPr>
        <w:t xml:space="preserve"> du 19 novembre 2025, il a été annoncé </w:t>
      </w:r>
      <w:r w:rsidR="00DD709C" w:rsidRPr="00F42652">
        <w:rPr>
          <w:lang w:val="fr-FR"/>
        </w:rPr>
        <w:t xml:space="preserve">l’approbation </w:t>
      </w:r>
      <w:r w:rsidRPr="00F42652">
        <w:rPr>
          <w:lang w:val="fr-FR"/>
        </w:rPr>
        <w:t>des Recommandations UIT-T suivantes, conformément à la procédure définie dans la Résolution 1:</w:t>
      </w:r>
    </w:p>
    <w:p w14:paraId="5120A189" w14:textId="58F81F98" w:rsidR="00F42652" w:rsidRPr="00F42652" w:rsidRDefault="004D707F" w:rsidP="00F42652">
      <w:pPr>
        <w:ind w:left="567" w:hanging="567"/>
        <w:rPr>
          <w:lang w:val="fr-FR"/>
        </w:rPr>
      </w:pPr>
      <w:r w:rsidRPr="00DD709C">
        <w:rPr>
          <w:lang w:val="fr-FR"/>
        </w:rPr>
        <w:t>–</w:t>
      </w:r>
      <w:r w:rsidRPr="00DD709C">
        <w:rPr>
          <w:lang w:val="fr-FR"/>
        </w:rPr>
        <w:tab/>
      </w:r>
      <w:hyperlink r:id="rId26" w:history="1">
        <w:r w:rsidR="00F42652" w:rsidRPr="00F42652">
          <w:rPr>
            <w:rStyle w:val="Hyperlink"/>
            <w:lang w:val="fr-FR"/>
          </w:rPr>
          <w:t>ITU-T Y.3188 (10/2025)</w:t>
        </w:r>
      </w:hyperlink>
      <w:r w:rsidR="00F42652" w:rsidRPr="00F42652">
        <w:rPr>
          <w:lang w:val="fr-FR"/>
        </w:rPr>
        <w:t>: IMT-2020 networks and beyond – Requirements and functions for applications demanding large data transmission (en cours de traduction)</w:t>
      </w:r>
    </w:p>
    <w:p w14:paraId="6BE1E49A" w14:textId="4FFFC591" w:rsidR="00F42652" w:rsidRDefault="004D707F" w:rsidP="00F42652">
      <w:pPr>
        <w:ind w:left="567" w:hanging="567"/>
      </w:pPr>
      <w:r>
        <w:t>–</w:t>
      </w:r>
      <w:r>
        <w:tab/>
      </w:r>
      <w:hyperlink r:id="rId27" w:history="1">
        <w:r w:rsidR="00F42652">
          <w:rPr>
            <w:rStyle w:val="Hyperlink"/>
          </w:rPr>
          <w:t>ITU-T Y.3221 (11/2025)</w:t>
        </w:r>
      </w:hyperlink>
      <w:r w:rsidR="00F42652">
        <w:t>: Fixed, mobile and satellite convergence - Local data switching for IMT-2020 networks and beyond (en cours de traduction)</w:t>
      </w:r>
    </w:p>
    <w:p w14:paraId="540BCDFF" w14:textId="17371198" w:rsidR="00F42652" w:rsidRDefault="004D707F" w:rsidP="00F42652">
      <w:pPr>
        <w:ind w:left="567" w:hanging="567"/>
      </w:pPr>
      <w:r>
        <w:t>–</w:t>
      </w:r>
      <w:r>
        <w:tab/>
      </w:r>
      <w:hyperlink r:id="rId28" w:history="1">
        <w:r w:rsidR="00F42652">
          <w:rPr>
            <w:rStyle w:val="Hyperlink"/>
          </w:rPr>
          <w:t>ITU-T Y.3222 (10/2025)</w:t>
        </w:r>
      </w:hyperlink>
      <w:r w:rsidR="00F42652">
        <w:t>: Fixed, mobile and satellite convergence – Functional requirements and functional architecture of the transformer model based unified control entity (en cours de traduction)</w:t>
      </w:r>
    </w:p>
    <w:p w14:paraId="63EA98C2" w14:textId="4D91CCC1" w:rsidR="00F42652" w:rsidRDefault="004D707F" w:rsidP="00F42652">
      <w:pPr>
        <w:ind w:left="567" w:hanging="567"/>
      </w:pPr>
      <w:r>
        <w:t>–</w:t>
      </w:r>
      <w:r>
        <w:tab/>
      </w:r>
      <w:hyperlink r:id="rId29" w:history="1">
        <w:r w:rsidR="00F42652">
          <w:rPr>
            <w:rStyle w:val="Hyperlink"/>
          </w:rPr>
          <w:t>ITU-T Y.3261 (11/2025)</w:t>
        </w:r>
      </w:hyperlink>
      <w:r w:rsidR="00F42652">
        <w:t>: Framework of trust level assessment for trustworthy networking (en cours de traduction)</w:t>
      </w:r>
    </w:p>
    <w:p w14:paraId="39F3449C" w14:textId="19081A26" w:rsidR="00F42652" w:rsidRPr="00F42652" w:rsidRDefault="00F42652" w:rsidP="00F42652">
      <w:pPr>
        <w:rPr>
          <w:lang w:val="fr-FR"/>
        </w:rPr>
      </w:pPr>
      <w:r w:rsidRPr="00F42652">
        <w:rPr>
          <w:lang w:val="fr-FR"/>
        </w:rPr>
        <w:t xml:space="preserve">Par la Circulaire TSB </w:t>
      </w:r>
      <w:hyperlink r:id="rId30" w:history="1">
        <w:r w:rsidRPr="00F42652">
          <w:rPr>
            <w:rStyle w:val="Hyperlink"/>
            <w:lang w:val="fr-FR"/>
          </w:rPr>
          <w:t>CIR-91</w:t>
        </w:r>
      </w:hyperlink>
      <w:r w:rsidRPr="00F42652">
        <w:rPr>
          <w:lang w:val="fr-FR"/>
        </w:rPr>
        <w:t xml:space="preserve"> du 10 novembre 2025, il a été annoncé </w:t>
      </w:r>
      <w:r w:rsidR="00DD709C" w:rsidRPr="00F42652">
        <w:rPr>
          <w:lang w:val="fr-FR"/>
        </w:rPr>
        <w:t xml:space="preserve">l’approbation </w:t>
      </w:r>
      <w:r w:rsidRPr="00F42652">
        <w:rPr>
          <w:lang w:val="fr-FR"/>
        </w:rPr>
        <w:t>des Recommandations UIT-T suivantes, conformément à la procédure définie dans la Résolution 1:</w:t>
      </w:r>
    </w:p>
    <w:p w14:paraId="449BF15C" w14:textId="1AA1A1A8" w:rsidR="00F42652" w:rsidRPr="00F42652" w:rsidRDefault="004D707F" w:rsidP="00F42652">
      <w:pPr>
        <w:rPr>
          <w:lang w:val="fr-FR"/>
        </w:rPr>
      </w:pPr>
      <w:r w:rsidRPr="00DD709C">
        <w:rPr>
          <w:lang w:val="fr-CH"/>
        </w:rPr>
        <w:t>–</w:t>
      </w:r>
      <w:r w:rsidRPr="00DD709C">
        <w:rPr>
          <w:lang w:val="fr-CH"/>
        </w:rPr>
        <w:tab/>
      </w:r>
      <w:hyperlink r:id="rId31" w:history="1">
        <w:r w:rsidR="00F42652" w:rsidRPr="00F42652">
          <w:rPr>
            <w:rStyle w:val="Hyperlink"/>
            <w:lang w:val="fr-FR"/>
          </w:rPr>
          <w:t>ITU-T D.1142 (11/2025)</w:t>
        </w:r>
      </w:hyperlink>
      <w:r w:rsidR="00F42652" w:rsidRPr="00F42652">
        <w:rPr>
          <w:lang w:val="fr-FR"/>
        </w:rPr>
        <w:t>: Lignes directrices sur les aspects économiques et politiques de l'Internet des objets</w:t>
      </w:r>
    </w:p>
    <w:p w14:paraId="7A28D63A" w14:textId="7AF516EE" w:rsidR="00F42652" w:rsidRPr="00DD709C" w:rsidRDefault="00F42652" w:rsidP="004D707F">
      <w:pPr>
        <w:spacing w:before="240"/>
        <w:rPr>
          <w:rStyle w:val="Strong"/>
          <w:lang w:val="fr-CH"/>
        </w:rPr>
      </w:pPr>
      <w:r w:rsidRPr="00DD709C">
        <w:rPr>
          <w:rStyle w:val="Strong"/>
          <w:lang w:val="fr-CH"/>
        </w:rPr>
        <w:t>Recommandations supprimées:</w:t>
      </w:r>
      <w:bookmarkStart w:id="547" w:name="DeletedContent"/>
      <w:bookmarkEnd w:id="547"/>
    </w:p>
    <w:p w14:paraId="241C2BBF" w14:textId="5B63BB80" w:rsidR="00F42652" w:rsidRDefault="00F42652" w:rsidP="006856DA">
      <w:pPr>
        <w:rPr>
          <w:rStyle w:val="Strong"/>
          <w:lang w:val="fr-FR"/>
        </w:rPr>
      </w:pPr>
      <w:r w:rsidRPr="00DD709C">
        <w:rPr>
          <w:lang w:val="fr-CH"/>
        </w:rPr>
        <w:t>Aucun(e)</w:t>
      </w:r>
      <w:r>
        <w:rPr>
          <w:rStyle w:val="Strong"/>
          <w:lang w:val="fr-FR"/>
        </w:rPr>
        <w:br w:type="page"/>
      </w:r>
    </w:p>
    <w:p w14:paraId="3048A7DB" w14:textId="77777777" w:rsidR="00B23ACB" w:rsidRPr="00354DF7" w:rsidRDefault="00B23ACB" w:rsidP="00B23ACB">
      <w:pPr>
        <w:pStyle w:val="Heading2grey"/>
        <w:spacing w:before="0"/>
        <w:rPr>
          <w:noProof w:val="0"/>
        </w:rPr>
      </w:pPr>
      <w:bookmarkStart w:id="548" w:name="_Toc108423196"/>
      <w:r w:rsidRPr="00354DF7">
        <w:rPr>
          <w:noProof w:val="0"/>
        </w:rPr>
        <w:lastRenderedPageBreak/>
        <w:t xml:space="preserve">Service téléphonique </w:t>
      </w:r>
      <w:r w:rsidRPr="00354DF7">
        <w:rPr>
          <w:noProof w:val="0"/>
        </w:rPr>
        <w:br/>
        <w:t>(Recommandation UIT-T E.164)</w:t>
      </w:r>
      <w:bookmarkEnd w:id="548"/>
    </w:p>
    <w:p w14:paraId="6E5C3DE5" w14:textId="77777777" w:rsidR="00B23ACB" w:rsidRPr="00DD709C" w:rsidRDefault="00B23ACB" w:rsidP="00B23ACB">
      <w:pPr>
        <w:jc w:val="center"/>
        <w:rPr>
          <w:rFonts w:cs="Calibri"/>
          <w:sz w:val="18"/>
          <w:szCs w:val="18"/>
          <w:lang w:val="fr-CH"/>
        </w:rPr>
      </w:pPr>
      <w:r w:rsidRPr="00DD709C">
        <w:rPr>
          <w:rFonts w:cs="Calibri"/>
          <w:sz w:val="18"/>
          <w:szCs w:val="18"/>
          <w:lang w:val="fr-CH"/>
        </w:rPr>
        <w:t>url: www.itu.int/itu-t/nnp</w:t>
      </w:r>
    </w:p>
    <w:p w14:paraId="63BF6304" w14:textId="77777777" w:rsidR="00B23ACB" w:rsidRPr="00354DF7" w:rsidRDefault="00B23ACB" w:rsidP="00B23ACB">
      <w:pPr>
        <w:tabs>
          <w:tab w:val="left" w:pos="1560"/>
          <w:tab w:val="left" w:pos="2127"/>
        </w:tabs>
        <w:spacing w:before="0"/>
        <w:jc w:val="left"/>
        <w:outlineLvl w:val="3"/>
        <w:rPr>
          <w:rFonts w:cs="Arial"/>
          <w:b/>
          <w:lang w:val="fr-FR"/>
        </w:rPr>
      </w:pPr>
      <w:bookmarkStart w:id="549" w:name="_Toc262052116"/>
      <w:r w:rsidRPr="00354DF7">
        <w:rPr>
          <w:rFonts w:cs="Arial"/>
          <w:b/>
          <w:lang w:val="fr-FR"/>
        </w:rPr>
        <w:t>Malte (indicatif de pays +356)</w:t>
      </w:r>
    </w:p>
    <w:p w14:paraId="40466ECA" w14:textId="77777777" w:rsidR="00B23ACB" w:rsidRPr="00354DF7" w:rsidRDefault="00B23ACB" w:rsidP="00B23ACB">
      <w:pPr>
        <w:tabs>
          <w:tab w:val="left" w:pos="1560"/>
          <w:tab w:val="left" w:pos="2127"/>
        </w:tabs>
        <w:jc w:val="left"/>
        <w:outlineLvl w:val="4"/>
        <w:rPr>
          <w:rFonts w:cs="Arial"/>
          <w:lang w:val="fr-FR"/>
        </w:rPr>
      </w:pPr>
      <w:r w:rsidRPr="00354DF7">
        <w:rPr>
          <w:rFonts w:cs="Arial"/>
          <w:lang w:val="fr-FR"/>
        </w:rPr>
        <w:t>Communication du 6.XII.2025:</w:t>
      </w:r>
    </w:p>
    <w:p w14:paraId="69150928" w14:textId="77777777" w:rsidR="00B23ACB" w:rsidRPr="00354DF7" w:rsidRDefault="00B23ACB" w:rsidP="00B23ACB">
      <w:pPr>
        <w:spacing w:after="120"/>
        <w:jc w:val="left"/>
        <w:rPr>
          <w:rFonts w:cs="Arial"/>
          <w:lang w:val="fr-FR"/>
        </w:rPr>
      </w:pPr>
      <w:r w:rsidRPr="00354DF7">
        <w:rPr>
          <w:rFonts w:cs="Arial"/>
          <w:lang w:val="fr-FR"/>
        </w:rPr>
        <w:t xml:space="preserve">La </w:t>
      </w:r>
      <w:r w:rsidRPr="00354DF7">
        <w:rPr>
          <w:rFonts w:cs="Arial"/>
          <w:i/>
          <w:lang w:val="fr-FR"/>
        </w:rPr>
        <w:t>Malta Communications Authority (MCA)</w:t>
      </w:r>
      <w:r w:rsidRPr="00354DF7">
        <w:rPr>
          <w:rFonts w:cs="Arial"/>
          <w:lang w:val="fr-FR"/>
        </w:rPr>
        <w:t>, Floriana</w:t>
      </w:r>
      <w:r>
        <w:rPr>
          <w:rFonts w:cs="Arial"/>
          <w:lang w:val="fr-FR"/>
        </w:rPr>
        <w:t>,</w:t>
      </w:r>
      <w:r w:rsidRPr="00354DF7">
        <w:rPr>
          <w:lang w:val="fr-FR"/>
        </w:rPr>
        <w:t xml:space="preserve"> </w:t>
      </w:r>
      <w:r w:rsidRPr="00354DF7">
        <w:rPr>
          <w:rFonts w:cs="Arial"/>
          <w:lang w:val="fr-FR"/>
        </w:rPr>
        <w:t>annonce une mise à jour du plan national de numérotage de Malte. Les principales séries de numéros sont:</w:t>
      </w:r>
    </w:p>
    <w:tbl>
      <w:tblPr>
        <w:tblW w:w="5000" w:type="pct"/>
        <w:jc w:val="center"/>
        <w:tblCellMar>
          <w:left w:w="0" w:type="dxa"/>
          <w:right w:w="0" w:type="dxa"/>
        </w:tblCellMar>
        <w:tblLook w:val="04A0" w:firstRow="1" w:lastRow="0" w:firstColumn="1" w:lastColumn="0" w:noHBand="0" w:noVBand="1"/>
      </w:tblPr>
      <w:tblGrid>
        <w:gridCol w:w="5114"/>
        <w:gridCol w:w="1800"/>
        <w:gridCol w:w="2699"/>
      </w:tblGrid>
      <w:tr w:rsidR="00B23ACB" w:rsidRPr="00354DF7" w14:paraId="568D1ED3" w14:textId="77777777" w:rsidTr="004D707F">
        <w:trPr>
          <w:cantSplit/>
          <w:trHeight w:val="315"/>
          <w:jc w:val="center"/>
        </w:trPr>
        <w:tc>
          <w:tcPr>
            <w:tcW w:w="4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0D3233" w14:textId="77777777" w:rsidR="00B23ACB" w:rsidRPr="00354DF7" w:rsidRDefault="00B23ACB" w:rsidP="00F314D7">
            <w:pPr>
              <w:spacing w:before="80" w:after="80" w:line="276" w:lineRule="auto"/>
              <w:jc w:val="center"/>
              <w:rPr>
                <w:b/>
                <w:bCs/>
                <w:i/>
                <w:iCs/>
                <w:color w:val="000000"/>
                <w:lang w:val="fr-FR"/>
              </w:rPr>
            </w:pPr>
            <w:r w:rsidRPr="00354DF7">
              <w:rPr>
                <w:b/>
                <w:bCs/>
                <w:i/>
                <w:iCs/>
                <w:color w:val="000000"/>
                <w:lang w:val="fr-FR"/>
              </w:rPr>
              <w:t>Service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04BB33C" w14:textId="77777777" w:rsidR="00B23ACB" w:rsidRPr="00354DF7" w:rsidRDefault="00B23ACB" w:rsidP="00F314D7">
            <w:pPr>
              <w:spacing w:before="80" w:after="80" w:line="276" w:lineRule="auto"/>
              <w:jc w:val="center"/>
              <w:rPr>
                <w:b/>
                <w:bCs/>
                <w:i/>
                <w:iCs/>
                <w:color w:val="000000"/>
                <w:lang w:val="fr-FR"/>
              </w:rPr>
            </w:pPr>
            <w:r w:rsidRPr="00354DF7">
              <w:rPr>
                <w:b/>
                <w:bCs/>
                <w:i/>
                <w:iCs/>
                <w:color w:val="000000"/>
                <w:lang w:val="fr-FR"/>
              </w:rPr>
              <w:t>Opérateur</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327BD11" w14:textId="77777777" w:rsidR="00B23ACB" w:rsidRPr="00354DF7" w:rsidRDefault="00B23ACB" w:rsidP="00F314D7">
            <w:pPr>
              <w:spacing w:before="80" w:after="80" w:line="276" w:lineRule="auto"/>
              <w:jc w:val="center"/>
              <w:rPr>
                <w:b/>
                <w:bCs/>
                <w:i/>
                <w:iCs/>
                <w:color w:val="000000"/>
                <w:lang w:val="fr-FR"/>
              </w:rPr>
            </w:pPr>
            <w:r w:rsidRPr="00354DF7">
              <w:rPr>
                <w:b/>
                <w:bCs/>
                <w:i/>
                <w:iCs/>
                <w:color w:val="000000"/>
                <w:lang w:val="fr-FR"/>
              </w:rPr>
              <w:t>Séries de numéros</w:t>
            </w:r>
          </w:p>
        </w:tc>
      </w:tr>
      <w:tr w:rsidR="00B23ACB" w:rsidRPr="00354DF7" w14:paraId="3CD5D6C1" w14:textId="77777777" w:rsidTr="004D707F">
        <w:trPr>
          <w:cantSplit/>
          <w:trHeight w:val="300"/>
          <w:jc w:val="center"/>
        </w:trPr>
        <w:tc>
          <w:tcPr>
            <w:tcW w:w="4833"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EE47138" w14:textId="77777777" w:rsidR="00B23ACB" w:rsidRPr="00354DF7" w:rsidRDefault="00B23ACB" w:rsidP="00F314D7">
            <w:pPr>
              <w:spacing w:before="20" w:after="20"/>
              <w:jc w:val="center"/>
              <w:rPr>
                <w:color w:val="000000"/>
                <w:lang w:val="fr-FR"/>
              </w:rPr>
            </w:pPr>
            <w:r w:rsidRPr="00354DF7">
              <w:rPr>
                <w:color w:val="000000"/>
                <w:lang w:val="fr-FR"/>
              </w:rPr>
              <w:t>Fixe</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8791E" w14:textId="77777777" w:rsidR="00B23ACB" w:rsidRPr="00354DF7" w:rsidRDefault="00B23ACB" w:rsidP="00F314D7">
            <w:pPr>
              <w:spacing w:before="20" w:after="20"/>
              <w:jc w:val="center"/>
              <w:rPr>
                <w:lang w:val="fr-FR"/>
              </w:rPr>
            </w:pPr>
            <w:r w:rsidRPr="00354DF7">
              <w:rPr>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7AB2C78" w14:textId="77777777" w:rsidR="00B23ACB" w:rsidRPr="00354DF7" w:rsidRDefault="00B23ACB" w:rsidP="00F314D7">
            <w:pPr>
              <w:spacing w:before="20" w:after="20"/>
              <w:ind w:firstLine="440"/>
              <w:jc w:val="left"/>
              <w:rPr>
                <w:color w:val="000000"/>
                <w:lang w:val="fr-FR"/>
              </w:rPr>
            </w:pPr>
            <w:r w:rsidRPr="00354DF7">
              <w:rPr>
                <w:color w:val="000000"/>
                <w:lang w:val="fr-FR"/>
              </w:rPr>
              <w:t>2100 ‒ 2399 XXXX</w:t>
            </w:r>
          </w:p>
        </w:tc>
      </w:tr>
      <w:tr w:rsidR="00B23ACB" w:rsidRPr="00354DF7" w14:paraId="7623AE97" w14:textId="77777777" w:rsidTr="004D707F">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729C77D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77AD4E43"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A0492A" w14:textId="77777777" w:rsidR="00B23ACB" w:rsidRPr="00354DF7" w:rsidRDefault="00B23ACB" w:rsidP="00F314D7">
            <w:pPr>
              <w:spacing w:before="20" w:after="20"/>
              <w:ind w:firstLine="440"/>
              <w:jc w:val="left"/>
              <w:rPr>
                <w:color w:val="000000"/>
                <w:lang w:val="fr-FR"/>
              </w:rPr>
            </w:pPr>
            <w:r w:rsidRPr="00354DF7">
              <w:rPr>
                <w:color w:val="000000"/>
                <w:lang w:val="fr-FR"/>
              </w:rPr>
              <w:t>2500 ‒ 2599 XXXX</w:t>
            </w:r>
          </w:p>
        </w:tc>
      </w:tr>
      <w:tr w:rsidR="00B23ACB" w:rsidRPr="00354DF7" w14:paraId="7EC18A07" w14:textId="77777777" w:rsidTr="004D707F">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51EDCAFE"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A916118" w14:textId="77777777" w:rsidR="00B23ACB" w:rsidRPr="00354DF7" w:rsidRDefault="00B23ACB" w:rsidP="00F314D7">
            <w:pPr>
              <w:spacing w:before="20" w:after="20"/>
              <w:jc w:val="center"/>
              <w:rPr>
                <w:lang w:val="fr-FR"/>
              </w:rPr>
            </w:pPr>
            <w:r w:rsidRPr="00354DF7">
              <w:rPr>
                <w:lang w:val="fr-FR"/>
              </w:rPr>
              <w:t>Melita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2646A1FF" w14:textId="77777777" w:rsidR="00B23ACB" w:rsidRPr="00354DF7" w:rsidRDefault="00B23ACB" w:rsidP="00F314D7">
            <w:pPr>
              <w:spacing w:before="20" w:after="20"/>
              <w:ind w:firstLine="440"/>
              <w:jc w:val="left"/>
              <w:rPr>
                <w:color w:val="000000"/>
                <w:lang w:val="fr-FR"/>
              </w:rPr>
            </w:pPr>
            <w:r w:rsidRPr="00354DF7">
              <w:rPr>
                <w:color w:val="000000"/>
                <w:lang w:val="fr-FR"/>
              </w:rPr>
              <w:t>2600 ‒ 2609 XXXX</w:t>
            </w:r>
          </w:p>
        </w:tc>
      </w:tr>
      <w:tr w:rsidR="00B23ACB" w:rsidRPr="00354DF7" w14:paraId="279E3254" w14:textId="77777777" w:rsidTr="004D707F">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61D918F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609EACB1"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4253E5A8" w14:textId="77777777" w:rsidR="00B23ACB" w:rsidRPr="00354DF7" w:rsidRDefault="00B23ACB" w:rsidP="00F314D7">
            <w:pPr>
              <w:spacing w:before="20" w:after="20"/>
              <w:ind w:firstLine="440"/>
              <w:jc w:val="left"/>
              <w:rPr>
                <w:color w:val="000000"/>
                <w:lang w:val="fr-FR"/>
              </w:rPr>
            </w:pPr>
            <w:r w:rsidRPr="00354DF7">
              <w:rPr>
                <w:color w:val="000000"/>
                <w:lang w:val="fr-FR"/>
              </w:rPr>
              <w:t>2700 ‒ 2799 XXXX</w:t>
            </w:r>
          </w:p>
        </w:tc>
      </w:tr>
      <w:tr w:rsidR="00B23ACB" w:rsidRPr="00354DF7" w14:paraId="09DF4353" w14:textId="77777777" w:rsidTr="004D707F">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7AFD814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6A54720D"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44A85C07" w14:textId="77777777" w:rsidR="00B23ACB" w:rsidRPr="00354DF7" w:rsidRDefault="00B23ACB" w:rsidP="00F314D7">
            <w:pPr>
              <w:spacing w:before="20" w:after="20"/>
              <w:ind w:firstLine="440"/>
              <w:jc w:val="left"/>
              <w:rPr>
                <w:color w:val="000000"/>
                <w:lang w:val="fr-FR"/>
              </w:rPr>
            </w:pPr>
            <w:r w:rsidRPr="00354DF7">
              <w:rPr>
                <w:color w:val="000000"/>
                <w:lang w:val="fr-FR"/>
              </w:rPr>
              <w:t>2010 ‒ 2018 XXXX</w:t>
            </w:r>
          </w:p>
        </w:tc>
      </w:tr>
      <w:tr w:rsidR="00B23ACB" w:rsidRPr="00354DF7" w14:paraId="02C2E58B" w14:textId="77777777" w:rsidTr="004D707F">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55268544"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41D371CC"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67C16EC2" w14:textId="77777777" w:rsidR="00B23ACB" w:rsidRPr="00354DF7" w:rsidRDefault="00B23ACB" w:rsidP="00F314D7">
            <w:pPr>
              <w:spacing w:before="20" w:after="20"/>
              <w:ind w:firstLine="440"/>
              <w:jc w:val="left"/>
              <w:rPr>
                <w:color w:val="000000"/>
                <w:lang w:val="fr-FR"/>
              </w:rPr>
            </w:pPr>
            <w:r w:rsidRPr="00354DF7">
              <w:rPr>
                <w:color w:val="000000"/>
                <w:lang w:val="fr-FR"/>
              </w:rPr>
              <w:t>2060 XXXX</w:t>
            </w:r>
          </w:p>
        </w:tc>
      </w:tr>
      <w:tr w:rsidR="00B23ACB" w:rsidRPr="00354DF7" w14:paraId="7593F2FA" w14:textId="77777777" w:rsidTr="004D707F">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09ECA98A"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5730D4C5"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5F7EE6" w14:textId="77777777" w:rsidR="00B23ACB" w:rsidRPr="00354DF7" w:rsidRDefault="00B23ACB" w:rsidP="00F314D7">
            <w:pPr>
              <w:spacing w:before="20" w:after="20"/>
              <w:ind w:firstLine="440"/>
              <w:jc w:val="left"/>
              <w:rPr>
                <w:color w:val="000000"/>
                <w:lang w:val="fr-FR"/>
              </w:rPr>
            </w:pPr>
            <w:r w:rsidRPr="00354DF7">
              <w:rPr>
                <w:color w:val="000000"/>
                <w:lang w:val="fr-FR"/>
              </w:rPr>
              <w:t>2065 XXXX</w:t>
            </w:r>
          </w:p>
        </w:tc>
      </w:tr>
      <w:tr w:rsidR="00B23ACB" w:rsidRPr="00354DF7" w14:paraId="356C2DD3" w14:textId="77777777" w:rsidTr="004D707F">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47DD4E37"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hideMark/>
          </w:tcPr>
          <w:p w14:paraId="100E7551" w14:textId="77777777" w:rsidR="00B23ACB" w:rsidRPr="00354DF7" w:rsidRDefault="00B23ACB" w:rsidP="00F314D7">
            <w:pPr>
              <w:spacing w:before="20" w:after="20"/>
              <w:jc w:val="center"/>
              <w:rPr>
                <w:lang w:val="fr-FR"/>
              </w:rPr>
            </w:pPr>
            <w:r w:rsidRPr="00354DF7">
              <w:rPr>
                <w:lang w:val="fr-FR"/>
              </w:rPr>
              <w:t>Vanilla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5B75608" w14:textId="77777777" w:rsidR="00B23ACB" w:rsidRPr="00354DF7" w:rsidRDefault="00B23ACB" w:rsidP="00F314D7">
            <w:pPr>
              <w:spacing w:before="20" w:after="20"/>
              <w:ind w:firstLine="440"/>
              <w:jc w:val="left"/>
              <w:rPr>
                <w:color w:val="000000"/>
                <w:lang w:val="fr-FR"/>
              </w:rPr>
            </w:pPr>
            <w:r w:rsidRPr="00354DF7">
              <w:rPr>
                <w:color w:val="000000"/>
                <w:lang w:val="fr-FR"/>
              </w:rPr>
              <w:t>2031 ‒ 2034 XXXX</w:t>
            </w:r>
          </w:p>
        </w:tc>
      </w:tr>
      <w:tr w:rsidR="00B23ACB" w:rsidRPr="00354DF7" w14:paraId="70AB7159" w14:textId="77777777" w:rsidTr="004D707F">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1226C4FB"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745F960A"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0BFB11" w14:textId="77777777" w:rsidR="00B23ACB" w:rsidRPr="00354DF7" w:rsidRDefault="00B23ACB" w:rsidP="00F314D7">
            <w:pPr>
              <w:spacing w:before="20" w:after="20"/>
              <w:ind w:firstLine="440"/>
              <w:jc w:val="left"/>
              <w:rPr>
                <w:color w:val="000000"/>
                <w:lang w:val="fr-FR"/>
              </w:rPr>
            </w:pPr>
            <w:r w:rsidRPr="00354DF7">
              <w:rPr>
                <w:color w:val="000000"/>
                <w:lang w:val="fr-FR"/>
              </w:rPr>
              <w:t>2069 XXXX</w:t>
            </w:r>
          </w:p>
        </w:tc>
      </w:tr>
      <w:tr w:rsidR="00B23ACB" w:rsidRPr="00354DF7" w14:paraId="315CD2FA" w14:textId="77777777" w:rsidTr="004D707F">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7C2849AE"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nil"/>
            </w:tcBorders>
            <w:tcMar>
              <w:top w:w="0" w:type="dxa"/>
              <w:left w:w="108" w:type="dxa"/>
              <w:bottom w:w="0" w:type="dxa"/>
              <w:right w:w="108" w:type="dxa"/>
            </w:tcMar>
            <w:hideMark/>
          </w:tcPr>
          <w:p w14:paraId="309F9D36" w14:textId="77777777" w:rsidR="00B23ACB" w:rsidRPr="00354DF7" w:rsidRDefault="00B23ACB" w:rsidP="00F314D7">
            <w:pPr>
              <w:spacing w:before="20" w:after="20"/>
              <w:jc w:val="center"/>
              <w:rPr>
                <w:lang w:val="fr-FR"/>
              </w:rPr>
            </w:pPr>
            <w:r w:rsidRPr="00354DF7">
              <w:rPr>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5EE3FA" w14:textId="77777777" w:rsidR="00B23ACB" w:rsidRPr="00354DF7" w:rsidRDefault="00B23ACB" w:rsidP="00F314D7">
            <w:pPr>
              <w:spacing w:before="20" w:after="20"/>
              <w:ind w:firstLine="440"/>
              <w:jc w:val="left"/>
              <w:rPr>
                <w:color w:val="000000"/>
                <w:lang w:val="fr-FR"/>
              </w:rPr>
            </w:pPr>
            <w:r w:rsidRPr="00354DF7">
              <w:rPr>
                <w:color w:val="000000"/>
                <w:lang w:val="fr-FR"/>
              </w:rPr>
              <w:t>2090 ‒ 2099 XXXX</w:t>
            </w:r>
          </w:p>
        </w:tc>
      </w:tr>
      <w:tr w:rsidR="00B23ACB" w:rsidRPr="00354DF7" w14:paraId="527FF7CB" w14:textId="77777777" w:rsidTr="004D707F">
        <w:trPr>
          <w:cantSplit/>
          <w:trHeight w:val="29"/>
          <w:jc w:val="center"/>
        </w:trPr>
        <w:tc>
          <w:tcPr>
            <w:tcW w:w="4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67CB0" w14:textId="77777777" w:rsidR="00B23ACB" w:rsidRPr="00354DF7" w:rsidRDefault="00B23ACB" w:rsidP="00F314D7">
            <w:pPr>
              <w:spacing w:before="20" w:after="20"/>
              <w:jc w:val="center"/>
              <w:rPr>
                <w:color w:val="000000"/>
                <w:lang w:val="fr-FR"/>
              </w:rPr>
            </w:pPr>
            <w:r w:rsidRPr="00354DF7">
              <w:rPr>
                <w:color w:val="000000"/>
                <w:lang w:val="fr-FR"/>
              </w:rPr>
              <w:t>Mobile</w:t>
            </w: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6BA4ACB" w14:textId="77777777" w:rsidR="00B23ACB" w:rsidRPr="00354DF7" w:rsidRDefault="00B23ACB" w:rsidP="00F314D7">
            <w:pPr>
              <w:spacing w:before="20" w:after="20"/>
              <w:jc w:val="center"/>
              <w:rPr>
                <w:color w:val="000000"/>
                <w:lang w:val="fr-FR"/>
              </w:rPr>
            </w:pPr>
            <w:r w:rsidRPr="00354DF7">
              <w:rPr>
                <w:color w:val="000000"/>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3D44C4E" w14:textId="77777777" w:rsidR="00B23ACB" w:rsidRPr="00354DF7" w:rsidRDefault="00B23ACB" w:rsidP="00F314D7">
            <w:pPr>
              <w:spacing w:before="20" w:after="20"/>
              <w:ind w:firstLine="440"/>
              <w:jc w:val="left"/>
              <w:rPr>
                <w:color w:val="000000"/>
                <w:lang w:val="fr-FR"/>
              </w:rPr>
            </w:pPr>
            <w:r w:rsidRPr="00354DF7">
              <w:rPr>
                <w:color w:val="000000"/>
                <w:lang w:val="fr-FR"/>
              </w:rPr>
              <w:t>7900 ‒ 7999 XXXX</w:t>
            </w:r>
          </w:p>
        </w:tc>
      </w:tr>
      <w:tr w:rsidR="00B23ACB" w:rsidRPr="00354DF7" w14:paraId="1786D31B"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12520E13"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70F2B4E2"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A1234F8" w14:textId="77777777" w:rsidR="00B23ACB" w:rsidRPr="00354DF7" w:rsidRDefault="00B23ACB" w:rsidP="00F314D7">
            <w:pPr>
              <w:spacing w:before="20" w:after="20"/>
              <w:ind w:firstLine="440"/>
              <w:jc w:val="left"/>
              <w:rPr>
                <w:color w:val="000000"/>
                <w:lang w:val="fr-FR"/>
              </w:rPr>
            </w:pPr>
            <w:r w:rsidRPr="00354DF7">
              <w:rPr>
                <w:color w:val="000000"/>
                <w:lang w:val="fr-FR"/>
              </w:rPr>
              <w:t>9889 XXXX</w:t>
            </w:r>
          </w:p>
        </w:tc>
      </w:tr>
      <w:tr w:rsidR="00B23ACB" w:rsidRPr="00354DF7" w14:paraId="477EF13D" w14:textId="77777777" w:rsidTr="004D707F">
        <w:trPr>
          <w:cantSplit/>
          <w:trHeight w:val="32"/>
          <w:jc w:val="center"/>
        </w:trPr>
        <w:tc>
          <w:tcPr>
            <w:tcW w:w="0" w:type="auto"/>
            <w:vMerge/>
            <w:tcBorders>
              <w:top w:val="nil"/>
              <w:left w:val="single" w:sz="8" w:space="0" w:color="auto"/>
              <w:bottom w:val="single" w:sz="8" w:space="0" w:color="auto"/>
              <w:right w:val="single" w:sz="8" w:space="0" w:color="auto"/>
            </w:tcBorders>
            <w:vAlign w:val="center"/>
            <w:hideMark/>
          </w:tcPr>
          <w:p w14:paraId="2A5D7173"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5DD61CEC"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2062E5" w14:textId="77777777" w:rsidR="00B23ACB" w:rsidRPr="00354DF7" w:rsidRDefault="00B23ACB" w:rsidP="00F314D7">
            <w:pPr>
              <w:spacing w:before="20" w:after="20"/>
              <w:ind w:firstLine="440"/>
              <w:jc w:val="left"/>
              <w:rPr>
                <w:color w:val="000000"/>
                <w:lang w:val="fr-FR"/>
              </w:rPr>
            </w:pPr>
            <w:r w:rsidRPr="00354DF7">
              <w:rPr>
                <w:color w:val="000000"/>
                <w:lang w:val="fr-FR"/>
              </w:rPr>
              <w:t>7210 XXXX</w:t>
            </w:r>
          </w:p>
        </w:tc>
      </w:tr>
      <w:tr w:rsidR="00B23ACB" w:rsidRPr="00354DF7" w14:paraId="2F160E24"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6BF98959"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F171384" w14:textId="77777777" w:rsidR="00B23ACB" w:rsidRPr="00354DF7" w:rsidRDefault="00B23ACB" w:rsidP="00F314D7">
            <w:pPr>
              <w:spacing w:before="20" w:after="20"/>
              <w:jc w:val="center"/>
              <w:rPr>
                <w:color w:val="000000"/>
                <w:lang w:val="fr-FR"/>
              </w:rPr>
            </w:pPr>
            <w:r w:rsidRPr="00354DF7">
              <w:rPr>
                <w:color w:val="000000"/>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3549648" w14:textId="77777777" w:rsidR="00B23ACB" w:rsidRPr="00354DF7" w:rsidRDefault="00B23ACB" w:rsidP="00F314D7">
            <w:pPr>
              <w:spacing w:before="20" w:after="20"/>
              <w:ind w:firstLine="440"/>
              <w:jc w:val="left"/>
              <w:rPr>
                <w:color w:val="000000"/>
                <w:lang w:val="fr-FR"/>
              </w:rPr>
            </w:pPr>
            <w:r w:rsidRPr="00354DF7">
              <w:rPr>
                <w:color w:val="000000"/>
                <w:lang w:val="fr-FR"/>
              </w:rPr>
              <w:t>9900 ‒ 9999 XXXX</w:t>
            </w:r>
          </w:p>
        </w:tc>
      </w:tr>
      <w:tr w:rsidR="00B23ACB" w:rsidRPr="00354DF7" w14:paraId="43F4B819"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7C294794"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56ABE41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B5917DA" w14:textId="77777777" w:rsidR="00B23ACB" w:rsidRPr="00354DF7" w:rsidRDefault="00B23ACB" w:rsidP="00F314D7">
            <w:pPr>
              <w:spacing w:before="20" w:after="20"/>
              <w:ind w:firstLine="440"/>
              <w:jc w:val="left"/>
              <w:rPr>
                <w:color w:val="000000"/>
                <w:lang w:val="fr-FR"/>
              </w:rPr>
            </w:pPr>
            <w:r w:rsidRPr="00354DF7">
              <w:rPr>
                <w:color w:val="000000"/>
                <w:lang w:val="fr-FR"/>
              </w:rPr>
              <w:t>9696 XXXX</w:t>
            </w:r>
          </w:p>
        </w:tc>
      </w:tr>
      <w:tr w:rsidR="00B23ACB" w:rsidRPr="00354DF7" w14:paraId="32226D5F"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1E476FE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359BA138"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E84A7B4" w14:textId="77777777" w:rsidR="00B23ACB" w:rsidRPr="00354DF7" w:rsidRDefault="00B23ACB" w:rsidP="00F314D7">
            <w:pPr>
              <w:spacing w:before="20" w:after="20"/>
              <w:ind w:firstLine="440"/>
              <w:jc w:val="left"/>
              <w:rPr>
                <w:color w:val="000000"/>
                <w:lang w:val="fr-FR"/>
              </w:rPr>
            </w:pPr>
            <w:r w:rsidRPr="00354DF7">
              <w:rPr>
                <w:color w:val="000000"/>
                <w:lang w:val="fr-FR"/>
              </w:rPr>
              <w:t>9897 XXXX</w:t>
            </w:r>
          </w:p>
        </w:tc>
      </w:tr>
      <w:tr w:rsidR="00B23ACB" w:rsidRPr="00354DF7" w14:paraId="08C9CFD8"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6DCAAC34"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133D26CD"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C064D22" w14:textId="77777777" w:rsidR="00B23ACB" w:rsidRPr="00354DF7" w:rsidRDefault="00B23ACB" w:rsidP="00F314D7">
            <w:pPr>
              <w:spacing w:before="20" w:after="20"/>
              <w:ind w:firstLine="440"/>
              <w:jc w:val="left"/>
              <w:rPr>
                <w:color w:val="000000"/>
                <w:lang w:val="fr-FR"/>
              </w:rPr>
            </w:pPr>
            <w:r w:rsidRPr="00354DF7">
              <w:rPr>
                <w:color w:val="000000"/>
                <w:lang w:val="fr-FR"/>
              </w:rPr>
              <w:t>9210 ‒ 9211 XXXX</w:t>
            </w:r>
          </w:p>
        </w:tc>
      </w:tr>
      <w:tr w:rsidR="00B23ACB" w:rsidRPr="00354DF7" w14:paraId="2E1AF706" w14:textId="77777777" w:rsidTr="004D707F">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413757AD"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032B6942"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1C18C" w14:textId="77777777" w:rsidR="00B23ACB" w:rsidRPr="00354DF7" w:rsidRDefault="00B23ACB" w:rsidP="00F314D7">
            <w:pPr>
              <w:spacing w:before="20" w:after="20"/>
              <w:ind w:firstLine="440"/>
              <w:jc w:val="left"/>
              <w:rPr>
                <w:color w:val="000000"/>
                <w:lang w:val="fr-FR"/>
              </w:rPr>
            </w:pPr>
            <w:r w:rsidRPr="00354DF7">
              <w:rPr>
                <w:color w:val="000000"/>
                <w:lang w:val="fr-FR"/>
              </w:rPr>
              <w:t>9231 XXXX</w:t>
            </w:r>
          </w:p>
        </w:tc>
      </w:tr>
      <w:tr w:rsidR="00B23ACB" w:rsidRPr="00354DF7" w14:paraId="3E929048" w14:textId="77777777" w:rsidTr="004D707F">
        <w:trPr>
          <w:cantSplit/>
          <w:trHeight w:val="278"/>
          <w:jc w:val="center"/>
        </w:trPr>
        <w:tc>
          <w:tcPr>
            <w:tcW w:w="0" w:type="auto"/>
            <w:vMerge/>
            <w:tcBorders>
              <w:top w:val="nil"/>
              <w:left w:val="single" w:sz="8" w:space="0" w:color="auto"/>
              <w:bottom w:val="single" w:sz="8" w:space="0" w:color="auto"/>
              <w:right w:val="single" w:sz="8" w:space="0" w:color="auto"/>
            </w:tcBorders>
            <w:vAlign w:val="center"/>
            <w:hideMark/>
          </w:tcPr>
          <w:p w14:paraId="5B835F85"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44FF3" w14:textId="77777777" w:rsidR="00B23ACB" w:rsidRPr="00354DF7" w:rsidRDefault="00B23ACB" w:rsidP="00F314D7">
            <w:pPr>
              <w:spacing w:before="20" w:after="20"/>
              <w:jc w:val="center"/>
              <w:rPr>
                <w:color w:val="000000"/>
                <w:lang w:val="fr-FR"/>
              </w:rPr>
            </w:pPr>
            <w:r w:rsidRPr="00354DF7">
              <w:rPr>
                <w:color w:val="000000"/>
                <w:lang w:val="fr-FR"/>
              </w:rPr>
              <w:t>Melita Mobile</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CAC06EE" w14:textId="77777777" w:rsidR="00B23ACB" w:rsidRPr="00354DF7" w:rsidRDefault="00B23ACB" w:rsidP="00F314D7">
            <w:pPr>
              <w:spacing w:before="20" w:after="20"/>
              <w:ind w:firstLine="440"/>
              <w:jc w:val="left"/>
              <w:rPr>
                <w:color w:val="000000"/>
                <w:lang w:val="fr-FR"/>
              </w:rPr>
            </w:pPr>
            <w:r w:rsidRPr="00354DF7">
              <w:rPr>
                <w:color w:val="000000"/>
                <w:lang w:val="fr-FR"/>
              </w:rPr>
              <w:t>7700 ‒ 7799 XXXX</w:t>
            </w:r>
          </w:p>
        </w:tc>
      </w:tr>
      <w:tr w:rsidR="00B23ACB" w:rsidRPr="00354DF7" w14:paraId="22B6E90A" w14:textId="77777777" w:rsidTr="004D707F">
        <w:trPr>
          <w:cantSplit/>
          <w:trHeight w:val="277"/>
          <w:jc w:val="center"/>
        </w:trPr>
        <w:tc>
          <w:tcPr>
            <w:tcW w:w="0" w:type="auto"/>
            <w:vMerge/>
            <w:tcBorders>
              <w:top w:val="nil"/>
              <w:left w:val="single" w:sz="8" w:space="0" w:color="auto"/>
              <w:bottom w:val="single" w:sz="8" w:space="0" w:color="auto"/>
              <w:right w:val="single" w:sz="8" w:space="0" w:color="auto"/>
            </w:tcBorders>
            <w:vAlign w:val="center"/>
            <w:hideMark/>
          </w:tcPr>
          <w:p w14:paraId="17B6005C"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3C3899F8"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A30C" w14:textId="77777777" w:rsidR="00B23ACB" w:rsidRPr="00354DF7" w:rsidRDefault="00B23ACB" w:rsidP="00F314D7">
            <w:pPr>
              <w:spacing w:before="20" w:after="20"/>
              <w:ind w:firstLine="440"/>
              <w:jc w:val="left"/>
              <w:rPr>
                <w:color w:val="000000"/>
                <w:lang w:val="fr-FR"/>
              </w:rPr>
            </w:pPr>
            <w:r w:rsidRPr="00354DF7">
              <w:rPr>
                <w:color w:val="000000"/>
                <w:lang w:val="fr-FR"/>
              </w:rPr>
              <w:t>9811 ‒ 9813 XXXX</w:t>
            </w:r>
          </w:p>
        </w:tc>
      </w:tr>
      <w:tr w:rsidR="00B23ACB" w:rsidRPr="00354DF7" w14:paraId="29C356A3" w14:textId="77777777" w:rsidTr="004D707F">
        <w:trPr>
          <w:cantSplit/>
          <w:trHeight w:val="146"/>
          <w:jc w:val="center"/>
        </w:trPr>
        <w:tc>
          <w:tcPr>
            <w:tcW w:w="4833" w:type="dxa"/>
            <w:vMerge w:val="restart"/>
            <w:tcBorders>
              <w:top w:val="nil"/>
              <w:left w:val="single" w:sz="8" w:space="0" w:color="auto"/>
              <w:bottom w:val="single" w:sz="8" w:space="0" w:color="000000"/>
              <w:right w:val="single" w:sz="8" w:space="0" w:color="auto"/>
            </w:tcBorders>
            <w:vAlign w:val="center"/>
            <w:hideMark/>
          </w:tcPr>
          <w:p w14:paraId="5E16EAC4" w14:textId="77777777" w:rsidR="00B23ACB" w:rsidRPr="00354DF7" w:rsidRDefault="00B23ACB" w:rsidP="00F314D7">
            <w:pPr>
              <w:spacing w:before="20" w:after="20"/>
              <w:jc w:val="center"/>
              <w:rPr>
                <w:color w:val="000000"/>
                <w:lang w:val="fr-FR"/>
              </w:rPr>
            </w:pPr>
            <w:r w:rsidRPr="00354DF7">
              <w:rPr>
                <w:color w:val="000000"/>
                <w:lang w:val="fr-FR"/>
              </w:rPr>
              <w:t xml:space="preserve">Services de connectivité M2M/IoT et </w:t>
            </w:r>
            <w:r w:rsidRPr="00354DF7">
              <w:rPr>
                <w:color w:val="000000"/>
                <w:lang w:val="fr-FR"/>
              </w:rPr>
              <w:br/>
              <w:t>autres services de communications non interpersonnelles</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93BA5" w14:textId="77777777" w:rsidR="00B23ACB" w:rsidRPr="00354DF7" w:rsidRDefault="00B23ACB" w:rsidP="00F314D7">
            <w:pPr>
              <w:spacing w:before="20" w:after="20"/>
              <w:jc w:val="center"/>
              <w:rPr>
                <w:color w:val="000000"/>
                <w:lang w:val="fr-FR"/>
              </w:rPr>
            </w:pPr>
            <w:r w:rsidRPr="00354DF7">
              <w:rPr>
                <w:color w:val="000000"/>
                <w:lang w:val="fr-FR"/>
              </w:rPr>
              <w:t>Melita</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EB1E5A3" w14:textId="77777777" w:rsidR="00B23ACB" w:rsidRPr="00354DF7" w:rsidRDefault="00B23ACB" w:rsidP="00F314D7">
            <w:pPr>
              <w:spacing w:before="20" w:after="20"/>
              <w:ind w:firstLine="440"/>
              <w:jc w:val="left"/>
              <w:rPr>
                <w:lang w:val="fr-FR"/>
              </w:rPr>
            </w:pPr>
            <w:r w:rsidRPr="00354DF7">
              <w:rPr>
                <w:lang w:val="fr-FR"/>
              </w:rPr>
              <w:t>40001 – 40038 XXXXX</w:t>
            </w:r>
          </w:p>
        </w:tc>
      </w:tr>
      <w:tr w:rsidR="00B23ACB" w:rsidRPr="00354DF7" w14:paraId="2ABFBD8F" w14:textId="77777777" w:rsidTr="004D707F">
        <w:trPr>
          <w:cantSplit/>
          <w:trHeight w:val="145"/>
          <w:jc w:val="center"/>
        </w:trPr>
        <w:tc>
          <w:tcPr>
            <w:tcW w:w="0" w:type="auto"/>
            <w:vMerge/>
            <w:tcBorders>
              <w:top w:val="nil"/>
              <w:left w:val="single" w:sz="8" w:space="0" w:color="auto"/>
              <w:bottom w:val="single" w:sz="8" w:space="0" w:color="000000"/>
              <w:right w:val="single" w:sz="8" w:space="0" w:color="auto"/>
            </w:tcBorders>
            <w:vAlign w:val="center"/>
            <w:hideMark/>
          </w:tcPr>
          <w:p w14:paraId="45DF7C70"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29B5AAA2"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FC971" w14:textId="77777777" w:rsidR="00B23ACB" w:rsidRPr="00354DF7" w:rsidRDefault="00B23ACB" w:rsidP="00F314D7">
            <w:pPr>
              <w:spacing w:before="20" w:after="20"/>
              <w:ind w:firstLine="440"/>
              <w:jc w:val="left"/>
              <w:rPr>
                <w:lang w:val="fr-FR"/>
              </w:rPr>
            </w:pPr>
            <w:r w:rsidRPr="00354DF7">
              <w:rPr>
                <w:color w:val="000000" w:themeColor="text1"/>
                <w:lang w:val="fr-FR"/>
              </w:rPr>
              <w:t xml:space="preserve">40040 – </w:t>
            </w:r>
            <w:r w:rsidRPr="00354DF7">
              <w:rPr>
                <w:color w:val="FF0000"/>
                <w:lang w:val="fr-FR"/>
              </w:rPr>
              <w:t>40051</w:t>
            </w:r>
            <w:r w:rsidRPr="00354DF7">
              <w:rPr>
                <w:color w:val="000000" w:themeColor="text1"/>
                <w:lang w:val="fr-FR"/>
              </w:rPr>
              <w:t xml:space="preserve"> XXXXX</w:t>
            </w:r>
          </w:p>
        </w:tc>
      </w:tr>
      <w:tr w:rsidR="00B23ACB" w:rsidRPr="00354DF7" w14:paraId="1C4ABB66" w14:textId="77777777" w:rsidTr="004D707F">
        <w:trPr>
          <w:cantSplit/>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18D7D1B2"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45CBA" w14:textId="77777777" w:rsidR="00B23ACB" w:rsidRPr="00354DF7" w:rsidRDefault="00B23ACB" w:rsidP="00F314D7">
            <w:pPr>
              <w:spacing w:before="20" w:after="20"/>
              <w:jc w:val="center"/>
              <w:rPr>
                <w:color w:val="000000"/>
                <w:lang w:val="fr-FR"/>
              </w:rPr>
            </w:pPr>
            <w:r w:rsidRPr="00354DF7">
              <w:rPr>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614DA" w14:textId="77777777" w:rsidR="00B23ACB" w:rsidRPr="00354DF7" w:rsidRDefault="00B23ACB" w:rsidP="00F314D7">
            <w:pPr>
              <w:spacing w:before="20" w:after="20"/>
              <w:ind w:firstLine="440"/>
              <w:jc w:val="left"/>
              <w:rPr>
                <w:color w:val="000000"/>
                <w:lang w:val="fr-FR"/>
              </w:rPr>
            </w:pPr>
            <w:r w:rsidRPr="00354DF7">
              <w:rPr>
                <w:color w:val="000000"/>
                <w:lang w:val="fr-FR"/>
              </w:rPr>
              <w:t>40079 XXXXX</w:t>
            </w:r>
          </w:p>
        </w:tc>
      </w:tr>
      <w:tr w:rsidR="00B23ACB" w:rsidRPr="00354DF7" w14:paraId="178ED0C3" w14:textId="77777777" w:rsidTr="004D707F">
        <w:trPr>
          <w:cantSplit/>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7A04077A" w14:textId="77777777" w:rsidR="00B23ACB" w:rsidRPr="00354DF7" w:rsidRDefault="00B23ACB" w:rsidP="00F314D7">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FC1D8" w14:textId="77777777" w:rsidR="00B23ACB" w:rsidRPr="00354DF7" w:rsidRDefault="00B23ACB" w:rsidP="00F314D7">
            <w:pPr>
              <w:spacing w:before="20" w:after="20"/>
              <w:jc w:val="center"/>
              <w:rPr>
                <w:color w:val="000000"/>
                <w:lang w:val="fr-FR"/>
              </w:rPr>
            </w:pPr>
            <w:r w:rsidRPr="00354DF7">
              <w:rPr>
                <w:rFonts w:eastAsia="Calibri"/>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C2BF3" w14:textId="77777777" w:rsidR="00B23ACB" w:rsidRPr="00354DF7" w:rsidRDefault="00B23ACB" w:rsidP="00F314D7">
            <w:pPr>
              <w:spacing w:before="20" w:after="20"/>
              <w:ind w:firstLine="440"/>
              <w:jc w:val="left"/>
              <w:rPr>
                <w:color w:val="000000"/>
                <w:lang w:val="fr-FR"/>
              </w:rPr>
            </w:pPr>
            <w:r w:rsidRPr="00354DF7">
              <w:rPr>
                <w:rFonts w:eastAsia="Calibri"/>
                <w:color w:val="000000"/>
                <w:lang w:val="fr-FR"/>
              </w:rPr>
              <w:t>40099 XXXXX</w:t>
            </w:r>
          </w:p>
        </w:tc>
      </w:tr>
    </w:tbl>
    <w:p w14:paraId="5CEB8741" w14:textId="77777777" w:rsidR="00B23ACB" w:rsidRPr="00354DF7" w:rsidRDefault="00B23ACB" w:rsidP="004D707F">
      <w:pPr>
        <w:pStyle w:val="xmsonormal0"/>
        <w:spacing w:before="240"/>
        <w:rPr>
          <w:rFonts w:asciiTheme="minorHAnsi" w:hAnsiTheme="minorHAnsi"/>
          <w:sz w:val="20"/>
          <w:szCs w:val="20"/>
          <w:lang w:val="fr-FR"/>
        </w:rPr>
      </w:pPr>
      <w:r w:rsidRPr="00354DF7">
        <w:rPr>
          <w:rFonts w:asciiTheme="minorHAnsi" w:hAnsiTheme="minorHAnsi" w:cs="Arial"/>
          <w:sz w:val="20"/>
          <w:szCs w:val="20"/>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r w:rsidRPr="00354DF7">
        <w:rPr>
          <w:rFonts w:asciiTheme="minorHAnsi" w:hAnsiTheme="minorHAnsi" w:cs="Arial"/>
          <w:sz w:val="20"/>
          <w:szCs w:val="20"/>
          <w:lang w:val="fr-FR"/>
        </w:rPr>
        <w:br/>
      </w:r>
      <w:hyperlink r:id="rId32" w:history="1">
        <w:r w:rsidRPr="00354DF7">
          <w:rPr>
            <w:rStyle w:val="Hyperlink"/>
            <w:rFonts w:asciiTheme="minorHAnsi" w:hAnsiTheme="minorHAnsi" w:cs="Arial"/>
            <w:sz w:val="20"/>
            <w:szCs w:val="20"/>
            <w:lang w:val="fr-FR"/>
          </w:rPr>
          <w:t>https://www.mca.org.mt/regulatory/numbering/numbering-plans</w:t>
        </w:r>
      </w:hyperlink>
      <w:r w:rsidRPr="00354DF7">
        <w:rPr>
          <w:rFonts w:asciiTheme="minorHAnsi" w:hAnsiTheme="minorHAnsi" w:cs="Arial"/>
          <w:sz w:val="20"/>
          <w:szCs w:val="20"/>
          <w:lang w:val="fr-FR"/>
        </w:rPr>
        <w:t>.</w:t>
      </w:r>
    </w:p>
    <w:p w14:paraId="52B0AE37" w14:textId="77777777" w:rsidR="00B23ACB" w:rsidRPr="00DD709C" w:rsidRDefault="00B23ACB" w:rsidP="00B23ACB">
      <w:pPr>
        <w:overflowPunct/>
        <w:autoSpaceDE/>
        <w:adjustRightInd/>
        <w:jc w:val="left"/>
        <w:rPr>
          <w:rFonts w:asciiTheme="minorHAnsi" w:eastAsia="Calibri" w:hAnsiTheme="minorHAnsi" w:cstheme="minorHAnsi"/>
          <w:lang w:val="fr-FR" w:eastAsia="en-GB"/>
        </w:rPr>
      </w:pPr>
      <w:r w:rsidRPr="00DD709C">
        <w:rPr>
          <w:rFonts w:asciiTheme="minorHAnsi" w:eastAsia="Calibri" w:hAnsiTheme="minorHAnsi" w:cstheme="minorHAnsi"/>
          <w:lang w:val="fr-FR" w:eastAsia="en-GB"/>
        </w:rPr>
        <w:t>Contact:</w:t>
      </w:r>
    </w:p>
    <w:p w14:paraId="5F185982" w14:textId="77777777" w:rsidR="00B23ACB" w:rsidRPr="00DD709C" w:rsidRDefault="00B23ACB" w:rsidP="004D707F">
      <w:pPr>
        <w:spacing w:before="60"/>
        <w:ind w:left="567"/>
        <w:jc w:val="left"/>
        <w:rPr>
          <w:rFonts w:asciiTheme="minorHAnsi" w:eastAsia="Calibri" w:hAnsiTheme="minorHAnsi" w:cstheme="minorHAnsi"/>
          <w:color w:val="000000"/>
          <w:lang w:val="fr-FR" w:eastAsia="en-GB"/>
        </w:rPr>
      </w:pPr>
      <w:r w:rsidRPr="00DD709C">
        <w:rPr>
          <w:rFonts w:asciiTheme="minorHAnsi" w:eastAsia="Calibri" w:hAnsiTheme="minorHAnsi" w:cstheme="minorHAnsi"/>
          <w:color w:val="000000"/>
          <w:lang w:val="fr-FR" w:eastAsia="en-GB"/>
        </w:rPr>
        <w:t xml:space="preserve">Alistair Farrugia / Deborah Pisani </w:t>
      </w:r>
    </w:p>
    <w:p w14:paraId="442EAEC9" w14:textId="77777777" w:rsidR="00B23ACB" w:rsidRPr="00DD709C" w:rsidRDefault="00B23ACB" w:rsidP="00B23ACB">
      <w:pPr>
        <w:spacing w:before="0"/>
        <w:ind w:left="567"/>
        <w:jc w:val="left"/>
        <w:rPr>
          <w:rFonts w:asciiTheme="minorHAnsi" w:eastAsia="Calibri" w:hAnsiTheme="minorHAnsi" w:cstheme="minorHAnsi"/>
          <w:lang w:val="fr-FR" w:eastAsia="en-GB"/>
        </w:rPr>
      </w:pPr>
      <w:r w:rsidRPr="00DD709C">
        <w:rPr>
          <w:rFonts w:asciiTheme="minorHAnsi" w:eastAsia="Calibri" w:hAnsiTheme="minorHAnsi" w:cstheme="minorHAnsi"/>
          <w:lang w:val="fr-FR" w:eastAsia="en-GB"/>
        </w:rPr>
        <w:t>Malta Communications Authority (MCA)</w:t>
      </w:r>
    </w:p>
    <w:p w14:paraId="4DF437B3" w14:textId="77777777" w:rsidR="00B23ACB" w:rsidRPr="00DD709C" w:rsidRDefault="00B23ACB" w:rsidP="00B23ACB">
      <w:pPr>
        <w:spacing w:before="0"/>
        <w:ind w:left="567"/>
        <w:jc w:val="left"/>
        <w:rPr>
          <w:rFonts w:asciiTheme="minorHAnsi" w:eastAsia="Calibri" w:hAnsiTheme="minorHAnsi" w:cstheme="minorHAnsi"/>
          <w:lang w:val="fr-FR" w:eastAsia="en-GB"/>
        </w:rPr>
      </w:pPr>
      <w:r w:rsidRPr="00DD709C">
        <w:rPr>
          <w:rFonts w:asciiTheme="minorHAnsi" w:eastAsia="Calibri" w:hAnsiTheme="minorHAnsi" w:cstheme="minorHAnsi"/>
          <w:lang w:val="fr-FR" w:eastAsia="en-GB"/>
        </w:rPr>
        <w:t>Valletta Waterfront</w:t>
      </w:r>
    </w:p>
    <w:p w14:paraId="2D09B056" w14:textId="77777777" w:rsidR="00B23ACB" w:rsidRPr="00DD709C" w:rsidRDefault="00B23ACB" w:rsidP="00B23ACB">
      <w:pPr>
        <w:spacing w:before="0"/>
        <w:ind w:left="567"/>
        <w:jc w:val="left"/>
        <w:rPr>
          <w:rFonts w:asciiTheme="minorHAnsi" w:eastAsia="Calibri" w:hAnsiTheme="minorHAnsi" w:cstheme="minorHAnsi"/>
          <w:lang w:val="fr-FR" w:eastAsia="en-GB"/>
        </w:rPr>
      </w:pPr>
      <w:r w:rsidRPr="00DD709C">
        <w:rPr>
          <w:rFonts w:asciiTheme="minorHAnsi" w:eastAsia="Calibri" w:hAnsiTheme="minorHAnsi" w:cstheme="minorHAnsi"/>
          <w:lang w:val="fr-FR" w:eastAsia="en-GB"/>
        </w:rPr>
        <w:t>Pinto Wharf</w:t>
      </w:r>
    </w:p>
    <w:p w14:paraId="67BE92B4" w14:textId="77777777" w:rsidR="00B23ACB" w:rsidRPr="00DD709C" w:rsidRDefault="00B23ACB" w:rsidP="00B23ACB">
      <w:pPr>
        <w:spacing w:before="0"/>
        <w:ind w:left="567"/>
        <w:jc w:val="left"/>
        <w:rPr>
          <w:rFonts w:asciiTheme="minorHAnsi" w:eastAsia="Calibri" w:hAnsiTheme="minorHAnsi" w:cstheme="minorHAnsi"/>
          <w:lang w:val="fr-FR" w:eastAsia="en-GB"/>
        </w:rPr>
      </w:pPr>
      <w:r w:rsidRPr="00DD709C">
        <w:rPr>
          <w:rFonts w:asciiTheme="minorHAnsi" w:eastAsia="Calibri" w:hAnsiTheme="minorHAnsi" w:cstheme="minorHAnsi"/>
          <w:lang w:val="fr-FR" w:eastAsia="en-GB"/>
        </w:rPr>
        <w:t>Floriana FRN1913</w:t>
      </w:r>
    </w:p>
    <w:p w14:paraId="150EFDD4" w14:textId="77777777" w:rsidR="00B23ACB" w:rsidRPr="00354DF7" w:rsidRDefault="00B23ACB" w:rsidP="00B23ACB">
      <w:pPr>
        <w:spacing w:before="0"/>
        <w:ind w:left="567"/>
        <w:jc w:val="left"/>
        <w:rPr>
          <w:rFonts w:asciiTheme="minorHAnsi" w:eastAsia="Calibri" w:hAnsiTheme="minorHAnsi" w:cstheme="minorHAnsi"/>
          <w:lang w:val="fr-FR" w:eastAsia="en-GB"/>
        </w:rPr>
      </w:pPr>
      <w:r w:rsidRPr="00354DF7">
        <w:rPr>
          <w:rFonts w:asciiTheme="minorHAnsi" w:eastAsia="Calibri" w:hAnsiTheme="minorHAnsi" w:cstheme="minorHAnsi"/>
          <w:lang w:val="fr-FR" w:eastAsia="en-GB"/>
        </w:rPr>
        <w:t>Malte</w:t>
      </w:r>
    </w:p>
    <w:p w14:paraId="7B2C59D8" w14:textId="77777777" w:rsidR="00B23ACB" w:rsidRPr="00354DF7" w:rsidRDefault="00B23ACB" w:rsidP="00B23ACB">
      <w:pPr>
        <w:tabs>
          <w:tab w:val="clear" w:pos="1276"/>
          <w:tab w:val="clear" w:pos="1843"/>
          <w:tab w:val="left" w:pos="1418"/>
        </w:tabs>
        <w:spacing w:before="0"/>
        <w:ind w:left="567"/>
        <w:jc w:val="left"/>
        <w:rPr>
          <w:rFonts w:asciiTheme="minorHAnsi" w:eastAsia="Calibri" w:hAnsiTheme="minorHAnsi" w:cstheme="minorHAnsi"/>
          <w:lang w:val="fr-FR" w:eastAsia="en-GB"/>
        </w:rPr>
      </w:pPr>
      <w:r w:rsidRPr="00354DF7">
        <w:rPr>
          <w:rFonts w:asciiTheme="minorHAnsi" w:eastAsia="Calibri" w:hAnsiTheme="minorHAnsi" w:cstheme="minorHAnsi"/>
          <w:lang w:val="fr-FR" w:eastAsia="en-GB"/>
        </w:rPr>
        <w:t>Tél.:</w:t>
      </w:r>
      <w:r w:rsidRPr="00354DF7">
        <w:rPr>
          <w:rFonts w:asciiTheme="minorHAnsi" w:eastAsia="Calibri" w:hAnsiTheme="minorHAnsi" w:cstheme="minorHAnsi"/>
          <w:lang w:val="fr-FR" w:eastAsia="en-GB"/>
        </w:rPr>
        <w:tab/>
        <w:t>+356 2133 6840</w:t>
      </w:r>
    </w:p>
    <w:p w14:paraId="6F7FBDA2" w14:textId="77777777" w:rsidR="00B23ACB" w:rsidRPr="00354DF7" w:rsidRDefault="00B23ACB" w:rsidP="00B23ACB">
      <w:pPr>
        <w:tabs>
          <w:tab w:val="clear" w:pos="1276"/>
          <w:tab w:val="clear" w:pos="1843"/>
          <w:tab w:val="clear" w:pos="5387"/>
          <w:tab w:val="clear" w:pos="5954"/>
          <w:tab w:val="left" w:pos="1418"/>
        </w:tabs>
        <w:spacing w:before="0"/>
        <w:ind w:left="567"/>
        <w:jc w:val="left"/>
        <w:rPr>
          <w:rFonts w:asciiTheme="minorHAnsi" w:eastAsia="Calibri" w:hAnsiTheme="minorHAnsi" w:cstheme="minorHAnsi"/>
          <w:lang w:val="fr-FR" w:eastAsia="en-GB"/>
        </w:rPr>
      </w:pPr>
      <w:r>
        <w:rPr>
          <w:rFonts w:asciiTheme="minorHAnsi" w:eastAsia="Calibri" w:hAnsiTheme="minorHAnsi" w:cstheme="minorHAnsi"/>
          <w:lang w:val="fr-FR" w:eastAsia="en-GB"/>
        </w:rPr>
        <w:t>E-mail</w:t>
      </w:r>
      <w:r w:rsidRPr="00354DF7">
        <w:rPr>
          <w:rFonts w:asciiTheme="minorHAnsi" w:eastAsia="Calibri" w:hAnsiTheme="minorHAnsi" w:cstheme="minorHAnsi"/>
          <w:lang w:val="fr-FR" w:eastAsia="en-GB"/>
        </w:rPr>
        <w:t>:</w:t>
      </w:r>
      <w:r>
        <w:rPr>
          <w:rFonts w:asciiTheme="minorHAnsi" w:eastAsia="Calibri" w:hAnsiTheme="minorHAnsi" w:cstheme="minorHAnsi"/>
          <w:lang w:val="fr-FR" w:eastAsia="en-GB"/>
        </w:rPr>
        <w:tab/>
      </w:r>
      <w:r w:rsidRPr="00040B70">
        <w:rPr>
          <w:rFonts w:asciiTheme="minorHAnsi" w:eastAsia="Calibri" w:hAnsiTheme="minorHAnsi" w:cstheme="minorHAnsi"/>
          <w:lang w:val="fr-FR" w:eastAsia="en-GB"/>
        </w:rPr>
        <w:t>numbering@mca.org.mt</w:t>
      </w:r>
    </w:p>
    <w:p w14:paraId="129AEDF5" w14:textId="77777777" w:rsidR="00B23ACB" w:rsidRPr="00354DF7" w:rsidRDefault="00B23ACB" w:rsidP="00B23ACB">
      <w:pPr>
        <w:tabs>
          <w:tab w:val="clear" w:pos="1276"/>
          <w:tab w:val="clear" w:pos="1843"/>
          <w:tab w:val="left" w:pos="1418"/>
        </w:tabs>
        <w:spacing w:before="0"/>
        <w:ind w:left="567"/>
        <w:jc w:val="left"/>
        <w:rPr>
          <w:rFonts w:asciiTheme="minorHAnsi" w:eastAsia="Calibri" w:hAnsiTheme="minorHAnsi" w:cstheme="minorHAnsi"/>
          <w:lang w:val="fr-FR" w:eastAsia="en-GB"/>
        </w:rPr>
      </w:pPr>
      <w:r w:rsidRPr="00354DF7">
        <w:rPr>
          <w:rFonts w:asciiTheme="minorHAnsi" w:eastAsia="Calibri" w:hAnsiTheme="minorHAnsi" w:cstheme="minorHAnsi"/>
          <w:lang w:val="fr-FR" w:eastAsia="en-GB"/>
        </w:rPr>
        <w:t>URL:</w:t>
      </w:r>
      <w:r w:rsidRPr="00354DF7">
        <w:rPr>
          <w:rFonts w:asciiTheme="minorHAnsi" w:eastAsia="Calibri" w:hAnsiTheme="minorHAnsi" w:cstheme="minorHAnsi"/>
          <w:lang w:val="fr-FR" w:eastAsia="en-GB"/>
        </w:rPr>
        <w:tab/>
      </w:r>
      <w:r w:rsidRPr="00040B70">
        <w:rPr>
          <w:rFonts w:asciiTheme="minorHAnsi" w:eastAsia="Calibri" w:hAnsiTheme="minorHAnsi" w:cstheme="minorHAnsi"/>
          <w:lang w:val="fr-FR" w:eastAsia="en-GB"/>
        </w:rPr>
        <w:t>www.mca.org.mt</w:t>
      </w:r>
      <w:bookmarkEnd w:id="549"/>
    </w:p>
    <w:p w14:paraId="5CA79E74" w14:textId="77777777" w:rsidR="00B23ACB" w:rsidRPr="004705E6" w:rsidRDefault="00B23ACB" w:rsidP="00B23ACB">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lang w:val="fr-FR" w:eastAsia="zh-CN"/>
        </w:rPr>
      </w:pPr>
      <w:r w:rsidRPr="004705E6">
        <w:rPr>
          <w:rFonts w:eastAsia="SimSun"/>
          <w:lang w:val="fr-FR" w:eastAsia="zh-CN"/>
        </w:rPr>
        <w:br w:type="page"/>
      </w:r>
    </w:p>
    <w:p w14:paraId="2576A8CD" w14:textId="77777777" w:rsidR="00B23ACB" w:rsidRPr="009D0917" w:rsidRDefault="00B23ACB" w:rsidP="00B23ACB">
      <w:pPr>
        <w:pStyle w:val="country0"/>
        <w:spacing w:before="0"/>
        <w:rPr>
          <w:noProof/>
        </w:rPr>
      </w:pPr>
      <w:bookmarkStart w:id="550" w:name="_Toc72943258"/>
      <w:r w:rsidRPr="009D0917">
        <w:rPr>
          <w:noProof/>
        </w:rPr>
        <w:lastRenderedPageBreak/>
        <w:t>Maroc (</w:t>
      </w:r>
      <w:r>
        <w:rPr>
          <w:noProof/>
        </w:rPr>
        <w:t>i</w:t>
      </w:r>
      <w:r w:rsidRPr="009D0917">
        <w:rPr>
          <w:noProof/>
        </w:rPr>
        <w:t>ndicatif de pays +212)</w:t>
      </w:r>
      <w:bookmarkEnd w:id="550"/>
    </w:p>
    <w:p w14:paraId="54368016" w14:textId="77777777" w:rsidR="00B23ACB" w:rsidRPr="00354DF7" w:rsidRDefault="00B23ACB" w:rsidP="00B23ACB">
      <w:pPr>
        <w:rPr>
          <w:lang w:val="fr-FR"/>
        </w:rPr>
      </w:pPr>
      <w:r w:rsidRPr="00354DF7">
        <w:rPr>
          <w:lang w:val="fr-FR"/>
        </w:rPr>
        <w:t>Communication du 13.XII.2025:</w:t>
      </w:r>
    </w:p>
    <w:p w14:paraId="49DCAE00" w14:textId="77777777" w:rsidR="00B23ACB" w:rsidRPr="00354DF7" w:rsidRDefault="00B23ACB" w:rsidP="004D707F">
      <w:pPr>
        <w:spacing w:after="120"/>
        <w:jc w:val="left"/>
        <w:rPr>
          <w:lang w:val="fr-FR"/>
        </w:rPr>
      </w:pPr>
      <w:r w:rsidRPr="00354DF7">
        <w:rPr>
          <w:lang w:val="fr-FR"/>
        </w:rPr>
        <w:t>L'</w:t>
      </w:r>
      <w:r w:rsidRPr="00354DF7">
        <w:rPr>
          <w:i/>
          <w:iCs/>
          <w:lang w:val="fr-FR"/>
        </w:rPr>
        <w:t>Agence Nationale de Réglementation des Télécommunications (ANRT)</w:t>
      </w:r>
      <w:r w:rsidRPr="00354DF7">
        <w:rPr>
          <w:lang w:val="fr-FR"/>
        </w:rPr>
        <w:t>, Rabat, annonce les mises à jour suivantes du plan national de numérotage téléphonique du Maroc.</w:t>
      </w:r>
    </w:p>
    <w:p w14:paraId="3879C1BC" w14:textId="77777777" w:rsidR="004D707F" w:rsidRPr="00354DF7" w:rsidRDefault="004D707F" w:rsidP="004D707F">
      <w:pPr>
        <w:rPr>
          <w:lang w:val="fr-FR"/>
        </w:rPr>
      </w:pPr>
    </w:p>
    <w:p w14:paraId="320BFFF5" w14:textId="2F793901" w:rsidR="00B23ACB" w:rsidRDefault="00B23ACB" w:rsidP="004D707F">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240" w:after="240"/>
        <w:ind w:left="360"/>
        <w:contextualSpacing/>
        <w:jc w:val="center"/>
        <w:textAlignment w:val="auto"/>
        <w:rPr>
          <w:bCs/>
          <w:i/>
          <w:iCs/>
          <w:lang w:val="fr-FR"/>
        </w:rPr>
      </w:pPr>
      <w:r w:rsidRPr="00354DF7">
        <w:rPr>
          <w:bCs/>
          <w:i/>
          <w:iCs/>
          <w:lang w:val="fr-FR"/>
        </w:rPr>
        <w:t xml:space="preserve">Description de la mise en service d'une nouvelle ressource </w:t>
      </w:r>
      <w:r w:rsidR="004D707F">
        <w:rPr>
          <w:bCs/>
          <w:i/>
          <w:iCs/>
          <w:lang w:val="fr-FR"/>
        </w:rPr>
        <w:br/>
      </w:r>
      <w:r w:rsidRPr="00354DF7">
        <w:rPr>
          <w:bCs/>
          <w:i/>
          <w:iCs/>
          <w:lang w:val="fr-FR"/>
        </w:rPr>
        <w:t>dans le plan national de numérotage E.164 pour l'indicatif de pays +212:</w:t>
      </w:r>
    </w:p>
    <w:p w14:paraId="0836F042" w14:textId="77777777" w:rsidR="004D707F" w:rsidRPr="00354DF7" w:rsidRDefault="004D707F" w:rsidP="004D707F">
      <w:pPr>
        <w:rPr>
          <w:lang w:val="fr-FR"/>
        </w:rPr>
      </w:pPr>
    </w:p>
    <w:p w14:paraId="3B1806DD" w14:textId="77777777" w:rsidR="00B23ACB" w:rsidRDefault="00B23ACB" w:rsidP="004D707F">
      <w:pPr>
        <w:tabs>
          <w:tab w:val="clear" w:pos="567"/>
          <w:tab w:val="clear" w:pos="1276"/>
          <w:tab w:val="clear" w:pos="1843"/>
          <w:tab w:val="clear" w:pos="5387"/>
          <w:tab w:val="clear" w:pos="5954"/>
          <w:tab w:val="left" w:pos="426"/>
          <w:tab w:val="left" w:pos="1191"/>
          <w:tab w:val="left" w:pos="1588"/>
          <w:tab w:val="left" w:pos="1985"/>
        </w:tabs>
        <w:overflowPunct/>
        <w:autoSpaceDE/>
        <w:autoSpaceDN/>
        <w:adjustRightInd/>
        <w:spacing w:before="240" w:after="120"/>
        <w:ind w:left="426" w:hanging="426"/>
        <w:contextualSpacing/>
        <w:jc w:val="left"/>
        <w:textAlignment w:val="auto"/>
        <w:rPr>
          <w:rFonts w:eastAsia="SimSun"/>
          <w:lang w:val="fr-FR" w:eastAsia="zh-CN"/>
        </w:rPr>
      </w:pPr>
      <w:r w:rsidRPr="00354DF7">
        <w:rPr>
          <w:lang w:val="fr-FR"/>
        </w:rPr>
        <w:t>•</w:t>
      </w:r>
      <w:r w:rsidRPr="00354DF7">
        <w:rPr>
          <w:lang w:val="fr-FR"/>
        </w:rPr>
        <w:tab/>
        <w:t>Les nouveaux indicatifs nationaux de destination (NDC) ci-après ont récemment été mis en service, comme suit</w:t>
      </w:r>
      <w:r w:rsidRPr="00354DF7">
        <w:rPr>
          <w:rFonts w:eastAsia="SimSun"/>
          <w:lang w:val="fr-FR" w:eastAsia="zh-CN"/>
        </w:rPr>
        <w:t>:</w:t>
      </w:r>
    </w:p>
    <w:p w14:paraId="007A1537" w14:textId="77777777" w:rsidR="004D707F" w:rsidRPr="00354DF7" w:rsidRDefault="004D707F" w:rsidP="004D707F">
      <w:pPr>
        <w:spacing w:before="0"/>
        <w:rPr>
          <w:rFonts w:eastAsia="SimSun"/>
          <w:lang w:val="fr-FR"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1062"/>
        <w:gridCol w:w="1238"/>
        <w:gridCol w:w="2860"/>
        <w:gridCol w:w="2257"/>
      </w:tblGrid>
      <w:tr w:rsidR="00B23ACB" w:rsidRPr="00354DF7" w14:paraId="72D1B571" w14:textId="77777777" w:rsidTr="004D707F">
        <w:trPr>
          <w:cantSplit/>
          <w:tblHeader/>
          <w:jc w:val="center"/>
        </w:trPr>
        <w:tc>
          <w:tcPr>
            <w:tcW w:w="2250" w:type="dxa"/>
            <w:vMerge w:val="restart"/>
            <w:vAlign w:val="center"/>
          </w:tcPr>
          <w:p w14:paraId="67BA63FF"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lang w:val="fr-FR"/>
              </w:rPr>
            </w:pPr>
            <w:r w:rsidRPr="00354DF7">
              <w:rPr>
                <w:i/>
                <w:lang w:val="fr-FR"/>
              </w:rPr>
              <w:t>Indicatif national de destination (NDC) ou premiers chiffres du numéro national significatif (N(S)N)</w:t>
            </w:r>
          </w:p>
        </w:tc>
        <w:tc>
          <w:tcPr>
            <w:tcW w:w="2340" w:type="dxa"/>
            <w:gridSpan w:val="2"/>
            <w:vAlign w:val="center"/>
          </w:tcPr>
          <w:p w14:paraId="749B1AE1"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354DF7">
              <w:rPr>
                <w:i/>
                <w:lang w:val="fr-FR"/>
              </w:rPr>
              <w:t>Longueur du numéro N(S)N</w:t>
            </w:r>
          </w:p>
        </w:tc>
        <w:tc>
          <w:tcPr>
            <w:tcW w:w="2918" w:type="dxa"/>
            <w:vMerge w:val="restart"/>
            <w:vAlign w:val="center"/>
          </w:tcPr>
          <w:p w14:paraId="7D63237E" w14:textId="7A3D030E"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354DF7">
              <w:rPr>
                <w:i/>
                <w:lang w:val="fr-FR"/>
              </w:rPr>
              <w:t>Utilisation du numéro E.164</w:t>
            </w:r>
          </w:p>
        </w:tc>
        <w:tc>
          <w:tcPr>
            <w:tcW w:w="2302" w:type="dxa"/>
            <w:vMerge w:val="restart"/>
            <w:tcMar>
              <w:left w:w="85" w:type="dxa"/>
              <w:right w:w="85" w:type="dxa"/>
            </w:tcMar>
            <w:vAlign w:val="center"/>
          </w:tcPr>
          <w:p w14:paraId="5F559F6B"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354DF7">
              <w:rPr>
                <w:i/>
                <w:lang w:val="fr-FR"/>
              </w:rPr>
              <w:t>Informations complémentaires</w:t>
            </w:r>
          </w:p>
        </w:tc>
      </w:tr>
      <w:tr w:rsidR="00B23ACB" w:rsidRPr="00354DF7" w14:paraId="52D007A8" w14:textId="77777777" w:rsidTr="004D707F">
        <w:trPr>
          <w:cantSplit/>
          <w:tblHeader/>
          <w:jc w:val="center"/>
        </w:trPr>
        <w:tc>
          <w:tcPr>
            <w:tcW w:w="2250" w:type="dxa"/>
            <w:vMerge/>
            <w:vAlign w:val="center"/>
          </w:tcPr>
          <w:p w14:paraId="722AADA1"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1080" w:type="dxa"/>
            <w:vAlign w:val="center"/>
          </w:tcPr>
          <w:p w14:paraId="6A53E3CF"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354DF7">
              <w:rPr>
                <w:i/>
                <w:lang w:val="fr-FR"/>
              </w:rPr>
              <w:t>Longueur maximale</w:t>
            </w:r>
          </w:p>
        </w:tc>
        <w:tc>
          <w:tcPr>
            <w:tcW w:w="1260" w:type="dxa"/>
            <w:vAlign w:val="center"/>
          </w:tcPr>
          <w:p w14:paraId="2F5772D0"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354DF7">
              <w:rPr>
                <w:i/>
                <w:lang w:val="fr-FR"/>
              </w:rPr>
              <w:t>Longueur minimale</w:t>
            </w:r>
          </w:p>
        </w:tc>
        <w:tc>
          <w:tcPr>
            <w:tcW w:w="2918" w:type="dxa"/>
            <w:vMerge/>
            <w:vAlign w:val="center"/>
          </w:tcPr>
          <w:p w14:paraId="48DC5DA5"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2302" w:type="dxa"/>
            <w:vMerge/>
            <w:tcMar>
              <w:left w:w="68" w:type="dxa"/>
              <w:right w:w="68" w:type="dxa"/>
            </w:tcMar>
            <w:vAlign w:val="center"/>
          </w:tcPr>
          <w:p w14:paraId="490152BD" w14:textId="77777777" w:rsidR="00B23ACB" w:rsidRPr="00354DF7" w:rsidRDefault="00B23ACB" w:rsidP="004D70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r>
      <w:tr w:rsidR="00B23ACB" w:rsidRPr="00354DF7" w14:paraId="52C06802" w14:textId="77777777" w:rsidTr="004D707F">
        <w:trPr>
          <w:cantSplit/>
          <w:jc w:val="center"/>
        </w:trPr>
        <w:tc>
          <w:tcPr>
            <w:tcW w:w="2250" w:type="dxa"/>
            <w:tcBorders>
              <w:top w:val="single" w:sz="4" w:space="0" w:color="auto"/>
              <w:bottom w:val="single" w:sz="4" w:space="0" w:color="auto"/>
            </w:tcBorders>
          </w:tcPr>
          <w:p w14:paraId="11C2A08F"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rPr>
            </w:pPr>
            <w:r w:rsidRPr="00354DF7">
              <w:rPr>
                <w:color w:val="000000"/>
                <w:lang w:val="fr-FR"/>
              </w:rPr>
              <w:t>788</w:t>
            </w:r>
          </w:p>
        </w:tc>
        <w:tc>
          <w:tcPr>
            <w:tcW w:w="1080" w:type="dxa"/>
            <w:tcBorders>
              <w:top w:val="single" w:sz="4" w:space="0" w:color="auto"/>
              <w:bottom w:val="single" w:sz="4" w:space="0" w:color="auto"/>
            </w:tcBorders>
            <w:vAlign w:val="center"/>
          </w:tcPr>
          <w:p w14:paraId="72965055"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9</w:t>
            </w:r>
          </w:p>
        </w:tc>
        <w:tc>
          <w:tcPr>
            <w:tcW w:w="1260" w:type="dxa"/>
            <w:tcBorders>
              <w:top w:val="single" w:sz="4" w:space="0" w:color="auto"/>
              <w:bottom w:val="single" w:sz="4" w:space="0" w:color="auto"/>
            </w:tcBorders>
            <w:vAlign w:val="center"/>
          </w:tcPr>
          <w:p w14:paraId="0B94CA8A"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9</w:t>
            </w:r>
          </w:p>
        </w:tc>
        <w:tc>
          <w:tcPr>
            <w:tcW w:w="2918" w:type="dxa"/>
            <w:tcBorders>
              <w:top w:val="single" w:sz="4" w:space="0" w:color="auto"/>
              <w:left w:val="nil"/>
              <w:bottom w:val="single" w:sz="4" w:space="0" w:color="auto"/>
              <w:right w:val="single" w:sz="4" w:space="0" w:color="auto"/>
            </w:tcBorders>
          </w:tcPr>
          <w:p w14:paraId="662AB4C5"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Services mobiles 2G/3G/4G/5G</w:t>
            </w:r>
          </w:p>
        </w:tc>
        <w:tc>
          <w:tcPr>
            <w:tcW w:w="2302" w:type="dxa"/>
            <w:tcBorders>
              <w:top w:val="single" w:sz="4" w:space="0" w:color="auto"/>
              <w:left w:val="nil"/>
              <w:bottom w:val="single" w:sz="4" w:space="0" w:color="auto"/>
              <w:right w:val="single" w:sz="4" w:space="0" w:color="auto"/>
            </w:tcBorders>
            <w:vAlign w:val="center"/>
          </w:tcPr>
          <w:p w14:paraId="0F65E2F4" w14:textId="77777777" w:rsidR="00B23ACB" w:rsidRPr="00354DF7" w:rsidDel="00C25233" w:rsidRDefault="00B23ACB" w:rsidP="004D707F">
            <w:pPr>
              <w:tabs>
                <w:tab w:val="clear" w:pos="567"/>
                <w:tab w:val="clear" w:pos="1276"/>
                <w:tab w:val="clear" w:pos="1843"/>
                <w:tab w:val="clear" w:pos="5387"/>
                <w:tab w:val="clear" w:pos="5954"/>
              </w:tabs>
              <w:spacing w:before="40" w:after="40"/>
              <w:jc w:val="left"/>
              <w:rPr>
                <w:color w:val="000000"/>
                <w:lang w:val="fr-FR" w:eastAsia="fr-FR"/>
              </w:rPr>
            </w:pPr>
            <w:r w:rsidRPr="00354DF7">
              <w:rPr>
                <w:color w:val="000000"/>
                <w:lang w:val="fr-FR" w:eastAsia="fr-FR"/>
              </w:rPr>
              <w:t>Médi Telecom</w:t>
            </w:r>
            <w:r w:rsidRPr="00354DF7">
              <w:rPr>
                <w:color w:val="000000"/>
                <w:vertAlign w:val="superscript"/>
                <w:lang w:val="fr-FR" w:eastAsia="fr-FR"/>
              </w:rPr>
              <w:t>1</w:t>
            </w:r>
          </w:p>
        </w:tc>
      </w:tr>
      <w:tr w:rsidR="00B23ACB" w:rsidRPr="00354DF7" w14:paraId="51608D6F" w14:textId="77777777" w:rsidTr="004D707F">
        <w:trPr>
          <w:cantSplit/>
          <w:jc w:val="center"/>
        </w:trPr>
        <w:tc>
          <w:tcPr>
            <w:tcW w:w="2250" w:type="dxa"/>
            <w:tcBorders>
              <w:top w:val="single" w:sz="4" w:space="0" w:color="auto"/>
              <w:bottom w:val="single" w:sz="4" w:space="0" w:color="auto"/>
            </w:tcBorders>
          </w:tcPr>
          <w:p w14:paraId="3A62E580"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rPr>
            </w:pPr>
            <w:r w:rsidRPr="00354DF7">
              <w:rPr>
                <w:color w:val="000000"/>
                <w:lang w:val="fr-FR"/>
              </w:rPr>
              <w:t>789</w:t>
            </w:r>
          </w:p>
        </w:tc>
        <w:tc>
          <w:tcPr>
            <w:tcW w:w="1080" w:type="dxa"/>
            <w:tcBorders>
              <w:top w:val="single" w:sz="4" w:space="0" w:color="auto"/>
              <w:bottom w:val="single" w:sz="4" w:space="0" w:color="auto"/>
            </w:tcBorders>
            <w:vAlign w:val="center"/>
          </w:tcPr>
          <w:p w14:paraId="7F0B31FE"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9</w:t>
            </w:r>
          </w:p>
        </w:tc>
        <w:tc>
          <w:tcPr>
            <w:tcW w:w="1260" w:type="dxa"/>
            <w:tcBorders>
              <w:top w:val="single" w:sz="4" w:space="0" w:color="auto"/>
              <w:bottom w:val="single" w:sz="4" w:space="0" w:color="auto"/>
            </w:tcBorders>
            <w:vAlign w:val="center"/>
          </w:tcPr>
          <w:p w14:paraId="6B89DCF3"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9</w:t>
            </w:r>
          </w:p>
        </w:tc>
        <w:tc>
          <w:tcPr>
            <w:tcW w:w="2918" w:type="dxa"/>
            <w:tcBorders>
              <w:top w:val="single" w:sz="4" w:space="0" w:color="auto"/>
              <w:left w:val="nil"/>
              <w:bottom w:val="single" w:sz="4" w:space="0" w:color="auto"/>
              <w:right w:val="single" w:sz="4" w:space="0" w:color="auto"/>
            </w:tcBorders>
          </w:tcPr>
          <w:p w14:paraId="22EE43E6" w14:textId="77777777" w:rsidR="00B23ACB" w:rsidRPr="00354DF7" w:rsidDel="00C25233" w:rsidRDefault="00B23ACB" w:rsidP="004D707F">
            <w:pPr>
              <w:tabs>
                <w:tab w:val="clear" w:pos="567"/>
                <w:tab w:val="clear" w:pos="1276"/>
                <w:tab w:val="clear" w:pos="1843"/>
                <w:tab w:val="clear" w:pos="5387"/>
                <w:tab w:val="clear" w:pos="5954"/>
              </w:tabs>
              <w:spacing w:before="40" w:after="40"/>
              <w:jc w:val="center"/>
              <w:rPr>
                <w:color w:val="000000"/>
                <w:lang w:val="fr-FR" w:eastAsia="fr-FR"/>
              </w:rPr>
            </w:pPr>
            <w:r w:rsidRPr="00354DF7">
              <w:rPr>
                <w:color w:val="000000"/>
                <w:lang w:val="fr-FR" w:eastAsia="fr-FR"/>
              </w:rPr>
              <w:t>Services mobiles 2G/3G/4G/5G</w:t>
            </w:r>
          </w:p>
        </w:tc>
        <w:tc>
          <w:tcPr>
            <w:tcW w:w="2302" w:type="dxa"/>
            <w:tcBorders>
              <w:top w:val="single" w:sz="4" w:space="0" w:color="auto"/>
              <w:left w:val="nil"/>
              <w:bottom w:val="single" w:sz="4" w:space="0" w:color="auto"/>
              <w:right w:val="single" w:sz="4" w:space="0" w:color="auto"/>
            </w:tcBorders>
            <w:vAlign w:val="center"/>
          </w:tcPr>
          <w:p w14:paraId="29AF9E81" w14:textId="77777777" w:rsidR="00B23ACB" w:rsidRPr="00354DF7" w:rsidDel="00C25233" w:rsidRDefault="00B23ACB" w:rsidP="004D707F">
            <w:pPr>
              <w:tabs>
                <w:tab w:val="clear" w:pos="567"/>
                <w:tab w:val="clear" w:pos="1276"/>
                <w:tab w:val="clear" w:pos="1843"/>
                <w:tab w:val="clear" w:pos="5387"/>
                <w:tab w:val="clear" w:pos="5954"/>
              </w:tabs>
              <w:spacing w:before="40" w:after="40"/>
              <w:jc w:val="left"/>
              <w:rPr>
                <w:color w:val="000000"/>
                <w:lang w:val="fr-FR" w:eastAsia="fr-FR"/>
              </w:rPr>
            </w:pPr>
            <w:r w:rsidRPr="00354DF7">
              <w:rPr>
                <w:color w:val="000000"/>
                <w:lang w:val="fr-FR" w:eastAsia="fr-FR"/>
              </w:rPr>
              <w:t>Médi Telecom</w:t>
            </w:r>
          </w:p>
        </w:tc>
      </w:tr>
    </w:tbl>
    <w:p w14:paraId="6FDABF17" w14:textId="77777777" w:rsidR="004D707F" w:rsidRPr="004D707F" w:rsidRDefault="004D707F" w:rsidP="004D707F">
      <w:pPr>
        <w:spacing w:before="240"/>
        <w:textAlignment w:val="auto"/>
        <w:rPr>
          <w:rFonts w:eastAsia="SimSun"/>
          <w:noProof/>
          <w:lang w:val="en-US" w:eastAsia="zh-CN"/>
        </w:rPr>
      </w:pPr>
      <w:r w:rsidRPr="004D707F">
        <w:rPr>
          <w:rFonts w:eastAsia="SimSun"/>
          <w:noProof/>
          <w:vertAlign w:val="superscript"/>
          <w:lang w:val="en-US" w:eastAsia="zh-CN"/>
        </w:rPr>
        <w:t>1</w:t>
      </w:r>
      <w:r w:rsidRPr="004D707F">
        <w:rPr>
          <w:rFonts w:eastAsia="SimSun"/>
          <w:noProof/>
          <w:lang w:val="en-US" w:eastAsia="zh-CN"/>
        </w:rPr>
        <w:t xml:space="preserve">  ORANGE</w:t>
      </w:r>
    </w:p>
    <w:p w14:paraId="361012CF" w14:textId="77777777" w:rsidR="00B23ACB" w:rsidRPr="00354DF7" w:rsidRDefault="00B23ACB" w:rsidP="004D707F">
      <w:pPr>
        <w:tabs>
          <w:tab w:val="clear" w:pos="567"/>
          <w:tab w:val="clear" w:pos="1276"/>
          <w:tab w:val="clear" w:pos="1843"/>
          <w:tab w:val="clear" w:pos="5387"/>
          <w:tab w:val="clear" w:pos="5954"/>
        </w:tabs>
        <w:jc w:val="left"/>
        <w:rPr>
          <w:rFonts w:eastAsia="SimSun"/>
          <w:lang w:val="fr-FR" w:eastAsia="zh-CN"/>
        </w:rPr>
      </w:pPr>
      <w:r w:rsidRPr="00354DF7">
        <w:rPr>
          <w:rFonts w:eastAsia="SimSun"/>
          <w:lang w:val="fr-FR" w:eastAsia="zh-CN"/>
        </w:rPr>
        <w:t>Contact:</w:t>
      </w:r>
    </w:p>
    <w:p w14:paraId="21AE5F73" w14:textId="77777777" w:rsidR="00B23ACB" w:rsidRPr="00354DF7" w:rsidRDefault="00B23ACB" w:rsidP="004D707F">
      <w:pPr>
        <w:tabs>
          <w:tab w:val="clear" w:pos="567"/>
          <w:tab w:val="clear" w:pos="1276"/>
          <w:tab w:val="clear" w:pos="1843"/>
          <w:tab w:val="clear" w:pos="5387"/>
          <w:tab w:val="clear" w:pos="5954"/>
        </w:tabs>
        <w:spacing w:before="60"/>
        <w:ind w:left="720"/>
        <w:jc w:val="left"/>
        <w:rPr>
          <w:lang w:val="fr-FR"/>
        </w:rPr>
      </w:pPr>
      <w:r w:rsidRPr="00354DF7">
        <w:rPr>
          <w:lang w:val="fr-FR"/>
        </w:rPr>
        <w:t>Agence Nationale de Réglementation des Télécommunications (ANRT)</w:t>
      </w:r>
    </w:p>
    <w:p w14:paraId="3990953F" w14:textId="77777777" w:rsidR="00B23ACB" w:rsidRPr="00354DF7" w:rsidRDefault="00B23ACB" w:rsidP="00B23ACB">
      <w:pPr>
        <w:tabs>
          <w:tab w:val="clear" w:pos="567"/>
          <w:tab w:val="clear" w:pos="1276"/>
          <w:tab w:val="clear" w:pos="1843"/>
          <w:tab w:val="clear" w:pos="5387"/>
          <w:tab w:val="clear" w:pos="5954"/>
        </w:tabs>
        <w:spacing w:before="0"/>
        <w:ind w:left="720"/>
        <w:jc w:val="left"/>
        <w:rPr>
          <w:rFonts w:eastAsia="SimSun"/>
          <w:lang w:val="fr-FR" w:eastAsia="zh-CN"/>
        </w:rPr>
      </w:pPr>
      <w:r w:rsidRPr="00354DF7">
        <w:rPr>
          <w:lang w:val="fr-FR"/>
        </w:rPr>
        <w:t>Centre d'affaires</w:t>
      </w:r>
    </w:p>
    <w:p w14:paraId="7ABA5CE3" w14:textId="77777777" w:rsidR="00B23ACB" w:rsidRPr="00354DF7" w:rsidRDefault="00B23ACB" w:rsidP="00B23ACB">
      <w:pPr>
        <w:tabs>
          <w:tab w:val="clear" w:pos="567"/>
          <w:tab w:val="clear" w:pos="1276"/>
          <w:tab w:val="clear" w:pos="1843"/>
          <w:tab w:val="clear" w:pos="5387"/>
          <w:tab w:val="clear" w:pos="5954"/>
        </w:tabs>
        <w:spacing w:before="0"/>
        <w:ind w:left="720"/>
        <w:jc w:val="left"/>
        <w:rPr>
          <w:rFonts w:eastAsia="SimSun"/>
          <w:lang w:val="fr-FR" w:eastAsia="zh-CN"/>
        </w:rPr>
      </w:pPr>
      <w:r w:rsidRPr="00354DF7">
        <w:rPr>
          <w:rFonts w:eastAsia="SimSun"/>
          <w:lang w:val="fr-FR" w:eastAsia="zh-CN"/>
        </w:rPr>
        <w:t>Boulevard Ar-Riad, Hay Riad</w:t>
      </w:r>
    </w:p>
    <w:p w14:paraId="5A8A69D9" w14:textId="77777777" w:rsidR="00B23ACB" w:rsidRPr="00354DF7" w:rsidRDefault="00B23ACB" w:rsidP="00B23ACB">
      <w:pPr>
        <w:tabs>
          <w:tab w:val="clear" w:pos="567"/>
          <w:tab w:val="clear" w:pos="1276"/>
          <w:tab w:val="clear" w:pos="1843"/>
          <w:tab w:val="clear" w:pos="5387"/>
          <w:tab w:val="clear" w:pos="5954"/>
        </w:tabs>
        <w:spacing w:before="0"/>
        <w:ind w:left="720"/>
        <w:jc w:val="left"/>
        <w:rPr>
          <w:rFonts w:eastAsia="SimSun"/>
          <w:lang w:val="fr-FR" w:eastAsia="zh-CN"/>
        </w:rPr>
      </w:pPr>
      <w:r w:rsidRPr="00354DF7">
        <w:rPr>
          <w:rFonts w:eastAsia="SimSun"/>
          <w:lang w:val="fr-FR" w:eastAsia="zh-CN"/>
        </w:rPr>
        <w:t>B.P. 2939</w:t>
      </w:r>
    </w:p>
    <w:p w14:paraId="0B0B8D91" w14:textId="77777777" w:rsidR="00B23ACB" w:rsidRPr="00354DF7" w:rsidRDefault="00B23ACB" w:rsidP="00B23ACB">
      <w:pPr>
        <w:tabs>
          <w:tab w:val="clear" w:pos="567"/>
          <w:tab w:val="clear" w:pos="1276"/>
          <w:tab w:val="clear" w:pos="1843"/>
          <w:tab w:val="clear" w:pos="5387"/>
          <w:tab w:val="clear" w:pos="5954"/>
        </w:tabs>
        <w:spacing w:before="0"/>
        <w:ind w:left="720"/>
        <w:jc w:val="left"/>
        <w:rPr>
          <w:rFonts w:eastAsia="SimSun"/>
          <w:lang w:val="fr-FR" w:eastAsia="zh-CN"/>
        </w:rPr>
      </w:pPr>
      <w:r w:rsidRPr="00354DF7">
        <w:rPr>
          <w:rFonts w:eastAsia="SimSun"/>
          <w:lang w:val="fr-FR" w:eastAsia="zh-CN"/>
        </w:rPr>
        <w:t>RABAT 10100</w:t>
      </w:r>
    </w:p>
    <w:p w14:paraId="55429E16" w14:textId="77777777" w:rsidR="00B23ACB" w:rsidRPr="00354DF7" w:rsidRDefault="00B23ACB" w:rsidP="00B23ACB">
      <w:pPr>
        <w:tabs>
          <w:tab w:val="clear" w:pos="567"/>
          <w:tab w:val="clear" w:pos="1276"/>
          <w:tab w:val="clear" w:pos="1843"/>
          <w:tab w:val="clear" w:pos="5387"/>
          <w:tab w:val="clear" w:pos="5954"/>
        </w:tabs>
        <w:spacing w:before="0"/>
        <w:ind w:left="720"/>
        <w:jc w:val="left"/>
        <w:rPr>
          <w:rFonts w:eastAsia="SimSun"/>
          <w:lang w:val="fr-FR" w:eastAsia="zh-CN"/>
        </w:rPr>
      </w:pPr>
      <w:r w:rsidRPr="00354DF7">
        <w:rPr>
          <w:rFonts w:eastAsia="SimSun"/>
          <w:lang w:val="fr-FR" w:eastAsia="zh-CN"/>
        </w:rPr>
        <w:t>Maroc</w:t>
      </w:r>
    </w:p>
    <w:p w14:paraId="77B7847C" w14:textId="77777777" w:rsidR="00B23ACB" w:rsidRPr="00354DF7" w:rsidRDefault="00B23ACB" w:rsidP="00B23ACB">
      <w:pPr>
        <w:tabs>
          <w:tab w:val="clear" w:pos="567"/>
          <w:tab w:val="clear" w:pos="1276"/>
          <w:tab w:val="clear" w:pos="1843"/>
          <w:tab w:val="clear" w:pos="5387"/>
          <w:tab w:val="clear" w:pos="5954"/>
          <w:tab w:val="left" w:pos="1701"/>
        </w:tabs>
        <w:spacing w:before="0"/>
        <w:ind w:left="720"/>
        <w:jc w:val="left"/>
        <w:rPr>
          <w:rFonts w:eastAsia="SimSun"/>
          <w:lang w:val="fr-FR" w:eastAsia="zh-CN"/>
        </w:rPr>
      </w:pPr>
      <w:r w:rsidRPr="00354DF7">
        <w:rPr>
          <w:rFonts w:eastAsia="SimSun"/>
          <w:lang w:val="fr-FR" w:eastAsia="zh-CN"/>
        </w:rPr>
        <w:t xml:space="preserve">Tél.: </w:t>
      </w:r>
      <w:r w:rsidRPr="00354DF7">
        <w:rPr>
          <w:rFonts w:eastAsia="SimSun"/>
          <w:lang w:val="fr-FR" w:eastAsia="zh-CN"/>
        </w:rPr>
        <w:tab/>
        <w:t>+212 5 37 71 85 64</w:t>
      </w:r>
      <w:r w:rsidRPr="00354DF7">
        <w:rPr>
          <w:rFonts w:eastAsia="SimSun"/>
          <w:lang w:val="fr-FR" w:eastAsia="zh-CN"/>
        </w:rPr>
        <w:br/>
      </w:r>
      <w:r>
        <w:rPr>
          <w:rFonts w:eastAsia="SimSun"/>
          <w:lang w:val="fr-FR" w:eastAsia="zh-CN"/>
        </w:rPr>
        <w:t>E-mail</w:t>
      </w:r>
      <w:r w:rsidRPr="00354DF7">
        <w:rPr>
          <w:rFonts w:eastAsia="SimSun"/>
          <w:lang w:val="fr-FR" w:eastAsia="zh-CN"/>
        </w:rPr>
        <w:t xml:space="preserve">: </w:t>
      </w:r>
      <w:r w:rsidRPr="00354DF7">
        <w:rPr>
          <w:rFonts w:eastAsia="SimSun"/>
          <w:lang w:val="fr-FR" w:eastAsia="zh-CN"/>
        </w:rPr>
        <w:tab/>
      </w:r>
      <w:r w:rsidRPr="00040B70">
        <w:rPr>
          <w:rFonts w:eastAsia="SimSun"/>
          <w:lang w:val="fr-FR" w:eastAsia="zh-CN"/>
        </w:rPr>
        <w:t>numerotation@anrt.ma</w:t>
      </w:r>
    </w:p>
    <w:p w14:paraId="566288B9" w14:textId="77777777" w:rsidR="00B23ACB" w:rsidRPr="00354DF7" w:rsidRDefault="00B23ACB" w:rsidP="00B23ACB">
      <w:pPr>
        <w:tabs>
          <w:tab w:val="clear" w:pos="567"/>
          <w:tab w:val="clear" w:pos="1276"/>
          <w:tab w:val="clear" w:pos="1843"/>
          <w:tab w:val="clear" w:pos="5387"/>
          <w:tab w:val="clear" w:pos="5954"/>
          <w:tab w:val="left" w:pos="1701"/>
        </w:tabs>
        <w:spacing w:before="0"/>
        <w:ind w:left="720"/>
        <w:jc w:val="left"/>
        <w:rPr>
          <w:rFonts w:eastAsia="SimSun"/>
          <w:lang w:val="fr-FR" w:eastAsia="zh-CN"/>
        </w:rPr>
      </w:pPr>
      <w:r w:rsidRPr="00354DF7">
        <w:rPr>
          <w:rFonts w:eastAsia="SimSun"/>
          <w:lang w:val="fr-FR" w:eastAsia="zh-CN"/>
        </w:rPr>
        <w:t>URL:</w:t>
      </w:r>
      <w:r w:rsidRPr="00354DF7">
        <w:rPr>
          <w:rFonts w:eastAsia="SimSun"/>
          <w:lang w:val="fr-FR" w:eastAsia="zh-CN"/>
        </w:rPr>
        <w:tab/>
      </w:r>
      <w:r w:rsidRPr="00040B70">
        <w:rPr>
          <w:rFonts w:eastAsia="SimSun"/>
          <w:lang w:val="fr-FR" w:eastAsia="zh-CN"/>
        </w:rPr>
        <w:t>www.anrt.ma</w:t>
      </w:r>
    </w:p>
    <w:p w14:paraId="1D240ED4" w14:textId="77777777" w:rsidR="00B23ACB" w:rsidRPr="00DD709C" w:rsidRDefault="00B23ACB" w:rsidP="00B23ACB">
      <w:pPr>
        <w:tabs>
          <w:tab w:val="clear" w:pos="567"/>
          <w:tab w:val="clear" w:pos="1276"/>
          <w:tab w:val="clear" w:pos="1843"/>
          <w:tab w:val="clear" w:pos="5387"/>
          <w:tab w:val="clear" w:pos="5954"/>
          <w:tab w:val="left" w:pos="1701"/>
        </w:tabs>
        <w:spacing w:before="0"/>
        <w:jc w:val="left"/>
        <w:rPr>
          <w:rFonts w:eastAsia="SimSun"/>
          <w:lang w:val="fr-CH" w:eastAsia="zh-CN"/>
        </w:rPr>
      </w:pPr>
    </w:p>
    <w:p w14:paraId="292CCE96" w14:textId="6D5FB8A6" w:rsidR="00B23ACB" w:rsidRDefault="00B23ACB" w:rsidP="006856DA">
      <w:pPr>
        <w:rPr>
          <w:rStyle w:val="Strong"/>
          <w:lang w:val="fr-FR"/>
        </w:rPr>
      </w:pPr>
      <w:r>
        <w:rPr>
          <w:rStyle w:val="Strong"/>
          <w:lang w:val="fr-FR"/>
        </w:rPr>
        <w:br w:type="page"/>
      </w:r>
    </w:p>
    <w:p w14:paraId="6D02AAF3" w14:textId="0C2F91FF" w:rsidR="003F234D" w:rsidRPr="006F5B3B" w:rsidRDefault="003F234D" w:rsidP="003F234D">
      <w:pPr>
        <w:pStyle w:val="Heading20"/>
      </w:pPr>
      <w:bookmarkStart w:id="551" w:name="_Toc417551684"/>
      <w:bookmarkStart w:id="552" w:name="_Toc418172334"/>
      <w:bookmarkStart w:id="553" w:name="_Toc418590416"/>
      <w:bookmarkStart w:id="554" w:name="_Toc421025977"/>
      <w:bookmarkStart w:id="555" w:name="_Toc422401214"/>
      <w:bookmarkStart w:id="556" w:name="_Toc423525459"/>
      <w:bookmarkStart w:id="557" w:name="_Toc424821420"/>
      <w:bookmarkStart w:id="558" w:name="_Toc428366209"/>
      <w:bookmarkStart w:id="559" w:name="_Toc429043969"/>
      <w:bookmarkStart w:id="560" w:name="_Toc430351629"/>
      <w:bookmarkStart w:id="561" w:name="_Toc435101744"/>
      <w:bookmarkStart w:id="562" w:name="_Toc436994431"/>
      <w:bookmarkStart w:id="563" w:name="_Toc437951348"/>
      <w:bookmarkStart w:id="564" w:name="_Toc439770098"/>
      <w:bookmarkStart w:id="565" w:name="_Toc442697183"/>
      <w:bookmarkStart w:id="566" w:name="_Toc443314403"/>
      <w:bookmarkStart w:id="567" w:name="_Toc451159962"/>
      <w:bookmarkStart w:id="568" w:name="_Toc452042297"/>
      <w:bookmarkStart w:id="569" w:name="_Toc453246397"/>
      <w:bookmarkStart w:id="570" w:name="_Toc455568929"/>
      <w:bookmarkStart w:id="571" w:name="_Toc458763347"/>
      <w:bookmarkStart w:id="572" w:name="_Toc461613929"/>
      <w:bookmarkStart w:id="573" w:name="_Toc464028571"/>
      <w:bookmarkStart w:id="574" w:name="_Toc466292736"/>
      <w:bookmarkStart w:id="575" w:name="_Toc467229228"/>
      <w:bookmarkStart w:id="576" w:name="_Toc468199537"/>
      <w:bookmarkStart w:id="577" w:name="_Toc469058093"/>
      <w:bookmarkStart w:id="578" w:name="_Toc472413666"/>
      <w:bookmarkStart w:id="579" w:name="_Toc473107267"/>
      <w:bookmarkStart w:id="580" w:name="_Toc474850439"/>
      <w:bookmarkStart w:id="581" w:name="_Toc476061821"/>
      <w:bookmarkStart w:id="582" w:name="_Toc477355879"/>
      <w:bookmarkStart w:id="583" w:name="_Toc478045212"/>
      <w:bookmarkStart w:id="584" w:name="_Toc479170905"/>
      <w:bookmarkStart w:id="585" w:name="_Toc481736935"/>
      <w:bookmarkStart w:id="586" w:name="_Toc483991774"/>
      <w:bookmarkStart w:id="587" w:name="_Toc484612706"/>
      <w:bookmarkStart w:id="588" w:name="_Toc486861831"/>
      <w:bookmarkStart w:id="589" w:name="_Toc489604268"/>
      <w:bookmarkStart w:id="590" w:name="_Toc490733865"/>
      <w:bookmarkStart w:id="591" w:name="_Toc492473929"/>
      <w:bookmarkStart w:id="592" w:name="_Toc493239117"/>
      <w:bookmarkStart w:id="593" w:name="_Toc494706577"/>
      <w:bookmarkStart w:id="594" w:name="_Toc496867161"/>
      <w:bookmarkStart w:id="595" w:name="_Toc497466152"/>
      <w:bookmarkStart w:id="596" w:name="_Toc498510163"/>
      <w:bookmarkStart w:id="597" w:name="_Toc499892935"/>
      <w:bookmarkStart w:id="598" w:name="_Toc500928331"/>
      <w:bookmarkStart w:id="599" w:name="_Toc503278447"/>
      <w:bookmarkStart w:id="600" w:name="_Toc508115976"/>
      <w:bookmarkStart w:id="601" w:name="_Toc509306707"/>
      <w:bookmarkStart w:id="602" w:name="_Toc510616292"/>
      <w:bookmarkStart w:id="603" w:name="_Toc512954056"/>
      <w:bookmarkStart w:id="604" w:name="_Toc513554846"/>
      <w:bookmarkStart w:id="605" w:name="_Toc514942276"/>
      <w:bookmarkStart w:id="606" w:name="_Toc516152566"/>
      <w:bookmarkStart w:id="607" w:name="_Toc517084132"/>
      <w:bookmarkStart w:id="608" w:name="_Toc517963000"/>
      <w:bookmarkStart w:id="609" w:name="_Toc525139697"/>
      <w:bookmarkStart w:id="610" w:name="_Toc526173614"/>
      <w:bookmarkStart w:id="611" w:name="_Toc527641996"/>
      <w:bookmarkStart w:id="612" w:name="_Toc528154648"/>
      <w:bookmarkStart w:id="613" w:name="_Toc530564043"/>
      <w:bookmarkStart w:id="614" w:name="_Toc535414819"/>
      <w:bookmarkStart w:id="615" w:name="_Toc536450198"/>
      <w:bookmarkStart w:id="616" w:name="_Toc169242"/>
      <w:bookmarkStart w:id="617" w:name="_Toc6472175"/>
      <w:bookmarkStart w:id="618" w:name="_Toc7430885"/>
      <w:bookmarkStart w:id="619" w:name="_Toc11673110"/>
      <w:bookmarkStart w:id="620" w:name="_Toc11942215"/>
      <w:bookmarkStart w:id="621" w:name="_Toc16521662"/>
      <w:bookmarkStart w:id="622" w:name="_Toc17124508"/>
      <w:bookmarkStart w:id="623" w:name="_Toc19268841"/>
      <w:bookmarkStart w:id="624" w:name="_Toc22049226"/>
      <w:bookmarkStart w:id="625" w:name="_Toc23412326"/>
      <w:bookmarkStart w:id="626" w:name="_Toc24538174"/>
      <w:bookmarkStart w:id="627" w:name="_Toc25845782"/>
      <w:bookmarkStart w:id="628" w:name="_Toc26799557"/>
      <w:bookmarkStart w:id="629" w:name="_Toc42092839"/>
      <w:bookmarkStart w:id="630" w:name="_Toc49845638"/>
      <w:bookmarkStart w:id="631" w:name="_Toc51764048"/>
      <w:bookmarkStart w:id="632" w:name="_Toc58332535"/>
      <w:bookmarkStart w:id="633" w:name="_Toc59624751"/>
      <w:bookmarkStart w:id="634" w:name="_Toc62805785"/>
      <w:bookmarkStart w:id="635" w:name="_Toc63688636"/>
      <w:bookmarkStart w:id="636" w:name="_Toc66289915"/>
      <w:bookmarkStart w:id="637" w:name="_Toc70589201"/>
      <w:bookmarkStart w:id="638" w:name="_Toc72943259"/>
      <w:bookmarkStart w:id="639" w:name="_Toc75270270"/>
      <w:bookmarkStart w:id="640" w:name="_Toc79585278"/>
      <w:bookmarkStart w:id="641" w:name="_Toc87364487"/>
      <w:bookmarkStart w:id="642" w:name="_Toc89865824"/>
      <w:bookmarkStart w:id="643" w:name="_Toc96667680"/>
      <w:bookmarkStart w:id="644" w:name="_Toc98774523"/>
      <w:bookmarkStart w:id="645" w:name="_Toc103354510"/>
      <w:bookmarkStart w:id="646" w:name="_Toc115274220"/>
      <w:bookmarkStart w:id="647" w:name="_Toc128989468"/>
      <w:bookmarkStart w:id="648" w:name="_Toc132189053"/>
      <w:bookmarkStart w:id="649" w:name="_Toc162463797"/>
      <w:bookmarkStart w:id="650" w:name="_Toc196315063"/>
      <w:bookmarkStart w:id="651" w:name="_Hlk175659742"/>
      <w:bookmarkStart w:id="652" w:name="_Toc514942263"/>
      <w:bookmarkEnd w:id="544"/>
      <w:bookmarkEnd w:id="545"/>
      <w:r w:rsidRPr="006F5B3B">
        <w:lastRenderedPageBreak/>
        <w:t>Restrictions de service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1"/>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3" w:name="_Toc417551685"/>
      <w:bookmarkStart w:id="654" w:name="_Toc418172335"/>
      <w:bookmarkStart w:id="655" w:name="_Toc418590417"/>
      <w:bookmarkStart w:id="656" w:name="_Toc421025978"/>
      <w:bookmarkStart w:id="657" w:name="_Toc422401215"/>
      <w:bookmarkStart w:id="658" w:name="_Toc423525460"/>
      <w:bookmarkStart w:id="659" w:name="_Toc424821421"/>
      <w:bookmarkStart w:id="660" w:name="_Toc428366210"/>
      <w:bookmarkStart w:id="661" w:name="_Toc429043970"/>
      <w:bookmarkStart w:id="662" w:name="_Toc430351630"/>
      <w:bookmarkStart w:id="663" w:name="_Toc435101745"/>
      <w:bookmarkStart w:id="664" w:name="_Toc436994432"/>
      <w:bookmarkStart w:id="665" w:name="_Toc437951349"/>
      <w:bookmarkStart w:id="666" w:name="_Toc439770099"/>
      <w:bookmarkStart w:id="667" w:name="_Toc442697184"/>
      <w:bookmarkStart w:id="668" w:name="_Toc443314404"/>
      <w:bookmarkStart w:id="669" w:name="_Toc451159963"/>
      <w:bookmarkStart w:id="670" w:name="_Toc452042298"/>
      <w:bookmarkStart w:id="671" w:name="_Toc453246398"/>
      <w:bookmarkStart w:id="672" w:name="_Toc455568930"/>
      <w:bookmarkStart w:id="673" w:name="_Toc458763348"/>
      <w:bookmarkStart w:id="674" w:name="_Toc461613930"/>
      <w:bookmarkStart w:id="675" w:name="_Toc464028572"/>
      <w:bookmarkStart w:id="676" w:name="_Toc466292737"/>
      <w:bookmarkStart w:id="677" w:name="_Toc467229229"/>
      <w:bookmarkStart w:id="678" w:name="_Toc468199538"/>
      <w:bookmarkStart w:id="679" w:name="_Toc469058094"/>
      <w:bookmarkStart w:id="680" w:name="_Toc472413667"/>
      <w:bookmarkStart w:id="681" w:name="_Toc473107268"/>
      <w:bookmarkStart w:id="682" w:name="_Toc474850440"/>
      <w:bookmarkStart w:id="683" w:name="_Toc476061822"/>
      <w:bookmarkStart w:id="684" w:name="_Toc477355880"/>
      <w:bookmarkStart w:id="685" w:name="_Toc478045213"/>
      <w:bookmarkStart w:id="686" w:name="_Toc479170906"/>
      <w:bookmarkStart w:id="687" w:name="_Toc481736936"/>
      <w:bookmarkStart w:id="688" w:name="_Toc483991775"/>
      <w:bookmarkStart w:id="689" w:name="_Toc484612707"/>
      <w:bookmarkStart w:id="690" w:name="_Toc486861832"/>
      <w:bookmarkStart w:id="691" w:name="_Toc489604269"/>
      <w:bookmarkStart w:id="692" w:name="_Toc490733866"/>
      <w:bookmarkStart w:id="693" w:name="_Toc492473930"/>
      <w:bookmarkStart w:id="694" w:name="_Toc493239118"/>
      <w:bookmarkStart w:id="695" w:name="_Toc494706578"/>
      <w:bookmarkStart w:id="696" w:name="_Toc496867162"/>
      <w:bookmarkStart w:id="697" w:name="_Toc497466153"/>
      <w:bookmarkStart w:id="698" w:name="_Toc498510164"/>
      <w:bookmarkStart w:id="699" w:name="_Toc499892936"/>
      <w:bookmarkStart w:id="700" w:name="_Toc500928332"/>
      <w:bookmarkStart w:id="701" w:name="_Toc503278448"/>
      <w:bookmarkStart w:id="702" w:name="_Toc508115977"/>
      <w:bookmarkStart w:id="703" w:name="_Toc509306708"/>
      <w:bookmarkStart w:id="704" w:name="_Toc510616293"/>
      <w:bookmarkStart w:id="705" w:name="_Toc512954057"/>
      <w:bookmarkStart w:id="706" w:name="_Toc513554847"/>
      <w:bookmarkStart w:id="707" w:name="_Toc514942277"/>
      <w:bookmarkStart w:id="708" w:name="_Toc516152567"/>
      <w:bookmarkStart w:id="709" w:name="_Toc517084133"/>
      <w:bookmarkStart w:id="710" w:name="_Toc517963001"/>
      <w:bookmarkStart w:id="711" w:name="_Toc525139698"/>
      <w:bookmarkStart w:id="712" w:name="_Toc526173615"/>
      <w:bookmarkStart w:id="713" w:name="_Toc527641997"/>
      <w:bookmarkStart w:id="714" w:name="_Toc528154649"/>
      <w:bookmarkStart w:id="715" w:name="_Toc530564044"/>
      <w:bookmarkStart w:id="716" w:name="_Toc535414820"/>
      <w:bookmarkStart w:id="717" w:name="_Toc536450199"/>
      <w:bookmarkStart w:id="718" w:name="_Toc169243"/>
      <w:bookmarkStart w:id="719" w:name="_Toc6472176"/>
      <w:bookmarkStart w:id="720" w:name="_Toc7430886"/>
      <w:bookmarkStart w:id="721" w:name="_Toc11673111"/>
      <w:bookmarkStart w:id="722" w:name="_Toc11942216"/>
      <w:bookmarkStart w:id="723" w:name="_Toc16521663"/>
      <w:bookmarkStart w:id="724" w:name="_Toc17124509"/>
      <w:bookmarkStart w:id="725" w:name="_Toc19268842"/>
      <w:bookmarkStart w:id="726" w:name="_Toc22049227"/>
      <w:bookmarkStart w:id="727" w:name="_Toc23412327"/>
      <w:bookmarkStart w:id="728" w:name="_Toc24538175"/>
      <w:bookmarkStart w:id="729" w:name="_Toc25845783"/>
      <w:bookmarkStart w:id="730" w:name="_Toc26799558"/>
      <w:bookmarkStart w:id="731" w:name="_Toc42092840"/>
      <w:bookmarkStart w:id="732" w:name="_Toc49845639"/>
      <w:bookmarkStart w:id="733" w:name="_Toc51764049"/>
      <w:bookmarkStart w:id="734" w:name="_Toc58332536"/>
      <w:bookmarkStart w:id="735" w:name="_Toc59624752"/>
      <w:bookmarkStart w:id="736" w:name="_Toc62805786"/>
      <w:bookmarkStart w:id="737" w:name="_Toc63688637"/>
      <w:bookmarkStart w:id="738" w:name="_Toc66289916"/>
      <w:bookmarkStart w:id="739" w:name="_Toc70589202"/>
      <w:bookmarkStart w:id="740" w:name="_Toc72943260"/>
      <w:bookmarkStart w:id="741" w:name="_Toc75270271"/>
      <w:bookmarkStart w:id="742" w:name="_Toc79585279"/>
      <w:bookmarkStart w:id="743" w:name="_Toc87364488"/>
      <w:bookmarkStart w:id="744" w:name="_Toc89865825"/>
      <w:bookmarkStart w:id="745" w:name="_Toc96667681"/>
      <w:bookmarkStart w:id="746" w:name="_Toc98774524"/>
      <w:bookmarkStart w:id="747" w:name="_Toc103354511"/>
      <w:bookmarkStart w:id="748" w:name="_Toc115274221"/>
      <w:bookmarkStart w:id="749" w:name="_Toc128989469"/>
      <w:bookmarkStart w:id="750" w:name="_Toc132189054"/>
      <w:bookmarkStart w:id="751" w:name="_Toc162463798"/>
      <w:bookmarkStart w:id="752" w:name="_Toc196315064"/>
      <w:r w:rsidRPr="006F5B3B">
        <w:t>Systèmes de rappel (Call-Back)</w:t>
      </w:r>
      <w:r w:rsidRPr="006F5B3B">
        <w:br/>
        <w:t>et procédures d'appel alternatives (Rés. 21 Rév. PP-2006)</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33"/>
          <w:footerReference w:type="default" r:id="rId34"/>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753" w:name="_Toc40273974"/>
      <w:bookmarkStart w:id="754" w:name="_Toc42092841"/>
      <w:bookmarkStart w:id="755" w:name="_Toc49845640"/>
      <w:bookmarkStart w:id="756" w:name="_Toc51764050"/>
      <w:bookmarkStart w:id="757" w:name="_Toc58332537"/>
      <w:bookmarkStart w:id="758" w:name="_Toc59624753"/>
      <w:bookmarkStart w:id="759" w:name="_Toc62805787"/>
      <w:bookmarkStart w:id="760" w:name="_Toc63688638"/>
      <w:bookmarkStart w:id="761" w:name="_Toc66289917"/>
      <w:bookmarkStart w:id="762" w:name="_Toc70589203"/>
      <w:bookmarkStart w:id="763" w:name="_Toc72943261"/>
      <w:bookmarkStart w:id="764" w:name="_Toc75270272"/>
      <w:bookmarkStart w:id="765" w:name="_Toc79585280"/>
      <w:bookmarkStart w:id="766" w:name="_Toc87364489"/>
      <w:bookmarkStart w:id="767" w:name="_Toc89865826"/>
      <w:bookmarkStart w:id="768" w:name="_Toc96667682"/>
      <w:bookmarkStart w:id="769" w:name="_Toc98774525"/>
      <w:bookmarkStart w:id="770" w:name="_Toc103354512"/>
      <w:bookmarkStart w:id="771" w:name="_Toc115273968"/>
      <w:bookmarkStart w:id="772" w:name="_Toc115274222"/>
      <w:bookmarkStart w:id="773" w:name="_Toc128989470"/>
      <w:bookmarkStart w:id="774" w:name="_Toc132189055"/>
      <w:bookmarkStart w:id="775" w:name="_Toc162463799"/>
      <w:bookmarkStart w:id="776" w:name="_Toc196315065"/>
      <w:bookmarkEnd w:id="541"/>
      <w:bookmarkEnd w:id="542"/>
      <w:bookmarkEnd w:id="652"/>
      <w:r w:rsidRPr="006F5B3B">
        <w:rPr>
          <w:lang w:val="fr-FR"/>
        </w:rPr>
        <w:lastRenderedPageBreak/>
        <w:t>AMENDEMENTS AUX PUBLICATIONS DE SERVICE</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08A06F30" w14:textId="77777777" w:rsidR="007724D3" w:rsidRDefault="007724D3" w:rsidP="00661F37">
      <w:pPr>
        <w:rPr>
          <w:rFonts w:eastAsia="Arial"/>
          <w:lang w:val="fr-FR"/>
        </w:rPr>
      </w:pPr>
    </w:p>
    <w:p w14:paraId="24B502E4" w14:textId="77777777" w:rsidR="004D707F" w:rsidRDefault="004D707F" w:rsidP="00661F37">
      <w:pPr>
        <w:rPr>
          <w:rFonts w:eastAsia="Arial"/>
          <w:lang w:val="fr-FR"/>
        </w:rPr>
      </w:pPr>
    </w:p>
    <w:p w14:paraId="3FDD00BD" w14:textId="77777777" w:rsidR="00B23ACB" w:rsidRPr="00CC75B4" w:rsidRDefault="00B23ACB" w:rsidP="00CC75B4">
      <w:pPr>
        <w:pStyle w:val="Heading20"/>
      </w:pPr>
      <w:r w:rsidRPr="00CC75B4">
        <w:t xml:space="preserve">Liste des numéros identificateurs d'entités émettrices </w:t>
      </w:r>
      <w:r w:rsidRPr="00CC75B4">
        <w:br/>
        <w:t xml:space="preserve">(selon la Recommandation UIT-T E.118 (05/2006)) </w:t>
      </w:r>
      <w:r w:rsidRPr="00CC75B4">
        <w:br/>
        <w:t>(Situation au 31 décembre 2023)</w:t>
      </w:r>
    </w:p>
    <w:p w14:paraId="1C722F33" w14:textId="77777777" w:rsidR="00B23ACB" w:rsidRPr="00C2166F" w:rsidRDefault="00B23ACB" w:rsidP="004D707F">
      <w:pPr>
        <w:tabs>
          <w:tab w:val="left" w:pos="720"/>
          <w:tab w:val="left" w:pos="794"/>
          <w:tab w:val="left" w:pos="1191"/>
          <w:tab w:val="left" w:pos="1588"/>
          <w:tab w:val="left" w:pos="1985"/>
        </w:tabs>
        <w:jc w:val="center"/>
        <w:rPr>
          <w:rFonts w:cs="Arial"/>
          <w:lang w:val="fr-FR"/>
        </w:rPr>
      </w:pPr>
      <w:r w:rsidRPr="00C2166F">
        <w:rPr>
          <w:rFonts w:cs="Arial"/>
          <w:lang w:val="fr-FR"/>
        </w:rPr>
        <w:t>(Annexe au Bulletin d'exploitation de l'UIT N° 1283 – 1.I.2024)</w:t>
      </w:r>
      <w:r w:rsidRPr="00C2166F">
        <w:rPr>
          <w:rFonts w:cs="Arial"/>
          <w:lang w:val="fr-FR"/>
        </w:rPr>
        <w:br/>
        <w:t xml:space="preserve">(Amendement N° </w:t>
      </w:r>
      <w:r>
        <w:rPr>
          <w:rFonts w:cs="Arial"/>
          <w:lang w:val="fr-FR"/>
        </w:rPr>
        <w:t>24</w:t>
      </w:r>
      <w:r w:rsidRPr="00C2166F">
        <w:rPr>
          <w:rFonts w:cs="Arial"/>
          <w:lang w:val="fr-FR"/>
        </w:rPr>
        <w:t>)</w:t>
      </w:r>
    </w:p>
    <w:p w14:paraId="2BBAE170" w14:textId="218BD0D8" w:rsidR="00B23ACB" w:rsidRPr="00C748F6" w:rsidRDefault="00B23ACB" w:rsidP="004D707F">
      <w:pPr>
        <w:spacing w:after="240"/>
        <w:rPr>
          <w:lang w:val="fr-FR"/>
        </w:rPr>
      </w:pPr>
      <w:r w:rsidRPr="00DF1F27">
        <w:rPr>
          <w:rFonts w:cs="Arial"/>
          <w:b/>
          <w:bCs/>
          <w:lang w:val="fr-FR"/>
        </w:rPr>
        <w:t>Australie</w:t>
      </w:r>
      <w:r>
        <w:rPr>
          <w:rFonts w:cs="Arial"/>
          <w:b/>
          <w:bCs/>
          <w:lang w:val="fr-FR"/>
        </w:rPr>
        <w:tab/>
      </w:r>
      <w:r w:rsidRPr="00C748F6">
        <w:rPr>
          <w:rFonts w:cs="Arial"/>
          <w:b/>
          <w:bCs/>
          <w:lang w:val="fr-FR"/>
        </w:rPr>
        <w:t>ADD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1"/>
        <w:gridCol w:w="1728"/>
        <w:gridCol w:w="1418"/>
        <w:gridCol w:w="4110"/>
        <w:gridCol w:w="1120"/>
      </w:tblGrid>
      <w:tr w:rsidR="00B23ACB" w:rsidRPr="00CC75B4" w14:paraId="1EF93A2F" w14:textId="77777777" w:rsidTr="004D707F">
        <w:trPr>
          <w:cantSplit/>
          <w:trHeight w:val="925"/>
          <w:jc w:val="center"/>
        </w:trPr>
        <w:tc>
          <w:tcPr>
            <w:tcW w:w="1241" w:type="dxa"/>
            <w:tcBorders>
              <w:top w:val="single" w:sz="6" w:space="0" w:color="auto"/>
              <w:left w:val="single" w:sz="6" w:space="0" w:color="auto"/>
              <w:bottom w:val="single" w:sz="6" w:space="0" w:color="auto"/>
              <w:right w:val="single" w:sz="6" w:space="0" w:color="auto"/>
            </w:tcBorders>
          </w:tcPr>
          <w:p w14:paraId="08106C7C" w14:textId="77777777" w:rsidR="00B23ACB" w:rsidRPr="00CC75B4" w:rsidRDefault="00B23ACB" w:rsidP="00CC75B4">
            <w:pPr>
              <w:tabs>
                <w:tab w:val="left" w:pos="426"/>
                <w:tab w:val="left" w:pos="4140"/>
                <w:tab w:val="left" w:pos="4230"/>
              </w:tabs>
              <w:spacing w:before="60" w:after="60"/>
              <w:ind w:left="-57" w:right="-57"/>
              <w:jc w:val="center"/>
              <w:rPr>
                <w:rFonts w:cs="Arial"/>
                <w:i/>
                <w:iCs/>
                <w:sz w:val="18"/>
                <w:szCs w:val="18"/>
              </w:rPr>
            </w:pPr>
            <w:r w:rsidRPr="00CC75B4">
              <w:rPr>
                <w:rFonts w:cs="Arial"/>
                <w:i/>
                <w:iCs/>
                <w:sz w:val="18"/>
                <w:szCs w:val="18"/>
                <w:lang w:val="fr-FR"/>
              </w:rPr>
              <w:t>Pays/zone géographique</w:t>
            </w:r>
          </w:p>
        </w:tc>
        <w:tc>
          <w:tcPr>
            <w:tcW w:w="1728" w:type="dxa"/>
            <w:tcBorders>
              <w:top w:val="single" w:sz="6" w:space="0" w:color="auto"/>
              <w:left w:val="single" w:sz="6" w:space="0" w:color="auto"/>
              <w:bottom w:val="single" w:sz="6" w:space="0" w:color="auto"/>
              <w:right w:val="single" w:sz="6" w:space="0" w:color="auto"/>
            </w:tcBorders>
          </w:tcPr>
          <w:p w14:paraId="791E9022" w14:textId="77777777" w:rsidR="00B23ACB" w:rsidRPr="00CC75B4" w:rsidRDefault="00B23ACB" w:rsidP="00CC75B4">
            <w:pPr>
              <w:tabs>
                <w:tab w:val="left" w:pos="426"/>
                <w:tab w:val="left" w:pos="4140"/>
                <w:tab w:val="left" w:pos="4230"/>
              </w:tabs>
              <w:spacing w:before="60" w:after="60"/>
              <w:jc w:val="center"/>
              <w:rPr>
                <w:rFonts w:cs="Arial"/>
                <w:i/>
                <w:iCs/>
                <w:sz w:val="18"/>
                <w:szCs w:val="18"/>
                <w:lang w:val="fr-FR"/>
              </w:rPr>
            </w:pPr>
            <w:r w:rsidRPr="00CC75B4">
              <w:rPr>
                <w:rFonts w:cs="Arial"/>
                <w:i/>
                <w:iCs/>
                <w:sz w:val="18"/>
                <w:szCs w:val="18"/>
                <w:lang w:val="fr-FR"/>
              </w:rPr>
              <w:t>Nom de la compagnie/</w:t>
            </w:r>
            <w:r w:rsidRPr="00CC75B4">
              <w:rPr>
                <w:rFonts w:cs="Arial"/>
                <w:i/>
                <w:iCs/>
                <w:sz w:val="18"/>
                <w:szCs w:val="18"/>
                <w:lang w:val="fr-FR"/>
              </w:rPr>
              <w:br/>
              <w:t>Adresse</w:t>
            </w:r>
          </w:p>
        </w:tc>
        <w:tc>
          <w:tcPr>
            <w:tcW w:w="1418" w:type="dxa"/>
            <w:tcBorders>
              <w:top w:val="single" w:sz="6" w:space="0" w:color="auto"/>
              <w:left w:val="single" w:sz="6" w:space="0" w:color="auto"/>
              <w:bottom w:val="single" w:sz="6" w:space="0" w:color="auto"/>
              <w:right w:val="single" w:sz="6" w:space="0" w:color="auto"/>
            </w:tcBorders>
          </w:tcPr>
          <w:p w14:paraId="248C664F" w14:textId="77777777" w:rsidR="00B23ACB" w:rsidRPr="00CC75B4" w:rsidRDefault="00B23ACB" w:rsidP="00CC75B4">
            <w:pPr>
              <w:tabs>
                <w:tab w:val="left" w:pos="426"/>
                <w:tab w:val="left" w:pos="4140"/>
                <w:tab w:val="left" w:pos="4230"/>
              </w:tabs>
              <w:spacing w:before="60" w:after="60"/>
              <w:jc w:val="center"/>
              <w:rPr>
                <w:rFonts w:cs="Arial"/>
                <w:i/>
                <w:iCs/>
                <w:sz w:val="18"/>
                <w:szCs w:val="18"/>
              </w:rPr>
            </w:pPr>
            <w:r w:rsidRPr="00CC75B4">
              <w:rPr>
                <w:rFonts w:cs="Arial"/>
                <w:i/>
                <w:sz w:val="18"/>
                <w:szCs w:val="18"/>
                <w:lang w:val="fr-FR"/>
              </w:rPr>
              <w:t xml:space="preserve">Numéro </w:t>
            </w:r>
            <w:r w:rsidRPr="00CC75B4">
              <w:rPr>
                <w:rFonts w:cs="Arial"/>
                <w:i/>
                <w:sz w:val="18"/>
                <w:szCs w:val="18"/>
                <w:lang w:val="fr-FR"/>
              </w:rPr>
              <w:br/>
              <w:t xml:space="preserve">d’identification </w:t>
            </w:r>
            <w:r w:rsidRPr="00CC75B4">
              <w:rPr>
                <w:rFonts w:cs="Arial"/>
                <w:i/>
                <w:sz w:val="18"/>
                <w:szCs w:val="18"/>
                <w:lang w:val="fr-FR"/>
              </w:rPr>
              <w:br/>
              <w:t>d’entité émettrice</w:t>
            </w:r>
          </w:p>
        </w:tc>
        <w:tc>
          <w:tcPr>
            <w:tcW w:w="4110" w:type="dxa"/>
            <w:tcBorders>
              <w:top w:val="single" w:sz="6" w:space="0" w:color="auto"/>
              <w:left w:val="single" w:sz="6" w:space="0" w:color="auto"/>
              <w:bottom w:val="single" w:sz="6" w:space="0" w:color="auto"/>
              <w:right w:val="single" w:sz="6" w:space="0" w:color="auto"/>
            </w:tcBorders>
          </w:tcPr>
          <w:p w14:paraId="393DA537" w14:textId="77777777" w:rsidR="00B23ACB" w:rsidRPr="00CC75B4" w:rsidRDefault="00B23ACB" w:rsidP="00CC75B4">
            <w:pPr>
              <w:tabs>
                <w:tab w:val="left" w:pos="426"/>
                <w:tab w:val="left" w:pos="4140"/>
                <w:tab w:val="left" w:pos="4230"/>
              </w:tabs>
              <w:spacing w:before="60" w:after="60"/>
              <w:jc w:val="center"/>
              <w:rPr>
                <w:rFonts w:cs="Arial"/>
                <w:i/>
                <w:iCs/>
                <w:sz w:val="18"/>
                <w:szCs w:val="18"/>
              </w:rPr>
            </w:pPr>
            <w:r w:rsidRPr="00CC75B4">
              <w:rPr>
                <w:rFonts w:cs="Arial"/>
                <w:i/>
                <w:iCs/>
                <w:sz w:val="18"/>
                <w:szCs w:val="18"/>
              </w:rPr>
              <w:t>Contact</w:t>
            </w:r>
          </w:p>
        </w:tc>
        <w:tc>
          <w:tcPr>
            <w:tcW w:w="1120" w:type="dxa"/>
            <w:tcBorders>
              <w:top w:val="single" w:sz="6" w:space="0" w:color="auto"/>
              <w:left w:val="single" w:sz="6" w:space="0" w:color="auto"/>
              <w:bottom w:val="single" w:sz="6" w:space="0" w:color="auto"/>
              <w:right w:val="single" w:sz="6" w:space="0" w:color="auto"/>
            </w:tcBorders>
          </w:tcPr>
          <w:p w14:paraId="0CF7F185" w14:textId="77777777" w:rsidR="00B23ACB" w:rsidRPr="00CC75B4" w:rsidRDefault="00B23ACB" w:rsidP="00CC75B4">
            <w:pPr>
              <w:tabs>
                <w:tab w:val="left" w:pos="426"/>
                <w:tab w:val="left" w:pos="4140"/>
                <w:tab w:val="left" w:pos="4230"/>
              </w:tabs>
              <w:spacing w:before="60" w:after="60"/>
              <w:jc w:val="center"/>
              <w:rPr>
                <w:rFonts w:cs="Arial"/>
                <w:i/>
                <w:iCs/>
                <w:sz w:val="18"/>
                <w:szCs w:val="18"/>
                <w:lang w:val="fr-FR"/>
              </w:rPr>
            </w:pPr>
            <w:r w:rsidRPr="00CC75B4">
              <w:rPr>
                <w:rFonts w:cs="Arial"/>
                <w:i/>
                <w:sz w:val="18"/>
                <w:szCs w:val="18"/>
                <w:lang w:val="fr-FR"/>
              </w:rPr>
              <w:t xml:space="preserve">Date de </w:t>
            </w:r>
            <w:r w:rsidRPr="00CC75B4">
              <w:rPr>
                <w:rFonts w:cs="Arial"/>
                <w:i/>
                <w:sz w:val="18"/>
                <w:szCs w:val="18"/>
                <w:lang w:val="fr-FR"/>
              </w:rPr>
              <w:br/>
              <w:t>mise en application</w:t>
            </w:r>
          </w:p>
        </w:tc>
      </w:tr>
      <w:tr w:rsidR="00B23ACB" w:rsidRPr="00CC75B4" w14:paraId="346CDAC7" w14:textId="77777777" w:rsidTr="004D707F">
        <w:trPr>
          <w:cantSplit/>
          <w:trHeight w:val="1281"/>
          <w:jc w:val="center"/>
        </w:trPr>
        <w:tc>
          <w:tcPr>
            <w:tcW w:w="1241" w:type="dxa"/>
            <w:tcBorders>
              <w:top w:val="single" w:sz="6" w:space="0" w:color="auto"/>
              <w:left w:val="single" w:sz="6" w:space="0" w:color="auto"/>
              <w:bottom w:val="single" w:sz="6" w:space="0" w:color="auto"/>
              <w:right w:val="single" w:sz="6" w:space="0" w:color="auto"/>
            </w:tcBorders>
          </w:tcPr>
          <w:p w14:paraId="5A39DFC2" w14:textId="77777777" w:rsidR="00B23ACB" w:rsidRPr="00CC75B4" w:rsidRDefault="00B23ACB" w:rsidP="004D707F">
            <w:pPr>
              <w:tabs>
                <w:tab w:val="left" w:pos="794"/>
                <w:tab w:val="left" w:pos="1191"/>
                <w:tab w:val="left" w:pos="1588"/>
                <w:tab w:val="left" w:pos="1985"/>
              </w:tabs>
              <w:spacing w:before="0"/>
              <w:jc w:val="left"/>
              <w:rPr>
                <w:rFonts w:cs="Arial"/>
                <w:color w:val="000000"/>
                <w:sz w:val="18"/>
                <w:szCs w:val="18"/>
              </w:rPr>
            </w:pPr>
            <w:r w:rsidRPr="00CC75B4">
              <w:rPr>
                <w:rFonts w:cs="Arial"/>
                <w:color w:val="000000"/>
                <w:sz w:val="18"/>
                <w:szCs w:val="18"/>
              </w:rPr>
              <w:t>Australie</w:t>
            </w:r>
          </w:p>
        </w:tc>
        <w:tc>
          <w:tcPr>
            <w:tcW w:w="1728" w:type="dxa"/>
            <w:tcBorders>
              <w:top w:val="single" w:sz="6" w:space="0" w:color="auto"/>
              <w:left w:val="single" w:sz="6" w:space="0" w:color="auto"/>
              <w:bottom w:val="single" w:sz="6" w:space="0" w:color="auto"/>
              <w:right w:val="single" w:sz="6" w:space="0" w:color="auto"/>
            </w:tcBorders>
          </w:tcPr>
          <w:p w14:paraId="794A08A3" w14:textId="77777777" w:rsidR="00B23ACB" w:rsidRPr="00CC75B4" w:rsidRDefault="00B23ACB" w:rsidP="004D707F">
            <w:pPr>
              <w:tabs>
                <w:tab w:val="left" w:pos="709"/>
              </w:tabs>
              <w:spacing w:before="0"/>
              <w:jc w:val="left"/>
              <w:rPr>
                <w:rFonts w:cstheme="minorHAnsi"/>
                <w:b/>
                <w:bCs/>
                <w:color w:val="000000" w:themeColor="text1"/>
                <w:sz w:val="18"/>
                <w:szCs w:val="18"/>
              </w:rPr>
            </w:pPr>
            <w:r w:rsidRPr="00CC75B4">
              <w:rPr>
                <w:rFonts w:cstheme="minorHAnsi"/>
                <w:b/>
                <w:bCs/>
                <w:color w:val="000000" w:themeColor="text1"/>
                <w:sz w:val="18"/>
                <w:szCs w:val="18"/>
              </w:rPr>
              <w:t>Aussie Broadband Limited</w:t>
            </w:r>
          </w:p>
          <w:p w14:paraId="283A5C63" w14:textId="77777777" w:rsidR="00B23ACB" w:rsidRPr="00CC75B4" w:rsidRDefault="00B23ACB" w:rsidP="004D707F">
            <w:pPr>
              <w:tabs>
                <w:tab w:val="left" w:pos="709"/>
              </w:tabs>
              <w:spacing w:before="0"/>
              <w:jc w:val="left"/>
              <w:rPr>
                <w:rFonts w:cstheme="minorHAnsi"/>
                <w:bCs/>
                <w:color w:val="000000" w:themeColor="text1"/>
                <w:sz w:val="18"/>
                <w:szCs w:val="18"/>
              </w:rPr>
            </w:pPr>
            <w:r w:rsidRPr="00CC75B4">
              <w:rPr>
                <w:rFonts w:cstheme="minorHAnsi"/>
                <w:bCs/>
                <w:color w:val="000000" w:themeColor="text1"/>
                <w:sz w:val="18"/>
                <w:szCs w:val="18"/>
              </w:rPr>
              <w:t>3 Electra Avenue</w:t>
            </w:r>
          </w:p>
          <w:p w14:paraId="61F70F84" w14:textId="77777777" w:rsidR="00B23ACB" w:rsidRPr="00CC75B4" w:rsidRDefault="00B23ACB" w:rsidP="004D707F">
            <w:pPr>
              <w:tabs>
                <w:tab w:val="left" w:pos="709"/>
              </w:tabs>
              <w:spacing w:before="0"/>
              <w:jc w:val="left"/>
              <w:rPr>
                <w:rFonts w:cstheme="minorHAnsi"/>
                <w:bCs/>
                <w:color w:val="000000" w:themeColor="text1"/>
                <w:sz w:val="18"/>
                <w:szCs w:val="18"/>
              </w:rPr>
            </w:pPr>
            <w:r w:rsidRPr="00CC75B4">
              <w:rPr>
                <w:rFonts w:cstheme="minorHAnsi"/>
                <w:bCs/>
                <w:color w:val="000000" w:themeColor="text1"/>
                <w:sz w:val="18"/>
                <w:szCs w:val="18"/>
              </w:rPr>
              <w:t>Morwell</w:t>
            </w:r>
          </w:p>
          <w:p w14:paraId="5E1B14B7" w14:textId="77777777" w:rsidR="00B23ACB" w:rsidRPr="00CC75B4" w:rsidRDefault="00B23ACB" w:rsidP="004D707F">
            <w:pPr>
              <w:tabs>
                <w:tab w:val="left" w:pos="794"/>
                <w:tab w:val="left" w:pos="1191"/>
                <w:tab w:val="left" w:pos="1588"/>
                <w:tab w:val="left" w:pos="1985"/>
              </w:tabs>
              <w:spacing w:before="0"/>
              <w:jc w:val="left"/>
              <w:rPr>
                <w:sz w:val="18"/>
                <w:szCs w:val="18"/>
                <w:u w:val="single"/>
                <w:lang w:val="fr-FR"/>
              </w:rPr>
            </w:pPr>
            <w:r w:rsidRPr="00CC75B4">
              <w:rPr>
                <w:rFonts w:cstheme="minorHAnsi"/>
                <w:bCs/>
                <w:color w:val="000000" w:themeColor="text1"/>
                <w:sz w:val="18"/>
                <w:szCs w:val="18"/>
              </w:rPr>
              <w:t>Victoria 3840</w:t>
            </w:r>
          </w:p>
        </w:tc>
        <w:tc>
          <w:tcPr>
            <w:tcW w:w="1418" w:type="dxa"/>
            <w:tcBorders>
              <w:top w:val="single" w:sz="6" w:space="0" w:color="auto"/>
              <w:left w:val="single" w:sz="6" w:space="0" w:color="auto"/>
              <w:bottom w:val="single" w:sz="6" w:space="0" w:color="auto"/>
              <w:right w:val="single" w:sz="6" w:space="0" w:color="auto"/>
            </w:tcBorders>
          </w:tcPr>
          <w:p w14:paraId="4FF6A18C" w14:textId="77777777" w:rsidR="00B23ACB" w:rsidRPr="00CC75B4" w:rsidRDefault="00B23ACB" w:rsidP="004D707F">
            <w:pPr>
              <w:tabs>
                <w:tab w:val="left" w:pos="426"/>
                <w:tab w:val="left" w:pos="4140"/>
                <w:tab w:val="left" w:pos="4230"/>
              </w:tabs>
              <w:spacing w:before="0"/>
              <w:jc w:val="center"/>
              <w:rPr>
                <w:rFonts w:cs="Arial"/>
                <w:b/>
                <w:sz w:val="18"/>
                <w:szCs w:val="18"/>
              </w:rPr>
            </w:pPr>
            <w:r w:rsidRPr="00CC75B4">
              <w:rPr>
                <w:rFonts w:cstheme="minorHAnsi"/>
                <w:b/>
                <w:color w:val="000000" w:themeColor="text1"/>
                <w:sz w:val="18"/>
                <w:szCs w:val="18"/>
              </w:rPr>
              <w:t>89 61 91</w:t>
            </w:r>
          </w:p>
        </w:tc>
        <w:tc>
          <w:tcPr>
            <w:tcW w:w="4110" w:type="dxa"/>
            <w:tcBorders>
              <w:top w:val="single" w:sz="6" w:space="0" w:color="auto"/>
              <w:left w:val="single" w:sz="6" w:space="0" w:color="auto"/>
              <w:bottom w:val="single" w:sz="6" w:space="0" w:color="auto"/>
              <w:right w:val="single" w:sz="6" w:space="0" w:color="auto"/>
            </w:tcBorders>
          </w:tcPr>
          <w:p w14:paraId="43A0555F" w14:textId="77777777" w:rsidR="00B23ACB" w:rsidRPr="00CC75B4" w:rsidRDefault="00B23ACB" w:rsidP="004D707F">
            <w:pPr>
              <w:spacing w:before="0"/>
              <w:jc w:val="left"/>
              <w:rPr>
                <w:rFonts w:cstheme="minorHAnsi"/>
                <w:color w:val="000000" w:themeColor="text1"/>
                <w:sz w:val="18"/>
                <w:szCs w:val="18"/>
                <w:lang w:val="it-IT"/>
              </w:rPr>
            </w:pPr>
            <w:r w:rsidRPr="00CC75B4">
              <w:rPr>
                <w:rFonts w:cstheme="minorHAnsi"/>
                <w:color w:val="000000" w:themeColor="text1"/>
                <w:sz w:val="18"/>
                <w:szCs w:val="18"/>
                <w:lang w:val="it-IT"/>
              </w:rPr>
              <w:t>Sparsha Padmanabhan</w:t>
            </w:r>
          </w:p>
          <w:p w14:paraId="78F7EB5C" w14:textId="77777777" w:rsidR="00B23ACB" w:rsidRPr="00CC75B4" w:rsidRDefault="00B23ACB" w:rsidP="004D707F">
            <w:pPr>
              <w:spacing w:before="0"/>
              <w:jc w:val="left"/>
              <w:rPr>
                <w:rFonts w:cstheme="minorHAnsi"/>
                <w:color w:val="000000" w:themeColor="text1"/>
                <w:sz w:val="18"/>
                <w:szCs w:val="18"/>
                <w:lang w:val="it-IT"/>
              </w:rPr>
            </w:pPr>
            <w:r w:rsidRPr="00CC75B4">
              <w:rPr>
                <w:rFonts w:cstheme="minorHAnsi"/>
                <w:color w:val="000000" w:themeColor="text1"/>
                <w:sz w:val="18"/>
                <w:szCs w:val="18"/>
                <w:lang w:val="it-IT"/>
              </w:rPr>
              <w:t>PO Box 3351</w:t>
            </w:r>
          </w:p>
          <w:p w14:paraId="5A0D1E0F" w14:textId="77777777" w:rsidR="00B23ACB" w:rsidRPr="00CC75B4" w:rsidRDefault="00B23ACB" w:rsidP="004D707F">
            <w:pPr>
              <w:spacing w:before="0"/>
              <w:jc w:val="left"/>
              <w:rPr>
                <w:rFonts w:cstheme="minorHAnsi"/>
                <w:color w:val="000000" w:themeColor="text1"/>
                <w:sz w:val="18"/>
                <w:szCs w:val="18"/>
                <w:lang w:val="it-IT"/>
              </w:rPr>
            </w:pPr>
            <w:r w:rsidRPr="00CC75B4">
              <w:rPr>
                <w:rFonts w:cstheme="minorHAnsi"/>
                <w:color w:val="000000" w:themeColor="text1"/>
                <w:sz w:val="18"/>
                <w:szCs w:val="18"/>
                <w:lang w:val="it-IT"/>
              </w:rPr>
              <w:t>Gippsland Mail Centre 3841</w:t>
            </w:r>
          </w:p>
          <w:p w14:paraId="4447062F" w14:textId="77777777" w:rsidR="00B23ACB" w:rsidRPr="00CC75B4" w:rsidRDefault="00B23ACB" w:rsidP="004D707F">
            <w:pPr>
              <w:spacing w:before="0"/>
              <w:jc w:val="left"/>
              <w:rPr>
                <w:rFonts w:cstheme="minorHAnsi"/>
                <w:color w:val="000000" w:themeColor="text1"/>
                <w:sz w:val="18"/>
                <w:szCs w:val="18"/>
                <w:lang w:val="it-IT"/>
              </w:rPr>
            </w:pPr>
            <w:r w:rsidRPr="00CC75B4">
              <w:rPr>
                <w:rFonts w:cstheme="minorHAnsi"/>
                <w:color w:val="000000" w:themeColor="text1"/>
                <w:sz w:val="18"/>
                <w:szCs w:val="18"/>
                <w:lang w:val="it-IT"/>
              </w:rPr>
              <w:t>Tel:</w:t>
            </w:r>
            <w:r w:rsidRPr="00CC75B4">
              <w:rPr>
                <w:rFonts w:cstheme="minorHAnsi"/>
                <w:color w:val="000000" w:themeColor="text1"/>
                <w:sz w:val="18"/>
                <w:szCs w:val="18"/>
                <w:lang w:val="it-IT"/>
              </w:rPr>
              <w:tab/>
              <w:t>+61 406726125</w:t>
            </w:r>
          </w:p>
          <w:p w14:paraId="73C4FFA7" w14:textId="77777777" w:rsidR="00B23ACB" w:rsidRPr="00CC75B4" w:rsidRDefault="00B23ACB" w:rsidP="004D707F">
            <w:pPr>
              <w:tabs>
                <w:tab w:val="left" w:pos="794"/>
                <w:tab w:val="left" w:pos="1191"/>
                <w:tab w:val="left" w:pos="1588"/>
                <w:tab w:val="left" w:pos="1985"/>
              </w:tabs>
              <w:spacing w:before="0"/>
              <w:jc w:val="left"/>
              <w:rPr>
                <w:rFonts w:cs="Arial"/>
                <w:color w:val="000000"/>
                <w:sz w:val="18"/>
                <w:szCs w:val="18"/>
                <w:lang w:val="it-IT"/>
              </w:rPr>
            </w:pPr>
            <w:r w:rsidRPr="00CC75B4">
              <w:rPr>
                <w:rFonts w:cstheme="minorHAnsi"/>
                <w:color w:val="000000" w:themeColor="text1"/>
                <w:sz w:val="18"/>
                <w:szCs w:val="18"/>
                <w:lang w:val="it-IT"/>
              </w:rPr>
              <w:t>E-mail: compliance@team.aussiebroadband.com.au</w:t>
            </w:r>
          </w:p>
        </w:tc>
        <w:tc>
          <w:tcPr>
            <w:tcW w:w="1120" w:type="dxa"/>
            <w:tcBorders>
              <w:top w:val="single" w:sz="6" w:space="0" w:color="auto"/>
              <w:left w:val="single" w:sz="6" w:space="0" w:color="auto"/>
              <w:bottom w:val="single" w:sz="6" w:space="0" w:color="auto"/>
              <w:right w:val="single" w:sz="6" w:space="0" w:color="auto"/>
            </w:tcBorders>
          </w:tcPr>
          <w:p w14:paraId="6790ADEA" w14:textId="77777777" w:rsidR="00B23ACB" w:rsidRPr="00CC75B4" w:rsidRDefault="00B23ACB" w:rsidP="004D707F">
            <w:pPr>
              <w:tabs>
                <w:tab w:val="left" w:pos="794"/>
                <w:tab w:val="left" w:pos="1191"/>
                <w:tab w:val="left" w:pos="1588"/>
                <w:tab w:val="left" w:pos="1985"/>
              </w:tabs>
              <w:spacing w:before="0"/>
              <w:jc w:val="center"/>
              <w:rPr>
                <w:sz w:val="18"/>
                <w:szCs w:val="18"/>
              </w:rPr>
            </w:pPr>
            <w:r w:rsidRPr="00CC75B4">
              <w:rPr>
                <w:rFonts w:cstheme="minorHAnsi"/>
                <w:color w:val="000000" w:themeColor="text1"/>
                <w:sz w:val="18"/>
                <w:szCs w:val="18"/>
              </w:rPr>
              <w:t>1.I.2026</w:t>
            </w:r>
          </w:p>
        </w:tc>
      </w:tr>
    </w:tbl>
    <w:p w14:paraId="5EFE6922" w14:textId="5E5B3E4C" w:rsidR="00DD5752" w:rsidRDefault="00DD575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1142CB1" w14:textId="77777777" w:rsidR="00B85D36" w:rsidRDefault="00B85D36">
      <w:pPr>
        <w:rPr>
          <w:sz w:val="0"/>
        </w:rPr>
      </w:pPr>
    </w:p>
    <w:p w14:paraId="67278FBE" w14:textId="1ED58BD8" w:rsidR="004D707F" w:rsidRPr="00CC75B4" w:rsidRDefault="004D707F" w:rsidP="00CC75B4">
      <w:pPr>
        <w:pStyle w:val="Heading20"/>
      </w:pPr>
      <w:r w:rsidRPr="00CC75B4">
        <w:t>Codes de réseau mobile (MNC) pour le plan d'identification international</w:t>
      </w:r>
      <w:r w:rsidRPr="00CC75B4">
        <w:br/>
        <w:t>pour les réseaux publics et les abonnements</w:t>
      </w:r>
      <w:r w:rsidRPr="00CC75B4">
        <w:br/>
        <w:t>(Selon la Recommandation UIT-T E.212 (09/2016))</w:t>
      </w:r>
      <w:r w:rsidRPr="00CC75B4">
        <w:br/>
        <w:t>(Situation au 15 novembre 2023)</w:t>
      </w:r>
    </w:p>
    <w:p w14:paraId="73C25F09" w14:textId="298D5A4B" w:rsidR="004D707F" w:rsidRPr="00DD709C" w:rsidRDefault="004D707F" w:rsidP="004D707F">
      <w:pPr>
        <w:jc w:val="center"/>
        <w:textAlignment w:val="auto"/>
        <w:rPr>
          <w:lang w:val="fr-CH"/>
        </w:rPr>
      </w:pPr>
      <w:r w:rsidRPr="00DD709C">
        <w:rPr>
          <w:lang w:val="fr-CH"/>
        </w:rPr>
        <w:t>(Annexe au Bulletin d'exploitation de l'UIT N° 1280 - 15.XI.2023)</w:t>
      </w:r>
      <w:r w:rsidRPr="00DD709C">
        <w:rPr>
          <w:lang w:val="fr-CH"/>
        </w:rPr>
        <w:br/>
        <w:t>(Amendement N° 46)</w:t>
      </w:r>
    </w:p>
    <w:p w14:paraId="02C4D582" w14:textId="77777777" w:rsidR="004D707F" w:rsidRPr="00DD709C" w:rsidRDefault="004D707F" w:rsidP="004D707F">
      <w:pPr>
        <w:spacing w:after="60"/>
        <w:textAlignment w:val="auto"/>
        <w:rPr>
          <w:lang w:val="fr-CH"/>
        </w:rPr>
      </w:pPr>
    </w:p>
    <w:tbl>
      <w:tblPr>
        <w:tblW w:w="9772" w:type="dxa"/>
        <w:tblCellMar>
          <w:left w:w="0" w:type="dxa"/>
          <w:right w:w="0" w:type="dxa"/>
        </w:tblCellMar>
        <w:tblLook w:val="04A0" w:firstRow="1" w:lastRow="0" w:firstColumn="1" w:lastColumn="0" w:noHBand="0" w:noVBand="1"/>
      </w:tblPr>
      <w:tblGrid>
        <w:gridCol w:w="3677"/>
        <w:gridCol w:w="1276"/>
        <w:gridCol w:w="4819"/>
      </w:tblGrid>
      <w:tr w:rsidR="004D707F" w:rsidRPr="004D707F" w14:paraId="5CFDD7DE" w14:textId="77777777">
        <w:trPr>
          <w:trHeight w:val="466"/>
        </w:trPr>
        <w:tc>
          <w:tcPr>
            <w:tcW w:w="3677"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hideMark/>
          </w:tcPr>
          <w:p w14:paraId="543F8BCE" w14:textId="5DDA793D" w:rsidR="004D707F" w:rsidRPr="004D707F" w:rsidRDefault="004D707F" w:rsidP="004D707F">
            <w:pPr>
              <w:jc w:val="left"/>
              <w:textAlignment w:val="auto"/>
              <w:rPr>
                <w:rFonts w:cs="Calibri"/>
                <w:lang w:val="es-ES_tradnl"/>
              </w:rPr>
            </w:pPr>
            <w:r w:rsidRPr="004D707F">
              <w:rPr>
                <w:rFonts w:eastAsia="Calibri" w:cs="Calibri"/>
                <w:b/>
                <w:i/>
                <w:color w:val="000000"/>
                <w:lang w:val="es-ES_tradnl"/>
              </w:rPr>
              <w:t>Pays ou Zone géographique</w:t>
            </w: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hideMark/>
          </w:tcPr>
          <w:p w14:paraId="24E344CB" w14:textId="77777777" w:rsidR="004D707F" w:rsidRPr="004D707F" w:rsidRDefault="004D707F" w:rsidP="004D707F">
            <w:pPr>
              <w:jc w:val="left"/>
              <w:textAlignment w:val="auto"/>
              <w:rPr>
                <w:rFonts w:cs="Calibri"/>
                <w:lang w:val="es-ES_tradnl"/>
              </w:rPr>
            </w:pPr>
            <w:r w:rsidRPr="004D707F">
              <w:rPr>
                <w:rFonts w:eastAsia="Arial" w:cs="Calibri"/>
                <w:b/>
                <w:i/>
                <w:color w:val="000000"/>
                <w:lang w:val="es-ES_tradnl"/>
              </w:rPr>
              <w:t>MCC+MNC</w:t>
            </w:r>
            <w:r w:rsidRPr="004D707F">
              <w:rPr>
                <w:rFonts w:eastAsia="Calibri"/>
                <w:lang w:val="en-US"/>
              </w:rPr>
              <w:t>*</w:t>
            </w: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hideMark/>
          </w:tcPr>
          <w:p w14:paraId="3DD2D9E4" w14:textId="7830A45B" w:rsidR="004D707F" w:rsidRPr="004D707F" w:rsidRDefault="004D707F" w:rsidP="004D707F">
            <w:pPr>
              <w:textAlignment w:val="auto"/>
              <w:rPr>
                <w:rFonts w:cs="Calibri"/>
                <w:lang w:val="es-ES_tradnl"/>
              </w:rPr>
            </w:pPr>
            <w:r w:rsidRPr="004D707F">
              <w:rPr>
                <w:rFonts w:eastAsia="Arial" w:cs="Calibri"/>
                <w:b/>
                <w:i/>
                <w:color w:val="000000"/>
                <w:lang w:val="es-ES_tradnl"/>
              </w:rPr>
              <w:t>Nom de Réseau/Opérateur</w:t>
            </w:r>
          </w:p>
        </w:tc>
      </w:tr>
      <w:tr w:rsidR="004D707F" w:rsidRPr="004D707F" w14:paraId="21F29F73" w14:textId="77777777">
        <w:trPr>
          <w:trHeight w:val="262"/>
        </w:trPr>
        <w:tc>
          <w:tcPr>
            <w:tcW w:w="3677" w:type="dxa"/>
            <w:vMerge w:val="restart"/>
            <w:tcBorders>
              <w:top w:val="single" w:sz="8" w:space="0" w:color="D3D3D3"/>
              <w:left w:val="single" w:sz="8" w:space="0" w:color="D3D3D3"/>
              <w:bottom w:val="nil"/>
              <w:right w:val="single" w:sz="8" w:space="0" w:color="D3D3D3"/>
            </w:tcBorders>
            <w:tcMar>
              <w:top w:w="39" w:type="dxa"/>
              <w:left w:w="39" w:type="dxa"/>
              <w:bottom w:w="39" w:type="dxa"/>
              <w:right w:w="39" w:type="dxa"/>
            </w:tcMar>
            <w:hideMark/>
          </w:tcPr>
          <w:p w14:paraId="114F49E6" w14:textId="3B593F3E" w:rsidR="004D707F" w:rsidRPr="004D707F" w:rsidRDefault="004D707F" w:rsidP="004D707F">
            <w:pPr>
              <w:spacing w:before="0"/>
              <w:jc w:val="left"/>
              <w:textAlignment w:val="auto"/>
              <w:rPr>
                <w:rFonts w:cs="Calibri"/>
                <w:lang w:val="en-US"/>
              </w:rPr>
            </w:pPr>
            <w:r w:rsidRPr="004D707F">
              <w:rPr>
                <w:rFonts w:eastAsia="Calibri" w:cs="Calibri"/>
                <w:b/>
                <w:color w:val="000000"/>
                <w:lang w:val="en-US"/>
              </w:rPr>
              <w:t>Isra</w:t>
            </w:r>
            <w:r>
              <w:rPr>
                <w:rFonts w:eastAsia="Calibri"/>
                <w:b/>
                <w:color w:val="000000"/>
              </w:rPr>
              <w:t>ë</w:t>
            </w:r>
            <w:r w:rsidRPr="004D707F">
              <w:rPr>
                <w:rFonts w:eastAsia="Calibri" w:cs="Calibri"/>
                <w:b/>
                <w:color w:val="000000"/>
                <w:lang w:val="en-US"/>
              </w:rPr>
              <w:t>l     LIR</w:t>
            </w: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tcPr>
          <w:p w14:paraId="29D2C5C3" w14:textId="77777777" w:rsidR="004D707F" w:rsidRPr="004D707F" w:rsidRDefault="004D707F" w:rsidP="004D707F">
            <w:pPr>
              <w:spacing w:before="0"/>
              <w:textAlignment w:val="auto"/>
              <w:rPr>
                <w:rFonts w:cs="Calibri"/>
                <w:lang w:val="en-US"/>
              </w:rPr>
            </w:pP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tcPr>
          <w:p w14:paraId="15F98F14" w14:textId="77777777" w:rsidR="004D707F" w:rsidRPr="004D707F" w:rsidRDefault="004D707F" w:rsidP="004D707F">
            <w:pPr>
              <w:spacing w:before="0"/>
              <w:textAlignment w:val="auto"/>
              <w:rPr>
                <w:rFonts w:cs="Calibri"/>
                <w:lang w:val="en-US"/>
              </w:rPr>
            </w:pPr>
          </w:p>
        </w:tc>
      </w:tr>
      <w:tr w:rsidR="004D707F" w:rsidRPr="004D707F" w14:paraId="321945B1" w14:textId="77777777">
        <w:trPr>
          <w:trHeight w:val="262"/>
        </w:trPr>
        <w:tc>
          <w:tcPr>
            <w:tcW w:w="0" w:type="auto"/>
            <w:vMerge/>
            <w:tcBorders>
              <w:top w:val="single" w:sz="8" w:space="0" w:color="D3D3D3"/>
              <w:left w:val="single" w:sz="8" w:space="0" w:color="D3D3D3"/>
              <w:bottom w:val="nil"/>
              <w:right w:val="single" w:sz="8" w:space="0" w:color="D3D3D3"/>
            </w:tcBorders>
            <w:vAlign w:val="center"/>
            <w:hideMark/>
          </w:tcPr>
          <w:p w14:paraId="73DBC68E" w14:textId="77777777" w:rsidR="004D707F" w:rsidRPr="004D707F" w:rsidRDefault="004D707F" w:rsidP="004D707F">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en-US"/>
              </w:rPr>
            </w:pP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hideMark/>
          </w:tcPr>
          <w:p w14:paraId="515D363D" w14:textId="77777777" w:rsidR="004D707F" w:rsidRPr="004D707F" w:rsidRDefault="004D707F" w:rsidP="004D707F">
            <w:pPr>
              <w:spacing w:before="0"/>
              <w:jc w:val="center"/>
              <w:textAlignment w:val="auto"/>
              <w:rPr>
                <w:rFonts w:cs="Calibri"/>
                <w:lang w:val="en-US"/>
              </w:rPr>
            </w:pPr>
            <w:r w:rsidRPr="004D707F">
              <w:rPr>
                <w:rFonts w:eastAsia="Calibri"/>
                <w:color w:val="000000"/>
                <w:lang w:val="en-US"/>
              </w:rPr>
              <w:t>425 12</w:t>
            </w: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hideMark/>
          </w:tcPr>
          <w:p w14:paraId="7FF6975A" w14:textId="77777777" w:rsidR="004D707F" w:rsidRPr="004D707F" w:rsidRDefault="004D707F" w:rsidP="004D707F">
            <w:pPr>
              <w:spacing w:before="0"/>
              <w:textAlignment w:val="auto"/>
              <w:rPr>
                <w:rFonts w:cs="Calibri"/>
                <w:lang w:val="en-US"/>
              </w:rPr>
            </w:pPr>
            <w:r w:rsidRPr="004D707F">
              <w:rPr>
                <w:rFonts w:eastAsia="Calibri"/>
                <w:color w:val="000000"/>
                <w:lang w:val="en-US"/>
              </w:rPr>
              <w:t>FREE TELECOM LTD</w:t>
            </w:r>
          </w:p>
        </w:tc>
      </w:tr>
      <w:tr w:rsidR="004D707F" w:rsidRPr="004D707F" w14:paraId="6E762CCE" w14:textId="77777777">
        <w:trPr>
          <w:trHeight w:val="262"/>
        </w:trPr>
        <w:tc>
          <w:tcPr>
            <w:tcW w:w="3677" w:type="dxa"/>
            <w:vMerge w:val="restart"/>
            <w:tcBorders>
              <w:top w:val="nil"/>
              <w:left w:val="single" w:sz="8" w:space="0" w:color="D3D3D3"/>
              <w:bottom w:val="single" w:sz="8" w:space="0" w:color="D3D3D3"/>
              <w:right w:val="single" w:sz="8" w:space="0" w:color="D3D3D3"/>
            </w:tcBorders>
            <w:tcMar>
              <w:top w:w="39" w:type="dxa"/>
              <w:left w:w="39" w:type="dxa"/>
              <w:bottom w:w="39" w:type="dxa"/>
              <w:right w:w="39" w:type="dxa"/>
            </w:tcMar>
            <w:hideMark/>
          </w:tcPr>
          <w:p w14:paraId="0E9363A8" w14:textId="0C2C9CAE" w:rsidR="004D707F" w:rsidRPr="004D707F" w:rsidRDefault="004D707F" w:rsidP="004D707F">
            <w:pPr>
              <w:spacing w:before="0"/>
              <w:jc w:val="left"/>
              <w:textAlignment w:val="auto"/>
              <w:rPr>
                <w:rFonts w:cs="Calibri"/>
                <w:lang w:val="en-US"/>
              </w:rPr>
            </w:pPr>
            <w:r w:rsidRPr="004D707F">
              <w:rPr>
                <w:rFonts w:eastAsia="Calibri" w:cs="Calibri"/>
                <w:b/>
                <w:color w:val="000000"/>
                <w:lang w:val="en-US"/>
              </w:rPr>
              <w:t>Nouvelle-Zélande     ADD</w:t>
            </w: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tcPr>
          <w:p w14:paraId="4762DB07" w14:textId="77777777" w:rsidR="004D707F" w:rsidRPr="004D707F" w:rsidRDefault="004D707F" w:rsidP="004D707F">
            <w:pPr>
              <w:spacing w:before="0"/>
              <w:jc w:val="center"/>
              <w:textAlignment w:val="auto"/>
              <w:rPr>
                <w:rFonts w:eastAsia="Calibri"/>
                <w:color w:val="000000"/>
                <w:lang w:val="en-US"/>
              </w:rPr>
            </w:pP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tcPr>
          <w:p w14:paraId="367981D2" w14:textId="77777777" w:rsidR="004D707F" w:rsidRPr="004D707F" w:rsidRDefault="004D707F" w:rsidP="004D707F">
            <w:pPr>
              <w:spacing w:before="0"/>
              <w:textAlignment w:val="auto"/>
              <w:rPr>
                <w:rFonts w:eastAsia="Calibri"/>
                <w:color w:val="000000"/>
                <w:lang w:val="en-US"/>
              </w:rPr>
            </w:pPr>
          </w:p>
        </w:tc>
      </w:tr>
      <w:tr w:rsidR="004D707F" w:rsidRPr="004D707F" w14:paraId="09336518" w14:textId="77777777">
        <w:trPr>
          <w:trHeight w:val="262"/>
        </w:trPr>
        <w:tc>
          <w:tcPr>
            <w:tcW w:w="0" w:type="auto"/>
            <w:vMerge/>
            <w:tcBorders>
              <w:top w:val="nil"/>
              <w:left w:val="single" w:sz="8" w:space="0" w:color="D3D3D3"/>
              <w:bottom w:val="single" w:sz="8" w:space="0" w:color="D3D3D3"/>
              <w:right w:val="single" w:sz="8" w:space="0" w:color="D3D3D3"/>
            </w:tcBorders>
            <w:vAlign w:val="center"/>
            <w:hideMark/>
          </w:tcPr>
          <w:p w14:paraId="46A1BAAB" w14:textId="77777777" w:rsidR="004D707F" w:rsidRPr="004D707F" w:rsidRDefault="004D707F" w:rsidP="004D707F">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en-US"/>
              </w:rPr>
            </w:pP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hideMark/>
          </w:tcPr>
          <w:p w14:paraId="45831840" w14:textId="77777777" w:rsidR="004D707F" w:rsidRPr="004D707F" w:rsidRDefault="004D707F" w:rsidP="004D707F">
            <w:pPr>
              <w:spacing w:before="0"/>
              <w:jc w:val="center"/>
              <w:textAlignment w:val="auto"/>
              <w:rPr>
                <w:rFonts w:eastAsia="Calibri"/>
                <w:color w:val="000000"/>
                <w:lang w:val="en-US"/>
              </w:rPr>
            </w:pPr>
            <w:r w:rsidRPr="004D707F">
              <w:rPr>
                <w:rFonts w:eastAsia="Calibri"/>
                <w:color w:val="000000"/>
                <w:lang w:val="en-US"/>
              </w:rPr>
              <w:t>530 14</w:t>
            </w: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hideMark/>
          </w:tcPr>
          <w:p w14:paraId="514618D4" w14:textId="77777777" w:rsidR="004D707F" w:rsidRPr="004D707F" w:rsidRDefault="004D707F" w:rsidP="004D707F">
            <w:pPr>
              <w:spacing w:before="0"/>
              <w:textAlignment w:val="auto"/>
              <w:rPr>
                <w:rFonts w:eastAsia="Calibri"/>
                <w:color w:val="000000"/>
                <w:lang w:val="en-US"/>
              </w:rPr>
            </w:pPr>
            <w:r w:rsidRPr="004D707F">
              <w:rPr>
                <w:rFonts w:eastAsia="Calibri"/>
                <w:color w:val="000000"/>
                <w:lang w:val="en-US"/>
              </w:rPr>
              <w:t>2degrees</w:t>
            </w:r>
          </w:p>
        </w:tc>
      </w:tr>
      <w:tr w:rsidR="004D707F" w:rsidRPr="004D707F" w14:paraId="07702C9B" w14:textId="77777777">
        <w:trPr>
          <w:trHeight w:val="262"/>
        </w:trPr>
        <w:tc>
          <w:tcPr>
            <w:tcW w:w="0" w:type="auto"/>
            <w:vMerge/>
            <w:tcBorders>
              <w:top w:val="nil"/>
              <w:left w:val="single" w:sz="8" w:space="0" w:color="D3D3D3"/>
              <w:bottom w:val="single" w:sz="8" w:space="0" w:color="D3D3D3"/>
              <w:right w:val="single" w:sz="8" w:space="0" w:color="D3D3D3"/>
            </w:tcBorders>
            <w:vAlign w:val="center"/>
            <w:hideMark/>
          </w:tcPr>
          <w:p w14:paraId="13BA08A9" w14:textId="77777777" w:rsidR="004D707F" w:rsidRPr="004D707F" w:rsidRDefault="004D707F" w:rsidP="004D707F">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en-US"/>
              </w:rPr>
            </w:pPr>
          </w:p>
        </w:tc>
        <w:tc>
          <w:tcPr>
            <w:tcW w:w="127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vAlign w:val="center"/>
            <w:hideMark/>
          </w:tcPr>
          <w:p w14:paraId="62EB050C" w14:textId="77777777" w:rsidR="004D707F" w:rsidRPr="004D707F" w:rsidRDefault="004D707F" w:rsidP="004D707F">
            <w:pPr>
              <w:spacing w:before="0"/>
              <w:jc w:val="center"/>
              <w:textAlignment w:val="auto"/>
              <w:rPr>
                <w:rFonts w:eastAsia="Calibri"/>
                <w:color w:val="000000"/>
                <w:lang w:val="en-US"/>
              </w:rPr>
            </w:pPr>
            <w:r w:rsidRPr="004D707F">
              <w:rPr>
                <w:rFonts w:eastAsia="Calibri"/>
                <w:color w:val="000000"/>
                <w:lang w:val="en-US"/>
              </w:rPr>
              <w:t>530 15</w:t>
            </w:r>
          </w:p>
        </w:tc>
        <w:tc>
          <w:tcPr>
            <w:tcW w:w="481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hideMark/>
          </w:tcPr>
          <w:p w14:paraId="6D2D8C67" w14:textId="77777777" w:rsidR="004D707F" w:rsidRPr="004D707F" w:rsidRDefault="004D707F" w:rsidP="004D707F">
            <w:pPr>
              <w:spacing w:before="0"/>
              <w:textAlignment w:val="auto"/>
              <w:rPr>
                <w:rFonts w:eastAsia="Calibri"/>
                <w:color w:val="000000"/>
                <w:lang w:val="en-US"/>
              </w:rPr>
            </w:pPr>
            <w:r w:rsidRPr="004D707F">
              <w:rPr>
                <w:rFonts w:eastAsia="Calibri"/>
                <w:color w:val="000000"/>
                <w:lang w:val="en-US"/>
              </w:rPr>
              <w:t>Spark NZT</w:t>
            </w:r>
          </w:p>
        </w:tc>
      </w:tr>
    </w:tbl>
    <w:p w14:paraId="756BDA0C" w14:textId="77777777" w:rsidR="004D707F" w:rsidRPr="004D707F" w:rsidRDefault="004D707F" w:rsidP="004D707F">
      <w:pPr>
        <w:spacing w:after="60"/>
        <w:textAlignment w:val="auto"/>
      </w:pPr>
      <w:r w:rsidRPr="004D707F">
        <w:rPr>
          <w:rFonts w:ascii="Arial" w:eastAsia="Arial" w:hAnsi="Arial"/>
          <w:color w:val="000000"/>
          <w:sz w:val="16"/>
        </w:rPr>
        <w:t>____________</w:t>
      </w:r>
    </w:p>
    <w:p w14:paraId="4598F0DA" w14:textId="77777777" w:rsidR="004D707F" w:rsidRPr="004D707F" w:rsidRDefault="004D707F" w:rsidP="004D707F">
      <w:pPr>
        <w:tabs>
          <w:tab w:val="clear" w:pos="567"/>
          <w:tab w:val="left" w:pos="284"/>
          <w:tab w:val="left" w:pos="851"/>
        </w:tabs>
        <w:textAlignment w:val="auto"/>
      </w:pPr>
      <w:r w:rsidRPr="004D707F">
        <w:rPr>
          <w:rFonts w:eastAsia="Calibri"/>
        </w:rPr>
        <w:t>*</w:t>
      </w:r>
      <w:r w:rsidRPr="004D707F">
        <w:rPr>
          <w:rFonts w:eastAsia="Calibri"/>
        </w:rPr>
        <w:tab/>
      </w:r>
      <w:r w:rsidRPr="004D707F">
        <w:rPr>
          <w:rFonts w:eastAsia="Calibri"/>
          <w:color w:val="000000"/>
          <w:sz w:val="18"/>
        </w:rPr>
        <w:t>MCC: Mobile Country Code / Indicatif de pays du mobile / Indicativo de país para el servicio móvil</w:t>
      </w:r>
    </w:p>
    <w:p w14:paraId="175CA3A7" w14:textId="77777777" w:rsidR="004D707F" w:rsidRPr="004D707F" w:rsidRDefault="004D707F" w:rsidP="004D707F">
      <w:pPr>
        <w:tabs>
          <w:tab w:val="clear" w:pos="567"/>
          <w:tab w:val="left" w:pos="284"/>
          <w:tab w:val="left" w:pos="851"/>
        </w:tabs>
        <w:spacing w:before="0" w:after="60"/>
        <w:textAlignment w:val="auto"/>
        <w:rPr>
          <w:rFonts w:eastAsia="Calibri"/>
          <w:color w:val="000000"/>
          <w:sz w:val="18"/>
        </w:rPr>
      </w:pPr>
      <w:r w:rsidRPr="004D707F">
        <w:rPr>
          <w:rFonts w:eastAsia="Calibri"/>
          <w:color w:val="000000"/>
          <w:sz w:val="18"/>
        </w:rPr>
        <w:tab/>
        <w:t>MNC: Mobile Network Code / Code de réseau mobile / Indicativo de red para el servicio móvil</w:t>
      </w:r>
    </w:p>
    <w:p w14:paraId="080E1ACD" w14:textId="77777777" w:rsidR="004D707F" w:rsidRDefault="004D707F" w:rsidP="004D707F"/>
    <w:p w14:paraId="2E421466" w14:textId="77777777" w:rsidR="004D707F" w:rsidRPr="00B23ACB" w:rsidRDefault="004D707F" w:rsidP="004D707F"/>
    <w:p w14:paraId="6508C639" w14:textId="77777777" w:rsidR="00B23ACB" w:rsidRPr="00B23ACB" w:rsidRDefault="00B23ACB" w:rsidP="004D707F"/>
    <w:p w14:paraId="67E5515E" w14:textId="77777777" w:rsidR="000A7839" w:rsidRPr="007C1B11" w:rsidRDefault="000A7839" w:rsidP="000A7839">
      <w:pPr>
        <w:pStyle w:val="Heading20"/>
        <w:rPr>
          <w:rFonts w:asciiTheme="minorHAnsi" w:hAnsiTheme="minorHAnsi"/>
          <w:szCs w:val="28"/>
        </w:rPr>
      </w:pPr>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p>
    <w:p w14:paraId="636F6381" w14:textId="77777777" w:rsidR="000A7839" w:rsidRDefault="000A7839" w:rsidP="004D707F">
      <w:pPr>
        <w:keepNext/>
        <w:tabs>
          <w:tab w:val="right" w:pos="1021"/>
          <w:tab w:val="left" w:pos="1701"/>
          <w:tab w:val="left" w:pos="2268"/>
        </w:tabs>
        <w:jc w:val="center"/>
        <w:rPr>
          <w:lang w:val="fr-CH"/>
        </w:rPr>
      </w:pPr>
      <w:r w:rsidRPr="007B7B31">
        <w:rPr>
          <w:lang w:val="fr-CH"/>
        </w:rPr>
        <w:t>(Annexe au Bulletin d'exploitation de l'UIT N° 1060</w:t>
      </w:r>
      <w:r>
        <w:rPr>
          <w:lang w:val="fr-CH"/>
        </w:rPr>
        <w:t xml:space="preserve"> – 15.IX.2014)</w:t>
      </w:r>
      <w:r>
        <w:rPr>
          <w:lang w:val="fr-CH"/>
        </w:rPr>
        <w:br/>
        <w:t>(Amendement N° 198</w:t>
      </w:r>
      <w:r w:rsidRPr="007B7B31">
        <w:rPr>
          <w:lang w:val="fr-CH"/>
        </w:rPr>
        <w:t>)</w:t>
      </w:r>
    </w:p>
    <w:p w14:paraId="43493C55" w14:textId="77777777" w:rsidR="000A7839" w:rsidRPr="007B7B31" w:rsidRDefault="000A7839" w:rsidP="004D707F">
      <w:pPr>
        <w:rPr>
          <w:lang w:val="fr-CH"/>
        </w:rPr>
      </w:pPr>
    </w:p>
    <w:tbl>
      <w:tblPr>
        <w:tblW w:w="9498" w:type="dxa"/>
        <w:tblLayout w:type="fixed"/>
        <w:tblLook w:val="04A0" w:firstRow="1" w:lastRow="0" w:firstColumn="1" w:lastColumn="0" w:noHBand="0" w:noVBand="1"/>
      </w:tblPr>
      <w:tblGrid>
        <w:gridCol w:w="3969"/>
        <w:gridCol w:w="2511"/>
        <w:gridCol w:w="3018"/>
      </w:tblGrid>
      <w:tr w:rsidR="000A7839" w:rsidRPr="007B7B31" w14:paraId="3F7873F5" w14:textId="77777777" w:rsidTr="005A6A25">
        <w:trPr>
          <w:cantSplit/>
          <w:tblHeader/>
        </w:trPr>
        <w:tc>
          <w:tcPr>
            <w:tcW w:w="3969" w:type="dxa"/>
            <w:hideMark/>
          </w:tcPr>
          <w:p w14:paraId="6B9C5501" w14:textId="77777777" w:rsidR="000A7839" w:rsidRPr="007B7B31" w:rsidRDefault="000A7839" w:rsidP="000A7839">
            <w:pPr>
              <w:spacing w:before="0"/>
              <w:rPr>
                <w:lang w:val="fr-CH"/>
              </w:rPr>
            </w:pPr>
            <w:r w:rsidRPr="007B7B31">
              <w:rPr>
                <w:rFonts w:cs="Arial"/>
                <w:b/>
                <w:bCs/>
                <w:i/>
                <w:iCs/>
                <w:lang w:val="fr-FR"/>
              </w:rPr>
              <w:t>Pays ou zone/code ISO</w:t>
            </w:r>
          </w:p>
        </w:tc>
        <w:tc>
          <w:tcPr>
            <w:tcW w:w="2511" w:type="dxa"/>
            <w:hideMark/>
          </w:tcPr>
          <w:p w14:paraId="6775F62E" w14:textId="77777777" w:rsidR="000A7839" w:rsidRPr="007B7B31" w:rsidRDefault="000A7839" w:rsidP="000A7839">
            <w:pPr>
              <w:spacing w:before="0"/>
              <w:jc w:val="center"/>
            </w:pPr>
            <w:r w:rsidRPr="007B7B31">
              <w:rPr>
                <w:rFonts w:cs="Arial"/>
                <w:b/>
                <w:bCs/>
                <w:i/>
                <w:iCs/>
                <w:lang w:val="fr-FR"/>
              </w:rPr>
              <w:t>Code de la Société</w:t>
            </w:r>
          </w:p>
        </w:tc>
        <w:tc>
          <w:tcPr>
            <w:tcW w:w="3018" w:type="dxa"/>
            <w:hideMark/>
          </w:tcPr>
          <w:p w14:paraId="3372356D" w14:textId="77777777" w:rsidR="000A7839" w:rsidRPr="007B7B31" w:rsidRDefault="000A7839" w:rsidP="000A7839">
            <w:pPr>
              <w:spacing w:before="0"/>
              <w:rPr>
                <w:b/>
                <w:bCs/>
                <w:i/>
                <w:iCs/>
              </w:rPr>
            </w:pPr>
            <w:r w:rsidRPr="007B7B31">
              <w:rPr>
                <w:b/>
                <w:bCs/>
                <w:i/>
                <w:iCs/>
              </w:rPr>
              <w:t>Contact</w:t>
            </w:r>
          </w:p>
        </w:tc>
      </w:tr>
      <w:tr w:rsidR="000A7839" w:rsidRPr="007B7B31" w14:paraId="646CB47A" w14:textId="77777777" w:rsidTr="005A6A25">
        <w:trPr>
          <w:cantSplit/>
          <w:tblHeader/>
        </w:trPr>
        <w:tc>
          <w:tcPr>
            <w:tcW w:w="3969" w:type="dxa"/>
            <w:tcBorders>
              <w:top w:val="nil"/>
              <w:left w:val="nil"/>
              <w:bottom w:val="single" w:sz="4" w:space="0" w:color="auto"/>
              <w:right w:val="nil"/>
            </w:tcBorders>
            <w:hideMark/>
          </w:tcPr>
          <w:p w14:paraId="0B056449" w14:textId="77777777" w:rsidR="000A7839" w:rsidRPr="007B7B31" w:rsidRDefault="000A7839" w:rsidP="000A7839">
            <w:pPr>
              <w:spacing w:before="0"/>
              <w:rPr>
                <w:lang w:val="fr-CH"/>
              </w:rPr>
            </w:pPr>
            <w:r w:rsidRPr="007B7B31">
              <w:rPr>
                <w:rFonts w:cs="Arial"/>
                <w:b/>
                <w:bCs/>
                <w:i/>
                <w:iCs/>
                <w:lang w:val="fr-FR"/>
              </w:rPr>
              <w:t>Nom de la société/Adresse</w:t>
            </w:r>
          </w:p>
        </w:tc>
        <w:tc>
          <w:tcPr>
            <w:tcW w:w="2511" w:type="dxa"/>
            <w:tcBorders>
              <w:top w:val="nil"/>
              <w:left w:val="nil"/>
              <w:bottom w:val="single" w:sz="4" w:space="0" w:color="auto"/>
              <w:right w:val="nil"/>
            </w:tcBorders>
            <w:hideMark/>
          </w:tcPr>
          <w:p w14:paraId="68E4F5AC" w14:textId="77777777" w:rsidR="000A7839" w:rsidRPr="007B7B31" w:rsidRDefault="000A7839" w:rsidP="000A7839">
            <w:pPr>
              <w:spacing w:before="0"/>
              <w:jc w:val="center"/>
              <w:rPr>
                <w:b/>
                <w:bCs/>
                <w:i/>
                <w:iCs/>
              </w:rPr>
            </w:pPr>
            <w:r w:rsidRPr="007B7B31">
              <w:rPr>
                <w:b/>
                <w:bCs/>
                <w:i/>
                <w:iCs/>
              </w:rPr>
              <w:t>(code de l'exploitant)</w:t>
            </w:r>
          </w:p>
        </w:tc>
        <w:tc>
          <w:tcPr>
            <w:tcW w:w="3018" w:type="dxa"/>
            <w:tcBorders>
              <w:top w:val="nil"/>
              <w:left w:val="nil"/>
              <w:bottom w:val="single" w:sz="4" w:space="0" w:color="auto"/>
              <w:right w:val="nil"/>
            </w:tcBorders>
          </w:tcPr>
          <w:p w14:paraId="32B1A752" w14:textId="77777777" w:rsidR="000A7839" w:rsidRPr="007B7B31" w:rsidRDefault="000A7839" w:rsidP="000A7839">
            <w:pPr>
              <w:spacing w:before="0"/>
            </w:pPr>
          </w:p>
        </w:tc>
      </w:tr>
    </w:tbl>
    <w:p w14:paraId="3954954C" w14:textId="77777777" w:rsidR="000A7839" w:rsidRDefault="000A7839" w:rsidP="000A7839">
      <w:pPr>
        <w:rPr>
          <w:rFonts w:cs="Calibri"/>
          <w:b/>
          <w:color w:val="000000"/>
          <w:lang w:val="pt-BR"/>
        </w:rPr>
      </w:pPr>
    </w:p>
    <w:p w14:paraId="7CF04A70" w14:textId="77777777" w:rsidR="000A7839" w:rsidRDefault="000A7839" w:rsidP="005A6A25">
      <w:pPr>
        <w:tabs>
          <w:tab w:val="left" w:pos="3828"/>
        </w:tabs>
        <w:spacing w:after="12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sidRPr="00041C1F">
        <w:rPr>
          <w:rFonts w:cs="Calibri"/>
          <w:b/>
          <w:iCs/>
          <w:lang w:val="fr-FR"/>
        </w:rPr>
        <w:t>LIR</w:t>
      </w:r>
    </w:p>
    <w:tbl>
      <w:tblPr>
        <w:tblW w:w="9498" w:type="dxa"/>
        <w:tblLayout w:type="fixed"/>
        <w:tblCellMar>
          <w:top w:w="85" w:type="dxa"/>
          <w:bottom w:w="85" w:type="dxa"/>
        </w:tblCellMar>
        <w:tblLook w:val="05A0" w:firstRow="1" w:lastRow="0" w:firstColumn="1" w:lastColumn="1" w:noHBand="0" w:noVBand="1"/>
      </w:tblPr>
      <w:tblGrid>
        <w:gridCol w:w="3969"/>
        <w:gridCol w:w="2552"/>
        <w:gridCol w:w="2977"/>
      </w:tblGrid>
      <w:tr w:rsidR="000A7839" w:rsidRPr="000A7839" w14:paraId="3AD98EB5" w14:textId="77777777" w:rsidTr="005A6A25">
        <w:trPr>
          <w:trHeight w:val="779"/>
        </w:trPr>
        <w:tc>
          <w:tcPr>
            <w:tcW w:w="3969" w:type="dxa"/>
          </w:tcPr>
          <w:p w14:paraId="17A62B70" w14:textId="77777777" w:rsidR="000A7839" w:rsidRPr="004F0B8C" w:rsidRDefault="000A7839" w:rsidP="000A7839">
            <w:pPr>
              <w:tabs>
                <w:tab w:val="left" w:pos="426"/>
                <w:tab w:val="left" w:pos="4140"/>
                <w:tab w:val="left" w:pos="4230"/>
              </w:tabs>
              <w:spacing w:before="0"/>
              <w:rPr>
                <w:rFonts w:cs="Arial"/>
                <w:noProof/>
                <w:lang w:val="en-US"/>
              </w:rPr>
            </w:pPr>
            <w:r w:rsidRPr="004F0B8C">
              <w:rPr>
                <w:rFonts w:cs="Arial"/>
                <w:noProof/>
                <w:lang w:val="en-US"/>
              </w:rPr>
              <w:t>NFON AG (Marke Deutsche Telefon Standard)</w:t>
            </w:r>
            <w:r w:rsidRPr="004F0B8C">
              <w:rPr>
                <w:rFonts w:cs="Arial"/>
                <w:noProof/>
                <w:lang w:val="en-US"/>
              </w:rPr>
              <w:cr/>
              <w:t>Wilhelm-Theodor-R</w:t>
            </w:r>
            <w:r w:rsidRPr="004F0B8C">
              <w:rPr>
                <w:rFonts w:cs="Calibri"/>
                <w:noProof/>
                <w:lang w:val="en-US"/>
              </w:rPr>
              <w:t>ö</w:t>
            </w:r>
            <w:r w:rsidRPr="004F0B8C">
              <w:rPr>
                <w:rFonts w:cs="Arial"/>
                <w:noProof/>
                <w:lang w:val="en-US"/>
              </w:rPr>
              <w:t>mheld-Str. 26</w:t>
            </w:r>
          </w:p>
          <w:p w14:paraId="5CDD2594" w14:textId="77777777" w:rsidR="000A7839" w:rsidRPr="004F0B8C" w:rsidRDefault="000A7839" w:rsidP="000A7839">
            <w:pPr>
              <w:tabs>
                <w:tab w:val="left" w:pos="426"/>
                <w:tab w:val="left" w:pos="4140"/>
                <w:tab w:val="left" w:pos="4230"/>
              </w:tabs>
              <w:spacing w:before="0"/>
              <w:rPr>
                <w:rFonts w:cs="Arial"/>
                <w:noProof/>
                <w:highlight w:val="yellow"/>
                <w:lang w:val="de-CH"/>
              </w:rPr>
            </w:pPr>
            <w:r w:rsidRPr="004F0B8C">
              <w:rPr>
                <w:rFonts w:cs="Arial"/>
                <w:noProof/>
                <w:lang w:val="en-US"/>
              </w:rPr>
              <w:t>55130 MAINZ</w:t>
            </w:r>
          </w:p>
        </w:tc>
        <w:tc>
          <w:tcPr>
            <w:tcW w:w="2552" w:type="dxa"/>
          </w:tcPr>
          <w:p w14:paraId="2AF779F4" w14:textId="77777777" w:rsidR="000A7839" w:rsidRPr="004F0B8C" w:rsidRDefault="000A7839" w:rsidP="000A7839">
            <w:pPr>
              <w:widowControl w:val="0"/>
              <w:spacing w:before="0"/>
              <w:jc w:val="center"/>
              <w:rPr>
                <w:rFonts w:eastAsia="SimSun" w:cs="Arial"/>
                <w:b/>
                <w:bCs/>
                <w:color w:val="000000"/>
                <w:highlight w:val="yellow"/>
              </w:rPr>
            </w:pPr>
            <w:r w:rsidRPr="004F0B8C">
              <w:rPr>
                <w:rFonts w:eastAsia="SimSun" w:cs="Arial"/>
                <w:b/>
                <w:bCs/>
                <w:color w:val="000000"/>
              </w:rPr>
              <w:t>DETEST</w:t>
            </w:r>
          </w:p>
        </w:tc>
        <w:tc>
          <w:tcPr>
            <w:tcW w:w="2977" w:type="dxa"/>
          </w:tcPr>
          <w:p w14:paraId="730E61A6" w14:textId="77777777" w:rsidR="000A7839" w:rsidRPr="00DD709C" w:rsidRDefault="000A7839" w:rsidP="000A7839">
            <w:pPr>
              <w:widowControl w:val="0"/>
              <w:spacing w:before="0"/>
              <w:rPr>
                <w:rFonts w:eastAsia="SimSun" w:cs="Arial"/>
                <w:color w:val="000000"/>
              </w:rPr>
            </w:pPr>
            <w:r w:rsidRPr="004F0B8C">
              <w:rPr>
                <w:rFonts w:cs="Arial"/>
                <w:noProof/>
                <w:lang w:val="de-CH"/>
              </w:rPr>
              <w:t>Silke Halamek</w:t>
            </w:r>
          </w:p>
          <w:p w14:paraId="09C51F9C" w14:textId="7624D641" w:rsidR="000A7839" w:rsidRPr="00DD709C" w:rsidRDefault="000A7839" w:rsidP="000A7839">
            <w:pPr>
              <w:widowControl w:val="0"/>
              <w:tabs>
                <w:tab w:val="clear" w:pos="567"/>
                <w:tab w:val="left" w:pos="644"/>
              </w:tabs>
              <w:spacing w:before="0"/>
              <w:rPr>
                <w:rFonts w:eastAsia="SimSun" w:cs="Arial"/>
                <w:color w:val="000000"/>
              </w:rPr>
            </w:pPr>
            <w:r w:rsidRPr="00DD709C">
              <w:rPr>
                <w:rFonts w:eastAsia="SimSun" w:cs="Arial"/>
                <w:color w:val="000000"/>
              </w:rPr>
              <w:t xml:space="preserve">Tel: </w:t>
            </w:r>
            <w:r w:rsidRPr="00DD709C">
              <w:rPr>
                <w:rFonts w:eastAsia="SimSun" w:cs="Arial"/>
                <w:color w:val="000000"/>
              </w:rPr>
              <w:tab/>
              <w:t>+49 89 453 00513</w:t>
            </w:r>
          </w:p>
          <w:p w14:paraId="6A5A525A" w14:textId="546CCF4B" w:rsidR="000A7839" w:rsidRPr="00DD709C" w:rsidRDefault="000A7839" w:rsidP="000A7839">
            <w:pPr>
              <w:widowControl w:val="0"/>
              <w:tabs>
                <w:tab w:val="clear" w:pos="567"/>
                <w:tab w:val="left" w:pos="644"/>
              </w:tabs>
              <w:spacing w:before="0"/>
              <w:rPr>
                <w:rFonts w:eastAsia="SimSun" w:cs="Arial"/>
                <w:color w:val="000000"/>
              </w:rPr>
            </w:pPr>
            <w:r w:rsidRPr="00DD709C">
              <w:rPr>
                <w:rFonts w:eastAsia="SimSun" w:cs="Arial"/>
                <w:color w:val="000000"/>
              </w:rPr>
              <w:t xml:space="preserve">Fax: </w:t>
            </w:r>
            <w:r w:rsidRPr="00DD709C">
              <w:rPr>
                <w:rFonts w:eastAsia="SimSun" w:cs="Arial"/>
                <w:color w:val="000000"/>
              </w:rPr>
              <w:tab/>
              <w:t>+49 89 453 597</w:t>
            </w:r>
          </w:p>
          <w:p w14:paraId="261626C1" w14:textId="21A35940" w:rsidR="000A7839" w:rsidRPr="00DD709C" w:rsidRDefault="000A7839" w:rsidP="000A7839">
            <w:pPr>
              <w:widowControl w:val="0"/>
              <w:tabs>
                <w:tab w:val="clear" w:pos="567"/>
                <w:tab w:val="left" w:pos="644"/>
              </w:tabs>
              <w:spacing w:before="0"/>
              <w:rPr>
                <w:rFonts w:eastAsia="SimSun" w:cs="Arial"/>
                <w:color w:val="000000"/>
                <w:highlight w:val="yellow"/>
              </w:rPr>
            </w:pPr>
            <w:r w:rsidRPr="00DD709C">
              <w:rPr>
                <w:rFonts w:eastAsia="SimSun" w:cs="Arial"/>
                <w:color w:val="000000"/>
              </w:rPr>
              <w:t>E-mail:</w:t>
            </w:r>
            <w:r w:rsidRPr="00DD709C">
              <w:rPr>
                <w:rFonts w:eastAsia="SimSun" w:cs="Arial"/>
                <w:color w:val="000000"/>
              </w:rPr>
              <w:tab/>
              <w:t>silke</w:t>
            </w:r>
            <w:r w:rsidRPr="00DD709C">
              <w:rPr>
                <w:rFonts w:cs="Calibri"/>
              </w:rPr>
              <w:t>.halamek@nfon.com</w:t>
            </w:r>
          </w:p>
        </w:tc>
      </w:tr>
    </w:tbl>
    <w:p w14:paraId="3D62AF9B" w14:textId="2FC31D14" w:rsidR="00FA19C9" w:rsidRPr="00DD709C" w:rsidRDefault="00FA19C9">
      <w:pPr>
        <w:tabs>
          <w:tab w:val="clear" w:pos="567"/>
          <w:tab w:val="clear" w:pos="1276"/>
          <w:tab w:val="clear" w:pos="1843"/>
          <w:tab w:val="clear" w:pos="5387"/>
          <w:tab w:val="clear" w:pos="5954"/>
        </w:tabs>
        <w:overflowPunct/>
        <w:autoSpaceDE/>
        <w:autoSpaceDN/>
        <w:adjustRightInd/>
        <w:spacing w:before="0"/>
        <w:jc w:val="left"/>
        <w:textAlignment w:val="auto"/>
      </w:pPr>
      <w:r w:rsidRPr="00DD709C">
        <w:br w:type="page"/>
      </w:r>
    </w:p>
    <w:p w14:paraId="0DF7AEDF" w14:textId="77777777" w:rsidR="00B85D36" w:rsidRPr="00DD709C" w:rsidRDefault="00B85D36">
      <w:pPr>
        <w:rPr>
          <w:sz w:val="0"/>
        </w:rPr>
      </w:pPr>
    </w:p>
    <w:p w14:paraId="36AE706E" w14:textId="77777777" w:rsidR="000A7839" w:rsidRPr="00542D9D" w:rsidRDefault="000A7839" w:rsidP="000A7839">
      <w:pPr>
        <w:pStyle w:val="Heading20"/>
      </w:pPr>
      <w:r w:rsidRPr="008149B6">
        <w:t>Liste des codes de points sémaphores internationaux (ISPC)</w:t>
      </w:r>
      <w:r w:rsidRPr="008149B6">
        <w:br/>
        <w:t>(Selon la Recommandation UIT-T Q.708 (03/1999))</w:t>
      </w:r>
      <w:r w:rsidRPr="008149B6">
        <w:br/>
        <w:t>(Situation au 1 juillet 2024)</w:t>
      </w:r>
    </w:p>
    <w:p w14:paraId="5D1C0653" w14:textId="77777777" w:rsidR="000A7839" w:rsidRPr="00D33767" w:rsidRDefault="000A7839" w:rsidP="005A6A25">
      <w:pPr>
        <w:pStyle w:val="Heading70"/>
        <w:keepNext/>
        <w:spacing w:before="120"/>
        <w:rPr>
          <w:b/>
          <w:bCs/>
          <w:lang w:val="fr-FR"/>
        </w:rPr>
      </w:pPr>
      <w:r w:rsidRPr="00D33767">
        <w:rPr>
          <w:bCs/>
          <w:lang w:val="fr-FR"/>
        </w:rPr>
        <w:t>(Annexe au Bulletin d'exploitation de l'UIT No. 1295 - 1.VII.2024)</w:t>
      </w:r>
      <w:r w:rsidRPr="00D33767">
        <w:rPr>
          <w:bCs/>
          <w:lang w:val="fr-FR"/>
        </w:rPr>
        <w:br/>
        <w:t>(Amendement No. 27)</w:t>
      </w:r>
    </w:p>
    <w:p w14:paraId="172B7A3E" w14:textId="77777777" w:rsidR="000A7839" w:rsidRPr="00D33767" w:rsidRDefault="000A7839" w:rsidP="000A7839">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0A7839" w:rsidRPr="00DD709C" w14:paraId="1DB49402" w14:textId="77777777" w:rsidTr="00F314D7">
        <w:trPr>
          <w:cantSplit/>
          <w:trHeight w:val="227"/>
        </w:trPr>
        <w:tc>
          <w:tcPr>
            <w:tcW w:w="1818" w:type="dxa"/>
            <w:gridSpan w:val="2"/>
          </w:tcPr>
          <w:p w14:paraId="79FD5910" w14:textId="77777777" w:rsidR="000A7839" w:rsidRDefault="000A7839" w:rsidP="00F314D7">
            <w:pPr>
              <w:pStyle w:val="Tablehead0"/>
              <w:jc w:val="left"/>
            </w:pPr>
            <w:r w:rsidRPr="00870C6B">
              <w:t>Pays/ Zone Géographique</w:t>
            </w:r>
          </w:p>
        </w:tc>
        <w:tc>
          <w:tcPr>
            <w:tcW w:w="3461" w:type="dxa"/>
            <w:vMerge w:val="restart"/>
          </w:tcPr>
          <w:p w14:paraId="074EB207" w14:textId="77777777" w:rsidR="000A7839" w:rsidRPr="00870C6B" w:rsidRDefault="000A7839" w:rsidP="00F314D7">
            <w:pPr>
              <w:pStyle w:val="Tablehead0"/>
              <w:jc w:val="left"/>
            </w:pPr>
            <w:r w:rsidRPr="00870C6B">
              <w:t>Nom unique du point sémaphore</w:t>
            </w:r>
          </w:p>
        </w:tc>
        <w:tc>
          <w:tcPr>
            <w:tcW w:w="4009" w:type="dxa"/>
            <w:vMerge w:val="restart"/>
          </w:tcPr>
          <w:p w14:paraId="711069B7" w14:textId="77777777" w:rsidR="000A7839" w:rsidRPr="00870C6B" w:rsidRDefault="000A7839" w:rsidP="00F314D7">
            <w:pPr>
              <w:pStyle w:val="Tablehead0"/>
              <w:jc w:val="left"/>
            </w:pPr>
            <w:r w:rsidRPr="00870C6B">
              <w:t>Nom de l'opérateur du point sémaphore</w:t>
            </w:r>
          </w:p>
        </w:tc>
      </w:tr>
      <w:tr w:rsidR="000A7839" w:rsidRPr="00B62253" w14:paraId="3E1C00BA" w14:textId="77777777" w:rsidTr="00CE328B">
        <w:trPr>
          <w:cantSplit/>
          <w:trHeight w:val="227"/>
        </w:trPr>
        <w:tc>
          <w:tcPr>
            <w:tcW w:w="909" w:type="dxa"/>
            <w:tcBorders>
              <w:bottom w:val="single" w:sz="4" w:space="0" w:color="auto"/>
            </w:tcBorders>
          </w:tcPr>
          <w:p w14:paraId="339ED463" w14:textId="77777777" w:rsidR="000A7839" w:rsidRPr="00870C6B" w:rsidRDefault="000A7839" w:rsidP="00F314D7">
            <w:pPr>
              <w:pStyle w:val="Tablehead0"/>
              <w:jc w:val="left"/>
            </w:pPr>
            <w:r w:rsidRPr="00870C6B">
              <w:t>ISPC</w:t>
            </w:r>
          </w:p>
        </w:tc>
        <w:tc>
          <w:tcPr>
            <w:tcW w:w="909" w:type="dxa"/>
            <w:tcBorders>
              <w:bottom w:val="single" w:sz="4" w:space="0" w:color="auto"/>
            </w:tcBorders>
          </w:tcPr>
          <w:p w14:paraId="6F46B4A0" w14:textId="77777777" w:rsidR="000A7839" w:rsidRDefault="000A7839" w:rsidP="00F314D7">
            <w:pPr>
              <w:pStyle w:val="Tablehead0"/>
              <w:jc w:val="left"/>
            </w:pPr>
            <w:r>
              <w:t>DEC</w:t>
            </w:r>
          </w:p>
        </w:tc>
        <w:tc>
          <w:tcPr>
            <w:tcW w:w="3461" w:type="dxa"/>
            <w:vMerge/>
            <w:tcBorders>
              <w:bottom w:val="single" w:sz="4" w:space="0" w:color="auto"/>
            </w:tcBorders>
          </w:tcPr>
          <w:p w14:paraId="068C5617" w14:textId="77777777" w:rsidR="000A7839" w:rsidRPr="00870C6B" w:rsidRDefault="000A7839" w:rsidP="00F314D7">
            <w:pPr>
              <w:pStyle w:val="Tablehead0"/>
              <w:jc w:val="left"/>
            </w:pPr>
          </w:p>
        </w:tc>
        <w:tc>
          <w:tcPr>
            <w:tcW w:w="4009" w:type="dxa"/>
            <w:vMerge/>
            <w:tcBorders>
              <w:bottom w:val="single" w:sz="4" w:space="0" w:color="auto"/>
            </w:tcBorders>
          </w:tcPr>
          <w:p w14:paraId="50CF5C7D" w14:textId="77777777" w:rsidR="000A7839" w:rsidRPr="00870C6B" w:rsidRDefault="000A7839" w:rsidP="00F314D7">
            <w:pPr>
              <w:pStyle w:val="Tablehead0"/>
              <w:jc w:val="left"/>
            </w:pPr>
          </w:p>
        </w:tc>
      </w:tr>
      <w:tr w:rsidR="000A7839" w:rsidRPr="00CE328B" w14:paraId="7190E2E3" w14:textId="77777777" w:rsidTr="00CE328B">
        <w:trPr>
          <w:cantSplit/>
          <w:trHeight w:val="240"/>
        </w:trPr>
        <w:tc>
          <w:tcPr>
            <w:tcW w:w="9288" w:type="dxa"/>
            <w:gridSpan w:val="4"/>
            <w:tcBorders>
              <w:top w:val="single" w:sz="4" w:space="0" w:color="auto"/>
            </w:tcBorders>
          </w:tcPr>
          <w:p w14:paraId="5354A6D4" w14:textId="77777777" w:rsidR="000A7839" w:rsidRPr="00CE328B" w:rsidRDefault="000A7839" w:rsidP="00F314D7">
            <w:pPr>
              <w:pStyle w:val="Normalaftertitle"/>
              <w:keepNext/>
              <w:spacing w:before="240"/>
              <w:rPr>
                <w:b/>
                <w:bCs/>
              </w:rPr>
            </w:pPr>
            <w:r w:rsidRPr="00CE328B">
              <w:rPr>
                <w:b/>
                <w:bCs/>
              </w:rPr>
              <w:t>Allemagne    ADD</w:t>
            </w:r>
          </w:p>
        </w:tc>
      </w:tr>
      <w:tr w:rsidR="000A7839" w:rsidRPr="00870C6B" w14:paraId="6C7D9D65" w14:textId="77777777" w:rsidTr="00F314D7">
        <w:trPr>
          <w:cantSplit/>
          <w:trHeight w:val="240"/>
        </w:trPr>
        <w:tc>
          <w:tcPr>
            <w:tcW w:w="909" w:type="dxa"/>
          </w:tcPr>
          <w:p w14:paraId="5E5D106E" w14:textId="77777777" w:rsidR="000A7839" w:rsidRPr="00E7062C" w:rsidRDefault="000A7839" w:rsidP="00F314D7">
            <w:pPr>
              <w:pStyle w:val="StyleTabletextLeft"/>
            </w:pPr>
            <w:r w:rsidRPr="00E7062C">
              <w:t>2-252-2</w:t>
            </w:r>
          </w:p>
        </w:tc>
        <w:tc>
          <w:tcPr>
            <w:tcW w:w="909" w:type="dxa"/>
          </w:tcPr>
          <w:p w14:paraId="334C3071" w14:textId="77777777" w:rsidR="000A7839" w:rsidRPr="00E7062C" w:rsidRDefault="000A7839" w:rsidP="00F314D7">
            <w:pPr>
              <w:pStyle w:val="StyleTabletextLeft"/>
            </w:pPr>
            <w:r w:rsidRPr="00E7062C">
              <w:t>6114</w:t>
            </w:r>
          </w:p>
        </w:tc>
        <w:tc>
          <w:tcPr>
            <w:tcW w:w="2640" w:type="dxa"/>
          </w:tcPr>
          <w:p w14:paraId="0CEB28C9" w14:textId="77777777" w:rsidR="000A7839" w:rsidRPr="00FF621E" w:rsidRDefault="000A7839" w:rsidP="00F314D7">
            <w:pPr>
              <w:pStyle w:val="StyleTabletextLeft"/>
            </w:pPr>
            <w:r w:rsidRPr="00FF621E">
              <w:t>SALA-FRA-STP1</w:t>
            </w:r>
          </w:p>
        </w:tc>
        <w:tc>
          <w:tcPr>
            <w:tcW w:w="4009" w:type="dxa"/>
          </w:tcPr>
          <w:p w14:paraId="3488504E" w14:textId="77777777" w:rsidR="000A7839" w:rsidRPr="00FF621E" w:rsidRDefault="000A7839" w:rsidP="00F314D7">
            <w:pPr>
              <w:pStyle w:val="StyleTabletextLeft"/>
            </w:pPr>
            <w:r w:rsidRPr="00FF621E">
              <w:t>Simsalasim Germany GmbH</w:t>
            </w:r>
          </w:p>
        </w:tc>
      </w:tr>
      <w:tr w:rsidR="000A7839" w:rsidRPr="00870C6B" w14:paraId="6EEC49D8" w14:textId="77777777" w:rsidTr="00F314D7">
        <w:trPr>
          <w:cantSplit/>
          <w:trHeight w:val="240"/>
        </w:trPr>
        <w:tc>
          <w:tcPr>
            <w:tcW w:w="909" w:type="dxa"/>
          </w:tcPr>
          <w:p w14:paraId="2A0C1C76" w14:textId="77777777" w:rsidR="000A7839" w:rsidRPr="00E7062C" w:rsidRDefault="000A7839" w:rsidP="00F314D7">
            <w:pPr>
              <w:pStyle w:val="StyleTabletextLeft"/>
            </w:pPr>
            <w:r w:rsidRPr="00E7062C">
              <w:t>2-252-3</w:t>
            </w:r>
          </w:p>
        </w:tc>
        <w:tc>
          <w:tcPr>
            <w:tcW w:w="909" w:type="dxa"/>
          </w:tcPr>
          <w:p w14:paraId="2DAC9C95" w14:textId="77777777" w:rsidR="000A7839" w:rsidRPr="00E7062C" w:rsidRDefault="000A7839" w:rsidP="00F314D7">
            <w:pPr>
              <w:pStyle w:val="StyleTabletextLeft"/>
            </w:pPr>
            <w:r w:rsidRPr="00E7062C">
              <w:t>6115</w:t>
            </w:r>
          </w:p>
        </w:tc>
        <w:tc>
          <w:tcPr>
            <w:tcW w:w="2640" w:type="dxa"/>
          </w:tcPr>
          <w:p w14:paraId="51FFBF11" w14:textId="77777777" w:rsidR="000A7839" w:rsidRPr="00FF621E" w:rsidRDefault="000A7839" w:rsidP="00F314D7">
            <w:pPr>
              <w:pStyle w:val="StyleTabletextLeft"/>
            </w:pPr>
            <w:r w:rsidRPr="00FF621E">
              <w:t>SALA-FRA-STP2</w:t>
            </w:r>
          </w:p>
        </w:tc>
        <w:tc>
          <w:tcPr>
            <w:tcW w:w="4009" w:type="dxa"/>
          </w:tcPr>
          <w:p w14:paraId="5B51DF31" w14:textId="77777777" w:rsidR="000A7839" w:rsidRPr="00FF621E" w:rsidRDefault="000A7839" w:rsidP="00F314D7">
            <w:pPr>
              <w:pStyle w:val="StyleTabletextLeft"/>
            </w:pPr>
            <w:r w:rsidRPr="00FF621E">
              <w:t>Simsalasim Germany GmbH</w:t>
            </w:r>
          </w:p>
        </w:tc>
      </w:tr>
      <w:tr w:rsidR="000A7839" w:rsidRPr="00CE328B" w14:paraId="325A04C6" w14:textId="77777777" w:rsidTr="00F314D7">
        <w:trPr>
          <w:cantSplit/>
          <w:trHeight w:val="240"/>
        </w:trPr>
        <w:tc>
          <w:tcPr>
            <w:tcW w:w="9288" w:type="dxa"/>
            <w:gridSpan w:val="4"/>
          </w:tcPr>
          <w:p w14:paraId="79D9C4A6" w14:textId="77777777" w:rsidR="000A7839" w:rsidRPr="00CE328B" w:rsidRDefault="000A7839" w:rsidP="00F314D7">
            <w:pPr>
              <w:pStyle w:val="Normalaftertitle"/>
              <w:keepNext/>
              <w:spacing w:before="240"/>
              <w:rPr>
                <w:b/>
                <w:bCs/>
              </w:rPr>
            </w:pPr>
            <w:r w:rsidRPr="00CE328B">
              <w:rPr>
                <w:b/>
                <w:bCs/>
              </w:rPr>
              <w:t>Norvège    SUP</w:t>
            </w:r>
          </w:p>
        </w:tc>
      </w:tr>
      <w:tr w:rsidR="000A7839" w:rsidRPr="00870C6B" w14:paraId="36EA5E86" w14:textId="77777777" w:rsidTr="00F314D7">
        <w:trPr>
          <w:cantSplit/>
          <w:trHeight w:val="240"/>
        </w:trPr>
        <w:tc>
          <w:tcPr>
            <w:tcW w:w="909" w:type="dxa"/>
          </w:tcPr>
          <w:p w14:paraId="4275EC22" w14:textId="77777777" w:rsidR="000A7839" w:rsidRPr="00E7062C" w:rsidRDefault="000A7839" w:rsidP="00F314D7">
            <w:pPr>
              <w:pStyle w:val="StyleTabletextLeft"/>
            </w:pPr>
            <w:r w:rsidRPr="00E7062C">
              <w:t>2-084-3</w:t>
            </w:r>
          </w:p>
        </w:tc>
        <w:tc>
          <w:tcPr>
            <w:tcW w:w="909" w:type="dxa"/>
          </w:tcPr>
          <w:p w14:paraId="40F0A3C7" w14:textId="77777777" w:rsidR="000A7839" w:rsidRPr="00E7062C" w:rsidRDefault="000A7839" w:rsidP="00F314D7">
            <w:pPr>
              <w:pStyle w:val="StyleTabletextLeft"/>
            </w:pPr>
            <w:r w:rsidRPr="00E7062C">
              <w:t>4771</w:t>
            </w:r>
          </w:p>
        </w:tc>
        <w:tc>
          <w:tcPr>
            <w:tcW w:w="2640" w:type="dxa"/>
          </w:tcPr>
          <w:p w14:paraId="6AC7D172" w14:textId="77777777" w:rsidR="000A7839" w:rsidRPr="00FF621E" w:rsidRDefault="000A7839" w:rsidP="00F314D7">
            <w:pPr>
              <w:pStyle w:val="StyleTabletextLeft"/>
            </w:pPr>
            <w:r w:rsidRPr="00FF621E">
              <w:t>Oslo</w:t>
            </w:r>
          </w:p>
        </w:tc>
        <w:tc>
          <w:tcPr>
            <w:tcW w:w="4009" w:type="dxa"/>
          </w:tcPr>
          <w:p w14:paraId="0EBAFF8C" w14:textId="77777777" w:rsidR="000A7839" w:rsidRPr="00FF621E" w:rsidRDefault="000A7839" w:rsidP="00F314D7">
            <w:pPr>
              <w:pStyle w:val="StyleTabletextLeft"/>
            </w:pPr>
            <w:r w:rsidRPr="00FF621E">
              <w:t>Orange Business Norway AS</w:t>
            </w:r>
          </w:p>
        </w:tc>
      </w:tr>
      <w:tr w:rsidR="000A7839" w:rsidRPr="00870C6B" w14:paraId="2CC66928" w14:textId="77777777" w:rsidTr="00F314D7">
        <w:trPr>
          <w:cantSplit/>
          <w:trHeight w:val="240"/>
        </w:trPr>
        <w:tc>
          <w:tcPr>
            <w:tcW w:w="909" w:type="dxa"/>
          </w:tcPr>
          <w:p w14:paraId="58390B27" w14:textId="77777777" w:rsidR="000A7839" w:rsidRPr="00E7062C" w:rsidRDefault="000A7839" w:rsidP="00F314D7">
            <w:pPr>
              <w:pStyle w:val="StyleTabletextLeft"/>
            </w:pPr>
            <w:r w:rsidRPr="00E7062C">
              <w:t>2-084-7</w:t>
            </w:r>
          </w:p>
        </w:tc>
        <w:tc>
          <w:tcPr>
            <w:tcW w:w="909" w:type="dxa"/>
          </w:tcPr>
          <w:p w14:paraId="1F6DB428" w14:textId="77777777" w:rsidR="000A7839" w:rsidRPr="00E7062C" w:rsidRDefault="000A7839" w:rsidP="00F314D7">
            <w:pPr>
              <w:pStyle w:val="StyleTabletextLeft"/>
            </w:pPr>
            <w:r w:rsidRPr="00E7062C">
              <w:t>4775</w:t>
            </w:r>
          </w:p>
        </w:tc>
        <w:tc>
          <w:tcPr>
            <w:tcW w:w="2640" w:type="dxa"/>
          </w:tcPr>
          <w:p w14:paraId="4EA525F7" w14:textId="77777777" w:rsidR="000A7839" w:rsidRPr="00FF621E" w:rsidRDefault="000A7839" w:rsidP="00F314D7">
            <w:pPr>
              <w:pStyle w:val="StyleTabletextLeft"/>
            </w:pPr>
            <w:r w:rsidRPr="00FF621E">
              <w:t>OSLO_IP</w:t>
            </w:r>
          </w:p>
        </w:tc>
        <w:tc>
          <w:tcPr>
            <w:tcW w:w="4009" w:type="dxa"/>
          </w:tcPr>
          <w:p w14:paraId="30AE60DA" w14:textId="77777777" w:rsidR="000A7839" w:rsidRPr="00FF621E" w:rsidRDefault="000A7839" w:rsidP="00F314D7">
            <w:pPr>
              <w:pStyle w:val="StyleTabletextLeft"/>
            </w:pPr>
            <w:r w:rsidRPr="00FF621E">
              <w:t>Orange Business Norway AS</w:t>
            </w:r>
          </w:p>
        </w:tc>
      </w:tr>
      <w:tr w:rsidR="000A7839" w:rsidRPr="00870C6B" w14:paraId="06507A32" w14:textId="77777777" w:rsidTr="00F314D7">
        <w:trPr>
          <w:cantSplit/>
          <w:trHeight w:val="240"/>
        </w:trPr>
        <w:tc>
          <w:tcPr>
            <w:tcW w:w="909" w:type="dxa"/>
          </w:tcPr>
          <w:p w14:paraId="52BCF4D4" w14:textId="77777777" w:rsidR="000A7839" w:rsidRPr="00E7062C" w:rsidRDefault="000A7839" w:rsidP="00F314D7">
            <w:pPr>
              <w:pStyle w:val="StyleTabletextLeft"/>
            </w:pPr>
            <w:r w:rsidRPr="00E7062C">
              <w:t>7-231-0</w:t>
            </w:r>
          </w:p>
        </w:tc>
        <w:tc>
          <w:tcPr>
            <w:tcW w:w="909" w:type="dxa"/>
          </w:tcPr>
          <w:p w14:paraId="360945ED" w14:textId="77777777" w:rsidR="000A7839" w:rsidRPr="00E7062C" w:rsidRDefault="000A7839" w:rsidP="00F314D7">
            <w:pPr>
              <w:pStyle w:val="StyleTabletextLeft"/>
            </w:pPr>
            <w:r w:rsidRPr="00E7062C">
              <w:t>16184</w:t>
            </w:r>
          </w:p>
        </w:tc>
        <w:tc>
          <w:tcPr>
            <w:tcW w:w="2640" w:type="dxa"/>
          </w:tcPr>
          <w:p w14:paraId="1CCC77EE" w14:textId="77777777" w:rsidR="000A7839" w:rsidRPr="00FF621E" w:rsidRDefault="000A7839" w:rsidP="00F314D7">
            <w:pPr>
              <w:pStyle w:val="StyleTabletextLeft"/>
            </w:pPr>
            <w:r w:rsidRPr="00FF621E">
              <w:t>HMG9-MSS01</w:t>
            </w:r>
          </w:p>
        </w:tc>
        <w:tc>
          <w:tcPr>
            <w:tcW w:w="4009" w:type="dxa"/>
          </w:tcPr>
          <w:p w14:paraId="6B21AF57" w14:textId="77777777" w:rsidR="000A7839" w:rsidRPr="00FF621E" w:rsidRDefault="000A7839" w:rsidP="00F314D7">
            <w:pPr>
              <w:pStyle w:val="StyleTabletextLeft"/>
            </w:pPr>
            <w:r w:rsidRPr="00FF621E">
              <w:t>Phonero AS</w:t>
            </w:r>
          </w:p>
        </w:tc>
      </w:tr>
      <w:tr w:rsidR="000A7839" w:rsidRPr="00CE328B" w14:paraId="554544C9" w14:textId="77777777" w:rsidTr="00F314D7">
        <w:trPr>
          <w:cantSplit/>
          <w:trHeight w:val="240"/>
        </w:trPr>
        <w:tc>
          <w:tcPr>
            <w:tcW w:w="9288" w:type="dxa"/>
            <w:gridSpan w:val="4"/>
          </w:tcPr>
          <w:p w14:paraId="586C7EB2" w14:textId="77777777" w:rsidR="000A7839" w:rsidRPr="00CE328B" w:rsidRDefault="000A7839" w:rsidP="00F314D7">
            <w:pPr>
              <w:pStyle w:val="Normalaftertitle"/>
              <w:keepNext/>
              <w:spacing w:before="240"/>
              <w:rPr>
                <w:b/>
                <w:bCs/>
              </w:rPr>
            </w:pPr>
            <w:r w:rsidRPr="00CE328B">
              <w:rPr>
                <w:b/>
                <w:bCs/>
              </w:rPr>
              <w:t>Norvège    ADD</w:t>
            </w:r>
          </w:p>
        </w:tc>
      </w:tr>
      <w:tr w:rsidR="000A7839" w:rsidRPr="00870C6B" w14:paraId="523B9911" w14:textId="77777777" w:rsidTr="00F314D7">
        <w:trPr>
          <w:cantSplit/>
          <w:trHeight w:val="240"/>
        </w:trPr>
        <w:tc>
          <w:tcPr>
            <w:tcW w:w="909" w:type="dxa"/>
          </w:tcPr>
          <w:p w14:paraId="5D6CAFDB" w14:textId="77777777" w:rsidR="000A7839" w:rsidRPr="00E7062C" w:rsidRDefault="000A7839" w:rsidP="00F314D7">
            <w:pPr>
              <w:pStyle w:val="StyleTabletextLeft"/>
            </w:pPr>
            <w:r w:rsidRPr="00E7062C">
              <w:t>7-231-0</w:t>
            </w:r>
          </w:p>
        </w:tc>
        <w:tc>
          <w:tcPr>
            <w:tcW w:w="909" w:type="dxa"/>
          </w:tcPr>
          <w:p w14:paraId="2DA3406C" w14:textId="77777777" w:rsidR="000A7839" w:rsidRPr="00E7062C" w:rsidRDefault="000A7839" w:rsidP="00F314D7">
            <w:pPr>
              <w:pStyle w:val="StyleTabletextLeft"/>
            </w:pPr>
            <w:r w:rsidRPr="00E7062C">
              <w:t>16184</w:t>
            </w:r>
          </w:p>
        </w:tc>
        <w:tc>
          <w:tcPr>
            <w:tcW w:w="2640" w:type="dxa"/>
          </w:tcPr>
          <w:p w14:paraId="6AEB3D3C" w14:textId="77777777" w:rsidR="000A7839" w:rsidRPr="00FF621E" w:rsidRDefault="000A7839" w:rsidP="00F314D7">
            <w:pPr>
              <w:pStyle w:val="StyleTabletextLeft"/>
            </w:pPr>
            <w:r w:rsidRPr="00FF621E">
              <w:t>BOO1STP2</w:t>
            </w:r>
          </w:p>
        </w:tc>
        <w:tc>
          <w:tcPr>
            <w:tcW w:w="4009" w:type="dxa"/>
          </w:tcPr>
          <w:p w14:paraId="5D990402" w14:textId="77777777" w:rsidR="000A7839" w:rsidRPr="00FF621E" w:rsidRDefault="000A7839" w:rsidP="00F314D7">
            <w:pPr>
              <w:pStyle w:val="StyleTabletextLeft"/>
            </w:pPr>
            <w:r w:rsidRPr="00FF621E">
              <w:t>Lyse Tele AS</w:t>
            </w:r>
          </w:p>
        </w:tc>
      </w:tr>
    </w:tbl>
    <w:p w14:paraId="536C00EF" w14:textId="77777777" w:rsidR="000A7839" w:rsidRPr="00FF621E" w:rsidRDefault="000A7839" w:rsidP="000A7839">
      <w:pPr>
        <w:pStyle w:val="Footnotesepar"/>
        <w:rPr>
          <w:lang w:val="fr-FR"/>
        </w:rPr>
      </w:pPr>
      <w:r w:rsidRPr="00FF621E">
        <w:rPr>
          <w:lang w:val="fr-FR"/>
        </w:rPr>
        <w:t>____________</w:t>
      </w:r>
    </w:p>
    <w:p w14:paraId="716CAFE8" w14:textId="77777777" w:rsidR="000A7839" w:rsidRDefault="000A7839" w:rsidP="000A7839">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71A54460" w14:textId="77777777" w:rsidR="000A7839" w:rsidRDefault="000A7839" w:rsidP="000A7839">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6C3D02B2" w14:textId="77777777" w:rsidR="000A7839" w:rsidRPr="00756D3F" w:rsidRDefault="000A7839" w:rsidP="000A7839">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7B9D4F30" w14:textId="77777777" w:rsidR="000A7839" w:rsidRDefault="000A7839" w:rsidP="005A6A25">
      <w:pPr>
        <w:rPr>
          <w:lang w:val="es-ES"/>
        </w:rPr>
      </w:pPr>
    </w:p>
    <w:p w14:paraId="0EB7B1CA" w14:textId="77777777" w:rsidR="005A6A25" w:rsidRPr="00756D3F" w:rsidRDefault="005A6A25" w:rsidP="005A6A25">
      <w:pPr>
        <w:rPr>
          <w:lang w:val="es-ES"/>
        </w:rPr>
      </w:pPr>
    </w:p>
    <w:p w14:paraId="5FDE8477" w14:textId="77777777" w:rsidR="000A7839" w:rsidRPr="000A7839" w:rsidRDefault="000A7839" w:rsidP="005A6A25">
      <w:pPr>
        <w:rPr>
          <w:rFonts w:cs="Calibri"/>
          <w:color w:val="000000"/>
          <w:lang w:val="es-ES"/>
        </w:rPr>
      </w:pPr>
    </w:p>
    <w:p w14:paraId="3ADF110A" w14:textId="77777777" w:rsidR="00CE328B" w:rsidRPr="00CE328B" w:rsidRDefault="00CE328B" w:rsidP="00CE328B">
      <w:pPr>
        <w:pStyle w:val="Heading2"/>
        <w:spacing w:before="0"/>
        <w:rPr>
          <w:rFonts w:asciiTheme="minorHAnsi" w:hAnsiTheme="minorHAnsi" w:cstheme="minorHAnsi"/>
          <w:lang w:val="fr-FR"/>
        </w:rPr>
      </w:pPr>
      <w:r w:rsidRPr="00CE328B">
        <w:rPr>
          <w:rFonts w:asciiTheme="minorHAnsi" w:hAnsiTheme="minorHAnsi" w:cstheme="minorHAnsi"/>
          <w:lang w:val="fr-FR"/>
        </w:rPr>
        <w:t>Plan de numérotage national</w:t>
      </w:r>
      <w:r w:rsidRPr="00CE328B">
        <w:rPr>
          <w:rFonts w:asciiTheme="minorHAnsi" w:hAnsiTheme="minorHAnsi" w:cstheme="minorHAnsi"/>
          <w:lang w:val="fr-FR"/>
        </w:rPr>
        <w:br/>
        <w:t>(Selon la Recommandation UIT-T E.129 (01/2013))</w:t>
      </w:r>
    </w:p>
    <w:p w14:paraId="1A9D6F19" w14:textId="77777777" w:rsidR="00CE328B" w:rsidRPr="0014039D" w:rsidRDefault="00CE328B" w:rsidP="00CE328B">
      <w:pPr>
        <w:jc w:val="center"/>
        <w:rPr>
          <w:rFonts w:asciiTheme="minorHAnsi" w:hAnsiTheme="minorHAnsi"/>
        </w:rPr>
      </w:pPr>
      <w:r w:rsidRPr="0014039D">
        <w:rPr>
          <w:rFonts w:asciiTheme="minorHAnsi" w:hAnsiTheme="minorHAnsi"/>
        </w:rPr>
        <w:t xml:space="preserve">Web: </w:t>
      </w:r>
      <w:r w:rsidRPr="00F87EA4">
        <w:rPr>
          <w:rFonts w:asciiTheme="minorHAnsi" w:hAnsiTheme="minorHAnsi"/>
        </w:rPr>
        <w:t>www.itu.int/itu-t/nnp</w:t>
      </w:r>
    </w:p>
    <w:p w14:paraId="534068FD" w14:textId="77777777" w:rsidR="00CE328B" w:rsidRPr="007406C6" w:rsidRDefault="00CE328B" w:rsidP="00CE328B">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0BA34B5C" w14:textId="77777777" w:rsidR="00CE328B" w:rsidRPr="007406C6" w:rsidRDefault="00CE328B" w:rsidP="00CE328B">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0A0A49E0" w14:textId="77777777" w:rsidR="00CE328B" w:rsidRPr="007406C6" w:rsidRDefault="00CE328B" w:rsidP="00CE328B">
      <w:pPr>
        <w:rPr>
          <w:lang w:val="fr-FR"/>
        </w:rPr>
      </w:pPr>
      <w:r w:rsidRPr="007406C6">
        <w:rPr>
          <w:lang w:val="fr-FR"/>
        </w:rPr>
        <w:t xml:space="preserve">Le </w:t>
      </w:r>
      <w:r>
        <w:rPr>
          <w:lang w:val="fr-FR"/>
        </w:rPr>
        <w:t>1</w:t>
      </w:r>
      <w:r w:rsidRPr="00EF1158">
        <w:rPr>
          <w:noProof/>
          <w:lang w:val="fr-FR"/>
        </w:rPr>
        <w:t>.</w:t>
      </w:r>
      <w:r>
        <w:rPr>
          <w:noProof/>
          <w:lang w:val="fr-FR"/>
        </w:rPr>
        <w:t>XI</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site:</w:t>
      </w:r>
    </w:p>
    <w:p w14:paraId="47C0CC53" w14:textId="77777777" w:rsidR="00CE328B" w:rsidRPr="007406C6" w:rsidRDefault="00CE328B" w:rsidP="005A6A25">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CE328B" w:rsidRPr="00CE328B" w14:paraId="5E27D38C" w14:textId="77777777" w:rsidTr="00F314D7">
        <w:trPr>
          <w:jc w:val="center"/>
        </w:trPr>
        <w:tc>
          <w:tcPr>
            <w:tcW w:w="4765" w:type="dxa"/>
            <w:tcBorders>
              <w:top w:val="single" w:sz="4" w:space="0" w:color="auto"/>
              <w:bottom w:val="single" w:sz="4" w:space="0" w:color="auto"/>
              <w:right w:val="single" w:sz="4" w:space="0" w:color="auto"/>
            </w:tcBorders>
            <w:hideMark/>
          </w:tcPr>
          <w:p w14:paraId="4A6B5D99" w14:textId="37D4DAE0" w:rsidR="00CE328B" w:rsidRPr="00CE328B" w:rsidRDefault="00CE328B" w:rsidP="00F314D7">
            <w:pPr>
              <w:pStyle w:val="Default"/>
              <w:spacing w:before="40" w:after="40"/>
              <w:jc w:val="center"/>
              <w:rPr>
                <w:rFonts w:ascii="Calibri" w:hAnsi="Calibri" w:cs="Calibri"/>
                <w:i/>
                <w:iCs/>
                <w:sz w:val="20"/>
                <w:szCs w:val="20"/>
              </w:rPr>
            </w:pPr>
            <w:r w:rsidRPr="00CE328B">
              <w:rPr>
                <w:rFonts w:ascii="Calibri" w:hAnsi="Calibri" w:cs="Calibri"/>
                <w:i/>
                <w:iCs/>
                <w:sz w:val="20"/>
                <w:szCs w:val="20"/>
              </w:rPr>
              <w:t>Pays/</w:t>
            </w:r>
            <w:r w:rsidRPr="00CE328B">
              <w:rPr>
                <w:rFonts w:ascii="Calibri" w:eastAsia="Calibri" w:hAnsi="Calibri" w:cs="Calibri"/>
                <w:i/>
                <w:sz w:val="20"/>
                <w:szCs w:val="20"/>
              </w:rPr>
              <w:t>Zone géographique</w:t>
            </w:r>
          </w:p>
        </w:tc>
        <w:tc>
          <w:tcPr>
            <w:tcW w:w="2068" w:type="dxa"/>
            <w:tcBorders>
              <w:top w:val="single" w:sz="4" w:space="0" w:color="auto"/>
              <w:left w:val="single" w:sz="4" w:space="0" w:color="auto"/>
              <w:bottom w:val="single" w:sz="4" w:space="0" w:color="auto"/>
            </w:tcBorders>
            <w:hideMark/>
          </w:tcPr>
          <w:p w14:paraId="13F2A16F" w14:textId="77777777" w:rsidR="00CE328B" w:rsidRPr="00CE328B" w:rsidRDefault="00CE328B" w:rsidP="00F314D7">
            <w:pPr>
              <w:pStyle w:val="Default"/>
              <w:spacing w:before="40" w:after="40"/>
              <w:jc w:val="center"/>
              <w:rPr>
                <w:rFonts w:ascii="Calibri" w:hAnsi="Calibri" w:cs="Calibri"/>
                <w:i/>
                <w:iCs/>
                <w:sz w:val="20"/>
                <w:szCs w:val="20"/>
              </w:rPr>
            </w:pPr>
            <w:r w:rsidRPr="00CE328B">
              <w:rPr>
                <w:rFonts w:ascii="Calibri" w:hAnsi="Calibri" w:cs="Calibri"/>
                <w:i/>
                <w:iCs/>
                <w:sz w:val="20"/>
                <w:szCs w:val="20"/>
              </w:rPr>
              <w:t xml:space="preserve">Indicatif de pays (CC) </w:t>
            </w:r>
          </w:p>
        </w:tc>
      </w:tr>
      <w:tr w:rsidR="00CE328B" w:rsidRPr="00CE328B" w14:paraId="4596A3A2" w14:textId="77777777" w:rsidTr="00F314D7">
        <w:trPr>
          <w:jc w:val="center"/>
        </w:trPr>
        <w:tc>
          <w:tcPr>
            <w:tcW w:w="4765" w:type="dxa"/>
            <w:tcBorders>
              <w:top w:val="single" w:sz="4" w:space="0" w:color="auto"/>
              <w:left w:val="single" w:sz="4" w:space="0" w:color="auto"/>
              <w:bottom w:val="single" w:sz="4" w:space="0" w:color="auto"/>
              <w:right w:val="single" w:sz="4" w:space="0" w:color="auto"/>
            </w:tcBorders>
          </w:tcPr>
          <w:p w14:paraId="38EB92DA" w14:textId="77777777" w:rsidR="00CE328B" w:rsidRPr="00CE328B" w:rsidRDefault="00CE328B" w:rsidP="00F314D7">
            <w:pPr>
              <w:tabs>
                <w:tab w:val="clear" w:pos="1843"/>
                <w:tab w:val="center" w:pos="1850"/>
              </w:tabs>
              <w:spacing w:before="40" w:after="40"/>
              <w:rPr>
                <w:rFonts w:cs="Calibri"/>
              </w:rPr>
            </w:pPr>
            <w:r w:rsidRPr="00CE328B">
              <w:rPr>
                <w:rFonts w:cs="Calibri"/>
              </w:rPr>
              <w:t>Guyana</w:t>
            </w:r>
          </w:p>
        </w:tc>
        <w:tc>
          <w:tcPr>
            <w:tcW w:w="2068" w:type="dxa"/>
            <w:tcBorders>
              <w:top w:val="single" w:sz="4" w:space="0" w:color="auto"/>
              <w:left w:val="single" w:sz="4" w:space="0" w:color="auto"/>
              <w:bottom w:val="single" w:sz="4" w:space="0" w:color="auto"/>
              <w:right w:val="single" w:sz="4" w:space="0" w:color="auto"/>
            </w:tcBorders>
          </w:tcPr>
          <w:p w14:paraId="406D8BBD" w14:textId="77777777" w:rsidR="00CE328B" w:rsidRPr="00CE328B" w:rsidRDefault="00CE328B" w:rsidP="00F314D7">
            <w:pPr>
              <w:spacing w:before="40" w:after="40"/>
              <w:jc w:val="center"/>
              <w:rPr>
                <w:rFonts w:cs="Calibri"/>
              </w:rPr>
            </w:pPr>
            <w:r w:rsidRPr="00CE328B">
              <w:rPr>
                <w:rFonts w:cs="Calibri"/>
              </w:rPr>
              <w:t>+592</w:t>
            </w:r>
          </w:p>
        </w:tc>
      </w:tr>
      <w:tr w:rsidR="00CE328B" w:rsidRPr="00CE328B" w14:paraId="684DAFCF" w14:textId="77777777" w:rsidTr="00F314D7">
        <w:trPr>
          <w:jc w:val="center"/>
        </w:trPr>
        <w:tc>
          <w:tcPr>
            <w:tcW w:w="4765" w:type="dxa"/>
            <w:tcBorders>
              <w:top w:val="single" w:sz="4" w:space="0" w:color="auto"/>
              <w:left w:val="single" w:sz="4" w:space="0" w:color="auto"/>
              <w:bottom w:val="single" w:sz="4" w:space="0" w:color="auto"/>
              <w:right w:val="single" w:sz="4" w:space="0" w:color="auto"/>
            </w:tcBorders>
          </w:tcPr>
          <w:p w14:paraId="3F104CC0" w14:textId="77777777" w:rsidR="00CE328B" w:rsidRPr="00CE328B" w:rsidRDefault="00CE328B" w:rsidP="00F314D7">
            <w:pPr>
              <w:tabs>
                <w:tab w:val="clear" w:pos="1843"/>
                <w:tab w:val="center" w:pos="1850"/>
              </w:tabs>
              <w:spacing w:before="40" w:after="40"/>
              <w:rPr>
                <w:rFonts w:cs="Calibri"/>
              </w:rPr>
            </w:pPr>
            <w:r w:rsidRPr="00CE328B">
              <w:rPr>
                <w:rFonts w:cs="Calibri"/>
              </w:rPr>
              <w:t>Maurice</w:t>
            </w:r>
          </w:p>
        </w:tc>
        <w:tc>
          <w:tcPr>
            <w:tcW w:w="2068" w:type="dxa"/>
            <w:tcBorders>
              <w:top w:val="single" w:sz="4" w:space="0" w:color="auto"/>
              <w:left w:val="single" w:sz="4" w:space="0" w:color="auto"/>
              <w:bottom w:val="single" w:sz="4" w:space="0" w:color="auto"/>
              <w:right w:val="single" w:sz="4" w:space="0" w:color="auto"/>
            </w:tcBorders>
          </w:tcPr>
          <w:p w14:paraId="6F5D45DA" w14:textId="77777777" w:rsidR="00CE328B" w:rsidRPr="00CE328B" w:rsidRDefault="00CE328B" w:rsidP="00F314D7">
            <w:pPr>
              <w:spacing w:before="40" w:after="40"/>
              <w:jc w:val="center"/>
              <w:rPr>
                <w:rFonts w:cs="Calibri"/>
              </w:rPr>
            </w:pPr>
            <w:r w:rsidRPr="00CE328B">
              <w:rPr>
                <w:rFonts w:cs="Calibri"/>
              </w:rPr>
              <w:t>+230</w:t>
            </w:r>
          </w:p>
        </w:tc>
      </w:tr>
      <w:tr w:rsidR="00CE328B" w:rsidRPr="00CE328B" w14:paraId="6F25616A" w14:textId="77777777" w:rsidTr="00F314D7">
        <w:trPr>
          <w:jc w:val="center"/>
        </w:trPr>
        <w:tc>
          <w:tcPr>
            <w:tcW w:w="4765" w:type="dxa"/>
            <w:tcBorders>
              <w:top w:val="single" w:sz="4" w:space="0" w:color="auto"/>
              <w:left w:val="single" w:sz="4" w:space="0" w:color="auto"/>
              <w:bottom w:val="single" w:sz="4" w:space="0" w:color="auto"/>
              <w:right w:val="single" w:sz="4" w:space="0" w:color="auto"/>
            </w:tcBorders>
          </w:tcPr>
          <w:p w14:paraId="075E7C88" w14:textId="77777777" w:rsidR="00CE328B" w:rsidRPr="00CE328B" w:rsidRDefault="00CE328B" w:rsidP="00F314D7">
            <w:pPr>
              <w:tabs>
                <w:tab w:val="clear" w:pos="1843"/>
                <w:tab w:val="center" w:pos="1850"/>
              </w:tabs>
              <w:spacing w:before="40" w:after="40"/>
              <w:rPr>
                <w:rFonts w:cs="Calibri"/>
              </w:rPr>
            </w:pPr>
            <w:r w:rsidRPr="00CE328B">
              <w:rPr>
                <w:rFonts w:cs="Calibri"/>
              </w:rPr>
              <w:t>Maroc</w:t>
            </w:r>
          </w:p>
        </w:tc>
        <w:tc>
          <w:tcPr>
            <w:tcW w:w="2068" w:type="dxa"/>
            <w:tcBorders>
              <w:top w:val="single" w:sz="4" w:space="0" w:color="auto"/>
              <w:left w:val="single" w:sz="4" w:space="0" w:color="auto"/>
              <w:bottom w:val="single" w:sz="4" w:space="0" w:color="auto"/>
              <w:right w:val="single" w:sz="4" w:space="0" w:color="auto"/>
            </w:tcBorders>
          </w:tcPr>
          <w:p w14:paraId="4EDC2933" w14:textId="77777777" w:rsidR="00CE328B" w:rsidRPr="00CE328B" w:rsidRDefault="00CE328B" w:rsidP="00F314D7">
            <w:pPr>
              <w:spacing w:before="40" w:after="40"/>
              <w:jc w:val="center"/>
              <w:rPr>
                <w:rFonts w:cs="Calibri"/>
              </w:rPr>
            </w:pPr>
            <w:r w:rsidRPr="00CE328B">
              <w:rPr>
                <w:rFonts w:cs="Calibri"/>
              </w:rPr>
              <w:t>+212</w:t>
            </w:r>
          </w:p>
        </w:tc>
      </w:tr>
    </w:tbl>
    <w:p w14:paraId="3FA0E1BB" w14:textId="672EB6D8" w:rsidR="00FA19C9" w:rsidRPr="000A7839" w:rsidRDefault="00FA19C9">
      <w:pPr>
        <w:tabs>
          <w:tab w:val="clear" w:pos="567"/>
          <w:tab w:val="clear" w:pos="1276"/>
          <w:tab w:val="clear" w:pos="1843"/>
          <w:tab w:val="clear" w:pos="5387"/>
          <w:tab w:val="clear" w:pos="5954"/>
        </w:tabs>
        <w:overflowPunct/>
        <w:autoSpaceDE/>
        <w:autoSpaceDN/>
        <w:adjustRightInd/>
        <w:spacing w:before="0"/>
        <w:jc w:val="left"/>
        <w:textAlignment w:val="auto"/>
        <w:rPr>
          <w:rFonts w:cs="Calibri"/>
          <w:color w:val="000000"/>
          <w:lang w:val="es-ES"/>
        </w:rPr>
      </w:pPr>
    </w:p>
    <w:sectPr w:rsidR="00FA19C9" w:rsidRPr="000A7839" w:rsidSect="00EB7121">
      <w:footerReference w:type="even" r:id="rId35"/>
      <w:footerReference w:type="default" r:id="rId36"/>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4C195B4F"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240832">
            <w:rPr>
              <w:noProof/>
              <w:color w:val="FFFFFF" w:themeColor="background1"/>
              <w:lang w:val="es-ES_tradnl"/>
            </w:rPr>
            <w:t>1329</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7B39B853"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240832">
            <w:rPr>
              <w:noProof/>
              <w:color w:val="FFFFFF" w:themeColor="background1"/>
              <w:lang w:val="es-ES_tradnl"/>
            </w:rPr>
            <w:t>1329</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30FD7ED6"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240832">
            <w:rPr>
              <w:noProof/>
              <w:color w:val="FFFFFF" w:themeColor="background1"/>
              <w:lang w:val="es-ES_tradnl"/>
            </w:rPr>
            <w:t>1329</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FFBCCA5"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240832">
            <w:rPr>
              <w:noProof/>
              <w:color w:val="FFFFFF" w:themeColor="background1"/>
              <w:lang w:val="es-ES_tradnl"/>
            </w:rPr>
            <w:t>1329</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511" TargetMode="External"/><Relationship Id="rId18" Type="http://schemas.openxmlformats.org/officeDocument/2006/relationships/hyperlink" Target="http://handle.itu.int/11.1002/1000/16514" TargetMode="External"/><Relationship Id="rId26" Type="http://schemas.openxmlformats.org/officeDocument/2006/relationships/hyperlink" Target="http://handle.itu.int/11.1002/1000/16456" TargetMode="External"/><Relationship Id="rId21" Type="http://schemas.openxmlformats.org/officeDocument/2006/relationships/hyperlink" Target="http://handle.itu.int/11.1002/1000/1651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handle.itu.int/11.1002/1000/16510" TargetMode="External"/><Relationship Id="rId17" Type="http://schemas.openxmlformats.org/officeDocument/2006/relationships/hyperlink" Target="http://handle.itu.int/11.1002/1000/16513" TargetMode="External"/><Relationship Id="rId25" Type="http://schemas.openxmlformats.org/officeDocument/2006/relationships/hyperlink" Target="https://www.itu.int/md/T25-TSB-CIR-0089"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512" TargetMode="External"/><Relationship Id="rId20" Type="http://schemas.openxmlformats.org/officeDocument/2006/relationships/hyperlink" Target="http://handle.itu.int/11.1002/1000/16516" TargetMode="External"/><Relationship Id="rId29" Type="http://schemas.openxmlformats.org/officeDocument/2006/relationships/hyperlink" Target="http://handle.itu.int/11.1002/1000/164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509" TargetMode="External"/><Relationship Id="rId24" Type="http://schemas.openxmlformats.org/officeDocument/2006/relationships/hyperlink" Target="http://handle.itu.int/11.1002/1000/16254" TargetMode="External"/><Relationship Id="rId32" Type="http://schemas.openxmlformats.org/officeDocument/2006/relationships/hyperlink" Target="https://www.mca.org.mt/regulatory/numbering/numbering-plan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519" TargetMode="External"/><Relationship Id="rId23" Type="http://schemas.openxmlformats.org/officeDocument/2006/relationships/hyperlink" Target="http://handle.itu.int/11.1002/1000/16253" TargetMode="External"/><Relationship Id="rId28" Type="http://schemas.openxmlformats.org/officeDocument/2006/relationships/hyperlink" Target="http://handle.itu.int/11.1002/1000/16458" TargetMode="External"/><Relationship Id="rId36" Type="http://schemas.openxmlformats.org/officeDocument/2006/relationships/footer" Target="footer5.xml"/><Relationship Id="rId10" Type="http://schemas.openxmlformats.org/officeDocument/2006/relationships/hyperlink" Target="https://www.itu.int/dms_pubaap/01/T0101001825.htm" TargetMode="External"/><Relationship Id="rId19" Type="http://schemas.openxmlformats.org/officeDocument/2006/relationships/hyperlink" Target="http://handle.itu.int/11.1002/1000/16515" TargetMode="External"/><Relationship Id="rId31" Type="http://schemas.openxmlformats.org/officeDocument/2006/relationships/hyperlink" Target="http://handle.itu.int/11.1002/1000/163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518" TargetMode="External"/><Relationship Id="rId22" Type="http://schemas.openxmlformats.org/officeDocument/2006/relationships/hyperlink" Target="https://www.itu.int/md/T25-TSB-CIR-0085" TargetMode="External"/><Relationship Id="rId27" Type="http://schemas.openxmlformats.org/officeDocument/2006/relationships/hyperlink" Target="http://handle.itu.int/11.1002/1000/16457" TargetMode="External"/><Relationship Id="rId30" Type="http://schemas.openxmlformats.org/officeDocument/2006/relationships/hyperlink" Target="https://www.itu.int/md/T25-TSB-CIR-0091" TargetMode="External"/><Relationship Id="rId35" Type="http://schemas.openxmlformats.org/officeDocument/2006/relationships/footer" Target="footer4.xml"/><Relationship Id="rId8" Type="http://schemas.openxmlformats.org/officeDocument/2006/relationships/hyperlink" Target="mailto:brmail@itu.int"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OB 1329</vt:lpstr>
    </vt:vector>
  </TitlesOfParts>
  <Company>ITU</Company>
  <LinksUpToDate>false</LinksUpToDate>
  <CharactersWithSpaces>18091</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1329</dc:title>
  <dc:subject/>
  <dc:creator>ITU-T</dc:creator>
  <cp:keywords/>
  <dc:description/>
  <cp:lastModifiedBy>Gachet, Christelle</cp:lastModifiedBy>
  <cp:revision>5</cp:revision>
  <cp:lastPrinted>2025-12-16T06:22:00Z</cp:lastPrinted>
  <dcterms:created xsi:type="dcterms:W3CDTF">2025-12-16T06:18:00Z</dcterms:created>
  <dcterms:modified xsi:type="dcterms:W3CDTF">2025-12-16T06:24:00Z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