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80"/>
        <w:gridCol w:w="4441"/>
        <w:gridCol w:w="3242"/>
      </w:tblGrid>
      <w:tr w:rsidR="008149B6" w:rsidRPr="004A545D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4A545D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4BB0B80E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474288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</w:t>
            </w:r>
            <w:r w:rsidR="00277044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8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072E3113" w:rsidR="008149B6" w:rsidRPr="004D4B3F" w:rsidRDefault="00277044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>
              <w:rPr>
                <w:color w:val="FFFFFF"/>
                <w:lang w:val="es-ES"/>
              </w:rPr>
              <w:t>15</w:t>
            </w:r>
            <w:r w:rsidR="00C11EED" w:rsidRPr="004D4B3F">
              <w:rPr>
                <w:color w:val="FFFFFF"/>
                <w:lang w:val="es-ES"/>
              </w:rPr>
              <w:t>.</w:t>
            </w:r>
            <w:r w:rsidR="0042048B">
              <w:rPr>
                <w:color w:val="FFFFFF" w:themeColor="background1"/>
              </w:rPr>
              <w:t>X</w:t>
            </w:r>
            <w:r w:rsidR="00FA6B2F">
              <w:rPr>
                <w:color w:val="FFFFFF" w:themeColor="background1"/>
              </w:rPr>
              <w:t>I</w:t>
            </w:r>
            <w:r w:rsidR="00C11EED" w:rsidRPr="004D4B3F">
              <w:rPr>
                <w:color w:val="FFFFFF"/>
                <w:lang w:val="es-ES"/>
              </w:rPr>
              <w:t>.202</w:t>
            </w:r>
            <w:r w:rsidR="00A571B3" w:rsidRPr="004D4B3F">
              <w:rPr>
                <w:color w:val="FFFFFF"/>
                <w:lang w:val="es-ES"/>
              </w:rPr>
              <w:t>5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6DA12089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277044">
              <w:rPr>
                <w:color w:val="FFFFFF"/>
                <w:spacing w:val="-4"/>
                <w:lang w:val="es-ES"/>
              </w:rPr>
              <w:t>31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FA6B2F">
              <w:rPr>
                <w:color w:val="FFFFFF"/>
                <w:spacing w:val="-4"/>
                <w:lang w:val="es-ES"/>
              </w:rPr>
              <w:t xml:space="preserve">octubre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4A545D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019A3136" w14:textId="0E6385EE" w:rsidR="004D0975" w:rsidRDefault="002528E0" w:rsidP="003E24B3">
      <w:pPr>
        <w:pStyle w:val="TOC1"/>
        <w:rPr>
          <w:rStyle w:val="Hyperlink"/>
          <w:webHidden/>
          <w:color w:val="auto"/>
          <w:u w:val="none"/>
          <w:lang w:val="es-ES"/>
        </w:rPr>
      </w:pPr>
      <w:r w:rsidRPr="002528E0">
        <w:rPr>
          <w:rStyle w:val="Hyperlink"/>
          <w:noProof w:val="0"/>
          <w:color w:val="auto"/>
          <w:u w:val="none"/>
          <w:lang w:val="es-ES"/>
        </w:rPr>
        <w:t>Aprobación y supresión de Recomendaciones UIT-T</w:t>
      </w:r>
      <w:r w:rsidR="004D0975" w:rsidRPr="00515DC3">
        <w:rPr>
          <w:rStyle w:val="Hyperlink"/>
          <w:webHidden/>
          <w:color w:val="auto"/>
          <w:u w:val="none"/>
          <w:lang w:val="es-ES"/>
        </w:rPr>
        <w:tab/>
      </w:r>
      <w:r w:rsidR="004D0975" w:rsidRPr="00515DC3">
        <w:rPr>
          <w:rStyle w:val="Hyperlink"/>
          <w:webHidden/>
          <w:color w:val="auto"/>
          <w:u w:val="none"/>
          <w:lang w:val="es-ES"/>
        </w:rPr>
        <w:tab/>
        <w:t>4</w:t>
      </w:r>
    </w:p>
    <w:p w14:paraId="4419D5AF" w14:textId="7FCBB0A8" w:rsidR="0030532E" w:rsidRPr="0030532E" w:rsidRDefault="0030532E" w:rsidP="0030532E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30532E">
        <w:rPr>
          <w:rStyle w:val="Hyperlink"/>
          <w:noProof w:val="0"/>
          <w:color w:val="auto"/>
          <w:u w:val="none"/>
          <w:lang w:val="es-ES"/>
        </w:rPr>
        <w:t>Plan de identificación internacional para redes públicas y suscripciones</w:t>
      </w:r>
      <w:r w:rsidRPr="004D4B3F">
        <w:rPr>
          <w:rStyle w:val="Hyperlink"/>
          <w:noProof w:val="0"/>
          <w:color w:val="auto"/>
          <w:u w:val="none"/>
          <w:lang w:val="es-ES"/>
        </w:rPr>
        <w:t xml:space="preserve">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30532E">
        <w:rPr>
          <w:rStyle w:val="Hyperlink"/>
          <w:noProof w:val="0"/>
          <w:color w:val="auto"/>
          <w:u w:val="none"/>
          <w:lang w:val="es-ES"/>
        </w:rPr>
        <w:tab/>
      </w:r>
      <w:r w:rsidRPr="0030532E">
        <w:rPr>
          <w:rStyle w:val="Hyperlink"/>
          <w:noProof w:val="0"/>
          <w:color w:val="auto"/>
          <w:u w:val="none"/>
          <w:lang w:val="es-ES"/>
        </w:rPr>
        <w:tab/>
        <w:t>5</w:t>
      </w:r>
    </w:p>
    <w:p w14:paraId="4734B410" w14:textId="28705BCB" w:rsidR="0030532E" w:rsidRDefault="0030532E" w:rsidP="0030532E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30532E">
        <w:rPr>
          <w:rStyle w:val="Hyperlink"/>
          <w:noProof w:val="0"/>
          <w:color w:val="auto"/>
          <w:u w:val="none"/>
          <w:lang w:val="es-ES"/>
        </w:rPr>
        <w:t>Otra comunicación</w:t>
      </w:r>
      <w:r>
        <w:rPr>
          <w:rStyle w:val="Hyperlink"/>
          <w:noProof w:val="0"/>
          <w:color w:val="auto"/>
          <w:u w:val="none"/>
          <w:lang w:val="es-ES"/>
        </w:rPr>
        <w:t>:</w:t>
      </w:r>
    </w:p>
    <w:p w14:paraId="55FD7FF7" w14:textId="0B4F7CF9" w:rsidR="0030532E" w:rsidRPr="002E4D2B" w:rsidRDefault="0030532E" w:rsidP="0030532E">
      <w:pPr>
        <w:pStyle w:val="TOC2"/>
        <w:tabs>
          <w:tab w:val="center" w:leader="dot" w:pos="8505"/>
          <w:tab w:val="right" w:pos="9072"/>
        </w:tabs>
        <w:rPr>
          <w:lang w:val="es-ES"/>
        </w:rPr>
      </w:pPr>
      <w:r w:rsidRPr="002E4D2B">
        <w:rPr>
          <w:lang w:val="es-ES"/>
        </w:rPr>
        <w:t>Serbia</w:t>
      </w:r>
      <w:r w:rsidRPr="002E4D2B">
        <w:rPr>
          <w:lang w:val="es-ES"/>
        </w:rPr>
        <w:tab/>
      </w:r>
      <w:r w:rsidRPr="002E4D2B">
        <w:rPr>
          <w:lang w:val="es-ES"/>
        </w:rPr>
        <w:tab/>
      </w:r>
      <w:r w:rsidR="001E10FC">
        <w:rPr>
          <w:lang w:val="es-ES"/>
        </w:rPr>
        <w:t>5</w:t>
      </w:r>
    </w:p>
    <w:p w14:paraId="1815CD4E" w14:textId="7E8B20EE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1E10FC">
        <w:rPr>
          <w:noProof w:val="0"/>
          <w:webHidden/>
          <w:lang w:val="es-ES"/>
        </w:rPr>
        <w:t>6</w:t>
      </w:r>
    </w:p>
    <w:p w14:paraId="1771DD44" w14:textId="1884B54B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1E10FC">
        <w:rPr>
          <w:noProof w:val="0"/>
          <w:webHidden/>
          <w:lang w:val="es-ES"/>
        </w:rPr>
        <w:t>6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64F0B8FD" w14:textId="485F61E1" w:rsidR="002E4D2B" w:rsidRDefault="001E10FC" w:rsidP="001E10FC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1E10FC">
        <w:rPr>
          <w:rStyle w:val="Hyperlink"/>
          <w:noProof w:val="0"/>
          <w:color w:val="auto"/>
          <w:u w:val="none"/>
          <w:lang w:val="es-ES"/>
        </w:rPr>
        <w:t>Nomenclátor de las estaciones de barco y de las asignaciones</w:t>
      </w:r>
      <w:r>
        <w:rPr>
          <w:rStyle w:val="Hyperlink"/>
          <w:noProof w:val="0"/>
          <w:color w:val="auto"/>
          <w:u w:val="none"/>
          <w:lang w:val="es-ES"/>
        </w:rPr>
        <w:t xml:space="preserve"> </w:t>
      </w:r>
      <w:r w:rsidRPr="001E10FC">
        <w:rPr>
          <w:rStyle w:val="Hyperlink"/>
          <w:noProof w:val="0"/>
          <w:color w:val="auto"/>
          <w:u w:val="none"/>
          <w:lang w:val="es-ES"/>
        </w:rPr>
        <w:t xml:space="preserve">a identidades </w:t>
      </w:r>
      <w:r>
        <w:rPr>
          <w:rStyle w:val="Hyperlink"/>
          <w:noProof w:val="0"/>
          <w:color w:val="auto"/>
          <w:u w:val="none"/>
          <w:lang w:val="es-ES"/>
        </w:rPr>
        <w:br/>
      </w:r>
      <w:r w:rsidRPr="001E10FC">
        <w:rPr>
          <w:rStyle w:val="Hyperlink"/>
          <w:noProof w:val="0"/>
          <w:color w:val="auto"/>
          <w:u w:val="none"/>
          <w:lang w:val="es-ES"/>
        </w:rPr>
        <w:t>del servicio móvil marítimo</w:t>
      </w:r>
      <w:r>
        <w:rPr>
          <w:rStyle w:val="Hyperlink"/>
          <w:noProof w:val="0"/>
          <w:color w:val="auto"/>
          <w:u w:val="none"/>
          <w:lang w:val="es-ES"/>
        </w:rPr>
        <w:t xml:space="preserve"> </w:t>
      </w:r>
      <w:r w:rsidRPr="00FC67BD">
        <w:rPr>
          <w:lang w:val="en-US"/>
        </w:rPr>
        <w:t>(List</w:t>
      </w:r>
      <w:r>
        <w:rPr>
          <w:lang w:val="en-US"/>
        </w:rPr>
        <w:t>a</w:t>
      </w:r>
      <w:r w:rsidRPr="00FC67BD">
        <w:rPr>
          <w:lang w:val="en-US"/>
        </w:rPr>
        <w:t xml:space="preserve"> V)</w:t>
      </w:r>
      <w:r w:rsidR="002E4D2B">
        <w:rPr>
          <w:rStyle w:val="Hyperlink"/>
          <w:noProof w:val="0"/>
          <w:color w:val="auto"/>
          <w:u w:val="none"/>
          <w:lang w:val="es-ES"/>
        </w:rPr>
        <w:tab/>
      </w:r>
      <w:r w:rsidR="002E4D2B">
        <w:rPr>
          <w:rStyle w:val="Hyperlink"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>7</w:t>
      </w:r>
    </w:p>
    <w:p w14:paraId="3DE650BA" w14:textId="2EB8CF4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</w:r>
      <w:r w:rsidR="001E10FC">
        <w:rPr>
          <w:noProof w:val="0"/>
          <w:webHidden/>
          <w:lang w:val="es-ES"/>
        </w:rPr>
        <w:t>7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0C0367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6B486E9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DA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1329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C76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09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14.XI.2025</w:t>
            </w:r>
          </w:p>
        </w:tc>
      </w:tr>
      <w:tr w:rsidR="000C0367" w14:paraId="10E16B1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17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8F4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97C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28.XI.2025</w:t>
            </w:r>
          </w:p>
        </w:tc>
      </w:tr>
      <w:tr w:rsidR="000C0367" w14:paraId="1F63FBB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E5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ED5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AD5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5.XII.2025</w:t>
            </w:r>
          </w:p>
        </w:tc>
      </w:tr>
      <w:tr w:rsidR="000C0367" w14:paraId="2BFC8CE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FF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AD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9A3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17.XII.2025</w:t>
            </w:r>
          </w:p>
        </w:tc>
      </w:tr>
      <w:tr w:rsidR="000C0367" w14:paraId="02C2650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C68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C50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AB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</w:tr>
      <w:tr w:rsidR="000C0367" w14:paraId="4F0218A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976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5C4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9E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30.I.2026</w:t>
            </w:r>
          </w:p>
        </w:tc>
      </w:tr>
      <w:tr w:rsidR="000C0367" w14:paraId="38AE55A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A0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12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E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13.II.2026</w:t>
            </w:r>
          </w:p>
        </w:tc>
      </w:tr>
      <w:tr w:rsidR="000C0367" w14:paraId="187EDCF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8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BD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E1C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27.II.2026</w:t>
            </w:r>
          </w:p>
        </w:tc>
      </w:tr>
      <w:tr w:rsidR="000C0367" w14:paraId="575FC610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0F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492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D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13.III.2026</w:t>
            </w:r>
          </w:p>
        </w:tc>
      </w:tr>
      <w:tr w:rsidR="000C0367" w14:paraId="72BF131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8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B9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1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27.III.2026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4A545D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4A545D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4A545D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485EE67C" w14:textId="77777777" w:rsidR="00277044" w:rsidRPr="00277044" w:rsidRDefault="00277044" w:rsidP="00277044">
      <w:pPr>
        <w:pStyle w:val="Heading20"/>
        <w:spacing w:before="0" w:after="0"/>
        <w:rPr>
          <w:sz w:val="28"/>
          <w:lang w:val="es-ES_tradnl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277044">
        <w:rPr>
          <w:sz w:val="28"/>
          <w:lang w:val="es-ES_tradnl"/>
        </w:rPr>
        <w:lastRenderedPageBreak/>
        <w:t>Aprobación y supresión de Recomendaciones UIT-T</w:t>
      </w:r>
    </w:p>
    <w:p w14:paraId="7BBD00DB" w14:textId="77777777" w:rsidR="00277044" w:rsidRDefault="00277044" w:rsidP="00277044">
      <w:pPr>
        <w:spacing w:before="240"/>
        <w:rPr>
          <w:b/>
          <w:bCs/>
          <w:lang w:val="es-ES"/>
        </w:rPr>
      </w:pPr>
      <w:r w:rsidRPr="00036EFD">
        <w:rPr>
          <w:b/>
          <w:bCs/>
          <w:lang w:val="es-ES"/>
        </w:rPr>
        <w:t>Recomendaciones aprobadas:</w:t>
      </w:r>
    </w:p>
    <w:p w14:paraId="1CD6BB49" w14:textId="77777777" w:rsidR="00277044" w:rsidRDefault="00277044" w:rsidP="00277044">
      <w:r>
        <w:t xml:space="preserve">Por </w:t>
      </w:r>
      <w:hyperlink r:id="rId14" w:history="1">
        <w:r>
          <w:rPr>
            <w:rStyle w:val="Hyperlink"/>
          </w:rPr>
          <w:t>AAP-24</w:t>
        </w:r>
      </w:hyperlink>
      <w:r>
        <w:t>, se anunció la aprobación de las Recomendaciones UIT-T siguientes, de conformidad con el procedimiento definido en la Recomendación UIT-T A.8:</w:t>
      </w:r>
    </w:p>
    <w:p w14:paraId="74DB9E62" w14:textId="3C2245D6" w:rsidR="00277044" w:rsidRDefault="00277044" w:rsidP="00277044">
      <w:pPr>
        <w:ind w:left="567" w:hanging="567"/>
      </w:pPr>
      <w:r>
        <w:t>–</w:t>
      </w:r>
      <w:r>
        <w:tab/>
      </w:r>
      <w:hyperlink r:id="rId15" w:history="1">
        <w:r>
          <w:rPr>
            <w:rStyle w:val="Hyperlink"/>
          </w:rPr>
          <w:t>ITU-T G.9943 (10/2025)</w:t>
        </w:r>
      </w:hyperlink>
      <w:r>
        <w:t>: High speed fibre-based in-premises transceivers - network management (en proceso de traducción)</w:t>
      </w:r>
    </w:p>
    <w:p w14:paraId="2857FEA7" w14:textId="7F39C7B3" w:rsidR="00277044" w:rsidRDefault="00277044" w:rsidP="00277044">
      <w:pPr>
        <w:ind w:left="567" w:hanging="567"/>
      </w:pPr>
      <w:r>
        <w:t>–</w:t>
      </w:r>
      <w:r>
        <w:tab/>
      </w:r>
      <w:hyperlink r:id="rId16" w:history="1">
        <w:r>
          <w:rPr>
            <w:rStyle w:val="Hyperlink"/>
          </w:rPr>
          <w:t>ITU-T G.9949 (10/2025)</w:t>
        </w:r>
      </w:hyperlink>
      <w:r>
        <w:t>: WLAN management control interface (WMCI) for in-premises network (en proceso de traducción)</w:t>
      </w:r>
    </w:p>
    <w:p w14:paraId="52D1199E" w14:textId="43CD657F" w:rsidR="00277044" w:rsidRDefault="00277044" w:rsidP="00277044">
      <w:pPr>
        <w:ind w:left="567" w:hanging="567"/>
      </w:pPr>
      <w:r>
        <w:t>–</w:t>
      </w:r>
      <w:r>
        <w:tab/>
      </w:r>
      <w:hyperlink r:id="rId17" w:history="1">
        <w:r>
          <w:rPr>
            <w:rStyle w:val="Hyperlink"/>
          </w:rPr>
          <w:t>ITU-T G.9975 (10/2025)</w:t>
        </w:r>
      </w:hyperlink>
      <w:r>
        <w:t>: Technical requirements of extended reality service over in-premises networks (en proceso de traducción)</w:t>
      </w:r>
    </w:p>
    <w:p w14:paraId="3AD0B125" w14:textId="5ADCC21E" w:rsidR="00277044" w:rsidRDefault="00277044" w:rsidP="00277044">
      <w:pPr>
        <w:ind w:left="567" w:hanging="567"/>
      </w:pPr>
      <w:r>
        <w:t>–</w:t>
      </w:r>
      <w:r>
        <w:tab/>
      </w:r>
      <w:hyperlink r:id="rId18" w:history="1">
        <w:r>
          <w:rPr>
            <w:rStyle w:val="Hyperlink"/>
          </w:rPr>
          <w:t>ITU-T J.157 (10/2025)</w:t>
        </w:r>
      </w:hyperlink>
      <w:r>
        <w:t>: Functional Requirements for secondary distribution of digital television and audiovisual content to portable devices using the wireless local area network (en proceso de traducción)</w:t>
      </w:r>
    </w:p>
    <w:p w14:paraId="73289DBF" w14:textId="08A90FD1" w:rsidR="00277044" w:rsidRDefault="00277044" w:rsidP="00277044">
      <w:pPr>
        <w:ind w:left="567" w:hanging="567"/>
      </w:pPr>
      <w:r>
        <w:t>–</w:t>
      </w:r>
      <w:r>
        <w:tab/>
      </w:r>
      <w:hyperlink r:id="rId19" w:history="1">
        <w:r>
          <w:rPr>
            <w:rStyle w:val="Hyperlink"/>
          </w:rPr>
          <w:t>ITU-T K.61 (10/2025)</w:t>
        </w:r>
      </w:hyperlink>
      <w:r>
        <w:t>: Directrices sobre la medición y la predicción numérica de los campos electromagnéticos para comprobar que las instalaciones de telecomunicaciones cumplen los límites de exposición de las personas</w:t>
      </w:r>
    </w:p>
    <w:p w14:paraId="7838A943" w14:textId="24FEB004" w:rsidR="00277044" w:rsidRDefault="00277044" w:rsidP="00277044">
      <w:pPr>
        <w:ind w:left="567" w:hanging="567"/>
      </w:pPr>
      <w:r>
        <w:t>–</w:t>
      </w:r>
      <w:r>
        <w:tab/>
      </w:r>
      <w:hyperlink r:id="rId20" w:history="1">
        <w:r>
          <w:rPr>
            <w:rStyle w:val="Hyperlink"/>
          </w:rPr>
          <w:t>ITU-T L.1510 (10/2025)</w:t>
        </w:r>
      </w:hyperlink>
      <w:r>
        <w:t>: Environmental key performance indicators for digital infrastructure adapting to climate change (en proceso de traducción)</w:t>
      </w:r>
    </w:p>
    <w:p w14:paraId="30C2595D" w14:textId="4C7405F2" w:rsidR="00277044" w:rsidRDefault="00277044">
      <w:r>
        <w:t>–</w:t>
      </w:r>
      <w:r>
        <w:tab/>
      </w:r>
      <w:hyperlink r:id="rId21" w:history="1">
        <w:r>
          <w:rPr>
            <w:rStyle w:val="Hyperlink"/>
          </w:rPr>
          <w:t>ITU-T P.1100 (10/2025)</w:t>
        </w:r>
      </w:hyperlink>
      <w:r>
        <w:t>: Comunicación manos libres en banda estrecha en vehículos motorizados</w:t>
      </w:r>
    </w:p>
    <w:p w14:paraId="2AEB1F86" w14:textId="03057D1E" w:rsidR="00277044" w:rsidRDefault="00277044">
      <w:r>
        <w:t>–</w:t>
      </w:r>
      <w:r>
        <w:tab/>
      </w:r>
      <w:hyperlink r:id="rId22" w:history="1">
        <w:r>
          <w:rPr>
            <w:rStyle w:val="Hyperlink"/>
          </w:rPr>
          <w:t>ITU-T P.1110 (10/2025)</w:t>
        </w:r>
      </w:hyperlink>
      <w:r>
        <w:t>: Comunicación manos libres en banda ancha en vehículos motorizados</w:t>
      </w:r>
    </w:p>
    <w:p w14:paraId="1925303F" w14:textId="41204288" w:rsidR="00277044" w:rsidRDefault="00277044" w:rsidP="00277044">
      <w:pPr>
        <w:ind w:left="567" w:hanging="567"/>
      </w:pPr>
      <w:r>
        <w:t>–</w:t>
      </w:r>
      <w:r>
        <w:tab/>
      </w:r>
      <w:hyperlink r:id="rId23" w:history="1">
        <w:r>
          <w:rPr>
            <w:rStyle w:val="Hyperlink"/>
          </w:rPr>
          <w:t>ITU-T P.1120 (10/2025)</w:t>
        </w:r>
      </w:hyperlink>
      <w:r>
        <w:t>: Comunicaciones manos libres en banda superancha y banda completa en vehículos de motor</w:t>
      </w:r>
    </w:p>
    <w:p w14:paraId="42B8AF30" w14:textId="30DE05D5" w:rsidR="00277044" w:rsidRDefault="00277044" w:rsidP="00277044">
      <w:pPr>
        <w:ind w:left="567" w:hanging="567"/>
      </w:pPr>
      <w:r>
        <w:t>–</w:t>
      </w:r>
      <w:r>
        <w:tab/>
      </w:r>
      <w:hyperlink r:id="rId24" w:history="1">
        <w:r>
          <w:rPr>
            <w:rStyle w:val="Hyperlink"/>
          </w:rPr>
          <w:t>ITU-T P.1199 (10/2025)</w:t>
        </w:r>
      </w:hyperlink>
      <w:r>
        <w:t>: Parametric object-recognition-ratio-estimation model for remote monitoring of surveillance video delivered from autonomous vehicle (en proceso de traducción)</w:t>
      </w:r>
    </w:p>
    <w:p w14:paraId="42259729" w14:textId="6EAD7AA0" w:rsidR="00277044" w:rsidRDefault="00277044" w:rsidP="00277044">
      <w:pPr>
        <w:ind w:left="567" w:hanging="567"/>
      </w:pPr>
      <w:r>
        <w:t>–</w:t>
      </w:r>
      <w:r>
        <w:tab/>
      </w:r>
      <w:hyperlink r:id="rId25" w:history="1">
        <w:r>
          <w:rPr>
            <w:rStyle w:val="Hyperlink"/>
          </w:rPr>
          <w:t>ITU-T P.1204 (10/2025)</w:t>
        </w:r>
      </w:hyperlink>
      <w:r>
        <w:t>: Evaluación de la calidad de vídeo de los servicios de flujo continuo mediante transporte fiable para resoluciones de hasta 4K</w:t>
      </w:r>
    </w:p>
    <w:p w14:paraId="3724C7C0" w14:textId="622D6F87" w:rsidR="00277044" w:rsidRDefault="00277044" w:rsidP="00277044">
      <w:pPr>
        <w:ind w:left="567" w:hanging="567"/>
      </w:pPr>
      <w:r>
        <w:t>–</w:t>
      </w:r>
      <w:r>
        <w:tab/>
      </w:r>
      <w:hyperlink r:id="rId26" w:history="1">
        <w:r>
          <w:rPr>
            <w:rStyle w:val="Hyperlink"/>
          </w:rPr>
          <w:t>ITU-T P.1204.1 (10/2025)</w:t>
        </w:r>
      </w:hyperlink>
      <w:r>
        <w:t>: Video quality assessment of streaming services over reliable transport for resolutions up to 4K using metadata (en proceso de traducción)</w:t>
      </w:r>
    </w:p>
    <w:p w14:paraId="190FF202" w14:textId="6DCEFF91" w:rsidR="00277044" w:rsidRDefault="00277044" w:rsidP="00277044">
      <w:pPr>
        <w:ind w:left="567" w:hanging="567"/>
      </w:pPr>
      <w:r>
        <w:t>–</w:t>
      </w:r>
      <w:r>
        <w:tab/>
      </w:r>
      <w:hyperlink r:id="rId27" w:history="1">
        <w:r>
          <w:rPr>
            <w:rStyle w:val="Hyperlink"/>
          </w:rPr>
          <w:t>ITU-T P.1204.2 (10/2025)</w:t>
        </w:r>
      </w:hyperlink>
      <w:r>
        <w:t>: Video quality assessment of streaming services over reliable transport for resolutions up to 4K using metadata and frame size/type information (en proceso de traducción)</w:t>
      </w:r>
    </w:p>
    <w:p w14:paraId="13C407BA" w14:textId="7270DE6C" w:rsidR="00277044" w:rsidRDefault="00277044" w:rsidP="00277044">
      <w:pPr>
        <w:ind w:left="567" w:hanging="567"/>
      </w:pPr>
      <w:r>
        <w:t>–</w:t>
      </w:r>
      <w:r>
        <w:tab/>
      </w:r>
      <w:hyperlink r:id="rId28" w:history="1">
        <w:r>
          <w:rPr>
            <w:rStyle w:val="Hyperlink"/>
          </w:rPr>
          <w:t>ITU-T P.1321 (10/2025)</w:t>
        </w:r>
      </w:hyperlink>
      <w:r>
        <w:t>: Interactive test methods for subjective assessment of extended reality communications (en proceso de traducción)</w:t>
      </w:r>
    </w:p>
    <w:p w14:paraId="5448DE81" w14:textId="77777777" w:rsidR="00277044" w:rsidRDefault="00277044" w:rsidP="001E10FC">
      <w:pPr>
        <w:spacing w:before="240"/>
        <w:rPr>
          <w:b/>
          <w:bCs/>
        </w:rPr>
      </w:pPr>
      <w:r w:rsidRPr="00036EFD">
        <w:rPr>
          <w:b/>
          <w:bCs/>
        </w:rPr>
        <w:t xml:space="preserve">Recomendaciones </w:t>
      </w:r>
      <w:r w:rsidRPr="00EC3895">
        <w:rPr>
          <w:b/>
          <w:bCs/>
        </w:rPr>
        <w:t>suprimidas</w:t>
      </w:r>
      <w:r w:rsidRPr="00036EFD">
        <w:rPr>
          <w:b/>
          <w:bCs/>
        </w:rPr>
        <w:t>:</w:t>
      </w:r>
    </w:p>
    <w:p w14:paraId="286C1765" w14:textId="77777777" w:rsidR="00277044" w:rsidRDefault="00277044" w:rsidP="00277044">
      <w:pPr>
        <w:rPr>
          <w:lang w:val="es-ES_tradnl"/>
        </w:rPr>
      </w:pPr>
      <w:r>
        <w:rPr>
          <w:lang w:val="es-ES_tradnl"/>
        </w:rPr>
        <w:t>Ninguna</w:t>
      </w:r>
    </w:p>
    <w:p w14:paraId="57901D3A" w14:textId="362FC892" w:rsidR="001D50FF" w:rsidRDefault="001D50F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540BDB24" w14:textId="77777777" w:rsidR="00277044" w:rsidRPr="00277044" w:rsidRDefault="00277044" w:rsidP="00277044">
      <w:pPr>
        <w:pStyle w:val="Heading20"/>
        <w:spacing w:before="0" w:after="0"/>
        <w:rPr>
          <w:sz w:val="28"/>
          <w:lang w:val="es-ES_tradnl"/>
        </w:rPr>
      </w:pPr>
      <w:r w:rsidRPr="00277044">
        <w:rPr>
          <w:sz w:val="28"/>
          <w:lang w:val="es-ES_tradnl"/>
        </w:rPr>
        <w:lastRenderedPageBreak/>
        <w:t>Otra comunicación</w:t>
      </w:r>
    </w:p>
    <w:p w14:paraId="65E2E5AB" w14:textId="77777777" w:rsidR="00277044" w:rsidRPr="009C68BD" w:rsidRDefault="00277044" w:rsidP="00773D89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es-ES_tradnl"/>
        </w:rPr>
      </w:pPr>
      <w:r w:rsidRPr="009C68BD">
        <w:rPr>
          <w:b/>
          <w:bCs/>
          <w:lang w:val="es-ES_tradnl"/>
        </w:rPr>
        <w:t>Serbia</w:t>
      </w:r>
    </w:p>
    <w:p w14:paraId="4C91B90C" w14:textId="77777777" w:rsidR="00277044" w:rsidRPr="009C68BD" w:rsidRDefault="00277044" w:rsidP="00277044">
      <w:pPr>
        <w:rPr>
          <w:lang w:val="es-ES_tradnl"/>
        </w:rPr>
      </w:pPr>
      <w:r w:rsidRPr="009C68BD">
        <w:rPr>
          <w:lang w:val="es-ES_tradnl"/>
        </w:rPr>
        <w:t>Comunicaci</w:t>
      </w:r>
      <w:r>
        <w:rPr>
          <w:lang w:val="es-ES_tradnl"/>
        </w:rPr>
        <w:t>ón</w:t>
      </w:r>
      <w:r w:rsidRPr="009C68BD">
        <w:rPr>
          <w:lang w:val="es-ES_tradnl"/>
        </w:rPr>
        <w:t xml:space="preserve"> del </w:t>
      </w:r>
      <w:r>
        <w:rPr>
          <w:lang w:val="en-US"/>
        </w:rPr>
        <w:t>29.X.2025</w:t>
      </w:r>
      <w:r w:rsidRPr="009C68BD">
        <w:rPr>
          <w:lang w:val="es-ES_tradnl"/>
        </w:rPr>
        <w:t>:</w:t>
      </w:r>
    </w:p>
    <w:p w14:paraId="0D74D8BB" w14:textId="77777777" w:rsidR="00277044" w:rsidRPr="003D58AC" w:rsidRDefault="00277044" w:rsidP="00277044">
      <w:pPr>
        <w:rPr>
          <w:lang w:val="es-ES_tradnl"/>
        </w:rPr>
      </w:pPr>
      <w:r w:rsidRPr="00776897">
        <w:rPr>
          <w:lang w:val="es-ES_tradnl"/>
        </w:rPr>
        <w:t>Con motivo del evento "45 Years with Us", organizado po</w:t>
      </w:r>
      <w:r>
        <w:rPr>
          <w:lang w:val="es-ES_tradnl"/>
        </w:rPr>
        <w:t>r el Radio club de Aficionados en Pancevo,</w:t>
      </w:r>
      <w:r w:rsidRPr="003D58AC">
        <w:rPr>
          <w:lang w:val="es-ES_tradnl"/>
        </w:rPr>
        <w:t xml:space="preserve"> </w:t>
      </w:r>
      <w:r>
        <w:rPr>
          <w:lang w:val="es-ES_tradnl"/>
        </w:rPr>
        <w:t xml:space="preserve">la Administración serbia autoriza a las estaciones de aficionado </w:t>
      </w:r>
      <w:r w:rsidRPr="006E5989">
        <w:rPr>
          <w:lang w:val="es-ES_tradnl"/>
        </w:rPr>
        <w:t xml:space="preserve">del Radio Club </w:t>
      </w:r>
      <w:r w:rsidRPr="00A857C7">
        <w:rPr>
          <w:lang w:val="es-ES_tradnl"/>
        </w:rPr>
        <w:t>"</w:t>
      </w:r>
      <w:r w:rsidRPr="00776897">
        <w:rPr>
          <w:lang w:val="es-ES_tradnl"/>
        </w:rPr>
        <w:t>Mihajlo Pupin</w:t>
      </w:r>
      <w:r w:rsidRPr="00A857C7">
        <w:rPr>
          <w:lang w:val="es-ES_tradnl"/>
        </w:rPr>
        <w:t>"</w:t>
      </w:r>
      <w:r>
        <w:rPr>
          <w:lang w:val="es-ES_tradnl"/>
        </w:rPr>
        <w:t xml:space="preserve"> a utilizar el distintivo de llamada especial </w:t>
      </w:r>
      <w:r w:rsidRPr="005F0AFA">
        <w:rPr>
          <w:b/>
          <w:bCs/>
          <w:lang w:val="es-ES_tradnl"/>
        </w:rPr>
        <w:t>YU45MJA</w:t>
      </w:r>
      <w:r w:rsidRPr="00797692">
        <w:rPr>
          <w:b/>
          <w:bCs/>
          <w:lang w:val="es-ES_tradnl"/>
        </w:rPr>
        <w:t xml:space="preserve"> </w:t>
      </w:r>
      <w:r>
        <w:rPr>
          <w:lang w:val="es-ES_tradnl"/>
        </w:rPr>
        <w:t>durante el periodo comprendido entre el 1 de enero y el 31 de diciembre de 2026.</w:t>
      </w:r>
    </w:p>
    <w:bookmarkEnd w:id="980"/>
    <w:bookmarkEnd w:id="981"/>
    <w:p w14:paraId="1321409D" w14:textId="46B55124" w:rsidR="007118AB" w:rsidRDefault="007118AB" w:rsidP="00667C05">
      <w:pPr>
        <w:rPr>
          <w:lang w:val="es-ES"/>
        </w:rPr>
      </w:pPr>
      <w:r>
        <w:rPr>
          <w:lang w:val="es-ES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88" w:name="_Toc75258744"/>
      <w:bookmarkStart w:id="989" w:name="_Toc76724554"/>
      <w:bookmarkStart w:id="990" w:name="_Toc78985034"/>
      <w:bookmarkStart w:id="991" w:name="_Toc100839493"/>
      <w:bookmarkStart w:id="992" w:name="_Toc111646686"/>
      <w:bookmarkStart w:id="993" w:name="_Toc132192705"/>
      <w:bookmarkStart w:id="994" w:name="_Toc132193395"/>
      <w:bookmarkStart w:id="995" w:name="_Toc196294786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88"/>
      <w:bookmarkEnd w:id="989"/>
      <w:bookmarkEnd w:id="990"/>
      <w:bookmarkEnd w:id="991"/>
      <w:bookmarkEnd w:id="992"/>
      <w:bookmarkEnd w:id="993"/>
      <w:bookmarkEnd w:id="994"/>
      <w:bookmarkEnd w:id="995"/>
    </w:p>
    <w:p w14:paraId="47824D36" w14:textId="77777777" w:rsidR="006B35F3" w:rsidRPr="001D50FF" w:rsidRDefault="006B35F3" w:rsidP="006B35F3">
      <w:pPr>
        <w:jc w:val="center"/>
        <w:rPr>
          <w:lang w:val="es-ES"/>
        </w:rPr>
      </w:pPr>
      <w:r w:rsidRPr="001D50FF">
        <w:rPr>
          <w:lang w:val="es-ES"/>
        </w:rPr>
        <w:t xml:space="preserve">Véase URL: </w:t>
      </w:r>
      <w:hyperlink r:id="rId29" w:history="1">
        <w:r w:rsidRPr="001D50FF">
          <w:rPr>
            <w:lang w:val="es-ES"/>
          </w:rPr>
          <w:t>www.itu.int/pub/T-SP-SR.1-2012</w:t>
        </w:r>
      </w:hyperlink>
    </w:p>
    <w:p w14:paraId="6CD8DA58" w14:textId="77777777" w:rsidR="006B35F3" w:rsidRPr="001D50F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996" w:name="_Toc75258745"/>
      <w:bookmarkStart w:id="997" w:name="_Toc76724555"/>
      <w:bookmarkStart w:id="998" w:name="_Toc78985035"/>
      <w:bookmarkStart w:id="999" w:name="_Toc100839494"/>
      <w:bookmarkStart w:id="1000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1" w:name="_Toc132192706"/>
      <w:bookmarkStart w:id="1002" w:name="_Toc132193396"/>
      <w:bookmarkStart w:id="1003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04" w:name="_Toc451174501"/>
      <w:bookmarkStart w:id="1005" w:name="_Toc452126900"/>
      <w:bookmarkStart w:id="1006" w:name="_Toc453247195"/>
      <w:bookmarkStart w:id="1007" w:name="_Toc455669854"/>
      <w:bookmarkStart w:id="1008" w:name="_Toc458781012"/>
      <w:bookmarkStart w:id="1009" w:name="_Toc463441567"/>
      <w:bookmarkStart w:id="1010" w:name="_Toc463947717"/>
      <w:bookmarkStart w:id="1011" w:name="_Toc466370894"/>
      <w:bookmarkStart w:id="1012" w:name="_Toc467245952"/>
      <w:bookmarkStart w:id="1013" w:name="_Toc468457249"/>
      <w:bookmarkStart w:id="1014" w:name="_Toc472590313"/>
      <w:bookmarkStart w:id="1015" w:name="_Toc473727741"/>
      <w:bookmarkStart w:id="1016" w:name="_Toc474936346"/>
      <w:bookmarkStart w:id="1017" w:name="_Toc476142328"/>
      <w:bookmarkStart w:id="1018" w:name="_Toc477429101"/>
      <w:bookmarkStart w:id="1019" w:name="_Toc478134105"/>
      <w:bookmarkStart w:id="1020" w:name="_Toc479850647"/>
      <w:bookmarkStart w:id="1021" w:name="_Toc482090365"/>
      <w:bookmarkStart w:id="1022" w:name="_Toc484181141"/>
      <w:bookmarkStart w:id="1023" w:name="_Toc484787076"/>
      <w:bookmarkStart w:id="1024" w:name="_Toc487119326"/>
      <w:bookmarkStart w:id="1025" w:name="_Toc489607398"/>
      <w:bookmarkStart w:id="1026" w:name="_Toc490829860"/>
      <w:bookmarkStart w:id="1027" w:name="_Toc492375239"/>
      <w:bookmarkStart w:id="1028" w:name="_Toc493254988"/>
      <w:bookmarkStart w:id="1029" w:name="_Toc495992907"/>
      <w:bookmarkStart w:id="1030" w:name="_Toc497227743"/>
      <w:bookmarkStart w:id="1031" w:name="_Toc497485446"/>
      <w:bookmarkStart w:id="1032" w:name="_Toc498613294"/>
      <w:bookmarkStart w:id="1033" w:name="_Toc500253798"/>
      <w:bookmarkStart w:id="1034" w:name="_Toc501030459"/>
      <w:bookmarkStart w:id="1035" w:name="_Toc504138712"/>
      <w:bookmarkStart w:id="1036" w:name="_Toc508619468"/>
      <w:bookmarkStart w:id="1037" w:name="_Toc509410687"/>
      <w:bookmarkStart w:id="1038" w:name="_Toc510706809"/>
      <w:bookmarkStart w:id="1039" w:name="_Toc513019749"/>
      <w:bookmarkStart w:id="1040" w:name="_Toc513558625"/>
      <w:bookmarkStart w:id="1041" w:name="_Toc515519622"/>
      <w:bookmarkStart w:id="1042" w:name="_Toc516232719"/>
      <w:bookmarkStart w:id="1043" w:name="_Toc517356352"/>
      <w:bookmarkStart w:id="1044" w:name="_Toc518308410"/>
      <w:bookmarkStart w:id="1045" w:name="_Toc524958858"/>
      <w:bookmarkStart w:id="1046" w:name="_Toc526347928"/>
      <w:bookmarkStart w:id="1047" w:name="_Toc527712007"/>
      <w:bookmarkStart w:id="1048" w:name="_Toc530993353"/>
      <w:bookmarkStart w:id="1049" w:name="_Toc535587904"/>
      <w:bookmarkStart w:id="1050" w:name="_Toc536454749"/>
      <w:bookmarkStart w:id="1051" w:name="_Toc7446110"/>
      <w:bookmarkStart w:id="1052" w:name="_Toc11758770"/>
      <w:bookmarkStart w:id="1053" w:name="_Toc12021973"/>
      <w:bookmarkStart w:id="1054" w:name="_Toc12959013"/>
      <w:bookmarkStart w:id="1055" w:name="_Toc16080628"/>
      <w:bookmarkStart w:id="1056" w:name="_Toc19280737"/>
      <w:bookmarkStart w:id="1057" w:name="_Toc22117830"/>
      <w:bookmarkStart w:id="1058" w:name="_Toc23423319"/>
      <w:bookmarkStart w:id="1059" w:name="_Toc25852732"/>
      <w:bookmarkStart w:id="1060" w:name="_Toc26878317"/>
      <w:bookmarkStart w:id="1061" w:name="_Toc40343745"/>
      <w:bookmarkStart w:id="1062" w:name="_Toc47969211"/>
      <w:bookmarkStart w:id="1063" w:name="_Toc75258746"/>
      <w:bookmarkStart w:id="1064" w:name="_Toc76724556"/>
      <w:bookmarkStart w:id="1065" w:name="_Toc78985036"/>
      <w:bookmarkStart w:id="1066" w:name="_Toc100839495"/>
      <w:bookmarkStart w:id="1067" w:name="_Toc111646688"/>
      <w:bookmarkStart w:id="1068" w:name="_Toc132192707"/>
      <w:bookmarkStart w:id="1069" w:name="_Toc132193397"/>
      <w:bookmarkStart w:id="1070" w:name="_Toc196294788"/>
      <w:r w:rsidRPr="004D4B3F">
        <w:rPr>
          <w:lang w:val="es-ES"/>
        </w:rPr>
        <w:lastRenderedPageBreak/>
        <w:t>ENMIENDAS  A  LAS  PUBLICACIONES  DE  SERVICIO</w:t>
      </w:r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1" w:name="_Toc47969212"/>
      <w:r w:rsidRPr="004D4B3F">
        <w:rPr>
          <w:b w:val="0"/>
          <w:bCs/>
          <w:lang w:val="es-ES"/>
        </w:rPr>
        <w:t>Abreviaturas utilizadas</w:t>
      </w:r>
      <w:bookmarkEnd w:id="1071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4E0DE1F8" w14:textId="77777777" w:rsidR="007118AB" w:rsidRDefault="007118AB" w:rsidP="00003189">
      <w:pPr>
        <w:rPr>
          <w:lang w:val="es-ES"/>
        </w:rPr>
      </w:pPr>
    </w:p>
    <w:p w14:paraId="0E15367C" w14:textId="77777777" w:rsidR="001E10FC" w:rsidRDefault="001E10FC" w:rsidP="00003189">
      <w:pPr>
        <w:rPr>
          <w:lang w:val="es-ES"/>
        </w:rPr>
      </w:pPr>
    </w:p>
    <w:p w14:paraId="7B0D9696" w14:textId="77777777" w:rsidR="007118AB" w:rsidRDefault="007118AB" w:rsidP="00003189">
      <w:pPr>
        <w:rPr>
          <w:lang w:val="es-ES"/>
        </w:rPr>
      </w:pPr>
    </w:p>
    <w:p w14:paraId="5A26EDE9" w14:textId="77777777" w:rsidR="00277044" w:rsidRPr="001E10FC" w:rsidRDefault="00277044" w:rsidP="001E10FC">
      <w:pPr>
        <w:pStyle w:val="Heading20"/>
        <w:spacing w:before="120" w:after="120"/>
        <w:rPr>
          <w:sz w:val="28"/>
          <w:lang w:val="es-ES"/>
        </w:rPr>
      </w:pPr>
      <w:r w:rsidRPr="001E10FC">
        <w:rPr>
          <w:sz w:val="28"/>
          <w:lang w:val="es-ES"/>
        </w:rPr>
        <w:t>Nomenclátor de las estaciones de barco y de las asignaciones</w:t>
      </w:r>
      <w:r w:rsidRPr="001E10FC">
        <w:rPr>
          <w:sz w:val="28"/>
          <w:lang w:val="es-ES"/>
        </w:rPr>
        <w:br/>
        <w:t>a identidades del servicio móvil marítimo</w:t>
      </w:r>
      <w:r w:rsidRPr="001E10FC">
        <w:rPr>
          <w:sz w:val="28"/>
          <w:lang w:val="es-ES"/>
        </w:rPr>
        <w:br/>
        <w:t>(Lista V)</w:t>
      </w:r>
      <w:r w:rsidRPr="001E10FC">
        <w:rPr>
          <w:sz w:val="28"/>
          <w:lang w:val="es-ES"/>
        </w:rPr>
        <w:br/>
        <w:t>Edición de 2025</w:t>
      </w:r>
      <w:r w:rsidRPr="001E10FC">
        <w:rPr>
          <w:sz w:val="28"/>
          <w:lang w:val="es-ES"/>
        </w:rPr>
        <w:br/>
      </w:r>
      <w:r w:rsidRPr="001E10FC">
        <w:rPr>
          <w:sz w:val="28"/>
          <w:lang w:val="es-ES"/>
        </w:rPr>
        <w:br/>
        <w:t>Sección VI</w:t>
      </w:r>
    </w:p>
    <w:p w14:paraId="2281E846" w14:textId="77777777" w:rsidR="00277044" w:rsidRPr="00E431FC" w:rsidRDefault="00277044" w:rsidP="00C367C8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fr-FR"/>
        </w:rPr>
      </w:pPr>
    </w:p>
    <w:p w14:paraId="5DA44290" w14:textId="77777777" w:rsidR="001E10FC" w:rsidRPr="001E10FC" w:rsidRDefault="001E10FC" w:rsidP="001E10FC">
      <w:pPr>
        <w:widowControl w:val="0"/>
        <w:tabs>
          <w:tab w:val="left" w:pos="90"/>
        </w:tabs>
        <w:spacing w:before="0" w:after="0"/>
        <w:rPr>
          <w:rFonts w:asciiTheme="minorHAnsi" w:hAnsiTheme="minorHAnsi" w:cstheme="minorHAnsi"/>
          <w:b/>
          <w:bCs/>
          <w:noProof/>
        </w:rPr>
      </w:pPr>
      <w:r w:rsidRPr="001E10FC">
        <w:rPr>
          <w:rFonts w:asciiTheme="minorHAnsi" w:hAnsiTheme="minorHAnsi" w:cstheme="minorHAnsi"/>
          <w:b/>
          <w:bCs/>
          <w:noProof/>
        </w:rPr>
        <w:t>REP</w:t>
      </w:r>
    </w:p>
    <w:p w14:paraId="019A6A07" w14:textId="77777777" w:rsidR="001E10FC" w:rsidRPr="001E10FC" w:rsidRDefault="001E10FC" w:rsidP="001E10FC">
      <w:pPr>
        <w:widowControl w:val="0"/>
        <w:tabs>
          <w:tab w:val="left" w:pos="90"/>
        </w:tabs>
        <w:spacing w:before="0" w:after="0"/>
        <w:rPr>
          <w:rFonts w:asciiTheme="minorHAnsi" w:hAnsiTheme="minorHAnsi" w:cstheme="minorHAnsi"/>
          <w:b/>
          <w:bCs/>
          <w:noProof/>
        </w:rPr>
      </w:pPr>
    </w:p>
    <w:p w14:paraId="1BE24E9C" w14:textId="77777777" w:rsidR="001E10FC" w:rsidRPr="001E10FC" w:rsidRDefault="001E10FC" w:rsidP="001E10FC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asciiTheme="minorHAnsi" w:hAnsiTheme="minorHAnsi" w:cstheme="minorHAnsi"/>
          <w:noProof/>
          <w:lang w:val="en-US" w:eastAsia="en-GB"/>
        </w:rPr>
      </w:pPr>
      <w:r w:rsidRPr="001E10FC">
        <w:rPr>
          <w:rFonts w:asciiTheme="minorHAnsi" w:hAnsiTheme="minorHAnsi" w:cstheme="minorHAnsi"/>
          <w:noProof/>
          <w:sz w:val="24"/>
          <w:szCs w:val="24"/>
          <w:lang w:eastAsia="en-GB"/>
        </w:rPr>
        <w:tab/>
      </w:r>
      <w:r w:rsidRPr="001E10FC">
        <w:rPr>
          <w:rFonts w:asciiTheme="minorHAnsi" w:hAnsiTheme="minorHAnsi" w:cstheme="minorHAnsi"/>
          <w:b/>
          <w:bCs/>
          <w:noProof/>
          <w:lang w:val="en-US" w:eastAsia="en-GB"/>
        </w:rPr>
        <w:t>IA11</w:t>
      </w:r>
      <w:r w:rsidRPr="001E10FC">
        <w:rPr>
          <w:rFonts w:asciiTheme="minorHAnsi" w:hAnsiTheme="minorHAnsi" w:cstheme="minorHAnsi"/>
          <w:noProof/>
          <w:lang w:val="en-US" w:eastAsia="en-GB"/>
        </w:rPr>
        <w:tab/>
        <w:t>PT. Ship Management Indonesia, Ruko Cleon Park No. 33, Jakarta Garden City,</w:t>
      </w:r>
    </w:p>
    <w:p w14:paraId="53EE75C3" w14:textId="77777777" w:rsidR="001E10FC" w:rsidRPr="001E10FC" w:rsidRDefault="001E10FC" w:rsidP="001E10FC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ind w:left="1021" w:hanging="1021"/>
        <w:jc w:val="left"/>
        <w:textAlignment w:val="auto"/>
        <w:rPr>
          <w:rFonts w:asciiTheme="minorHAnsi" w:hAnsiTheme="minorHAnsi" w:cstheme="minorHAnsi"/>
          <w:noProof/>
          <w:lang w:val="en-US" w:eastAsia="en-GB"/>
        </w:rPr>
      </w:pPr>
      <w:r w:rsidRPr="001E10FC">
        <w:rPr>
          <w:rFonts w:asciiTheme="minorHAnsi" w:hAnsiTheme="minorHAnsi" w:cstheme="minorHAnsi"/>
          <w:b/>
          <w:bCs/>
          <w:noProof/>
          <w:lang w:val="en-US" w:eastAsia="en-GB"/>
        </w:rPr>
        <w:tab/>
      </w:r>
      <w:r w:rsidRPr="001E10FC">
        <w:rPr>
          <w:rFonts w:asciiTheme="minorHAnsi" w:hAnsiTheme="minorHAnsi" w:cstheme="minorHAnsi"/>
          <w:b/>
          <w:bCs/>
          <w:noProof/>
          <w:lang w:val="en-US" w:eastAsia="en-GB"/>
        </w:rPr>
        <w:tab/>
      </w:r>
      <w:r w:rsidRPr="001E10FC">
        <w:rPr>
          <w:rFonts w:asciiTheme="minorHAnsi" w:hAnsiTheme="minorHAnsi" w:cstheme="minorHAnsi"/>
          <w:noProof/>
          <w:lang w:val="en-US" w:eastAsia="en-GB"/>
        </w:rPr>
        <w:t>Cakung Timur,Cakung, Jakarta Timur - 13910 Indonesia.</w:t>
      </w:r>
    </w:p>
    <w:p w14:paraId="7E289CEE" w14:textId="77777777" w:rsidR="001E10FC" w:rsidRPr="001E10FC" w:rsidRDefault="001E10FC" w:rsidP="001E10FC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jc w:val="left"/>
        <w:textAlignment w:val="auto"/>
        <w:rPr>
          <w:rFonts w:asciiTheme="minorHAnsi" w:hAnsiTheme="minorHAnsi" w:cstheme="minorHAnsi"/>
          <w:noProof/>
          <w:lang w:val="it-IT" w:eastAsia="en-GB"/>
        </w:rPr>
      </w:pPr>
      <w:r w:rsidRPr="001E10FC">
        <w:rPr>
          <w:rFonts w:asciiTheme="minorHAnsi" w:hAnsiTheme="minorHAnsi" w:cstheme="minorHAnsi"/>
          <w:noProof/>
          <w:lang w:val="en-US" w:eastAsia="en-GB"/>
        </w:rPr>
        <w:tab/>
      </w:r>
      <w:r w:rsidRPr="001E10FC">
        <w:rPr>
          <w:rFonts w:asciiTheme="minorHAnsi" w:hAnsiTheme="minorHAnsi" w:cstheme="minorHAnsi"/>
          <w:noProof/>
          <w:lang w:val="en-US" w:eastAsia="en-GB"/>
        </w:rPr>
        <w:tab/>
      </w:r>
      <w:r w:rsidRPr="001E10FC">
        <w:rPr>
          <w:rFonts w:asciiTheme="minorHAnsi" w:hAnsiTheme="minorHAnsi" w:cstheme="minorHAnsi"/>
          <w:noProof/>
          <w:lang w:val="it-IT" w:eastAsia="en-GB"/>
        </w:rPr>
        <w:t xml:space="preserve">E-mail: </w:t>
      </w:r>
      <w:hyperlink r:id="rId30" w:history="1">
        <w:r w:rsidRPr="001E10FC">
          <w:rPr>
            <w:rFonts w:asciiTheme="minorHAnsi" w:hAnsiTheme="minorHAnsi" w:cstheme="minorHAnsi"/>
            <w:noProof/>
            <w:color w:val="0000FF"/>
            <w:u w:val="single"/>
            <w:lang w:val="it-IT" w:eastAsia="en-GB"/>
          </w:rPr>
          <w:t>smigroup@smishipping-marine.co.id</w:t>
        </w:r>
      </w:hyperlink>
      <w:r w:rsidRPr="001E10FC">
        <w:rPr>
          <w:rFonts w:asciiTheme="minorHAnsi" w:hAnsiTheme="minorHAnsi" w:cstheme="minorHAnsi"/>
          <w:noProof/>
          <w:lang w:val="it-IT" w:eastAsia="en-GB"/>
        </w:rPr>
        <w:t xml:space="preserve">, Tel: +62 21 80607932, </w:t>
      </w:r>
    </w:p>
    <w:p w14:paraId="77194BF2" w14:textId="6976CF7D" w:rsidR="001E10FC" w:rsidRDefault="001E10FC" w:rsidP="001E10FC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 w:after="0"/>
        <w:jc w:val="left"/>
        <w:textAlignment w:val="auto"/>
        <w:rPr>
          <w:rFonts w:asciiTheme="minorHAnsi" w:hAnsiTheme="minorHAnsi" w:cstheme="minorHAnsi"/>
          <w:noProof/>
          <w:lang w:val="en-US" w:eastAsia="en-GB"/>
        </w:rPr>
      </w:pPr>
      <w:r w:rsidRPr="001E10FC">
        <w:rPr>
          <w:rFonts w:asciiTheme="minorHAnsi" w:hAnsiTheme="minorHAnsi" w:cstheme="minorHAnsi"/>
          <w:noProof/>
          <w:lang w:val="it-IT" w:eastAsia="en-GB"/>
        </w:rPr>
        <w:tab/>
      </w:r>
      <w:r w:rsidRPr="001E10FC">
        <w:rPr>
          <w:rFonts w:asciiTheme="minorHAnsi" w:hAnsiTheme="minorHAnsi" w:cstheme="minorHAnsi"/>
          <w:noProof/>
          <w:lang w:val="it-IT" w:eastAsia="en-GB"/>
        </w:rPr>
        <w:tab/>
      </w:r>
      <w:r w:rsidRPr="001E10FC">
        <w:rPr>
          <w:rFonts w:asciiTheme="minorHAnsi" w:hAnsiTheme="minorHAnsi" w:cstheme="minorHAnsi"/>
          <w:noProof/>
          <w:lang w:val="en-US" w:eastAsia="en-GB"/>
        </w:rPr>
        <w:t>Fax: +62 21 80607932, Persona de contacto: Susilo Anggit Wiwoho.</w:t>
      </w:r>
    </w:p>
    <w:p w14:paraId="1869CB8C" w14:textId="77777777" w:rsidR="001E10FC" w:rsidRDefault="001E10FC" w:rsidP="001E10FC">
      <w:pPr>
        <w:rPr>
          <w:noProof/>
          <w:lang w:val="en-US" w:eastAsia="en-GB"/>
        </w:rPr>
      </w:pPr>
    </w:p>
    <w:p w14:paraId="5E4BD275" w14:textId="77777777" w:rsidR="001E10FC" w:rsidRDefault="001E10FC" w:rsidP="001E10FC">
      <w:pPr>
        <w:rPr>
          <w:noProof/>
          <w:lang w:val="en-US" w:eastAsia="en-GB"/>
        </w:rPr>
      </w:pPr>
    </w:p>
    <w:p w14:paraId="68F150F9" w14:textId="77777777" w:rsidR="001E10FC" w:rsidRDefault="001E10FC" w:rsidP="001E10FC">
      <w:pPr>
        <w:rPr>
          <w:noProof/>
          <w:lang w:val="en-US" w:eastAsia="en-GB"/>
        </w:rPr>
      </w:pPr>
    </w:p>
    <w:p w14:paraId="02610122" w14:textId="77777777" w:rsidR="001E10FC" w:rsidRPr="001E10FC" w:rsidRDefault="001E10FC" w:rsidP="001E10FC">
      <w:pPr>
        <w:rPr>
          <w:noProof/>
          <w:lang w:val="en-US" w:eastAsia="en-GB"/>
        </w:rPr>
      </w:pPr>
    </w:p>
    <w:p w14:paraId="51743132" w14:textId="77777777" w:rsidR="00277044" w:rsidRPr="007118AB" w:rsidRDefault="00277044" w:rsidP="00277044">
      <w:pPr>
        <w:keepNext/>
        <w:shd w:val="clear" w:color="auto" w:fill="D9D9D9"/>
        <w:jc w:val="center"/>
        <w:outlineLvl w:val="1"/>
        <w:rPr>
          <w:rFonts w:cs="Calibri"/>
          <w:b/>
          <w:bCs/>
          <w:iCs/>
          <w:sz w:val="28"/>
          <w:szCs w:val="28"/>
          <w:lang w:val="es-ES"/>
        </w:rPr>
      </w:pPr>
      <w:r w:rsidRPr="007118AB">
        <w:rPr>
          <w:rFonts w:cs="Calibri"/>
          <w:b/>
          <w:bCs/>
          <w:iCs/>
          <w:sz w:val="28"/>
          <w:szCs w:val="28"/>
          <w:lang w:val="es-ES"/>
        </w:rPr>
        <w:t xml:space="preserve">Indicativos de red para el servicio móvil (MNC) del </w:t>
      </w:r>
      <w:r w:rsidRPr="007118AB">
        <w:rPr>
          <w:rFonts w:cs="Calibri"/>
          <w:b/>
          <w:bCs/>
          <w:iCs/>
          <w:sz w:val="28"/>
          <w:szCs w:val="28"/>
          <w:lang w:val="es-ES"/>
        </w:rPr>
        <w:br/>
        <w:t>plan de identificación internacional para redes públicas y suscripciones</w:t>
      </w:r>
      <w:r w:rsidRPr="007118AB">
        <w:rPr>
          <w:rFonts w:cs="Calibri"/>
          <w:b/>
          <w:bCs/>
          <w:iCs/>
          <w:sz w:val="28"/>
          <w:szCs w:val="28"/>
          <w:lang w:val="es-ES"/>
        </w:rPr>
        <w:br/>
        <w:t>(Según la Recomendación ITU-T E.212 (09/2016))</w:t>
      </w:r>
      <w:r w:rsidRPr="007118AB">
        <w:rPr>
          <w:rFonts w:cs="Calibri"/>
          <w:b/>
          <w:bCs/>
          <w:iCs/>
          <w:sz w:val="28"/>
          <w:szCs w:val="28"/>
          <w:lang w:val="es-ES"/>
        </w:rPr>
        <w:br/>
        <w:t>(Situación al 15 de noviembre de 2023)</w:t>
      </w:r>
    </w:p>
    <w:p w14:paraId="71903E8D" w14:textId="77777777" w:rsidR="00277044" w:rsidRPr="00114C54" w:rsidRDefault="00277044" w:rsidP="00277044">
      <w:pPr>
        <w:spacing w:after="0"/>
        <w:jc w:val="center"/>
        <w:rPr>
          <w:lang w:val="es-ES"/>
        </w:rPr>
      </w:pPr>
      <w:r>
        <w:rPr>
          <w:lang w:val="es-ES"/>
        </w:rPr>
        <w:t>(</w:t>
      </w:r>
      <w:r w:rsidRPr="00114C54">
        <w:rPr>
          <w:lang w:val="es-ES"/>
        </w:rPr>
        <w:t>Anexo al Boletín de Explotación de la UIT N.° 1280 – 15.XI.2023</w:t>
      </w:r>
      <w:r>
        <w:rPr>
          <w:lang w:val="es-ES"/>
        </w:rPr>
        <w:t>)</w:t>
      </w:r>
    </w:p>
    <w:p w14:paraId="45BC9CEF" w14:textId="7C551924" w:rsidR="00277044" w:rsidRPr="00114C54" w:rsidRDefault="00277044" w:rsidP="00277044">
      <w:pPr>
        <w:spacing w:before="0"/>
        <w:jc w:val="center"/>
        <w:rPr>
          <w:lang w:val="es-ES"/>
        </w:rPr>
      </w:pPr>
      <w:r>
        <w:rPr>
          <w:lang w:val="es-ES"/>
        </w:rPr>
        <w:t>(</w:t>
      </w:r>
      <w:r w:rsidRPr="00114C54">
        <w:rPr>
          <w:lang w:val="es-ES"/>
        </w:rPr>
        <w:t>Enmienda N.° 4</w:t>
      </w:r>
      <w:r>
        <w:rPr>
          <w:lang w:val="es-ES"/>
        </w:rPr>
        <w:t>5</w:t>
      </w:r>
      <w:r>
        <w:rPr>
          <w:lang w:val="es-ES"/>
        </w:rPr>
        <w:t>)</w:t>
      </w:r>
    </w:p>
    <w:p w14:paraId="1B6371A3" w14:textId="77777777" w:rsidR="00277044" w:rsidRPr="00114C54" w:rsidRDefault="00277044" w:rsidP="00277044">
      <w:pPr>
        <w:rPr>
          <w:lang w:val="es-ES"/>
        </w:rPr>
      </w:pPr>
    </w:p>
    <w:tbl>
      <w:tblPr>
        <w:tblW w:w="977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1276"/>
        <w:gridCol w:w="4819"/>
      </w:tblGrid>
      <w:tr w:rsidR="00277044" w:rsidRPr="007118AB" w14:paraId="1A8EBF95" w14:textId="77777777" w:rsidTr="000B6C15">
        <w:trPr>
          <w:trHeight w:val="466"/>
        </w:trPr>
        <w:tc>
          <w:tcPr>
            <w:tcW w:w="36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0B3662" w14:textId="77777777" w:rsidR="00277044" w:rsidRPr="00342E31" w:rsidRDefault="00277044" w:rsidP="000B6C15">
            <w:pPr>
              <w:spacing w:after="0"/>
              <w:jc w:val="left"/>
              <w:rPr>
                <w:rFonts w:cs="Calibri"/>
                <w:lang w:val="es-ES_tradnl"/>
              </w:rPr>
            </w:pPr>
            <w:r w:rsidRPr="00342E31">
              <w:rPr>
                <w:rFonts w:eastAsia="Calibri" w:cs="Calibri"/>
                <w:b/>
                <w:i/>
                <w:color w:val="000000"/>
                <w:lang w:val="es-ES_tradnl"/>
              </w:rPr>
              <w:t>País o Zona geográfica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3221F9" w14:textId="77777777" w:rsidR="00277044" w:rsidRPr="00342E31" w:rsidRDefault="00277044" w:rsidP="001E10FC">
            <w:pPr>
              <w:spacing w:after="0"/>
              <w:jc w:val="center"/>
              <w:rPr>
                <w:rFonts w:cs="Calibri"/>
                <w:lang w:val="es-ES_tradnl"/>
              </w:rPr>
            </w:pPr>
            <w:r w:rsidRPr="00342E31">
              <w:rPr>
                <w:rFonts w:eastAsia="Arial" w:cs="Calibri"/>
                <w:b/>
                <w:i/>
                <w:color w:val="000000"/>
                <w:lang w:val="es-ES_tradnl"/>
              </w:rPr>
              <w:t>MCC+MNC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4E152A" w14:textId="77777777" w:rsidR="00277044" w:rsidRPr="00342E31" w:rsidRDefault="00277044" w:rsidP="000B6C15">
            <w:pPr>
              <w:spacing w:after="0"/>
              <w:rPr>
                <w:rFonts w:cs="Calibri"/>
                <w:lang w:val="es-ES_tradnl"/>
              </w:rPr>
            </w:pPr>
            <w:r w:rsidRPr="00342E31">
              <w:rPr>
                <w:rFonts w:eastAsia="Arial" w:cs="Calibri"/>
                <w:b/>
                <w:i/>
                <w:color w:val="000000"/>
                <w:lang w:val="es-ES_tradnl"/>
              </w:rPr>
              <w:t>Nombre de la Red/Operador</w:t>
            </w:r>
          </w:p>
        </w:tc>
      </w:tr>
      <w:tr w:rsidR="00277044" w:rsidRPr="00342E31" w14:paraId="2794A6C0" w14:textId="77777777" w:rsidTr="000B6C15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586A01" w14:textId="35BF97A7" w:rsidR="00277044" w:rsidRPr="00342E31" w:rsidRDefault="00277044" w:rsidP="000B6C15">
            <w:pPr>
              <w:spacing w:before="0" w:after="0"/>
              <w:jc w:val="left"/>
              <w:rPr>
                <w:rFonts w:cs="Calibri"/>
              </w:rPr>
            </w:pPr>
            <w:r w:rsidRPr="00277044">
              <w:rPr>
                <w:rFonts w:eastAsia="Calibri" w:cs="Calibri"/>
                <w:b/>
                <w:color w:val="000000"/>
              </w:rPr>
              <w:t xml:space="preserve">Suecia </w:t>
            </w:r>
            <w:r>
              <w:rPr>
                <w:rFonts w:eastAsia="Calibri" w:cs="Calibri"/>
                <w:b/>
                <w:color w:val="000000"/>
              </w:rPr>
              <w:t xml:space="preserve">    </w:t>
            </w:r>
            <w:r w:rsidRPr="00342E31">
              <w:rPr>
                <w:rFonts w:eastAsia="Calibri" w:cs="Calibri"/>
                <w:b/>
                <w:color w:val="000000"/>
              </w:rPr>
              <w:t>ADD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E78F03" w14:textId="77777777" w:rsidR="00277044" w:rsidRPr="00342E31" w:rsidRDefault="00277044" w:rsidP="000B6C15">
            <w:pPr>
              <w:spacing w:before="0" w:after="0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666099" w14:textId="77777777" w:rsidR="00277044" w:rsidRPr="00342E31" w:rsidRDefault="00277044" w:rsidP="000B6C15">
            <w:pPr>
              <w:spacing w:before="0" w:after="0"/>
              <w:rPr>
                <w:rFonts w:cs="Calibri"/>
              </w:rPr>
            </w:pPr>
          </w:p>
        </w:tc>
      </w:tr>
      <w:tr w:rsidR="00277044" w:rsidRPr="00342E31" w14:paraId="47E5DF8C" w14:textId="77777777" w:rsidTr="000B6C15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CDCD13" w14:textId="77777777" w:rsidR="00277044" w:rsidRPr="00342E31" w:rsidRDefault="00277044" w:rsidP="00277044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4103A7" w14:textId="5ECB0C58" w:rsidR="00277044" w:rsidRPr="00342E31" w:rsidRDefault="00277044" w:rsidP="00277044">
            <w:pPr>
              <w:spacing w:before="0" w:after="0"/>
              <w:jc w:val="center"/>
              <w:rPr>
                <w:rFonts w:cs="Calibri"/>
              </w:rPr>
            </w:pPr>
            <w:r>
              <w:rPr>
                <w:rFonts w:eastAsia="Calibri"/>
                <w:color w:val="000000"/>
              </w:rPr>
              <w:t>240 11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60EE3" w14:textId="1AA42359" w:rsidR="00277044" w:rsidRPr="00342E31" w:rsidRDefault="00277044" w:rsidP="00277044">
            <w:pPr>
              <w:spacing w:before="0" w:after="0"/>
              <w:rPr>
                <w:rFonts w:cs="Calibri"/>
              </w:rPr>
            </w:pPr>
            <w:r>
              <w:rPr>
                <w:rFonts w:eastAsia="Calibri"/>
                <w:color w:val="000000"/>
              </w:rPr>
              <w:t>GlobalCell EU Ltd.</w:t>
            </w:r>
          </w:p>
        </w:tc>
      </w:tr>
    </w:tbl>
    <w:p w14:paraId="56B706D4" w14:textId="77777777" w:rsidR="00277044" w:rsidRPr="00114C54" w:rsidRDefault="00277044" w:rsidP="00277044">
      <w:r w:rsidRPr="00114C54">
        <w:rPr>
          <w:rFonts w:ascii="Arial" w:eastAsia="Arial" w:hAnsi="Arial"/>
          <w:color w:val="000000"/>
          <w:sz w:val="16"/>
        </w:rPr>
        <w:t>____________</w:t>
      </w:r>
    </w:p>
    <w:p w14:paraId="468DE5A8" w14:textId="77777777" w:rsidR="00277044" w:rsidRPr="00114C54" w:rsidRDefault="00277044" w:rsidP="00277044">
      <w:pPr>
        <w:spacing w:after="0"/>
      </w:pPr>
      <w:r w:rsidRPr="00114C54">
        <w:rPr>
          <w:rFonts w:eastAsia="Calibri"/>
          <w:color w:val="000000"/>
          <w:sz w:val="18"/>
        </w:rPr>
        <w:t xml:space="preserve">MCC: </w:t>
      </w:r>
      <w:r>
        <w:rPr>
          <w:rFonts w:eastAsia="Calibri"/>
          <w:color w:val="000000"/>
          <w:sz w:val="18"/>
        </w:rPr>
        <w:tab/>
      </w:r>
      <w:r w:rsidRPr="00114C54">
        <w:rPr>
          <w:rFonts w:eastAsia="Calibri"/>
          <w:color w:val="000000"/>
          <w:sz w:val="18"/>
        </w:rPr>
        <w:t>Mobile Country Code / Indicatif de pays du mobile / Indicativo de país para el servicio móvil</w:t>
      </w:r>
    </w:p>
    <w:p w14:paraId="4CB0346C" w14:textId="77777777" w:rsidR="00277044" w:rsidRPr="00114C54" w:rsidRDefault="00277044" w:rsidP="00277044">
      <w:pPr>
        <w:spacing w:before="0"/>
        <w:rPr>
          <w:lang w:val="fr-FR"/>
        </w:rPr>
      </w:pPr>
      <w:r w:rsidRPr="00114C54">
        <w:rPr>
          <w:rFonts w:eastAsia="Calibri"/>
          <w:color w:val="000000"/>
          <w:sz w:val="18"/>
        </w:rPr>
        <w:t xml:space="preserve">MNC: </w:t>
      </w:r>
      <w:r>
        <w:rPr>
          <w:rFonts w:eastAsia="Calibri"/>
          <w:color w:val="000000"/>
          <w:sz w:val="18"/>
        </w:rPr>
        <w:tab/>
      </w:r>
      <w:r w:rsidRPr="00114C54">
        <w:rPr>
          <w:rFonts w:eastAsia="Calibri"/>
          <w:color w:val="000000"/>
          <w:sz w:val="18"/>
        </w:rPr>
        <w:t>Mobile Network Code / Code de réseau mobile / Indicativo de red para el servicio móvil</w:t>
      </w:r>
    </w:p>
    <w:sectPr w:rsidR="00277044" w:rsidRPr="00114C54" w:rsidSect="000B454A">
      <w:footerReference w:type="even" r:id="rId31"/>
      <w:footerReference w:type="default" r:id="rId32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0A5DD800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72B05">
            <w:rPr>
              <w:noProof/>
              <w:color w:val="FFFFFF"/>
              <w:lang w:val="es-ES_tradnl"/>
            </w:rPr>
            <w:t>1328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FA6B2F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2147C203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72B05">
            <w:rPr>
              <w:noProof/>
              <w:color w:val="FFFFFF"/>
              <w:lang w:val="es-ES_tradnl"/>
            </w:rPr>
            <w:t>1328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3C49CA69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72B05">
            <w:rPr>
              <w:noProof/>
              <w:color w:val="FFFFFF"/>
              <w:lang w:val="es-ES_tradnl"/>
            </w:rPr>
            <w:t>1328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2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068474">
    <w:abstractNumId w:val="9"/>
  </w:num>
  <w:num w:numId="2" w16cid:durableId="617955868">
    <w:abstractNumId w:val="27"/>
  </w:num>
  <w:num w:numId="3" w16cid:durableId="1180002724">
    <w:abstractNumId w:val="28"/>
  </w:num>
  <w:num w:numId="4" w16cid:durableId="1945113919">
    <w:abstractNumId w:val="23"/>
  </w:num>
  <w:num w:numId="5" w16cid:durableId="450587618">
    <w:abstractNumId w:val="16"/>
  </w:num>
  <w:num w:numId="6" w16cid:durableId="788091388">
    <w:abstractNumId w:val="35"/>
  </w:num>
  <w:num w:numId="7" w16cid:durableId="401684242">
    <w:abstractNumId w:val="12"/>
  </w:num>
  <w:num w:numId="8" w16cid:durableId="1142499436">
    <w:abstractNumId w:val="32"/>
  </w:num>
  <w:num w:numId="9" w16cid:durableId="753086465">
    <w:abstractNumId w:val="25"/>
  </w:num>
  <w:num w:numId="10" w16cid:durableId="1922635584">
    <w:abstractNumId w:val="17"/>
  </w:num>
  <w:num w:numId="11" w16cid:durableId="378167326">
    <w:abstractNumId w:val="24"/>
  </w:num>
  <w:num w:numId="12" w16cid:durableId="1903131776">
    <w:abstractNumId w:val="30"/>
  </w:num>
  <w:num w:numId="13" w16cid:durableId="10450656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4" w16cid:durableId="31237377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5" w16cid:durableId="11810916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6" w16cid:durableId="1411079085">
    <w:abstractNumId w:val="14"/>
  </w:num>
  <w:num w:numId="17" w16cid:durableId="17174368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3540373">
    <w:abstractNumId w:val="36"/>
  </w:num>
  <w:num w:numId="19" w16cid:durableId="145417906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0" w16cid:durableId="171612574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21" w16cid:durableId="79980719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2" w16cid:durableId="1394617676">
    <w:abstractNumId w:val="26"/>
  </w:num>
  <w:num w:numId="23" w16cid:durableId="629096220">
    <w:abstractNumId w:val="37"/>
  </w:num>
  <w:num w:numId="24" w16cid:durableId="487870749">
    <w:abstractNumId w:val="7"/>
  </w:num>
  <w:num w:numId="25" w16cid:durableId="990477875">
    <w:abstractNumId w:val="6"/>
  </w:num>
  <w:num w:numId="26" w16cid:durableId="1521579217">
    <w:abstractNumId w:val="5"/>
  </w:num>
  <w:num w:numId="27" w16cid:durableId="1055734477">
    <w:abstractNumId w:val="4"/>
  </w:num>
  <w:num w:numId="28" w16cid:durableId="46913589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9" w16cid:durableId="483545899">
    <w:abstractNumId w:val="13"/>
  </w:num>
  <w:num w:numId="30" w16cid:durableId="930627028">
    <w:abstractNumId w:val="21"/>
  </w:num>
  <w:num w:numId="31" w16cid:durableId="927730246">
    <w:abstractNumId w:val="8"/>
  </w:num>
  <w:num w:numId="32" w16cid:durableId="1550219977">
    <w:abstractNumId w:val="3"/>
  </w:num>
  <w:num w:numId="33" w16cid:durableId="1574701858">
    <w:abstractNumId w:val="2"/>
  </w:num>
  <w:num w:numId="34" w16cid:durableId="348602311">
    <w:abstractNumId w:val="1"/>
  </w:num>
  <w:num w:numId="35" w16cid:durableId="550926571">
    <w:abstractNumId w:val="0"/>
  </w:num>
  <w:num w:numId="36" w16cid:durableId="557790082">
    <w:abstractNumId w:val="33"/>
  </w:num>
  <w:num w:numId="37" w16cid:durableId="952129436">
    <w:abstractNumId w:val="31"/>
  </w:num>
  <w:num w:numId="38" w16cid:durableId="1438597587">
    <w:abstractNumId w:val="15"/>
  </w:num>
  <w:num w:numId="39" w16cid:durableId="509098719">
    <w:abstractNumId w:val="19"/>
  </w:num>
  <w:num w:numId="40" w16cid:durableId="1093477250">
    <w:abstractNumId w:val="20"/>
  </w:num>
  <w:num w:numId="41" w16cid:durableId="1443037308">
    <w:abstractNumId w:val="29"/>
  </w:num>
  <w:num w:numId="42" w16cid:durableId="487017966">
    <w:abstractNumId w:val="22"/>
  </w:num>
  <w:num w:numId="43" w16cid:durableId="1681204273">
    <w:abstractNumId w:val="11"/>
  </w:num>
  <w:num w:numId="44" w16cid:durableId="115560991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4DAE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0F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8E0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044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B05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49BB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261" TargetMode="External"/><Relationship Id="rId26" Type="http://schemas.openxmlformats.org/officeDocument/2006/relationships/hyperlink" Target="http://handle.itu.int/11.1002/1000/16487" TargetMode="External"/><Relationship Id="rId3" Type="http://schemas.openxmlformats.org/officeDocument/2006/relationships/styles" Target="styles.xml"/><Relationship Id="rId21" Type="http://schemas.openxmlformats.org/officeDocument/2006/relationships/hyperlink" Target="http://handle.itu.int/11.1002/1000/1649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329" TargetMode="External"/><Relationship Id="rId25" Type="http://schemas.openxmlformats.org/officeDocument/2006/relationships/hyperlink" Target="http://handle.itu.int/11.1002/1000/1649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328" TargetMode="External"/><Relationship Id="rId20" Type="http://schemas.openxmlformats.org/officeDocument/2006/relationships/hyperlink" Target="http://handle.itu.int/11.1002/1000/16420" TargetMode="External"/><Relationship Id="rId29" Type="http://schemas.openxmlformats.org/officeDocument/2006/relationships/hyperlink" Target="http://www.itu.int/pub/T-SP-SR.1-2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http://handle.itu.int/11.1002/1000/16486" TargetMode="Externa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327" TargetMode="External"/><Relationship Id="rId23" Type="http://schemas.openxmlformats.org/officeDocument/2006/relationships/hyperlink" Target="http://handle.itu.int/11.1002/1000/16492" TargetMode="External"/><Relationship Id="rId28" Type="http://schemas.openxmlformats.org/officeDocument/2006/relationships/hyperlink" Target="http://handle.itu.int/11.1002/1000/16489" TargetMode="External"/><Relationship Id="rId10" Type="http://schemas.openxmlformats.org/officeDocument/2006/relationships/footer" Target="footer2.xml"/><Relationship Id="rId19" Type="http://schemas.openxmlformats.org/officeDocument/2006/relationships/hyperlink" Target="http://handle.itu.int/11.1002/1000/16424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24.htm" TargetMode="External"/><Relationship Id="rId22" Type="http://schemas.openxmlformats.org/officeDocument/2006/relationships/hyperlink" Target="http://handle.itu.int/11.1002/1000/16491" TargetMode="External"/><Relationship Id="rId27" Type="http://schemas.openxmlformats.org/officeDocument/2006/relationships/hyperlink" Target="http://handle.itu.int/11.1002/1000/16488" TargetMode="External"/><Relationship Id="rId30" Type="http://schemas.openxmlformats.org/officeDocument/2006/relationships/hyperlink" Target="mailto:smigroup@smishipping-marine.co.id" TargetMode="External"/><Relationship Id="rId8" Type="http://schemas.openxmlformats.org/officeDocument/2006/relationships/hyperlink" Target="mailto:tsbmail@itu.i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1559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1327</vt:lpstr>
    </vt:vector>
  </TitlesOfParts>
  <Company>ITU</Company>
  <LinksUpToDate>false</LinksUpToDate>
  <CharactersWithSpaces>12158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1328</dc:title>
  <dc:subject/>
  <dc:creator>ITU-T</dc:creator>
  <cp:keywords/>
  <dc:description/>
  <cp:lastModifiedBy>Saez Grau, Ricardo</cp:lastModifiedBy>
  <cp:revision>30</cp:revision>
  <cp:lastPrinted>2025-12-05T13:29:00Z</cp:lastPrinted>
  <dcterms:created xsi:type="dcterms:W3CDTF">2025-10-01T05:30:00Z</dcterms:created>
  <dcterms:modified xsi:type="dcterms:W3CDTF">2025-12-05T13:30:00Z</dcterms:modified>
</cp:coreProperties>
</file>