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4A545D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4A545D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0AE43421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474288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  <w:r w:rsidR="004A545D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7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5D7F5F0F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1.</w:t>
            </w:r>
            <w:r w:rsidR="0042048B">
              <w:rPr>
                <w:color w:val="FFFFFF" w:themeColor="background1"/>
              </w:rPr>
              <w:t>X</w:t>
            </w:r>
            <w:r w:rsidR="00FA6B2F">
              <w:rPr>
                <w:color w:val="FFFFFF" w:themeColor="background1"/>
              </w:rPr>
              <w:t>I</w:t>
            </w:r>
            <w:r w:rsidRPr="004D4B3F">
              <w:rPr>
                <w:color w:val="FFFFFF"/>
                <w:lang w:val="es-ES"/>
              </w:rPr>
              <w:t>.202</w:t>
            </w:r>
            <w:r w:rsidR="00A571B3" w:rsidRPr="004D4B3F">
              <w:rPr>
                <w:color w:val="FFFFFF"/>
                <w:lang w:val="es-ES"/>
              </w:rPr>
              <w:t>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38CA1B3C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FA6B2F">
              <w:rPr>
                <w:color w:val="FFFFFF"/>
                <w:spacing w:val="-4"/>
                <w:lang w:val="es-ES"/>
              </w:rPr>
              <w:t>23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FA6B2F">
              <w:rPr>
                <w:color w:val="FFFFFF"/>
                <w:spacing w:val="-4"/>
                <w:lang w:val="es-ES"/>
              </w:rPr>
              <w:t xml:space="preserve">octubre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4A545D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proofErr w:type="gramStart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l:</w:t>
            </w:r>
            <w:proofErr w:type="gramEnd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  <w:proofErr w:type="gramEnd"/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019A3136" w14:textId="4056121D" w:rsidR="004D0975" w:rsidRDefault="00071BE3" w:rsidP="003E24B3">
      <w:pPr>
        <w:pStyle w:val="TOC1"/>
        <w:rPr>
          <w:rStyle w:val="Hyperlink"/>
          <w:webHidden/>
          <w:color w:val="auto"/>
          <w:u w:val="none"/>
          <w:lang w:val="es-ES"/>
        </w:rPr>
      </w:pPr>
      <w:r w:rsidRPr="00515DC3">
        <w:rPr>
          <w:rStyle w:val="Hyperlink"/>
          <w:noProof w:val="0"/>
          <w:color w:val="auto"/>
          <w:u w:val="none"/>
          <w:lang w:val="es-ES"/>
        </w:rPr>
        <w:t>Aprobación de Recomendaciones UIT-T</w:t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  <w:t>4</w:t>
      </w:r>
    </w:p>
    <w:p w14:paraId="4419D5AF" w14:textId="7FCBB0A8" w:rsidR="0030532E" w:rsidRPr="0030532E" w:rsidRDefault="0030532E" w:rsidP="0030532E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30532E">
        <w:rPr>
          <w:rStyle w:val="Hyperlink"/>
          <w:noProof w:val="0"/>
          <w:color w:val="auto"/>
          <w:u w:val="none"/>
          <w:lang w:val="es-ES"/>
        </w:rPr>
        <w:t>Plan de identificación internacional para redes públicas y suscripciones</w:t>
      </w:r>
      <w:r w:rsidRPr="004D4B3F">
        <w:rPr>
          <w:rStyle w:val="Hyperlink"/>
          <w:noProof w:val="0"/>
          <w:color w:val="auto"/>
          <w:u w:val="none"/>
          <w:lang w:val="es-ES"/>
        </w:rPr>
        <w:t xml:space="preserve">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30532E">
        <w:rPr>
          <w:rStyle w:val="Hyperlink"/>
          <w:noProof w:val="0"/>
          <w:color w:val="auto"/>
          <w:u w:val="none"/>
          <w:lang w:val="es-ES"/>
        </w:rPr>
        <w:tab/>
      </w:r>
      <w:r w:rsidRPr="0030532E">
        <w:rPr>
          <w:rStyle w:val="Hyperlink"/>
          <w:noProof w:val="0"/>
          <w:color w:val="auto"/>
          <w:u w:val="none"/>
          <w:lang w:val="es-ES"/>
        </w:rPr>
        <w:tab/>
        <w:t>5</w:t>
      </w:r>
    </w:p>
    <w:p w14:paraId="222AFB3C" w14:textId="4CE8AEF1" w:rsidR="004D0975" w:rsidRPr="004A545D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A545D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65F4F510" w14:textId="2EE46F7A" w:rsidR="004D0975" w:rsidRPr="0030532E" w:rsidRDefault="0030532E" w:rsidP="003E24B3">
      <w:pPr>
        <w:pStyle w:val="TOC2"/>
        <w:tabs>
          <w:tab w:val="center" w:leader="dot" w:pos="8505"/>
          <w:tab w:val="right" w:pos="9072"/>
        </w:tabs>
        <w:rPr>
          <w:webHidden/>
          <w:lang w:val="fr-FR"/>
        </w:rPr>
      </w:pPr>
      <w:r w:rsidRPr="0030532E">
        <w:rPr>
          <w:lang w:val="fr-FR"/>
        </w:rPr>
        <w:t>Guyana (</w:t>
      </w:r>
      <w:r w:rsidRPr="0030532E">
        <w:rPr>
          <w:rFonts w:eastAsia="Calibri" w:cs="Arial"/>
          <w:i/>
          <w:iCs/>
          <w:kern w:val="2"/>
          <w:lang w:val="fr-FR"/>
          <w14:ligatures w14:val="standardContextual"/>
        </w:rPr>
        <w:t>Telecommunications Agency</w:t>
      </w:r>
      <w:r w:rsidRPr="0030532E">
        <w:rPr>
          <w:rFonts w:eastAsia="Calibri" w:cs="Arial"/>
          <w:kern w:val="2"/>
          <w:lang w:val="fr-FR"/>
          <w14:ligatures w14:val="standardContextual"/>
        </w:rPr>
        <w:t>, Georgetown</w:t>
      </w:r>
      <w:r w:rsidRPr="0030532E">
        <w:rPr>
          <w:lang w:val="fr-FR"/>
        </w:rPr>
        <w:t>)</w:t>
      </w:r>
      <w:r w:rsidR="004D0975" w:rsidRPr="0030532E">
        <w:rPr>
          <w:webHidden/>
          <w:lang w:val="fr-FR"/>
        </w:rPr>
        <w:tab/>
      </w:r>
      <w:r w:rsidR="003E24B3" w:rsidRPr="0030532E">
        <w:rPr>
          <w:webHidden/>
          <w:lang w:val="fr-FR"/>
        </w:rPr>
        <w:tab/>
      </w:r>
      <w:r w:rsidRPr="0030532E">
        <w:rPr>
          <w:webHidden/>
          <w:lang w:val="fr-FR"/>
        </w:rPr>
        <w:t>6</w:t>
      </w:r>
    </w:p>
    <w:p w14:paraId="4D7B3912" w14:textId="0C751A52" w:rsidR="0053098B" w:rsidRPr="0030532E" w:rsidRDefault="0030532E" w:rsidP="0053098B">
      <w:pPr>
        <w:pStyle w:val="TOC2"/>
        <w:tabs>
          <w:tab w:val="center" w:leader="dot" w:pos="8505"/>
          <w:tab w:val="right" w:pos="9072"/>
        </w:tabs>
        <w:rPr>
          <w:lang w:val="fr-FR"/>
        </w:rPr>
      </w:pPr>
      <w:r w:rsidRPr="0030532E">
        <w:rPr>
          <w:lang w:val="fr-FR"/>
        </w:rPr>
        <w:t>Mauri</w:t>
      </w:r>
      <w:r>
        <w:rPr>
          <w:lang w:val="fr-FR"/>
        </w:rPr>
        <w:t>cio</w:t>
      </w:r>
      <w:r w:rsidRPr="00672728">
        <w:rPr>
          <w:lang w:val="fr-CH"/>
        </w:rPr>
        <w:t xml:space="preserve"> (</w:t>
      </w:r>
      <w:r w:rsidRPr="00672728">
        <w:rPr>
          <w:rFonts w:cs="Arial"/>
          <w:i/>
          <w:lang w:val="fr-CH"/>
        </w:rPr>
        <w:t xml:space="preserve">Information and Communication Technologies Authority (ICTA), </w:t>
      </w:r>
      <w:r w:rsidRPr="00672728">
        <w:rPr>
          <w:rFonts w:cs="Arial"/>
          <w:iCs/>
          <w:lang w:val="fr-CH"/>
        </w:rPr>
        <w:t>Port-Louis</w:t>
      </w:r>
      <w:r w:rsidRPr="00672728">
        <w:rPr>
          <w:lang w:val="fr-CH"/>
        </w:rPr>
        <w:t>)</w:t>
      </w:r>
      <w:r w:rsidR="0053098B" w:rsidRPr="0030532E">
        <w:rPr>
          <w:lang w:val="fr-FR"/>
        </w:rPr>
        <w:tab/>
      </w:r>
      <w:r w:rsidR="0053098B" w:rsidRPr="0030532E">
        <w:rPr>
          <w:lang w:val="fr-FR"/>
        </w:rPr>
        <w:tab/>
      </w:r>
      <w:r w:rsidRPr="0030532E">
        <w:rPr>
          <w:lang w:val="fr-FR"/>
        </w:rPr>
        <w:t>10</w:t>
      </w:r>
    </w:p>
    <w:p w14:paraId="07421493" w14:textId="29BC2848" w:rsidR="0030532E" w:rsidRDefault="0030532E" w:rsidP="0030532E">
      <w:pPr>
        <w:pStyle w:val="TOC2"/>
        <w:tabs>
          <w:tab w:val="center" w:leader="dot" w:pos="8505"/>
          <w:tab w:val="right" w:pos="9072"/>
        </w:tabs>
        <w:rPr>
          <w:lang w:val="fr-CH"/>
        </w:rPr>
      </w:pPr>
      <w:r w:rsidRPr="0030532E">
        <w:rPr>
          <w:lang w:val="fr-FR"/>
        </w:rPr>
        <w:t>Mo</w:t>
      </w:r>
      <w:r>
        <w:rPr>
          <w:lang w:val="fr-FR"/>
        </w:rPr>
        <w:t>r</w:t>
      </w:r>
      <w:r w:rsidRPr="0030532E">
        <w:rPr>
          <w:lang w:val="fr-FR"/>
        </w:rPr>
        <w:t>r</w:t>
      </w:r>
      <w:r>
        <w:rPr>
          <w:lang w:val="fr-FR"/>
        </w:rPr>
        <w:t>uecos</w:t>
      </w:r>
      <w:r w:rsidRPr="00672728">
        <w:rPr>
          <w:lang w:val="fr-CH"/>
        </w:rPr>
        <w:t xml:space="preserve"> (</w:t>
      </w:r>
      <w:r w:rsidRPr="00672728">
        <w:rPr>
          <w:i/>
          <w:iCs/>
          <w:lang w:val="fr-CH"/>
        </w:rPr>
        <w:t>Agence Nationale de Réglementation des Télécommunications (ANRT)</w:t>
      </w:r>
      <w:r w:rsidRPr="00672728">
        <w:rPr>
          <w:lang w:val="fr-CH"/>
        </w:rPr>
        <w:t>, Rabat)</w:t>
      </w:r>
      <w:r>
        <w:rPr>
          <w:lang w:val="fr-CH"/>
        </w:rPr>
        <w:tab/>
      </w:r>
      <w:r>
        <w:rPr>
          <w:lang w:val="fr-CH"/>
        </w:rPr>
        <w:tab/>
        <w:t>11</w:t>
      </w:r>
    </w:p>
    <w:p w14:paraId="4734B410" w14:textId="28705BCB" w:rsidR="0030532E" w:rsidRDefault="0030532E" w:rsidP="0030532E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30532E">
        <w:rPr>
          <w:rStyle w:val="Hyperlink"/>
          <w:noProof w:val="0"/>
          <w:color w:val="auto"/>
          <w:u w:val="none"/>
          <w:lang w:val="es-ES"/>
        </w:rPr>
        <w:t>Otra comunicación</w:t>
      </w:r>
      <w:r>
        <w:rPr>
          <w:rStyle w:val="Hyperlink"/>
          <w:noProof w:val="0"/>
          <w:color w:val="auto"/>
          <w:u w:val="none"/>
          <w:lang w:val="es-ES"/>
        </w:rPr>
        <w:t>:</w:t>
      </w:r>
    </w:p>
    <w:p w14:paraId="55FD7FF7" w14:textId="7F2CC2A4" w:rsidR="0030532E" w:rsidRPr="002E4D2B" w:rsidRDefault="0030532E" w:rsidP="0030532E">
      <w:pPr>
        <w:pStyle w:val="TOC2"/>
        <w:tabs>
          <w:tab w:val="center" w:leader="dot" w:pos="8505"/>
          <w:tab w:val="right" w:pos="9072"/>
        </w:tabs>
        <w:rPr>
          <w:lang w:val="es-ES"/>
        </w:rPr>
      </w:pPr>
      <w:r w:rsidRPr="002E4D2B">
        <w:rPr>
          <w:lang w:val="es-ES"/>
        </w:rPr>
        <w:t>Serbia</w:t>
      </w:r>
      <w:r w:rsidRPr="002E4D2B">
        <w:rPr>
          <w:lang w:val="es-ES"/>
        </w:rPr>
        <w:tab/>
      </w:r>
      <w:r w:rsidRPr="002E4D2B">
        <w:rPr>
          <w:lang w:val="es-ES"/>
        </w:rPr>
        <w:tab/>
        <w:t>1</w:t>
      </w:r>
      <w:r w:rsidRPr="002E4D2B">
        <w:rPr>
          <w:lang w:val="es-ES"/>
        </w:rPr>
        <w:t>2</w:t>
      </w:r>
    </w:p>
    <w:p w14:paraId="1815CD4E" w14:textId="0909709B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>13</w:t>
      </w:r>
    </w:p>
    <w:p w14:paraId="1771DD44" w14:textId="2D6A31C3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>13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LAS  PUBLICACIONES</w:t>
      </w:r>
      <w:proofErr w:type="gramEnd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 xml:space="preserve">  </w:t>
      </w:r>
      <w:proofErr w:type="gramStart"/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DE  SERVICIO</w:t>
      </w:r>
      <w:proofErr w:type="gramEnd"/>
    </w:p>
    <w:p w14:paraId="64F0B8FD" w14:textId="780F5368" w:rsidR="002E4D2B" w:rsidRDefault="002E4D2B" w:rsidP="003E24B3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números de identificación de expedidor</w:t>
      </w:r>
      <w:r>
        <w:rPr>
          <w:rStyle w:val="Hyperlink"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  <w:t>14</w:t>
      </w:r>
    </w:p>
    <w:p w14:paraId="3DE650BA" w14:textId="544DE4AB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  <w:t>15</w:t>
      </w:r>
    </w:p>
    <w:p w14:paraId="09ADEC68" w14:textId="0E1DCED6" w:rsidR="002E4D2B" w:rsidRPr="002E4D2B" w:rsidRDefault="002E4D2B" w:rsidP="002E4D2B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códigos de operador de la UIT</w:t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Pr="002E4D2B">
        <w:rPr>
          <w:rStyle w:val="Hyperlink"/>
          <w:noProof w:val="0"/>
          <w:color w:val="auto"/>
          <w:u w:val="none"/>
          <w:lang w:val="es-ES"/>
        </w:rPr>
        <w:tab/>
        <w:t>1</w:t>
      </w:r>
      <w:r>
        <w:rPr>
          <w:rStyle w:val="Hyperlink"/>
          <w:noProof w:val="0"/>
          <w:color w:val="auto"/>
          <w:u w:val="none"/>
          <w:lang w:val="es-ES"/>
        </w:rPr>
        <w:t>6</w:t>
      </w:r>
    </w:p>
    <w:p w14:paraId="47B3B301" w14:textId="5B770773" w:rsidR="004D0975" w:rsidRPr="004D4B3F" w:rsidRDefault="00552F89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1</w:t>
      </w:r>
      <w:r w:rsidR="002E4D2B">
        <w:rPr>
          <w:noProof w:val="0"/>
          <w:webHidden/>
          <w:lang w:val="es-ES"/>
        </w:rPr>
        <w:t>7</w:t>
      </w:r>
    </w:p>
    <w:p w14:paraId="53E7197C" w14:textId="099B89A5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Plan de numeración nacional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1</w:t>
      </w:r>
      <w:r w:rsidR="002E4D2B">
        <w:rPr>
          <w:noProof w:val="0"/>
          <w:webHidden/>
          <w:lang w:val="es-ES"/>
        </w:rPr>
        <w:t>7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0C0367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2DBF5385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1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1328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ED4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B9E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31.X.2025</w:t>
            </w:r>
          </w:p>
        </w:tc>
      </w:tr>
      <w:tr w:rsidR="000C0367" w14:paraId="6B486E9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DA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1329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C76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09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14.XI.2025</w:t>
            </w:r>
          </w:p>
        </w:tc>
      </w:tr>
      <w:tr w:rsidR="000C0367" w14:paraId="10E16B1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17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8F4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97C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28.XI.2025</w:t>
            </w:r>
          </w:p>
        </w:tc>
      </w:tr>
      <w:tr w:rsidR="000C0367" w14:paraId="1F63FBB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E5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ED5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AD5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5.XII.2025</w:t>
            </w:r>
          </w:p>
        </w:tc>
      </w:tr>
      <w:tr w:rsidR="000C0367" w14:paraId="2BFC8CE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FF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AD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9A3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17.XII.2025</w:t>
            </w:r>
          </w:p>
        </w:tc>
      </w:tr>
      <w:tr w:rsidR="000C0367" w14:paraId="02C2650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68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C50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AB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</w:tr>
      <w:tr w:rsidR="000C0367" w14:paraId="4F0218A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976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5C4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9E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30.I.2026</w:t>
            </w:r>
          </w:p>
        </w:tc>
      </w:tr>
      <w:tr w:rsidR="000C0367" w14:paraId="38AE55A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A0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2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E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13.II.2026</w:t>
            </w:r>
          </w:p>
        </w:tc>
      </w:tr>
      <w:tr w:rsidR="000C0367" w14:paraId="187EDCF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8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BD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E1C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27.II.2026</w:t>
            </w:r>
          </w:p>
        </w:tc>
      </w:tr>
      <w:tr w:rsidR="000C0367" w14:paraId="575FC610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F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92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D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13.III.2026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proofErr w:type="gramStart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proofErr w:type="gramEnd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Indicativos</w:t>
      </w:r>
      <w:proofErr w:type="gramEnd"/>
      <w:r w:rsidRPr="004D4B3F">
        <w:rPr>
          <w:lang w:val="es-ES"/>
        </w:rPr>
        <w:t xml:space="preserve">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Estado</w:t>
      </w:r>
      <w:proofErr w:type="gramEnd"/>
      <w:r w:rsidRPr="004D4B3F">
        <w:rPr>
          <w:lang w:val="es-ES"/>
        </w:rPr>
        <w:t xml:space="preserve">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Hora</w:t>
      </w:r>
      <w:proofErr w:type="gramEnd"/>
      <w:r w:rsidRPr="004D4B3F">
        <w:rPr>
          <w:spacing w:val="-4"/>
          <w:lang w:val="es-ES"/>
        </w:rPr>
        <w:t xml:space="preserve">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Indicativos</w:t>
      </w:r>
      <w:proofErr w:type="gramEnd"/>
      <w:r w:rsidRPr="004D4B3F">
        <w:rPr>
          <w:lang w:val="es-ES"/>
        </w:rPr>
        <w:t>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proofErr w:type="gramStart"/>
      <w:r w:rsidRPr="004D4B3F">
        <w:rPr>
          <w:spacing w:val="-4"/>
          <w:lang w:val="es-ES"/>
        </w:rPr>
        <w:t>Lista</w:t>
      </w:r>
      <w:proofErr w:type="gramEnd"/>
      <w:r w:rsidRPr="004D4B3F">
        <w:rPr>
          <w:spacing w:val="-4"/>
          <w:lang w:val="es-ES"/>
        </w:rPr>
        <w:t xml:space="preserve">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Restricciones</w:t>
      </w:r>
      <w:proofErr w:type="gramEnd"/>
      <w:r w:rsidRPr="004D4B3F">
        <w:rPr>
          <w:lang w:val="es-ES"/>
        </w:rPr>
        <w:t xml:space="preserve">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Procedimientos</w:t>
      </w:r>
      <w:proofErr w:type="gramEnd"/>
      <w:r w:rsidRPr="004D4B3F">
        <w:rPr>
          <w:lang w:val="es-ES"/>
        </w:rPr>
        <w:t xml:space="preserve">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Comunicaciones</w:t>
      </w:r>
      <w:proofErr w:type="gramEnd"/>
      <w:r w:rsidRPr="004D4B3F">
        <w:rPr>
          <w:lang w:val="es-ES"/>
        </w:rPr>
        <w:t xml:space="preserve">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Lista</w:t>
      </w:r>
      <w:proofErr w:type="gramEnd"/>
      <w:r w:rsidRPr="004D4B3F">
        <w:rPr>
          <w:lang w:val="es-ES"/>
        </w:rPr>
        <w:t xml:space="preserve">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Diferentes</w:t>
      </w:r>
      <w:proofErr w:type="gramEnd"/>
      <w:r w:rsidRPr="004D4B3F">
        <w:rPr>
          <w:lang w:val="es-ES"/>
        </w:rPr>
        <w:t xml:space="preserve">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</w:r>
      <w:proofErr w:type="gramStart"/>
      <w:r w:rsidRPr="004D4B3F">
        <w:rPr>
          <w:lang w:val="es-ES"/>
        </w:rPr>
        <w:t>Grupos</w:t>
      </w:r>
      <w:proofErr w:type="gramEnd"/>
      <w:r w:rsidRPr="004D4B3F">
        <w:rPr>
          <w:lang w:val="es-ES"/>
        </w:rPr>
        <w:t xml:space="preserve">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4A545D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4A545D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4A545D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7196BA7E" w14:textId="77777777" w:rsidR="002F392C" w:rsidRDefault="002F392C" w:rsidP="002F392C">
      <w:pPr>
        <w:pStyle w:val="Heading2grey"/>
        <w:rPr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>
        <w:rPr>
          <w:lang w:val="es-ES"/>
        </w:rPr>
        <w:lastRenderedPageBreak/>
        <w:t>Aprobación y supresión de Recomendaciones UIT-T</w:t>
      </w:r>
    </w:p>
    <w:p w14:paraId="3E7D6B22" w14:textId="77777777" w:rsidR="002F392C" w:rsidRDefault="002F392C" w:rsidP="002F392C">
      <w:pPr>
        <w:rPr>
          <w:b/>
          <w:bCs/>
          <w:lang w:val="es-ES"/>
        </w:rPr>
      </w:pPr>
      <w:r>
        <w:rPr>
          <w:b/>
          <w:bCs/>
          <w:lang w:val="es-ES"/>
        </w:rPr>
        <w:t>Recomendaciones aprobadas:</w:t>
      </w:r>
      <w:bookmarkStart w:id="988" w:name="ApprovedContent"/>
      <w:bookmarkEnd w:id="988"/>
    </w:p>
    <w:p w14:paraId="6C83DED3" w14:textId="77777777" w:rsidR="002F392C" w:rsidRDefault="002F392C" w:rsidP="002F392C">
      <w:pPr>
        <w:rPr>
          <w:lang w:val="es-ES_tradnl"/>
        </w:rPr>
      </w:pPr>
      <w:r>
        <w:rPr>
          <w:lang w:val="es-ES_tradnl"/>
        </w:rPr>
        <w:t xml:space="preserve">Por </w:t>
      </w:r>
      <w:hyperlink r:id="rId14" w:history="1">
        <w:r>
          <w:rPr>
            <w:rStyle w:val="Hyperlink"/>
            <w:lang w:val="es-ES_tradnl"/>
          </w:rPr>
          <w:t>AAP-23</w:t>
        </w:r>
      </w:hyperlink>
      <w:r>
        <w:rPr>
          <w:lang w:val="es-ES_tradnl"/>
        </w:rPr>
        <w:t>, se anunció la aprobación de las Recomendaciones UIT-T siguientes, de conformidad con el procedimiento definido en la Recomendación UIT-T A.8:</w:t>
      </w:r>
    </w:p>
    <w:p w14:paraId="1A083EF0" w14:textId="07E6ECD7" w:rsidR="002F392C" w:rsidRDefault="002F392C" w:rsidP="002F392C">
      <w:pPr>
        <w:ind w:left="567" w:hanging="567"/>
      </w:pPr>
      <w:r>
        <w:t>-</w:t>
      </w:r>
      <w:r>
        <w:tab/>
      </w:r>
      <w:hyperlink r:id="rId15" w:history="1">
        <w:r>
          <w:rPr>
            <w:rStyle w:val="Hyperlink"/>
          </w:rPr>
          <w:t>ITU-T L.1396 (10/2025)</w:t>
        </w:r>
      </w:hyperlink>
      <w:r>
        <w:t>: Monitoring and Control Interface for Infrastructure Equipment (Power, Cooling and Building Environment Systems used in Telecommunication Networks) - ICT equipment power, energy and environmental parameters monitoring information model (en proceso de traducción)</w:t>
      </w:r>
    </w:p>
    <w:p w14:paraId="49634172" w14:textId="10CAF402" w:rsidR="002F392C" w:rsidRDefault="002F392C" w:rsidP="002F392C">
      <w:pPr>
        <w:ind w:left="567" w:hanging="567"/>
      </w:pPr>
      <w:r>
        <w:t>-</w:t>
      </w:r>
      <w:r>
        <w:tab/>
      </w:r>
      <w:hyperlink r:id="rId16" w:history="1">
        <w:r>
          <w:rPr>
            <w:rStyle w:val="Hyperlink"/>
          </w:rPr>
          <w:t>ITU-T L.1397 (10/2025)</w:t>
        </w:r>
      </w:hyperlink>
      <w:r>
        <w:t>: Monitoring and control interface for infrastructure equipment (Power, Cooling and environment systems used in telecommunication networks) - Battery system with integrated control and monitoring information model) (en proceso de traducción)</w:t>
      </w:r>
    </w:p>
    <w:p w14:paraId="7FD29E75" w14:textId="1C829A9D" w:rsidR="002F392C" w:rsidRPr="002F392C" w:rsidRDefault="002F392C" w:rsidP="002F392C">
      <w:pPr>
        <w:ind w:left="567" w:hanging="567"/>
        <w:rPr>
          <w:lang w:val="es-ES"/>
        </w:rPr>
      </w:pPr>
      <w:r w:rsidRPr="002F392C">
        <w:rPr>
          <w:lang w:val="es-ES"/>
        </w:rPr>
        <w:t>-</w:t>
      </w:r>
      <w:r w:rsidRPr="002F392C">
        <w:rPr>
          <w:lang w:val="es-ES"/>
        </w:rPr>
        <w:tab/>
      </w:r>
      <w:hyperlink r:id="rId17" w:history="1">
        <w:r w:rsidRPr="002F392C">
          <w:rPr>
            <w:rStyle w:val="Hyperlink"/>
            <w:lang w:val="es-ES"/>
          </w:rPr>
          <w:t>ITU-T M.3043 (10/2025)</w:t>
        </w:r>
      </w:hyperlink>
      <w:r w:rsidRPr="002F392C">
        <w:rPr>
          <w:lang w:val="es-ES"/>
        </w:rPr>
        <w:t>: Framework of intent driven telecommunication operation and management (en proceso de traducción)</w:t>
      </w:r>
    </w:p>
    <w:p w14:paraId="4E15EBDC" w14:textId="15A93105" w:rsidR="002F392C" w:rsidRDefault="002F392C" w:rsidP="002F392C">
      <w:pPr>
        <w:ind w:left="567" w:hanging="567"/>
        <w:rPr>
          <w:lang w:val="es-ES_tradnl"/>
        </w:rPr>
      </w:pPr>
      <w:r w:rsidRPr="002F392C">
        <w:rPr>
          <w:lang w:val="es-ES"/>
        </w:rPr>
        <w:t>-</w:t>
      </w:r>
      <w:r w:rsidRPr="002F392C">
        <w:rPr>
          <w:lang w:val="es-ES"/>
        </w:rPr>
        <w:tab/>
      </w:r>
      <w:hyperlink r:id="rId18" w:history="1">
        <w:r>
          <w:rPr>
            <w:rStyle w:val="Hyperlink"/>
            <w:lang w:val="es-ES_tradnl"/>
          </w:rPr>
          <w:t>ITU-T M.3080 (2021) Amd. 1 (10/2025)</w:t>
        </w:r>
      </w:hyperlink>
      <w:r>
        <w:rPr>
          <w:lang w:val="es-ES_tradnl"/>
        </w:rPr>
        <w:t>: Marco de mejora del funcionamiento y la gestión de las telecomunicaciones con ayuda de la inteligencia artificial (AITOM) - Enmienda 1</w:t>
      </w:r>
    </w:p>
    <w:p w14:paraId="3A062C6A" w14:textId="6EC2B40F" w:rsidR="002F392C" w:rsidRPr="002F392C" w:rsidRDefault="002F392C" w:rsidP="002F392C">
      <w:pPr>
        <w:ind w:left="567" w:hanging="567"/>
        <w:rPr>
          <w:lang w:val="es-ES_tradnl"/>
        </w:rPr>
      </w:pPr>
      <w:r w:rsidRPr="002F392C">
        <w:rPr>
          <w:lang w:val="es-ES_tradnl"/>
        </w:rPr>
        <w:t>-</w:t>
      </w:r>
      <w:r w:rsidRPr="002F392C">
        <w:rPr>
          <w:lang w:val="es-ES_tradnl"/>
        </w:rPr>
        <w:tab/>
      </w:r>
      <w:hyperlink r:id="rId19" w:history="1">
        <w:r w:rsidRPr="002F392C">
          <w:rPr>
            <w:rStyle w:val="Hyperlink"/>
            <w:lang w:val="es-ES_tradnl"/>
          </w:rPr>
          <w:t>ITU-T M.3164.3 (10/2025)</w:t>
        </w:r>
      </w:hyperlink>
      <w:r w:rsidRPr="002F392C">
        <w:rPr>
          <w:lang w:val="es-ES_tradnl"/>
        </w:rPr>
        <w:t xml:space="preserve">: </w:t>
      </w:r>
      <w:proofErr w:type="gramStart"/>
      <w:r w:rsidRPr="002F392C">
        <w:rPr>
          <w:lang w:val="es-ES_tradnl"/>
        </w:rPr>
        <w:t>Interface</w:t>
      </w:r>
      <w:proofErr w:type="gramEnd"/>
      <w:r w:rsidRPr="002F392C">
        <w:rPr>
          <w:lang w:val="es-ES_tradnl"/>
        </w:rPr>
        <w:t xml:space="preserve"> for on-site generic telecommunication smart maintenance - REST-based design (en proceso de traducción)</w:t>
      </w:r>
    </w:p>
    <w:p w14:paraId="19E2C204" w14:textId="04C67184" w:rsidR="002F392C" w:rsidRPr="002F392C" w:rsidRDefault="002F392C" w:rsidP="002F392C">
      <w:pPr>
        <w:ind w:left="567" w:hanging="567"/>
        <w:rPr>
          <w:lang w:val="es-ES_tradnl"/>
        </w:rPr>
      </w:pPr>
      <w:r w:rsidRPr="002F392C">
        <w:rPr>
          <w:lang w:val="es-ES_tradnl"/>
        </w:rPr>
        <w:t>-</w:t>
      </w:r>
      <w:r w:rsidRPr="002F392C">
        <w:rPr>
          <w:lang w:val="es-ES_tradnl"/>
        </w:rPr>
        <w:tab/>
      </w:r>
      <w:hyperlink r:id="rId20" w:history="1">
        <w:r w:rsidRPr="002F392C">
          <w:rPr>
            <w:rStyle w:val="Hyperlink"/>
            <w:lang w:val="es-ES_tradnl"/>
          </w:rPr>
          <w:t>ITU-T M.3166.1 (10/2025)</w:t>
        </w:r>
      </w:hyperlink>
      <w:r w:rsidRPr="002F392C">
        <w:rPr>
          <w:lang w:val="es-ES_tradnl"/>
        </w:rPr>
        <w:t xml:space="preserve">: </w:t>
      </w:r>
      <w:proofErr w:type="gramStart"/>
      <w:r w:rsidRPr="002F392C">
        <w:rPr>
          <w:lang w:val="es-ES_tradnl"/>
        </w:rPr>
        <w:t>Interface</w:t>
      </w:r>
      <w:proofErr w:type="gramEnd"/>
      <w:r w:rsidRPr="002F392C">
        <w:rPr>
          <w:lang w:val="es-ES_tradnl"/>
        </w:rPr>
        <w:t xml:space="preserve"> for blockchain management system - Protocol neutral requirements (en proceso de traducción)</w:t>
      </w:r>
    </w:p>
    <w:p w14:paraId="2B39CF53" w14:textId="6612CD92" w:rsidR="002F392C" w:rsidRDefault="002F392C" w:rsidP="002F392C">
      <w:pPr>
        <w:ind w:left="567" w:hanging="567"/>
      </w:pPr>
      <w:r>
        <w:t>-</w:t>
      </w:r>
      <w:r>
        <w:tab/>
      </w:r>
      <w:hyperlink r:id="rId21" w:history="1">
        <w:r>
          <w:rPr>
            <w:rStyle w:val="Hyperlink"/>
          </w:rPr>
          <w:t>ITU-T M.3351.2 (10/2025)</w:t>
        </w:r>
      </w:hyperlink>
      <w:r>
        <w:t>: Process of telecommunication operation and management knowledge graph construction (en proceso de traducción)</w:t>
      </w:r>
    </w:p>
    <w:p w14:paraId="63D35BA5" w14:textId="06AAF07D" w:rsidR="002F392C" w:rsidRDefault="002F392C" w:rsidP="002F392C">
      <w:pPr>
        <w:ind w:left="567" w:hanging="567"/>
        <w:rPr>
          <w:lang w:val="es-ES_tradnl"/>
        </w:rPr>
      </w:pPr>
      <w:r w:rsidRPr="002F392C">
        <w:rPr>
          <w:lang w:val="es-ES"/>
        </w:rPr>
        <w:t>-</w:t>
      </w:r>
      <w:r w:rsidRPr="002F392C">
        <w:rPr>
          <w:lang w:val="es-ES"/>
        </w:rPr>
        <w:tab/>
      </w:r>
      <w:hyperlink r:id="rId22" w:history="1">
        <w:r>
          <w:rPr>
            <w:rStyle w:val="Hyperlink"/>
            <w:lang w:val="es-ES_tradnl"/>
          </w:rPr>
          <w:t>ITU-T M.3364 (2020) Amd. 1 (10/2025)</w:t>
        </w:r>
      </w:hyperlink>
      <w:r>
        <w:rPr>
          <w:lang w:val="es-ES_tradnl"/>
        </w:rPr>
        <w:t>: Requisitos para la función de gestión del mantenimiento inteligente de las telecomunicaciones in situ - Enmienda 1</w:t>
      </w:r>
    </w:p>
    <w:p w14:paraId="3E6FC77F" w14:textId="0ED2753E" w:rsidR="002F392C" w:rsidRPr="002F392C" w:rsidRDefault="002F392C" w:rsidP="002F392C">
      <w:pPr>
        <w:rPr>
          <w:lang w:val="es-ES_tradnl"/>
        </w:rPr>
      </w:pPr>
      <w:r w:rsidRPr="002F392C">
        <w:rPr>
          <w:lang w:val="es-ES_tradnl"/>
        </w:rPr>
        <w:t>-</w:t>
      </w:r>
      <w:r w:rsidRPr="002F392C">
        <w:rPr>
          <w:lang w:val="es-ES_tradnl"/>
        </w:rPr>
        <w:tab/>
      </w:r>
      <w:hyperlink r:id="rId23" w:history="1">
        <w:r w:rsidRPr="002F392C">
          <w:rPr>
            <w:rStyle w:val="Hyperlink"/>
            <w:lang w:val="es-ES_tradnl"/>
          </w:rPr>
          <w:t>ITU-T M.3374 (10/2025)</w:t>
        </w:r>
      </w:hyperlink>
      <w:r w:rsidRPr="002F392C">
        <w:rPr>
          <w:lang w:val="es-ES_tradnl"/>
        </w:rPr>
        <w:t>: Requirements for computing power network management (en proceso de traducción)</w:t>
      </w:r>
    </w:p>
    <w:p w14:paraId="614524F5" w14:textId="53E2F2D9" w:rsidR="002F392C" w:rsidRPr="002F392C" w:rsidRDefault="002F392C" w:rsidP="002F392C">
      <w:pPr>
        <w:rPr>
          <w:lang w:val="es-ES_tradnl"/>
        </w:rPr>
      </w:pPr>
      <w:r w:rsidRPr="002F392C">
        <w:rPr>
          <w:lang w:val="es-ES_tradnl"/>
        </w:rPr>
        <w:t>-</w:t>
      </w:r>
      <w:r w:rsidRPr="002F392C">
        <w:rPr>
          <w:lang w:val="es-ES_tradnl"/>
        </w:rPr>
        <w:tab/>
      </w:r>
      <w:hyperlink r:id="rId24" w:history="1">
        <w:r w:rsidRPr="002F392C">
          <w:rPr>
            <w:rStyle w:val="Hyperlink"/>
            <w:lang w:val="es-ES_tradnl"/>
          </w:rPr>
          <w:t>ITU-T M.3393 (10/2025)</w:t>
        </w:r>
      </w:hyperlink>
      <w:r w:rsidRPr="002F392C">
        <w:rPr>
          <w:lang w:val="es-ES_tradnl"/>
        </w:rPr>
        <w:t>: Requirements for smart maintenance of cell antenna (en proceso de traducción)</w:t>
      </w:r>
    </w:p>
    <w:p w14:paraId="34A7B255" w14:textId="3E675551" w:rsidR="002F392C" w:rsidRDefault="002F392C" w:rsidP="002F392C">
      <w:pPr>
        <w:ind w:left="567" w:hanging="567"/>
      </w:pPr>
      <w:r>
        <w:t>-</w:t>
      </w:r>
      <w:r>
        <w:tab/>
      </w:r>
      <w:hyperlink r:id="rId25" w:history="1">
        <w:r>
          <w:rPr>
            <w:rStyle w:val="Hyperlink"/>
          </w:rPr>
          <w:t>ITU-T Y.3661 (08/2025)</w:t>
        </w:r>
      </w:hyperlink>
      <w:r>
        <w:t>: Big data driven networking - architecture and mechanism for customer-oriented intelligent network operation (en proceso de traducción)</w:t>
      </w:r>
    </w:p>
    <w:p w14:paraId="30D2E6CA" w14:textId="77777777" w:rsidR="002F392C" w:rsidRDefault="002F392C" w:rsidP="002F392C">
      <w:pPr>
        <w:rPr>
          <w:lang w:val="es-ES_tradnl"/>
        </w:rPr>
      </w:pPr>
      <w:r>
        <w:rPr>
          <w:lang w:val="es-ES_tradnl"/>
        </w:rPr>
        <w:t xml:space="preserve">Por la Circular TSB </w:t>
      </w:r>
      <w:hyperlink r:id="rId26" w:history="1">
        <w:r>
          <w:rPr>
            <w:rStyle w:val="Hyperlink"/>
            <w:lang w:val="es-ES_tradnl"/>
          </w:rPr>
          <w:t>CIR-80</w:t>
        </w:r>
      </w:hyperlink>
      <w:r>
        <w:rPr>
          <w:lang w:val="es-ES_tradnl"/>
        </w:rPr>
        <w:t xml:space="preserve"> del 17 de octubre de 2025, se anunció la aprobación de las Recomendaciones UIT-T siguientes, de conformidad con el procedimiento definido en la Resolución 1:</w:t>
      </w:r>
    </w:p>
    <w:p w14:paraId="25EC9852" w14:textId="125BAEDE" w:rsidR="002F392C" w:rsidRDefault="002F392C" w:rsidP="002F392C">
      <w:r>
        <w:t>-</w:t>
      </w:r>
      <w:r>
        <w:tab/>
      </w:r>
      <w:hyperlink r:id="rId27" w:history="1">
        <w:r>
          <w:rPr>
            <w:rStyle w:val="Hyperlink"/>
          </w:rPr>
          <w:t>ITU-T Y.4235 (09/2025)</w:t>
        </w:r>
      </w:hyperlink>
      <w:r>
        <w:t>: Requirements of IoT-based power grid communication network (en proceso de traducción)</w:t>
      </w:r>
    </w:p>
    <w:p w14:paraId="009C3977" w14:textId="742B640F" w:rsidR="002F392C" w:rsidRDefault="002F392C" w:rsidP="002F392C">
      <w:pPr>
        <w:ind w:left="567" w:hanging="567"/>
      </w:pPr>
      <w:r>
        <w:t>-</w:t>
      </w:r>
      <w:r>
        <w:tab/>
      </w:r>
      <w:hyperlink r:id="rId28" w:history="1">
        <w:r>
          <w:rPr>
            <w:rStyle w:val="Hyperlink"/>
          </w:rPr>
          <w:t>ITU-T Y.4236 (09/2025)</w:t>
        </w:r>
      </w:hyperlink>
      <w:r>
        <w:t>: Requirements for real-time event monitoring and integrated management in smart city platforms (en proceso de traducción)</w:t>
      </w:r>
    </w:p>
    <w:p w14:paraId="04553C23" w14:textId="39F1FB78" w:rsidR="002F392C" w:rsidRDefault="002F392C" w:rsidP="002F392C">
      <w:pPr>
        <w:ind w:left="567" w:hanging="567"/>
      </w:pPr>
      <w:r>
        <w:t>-</w:t>
      </w:r>
      <w:r>
        <w:tab/>
      </w:r>
      <w:hyperlink r:id="rId29" w:history="1">
        <w:r>
          <w:rPr>
            <w:rStyle w:val="Hyperlink"/>
          </w:rPr>
          <w:t>ITU-T Y.4237 (09/2025)</w:t>
        </w:r>
      </w:hyperlink>
      <w:r>
        <w:t>: Requirements and capability framework of digital twin for intelligent water conservancy system (en proceso de traducción)</w:t>
      </w:r>
    </w:p>
    <w:p w14:paraId="54F0BD24" w14:textId="608BF65E" w:rsidR="002F392C" w:rsidRDefault="002F392C" w:rsidP="002F392C">
      <w:pPr>
        <w:ind w:left="567" w:hanging="567"/>
      </w:pPr>
      <w:r>
        <w:t>-</w:t>
      </w:r>
      <w:r>
        <w:tab/>
      </w:r>
      <w:hyperlink r:id="rId30" w:history="1">
        <w:r>
          <w:rPr>
            <w:rStyle w:val="Hyperlink"/>
          </w:rPr>
          <w:t>ITU-T Y.4496 (09/2025)</w:t>
        </w:r>
      </w:hyperlink>
      <w:r>
        <w:t>: Requirements and reference architecture of smart public health emergency information system (en proceso de traducción)</w:t>
      </w:r>
    </w:p>
    <w:p w14:paraId="3294FCC8" w14:textId="683030E5" w:rsidR="002F392C" w:rsidRDefault="002F392C" w:rsidP="002F392C">
      <w:pPr>
        <w:ind w:left="567" w:hanging="567"/>
      </w:pPr>
      <w:r>
        <w:t>-</w:t>
      </w:r>
      <w:r>
        <w:tab/>
      </w:r>
      <w:hyperlink r:id="rId31" w:history="1">
        <w:r>
          <w:rPr>
            <w:rStyle w:val="Hyperlink"/>
          </w:rPr>
          <w:t>ITU-T Y.4609 (09/2025)</w:t>
        </w:r>
      </w:hyperlink>
      <w:r>
        <w:t>: Inventory metadata for IoT-based electric power infrastructure monitoring system (en proceso de traducción)</w:t>
      </w:r>
    </w:p>
    <w:p w14:paraId="18B2520F" w14:textId="3155866E" w:rsidR="002F392C" w:rsidRDefault="002F392C" w:rsidP="002F392C">
      <w:pPr>
        <w:ind w:left="567" w:hanging="567"/>
      </w:pPr>
      <w:r>
        <w:t>-</w:t>
      </w:r>
      <w:r>
        <w:tab/>
      </w:r>
      <w:hyperlink r:id="rId32" w:history="1">
        <w:r>
          <w:rPr>
            <w:rStyle w:val="Hyperlink"/>
          </w:rPr>
          <w:t>ITU-T Y.4708 (09/2025)</w:t>
        </w:r>
      </w:hyperlink>
      <w:r>
        <w:t>: Management framework for IoT-based distributed power equipment (en proceso de traducción)</w:t>
      </w:r>
    </w:p>
    <w:p w14:paraId="0C02D548" w14:textId="6C5ED030" w:rsidR="002F392C" w:rsidRDefault="002F392C" w:rsidP="002F392C">
      <w:pPr>
        <w:ind w:left="567" w:hanging="567"/>
      </w:pPr>
      <w:r>
        <w:t>-</w:t>
      </w:r>
      <w:r>
        <w:tab/>
      </w:r>
      <w:hyperlink r:id="rId33" w:history="1">
        <w:r>
          <w:rPr>
            <w:rStyle w:val="Hyperlink"/>
          </w:rPr>
          <w:t>ITU-T Y.4814 (09/2025)</w:t>
        </w:r>
      </w:hyperlink>
      <w:r>
        <w:t>: Functional requirements and architecture of access control service of Internet of things (IoT) platform enabled by zero trust in decentralized environments (en proceso de traducción)</w:t>
      </w:r>
    </w:p>
    <w:p w14:paraId="63BCD7BD" w14:textId="5F76BCDB" w:rsidR="002F392C" w:rsidRDefault="002F392C" w:rsidP="002F392C">
      <w:pPr>
        <w:ind w:left="567" w:hanging="567"/>
      </w:pPr>
      <w:r>
        <w:t>-</w:t>
      </w:r>
      <w:r>
        <w:tab/>
      </w:r>
      <w:hyperlink r:id="rId34" w:history="1">
        <w:r>
          <w:rPr>
            <w:rStyle w:val="Hyperlink"/>
          </w:rPr>
          <w:t>ITU-T Y.4911 (09/2025)</w:t>
        </w:r>
      </w:hyperlink>
      <w:r>
        <w:t>: Key performance indicators of ICT-based data support capabilities for urban flood disaster prevention and mitigation (en proceso de traducción)</w:t>
      </w:r>
    </w:p>
    <w:p w14:paraId="390CE621" w14:textId="77777777" w:rsidR="002F392C" w:rsidRDefault="002F392C" w:rsidP="002F392C">
      <w:pPr>
        <w:rPr>
          <w:b/>
          <w:bCs/>
          <w:lang w:val="es-ES_tradnl"/>
        </w:rPr>
      </w:pPr>
      <w:r>
        <w:rPr>
          <w:b/>
          <w:bCs/>
          <w:lang w:val="es-ES_tradnl"/>
        </w:rPr>
        <w:t>Recomendaciones suprimidas:</w:t>
      </w:r>
      <w:bookmarkStart w:id="989" w:name="DeletedContent"/>
      <w:bookmarkEnd w:id="989"/>
    </w:p>
    <w:p w14:paraId="3EE5521C" w14:textId="4362BCC1" w:rsidR="002F392C" w:rsidRDefault="002F392C" w:rsidP="002F392C">
      <w:pPr>
        <w:rPr>
          <w:lang w:val="es-ES_tradnl"/>
        </w:rPr>
      </w:pPr>
      <w:r>
        <w:rPr>
          <w:lang w:val="es-ES_tradnl"/>
        </w:rPr>
        <w:t>Ninguna</w:t>
      </w:r>
    </w:p>
    <w:p w14:paraId="3AA7BF78" w14:textId="77777777" w:rsidR="001D50FF" w:rsidRDefault="001D50FF" w:rsidP="001D50FF">
      <w:pPr>
        <w:ind w:left="567" w:hanging="567"/>
      </w:pPr>
    </w:p>
    <w:p w14:paraId="57901D3A" w14:textId="362FC892" w:rsidR="001D50FF" w:rsidRDefault="001D50F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36E1D7DB" w14:textId="77777777" w:rsidR="002F392C" w:rsidRPr="002F392C" w:rsidRDefault="002F392C" w:rsidP="002F392C">
      <w:pPr>
        <w:pStyle w:val="Heading20"/>
        <w:spacing w:before="0" w:after="0"/>
        <w:rPr>
          <w:sz w:val="28"/>
          <w:lang w:val="es-ES"/>
        </w:rPr>
      </w:pPr>
      <w:r w:rsidRPr="002F392C">
        <w:rPr>
          <w:sz w:val="28"/>
          <w:lang w:val="es-ES_tradnl"/>
        </w:rPr>
        <w:lastRenderedPageBreak/>
        <w:t xml:space="preserve">Plan de identificación internacional para </w:t>
      </w:r>
      <w:r w:rsidRPr="002F392C">
        <w:rPr>
          <w:sz w:val="28"/>
          <w:lang w:val="es-ES"/>
        </w:rPr>
        <w:t>redes públicas y suscripciones</w:t>
      </w:r>
      <w:r w:rsidRPr="002F392C">
        <w:rPr>
          <w:sz w:val="28"/>
          <w:lang w:val="es-ES"/>
        </w:rPr>
        <w:br/>
      </w:r>
      <w:r w:rsidRPr="002F392C">
        <w:rPr>
          <w:sz w:val="28"/>
          <w:lang w:val="es-ES_tradnl"/>
        </w:rPr>
        <w:t>(Recomendación UIT-T E.212)</w:t>
      </w:r>
    </w:p>
    <w:p w14:paraId="1122AEB9" w14:textId="77777777" w:rsidR="002F392C" w:rsidRPr="00A1497F" w:rsidRDefault="002F392C" w:rsidP="002F392C">
      <w:pPr>
        <w:spacing w:before="360" w:after="120"/>
        <w:rPr>
          <w:lang w:val="es-ES_tradnl"/>
        </w:rPr>
      </w:pPr>
      <w:r w:rsidRPr="00A1497F">
        <w:rPr>
          <w:b/>
          <w:noProof/>
          <w:lang w:val="es-ES_tradnl"/>
        </w:rPr>
        <w:t>Nota de la TSB</w:t>
      </w:r>
    </w:p>
    <w:p w14:paraId="7A95B197" w14:textId="77777777" w:rsidR="002F392C" w:rsidRPr="00A1497F" w:rsidRDefault="002F392C" w:rsidP="002F392C">
      <w:pPr>
        <w:spacing w:after="0"/>
        <w:jc w:val="center"/>
        <w:rPr>
          <w:i/>
          <w:iCs/>
          <w:lang w:val="es-ES_tradnl"/>
        </w:rPr>
      </w:pPr>
      <w:r w:rsidRPr="00A1497F">
        <w:rPr>
          <w:i/>
          <w:iCs/>
          <w:lang w:val="es-ES_tradnl"/>
        </w:rPr>
        <w:t>Códigos de identificación para redes móviles internacionales</w:t>
      </w:r>
    </w:p>
    <w:p w14:paraId="5BCAEB82" w14:textId="77777777" w:rsidR="002F392C" w:rsidRDefault="002F392C" w:rsidP="002F392C">
      <w:pPr>
        <w:pStyle w:val="Normalaftertitle"/>
        <w:spacing w:before="0"/>
        <w:jc w:val="left"/>
        <w:rPr>
          <w:lang w:val="es-ES" w:bidi="ar-LB"/>
        </w:rPr>
      </w:pPr>
    </w:p>
    <w:p w14:paraId="12B9CB99" w14:textId="77777777" w:rsidR="002F392C" w:rsidRPr="00C30BE6" w:rsidRDefault="002F392C" w:rsidP="002F392C">
      <w:pPr>
        <w:pStyle w:val="Normalaftertitle"/>
        <w:spacing w:before="120" w:after="120"/>
        <w:rPr>
          <w:lang w:val="es-ES" w:bidi="ar-LB"/>
        </w:rPr>
      </w:pPr>
      <w:r w:rsidRPr="00C30BE6">
        <w:rPr>
          <w:lang w:val="es-ES" w:bidi="ar-LB"/>
        </w:rPr>
        <w:t xml:space="preserve">Asociado al indicativo de país para el servicio móvil 901 (MCC) compartido, se ha </w:t>
      </w:r>
      <w:r w:rsidRPr="00C30BE6">
        <w:rPr>
          <w:b/>
          <w:bCs/>
          <w:lang w:val="es-ES" w:bidi="ar-LB"/>
        </w:rPr>
        <w:t xml:space="preserve">asignado </w:t>
      </w:r>
      <w:r w:rsidRPr="00C30BE6">
        <w:rPr>
          <w:lang w:val="es-ES" w:bidi="ar-LB"/>
        </w:rPr>
        <w:t>el indicativo de red móvil (MNC) de dos cifras siguiente.</w:t>
      </w:r>
    </w:p>
    <w:p w14:paraId="7CC4593C" w14:textId="77777777" w:rsidR="002F392C" w:rsidRPr="00A1497F" w:rsidRDefault="002F392C" w:rsidP="002F392C">
      <w:pPr>
        <w:spacing w:after="0"/>
        <w:rPr>
          <w:sz w:val="4"/>
          <w:lang w:val="es-ES_tradnl"/>
        </w:rPr>
      </w:pPr>
    </w:p>
    <w:tbl>
      <w:tblPr>
        <w:tblW w:w="48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4098"/>
        <w:gridCol w:w="2053"/>
      </w:tblGrid>
      <w:tr w:rsidR="002F392C" w:rsidRPr="003C67B1" w14:paraId="03C69F43" w14:textId="77777777" w:rsidTr="00D9027E">
        <w:trPr>
          <w:tblHeader/>
          <w:jc w:val="center"/>
        </w:trPr>
        <w:tc>
          <w:tcPr>
            <w:tcW w:w="3539" w:type="dxa"/>
            <w:vAlign w:val="center"/>
          </w:tcPr>
          <w:p w14:paraId="13A05CE5" w14:textId="77777777" w:rsidR="002F392C" w:rsidRPr="00A1497F" w:rsidRDefault="002F392C" w:rsidP="00D9027E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A1497F">
              <w:rPr>
                <w:i/>
                <w:lang w:val="es-ES_tradnl"/>
              </w:rPr>
              <w:t>Red</w:t>
            </w:r>
          </w:p>
        </w:tc>
        <w:tc>
          <w:tcPr>
            <w:tcW w:w="4253" w:type="dxa"/>
            <w:vAlign w:val="center"/>
          </w:tcPr>
          <w:p w14:paraId="0A1867AE" w14:textId="77777777" w:rsidR="002F392C" w:rsidRPr="00A1497F" w:rsidRDefault="002F392C" w:rsidP="00D9027E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A1497F">
              <w:rPr>
                <w:i/>
                <w:lang w:val="es-ES_tradnl"/>
              </w:rPr>
              <w:t>Indicativo de país para el servicio móvil (MCC) e indicativo de red para el servicio móvil (MNC)</w:t>
            </w:r>
          </w:p>
        </w:tc>
        <w:tc>
          <w:tcPr>
            <w:tcW w:w="2126" w:type="dxa"/>
          </w:tcPr>
          <w:p w14:paraId="654E314F" w14:textId="77777777" w:rsidR="002F392C" w:rsidRPr="00A1497F" w:rsidRDefault="002F392C" w:rsidP="00D9027E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E028EC">
              <w:rPr>
                <w:rFonts w:cs="Arial"/>
                <w:i/>
                <w:iCs/>
                <w:lang w:val="es-ES_tradnl"/>
              </w:rPr>
              <w:t>Fecha de asignación</w:t>
            </w:r>
          </w:p>
        </w:tc>
      </w:tr>
      <w:tr w:rsidR="002F392C" w:rsidRPr="00A1497F" w14:paraId="1EE0C648" w14:textId="77777777" w:rsidTr="00D9027E">
        <w:trPr>
          <w:jc w:val="center"/>
        </w:trPr>
        <w:tc>
          <w:tcPr>
            <w:tcW w:w="3539" w:type="dxa"/>
            <w:textDirection w:val="lrTbV"/>
          </w:tcPr>
          <w:p w14:paraId="75D86E9B" w14:textId="77777777" w:rsidR="002F392C" w:rsidRPr="002F392C" w:rsidRDefault="002F392C" w:rsidP="002F392C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240" w:after="240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2F392C"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en-GB"/>
              </w:rPr>
              <w:t>Bondio Limited</w:t>
            </w:r>
          </w:p>
        </w:tc>
        <w:tc>
          <w:tcPr>
            <w:tcW w:w="4253" w:type="dxa"/>
            <w:textDirection w:val="lrTbV"/>
          </w:tcPr>
          <w:p w14:paraId="0B182307" w14:textId="77777777" w:rsidR="002F392C" w:rsidRPr="002F392C" w:rsidRDefault="002F392C" w:rsidP="00D9027E">
            <w:pPr>
              <w:pStyle w:val="Tabletext0"/>
              <w:spacing w:before="240" w:after="240"/>
              <w:rPr>
                <w:b w:val="0"/>
                <w:bCs w:val="0"/>
                <w:sz w:val="20"/>
                <w:szCs w:val="20"/>
              </w:rPr>
            </w:pPr>
            <w:r w:rsidRPr="002F392C">
              <w:rPr>
                <w:b w:val="0"/>
                <w:bCs w:val="0"/>
                <w:sz w:val="20"/>
                <w:szCs w:val="20"/>
                <w:lang w:val="en-GB"/>
              </w:rPr>
              <w:t>901 88</w:t>
            </w:r>
          </w:p>
        </w:tc>
        <w:tc>
          <w:tcPr>
            <w:tcW w:w="2126" w:type="dxa"/>
            <w:textDirection w:val="lrTbV"/>
          </w:tcPr>
          <w:p w14:paraId="38047A9E" w14:textId="77777777" w:rsidR="002F392C" w:rsidRPr="002F392C" w:rsidRDefault="002F392C" w:rsidP="00D9027E">
            <w:pPr>
              <w:pStyle w:val="Tabletext0"/>
              <w:spacing w:before="240" w:after="240"/>
              <w:rPr>
                <w:b w:val="0"/>
                <w:bCs w:val="0"/>
                <w:sz w:val="20"/>
                <w:szCs w:val="20"/>
              </w:rPr>
            </w:pPr>
            <w:r w:rsidRPr="002F392C">
              <w:rPr>
                <w:b w:val="0"/>
                <w:bCs w:val="0"/>
                <w:sz w:val="20"/>
                <w:szCs w:val="20"/>
                <w:lang w:val="en-GB"/>
              </w:rPr>
              <w:t>20.X.2025</w:t>
            </w:r>
          </w:p>
        </w:tc>
      </w:tr>
    </w:tbl>
    <w:p w14:paraId="30238B8D" w14:textId="77777777" w:rsidR="002F392C" w:rsidRPr="00A1497F" w:rsidRDefault="002F392C" w:rsidP="002F392C">
      <w:pPr>
        <w:spacing w:before="480" w:after="120"/>
        <w:rPr>
          <w:lang w:val="es-ES_tradnl"/>
        </w:rPr>
      </w:pPr>
      <w:r w:rsidRPr="00A1497F">
        <w:rPr>
          <w:b/>
          <w:noProof/>
          <w:lang w:val="es-ES_tradnl"/>
        </w:rPr>
        <w:t>Nota de la TSB</w:t>
      </w:r>
    </w:p>
    <w:p w14:paraId="5EAD806E" w14:textId="77777777" w:rsidR="002F392C" w:rsidRPr="004F2361" w:rsidRDefault="002F392C" w:rsidP="002F392C">
      <w:pPr>
        <w:spacing w:after="0"/>
        <w:jc w:val="center"/>
        <w:rPr>
          <w:i/>
          <w:iCs/>
          <w:lang w:val="es-ES_tradnl"/>
        </w:rPr>
      </w:pPr>
      <w:r w:rsidRPr="004F2361">
        <w:rPr>
          <w:i/>
          <w:iCs/>
          <w:lang w:val="es-ES_tradnl"/>
        </w:rPr>
        <w:t>Códigos de identificación para ensayos internacionales no comerciales</w:t>
      </w:r>
    </w:p>
    <w:p w14:paraId="4124DE7E" w14:textId="77777777" w:rsidR="002F392C" w:rsidRPr="00A264EF" w:rsidRDefault="002F392C" w:rsidP="002F392C">
      <w:pPr>
        <w:spacing w:before="240" w:after="240"/>
        <w:rPr>
          <w:lang w:val="es-ES_tradnl"/>
        </w:rPr>
      </w:pPr>
      <w:r w:rsidRPr="004F2361">
        <w:rPr>
          <w:lang w:val="es-ES_tradnl"/>
        </w:rPr>
        <w:t xml:space="preserve">Asociado con el indicativo de país para el servicio móvil (MCC) 991 compartido, la asignación temporal del código de red móvil (MNC) de dos cifras </w:t>
      </w:r>
      <w:r>
        <w:rPr>
          <w:lang w:val="es-ES_tradnl"/>
        </w:rPr>
        <w:t>“</w:t>
      </w:r>
      <w:r w:rsidRPr="004F2361">
        <w:rPr>
          <w:lang w:val="es-ES_tradnl"/>
        </w:rPr>
        <w:t>0</w:t>
      </w:r>
      <w:r>
        <w:rPr>
          <w:lang w:val="es-ES_tradnl"/>
        </w:rPr>
        <w:t>4”</w:t>
      </w:r>
      <w:r w:rsidRPr="004F2361">
        <w:rPr>
          <w:lang w:val="es-ES_tradnl"/>
        </w:rPr>
        <w:t xml:space="preserve"> se ha prorrogado hasta el </w:t>
      </w:r>
      <w:r w:rsidRPr="00A264EF">
        <w:rPr>
          <w:lang w:val="es-ES_tradnl"/>
        </w:rPr>
        <w:t>17 de octubre de 202</w:t>
      </w:r>
      <w:r>
        <w:rPr>
          <w:lang w:val="es-ES_tradnl"/>
        </w:rPr>
        <w:t>6</w:t>
      </w:r>
      <w:r w:rsidRPr="00A264EF">
        <w:rPr>
          <w:lang w:val="es-ES_tradnl"/>
        </w:rPr>
        <w:t xml:space="preserve"> a </w:t>
      </w:r>
      <w:r w:rsidRPr="00F23EAF">
        <w:rPr>
          <w:lang w:val="es-ES"/>
        </w:rPr>
        <w:t>E-Space Inc.</w:t>
      </w:r>
      <w:r w:rsidRPr="00A264EF">
        <w:rPr>
          <w:lang w:val="es-ES_tradnl"/>
        </w:rPr>
        <w:t xml:space="preserve"> para ensayos de “</w:t>
      </w:r>
      <w:r w:rsidRPr="00F23EAF">
        <w:rPr>
          <w:i/>
          <w:iCs/>
          <w:lang w:val="es-ES"/>
        </w:rPr>
        <w:t>Semaphore Network</w:t>
      </w:r>
      <w:r w:rsidRPr="00A264EF">
        <w:rPr>
          <w:lang w:val="es-ES_tradnl"/>
        </w:rPr>
        <w:t>”</w:t>
      </w:r>
      <w:r w:rsidRPr="004F2361">
        <w:rPr>
          <w:lang w:val="es-ES_tradnl"/>
        </w:rPr>
        <w:t>. La prórroga de la asignación temporal del E.212 MCC compartido y el MNC de ensayo 991 0</w:t>
      </w:r>
      <w:r>
        <w:rPr>
          <w:lang w:val="es-ES_tradnl"/>
        </w:rPr>
        <w:t>4</w:t>
      </w:r>
      <w:r w:rsidRPr="004F2361">
        <w:rPr>
          <w:lang w:val="es-ES_tradnl"/>
        </w:rPr>
        <w:t xml:space="preserve"> es efectiva desde el </w:t>
      </w:r>
      <w:r w:rsidRPr="00A264EF">
        <w:rPr>
          <w:lang w:val="es-ES_tradnl"/>
        </w:rPr>
        <w:t>18 de octubre de 202</w:t>
      </w:r>
      <w:r>
        <w:rPr>
          <w:lang w:val="es-ES_tradnl"/>
        </w:rPr>
        <w:t>5</w:t>
      </w:r>
      <w:r w:rsidRPr="004F2361">
        <w:rPr>
          <w:lang w:val="es-ES_tradnl"/>
        </w:rPr>
        <w:t>.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969"/>
        <w:gridCol w:w="2552"/>
        <w:gridCol w:w="2268"/>
      </w:tblGrid>
      <w:tr w:rsidR="002F392C" w:rsidRPr="00A264EF" w14:paraId="6624C0EF" w14:textId="77777777" w:rsidTr="00D9027E">
        <w:trPr>
          <w:tblHeader/>
        </w:trPr>
        <w:tc>
          <w:tcPr>
            <w:tcW w:w="1271" w:type="dxa"/>
            <w:vAlign w:val="center"/>
          </w:tcPr>
          <w:p w14:paraId="3E785C25" w14:textId="77777777" w:rsidR="002F392C" w:rsidRPr="00A264EF" w:rsidRDefault="002F392C" w:rsidP="00D9027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lang w:val="es-ES_tradnl"/>
              </w:rPr>
            </w:pPr>
            <w:r w:rsidRPr="00A264EF">
              <w:rPr>
                <w:i/>
                <w:lang w:val="es-ES_tradnl"/>
              </w:rPr>
              <w:t>Solicitante</w:t>
            </w:r>
          </w:p>
        </w:tc>
        <w:tc>
          <w:tcPr>
            <w:tcW w:w="3969" w:type="dxa"/>
            <w:vAlign w:val="center"/>
          </w:tcPr>
          <w:p w14:paraId="2A73BF26" w14:textId="77777777" w:rsidR="002F392C" w:rsidRPr="00A264EF" w:rsidRDefault="002F392C" w:rsidP="00D9027E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A264EF">
              <w:rPr>
                <w:i/>
                <w:lang w:val="es-ES_tradnl"/>
              </w:rPr>
              <w:t xml:space="preserve">Indicativo de país para el servicio móvil (MCC) </w:t>
            </w:r>
            <w:r>
              <w:rPr>
                <w:i/>
                <w:lang w:val="es-ES_tradnl"/>
              </w:rPr>
              <w:br/>
            </w:r>
            <w:r w:rsidRPr="00A264EF">
              <w:rPr>
                <w:i/>
                <w:lang w:val="es-ES_tradnl"/>
              </w:rPr>
              <w:t>y código de red móvil de ensayo (MNC)</w:t>
            </w:r>
          </w:p>
        </w:tc>
        <w:tc>
          <w:tcPr>
            <w:tcW w:w="2552" w:type="dxa"/>
          </w:tcPr>
          <w:p w14:paraId="3578E820" w14:textId="77777777" w:rsidR="002F392C" w:rsidRPr="00A264EF" w:rsidRDefault="002F392C" w:rsidP="00D9027E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A264EF">
              <w:rPr>
                <w:rFonts w:cs="Arial"/>
                <w:i/>
                <w:iCs/>
                <w:lang w:val="es-ES_tradnl"/>
              </w:rPr>
              <w:t>Fecha de asignación efectiva</w:t>
            </w:r>
          </w:p>
        </w:tc>
        <w:tc>
          <w:tcPr>
            <w:tcW w:w="2268" w:type="dxa"/>
          </w:tcPr>
          <w:p w14:paraId="7A6DECDD" w14:textId="77777777" w:rsidR="002F392C" w:rsidRPr="00A264EF" w:rsidRDefault="002F392C" w:rsidP="00D9027E">
            <w:pPr>
              <w:keepNext/>
              <w:spacing w:before="60"/>
              <w:jc w:val="center"/>
              <w:rPr>
                <w:rFonts w:cs="Arial"/>
                <w:i/>
                <w:iCs/>
                <w:lang w:val="es-ES_tradnl"/>
              </w:rPr>
            </w:pPr>
            <w:r w:rsidRPr="00A264EF">
              <w:rPr>
                <w:rFonts w:cs="Arial"/>
                <w:i/>
                <w:iCs/>
                <w:lang w:val="es-ES_tradnl"/>
              </w:rPr>
              <w:t>Fecha de reclamación</w:t>
            </w:r>
          </w:p>
        </w:tc>
      </w:tr>
      <w:tr w:rsidR="002F392C" w:rsidRPr="00A264EF" w14:paraId="58EE965E" w14:textId="77777777" w:rsidTr="00D9027E">
        <w:tc>
          <w:tcPr>
            <w:tcW w:w="1271" w:type="dxa"/>
          </w:tcPr>
          <w:p w14:paraId="2B0A8B55" w14:textId="77777777" w:rsidR="002F392C" w:rsidRPr="00A264EF" w:rsidRDefault="002F392C" w:rsidP="00D9027E">
            <w:pPr>
              <w:spacing w:before="240" w:after="240"/>
              <w:rPr>
                <w:bCs/>
              </w:rPr>
            </w:pPr>
            <w:r w:rsidRPr="00A264EF">
              <w:t>E-Space Inc.</w:t>
            </w:r>
          </w:p>
        </w:tc>
        <w:tc>
          <w:tcPr>
            <w:tcW w:w="3969" w:type="dxa"/>
            <w:textDirection w:val="lrTbV"/>
          </w:tcPr>
          <w:p w14:paraId="4E90150B" w14:textId="77777777" w:rsidR="002F392C" w:rsidRPr="00A264EF" w:rsidRDefault="002F392C" w:rsidP="00D9027E">
            <w:pPr>
              <w:spacing w:before="240" w:after="240"/>
              <w:jc w:val="center"/>
              <w:rPr>
                <w:bCs/>
                <w:lang w:val="fr-FR"/>
              </w:rPr>
            </w:pPr>
            <w:r w:rsidRPr="00A264EF">
              <w:rPr>
                <w:bCs/>
                <w:lang w:val="fr-FR"/>
              </w:rPr>
              <w:t>991 04</w:t>
            </w:r>
          </w:p>
        </w:tc>
        <w:tc>
          <w:tcPr>
            <w:tcW w:w="2552" w:type="dxa"/>
            <w:textDirection w:val="lrTbV"/>
          </w:tcPr>
          <w:p w14:paraId="088426AF" w14:textId="77777777" w:rsidR="002F392C" w:rsidRPr="00A264EF" w:rsidRDefault="002F392C" w:rsidP="00D9027E">
            <w:pPr>
              <w:spacing w:before="240" w:after="240"/>
              <w:jc w:val="center"/>
              <w:rPr>
                <w:bCs/>
                <w:lang w:val="fr-FR"/>
              </w:rPr>
            </w:pPr>
            <w:r w:rsidRPr="00A264EF">
              <w:t>18.X.202</w:t>
            </w:r>
            <w:r>
              <w:t>5</w:t>
            </w:r>
          </w:p>
        </w:tc>
        <w:tc>
          <w:tcPr>
            <w:tcW w:w="2268" w:type="dxa"/>
            <w:textDirection w:val="lrTbV"/>
          </w:tcPr>
          <w:p w14:paraId="50CCB953" w14:textId="77777777" w:rsidR="002F392C" w:rsidRPr="00A264EF" w:rsidRDefault="002F392C" w:rsidP="00D9027E">
            <w:pPr>
              <w:spacing w:before="240" w:after="240"/>
              <w:jc w:val="center"/>
              <w:rPr>
                <w:bCs/>
                <w:lang w:val="fr-FR"/>
              </w:rPr>
            </w:pPr>
            <w:r w:rsidRPr="00A264EF">
              <w:t>18.X.202</w:t>
            </w:r>
            <w:r>
              <w:t>6</w:t>
            </w:r>
          </w:p>
        </w:tc>
      </w:tr>
    </w:tbl>
    <w:p w14:paraId="540B7F98" w14:textId="77777777" w:rsidR="002F392C" w:rsidRPr="00A264EF" w:rsidRDefault="002F392C" w:rsidP="002F392C">
      <w:pPr>
        <w:spacing w:before="60"/>
        <w:rPr>
          <w:bCs/>
          <w:lang w:val="es-ES_tradnl"/>
        </w:rPr>
      </w:pPr>
    </w:p>
    <w:p w14:paraId="582AD630" w14:textId="46F82ADB" w:rsidR="002F392C" w:rsidRDefault="002F392C" w:rsidP="002F392C">
      <w:pPr>
        <w:spacing w:after="0"/>
        <w:rPr>
          <w:bCs/>
          <w:lang w:val="es-ES_tradnl"/>
        </w:rPr>
      </w:pPr>
      <w:r>
        <w:rPr>
          <w:bCs/>
          <w:lang w:val="es-ES_tradnl"/>
        </w:rPr>
        <w:br w:type="page"/>
      </w:r>
    </w:p>
    <w:p w14:paraId="2477DB1A" w14:textId="77777777" w:rsidR="000C43D6" w:rsidRPr="007005C3" w:rsidRDefault="000C43D6" w:rsidP="000C43D6">
      <w:pPr>
        <w:keepNext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noProof/>
          <w:sz w:val="28"/>
          <w:szCs w:val="28"/>
          <w:lang w:val="es-ES"/>
        </w:rPr>
      </w:pPr>
      <w:bookmarkStart w:id="990" w:name="_Toc108423196"/>
      <w:bookmarkStart w:id="991" w:name="_Toc138153382"/>
      <w:bookmarkStart w:id="992" w:name="_Toc215907216"/>
      <w:bookmarkStart w:id="993" w:name="_Toc135454474"/>
      <w:bookmarkStart w:id="994" w:name="_Toc506783994"/>
      <w:r w:rsidRPr="007005C3">
        <w:rPr>
          <w:rFonts w:cs="Calibri"/>
          <w:b/>
          <w:bCs/>
          <w:noProof/>
          <w:sz w:val="28"/>
          <w:szCs w:val="28"/>
          <w:lang w:val="es-ES"/>
        </w:rPr>
        <w:lastRenderedPageBreak/>
        <w:t>Servicio telefónico</w:t>
      </w:r>
      <w:r w:rsidRPr="007005C3">
        <w:rPr>
          <w:rFonts w:cs="Calibri"/>
          <w:b/>
          <w:bCs/>
          <w:noProof/>
          <w:sz w:val="28"/>
          <w:szCs w:val="28"/>
          <w:lang w:val="es-ES"/>
        </w:rPr>
        <w:br/>
        <w:t>(Recomendación UIT-T E.164)</w:t>
      </w:r>
      <w:bookmarkEnd w:id="990"/>
    </w:p>
    <w:p w14:paraId="251D425F" w14:textId="77777777" w:rsidR="000C43D6" w:rsidRPr="00746DF9" w:rsidRDefault="000C43D6" w:rsidP="000C43D6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jc w:val="center"/>
        <w:rPr>
          <w:rFonts w:cs="Calibri"/>
          <w:noProof/>
          <w:sz w:val="18"/>
          <w:szCs w:val="18"/>
          <w:lang w:val="en-US"/>
        </w:rPr>
      </w:pPr>
      <w:r w:rsidRPr="00746DF9">
        <w:rPr>
          <w:rFonts w:cs="Calibri"/>
          <w:noProof/>
          <w:sz w:val="18"/>
          <w:szCs w:val="18"/>
          <w:lang w:val="en-US"/>
        </w:rPr>
        <w:t>url: www.itu.int/itu-t/nnp</w:t>
      </w:r>
    </w:p>
    <w:p w14:paraId="6E880CC0" w14:textId="77777777" w:rsidR="000C43D6" w:rsidRPr="007005C3" w:rsidRDefault="000C43D6" w:rsidP="000C43D6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es-ES"/>
        </w:rPr>
      </w:pPr>
      <w:r w:rsidRPr="007005C3">
        <w:rPr>
          <w:rFonts w:cs="Arial"/>
          <w:b/>
          <w:lang w:val="es-ES"/>
        </w:rPr>
        <w:t>Guyana (indicativ</w:t>
      </w:r>
      <w:r>
        <w:rPr>
          <w:rFonts w:cs="Arial"/>
          <w:b/>
          <w:lang w:val="es-ES"/>
        </w:rPr>
        <w:t>o</w:t>
      </w:r>
      <w:r w:rsidRPr="007005C3">
        <w:rPr>
          <w:rFonts w:cs="Arial"/>
          <w:b/>
          <w:lang w:val="es-ES"/>
        </w:rPr>
        <w:t xml:space="preserve"> de país</w:t>
      </w:r>
      <w:r>
        <w:rPr>
          <w:rFonts w:cs="Arial"/>
          <w:b/>
          <w:lang w:val="es-ES"/>
        </w:rPr>
        <w:t xml:space="preserve"> </w:t>
      </w:r>
      <w:r w:rsidRPr="007005C3">
        <w:rPr>
          <w:rFonts w:cs="Arial"/>
          <w:b/>
          <w:lang w:val="es-ES"/>
        </w:rPr>
        <w:t>+592)</w:t>
      </w:r>
    </w:p>
    <w:p w14:paraId="745E2492" w14:textId="77777777" w:rsidR="000C43D6" w:rsidRPr="007005C3" w:rsidRDefault="000C43D6" w:rsidP="000C43D6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lang w:val="es-ES"/>
        </w:rPr>
      </w:pPr>
      <w:r w:rsidRPr="007005C3">
        <w:rPr>
          <w:rFonts w:cs="Arial"/>
          <w:lang w:val="es-ES"/>
        </w:rPr>
        <w:t>Comunicación del 14.X.2025:</w:t>
      </w:r>
    </w:p>
    <w:p w14:paraId="5AADFAEF" w14:textId="77777777" w:rsidR="000C43D6" w:rsidRPr="00560F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DC26D2">
        <w:rPr>
          <w:lang w:val="es-ES_tradnl"/>
        </w:rPr>
        <w:t xml:space="preserve">La </w:t>
      </w:r>
      <w:r w:rsidRPr="00DC26D2">
        <w:rPr>
          <w:i/>
          <w:iCs/>
          <w:lang w:val="es-ES_tradnl"/>
        </w:rPr>
        <w:t>Telecommunications Agency</w:t>
      </w:r>
      <w:r w:rsidRPr="00DC26D2">
        <w:rPr>
          <w:lang w:val="es-ES_tradnl"/>
        </w:rPr>
        <w:t>, Georgetown, anuncia que los siguientes indicativos nacionales de destino (NDC) y gamas de números de abonado (SN) están actualmente asignados a los operadores públicos de telecomunicaciones enumerados para la República Cooperativa de Guyana. Los números atribuidos para acceder a los servicios de emergencia/sociales también figuran a continuación</w:t>
      </w:r>
      <w:r w:rsidRPr="00560F28">
        <w:rPr>
          <w:rFonts w:eastAsia="Calibri" w:cs="Arial"/>
          <w:kern w:val="2"/>
          <w:lang w:val="es-ES"/>
          <w14:ligatures w14:val="standardContextual"/>
        </w:rPr>
        <w:t>.</w:t>
      </w:r>
    </w:p>
    <w:p w14:paraId="5F809371" w14:textId="77777777" w:rsidR="000C43D6" w:rsidRPr="00560F28" w:rsidRDefault="000C43D6" w:rsidP="000C43D6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/>
        <w:jc w:val="center"/>
        <w:rPr>
          <w:rFonts w:cs="Arial"/>
          <w:bCs/>
          <w:i/>
          <w:iCs/>
          <w:lang w:val="es-ES"/>
        </w:rPr>
      </w:pPr>
      <w:r w:rsidRPr="00DC26D2">
        <w:rPr>
          <w:i/>
          <w:iCs/>
          <w:lang w:val="es-ES_tradnl"/>
        </w:rPr>
        <w:t xml:space="preserve">Presentación del plan nacional de numeración UIT-T </w:t>
      </w:r>
      <w:r w:rsidRPr="00560F28">
        <w:rPr>
          <w:rFonts w:cs="Arial"/>
          <w:bCs/>
          <w:i/>
          <w:iCs/>
          <w:lang w:val="es-ES"/>
        </w:rPr>
        <w:t>E.164</w:t>
      </w:r>
      <w:r w:rsidRPr="00560F28">
        <w:rPr>
          <w:rFonts w:cs="Arial"/>
          <w:bCs/>
          <w:i/>
          <w:iCs/>
          <w:lang w:val="es-ES"/>
        </w:rPr>
        <w:br/>
      </w:r>
      <w:r w:rsidRPr="00DC26D2">
        <w:rPr>
          <w:i/>
          <w:iCs/>
          <w:lang w:val="es-ES_tradnl"/>
        </w:rPr>
        <w:t xml:space="preserve">para el indicativo de país </w:t>
      </w:r>
      <w:r w:rsidRPr="00560F28">
        <w:rPr>
          <w:rFonts w:cs="Arial"/>
          <w:bCs/>
          <w:i/>
          <w:iCs/>
          <w:lang w:val="es-ES"/>
        </w:rPr>
        <w:t>592</w:t>
      </w:r>
    </w:p>
    <w:p w14:paraId="62A5301D" w14:textId="77777777" w:rsidR="000C43D6" w:rsidRPr="00560F28" w:rsidRDefault="000C43D6" w:rsidP="000C43D6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/>
        <w:ind w:left="567" w:hanging="567"/>
        <w:rPr>
          <w:rFonts w:asciiTheme="minorHAnsi" w:eastAsia="Calibri" w:hAnsiTheme="minorHAnsi" w:cs="Arial"/>
          <w:kern w:val="2"/>
          <w:lang w:val="es-ES_tradnl"/>
        </w:rPr>
      </w:pPr>
      <w:r>
        <w:rPr>
          <w:rFonts w:asciiTheme="minorHAnsi" w:hAnsiTheme="minorHAnsi"/>
          <w:lang w:val="es-ES_tradnl"/>
        </w:rPr>
        <w:t>a)</w:t>
      </w:r>
      <w:r>
        <w:rPr>
          <w:rFonts w:asciiTheme="minorHAnsi" w:hAnsiTheme="minorHAnsi"/>
          <w:lang w:val="es-ES_tradnl"/>
        </w:rPr>
        <w:tab/>
      </w:r>
      <w:r w:rsidRPr="00560F28">
        <w:rPr>
          <w:rFonts w:asciiTheme="minorHAnsi" w:hAnsiTheme="minorHAnsi"/>
          <w:lang w:val="es-ES_tradnl"/>
        </w:rPr>
        <w:t>Resumen:</w:t>
      </w:r>
    </w:p>
    <w:p w14:paraId="7633AF1C" w14:textId="77777777" w:rsidR="000C43D6" w:rsidRPr="00560F28" w:rsidRDefault="000C43D6" w:rsidP="000C43D6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/>
        <w:ind w:left="567" w:hanging="567"/>
        <w:rPr>
          <w:rFonts w:asciiTheme="minorHAnsi" w:eastAsia="Calibri" w:hAnsiTheme="minorHAnsi" w:cs="Arial"/>
          <w:kern w:val="2"/>
          <w:lang w:val="es-ES_tradnl"/>
        </w:rPr>
      </w:pPr>
      <w:r w:rsidRPr="00560F28">
        <w:rPr>
          <w:rFonts w:asciiTheme="minorHAnsi" w:hAnsiTheme="minorHAnsi"/>
          <w:lang w:val="es-ES_tradnl"/>
        </w:rPr>
        <w:tab/>
        <w:t>La longitud mínima de los números fijos y móviles (excluyendo el indicativo de país) es de siete (7) dígitos.</w:t>
      </w:r>
    </w:p>
    <w:p w14:paraId="37D1B890" w14:textId="77777777" w:rsidR="000C43D6" w:rsidRPr="00560F28" w:rsidRDefault="000C43D6" w:rsidP="000C43D6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0"/>
        <w:ind w:left="567" w:hanging="567"/>
        <w:rPr>
          <w:rFonts w:asciiTheme="minorHAnsi" w:eastAsia="Calibri" w:hAnsiTheme="minorHAnsi" w:cs="Arial"/>
          <w:kern w:val="2"/>
          <w:lang w:val="es-ES_tradnl"/>
        </w:rPr>
      </w:pPr>
      <w:r w:rsidRPr="00560F28">
        <w:rPr>
          <w:rFonts w:asciiTheme="minorHAnsi" w:hAnsiTheme="minorHAnsi"/>
          <w:lang w:val="es-ES_tradnl"/>
        </w:rPr>
        <w:tab/>
        <w:t>La longitud máxima de los números fijos y móviles (excluyendo el indicativo de país) es de siete (7) dígitos.</w:t>
      </w:r>
    </w:p>
    <w:p w14:paraId="03A23BAA" w14:textId="77777777" w:rsidR="000C43D6" w:rsidRPr="00560F28" w:rsidRDefault="000C43D6" w:rsidP="000C43D6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/>
        <w:ind w:left="567" w:hanging="567"/>
        <w:rPr>
          <w:rFonts w:asciiTheme="minorHAnsi" w:eastAsia="Calibri" w:hAnsiTheme="minorHAnsi" w:cs="Arial"/>
          <w:kern w:val="2"/>
          <w:lang w:val="es-ES_tradnl"/>
        </w:rPr>
      </w:pPr>
      <w:r w:rsidRPr="00560F28">
        <w:rPr>
          <w:rFonts w:asciiTheme="minorHAnsi" w:hAnsiTheme="minorHAnsi"/>
          <w:lang w:val="es-ES_tradnl"/>
        </w:rPr>
        <w:tab/>
        <w:t>Formato de marcación internacional: +592 NXX XXXX</w:t>
      </w:r>
    </w:p>
    <w:p w14:paraId="01D7A9F3" w14:textId="77777777" w:rsidR="000C43D6" w:rsidRPr="00560F28" w:rsidRDefault="000C43D6" w:rsidP="000C43D6">
      <w:pPr>
        <w:tabs>
          <w:tab w:val="clear" w:pos="567"/>
          <w:tab w:val="clear" w:pos="5387"/>
          <w:tab w:val="clear" w:pos="5954"/>
          <w:tab w:val="left" w:pos="992"/>
          <w:tab w:val="left" w:pos="1418"/>
          <w:tab w:val="left" w:pos="2268"/>
        </w:tabs>
        <w:spacing w:before="80"/>
        <w:ind w:left="567" w:hanging="567"/>
        <w:rPr>
          <w:rFonts w:asciiTheme="minorHAnsi" w:eastAsia="Calibri" w:hAnsiTheme="minorHAnsi" w:cs="Arial"/>
          <w:kern w:val="2"/>
          <w:lang w:val="es-ES_tradnl"/>
        </w:rPr>
      </w:pPr>
      <w:r w:rsidRPr="00560F28">
        <w:rPr>
          <w:rFonts w:asciiTheme="minorHAnsi" w:hAnsiTheme="minorHAnsi"/>
          <w:lang w:val="es-ES_tradnl"/>
        </w:rPr>
        <w:t>b)</w:t>
      </w:r>
      <w:r w:rsidRPr="00560F28">
        <w:rPr>
          <w:rFonts w:asciiTheme="minorHAnsi" w:hAnsiTheme="minorHAnsi"/>
          <w:lang w:val="es-ES_tradnl"/>
        </w:rPr>
        <w:tab/>
        <w:t>Base de datos nacional (por determinar)</w:t>
      </w:r>
    </w:p>
    <w:p w14:paraId="499F83CD" w14:textId="77777777" w:rsidR="000C43D6" w:rsidRPr="00A52158" w:rsidRDefault="000C43D6" w:rsidP="000C43D6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560F28">
        <w:rPr>
          <w:lang w:val="es-ES_tradnl"/>
        </w:rPr>
        <w:t>c)</w:t>
      </w:r>
      <w:r>
        <w:rPr>
          <w:lang w:val="es-ES_tradnl"/>
        </w:rPr>
        <w:tab/>
      </w:r>
      <w:r w:rsidRPr="00560F28">
        <w:rPr>
          <w:lang w:val="es-ES_tradnl"/>
        </w:rPr>
        <w:t>Base de datos en tiempo real (por determina</w:t>
      </w:r>
      <w:r>
        <w:rPr>
          <w:lang w:val="es-ES_tradnl"/>
        </w:rPr>
        <w:t>r)</w:t>
      </w:r>
    </w:p>
    <w:p w14:paraId="079035FB" w14:textId="77777777" w:rsidR="000C43D6" w:rsidRPr="00971A2C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_tradnl"/>
        </w:rPr>
      </w:pPr>
      <w:r w:rsidRPr="00971A2C">
        <w:rPr>
          <w:lang w:val="es-ES_tradnl"/>
        </w:rPr>
        <w:t>d)</w:t>
      </w:r>
      <w:r w:rsidRPr="00971A2C">
        <w:rPr>
          <w:lang w:val="es-ES_tradnl"/>
        </w:rPr>
        <w:tab/>
      </w:r>
    </w:p>
    <w:p w14:paraId="427394E2" w14:textId="77777777" w:rsidR="000C43D6" w:rsidRPr="00BC17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rPr>
          <w:rFonts w:cs="Calibri"/>
          <w:b/>
          <w:bCs/>
          <w:lang w:val="en-US"/>
        </w:rPr>
      </w:pPr>
      <w:r>
        <w:rPr>
          <w:rFonts w:cs="Calibri"/>
          <w:b/>
          <w:bCs/>
          <w:lang w:val="en-US"/>
        </w:rPr>
        <w:t>Red fija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2089"/>
        <w:gridCol w:w="1160"/>
        <w:gridCol w:w="1022"/>
        <w:gridCol w:w="2671"/>
        <w:gridCol w:w="2598"/>
      </w:tblGrid>
      <w:tr w:rsidR="000C43D6" w:rsidRPr="00560F28" w14:paraId="545D2796" w14:textId="77777777" w:rsidTr="00D9027E">
        <w:trPr>
          <w:trHeight w:val="397"/>
          <w:tblHeader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6C81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 xml:space="preserve">NDC (indicativo nacional </w:t>
            </w:r>
            <w:r w:rsidRPr="000C43D6">
              <w:rPr>
                <w:i/>
                <w:sz w:val="20"/>
                <w:lang w:val="es-ES_tradnl"/>
              </w:rPr>
              <w:br/>
              <w:t xml:space="preserve">de destino) </w:t>
            </w:r>
            <w:r w:rsidRPr="000C43D6">
              <w:rPr>
                <w:i/>
                <w:sz w:val="20"/>
                <w:lang w:val="es-ES_tradnl"/>
              </w:rPr>
              <w:br/>
              <w:t>(NXX)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678DD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Longitud del número N(S)N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949E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Operador/Asignatario de bloque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D6589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 xml:space="preserve">Gama SN </w:t>
            </w:r>
            <w:r w:rsidRPr="000C43D6">
              <w:rPr>
                <w:i/>
                <w:sz w:val="20"/>
                <w:lang w:val="es-ES_tradnl"/>
              </w:rPr>
              <w:br/>
              <w:t>(XXXX)</w:t>
            </w:r>
          </w:p>
        </w:tc>
      </w:tr>
      <w:tr w:rsidR="000C43D6" w:rsidRPr="00560F28" w14:paraId="21C9A4AD" w14:textId="77777777" w:rsidTr="00D9027E">
        <w:trPr>
          <w:trHeight w:val="510"/>
          <w:tblHeader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9823" w14:textId="77777777" w:rsidR="000C43D6" w:rsidRPr="00560F28" w:rsidRDefault="000C43D6" w:rsidP="00D9027E">
            <w:pPr>
              <w:overflowPunct/>
              <w:autoSpaceDE/>
              <w:autoSpaceDN/>
              <w:adjustRightInd/>
              <w:spacing w:before="20"/>
              <w:jc w:val="left"/>
              <w:textAlignment w:val="auto"/>
              <w:rPr>
                <w:b/>
                <w:bCs/>
                <w:noProof/>
                <w:lang w:eastAsia="en-GB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0D26BE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Longitud máxima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94316B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Longitud mínima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8D360" w14:textId="77777777" w:rsidR="000C43D6" w:rsidRPr="00560F28" w:rsidRDefault="000C43D6" w:rsidP="00D9027E">
            <w:pPr>
              <w:overflowPunct/>
              <w:autoSpaceDE/>
              <w:autoSpaceDN/>
              <w:adjustRightInd/>
              <w:spacing w:before="20"/>
              <w:jc w:val="left"/>
              <w:textAlignment w:val="auto"/>
              <w:rPr>
                <w:b/>
                <w:bCs/>
                <w:noProof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ED4E" w14:textId="77777777" w:rsidR="000C43D6" w:rsidRPr="00560F28" w:rsidRDefault="000C43D6" w:rsidP="00D9027E">
            <w:pPr>
              <w:overflowPunct/>
              <w:autoSpaceDE/>
              <w:autoSpaceDN/>
              <w:adjustRightInd/>
              <w:spacing w:before="20"/>
              <w:jc w:val="left"/>
              <w:textAlignment w:val="auto"/>
              <w:rPr>
                <w:b/>
                <w:bCs/>
                <w:noProof/>
                <w:lang w:eastAsia="en-GB"/>
              </w:rPr>
            </w:pPr>
          </w:p>
        </w:tc>
      </w:tr>
      <w:tr w:rsidR="000C43D6" w:rsidRPr="00BC1728" w14:paraId="0D188ABC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BF446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7B12A0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A5D78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74D2" w14:textId="77777777" w:rsidR="000C43D6" w:rsidRPr="00746DF9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US"/>
              </w:rPr>
            </w:pPr>
            <w:r w:rsidRPr="00746DF9">
              <w:rPr>
                <w:sz w:val="20"/>
                <w:lang w:val="en-US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704BC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1D9AB0D5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8EF59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46F4FA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0B32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5EEE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DA166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0000-1999</w:t>
            </w:r>
          </w:p>
        </w:tc>
      </w:tr>
      <w:tr w:rsidR="000C43D6" w:rsidRPr="00BC1728" w14:paraId="74493751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7EAA6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5D09A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479D9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5688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36A44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02D9C621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DC247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3700E2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DB99A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1767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4A062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7FD2F19E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92A4E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FCDCFC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A8A7D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8C7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88954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7F02D8CA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8C492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DE9E9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7607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E1D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D3A23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2000-4999</w:t>
            </w:r>
          </w:p>
        </w:tc>
      </w:tr>
      <w:tr w:rsidR="000C43D6" w:rsidRPr="00BC1728" w14:paraId="5CA17209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43C22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17C4D4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AD60F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3BE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FCC1B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0DA5494F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A09F3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508893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8528C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AF2D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C264E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1E3CC15C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FA244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F4F9E8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2556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208A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E30B7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28CA3369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D29F1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A2D354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62BAE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8B3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4F49A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548C8A97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231A8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DBCE57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BCB46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35B4" w14:textId="77777777" w:rsidR="000C43D6" w:rsidRPr="00746DF9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US"/>
              </w:rPr>
            </w:pPr>
            <w:r w:rsidRPr="00746DF9">
              <w:rPr>
                <w:sz w:val="20"/>
                <w:lang w:val="en-US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B3032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58691FC5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ADAF2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244A8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4BBFB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6CF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EBCEC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0000-6999</w:t>
            </w:r>
          </w:p>
        </w:tc>
      </w:tr>
      <w:tr w:rsidR="000C43D6" w:rsidRPr="00BC1728" w14:paraId="4939A89D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F4B7F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E41AC4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7C340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EEF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FA42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1000-8999</w:t>
            </w:r>
          </w:p>
        </w:tc>
      </w:tr>
      <w:tr w:rsidR="000C43D6" w:rsidRPr="00BC1728" w14:paraId="090249DC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06623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3F2568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EF747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465E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D72DB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77314397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D8383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CF07D4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02DF9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872C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673A3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 xml:space="preserve">0000-4999; </w:t>
            </w:r>
            <w:r w:rsidRPr="00544594">
              <w:rPr>
                <w:sz w:val="20"/>
                <w:lang w:val="es-ES_tradnl"/>
              </w:rPr>
              <w:br/>
              <w:t>9000-9999</w:t>
            </w:r>
          </w:p>
        </w:tc>
      </w:tr>
      <w:tr w:rsidR="000C43D6" w:rsidRPr="00BC1728" w14:paraId="44D8A1A0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FB027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39AB74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76A23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92BD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546CA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0000-7999</w:t>
            </w:r>
          </w:p>
        </w:tc>
      </w:tr>
      <w:tr w:rsidR="000C43D6" w:rsidRPr="00BC1728" w14:paraId="36CB73A2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BD4CF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A3F8C4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48D9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92DA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8A32C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0000-0999</w:t>
            </w:r>
          </w:p>
        </w:tc>
      </w:tr>
      <w:tr w:rsidR="000C43D6" w:rsidRPr="00BC1728" w14:paraId="24362A05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FD82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EB53DB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0E847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303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30479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0000-5999</w:t>
            </w:r>
          </w:p>
        </w:tc>
      </w:tr>
      <w:tr w:rsidR="000C43D6" w:rsidRPr="00BC1728" w14:paraId="6A71ADDA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F6B8F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022A99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D0886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DB80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58B70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</w:t>
            </w:r>
          </w:p>
        </w:tc>
      </w:tr>
      <w:tr w:rsidR="000C43D6" w:rsidRPr="00BC1728" w14:paraId="39D1B8BD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27742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9F4AC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050CB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859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45E0E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0000-4999</w:t>
            </w:r>
          </w:p>
        </w:tc>
      </w:tr>
      <w:tr w:rsidR="000C43D6" w:rsidRPr="00BC1728" w14:paraId="74DCDA1D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A8F4B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5BFEF7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524E7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8375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8EF86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0000-5999</w:t>
            </w:r>
          </w:p>
        </w:tc>
      </w:tr>
      <w:tr w:rsidR="000C43D6" w:rsidRPr="00BC1728" w14:paraId="28948BFB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A8820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691D56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B4E8D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4ABC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50172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0000-4999</w:t>
            </w:r>
          </w:p>
        </w:tc>
      </w:tr>
      <w:tr w:rsidR="000C43D6" w:rsidRPr="00BC1728" w14:paraId="75CEA672" w14:textId="77777777" w:rsidTr="00D9027E">
        <w:trPr>
          <w:trHeight w:val="227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CAF62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652D59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D8F95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5A1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05425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0000-4999</w:t>
            </w:r>
          </w:p>
        </w:tc>
      </w:tr>
      <w:tr w:rsidR="000C43D6" w:rsidRPr="00BC1728" w14:paraId="3FAE5702" w14:textId="77777777" w:rsidTr="00D9027E">
        <w:trPr>
          <w:trHeight w:val="5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D44F0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lastRenderedPageBreak/>
              <w:t>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E7F9A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60A9F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75E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C6DA3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0000-4999</w:t>
            </w:r>
          </w:p>
        </w:tc>
      </w:tr>
      <w:tr w:rsidR="000C43D6" w:rsidRPr="00BC1728" w14:paraId="5258E01B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CB83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43598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DE06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262217" w14:textId="77777777" w:rsidR="000C43D6" w:rsidRPr="00746DF9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US"/>
              </w:rPr>
            </w:pPr>
            <w:r w:rsidRPr="00746DF9">
              <w:rPr>
                <w:sz w:val="20"/>
                <w:lang w:val="en-US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6925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0000-6999</w:t>
            </w:r>
          </w:p>
        </w:tc>
      </w:tr>
      <w:tr w:rsidR="000C43D6" w:rsidRPr="00BC1728" w14:paraId="173B3CE3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9A571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0C84D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512AB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471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0FA3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49AFF923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B997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5A811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7C8B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C018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2706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</w:t>
            </w:r>
          </w:p>
        </w:tc>
      </w:tr>
      <w:tr w:rsidR="000C43D6" w:rsidRPr="00BC1728" w14:paraId="0188662B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590F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DC88C4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B8E5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058B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7B49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0000-7999</w:t>
            </w:r>
          </w:p>
        </w:tc>
      </w:tr>
      <w:tr w:rsidR="000C43D6" w:rsidRPr="00BC1728" w14:paraId="7CAB6DE8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43A8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05AAF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7C1F2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3936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9A7E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0000-4999</w:t>
            </w:r>
          </w:p>
        </w:tc>
      </w:tr>
      <w:tr w:rsidR="000C43D6" w:rsidRPr="00BC1728" w14:paraId="4C7EBF7B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45C6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7AF19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9394A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61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20DF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0000-8999</w:t>
            </w:r>
          </w:p>
        </w:tc>
      </w:tr>
      <w:tr w:rsidR="000C43D6" w:rsidRPr="00BC1728" w14:paraId="0584771F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4AA1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D7E7ED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3C37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E4DC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B735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0000-7999</w:t>
            </w:r>
          </w:p>
        </w:tc>
      </w:tr>
      <w:tr w:rsidR="000C43D6" w:rsidRPr="00BC1728" w14:paraId="0E0DF327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AA1D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F7EF30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3DD8B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FAC7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9005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0000-3999</w:t>
            </w:r>
          </w:p>
        </w:tc>
      </w:tr>
      <w:tr w:rsidR="000C43D6" w:rsidRPr="00BC1728" w14:paraId="455AAF09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5DCD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565C40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1E028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4DC6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8149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0000-5999</w:t>
            </w:r>
          </w:p>
        </w:tc>
      </w:tr>
      <w:tr w:rsidR="000C43D6" w:rsidRPr="00BC1728" w14:paraId="1E9BDFA5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9BF5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22F3D7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68AB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C7E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E8AF5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</w:t>
            </w:r>
          </w:p>
        </w:tc>
      </w:tr>
      <w:tr w:rsidR="000C43D6" w:rsidRPr="00BC1728" w14:paraId="6048F21B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F8F8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79174E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D788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509D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7454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1B04DD2B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CDCA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62B0E7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D71D2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7D3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DAE15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2AAB8A29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A5846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CD6203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9EB6E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C469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8CD3F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</w:t>
            </w:r>
          </w:p>
        </w:tc>
      </w:tr>
      <w:tr w:rsidR="000C43D6" w:rsidRPr="00BC1728" w14:paraId="39C418F5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E016F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CDEEEC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7B46B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404E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4D4E5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1000-1999</w:t>
            </w:r>
          </w:p>
        </w:tc>
      </w:tr>
      <w:tr w:rsidR="000C43D6" w:rsidRPr="00BC1728" w14:paraId="4D955120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FE3A4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E0FB13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0EF7A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0A07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59797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</w:t>
            </w:r>
          </w:p>
        </w:tc>
      </w:tr>
      <w:tr w:rsidR="000C43D6" w:rsidRPr="00BC1728" w14:paraId="35F6636D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56075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65C40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1EAFA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4F1A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F7940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</w:t>
            </w:r>
          </w:p>
        </w:tc>
      </w:tr>
      <w:tr w:rsidR="000C43D6" w:rsidRPr="00BC1728" w14:paraId="18C9C34F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511DB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AEEF75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946F7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6245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2D094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0000-5999</w:t>
            </w:r>
          </w:p>
        </w:tc>
      </w:tr>
      <w:tr w:rsidR="000C43D6" w:rsidRPr="00BC1728" w14:paraId="1301E3C2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56715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247B11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616A9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2F54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C88E2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0000-5999</w:t>
            </w:r>
          </w:p>
        </w:tc>
      </w:tr>
      <w:tr w:rsidR="000C43D6" w:rsidRPr="00BC1728" w14:paraId="6089A4AF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8B338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943FE9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B6E3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092D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DD3D6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0000-4999</w:t>
            </w:r>
          </w:p>
        </w:tc>
      </w:tr>
      <w:tr w:rsidR="000C43D6" w:rsidRPr="00BC1728" w14:paraId="4BEBF8A4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7FA89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289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45D1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DF5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953E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35182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7A3DDE8F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AE843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322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132D9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9AEA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D6B7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4FD22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0000-6999</w:t>
            </w:r>
          </w:p>
        </w:tc>
      </w:tr>
      <w:tr w:rsidR="000C43D6" w:rsidRPr="00BC1728" w14:paraId="223EA4EC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8FFD6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F8153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34B9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8449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BD039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0000-6999</w:t>
            </w:r>
          </w:p>
        </w:tc>
      </w:tr>
      <w:tr w:rsidR="000C43D6" w:rsidRPr="00BC1728" w14:paraId="6BBEFA8B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49C40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0F1452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6235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668F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E6AE7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 xml:space="preserve">0000-5999 </w:t>
            </w:r>
          </w:p>
        </w:tc>
      </w:tr>
      <w:tr w:rsidR="000C43D6" w:rsidRPr="00BC1728" w14:paraId="1A53A38E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E8A0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1043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2A4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F577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2A358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 xml:space="preserve">0000-2999, </w:t>
            </w:r>
            <w:r w:rsidRPr="00544594">
              <w:rPr>
                <w:sz w:val="20"/>
                <w:lang w:val="es-ES_tradnl"/>
              </w:rPr>
              <w:br/>
              <w:t>5000-7999</w:t>
            </w:r>
          </w:p>
        </w:tc>
      </w:tr>
      <w:tr w:rsidR="000C43D6" w:rsidRPr="00BC1728" w14:paraId="35597B94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B6449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71618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B7D66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A17F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6769F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595D21F3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E6BBD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C160E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B04FE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6D2D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02A41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0000-1999,</w:t>
            </w:r>
            <w:r w:rsidRPr="00544594">
              <w:rPr>
                <w:sz w:val="20"/>
                <w:lang w:val="es-ES_tradnl"/>
              </w:rPr>
              <w:br/>
              <w:t>3000-6999</w:t>
            </w:r>
          </w:p>
        </w:tc>
      </w:tr>
      <w:tr w:rsidR="000C43D6" w:rsidRPr="00BC1728" w14:paraId="4752C509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EC583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A0045B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8039C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46FA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BA7D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0000-4999</w:t>
            </w:r>
          </w:p>
        </w:tc>
      </w:tr>
      <w:tr w:rsidR="000C43D6" w:rsidRPr="00BC1728" w14:paraId="4AE72C8F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5DD39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8C3D1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0FD23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0CA1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56D2F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0000-4999</w:t>
            </w:r>
          </w:p>
        </w:tc>
      </w:tr>
      <w:tr w:rsidR="000C43D6" w:rsidRPr="00BC1728" w14:paraId="61F7DFF1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A54EF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DD2BAC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48A2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60CC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6446A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 xml:space="preserve">0000-4999 </w:t>
            </w:r>
          </w:p>
        </w:tc>
      </w:tr>
      <w:tr w:rsidR="000C43D6" w:rsidRPr="00BC1728" w14:paraId="493ADF26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5707E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D608B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196DD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863C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39388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2D9E9645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8F868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9AF9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41B16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ED6A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BE1E5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</w:t>
            </w:r>
          </w:p>
        </w:tc>
      </w:tr>
      <w:tr w:rsidR="000C43D6" w:rsidRPr="00BC1728" w14:paraId="43DEAAE2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F7A46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6B5E0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4405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509B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F3AA7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0000-1999,</w:t>
            </w:r>
            <w:r w:rsidRPr="00544594">
              <w:rPr>
                <w:sz w:val="20"/>
                <w:lang w:val="es-ES_tradnl"/>
              </w:rPr>
              <w:br/>
              <w:t>3000-4999</w:t>
            </w:r>
          </w:p>
        </w:tc>
      </w:tr>
      <w:tr w:rsidR="000C43D6" w:rsidRPr="00BC1728" w14:paraId="2FBEC45B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4E874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A88D3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3DD8A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CA97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EE730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5000-9999</w:t>
            </w:r>
          </w:p>
        </w:tc>
      </w:tr>
      <w:tr w:rsidR="000C43D6" w:rsidRPr="00BC1728" w14:paraId="5CCDEA1B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7FAC7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108A0D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FD7E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AE44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74618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0000-6999</w:t>
            </w:r>
          </w:p>
        </w:tc>
      </w:tr>
      <w:tr w:rsidR="000C43D6" w:rsidRPr="00BC1728" w14:paraId="0BED7B49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9AEFE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CF1CEC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957C3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9E83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DEA1A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1000-5999</w:t>
            </w:r>
          </w:p>
        </w:tc>
      </w:tr>
      <w:tr w:rsidR="000C43D6" w:rsidRPr="00BC1728" w14:paraId="221F6AD3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9F68A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E7E8CE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F1847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49D5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C48B4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0000-6999</w:t>
            </w:r>
          </w:p>
        </w:tc>
      </w:tr>
      <w:tr w:rsidR="000C43D6" w:rsidRPr="00BC1728" w14:paraId="3AA3A77E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51E03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440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21292D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98102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198E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43370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0000-3999</w:t>
            </w:r>
          </w:p>
        </w:tc>
      </w:tr>
      <w:tr w:rsidR="000C43D6" w:rsidRPr="00BC1728" w14:paraId="677B861B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5D686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441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7B639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A8F48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698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1270B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0000-3999</w:t>
            </w:r>
          </w:p>
        </w:tc>
      </w:tr>
      <w:tr w:rsidR="000C43D6" w:rsidRPr="00BC1728" w14:paraId="201E35A9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D4A14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442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03C417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A7505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D2BE" w14:textId="77777777" w:rsidR="000C43D6" w:rsidRPr="00746DF9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US"/>
              </w:rPr>
            </w:pPr>
            <w:r w:rsidRPr="00746DF9">
              <w:rPr>
                <w:sz w:val="20"/>
                <w:lang w:val="en-US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61C06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0000-4999</w:t>
            </w:r>
          </w:p>
        </w:tc>
      </w:tr>
      <w:tr w:rsidR="000C43D6" w:rsidRPr="00BC1728" w14:paraId="79291E68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FD67F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444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189505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DBA72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F1B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4EC6B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1D0B9EBE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807F2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455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199FED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D3310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19E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4B912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0000-3999</w:t>
            </w:r>
          </w:p>
        </w:tc>
      </w:tr>
      <w:tr w:rsidR="000C43D6" w:rsidRPr="00BC1728" w14:paraId="19AC2617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D5AD5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456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D671BD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5283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40B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8F974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</w:t>
            </w:r>
          </w:p>
        </w:tc>
      </w:tr>
      <w:tr w:rsidR="000C43D6" w:rsidRPr="00BC1728" w14:paraId="4B9131AE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3DEDE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lastRenderedPageBreak/>
              <w:t>500-506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EDCEE4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D92D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6B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C9E63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2A3D6A59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C36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510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F4A63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99EE6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C2F3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8B976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409B15CB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6E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511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1AC2B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D5D3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DE0CA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83E4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4A917839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F65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515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B97F0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4A33B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DB71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E-Networks Inc.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5694A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34581DA8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0D5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771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123B9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83DA4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B7C1" w14:textId="77777777" w:rsidR="000C43D6" w:rsidRPr="00746DF9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US"/>
              </w:rPr>
            </w:pPr>
            <w:r w:rsidRPr="00746DF9">
              <w:rPr>
                <w:sz w:val="20"/>
                <w:lang w:val="en-US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4843A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0000-2999,</w:t>
            </w:r>
            <w:r w:rsidRPr="00544594">
              <w:rPr>
                <w:sz w:val="20"/>
                <w:lang w:val="es-ES_tradnl"/>
              </w:rPr>
              <w:br/>
              <w:t>4000-5999</w:t>
            </w:r>
          </w:p>
        </w:tc>
      </w:tr>
      <w:tr w:rsidR="000C43D6" w:rsidRPr="00BC1728" w14:paraId="051D1EA8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948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772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67A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CB3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AF8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56A5A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0000-3999</w:t>
            </w:r>
          </w:p>
        </w:tc>
      </w:tr>
      <w:tr w:rsidR="000C43D6" w:rsidRPr="00BC1728" w14:paraId="224AD725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2DCE9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773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ACE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0F2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821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AF688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</w:t>
            </w:r>
          </w:p>
        </w:tc>
      </w:tr>
      <w:tr w:rsidR="000C43D6" w:rsidRPr="00BC1728" w14:paraId="34A63E34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C6BD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5F2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814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75A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C055B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0000-2999,</w:t>
            </w:r>
            <w:r w:rsidRPr="00544594">
              <w:rPr>
                <w:sz w:val="20"/>
                <w:lang w:val="es-ES_tradnl"/>
              </w:rPr>
              <w:br/>
              <w:t>4000-5999</w:t>
            </w:r>
          </w:p>
        </w:tc>
      </w:tr>
      <w:tr w:rsidR="000C43D6" w:rsidRPr="00BC1728" w14:paraId="0998810E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D252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775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632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8CC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FA4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472D1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0000-3999</w:t>
            </w:r>
          </w:p>
        </w:tc>
      </w:tr>
      <w:tr w:rsidR="000C43D6" w:rsidRPr="00BC1728" w14:paraId="764299CA" w14:textId="77777777" w:rsidTr="00D9027E">
        <w:trPr>
          <w:trHeight w:val="283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991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676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FEF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1EE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6C77F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6B99081A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C58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C2A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6F3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B3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C0C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0000-0009</w:t>
            </w:r>
          </w:p>
        </w:tc>
      </w:tr>
      <w:tr w:rsidR="000C43D6" w:rsidRPr="00BC1728" w14:paraId="48BF00BC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B2A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862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99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897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90BC" w14:textId="77777777" w:rsidR="000C43D6" w:rsidRPr="00746DF9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US"/>
              </w:rPr>
            </w:pPr>
            <w:r w:rsidRPr="00746DF9">
              <w:rPr>
                <w:sz w:val="20"/>
                <w:lang w:val="en-US"/>
              </w:rPr>
              <w:t>Guyana Telephone and Telegraph Co. Ltd.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709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1000-1999</w:t>
            </w:r>
          </w:p>
        </w:tc>
      </w:tr>
      <w:tr w:rsidR="000C43D6" w:rsidRPr="00BC1728" w14:paraId="62475D00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08C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868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D9D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AF8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A96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D84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0000-3999</w:t>
            </w:r>
          </w:p>
        </w:tc>
      </w:tr>
      <w:tr w:rsidR="000C43D6" w:rsidRPr="00BC1728" w14:paraId="26473040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C11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888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2F8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3E8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F3B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A24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8888</w:t>
            </w:r>
          </w:p>
        </w:tc>
      </w:tr>
      <w:tr w:rsidR="000C43D6" w:rsidRPr="00BC1728" w14:paraId="226535AE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DDA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899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C6F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3BF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2FB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A08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72A81803" w14:textId="77777777" w:rsidTr="00D9027E">
        <w:trPr>
          <w:trHeight w:val="28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0C4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900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14B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C16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FE8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76A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8000-8999</w:t>
            </w:r>
          </w:p>
        </w:tc>
      </w:tr>
    </w:tbl>
    <w:p w14:paraId="35AE3243" w14:textId="77777777" w:rsidR="000C43D6" w:rsidRPr="00BC17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lang w:val="en-US"/>
        </w:rPr>
      </w:pPr>
    </w:p>
    <w:p w14:paraId="76CB01E3" w14:textId="77777777" w:rsidR="000C43D6" w:rsidRPr="00BC17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120"/>
        <w:rPr>
          <w:rFonts w:cs="Calibri"/>
          <w:lang w:val="en-US"/>
        </w:rPr>
      </w:pPr>
      <w:r>
        <w:rPr>
          <w:rFonts w:cs="Calibri"/>
          <w:b/>
          <w:bCs/>
          <w:lang w:val="en-US"/>
        </w:rPr>
        <w:t>Red móvil</w:t>
      </w:r>
    </w:p>
    <w:tbl>
      <w:tblPr>
        <w:tblStyle w:val="TableGrid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2693"/>
        <w:gridCol w:w="2693"/>
      </w:tblGrid>
      <w:tr w:rsidR="000C43D6" w:rsidRPr="00DC26D2" w14:paraId="6C1BA156" w14:textId="77777777" w:rsidTr="00D9027E">
        <w:trPr>
          <w:cantSplit/>
          <w:trHeight w:val="308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6197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NDC (indicativo</w:t>
            </w:r>
            <w:r w:rsidRPr="000C43D6">
              <w:rPr>
                <w:i/>
                <w:sz w:val="20"/>
                <w:lang w:val="es-ES_tradnl"/>
              </w:rPr>
              <w:br/>
              <w:t>nacional de</w:t>
            </w:r>
            <w:r w:rsidRPr="000C43D6">
              <w:rPr>
                <w:i/>
                <w:sz w:val="20"/>
                <w:lang w:val="es-ES_tradnl"/>
              </w:rPr>
              <w:br/>
              <w:t>destino) (NXX)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CF12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Longitud del número N(S)N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D0FD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Operador/Asignatario de bloque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3F85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Gama SN</w:t>
            </w:r>
            <w:r w:rsidRPr="000C43D6">
              <w:rPr>
                <w:i/>
                <w:sz w:val="20"/>
                <w:lang w:val="es-ES_tradnl"/>
              </w:rPr>
              <w:br/>
              <w:t>(XXXX)</w:t>
            </w:r>
          </w:p>
        </w:tc>
      </w:tr>
      <w:tr w:rsidR="000C43D6" w:rsidRPr="00DC26D2" w14:paraId="0FAE127E" w14:textId="77777777" w:rsidTr="00D9027E">
        <w:trPr>
          <w:cantSplit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6024" w14:textId="77777777" w:rsidR="000C43D6" w:rsidRPr="00DC26D2" w:rsidRDefault="000C43D6" w:rsidP="00D9027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Calibri"/>
                <w:noProof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47AE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Longitud máxima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A8C4" w14:textId="77777777" w:rsidR="000C43D6" w:rsidRPr="000C43D6" w:rsidRDefault="000C43D6" w:rsidP="00D9027E">
            <w:pPr>
              <w:pStyle w:val="Tablehead"/>
              <w:spacing w:before="60" w:after="60"/>
              <w:rPr>
                <w:i/>
                <w:sz w:val="20"/>
                <w:lang w:val="es-ES_tradnl"/>
              </w:rPr>
            </w:pPr>
            <w:r w:rsidRPr="000C43D6">
              <w:rPr>
                <w:i/>
                <w:sz w:val="20"/>
                <w:lang w:val="es-ES_tradnl"/>
              </w:rPr>
              <w:t>Longitud mínima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36C7" w14:textId="77777777" w:rsidR="000C43D6" w:rsidRPr="00DC26D2" w:rsidRDefault="000C43D6" w:rsidP="00D9027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Calibri"/>
                <w:noProof/>
                <w:lang w:val="es-ES_tradn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4663" w14:textId="77777777" w:rsidR="000C43D6" w:rsidRPr="00DC26D2" w:rsidRDefault="000C43D6" w:rsidP="00D9027E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Calibri"/>
                <w:noProof/>
                <w:lang w:val="es-ES_tradnl"/>
              </w:rPr>
            </w:pPr>
          </w:p>
        </w:tc>
      </w:tr>
      <w:tr w:rsidR="000C43D6" w:rsidRPr="00BC1728" w14:paraId="36D3FA0A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82D0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600-604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942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720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597D2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235DD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46C589FA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2C31E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C78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967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E8E6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Quark Communications Inc.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89D53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0000-0999</w:t>
            </w:r>
          </w:p>
        </w:tc>
      </w:tr>
      <w:tr w:rsidR="000C43D6" w:rsidRPr="00BC1728" w14:paraId="3DF05833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245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2CB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662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7A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DNA Enterprise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E0F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1000-2999</w:t>
            </w:r>
          </w:p>
        </w:tc>
      </w:tr>
      <w:tr w:rsidR="000C43D6" w:rsidRPr="00BC1728" w14:paraId="74CFF21D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73E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EA1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3C4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4B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Gobierno electrónico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004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0000-0999</w:t>
            </w:r>
          </w:p>
        </w:tc>
      </w:tr>
      <w:tr w:rsidR="000C43D6" w:rsidRPr="00BC1728" w14:paraId="1E7F4D78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325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9AA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E63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94E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983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0000-0999</w:t>
            </w:r>
          </w:p>
        </w:tc>
      </w:tr>
      <w:tr w:rsidR="000C43D6" w:rsidRPr="00BC1728" w14:paraId="77D35F55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BAE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609-629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0BC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9F9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36D8" w14:textId="77777777" w:rsidR="000C43D6" w:rsidRPr="00FC6C89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GB"/>
              </w:rPr>
            </w:pPr>
            <w:r w:rsidRPr="00FC6C89">
              <w:rPr>
                <w:sz w:val="20"/>
                <w:lang w:val="en-GB"/>
              </w:rPr>
              <w:t>Guyana Telephone and Telegraph Co. Ltd.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ED0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3B7FFA11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388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48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572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2A5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334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2319B02E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3EC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777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B62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A60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Green Gibraltar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3D0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4FA1F448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9EB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632-633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A42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6BA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B19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07F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58953511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436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923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940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BBA6" w14:textId="77777777" w:rsidR="000C43D6" w:rsidRPr="00FC6C89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GB"/>
              </w:rPr>
            </w:pPr>
            <w:r w:rsidRPr="00FC6C89">
              <w:rPr>
                <w:sz w:val="20"/>
                <w:lang w:val="en-GB"/>
              </w:rPr>
              <w:t>Guyana Telephone and Telegraph Co. Ltd.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8BA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33AB5F09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B30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016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1A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7EF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E-Networks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93A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195C20A8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AF4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636-637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8D9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90C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27B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BC7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0390CB2C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8C3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638-658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38B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F40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ED83" w14:textId="77777777" w:rsidR="000C43D6" w:rsidRPr="008E7B3C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GB"/>
              </w:rPr>
            </w:pPr>
            <w:r w:rsidRPr="008E7B3C">
              <w:rPr>
                <w:sz w:val="20"/>
                <w:lang w:val="en-GB"/>
              </w:rPr>
              <w:t>Guyana Telephone and Telegraph Co. Ltd.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82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4EE67C79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FBC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659-704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BBE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CEF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383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4E9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4A98AC4C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FB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705-709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E58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3B3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9323" w14:textId="77777777" w:rsidR="000C43D6" w:rsidRPr="008E7B3C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GB"/>
              </w:rPr>
            </w:pPr>
            <w:r w:rsidRPr="008E7B3C">
              <w:rPr>
                <w:sz w:val="20"/>
                <w:lang w:val="en-GB"/>
              </w:rPr>
              <w:t>Guyana Telephone and Telegraph Co. Ltd.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88D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13E5FEC6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B3A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710-720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036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ADE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FA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E-Networks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619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49556BA1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882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lastRenderedPageBreak/>
              <w:t>721-722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77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ADB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A3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219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5422C985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E2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723-724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93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16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2B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8C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3F9C997D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67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725-726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DD7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85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1EA" w14:textId="77777777" w:rsidR="000C43D6" w:rsidRPr="008E7B3C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GB"/>
              </w:rPr>
            </w:pPr>
            <w:r w:rsidRPr="008E7B3C">
              <w:rPr>
                <w:sz w:val="20"/>
                <w:lang w:val="en-GB"/>
              </w:rPr>
              <w:t>Guyana Telephone and Telegraph Co. Ltd.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F1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5CD7DFB9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53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727-729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39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28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123" w14:textId="77777777" w:rsidR="000C43D6" w:rsidRPr="008E7B3C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GB"/>
              </w:rPr>
            </w:pPr>
            <w:r w:rsidRPr="008E7B3C">
              <w:rPr>
                <w:sz w:val="20"/>
                <w:lang w:val="en-GB"/>
              </w:rPr>
              <w:t>Guyana Telephone and Telegraph Co. Ltd.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991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651B72D1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58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730-732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65B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26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EF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E-Networks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97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7C531056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04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733-742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E41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51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03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E-Networks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05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0BF06E3C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9F1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743-750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15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8F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FF9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8AD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20C9B876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12A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751-759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690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A6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ABC" w14:textId="77777777" w:rsidR="000C43D6" w:rsidRPr="00746DF9" w:rsidRDefault="000C43D6" w:rsidP="00D9027E">
            <w:pPr>
              <w:pStyle w:val="Tabletext"/>
              <w:spacing w:before="20" w:after="20"/>
              <w:rPr>
                <w:b/>
                <w:sz w:val="20"/>
                <w:lang w:val="en-US"/>
              </w:rPr>
            </w:pPr>
            <w:r w:rsidRPr="00746DF9">
              <w:rPr>
                <w:sz w:val="20"/>
                <w:lang w:val="en-US"/>
              </w:rPr>
              <w:t>Guyana Telephone and Telegraph Co. Ltd.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58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289F2A3D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27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760-761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9F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4C3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0A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E-Networks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D3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1F50B220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3CC6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762-763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73B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3A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2D4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E-Networks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AB9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2A7EE95F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CE292C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0E7BFE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76E41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0D892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E-Networks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49FAF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  <w:tr w:rsidR="000C43D6" w:rsidRPr="00BC1728" w14:paraId="60FFFFAC" w14:textId="77777777" w:rsidTr="00D9027E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175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769-770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E70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EF9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D997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C78" w14:textId="77777777" w:rsidR="000C43D6" w:rsidRPr="00544594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544594">
              <w:rPr>
                <w:sz w:val="20"/>
                <w:lang w:val="es-ES_tradnl"/>
              </w:rPr>
              <w:t>0000-9999</w:t>
            </w:r>
          </w:p>
        </w:tc>
      </w:tr>
    </w:tbl>
    <w:p w14:paraId="58005FA5" w14:textId="77777777" w:rsidR="000C43D6" w:rsidRPr="00BC17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lang w:val="en-US"/>
        </w:rPr>
      </w:pPr>
    </w:p>
    <w:p w14:paraId="216227F1" w14:textId="77777777" w:rsidR="000C43D6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line="280" w:lineRule="exact"/>
        <w:rPr>
          <w:rFonts w:cs="Calibri"/>
          <w:lang w:val="en-US"/>
        </w:rPr>
      </w:pPr>
      <w:r w:rsidRPr="00BC1728">
        <w:rPr>
          <w:rFonts w:cs="Calibri"/>
          <w:shd w:val="clear" w:color="auto" w:fill="FFFF00"/>
          <w:lang w:val="en-US"/>
        </w:rPr>
        <w:tab/>
      </w:r>
      <w:r w:rsidRPr="00544594">
        <w:rPr>
          <w:rFonts w:cs="Calibri"/>
          <w:lang w:val="en-US"/>
        </w:rPr>
        <w:t>–</w:t>
      </w:r>
      <w:r w:rsidRPr="00BC1728">
        <w:rPr>
          <w:rFonts w:cs="Calibri"/>
          <w:lang w:val="en-US"/>
        </w:rPr>
        <w:t xml:space="preserve"> N</w:t>
      </w:r>
      <w:r>
        <w:rPr>
          <w:rFonts w:cs="Calibri"/>
          <w:lang w:val="en-US"/>
        </w:rPr>
        <w:t>uevas gamas asignadas</w:t>
      </w:r>
    </w:p>
    <w:p w14:paraId="02DED0DF" w14:textId="77777777" w:rsidR="000C43D6" w:rsidRPr="00592986" w:rsidRDefault="000C43D6" w:rsidP="000C43D6">
      <w:pPr>
        <w:overflowPunct/>
        <w:autoSpaceDE/>
        <w:autoSpaceDN/>
        <w:adjustRightInd/>
        <w:spacing w:before="240" w:after="120"/>
        <w:jc w:val="left"/>
        <w:textAlignment w:val="auto"/>
        <w:rPr>
          <w:rFonts w:eastAsia="Calibri" w:cs="Arial"/>
          <w:noProof/>
          <w:kern w:val="2"/>
          <w14:ligatures w14:val="standardContextual"/>
        </w:rPr>
      </w:pPr>
      <w:r w:rsidRPr="00BC1728">
        <w:rPr>
          <w:rFonts w:eastAsia="Calibri" w:cs="Arial"/>
          <w:b/>
          <w:bCs/>
          <w:noProof/>
          <w:kern w:val="2"/>
          <w14:ligatures w14:val="standardContextual"/>
        </w:rPr>
        <w:t>Servic</w:t>
      </w:r>
      <w:r>
        <w:rPr>
          <w:rFonts w:eastAsia="Calibri" w:cs="Arial"/>
          <w:b/>
          <w:bCs/>
          <w:noProof/>
          <w:kern w:val="2"/>
          <w14:ligatures w14:val="standardContextual"/>
        </w:rPr>
        <w:t>ios de emergencia</w:t>
      </w:r>
    </w:p>
    <w:tbl>
      <w:tblPr>
        <w:tblStyle w:val="TableGrid2"/>
        <w:tblW w:w="9776" w:type="dxa"/>
        <w:tblLayout w:type="fixed"/>
        <w:tblLook w:val="04A0" w:firstRow="1" w:lastRow="0" w:firstColumn="1" w:lastColumn="0" w:noHBand="0" w:noVBand="1"/>
      </w:tblPr>
      <w:tblGrid>
        <w:gridCol w:w="1345"/>
        <w:gridCol w:w="2478"/>
        <w:gridCol w:w="3827"/>
        <w:gridCol w:w="2126"/>
      </w:tblGrid>
      <w:tr w:rsidR="000C43D6" w:rsidRPr="00BF3581" w14:paraId="2B7A6FA3" w14:textId="77777777" w:rsidTr="00D9027E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ABF1" w14:textId="77777777" w:rsidR="000C43D6" w:rsidRPr="000C43D6" w:rsidRDefault="000C43D6" w:rsidP="00D9027E">
            <w:pPr>
              <w:pStyle w:val="Tablehead"/>
              <w:rPr>
                <w:b w:val="0"/>
                <w:i/>
                <w:iCs/>
                <w:sz w:val="20"/>
                <w:lang w:val="es-ES_tradnl"/>
              </w:rPr>
            </w:pPr>
            <w:r w:rsidRPr="000C43D6">
              <w:rPr>
                <w:i/>
                <w:iCs/>
                <w:sz w:val="20"/>
                <w:lang w:val="es-ES_tradnl"/>
              </w:rPr>
              <w:t>Número importante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077B" w14:textId="77777777" w:rsidR="000C43D6" w:rsidRPr="000C43D6" w:rsidRDefault="000C43D6" w:rsidP="00D9027E">
            <w:pPr>
              <w:pStyle w:val="Tablehead"/>
              <w:rPr>
                <w:b w:val="0"/>
                <w:i/>
                <w:iCs/>
                <w:sz w:val="20"/>
                <w:lang w:val="es-ES_tradnl"/>
              </w:rPr>
            </w:pPr>
            <w:r w:rsidRPr="000C43D6">
              <w:rPr>
                <w:i/>
                <w:iCs/>
                <w:sz w:val="20"/>
                <w:lang w:val="es-ES_tradnl"/>
              </w:rPr>
              <w:t>Servicio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DCBD" w14:textId="77777777" w:rsidR="000C43D6" w:rsidRPr="000C43D6" w:rsidRDefault="000C43D6" w:rsidP="00D9027E">
            <w:pPr>
              <w:pStyle w:val="Tablehead"/>
              <w:rPr>
                <w:b w:val="0"/>
                <w:i/>
                <w:iCs/>
                <w:sz w:val="20"/>
                <w:lang w:val="es-ES_tradnl"/>
              </w:rPr>
            </w:pPr>
            <w:r w:rsidRPr="000C43D6">
              <w:rPr>
                <w:i/>
                <w:iCs/>
                <w:sz w:val="20"/>
                <w:lang w:val="es-ES_tradnl"/>
              </w:rPr>
              <w:t>Atribuido o asignado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1D71" w14:textId="77777777" w:rsidR="000C43D6" w:rsidRPr="000C43D6" w:rsidRDefault="000C43D6" w:rsidP="00D9027E">
            <w:pPr>
              <w:pStyle w:val="Tablehead"/>
              <w:rPr>
                <w:b w:val="0"/>
                <w:i/>
                <w:iCs/>
                <w:sz w:val="20"/>
                <w:lang w:val="es-ES_tradnl"/>
              </w:rPr>
            </w:pPr>
            <w:r w:rsidRPr="000C43D6">
              <w:rPr>
                <w:i/>
                <w:iCs/>
                <w:sz w:val="20"/>
                <w:lang w:val="es-ES_tradnl"/>
              </w:rPr>
              <w:t>Número UIT-T E.164 o número sólo nacional</w:t>
            </w:r>
          </w:p>
        </w:tc>
      </w:tr>
      <w:tr w:rsidR="000C43D6" w:rsidRPr="00BC1728" w14:paraId="454AF6F1" w14:textId="77777777" w:rsidTr="00D9027E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199629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911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2637B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 xml:space="preserve">Policía </w:t>
            </w:r>
            <w:r w:rsidRPr="00086C86">
              <w:rPr>
                <w:sz w:val="20"/>
                <w:lang w:val="es-ES_tradnl"/>
              </w:rPr>
              <w:br/>
              <w:t>(Respuesta a emergencias)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F558E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Atribuido en el plan de numeración nacional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1E355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Número sólo nacional</w:t>
            </w:r>
          </w:p>
        </w:tc>
      </w:tr>
      <w:tr w:rsidR="000C43D6" w:rsidRPr="00BC1728" w14:paraId="338B54CB" w14:textId="77777777" w:rsidTr="00D9027E"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F044D4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912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D6B96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 xml:space="preserve">Bomberos/Ambulancias </w:t>
            </w:r>
            <w:r w:rsidRPr="00086C86">
              <w:rPr>
                <w:sz w:val="20"/>
                <w:lang w:val="es-ES_tradnl"/>
              </w:rPr>
              <w:br/>
              <w:t>(Respuesta a emergencias)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5028D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Atribuido en el plan de numeración nacional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FC9BE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Número sólo nacional</w:t>
            </w:r>
          </w:p>
        </w:tc>
      </w:tr>
      <w:tr w:rsidR="000C43D6" w:rsidRPr="00BC1728" w14:paraId="2A2A59D0" w14:textId="77777777" w:rsidTr="00D9027E"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40B043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913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6BCE0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 xml:space="preserve">Ambulancias </w:t>
            </w:r>
            <w:r w:rsidRPr="00086C86">
              <w:rPr>
                <w:sz w:val="20"/>
                <w:lang w:val="es-ES_tradnl"/>
              </w:rPr>
              <w:br/>
              <w:t>(Respuesta a emergencias)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8C29A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Atribuido en el plan de numeración nacional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E8DFF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Número sólo nacional</w:t>
            </w:r>
          </w:p>
        </w:tc>
      </w:tr>
      <w:tr w:rsidR="000C43D6" w:rsidRPr="00BC1728" w14:paraId="06788C8F" w14:textId="77777777" w:rsidTr="00D9027E"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C442CD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914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37BD4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 xml:space="preserve">Violencia doméstica </w:t>
            </w:r>
            <w:r w:rsidRPr="00086C86">
              <w:rPr>
                <w:sz w:val="20"/>
                <w:lang w:val="es-ES_tradnl"/>
              </w:rPr>
              <w:br/>
              <w:t>(Línea directa)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24730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Atribuido en el plan de numeración nacional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1C7BE" w14:textId="77777777" w:rsidR="000C43D6" w:rsidRPr="00086C86" w:rsidRDefault="000C43D6" w:rsidP="00D9027E">
            <w:pPr>
              <w:pStyle w:val="Tabletext"/>
              <w:spacing w:before="20" w:after="20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Número sólo nacional</w:t>
            </w:r>
          </w:p>
        </w:tc>
      </w:tr>
    </w:tbl>
    <w:p w14:paraId="59B4F6D4" w14:textId="77777777" w:rsidR="000C43D6" w:rsidRPr="00BC1728" w:rsidRDefault="000C43D6" w:rsidP="000C43D6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cs="Arial"/>
          <w:kern w:val="2"/>
          <w:lang w:eastAsia="zh-CN"/>
          <w14:ligatures w14:val="standardContextual"/>
        </w:rPr>
      </w:pPr>
      <w:r w:rsidRPr="00BC1728">
        <w:rPr>
          <w:rFonts w:cs="Arial"/>
          <w:kern w:val="2"/>
          <w:lang w:eastAsia="zh-CN"/>
          <w14:ligatures w14:val="standardContextual"/>
        </w:rPr>
        <w:t>Contact</w:t>
      </w:r>
      <w:r>
        <w:rPr>
          <w:rFonts w:cs="Arial"/>
          <w:kern w:val="2"/>
          <w:lang w:eastAsia="zh-CN"/>
          <w14:ligatures w14:val="standardContextual"/>
        </w:rPr>
        <w:t>o</w:t>
      </w:r>
      <w:r w:rsidRPr="00BC1728">
        <w:rPr>
          <w:rFonts w:cs="Arial"/>
          <w:kern w:val="2"/>
          <w:lang w:eastAsia="zh-CN"/>
          <w14:ligatures w14:val="standardContextual"/>
        </w:rPr>
        <w:t>:</w:t>
      </w:r>
    </w:p>
    <w:p w14:paraId="0E6E1BA7" w14:textId="77777777" w:rsidR="000C43D6" w:rsidRPr="00BC1728" w:rsidRDefault="000C43D6" w:rsidP="000C43D6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BC1728">
        <w:rPr>
          <w:rFonts w:eastAsia="Calibri" w:cs="Arial"/>
          <w:bCs/>
          <w:kern w:val="2"/>
          <w14:ligatures w14:val="standardContextual"/>
        </w:rPr>
        <w:t>Telecommunications Agency</w:t>
      </w:r>
    </w:p>
    <w:p w14:paraId="31279A14" w14:textId="77777777" w:rsidR="000C43D6" w:rsidRPr="00BC1728" w:rsidRDefault="000C43D6" w:rsidP="000C43D6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BC1728">
        <w:rPr>
          <w:rFonts w:cs="Arial"/>
          <w:bCs/>
          <w:kern w:val="2"/>
          <w:lang w:eastAsia="zh-CN"/>
          <w14:ligatures w14:val="standardContextual"/>
        </w:rPr>
        <w:t>Director of Telecommunications</w:t>
      </w:r>
    </w:p>
    <w:p w14:paraId="574EC4E2" w14:textId="77777777" w:rsidR="000C43D6" w:rsidRPr="00BC17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BC1728">
        <w:rPr>
          <w:rFonts w:cs="Arial"/>
          <w:bCs/>
          <w:kern w:val="2"/>
          <w:lang w:eastAsia="zh-CN"/>
          <w14:ligatures w14:val="standardContextual"/>
        </w:rPr>
        <w:t xml:space="preserve">190 Charlotte Street, Bourda, </w:t>
      </w:r>
    </w:p>
    <w:p w14:paraId="03E40738" w14:textId="77777777" w:rsidR="000C43D6" w:rsidRPr="00BC17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BC1728">
        <w:rPr>
          <w:rFonts w:cs="Arial"/>
          <w:bCs/>
          <w:kern w:val="2"/>
          <w:lang w:eastAsia="zh-CN"/>
          <w14:ligatures w14:val="standardContextual"/>
        </w:rPr>
        <w:t xml:space="preserve">GEORGETOWN </w:t>
      </w:r>
    </w:p>
    <w:p w14:paraId="5DF59F26" w14:textId="77777777" w:rsidR="000C43D6" w:rsidRPr="00BC17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BC1728">
        <w:rPr>
          <w:rFonts w:cs="Arial"/>
          <w:bCs/>
          <w:kern w:val="2"/>
          <w:lang w:eastAsia="zh-CN"/>
          <w14:ligatures w14:val="standardContextual"/>
        </w:rPr>
        <w:t>Guyana</w:t>
      </w:r>
    </w:p>
    <w:p w14:paraId="32E74A4D" w14:textId="6DF41706" w:rsidR="000C43D6" w:rsidRPr="00BC17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BC1728">
        <w:rPr>
          <w:rFonts w:cs="Arial"/>
          <w:bCs/>
          <w:kern w:val="2"/>
          <w:lang w:eastAsia="zh-CN"/>
          <w14:ligatures w14:val="standardContextual"/>
        </w:rPr>
        <w:t>Tel</w:t>
      </w:r>
      <w:r>
        <w:rPr>
          <w:rFonts w:cs="Arial"/>
          <w:bCs/>
          <w:kern w:val="2"/>
          <w:lang w:eastAsia="zh-CN"/>
          <w14:ligatures w14:val="standardContextual"/>
        </w:rPr>
        <w:t>.</w:t>
      </w:r>
      <w:r w:rsidRPr="00BC1728">
        <w:rPr>
          <w:rFonts w:cs="Arial"/>
          <w:bCs/>
          <w:kern w:val="2"/>
          <w:lang w:eastAsia="zh-CN"/>
          <w14:ligatures w14:val="standardContextual"/>
        </w:rPr>
        <w:t>:</w:t>
      </w:r>
      <w:r>
        <w:rPr>
          <w:rFonts w:cs="Arial"/>
          <w:bCs/>
          <w:kern w:val="2"/>
          <w:lang w:eastAsia="zh-CN"/>
          <w14:ligatures w14:val="standardContextual"/>
        </w:rPr>
        <w:tab/>
      </w:r>
      <w:r>
        <w:rPr>
          <w:rFonts w:cs="Arial"/>
          <w:bCs/>
          <w:kern w:val="2"/>
          <w:lang w:eastAsia="zh-CN"/>
          <w14:ligatures w14:val="standardContextual"/>
        </w:rPr>
        <w:tab/>
      </w:r>
      <w:r>
        <w:rPr>
          <w:rFonts w:cs="Arial"/>
          <w:bCs/>
          <w:kern w:val="2"/>
          <w:lang w:eastAsia="zh-CN"/>
          <w14:ligatures w14:val="standardContextual"/>
        </w:rPr>
        <w:tab/>
      </w:r>
      <w:r w:rsidRPr="00BC1728">
        <w:rPr>
          <w:rFonts w:cs="Arial"/>
          <w:bCs/>
          <w:kern w:val="2"/>
          <w:lang w:eastAsia="zh-CN"/>
          <w14:ligatures w14:val="standardContextual"/>
        </w:rPr>
        <w:t>+592 225-3104/226-2233</w:t>
      </w:r>
    </w:p>
    <w:p w14:paraId="6E1A291D" w14:textId="77777777" w:rsidR="000C43D6" w:rsidRPr="003E16B0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val="fr-FR" w:eastAsia="zh-CN"/>
          <w14:ligatures w14:val="standardContextual"/>
        </w:rPr>
      </w:pPr>
      <w:proofErr w:type="gramStart"/>
      <w:r w:rsidRPr="003E16B0">
        <w:rPr>
          <w:rFonts w:cs="Arial"/>
          <w:bCs/>
          <w:kern w:val="2"/>
          <w:lang w:val="fr-FR" w:eastAsia="zh-CN"/>
          <w14:ligatures w14:val="standardContextual"/>
        </w:rPr>
        <w:t>E-mail:</w:t>
      </w:r>
      <w:proofErr w:type="gramEnd"/>
      <w:r w:rsidRPr="003E16B0">
        <w:rPr>
          <w:rFonts w:cs="Arial"/>
          <w:bCs/>
          <w:kern w:val="2"/>
          <w:lang w:val="fr-FR" w:eastAsia="zh-CN"/>
          <w14:ligatures w14:val="standardContextual"/>
        </w:rPr>
        <w:t xml:space="preserve"> </w:t>
      </w:r>
      <w:r w:rsidRPr="003E16B0">
        <w:rPr>
          <w:rFonts w:cs="Arial"/>
          <w:bCs/>
          <w:kern w:val="2"/>
          <w:lang w:val="fr-FR" w:eastAsia="zh-CN"/>
          <w14:ligatures w14:val="standardContextual"/>
        </w:rPr>
        <w:tab/>
        <w:t>odir1@telecoms.gov.gy</w:t>
      </w:r>
    </w:p>
    <w:p w14:paraId="7CA81FC3" w14:textId="0F77C339" w:rsidR="000C43D6" w:rsidRPr="003E16B0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val="fr-FR" w:eastAsia="zh-CN"/>
          <w14:ligatures w14:val="standardContextual"/>
        </w:rPr>
      </w:pPr>
      <w:proofErr w:type="gramStart"/>
      <w:r w:rsidRPr="003E16B0">
        <w:rPr>
          <w:rFonts w:cs="Arial"/>
          <w:bCs/>
          <w:kern w:val="2"/>
          <w:lang w:val="fr-FR" w:eastAsia="zh-CN"/>
          <w14:ligatures w14:val="standardContextual"/>
        </w:rPr>
        <w:t>URL:</w:t>
      </w:r>
      <w:proofErr w:type="gramEnd"/>
      <w:r w:rsidRPr="003E16B0">
        <w:rPr>
          <w:rFonts w:cs="Arial"/>
          <w:bCs/>
          <w:kern w:val="2"/>
          <w:lang w:val="fr-FR" w:eastAsia="zh-CN"/>
          <w14:ligatures w14:val="standardContextual"/>
        </w:rPr>
        <w:t xml:space="preserve"> </w:t>
      </w:r>
      <w:r w:rsidRPr="003E16B0">
        <w:rPr>
          <w:rFonts w:cs="Arial"/>
          <w:bCs/>
          <w:kern w:val="2"/>
          <w:lang w:val="fr-FR" w:eastAsia="zh-CN"/>
          <w14:ligatures w14:val="standardContextual"/>
        </w:rPr>
        <w:tab/>
      </w:r>
      <w:r>
        <w:rPr>
          <w:rFonts w:cs="Arial"/>
          <w:bCs/>
          <w:kern w:val="2"/>
          <w:lang w:val="fr-FR" w:eastAsia="zh-CN"/>
          <w14:ligatures w14:val="standardContextual"/>
        </w:rPr>
        <w:tab/>
      </w:r>
      <w:r w:rsidRPr="003E16B0">
        <w:rPr>
          <w:rFonts w:cs="Arial"/>
          <w:bCs/>
          <w:kern w:val="2"/>
          <w:lang w:val="fr-FR" w:eastAsia="zh-CN"/>
          <w14:ligatures w14:val="standardContextual"/>
        </w:rPr>
        <w:t xml:space="preserve">www.telecoms.gov.gy </w:t>
      </w:r>
    </w:p>
    <w:p w14:paraId="58D78123" w14:textId="77777777" w:rsidR="000C43D6" w:rsidRPr="003E16B0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eastAsia="Calibri" w:cs="Arial"/>
          <w:kern w:val="2"/>
          <w:lang w:val="fr-FR"/>
          <w14:ligatures w14:val="standardContextual"/>
        </w:rPr>
      </w:pPr>
      <w:r w:rsidRPr="003E16B0">
        <w:rPr>
          <w:rFonts w:eastAsia="Calibri" w:cs="Arial"/>
          <w:kern w:val="2"/>
          <w:lang w:val="fr-FR"/>
          <w14:ligatures w14:val="standardContextual"/>
        </w:rPr>
        <w:br w:type="page"/>
      </w:r>
    </w:p>
    <w:p w14:paraId="5E81FAF2" w14:textId="77777777" w:rsidR="000C43D6" w:rsidRPr="000C43D6" w:rsidRDefault="000C43D6" w:rsidP="000C43D6">
      <w:pPr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es-ES"/>
        </w:rPr>
      </w:pPr>
      <w:r w:rsidRPr="000C43D6">
        <w:rPr>
          <w:b/>
          <w:bCs/>
          <w:lang w:val="es-ES"/>
        </w:rPr>
        <w:lastRenderedPageBreak/>
        <w:t>Mauricio (indicativo de país</w:t>
      </w:r>
      <w:r w:rsidRPr="000C43D6">
        <w:rPr>
          <w:rFonts w:cs="Arial"/>
          <w:b/>
          <w:bCs/>
          <w:lang w:val="es-ES"/>
        </w:rPr>
        <w:t xml:space="preserve"> </w:t>
      </w:r>
      <w:r w:rsidRPr="000C43D6">
        <w:rPr>
          <w:rFonts w:cs="Arial"/>
          <w:b/>
          <w:lang w:val="es-ES"/>
        </w:rPr>
        <w:t>+230)</w:t>
      </w:r>
    </w:p>
    <w:p w14:paraId="3B8510F2" w14:textId="77777777" w:rsidR="000C43D6" w:rsidRPr="000C43D6" w:rsidRDefault="000C43D6" w:rsidP="000C43D6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es-ES"/>
        </w:rPr>
      </w:pPr>
      <w:r w:rsidRPr="000C43D6">
        <w:rPr>
          <w:lang w:val="es-ES"/>
        </w:rPr>
        <w:t xml:space="preserve">Comunicación del </w:t>
      </w:r>
      <w:r w:rsidRPr="000C43D6">
        <w:rPr>
          <w:rFonts w:cs="Arial"/>
          <w:lang w:val="es-ES"/>
        </w:rPr>
        <w:t>23.X.2025:</w:t>
      </w:r>
    </w:p>
    <w:p w14:paraId="7AE7F77E" w14:textId="77777777" w:rsidR="000C43D6" w:rsidRPr="00560F28" w:rsidRDefault="000C43D6" w:rsidP="000C43D6">
      <w:pPr>
        <w:spacing w:after="160"/>
        <w:rPr>
          <w:lang w:val="es-ES"/>
        </w:rPr>
      </w:pPr>
      <w:r w:rsidRPr="00883A8A">
        <w:rPr>
          <w:lang w:val="es-ES"/>
        </w:rPr>
        <w:t xml:space="preserve">La </w:t>
      </w:r>
      <w:r w:rsidRPr="00623A43">
        <w:rPr>
          <w:i/>
          <w:iCs/>
          <w:lang w:val="es-ES"/>
        </w:rPr>
        <w:t>Information and Communication Technologies Authority (ICTA)</w:t>
      </w:r>
      <w:r w:rsidRPr="00883A8A">
        <w:rPr>
          <w:lang w:val="es-ES"/>
        </w:rPr>
        <w:t xml:space="preserve">, Port-Louis, anuncia la apertura en </w:t>
      </w:r>
      <w:r>
        <w:rPr>
          <w:lang w:val="es-ES"/>
        </w:rPr>
        <w:t xml:space="preserve">octubre </w:t>
      </w:r>
      <w:r w:rsidRPr="00883A8A">
        <w:rPr>
          <w:lang w:val="es-ES"/>
        </w:rPr>
        <w:t>de 2025 de una nueva gama de numeración móvil en la República de Mauricio por el siguiente operador móvil</w:t>
      </w:r>
      <w:r w:rsidRPr="00560F28">
        <w:rPr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981"/>
      </w:tblGrid>
      <w:tr w:rsidR="000C43D6" w14:paraId="56A36E3C" w14:textId="77777777" w:rsidTr="00D9027E">
        <w:tc>
          <w:tcPr>
            <w:tcW w:w="2830" w:type="dxa"/>
          </w:tcPr>
          <w:p w14:paraId="300E85F9" w14:textId="77777777" w:rsidR="000C43D6" w:rsidRPr="000C43D6" w:rsidRDefault="000C43D6" w:rsidP="000C43D6">
            <w:pPr>
              <w:pStyle w:val="Tablehead"/>
              <w:jc w:val="left"/>
              <w:rPr>
                <w:bCs w:val="0"/>
                <w:sz w:val="20"/>
                <w:lang w:val="es-ES_tradnl"/>
              </w:rPr>
            </w:pPr>
            <w:r w:rsidRPr="000C43D6">
              <w:rPr>
                <w:sz w:val="20"/>
                <w:lang w:val="es-ES_tradnl"/>
              </w:rPr>
              <w:t>Operador</w:t>
            </w:r>
          </w:p>
        </w:tc>
        <w:tc>
          <w:tcPr>
            <w:tcW w:w="3544" w:type="dxa"/>
          </w:tcPr>
          <w:p w14:paraId="38367C32" w14:textId="77777777" w:rsidR="000C43D6" w:rsidRPr="000C43D6" w:rsidRDefault="000C43D6" w:rsidP="000C43D6">
            <w:pPr>
              <w:pStyle w:val="Tablehead"/>
              <w:jc w:val="left"/>
              <w:rPr>
                <w:bCs w:val="0"/>
                <w:sz w:val="20"/>
                <w:lang w:val="es-ES_tradnl"/>
              </w:rPr>
            </w:pPr>
            <w:r w:rsidRPr="000C43D6">
              <w:rPr>
                <w:sz w:val="20"/>
                <w:lang w:val="es-ES_tradnl"/>
              </w:rPr>
              <w:t>Utilización del número UIT-T E.164</w:t>
            </w:r>
          </w:p>
        </w:tc>
        <w:tc>
          <w:tcPr>
            <w:tcW w:w="2981" w:type="dxa"/>
          </w:tcPr>
          <w:p w14:paraId="1D4762BB" w14:textId="77777777" w:rsidR="000C43D6" w:rsidRPr="000C43D6" w:rsidRDefault="000C43D6" w:rsidP="000C43D6">
            <w:pPr>
              <w:pStyle w:val="Tablehead"/>
              <w:jc w:val="left"/>
              <w:rPr>
                <w:bCs w:val="0"/>
                <w:sz w:val="20"/>
                <w:lang w:val="es-ES_tradnl"/>
              </w:rPr>
            </w:pPr>
            <w:r w:rsidRPr="000C43D6">
              <w:rPr>
                <w:sz w:val="20"/>
                <w:lang w:val="es-ES_tradnl"/>
              </w:rPr>
              <w:t>Formato de marcación</w:t>
            </w:r>
          </w:p>
        </w:tc>
      </w:tr>
      <w:tr w:rsidR="000C43D6" w14:paraId="50C7D4AC" w14:textId="77777777" w:rsidTr="00D9027E">
        <w:trPr>
          <w:trHeight w:val="332"/>
        </w:trPr>
        <w:tc>
          <w:tcPr>
            <w:tcW w:w="2830" w:type="dxa"/>
            <w:vAlign w:val="center"/>
          </w:tcPr>
          <w:p w14:paraId="56C8C684" w14:textId="77777777" w:rsidR="000C43D6" w:rsidRPr="00086C86" w:rsidRDefault="000C43D6" w:rsidP="000C43D6">
            <w:pPr>
              <w:pStyle w:val="Tabletext"/>
              <w:spacing w:before="20" w:after="20"/>
              <w:jc w:val="left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Emtel Ltd</w:t>
            </w:r>
          </w:p>
        </w:tc>
        <w:tc>
          <w:tcPr>
            <w:tcW w:w="3544" w:type="dxa"/>
            <w:vAlign w:val="center"/>
          </w:tcPr>
          <w:p w14:paraId="6F74A42C" w14:textId="77777777" w:rsidR="000C43D6" w:rsidRPr="00086C86" w:rsidRDefault="000C43D6" w:rsidP="000C43D6">
            <w:pPr>
              <w:pStyle w:val="Tabletext"/>
              <w:spacing w:before="20" w:after="20"/>
              <w:jc w:val="left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Números móviles no geográficos</w:t>
            </w:r>
          </w:p>
        </w:tc>
        <w:tc>
          <w:tcPr>
            <w:tcW w:w="2981" w:type="dxa"/>
            <w:vAlign w:val="center"/>
          </w:tcPr>
          <w:p w14:paraId="68CB0D3D" w14:textId="77777777" w:rsidR="000C43D6" w:rsidRPr="00086C86" w:rsidRDefault="000C43D6" w:rsidP="000C43D6">
            <w:pPr>
              <w:pStyle w:val="Tabletext"/>
              <w:spacing w:before="20" w:after="20"/>
              <w:jc w:val="left"/>
              <w:rPr>
                <w:b/>
                <w:sz w:val="20"/>
                <w:lang w:val="es-ES_tradnl"/>
              </w:rPr>
            </w:pPr>
            <w:r w:rsidRPr="00086C86">
              <w:rPr>
                <w:sz w:val="20"/>
                <w:lang w:val="es-ES_tradnl"/>
              </w:rPr>
              <w:t>+230 707X XXXX</w:t>
            </w:r>
          </w:p>
        </w:tc>
      </w:tr>
    </w:tbl>
    <w:p w14:paraId="1D369976" w14:textId="77777777" w:rsidR="000C43D6" w:rsidRPr="009C62B6" w:rsidRDefault="000C43D6" w:rsidP="000C43D6">
      <w:pPr>
        <w:tabs>
          <w:tab w:val="left" w:pos="1800"/>
        </w:tabs>
        <w:spacing w:before="240"/>
        <w:ind w:left="1080" w:hanging="1080"/>
        <w:rPr>
          <w:rFonts w:cs="Arial"/>
        </w:rPr>
      </w:pPr>
      <w:r w:rsidRPr="009C62B6">
        <w:rPr>
          <w:rFonts w:cs="Arial"/>
        </w:rPr>
        <w:t>Contact</w:t>
      </w:r>
      <w:r>
        <w:rPr>
          <w:rFonts w:cs="Arial"/>
        </w:rPr>
        <w:t>o</w:t>
      </w:r>
      <w:r w:rsidRPr="009C62B6">
        <w:rPr>
          <w:rFonts w:cs="Arial"/>
        </w:rPr>
        <w:t>:</w:t>
      </w:r>
    </w:p>
    <w:p w14:paraId="52AA0893" w14:textId="77777777" w:rsidR="000C43D6" w:rsidRPr="009C62B6" w:rsidRDefault="000C43D6" w:rsidP="000C43D6">
      <w:pPr>
        <w:tabs>
          <w:tab w:val="left" w:pos="1800"/>
        </w:tabs>
        <w:spacing w:after="0"/>
        <w:ind w:left="709"/>
        <w:rPr>
          <w:rFonts w:cs="Arial"/>
        </w:rPr>
      </w:pPr>
      <w:r>
        <w:rPr>
          <w:rFonts w:cs="Arial"/>
        </w:rPr>
        <w:t>S</w:t>
      </w:r>
      <w:r w:rsidRPr="00DB2D4C">
        <w:rPr>
          <w:rFonts w:cs="Arial"/>
        </w:rPr>
        <w:t>r</w:t>
      </w:r>
      <w:r>
        <w:rPr>
          <w:rFonts w:cs="Arial"/>
        </w:rPr>
        <w:t>. J</w:t>
      </w:r>
      <w:r w:rsidRPr="00D230CE">
        <w:rPr>
          <w:rFonts w:cs="Arial"/>
        </w:rPr>
        <w:t xml:space="preserve">. </w:t>
      </w:r>
      <w:r>
        <w:rPr>
          <w:rFonts w:cs="Arial"/>
        </w:rPr>
        <w:t>Louis</w:t>
      </w:r>
    </w:p>
    <w:p w14:paraId="6017DEE5" w14:textId="77777777" w:rsidR="000C43D6" w:rsidRPr="009C62B6" w:rsidRDefault="000C43D6" w:rsidP="000C43D6">
      <w:pPr>
        <w:tabs>
          <w:tab w:val="left" w:pos="1800"/>
        </w:tabs>
        <w:spacing w:before="0" w:after="0"/>
        <w:ind w:left="710"/>
        <w:rPr>
          <w:rFonts w:cs="Arial"/>
        </w:rPr>
      </w:pPr>
      <w:r w:rsidRPr="009C62B6">
        <w:rPr>
          <w:rFonts w:cs="Arial"/>
        </w:rPr>
        <w:t>Information and Communication Technologies Authority (ICTA)</w:t>
      </w:r>
    </w:p>
    <w:p w14:paraId="0ECEDBD3" w14:textId="77777777" w:rsidR="000C43D6" w:rsidRPr="009C62B6" w:rsidRDefault="000C43D6" w:rsidP="000C43D6">
      <w:pPr>
        <w:tabs>
          <w:tab w:val="left" w:pos="1800"/>
        </w:tabs>
        <w:spacing w:before="0" w:after="0"/>
        <w:ind w:left="710"/>
        <w:rPr>
          <w:rFonts w:cs="Arial"/>
        </w:rPr>
      </w:pPr>
      <w:r w:rsidRPr="009C62B6">
        <w:rPr>
          <w:rFonts w:cs="Arial"/>
        </w:rPr>
        <w:t>Level 12</w:t>
      </w:r>
      <w:r>
        <w:rPr>
          <w:rFonts w:cs="Arial"/>
        </w:rPr>
        <w:t>,</w:t>
      </w:r>
      <w:r w:rsidRPr="009C62B6">
        <w:rPr>
          <w:rFonts w:cs="Arial"/>
        </w:rPr>
        <w:t xml:space="preserve"> The Celicourt</w:t>
      </w:r>
    </w:p>
    <w:p w14:paraId="30D3DEF5" w14:textId="77777777" w:rsidR="000C43D6" w:rsidRPr="00057C43" w:rsidRDefault="000C43D6" w:rsidP="000C43D6">
      <w:pPr>
        <w:tabs>
          <w:tab w:val="left" w:pos="1800"/>
        </w:tabs>
        <w:spacing w:before="0" w:after="0"/>
        <w:ind w:left="710"/>
        <w:rPr>
          <w:rFonts w:cs="Arial"/>
        </w:rPr>
      </w:pPr>
      <w:r w:rsidRPr="00057C43">
        <w:rPr>
          <w:rFonts w:cs="Arial"/>
        </w:rPr>
        <w:t>6, Sir Celicourt Antelme Street</w:t>
      </w:r>
    </w:p>
    <w:p w14:paraId="4B1D2469" w14:textId="77777777" w:rsidR="000C43D6" w:rsidRPr="00A52158" w:rsidRDefault="000C43D6" w:rsidP="000C43D6">
      <w:pPr>
        <w:tabs>
          <w:tab w:val="left" w:pos="1800"/>
        </w:tabs>
        <w:spacing w:before="0" w:after="0"/>
        <w:ind w:left="710"/>
        <w:rPr>
          <w:rFonts w:cs="Arial"/>
          <w:lang w:val="es-ES"/>
        </w:rPr>
      </w:pPr>
      <w:r w:rsidRPr="00A52158">
        <w:rPr>
          <w:rFonts w:cs="Arial"/>
          <w:lang w:val="es-ES"/>
        </w:rPr>
        <w:t>PORT LOUIS</w:t>
      </w:r>
    </w:p>
    <w:p w14:paraId="380AADF5" w14:textId="77777777" w:rsidR="000C43D6" w:rsidRPr="00A52158" w:rsidRDefault="000C43D6" w:rsidP="000C43D6">
      <w:pPr>
        <w:tabs>
          <w:tab w:val="left" w:pos="1800"/>
        </w:tabs>
        <w:spacing w:before="0" w:after="0"/>
        <w:ind w:left="710"/>
        <w:rPr>
          <w:rFonts w:cs="Arial"/>
          <w:lang w:val="es-ES"/>
        </w:rPr>
      </w:pPr>
      <w:r w:rsidRPr="00A52158">
        <w:rPr>
          <w:rFonts w:cs="Arial"/>
          <w:lang w:val="es-ES"/>
        </w:rPr>
        <w:t>Mauricio</w:t>
      </w:r>
    </w:p>
    <w:p w14:paraId="0CC0535E" w14:textId="77777777" w:rsidR="000C43D6" w:rsidRPr="00A52158" w:rsidRDefault="000C43D6" w:rsidP="000C43D6">
      <w:pPr>
        <w:tabs>
          <w:tab w:val="clear" w:pos="1276"/>
          <w:tab w:val="left" w:pos="1418"/>
          <w:tab w:val="left" w:pos="1800"/>
        </w:tabs>
        <w:spacing w:before="0" w:after="0"/>
        <w:ind w:left="1701" w:hanging="991"/>
        <w:rPr>
          <w:rFonts w:cs="Arial"/>
          <w:lang w:val="es-ES"/>
        </w:rPr>
      </w:pPr>
      <w:r w:rsidRPr="00A52158">
        <w:rPr>
          <w:rFonts w:cs="Arial"/>
          <w:lang w:val="es-ES"/>
        </w:rPr>
        <w:t>Tel.:</w:t>
      </w:r>
      <w:r>
        <w:rPr>
          <w:rFonts w:cs="Arial"/>
          <w:lang w:val="es-ES"/>
        </w:rPr>
        <w:tab/>
      </w:r>
      <w:r w:rsidRPr="00A52158">
        <w:rPr>
          <w:rFonts w:cs="Arial"/>
          <w:lang w:val="es-ES"/>
        </w:rPr>
        <w:t>+230 211 5333/4</w:t>
      </w:r>
    </w:p>
    <w:p w14:paraId="494AFBF0" w14:textId="77777777" w:rsidR="000C43D6" w:rsidRPr="00A52158" w:rsidRDefault="000C43D6" w:rsidP="000C43D6">
      <w:pPr>
        <w:tabs>
          <w:tab w:val="clear" w:pos="1276"/>
          <w:tab w:val="left" w:pos="1418"/>
          <w:tab w:val="left" w:pos="1800"/>
        </w:tabs>
        <w:spacing w:before="0" w:after="0"/>
        <w:ind w:left="1701" w:hanging="991"/>
        <w:rPr>
          <w:rFonts w:cs="Arial"/>
          <w:lang w:val="es-ES"/>
        </w:rPr>
      </w:pPr>
      <w:r w:rsidRPr="00A52158">
        <w:rPr>
          <w:rFonts w:cs="Arial"/>
          <w:lang w:val="es-ES"/>
        </w:rPr>
        <w:t>Fax:</w:t>
      </w:r>
      <w:r>
        <w:rPr>
          <w:rFonts w:cs="Arial"/>
          <w:lang w:val="es-ES"/>
        </w:rPr>
        <w:tab/>
      </w:r>
      <w:r w:rsidRPr="00A52158">
        <w:rPr>
          <w:rFonts w:cs="Arial"/>
          <w:lang w:val="es-ES"/>
        </w:rPr>
        <w:t>+230 211 9444</w:t>
      </w:r>
    </w:p>
    <w:p w14:paraId="5CB00844" w14:textId="77777777" w:rsidR="000C43D6" w:rsidRPr="00A52158" w:rsidRDefault="000C43D6" w:rsidP="000C43D6">
      <w:pPr>
        <w:tabs>
          <w:tab w:val="clear" w:pos="1276"/>
          <w:tab w:val="left" w:pos="1418"/>
          <w:tab w:val="left" w:pos="1800"/>
        </w:tabs>
        <w:spacing w:before="0" w:after="0"/>
        <w:ind w:left="1701" w:hanging="991"/>
        <w:rPr>
          <w:rFonts w:cs="Arial"/>
          <w:lang w:val="es-ES"/>
        </w:rPr>
      </w:pPr>
      <w:r w:rsidRPr="00A52158">
        <w:rPr>
          <w:rFonts w:cs="Arial"/>
          <w:lang w:val="es-ES"/>
        </w:rPr>
        <w:t>E-mail:</w:t>
      </w:r>
      <w:r>
        <w:rPr>
          <w:rFonts w:cs="Arial"/>
          <w:lang w:val="es-ES"/>
        </w:rPr>
        <w:tab/>
      </w:r>
      <w:r w:rsidRPr="00A52158">
        <w:rPr>
          <w:rFonts w:cs="Arial"/>
          <w:lang w:val="es-ES"/>
        </w:rPr>
        <w:t>info@icta.mu</w:t>
      </w:r>
    </w:p>
    <w:p w14:paraId="683A0FFD" w14:textId="77777777" w:rsidR="000C43D6" w:rsidRPr="00A52158" w:rsidRDefault="000C43D6" w:rsidP="000C43D6">
      <w:pPr>
        <w:tabs>
          <w:tab w:val="clear" w:pos="1276"/>
          <w:tab w:val="left" w:pos="1418"/>
          <w:tab w:val="left" w:pos="2268"/>
        </w:tabs>
        <w:spacing w:before="0" w:after="0"/>
        <w:ind w:left="1843" w:hanging="1133"/>
        <w:rPr>
          <w:rFonts w:cs="Arial"/>
          <w:lang w:val="es-ES"/>
        </w:rPr>
      </w:pPr>
      <w:r w:rsidRPr="00A52158">
        <w:rPr>
          <w:rFonts w:cs="Arial"/>
          <w:lang w:val="es-ES"/>
        </w:rPr>
        <w:t>URL:</w:t>
      </w:r>
      <w:r>
        <w:rPr>
          <w:rFonts w:cs="Arial"/>
          <w:lang w:val="es-ES"/>
        </w:rPr>
        <w:tab/>
      </w:r>
      <w:r w:rsidRPr="00A52158">
        <w:rPr>
          <w:rFonts w:cs="Arial"/>
          <w:lang w:val="es-ES"/>
        </w:rPr>
        <w:t>www.icta.mu/telecom-numbering/</w:t>
      </w:r>
    </w:p>
    <w:p w14:paraId="16843D59" w14:textId="77777777" w:rsidR="000C43D6" w:rsidRPr="00A5215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cs="Arial"/>
          <w:b/>
          <w:lang w:val="es-ES"/>
        </w:rPr>
      </w:pPr>
      <w:r w:rsidRPr="00A52158">
        <w:rPr>
          <w:rFonts w:cs="Arial"/>
          <w:b/>
          <w:lang w:val="es-ES"/>
        </w:rPr>
        <w:br w:type="page"/>
      </w:r>
    </w:p>
    <w:p w14:paraId="6A322A0A" w14:textId="77777777" w:rsidR="000C43D6" w:rsidRPr="00560F28" w:rsidRDefault="000C43D6" w:rsidP="000C43D6">
      <w:pPr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es-ES"/>
        </w:rPr>
      </w:pPr>
      <w:r w:rsidRPr="00560F28">
        <w:rPr>
          <w:rFonts w:cs="Arial"/>
          <w:b/>
          <w:lang w:val="es-ES"/>
        </w:rPr>
        <w:lastRenderedPageBreak/>
        <w:t>Marruecos (indicativ</w:t>
      </w:r>
      <w:r>
        <w:rPr>
          <w:rFonts w:cs="Arial"/>
          <w:b/>
          <w:lang w:val="es-ES"/>
        </w:rPr>
        <w:t>o</w:t>
      </w:r>
      <w:r w:rsidRPr="00560F28">
        <w:rPr>
          <w:rFonts w:cs="Arial"/>
          <w:b/>
          <w:lang w:val="es-ES"/>
        </w:rPr>
        <w:t xml:space="preserve"> de país +212)</w:t>
      </w:r>
    </w:p>
    <w:p w14:paraId="2183B001" w14:textId="77777777" w:rsidR="000C43D6" w:rsidRPr="00560F28" w:rsidRDefault="000C43D6" w:rsidP="000C43D6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lang w:val="es-ES"/>
        </w:rPr>
      </w:pPr>
      <w:r w:rsidRPr="00560F28">
        <w:rPr>
          <w:rFonts w:cs="Arial"/>
          <w:lang w:val="es-ES"/>
        </w:rPr>
        <w:t>Comunicación del 17.X.2025:</w:t>
      </w:r>
    </w:p>
    <w:p w14:paraId="5403DF31" w14:textId="77777777" w:rsidR="000C43D6" w:rsidRPr="00560F28" w:rsidRDefault="000C43D6" w:rsidP="000C43D6">
      <w:pPr>
        <w:jc w:val="left"/>
        <w:rPr>
          <w:lang w:val="es-ES"/>
        </w:rPr>
      </w:pPr>
      <w:bookmarkStart w:id="995" w:name="_Hlk74931543"/>
      <w:r w:rsidRPr="00DC26D2">
        <w:rPr>
          <w:lang w:val="es-ES_tradnl"/>
        </w:rPr>
        <w:t xml:space="preserve">La </w:t>
      </w:r>
      <w:r w:rsidRPr="00DC26D2">
        <w:rPr>
          <w:i/>
          <w:iCs/>
          <w:lang w:val="es-ES_tradnl"/>
        </w:rPr>
        <w:t xml:space="preserve">Agence Nationale de Réglementation des Télécommunications (ANRT), </w:t>
      </w:r>
      <w:r w:rsidRPr="00DC26D2">
        <w:rPr>
          <w:lang w:val="es-ES_tradnl"/>
        </w:rPr>
        <w:t>Rabat, anuncia las siguientes actualizaciones del plan nacional de numeración telefónica de Marruecos</w:t>
      </w:r>
      <w:r w:rsidRPr="00560F28">
        <w:rPr>
          <w:lang w:val="es-ES"/>
        </w:rPr>
        <w:t xml:space="preserve">. </w:t>
      </w:r>
    </w:p>
    <w:bookmarkEnd w:id="995"/>
    <w:p w14:paraId="339649EC" w14:textId="77777777" w:rsidR="000C43D6" w:rsidRPr="00560F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lang w:val="es-ES"/>
        </w:rPr>
      </w:pPr>
    </w:p>
    <w:p w14:paraId="279EA486" w14:textId="77777777" w:rsidR="000C43D6" w:rsidRPr="00560F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center"/>
        <w:textAlignment w:val="auto"/>
        <w:rPr>
          <w:bCs/>
          <w:i/>
          <w:iCs/>
          <w:lang w:val="es-ES"/>
        </w:rPr>
      </w:pPr>
      <w:r w:rsidRPr="00DC26D2">
        <w:rPr>
          <w:i/>
          <w:iCs/>
          <w:lang w:val="es-ES_tradnl"/>
        </w:rPr>
        <w:t xml:space="preserve">Descripción de la introducción de nuevos recursos para </w:t>
      </w:r>
      <w:r w:rsidRPr="00DC26D2">
        <w:rPr>
          <w:i/>
          <w:iCs/>
          <w:lang w:val="es-ES_tradnl"/>
        </w:rPr>
        <w:br/>
        <w:t xml:space="preserve">el Plan nacional de numeración E.164 correspondiente </w:t>
      </w:r>
      <w:r w:rsidRPr="00DC26D2">
        <w:rPr>
          <w:i/>
          <w:iCs/>
          <w:lang w:val="es-ES_tradnl"/>
        </w:rPr>
        <w:br/>
        <w:t>al indicativo de país +212</w:t>
      </w:r>
      <w:r w:rsidRPr="00560F28">
        <w:rPr>
          <w:bCs/>
          <w:i/>
          <w:iCs/>
          <w:lang w:val="es-ES"/>
        </w:rPr>
        <w:t>:</w:t>
      </w:r>
    </w:p>
    <w:p w14:paraId="0C1A6E97" w14:textId="77777777" w:rsidR="000C43D6" w:rsidRPr="00560F28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left"/>
        <w:textAlignment w:val="auto"/>
        <w:rPr>
          <w:rFonts w:eastAsia="SimSun"/>
          <w:i/>
          <w:iCs/>
          <w:lang w:val="es-ES" w:eastAsia="zh-CN"/>
        </w:rPr>
      </w:pPr>
    </w:p>
    <w:p w14:paraId="6D115C63" w14:textId="77777777" w:rsidR="000C43D6" w:rsidRPr="00C65B09" w:rsidRDefault="000C43D6" w:rsidP="000C43D6">
      <w:pPr>
        <w:numPr>
          <w:ilvl w:val="0"/>
          <w:numId w:val="8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 w:after="120"/>
        <w:ind w:left="357" w:hanging="357"/>
        <w:contextualSpacing/>
        <w:jc w:val="left"/>
        <w:textAlignment w:val="auto"/>
        <w:rPr>
          <w:rFonts w:eastAsia="SimSun"/>
          <w:lang w:val="es-ES" w:eastAsia="zh-CN"/>
        </w:rPr>
      </w:pPr>
      <w:r w:rsidRPr="00B532E3">
        <w:rPr>
          <w:lang w:val="es-ES"/>
        </w:rPr>
        <w:t xml:space="preserve">Se han introducido </w:t>
      </w:r>
      <w:r w:rsidRPr="007756C6">
        <w:rPr>
          <w:lang w:val="es-ES"/>
        </w:rPr>
        <w:t>recientemente los siguientes NDC</w:t>
      </w:r>
      <w:r w:rsidRPr="00560F28">
        <w:rPr>
          <w:rFonts w:eastAsia="SimSun"/>
          <w:lang w:val="es-ES" w:eastAsia="zh-CN"/>
        </w:rPr>
        <w:t>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0C43D6" w:rsidRPr="00DC26D2" w14:paraId="4F4B7E5A" w14:textId="77777777" w:rsidTr="00D9027E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4E123162" w14:textId="77777777" w:rsidR="000C43D6" w:rsidRPr="000C43D6" w:rsidRDefault="000C43D6" w:rsidP="00D9027E">
            <w:pPr>
              <w:pStyle w:val="Tablehead"/>
              <w:spacing w:before="60" w:after="60"/>
              <w:rPr>
                <w:b w:val="0"/>
                <w:bCs w:val="0"/>
                <w:i/>
                <w:sz w:val="20"/>
                <w:lang w:val="es-ES_tradnl"/>
              </w:rPr>
            </w:pPr>
            <w:r w:rsidRPr="000C43D6">
              <w:rPr>
                <w:b w:val="0"/>
                <w:bCs w:val="0"/>
                <w:i/>
                <w:sz w:val="20"/>
                <w:lang w:val="es-ES_tradnl"/>
              </w:rPr>
              <w:t>NDC (indicativo nacional de destino) o cifras iniciales de N(S)N (número nacional (significativo))</w:t>
            </w:r>
          </w:p>
        </w:tc>
        <w:tc>
          <w:tcPr>
            <w:tcW w:w="2340" w:type="dxa"/>
            <w:gridSpan w:val="2"/>
            <w:vAlign w:val="center"/>
          </w:tcPr>
          <w:p w14:paraId="2AFD5A57" w14:textId="77777777" w:rsidR="000C43D6" w:rsidRPr="000C43D6" w:rsidRDefault="000C43D6" w:rsidP="00D9027E">
            <w:pPr>
              <w:pStyle w:val="Tablehead"/>
              <w:spacing w:before="60" w:after="60"/>
              <w:rPr>
                <w:b w:val="0"/>
                <w:bCs w:val="0"/>
                <w:i/>
                <w:sz w:val="20"/>
                <w:lang w:val="es-ES_tradnl"/>
              </w:rPr>
            </w:pPr>
            <w:r w:rsidRPr="000C43D6">
              <w:rPr>
                <w:b w:val="0"/>
                <w:bCs w:val="0"/>
                <w:i/>
                <w:sz w:val="20"/>
                <w:lang w:val="es-ES_tradnl"/>
              </w:rPr>
              <w:t>Longitud del número N(S)N</w:t>
            </w:r>
          </w:p>
        </w:tc>
        <w:tc>
          <w:tcPr>
            <w:tcW w:w="2700" w:type="dxa"/>
            <w:vMerge w:val="restart"/>
            <w:vAlign w:val="center"/>
          </w:tcPr>
          <w:p w14:paraId="547F77FF" w14:textId="77777777" w:rsidR="000C43D6" w:rsidRPr="000C43D6" w:rsidRDefault="000C43D6" w:rsidP="00D9027E">
            <w:pPr>
              <w:pStyle w:val="Tablehead"/>
              <w:spacing w:before="60" w:after="60"/>
              <w:rPr>
                <w:b w:val="0"/>
                <w:bCs w:val="0"/>
                <w:i/>
                <w:sz w:val="20"/>
                <w:lang w:val="es-ES_tradnl"/>
              </w:rPr>
            </w:pPr>
            <w:r w:rsidRPr="000C43D6">
              <w:rPr>
                <w:b w:val="0"/>
                <w:bCs w:val="0"/>
                <w:i/>
                <w:sz w:val="20"/>
                <w:lang w:val="es-ES_tradnl"/>
              </w:rPr>
              <w:t>Uso del número E.164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92B5AE9" w14:textId="77777777" w:rsidR="000C43D6" w:rsidRPr="000C43D6" w:rsidRDefault="000C43D6" w:rsidP="00D9027E">
            <w:pPr>
              <w:pStyle w:val="Tablehead"/>
              <w:spacing w:before="60" w:after="60"/>
              <w:rPr>
                <w:b w:val="0"/>
                <w:bCs w:val="0"/>
                <w:i/>
                <w:sz w:val="20"/>
                <w:lang w:val="es-ES_tradnl"/>
              </w:rPr>
            </w:pPr>
            <w:r w:rsidRPr="000C43D6">
              <w:rPr>
                <w:b w:val="0"/>
                <w:bCs w:val="0"/>
                <w:i/>
                <w:sz w:val="20"/>
                <w:lang w:val="es-ES_tradnl"/>
              </w:rPr>
              <w:t>Información adicional</w:t>
            </w:r>
          </w:p>
        </w:tc>
      </w:tr>
      <w:tr w:rsidR="000C43D6" w:rsidRPr="00DC26D2" w14:paraId="14652A93" w14:textId="77777777" w:rsidTr="00D9027E">
        <w:trPr>
          <w:cantSplit/>
          <w:tblHeader/>
        </w:trPr>
        <w:tc>
          <w:tcPr>
            <w:tcW w:w="2250" w:type="dxa"/>
            <w:vMerge/>
            <w:vAlign w:val="center"/>
          </w:tcPr>
          <w:p w14:paraId="1E3B1724" w14:textId="77777777" w:rsidR="000C43D6" w:rsidRPr="00560F28" w:rsidRDefault="000C43D6" w:rsidP="00D902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BF38EC0" w14:textId="77777777" w:rsidR="000C43D6" w:rsidRPr="000C43D6" w:rsidRDefault="000C43D6" w:rsidP="00D9027E">
            <w:pPr>
              <w:pStyle w:val="Tablehead"/>
              <w:spacing w:before="60" w:after="60"/>
              <w:rPr>
                <w:b w:val="0"/>
                <w:bCs w:val="0"/>
                <w:i/>
                <w:sz w:val="20"/>
                <w:lang w:val="es-ES_tradnl"/>
              </w:rPr>
            </w:pPr>
            <w:r w:rsidRPr="000C43D6">
              <w:rPr>
                <w:b w:val="0"/>
                <w:bCs w:val="0"/>
                <w:i/>
                <w:sz w:val="20"/>
                <w:lang w:val="es-ES_tradnl"/>
              </w:rPr>
              <w:t>Longitud máxima</w:t>
            </w:r>
          </w:p>
        </w:tc>
        <w:tc>
          <w:tcPr>
            <w:tcW w:w="1260" w:type="dxa"/>
            <w:vAlign w:val="center"/>
          </w:tcPr>
          <w:p w14:paraId="29B85150" w14:textId="77777777" w:rsidR="000C43D6" w:rsidRPr="000C43D6" w:rsidRDefault="000C43D6" w:rsidP="00D9027E">
            <w:pPr>
              <w:pStyle w:val="Tablehead"/>
              <w:spacing w:before="60" w:after="60"/>
              <w:rPr>
                <w:b w:val="0"/>
                <w:bCs w:val="0"/>
                <w:i/>
                <w:sz w:val="20"/>
                <w:lang w:val="es-ES_tradnl"/>
              </w:rPr>
            </w:pPr>
            <w:r w:rsidRPr="000C43D6">
              <w:rPr>
                <w:b w:val="0"/>
                <w:bCs w:val="0"/>
                <w:i/>
                <w:sz w:val="20"/>
                <w:lang w:val="es-ES_tradnl"/>
              </w:rPr>
              <w:t>Longitud mínima</w:t>
            </w:r>
          </w:p>
        </w:tc>
        <w:tc>
          <w:tcPr>
            <w:tcW w:w="2700" w:type="dxa"/>
            <w:vMerge/>
            <w:vAlign w:val="center"/>
          </w:tcPr>
          <w:p w14:paraId="1F1443AE" w14:textId="77777777" w:rsidR="000C43D6" w:rsidRPr="00DC26D2" w:rsidRDefault="000C43D6" w:rsidP="00D902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szCs w:val="18"/>
                <w:lang w:val="es-ES_tradnl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677526FA" w14:textId="77777777" w:rsidR="000C43D6" w:rsidRPr="00DC26D2" w:rsidRDefault="000C43D6" w:rsidP="00D902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szCs w:val="18"/>
                <w:lang w:val="es-ES_tradnl"/>
              </w:rPr>
            </w:pPr>
          </w:p>
        </w:tc>
      </w:tr>
      <w:tr w:rsidR="000C43D6" w:rsidRPr="00A94F61" w14:paraId="5E526F0C" w14:textId="77777777" w:rsidTr="00D9027E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81F1682" w14:textId="77777777" w:rsidR="000C43D6" w:rsidRPr="00746DF9" w:rsidRDefault="000C43D6" w:rsidP="00D9027E">
            <w:pPr>
              <w:jc w:val="center"/>
            </w:pPr>
            <w:r w:rsidRPr="00746DF9">
              <w:t>518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F292F" w14:textId="77777777" w:rsidR="000C43D6" w:rsidRPr="00746DF9" w:rsidRDefault="000C43D6" w:rsidP="00D9027E">
            <w:pPr>
              <w:jc w:val="center"/>
            </w:pPr>
            <w:r w:rsidRPr="00746DF9"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BAD23" w14:textId="77777777" w:rsidR="000C43D6" w:rsidRPr="00746DF9" w:rsidRDefault="000C43D6" w:rsidP="00D9027E">
            <w:pPr>
              <w:jc w:val="center"/>
            </w:pPr>
            <w:r w:rsidRPr="00746DF9"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1958" w14:textId="77777777" w:rsidR="000C43D6" w:rsidRPr="00746DF9" w:rsidRDefault="000C43D6" w:rsidP="00D9027E">
            <w:r w:rsidRPr="00746DF9">
              <w:t>Redes de telefonía fija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01BD" w14:textId="77777777" w:rsidR="000C43D6" w:rsidRPr="00746DF9" w:rsidRDefault="000C43D6" w:rsidP="00D9027E">
            <w:r w:rsidRPr="00746DF9">
              <w:t>Wana Corporate1</w:t>
            </w:r>
          </w:p>
        </w:tc>
      </w:tr>
      <w:tr w:rsidR="000C43D6" w:rsidRPr="00A94F61" w14:paraId="29833EF7" w14:textId="77777777" w:rsidTr="00D9027E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B7B12D4" w14:textId="77777777" w:rsidR="000C43D6" w:rsidRPr="00746DF9" w:rsidRDefault="000C43D6" w:rsidP="00D9027E">
            <w:pPr>
              <w:jc w:val="center"/>
            </w:pPr>
            <w:r w:rsidRPr="00746DF9">
              <w:t>549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DFEF8" w14:textId="77777777" w:rsidR="000C43D6" w:rsidRPr="00746DF9" w:rsidRDefault="000C43D6" w:rsidP="00D9027E">
            <w:pPr>
              <w:jc w:val="center"/>
            </w:pPr>
            <w:r w:rsidRPr="00746DF9"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B5385" w14:textId="77777777" w:rsidR="000C43D6" w:rsidRPr="00746DF9" w:rsidRDefault="000C43D6" w:rsidP="00D9027E">
            <w:pPr>
              <w:jc w:val="center"/>
            </w:pPr>
            <w:r w:rsidRPr="00746DF9"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16F2" w14:textId="77777777" w:rsidR="000C43D6" w:rsidRPr="00746DF9" w:rsidRDefault="000C43D6" w:rsidP="00D9027E">
            <w:r w:rsidRPr="00746DF9">
              <w:t>Redes de telefonía fija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FEAE" w14:textId="77777777" w:rsidR="000C43D6" w:rsidRPr="00746DF9" w:rsidRDefault="000C43D6" w:rsidP="00D9027E">
            <w:r w:rsidRPr="00746DF9">
              <w:t>Wana Corporate</w:t>
            </w:r>
          </w:p>
        </w:tc>
      </w:tr>
    </w:tbl>
    <w:p w14:paraId="2B1356FC" w14:textId="77777777" w:rsidR="000C43D6" w:rsidRPr="00A94F61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lang w:eastAsia="zh-CN"/>
        </w:rPr>
      </w:pPr>
      <w:r w:rsidRPr="00A94F61">
        <w:rPr>
          <w:rFonts w:eastAsia="SimSun"/>
          <w:vertAlign w:val="superscript"/>
          <w:lang w:eastAsia="zh-CN"/>
        </w:rPr>
        <w:t>1</w:t>
      </w:r>
      <w:r w:rsidRPr="00A94F61">
        <w:rPr>
          <w:rFonts w:eastAsia="SimSun"/>
          <w:lang w:eastAsia="zh-CN"/>
        </w:rPr>
        <w:t xml:space="preserve"> INWI</w:t>
      </w:r>
    </w:p>
    <w:p w14:paraId="1FFCBF71" w14:textId="77777777" w:rsidR="000C43D6" w:rsidRPr="00A94F61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lang w:eastAsia="zh-CN"/>
        </w:rPr>
      </w:pPr>
      <w:r w:rsidRPr="00A94F61">
        <w:rPr>
          <w:rFonts w:eastAsia="SimSun"/>
          <w:lang w:eastAsia="zh-CN"/>
        </w:rPr>
        <w:t>Contact</w:t>
      </w:r>
      <w:r>
        <w:rPr>
          <w:rFonts w:eastAsia="SimSun"/>
          <w:lang w:eastAsia="zh-CN"/>
        </w:rPr>
        <w:t>o</w:t>
      </w:r>
      <w:r w:rsidRPr="00A94F61">
        <w:rPr>
          <w:rFonts w:eastAsia="SimSun"/>
          <w:lang w:eastAsia="zh-CN"/>
        </w:rPr>
        <w:t>:</w:t>
      </w:r>
    </w:p>
    <w:p w14:paraId="3E4906E0" w14:textId="77777777" w:rsidR="000C43D6" w:rsidRPr="00A94F61" w:rsidRDefault="000C43D6" w:rsidP="008E74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0"/>
        <w:ind w:left="720"/>
        <w:jc w:val="left"/>
        <w:rPr>
          <w:lang w:val="fr-CH"/>
        </w:rPr>
      </w:pPr>
      <w:r w:rsidRPr="00A94F61">
        <w:rPr>
          <w:lang w:val="fr-CH"/>
        </w:rPr>
        <w:t>Agence Nationale de Réglementation des Télécommunications (ANRT)</w:t>
      </w:r>
    </w:p>
    <w:p w14:paraId="12999B64" w14:textId="77777777" w:rsidR="000C43D6" w:rsidRPr="00A94F61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fr-CH" w:eastAsia="zh-CN"/>
        </w:rPr>
      </w:pPr>
      <w:r w:rsidRPr="00A94F61">
        <w:rPr>
          <w:lang w:val="fr-CH"/>
        </w:rPr>
        <w:t>Centre d'affaires</w:t>
      </w:r>
    </w:p>
    <w:p w14:paraId="29EB00E7" w14:textId="77777777" w:rsidR="000C43D6" w:rsidRPr="00A94F61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fr-FR" w:eastAsia="zh-CN"/>
        </w:rPr>
      </w:pPr>
      <w:r w:rsidRPr="00A94F61">
        <w:rPr>
          <w:rFonts w:eastAsia="SimSun"/>
          <w:lang w:val="fr-FR" w:eastAsia="zh-CN"/>
        </w:rPr>
        <w:t>Boulevard Ar-Riad, Hay Riad</w:t>
      </w:r>
    </w:p>
    <w:p w14:paraId="378E72E3" w14:textId="77777777" w:rsidR="000C43D6" w:rsidRPr="008C6940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8C6940">
        <w:rPr>
          <w:rFonts w:eastAsia="SimSun"/>
          <w:lang w:val="es-ES" w:eastAsia="zh-CN"/>
        </w:rPr>
        <w:t>B.P. 2939</w:t>
      </w:r>
    </w:p>
    <w:p w14:paraId="6EDA478D" w14:textId="77777777" w:rsidR="000C43D6" w:rsidRPr="008C6940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8C6940">
        <w:rPr>
          <w:rFonts w:eastAsia="SimSun"/>
          <w:lang w:val="es-ES" w:eastAsia="zh-CN"/>
        </w:rPr>
        <w:t>RABAT 10100</w:t>
      </w:r>
    </w:p>
    <w:p w14:paraId="46F7EB4D" w14:textId="77777777" w:rsidR="000C43D6" w:rsidRPr="008C6940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8C6940">
        <w:rPr>
          <w:rFonts w:eastAsia="SimSun"/>
          <w:lang w:val="es-ES" w:eastAsia="zh-CN"/>
        </w:rPr>
        <w:t>Marruecos</w:t>
      </w:r>
    </w:p>
    <w:p w14:paraId="300AC536" w14:textId="051E5366" w:rsidR="000C43D6" w:rsidRPr="008C6940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8C6940">
        <w:rPr>
          <w:rFonts w:eastAsia="SimSun"/>
          <w:lang w:val="es-ES" w:eastAsia="zh-CN"/>
        </w:rPr>
        <w:t>Tel</w:t>
      </w:r>
      <w:r>
        <w:rPr>
          <w:rFonts w:eastAsia="SimSun"/>
          <w:lang w:val="es-ES" w:eastAsia="zh-CN"/>
        </w:rPr>
        <w:t>.</w:t>
      </w:r>
      <w:r w:rsidRPr="008C6940">
        <w:rPr>
          <w:rFonts w:eastAsia="SimSun"/>
          <w:lang w:val="es-ES" w:eastAsia="zh-CN"/>
        </w:rPr>
        <w:t xml:space="preserve">: </w:t>
      </w:r>
      <w:r w:rsidRPr="008C6940">
        <w:rPr>
          <w:rFonts w:eastAsia="SimSun"/>
          <w:lang w:val="es-ES" w:eastAsia="zh-CN"/>
        </w:rPr>
        <w:tab/>
      </w:r>
      <w:r w:rsidR="008E7432">
        <w:rPr>
          <w:rFonts w:eastAsia="SimSun"/>
          <w:lang w:val="es-ES" w:eastAsia="zh-CN"/>
        </w:rPr>
        <w:tab/>
      </w:r>
      <w:r w:rsidR="008E7432">
        <w:rPr>
          <w:rFonts w:eastAsia="SimSun"/>
          <w:lang w:val="es-ES" w:eastAsia="zh-CN"/>
        </w:rPr>
        <w:tab/>
      </w:r>
      <w:r w:rsidRPr="008C6940">
        <w:rPr>
          <w:rFonts w:eastAsia="SimSun"/>
          <w:lang w:val="es-ES" w:eastAsia="zh-CN"/>
        </w:rPr>
        <w:t>+212 5 37 71 85 64</w:t>
      </w:r>
    </w:p>
    <w:p w14:paraId="283C7319" w14:textId="77777777" w:rsidR="000C43D6" w:rsidRPr="008C6940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8C6940">
        <w:rPr>
          <w:rFonts w:eastAsia="SimSun"/>
          <w:lang w:val="es-ES" w:eastAsia="zh-CN"/>
        </w:rPr>
        <w:t xml:space="preserve">E-mail: </w:t>
      </w:r>
      <w:r w:rsidRPr="008C6940">
        <w:rPr>
          <w:rFonts w:eastAsia="SimSun"/>
          <w:lang w:val="es-ES" w:eastAsia="zh-CN"/>
        </w:rPr>
        <w:tab/>
        <w:t xml:space="preserve">numerotation@anrt.ma </w:t>
      </w:r>
    </w:p>
    <w:p w14:paraId="32184EB0" w14:textId="275FCA0C" w:rsidR="000C43D6" w:rsidRPr="008C6940" w:rsidRDefault="000C43D6" w:rsidP="000C43D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720"/>
        <w:jc w:val="left"/>
        <w:rPr>
          <w:rFonts w:eastAsia="SimSun"/>
          <w:lang w:val="es-ES" w:eastAsia="zh-CN"/>
        </w:rPr>
      </w:pPr>
      <w:r w:rsidRPr="008C6940">
        <w:rPr>
          <w:rFonts w:eastAsia="SimSun"/>
          <w:lang w:val="es-ES" w:eastAsia="zh-CN"/>
        </w:rPr>
        <w:t xml:space="preserve">URL: </w:t>
      </w:r>
      <w:r w:rsidRPr="008C6940">
        <w:rPr>
          <w:rFonts w:eastAsia="SimSun"/>
          <w:lang w:val="es-ES" w:eastAsia="zh-CN"/>
        </w:rPr>
        <w:tab/>
      </w:r>
      <w:r w:rsidR="008E7432">
        <w:rPr>
          <w:rFonts w:eastAsia="SimSun"/>
          <w:lang w:val="es-ES" w:eastAsia="zh-CN"/>
        </w:rPr>
        <w:tab/>
      </w:r>
      <w:r w:rsidRPr="008C6940">
        <w:rPr>
          <w:rFonts w:eastAsia="SimSun"/>
          <w:lang w:val="es-ES" w:eastAsia="zh-CN"/>
        </w:rPr>
        <w:t>www.anrt.ma</w:t>
      </w:r>
    </w:p>
    <w:bookmarkEnd w:id="991"/>
    <w:bookmarkEnd w:id="992"/>
    <w:bookmarkEnd w:id="993"/>
    <w:bookmarkEnd w:id="994"/>
    <w:p w14:paraId="698F9026" w14:textId="77777777" w:rsidR="000C43D6" w:rsidRDefault="000C43D6" w:rsidP="000C43D6">
      <w:pPr>
        <w:pStyle w:val="Reasons"/>
      </w:pPr>
    </w:p>
    <w:p w14:paraId="3990F770" w14:textId="77777777" w:rsidR="002F392C" w:rsidRPr="00900AE5" w:rsidRDefault="002F392C" w:rsidP="002F392C">
      <w:pPr>
        <w:spacing w:after="0"/>
        <w:rPr>
          <w:bCs/>
          <w:lang w:val="es-ES_tradnl"/>
        </w:rPr>
      </w:pPr>
    </w:p>
    <w:p w14:paraId="14711442" w14:textId="77777777" w:rsidR="002F392C" w:rsidRDefault="002F392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14:paraId="100D340E" w14:textId="77777777" w:rsidR="001D50FF" w:rsidRPr="002653F8" w:rsidRDefault="001D50FF" w:rsidP="001D50FF">
      <w:pPr>
        <w:ind w:left="567" w:hanging="567"/>
        <w:rPr>
          <w:lang w:val="es-ES"/>
        </w:rPr>
      </w:pPr>
    </w:p>
    <w:bookmarkEnd w:id="980"/>
    <w:bookmarkEnd w:id="981"/>
    <w:p w14:paraId="2CBE30F3" w14:textId="439990A9" w:rsidR="00667C05" w:rsidRDefault="00667C05" w:rsidP="00667C05">
      <w:pPr>
        <w:rPr>
          <w:lang w:val="es-ES"/>
        </w:rPr>
      </w:pPr>
      <w:r w:rsidRPr="002653F8">
        <w:rPr>
          <w:lang w:val="es-ES"/>
        </w:rPr>
        <w:br w:type="page"/>
      </w:r>
    </w:p>
    <w:p w14:paraId="7DC7FFF3" w14:textId="77777777" w:rsidR="007118AB" w:rsidRPr="007118AB" w:rsidRDefault="007118AB" w:rsidP="007118AB">
      <w:pPr>
        <w:pStyle w:val="Heading20"/>
        <w:rPr>
          <w:sz w:val="28"/>
          <w:lang w:val="es-ES_tradnl"/>
        </w:rPr>
      </w:pPr>
      <w:r w:rsidRPr="007118AB">
        <w:rPr>
          <w:sz w:val="28"/>
          <w:lang w:val="es-ES_tradnl"/>
        </w:rPr>
        <w:lastRenderedPageBreak/>
        <w:t>Otra comunicación</w:t>
      </w:r>
    </w:p>
    <w:p w14:paraId="7CB2F80C" w14:textId="77777777" w:rsidR="007118AB" w:rsidRPr="009C68BD" w:rsidRDefault="007118AB" w:rsidP="007118AB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es-ES_tradnl"/>
        </w:rPr>
      </w:pPr>
      <w:r w:rsidRPr="009C68BD">
        <w:rPr>
          <w:b/>
          <w:bCs/>
          <w:lang w:val="es-ES_tradnl"/>
        </w:rPr>
        <w:t>Serbia</w:t>
      </w:r>
    </w:p>
    <w:p w14:paraId="78E2DE6A" w14:textId="77777777" w:rsidR="007118AB" w:rsidRPr="009C68BD" w:rsidRDefault="007118AB" w:rsidP="007118AB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szCs w:val="18"/>
          <w:lang w:val="es-ES_tradnl"/>
        </w:rPr>
      </w:pPr>
      <w:r w:rsidRPr="009C68BD">
        <w:rPr>
          <w:szCs w:val="18"/>
          <w:lang w:val="es-ES_tradnl"/>
        </w:rPr>
        <w:t>Comunicaci</w:t>
      </w:r>
      <w:r>
        <w:rPr>
          <w:szCs w:val="18"/>
          <w:lang w:val="es-ES_tradnl"/>
        </w:rPr>
        <w:t>ón</w:t>
      </w:r>
      <w:r w:rsidRPr="009C68BD">
        <w:rPr>
          <w:szCs w:val="18"/>
          <w:lang w:val="es-ES_tradnl"/>
        </w:rPr>
        <w:t xml:space="preserve"> del </w:t>
      </w:r>
      <w:bookmarkStart w:id="996" w:name="_Hlk130290381"/>
      <w:bookmarkStart w:id="997" w:name="_Hlk211419129"/>
      <w:r w:rsidRPr="007118AB">
        <w:rPr>
          <w:szCs w:val="18"/>
          <w:lang w:val="es-ES"/>
        </w:rPr>
        <w:t>18.IX.202</w:t>
      </w:r>
      <w:bookmarkEnd w:id="996"/>
      <w:r w:rsidRPr="007118AB">
        <w:rPr>
          <w:szCs w:val="18"/>
          <w:lang w:val="es-ES"/>
        </w:rPr>
        <w:t>5</w:t>
      </w:r>
      <w:bookmarkEnd w:id="997"/>
      <w:r w:rsidRPr="009C68BD">
        <w:rPr>
          <w:szCs w:val="18"/>
          <w:lang w:val="es-ES_tradnl"/>
        </w:rPr>
        <w:t>:</w:t>
      </w:r>
    </w:p>
    <w:p w14:paraId="327B84AA" w14:textId="77777777" w:rsidR="007118AB" w:rsidRPr="003D58AC" w:rsidRDefault="007118AB" w:rsidP="007118AB">
      <w:pPr>
        <w:rPr>
          <w:lang w:val="es-ES_tradnl"/>
        </w:rPr>
      </w:pPr>
      <w:r>
        <w:rPr>
          <w:lang w:val="es-ES_tradnl"/>
        </w:rPr>
        <w:t xml:space="preserve">Con motivo del jubileo de la fundación </w:t>
      </w:r>
      <w:r w:rsidRPr="006E5989">
        <w:rPr>
          <w:lang w:val="es-ES_tradnl"/>
        </w:rPr>
        <w:t>del primer radio club de aficionados en Od</w:t>
      </w:r>
      <w:r>
        <w:rPr>
          <w:lang w:val="es-ES_tradnl"/>
        </w:rPr>
        <w:t>z</w:t>
      </w:r>
      <w:r w:rsidRPr="006E5989">
        <w:rPr>
          <w:lang w:val="es-ES_tradnl"/>
        </w:rPr>
        <w:t>aci</w:t>
      </w:r>
      <w:r w:rsidRPr="003D58AC">
        <w:rPr>
          <w:lang w:val="es-ES_tradnl"/>
        </w:rPr>
        <w:t xml:space="preserve">, </w:t>
      </w:r>
      <w:r>
        <w:rPr>
          <w:lang w:val="es-ES_tradnl"/>
        </w:rPr>
        <w:t xml:space="preserve">la Administración serbia autoriza a estaciones de aficionado </w:t>
      </w:r>
      <w:r w:rsidRPr="006E5989">
        <w:rPr>
          <w:lang w:val="es-ES_tradnl"/>
        </w:rPr>
        <w:t xml:space="preserve">del Radio Club </w:t>
      </w:r>
      <w:r w:rsidRPr="00A857C7">
        <w:rPr>
          <w:lang w:val="es-ES_tradnl"/>
        </w:rPr>
        <w:t>"</w:t>
      </w:r>
      <w:r w:rsidRPr="006E5989">
        <w:rPr>
          <w:lang w:val="es-ES_tradnl"/>
        </w:rPr>
        <w:t>Neutrino</w:t>
      </w:r>
      <w:r w:rsidRPr="00A857C7">
        <w:rPr>
          <w:lang w:val="es-ES_tradnl"/>
        </w:rPr>
        <w:t>"</w:t>
      </w:r>
      <w:r>
        <w:rPr>
          <w:lang w:val="es-ES_tradnl"/>
        </w:rPr>
        <w:t xml:space="preserve"> a utilizar el distintivo de llamada especial </w:t>
      </w:r>
      <w:bookmarkStart w:id="998" w:name="_Hlk211419461"/>
      <w:r w:rsidRPr="006E5989">
        <w:rPr>
          <w:b/>
          <w:bCs/>
          <w:lang w:val="es-ES_tradnl"/>
        </w:rPr>
        <w:t>YU65AEC</w:t>
      </w:r>
      <w:bookmarkEnd w:id="998"/>
      <w:r w:rsidRPr="00797692">
        <w:rPr>
          <w:b/>
          <w:bCs/>
          <w:lang w:val="es-ES_tradnl"/>
        </w:rPr>
        <w:t xml:space="preserve"> </w:t>
      </w:r>
      <w:r>
        <w:rPr>
          <w:lang w:val="es-ES_tradnl"/>
        </w:rPr>
        <w:t>durante el periodo comprendido entre el 1 de enero y el 31 de diciembre de 2026.</w:t>
      </w:r>
    </w:p>
    <w:p w14:paraId="614EC4E7" w14:textId="77777777" w:rsidR="000C43D6" w:rsidRPr="007118AB" w:rsidRDefault="000C43D6" w:rsidP="00667C05">
      <w:pPr>
        <w:rPr>
          <w:lang w:val="es-ES_tradnl"/>
        </w:rPr>
      </w:pPr>
    </w:p>
    <w:p w14:paraId="1321409D" w14:textId="46B55124" w:rsidR="007118AB" w:rsidRDefault="007118AB" w:rsidP="00667C05">
      <w:pPr>
        <w:rPr>
          <w:lang w:val="es-ES"/>
        </w:rPr>
      </w:pPr>
      <w:r>
        <w:rPr>
          <w:lang w:val="es-ES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9" w:name="_Toc75258744"/>
      <w:bookmarkStart w:id="1000" w:name="_Toc76724554"/>
      <w:bookmarkStart w:id="1001" w:name="_Toc78985034"/>
      <w:bookmarkStart w:id="1002" w:name="_Toc100839493"/>
      <w:bookmarkStart w:id="1003" w:name="_Toc111646686"/>
      <w:bookmarkStart w:id="1004" w:name="_Toc132192705"/>
      <w:bookmarkStart w:id="1005" w:name="_Toc132193395"/>
      <w:bookmarkStart w:id="1006" w:name="_Toc196294786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35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7" w:name="_Toc75258745"/>
      <w:bookmarkStart w:id="1008" w:name="_Toc76724555"/>
      <w:bookmarkStart w:id="1009" w:name="_Toc78985035"/>
      <w:bookmarkStart w:id="1010" w:name="_Toc100839494"/>
      <w:bookmarkStart w:id="1011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12" w:name="_Toc132192706"/>
      <w:bookmarkStart w:id="1013" w:name="_Toc132193396"/>
      <w:bookmarkStart w:id="1014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15" w:name="_Toc451174501"/>
      <w:bookmarkStart w:id="1016" w:name="_Toc452126900"/>
      <w:bookmarkStart w:id="1017" w:name="_Toc453247195"/>
      <w:bookmarkStart w:id="1018" w:name="_Toc455669854"/>
      <w:bookmarkStart w:id="1019" w:name="_Toc458781012"/>
      <w:bookmarkStart w:id="1020" w:name="_Toc463441567"/>
      <w:bookmarkStart w:id="1021" w:name="_Toc463947717"/>
      <w:bookmarkStart w:id="1022" w:name="_Toc466370894"/>
      <w:bookmarkStart w:id="1023" w:name="_Toc467245952"/>
      <w:bookmarkStart w:id="1024" w:name="_Toc468457249"/>
      <w:bookmarkStart w:id="1025" w:name="_Toc472590313"/>
      <w:bookmarkStart w:id="1026" w:name="_Toc473727741"/>
      <w:bookmarkStart w:id="1027" w:name="_Toc474936346"/>
      <w:bookmarkStart w:id="1028" w:name="_Toc476142328"/>
      <w:bookmarkStart w:id="1029" w:name="_Toc477429101"/>
      <w:bookmarkStart w:id="1030" w:name="_Toc478134105"/>
      <w:bookmarkStart w:id="1031" w:name="_Toc479850647"/>
      <w:bookmarkStart w:id="1032" w:name="_Toc482090365"/>
      <w:bookmarkStart w:id="1033" w:name="_Toc484181141"/>
      <w:bookmarkStart w:id="1034" w:name="_Toc484787076"/>
      <w:bookmarkStart w:id="1035" w:name="_Toc487119326"/>
      <w:bookmarkStart w:id="1036" w:name="_Toc489607398"/>
      <w:bookmarkStart w:id="1037" w:name="_Toc490829860"/>
      <w:bookmarkStart w:id="1038" w:name="_Toc492375239"/>
      <w:bookmarkStart w:id="1039" w:name="_Toc493254988"/>
      <w:bookmarkStart w:id="1040" w:name="_Toc495992907"/>
      <w:bookmarkStart w:id="1041" w:name="_Toc497227743"/>
      <w:bookmarkStart w:id="1042" w:name="_Toc497485446"/>
      <w:bookmarkStart w:id="1043" w:name="_Toc498613294"/>
      <w:bookmarkStart w:id="1044" w:name="_Toc500253798"/>
      <w:bookmarkStart w:id="1045" w:name="_Toc501030459"/>
      <w:bookmarkStart w:id="1046" w:name="_Toc504138712"/>
      <w:bookmarkStart w:id="1047" w:name="_Toc508619468"/>
      <w:bookmarkStart w:id="1048" w:name="_Toc509410687"/>
      <w:bookmarkStart w:id="1049" w:name="_Toc510706809"/>
      <w:bookmarkStart w:id="1050" w:name="_Toc513019749"/>
      <w:bookmarkStart w:id="1051" w:name="_Toc513558625"/>
      <w:bookmarkStart w:id="1052" w:name="_Toc515519622"/>
      <w:bookmarkStart w:id="1053" w:name="_Toc516232719"/>
      <w:bookmarkStart w:id="1054" w:name="_Toc517356352"/>
      <w:bookmarkStart w:id="1055" w:name="_Toc518308410"/>
      <w:bookmarkStart w:id="1056" w:name="_Toc524958858"/>
      <w:bookmarkStart w:id="1057" w:name="_Toc526347928"/>
      <w:bookmarkStart w:id="1058" w:name="_Toc527712007"/>
      <w:bookmarkStart w:id="1059" w:name="_Toc530993353"/>
      <w:bookmarkStart w:id="1060" w:name="_Toc535587904"/>
      <w:bookmarkStart w:id="1061" w:name="_Toc536454749"/>
      <w:bookmarkStart w:id="1062" w:name="_Toc7446110"/>
      <w:bookmarkStart w:id="1063" w:name="_Toc11758770"/>
      <w:bookmarkStart w:id="1064" w:name="_Toc12021973"/>
      <w:bookmarkStart w:id="1065" w:name="_Toc12959013"/>
      <w:bookmarkStart w:id="1066" w:name="_Toc16080628"/>
      <w:bookmarkStart w:id="1067" w:name="_Toc19280737"/>
      <w:bookmarkStart w:id="1068" w:name="_Toc22117830"/>
      <w:bookmarkStart w:id="1069" w:name="_Toc23423319"/>
      <w:bookmarkStart w:id="1070" w:name="_Toc25852732"/>
      <w:bookmarkStart w:id="1071" w:name="_Toc26878317"/>
      <w:bookmarkStart w:id="1072" w:name="_Toc40343745"/>
      <w:bookmarkStart w:id="1073" w:name="_Toc47969211"/>
      <w:bookmarkStart w:id="1074" w:name="_Toc75258746"/>
      <w:bookmarkStart w:id="1075" w:name="_Toc76724556"/>
      <w:bookmarkStart w:id="1076" w:name="_Toc78985036"/>
      <w:bookmarkStart w:id="1077" w:name="_Toc100839495"/>
      <w:bookmarkStart w:id="1078" w:name="_Toc111646688"/>
      <w:bookmarkStart w:id="1079" w:name="_Toc132192707"/>
      <w:bookmarkStart w:id="1080" w:name="_Toc132193397"/>
      <w:bookmarkStart w:id="1081" w:name="_Toc196294788"/>
      <w:proofErr w:type="gramStart"/>
      <w:r w:rsidRPr="004D4B3F">
        <w:rPr>
          <w:lang w:val="es-ES"/>
        </w:rPr>
        <w:lastRenderedPageBreak/>
        <w:t>ENMIENDAS  A</w:t>
      </w:r>
      <w:proofErr w:type="gramEnd"/>
      <w:r w:rsidRPr="004D4B3F">
        <w:rPr>
          <w:lang w:val="es-ES"/>
        </w:rPr>
        <w:t xml:space="preserve">  </w:t>
      </w:r>
      <w:proofErr w:type="gramStart"/>
      <w:r w:rsidRPr="004D4B3F">
        <w:rPr>
          <w:lang w:val="es-ES"/>
        </w:rPr>
        <w:t>LAS  PUBLICACIONES</w:t>
      </w:r>
      <w:proofErr w:type="gramEnd"/>
      <w:r w:rsidRPr="004D4B3F">
        <w:rPr>
          <w:lang w:val="es-ES"/>
        </w:rPr>
        <w:t xml:space="preserve">  </w:t>
      </w:r>
      <w:proofErr w:type="gramStart"/>
      <w:r w:rsidRPr="004D4B3F">
        <w:rPr>
          <w:lang w:val="es-ES"/>
        </w:rPr>
        <w:t>DE  SERVICIO</w:t>
      </w:r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proofErr w:type="gramEnd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82" w:name="_Toc47969212"/>
      <w:r w:rsidRPr="004D4B3F">
        <w:rPr>
          <w:b w:val="0"/>
          <w:bCs/>
          <w:lang w:val="es-ES"/>
        </w:rPr>
        <w:t>Abreviaturas utilizadas</w:t>
      </w:r>
      <w:bookmarkEnd w:id="1082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4E0DE1F8" w14:textId="77777777" w:rsidR="007118AB" w:rsidRDefault="007118AB" w:rsidP="00003189">
      <w:pPr>
        <w:rPr>
          <w:lang w:val="es-ES"/>
        </w:rPr>
      </w:pPr>
    </w:p>
    <w:p w14:paraId="7B0D9696" w14:textId="77777777" w:rsidR="007118AB" w:rsidRDefault="007118AB" w:rsidP="00003189">
      <w:pPr>
        <w:rPr>
          <w:lang w:val="es-ES"/>
        </w:rPr>
      </w:pPr>
    </w:p>
    <w:p w14:paraId="69FB3C5D" w14:textId="77777777" w:rsidR="007118AB" w:rsidRPr="005D763E" w:rsidRDefault="007118AB" w:rsidP="007118AB">
      <w:pPr>
        <w:keepNext/>
        <w:shd w:val="clear" w:color="auto" w:fill="D9D9D9"/>
        <w:spacing w:before="0"/>
        <w:jc w:val="center"/>
        <w:outlineLvl w:val="1"/>
        <w:rPr>
          <w:rFonts w:cs="Arial"/>
          <w:b/>
          <w:bCs/>
          <w:sz w:val="28"/>
          <w:szCs w:val="28"/>
          <w:lang w:val="es-ES_tradnl"/>
        </w:rPr>
      </w:pPr>
      <w:r w:rsidRPr="005D763E">
        <w:rPr>
          <w:rFonts w:cs="Arial"/>
          <w:b/>
          <w:bCs/>
          <w:sz w:val="28"/>
          <w:szCs w:val="28"/>
          <w:lang w:val="es-ES_tradnl"/>
        </w:rPr>
        <w:t xml:space="preserve">Lista de números de identificación de expedidor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 xml:space="preserve">(según la Recomendación UIT-T E.118 (05/2006))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>(Situación al 31 de diciembre de 2023)</w:t>
      </w:r>
    </w:p>
    <w:p w14:paraId="6647AE20" w14:textId="77777777" w:rsidR="007118AB" w:rsidRPr="00172AF9" w:rsidRDefault="007118AB" w:rsidP="007118AB">
      <w:pPr>
        <w:tabs>
          <w:tab w:val="left" w:pos="720"/>
        </w:tabs>
        <w:spacing w:after="120"/>
        <w:jc w:val="center"/>
        <w:rPr>
          <w:rFonts w:cs="Arial"/>
          <w:b/>
          <w:lang w:val="es-ES_tradnl"/>
        </w:rPr>
      </w:pPr>
      <w:r w:rsidRPr="00634C23">
        <w:rPr>
          <w:rFonts w:eastAsia="SimSun" w:cs="Arial"/>
          <w:lang w:val="es-ES_tradnl" w:eastAsia="zh-CN"/>
        </w:rPr>
        <w:t>(Anexo al Boletín de Explotación de la UIT N.° 1</w:t>
      </w:r>
      <w:r w:rsidRPr="005D763E">
        <w:rPr>
          <w:rFonts w:eastAsia="SimSun" w:cs="Arial"/>
          <w:lang w:val="es-ES_tradnl" w:eastAsia="zh-CN"/>
        </w:rPr>
        <w:t>283</w:t>
      </w:r>
      <w:r w:rsidRPr="00634C23">
        <w:rPr>
          <w:rFonts w:eastAsia="SimSun" w:cs="Arial"/>
          <w:lang w:val="es-ES_tradnl" w:eastAsia="zh-CN"/>
        </w:rPr>
        <w:t xml:space="preserve"> – 1.I.20</w:t>
      </w:r>
      <w:r w:rsidRPr="005D763E">
        <w:rPr>
          <w:rFonts w:eastAsia="SimSun" w:cs="Arial"/>
          <w:lang w:val="es-ES_tradnl" w:eastAsia="zh-CN"/>
        </w:rPr>
        <w:t>24</w:t>
      </w:r>
      <w:r w:rsidRPr="00634C23">
        <w:rPr>
          <w:rFonts w:eastAsia="SimSun" w:cs="Arial"/>
          <w:lang w:val="es-ES_tradnl" w:eastAsia="zh-CN"/>
        </w:rPr>
        <w:t>)</w:t>
      </w:r>
      <w:r w:rsidRPr="00634C23">
        <w:rPr>
          <w:rFonts w:eastAsia="SimSun" w:cs="Arial"/>
          <w:lang w:val="es-ES_tradnl" w:eastAsia="zh-CN"/>
        </w:rPr>
        <w:br/>
        <w:t xml:space="preserve">(Enmienda N.° </w:t>
      </w:r>
      <w:r>
        <w:rPr>
          <w:rFonts w:eastAsia="SimSun" w:cs="Arial"/>
          <w:lang w:val="es-ES_tradnl" w:eastAsia="zh-CN"/>
        </w:rPr>
        <w:t>23</w:t>
      </w:r>
      <w:r w:rsidRPr="00634C23">
        <w:rPr>
          <w:rFonts w:eastAsia="SimSun" w:cs="Arial"/>
          <w:lang w:val="es-ES_tradnl" w:eastAsia="zh-CN"/>
        </w:rPr>
        <w:t>)</w:t>
      </w:r>
    </w:p>
    <w:p w14:paraId="66EFE281" w14:textId="77777777" w:rsidR="007118AB" w:rsidRPr="007118AB" w:rsidRDefault="007118AB" w:rsidP="007118AB">
      <w:pPr>
        <w:spacing w:before="240"/>
        <w:jc w:val="left"/>
        <w:rPr>
          <w:lang w:val="es-ES"/>
        </w:rPr>
      </w:pPr>
    </w:p>
    <w:p w14:paraId="1BD169C0" w14:textId="77777777" w:rsidR="007118AB" w:rsidRPr="00D41748" w:rsidRDefault="007118AB" w:rsidP="007118AB">
      <w:pPr>
        <w:rPr>
          <w:lang w:val="es-ES_tradnl"/>
        </w:rPr>
      </w:pPr>
      <w:r w:rsidRPr="0045427D">
        <w:rPr>
          <w:rFonts w:cs="Arial"/>
          <w:b/>
          <w:bCs/>
          <w:lang w:val="es-ES_tradnl"/>
        </w:rPr>
        <w:t>Francia</w:t>
      </w:r>
      <w:r>
        <w:rPr>
          <w:rFonts w:cs="Arial"/>
          <w:b/>
          <w:bCs/>
          <w:lang w:val="es-ES_tradnl"/>
        </w:rPr>
        <w:tab/>
      </w:r>
      <w:r w:rsidRPr="00D41748">
        <w:rPr>
          <w:rFonts w:cs="Arial"/>
          <w:b/>
          <w:bCs/>
          <w:lang w:val="es-ES_tradnl"/>
        </w:rPr>
        <w:t>ADD</w:t>
      </w:r>
    </w:p>
    <w:p w14:paraId="4BD29A08" w14:textId="77777777" w:rsidR="007118AB" w:rsidRPr="0045427D" w:rsidRDefault="007118AB" w:rsidP="007118AB">
      <w:pPr>
        <w:spacing w:before="0"/>
        <w:rPr>
          <w:lang w:val="es-ES"/>
        </w:rPr>
      </w:pPr>
    </w:p>
    <w:tbl>
      <w:tblPr>
        <w:tblW w:w="515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2468"/>
        <w:gridCol w:w="1591"/>
        <w:gridCol w:w="3335"/>
        <w:gridCol w:w="1305"/>
      </w:tblGrid>
      <w:tr w:rsidR="007118AB" w:rsidRPr="007118AB" w14:paraId="338B9343" w14:textId="77777777" w:rsidTr="00D9027E">
        <w:trPr>
          <w:cantSplit/>
          <w:trHeight w:val="925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EFFB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7118AB">
              <w:rPr>
                <w:rFonts w:cs="Arial"/>
                <w:i/>
                <w:iCs/>
                <w:lang w:val="es-ES_tradnl"/>
              </w:rPr>
              <w:t>País/zona geográfica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7089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7118AB">
              <w:rPr>
                <w:rFonts w:cs="Arial"/>
                <w:i/>
                <w:iCs/>
                <w:lang w:val="es-ES_tradnl"/>
              </w:rPr>
              <w:t>Empresa/Dirección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1761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7118AB">
              <w:rPr>
                <w:rFonts w:cs="Arial"/>
                <w:i/>
                <w:iCs/>
                <w:lang w:val="es-ES_tradnl"/>
              </w:rPr>
              <w:t xml:space="preserve">Número </w:t>
            </w:r>
            <w:r w:rsidRPr="007118AB">
              <w:rPr>
                <w:rFonts w:cs="Arial"/>
                <w:i/>
                <w:iCs/>
                <w:lang w:val="es-ES_tradnl"/>
              </w:rPr>
              <w:br/>
              <w:t xml:space="preserve">de identificación </w:t>
            </w:r>
            <w:r w:rsidRPr="007118AB">
              <w:rPr>
                <w:rFonts w:cs="Arial"/>
                <w:i/>
                <w:iCs/>
                <w:lang w:val="es-ES_tradnl"/>
              </w:rPr>
              <w:br/>
              <w:t>de expedidor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B563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7118AB">
              <w:rPr>
                <w:rFonts w:cs="Arial"/>
                <w:i/>
                <w:iCs/>
                <w:lang w:val="es-ES_tradnl"/>
              </w:rPr>
              <w:t>Contacto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65F1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7118AB">
              <w:rPr>
                <w:rFonts w:cs="Arial"/>
                <w:i/>
                <w:iCs/>
                <w:lang w:val="es-CO"/>
              </w:rPr>
              <w:t>Fecha efectiva de utilización</w:t>
            </w:r>
          </w:p>
        </w:tc>
      </w:tr>
      <w:tr w:rsidR="007118AB" w:rsidRPr="007118AB" w14:paraId="5F12A53F" w14:textId="77777777" w:rsidTr="00D9027E">
        <w:trPr>
          <w:cantSplit/>
          <w:trHeight w:val="1575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3A79" w14:textId="77777777" w:rsidR="007118AB" w:rsidRPr="007118AB" w:rsidRDefault="007118AB" w:rsidP="00D9027E">
            <w:pPr>
              <w:spacing w:before="0"/>
              <w:rPr>
                <w:rFonts w:cs="Arial"/>
                <w:color w:val="000000"/>
              </w:rPr>
            </w:pPr>
            <w:r w:rsidRPr="007118AB">
              <w:rPr>
                <w:rFonts w:cs="Arial"/>
                <w:color w:val="000000"/>
              </w:rPr>
              <w:t>Francia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F23A" w14:textId="77777777" w:rsidR="007118AB" w:rsidRPr="007118AB" w:rsidRDefault="007118AB" w:rsidP="00D9027E">
            <w:pPr>
              <w:spacing w:before="0"/>
              <w:jc w:val="left"/>
              <w:rPr>
                <w:b/>
                <w:bCs/>
                <w:lang w:val="fr-FR"/>
              </w:rPr>
            </w:pPr>
            <w:r w:rsidRPr="007118AB">
              <w:rPr>
                <w:b/>
                <w:bCs/>
                <w:lang w:val="fr-FR"/>
              </w:rPr>
              <w:t>Kigen France SAS</w:t>
            </w:r>
          </w:p>
          <w:p w14:paraId="4BD14C5F" w14:textId="77777777" w:rsidR="007118AB" w:rsidRPr="007118AB" w:rsidRDefault="007118AB" w:rsidP="007118AB">
            <w:pPr>
              <w:spacing w:before="0" w:after="0"/>
              <w:jc w:val="left"/>
              <w:rPr>
                <w:lang w:val="fr-FR"/>
              </w:rPr>
            </w:pPr>
            <w:r w:rsidRPr="007118AB">
              <w:rPr>
                <w:lang w:val="fr-FR"/>
              </w:rPr>
              <w:t>C/O SUNDESK SOPHIA-ANTIPOLIS</w:t>
            </w:r>
            <w:r w:rsidRPr="007118AB">
              <w:rPr>
                <w:lang w:val="fr-FR"/>
              </w:rPr>
              <w:br/>
              <w:t>930 ROUTE DES DOLINES</w:t>
            </w:r>
          </w:p>
          <w:p w14:paraId="376BC648" w14:textId="77777777" w:rsidR="007118AB" w:rsidRPr="007118AB" w:rsidRDefault="007118AB" w:rsidP="007118AB">
            <w:pPr>
              <w:spacing w:before="0" w:after="0"/>
              <w:jc w:val="left"/>
              <w:rPr>
                <w:u w:val="single"/>
                <w:lang w:val="fr-FR"/>
              </w:rPr>
            </w:pPr>
            <w:r w:rsidRPr="007118AB">
              <w:rPr>
                <w:lang w:val="fr-FR"/>
              </w:rPr>
              <w:t>06560 VALBONNE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95F8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</w:rPr>
            </w:pPr>
            <w:r w:rsidRPr="007118AB">
              <w:rPr>
                <w:rFonts w:cs="Arial"/>
                <w:b/>
              </w:rPr>
              <w:t>89 33 85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0E74" w14:textId="77777777" w:rsidR="007118AB" w:rsidRPr="007118AB" w:rsidRDefault="007118AB" w:rsidP="00D9027E">
            <w:pPr>
              <w:spacing w:before="0"/>
              <w:jc w:val="left"/>
              <w:rPr>
                <w:highlight w:val="yellow"/>
              </w:rPr>
            </w:pPr>
            <w:r w:rsidRPr="007118AB">
              <w:t>Saïd Gharout</w:t>
            </w:r>
          </w:p>
          <w:p w14:paraId="34175D4B" w14:textId="77777777" w:rsidR="007118AB" w:rsidRPr="007118AB" w:rsidRDefault="007118AB" w:rsidP="007118AB">
            <w:pPr>
              <w:spacing w:before="0" w:after="0"/>
              <w:jc w:val="left"/>
            </w:pPr>
            <w:r w:rsidRPr="007118AB">
              <w:t>C/O SUNDESK SOPHIA-ANTIPOLIS, 930 ROUTE DES DOLINES</w:t>
            </w:r>
          </w:p>
          <w:p w14:paraId="7F62E853" w14:textId="77777777" w:rsidR="007118AB" w:rsidRPr="007118AB" w:rsidRDefault="007118AB" w:rsidP="007118AB">
            <w:pPr>
              <w:spacing w:before="0" w:after="0"/>
              <w:jc w:val="left"/>
              <w:rPr>
                <w:highlight w:val="yellow"/>
                <w:lang w:val="fr-FR"/>
              </w:rPr>
            </w:pPr>
            <w:r w:rsidRPr="007118AB">
              <w:rPr>
                <w:lang w:val="fr-FR"/>
              </w:rPr>
              <w:t>06560 VALBONNE</w:t>
            </w:r>
          </w:p>
          <w:p w14:paraId="1077AF71" w14:textId="77777777" w:rsidR="007118AB" w:rsidRPr="007118AB" w:rsidRDefault="007118AB" w:rsidP="007118AB">
            <w:pPr>
              <w:spacing w:before="0" w:after="0"/>
              <w:jc w:val="left"/>
              <w:rPr>
                <w:lang w:val="fr-FR"/>
              </w:rPr>
            </w:pPr>
            <w:proofErr w:type="gramStart"/>
            <w:r w:rsidRPr="007118AB">
              <w:rPr>
                <w:lang w:val="fr-FR"/>
              </w:rPr>
              <w:t>Tel:</w:t>
            </w:r>
            <w:proofErr w:type="gramEnd"/>
            <w:r w:rsidRPr="007118AB">
              <w:rPr>
                <w:lang w:val="fr-FR"/>
              </w:rPr>
              <w:t xml:space="preserve"> +44 (0) 2890450850</w:t>
            </w:r>
          </w:p>
          <w:p w14:paraId="5A923C1E" w14:textId="77777777" w:rsidR="007118AB" w:rsidRPr="007118AB" w:rsidRDefault="007118AB" w:rsidP="007118AB">
            <w:pPr>
              <w:spacing w:before="0" w:after="0"/>
              <w:jc w:val="left"/>
              <w:rPr>
                <w:rFonts w:cs="Arial"/>
                <w:color w:val="000000"/>
                <w:lang w:val="fr-FR"/>
              </w:rPr>
            </w:pPr>
            <w:proofErr w:type="gramStart"/>
            <w:r w:rsidRPr="007118AB">
              <w:rPr>
                <w:lang w:val="fr-FR"/>
              </w:rPr>
              <w:t>E-mail:</w:t>
            </w:r>
            <w:proofErr w:type="gramEnd"/>
            <w:r w:rsidRPr="007118AB">
              <w:rPr>
                <w:lang w:val="fr-FR"/>
              </w:rPr>
              <w:t xml:space="preserve"> </w:t>
            </w:r>
            <w:r w:rsidRPr="007118AB">
              <w:rPr>
                <w:lang w:val="fr-CH"/>
              </w:rPr>
              <w:t>contact@kigen.com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4256" w14:textId="77777777" w:rsidR="007118AB" w:rsidRPr="007118AB" w:rsidRDefault="007118AB" w:rsidP="00D9027E">
            <w:pPr>
              <w:spacing w:before="0"/>
              <w:jc w:val="center"/>
            </w:pPr>
            <w:r w:rsidRPr="007118AB">
              <w:rPr>
                <w:rFonts w:cs="Arial"/>
                <w:bCs/>
              </w:rPr>
              <w:t>1.X.2025</w:t>
            </w:r>
          </w:p>
        </w:tc>
      </w:tr>
    </w:tbl>
    <w:p w14:paraId="695A5114" w14:textId="77777777" w:rsidR="007118AB" w:rsidRPr="002F721E" w:rsidRDefault="007118AB" w:rsidP="007118AB">
      <w:pPr>
        <w:spacing w:before="240"/>
        <w:rPr>
          <w:b/>
          <w:bCs/>
          <w:lang w:val="es-ES"/>
        </w:rPr>
      </w:pPr>
      <w:r w:rsidRPr="0045427D">
        <w:rPr>
          <w:rFonts w:asciiTheme="minorHAnsi" w:hAnsiTheme="minorHAnsi" w:cs="Arial"/>
          <w:b/>
          <w:bCs/>
          <w:lang w:val="es-ES"/>
        </w:rPr>
        <w:t>Noruega</w:t>
      </w:r>
      <w:r>
        <w:rPr>
          <w:rFonts w:asciiTheme="minorHAnsi" w:hAnsiTheme="minorHAnsi" w:cs="Arial"/>
          <w:b/>
          <w:bCs/>
          <w:lang w:val="es-ES"/>
        </w:rPr>
        <w:tab/>
      </w:r>
      <w:r>
        <w:rPr>
          <w:rFonts w:asciiTheme="minorHAnsi" w:hAnsiTheme="minorHAnsi" w:cs="Arial"/>
          <w:b/>
          <w:bCs/>
          <w:lang w:val="es-ES"/>
        </w:rPr>
        <w:tab/>
      </w:r>
      <w:r w:rsidRPr="002F721E">
        <w:rPr>
          <w:rFonts w:asciiTheme="minorHAnsi" w:hAnsiTheme="minorHAnsi" w:cs="Arial"/>
          <w:b/>
          <w:bCs/>
          <w:lang w:val="es-ES"/>
        </w:rPr>
        <w:t>LIR</w:t>
      </w:r>
    </w:p>
    <w:p w14:paraId="48E55B62" w14:textId="77777777" w:rsidR="007118AB" w:rsidRDefault="007118AB" w:rsidP="007118AB">
      <w:pPr>
        <w:pStyle w:val="NoSpacing"/>
        <w:rPr>
          <w:sz w:val="20"/>
          <w:szCs w:val="20"/>
          <w:lang w:val="es-ES_tradnl"/>
        </w:rPr>
      </w:pPr>
    </w:p>
    <w:tbl>
      <w:tblPr>
        <w:tblW w:w="517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551"/>
        <w:gridCol w:w="1985"/>
        <w:gridCol w:w="4236"/>
      </w:tblGrid>
      <w:tr w:rsidR="007118AB" w:rsidRPr="007118AB" w14:paraId="0BE60070" w14:textId="77777777" w:rsidTr="007118AB">
        <w:trPr>
          <w:cantSplit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A6C1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7118AB">
              <w:rPr>
                <w:rFonts w:cs="Arial"/>
                <w:i/>
                <w:iCs/>
                <w:lang w:val="es-ES_tradnl"/>
              </w:rPr>
              <w:t>País/zona geográfica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0007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7118AB">
              <w:rPr>
                <w:rFonts w:cs="Arial"/>
                <w:i/>
                <w:iCs/>
                <w:lang w:val="es-ES_tradnl"/>
              </w:rPr>
              <w:t>Empresa/Dirección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ABB7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7118AB">
              <w:rPr>
                <w:rFonts w:cs="Arial"/>
                <w:i/>
                <w:iCs/>
                <w:lang w:val="es-ES_tradnl"/>
              </w:rPr>
              <w:t xml:space="preserve">Número </w:t>
            </w:r>
            <w:r w:rsidRPr="007118AB">
              <w:rPr>
                <w:rFonts w:cs="Arial"/>
                <w:i/>
                <w:iCs/>
                <w:lang w:val="es-ES_tradnl"/>
              </w:rPr>
              <w:br/>
              <w:t xml:space="preserve">de identificación </w:t>
            </w:r>
            <w:r w:rsidRPr="007118AB">
              <w:rPr>
                <w:rFonts w:cs="Arial"/>
                <w:i/>
                <w:iCs/>
                <w:lang w:val="es-ES_tradnl"/>
              </w:rPr>
              <w:br/>
              <w:t>de expedidor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548A" w14:textId="77777777" w:rsidR="007118AB" w:rsidRPr="007118AB" w:rsidRDefault="007118AB" w:rsidP="00D9027E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7118AB">
              <w:rPr>
                <w:rFonts w:cs="Arial"/>
                <w:i/>
                <w:iCs/>
                <w:lang w:val="es-ES_tradnl"/>
              </w:rPr>
              <w:t>Contacto</w:t>
            </w:r>
          </w:p>
        </w:tc>
      </w:tr>
      <w:tr w:rsidR="007118AB" w:rsidRPr="007118AB" w14:paraId="3572BF8F" w14:textId="77777777" w:rsidTr="007118AB">
        <w:trPr>
          <w:cantSplit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750C" w14:textId="77777777" w:rsidR="007118AB" w:rsidRPr="007118AB" w:rsidRDefault="007118AB" w:rsidP="00D9027E">
            <w:pPr>
              <w:spacing w:before="0"/>
              <w:jc w:val="left"/>
              <w:rPr>
                <w:rFonts w:cs="Arial"/>
                <w:b/>
                <w:bCs/>
                <w:color w:val="000000"/>
              </w:rPr>
            </w:pPr>
            <w:r w:rsidRPr="007118AB">
              <w:rPr>
                <w:rFonts w:cs="Arial"/>
                <w:color w:val="000000" w:themeColor="text1"/>
              </w:rPr>
              <w:t>Noruega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1536" w14:textId="77777777" w:rsidR="007118AB" w:rsidRPr="007118AB" w:rsidRDefault="007118AB" w:rsidP="007118AB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Theme="minorHAnsi"/>
                <w:color w:val="201F1E"/>
              </w:rPr>
            </w:pPr>
            <w:r w:rsidRPr="007118AB">
              <w:rPr>
                <w:rFonts w:eastAsiaTheme="minorHAnsi"/>
                <w:b/>
                <w:bCs/>
                <w:color w:val="201F1E"/>
              </w:rPr>
              <w:t>Lyse Tele AS</w:t>
            </w:r>
            <w:r w:rsidRPr="007118AB">
              <w:rPr>
                <w:rFonts w:eastAsiaTheme="minorHAnsi"/>
                <w:color w:val="201F1E"/>
              </w:rPr>
              <w:br/>
              <w:t>Breiflåtveien 18</w:t>
            </w:r>
          </w:p>
          <w:p w14:paraId="5958C03C" w14:textId="77777777" w:rsidR="007118AB" w:rsidRPr="007118AB" w:rsidRDefault="007118AB" w:rsidP="007118AB">
            <w:pPr>
              <w:spacing w:before="0" w:after="0"/>
              <w:jc w:val="left"/>
              <w:rPr>
                <w:u w:val="single"/>
                <w:lang w:val="es-ES_tradnl"/>
              </w:rPr>
            </w:pPr>
            <w:r w:rsidRPr="007118AB">
              <w:rPr>
                <w:rFonts w:eastAsiaTheme="minorHAnsi"/>
                <w:color w:val="201F1E"/>
              </w:rPr>
              <w:t>4017 STAVANGER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B54F" w14:textId="77777777" w:rsidR="007118AB" w:rsidRPr="007118AB" w:rsidRDefault="007118AB" w:rsidP="007118A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</w:rPr>
            </w:pPr>
            <w:r w:rsidRPr="007118AB">
              <w:rPr>
                <w:rFonts w:asciiTheme="minorHAnsi" w:hAnsiTheme="minorHAnsi"/>
                <w:b/>
              </w:rPr>
              <w:t>89 47 06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66AD" w14:textId="77777777" w:rsidR="007118AB" w:rsidRPr="007118AB" w:rsidRDefault="007118AB" w:rsidP="007118AB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7118AB">
              <w:rPr>
                <w:rFonts w:asciiTheme="minorHAnsi" w:hAnsiTheme="minorHAnsi"/>
              </w:rPr>
              <w:t>Klaus Gaarder</w:t>
            </w:r>
            <w:r w:rsidRPr="007118AB">
              <w:rPr>
                <w:rFonts w:asciiTheme="minorHAnsi" w:hAnsiTheme="minorHAnsi"/>
              </w:rPr>
              <w:br/>
              <w:t>Nydalsveien 18B</w:t>
            </w:r>
            <w:r w:rsidRPr="007118AB">
              <w:rPr>
                <w:rFonts w:asciiTheme="minorHAnsi" w:hAnsiTheme="minorHAnsi"/>
              </w:rPr>
              <w:br/>
              <w:t>0484 OSLO</w:t>
            </w:r>
            <w:r w:rsidRPr="007118AB">
              <w:rPr>
                <w:rFonts w:asciiTheme="minorHAnsi" w:hAnsiTheme="minorHAnsi"/>
              </w:rPr>
              <w:br/>
              <w:t>Tel: +47 90049904</w:t>
            </w:r>
            <w:r w:rsidRPr="007118AB">
              <w:rPr>
                <w:rFonts w:asciiTheme="minorHAnsi" w:hAnsiTheme="minorHAnsi"/>
              </w:rPr>
              <w:br/>
              <w:t>E-mail: klaus.gaarder@lyse.no</w:t>
            </w:r>
          </w:p>
        </w:tc>
      </w:tr>
      <w:tr w:rsidR="007118AB" w:rsidRPr="007118AB" w14:paraId="5B6D38E1" w14:textId="77777777" w:rsidTr="007118AB">
        <w:trPr>
          <w:cantSplit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9A15" w14:textId="77777777" w:rsidR="007118AB" w:rsidRPr="007118AB" w:rsidRDefault="007118AB" w:rsidP="00D9027E">
            <w:pPr>
              <w:spacing w:before="0"/>
              <w:jc w:val="left"/>
              <w:rPr>
                <w:rFonts w:cs="Arial"/>
                <w:color w:val="000000" w:themeColor="text1"/>
              </w:rPr>
            </w:pPr>
            <w:r w:rsidRPr="007118AB">
              <w:rPr>
                <w:rFonts w:cs="Arial"/>
                <w:color w:val="000000" w:themeColor="text1"/>
              </w:rPr>
              <w:t>Noruega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D5E5" w14:textId="77777777" w:rsidR="007118AB" w:rsidRPr="007118AB" w:rsidRDefault="007118AB" w:rsidP="007118AB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eastAsiaTheme="minorHAnsi"/>
                <w:color w:val="201F1E"/>
              </w:rPr>
            </w:pPr>
            <w:r w:rsidRPr="007118AB">
              <w:rPr>
                <w:rFonts w:eastAsiaTheme="minorHAnsi"/>
                <w:b/>
                <w:bCs/>
                <w:color w:val="201F1E"/>
              </w:rPr>
              <w:t>Lyse Tele AS</w:t>
            </w:r>
            <w:r w:rsidRPr="007118AB">
              <w:rPr>
                <w:rFonts w:eastAsiaTheme="minorHAnsi"/>
                <w:color w:val="201F1E"/>
              </w:rPr>
              <w:br/>
              <w:t>Breiflåtveien 18</w:t>
            </w:r>
          </w:p>
          <w:p w14:paraId="029489DD" w14:textId="77777777" w:rsidR="007118AB" w:rsidRPr="007118AB" w:rsidRDefault="007118AB" w:rsidP="007118AB">
            <w:pPr>
              <w:spacing w:before="0" w:after="0"/>
              <w:jc w:val="left"/>
              <w:rPr>
                <w:rFonts w:cs="Arial"/>
                <w:b/>
                <w:bCs/>
                <w:color w:val="000000"/>
              </w:rPr>
            </w:pPr>
            <w:r w:rsidRPr="007118AB">
              <w:rPr>
                <w:rFonts w:eastAsiaTheme="minorHAnsi"/>
                <w:color w:val="201F1E"/>
              </w:rPr>
              <w:t>4017 STAVANGER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8455" w14:textId="77777777" w:rsidR="007118AB" w:rsidRPr="007118AB" w:rsidRDefault="007118AB" w:rsidP="007118A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b/>
              </w:rPr>
            </w:pPr>
            <w:r w:rsidRPr="007118AB">
              <w:rPr>
                <w:rFonts w:asciiTheme="minorHAnsi" w:hAnsiTheme="minorHAnsi"/>
                <w:b/>
              </w:rPr>
              <w:t>89 47 07</w:t>
            </w:r>
          </w:p>
        </w:tc>
        <w:tc>
          <w:tcPr>
            <w:tcW w:w="4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6854" w14:textId="77777777" w:rsidR="007118AB" w:rsidRPr="007118AB" w:rsidRDefault="007118AB" w:rsidP="007118AB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7118AB">
              <w:rPr>
                <w:rFonts w:asciiTheme="minorHAnsi" w:hAnsiTheme="minorHAnsi"/>
              </w:rPr>
              <w:t>Klaus Gaarder</w:t>
            </w:r>
            <w:r w:rsidRPr="007118AB">
              <w:rPr>
                <w:rFonts w:asciiTheme="minorHAnsi" w:hAnsiTheme="minorHAnsi"/>
              </w:rPr>
              <w:br/>
              <w:t>Nydalsveien 18B</w:t>
            </w:r>
            <w:r w:rsidRPr="007118AB">
              <w:rPr>
                <w:rFonts w:asciiTheme="minorHAnsi" w:hAnsiTheme="minorHAnsi"/>
              </w:rPr>
              <w:br/>
              <w:t>0484 OSLO</w:t>
            </w:r>
            <w:r w:rsidRPr="007118AB">
              <w:rPr>
                <w:rFonts w:asciiTheme="minorHAnsi" w:hAnsiTheme="minorHAnsi"/>
              </w:rPr>
              <w:br/>
              <w:t>Tel: +47 90049904</w:t>
            </w:r>
            <w:r w:rsidRPr="007118AB">
              <w:rPr>
                <w:rFonts w:asciiTheme="minorHAnsi" w:hAnsiTheme="minorHAnsi"/>
              </w:rPr>
              <w:br/>
              <w:t>E-mail: klaus.gaarder@lyse.no</w:t>
            </w:r>
          </w:p>
        </w:tc>
      </w:tr>
    </w:tbl>
    <w:p w14:paraId="082BEBD4" w14:textId="77777777" w:rsidR="007118AB" w:rsidRPr="00EE6E14" w:rsidRDefault="007118AB" w:rsidP="007118AB">
      <w:pPr>
        <w:spacing w:before="240"/>
        <w:jc w:val="left"/>
        <w:rPr>
          <w:lang w:val="es-ES_tradnl"/>
        </w:rPr>
      </w:pPr>
    </w:p>
    <w:p w14:paraId="1197DABA" w14:textId="77777777" w:rsidR="002653F8" w:rsidRDefault="002653F8" w:rsidP="00003189"/>
    <w:p w14:paraId="43B844B1" w14:textId="2C889939" w:rsidR="00CF0F1E" w:rsidRDefault="00CF0F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638FB207" w14:textId="77777777" w:rsidR="007118AB" w:rsidRPr="007118AB" w:rsidRDefault="007118AB" w:rsidP="007118AB">
      <w:pPr>
        <w:keepNext/>
        <w:shd w:val="clear" w:color="auto" w:fill="D9D9D9"/>
        <w:jc w:val="center"/>
        <w:outlineLvl w:val="1"/>
        <w:rPr>
          <w:rFonts w:cs="Calibri"/>
          <w:b/>
          <w:bCs/>
          <w:iCs/>
          <w:sz w:val="28"/>
          <w:szCs w:val="28"/>
          <w:lang w:val="es-ES"/>
        </w:rPr>
      </w:pPr>
      <w:r w:rsidRPr="007118AB">
        <w:rPr>
          <w:rFonts w:cs="Calibri"/>
          <w:b/>
          <w:bCs/>
          <w:iCs/>
          <w:sz w:val="28"/>
          <w:szCs w:val="28"/>
          <w:lang w:val="es-ES"/>
        </w:rPr>
        <w:lastRenderedPageBreak/>
        <w:t xml:space="preserve">Indicativos de red para el servicio móvil (MNC) del </w:t>
      </w:r>
      <w:r w:rsidRPr="007118AB">
        <w:rPr>
          <w:rFonts w:cs="Calibri"/>
          <w:b/>
          <w:bCs/>
          <w:iCs/>
          <w:sz w:val="28"/>
          <w:szCs w:val="28"/>
          <w:lang w:val="es-ES"/>
        </w:rPr>
        <w:br/>
        <w:t>plan de identificación internacional para redes públicas y suscripciones</w:t>
      </w:r>
      <w:r w:rsidRPr="007118AB">
        <w:rPr>
          <w:rFonts w:cs="Calibri"/>
          <w:b/>
          <w:bCs/>
          <w:iCs/>
          <w:sz w:val="28"/>
          <w:szCs w:val="28"/>
          <w:lang w:val="es-ES"/>
        </w:rPr>
        <w:br/>
        <w:t>(Según la Recomendación ITU-T E.212 (09/2016))</w:t>
      </w:r>
      <w:r w:rsidRPr="007118AB">
        <w:rPr>
          <w:rFonts w:cs="Calibri"/>
          <w:b/>
          <w:bCs/>
          <w:iCs/>
          <w:sz w:val="28"/>
          <w:szCs w:val="28"/>
          <w:lang w:val="es-ES"/>
        </w:rPr>
        <w:br/>
        <w:t>(Situación al 15 de noviembre de 2023)</w:t>
      </w:r>
    </w:p>
    <w:p w14:paraId="1AADA43E" w14:textId="77777777" w:rsidR="007118AB" w:rsidRPr="00114C54" w:rsidRDefault="007118AB" w:rsidP="007118AB">
      <w:pPr>
        <w:spacing w:after="0"/>
        <w:jc w:val="center"/>
        <w:rPr>
          <w:lang w:val="es-ES"/>
        </w:rPr>
      </w:pPr>
      <w:r>
        <w:rPr>
          <w:lang w:val="es-ES"/>
        </w:rPr>
        <w:t>(</w:t>
      </w:r>
      <w:r w:rsidRPr="00114C54">
        <w:rPr>
          <w:lang w:val="es-ES"/>
        </w:rPr>
        <w:t>Anexo al Boletín de Explotación de la UIT N.° 1280 – 15.XI.2023</w:t>
      </w:r>
      <w:r>
        <w:rPr>
          <w:lang w:val="es-ES"/>
        </w:rPr>
        <w:t>)</w:t>
      </w:r>
    </w:p>
    <w:p w14:paraId="12828F01" w14:textId="77777777" w:rsidR="007118AB" w:rsidRPr="00114C54" w:rsidRDefault="007118AB" w:rsidP="007118AB">
      <w:pPr>
        <w:spacing w:before="0"/>
        <w:jc w:val="center"/>
        <w:rPr>
          <w:lang w:val="es-ES"/>
        </w:rPr>
      </w:pPr>
      <w:r>
        <w:rPr>
          <w:lang w:val="es-ES"/>
        </w:rPr>
        <w:t>(</w:t>
      </w:r>
      <w:r w:rsidRPr="00114C54">
        <w:rPr>
          <w:lang w:val="es-ES"/>
        </w:rPr>
        <w:t>Enmienda N.° 4</w:t>
      </w:r>
      <w:r>
        <w:rPr>
          <w:lang w:val="es-ES"/>
        </w:rPr>
        <w:t>4)</w:t>
      </w:r>
    </w:p>
    <w:p w14:paraId="35B4E0D9" w14:textId="77777777" w:rsidR="007118AB" w:rsidRDefault="007118AB" w:rsidP="007118AB">
      <w:pPr>
        <w:rPr>
          <w:lang w:val="es-ES"/>
        </w:rPr>
      </w:pPr>
    </w:p>
    <w:p w14:paraId="3E224978" w14:textId="77777777" w:rsidR="007118AB" w:rsidRPr="00114C54" w:rsidRDefault="007118AB" w:rsidP="007118AB">
      <w:pPr>
        <w:rPr>
          <w:lang w:val="es-ES"/>
        </w:rPr>
      </w:pPr>
    </w:p>
    <w:tbl>
      <w:tblPr>
        <w:tblW w:w="977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1276"/>
        <w:gridCol w:w="4819"/>
      </w:tblGrid>
      <w:tr w:rsidR="007118AB" w:rsidRPr="007118AB" w14:paraId="4F7AAABF" w14:textId="77777777" w:rsidTr="00D9027E">
        <w:trPr>
          <w:trHeight w:val="466"/>
        </w:trPr>
        <w:tc>
          <w:tcPr>
            <w:tcW w:w="36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2A33F" w14:textId="77777777" w:rsidR="007118AB" w:rsidRPr="00342E31" w:rsidRDefault="007118AB" w:rsidP="007118AB">
            <w:pPr>
              <w:spacing w:after="0"/>
              <w:jc w:val="left"/>
              <w:rPr>
                <w:rFonts w:cs="Calibri"/>
                <w:lang w:val="es-ES_tradnl"/>
              </w:rPr>
            </w:pPr>
            <w:r w:rsidRPr="00342E31">
              <w:rPr>
                <w:rFonts w:eastAsia="Calibri" w:cs="Calibri"/>
                <w:b/>
                <w:i/>
                <w:color w:val="000000"/>
                <w:lang w:val="es-ES_tradnl"/>
              </w:rPr>
              <w:t>País o Zona geográfica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DD8D7E" w14:textId="77777777" w:rsidR="007118AB" w:rsidRPr="00342E31" w:rsidRDefault="007118AB" w:rsidP="00D9027E">
            <w:pPr>
              <w:spacing w:after="0"/>
              <w:jc w:val="center"/>
              <w:rPr>
                <w:rFonts w:cs="Calibri"/>
                <w:lang w:val="es-ES_tradnl"/>
              </w:rPr>
            </w:pPr>
            <w:r w:rsidRPr="00342E31">
              <w:rPr>
                <w:rFonts w:eastAsia="Arial" w:cs="Calibri"/>
                <w:b/>
                <w:i/>
                <w:color w:val="000000"/>
                <w:lang w:val="es-ES_tradnl"/>
              </w:rPr>
              <w:t>MCC+MNC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9D9EF" w14:textId="77777777" w:rsidR="007118AB" w:rsidRPr="00342E31" w:rsidRDefault="007118AB" w:rsidP="00D9027E">
            <w:pPr>
              <w:spacing w:after="0"/>
              <w:rPr>
                <w:rFonts w:cs="Calibri"/>
                <w:lang w:val="es-ES_tradnl"/>
              </w:rPr>
            </w:pPr>
            <w:r w:rsidRPr="00342E31">
              <w:rPr>
                <w:rFonts w:eastAsia="Arial" w:cs="Calibri"/>
                <w:b/>
                <w:i/>
                <w:color w:val="000000"/>
                <w:lang w:val="es-ES_tradnl"/>
              </w:rPr>
              <w:t>Nombre de la Red/Operador</w:t>
            </w:r>
          </w:p>
        </w:tc>
      </w:tr>
      <w:tr w:rsidR="007118AB" w:rsidRPr="00342E31" w14:paraId="70D04C23" w14:textId="77777777" w:rsidTr="00D9027E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54438" w14:textId="77777777" w:rsidR="007118AB" w:rsidRPr="00342E31" w:rsidRDefault="007118AB" w:rsidP="007118AB">
            <w:pPr>
              <w:spacing w:before="0" w:after="0"/>
              <w:jc w:val="left"/>
              <w:rPr>
                <w:rFonts w:cs="Calibri"/>
              </w:rPr>
            </w:pPr>
            <w:r w:rsidRPr="00342E31">
              <w:rPr>
                <w:rFonts w:eastAsia="Calibri" w:cs="Calibri"/>
                <w:b/>
                <w:color w:val="000000"/>
              </w:rPr>
              <w:t xml:space="preserve">Estonia </w:t>
            </w:r>
            <w:r>
              <w:rPr>
                <w:rFonts w:eastAsia="Calibri" w:cs="Calibri"/>
                <w:b/>
                <w:color w:val="000000"/>
              </w:rPr>
              <w:t xml:space="preserve">  </w:t>
            </w:r>
            <w:r w:rsidRPr="00342E31">
              <w:rPr>
                <w:rFonts w:eastAsia="Calibri" w:cs="Calibri"/>
                <w:b/>
                <w:color w:val="000000"/>
              </w:rPr>
              <w:t>ADD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46E238" w14:textId="77777777" w:rsidR="007118AB" w:rsidRPr="00342E31" w:rsidRDefault="007118AB" w:rsidP="007118AB">
            <w:pPr>
              <w:spacing w:before="0" w:after="0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61824C" w14:textId="77777777" w:rsidR="007118AB" w:rsidRPr="00342E31" w:rsidRDefault="007118AB" w:rsidP="007118AB">
            <w:pPr>
              <w:spacing w:before="0" w:after="0"/>
              <w:rPr>
                <w:rFonts w:cs="Calibri"/>
              </w:rPr>
            </w:pPr>
          </w:p>
        </w:tc>
      </w:tr>
      <w:tr w:rsidR="007118AB" w:rsidRPr="00342E31" w14:paraId="134EEC50" w14:textId="77777777" w:rsidTr="00D9027E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05D334" w14:textId="77777777" w:rsidR="007118AB" w:rsidRPr="00342E31" w:rsidRDefault="007118AB" w:rsidP="007118AB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84285D" w14:textId="77777777" w:rsidR="007118AB" w:rsidRPr="00342E31" w:rsidRDefault="007118AB" w:rsidP="007118AB">
            <w:pPr>
              <w:spacing w:before="0" w:after="0"/>
              <w:jc w:val="center"/>
              <w:rPr>
                <w:rFonts w:cs="Calibri"/>
              </w:rPr>
            </w:pPr>
            <w:r w:rsidRPr="00342E31">
              <w:rPr>
                <w:rFonts w:eastAsia="Calibri" w:cs="Calibri"/>
                <w:color w:val="000000"/>
              </w:rPr>
              <w:t>248 21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0D53A6" w14:textId="77777777" w:rsidR="007118AB" w:rsidRPr="00342E31" w:rsidRDefault="007118AB" w:rsidP="007118AB">
            <w:pPr>
              <w:spacing w:before="0" w:after="0"/>
              <w:rPr>
                <w:rFonts w:cs="Calibri"/>
              </w:rPr>
            </w:pPr>
            <w:r w:rsidRPr="00342E31">
              <w:rPr>
                <w:rFonts w:eastAsia="Calibri" w:cs="Calibri"/>
                <w:color w:val="000000"/>
              </w:rPr>
              <w:t>Trinavo LLC</w:t>
            </w:r>
          </w:p>
        </w:tc>
      </w:tr>
      <w:tr w:rsidR="007118AB" w:rsidRPr="00342E31" w14:paraId="2B0D5AE3" w14:textId="77777777" w:rsidTr="00D9027E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C66D8" w14:textId="77777777" w:rsidR="007118AB" w:rsidRPr="00342E31" w:rsidRDefault="007118AB" w:rsidP="007118AB">
            <w:pPr>
              <w:spacing w:before="0" w:after="0"/>
              <w:jc w:val="left"/>
              <w:rPr>
                <w:rFonts w:cs="Calibri"/>
              </w:rPr>
            </w:pPr>
            <w:r w:rsidRPr="00342E31">
              <w:rPr>
                <w:rFonts w:eastAsia="Calibri" w:cs="Calibri"/>
                <w:b/>
                <w:color w:val="000000"/>
              </w:rPr>
              <w:t>Israel</w:t>
            </w:r>
            <w:r>
              <w:rPr>
                <w:rFonts w:eastAsia="Calibri" w:cs="Calibri"/>
                <w:b/>
                <w:color w:val="000000"/>
              </w:rPr>
              <w:t xml:space="preserve">   </w:t>
            </w:r>
            <w:r w:rsidRPr="00342E31">
              <w:rPr>
                <w:rFonts w:eastAsia="Calibri" w:cs="Calibri"/>
                <w:b/>
                <w:color w:val="000000"/>
              </w:rPr>
              <w:t xml:space="preserve"> ADD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9245A3" w14:textId="77777777" w:rsidR="007118AB" w:rsidRPr="00342E31" w:rsidRDefault="007118AB" w:rsidP="007118AB">
            <w:pPr>
              <w:spacing w:before="0" w:after="0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86378A" w14:textId="77777777" w:rsidR="007118AB" w:rsidRPr="00342E31" w:rsidRDefault="007118AB" w:rsidP="007118AB">
            <w:pPr>
              <w:spacing w:before="0" w:after="0"/>
              <w:rPr>
                <w:rFonts w:cs="Calibri"/>
              </w:rPr>
            </w:pPr>
          </w:p>
        </w:tc>
      </w:tr>
      <w:tr w:rsidR="007118AB" w:rsidRPr="00342E31" w14:paraId="0F8C5493" w14:textId="77777777" w:rsidTr="00D9027E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648152" w14:textId="77777777" w:rsidR="007118AB" w:rsidRPr="00342E31" w:rsidRDefault="007118AB" w:rsidP="007118AB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C1EBE0" w14:textId="77777777" w:rsidR="007118AB" w:rsidRPr="00342E31" w:rsidRDefault="007118AB" w:rsidP="007118AB">
            <w:pPr>
              <w:spacing w:before="0" w:after="0"/>
              <w:jc w:val="center"/>
              <w:rPr>
                <w:rFonts w:cs="Calibri"/>
              </w:rPr>
            </w:pPr>
            <w:r w:rsidRPr="00342E31">
              <w:rPr>
                <w:rFonts w:eastAsia="Calibri" w:cs="Calibri"/>
                <w:color w:val="000000"/>
              </w:rPr>
              <w:t>425 04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82B5FB" w14:textId="77777777" w:rsidR="007118AB" w:rsidRPr="00342E31" w:rsidRDefault="007118AB" w:rsidP="007118AB">
            <w:pPr>
              <w:spacing w:before="0" w:after="0"/>
              <w:rPr>
                <w:rFonts w:cs="Calibri"/>
              </w:rPr>
            </w:pPr>
            <w:r w:rsidRPr="00342E31">
              <w:rPr>
                <w:rFonts w:eastAsia="Calibri" w:cs="Calibri"/>
                <w:color w:val="000000"/>
              </w:rPr>
              <w:t>VOYE GLOBAL CONNECTIVITY LTD</w:t>
            </w:r>
          </w:p>
        </w:tc>
      </w:tr>
      <w:tr w:rsidR="007118AB" w:rsidRPr="00342E31" w14:paraId="2D78FD2F" w14:textId="77777777" w:rsidTr="00D9027E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953E95" w14:textId="77777777" w:rsidR="007118AB" w:rsidRPr="00342E31" w:rsidRDefault="007118AB" w:rsidP="007118AB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8E8FEE" w14:textId="77777777" w:rsidR="007118AB" w:rsidRPr="00342E31" w:rsidRDefault="007118AB" w:rsidP="007118AB">
            <w:pPr>
              <w:spacing w:before="0" w:after="0"/>
              <w:jc w:val="center"/>
              <w:rPr>
                <w:rFonts w:cs="Calibri"/>
              </w:rPr>
            </w:pPr>
            <w:r w:rsidRPr="00342E31">
              <w:rPr>
                <w:rFonts w:eastAsia="Calibri" w:cs="Calibri"/>
                <w:color w:val="000000"/>
              </w:rPr>
              <w:t>425 10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3460FA" w14:textId="77777777" w:rsidR="007118AB" w:rsidRPr="00342E31" w:rsidRDefault="007118AB" w:rsidP="007118AB">
            <w:pPr>
              <w:spacing w:before="0" w:after="0"/>
              <w:rPr>
                <w:rFonts w:cs="Calibri"/>
              </w:rPr>
            </w:pPr>
            <w:r w:rsidRPr="00342E31">
              <w:rPr>
                <w:rFonts w:eastAsia="Calibri" w:cs="Calibri"/>
                <w:color w:val="000000"/>
              </w:rPr>
              <w:t>VOICENTER LTD</w:t>
            </w:r>
          </w:p>
        </w:tc>
      </w:tr>
      <w:tr w:rsidR="007118AB" w:rsidRPr="007118AB" w14:paraId="7AD7112B" w14:textId="77777777" w:rsidTr="00D9027E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95CDEB" w14:textId="77777777" w:rsidR="007118AB" w:rsidRPr="00342E31" w:rsidRDefault="007118AB" w:rsidP="007118AB">
            <w:pPr>
              <w:spacing w:before="0" w:after="0"/>
              <w:jc w:val="left"/>
              <w:rPr>
                <w:rFonts w:cs="Calibri"/>
                <w:lang w:val="es-ES"/>
              </w:rPr>
            </w:pPr>
            <w:r w:rsidRPr="00342E31">
              <w:rPr>
                <w:rFonts w:eastAsia="Calibri" w:cs="Calibri"/>
                <w:b/>
                <w:color w:val="000000"/>
                <w:lang w:val="es-ES"/>
              </w:rPr>
              <w:t xml:space="preserve">Ensayo de un nuevo servicio internacional de telecomunicaciones propuesto, </w:t>
            </w:r>
            <w:r>
              <w:rPr>
                <w:rFonts w:eastAsia="Calibri" w:cs="Calibri"/>
                <w:b/>
                <w:color w:val="000000"/>
                <w:lang w:val="es-ES"/>
              </w:rPr>
              <w:br/>
            </w:r>
            <w:r w:rsidRPr="00342E31">
              <w:rPr>
                <w:rFonts w:eastAsia="Calibri" w:cs="Calibri"/>
                <w:b/>
                <w:color w:val="000000"/>
                <w:lang w:val="es-ES"/>
              </w:rPr>
              <w:t xml:space="preserve">indicativo compartido </w:t>
            </w:r>
            <w:r>
              <w:rPr>
                <w:rFonts w:eastAsia="Calibri" w:cs="Calibri"/>
                <w:b/>
                <w:color w:val="000000"/>
                <w:lang w:val="es-ES"/>
              </w:rPr>
              <w:t xml:space="preserve">   </w:t>
            </w:r>
            <w:r w:rsidRPr="00342E31">
              <w:rPr>
                <w:rFonts w:eastAsia="Calibri" w:cs="Calibri"/>
                <w:b/>
                <w:color w:val="000000"/>
                <w:lang w:val="es-ES"/>
              </w:rPr>
              <w:t>LIR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095BAE" w14:textId="77777777" w:rsidR="007118AB" w:rsidRPr="00342E31" w:rsidRDefault="007118AB" w:rsidP="007118AB">
            <w:pPr>
              <w:spacing w:before="0" w:after="0"/>
              <w:rPr>
                <w:rFonts w:cs="Calibri"/>
                <w:lang w:val="es-ES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0EFB9A" w14:textId="77777777" w:rsidR="007118AB" w:rsidRPr="00342E31" w:rsidRDefault="007118AB" w:rsidP="007118AB">
            <w:pPr>
              <w:spacing w:before="0" w:after="0"/>
              <w:rPr>
                <w:rFonts w:cs="Calibri"/>
                <w:lang w:val="es-ES"/>
              </w:rPr>
            </w:pPr>
          </w:p>
        </w:tc>
      </w:tr>
      <w:tr w:rsidR="007118AB" w:rsidRPr="007118AB" w14:paraId="370BB17E" w14:textId="77777777" w:rsidTr="00D9027E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A90BD" w14:textId="77777777" w:rsidR="007118AB" w:rsidRPr="00342E31" w:rsidRDefault="007118AB" w:rsidP="007118AB">
            <w:pPr>
              <w:spacing w:before="0" w:after="0"/>
              <w:jc w:val="left"/>
              <w:rPr>
                <w:rFonts w:cs="Calibri"/>
                <w:lang w:val="es-ES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4F6EB7" w14:textId="77777777" w:rsidR="007118AB" w:rsidRPr="00342E31" w:rsidRDefault="007118AB" w:rsidP="007118AB">
            <w:pPr>
              <w:spacing w:before="0" w:after="0"/>
              <w:jc w:val="center"/>
              <w:rPr>
                <w:rFonts w:cs="Calibri"/>
              </w:rPr>
            </w:pPr>
            <w:r w:rsidRPr="00342E31">
              <w:rPr>
                <w:rFonts w:eastAsia="Calibri" w:cs="Calibri"/>
                <w:color w:val="000000"/>
              </w:rPr>
              <w:t>991 04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5723F7" w14:textId="77777777" w:rsidR="007118AB" w:rsidRPr="007118AB" w:rsidRDefault="007118AB" w:rsidP="007118AB">
            <w:pPr>
              <w:spacing w:before="0" w:after="0"/>
              <w:jc w:val="left"/>
              <w:rPr>
                <w:rFonts w:cs="Calibri"/>
                <w:lang w:val="es-ES"/>
              </w:rPr>
            </w:pPr>
            <w:r w:rsidRPr="007118AB">
              <w:rPr>
                <w:rFonts w:eastAsia="Calibri" w:cs="Calibri"/>
                <w:color w:val="000000"/>
                <w:lang w:val="es-ES"/>
              </w:rPr>
              <w:t>E-Space Inc.</w:t>
            </w:r>
            <w:r w:rsidRPr="007118AB">
              <w:rPr>
                <w:rFonts w:eastAsia="Calibri" w:cs="Calibri"/>
                <w:color w:val="000000"/>
                <w:lang w:val="es-ES"/>
              </w:rPr>
              <w:br/>
            </w:r>
            <w:r w:rsidRPr="0015500A">
              <w:rPr>
                <w:rFonts w:cs="Calibri"/>
                <w:lang w:val="es-ES_tradnl"/>
              </w:rPr>
              <w:t>(asignación temporal para ensayo hasta el 17.X.2026)</w:t>
            </w:r>
          </w:p>
        </w:tc>
      </w:tr>
      <w:tr w:rsidR="007118AB" w:rsidRPr="007118AB" w14:paraId="46A06487" w14:textId="77777777" w:rsidTr="00D9027E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A504DD" w14:textId="77777777" w:rsidR="007118AB" w:rsidRPr="00342E31" w:rsidRDefault="007118AB" w:rsidP="007118AB">
            <w:pPr>
              <w:spacing w:before="0" w:after="0"/>
              <w:jc w:val="left"/>
              <w:rPr>
                <w:rFonts w:cs="Calibri"/>
                <w:lang w:val="es-ES"/>
              </w:rPr>
            </w:pPr>
            <w:r w:rsidRPr="00342E31">
              <w:rPr>
                <w:rFonts w:eastAsia="Calibri" w:cs="Calibri"/>
                <w:b/>
                <w:color w:val="000000"/>
                <w:lang w:val="es-ES"/>
              </w:rPr>
              <w:t xml:space="preserve">Móvil internacional, </w:t>
            </w:r>
            <w:r>
              <w:rPr>
                <w:rFonts w:eastAsia="Calibri" w:cs="Calibri"/>
                <w:b/>
                <w:color w:val="000000"/>
                <w:lang w:val="es-ES"/>
              </w:rPr>
              <w:br/>
            </w:r>
            <w:r w:rsidRPr="00342E31">
              <w:rPr>
                <w:rFonts w:eastAsia="Calibri" w:cs="Calibri"/>
                <w:b/>
                <w:color w:val="000000"/>
                <w:lang w:val="es-ES"/>
              </w:rPr>
              <w:t xml:space="preserve">indicativo compartido </w:t>
            </w:r>
            <w:r>
              <w:rPr>
                <w:rFonts w:eastAsia="Calibri" w:cs="Calibri"/>
                <w:b/>
                <w:color w:val="000000"/>
                <w:lang w:val="es-ES"/>
              </w:rPr>
              <w:t xml:space="preserve">   </w:t>
            </w:r>
            <w:r w:rsidRPr="00342E31">
              <w:rPr>
                <w:rFonts w:eastAsia="Calibri" w:cs="Calibri"/>
                <w:b/>
                <w:color w:val="000000"/>
                <w:lang w:val="es-ES"/>
              </w:rPr>
              <w:t>ADD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B8872D" w14:textId="77777777" w:rsidR="007118AB" w:rsidRPr="00342E31" w:rsidRDefault="007118AB" w:rsidP="007118AB">
            <w:pPr>
              <w:spacing w:before="0" w:after="0"/>
              <w:rPr>
                <w:rFonts w:cs="Calibri"/>
                <w:lang w:val="es-ES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268A9D" w14:textId="77777777" w:rsidR="007118AB" w:rsidRPr="00342E31" w:rsidRDefault="007118AB" w:rsidP="007118AB">
            <w:pPr>
              <w:spacing w:before="0" w:after="0"/>
              <w:rPr>
                <w:rFonts w:cs="Calibri"/>
                <w:lang w:val="es-ES"/>
              </w:rPr>
            </w:pPr>
          </w:p>
        </w:tc>
      </w:tr>
      <w:tr w:rsidR="007118AB" w:rsidRPr="00342E31" w14:paraId="2D928F22" w14:textId="77777777" w:rsidTr="00D9027E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D716D" w14:textId="77777777" w:rsidR="007118AB" w:rsidRPr="00342E31" w:rsidRDefault="007118AB" w:rsidP="007118AB">
            <w:pPr>
              <w:spacing w:before="0" w:after="0"/>
              <w:rPr>
                <w:rFonts w:cs="Calibri"/>
                <w:lang w:val="es-ES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352907" w14:textId="77777777" w:rsidR="007118AB" w:rsidRPr="00342E31" w:rsidRDefault="007118AB" w:rsidP="007118AB">
            <w:pPr>
              <w:spacing w:before="0" w:after="0"/>
              <w:jc w:val="center"/>
              <w:rPr>
                <w:rFonts w:cs="Calibri"/>
              </w:rPr>
            </w:pPr>
            <w:r w:rsidRPr="00342E31">
              <w:rPr>
                <w:rFonts w:eastAsia="Calibri" w:cs="Calibri"/>
                <w:color w:val="000000"/>
              </w:rPr>
              <w:t>901 88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73E7DB" w14:textId="77777777" w:rsidR="007118AB" w:rsidRPr="00342E31" w:rsidRDefault="007118AB" w:rsidP="007118AB">
            <w:pPr>
              <w:spacing w:before="0" w:after="0"/>
              <w:rPr>
                <w:rFonts w:cs="Calibri"/>
              </w:rPr>
            </w:pPr>
            <w:r w:rsidRPr="00342E31">
              <w:rPr>
                <w:rFonts w:eastAsia="Calibri" w:cs="Calibri"/>
                <w:color w:val="000000"/>
              </w:rPr>
              <w:t>Bondio Limited</w:t>
            </w:r>
          </w:p>
        </w:tc>
      </w:tr>
    </w:tbl>
    <w:p w14:paraId="6A89C545" w14:textId="77777777" w:rsidR="007118AB" w:rsidRPr="00114C54" w:rsidRDefault="007118AB" w:rsidP="007118AB">
      <w:pPr>
        <w:rPr>
          <w:rFonts w:cs="Calibri"/>
        </w:rPr>
      </w:pPr>
    </w:p>
    <w:p w14:paraId="4261D191" w14:textId="77777777" w:rsidR="007118AB" w:rsidRPr="00114C54" w:rsidRDefault="007118AB" w:rsidP="007118AB">
      <w:r w:rsidRPr="00114C54">
        <w:rPr>
          <w:rFonts w:ascii="Arial" w:eastAsia="Arial" w:hAnsi="Arial"/>
          <w:color w:val="000000"/>
          <w:sz w:val="16"/>
        </w:rPr>
        <w:t>____________</w:t>
      </w:r>
    </w:p>
    <w:p w14:paraId="3DB177ED" w14:textId="5AA781E5" w:rsidR="007118AB" w:rsidRPr="00114C54" w:rsidRDefault="007118AB" w:rsidP="007118AB">
      <w:pPr>
        <w:spacing w:after="0"/>
      </w:pPr>
      <w:r w:rsidRPr="00114C54">
        <w:rPr>
          <w:rFonts w:eastAsia="Calibri"/>
          <w:color w:val="000000"/>
          <w:sz w:val="18"/>
        </w:rPr>
        <w:t xml:space="preserve">MCC: </w:t>
      </w:r>
      <w:r>
        <w:rPr>
          <w:rFonts w:eastAsia="Calibri"/>
          <w:color w:val="000000"/>
          <w:sz w:val="18"/>
        </w:rPr>
        <w:tab/>
      </w:r>
      <w:r w:rsidRPr="00114C54">
        <w:rPr>
          <w:rFonts w:eastAsia="Calibri"/>
          <w:color w:val="000000"/>
          <w:sz w:val="18"/>
        </w:rPr>
        <w:t>Mobile Country Code / Indicatif de pays du mobile / Indicativo de país para el servicio móvil</w:t>
      </w:r>
    </w:p>
    <w:p w14:paraId="5C52872D" w14:textId="29517E21" w:rsidR="007118AB" w:rsidRPr="00114C54" w:rsidRDefault="007118AB" w:rsidP="007118AB">
      <w:pPr>
        <w:spacing w:before="0"/>
        <w:rPr>
          <w:lang w:val="fr-FR"/>
        </w:rPr>
      </w:pPr>
      <w:r w:rsidRPr="00114C54">
        <w:rPr>
          <w:rFonts w:eastAsia="Calibri"/>
          <w:color w:val="000000"/>
          <w:sz w:val="18"/>
        </w:rPr>
        <w:t xml:space="preserve">MNC: </w:t>
      </w:r>
      <w:r>
        <w:rPr>
          <w:rFonts w:eastAsia="Calibri"/>
          <w:color w:val="000000"/>
          <w:sz w:val="18"/>
        </w:rPr>
        <w:tab/>
      </w:r>
      <w:r w:rsidRPr="00114C54">
        <w:rPr>
          <w:rFonts w:eastAsia="Calibri"/>
          <w:color w:val="000000"/>
          <w:sz w:val="18"/>
        </w:rPr>
        <w:t>Mobile Network Code / Code de réseau mobile / Indicativo de red para el servicio móvil</w:t>
      </w:r>
    </w:p>
    <w:p w14:paraId="6518BF82" w14:textId="13804B96" w:rsidR="007118AB" w:rsidRPr="008A5169" w:rsidRDefault="007118AB" w:rsidP="007118AB">
      <w:pPr>
        <w:rPr>
          <w:rFonts w:eastAsia="SimSun" w:cs="Arial"/>
          <w:sz w:val="18"/>
          <w:szCs w:val="18"/>
          <w:lang w:val="es-ES"/>
        </w:rPr>
      </w:pPr>
      <w:r w:rsidRPr="00482AFF">
        <w:rPr>
          <w:rFonts w:eastAsia="SimSun" w:cs="Arial"/>
          <w:sz w:val="18"/>
          <w:szCs w:val="18"/>
          <w:lang w:val="es-ES"/>
        </w:rPr>
        <w:t xml:space="preserve">Véase la página </w:t>
      </w:r>
      <w:r>
        <w:rPr>
          <w:rFonts w:eastAsia="SimSun" w:cs="Arial"/>
          <w:sz w:val="18"/>
          <w:szCs w:val="18"/>
          <w:lang w:val="es-ES"/>
        </w:rPr>
        <w:t>5</w:t>
      </w:r>
      <w:r w:rsidRPr="00482AFF">
        <w:rPr>
          <w:rFonts w:eastAsia="SimSun" w:cs="Arial"/>
          <w:sz w:val="18"/>
          <w:szCs w:val="18"/>
          <w:lang w:val="es-ES"/>
        </w:rPr>
        <w:t xml:space="preserve"> del presente Boletín de Explotación N.° 13</w:t>
      </w:r>
      <w:r>
        <w:rPr>
          <w:rFonts w:eastAsia="SimSun" w:cs="Arial"/>
          <w:sz w:val="18"/>
          <w:szCs w:val="18"/>
          <w:lang w:val="es-ES"/>
        </w:rPr>
        <w:t xml:space="preserve">27 </w:t>
      </w:r>
      <w:r w:rsidRPr="00482AFF">
        <w:rPr>
          <w:rFonts w:eastAsia="SimSun" w:cs="Arial"/>
          <w:sz w:val="18"/>
          <w:szCs w:val="18"/>
          <w:lang w:val="es-ES"/>
        </w:rPr>
        <w:t>de</w:t>
      </w:r>
      <w:r>
        <w:rPr>
          <w:rFonts w:eastAsia="SimSun" w:cs="Arial"/>
          <w:sz w:val="18"/>
          <w:szCs w:val="18"/>
          <w:lang w:val="es-ES"/>
        </w:rPr>
        <w:t>l</w:t>
      </w:r>
      <w:r w:rsidRPr="00482AFF">
        <w:rPr>
          <w:rFonts w:eastAsia="SimSun" w:cs="Arial"/>
          <w:sz w:val="18"/>
          <w:szCs w:val="18"/>
          <w:lang w:val="es-ES"/>
        </w:rPr>
        <w:t xml:space="preserve"> 1.</w:t>
      </w:r>
      <w:r>
        <w:rPr>
          <w:rFonts w:eastAsia="SimSun" w:cs="Arial"/>
          <w:sz w:val="18"/>
          <w:szCs w:val="18"/>
          <w:lang w:val="es-ES"/>
        </w:rPr>
        <w:t>X</w:t>
      </w:r>
      <w:r w:rsidRPr="00482AFF">
        <w:rPr>
          <w:rFonts w:eastAsia="SimSun" w:cs="Arial"/>
          <w:sz w:val="18"/>
          <w:szCs w:val="18"/>
          <w:lang w:val="es-ES"/>
        </w:rPr>
        <w:t>I.2025.</w:t>
      </w:r>
    </w:p>
    <w:p w14:paraId="08793215" w14:textId="77777777" w:rsidR="007118AB" w:rsidRPr="007118AB" w:rsidRDefault="007118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C5E3E2E" w14:textId="77777777" w:rsidR="007118AB" w:rsidRPr="007118AB" w:rsidRDefault="007118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49DC972" w14:textId="2C7D97DF" w:rsidR="00D47A68" w:rsidRDefault="00D47A6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6C1894F3" w14:textId="77777777" w:rsidR="00D47A68" w:rsidRPr="00D47A68" w:rsidRDefault="00D47A68" w:rsidP="00D47A68">
      <w:pPr>
        <w:pStyle w:val="Heading20"/>
        <w:spacing w:before="0"/>
        <w:rPr>
          <w:sz w:val="28"/>
          <w:lang w:val="es-ES"/>
        </w:rPr>
      </w:pPr>
      <w:bookmarkStart w:id="1083" w:name="_Toc303344679"/>
      <w:bookmarkStart w:id="1084" w:name="_Toc458411211"/>
      <w:r w:rsidRPr="00D47A68">
        <w:rPr>
          <w:sz w:val="28"/>
          <w:lang w:val="es-ES"/>
        </w:rPr>
        <w:lastRenderedPageBreak/>
        <w:t>Lista de códigos de operador de la UIT</w:t>
      </w:r>
      <w:r w:rsidRPr="00D47A68">
        <w:rPr>
          <w:sz w:val="28"/>
          <w:lang w:val="es-ES"/>
        </w:rPr>
        <w:br/>
        <w:t>(Según la Recomendación UIT-T M.1400 (03/2013))</w:t>
      </w:r>
      <w:bookmarkEnd w:id="1083"/>
      <w:r w:rsidRPr="00D47A68">
        <w:rPr>
          <w:sz w:val="28"/>
          <w:lang w:val="es-ES"/>
        </w:rPr>
        <w:br/>
        <w:t>(Situación al 15 de septiembre de 2014)</w:t>
      </w:r>
      <w:bookmarkEnd w:id="1084"/>
    </w:p>
    <w:p w14:paraId="0617287D" w14:textId="77777777" w:rsidR="00D47A68" w:rsidRDefault="00D47A68" w:rsidP="00D47A68">
      <w:pPr>
        <w:spacing w:before="24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197)</w:t>
      </w:r>
    </w:p>
    <w:p w14:paraId="417900C7" w14:textId="77777777" w:rsidR="00D47A68" w:rsidRPr="00742CE7" w:rsidRDefault="00D47A68" w:rsidP="00D47A68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3402"/>
      </w:tblGrid>
      <w:tr w:rsidR="00D47A68" w:rsidRPr="0010300F" w14:paraId="403A3FBB" w14:textId="77777777" w:rsidTr="00D47A68">
        <w:trPr>
          <w:cantSplit/>
          <w:tblHeader/>
        </w:trPr>
        <w:tc>
          <w:tcPr>
            <w:tcW w:w="3544" w:type="dxa"/>
            <w:hideMark/>
          </w:tcPr>
          <w:p w14:paraId="5A1FA310" w14:textId="77777777" w:rsidR="00D47A68" w:rsidRPr="0010300F" w:rsidRDefault="00D47A68" w:rsidP="00D47A68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977" w:type="dxa"/>
            <w:hideMark/>
          </w:tcPr>
          <w:p w14:paraId="0ABF95AD" w14:textId="77777777" w:rsidR="00D47A68" w:rsidRPr="0010300F" w:rsidRDefault="00D47A68" w:rsidP="00D47A68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402" w:type="dxa"/>
            <w:hideMark/>
          </w:tcPr>
          <w:p w14:paraId="72DDC0CC" w14:textId="77777777" w:rsidR="00D47A68" w:rsidRPr="0010300F" w:rsidRDefault="00D47A68" w:rsidP="00D9027E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D47A68" w:rsidRPr="0010300F" w14:paraId="108B5EC8" w14:textId="77777777" w:rsidTr="00D47A68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ABB8E3" w14:textId="77777777" w:rsidR="00D47A68" w:rsidRPr="0010300F" w:rsidRDefault="00D47A68" w:rsidP="00D47A68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E088AB" w14:textId="77777777" w:rsidR="00D47A68" w:rsidRPr="0010300F" w:rsidRDefault="00D47A68" w:rsidP="00D47A68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80EC4" w14:textId="77777777" w:rsidR="00D47A68" w:rsidRPr="0010300F" w:rsidRDefault="00D47A68" w:rsidP="00D9027E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4DBFCF95" w14:textId="77777777" w:rsidR="00D47A68" w:rsidRPr="00DC1D04" w:rsidRDefault="00D47A68" w:rsidP="00D47A68">
      <w:pPr>
        <w:tabs>
          <w:tab w:val="left" w:pos="3686"/>
        </w:tabs>
        <w:spacing w:before="0"/>
        <w:rPr>
          <w:rFonts w:cs="Calibri"/>
          <w:b/>
          <w:lang w:val="fr-FR"/>
        </w:rPr>
      </w:pPr>
      <w:bookmarkStart w:id="1085" w:name="OLE_LINK5"/>
      <w:bookmarkStart w:id="1086" w:name="OLE_LINK6"/>
      <w:bookmarkStart w:id="1087" w:name="OLE_LINK9"/>
      <w:bookmarkStart w:id="1088" w:name="OLE_LINK10"/>
    </w:p>
    <w:bookmarkEnd w:id="1085"/>
    <w:bookmarkEnd w:id="1086"/>
    <w:bookmarkEnd w:id="1087"/>
    <w:bookmarkEnd w:id="1088"/>
    <w:p w14:paraId="528B786B" w14:textId="77777777" w:rsidR="00D47A68" w:rsidRDefault="00D47A68" w:rsidP="00D47A68">
      <w:pPr>
        <w:tabs>
          <w:tab w:val="left" w:pos="3686"/>
        </w:tabs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LIR</w:t>
      </w: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510"/>
        <w:gridCol w:w="2970"/>
        <w:gridCol w:w="3960"/>
      </w:tblGrid>
      <w:tr w:rsidR="00D47A68" w:rsidRPr="00E03695" w14:paraId="7950F72F" w14:textId="77777777" w:rsidTr="00D9027E">
        <w:trPr>
          <w:trHeight w:val="779"/>
        </w:trPr>
        <w:tc>
          <w:tcPr>
            <w:tcW w:w="3510" w:type="dxa"/>
          </w:tcPr>
          <w:p w14:paraId="4B979349" w14:textId="77777777" w:rsidR="00D47A68" w:rsidRPr="0071285E" w:rsidRDefault="00D47A68" w:rsidP="00D47A68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</w:rPr>
            </w:pPr>
            <w:r w:rsidRPr="0071285E">
              <w:rPr>
                <w:rFonts w:asciiTheme="minorHAnsi" w:hAnsiTheme="minorHAnsi" w:cs="Arial"/>
                <w:noProof/>
              </w:rPr>
              <w:t>GGEW net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71285E">
              <w:rPr>
                <w:rFonts w:asciiTheme="minorHAnsi" w:hAnsiTheme="minorHAnsi" w:cs="Arial"/>
                <w:noProof/>
              </w:rPr>
              <w:t>Dammstrasse 68</w:t>
            </w:r>
          </w:p>
          <w:p w14:paraId="10FA3F60" w14:textId="77777777" w:rsidR="00D47A68" w:rsidRPr="00A554C7" w:rsidRDefault="00D47A68" w:rsidP="00D47A68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71285E">
              <w:rPr>
                <w:rFonts w:asciiTheme="minorHAnsi" w:hAnsiTheme="minorHAnsi" w:cs="Arial"/>
                <w:noProof/>
              </w:rPr>
              <w:t>64625 BENSHEIM</w:t>
            </w:r>
          </w:p>
        </w:tc>
        <w:tc>
          <w:tcPr>
            <w:tcW w:w="2970" w:type="dxa"/>
          </w:tcPr>
          <w:p w14:paraId="6B5DEFE8" w14:textId="77777777" w:rsidR="00D47A68" w:rsidRPr="000740C0" w:rsidRDefault="00D47A68" w:rsidP="00D47A68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3960" w:type="dxa"/>
          </w:tcPr>
          <w:p w14:paraId="0DC993AA" w14:textId="77777777" w:rsidR="00D47A68" w:rsidRPr="0071285E" w:rsidRDefault="00D47A68" w:rsidP="00D47A68">
            <w:pPr>
              <w:widowControl w:val="0"/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Matthias Hechler</w:t>
            </w:r>
          </w:p>
          <w:p w14:paraId="0932A851" w14:textId="77777777" w:rsidR="00D47A68" w:rsidRPr="0071285E" w:rsidRDefault="00D47A68" w:rsidP="00D47A68">
            <w:pPr>
              <w:widowControl w:val="0"/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Tel:</w:t>
            </w:r>
            <w:proofErr w:type="gramEnd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+49 6251 1301 744</w:t>
            </w:r>
          </w:p>
          <w:p w14:paraId="776FF0CE" w14:textId="77777777" w:rsidR="00D47A68" w:rsidRPr="0071285E" w:rsidRDefault="00D47A68" w:rsidP="00D47A68">
            <w:pPr>
              <w:widowControl w:val="0"/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+49 6251 1301 590</w:t>
            </w:r>
          </w:p>
          <w:p w14:paraId="1C7616AF" w14:textId="77777777" w:rsidR="00D47A68" w:rsidRPr="00E03695" w:rsidRDefault="00D47A68" w:rsidP="00D47A68">
            <w:pPr>
              <w:widowControl w:val="0"/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fr-FR"/>
              </w:rPr>
            </w:pPr>
            <w:proofErr w:type="gramStart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E-mail:</w:t>
            </w:r>
            <w:proofErr w:type="gramEnd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geschaeftsleitung@ggew-net.de</w:t>
            </w:r>
          </w:p>
        </w:tc>
      </w:tr>
    </w:tbl>
    <w:p w14:paraId="3227CE72" w14:textId="77777777" w:rsidR="00D47A68" w:rsidRPr="00FB7293" w:rsidRDefault="00D47A68" w:rsidP="00D47A6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  <w:lang w:val="es-ES"/>
        </w:rPr>
      </w:pPr>
    </w:p>
    <w:p w14:paraId="3C27B55E" w14:textId="77777777" w:rsidR="00D47A68" w:rsidRDefault="00D47A68" w:rsidP="00D47A68">
      <w:pPr>
        <w:tabs>
          <w:tab w:val="left" w:pos="3686"/>
        </w:tabs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ADD</w:t>
      </w: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600"/>
        <w:gridCol w:w="2880"/>
        <w:gridCol w:w="3960"/>
      </w:tblGrid>
      <w:tr w:rsidR="00D47A68" w:rsidRPr="00500419" w14:paraId="1A73AD5E" w14:textId="77777777" w:rsidTr="00D9027E">
        <w:trPr>
          <w:trHeight w:val="779"/>
        </w:trPr>
        <w:tc>
          <w:tcPr>
            <w:tcW w:w="3600" w:type="dxa"/>
          </w:tcPr>
          <w:p w14:paraId="5A65BBB3" w14:textId="77777777" w:rsidR="00D47A68" w:rsidRPr="00500419" w:rsidRDefault="00D47A68" w:rsidP="00D47A68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</w:rPr>
            </w:pPr>
            <w:r w:rsidRPr="00500419">
              <w:rPr>
                <w:rFonts w:asciiTheme="minorHAnsi" w:hAnsiTheme="minorHAnsi" w:cs="Arial"/>
                <w:noProof/>
              </w:rPr>
              <w:t>pascom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00419">
              <w:rPr>
                <w:rFonts w:asciiTheme="minorHAnsi" w:hAnsiTheme="minorHAnsi" w:cs="Arial"/>
                <w:noProof/>
              </w:rPr>
              <w:t>Berger Straße 42</w:t>
            </w:r>
          </w:p>
          <w:p w14:paraId="0BDEB918" w14:textId="77777777" w:rsidR="00D47A68" w:rsidRPr="00A554C7" w:rsidRDefault="00D47A68" w:rsidP="00D47A68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500419">
              <w:rPr>
                <w:rFonts w:asciiTheme="minorHAnsi" w:hAnsiTheme="minorHAnsi" w:cs="Arial"/>
                <w:noProof/>
              </w:rPr>
              <w:t>D-94469 DEGGENDORF</w:t>
            </w:r>
          </w:p>
        </w:tc>
        <w:tc>
          <w:tcPr>
            <w:tcW w:w="2880" w:type="dxa"/>
          </w:tcPr>
          <w:p w14:paraId="7A6F72E1" w14:textId="77777777" w:rsidR="00D47A68" w:rsidRPr="000740C0" w:rsidRDefault="00D47A68" w:rsidP="00D9027E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3960" w:type="dxa"/>
          </w:tcPr>
          <w:p w14:paraId="2097258A" w14:textId="77777777" w:rsidR="00D47A68" w:rsidRPr="00500419" w:rsidRDefault="00D47A68" w:rsidP="00D47A68">
            <w:pPr>
              <w:widowControl w:val="0"/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Quirin Pasquay</w:t>
            </w:r>
          </w:p>
          <w:p w14:paraId="6187E617" w14:textId="77777777" w:rsidR="00D47A68" w:rsidRPr="00500419" w:rsidRDefault="00D47A68" w:rsidP="00D47A68">
            <w:pPr>
              <w:widowControl w:val="0"/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3592DAB8" w14:textId="77777777" w:rsidR="00D47A68" w:rsidRPr="00500419" w:rsidRDefault="00D47A68" w:rsidP="00D47A68">
            <w:pPr>
              <w:widowControl w:val="0"/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DDDA0EE" w14:textId="77777777" w:rsidR="00D47A68" w:rsidRPr="00500419" w:rsidRDefault="00D47A68" w:rsidP="00D47A68">
            <w:pPr>
              <w:widowControl w:val="0"/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highlight w:val="yellow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</w:tbl>
    <w:p w14:paraId="62CEBFFF" w14:textId="77777777" w:rsidR="00D47A68" w:rsidRPr="00FB7293" w:rsidRDefault="00D47A68" w:rsidP="00D47A6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b/>
          <w:color w:val="000000"/>
          <w:sz w:val="22"/>
          <w:szCs w:val="22"/>
        </w:rPr>
      </w:pPr>
    </w:p>
    <w:p w14:paraId="69381057" w14:textId="342FE1CE" w:rsidR="00D47A68" w:rsidRDefault="00D47A6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72F0955A" w14:textId="77777777" w:rsidR="00F12B6E" w:rsidRPr="00F12B6E" w:rsidRDefault="00F12B6E" w:rsidP="00F12B6E">
      <w:pPr>
        <w:pStyle w:val="Heading20"/>
        <w:spacing w:before="0"/>
        <w:rPr>
          <w:sz w:val="28"/>
          <w:lang w:val="es-ES"/>
        </w:rPr>
      </w:pPr>
      <w:r w:rsidRPr="00F12B6E">
        <w:rPr>
          <w:sz w:val="28"/>
          <w:lang w:val="es-ES"/>
        </w:rPr>
        <w:lastRenderedPageBreak/>
        <w:t>Lista de códigos de puntos de señalización internacional (ISPC)</w:t>
      </w:r>
      <w:r w:rsidRPr="00F12B6E">
        <w:rPr>
          <w:sz w:val="28"/>
          <w:lang w:val="es-ES"/>
        </w:rPr>
        <w:br/>
        <w:t>(Según la Recomendación UIT-T Q.708 (03/1999))</w:t>
      </w:r>
      <w:r w:rsidRPr="00F12B6E">
        <w:rPr>
          <w:sz w:val="28"/>
          <w:lang w:val="es-ES"/>
        </w:rPr>
        <w:br/>
        <w:t>(Situación al 1 de julio de 2024)</w:t>
      </w:r>
    </w:p>
    <w:p w14:paraId="129EA3D2" w14:textId="77777777" w:rsidR="00F12B6E" w:rsidRPr="00F52B64" w:rsidRDefault="00F12B6E" w:rsidP="00F12B6E">
      <w:pPr>
        <w:pStyle w:val="Heading70"/>
        <w:keepNext/>
        <w:jc w:val="center"/>
        <w:rPr>
          <w:b w:val="0"/>
          <w:bCs/>
          <w:lang w:val="es-ES"/>
        </w:rPr>
      </w:pPr>
      <w:r w:rsidRPr="00F52B64">
        <w:rPr>
          <w:b w:val="0"/>
          <w:bCs/>
          <w:lang w:val="es-ES"/>
        </w:rPr>
        <w:t>(Anexo al Boletín de Explotación de la UIT No. 1295 - 1.VII.2024)</w:t>
      </w:r>
      <w:r w:rsidRPr="00F52B64">
        <w:rPr>
          <w:b w:val="0"/>
          <w:bCs/>
          <w:lang w:val="es-ES"/>
        </w:rPr>
        <w:br/>
        <w:t>(Enmienda No. 26)</w:t>
      </w:r>
    </w:p>
    <w:p w14:paraId="6AFF6828" w14:textId="77777777" w:rsidR="00F12B6E" w:rsidRPr="00F52B64" w:rsidRDefault="00F12B6E" w:rsidP="00F12B6E">
      <w:pPr>
        <w:keepNext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76"/>
        <w:gridCol w:w="3294"/>
        <w:gridCol w:w="4009"/>
      </w:tblGrid>
      <w:tr w:rsidR="00F12B6E" w:rsidRPr="00F12B6E" w14:paraId="0FDA3337" w14:textId="77777777" w:rsidTr="00BC3B77">
        <w:trPr>
          <w:cantSplit/>
          <w:trHeight w:val="227"/>
        </w:trPr>
        <w:tc>
          <w:tcPr>
            <w:tcW w:w="1985" w:type="dxa"/>
            <w:gridSpan w:val="2"/>
          </w:tcPr>
          <w:p w14:paraId="634BC190" w14:textId="77777777" w:rsidR="00F12B6E" w:rsidRPr="00F12B6E" w:rsidRDefault="00F12B6E" w:rsidP="00D9027E">
            <w:pPr>
              <w:pStyle w:val="Tablehead0"/>
              <w:jc w:val="left"/>
              <w:rPr>
                <w:i/>
                <w:iCs/>
              </w:rPr>
            </w:pPr>
            <w:r w:rsidRPr="00F12B6E">
              <w:rPr>
                <w:i/>
                <w:iCs/>
              </w:rPr>
              <w:t>País/ Zona geográfica</w:t>
            </w:r>
          </w:p>
        </w:tc>
        <w:tc>
          <w:tcPr>
            <w:tcW w:w="3294" w:type="dxa"/>
            <w:vMerge w:val="restart"/>
            <w:vAlign w:val="bottom"/>
          </w:tcPr>
          <w:p w14:paraId="6C4D950A" w14:textId="77777777" w:rsidR="00F12B6E" w:rsidRPr="00F12B6E" w:rsidRDefault="00F12B6E" w:rsidP="00D9027E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F12B6E">
              <w:rPr>
                <w:i/>
                <w:iCs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vAlign w:val="bottom"/>
          </w:tcPr>
          <w:p w14:paraId="775B97C4" w14:textId="77777777" w:rsidR="00F12B6E" w:rsidRPr="00F12B6E" w:rsidRDefault="00F12B6E" w:rsidP="00D9027E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F12B6E">
              <w:rPr>
                <w:i/>
                <w:iCs/>
                <w:lang w:val="es-ES"/>
              </w:rPr>
              <w:t>Nombre del operador del punto de señalización</w:t>
            </w:r>
          </w:p>
        </w:tc>
      </w:tr>
      <w:tr w:rsidR="00F12B6E" w:rsidRPr="00F12B6E" w14:paraId="484027A3" w14:textId="77777777" w:rsidTr="00BC3B77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40EB85F2" w14:textId="77777777" w:rsidR="00F12B6E" w:rsidRPr="00F12B6E" w:rsidRDefault="00F12B6E" w:rsidP="00D9027E">
            <w:pPr>
              <w:pStyle w:val="Tablehead0"/>
              <w:jc w:val="left"/>
              <w:rPr>
                <w:i/>
                <w:iCs/>
              </w:rPr>
            </w:pPr>
            <w:r w:rsidRPr="00F12B6E">
              <w:rPr>
                <w:i/>
                <w:iCs/>
              </w:rPr>
              <w:t>ISPC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267E5AE6" w14:textId="77777777" w:rsidR="00F12B6E" w:rsidRPr="00F12B6E" w:rsidRDefault="00F12B6E" w:rsidP="00D9027E">
            <w:pPr>
              <w:pStyle w:val="Tablehead0"/>
              <w:jc w:val="left"/>
              <w:rPr>
                <w:i/>
                <w:iCs/>
              </w:rPr>
            </w:pPr>
            <w:r w:rsidRPr="00F12B6E">
              <w:rPr>
                <w:i/>
                <w:iCs/>
              </w:rPr>
              <w:t>DEC</w:t>
            </w:r>
          </w:p>
        </w:tc>
        <w:tc>
          <w:tcPr>
            <w:tcW w:w="3294" w:type="dxa"/>
            <w:vMerge/>
            <w:tcBorders>
              <w:bottom w:val="single" w:sz="4" w:space="0" w:color="auto"/>
            </w:tcBorders>
          </w:tcPr>
          <w:p w14:paraId="5871F60E" w14:textId="77777777" w:rsidR="00F12B6E" w:rsidRPr="00F12B6E" w:rsidRDefault="00F12B6E" w:rsidP="00D9027E">
            <w:pPr>
              <w:pStyle w:val="Tablehead0"/>
              <w:jc w:val="left"/>
              <w:rPr>
                <w:i/>
                <w:iCs/>
              </w:rPr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</w:tcPr>
          <w:p w14:paraId="26F96263" w14:textId="77777777" w:rsidR="00F12B6E" w:rsidRPr="00F12B6E" w:rsidRDefault="00F12B6E" w:rsidP="00D9027E">
            <w:pPr>
              <w:pStyle w:val="Tablehead0"/>
              <w:jc w:val="left"/>
              <w:rPr>
                <w:i/>
                <w:iCs/>
              </w:rPr>
            </w:pPr>
          </w:p>
        </w:tc>
      </w:tr>
      <w:tr w:rsidR="00F12B6E" w:rsidRPr="008B0747" w14:paraId="3010F77A" w14:textId="77777777" w:rsidTr="00D9027E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603D707B" w14:textId="77777777" w:rsidR="00F12B6E" w:rsidRPr="008B0747" w:rsidRDefault="00F12B6E" w:rsidP="00D9027E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B0747">
              <w:rPr>
                <w:b/>
                <w:bCs/>
              </w:rPr>
              <w:t>Estonia    ADD</w:t>
            </w:r>
          </w:p>
        </w:tc>
      </w:tr>
      <w:tr w:rsidR="00F12B6E" w:rsidRPr="00870C6B" w14:paraId="4F10C872" w14:textId="77777777" w:rsidTr="00BC3B77">
        <w:trPr>
          <w:cantSplit/>
          <w:trHeight w:val="240"/>
        </w:trPr>
        <w:tc>
          <w:tcPr>
            <w:tcW w:w="909" w:type="dxa"/>
          </w:tcPr>
          <w:p w14:paraId="15F2C02A" w14:textId="77777777" w:rsidR="00F12B6E" w:rsidRPr="008B0747" w:rsidRDefault="00F12B6E" w:rsidP="00D9027E">
            <w:pPr>
              <w:pStyle w:val="StyleTabletextLeft"/>
              <w:rPr>
                <w:b w:val="0"/>
                <w:bCs w:val="0"/>
              </w:rPr>
            </w:pPr>
            <w:r w:rsidRPr="008B0747">
              <w:rPr>
                <w:b w:val="0"/>
                <w:bCs w:val="0"/>
              </w:rPr>
              <w:t>2-092-5</w:t>
            </w:r>
          </w:p>
        </w:tc>
        <w:tc>
          <w:tcPr>
            <w:tcW w:w="1076" w:type="dxa"/>
          </w:tcPr>
          <w:p w14:paraId="1CC2D19E" w14:textId="77777777" w:rsidR="00F12B6E" w:rsidRPr="008B0747" w:rsidRDefault="00F12B6E" w:rsidP="00D9027E">
            <w:pPr>
              <w:pStyle w:val="StyleTabletextLeft"/>
              <w:rPr>
                <w:b w:val="0"/>
                <w:bCs w:val="0"/>
              </w:rPr>
            </w:pPr>
            <w:r w:rsidRPr="008B0747">
              <w:rPr>
                <w:b w:val="0"/>
                <w:bCs w:val="0"/>
              </w:rPr>
              <w:t>4837</w:t>
            </w:r>
          </w:p>
        </w:tc>
        <w:tc>
          <w:tcPr>
            <w:tcW w:w="3294" w:type="dxa"/>
          </w:tcPr>
          <w:p w14:paraId="78F06360" w14:textId="77777777" w:rsidR="00F12B6E" w:rsidRPr="008B0747" w:rsidRDefault="00F12B6E" w:rsidP="007810C7">
            <w:pPr>
              <w:pStyle w:val="StyleTabletextLeft"/>
              <w:jc w:val="left"/>
              <w:rPr>
                <w:b w:val="0"/>
                <w:bCs w:val="0"/>
              </w:rPr>
            </w:pPr>
            <w:r w:rsidRPr="008B0747">
              <w:rPr>
                <w:b w:val="0"/>
                <w:bCs w:val="0"/>
              </w:rPr>
              <w:t>TRN1</w:t>
            </w:r>
          </w:p>
        </w:tc>
        <w:tc>
          <w:tcPr>
            <w:tcW w:w="4009" w:type="dxa"/>
          </w:tcPr>
          <w:p w14:paraId="392156EE" w14:textId="77777777" w:rsidR="00F12B6E" w:rsidRPr="008B0747" w:rsidRDefault="00F12B6E" w:rsidP="007810C7">
            <w:pPr>
              <w:pStyle w:val="StyleTabletextLeft"/>
              <w:jc w:val="left"/>
              <w:rPr>
                <w:b w:val="0"/>
                <w:bCs w:val="0"/>
              </w:rPr>
            </w:pPr>
            <w:r w:rsidRPr="008B0747">
              <w:rPr>
                <w:b w:val="0"/>
                <w:bCs w:val="0"/>
              </w:rPr>
              <w:t>Trinavo LLC</w:t>
            </w:r>
          </w:p>
        </w:tc>
      </w:tr>
      <w:tr w:rsidR="00F12B6E" w:rsidRPr="00870C6B" w14:paraId="2CA7D09F" w14:textId="77777777" w:rsidTr="00BC3B77">
        <w:trPr>
          <w:cantSplit/>
          <w:trHeight w:val="240"/>
        </w:trPr>
        <w:tc>
          <w:tcPr>
            <w:tcW w:w="909" w:type="dxa"/>
          </w:tcPr>
          <w:p w14:paraId="51E68B0A" w14:textId="77777777" w:rsidR="00F12B6E" w:rsidRPr="008B0747" w:rsidRDefault="00F12B6E" w:rsidP="00D9027E">
            <w:pPr>
              <w:pStyle w:val="StyleTabletextLeft"/>
              <w:rPr>
                <w:b w:val="0"/>
                <w:bCs w:val="0"/>
              </w:rPr>
            </w:pPr>
            <w:r w:rsidRPr="008B0747">
              <w:rPr>
                <w:b w:val="0"/>
                <w:bCs w:val="0"/>
              </w:rPr>
              <w:t>2-092-6</w:t>
            </w:r>
          </w:p>
        </w:tc>
        <w:tc>
          <w:tcPr>
            <w:tcW w:w="1076" w:type="dxa"/>
          </w:tcPr>
          <w:p w14:paraId="1470DF5E" w14:textId="77777777" w:rsidR="00F12B6E" w:rsidRPr="008B0747" w:rsidRDefault="00F12B6E" w:rsidP="00D9027E">
            <w:pPr>
              <w:pStyle w:val="StyleTabletextLeft"/>
              <w:rPr>
                <w:b w:val="0"/>
                <w:bCs w:val="0"/>
              </w:rPr>
            </w:pPr>
            <w:r w:rsidRPr="008B0747">
              <w:rPr>
                <w:b w:val="0"/>
                <w:bCs w:val="0"/>
              </w:rPr>
              <w:t>4838</w:t>
            </w:r>
          </w:p>
        </w:tc>
        <w:tc>
          <w:tcPr>
            <w:tcW w:w="3294" w:type="dxa"/>
          </w:tcPr>
          <w:p w14:paraId="4935DFBB" w14:textId="77777777" w:rsidR="00F12B6E" w:rsidRPr="008B0747" w:rsidRDefault="00F12B6E" w:rsidP="007810C7">
            <w:pPr>
              <w:pStyle w:val="StyleTabletextLeft"/>
              <w:jc w:val="left"/>
              <w:rPr>
                <w:b w:val="0"/>
                <w:bCs w:val="0"/>
              </w:rPr>
            </w:pPr>
            <w:r w:rsidRPr="008B0747">
              <w:rPr>
                <w:b w:val="0"/>
                <w:bCs w:val="0"/>
              </w:rPr>
              <w:t>Baway_EST1</w:t>
            </w:r>
          </w:p>
        </w:tc>
        <w:tc>
          <w:tcPr>
            <w:tcW w:w="4009" w:type="dxa"/>
          </w:tcPr>
          <w:p w14:paraId="32D4E6D2" w14:textId="77777777" w:rsidR="00F12B6E" w:rsidRPr="008B0747" w:rsidRDefault="00F12B6E" w:rsidP="007810C7">
            <w:pPr>
              <w:pStyle w:val="StyleTabletextLeft"/>
              <w:jc w:val="left"/>
              <w:rPr>
                <w:b w:val="0"/>
                <w:bCs w:val="0"/>
              </w:rPr>
            </w:pPr>
            <w:r w:rsidRPr="008B0747">
              <w:rPr>
                <w:b w:val="0"/>
                <w:bCs w:val="0"/>
              </w:rPr>
              <w:t>Baway Mobile Services OÜ</w:t>
            </w:r>
          </w:p>
        </w:tc>
      </w:tr>
    </w:tbl>
    <w:p w14:paraId="3CFB1E6E" w14:textId="77777777" w:rsidR="00F12B6E" w:rsidRPr="00FF621E" w:rsidRDefault="00F12B6E" w:rsidP="00F12B6E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08CB446C" w14:textId="77777777" w:rsidR="00F12B6E" w:rsidRDefault="00F12B6E" w:rsidP="008B0747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</w:rPr>
      </w:pPr>
      <w:proofErr w:type="gramStart"/>
      <w:r w:rsidRPr="00FF621E">
        <w:rPr>
          <w:sz w:val="16"/>
          <w:szCs w:val="16"/>
        </w:rPr>
        <w:t>ISPC:</w:t>
      </w:r>
      <w:proofErr w:type="gramEnd"/>
      <w:r w:rsidRPr="00FF621E">
        <w:rPr>
          <w:sz w:val="16"/>
          <w:szCs w:val="16"/>
        </w:rPr>
        <w:tab/>
        <w:t>International Signalling Point Codes.</w:t>
      </w:r>
    </w:p>
    <w:p w14:paraId="790C8A45" w14:textId="77777777" w:rsidR="00F12B6E" w:rsidRDefault="00F12B6E" w:rsidP="008B0747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ab/>
        <w:t>Codes de points sémaphores internationaux (CPSI).</w:t>
      </w:r>
    </w:p>
    <w:p w14:paraId="71216B41" w14:textId="77777777" w:rsidR="00F12B6E" w:rsidRPr="00756D3F" w:rsidRDefault="00F12B6E" w:rsidP="008B0747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Códigos de puntos de señalización internacional (CPSI).</w:t>
      </w:r>
    </w:p>
    <w:p w14:paraId="2A1C95ED" w14:textId="77777777" w:rsidR="00F12B6E" w:rsidRPr="00756D3F" w:rsidRDefault="00F12B6E" w:rsidP="00F12B6E">
      <w:pPr>
        <w:rPr>
          <w:lang w:val="es-ES"/>
        </w:rPr>
      </w:pPr>
    </w:p>
    <w:p w14:paraId="2BF67CCB" w14:textId="77777777" w:rsidR="007118AB" w:rsidRPr="00F12B6E" w:rsidRDefault="007118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13856BC5" w14:textId="77777777" w:rsidR="007118AB" w:rsidRPr="00F12B6E" w:rsidRDefault="007118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49F8B1C1" w14:textId="77777777" w:rsidR="007810C7" w:rsidRPr="007810C7" w:rsidRDefault="007810C7" w:rsidP="007810C7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lang w:val="es-ES"/>
        </w:rPr>
      </w:pPr>
      <w:r w:rsidRPr="007810C7">
        <w:rPr>
          <w:rFonts w:asciiTheme="minorHAnsi" w:hAnsiTheme="minorHAnsi" w:cs="Arial"/>
          <w:lang w:val="es-ES"/>
        </w:rPr>
        <w:t>Plan de numeración nacional</w:t>
      </w:r>
      <w:r w:rsidRPr="007810C7">
        <w:rPr>
          <w:rFonts w:asciiTheme="minorHAnsi" w:hAnsiTheme="minorHAnsi" w:cs="Arial"/>
          <w:lang w:val="es-ES"/>
        </w:rPr>
        <w:br/>
        <w:t>(Según la Recomendación UIT-T E.129 (01/2013))</w:t>
      </w:r>
    </w:p>
    <w:p w14:paraId="6855A5CA" w14:textId="77777777" w:rsidR="007810C7" w:rsidRPr="002D4E96" w:rsidRDefault="007810C7" w:rsidP="007810C7">
      <w:pPr>
        <w:jc w:val="center"/>
        <w:rPr>
          <w:rFonts w:asciiTheme="minorHAnsi" w:hAnsiTheme="minorHAnsi"/>
        </w:rPr>
      </w:pPr>
      <w:r w:rsidRPr="002D4E96">
        <w:rPr>
          <w:rFonts w:asciiTheme="minorHAnsi" w:hAnsiTheme="minorHAnsi"/>
        </w:rPr>
        <w:t xml:space="preserve">Web: </w:t>
      </w:r>
      <w:r w:rsidRPr="0081782B">
        <w:rPr>
          <w:rFonts w:asciiTheme="minorHAnsi" w:hAnsiTheme="minorHAnsi"/>
        </w:rPr>
        <w:t>www.itu.int/itu-t/nnp</w:t>
      </w:r>
    </w:p>
    <w:p w14:paraId="2246826C" w14:textId="77777777" w:rsidR="007810C7" w:rsidRPr="001C1676" w:rsidRDefault="007810C7" w:rsidP="007810C7">
      <w:pPr>
        <w:rPr>
          <w:lang w:val="es-ES"/>
        </w:rPr>
      </w:pPr>
      <w:r w:rsidRPr="001C1676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37A73454" w14:textId="77777777" w:rsidR="007810C7" w:rsidRPr="001C1676" w:rsidRDefault="007810C7" w:rsidP="007810C7">
      <w:r w:rsidRPr="007810C7">
        <w:rPr>
          <w:lang w:val="es-ES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1C1676">
        <w:t>Se recuerda, por otra parte, a las Administraciones que deberán asumir la responsabilidad de la oportuna puesta al día de su información.</w:t>
      </w:r>
    </w:p>
    <w:p w14:paraId="2722F592" w14:textId="77777777" w:rsidR="007810C7" w:rsidRPr="007810C7" w:rsidRDefault="007810C7" w:rsidP="007810C7">
      <w:pPr>
        <w:rPr>
          <w:lang w:val="es-ES"/>
        </w:rPr>
      </w:pPr>
      <w:r w:rsidRPr="007810C7">
        <w:rPr>
          <w:lang w:val="es-ES"/>
        </w:rPr>
        <w:t xml:space="preserve">El </w:t>
      </w:r>
      <w:r w:rsidRPr="007810C7">
        <w:rPr>
          <w:noProof/>
          <w:lang w:val="es-ES"/>
        </w:rPr>
        <w:t>1.X.2025</w:t>
      </w:r>
      <w:r w:rsidRPr="007810C7">
        <w:rPr>
          <w:lang w:val="es-ES"/>
        </w:rPr>
        <w:t>, ha actualizado sus planes de numeración nacional de los siguientes países/zonas geográficas en el sitio web:</w:t>
      </w:r>
    </w:p>
    <w:p w14:paraId="0333B9B6" w14:textId="77777777" w:rsidR="007810C7" w:rsidRPr="001C1676" w:rsidRDefault="007810C7" w:rsidP="007810C7">
      <w:pPr>
        <w:ind w:firstLine="720"/>
        <w:rPr>
          <w:rFonts w:asciiTheme="minorHAnsi" w:hAnsiTheme="minorHAnsi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2138"/>
      </w:tblGrid>
      <w:tr w:rsidR="007810C7" w:rsidRPr="001C1676" w14:paraId="57C5B031" w14:textId="77777777" w:rsidTr="00D9027E">
        <w:trPr>
          <w:jc w:val="center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1C28" w14:textId="77777777" w:rsidR="007810C7" w:rsidRPr="007810C7" w:rsidRDefault="007810C7" w:rsidP="00D9027E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7810C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F0D2EB6" w14:textId="77777777" w:rsidR="007810C7" w:rsidRPr="007810C7" w:rsidRDefault="007810C7" w:rsidP="00D9027E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7810C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7810C7" w:rsidRPr="001C1676" w14:paraId="72E2EB30" w14:textId="77777777" w:rsidTr="00D9027E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ADB" w14:textId="77777777" w:rsidR="007810C7" w:rsidRPr="007810C7" w:rsidRDefault="007810C7" w:rsidP="00D9027E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  <w:lang w:val="es-ES"/>
              </w:rPr>
            </w:pPr>
            <w:r w:rsidRPr="007810C7">
              <w:rPr>
                <w:rFonts w:asciiTheme="minorHAnsi" w:hAnsiTheme="minorHAnsi" w:cstheme="minorHAnsi"/>
                <w:lang w:val="es-ES"/>
              </w:rPr>
              <w:t>Centroafricana (Rep.)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258" w14:textId="77777777" w:rsidR="007810C7" w:rsidRPr="007810C7" w:rsidRDefault="007810C7" w:rsidP="00D9027E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810C7">
              <w:rPr>
                <w:rFonts w:asciiTheme="minorHAnsi" w:hAnsiTheme="minorHAnsi" w:cstheme="minorHAnsi"/>
              </w:rPr>
              <w:t>+236</w:t>
            </w:r>
          </w:p>
        </w:tc>
      </w:tr>
      <w:tr w:rsidR="007810C7" w:rsidRPr="001C1676" w14:paraId="0F6D8F33" w14:textId="77777777" w:rsidTr="00D9027E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CBF" w14:textId="77777777" w:rsidR="007810C7" w:rsidRPr="007810C7" w:rsidRDefault="007810C7" w:rsidP="00D9027E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7810C7">
              <w:rPr>
                <w:rFonts w:asciiTheme="minorHAnsi" w:hAnsiTheme="minorHAnsi" w:cstheme="minorHAnsi"/>
              </w:rPr>
              <w:t>Líbano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C0E" w14:textId="77777777" w:rsidR="007810C7" w:rsidRPr="007810C7" w:rsidRDefault="007810C7" w:rsidP="00D9027E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810C7">
              <w:rPr>
                <w:rFonts w:asciiTheme="minorHAnsi" w:hAnsiTheme="minorHAnsi" w:cstheme="minorHAnsi"/>
              </w:rPr>
              <w:t>+961</w:t>
            </w:r>
          </w:p>
        </w:tc>
      </w:tr>
      <w:tr w:rsidR="007810C7" w:rsidRPr="001C1676" w14:paraId="26A7C941" w14:textId="77777777" w:rsidTr="00D9027E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E26" w14:textId="77777777" w:rsidR="007810C7" w:rsidRPr="007810C7" w:rsidRDefault="007810C7" w:rsidP="00D9027E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7810C7">
              <w:rPr>
                <w:rFonts w:asciiTheme="minorHAnsi" w:hAnsiTheme="minorHAnsi" w:cstheme="minorHAnsi"/>
              </w:rPr>
              <w:t>Omán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D1B" w14:textId="77777777" w:rsidR="007810C7" w:rsidRPr="007810C7" w:rsidRDefault="007810C7" w:rsidP="00D9027E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810C7">
              <w:rPr>
                <w:rFonts w:asciiTheme="minorHAnsi" w:hAnsiTheme="minorHAnsi" w:cstheme="minorHAnsi"/>
              </w:rPr>
              <w:t>+968</w:t>
            </w:r>
          </w:p>
        </w:tc>
      </w:tr>
    </w:tbl>
    <w:p w14:paraId="0DE0914B" w14:textId="77777777" w:rsidR="007810C7" w:rsidRPr="001C1676" w:rsidRDefault="007810C7" w:rsidP="007810C7">
      <w:pPr>
        <w:ind w:left="170"/>
        <w:rPr>
          <w:rFonts w:asciiTheme="minorHAnsi" w:hAnsiTheme="minorHAnsi"/>
          <w:b/>
          <w:lang w:val="es-ES"/>
        </w:rPr>
      </w:pPr>
    </w:p>
    <w:p w14:paraId="666CFA8B" w14:textId="77777777" w:rsidR="007810C7" w:rsidRDefault="007810C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sectPr w:rsidR="007810C7" w:rsidSect="000B454A">
      <w:footerReference w:type="even" r:id="rId36"/>
      <w:footerReference w:type="default" r:id="rId37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77F669F8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356D9">
            <w:rPr>
              <w:noProof/>
              <w:color w:val="FFFFFF"/>
              <w:lang w:val="es-ES_tradnl"/>
            </w:rPr>
            <w:t>1327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FA6B2F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25217434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356D9">
            <w:rPr>
              <w:noProof/>
              <w:color w:val="FFFFFF"/>
              <w:lang w:val="es-ES_tradnl"/>
            </w:rPr>
            <w:t>1327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66A3AE38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356D9">
            <w:rPr>
              <w:noProof/>
              <w:color w:val="FFFFFF"/>
              <w:lang w:val="es-ES_tradnl"/>
            </w:rPr>
            <w:t>1327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C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E1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E7D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C89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04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A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23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C5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AEE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B172B63"/>
    <w:multiLevelType w:val="hybridMultilevel"/>
    <w:tmpl w:val="443AF124"/>
    <w:lvl w:ilvl="0" w:tplc="E0DA9C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820252"/>
    <w:multiLevelType w:val="hybridMultilevel"/>
    <w:tmpl w:val="CD34C36E"/>
    <w:lvl w:ilvl="0" w:tplc="FB5A77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F56670"/>
    <w:multiLevelType w:val="hybridMultilevel"/>
    <w:tmpl w:val="34B69FAC"/>
    <w:lvl w:ilvl="0" w:tplc="01D6E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813F7"/>
    <w:multiLevelType w:val="hybridMultilevel"/>
    <w:tmpl w:val="0630B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2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068474">
    <w:abstractNumId w:val="9"/>
  </w:num>
  <w:num w:numId="2" w16cid:durableId="617955868">
    <w:abstractNumId w:val="27"/>
  </w:num>
  <w:num w:numId="3" w16cid:durableId="1180002724">
    <w:abstractNumId w:val="28"/>
  </w:num>
  <w:num w:numId="4" w16cid:durableId="1945113919">
    <w:abstractNumId w:val="23"/>
  </w:num>
  <w:num w:numId="5" w16cid:durableId="450587618">
    <w:abstractNumId w:val="16"/>
  </w:num>
  <w:num w:numId="6" w16cid:durableId="788091388">
    <w:abstractNumId w:val="35"/>
  </w:num>
  <w:num w:numId="7" w16cid:durableId="401684242">
    <w:abstractNumId w:val="12"/>
  </w:num>
  <w:num w:numId="8" w16cid:durableId="1142499436">
    <w:abstractNumId w:val="32"/>
  </w:num>
  <w:num w:numId="9" w16cid:durableId="753086465">
    <w:abstractNumId w:val="25"/>
  </w:num>
  <w:num w:numId="10" w16cid:durableId="1922635584">
    <w:abstractNumId w:val="17"/>
  </w:num>
  <w:num w:numId="11" w16cid:durableId="378167326">
    <w:abstractNumId w:val="24"/>
  </w:num>
  <w:num w:numId="12" w16cid:durableId="1903131776">
    <w:abstractNumId w:val="30"/>
  </w:num>
  <w:num w:numId="13" w16cid:durableId="10450656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4" w16cid:durableId="31237377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5" w16cid:durableId="11810916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6" w16cid:durableId="1411079085">
    <w:abstractNumId w:val="14"/>
  </w:num>
  <w:num w:numId="17" w16cid:durableId="17174368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540373">
    <w:abstractNumId w:val="36"/>
  </w:num>
  <w:num w:numId="19" w16cid:durableId="145417906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0" w16cid:durableId="171612574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21" w16cid:durableId="79980719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2" w16cid:durableId="1394617676">
    <w:abstractNumId w:val="26"/>
  </w:num>
  <w:num w:numId="23" w16cid:durableId="629096220">
    <w:abstractNumId w:val="37"/>
  </w:num>
  <w:num w:numId="24" w16cid:durableId="487870749">
    <w:abstractNumId w:val="7"/>
  </w:num>
  <w:num w:numId="25" w16cid:durableId="990477875">
    <w:abstractNumId w:val="6"/>
  </w:num>
  <w:num w:numId="26" w16cid:durableId="1521579217">
    <w:abstractNumId w:val="5"/>
  </w:num>
  <w:num w:numId="27" w16cid:durableId="1055734477">
    <w:abstractNumId w:val="4"/>
  </w:num>
  <w:num w:numId="28" w16cid:durableId="46913589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29" w16cid:durableId="483545899">
    <w:abstractNumId w:val="13"/>
  </w:num>
  <w:num w:numId="30" w16cid:durableId="930627028">
    <w:abstractNumId w:val="21"/>
  </w:num>
  <w:num w:numId="31" w16cid:durableId="927730246">
    <w:abstractNumId w:val="8"/>
  </w:num>
  <w:num w:numId="32" w16cid:durableId="1550219977">
    <w:abstractNumId w:val="3"/>
  </w:num>
  <w:num w:numId="33" w16cid:durableId="1574701858">
    <w:abstractNumId w:val="2"/>
  </w:num>
  <w:num w:numId="34" w16cid:durableId="348602311">
    <w:abstractNumId w:val="1"/>
  </w:num>
  <w:num w:numId="35" w16cid:durableId="550926571">
    <w:abstractNumId w:val="0"/>
  </w:num>
  <w:num w:numId="36" w16cid:durableId="557790082">
    <w:abstractNumId w:val="33"/>
  </w:num>
  <w:num w:numId="37" w16cid:durableId="952129436">
    <w:abstractNumId w:val="31"/>
  </w:num>
  <w:num w:numId="38" w16cid:durableId="1438597587">
    <w:abstractNumId w:val="15"/>
  </w:num>
  <w:num w:numId="39" w16cid:durableId="509098719">
    <w:abstractNumId w:val="19"/>
  </w:num>
  <w:num w:numId="40" w16cid:durableId="1093477250">
    <w:abstractNumId w:val="20"/>
  </w:num>
  <w:num w:numId="41" w16cid:durableId="1443037308">
    <w:abstractNumId w:val="29"/>
  </w:num>
  <w:num w:numId="42" w16cid:durableId="487017966">
    <w:abstractNumId w:val="22"/>
  </w:num>
  <w:num w:numId="43" w16cid:durableId="1681204273">
    <w:abstractNumId w:val="11"/>
  </w:num>
  <w:num w:numId="44" w16cid:durableId="115560991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470" TargetMode="External"/><Relationship Id="rId26" Type="http://schemas.openxmlformats.org/officeDocument/2006/relationships/hyperlink" Target="https://www.itu.int/md/T25-TSB-CIR-008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handle.itu.int/11.1002/1000/16467" TargetMode="External"/><Relationship Id="rId34" Type="http://schemas.openxmlformats.org/officeDocument/2006/relationships/hyperlink" Target="http://handle.itu.int/11.1002/1000/162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464" TargetMode="External"/><Relationship Id="rId25" Type="http://schemas.openxmlformats.org/officeDocument/2006/relationships/hyperlink" Target="http://handle.itu.int/11.1002/1000/16450" TargetMode="External"/><Relationship Id="rId33" Type="http://schemas.openxmlformats.org/officeDocument/2006/relationships/hyperlink" Target="http://handle.itu.int/11.1002/1000/1620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418" TargetMode="External"/><Relationship Id="rId20" Type="http://schemas.openxmlformats.org/officeDocument/2006/relationships/hyperlink" Target="http://handle.itu.int/11.1002/1000/16466" TargetMode="External"/><Relationship Id="rId29" Type="http://schemas.openxmlformats.org/officeDocument/2006/relationships/hyperlink" Target="http://handle.itu.int/11.1002/1000/162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469" TargetMode="External"/><Relationship Id="rId32" Type="http://schemas.openxmlformats.org/officeDocument/2006/relationships/hyperlink" Target="http://handle.itu.int/11.1002/1000/16206" TargetMode="External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417" TargetMode="External"/><Relationship Id="rId23" Type="http://schemas.openxmlformats.org/officeDocument/2006/relationships/hyperlink" Target="http://handle.itu.int/11.1002/1000/16468" TargetMode="External"/><Relationship Id="rId28" Type="http://schemas.openxmlformats.org/officeDocument/2006/relationships/hyperlink" Target="http://handle.itu.int/11.1002/1000/16203" TargetMode="External"/><Relationship Id="rId36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handle.itu.int/11.1002/1000/16465" TargetMode="External"/><Relationship Id="rId31" Type="http://schemas.openxmlformats.org/officeDocument/2006/relationships/hyperlink" Target="http://handle.itu.int/11.1002/1000/1620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23.htm" TargetMode="External"/><Relationship Id="rId22" Type="http://schemas.openxmlformats.org/officeDocument/2006/relationships/hyperlink" Target="http://handle.itu.int/11.1002/1000/16471" TargetMode="External"/><Relationship Id="rId27" Type="http://schemas.openxmlformats.org/officeDocument/2006/relationships/hyperlink" Target="http://handle.itu.int/11.1002/1000/16202" TargetMode="External"/><Relationship Id="rId30" Type="http://schemas.openxmlformats.org/officeDocument/2006/relationships/hyperlink" Target="http://handle.itu.int/11.1002/1000/15678" TargetMode="External"/><Relationship Id="rId35" Type="http://schemas.openxmlformats.org/officeDocument/2006/relationships/hyperlink" Target="http://www.itu.int/pub/T-SP-SR.1-2012" TargetMode="External"/><Relationship Id="rId8" Type="http://schemas.openxmlformats.org/officeDocument/2006/relationships/hyperlink" Target="mailto:tsbmail@itu.int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17</Pages>
  <Words>3536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1324</vt:lpstr>
    </vt:vector>
  </TitlesOfParts>
  <Company>ITU</Company>
  <LinksUpToDate>false</LinksUpToDate>
  <CharactersWithSpaces>25507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1327</dc:title>
  <dc:subject/>
  <dc:creator>ITU-T</dc:creator>
  <cp:keywords/>
  <dc:description/>
  <cp:lastModifiedBy>Spanish1</cp:lastModifiedBy>
  <cp:revision>25</cp:revision>
  <cp:lastPrinted>2025-12-04T15:22:00Z</cp:lastPrinted>
  <dcterms:created xsi:type="dcterms:W3CDTF">2025-10-01T05:30:00Z</dcterms:created>
  <dcterms:modified xsi:type="dcterms:W3CDTF">2025-12-04T15:26:00Z</dcterms:modified>
</cp:coreProperties>
</file>