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6F5B3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6F5B3B" w14:paraId="4BB55DEB" w14:textId="77777777" w:rsidTr="00EC36AF">
        <w:tc>
          <w:tcPr>
            <w:tcW w:w="1507" w:type="dxa"/>
            <w:tcBorders>
              <w:top w:val="nil"/>
              <w:left w:val="single" w:sz="8" w:space="0" w:color="333333"/>
              <w:bottom w:val="nil"/>
            </w:tcBorders>
            <w:shd w:val="clear" w:color="auto" w:fill="4C4C4C"/>
            <w:vAlign w:val="center"/>
          </w:tcPr>
          <w:p w14:paraId="2450D859" w14:textId="0F1156BF"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BF767D">
              <w:rPr>
                <w:rStyle w:val="Foot"/>
                <w:rFonts w:ascii="Arial" w:hAnsi="Arial" w:cs="Arial"/>
                <w:b/>
                <w:bCs/>
                <w:color w:val="FFFFFF"/>
                <w:sz w:val="28"/>
                <w:szCs w:val="28"/>
                <w:lang w:val="fr-FR"/>
              </w:rPr>
              <w:t>7</w:t>
            </w:r>
            <w:r w:rsidR="006D3AAC">
              <w:rPr>
                <w:rStyle w:val="Foot"/>
                <w:rFonts w:ascii="Arial" w:hAnsi="Arial" w:cs="Arial"/>
                <w:b/>
                <w:bCs/>
                <w:color w:val="FFFFFF"/>
                <w:sz w:val="28"/>
                <w:szCs w:val="28"/>
                <w:lang w:val="fr-FR"/>
              </w:rPr>
              <w:t>5</w:t>
            </w:r>
          </w:p>
        </w:tc>
        <w:tc>
          <w:tcPr>
            <w:tcW w:w="1035" w:type="dxa"/>
            <w:tcBorders>
              <w:top w:val="nil"/>
              <w:bottom w:val="nil"/>
            </w:tcBorders>
            <w:shd w:val="clear" w:color="auto" w:fill="A6A6A6"/>
            <w:vAlign w:val="center"/>
          </w:tcPr>
          <w:p w14:paraId="4C88A0FA" w14:textId="04D34705"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6D3AAC">
              <w:rPr>
                <w:color w:val="FFFFFF"/>
                <w:lang w:val="fr-FR"/>
              </w:rPr>
              <w:t>IX</w:t>
            </w:r>
            <w:r w:rsidR="00674376" w:rsidRPr="006F5B3B">
              <w:rPr>
                <w:color w:val="FFFFFF"/>
                <w:lang w:val="fr-FR"/>
              </w:rPr>
              <w:t>.202</w:t>
            </w:r>
            <w:r w:rsidR="005A2032" w:rsidRPr="006F5B3B">
              <w:rPr>
                <w:color w:val="FFFFFF"/>
                <w:lang w:val="fr-FR"/>
              </w:rPr>
              <w:t>3</w:t>
            </w:r>
          </w:p>
        </w:tc>
        <w:tc>
          <w:tcPr>
            <w:tcW w:w="6638" w:type="dxa"/>
            <w:gridSpan w:val="2"/>
            <w:tcBorders>
              <w:top w:val="nil"/>
              <w:bottom w:val="nil"/>
              <w:right w:val="single" w:sz="8" w:space="0" w:color="333333"/>
            </w:tcBorders>
            <w:shd w:val="clear" w:color="auto" w:fill="A6A6A6"/>
            <w:vAlign w:val="center"/>
          </w:tcPr>
          <w:p w14:paraId="30947E13" w14:textId="23E5B196"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6D3AAC">
              <w:rPr>
                <w:color w:val="FFFFFF"/>
                <w:lang w:val="fr-FR"/>
              </w:rPr>
              <w:t>15</w:t>
            </w:r>
            <w:r w:rsidR="00392F07" w:rsidRPr="006F5B3B">
              <w:rPr>
                <w:color w:val="FFFFFF"/>
                <w:lang w:val="fr-FR"/>
              </w:rPr>
              <w:t xml:space="preserve"> </w:t>
            </w:r>
            <w:r w:rsidR="006D3AAC" w:rsidRPr="006D3AAC">
              <w:rPr>
                <w:color w:val="FFFFFF"/>
                <w:lang w:val="fr-FR"/>
              </w:rPr>
              <w:t>août</w:t>
            </w:r>
            <w:r w:rsidR="006D3AAC">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6F5B3B"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w:t>
      </w:r>
      <w:proofErr w:type="gramStart"/>
      <w:r w:rsidRPr="006F5B3B">
        <w:rPr>
          <w:rStyle w:val="Hyperlink"/>
          <w:noProof w:val="0"/>
          <w:color w:val="auto"/>
          <w:u w:val="none"/>
        </w:rPr>
        <w:t>l'UIT:</w:t>
      </w:r>
      <w:proofErr w:type="gramEnd"/>
      <w:r w:rsidRPr="006F5B3B">
        <w:rPr>
          <w:rStyle w:val="Hyperlink"/>
          <w:noProof w:val="0"/>
          <w:color w:val="auto"/>
          <w:u w:val="none"/>
        </w:rPr>
        <w:t xml:space="preserve"> </w:t>
      </w:r>
      <w:r w:rsidRPr="006F5B3B">
        <w:rPr>
          <w:rStyle w:val="Hyperlink"/>
          <w:i/>
          <w:iCs/>
          <w:noProof w:val="0"/>
          <w:color w:val="auto"/>
          <w:u w:val="none"/>
        </w:rPr>
        <w:t>Note du TSB</w:t>
      </w:r>
      <w:r w:rsidRPr="006F5B3B">
        <w:rPr>
          <w:noProof w:val="0"/>
          <w:webHidden/>
        </w:rPr>
        <w:tab/>
      </w:r>
      <w:r w:rsidRPr="006F5B3B">
        <w:rPr>
          <w:noProof w:val="0"/>
          <w:webHidden/>
        </w:rPr>
        <w:tab/>
        <w:t>3</w:t>
      </w:r>
    </w:p>
    <w:p w14:paraId="12E8B4F0" w14:textId="3656F32A" w:rsidR="00F142EE" w:rsidRDefault="00F142EE">
      <w:pPr>
        <w:pStyle w:val="TOC1"/>
        <w:rPr>
          <w:rStyle w:val="Hyperlink"/>
          <w:noProof w:val="0"/>
          <w:color w:val="auto"/>
          <w:u w:val="none"/>
        </w:rPr>
      </w:pPr>
      <w:r w:rsidRPr="00F142EE">
        <w:rPr>
          <w:rStyle w:val="Hyperlink"/>
          <w:noProof w:val="0"/>
          <w:color w:val="auto"/>
          <w:u w:val="none"/>
        </w:rPr>
        <w:t>Approbation de Recommandations UIT-T</w:t>
      </w:r>
      <w:r>
        <w:rPr>
          <w:rStyle w:val="Hyperlink"/>
          <w:noProof w:val="0"/>
          <w:color w:val="auto"/>
          <w:u w:val="none"/>
        </w:rPr>
        <w:tab/>
      </w:r>
      <w:r>
        <w:rPr>
          <w:rStyle w:val="Hyperlink"/>
          <w:noProof w:val="0"/>
          <w:color w:val="auto"/>
          <w:u w:val="none"/>
        </w:rPr>
        <w:tab/>
        <w:t>4</w:t>
      </w:r>
    </w:p>
    <w:p w14:paraId="70F22948" w14:textId="589B5665" w:rsidR="00313A10" w:rsidRDefault="00313A10" w:rsidP="00313A10">
      <w:pPr>
        <w:pStyle w:val="TOC1"/>
        <w:rPr>
          <w:rStyle w:val="Hyperlink"/>
          <w:noProof w:val="0"/>
          <w:color w:val="auto"/>
          <w:u w:val="none"/>
        </w:rPr>
      </w:pPr>
      <w:r w:rsidRPr="00586F85">
        <w:rPr>
          <w:lang w:val="fr-CH"/>
        </w:rPr>
        <w:t>Plan d’identification international pour les réseaux publics</w:t>
      </w:r>
      <w:r>
        <w:rPr>
          <w:lang w:val="fr-CH"/>
        </w:rPr>
        <w:t xml:space="preserve"> </w:t>
      </w:r>
      <w:r w:rsidRPr="00586F85">
        <w:rPr>
          <w:lang w:val="fr-CH"/>
        </w:rPr>
        <w:t xml:space="preserve">et les </w:t>
      </w:r>
      <w:proofErr w:type="gramStart"/>
      <w:r w:rsidRPr="00586F85">
        <w:rPr>
          <w:lang w:val="fr-CH"/>
        </w:rPr>
        <w:t>abonnements</w:t>
      </w:r>
      <w:r w:rsidRPr="006F5B3B">
        <w:rPr>
          <w:rStyle w:val="Hyperlink"/>
          <w:noProof w:val="0"/>
          <w:color w:val="auto"/>
          <w:u w:val="none"/>
        </w:rPr>
        <w:t>:</w:t>
      </w:r>
      <w:proofErr w:type="gramEnd"/>
      <w:r w:rsidRPr="006F5B3B">
        <w:rPr>
          <w:rStyle w:val="Hyperlink"/>
          <w:noProof w:val="0"/>
          <w:color w:val="auto"/>
          <w:u w:val="none"/>
        </w:rPr>
        <w:t xml:space="preserve"> </w:t>
      </w:r>
      <w:r w:rsidRPr="006F5B3B">
        <w:rPr>
          <w:rStyle w:val="Hyperlink"/>
          <w:i/>
          <w:iCs/>
          <w:noProof w:val="0"/>
          <w:color w:val="auto"/>
          <w:u w:val="none"/>
        </w:rPr>
        <w:t>Note du TSB</w:t>
      </w:r>
      <w:r>
        <w:rPr>
          <w:rStyle w:val="Hyperlink"/>
          <w:noProof w:val="0"/>
          <w:color w:val="auto"/>
          <w:u w:val="none"/>
        </w:rPr>
        <w:tab/>
      </w:r>
      <w:r>
        <w:rPr>
          <w:rStyle w:val="Hyperlink"/>
          <w:noProof w:val="0"/>
          <w:color w:val="auto"/>
          <w:u w:val="none"/>
        </w:rPr>
        <w:tab/>
        <w:t>4</w:t>
      </w:r>
    </w:p>
    <w:p w14:paraId="40BB510C" w14:textId="3C6FDF06" w:rsidR="0004139B" w:rsidRDefault="0004139B" w:rsidP="0004139B">
      <w:pPr>
        <w:rPr>
          <w:lang w:val="fr-FR"/>
        </w:rPr>
      </w:pPr>
      <w:r>
        <w:rPr>
          <w:lang w:val="fr-FR"/>
        </w:rPr>
        <w:t xml:space="preserve">Service </w:t>
      </w:r>
      <w:proofErr w:type="gramStart"/>
      <w:r>
        <w:rPr>
          <w:lang w:val="fr-FR"/>
        </w:rPr>
        <w:t>téléphonique:</w:t>
      </w:r>
      <w:proofErr w:type="gramEnd"/>
    </w:p>
    <w:p w14:paraId="0D498142" w14:textId="626CFB84" w:rsidR="0004139B" w:rsidRDefault="00313A10" w:rsidP="00170834">
      <w:pPr>
        <w:pStyle w:val="TOC1"/>
        <w:ind w:left="851"/>
      </w:pPr>
      <w:r w:rsidRPr="00313A10">
        <w:rPr>
          <w:lang w:val="en-GB"/>
        </w:rPr>
        <w:t>Iridium Satellite LLC</w:t>
      </w:r>
      <w:r w:rsidR="0004139B">
        <w:rPr>
          <w:rFonts w:cs="Arial"/>
        </w:rPr>
        <w:tab/>
      </w:r>
      <w:r w:rsidR="0004139B">
        <w:rPr>
          <w:rFonts w:cs="Arial"/>
        </w:rPr>
        <w:tab/>
      </w:r>
      <w:r w:rsidR="001421FE">
        <w:rPr>
          <w:rFonts w:cs="Arial"/>
        </w:rPr>
        <w:t>5</w:t>
      </w:r>
    </w:p>
    <w:p w14:paraId="1187C049" w14:textId="3A525036" w:rsidR="00F05BA7" w:rsidRPr="00ED6069" w:rsidRDefault="00F05BA7">
      <w:pPr>
        <w:pStyle w:val="TOC1"/>
        <w:rPr>
          <w:rFonts w:asciiTheme="minorHAnsi" w:eastAsiaTheme="minorEastAsia" w:hAnsiTheme="minorHAnsi" w:cstheme="minorBidi"/>
          <w:noProof w:val="0"/>
          <w:sz w:val="22"/>
          <w:szCs w:val="22"/>
          <w:lang w:val="en-GB"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313A10">
        <w:rPr>
          <w:noProof w:val="0"/>
          <w:webHidden/>
          <w:lang w:val="en-GB"/>
        </w:rPr>
        <w:t>6</w:t>
      </w:r>
    </w:p>
    <w:p w14:paraId="1FE866B2" w14:textId="4BC0C7BB" w:rsidR="00F05BA7" w:rsidRPr="00ED6069" w:rsidRDefault="00F05BA7">
      <w:pPr>
        <w:pStyle w:val="TOC1"/>
        <w:rPr>
          <w:rFonts w:asciiTheme="minorHAnsi" w:eastAsiaTheme="minorEastAsia" w:hAnsiTheme="minorHAnsi" w:cstheme="minorBidi"/>
          <w:noProof w:val="0"/>
          <w:sz w:val="22"/>
          <w:szCs w:val="22"/>
          <w:lang w:val="en-GB" w:eastAsia="en-GB"/>
        </w:rPr>
      </w:pPr>
      <w:r w:rsidRPr="006F5B3B">
        <w:rPr>
          <w:rStyle w:val="Hyperlink"/>
          <w:noProof w:val="0"/>
          <w:color w:val="auto"/>
          <w:u w:val="none"/>
        </w:rPr>
        <w:t>Systèmes de rappel (Call-Back) et procédures d'appel alternatives (Rés. 21 Rév. PP-2006)</w:t>
      </w:r>
      <w:r w:rsidRPr="006F5B3B">
        <w:rPr>
          <w:rStyle w:val="Hyperlink"/>
          <w:noProof w:val="0"/>
          <w:color w:val="auto"/>
          <w:u w:val="none"/>
        </w:rPr>
        <w:tab/>
      </w:r>
      <w:r w:rsidRPr="006F5B3B">
        <w:rPr>
          <w:noProof w:val="0"/>
          <w:webHidden/>
        </w:rPr>
        <w:tab/>
      </w:r>
      <w:r w:rsidR="00313A10">
        <w:rPr>
          <w:noProof w:val="0"/>
          <w:webHidden/>
          <w:lang w:val="en-GB"/>
        </w:rPr>
        <w:t>6</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4F5E6463" w14:textId="3D8C8762" w:rsidR="001421FE" w:rsidRPr="009A5AC3" w:rsidRDefault="001421FE" w:rsidP="001421FE">
      <w:pPr>
        <w:pStyle w:val="TOC1"/>
        <w:rPr>
          <w:rStyle w:val="Hyperlink"/>
          <w:noProof w:val="0"/>
          <w:color w:val="auto"/>
          <w:u w:val="none"/>
          <w:lang w:val="en-GB"/>
        </w:rPr>
      </w:pPr>
      <w:r w:rsidRPr="00F142EE">
        <w:rPr>
          <w:rStyle w:val="Hyperlink"/>
          <w:noProof w:val="0"/>
          <w:color w:val="auto"/>
          <w:u w:val="none"/>
        </w:rPr>
        <w:t>Codes de réseau mobile (MNC) pour le plan d'identification international</w:t>
      </w:r>
      <w:r>
        <w:rPr>
          <w:rStyle w:val="Hyperlink"/>
          <w:noProof w:val="0"/>
          <w:color w:val="auto"/>
          <w:u w:val="none"/>
        </w:rPr>
        <w:t xml:space="preserve"> </w:t>
      </w:r>
      <w:r w:rsidRPr="00F142EE">
        <w:rPr>
          <w:rStyle w:val="Hyperlink"/>
          <w:noProof w:val="0"/>
          <w:color w:val="auto"/>
          <w:u w:val="none"/>
        </w:rPr>
        <w:t xml:space="preserve">pour les réseaux publics </w:t>
      </w:r>
      <w:r>
        <w:rPr>
          <w:rStyle w:val="Hyperlink"/>
          <w:noProof w:val="0"/>
          <w:color w:val="auto"/>
          <w:u w:val="none"/>
        </w:rPr>
        <w:br/>
      </w:r>
      <w:r w:rsidRPr="00F142EE">
        <w:rPr>
          <w:rStyle w:val="Hyperlink"/>
          <w:noProof w:val="0"/>
          <w:color w:val="auto"/>
          <w:u w:val="none"/>
        </w:rPr>
        <w:t>et les abonnements</w:t>
      </w:r>
      <w:r>
        <w:rPr>
          <w:rStyle w:val="Hyperlink"/>
          <w:noProof w:val="0"/>
          <w:color w:val="auto"/>
          <w:u w:val="none"/>
        </w:rPr>
        <w:tab/>
      </w:r>
      <w:r>
        <w:rPr>
          <w:rStyle w:val="Hyperlink"/>
          <w:noProof w:val="0"/>
          <w:color w:val="auto"/>
          <w:u w:val="none"/>
        </w:rPr>
        <w:tab/>
      </w:r>
      <w:r w:rsidR="00313A10">
        <w:rPr>
          <w:rStyle w:val="Hyperlink"/>
          <w:noProof w:val="0"/>
          <w:color w:val="auto"/>
          <w:u w:val="none"/>
          <w:lang w:val="en-GB"/>
        </w:rPr>
        <w:t>7</w:t>
      </w: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6F5B3B"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t xml:space="preserve">Comprenant les renseignements reçus </w:t>
            </w:r>
            <w:proofErr w:type="gramStart"/>
            <w:r w:rsidRPr="006F5B3B">
              <w:rPr>
                <w:rFonts w:eastAsia="SimSun"/>
                <w:i/>
                <w:sz w:val="18"/>
                <w:szCs w:val="18"/>
                <w:lang w:val="fr-FR" w:eastAsia="zh-CN"/>
              </w:rPr>
              <w:t>au:</w:t>
            </w:r>
            <w:proofErr w:type="gramEnd"/>
          </w:p>
        </w:tc>
      </w:tr>
      <w:tr w:rsidR="00DA2274" w:rsidRPr="006F5B3B" w14:paraId="66920FF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31.VIII.2023</w:t>
            </w:r>
          </w:p>
        </w:tc>
      </w:tr>
      <w:tr w:rsidR="00DA2274" w:rsidRPr="006F5B3B" w14:paraId="56F5D47F"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r>
      <w:tr w:rsidR="00DA2274" w:rsidRPr="006F5B3B" w14:paraId="0FEE0FFA"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29.IX.2023</w:t>
            </w:r>
          </w:p>
        </w:tc>
      </w:tr>
      <w:tr w:rsidR="00DA2274" w:rsidRPr="006F5B3B" w14:paraId="22B9CE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13.X.2023</w:t>
            </w:r>
          </w:p>
        </w:tc>
      </w:tr>
      <w:tr w:rsidR="00DA2274" w:rsidRPr="006F5B3B" w14:paraId="3CED28A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r>
      <w:tr w:rsidR="00DA2274" w:rsidRPr="006F5B3B" w14:paraId="49A5A59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r>
      <w:tr w:rsidR="00DA2274" w:rsidRPr="006F5B3B"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30.XI.2023</w:t>
            </w:r>
          </w:p>
        </w:tc>
      </w:tr>
      <w:tr w:rsidR="00DA2274" w:rsidRPr="006F5B3B"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8.XII.2023</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57E3EE9B" w14:textId="77777777"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30B7189A" w14:textId="77777777" w:rsidR="0058523D" w:rsidRPr="006F5B3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1162</w:t>
      </w:r>
      <w:r w:rsidRPr="006F5B3B">
        <w:rPr>
          <w:rFonts w:asciiTheme="minorHAnsi" w:hAnsiTheme="minorHAnsi" w:cstheme="minorBidi"/>
          <w:lang w:val="fr-FR"/>
        </w:rPr>
        <w:tab/>
        <w:t>Codes de réseau mobile (MNC) pour le plan d'identification international pour les réseaux publics et les abonnements (Selon la Recommandation UIT-T E.212 (09/2016)) (Situation au 15 décembre 2018)</w:t>
      </w:r>
    </w:p>
    <w:p w14:paraId="7B379AC4" w14:textId="77777777" w:rsidR="00E93807" w:rsidRPr="006F5B3B"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1161</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sidRPr="006F5B3B">
        <w:rPr>
          <w:rFonts w:asciiTheme="minorHAnsi" w:hAnsiTheme="minorHAnsi" w:cstheme="minorBidi"/>
          <w:spacing w:val="-2"/>
          <w:lang w:val="fr-FR"/>
        </w:rPr>
        <w:t xml:space="preserve">décembre </w:t>
      </w:r>
      <w:r w:rsidRPr="006F5B3B">
        <w:rPr>
          <w:rFonts w:asciiTheme="minorHAnsi" w:hAnsiTheme="minorHAnsi" w:cstheme="minorBidi"/>
          <w:spacing w:val="-2"/>
          <w:lang w:val="fr-FR"/>
        </w:rPr>
        <w:t>201</w:t>
      </w:r>
      <w:r w:rsidR="00956C89" w:rsidRPr="006F5B3B">
        <w:rPr>
          <w:rFonts w:asciiTheme="minorHAnsi" w:hAnsiTheme="minorHAnsi" w:cstheme="minorBidi"/>
          <w:spacing w:val="-2"/>
          <w:lang w:val="fr-FR"/>
        </w:rPr>
        <w:t>8</w:t>
      </w:r>
      <w:r w:rsidRPr="006F5B3B">
        <w:rPr>
          <w:rFonts w:asciiTheme="minorHAnsi" w:hAnsiTheme="minorHAnsi" w:cstheme="minorBidi"/>
          <w:spacing w:val="-2"/>
          <w:lang w:val="fr-FR"/>
        </w:rPr>
        <w:t>)</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51A3F3F6" w14:textId="77777777" w:rsidR="00810E29" w:rsidRPr="00721B3F" w:rsidRDefault="00810E29" w:rsidP="00810E29">
      <w:pPr>
        <w:pStyle w:val="Heading20"/>
        <w:spacing w:after="120"/>
        <w:rPr>
          <w:lang w:val="fr-CH"/>
        </w:rPr>
      </w:pPr>
      <w:bookmarkStart w:id="527" w:name="_Toc6411909"/>
      <w:bookmarkStart w:id="528" w:name="_Toc6215744"/>
      <w:bookmarkStart w:id="529" w:name="_Toc4420932"/>
      <w:bookmarkStart w:id="530" w:name="_Toc1570044"/>
      <w:bookmarkStart w:id="531" w:name="_Toc340536"/>
      <w:bookmarkStart w:id="532" w:name="_Toc536101952"/>
      <w:bookmarkStart w:id="533" w:name="_Toc531960787"/>
      <w:bookmarkStart w:id="534" w:name="_Toc531094570"/>
      <w:bookmarkStart w:id="535" w:name="_Toc526431483"/>
      <w:bookmarkStart w:id="536" w:name="_Toc525638295"/>
      <w:bookmarkStart w:id="537" w:name="_Toc524430964"/>
      <w:bookmarkStart w:id="538" w:name="_Toc520709570"/>
      <w:bookmarkStart w:id="539" w:name="_Toc518981888"/>
      <w:bookmarkStart w:id="540" w:name="_Toc517792335"/>
      <w:bookmarkStart w:id="541" w:name="_Toc514850724"/>
      <w:bookmarkStart w:id="542" w:name="_Toc513645657"/>
      <w:bookmarkStart w:id="543" w:name="_Toc510775355"/>
      <w:bookmarkStart w:id="544" w:name="_Toc509838134"/>
      <w:bookmarkStart w:id="545" w:name="_Toc507510721"/>
      <w:bookmarkStart w:id="546" w:name="_Toc505005338"/>
      <w:bookmarkStart w:id="547" w:name="_Toc503439022"/>
      <w:bookmarkStart w:id="548" w:name="_Toc500842108"/>
      <w:bookmarkStart w:id="549" w:name="_Toc500841784"/>
      <w:bookmarkStart w:id="550" w:name="_Toc499624466"/>
      <w:bookmarkStart w:id="551" w:name="_Toc497988320"/>
      <w:bookmarkStart w:id="552" w:name="_Toc497986899"/>
      <w:bookmarkStart w:id="553" w:name="_Toc496537203"/>
      <w:bookmarkStart w:id="554" w:name="_Toc495499935"/>
      <w:bookmarkStart w:id="555" w:name="_Toc493685649"/>
      <w:bookmarkStart w:id="556" w:name="_Toc488848859"/>
      <w:bookmarkStart w:id="557" w:name="_Toc487466269"/>
      <w:bookmarkStart w:id="558" w:name="_Toc486323174"/>
      <w:bookmarkStart w:id="559" w:name="_Toc485117070"/>
      <w:bookmarkStart w:id="560" w:name="_Toc483388291"/>
      <w:bookmarkStart w:id="561" w:name="_Toc482280104"/>
      <w:bookmarkStart w:id="562" w:name="_Toc479671309"/>
      <w:bookmarkStart w:id="563" w:name="_Toc478464764"/>
      <w:bookmarkStart w:id="564" w:name="_Toc477169054"/>
      <w:bookmarkStart w:id="565" w:name="_Toc474504483"/>
      <w:bookmarkStart w:id="566" w:name="_Toc473209550"/>
      <w:bookmarkStart w:id="567" w:name="_Toc471824667"/>
      <w:bookmarkStart w:id="568" w:name="_Toc469924991"/>
      <w:bookmarkStart w:id="569" w:name="_Toc469048950"/>
      <w:bookmarkStart w:id="570" w:name="_Toc466367272"/>
      <w:bookmarkStart w:id="571" w:name="_Toc456103335"/>
      <w:bookmarkStart w:id="572" w:name="_Toc456103219"/>
      <w:bookmarkStart w:id="573" w:name="_Toc454789159"/>
      <w:bookmarkStart w:id="574" w:name="_Toc453320524"/>
      <w:bookmarkStart w:id="575" w:name="_Toc451863143"/>
      <w:bookmarkStart w:id="576" w:name="_Toc450747475"/>
      <w:bookmarkStart w:id="577" w:name="_Toc449442775"/>
      <w:bookmarkStart w:id="578" w:name="_Toc446578881"/>
      <w:bookmarkStart w:id="579" w:name="_Toc445368596"/>
      <w:bookmarkStart w:id="580" w:name="_Toc442711620"/>
      <w:bookmarkStart w:id="581" w:name="_Toc441671603"/>
      <w:bookmarkStart w:id="582" w:name="_Toc440443796"/>
      <w:bookmarkStart w:id="583" w:name="_Toc438219174"/>
      <w:bookmarkStart w:id="584" w:name="_Toc437264287"/>
      <w:bookmarkStart w:id="585" w:name="_Toc436383069"/>
      <w:bookmarkStart w:id="586" w:name="_Toc434843834"/>
      <w:bookmarkStart w:id="587" w:name="_Toc433358220"/>
      <w:bookmarkStart w:id="588" w:name="_Toc432498840"/>
      <w:bookmarkStart w:id="589" w:name="_Toc429469054"/>
      <w:bookmarkStart w:id="590" w:name="_Toc428372303"/>
      <w:bookmarkStart w:id="591" w:name="_Toc428193356"/>
      <w:bookmarkStart w:id="592" w:name="_Toc424300248"/>
      <w:bookmarkStart w:id="593" w:name="_Toc423078775"/>
      <w:bookmarkStart w:id="594" w:name="_Toc421783562"/>
      <w:bookmarkStart w:id="595" w:name="_Toc420414839"/>
      <w:bookmarkStart w:id="596" w:name="_Toc417984361"/>
      <w:bookmarkStart w:id="597" w:name="_Toc416360078"/>
      <w:bookmarkStart w:id="598" w:name="_Toc414884968"/>
      <w:bookmarkStart w:id="599" w:name="_Toc410904539"/>
      <w:bookmarkStart w:id="600" w:name="_Toc409708236"/>
      <w:bookmarkStart w:id="601" w:name="_Toc408576641"/>
      <w:bookmarkStart w:id="602" w:name="_Toc406508020"/>
      <w:bookmarkStart w:id="603" w:name="_Toc405386782"/>
      <w:bookmarkStart w:id="604" w:name="_Toc404332316"/>
      <w:bookmarkStart w:id="605" w:name="_Toc402967104"/>
      <w:bookmarkStart w:id="606" w:name="_Toc401757924"/>
      <w:bookmarkStart w:id="607" w:name="_Toc400374878"/>
      <w:bookmarkStart w:id="608" w:name="_Toc399160640"/>
      <w:bookmarkStart w:id="609" w:name="_Toc397517657"/>
      <w:bookmarkStart w:id="610" w:name="_Toc396212812"/>
      <w:bookmarkStart w:id="611" w:name="_Toc395100465"/>
      <w:bookmarkStart w:id="612" w:name="_Toc393715490"/>
      <w:bookmarkStart w:id="613" w:name="_Toc393714486"/>
      <w:bookmarkStart w:id="614" w:name="_Toc393713419"/>
      <w:bookmarkStart w:id="615" w:name="_Toc392235888"/>
      <w:bookmarkStart w:id="616" w:name="_Toc391386074"/>
      <w:bookmarkStart w:id="617" w:name="_Toc389730886"/>
      <w:bookmarkStart w:id="618" w:name="_Toc388947562"/>
      <w:bookmarkStart w:id="619" w:name="_Toc388946329"/>
      <w:bookmarkStart w:id="620" w:name="_Toc385496801"/>
      <w:bookmarkStart w:id="621" w:name="_Toc384625709"/>
      <w:bookmarkStart w:id="622" w:name="_Toc383182315"/>
      <w:bookmarkStart w:id="623" w:name="_Toc381784232"/>
      <w:bookmarkStart w:id="624" w:name="_Toc380582899"/>
      <w:bookmarkStart w:id="625" w:name="_Toc379440374"/>
      <w:bookmarkStart w:id="626" w:name="_Toc378322721"/>
      <w:bookmarkStart w:id="627" w:name="_Toc377026500"/>
      <w:bookmarkStart w:id="628" w:name="_Toc374692771"/>
      <w:bookmarkStart w:id="629" w:name="_Toc374692694"/>
      <w:bookmarkStart w:id="630" w:name="_Toc374006640"/>
      <w:bookmarkStart w:id="631" w:name="_Toc373157832"/>
      <w:bookmarkStart w:id="632" w:name="_Toc371588866"/>
      <w:bookmarkStart w:id="633" w:name="_Toc370373498"/>
      <w:bookmarkStart w:id="634" w:name="_Toc369007891"/>
      <w:bookmarkStart w:id="635" w:name="_Toc369007687"/>
      <w:bookmarkStart w:id="636" w:name="_Toc367715553"/>
      <w:bookmarkStart w:id="637" w:name="_Toc366157714"/>
      <w:bookmarkStart w:id="638" w:name="_Toc364672357"/>
      <w:bookmarkStart w:id="639" w:name="_Toc363741408"/>
      <w:bookmarkStart w:id="640" w:name="_Toc361921568"/>
      <w:bookmarkStart w:id="641" w:name="_Toc360696837"/>
      <w:bookmarkStart w:id="642" w:name="_Toc359489437"/>
      <w:bookmarkStart w:id="643" w:name="_Toc358192588"/>
      <w:bookmarkStart w:id="644" w:name="_Toc357001961"/>
      <w:bookmarkStart w:id="645" w:name="_Toc355708878"/>
      <w:bookmarkStart w:id="646" w:name="_Toc354053852"/>
      <w:bookmarkStart w:id="647" w:name="_Toc352940515"/>
      <w:bookmarkStart w:id="648" w:name="_Toc351549910"/>
      <w:bookmarkStart w:id="649" w:name="_Toc350415589"/>
      <w:bookmarkStart w:id="650" w:name="_Toc349288271"/>
      <w:bookmarkStart w:id="651" w:name="_Toc347929610"/>
      <w:bookmarkStart w:id="652" w:name="_Toc346885965"/>
      <w:bookmarkStart w:id="653" w:name="_Toc345579843"/>
      <w:bookmarkStart w:id="654" w:name="_Toc343262688"/>
      <w:bookmarkStart w:id="655" w:name="_Toc342912868"/>
      <w:bookmarkStart w:id="656" w:name="_Toc341451237"/>
      <w:bookmarkStart w:id="657" w:name="_Toc340225539"/>
      <w:bookmarkStart w:id="658" w:name="_Toc338779392"/>
      <w:bookmarkStart w:id="659" w:name="_Toc337110351"/>
      <w:bookmarkStart w:id="660" w:name="_Toc335901525"/>
      <w:bookmarkStart w:id="661" w:name="_Toc334776206"/>
      <w:bookmarkStart w:id="662" w:name="_Toc332272671"/>
      <w:bookmarkStart w:id="663" w:name="_Toc323904393"/>
      <w:bookmarkStart w:id="664" w:name="_Toc323035740"/>
      <w:bookmarkStart w:id="665" w:name="_Toc320536977"/>
      <w:bookmarkStart w:id="666" w:name="_Toc318965020"/>
      <w:bookmarkStart w:id="667" w:name="_Toc316479982"/>
      <w:bookmarkStart w:id="668" w:name="_Toc313973326"/>
      <w:bookmarkStart w:id="669" w:name="_Toc311103661"/>
      <w:bookmarkStart w:id="670" w:name="_Toc308530349"/>
      <w:bookmarkStart w:id="671" w:name="_Toc304892184"/>
      <w:bookmarkStart w:id="672" w:name="_Toc303344266"/>
      <w:bookmarkStart w:id="673" w:name="_Toc301945311"/>
      <w:bookmarkStart w:id="674" w:name="_Toc297804737"/>
      <w:bookmarkStart w:id="675" w:name="_Toc296675486"/>
      <w:bookmarkStart w:id="676" w:name="_Toc295387916"/>
      <w:bookmarkStart w:id="677" w:name="_Toc292704991"/>
      <w:bookmarkStart w:id="678" w:name="_Toc291005407"/>
      <w:bookmarkStart w:id="679" w:name="_Toc288660298"/>
      <w:bookmarkStart w:id="680" w:name="_Toc286218733"/>
      <w:bookmarkStart w:id="681" w:name="_Toc283737222"/>
      <w:bookmarkStart w:id="682" w:name="_Toc282526056"/>
      <w:bookmarkStart w:id="683" w:name="_Toc280349224"/>
      <w:bookmarkStart w:id="684" w:name="_Toc279669168"/>
      <w:bookmarkStart w:id="685" w:name="_Toc276717182"/>
      <w:bookmarkStart w:id="686" w:name="_Toc274223846"/>
      <w:bookmarkStart w:id="687" w:name="_Toc273023372"/>
      <w:bookmarkStart w:id="688" w:name="_Toc271700511"/>
      <w:bookmarkStart w:id="689" w:name="_Toc268774042"/>
      <w:bookmarkStart w:id="690" w:name="_Toc266181257"/>
      <w:bookmarkStart w:id="691" w:name="_Toc265056510"/>
      <w:bookmarkStart w:id="692" w:name="_Toc262631831"/>
      <w:bookmarkStart w:id="693" w:name="_Toc259783160"/>
      <w:bookmarkStart w:id="694" w:name="_Toc253407165"/>
      <w:bookmarkStart w:id="695" w:name="_Toc251059439"/>
      <w:bookmarkStart w:id="696" w:name="_Toc248829285"/>
      <w:bookmarkStart w:id="697" w:name="_Toc8296067"/>
      <w:bookmarkStart w:id="698" w:name="_Toc9580680"/>
      <w:bookmarkStart w:id="699" w:name="_Toc12354368"/>
      <w:bookmarkStart w:id="700" w:name="_Toc13065957"/>
      <w:bookmarkStart w:id="701" w:name="_Toc14769332"/>
      <w:bookmarkStart w:id="702" w:name="_Toc17298854"/>
      <w:bookmarkStart w:id="703" w:name="_Toc18681556"/>
      <w:bookmarkStart w:id="704" w:name="_Toc21528584"/>
      <w:bookmarkStart w:id="705" w:name="_Toc23321871"/>
      <w:bookmarkStart w:id="706" w:name="_Toc24365712"/>
      <w:bookmarkStart w:id="707" w:name="_Toc25746889"/>
      <w:bookmarkStart w:id="708" w:name="_Toc26539918"/>
      <w:bookmarkStart w:id="709" w:name="_Toc27558706"/>
      <w:bookmarkStart w:id="710" w:name="_Toc31986490"/>
      <w:bookmarkStart w:id="711" w:name="_Toc33175456"/>
      <w:bookmarkStart w:id="712" w:name="_Toc38455869"/>
      <w:bookmarkStart w:id="713" w:name="_Toc40787346"/>
      <w:bookmarkStart w:id="714" w:name="_Toc46322978"/>
      <w:bookmarkStart w:id="715" w:name="_Toc49438646"/>
      <w:bookmarkStart w:id="716" w:name="_Toc51669585"/>
      <w:bookmarkStart w:id="717" w:name="_Toc52889726"/>
      <w:bookmarkStart w:id="718" w:name="_Toc57030869"/>
      <w:bookmarkStart w:id="719" w:name="_Toc67918827"/>
      <w:bookmarkStart w:id="720" w:name="_Toc70410772"/>
      <w:bookmarkStart w:id="721" w:name="_Toc74064888"/>
      <w:bookmarkStart w:id="722" w:name="_Toc78207946"/>
      <w:bookmarkStart w:id="723" w:name="_Toc97889188"/>
      <w:bookmarkStart w:id="724" w:name="_Toc103001300"/>
      <w:bookmarkStart w:id="725" w:name="_Toc108423199"/>
      <w:bookmarkStart w:id="726" w:name="_Toc125536230"/>
      <w:r w:rsidRPr="00721B3F">
        <w:lastRenderedPageBreak/>
        <w:t>Approbation de Recommandations UIT-T</w:t>
      </w:r>
    </w:p>
    <w:p w14:paraId="7156CA44" w14:textId="6D6A5BBD" w:rsidR="002F6CDD" w:rsidRPr="00B17B3C" w:rsidRDefault="002F6CDD" w:rsidP="006D3AAC">
      <w:pPr>
        <w:spacing w:before="240"/>
        <w:rPr>
          <w:lang w:val="fr-CH"/>
        </w:rPr>
      </w:pPr>
      <w:r w:rsidRPr="00B17B3C">
        <w:rPr>
          <w:lang w:val="fr-CH"/>
        </w:rPr>
        <w:t>Par AAP-3</w:t>
      </w:r>
      <w:r w:rsidR="006D3AAC">
        <w:rPr>
          <w:lang w:val="fr-CH"/>
        </w:rPr>
        <w:t>4</w:t>
      </w:r>
      <w:r w:rsidRPr="00B17B3C">
        <w:rPr>
          <w:lang w:val="fr-CH"/>
        </w:rPr>
        <w:t>, il a été annoncé l’approbation des Recommandations UIT-T suivantes, conformément à la procédure définie dans la Recommandation UIT-T A.8:</w:t>
      </w:r>
    </w:p>
    <w:p w14:paraId="2327FBEE" w14:textId="644910E6" w:rsidR="006D3AAC" w:rsidRPr="001F1888" w:rsidRDefault="006D3AAC" w:rsidP="006D3AAC">
      <w:pPr>
        <w:jc w:val="left"/>
        <w:rPr>
          <w:rFonts w:cs="Arial"/>
          <w:iCs/>
          <w:lang w:val="fr-CH"/>
        </w:rPr>
      </w:pPr>
      <w:r w:rsidRPr="001F1888">
        <w:rPr>
          <w:rFonts w:cs="Arial"/>
          <w:iCs/>
          <w:lang w:val="fr-CH"/>
        </w:rPr>
        <w:t>–</w:t>
      </w:r>
      <w:r>
        <w:rPr>
          <w:rFonts w:cs="Arial"/>
          <w:iCs/>
          <w:lang w:val="fr-CH"/>
        </w:rPr>
        <w:tab/>
      </w:r>
      <w:r w:rsidRPr="001F1888">
        <w:rPr>
          <w:rFonts w:cs="Arial"/>
          <w:iCs/>
          <w:lang w:val="fr-CH"/>
        </w:rPr>
        <w:t>ITU-T L.1023 (08/2023</w:t>
      </w:r>
      <w:proofErr w:type="gramStart"/>
      <w:r w:rsidRPr="001F1888">
        <w:rPr>
          <w:rFonts w:cs="Arial"/>
          <w:iCs/>
          <w:lang w:val="fr-CH"/>
        </w:rPr>
        <w:t>):</w:t>
      </w:r>
      <w:proofErr w:type="gramEnd"/>
      <w:r w:rsidRPr="001F1888">
        <w:rPr>
          <w:rFonts w:cs="Arial"/>
          <w:iCs/>
          <w:lang w:val="fr-CH"/>
        </w:rPr>
        <w:t xml:space="preserve"> Méthode d'évaluation pour les notations dans l'économie circulaire</w:t>
      </w:r>
    </w:p>
    <w:p w14:paraId="4FF88BBD" w14:textId="5EF72D1B" w:rsidR="006D3AAC" w:rsidRPr="001F1888" w:rsidRDefault="006D3AAC" w:rsidP="006D3AAC">
      <w:pPr>
        <w:jc w:val="left"/>
        <w:rPr>
          <w:rFonts w:cs="Arial"/>
          <w:iCs/>
          <w:lang w:val="fr-CH"/>
        </w:rPr>
      </w:pPr>
      <w:r w:rsidRPr="001F1888">
        <w:rPr>
          <w:rFonts w:cs="Arial"/>
          <w:iCs/>
          <w:lang w:val="fr-CH"/>
        </w:rPr>
        <w:t>–</w:t>
      </w:r>
      <w:r>
        <w:rPr>
          <w:rFonts w:cs="Arial"/>
          <w:iCs/>
          <w:lang w:val="fr-CH"/>
        </w:rPr>
        <w:tab/>
      </w:r>
      <w:r w:rsidRPr="001F1888">
        <w:rPr>
          <w:rFonts w:cs="Arial"/>
          <w:iCs/>
          <w:lang w:val="fr-CH"/>
        </w:rPr>
        <w:t>ITU-T L.1027 (08/2023</w:t>
      </w:r>
      <w:proofErr w:type="gramStart"/>
      <w:r w:rsidRPr="001F1888">
        <w:rPr>
          <w:rFonts w:cs="Arial"/>
          <w:iCs/>
          <w:lang w:val="fr-CH"/>
        </w:rPr>
        <w:t>):</w:t>
      </w:r>
      <w:proofErr w:type="gramEnd"/>
      <w:r w:rsidRPr="001F1888">
        <w:rPr>
          <w:rFonts w:cs="Arial"/>
          <w:iCs/>
          <w:lang w:val="fr-CH"/>
        </w:rPr>
        <w:t xml:space="preserve"> </w:t>
      </w:r>
      <w:r w:rsidRPr="000D4C60">
        <w:rPr>
          <w:rFonts w:cs="Arial"/>
          <w:i/>
          <w:iCs/>
          <w:lang w:val="fr-CH"/>
        </w:rPr>
        <w:t>Traduction non disponible – Nouveau texte</w:t>
      </w:r>
    </w:p>
    <w:p w14:paraId="0D15A6EF" w14:textId="595D855C" w:rsidR="006D3AAC" w:rsidRPr="001F1888" w:rsidRDefault="006D3AAC" w:rsidP="006D3AAC">
      <w:pPr>
        <w:jc w:val="left"/>
        <w:rPr>
          <w:rFonts w:cs="Arial"/>
          <w:iCs/>
          <w:lang w:val="fr-CH"/>
        </w:rPr>
      </w:pPr>
      <w:r w:rsidRPr="001F1888">
        <w:rPr>
          <w:rFonts w:cs="Arial"/>
          <w:iCs/>
          <w:lang w:val="fr-CH"/>
        </w:rPr>
        <w:t>–</w:t>
      </w:r>
      <w:r>
        <w:rPr>
          <w:rFonts w:cs="Arial"/>
          <w:iCs/>
          <w:lang w:val="fr-CH"/>
        </w:rPr>
        <w:tab/>
      </w:r>
      <w:r w:rsidRPr="001F1888">
        <w:rPr>
          <w:rFonts w:cs="Arial"/>
          <w:iCs/>
          <w:lang w:val="fr-CH"/>
        </w:rPr>
        <w:t>ITU-T L.1326 (08/2023</w:t>
      </w:r>
      <w:proofErr w:type="gramStart"/>
      <w:r w:rsidRPr="001F1888">
        <w:rPr>
          <w:rFonts w:cs="Arial"/>
          <w:iCs/>
          <w:lang w:val="fr-CH"/>
        </w:rPr>
        <w:t>):</w:t>
      </w:r>
      <w:proofErr w:type="gramEnd"/>
      <w:r w:rsidRPr="001F1888">
        <w:rPr>
          <w:rFonts w:cs="Arial"/>
          <w:iCs/>
          <w:lang w:val="fr-CH"/>
        </w:rPr>
        <w:t xml:space="preserve"> </w:t>
      </w:r>
      <w:r w:rsidRPr="000D4C60">
        <w:rPr>
          <w:rFonts w:cs="Arial"/>
          <w:i/>
          <w:iCs/>
          <w:lang w:val="fr-CH"/>
        </w:rPr>
        <w:t>Traduction non disponible – Nouveau texte</w:t>
      </w:r>
    </w:p>
    <w:p w14:paraId="12B1C710" w14:textId="4933D500" w:rsidR="006D3AAC" w:rsidRDefault="006D3AAC" w:rsidP="006D3AAC">
      <w:pPr>
        <w:ind w:left="567" w:hanging="567"/>
        <w:jc w:val="left"/>
        <w:rPr>
          <w:rFonts w:cs="Arial"/>
          <w:iCs/>
          <w:lang w:val="fr-CH"/>
        </w:rPr>
      </w:pPr>
      <w:r w:rsidRPr="001F1888">
        <w:rPr>
          <w:rFonts w:cs="Arial"/>
          <w:iCs/>
          <w:lang w:val="fr-CH"/>
        </w:rPr>
        <w:t>–</w:t>
      </w:r>
      <w:r>
        <w:rPr>
          <w:rFonts w:cs="Arial"/>
          <w:iCs/>
          <w:lang w:val="fr-CH"/>
        </w:rPr>
        <w:tab/>
      </w:r>
      <w:r w:rsidRPr="001F1888">
        <w:rPr>
          <w:rFonts w:cs="Arial"/>
          <w:iCs/>
          <w:lang w:val="fr-CH"/>
        </w:rPr>
        <w:t>ITU-T L.1471 (08/2023</w:t>
      </w:r>
      <w:proofErr w:type="gramStart"/>
      <w:r w:rsidRPr="001F1888">
        <w:rPr>
          <w:rFonts w:cs="Arial"/>
          <w:iCs/>
          <w:lang w:val="fr-CH"/>
        </w:rPr>
        <w:t>):</w:t>
      </w:r>
      <w:proofErr w:type="gramEnd"/>
      <w:r w:rsidRPr="001F1888">
        <w:rPr>
          <w:rFonts w:cs="Arial"/>
          <w:iCs/>
          <w:lang w:val="fr-CH"/>
        </w:rPr>
        <w:t xml:space="preserve"> Orientations et critères à l'intention des organisations s'occupant de technologies de l'information et de la communication pour l'établissement de cibles et de stratégies en matière de neutralité carbone</w:t>
      </w:r>
    </w:p>
    <w:p w14:paraId="57629A72" w14:textId="77777777" w:rsidR="00013A2D" w:rsidRPr="00013A2D" w:rsidRDefault="00013A2D" w:rsidP="00013A2D">
      <w:pPr>
        <w:spacing w:before="240"/>
        <w:jc w:val="left"/>
        <w:rPr>
          <w:lang w:val="fr-FR"/>
        </w:rPr>
      </w:pPr>
      <w:r w:rsidRPr="00013A2D">
        <w:rPr>
          <w:lang w:val="fr-FR"/>
        </w:rPr>
        <w:t xml:space="preserve">Par la </w:t>
      </w:r>
      <w:r w:rsidRPr="00013A2D">
        <w:rPr>
          <w:lang w:val="fr-CH"/>
        </w:rPr>
        <w:t>Circulaire</w:t>
      </w:r>
      <w:r w:rsidRPr="00013A2D">
        <w:rPr>
          <w:lang w:val="fr-FR"/>
        </w:rPr>
        <w:t xml:space="preserve"> TSB 127 du </w:t>
      </w:r>
      <w:r w:rsidRPr="00013A2D">
        <w:t>1er août</w:t>
      </w:r>
      <w:r w:rsidRPr="00013A2D">
        <w:rPr>
          <w:lang w:val="fr-FR"/>
        </w:rPr>
        <w:t xml:space="preserve"> 2023, il a été annoncé </w:t>
      </w:r>
      <w:r w:rsidRPr="00013A2D">
        <w:rPr>
          <w:rFonts w:cs="Arial"/>
          <w:iCs/>
          <w:lang w:val="fr-CH"/>
        </w:rPr>
        <w:t>l’approbation</w:t>
      </w:r>
      <w:r w:rsidRPr="00013A2D">
        <w:rPr>
          <w:lang w:val="fr-FR"/>
        </w:rPr>
        <w:t xml:space="preserve"> des Recommandations UIT-T suivantes, conformément à la procédure définie dans la Résolution 1 :</w:t>
      </w:r>
    </w:p>
    <w:p w14:paraId="7CCBFAE0" w14:textId="4D423C66" w:rsidR="00013A2D" w:rsidRPr="00013A2D" w:rsidRDefault="00013A2D" w:rsidP="00013A2D">
      <w:pPr>
        <w:spacing w:after="120"/>
        <w:ind w:left="567" w:hanging="567"/>
        <w:jc w:val="left"/>
      </w:pPr>
      <w:r w:rsidRPr="00013A2D">
        <w:t xml:space="preserve">– </w:t>
      </w:r>
      <w:r w:rsidRPr="00013A2D">
        <w:tab/>
      </w:r>
      <w:r w:rsidRPr="00013A2D">
        <w:t xml:space="preserve">ITU-T F.749.16 </w:t>
      </w:r>
      <w:r w:rsidRPr="00013A2D">
        <w:rPr>
          <w:rFonts w:asciiTheme="minorHAnsi" w:hAnsiTheme="minorHAnsi" w:cstheme="minorHAnsi"/>
        </w:rPr>
        <w:t>(07/2023)</w:t>
      </w:r>
      <w:r w:rsidRPr="00013A2D">
        <w:t>:</w:t>
      </w:r>
      <w:r w:rsidRPr="00013A2D">
        <w:rPr>
          <w:rFonts w:asciiTheme="minorHAnsi" w:hAnsiTheme="minorHAnsi" w:cstheme="minorHAnsi"/>
        </w:rPr>
        <w:t xml:space="preserve"> </w:t>
      </w:r>
      <w:r w:rsidRPr="00013A2D">
        <w:t>Exigences relatives à la livraison logistique exprès fondée sur les aéronefs sans pilote civils</w:t>
      </w:r>
    </w:p>
    <w:p w14:paraId="3864600E" w14:textId="531718D0" w:rsidR="00013A2D" w:rsidRPr="00013A2D" w:rsidRDefault="00013A2D" w:rsidP="00013A2D">
      <w:pPr>
        <w:spacing w:after="120"/>
        <w:jc w:val="left"/>
        <w:rPr>
          <w:rFonts w:asciiTheme="minorHAnsi" w:hAnsiTheme="minorHAnsi" w:cstheme="minorHAnsi"/>
        </w:rPr>
      </w:pPr>
      <w:r w:rsidRPr="00013A2D">
        <w:t xml:space="preserve">– </w:t>
      </w:r>
      <w:r w:rsidRPr="00013A2D">
        <w:tab/>
      </w:r>
      <w:r w:rsidRPr="00013A2D">
        <w:t xml:space="preserve">ITU-T F.751.8 </w:t>
      </w:r>
      <w:r w:rsidRPr="00013A2D">
        <w:rPr>
          <w:rFonts w:asciiTheme="minorHAnsi" w:hAnsiTheme="minorHAnsi" w:cstheme="minorHAnsi"/>
        </w:rPr>
        <w:t>(07/2023)</w:t>
      </w:r>
      <w:r w:rsidRPr="00013A2D">
        <w:t>: Cadre technique nécessaire pour que la technologie DLT s'adapte à la réglementation</w:t>
      </w:r>
    </w:p>
    <w:p w14:paraId="728F3639" w14:textId="4175985A" w:rsidR="00F36F29" w:rsidRPr="00F36F29" w:rsidRDefault="00F36F29" w:rsidP="00F36F29">
      <w:pPr>
        <w:tabs>
          <w:tab w:val="left" w:pos="720"/>
        </w:tabs>
        <w:overflowPunct/>
        <w:autoSpaceDE/>
        <w:adjustRightInd/>
        <w:ind w:left="567" w:hanging="567"/>
        <w:jc w:val="left"/>
        <w:rPr>
          <w:rFonts w:cs="Arial"/>
          <w:noProof/>
        </w:rPr>
      </w:pPr>
    </w:p>
    <w:p w14:paraId="517E81DC" w14:textId="20462BB4" w:rsidR="006D3AAC" w:rsidRDefault="006D3AAC" w:rsidP="006D3AAC">
      <w:pPr>
        <w:rPr>
          <w:lang w:val="fr-FR"/>
        </w:rPr>
      </w:pPr>
    </w:p>
    <w:p w14:paraId="3F074906" w14:textId="77777777" w:rsidR="00F36F29" w:rsidRDefault="00F36F29" w:rsidP="006D3AAC">
      <w:pPr>
        <w:rPr>
          <w:lang w:val="fr-FR"/>
        </w:rPr>
      </w:pPr>
    </w:p>
    <w:p w14:paraId="60BA3125" w14:textId="77777777" w:rsidR="006D3AAC" w:rsidRDefault="006D3AAC" w:rsidP="006D3AAC">
      <w:pPr>
        <w:rPr>
          <w:rFonts w:asciiTheme="minorHAnsi" w:hAnsiTheme="minorHAnsi"/>
          <w:lang w:val="fr-FR"/>
        </w:rPr>
      </w:pPr>
    </w:p>
    <w:p w14:paraId="577B34B8" w14:textId="1C1BE8CE" w:rsidR="006D3AAC" w:rsidRPr="00F9412C" w:rsidRDefault="006D3AAC" w:rsidP="006C3F77">
      <w:pPr>
        <w:pStyle w:val="Heading2"/>
        <w:spacing w:before="0" w:after="0"/>
        <w:rPr>
          <w:lang w:val="fr-CH"/>
        </w:rPr>
      </w:pPr>
      <w:r w:rsidRPr="00586F85">
        <w:rPr>
          <w:lang w:val="fr-CH"/>
        </w:rPr>
        <w:t>Plan d’identification international pour les réseaux publics</w:t>
      </w:r>
      <w:r>
        <w:rPr>
          <w:lang w:val="fr-CH"/>
        </w:rPr>
        <w:br/>
      </w:r>
      <w:r w:rsidRPr="00586F85">
        <w:rPr>
          <w:lang w:val="fr-CH"/>
        </w:rPr>
        <w:t>et les abonnements</w:t>
      </w:r>
      <w:r>
        <w:rPr>
          <w:lang w:val="fr-CH"/>
        </w:rPr>
        <w:t xml:space="preserve"> </w:t>
      </w:r>
      <w:r>
        <w:rPr>
          <w:lang w:val="fr-CH"/>
        </w:rPr>
        <w:br/>
      </w:r>
      <w:r w:rsidRPr="00586F85">
        <w:rPr>
          <w:lang w:val="fr-CH"/>
        </w:rPr>
        <w:t>(Recommandation UIT-T E.212 (09/2016))</w:t>
      </w:r>
    </w:p>
    <w:p w14:paraId="2CA26909" w14:textId="77777777" w:rsidR="006D3AAC" w:rsidRPr="00DE56DD" w:rsidRDefault="006D3AAC" w:rsidP="00A93694">
      <w:pPr>
        <w:spacing w:before="360"/>
        <w:rPr>
          <w:lang w:val="fr-FR"/>
        </w:rPr>
      </w:pPr>
      <w:r w:rsidRPr="00DE56DD">
        <w:rPr>
          <w:rFonts w:asciiTheme="minorHAnsi" w:hAnsiTheme="minorHAnsi"/>
          <w:b/>
          <w:lang w:val="fr-FR"/>
        </w:rPr>
        <w:t>Note du TSB</w:t>
      </w:r>
    </w:p>
    <w:p w14:paraId="6DA45136" w14:textId="77777777" w:rsidR="006D3AAC" w:rsidRPr="00DE56DD" w:rsidRDefault="006D3AAC" w:rsidP="00A20DBF">
      <w:pPr>
        <w:jc w:val="center"/>
        <w:rPr>
          <w:i/>
          <w:iCs/>
          <w:lang w:val="fr-FR"/>
        </w:rPr>
      </w:pPr>
      <w:r w:rsidRPr="00DE56DD">
        <w:rPr>
          <w:i/>
          <w:iCs/>
          <w:lang w:val="fr-FR"/>
        </w:rPr>
        <w:t>Codes d'identification pour les réseaux mobiles internationaux</w:t>
      </w:r>
    </w:p>
    <w:p w14:paraId="53CC87BE" w14:textId="445D0253" w:rsidR="006D3AAC" w:rsidRDefault="006D3AAC" w:rsidP="006D3AAC">
      <w:pPr>
        <w:spacing w:before="240"/>
        <w:rPr>
          <w:lang w:val="fr-FR"/>
        </w:rPr>
      </w:pPr>
      <w:r w:rsidRPr="00F400A7">
        <w:rPr>
          <w:lang w:val="fr-FR"/>
        </w:rPr>
        <w:t xml:space="preserve">Associés </w:t>
      </w:r>
      <w:r w:rsidRPr="00DE56DD">
        <w:rPr>
          <w:lang w:val="fr-FR"/>
        </w:rPr>
        <w:t>à l'indicatif de pays du mobile (MCC) 901 attribué en partage, le</w:t>
      </w:r>
      <w:r>
        <w:rPr>
          <w:lang w:val="fr-FR"/>
        </w:rPr>
        <w:t>s</w:t>
      </w:r>
      <w:r w:rsidRPr="00DE56DD">
        <w:rPr>
          <w:lang w:val="fr-FR"/>
        </w:rPr>
        <w:t xml:space="preserve"> code</w:t>
      </w:r>
      <w:r>
        <w:rPr>
          <w:lang w:val="fr-FR"/>
        </w:rPr>
        <w:t>s</w:t>
      </w:r>
      <w:r w:rsidRPr="00DE56DD">
        <w:rPr>
          <w:lang w:val="fr-FR"/>
        </w:rPr>
        <w:t xml:space="preserve"> de réseau mobile (MNC) à deux chiffres ci-après </w:t>
      </w:r>
      <w:r>
        <w:rPr>
          <w:lang w:val="fr-FR"/>
        </w:rPr>
        <w:t>ont</w:t>
      </w:r>
      <w:r w:rsidRPr="00DE56DD">
        <w:rPr>
          <w:lang w:val="fr-FR"/>
        </w:rPr>
        <w:t xml:space="preserve"> été </w:t>
      </w:r>
      <w:r w:rsidRPr="004C72FA">
        <w:rPr>
          <w:b/>
          <w:lang w:val="fr-FR"/>
        </w:rPr>
        <w:t>attribués</w:t>
      </w:r>
      <w:r w:rsidRPr="00DE56DD">
        <w:rPr>
          <w:lang w:val="fr-FR"/>
        </w:rPr>
        <w:t>.</w:t>
      </w:r>
    </w:p>
    <w:p w14:paraId="68805911" w14:textId="77777777" w:rsidR="006D3AAC" w:rsidRPr="00A10FB4" w:rsidRDefault="006D3AAC" w:rsidP="0044386D">
      <w:pPr>
        <w:rPr>
          <w:sz w:val="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6"/>
        <w:gridCol w:w="3502"/>
        <w:gridCol w:w="2425"/>
      </w:tblGrid>
      <w:tr w:rsidR="006D3AAC" w:rsidRPr="00927281" w14:paraId="50CF0382" w14:textId="77777777" w:rsidTr="006D3AAC">
        <w:trPr>
          <w:tblHeader/>
          <w:jc w:val="center"/>
        </w:trPr>
        <w:tc>
          <w:tcPr>
            <w:tcW w:w="3539" w:type="dxa"/>
            <w:vAlign w:val="center"/>
          </w:tcPr>
          <w:p w14:paraId="1EE5C13C" w14:textId="77777777" w:rsidR="006D3AAC" w:rsidRPr="00311CAE" w:rsidRDefault="006D3AAC" w:rsidP="0029658F">
            <w:pPr>
              <w:pStyle w:val="Tablehead0"/>
              <w:rPr>
                <w:sz w:val="20"/>
              </w:rPr>
            </w:pPr>
            <w:r w:rsidRPr="00311CAE">
              <w:rPr>
                <w:rFonts w:asciiTheme="minorHAnsi" w:hAnsiTheme="minorHAnsi"/>
                <w:sz w:val="20"/>
              </w:rPr>
              <w:t>Réseau</w:t>
            </w:r>
          </w:p>
        </w:tc>
        <w:tc>
          <w:tcPr>
            <w:tcW w:w="3353" w:type="dxa"/>
            <w:vAlign w:val="center"/>
          </w:tcPr>
          <w:p w14:paraId="6F32EF63" w14:textId="77777777" w:rsidR="006D3AAC" w:rsidRPr="00311CAE" w:rsidRDefault="006D3AAC" w:rsidP="0029658F">
            <w:pPr>
              <w:pStyle w:val="Tablehead0"/>
              <w:rPr>
                <w:sz w:val="20"/>
              </w:rPr>
            </w:pPr>
            <w:r w:rsidRPr="00311CAE">
              <w:rPr>
                <w:rFonts w:asciiTheme="minorHAnsi" w:hAnsiTheme="minorHAnsi"/>
                <w:sz w:val="20"/>
              </w:rPr>
              <w:t xml:space="preserve">Indicatif de pays du mobile (MCC) et </w:t>
            </w:r>
            <w:r w:rsidRPr="00311CAE">
              <w:rPr>
                <w:rFonts w:asciiTheme="minorHAnsi" w:hAnsiTheme="minorHAnsi"/>
                <w:sz w:val="20"/>
              </w:rPr>
              <w:br/>
              <w:t>code de réseau mobile (MNC)</w:t>
            </w:r>
          </w:p>
        </w:tc>
        <w:tc>
          <w:tcPr>
            <w:tcW w:w="2322" w:type="dxa"/>
            <w:vAlign w:val="center"/>
          </w:tcPr>
          <w:p w14:paraId="1016ABF1" w14:textId="77777777" w:rsidR="006D3AAC" w:rsidRPr="00311CAE" w:rsidRDefault="006D3AAC" w:rsidP="0029658F">
            <w:pPr>
              <w:pStyle w:val="Tablehead0"/>
              <w:rPr>
                <w:sz w:val="20"/>
                <w:lang w:val="en-US"/>
              </w:rPr>
            </w:pPr>
            <w:r w:rsidRPr="00311CAE">
              <w:rPr>
                <w:rFonts w:asciiTheme="minorHAnsi" w:hAnsiTheme="minorHAnsi" w:cs="Arial"/>
                <w:iCs/>
                <w:sz w:val="20"/>
              </w:rPr>
              <w:t>Date d’attribution</w:t>
            </w:r>
          </w:p>
        </w:tc>
      </w:tr>
      <w:tr w:rsidR="006D3AAC" w:rsidRPr="00285C8B" w14:paraId="4393D15A" w14:textId="77777777" w:rsidTr="006D3AAC">
        <w:trPr>
          <w:jc w:val="center"/>
        </w:trPr>
        <w:tc>
          <w:tcPr>
            <w:tcW w:w="3539" w:type="dxa"/>
            <w:textDirection w:val="lrTbV"/>
          </w:tcPr>
          <w:p w14:paraId="30C66C97" w14:textId="77777777" w:rsidR="006D3AAC" w:rsidRPr="00325188" w:rsidRDefault="006D3AAC" w:rsidP="006D3AAC">
            <w:pPr>
              <w:pStyle w:val="Tabletext0"/>
              <w:tabs>
                <w:tab w:val="clear" w:pos="1276"/>
                <w:tab w:val="clear" w:pos="1843"/>
                <w:tab w:val="left" w:pos="1185"/>
              </w:tabs>
              <w:spacing w:before="240" w:after="240"/>
              <w:rPr>
                <w:sz w:val="20"/>
                <w:szCs w:val="20"/>
              </w:rPr>
            </w:pPr>
            <w:r w:rsidRPr="008A6F8A">
              <w:rPr>
                <w:rFonts w:eastAsia="Calibri"/>
                <w:color w:val="000000"/>
                <w:sz w:val="20"/>
                <w:szCs w:val="20"/>
              </w:rPr>
              <w:t>GlobalmatiX AG</w:t>
            </w:r>
          </w:p>
        </w:tc>
        <w:tc>
          <w:tcPr>
            <w:tcW w:w="3353" w:type="dxa"/>
            <w:textDirection w:val="lrTbV"/>
          </w:tcPr>
          <w:p w14:paraId="4740B8F1" w14:textId="77777777" w:rsidR="006D3AAC" w:rsidRDefault="006D3AAC" w:rsidP="006D3AAC">
            <w:pPr>
              <w:pStyle w:val="Tabletext0"/>
              <w:spacing w:before="240" w:after="240"/>
              <w:jc w:val="center"/>
              <w:rPr>
                <w:sz w:val="20"/>
                <w:szCs w:val="20"/>
              </w:rPr>
            </w:pPr>
            <w:r>
              <w:rPr>
                <w:sz w:val="20"/>
                <w:szCs w:val="20"/>
              </w:rPr>
              <w:t>901 02</w:t>
            </w:r>
          </w:p>
        </w:tc>
        <w:tc>
          <w:tcPr>
            <w:tcW w:w="2322" w:type="dxa"/>
            <w:textDirection w:val="lrTbV"/>
          </w:tcPr>
          <w:p w14:paraId="1903D875" w14:textId="77777777" w:rsidR="006D3AAC" w:rsidRDefault="006D3AAC" w:rsidP="006D3AAC">
            <w:pPr>
              <w:pStyle w:val="Tabletext0"/>
              <w:spacing w:before="240" w:after="240"/>
              <w:jc w:val="center"/>
              <w:rPr>
                <w:sz w:val="20"/>
                <w:szCs w:val="20"/>
              </w:rPr>
            </w:pPr>
            <w:r>
              <w:rPr>
                <w:sz w:val="20"/>
                <w:szCs w:val="20"/>
              </w:rPr>
              <w:t>10.VIII</w:t>
            </w:r>
            <w:r w:rsidRPr="00F3186B">
              <w:rPr>
                <w:sz w:val="20"/>
                <w:szCs w:val="20"/>
              </w:rPr>
              <w:t>.2023</w:t>
            </w:r>
          </w:p>
        </w:tc>
      </w:tr>
    </w:tbl>
    <w:p w14:paraId="18D3432A" w14:textId="77777777" w:rsidR="006D3AAC" w:rsidRDefault="006D3AAC" w:rsidP="006D3AAC"/>
    <w:p w14:paraId="68255D47" w14:textId="77777777" w:rsidR="006D3AAC" w:rsidRDefault="006D3AAC" w:rsidP="006D3AAC">
      <w:pPr>
        <w:rPr>
          <w:rFonts w:asciiTheme="minorHAnsi" w:hAnsiTheme="minorHAnsi"/>
          <w:lang w:val="fr-FR"/>
        </w:rPr>
      </w:pPr>
    </w:p>
    <w:p w14:paraId="02E69B6B" w14:textId="051A9727" w:rsidR="00BD7760" w:rsidRDefault="00BD776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Pr>
          <w:rFonts w:asciiTheme="minorHAnsi" w:hAnsiTheme="minorHAnsi"/>
          <w:lang w:val="fr-FR"/>
        </w:rPr>
        <w:br w:type="page"/>
      </w:r>
    </w:p>
    <w:p w14:paraId="7A420B18" w14:textId="77777777" w:rsidR="009C78FE" w:rsidRPr="00BB55F6" w:rsidRDefault="009C78FE" w:rsidP="009C78FE">
      <w:pPr>
        <w:tabs>
          <w:tab w:val="left" w:pos="6"/>
          <w:tab w:val="left" w:pos="146"/>
          <w:tab w:val="left" w:pos="8432"/>
          <w:tab w:val="left" w:pos="8444"/>
        </w:tabs>
        <w:overflowPunct/>
        <w:autoSpaceDE/>
        <w:autoSpaceDN/>
        <w:adjustRightInd/>
        <w:spacing w:before="0"/>
        <w:jc w:val="left"/>
        <w:textAlignment w:val="auto"/>
        <w:rPr>
          <w:rFonts w:ascii="Times New Roman" w:hAnsi="Times New Roman"/>
          <w:sz w:val="2"/>
          <w:lang w:val="fr-FR"/>
        </w:rPr>
      </w:pPr>
    </w:p>
    <w:p w14:paraId="52B09D04" w14:textId="77777777" w:rsidR="009C78FE" w:rsidRPr="00BB55F6" w:rsidRDefault="009C78FE" w:rsidP="009C78FE">
      <w:pPr>
        <w:pStyle w:val="Heading20"/>
      </w:pPr>
      <w:bookmarkStart w:id="727" w:name="_Toc140583967"/>
      <w:r w:rsidRPr="00BB55F6">
        <w:t>Service téléphonique</w:t>
      </w:r>
      <w:r w:rsidRPr="00BB55F6">
        <w:br/>
        <w:t>(Recommandation UIT-T E.164)</w:t>
      </w:r>
      <w:bookmarkEnd w:id="727"/>
    </w:p>
    <w:p w14:paraId="5C8481B0" w14:textId="77777777" w:rsidR="009C78FE" w:rsidRPr="00BB55F6" w:rsidRDefault="009C78FE" w:rsidP="009C78FE">
      <w:pPr>
        <w:tabs>
          <w:tab w:val="left" w:pos="720"/>
        </w:tabs>
        <w:overflowPunct/>
        <w:autoSpaceDE/>
        <w:adjustRightInd/>
        <w:jc w:val="center"/>
        <w:rPr>
          <w:sz w:val="18"/>
          <w:szCs w:val="18"/>
          <w:lang w:val="fr-FR"/>
        </w:rPr>
      </w:pPr>
      <w:proofErr w:type="gramStart"/>
      <w:r w:rsidRPr="00BB55F6">
        <w:rPr>
          <w:lang w:val="fr-FR"/>
        </w:rPr>
        <w:t>URL:</w:t>
      </w:r>
      <w:proofErr w:type="gramEnd"/>
      <w:r w:rsidRPr="00BB55F6">
        <w:rPr>
          <w:lang w:val="fr-FR"/>
        </w:rPr>
        <w:t xml:space="preserve"> www.itu.int/itu-t/inr/nmp</w:t>
      </w:r>
    </w:p>
    <w:p w14:paraId="13D39760" w14:textId="77777777" w:rsidR="00C32429" w:rsidRPr="00FB0DA7" w:rsidRDefault="00C32429" w:rsidP="00C32429">
      <w:pPr>
        <w:pStyle w:val="country0"/>
        <w:rPr>
          <w:sz w:val="18"/>
          <w:szCs w:val="18"/>
        </w:rPr>
      </w:pPr>
      <w:r w:rsidRPr="00FB0DA7">
        <w:t>Iridium Satellite LLC (indicatifs de pays +881 6 et +881 7)</w:t>
      </w:r>
    </w:p>
    <w:p w14:paraId="3762E80F" w14:textId="77777777" w:rsidR="00C32429" w:rsidRPr="00FB0DA7" w:rsidRDefault="00C32429" w:rsidP="00C32429">
      <w:pPr>
        <w:tabs>
          <w:tab w:val="left" w:pos="1560"/>
          <w:tab w:val="left" w:pos="2127"/>
        </w:tabs>
        <w:outlineLvl w:val="4"/>
        <w:rPr>
          <w:rFonts w:cs="Arial"/>
          <w:sz w:val="18"/>
          <w:szCs w:val="18"/>
          <w:lang w:val="fr-FR"/>
        </w:rPr>
      </w:pPr>
      <w:r w:rsidRPr="00FB0DA7">
        <w:rPr>
          <w:lang w:val="fr-FR"/>
        </w:rPr>
        <w:t>Communication du 15.VIII.2023:</w:t>
      </w:r>
    </w:p>
    <w:p w14:paraId="686D6B67" w14:textId="77777777" w:rsidR="00C32429" w:rsidRPr="00FB0DA7" w:rsidRDefault="00C32429" w:rsidP="00C32429">
      <w:pPr>
        <w:rPr>
          <w:sz w:val="18"/>
          <w:szCs w:val="18"/>
          <w:lang w:val="fr-FR"/>
        </w:rPr>
      </w:pPr>
      <w:r w:rsidRPr="00FB0DA7">
        <w:rPr>
          <w:i/>
          <w:iCs/>
          <w:lang w:val="fr-FR"/>
        </w:rPr>
        <w:t>Iridium Satellite LLC</w:t>
      </w:r>
      <w:r w:rsidRPr="00FB0DA7">
        <w:rPr>
          <w:lang w:val="fr-FR"/>
        </w:rPr>
        <w:t xml:space="preserve"> communique l'information suivante concernant le plan de numérotage et la procédure de numérotation </w:t>
      </w:r>
      <w:proofErr w:type="gramStart"/>
      <w:r w:rsidRPr="00FB0DA7">
        <w:rPr>
          <w:lang w:val="fr-FR"/>
        </w:rPr>
        <w:t>d'Iridium:</w:t>
      </w:r>
      <w:proofErr w:type="gramEnd"/>
    </w:p>
    <w:p w14:paraId="48BE3418" w14:textId="77777777" w:rsidR="00C32429" w:rsidRPr="00FB0DA7" w:rsidRDefault="00C32429" w:rsidP="00C32429">
      <w:pPr>
        <w:rPr>
          <w:sz w:val="18"/>
          <w:szCs w:val="18"/>
          <w:lang w:val="fr-FR"/>
        </w:rPr>
      </w:pPr>
      <w:r w:rsidRPr="00FB0DA7">
        <w:rPr>
          <w:lang w:val="fr-FR"/>
        </w:rPr>
        <w:t>Dans le cadre des procédures de numérotation, un 13ème chiffre a été ajouté pour les numéros de la série +8816</w:t>
      </w:r>
      <w:r w:rsidRPr="00FB0DA7">
        <w:rPr>
          <w:lang w:val="fr-FR"/>
        </w:rPr>
        <w:noBreakHyphen/>
        <w:t>xxx</w:t>
      </w:r>
      <w:r w:rsidRPr="00FB0DA7">
        <w:rPr>
          <w:lang w:val="fr-FR"/>
        </w:rPr>
        <w:noBreakHyphen/>
        <w:t xml:space="preserve">xxxxx afin de prendre en charge l'élargissement de l'offre de services d'Iridium et l'augmentation du nombre d'abonnés. Les numéros MSISDN d'Iridium </w:t>
      </w:r>
      <w:r>
        <w:rPr>
          <w:lang w:val="fr-FR"/>
        </w:rPr>
        <w:t>sont</w:t>
      </w:r>
      <w:r w:rsidRPr="00FB0DA7">
        <w:rPr>
          <w:lang w:val="fr-FR"/>
        </w:rPr>
        <w:t xml:space="preserve"> désormais composés de 12 ou 13 chiffres. Les appels vers ces numéros doivent donc être considérés comme valables.</w:t>
      </w:r>
    </w:p>
    <w:p w14:paraId="43E16937" w14:textId="77777777" w:rsidR="00C32429" w:rsidRPr="00FB0DA7" w:rsidRDefault="00C32429" w:rsidP="00C32429">
      <w:pPr>
        <w:rPr>
          <w:sz w:val="18"/>
          <w:szCs w:val="18"/>
          <w:lang w:val="fr-FR"/>
        </w:rPr>
      </w:pPr>
      <w:r w:rsidRPr="00FB0DA7">
        <w:rPr>
          <w:lang w:val="fr-FR"/>
        </w:rPr>
        <w:t>Les fournisseurs de services sont priés de bien vouloir programmer leurs commutateurs pour permettre l'accès à ces séries de numéros.</w:t>
      </w:r>
    </w:p>
    <w:p w14:paraId="398E3D6B" w14:textId="77777777" w:rsidR="00C32429" w:rsidRPr="00FB0DA7" w:rsidRDefault="00C32429" w:rsidP="00C32429">
      <w:pPr>
        <w:rPr>
          <w:sz w:val="18"/>
          <w:szCs w:val="18"/>
          <w:lang w:val="fr-FR"/>
        </w:rPr>
      </w:pPr>
      <w:r w:rsidRPr="00FB0DA7">
        <w:rPr>
          <w:i/>
          <w:iCs/>
          <w:lang w:val="fr-FR"/>
        </w:rPr>
        <w:t>Iridium Satellite LLC</w:t>
      </w:r>
      <w:r w:rsidRPr="00FB0DA7">
        <w:rPr>
          <w:lang w:val="fr-FR"/>
        </w:rPr>
        <w:t xml:space="preserve"> a conclu des accords d'interconnexion avec les opérateurs énumérés ci-après. À l'heure actuelle, ces derniers sont les seuls opérateurs d'interconnexion directe autorisés pour acheminer le trafic d'arrivée ou de départ sur le réseau Iridium. Il convient de prendre contact avec le représentant local de ces opérateurs pour plus de renseignements sur la tarification et </w:t>
      </w:r>
      <w:proofErr w:type="gramStart"/>
      <w:r w:rsidRPr="00FB0DA7">
        <w:rPr>
          <w:lang w:val="fr-FR"/>
        </w:rPr>
        <w:t>l'acheminement:</w:t>
      </w:r>
      <w:proofErr w:type="gramEnd"/>
    </w:p>
    <w:p w14:paraId="20D714EE" w14:textId="34727E50" w:rsidR="00C32429" w:rsidRPr="00FB0DA7" w:rsidRDefault="00C32429" w:rsidP="00C32429">
      <w:pPr>
        <w:tabs>
          <w:tab w:val="left" w:pos="2977"/>
        </w:tabs>
        <w:overflowPunct/>
        <w:autoSpaceDE/>
        <w:autoSpaceDN/>
        <w:adjustRightInd/>
        <w:textAlignment w:val="auto"/>
        <w:rPr>
          <w:sz w:val="18"/>
          <w:szCs w:val="18"/>
          <w:lang w:val="fr-FR"/>
        </w:rPr>
      </w:pPr>
      <w:r w:rsidRPr="00FB0DA7">
        <w:rPr>
          <w:lang w:val="fr-FR"/>
        </w:rPr>
        <w:t>AT&amp;T (U.S.</w:t>
      </w:r>
      <w:proofErr w:type="gramStart"/>
      <w:r w:rsidRPr="00FB0DA7">
        <w:rPr>
          <w:lang w:val="fr-FR"/>
        </w:rPr>
        <w:t>):</w:t>
      </w:r>
      <w:proofErr w:type="gramEnd"/>
      <w:r>
        <w:rPr>
          <w:lang w:val="fr-FR"/>
        </w:rPr>
        <w:tab/>
      </w:r>
      <w:r>
        <w:rPr>
          <w:lang w:val="fr-FR"/>
        </w:rPr>
        <w:tab/>
      </w:r>
      <w:r w:rsidRPr="00FB0DA7">
        <w:rPr>
          <w:lang w:val="fr-FR"/>
        </w:rPr>
        <w:tab/>
      </w:r>
      <w:r w:rsidRPr="00C32429">
        <w:rPr>
          <w:lang w:val="fr-FR"/>
        </w:rPr>
        <w:t>www.att.com/worldwide/</w:t>
      </w:r>
    </w:p>
    <w:p w14:paraId="764AA6E1" w14:textId="4F87CE99" w:rsidR="00C32429" w:rsidRPr="00FB0DA7" w:rsidRDefault="00C32429" w:rsidP="00C32429">
      <w:pPr>
        <w:tabs>
          <w:tab w:val="left" w:pos="2977"/>
        </w:tabs>
        <w:overflowPunct/>
        <w:autoSpaceDE/>
        <w:autoSpaceDN/>
        <w:adjustRightInd/>
        <w:spacing w:before="0"/>
        <w:textAlignment w:val="auto"/>
        <w:rPr>
          <w:sz w:val="18"/>
          <w:szCs w:val="18"/>
          <w:lang w:val="fr-FR"/>
        </w:rPr>
      </w:pPr>
      <w:r w:rsidRPr="00FB0DA7">
        <w:rPr>
          <w:lang w:val="fr-FR"/>
        </w:rPr>
        <w:t>Sinch (U.S.</w:t>
      </w:r>
      <w:proofErr w:type="gramStart"/>
      <w:r w:rsidRPr="00FB0DA7">
        <w:rPr>
          <w:lang w:val="fr-FR"/>
        </w:rPr>
        <w:t>):</w:t>
      </w:r>
      <w:proofErr w:type="gramEnd"/>
      <w:r w:rsidRPr="00FB0DA7">
        <w:rPr>
          <w:lang w:val="fr-FR"/>
        </w:rPr>
        <w:tab/>
      </w:r>
      <w:r>
        <w:rPr>
          <w:lang w:val="fr-FR"/>
        </w:rPr>
        <w:tab/>
      </w:r>
      <w:r>
        <w:rPr>
          <w:lang w:val="fr-FR"/>
        </w:rPr>
        <w:tab/>
      </w:r>
      <w:r w:rsidRPr="00C32429">
        <w:rPr>
          <w:lang w:val="fr-FR"/>
        </w:rPr>
        <w:t>https://www.sinch.com/products/voice/voice-services/</w:t>
      </w:r>
    </w:p>
    <w:p w14:paraId="28F0FD53" w14:textId="34A9A09B" w:rsidR="00C32429" w:rsidRPr="00FB0DA7" w:rsidRDefault="00C32429" w:rsidP="00C32429">
      <w:pPr>
        <w:tabs>
          <w:tab w:val="left" w:pos="2977"/>
        </w:tabs>
        <w:spacing w:before="0"/>
        <w:textAlignment w:val="auto"/>
        <w:rPr>
          <w:sz w:val="18"/>
          <w:szCs w:val="18"/>
          <w:lang w:val="fr-FR"/>
        </w:rPr>
      </w:pPr>
      <w:r w:rsidRPr="00FB0DA7">
        <w:rPr>
          <w:lang w:val="fr-FR"/>
        </w:rPr>
        <w:t>Telstra International (AUS</w:t>
      </w:r>
      <w:proofErr w:type="gramStart"/>
      <w:r w:rsidRPr="00FB0DA7">
        <w:rPr>
          <w:lang w:val="fr-FR"/>
        </w:rPr>
        <w:t>):</w:t>
      </w:r>
      <w:proofErr w:type="gramEnd"/>
      <w:r w:rsidRPr="00FB0DA7">
        <w:rPr>
          <w:lang w:val="fr-FR"/>
        </w:rPr>
        <w:tab/>
      </w:r>
      <w:r w:rsidRPr="00C32429">
        <w:rPr>
          <w:lang w:val="fr-FR"/>
        </w:rPr>
        <w:t>https://www.telstra.com.au/business-enterprise</w:t>
      </w:r>
    </w:p>
    <w:p w14:paraId="40332F18" w14:textId="77777777" w:rsidR="00C32429" w:rsidRPr="00FB0DA7" w:rsidRDefault="00C32429" w:rsidP="00C32429">
      <w:pPr>
        <w:tabs>
          <w:tab w:val="left" w:pos="2835"/>
          <w:tab w:val="left" w:pos="2977"/>
        </w:tabs>
        <w:textAlignment w:val="auto"/>
        <w:rPr>
          <w:sz w:val="18"/>
          <w:szCs w:val="18"/>
          <w:lang w:val="fr-FR"/>
        </w:rPr>
      </w:pPr>
      <w:r w:rsidRPr="00FB0DA7">
        <w:rPr>
          <w:i/>
          <w:iCs/>
          <w:lang w:val="fr-FR"/>
        </w:rPr>
        <w:t>Iridium Satellite LLC</w:t>
      </w:r>
      <w:r w:rsidRPr="00FB0DA7">
        <w:rPr>
          <w:lang w:val="fr-FR"/>
        </w:rPr>
        <w:t xml:space="preserve"> demande que l'accès au réseau Iridium soit assuré via les indicatifs de pays +881 6 et +881 7, et a mis en service dans son commutateur une annonce enregistrée qui permettra aux abonnés de valider leur acheminement.</w:t>
      </w:r>
    </w:p>
    <w:p w14:paraId="06A292AD" w14:textId="78B2A6B7" w:rsidR="00C32429" w:rsidRPr="00FB0DA7" w:rsidRDefault="00C32429" w:rsidP="00C32429">
      <w:pPr>
        <w:tabs>
          <w:tab w:val="clear" w:pos="5954"/>
          <w:tab w:val="left" w:pos="5670"/>
          <w:tab w:val="left" w:pos="6237"/>
        </w:tabs>
        <w:overflowPunct/>
        <w:autoSpaceDE/>
        <w:autoSpaceDN/>
        <w:adjustRightInd/>
        <w:jc w:val="left"/>
        <w:textAlignment w:val="auto"/>
        <w:rPr>
          <w:sz w:val="18"/>
          <w:szCs w:val="18"/>
          <w:lang w:val="fr-FR"/>
        </w:rPr>
      </w:pPr>
      <w:r w:rsidRPr="00FB0DA7">
        <w:rPr>
          <w:lang w:val="fr-FR"/>
        </w:rPr>
        <w:t xml:space="preserve">Pour accéder à ce service, veuillez composer les numéros </w:t>
      </w:r>
      <w:proofErr w:type="gramStart"/>
      <w:r w:rsidRPr="00FB0DA7">
        <w:rPr>
          <w:lang w:val="fr-FR"/>
        </w:rPr>
        <w:t>suivants:</w:t>
      </w:r>
      <w:proofErr w:type="gramEnd"/>
      <w:r w:rsidRPr="00FB0DA7">
        <w:rPr>
          <w:lang w:val="fr-FR"/>
        </w:rPr>
        <w:tab/>
        <w:t>+881 6 311 10006 et</w:t>
      </w:r>
      <w:r w:rsidRPr="00FB0DA7">
        <w:rPr>
          <w:sz w:val="18"/>
          <w:szCs w:val="18"/>
          <w:lang w:val="fr-FR"/>
        </w:rPr>
        <w:br/>
      </w:r>
      <w:r w:rsidRPr="00FB0DA7">
        <w:rPr>
          <w:lang w:val="fr-FR"/>
        </w:rPr>
        <w:tab/>
      </w:r>
      <w:r>
        <w:rPr>
          <w:lang w:val="fr-FR"/>
        </w:rPr>
        <w:tab/>
      </w:r>
      <w:r>
        <w:rPr>
          <w:lang w:val="fr-FR"/>
        </w:rPr>
        <w:tab/>
      </w:r>
      <w:r>
        <w:rPr>
          <w:lang w:val="fr-FR"/>
        </w:rPr>
        <w:tab/>
      </w:r>
      <w:r>
        <w:rPr>
          <w:lang w:val="fr-FR"/>
        </w:rPr>
        <w:tab/>
      </w:r>
      <w:r w:rsidRPr="00FB0DA7">
        <w:rPr>
          <w:lang w:val="fr-FR"/>
        </w:rPr>
        <w:t>+881 7 311 10007</w:t>
      </w:r>
    </w:p>
    <w:p w14:paraId="25E199FE" w14:textId="102ED5B9" w:rsidR="00C32429" w:rsidRPr="00FB0DA7" w:rsidRDefault="00C32429" w:rsidP="00C32429">
      <w:pPr>
        <w:tabs>
          <w:tab w:val="left" w:pos="2835"/>
          <w:tab w:val="left" w:pos="2977"/>
        </w:tabs>
        <w:rPr>
          <w:sz w:val="18"/>
          <w:szCs w:val="18"/>
          <w:lang w:val="fr-FR"/>
        </w:rPr>
      </w:pPr>
      <w:r w:rsidRPr="00FB0DA7">
        <w:rPr>
          <w:lang w:val="fr-FR"/>
        </w:rPr>
        <w:t>Les appels vers ces numéros aboutiront au commutateur d'</w:t>
      </w:r>
      <w:r w:rsidRPr="00FB0DA7">
        <w:rPr>
          <w:i/>
          <w:iCs/>
          <w:lang w:val="fr-FR"/>
        </w:rPr>
        <w:t>Iridium Satellite LLC</w:t>
      </w:r>
      <w:r w:rsidRPr="00FB0DA7">
        <w:rPr>
          <w:lang w:val="fr-FR"/>
        </w:rPr>
        <w:t xml:space="preserve"> où vous entendrez l'annonce enregistrée </w:t>
      </w:r>
      <w:proofErr w:type="gramStart"/>
      <w:r w:rsidRPr="00FB0DA7">
        <w:rPr>
          <w:lang w:val="fr-FR"/>
        </w:rPr>
        <w:t>suivante:</w:t>
      </w:r>
      <w:proofErr w:type="gramEnd"/>
      <w:r w:rsidRPr="00FB0DA7">
        <w:rPr>
          <w:lang w:val="fr-FR"/>
        </w:rPr>
        <w:t xml:space="preserve"> "You have reached the Iridium Satellite Tempe Gateway, your access to the Iridium global network. Welcome." </w:t>
      </w:r>
      <w:r w:rsidRPr="00FB0DA7">
        <w:rPr>
          <w:i/>
          <w:iCs/>
          <w:lang w:val="fr-FR"/>
        </w:rPr>
        <w:t>[Bienvenue sur la passerelle Iridium Satellite Tempe, votre voie d'accès au réseau mondial Iridium.]</w:t>
      </w:r>
    </w:p>
    <w:p w14:paraId="5ADD6004" w14:textId="77777777" w:rsidR="00C32429" w:rsidRPr="00FB0DA7" w:rsidRDefault="00C32429" w:rsidP="00C32429">
      <w:pPr>
        <w:rPr>
          <w:sz w:val="18"/>
          <w:szCs w:val="18"/>
          <w:lang w:val="fr-FR"/>
        </w:rPr>
      </w:pPr>
      <w:r w:rsidRPr="00FB0DA7">
        <w:rPr>
          <w:lang w:val="fr-FR"/>
        </w:rPr>
        <w:t xml:space="preserve">La personne dont le nom figure ci-dessous vous saurait gré de bien vouloir lui communiquer par courrier électronique ou par télécopie les coordonnées de la personne chargée de vos systèmes de traduction d'indicatifs de pays ainsi que du responsable technique de votre entreprise. Cela permettra à </w:t>
      </w:r>
      <w:r w:rsidRPr="00FB0DA7">
        <w:rPr>
          <w:i/>
          <w:iCs/>
          <w:lang w:val="fr-FR"/>
        </w:rPr>
        <w:t xml:space="preserve">Iridium Satellite LLC </w:t>
      </w:r>
      <w:r w:rsidRPr="00FB0DA7">
        <w:rPr>
          <w:lang w:val="fr-FR"/>
        </w:rPr>
        <w:t>de prendre en charge, en collaboration avec les clients, tout problème de routage ou autre qui pourrait se poser.</w:t>
      </w:r>
    </w:p>
    <w:p w14:paraId="79B962E0" w14:textId="77777777" w:rsidR="00C32429" w:rsidRPr="00FB0DA7" w:rsidRDefault="00C32429" w:rsidP="00C32429">
      <w:pPr>
        <w:rPr>
          <w:sz w:val="18"/>
          <w:szCs w:val="18"/>
          <w:lang w:val="fr-FR"/>
        </w:rPr>
      </w:pPr>
      <w:r w:rsidRPr="00FB0DA7">
        <w:rPr>
          <w:lang w:val="fr-FR"/>
        </w:rPr>
        <w:t xml:space="preserve">Pour toute question, veuillez prendre contact </w:t>
      </w:r>
      <w:proofErr w:type="gramStart"/>
      <w:r w:rsidRPr="00FB0DA7">
        <w:rPr>
          <w:lang w:val="fr-FR"/>
        </w:rPr>
        <w:t>avec:</w:t>
      </w:r>
      <w:proofErr w:type="gramEnd"/>
    </w:p>
    <w:p w14:paraId="58131B04" w14:textId="3DEFBA7B" w:rsidR="00C32429" w:rsidRPr="00FB0DA7" w:rsidRDefault="00C32429" w:rsidP="00C32429">
      <w:pPr>
        <w:tabs>
          <w:tab w:val="left" w:pos="1560"/>
        </w:tabs>
        <w:ind w:left="567" w:hanging="567"/>
        <w:jc w:val="left"/>
        <w:rPr>
          <w:sz w:val="18"/>
          <w:szCs w:val="18"/>
          <w:lang w:val="fr-FR"/>
        </w:rPr>
      </w:pPr>
      <w:r w:rsidRPr="00FB0DA7">
        <w:rPr>
          <w:lang w:val="fr-FR"/>
        </w:rPr>
        <w:tab/>
        <w:t>M. Angel Garcia</w:t>
      </w:r>
      <w:r w:rsidRPr="00FB0DA7">
        <w:rPr>
          <w:lang w:val="fr-FR"/>
        </w:rPr>
        <w:br/>
        <w:t>Ingénieur en solutions de télécommunication</w:t>
      </w:r>
      <w:r w:rsidRPr="00FB0DA7">
        <w:rPr>
          <w:lang w:val="fr-FR"/>
        </w:rPr>
        <w:br/>
        <w:t>Iridium Satellite LLC</w:t>
      </w:r>
      <w:r w:rsidRPr="00FB0DA7">
        <w:rPr>
          <w:lang w:val="fr-FR"/>
        </w:rPr>
        <w:br/>
        <w:t>8440 South River Parkway</w:t>
      </w:r>
      <w:r w:rsidRPr="00FB0DA7">
        <w:rPr>
          <w:lang w:val="fr-FR"/>
        </w:rPr>
        <w:br/>
        <w:t>TEMPE, AZ 85284</w:t>
      </w:r>
      <w:r w:rsidRPr="00FB0DA7">
        <w:rPr>
          <w:lang w:val="fr-FR"/>
        </w:rPr>
        <w:br/>
        <w:t>États-Unis</w:t>
      </w:r>
      <w:r w:rsidRPr="00FB0DA7">
        <w:rPr>
          <w:lang w:val="fr-FR"/>
        </w:rPr>
        <w:br/>
      </w:r>
      <w:proofErr w:type="gramStart"/>
      <w:r w:rsidRPr="00FB0DA7">
        <w:rPr>
          <w:lang w:val="fr-FR"/>
        </w:rPr>
        <w:t>Tél.:</w:t>
      </w:r>
      <w:proofErr w:type="gramEnd"/>
      <w:r w:rsidRPr="00FB0DA7">
        <w:rPr>
          <w:lang w:val="fr-FR"/>
        </w:rPr>
        <w:tab/>
        <w:t>+1 480 752 5139</w:t>
      </w:r>
      <w:r w:rsidRPr="00FB0DA7">
        <w:rPr>
          <w:lang w:val="fr-FR"/>
        </w:rPr>
        <w:br/>
      </w:r>
      <w:r>
        <w:rPr>
          <w:lang w:val="fr-FR"/>
        </w:rPr>
        <w:t>E-mail</w:t>
      </w:r>
      <w:r w:rsidRPr="00FB0DA7">
        <w:rPr>
          <w:lang w:val="fr-FR"/>
        </w:rPr>
        <w:t>:</w:t>
      </w:r>
      <w:r>
        <w:rPr>
          <w:lang w:val="fr-FR"/>
        </w:rPr>
        <w:tab/>
      </w:r>
      <w:r w:rsidRPr="00FB0DA7">
        <w:rPr>
          <w:lang w:val="fr-FR"/>
        </w:rPr>
        <w:t>angel.garcia@iridium.com</w:t>
      </w:r>
      <w:r w:rsidRPr="00FB0DA7">
        <w:rPr>
          <w:lang w:val="fr-FR"/>
        </w:rPr>
        <w:br/>
        <w:t>URL:</w:t>
      </w:r>
      <w:r w:rsidRPr="00FB0DA7">
        <w:rPr>
          <w:lang w:val="fr-FR"/>
        </w:rPr>
        <w:tab/>
        <w:t>www.iridium.com</w:t>
      </w:r>
    </w:p>
    <w:p w14:paraId="0B05DFBF" w14:textId="04542C6E" w:rsidR="00C32429" w:rsidRDefault="00C32429" w:rsidP="001C2014">
      <w:pPr>
        <w:pStyle w:val="country0"/>
      </w:pPr>
      <w:r>
        <w:br w:type="page"/>
      </w:r>
    </w:p>
    <w:p w14:paraId="6D02AAF3" w14:textId="77777777" w:rsidR="003F234D" w:rsidRPr="006F5B3B" w:rsidRDefault="003F234D" w:rsidP="003F234D">
      <w:pPr>
        <w:pStyle w:val="Heading20"/>
      </w:pPr>
      <w:bookmarkStart w:id="728" w:name="_Toc417551684"/>
      <w:bookmarkStart w:id="729" w:name="_Toc418172334"/>
      <w:bookmarkStart w:id="730" w:name="_Toc418590416"/>
      <w:bookmarkStart w:id="731" w:name="_Toc421025977"/>
      <w:bookmarkStart w:id="732" w:name="_Toc422401214"/>
      <w:bookmarkStart w:id="733" w:name="_Toc423525459"/>
      <w:bookmarkStart w:id="734" w:name="_Toc424821420"/>
      <w:bookmarkStart w:id="735" w:name="_Toc428366209"/>
      <w:bookmarkStart w:id="736" w:name="_Toc429043969"/>
      <w:bookmarkStart w:id="737" w:name="_Toc430351629"/>
      <w:bookmarkStart w:id="738" w:name="_Toc435101744"/>
      <w:bookmarkStart w:id="739" w:name="_Toc436994431"/>
      <w:bookmarkStart w:id="740" w:name="_Toc437951348"/>
      <w:bookmarkStart w:id="741" w:name="_Toc439770098"/>
      <w:bookmarkStart w:id="742" w:name="_Toc442697183"/>
      <w:bookmarkStart w:id="743" w:name="_Toc443314403"/>
      <w:bookmarkStart w:id="744" w:name="_Toc451159962"/>
      <w:bookmarkStart w:id="745" w:name="_Toc452042297"/>
      <w:bookmarkStart w:id="746" w:name="_Toc453246397"/>
      <w:bookmarkStart w:id="747" w:name="_Toc455568929"/>
      <w:bookmarkStart w:id="748" w:name="_Toc458763347"/>
      <w:bookmarkStart w:id="749" w:name="_Toc461613929"/>
      <w:bookmarkStart w:id="750" w:name="_Toc464028571"/>
      <w:bookmarkStart w:id="751" w:name="_Toc466292736"/>
      <w:bookmarkStart w:id="752" w:name="_Toc467229228"/>
      <w:bookmarkStart w:id="753" w:name="_Toc468199537"/>
      <w:bookmarkStart w:id="754" w:name="_Toc469058093"/>
      <w:bookmarkStart w:id="755" w:name="_Toc472413666"/>
      <w:bookmarkStart w:id="756" w:name="_Toc473107267"/>
      <w:bookmarkStart w:id="757" w:name="_Toc474850439"/>
      <w:bookmarkStart w:id="758" w:name="_Toc476061821"/>
      <w:bookmarkStart w:id="759" w:name="_Toc477355879"/>
      <w:bookmarkStart w:id="760" w:name="_Toc478045212"/>
      <w:bookmarkStart w:id="761" w:name="_Toc479170905"/>
      <w:bookmarkStart w:id="762" w:name="_Toc481736935"/>
      <w:bookmarkStart w:id="763" w:name="_Toc483991774"/>
      <w:bookmarkStart w:id="764" w:name="_Toc484612706"/>
      <w:bookmarkStart w:id="765" w:name="_Toc486861831"/>
      <w:bookmarkStart w:id="766" w:name="_Toc489604268"/>
      <w:bookmarkStart w:id="767" w:name="_Toc490733865"/>
      <w:bookmarkStart w:id="768" w:name="_Toc492473929"/>
      <w:bookmarkStart w:id="769" w:name="_Toc493239117"/>
      <w:bookmarkStart w:id="770" w:name="_Toc494706577"/>
      <w:bookmarkStart w:id="771" w:name="_Toc496867161"/>
      <w:bookmarkStart w:id="772" w:name="_Toc497466152"/>
      <w:bookmarkStart w:id="773" w:name="_Toc498510163"/>
      <w:bookmarkStart w:id="774" w:name="_Toc499892935"/>
      <w:bookmarkStart w:id="775" w:name="_Toc500928331"/>
      <w:bookmarkStart w:id="776" w:name="_Toc503278447"/>
      <w:bookmarkStart w:id="777" w:name="_Toc508115976"/>
      <w:bookmarkStart w:id="778" w:name="_Toc509306707"/>
      <w:bookmarkStart w:id="779" w:name="_Toc510616292"/>
      <w:bookmarkStart w:id="780" w:name="_Toc512954056"/>
      <w:bookmarkStart w:id="781" w:name="_Toc513554846"/>
      <w:bookmarkStart w:id="782" w:name="_Toc514942276"/>
      <w:bookmarkStart w:id="783" w:name="_Toc516152566"/>
      <w:bookmarkStart w:id="784" w:name="_Toc517084132"/>
      <w:bookmarkStart w:id="785" w:name="_Toc517963000"/>
      <w:bookmarkStart w:id="786" w:name="_Toc525139697"/>
      <w:bookmarkStart w:id="787" w:name="_Toc526173614"/>
      <w:bookmarkStart w:id="788" w:name="_Toc527641996"/>
      <w:bookmarkStart w:id="789" w:name="_Toc528154648"/>
      <w:bookmarkStart w:id="790" w:name="_Toc530564043"/>
      <w:bookmarkStart w:id="791" w:name="_Toc535414819"/>
      <w:bookmarkStart w:id="792" w:name="_Toc536450198"/>
      <w:bookmarkStart w:id="793" w:name="_Toc169242"/>
      <w:bookmarkStart w:id="794" w:name="_Toc6472175"/>
      <w:bookmarkStart w:id="795" w:name="_Toc7430885"/>
      <w:bookmarkStart w:id="796" w:name="_Toc11673110"/>
      <w:bookmarkStart w:id="797" w:name="_Toc11942215"/>
      <w:bookmarkStart w:id="798" w:name="_Toc16521662"/>
      <w:bookmarkStart w:id="799" w:name="_Toc17124508"/>
      <w:bookmarkStart w:id="800" w:name="_Toc19268841"/>
      <w:bookmarkStart w:id="801" w:name="_Toc22049226"/>
      <w:bookmarkStart w:id="802" w:name="_Toc23412326"/>
      <w:bookmarkStart w:id="803" w:name="_Toc24538174"/>
      <w:bookmarkStart w:id="804" w:name="_Toc25845782"/>
      <w:bookmarkStart w:id="805" w:name="_Toc26799557"/>
      <w:bookmarkStart w:id="806" w:name="_Toc42092839"/>
      <w:bookmarkStart w:id="807" w:name="_Toc49845638"/>
      <w:bookmarkStart w:id="808" w:name="_Toc51764048"/>
      <w:bookmarkStart w:id="809" w:name="_Toc58332535"/>
      <w:bookmarkStart w:id="810" w:name="_Toc59624751"/>
      <w:bookmarkStart w:id="811" w:name="_Toc62805785"/>
      <w:bookmarkStart w:id="812" w:name="_Toc63688636"/>
      <w:bookmarkStart w:id="813" w:name="_Toc66289915"/>
      <w:bookmarkStart w:id="814" w:name="_Toc70589201"/>
      <w:bookmarkStart w:id="815" w:name="_Toc72943259"/>
      <w:bookmarkStart w:id="816" w:name="_Toc75270270"/>
      <w:bookmarkStart w:id="817" w:name="_Toc79585278"/>
      <w:bookmarkStart w:id="818" w:name="_Toc87364487"/>
      <w:bookmarkStart w:id="819" w:name="_Toc89865824"/>
      <w:bookmarkStart w:id="820" w:name="_Toc96667680"/>
      <w:bookmarkStart w:id="821" w:name="_Toc98774523"/>
      <w:bookmarkStart w:id="822" w:name="_Toc103354510"/>
      <w:bookmarkStart w:id="823" w:name="_Toc115274220"/>
      <w:bookmarkStart w:id="824" w:name="_Toc128989468"/>
      <w:bookmarkStart w:id="825" w:name="_Toc132189053"/>
      <w:bookmarkStart w:id="826" w:name="_Toc51494226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6F5B3B">
        <w:lastRenderedPageBreak/>
        <w:t>Restrictions de service</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27" w:name="_Toc417551685"/>
      <w:bookmarkStart w:id="828" w:name="_Toc418172335"/>
      <w:bookmarkStart w:id="829" w:name="_Toc418590417"/>
      <w:bookmarkStart w:id="830" w:name="_Toc421025978"/>
      <w:bookmarkStart w:id="831" w:name="_Toc422401215"/>
      <w:bookmarkStart w:id="832" w:name="_Toc423525460"/>
      <w:bookmarkStart w:id="833" w:name="_Toc424821421"/>
      <w:bookmarkStart w:id="834" w:name="_Toc428366210"/>
      <w:bookmarkStart w:id="835" w:name="_Toc429043970"/>
      <w:bookmarkStart w:id="836" w:name="_Toc430351630"/>
      <w:bookmarkStart w:id="837" w:name="_Toc435101745"/>
      <w:bookmarkStart w:id="838" w:name="_Toc436994432"/>
      <w:bookmarkStart w:id="839" w:name="_Toc437951349"/>
      <w:bookmarkStart w:id="840" w:name="_Toc439770099"/>
      <w:bookmarkStart w:id="841" w:name="_Toc442697184"/>
      <w:bookmarkStart w:id="842" w:name="_Toc443314404"/>
      <w:bookmarkStart w:id="843" w:name="_Toc451159963"/>
      <w:bookmarkStart w:id="844" w:name="_Toc452042298"/>
      <w:bookmarkStart w:id="845" w:name="_Toc453246398"/>
      <w:bookmarkStart w:id="846" w:name="_Toc455568930"/>
      <w:bookmarkStart w:id="847" w:name="_Toc458763348"/>
      <w:bookmarkStart w:id="848" w:name="_Toc461613930"/>
      <w:bookmarkStart w:id="849" w:name="_Toc464028572"/>
      <w:bookmarkStart w:id="850" w:name="_Toc466292737"/>
      <w:bookmarkStart w:id="851" w:name="_Toc467229229"/>
      <w:bookmarkStart w:id="852" w:name="_Toc468199538"/>
      <w:bookmarkStart w:id="853" w:name="_Toc469058094"/>
      <w:bookmarkStart w:id="854" w:name="_Toc472413667"/>
      <w:bookmarkStart w:id="855" w:name="_Toc473107268"/>
      <w:bookmarkStart w:id="856" w:name="_Toc474850440"/>
      <w:bookmarkStart w:id="857" w:name="_Toc476061822"/>
      <w:bookmarkStart w:id="858" w:name="_Toc477355880"/>
      <w:bookmarkStart w:id="859" w:name="_Toc478045213"/>
      <w:bookmarkStart w:id="860" w:name="_Toc479170906"/>
      <w:bookmarkStart w:id="861" w:name="_Toc481736936"/>
      <w:bookmarkStart w:id="862" w:name="_Toc483991775"/>
      <w:bookmarkStart w:id="863" w:name="_Toc484612707"/>
      <w:bookmarkStart w:id="864" w:name="_Toc486861832"/>
      <w:bookmarkStart w:id="865" w:name="_Toc489604269"/>
      <w:bookmarkStart w:id="866" w:name="_Toc490733866"/>
      <w:bookmarkStart w:id="867" w:name="_Toc492473930"/>
      <w:bookmarkStart w:id="868" w:name="_Toc493239118"/>
      <w:bookmarkStart w:id="869" w:name="_Toc494706578"/>
      <w:bookmarkStart w:id="870" w:name="_Toc496867162"/>
      <w:bookmarkStart w:id="871" w:name="_Toc497466153"/>
      <w:bookmarkStart w:id="872" w:name="_Toc498510164"/>
      <w:bookmarkStart w:id="873" w:name="_Toc499892936"/>
      <w:bookmarkStart w:id="874" w:name="_Toc500928332"/>
      <w:bookmarkStart w:id="875" w:name="_Toc503278448"/>
      <w:bookmarkStart w:id="876" w:name="_Toc508115977"/>
      <w:bookmarkStart w:id="877" w:name="_Toc509306708"/>
      <w:bookmarkStart w:id="878" w:name="_Toc510616293"/>
      <w:bookmarkStart w:id="879" w:name="_Toc512954057"/>
      <w:bookmarkStart w:id="880" w:name="_Toc513554847"/>
      <w:bookmarkStart w:id="881" w:name="_Toc514942277"/>
      <w:bookmarkStart w:id="882" w:name="_Toc516152567"/>
      <w:bookmarkStart w:id="883" w:name="_Toc517084133"/>
      <w:bookmarkStart w:id="884" w:name="_Toc517963001"/>
      <w:bookmarkStart w:id="885" w:name="_Toc525139698"/>
      <w:bookmarkStart w:id="886" w:name="_Toc526173615"/>
      <w:bookmarkStart w:id="887" w:name="_Toc527641997"/>
      <w:bookmarkStart w:id="888" w:name="_Toc528154649"/>
      <w:bookmarkStart w:id="889" w:name="_Toc530564044"/>
      <w:bookmarkStart w:id="890" w:name="_Toc535414820"/>
      <w:bookmarkStart w:id="891" w:name="_Toc536450199"/>
      <w:bookmarkStart w:id="892" w:name="_Toc169243"/>
      <w:bookmarkStart w:id="893" w:name="_Toc6472176"/>
      <w:bookmarkStart w:id="894" w:name="_Toc7430886"/>
      <w:bookmarkStart w:id="895" w:name="_Toc11673111"/>
      <w:bookmarkStart w:id="896" w:name="_Toc11942216"/>
      <w:bookmarkStart w:id="897" w:name="_Toc16521663"/>
      <w:bookmarkStart w:id="898" w:name="_Toc17124509"/>
      <w:bookmarkStart w:id="899" w:name="_Toc19268842"/>
      <w:bookmarkStart w:id="900" w:name="_Toc22049227"/>
      <w:bookmarkStart w:id="901" w:name="_Toc23412327"/>
      <w:bookmarkStart w:id="902" w:name="_Toc24538175"/>
      <w:bookmarkStart w:id="903" w:name="_Toc25845783"/>
      <w:bookmarkStart w:id="904" w:name="_Toc26799558"/>
      <w:bookmarkStart w:id="905" w:name="_Toc42092840"/>
      <w:bookmarkStart w:id="906" w:name="_Toc49845639"/>
      <w:bookmarkStart w:id="907" w:name="_Toc51764049"/>
      <w:bookmarkStart w:id="908" w:name="_Toc58332536"/>
      <w:bookmarkStart w:id="909" w:name="_Toc59624752"/>
      <w:bookmarkStart w:id="910" w:name="_Toc62805786"/>
      <w:bookmarkStart w:id="911" w:name="_Toc63688637"/>
      <w:bookmarkStart w:id="912" w:name="_Toc66289916"/>
      <w:bookmarkStart w:id="913" w:name="_Toc70589202"/>
      <w:bookmarkStart w:id="914" w:name="_Toc72943260"/>
      <w:bookmarkStart w:id="915" w:name="_Toc75270271"/>
      <w:bookmarkStart w:id="916" w:name="_Toc79585279"/>
      <w:bookmarkStart w:id="917" w:name="_Toc87364488"/>
      <w:bookmarkStart w:id="918" w:name="_Toc89865825"/>
      <w:bookmarkStart w:id="919" w:name="_Toc96667681"/>
      <w:bookmarkStart w:id="920" w:name="_Toc98774524"/>
      <w:bookmarkStart w:id="921" w:name="_Toc103354511"/>
      <w:bookmarkStart w:id="922" w:name="_Toc115274221"/>
      <w:bookmarkStart w:id="923" w:name="_Toc128989469"/>
      <w:bookmarkStart w:id="924" w:name="_Toc132189054"/>
      <w:r w:rsidRPr="006F5B3B">
        <w:t>Systèmes de rappel (Call-Back)</w:t>
      </w:r>
      <w:r w:rsidRPr="006F5B3B">
        <w:br/>
        <w:t>et procédures d'appel alternatives (Rés. 21 Rév. PP-2006)</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25" w:name="_Toc40273974"/>
      <w:bookmarkStart w:id="926" w:name="_Toc42092841"/>
      <w:bookmarkStart w:id="927" w:name="_Toc49845640"/>
      <w:bookmarkStart w:id="928" w:name="_Toc51764050"/>
      <w:bookmarkStart w:id="929" w:name="_Toc58332537"/>
      <w:bookmarkStart w:id="930" w:name="_Toc59624753"/>
      <w:bookmarkStart w:id="931" w:name="_Toc62805787"/>
      <w:bookmarkStart w:id="932" w:name="_Toc63688638"/>
      <w:bookmarkStart w:id="933" w:name="_Toc66289917"/>
      <w:bookmarkStart w:id="934" w:name="_Toc70589203"/>
      <w:bookmarkStart w:id="935" w:name="_Toc72943261"/>
      <w:bookmarkStart w:id="936" w:name="_Toc75270272"/>
      <w:bookmarkStart w:id="937" w:name="_Toc79585280"/>
      <w:bookmarkStart w:id="938" w:name="_Toc87364489"/>
      <w:bookmarkStart w:id="939" w:name="_Toc89865826"/>
      <w:bookmarkStart w:id="940" w:name="_Toc96667682"/>
      <w:bookmarkStart w:id="941" w:name="_Toc98774525"/>
      <w:bookmarkStart w:id="942" w:name="_Toc103354512"/>
      <w:bookmarkStart w:id="943" w:name="_Toc115273968"/>
      <w:bookmarkStart w:id="944" w:name="_Toc115274222"/>
      <w:bookmarkStart w:id="945" w:name="_Toc128989470"/>
      <w:bookmarkStart w:id="946" w:name="_Toc132189055"/>
      <w:bookmarkEnd w:id="525"/>
      <w:bookmarkEnd w:id="526"/>
      <w:bookmarkEnd w:id="826"/>
      <w:r w:rsidRPr="006F5B3B">
        <w:rPr>
          <w:lang w:val="fr-FR"/>
        </w:rPr>
        <w:lastRenderedPageBreak/>
        <w:t>AMENDEMENTS AUX PUBLICATIONS DE SERVICE</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56147843" w:rsidR="005F3455" w:rsidRDefault="005F3455" w:rsidP="005F3455">
      <w:pPr>
        <w:rPr>
          <w:lang w:val="fr-FR"/>
        </w:rPr>
      </w:pPr>
    </w:p>
    <w:p w14:paraId="6A5682D8" w14:textId="136FF644" w:rsidR="00BB656F" w:rsidRDefault="00BB656F" w:rsidP="005F3455">
      <w:pPr>
        <w:rPr>
          <w:lang w:val="fr-FR"/>
        </w:rPr>
      </w:pPr>
    </w:p>
    <w:p w14:paraId="4947568F" w14:textId="77777777" w:rsidR="00BB656F" w:rsidRDefault="00BB656F" w:rsidP="005F3455">
      <w:pPr>
        <w:rPr>
          <w:lang w:val="fr-FR"/>
        </w:rPr>
      </w:pPr>
    </w:p>
    <w:p w14:paraId="65413494" w14:textId="77777777" w:rsidR="00BB656F" w:rsidRPr="00B13ACA" w:rsidRDefault="00BB656F">
      <w:pPr>
        <w:rPr>
          <w:sz w:val="0"/>
          <w:lang w:val="fr-FR"/>
        </w:rPr>
      </w:pPr>
    </w:p>
    <w:p w14:paraId="6387190E" w14:textId="77777777" w:rsidR="001421FE" w:rsidRPr="007A3BC1" w:rsidRDefault="001421FE" w:rsidP="001421FE">
      <w:pPr>
        <w:pStyle w:val="Heading20"/>
        <w:rPr>
          <w:rFonts w:asciiTheme="minorHAnsi" w:hAnsiTheme="minorHAnsi"/>
        </w:rPr>
      </w:pPr>
      <w:r w:rsidRPr="007A3BC1">
        <w:rPr>
          <w:rFonts w:asciiTheme="minorHAnsi" w:hAnsiTheme="minorHAnsi"/>
        </w:rPr>
        <w:t>Codes de réseau mobile (MNC) pour le plan d'identification international</w:t>
      </w:r>
      <w:r w:rsidRPr="007A3BC1">
        <w:rPr>
          <w:rFonts w:asciiTheme="minorHAnsi" w:hAnsiTheme="minorHAnsi"/>
        </w:rPr>
        <w:br/>
        <w:t>pour les réseaux publics et les abonnements</w:t>
      </w:r>
      <w:r w:rsidRPr="007A3BC1">
        <w:rPr>
          <w:rFonts w:asciiTheme="minorHAnsi" w:hAnsiTheme="minorHAnsi"/>
        </w:rPr>
        <w:br/>
        <w:t>(Selon la Recommandation UIT-T E.212 (09/2016))</w:t>
      </w:r>
      <w:r w:rsidRPr="007A3BC1">
        <w:rPr>
          <w:rFonts w:asciiTheme="minorHAnsi" w:hAnsiTheme="minorHAnsi"/>
        </w:rPr>
        <w:br/>
        <w:t>(Situation au 15 décembre 2018)</w:t>
      </w:r>
    </w:p>
    <w:p w14:paraId="021573C0" w14:textId="48353197" w:rsidR="001421FE" w:rsidRDefault="002F6CDD" w:rsidP="002F6CDD">
      <w:pPr>
        <w:jc w:val="center"/>
        <w:rPr>
          <w:lang w:val="fr-FR"/>
        </w:rPr>
      </w:pPr>
      <w:r w:rsidRPr="00862169">
        <w:rPr>
          <w:rFonts w:eastAsia="Arial" w:cs="Calibri"/>
          <w:color w:val="000000"/>
          <w:lang w:val="fr-FR"/>
        </w:rPr>
        <w:t xml:space="preserve">(Annexe au Bulletin d'exploitation de l'UIT </w:t>
      </w:r>
      <w:r w:rsidRPr="00862169">
        <w:rPr>
          <w:rFonts w:eastAsia="Calibri" w:cs="Calibri"/>
          <w:color w:val="000000"/>
          <w:lang w:val="fr-FR"/>
        </w:rPr>
        <w:t>N°</w:t>
      </w:r>
      <w:r w:rsidRPr="00862169">
        <w:rPr>
          <w:rFonts w:eastAsia="Arial" w:cs="Calibri"/>
          <w:color w:val="000000"/>
          <w:lang w:val="fr-FR"/>
        </w:rPr>
        <w:t xml:space="preserve"> 1162 - 15.XII.2018)</w:t>
      </w:r>
      <w:r>
        <w:rPr>
          <w:rFonts w:cs="Calibri"/>
          <w:lang w:val="fr-FR"/>
        </w:rPr>
        <w:br/>
      </w:r>
      <w:r w:rsidRPr="00862169">
        <w:rPr>
          <w:rFonts w:eastAsia="Arial" w:cs="Calibri"/>
          <w:color w:val="000000"/>
          <w:lang w:val="fr-FR"/>
        </w:rPr>
        <w:t xml:space="preserve">(Amendement </w:t>
      </w:r>
      <w:r w:rsidRPr="00862169">
        <w:rPr>
          <w:rFonts w:eastAsia="Calibri" w:cs="Calibri"/>
          <w:color w:val="000000"/>
          <w:lang w:val="fr-FR"/>
        </w:rPr>
        <w:t xml:space="preserve">N° </w:t>
      </w:r>
      <w:r w:rsidRPr="00862169">
        <w:rPr>
          <w:rFonts w:eastAsia="Arial" w:cs="Calibri"/>
          <w:color w:val="000000"/>
          <w:lang w:val="fr-FR"/>
        </w:rPr>
        <w:t>10</w:t>
      </w:r>
      <w:r w:rsidR="00BB656F">
        <w:rPr>
          <w:rFonts w:eastAsia="Arial" w:cs="Calibri"/>
          <w:color w:val="000000"/>
          <w:lang w:val="fr-FR"/>
        </w:rPr>
        <w:t>1</w:t>
      </w:r>
      <w:r w:rsidRPr="00862169">
        <w:rPr>
          <w:rFonts w:eastAsia="Arial" w:cs="Calibri"/>
          <w:color w:val="000000"/>
          <w:lang w:val="fr-FR"/>
        </w:rPr>
        <w:t>)</w:t>
      </w:r>
    </w:p>
    <w:tbl>
      <w:tblPr>
        <w:tblW w:w="9639" w:type="dxa"/>
        <w:tblCellMar>
          <w:left w:w="0" w:type="dxa"/>
          <w:right w:w="0" w:type="dxa"/>
        </w:tblCellMar>
        <w:tblLook w:val="04A0" w:firstRow="1" w:lastRow="0" w:firstColumn="1" w:lastColumn="0" w:noHBand="0" w:noVBand="1"/>
      </w:tblPr>
      <w:tblGrid>
        <w:gridCol w:w="24"/>
        <w:gridCol w:w="9390"/>
        <w:gridCol w:w="225"/>
      </w:tblGrid>
      <w:tr w:rsidR="002F6CDD" w14:paraId="30E7509C" w14:textId="77777777" w:rsidTr="00313A10">
        <w:tc>
          <w:tcPr>
            <w:tcW w:w="110" w:type="dxa"/>
          </w:tcPr>
          <w:p w14:paraId="7CA2BE14" w14:textId="77777777" w:rsidR="002F6CDD" w:rsidRDefault="002F6CDD" w:rsidP="008F5D36">
            <w:pPr>
              <w:pStyle w:val="EmptyCellLayoutStyle"/>
              <w:spacing w:after="0" w:line="240" w:lineRule="auto"/>
            </w:pPr>
          </w:p>
        </w:tc>
        <w:tc>
          <w:tcPr>
            <w:tcW w:w="8274" w:type="dxa"/>
          </w:tcPr>
          <w:tbl>
            <w:tblPr>
              <w:tblW w:w="9390" w:type="dxa"/>
              <w:tblBorders>
                <w:top w:val="nil"/>
                <w:left w:val="nil"/>
                <w:bottom w:val="nil"/>
                <w:right w:val="nil"/>
              </w:tblBorders>
              <w:tblCellMar>
                <w:left w:w="0" w:type="dxa"/>
                <w:right w:w="0" w:type="dxa"/>
              </w:tblCellMar>
              <w:tblLook w:val="04A0" w:firstRow="1" w:lastRow="0" w:firstColumn="1" w:lastColumn="0" w:noHBand="0" w:noVBand="1"/>
            </w:tblPr>
            <w:tblGrid>
              <w:gridCol w:w="36"/>
              <w:gridCol w:w="9137"/>
              <w:gridCol w:w="10"/>
              <w:gridCol w:w="207"/>
            </w:tblGrid>
            <w:tr w:rsidR="002F6CDD" w:rsidRPr="00B341A3" w14:paraId="14352FF2" w14:textId="77777777" w:rsidTr="00313A10">
              <w:trPr>
                <w:trHeight w:val="120"/>
              </w:trPr>
              <w:tc>
                <w:tcPr>
                  <w:tcW w:w="211" w:type="dxa"/>
                </w:tcPr>
                <w:p w14:paraId="0A630266" w14:textId="77777777" w:rsidR="002F6CDD" w:rsidRPr="00B341A3" w:rsidRDefault="002F6CDD" w:rsidP="008F5D36">
                  <w:pPr>
                    <w:pStyle w:val="EmptyCellLayoutStyle"/>
                    <w:spacing w:after="0" w:line="240" w:lineRule="auto"/>
                    <w:rPr>
                      <w:lang w:val="fr-FR"/>
                    </w:rPr>
                  </w:pPr>
                </w:p>
              </w:tc>
              <w:tc>
                <w:tcPr>
                  <w:tcW w:w="7788" w:type="dxa"/>
                </w:tcPr>
                <w:p w14:paraId="135FC3B9" w14:textId="77777777" w:rsidR="002F6CDD" w:rsidRPr="00B341A3" w:rsidRDefault="002F6CDD" w:rsidP="008F5D36">
                  <w:pPr>
                    <w:pStyle w:val="EmptyCellLayoutStyle"/>
                    <w:spacing w:after="0" w:line="240" w:lineRule="auto"/>
                    <w:rPr>
                      <w:lang w:val="fr-FR"/>
                    </w:rPr>
                  </w:pPr>
                </w:p>
              </w:tc>
              <w:tc>
                <w:tcPr>
                  <w:tcW w:w="12" w:type="dxa"/>
                </w:tcPr>
                <w:p w14:paraId="5BE43A51" w14:textId="77777777" w:rsidR="002F6CDD" w:rsidRPr="00B341A3" w:rsidRDefault="002F6CDD" w:rsidP="008F5D36">
                  <w:pPr>
                    <w:pStyle w:val="EmptyCellLayoutStyle"/>
                    <w:spacing w:after="0" w:line="240" w:lineRule="auto"/>
                    <w:rPr>
                      <w:lang w:val="fr-FR"/>
                    </w:rPr>
                  </w:pPr>
                </w:p>
              </w:tc>
              <w:tc>
                <w:tcPr>
                  <w:tcW w:w="1379" w:type="dxa"/>
                </w:tcPr>
                <w:p w14:paraId="5D9E1269" w14:textId="77777777" w:rsidR="002F6CDD" w:rsidRPr="00B341A3" w:rsidRDefault="002F6CDD" w:rsidP="008F5D36">
                  <w:pPr>
                    <w:pStyle w:val="EmptyCellLayoutStyle"/>
                    <w:spacing w:after="0" w:line="240" w:lineRule="auto"/>
                    <w:rPr>
                      <w:lang w:val="fr-FR"/>
                    </w:rPr>
                  </w:pPr>
                </w:p>
              </w:tc>
            </w:tr>
            <w:tr w:rsidR="002F6CDD" w:rsidRPr="00B341A3" w14:paraId="43C71935" w14:textId="77777777" w:rsidTr="00313A10">
              <w:tc>
                <w:tcPr>
                  <w:tcW w:w="211" w:type="dxa"/>
                </w:tcPr>
                <w:p w14:paraId="577D1CAC" w14:textId="77777777" w:rsidR="002F6CDD" w:rsidRPr="00B341A3" w:rsidRDefault="002F6CDD" w:rsidP="008F5D36">
                  <w:pPr>
                    <w:pStyle w:val="EmptyCellLayoutStyle"/>
                    <w:spacing w:after="0" w:line="240" w:lineRule="auto"/>
                    <w:rPr>
                      <w:lang w:val="fr-FR"/>
                    </w:rPr>
                  </w:pPr>
                </w:p>
              </w:tc>
              <w:tc>
                <w:tcPr>
                  <w:tcW w:w="7788" w:type="dxa"/>
                </w:tcPr>
                <w:tbl>
                  <w:tblPr>
                    <w:tblW w:w="8429" w:type="dxa"/>
                    <w:tblBorders>
                      <w:top w:val="nil"/>
                      <w:left w:val="nil"/>
                      <w:bottom w:val="nil"/>
                      <w:right w:val="nil"/>
                    </w:tblBorders>
                    <w:tblCellMar>
                      <w:left w:w="0" w:type="dxa"/>
                      <w:right w:w="0" w:type="dxa"/>
                    </w:tblCellMar>
                    <w:tblLook w:val="04A0" w:firstRow="1" w:lastRow="0" w:firstColumn="1" w:lastColumn="0" w:noHBand="0" w:noVBand="1"/>
                  </w:tblPr>
                  <w:tblGrid>
                    <w:gridCol w:w="3893"/>
                    <w:gridCol w:w="1701"/>
                    <w:gridCol w:w="2835"/>
                  </w:tblGrid>
                  <w:tr w:rsidR="002F6CDD" w:rsidRPr="00B341A3" w14:paraId="0C682C3F" w14:textId="77777777" w:rsidTr="00313A10">
                    <w:trPr>
                      <w:trHeight w:val="466"/>
                    </w:trPr>
                    <w:tc>
                      <w:tcPr>
                        <w:tcW w:w="38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C1D071" w14:textId="77777777" w:rsidR="002F6CDD" w:rsidRPr="00B341A3" w:rsidRDefault="002F6CDD" w:rsidP="008F5D36">
                        <w:pPr>
                          <w:rPr>
                            <w:lang w:val="fr-FR"/>
                          </w:rPr>
                        </w:pPr>
                        <w:r w:rsidRPr="00B341A3">
                          <w:rPr>
                            <w:rFonts w:eastAsia="Calibri"/>
                            <w:b/>
                            <w:i/>
                            <w:color w:val="000000"/>
                            <w:lang w:val="fr-FR"/>
                          </w:rPr>
                          <w:t>Pays ou Zone géographique</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6676B7" w14:textId="77777777" w:rsidR="002F6CDD" w:rsidRPr="00B341A3" w:rsidRDefault="002F6CDD" w:rsidP="008F5D36">
                        <w:pPr>
                          <w:rPr>
                            <w:lang w:val="fr-FR"/>
                          </w:rPr>
                        </w:pPr>
                        <w:r w:rsidRPr="00B341A3">
                          <w:rPr>
                            <w:rFonts w:eastAsia="Calibri"/>
                            <w:b/>
                            <w:i/>
                            <w:color w:val="000000"/>
                            <w:lang w:val="fr-FR"/>
                          </w:rPr>
                          <w:t>MCC+MNC *</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5011B" w14:textId="77777777" w:rsidR="002F6CDD" w:rsidRPr="00B341A3" w:rsidRDefault="002F6CDD" w:rsidP="008F5D36">
                        <w:pPr>
                          <w:rPr>
                            <w:lang w:val="fr-FR"/>
                          </w:rPr>
                        </w:pPr>
                        <w:r w:rsidRPr="00B341A3">
                          <w:rPr>
                            <w:rFonts w:eastAsia="Calibri"/>
                            <w:b/>
                            <w:i/>
                            <w:color w:val="000000"/>
                            <w:lang w:val="fr-FR"/>
                          </w:rPr>
                          <w:t>Nom de Réseau/Opérateur</w:t>
                        </w:r>
                      </w:p>
                    </w:tc>
                  </w:tr>
                  <w:tr w:rsidR="00BB656F" w:rsidRPr="00B341A3" w14:paraId="1D2185E1" w14:textId="77777777" w:rsidTr="00313A10">
                    <w:trPr>
                      <w:trHeight w:val="222"/>
                    </w:trPr>
                    <w:tc>
                      <w:tcPr>
                        <w:tcW w:w="3893"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5B35176E" w14:textId="1D8D241E" w:rsidR="00BB656F" w:rsidRPr="00B341A3" w:rsidRDefault="00BB656F" w:rsidP="008F5D36">
                        <w:pPr>
                          <w:rPr>
                            <w:rFonts w:eastAsia="Calibri"/>
                            <w:b/>
                            <w:i/>
                            <w:color w:val="000000"/>
                            <w:lang w:val="fr-FR"/>
                          </w:rPr>
                        </w:pPr>
                        <w:r w:rsidRPr="00BB656F">
                          <w:rPr>
                            <w:rFonts w:eastAsia="Calibri"/>
                            <w:b/>
                            <w:color w:val="000000"/>
                            <w:lang w:val="fr-FR"/>
                          </w:rPr>
                          <w:t>Australie LIR</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D0CA21" w14:textId="77777777" w:rsidR="00BB656F" w:rsidRPr="00BB656F" w:rsidRDefault="00BB656F" w:rsidP="008F5D36">
                        <w:pPr>
                          <w:rPr>
                            <w:lang w:val="fr-FR"/>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E70E6F" w14:textId="77777777" w:rsidR="00BB656F" w:rsidRPr="00BB656F" w:rsidRDefault="00BB656F" w:rsidP="008F5D36">
                        <w:pPr>
                          <w:rPr>
                            <w:lang w:val="fr-FR"/>
                          </w:rPr>
                        </w:pPr>
                      </w:p>
                    </w:tc>
                  </w:tr>
                  <w:tr w:rsidR="00BB656F" w:rsidRPr="00B341A3" w14:paraId="565D251C" w14:textId="77777777" w:rsidTr="00313A10">
                    <w:trPr>
                      <w:trHeight w:val="74"/>
                    </w:trPr>
                    <w:tc>
                      <w:tcPr>
                        <w:tcW w:w="3893"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1DF4D84F" w14:textId="77777777" w:rsidR="00BB656F" w:rsidRPr="00B341A3" w:rsidRDefault="00BB656F" w:rsidP="008F5D36">
                        <w:pPr>
                          <w:rPr>
                            <w:rFonts w:eastAsia="Calibri"/>
                            <w:b/>
                            <w:i/>
                            <w:color w:val="000000"/>
                            <w:lang w:val="fr-FR"/>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AFE21" w14:textId="6EB9E50F" w:rsidR="00BB656F" w:rsidRPr="00BB656F" w:rsidRDefault="00BB656F" w:rsidP="00BB656F">
                        <w:pPr>
                          <w:jc w:val="center"/>
                          <w:rPr>
                            <w:lang w:val="fr-FR"/>
                          </w:rPr>
                        </w:pPr>
                        <w:r>
                          <w:rPr>
                            <w:rFonts w:eastAsia="Calibri"/>
                            <w:color w:val="000000"/>
                          </w:rPr>
                          <w:t>505 90</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941102" w14:textId="3731786C" w:rsidR="00BB656F" w:rsidRPr="00BB656F" w:rsidRDefault="00BB656F" w:rsidP="008F5D36">
                        <w:pPr>
                          <w:rPr>
                            <w:lang w:val="fr-FR"/>
                          </w:rPr>
                        </w:pPr>
                        <w:r>
                          <w:rPr>
                            <w:rFonts w:eastAsia="Calibri"/>
                            <w:color w:val="000000"/>
                          </w:rPr>
                          <w:t>UE Access Pty Ltd</w:t>
                        </w:r>
                      </w:p>
                    </w:tc>
                  </w:tr>
                  <w:tr w:rsidR="002F6CDD" w:rsidRPr="00B341A3" w14:paraId="2E27F6E5" w14:textId="77777777" w:rsidTr="00313A10">
                    <w:trPr>
                      <w:trHeight w:val="262"/>
                    </w:trPr>
                    <w:tc>
                      <w:tcPr>
                        <w:tcW w:w="389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37632A6" w14:textId="6198488E" w:rsidR="002F6CDD" w:rsidRPr="00B341A3" w:rsidRDefault="00BB656F" w:rsidP="008F5D36">
                        <w:pPr>
                          <w:rPr>
                            <w:lang w:val="fr-FR"/>
                          </w:rPr>
                        </w:pPr>
                        <w:r w:rsidRPr="00B13ACA">
                          <w:rPr>
                            <w:rFonts w:eastAsia="Calibri"/>
                            <w:b/>
                            <w:color w:val="000000"/>
                            <w:lang w:val="fr-FR"/>
                          </w:rPr>
                          <w:t>Mobile international, indicatif partagé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1C1E7" w14:textId="77777777" w:rsidR="002F6CDD" w:rsidRPr="00B341A3" w:rsidRDefault="002F6CDD" w:rsidP="008F5D36">
                        <w:pPr>
                          <w:rPr>
                            <w:lang w:val="fr-FR"/>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88C37" w14:textId="77777777" w:rsidR="002F6CDD" w:rsidRPr="00B341A3" w:rsidRDefault="002F6CDD" w:rsidP="008F5D36">
                        <w:pPr>
                          <w:rPr>
                            <w:lang w:val="fr-FR"/>
                          </w:rPr>
                        </w:pPr>
                      </w:p>
                    </w:tc>
                  </w:tr>
                  <w:tr w:rsidR="002F6CDD" w:rsidRPr="00B341A3" w14:paraId="050E5947" w14:textId="77777777" w:rsidTr="00313A10">
                    <w:trPr>
                      <w:trHeight w:val="20"/>
                    </w:trPr>
                    <w:tc>
                      <w:tcPr>
                        <w:tcW w:w="389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376BA8" w14:textId="77777777" w:rsidR="002F6CDD" w:rsidRPr="00B341A3" w:rsidRDefault="002F6CDD" w:rsidP="008F5D36">
                        <w:pPr>
                          <w:rPr>
                            <w:lang w:val="fr-FR"/>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9FC46" w14:textId="22DD77EA" w:rsidR="002F6CDD" w:rsidRPr="00B341A3" w:rsidRDefault="00BB656F" w:rsidP="008F5D36">
                        <w:pPr>
                          <w:jc w:val="center"/>
                          <w:rPr>
                            <w:lang w:val="fr-FR"/>
                          </w:rPr>
                        </w:pPr>
                        <w:r>
                          <w:rPr>
                            <w:rFonts w:eastAsia="Calibri"/>
                            <w:color w:val="000000"/>
                          </w:rPr>
                          <w:t>901 02</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BFE704" w14:textId="1206D9A5" w:rsidR="002F6CDD" w:rsidRPr="00B341A3" w:rsidRDefault="00BB656F" w:rsidP="008F5D36">
                        <w:pPr>
                          <w:rPr>
                            <w:lang w:val="fr-FR"/>
                          </w:rPr>
                        </w:pPr>
                        <w:r>
                          <w:rPr>
                            <w:rFonts w:eastAsia="Calibri"/>
                            <w:color w:val="000000"/>
                          </w:rPr>
                          <w:t>GlobalmatiX AG</w:t>
                        </w:r>
                      </w:p>
                    </w:tc>
                  </w:tr>
                </w:tbl>
                <w:p w14:paraId="12839D96" w14:textId="77777777" w:rsidR="002F6CDD" w:rsidRPr="00B341A3" w:rsidRDefault="002F6CDD" w:rsidP="008F5D36">
                  <w:pPr>
                    <w:rPr>
                      <w:lang w:val="fr-FR"/>
                    </w:rPr>
                  </w:pPr>
                </w:p>
              </w:tc>
              <w:tc>
                <w:tcPr>
                  <w:tcW w:w="12" w:type="dxa"/>
                </w:tcPr>
                <w:p w14:paraId="5E413E16" w14:textId="77777777" w:rsidR="002F6CDD" w:rsidRPr="00B341A3" w:rsidRDefault="002F6CDD" w:rsidP="008F5D36">
                  <w:pPr>
                    <w:pStyle w:val="EmptyCellLayoutStyle"/>
                    <w:spacing w:after="0" w:line="240" w:lineRule="auto"/>
                    <w:rPr>
                      <w:lang w:val="fr-FR"/>
                    </w:rPr>
                  </w:pPr>
                </w:p>
              </w:tc>
              <w:tc>
                <w:tcPr>
                  <w:tcW w:w="1379" w:type="dxa"/>
                </w:tcPr>
                <w:p w14:paraId="07F7AD7C" w14:textId="77777777" w:rsidR="002F6CDD" w:rsidRPr="00B341A3" w:rsidRDefault="002F6CDD" w:rsidP="008F5D36">
                  <w:pPr>
                    <w:pStyle w:val="EmptyCellLayoutStyle"/>
                    <w:spacing w:after="0" w:line="240" w:lineRule="auto"/>
                    <w:rPr>
                      <w:lang w:val="fr-FR"/>
                    </w:rPr>
                  </w:pPr>
                </w:p>
              </w:tc>
            </w:tr>
            <w:tr w:rsidR="002F6CDD" w:rsidRPr="00B341A3" w14:paraId="44116372" w14:textId="77777777" w:rsidTr="00313A10">
              <w:trPr>
                <w:trHeight w:val="323"/>
              </w:trPr>
              <w:tc>
                <w:tcPr>
                  <w:tcW w:w="211" w:type="dxa"/>
                </w:tcPr>
                <w:p w14:paraId="481ED1B5" w14:textId="77777777" w:rsidR="002F6CDD" w:rsidRPr="00B341A3" w:rsidRDefault="002F6CDD" w:rsidP="008F5D36">
                  <w:pPr>
                    <w:pStyle w:val="EmptyCellLayoutStyle"/>
                    <w:spacing w:after="0" w:line="240" w:lineRule="auto"/>
                    <w:rPr>
                      <w:lang w:val="fr-FR"/>
                    </w:rPr>
                  </w:pPr>
                </w:p>
              </w:tc>
              <w:tc>
                <w:tcPr>
                  <w:tcW w:w="7788" w:type="dxa"/>
                </w:tcPr>
                <w:p w14:paraId="615FE338" w14:textId="77777777" w:rsidR="002F6CDD" w:rsidRPr="00B341A3" w:rsidRDefault="002F6CDD" w:rsidP="008F5D36">
                  <w:pPr>
                    <w:pStyle w:val="EmptyCellLayoutStyle"/>
                    <w:spacing w:after="0" w:line="240" w:lineRule="auto"/>
                    <w:rPr>
                      <w:lang w:val="fr-FR"/>
                    </w:rPr>
                  </w:pPr>
                </w:p>
              </w:tc>
              <w:tc>
                <w:tcPr>
                  <w:tcW w:w="12" w:type="dxa"/>
                </w:tcPr>
                <w:p w14:paraId="369CCCB6" w14:textId="77777777" w:rsidR="002F6CDD" w:rsidRPr="00B341A3" w:rsidRDefault="002F6CDD" w:rsidP="008F5D36">
                  <w:pPr>
                    <w:pStyle w:val="EmptyCellLayoutStyle"/>
                    <w:spacing w:after="0" w:line="240" w:lineRule="auto"/>
                    <w:rPr>
                      <w:lang w:val="fr-FR"/>
                    </w:rPr>
                  </w:pPr>
                </w:p>
              </w:tc>
              <w:tc>
                <w:tcPr>
                  <w:tcW w:w="1379" w:type="dxa"/>
                </w:tcPr>
                <w:p w14:paraId="38663523" w14:textId="77777777" w:rsidR="002F6CDD" w:rsidRPr="00B341A3" w:rsidRDefault="002F6CDD" w:rsidP="008F5D36">
                  <w:pPr>
                    <w:pStyle w:val="EmptyCellLayoutStyle"/>
                    <w:spacing w:after="0" w:line="240" w:lineRule="auto"/>
                    <w:rPr>
                      <w:lang w:val="fr-FR"/>
                    </w:rPr>
                  </w:pPr>
                </w:p>
              </w:tc>
            </w:tr>
            <w:tr w:rsidR="002F6CDD" w:rsidRPr="00B341A3" w14:paraId="44C8640B" w14:textId="77777777" w:rsidTr="00313A10">
              <w:trPr>
                <w:trHeight w:val="688"/>
              </w:trPr>
              <w:tc>
                <w:tcPr>
                  <w:tcW w:w="211" w:type="dxa"/>
                </w:tcPr>
                <w:p w14:paraId="6A20DD2F" w14:textId="77777777" w:rsidR="002F6CDD" w:rsidRPr="00B341A3" w:rsidRDefault="002F6CDD" w:rsidP="008F5D36">
                  <w:pPr>
                    <w:pStyle w:val="EmptyCellLayoutStyle"/>
                    <w:spacing w:after="0" w:line="240" w:lineRule="auto"/>
                    <w:rPr>
                      <w:lang w:val="fr-FR"/>
                    </w:rPr>
                  </w:pPr>
                </w:p>
              </w:tc>
              <w:tc>
                <w:tcPr>
                  <w:tcW w:w="7800" w:type="dxa"/>
                  <w:gridSpan w:val="2"/>
                </w:tcPr>
                <w:tbl>
                  <w:tblPr>
                    <w:tblW w:w="9147" w:type="dxa"/>
                    <w:tblCellMar>
                      <w:left w:w="0" w:type="dxa"/>
                      <w:right w:w="0" w:type="dxa"/>
                    </w:tblCellMar>
                    <w:tblLook w:val="04A0" w:firstRow="1" w:lastRow="0" w:firstColumn="1" w:lastColumn="0" w:noHBand="0" w:noVBand="1"/>
                  </w:tblPr>
                  <w:tblGrid>
                    <w:gridCol w:w="9147"/>
                  </w:tblGrid>
                  <w:tr w:rsidR="002F6CDD" w:rsidRPr="00B341A3" w14:paraId="606EA51D" w14:textId="77777777" w:rsidTr="00313A10">
                    <w:trPr>
                      <w:trHeight w:val="610"/>
                    </w:trPr>
                    <w:tc>
                      <w:tcPr>
                        <w:tcW w:w="9147" w:type="dxa"/>
                        <w:tcBorders>
                          <w:top w:val="nil"/>
                          <w:left w:val="nil"/>
                          <w:bottom w:val="nil"/>
                          <w:right w:val="nil"/>
                        </w:tcBorders>
                        <w:tcMar>
                          <w:top w:w="39" w:type="dxa"/>
                          <w:left w:w="39" w:type="dxa"/>
                          <w:bottom w:w="39" w:type="dxa"/>
                          <w:right w:w="39" w:type="dxa"/>
                        </w:tcMar>
                      </w:tcPr>
                      <w:p w14:paraId="09D24CF0" w14:textId="77777777" w:rsidR="002F6CDD" w:rsidRPr="00B341A3" w:rsidRDefault="002F6CDD" w:rsidP="002F6CDD">
                        <w:pPr>
                          <w:spacing w:before="0"/>
                          <w:rPr>
                            <w:lang w:val="fr-FR"/>
                          </w:rPr>
                        </w:pPr>
                        <w:r w:rsidRPr="00B341A3">
                          <w:rPr>
                            <w:rFonts w:ascii="Arial" w:eastAsia="Arial" w:hAnsi="Arial"/>
                            <w:color w:val="000000"/>
                            <w:sz w:val="16"/>
                            <w:lang w:val="fr-FR"/>
                          </w:rPr>
                          <w:t>____________</w:t>
                        </w:r>
                      </w:p>
                      <w:p w14:paraId="63DE4623" w14:textId="77777777" w:rsidR="002F6CDD" w:rsidRPr="00B341A3" w:rsidRDefault="002F6CDD" w:rsidP="002F6CDD">
                        <w:pPr>
                          <w:spacing w:before="0"/>
                          <w:rPr>
                            <w:lang w:val="fr-FR"/>
                          </w:rPr>
                        </w:pPr>
                        <w:r w:rsidRPr="00B341A3">
                          <w:rPr>
                            <w:rFonts w:eastAsia="Calibri"/>
                            <w:color w:val="000000"/>
                            <w:sz w:val="16"/>
                            <w:lang w:val="fr-FR"/>
                          </w:rPr>
                          <w:t>*</w:t>
                        </w:r>
                        <w:r w:rsidRPr="00B341A3">
                          <w:rPr>
                            <w:rFonts w:eastAsia="Calibri"/>
                            <w:color w:val="000000"/>
                            <w:sz w:val="18"/>
                            <w:lang w:val="fr-FR"/>
                          </w:rPr>
                          <w:t xml:space="preserve">       </w:t>
                        </w:r>
                        <w:proofErr w:type="gramStart"/>
                        <w:r w:rsidRPr="00B341A3">
                          <w:rPr>
                            <w:rFonts w:eastAsia="Calibri"/>
                            <w:color w:val="000000"/>
                            <w:sz w:val="18"/>
                            <w:lang w:val="fr-FR"/>
                          </w:rPr>
                          <w:t>MCC:</w:t>
                        </w:r>
                        <w:proofErr w:type="gramEnd"/>
                        <w:r w:rsidRPr="00B341A3">
                          <w:rPr>
                            <w:rFonts w:eastAsia="Calibri"/>
                            <w:color w:val="000000"/>
                            <w:sz w:val="18"/>
                            <w:lang w:val="fr-FR"/>
                          </w:rPr>
                          <w:t xml:space="preserve">  Mobile Country Code / Indicatif de pays du mobile / Indicativo de país para el servicio móvil</w:t>
                        </w:r>
                      </w:p>
                      <w:p w14:paraId="61359A55" w14:textId="77777777" w:rsidR="002F6CDD" w:rsidRPr="00B341A3" w:rsidRDefault="002F6CDD" w:rsidP="002F6CDD">
                        <w:pPr>
                          <w:spacing w:before="0"/>
                          <w:rPr>
                            <w:lang w:val="fr-FR"/>
                          </w:rPr>
                        </w:pPr>
                        <w:r w:rsidRPr="00B341A3">
                          <w:rPr>
                            <w:rFonts w:eastAsia="Calibri"/>
                            <w:color w:val="000000"/>
                            <w:sz w:val="18"/>
                            <w:lang w:val="fr-FR"/>
                          </w:rPr>
                          <w:t xml:space="preserve">         </w:t>
                        </w:r>
                        <w:proofErr w:type="gramStart"/>
                        <w:r w:rsidRPr="00B341A3">
                          <w:rPr>
                            <w:rFonts w:eastAsia="Calibri"/>
                            <w:color w:val="000000"/>
                            <w:sz w:val="18"/>
                            <w:lang w:val="fr-FR"/>
                          </w:rPr>
                          <w:t>MNC:</w:t>
                        </w:r>
                        <w:proofErr w:type="gramEnd"/>
                        <w:r w:rsidRPr="00B341A3">
                          <w:rPr>
                            <w:rFonts w:eastAsia="Calibri"/>
                            <w:color w:val="000000"/>
                            <w:sz w:val="18"/>
                            <w:lang w:val="fr-FR"/>
                          </w:rPr>
                          <w:t xml:space="preserve">  Mobile Network Code / Code de réseau mobile / Indicativo de red para el servicio móvil</w:t>
                        </w:r>
                      </w:p>
                    </w:tc>
                  </w:tr>
                </w:tbl>
                <w:p w14:paraId="0FC13B81" w14:textId="77777777" w:rsidR="002F6CDD" w:rsidRPr="00B341A3" w:rsidRDefault="002F6CDD" w:rsidP="008F5D36">
                  <w:pPr>
                    <w:rPr>
                      <w:lang w:val="fr-FR"/>
                    </w:rPr>
                  </w:pPr>
                </w:p>
              </w:tc>
              <w:tc>
                <w:tcPr>
                  <w:tcW w:w="1379" w:type="dxa"/>
                </w:tcPr>
                <w:p w14:paraId="031481E8" w14:textId="77777777" w:rsidR="002F6CDD" w:rsidRPr="00B341A3" w:rsidRDefault="002F6CDD" w:rsidP="008F5D36">
                  <w:pPr>
                    <w:pStyle w:val="EmptyCellLayoutStyle"/>
                    <w:spacing w:after="0" w:line="240" w:lineRule="auto"/>
                    <w:rPr>
                      <w:lang w:val="fr-FR"/>
                    </w:rPr>
                  </w:pPr>
                </w:p>
              </w:tc>
            </w:tr>
            <w:tr w:rsidR="002F6CDD" w:rsidRPr="00B341A3" w14:paraId="2CEE63C5" w14:textId="77777777" w:rsidTr="00313A10">
              <w:trPr>
                <w:trHeight w:val="48"/>
              </w:trPr>
              <w:tc>
                <w:tcPr>
                  <w:tcW w:w="211" w:type="dxa"/>
                </w:tcPr>
                <w:p w14:paraId="56B2CDC4" w14:textId="77777777" w:rsidR="002F6CDD" w:rsidRPr="00B341A3" w:rsidRDefault="002F6CDD" w:rsidP="008F5D36">
                  <w:pPr>
                    <w:pStyle w:val="EmptyCellLayoutStyle"/>
                    <w:spacing w:after="0" w:line="240" w:lineRule="auto"/>
                    <w:rPr>
                      <w:lang w:val="fr-FR"/>
                    </w:rPr>
                  </w:pPr>
                </w:p>
              </w:tc>
              <w:tc>
                <w:tcPr>
                  <w:tcW w:w="7788" w:type="dxa"/>
                </w:tcPr>
                <w:p w14:paraId="248CCBE5" w14:textId="77777777" w:rsidR="002F6CDD" w:rsidRPr="00B341A3" w:rsidRDefault="002F6CDD" w:rsidP="008F5D36">
                  <w:pPr>
                    <w:pStyle w:val="EmptyCellLayoutStyle"/>
                    <w:spacing w:after="0" w:line="240" w:lineRule="auto"/>
                    <w:rPr>
                      <w:lang w:val="fr-FR"/>
                    </w:rPr>
                  </w:pPr>
                </w:p>
              </w:tc>
              <w:tc>
                <w:tcPr>
                  <w:tcW w:w="12" w:type="dxa"/>
                </w:tcPr>
                <w:p w14:paraId="4876D50D" w14:textId="77777777" w:rsidR="002F6CDD" w:rsidRPr="00B341A3" w:rsidRDefault="002F6CDD" w:rsidP="008F5D36">
                  <w:pPr>
                    <w:pStyle w:val="EmptyCellLayoutStyle"/>
                    <w:spacing w:after="0" w:line="240" w:lineRule="auto"/>
                    <w:rPr>
                      <w:lang w:val="fr-FR"/>
                    </w:rPr>
                  </w:pPr>
                </w:p>
              </w:tc>
              <w:tc>
                <w:tcPr>
                  <w:tcW w:w="1379" w:type="dxa"/>
                </w:tcPr>
                <w:p w14:paraId="11D82ACB" w14:textId="77777777" w:rsidR="002F6CDD" w:rsidRPr="00B341A3" w:rsidRDefault="002F6CDD" w:rsidP="008F5D36">
                  <w:pPr>
                    <w:pStyle w:val="EmptyCellLayoutStyle"/>
                    <w:spacing w:after="0" w:line="240" w:lineRule="auto"/>
                    <w:rPr>
                      <w:lang w:val="fr-FR"/>
                    </w:rPr>
                  </w:pPr>
                </w:p>
              </w:tc>
            </w:tr>
          </w:tbl>
          <w:p w14:paraId="507654FB" w14:textId="77777777" w:rsidR="002F6CDD" w:rsidRPr="00B341A3" w:rsidRDefault="002F6CDD" w:rsidP="008F5D36">
            <w:pPr>
              <w:rPr>
                <w:lang w:val="fr-FR"/>
              </w:rPr>
            </w:pPr>
          </w:p>
        </w:tc>
        <w:tc>
          <w:tcPr>
            <w:tcW w:w="1255" w:type="dxa"/>
          </w:tcPr>
          <w:p w14:paraId="66A707E9" w14:textId="77777777" w:rsidR="002F6CDD" w:rsidRDefault="002F6CDD" w:rsidP="008F5D36">
            <w:pPr>
              <w:pStyle w:val="EmptyCellLayoutStyle"/>
              <w:spacing w:after="0" w:line="240" w:lineRule="auto"/>
            </w:pPr>
          </w:p>
        </w:tc>
      </w:tr>
    </w:tbl>
    <w:p w14:paraId="4A1B5525" w14:textId="72799C94" w:rsidR="002F6CDD" w:rsidRDefault="002F6CDD" w:rsidP="005F3455">
      <w:pPr>
        <w:rPr>
          <w:lang w:val="fr-FR"/>
        </w:rPr>
      </w:pPr>
    </w:p>
    <w:sectPr w:rsidR="002F6CDD"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5F4D26" w:rsidRPr="00D33DDA" w14:paraId="1C98DB8C" w14:textId="77777777" w:rsidTr="00D368E4">
      <w:trPr>
        <w:cantSplit/>
      </w:trPr>
      <w:tc>
        <w:tcPr>
          <w:tcW w:w="1761" w:type="dxa"/>
          <w:shd w:val="clear" w:color="auto" w:fill="4C4C4C"/>
        </w:tcPr>
        <w:p w14:paraId="6DD68A60" w14:textId="04990FE1"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F7C3E">
            <w:rPr>
              <w:noProof/>
              <w:color w:val="FFFFFF" w:themeColor="background1"/>
              <w:lang w:val="es-ES_tradnl"/>
            </w:rPr>
            <w:t>1275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2CB78E48"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F7C3E">
            <w:rPr>
              <w:noProof/>
              <w:color w:val="FFFFFF" w:themeColor="background1"/>
              <w:lang w:val="es-ES_tradnl"/>
            </w:rPr>
            <w:t>1275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8"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3"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0"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4"/>
  </w:num>
  <w:num w:numId="2" w16cid:durableId="1571574851">
    <w:abstractNumId w:val="25"/>
  </w:num>
  <w:num w:numId="3" w16cid:durableId="2043630085">
    <w:abstractNumId w:val="19"/>
  </w:num>
  <w:num w:numId="4" w16cid:durableId="849835639">
    <w:abstractNumId w:val="14"/>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7"/>
  </w:num>
  <w:num w:numId="9" w16cid:durableId="1084254708">
    <w:abstractNumId w:val="13"/>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6"/>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3"/>
  </w:num>
  <w:num w:numId="21" w16cid:durableId="1372195883">
    <w:abstractNumId w:val="32"/>
  </w:num>
  <w:num w:numId="22" w16cid:durableId="835993089">
    <w:abstractNumId w:val="26"/>
  </w:num>
  <w:num w:numId="23" w16cid:durableId="1753352420">
    <w:abstractNumId w:val="31"/>
  </w:num>
  <w:num w:numId="24" w16cid:durableId="20921972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5"/>
  </w:num>
  <w:num w:numId="26" w16cid:durableId="954990910">
    <w:abstractNumId w:val="18"/>
  </w:num>
  <w:num w:numId="27" w16cid:durableId="815683807">
    <w:abstractNumId w:val="27"/>
  </w:num>
  <w:num w:numId="28" w16cid:durableId="209995720">
    <w:abstractNumId w:val="30"/>
  </w:num>
  <w:num w:numId="29" w16cid:durableId="1261529870">
    <w:abstractNumId w:val="28"/>
  </w:num>
  <w:num w:numId="30" w16cid:durableId="563489805">
    <w:abstractNumId w:val="21"/>
  </w:num>
  <w:num w:numId="31" w16cid:durableId="130565470">
    <w:abstractNumId w:val="12"/>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29"/>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0"/>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129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47"/>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8E4"/>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C1"/>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656F"/>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CBE"/>
    <w:rsid w:val="00E945C5"/>
    <w:rsid w:val="00E9479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6FFD"/>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7</Pages>
  <Words>1789</Words>
  <Characters>9664</Characters>
  <Application>Microsoft Office Word</Application>
  <DocSecurity>0</DocSecurity>
  <Lines>146</Lines>
  <Paragraphs>49</Paragraphs>
  <ScaleCrop>false</ScaleCrop>
  <HeadingPairs>
    <vt:vector size="2" baseType="variant">
      <vt:variant>
        <vt:lpstr>Title</vt:lpstr>
      </vt:variant>
      <vt:variant>
        <vt:i4>1</vt:i4>
      </vt:variant>
    </vt:vector>
  </HeadingPairs>
  <TitlesOfParts>
    <vt:vector size="1" baseType="lpstr">
      <vt:lpstr>OB 1275</vt:lpstr>
    </vt:vector>
  </TitlesOfParts>
  <Company>ITU</Company>
  <LinksUpToDate>false</LinksUpToDate>
  <CharactersWithSpaces>11404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1275</dc:title>
  <dc:subject/>
  <dc:creator>ITU-T </dc:creator>
  <cp:keywords/>
  <dc:description/>
  <cp:lastModifiedBy>Gachet, Christelle</cp:lastModifiedBy>
  <cp:revision>200</cp:revision>
  <cp:lastPrinted>2023-09-20T08:09:00Z</cp:lastPrinted>
  <dcterms:created xsi:type="dcterms:W3CDTF">2023-03-17T15:54:00Z</dcterms:created>
  <dcterms:modified xsi:type="dcterms:W3CDTF">2023-09-20T08:09:00Z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