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EA1A10"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EA1A10" w:rsidTr="00215F63">
        <w:tc>
          <w:tcPr>
            <w:tcW w:w="1507" w:type="dxa"/>
            <w:tcBorders>
              <w:top w:val="nil"/>
              <w:left w:val="single" w:sz="8" w:space="0" w:color="333333"/>
              <w:bottom w:val="nil"/>
            </w:tcBorders>
            <w:shd w:val="clear" w:color="auto" w:fill="4C4C4C"/>
            <w:vAlign w:val="center"/>
          </w:tcPr>
          <w:p w:rsidR="00BF6D6B" w:rsidRPr="00F462DE" w:rsidRDefault="00BF6D6B" w:rsidP="00EA1A1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2724B0">
              <w:rPr>
                <w:rStyle w:val="Foot"/>
                <w:rFonts w:ascii="Arial" w:hAnsi="Arial" w:cs="Arial"/>
                <w:b/>
                <w:bCs/>
                <w:color w:val="FFFFFF"/>
                <w:sz w:val="28"/>
                <w:szCs w:val="28"/>
                <w:lang w:val="fr-FR"/>
              </w:rPr>
              <w:t>4</w:t>
            </w:r>
            <w:r w:rsidR="00EA1A10">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0917DF" w:rsidP="00683D10">
            <w:pPr>
              <w:framePr w:hSpace="181" w:wrap="around" w:vAnchor="text" w:hAnchor="margin" w:xAlign="center" w:y="1"/>
              <w:jc w:val="left"/>
              <w:rPr>
                <w:rFonts w:ascii="Arial" w:hAnsi="Arial" w:cs="Arial"/>
                <w:color w:val="FFFFFF"/>
                <w:lang w:val="fr-FR"/>
              </w:rPr>
            </w:pPr>
            <w:r>
              <w:rPr>
                <w:color w:val="FFFFFF"/>
                <w:lang w:val="fr-FR"/>
              </w:rPr>
              <w:t>1</w:t>
            </w:r>
            <w:r w:rsidR="00B76ABA">
              <w:rPr>
                <w:color w:val="FFFFFF"/>
                <w:lang w:val="fr-FR"/>
              </w:rPr>
              <w:t>5</w:t>
            </w:r>
            <w:proofErr w:type="gramStart"/>
            <w:r w:rsidR="00BF6D6B">
              <w:rPr>
                <w:color w:val="FFFFFF"/>
                <w:lang w:val="fr-FR"/>
              </w:rPr>
              <w:t>.</w:t>
            </w:r>
            <w:r w:rsidR="00603B37">
              <w:rPr>
                <w:color w:val="FFFFFF"/>
                <w:lang w:val="fr-FR"/>
              </w:rPr>
              <w:t>I</w:t>
            </w:r>
            <w:r w:rsidR="00683D10">
              <w:rPr>
                <w:color w:val="FFFFFF"/>
                <w:lang w:val="fr-FR"/>
              </w:rPr>
              <w:t>V</w:t>
            </w:r>
            <w:r w:rsidR="00BF6D6B">
              <w:rPr>
                <w:color w:val="FFFFFF"/>
                <w:lang w:val="fr-FR"/>
              </w:rPr>
              <w:t>.</w:t>
            </w:r>
            <w:r w:rsidR="00BF6D6B"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B76AB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B76ABA">
              <w:rPr>
                <w:color w:val="FFFFFF"/>
                <w:lang w:val="fr-FR"/>
              </w:rPr>
              <w:t>30</w:t>
            </w:r>
            <w:r w:rsidR="00CE3D7C">
              <w:rPr>
                <w:color w:val="FFFFFF"/>
                <w:lang w:val="fr-FR"/>
              </w:rPr>
              <w:t xml:space="preserve"> </w:t>
            </w:r>
            <w:r w:rsidR="00BC6E49">
              <w:rPr>
                <w:color w:val="FFFFFF"/>
                <w:lang w:val="fr-FR"/>
              </w:rPr>
              <w:t>mars</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E04F01"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9" w:name="_Toc419901106"/>
            <w:bookmarkStart w:id="50" w:name="_Toc423525450"/>
            <w:bookmarkStart w:id="51" w:name="_Toc424821405"/>
            <w:bookmarkStart w:id="52" w:name="_Toc429043948"/>
            <w:bookmarkStart w:id="53" w:name="_Toc430351610"/>
            <w:bookmarkStart w:id="54" w:name="_Toc435101736"/>
            <w:bookmarkStart w:id="55" w:name="_Toc436994414"/>
            <w:bookmarkStart w:id="56" w:name="_Toc437951326"/>
            <w:bookmarkStart w:id="57" w:name="_Toc439770081"/>
            <w:bookmarkStart w:id="58" w:name="_Toc442697165"/>
            <w:bookmarkStart w:id="59" w:name="_Toc443314395"/>
            <w:bookmarkStart w:id="60" w:name="_Toc451159940"/>
            <w:bookmarkStart w:id="61" w:name="_Toc452042282"/>
            <w:bookmarkStart w:id="62" w:name="_Toc453246382"/>
            <w:bookmarkStart w:id="63" w:name="_Toc455568905"/>
            <w:bookmarkStart w:id="64" w:name="_Toc458763331"/>
            <w:bookmarkStart w:id="65" w:name="_Toc461613919"/>
            <w:bookmarkStart w:id="66" w:name="_Toc464028552"/>
            <w:bookmarkStart w:id="67" w:name="_Toc466292711"/>
            <w:bookmarkStart w:id="68" w:name="_Toc467229208"/>
            <w:bookmarkStart w:id="69" w:name="_Toc468199508"/>
            <w:bookmarkStart w:id="70" w:name="_Toc469058077"/>
            <w:bookmarkStart w:id="71" w:name="_Toc472413645"/>
            <w:bookmarkStart w:id="72" w:name="_Toc473107256"/>
            <w:bookmarkStart w:id="73" w:name="_Toc474850427"/>
            <w:bookmarkStart w:id="74" w:name="_Toc476061805"/>
            <w:bookmarkStart w:id="75" w:name="_Toc477355858"/>
            <w:bookmarkStart w:id="76" w:name="_Toc478045194"/>
            <w:bookmarkStart w:id="77" w:name="_Toc479170884"/>
            <w:bookmarkStart w:id="78" w:name="_Toc481736912"/>
            <w:bookmarkStart w:id="79" w:name="_Toc483991758"/>
            <w:bookmarkStart w:id="80" w:name="_Toc484612680"/>
            <w:bookmarkStart w:id="81" w:name="_Toc486861815"/>
            <w:bookmarkStart w:id="82" w:name="_Toc489604239"/>
            <w:bookmarkStart w:id="83" w:name="_Toc490733846"/>
            <w:bookmarkStart w:id="84" w:name="_Toc492473912"/>
            <w:bookmarkStart w:id="85" w:name="_Toc493239106"/>
            <w:bookmarkStart w:id="86" w:name="_Toc494706559"/>
            <w:bookmarkStart w:id="87" w:name="_Toc496867147"/>
            <w:bookmarkStart w:id="88" w:name="_Toc497466140"/>
            <w:bookmarkStart w:id="89" w:name="_Toc498510152"/>
            <w:bookmarkStart w:id="90" w:name="_Toc499892914"/>
            <w:bookmarkStart w:id="91" w:name="_Toc500928320"/>
            <w:bookmarkStart w:id="92" w:name="_Toc503278432"/>
            <w:bookmarkStart w:id="93" w:name="_Toc508115956"/>
            <w:bookmarkStart w:id="94" w:name="_Toc509306684"/>
            <w:bookmarkStart w:id="95" w:name="_Toc510616269"/>
            <w:bookmarkStart w:id="96" w:name="_Toc512954041"/>
            <w:bookmarkStart w:id="97" w:name="_Toc513554835"/>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98" w:name="_Toc419901107"/>
            <w:bookmarkStart w:id="99" w:name="_Toc423525451"/>
            <w:bookmarkStart w:id="100" w:name="_Toc424821406"/>
            <w:bookmarkStart w:id="101" w:name="_Toc429043949"/>
            <w:bookmarkStart w:id="102" w:name="_Toc430351611"/>
            <w:bookmarkStart w:id="103" w:name="_Toc435101737"/>
            <w:bookmarkStart w:id="104" w:name="_Toc436994415"/>
            <w:bookmarkStart w:id="105" w:name="_Toc437951327"/>
            <w:bookmarkStart w:id="106" w:name="_Toc439770082"/>
            <w:bookmarkStart w:id="107" w:name="_Toc442697166"/>
            <w:bookmarkStart w:id="108" w:name="_Toc443314396"/>
            <w:bookmarkStart w:id="109" w:name="_Toc451159941"/>
            <w:bookmarkStart w:id="110" w:name="_Toc452042283"/>
            <w:bookmarkStart w:id="111" w:name="_Toc453246383"/>
            <w:bookmarkStart w:id="112" w:name="_Toc455568906"/>
            <w:bookmarkStart w:id="113" w:name="_Toc458763332"/>
            <w:bookmarkStart w:id="114" w:name="_Toc461613920"/>
            <w:bookmarkStart w:id="115" w:name="_Toc464028553"/>
            <w:bookmarkStart w:id="116" w:name="_Toc466292712"/>
            <w:bookmarkStart w:id="117" w:name="_Toc467229209"/>
            <w:bookmarkStart w:id="118" w:name="_Toc468199509"/>
            <w:bookmarkStart w:id="119" w:name="_Toc469058078"/>
            <w:bookmarkStart w:id="120" w:name="_Toc472413646"/>
            <w:bookmarkStart w:id="121" w:name="_Toc473107257"/>
            <w:bookmarkStart w:id="122" w:name="_Toc474850428"/>
            <w:bookmarkStart w:id="123" w:name="_Toc476061806"/>
            <w:bookmarkStart w:id="124" w:name="_Toc477355859"/>
            <w:bookmarkStart w:id="125" w:name="_Toc478045195"/>
            <w:bookmarkStart w:id="126" w:name="_Toc479170885"/>
            <w:bookmarkStart w:id="127" w:name="_Toc481736913"/>
            <w:bookmarkStart w:id="128" w:name="_Toc483991759"/>
            <w:bookmarkStart w:id="129" w:name="_Toc484612681"/>
            <w:bookmarkStart w:id="130" w:name="_Toc486861816"/>
            <w:bookmarkStart w:id="131" w:name="_Toc489604240"/>
            <w:bookmarkStart w:id="132" w:name="_Toc490733847"/>
            <w:bookmarkStart w:id="133" w:name="_Toc492473913"/>
            <w:bookmarkStart w:id="134" w:name="_Toc493239107"/>
            <w:bookmarkStart w:id="135" w:name="_Toc494706560"/>
            <w:bookmarkStart w:id="136" w:name="_Toc496867148"/>
            <w:bookmarkStart w:id="137" w:name="_Toc497466141"/>
            <w:bookmarkStart w:id="138" w:name="_Toc498510153"/>
            <w:bookmarkStart w:id="139" w:name="_Toc499892915"/>
            <w:bookmarkStart w:id="140" w:name="_Toc500928321"/>
            <w:bookmarkStart w:id="141" w:name="_Toc503278433"/>
            <w:bookmarkStart w:id="142" w:name="_Toc508115957"/>
            <w:bookmarkStart w:id="143" w:name="_Toc509306685"/>
            <w:bookmarkStart w:id="144" w:name="_Toc510616270"/>
            <w:bookmarkStart w:id="145" w:name="_Toc512954042"/>
            <w:bookmarkStart w:id="146" w:name="_Toc513554836"/>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47" w:name="_Toc419901108"/>
      <w:bookmarkStart w:id="148" w:name="_Toc423525452"/>
      <w:bookmarkStart w:id="149" w:name="_Toc424821407"/>
      <w:bookmarkStart w:id="150" w:name="_Toc428366200"/>
      <w:bookmarkStart w:id="151" w:name="_Toc429043950"/>
      <w:bookmarkStart w:id="152" w:name="_Toc430351612"/>
      <w:bookmarkStart w:id="153" w:name="_Toc435101738"/>
      <w:bookmarkStart w:id="154" w:name="_Toc436994416"/>
      <w:bookmarkStart w:id="155" w:name="_Toc437951328"/>
      <w:bookmarkStart w:id="156" w:name="_Toc439770083"/>
      <w:bookmarkStart w:id="157" w:name="_Toc442697167"/>
      <w:bookmarkStart w:id="158" w:name="_Toc443314397"/>
      <w:bookmarkStart w:id="159" w:name="_Toc451159942"/>
      <w:bookmarkStart w:id="160" w:name="_Toc452042284"/>
      <w:bookmarkStart w:id="161" w:name="_Toc453246384"/>
      <w:bookmarkStart w:id="162" w:name="_Toc455568907"/>
      <w:bookmarkStart w:id="163" w:name="_Toc458763333"/>
      <w:bookmarkStart w:id="164" w:name="_Toc461613921"/>
      <w:bookmarkStart w:id="165" w:name="_Toc464028554"/>
      <w:bookmarkStart w:id="166" w:name="_Toc466292713"/>
      <w:bookmarkStart w:id="167" w:name="_Toc467229210"/>
      <w:bookmarkStart w:id="168" w:name="_Toc468199510"/>
      <w:bookmarkStart w:id="169" w:name="_Toc469058079"/>
      <w:bookmarkStart w:id="170" w:name="_Toc472413647"/>
      <w:bookmarkStart w:id="171" w:name="_Toc473107258"/>
      <w:bookmarkStart w:id="172" w:name="_Toc474850429"/>
      <w:bookmarkStart w:id="173" w:name="_Toc476061807"/>
      <w:bookmarkStart w:id="174" w:name="_Toc477355860"/>
      <w:bookmarkStart w:id="175" w:name="_Toc478045196"/>
      <w:bookmarkStart w:id="176" w:name="_Toc479170886"/>
      <w:bookmarkStart w:id="177" w:name="_Toc481736914"/>
      <w:bookmarkStart w:id="178" w:name="_Toc483991760"/>
      <w:bookmarkStart w:id="179" w:name="_Toc484612682"/>
      <w:bookmarkStart w:id="180" w:name="_Toc486861817"/>
      <w:bookmarkStart w:id="181" w:name="_Toc489604241"/>
      <w:bookmarkStart w:id="182" w:name="_Toc490733848"/>
      <w:bookmarkStart w:id="183" w:name="_Toc492473914"/>
      <w:bookmarkStart w:id="184" w:name="_Toc493239108"/>
      <w:bookmarkStart w:id="185" w:name="_Toc494706561"/>
      <w:bookmarkStart w:id="186" w:name="_Toc496867149"/>
      <w:bookmarkStart w:id="187" w:name="_Toc497466142"/>
      <w:bookmarkStart w:id="188" w:name="_Toc498510154"/>
      <w:bookmarkStart w:id="189" w:name="_Toc499892916"/>
      <w:bookmarkStart w:id="190" w:name="_Toc500928322"/>
      <w:bookmarkStart w:id="191" w:name="_Toc503278434"/>
      <w:bookmarkStart w:id="192" w:name="_Toc508115958"/>
      <w:bookmarkStart w:id="193" w:name="_Toc509306686"/>
      <w:bookmarkStart w:id="194" w:name="_Toc510616271"/>
      <w:bookmarkStart w:id="195" w:name="_Toc512954043"/>
      <w:bookmarkStart w:id="196" w:name="_Toc513554837"/>
      <w:r w:rsidRPr="00A61AFB">
        <w:rPr>
          <w:lang w:val="fr-FR"/>
        </w:rPr>
        <w:t>Table des matières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B14A13" w:rsidRPr="00280E52" w:rsidRDefault="00B14A13" w:rsidP="002015E1">
      <w:pPr>
        <w:pStyle w:val="TOC1"/>
        <w:tabs>
          <w:tab w:val="center" w:leader="dot" w:pos="8505"/>
        </w:tabs>
        <w:rPr>
          <w:rFonts w:eastAsiaTheme="minorEastAsia"/>
        </w:rPr>
      </w:pPr>
      <w:r w:rsidRPr="00280E52">
        <w:t>Listes annexées au Bulletin d'exploi</w:t>
      </w:r>
      <w:bookmarkStart w:id="197" w:name="_GoBack"/>
      <w:bookmarkEnd w:id="197"/>
      <w:r w:rsidRPr="00280E52">
        <w:t>tation de l'UIT</w:t>
      </w:r>
      <w:r w:rsidR="00280E52">
        <w:t xml:space="preserve">: </w:t>
      </w:r>
      <w:r w:rsidR="00280E52" w:rsidRPr="00280E52">
        <w:rPr>
          <w:i/>
          <w:iCs/>
        </w:rPr>
        <w:t>Note du TSB</w:t>
      </w:r>
      <w:r w:rsidRPr="00280E52">
        <w:rPr>
          <w:webHidden/>
        </w:rPr>
        <w:tab/>
      </w:r>
      <w:r w:rsidRPr="00280E52">
        <w:rPr>
          <w:webHidden/>
        </w:rPr>
        <w:tab/>
      </w:r>
      <w:r w:rsidR="002015E1">
        <w:rPr>
          <w:webHidden/>
        </w:rPr>
        <w:t>3</w:t>
      </w:r>
    </w:p>
    <w:p w:rsidR="00690815" w:rsidRPr="00690815" w:rsidRDefault="00690815" w:rsidP="002015E1">
      <w:pPr>
        <w:pStyle w:val="TOC1"/>
        <w:tabs>
          <w:tab w:val="center" w:leader="dot" w:pos="8505"/>
        </w:tabs>
        <w:rPr>
          <w:rFonts w:eastAsiaTheme="minorEastAsia"/>
          <w:lang w:val="fr-CH"/>
        </w:rPr>
      </w:pPr>
      <w:r w:rsidRPr="00690815">
        <w:rPr>
          <w:lang w:val="fr-CH"/>
        </w:rPr>
        <w:t xml:space="preserve">Approbation de </w:t>
      </w:r>
      <w:r w:rsidRPr="00690815">
        <w:t>Recommandations</w:t>
      </w:r>
      <w:r w:rsidRPr="00690815">
        <w:rPr>
          <w:lang w:val="fr-CH"/>
        </w:rPr>
        <w:t xml:space="preserve"> UIT-T</w:t>
      </w:r>
      <w:r w:rsidRPr="00690815">
        <w:rPr>
          <w:webHidden/>
          <w:lang w:val="fr-CH"/>
        </w:rPr>
        <w:tab/>
      </w:r>
      <w:r>
        <w:rPr>
          <w:webHidden/>
          <w:lang w:val="fr-CH"/>
        </w:rPr>
        <w:tab/>
      </w:r>
      <w:r w:rsidR="002015E1">
        <w:rPr>
          <w:webHidden/>
          <w:lang w:val="fr-CH"/>
        </w:rPr>
        <w:t>4</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Service </w:t>
      </w:r>
      <w:r w:rsidRPr="00C249E0">
        <w:t>téléphonique</w:t>
      </w:r>
      <w:r>
        <w:rPr>
          <w:lang w:val="fr-CH"/>
        </w:rPr>
        <w:t>:</w:t>
      </w:r>
    </w:p>
    <w:p w:rsidR="00C249E0" w:rsidRPr="00B76ABA" w:rsidRDefault="00C249E0" w:rsidP="00C249E0">
      <w:pPr>
        <w:pStyle w:val="TOC2"/>
        <w:rPr>
          <w:rFonts w:eastAsiaTheme="minorEastAsia"/>
          <w:lang w:val="fr-CH"/>
        </w:rPr>
      </w:pPr>
      <w:r w:rsidRPr="00B76ABA">
        <w:rPr>
          <w:i/>
          <w:iCs/>
          <w:lang w:val="fr-CH"/>
        </w:rPr>
        <w:t>Danemark (</w:t>
      </w:r>
      <w:proofErr w:type="spellStart"/>
      <w:r w:rsidRPr="00B76ABA">
        <w:rPr>
          <w:rFonts w:cs="Arial"/>
          <w:i/>
          <w:iCs/>
          <w:lang w:val="fr-CH"/>
        </w:rPr>
        <w:t>Danish</w:t>
      </w:r>
      <w:proofErr w:type="spellEnd"/>
      <w:r w:rsidRPr="00B76ABA">
        <w:rPr>
          <w:rFonts w:cs="Arial"/>
          <w:i/>
          <w:iCs/>
          <w:lang w:val="fr-CH"/>
        </w:rPr>
        <w:t xml:space="preserve"> </w:t>
      </w:r>
      <w:proofErr w:type="spellStart"/>
      <w:r w:rsidRPr="00B76ABA">
        <w:rPr>
          <w:rFonts w:cs="Arial"/>
          <w:i/>
          <w:iCs/>
          <w:lang w:val="fr-CH"/>
        </w:rPr>
        <w:t>Energy</w:t>
      </w:r>
      <w:proofErr w:type="spellEnd"/>
      <w:r w:rsidRPr="00B76ABA">
        <w:rPr>
          <w:rFonts w:cs="Arial"/>
          <w:i/>
          <w:iCs/>
          <w:lang w:val="fr-CH"/>
        </w:rPr>
        <w:t xml:space="preserve"> Agency, Copenhague)</w:t>
      </w:r>
      <w:r w:rsidRPr="00B76ABA">
        <w:rPr>
          <w:webHidden/>
          <w:lang w:val="fr-CH"/>
        </w:rPr>
        <w:tab/>
      </w:r>
      <w:r w:rsidRPr="00B76ABA">
        <w:rPr>
          <w:webHidden/>
          <w:lang w:val="fr-CH"/>
        </w:rPr>
        <w:tab/>
        <w:t>5</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Autres </w:t>
      </w:r>
      <w:r w:rsidRPr="00C249E0">
        <w:t>communications</w:t>
      </w:r>
      <w:r>
        <w:rPr>
          <w:webHidden/>
          <w:lang w:val="fr-CH"/>
        </w:rPr>
        <w:t>:</w:t>
      </w:r>
    </w:p>
    <w:p w:rsidR="00C249E0" w:rsidRPr="00C249E0" w:rsidRDefault="00C249E0" w:rsidP="00C249E0">
      <w:pPr>
        <w:pStyle w:val="TOC2"/>
        <w:rPr>
          <w:rFonts w:eastAsiaTheme="minorEastAsia"/>
          <w:lang w:val="fr-CH"/>
        </w:rPr>
      </w:pPr>
      <w:r w:rsidRPr="00C249E0">
        <w:rPr>
          <w:i/>
          <w:iCs/>
          <w:lang w:val="fr-CH"/>
        </w:rPr>
        <w:t>Autriche</w:t>
      </w:r>
      <w:r w:rsidRPr="00C249E0">
        <w:rPr>
          <w:webHidden/>
          <w:lang w:val="fr-CH"/>
        </w:rPr>
        <w:tab/>
      </w:r>
      <w:r>
        <w:rPr>
          <w:webHidden/>
          <w:lang w:val="fr-CH"/>
        </w:rPr>
        <w:tab/>
      </w:r>
      <w:r w:rsidRPr="00C249E0">
        <w:rPr>
          <w:webHidden/>
          <w:lang w:val="fr-CH"/>
        </w:rPr>
        <w:t>6</w:t>
      </w:r>
    </w:p>
    <w:p w:rsidR="00C249E0" w:rsidRPr="00C249E0" w:rsidRDefault="00C249E0" w:rsidP="00C249E0">
      <w:pPr>
        <w:pStyle w:val="TOC2"/>
        <w:rPr>
          <w:rFonts w:eastAsiaTheme="minorEastAsia"/>
          <w:lang w:val="fr-CH"/>
        </w:rPr>
      </w:pPr>
      <w:r w:rsidRPr="00C249E0">
        <w:rPr>
          <w:i/>
          <w:iCs/>
          <w:lang w:val="fr-CH"/>
        </w:rPr>
        <w:t>Serbie</w:t>
      </w:r>
      <w:r w:rsidRPr="00C249E0">
        <w:rPr>
          <w:webHidden/>
          <w:lang w:val="fr-CH"/>
        </w:rPr>
        <w:tab/>
      </w:r>
      <w:r>
        <w:rPr>
          <w:webHidden/>
          <w:lang w:val="fr-CH"/>
        </w:rPr>
        <w:tab/>
      </w:r>
      <w:r w:rsidRPr="00C249E0">
        <w:rPr>
          <w:webHidden/>
          <w:lang w:val="fr-CH"/>
        </w:rPr>
        <w:t>6</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Restrictions </w:t>
      </w:r>
      <w:r w:rsidRPr="00C249E0">
        <w:t>de</w:t>
      </w:r>
      <w:r w:rsidRPr="00C249E0">
        <w:rPr>
          <w:lang w:val="fr-CH"/>
        </w:rPr>
        <w:t xml:space="preserve"> service</w:t>
      </w:r>
      <w:r w:rsidRPr="00C249E0">
        <w:rPr>
          <w:webHidden/>
          <w:lang w:val="fr-CH"/>
        </w:rPr>
        <w:tab/>
      </w:r>
      <w:r>
        <w:rPr>
          <w:webHidden/>
          <w:lang w:val="fr-CH"/>
        </w:rPr>
        <w:tab/>
      </w:r>
      <w:r w:rsidRPr="00C249E0">
        <w:rPr>
          <w:webHidden/>
          <w:lang w:val="fr-CH"/>
        </w:rPr>
        <w:t>7</w:t>
      </w:r>
    </w:p>
    <w:p w:rsidR="00C249E0" w:rsidRPr="00C249E0" w:rsidRDefault="00C249E0" w:rsidP="00C249E0">
      <w:pPr>
        <w:pStyle w:val="TOC1"/>
        <w:tabs>
          <w:tab w:val="center" w:leader="dot" w:pos="8505"/>
        </w:tabs>
        <w:rPr>
          <w:rFonts w:eastAsiaTheme="minorEastAsia"/>
          <w:lang w:val="fr-CH"/>
        </w:rPr>
      </w:pPr>
      <w:r w:rsidRPr="00C249E0">
        <w:t>Systèmes</w:t>
      </w:r>
      <w:r w:rsidRPr="00C249E0">
        <w:rPr>
          <w:lang w:val="fr-CH"/>
        </w:rPr>
        <w:t xml:space="preserve"> de rappel (Call-Back) et procédures d'appel alternatives (Rés. 21 Rév. PP-2006)</w:t>
      </w:r>
      <w:r w:rsidRPr="00C249E0">
        <w:rPr>
          <w:webHidden/>
          <w:lang w:val="fr-CH"/>
        </w:rPr>
        <w:tab/>
      </w:r>
      <w:r>
        <w:rPr>
          <w:webHidden/>
          <w:lang w:val="fr-CH"/>
        </w:rPr>
        <w:tab/>
      </w:r>
      <w:r w:rsidRPr="00C249E0">
        <w:rPr>
          <w:webHidden/>
          <w:lang w:val="fr-CH"/>
        </w:rPr>
        <w:t>7</w:t>
      </w:r>
    </w:p>
    <w:p w:rsidR="00C249E0" w:rsidRPr="00C249E0" w:rsidRDefault="00C249E0" w:rsidP="00C249E0">
      <w:pPr>
        <w:pStyle w:val="TOC1"/>
        <w:spacing w:before="240"/>
        <w:rPr>
          <w:b/>
          <w:bCs/>
        </w:rPr>
      </w:pPr>
      <w:r w:rsidRPr="00C249E0">
        <w:rPr>
          <w:b/>
          <w:bCs/>
        </w:rPr>
        <w:t>AMENDEMENTS  AUX  PUBLICATIONS  DE  SERVICE</w:t>
      </w:r>
    </w:p>
    <w:p w:rsidR="00C249E0" w:rsidRPr="00C249E0" w:rsidRDefault="00C249E0" w:rsidP="00C249E0">
      <w:pPr>
        <w:pStyle w:val="TOC1"/>
        <w:tabs>
          <w:tab w:val="center" w:leader="dot" w:pos="8505"/>
        </w:tabs>
        <w:rPr>
          <w:rFonts w:eastAsiaTheme="minorEastAsia"/>
          <w:lang w:val="fr-CH"/>
        </w:rPr>
      </w:pPr>
      <w:r w:rsidRPr="00C249E0">
        <w:rPr>
          <w:lang w:val="fr-CH"/>
        </w:rPr>
        <w:t>Codes de réseau mobile (MNC) pour le plan d'identification international pour les réseaux publics et</w:t>
      </w:r>
      <w:r>
        <w:rPr>
          <w:lang w:val="fr-CH"/>
        </w:rPr>
        <w:br/>
      </w:r>
      <w:r w:rsidRPr="00C249E0">
        <w:rPr>
          <w:lang w:val="fr-CH"/>
        </w:rPr>
        <w:t xml:space="preserve">les </w:t>
      </w:r>
      <w:r w:rsidRPr="00C249E0">
        <w:t>abonnements</w:t>
      </w:r>
      <w:r w:rsidRPr="00C249E0">
        <w:rPr>
          <w:webHidden/>
          <w:lang w:val="fr-CH"/>
        </w:rPr>
        <w:tab/>
      </w:r>
      <w:r>
        <w:rPr>
          <w:webHidden/>
          <w:lang w:val="fr-CH"/>
        </w:rPr>
        <w:tab/>
      </w:r>
      <w:r w:rsidRPr="00C249E0">
        <w:rPr>
          <w:webHidden/>
          <w:lang w:val="fr-CH"/>
        </w:rPr>
        <w:t>8</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Liste des </w:t>
      </w:r>
      <w:r w:rsidRPr="00C249E0">
        <w:t>numéros</w:t>
      </w:r>
      <w:r w:rsidRPr="00C249E0">
        <w:rPr>
          <w:lang w:val="fr-CH"/>
        </w:rPr>
        <w:t xml:space="preserve"> identificateurs d'entités émettrices pour  les cartes internationales de facturation</w:t>
      </w:r>
      <w:r>
        <w:rPr>
          <w:lang w:val="fr-CH"/>
        </w:rPr>
        <w:br/>
      </w:r>
      <w:r w:rsidRPr="00C249E0">
        <w:rPr>
          <w:lang w:val="fr-CH"/>
        </w:rPr>
        <w:t>des télécommunications</w:t>
      </w:r>
      <w:r w:rsidRPr="00C249E0">
        <w:rPr>
          <w:webHidden/>
          <w:lang w:val="fr-CH"/>
        </w:rPr>
        <w:tab/>
      </w:r>
      <w:r>
        <w:rPr>
          <w:webHidden/>
          <w:lang w:val="fr-CH"/>
        </w:rPr>
        <w:tab/>
      </w:r>
      <w:r w:rsidRPr="00C249E0">
        <w:rPr>
          <w:webHidden/>
          <w:lang w:val="fr-CH"/>
        </w:rPr>
        <w:t>10</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Liste des </w:t>
      </w:r>
      <w:r w:rsidRPr="00C249E0">
        <w:t>codes</w:t>
      </w:r>
      <w:r w:rsidRPr="00C249E0">
        <w:rPr>
          <w:lang w:val="fr-CH"/>
        </w:rPr>
        <w:t xml:space="preserve"> de points sémaphores internationaux (ISPC)</w:t>
      </w:r>
      <w:r w:rsidRPr="00C249E0">
        <w:rPr>
          <w:webHidden/>
          <w:lang w:val="fr-CH"/>
        </w:rPr>
        <w:tab/>
      </w:r>
      <w:r>
        <w:rPr>
          <w:webHidden/>
          <w:lang w:val="fr-CH"/>
        </w:rPr>
        <w:tab/>
      </w:r>
      <w:r w:rsidRPr="00C249E0">
        <w:rPr>
          <w:webHidden/>
          <w:lang w:val="fr-CH"/>
        </w:rPr>
        <w:t>10</w:t>
      </w:r>
    </w:p>
    <w:p w:rsidR="00C249E0" w:rsidRPr="00C249E0" w:rsidRDefault="00C249E0" w:rsidP="00C249E0">
      <w:pPr>
        <w:pStyle w:val="TOC1"/>
        <w:tabs>
          <w:tab w:val="center" w:leader="dot" w:pos="8505"/>
        </w:tabs>
        <w:rPr>
          <w:rFonts w:eastAsiaTheme="minorEastAsia"/>
          <w:lang w:val="fr-CH"/>
        </w:rPr>
      </w:pPr>
      <w:r w:rsidRPr="00C249E0">
        <w:rPr>
          <w:lang w:val="fr-CH"/>
        </w:rPr>
        <w:t xml:space="preserve">Plan de </w:t>
      </w:r>
      <w:r w:rsidRPr="00C249E0">
        <w:t>numérotage</w:t>
      </w:r>
      <w:r w:rsidRPr="00C249E0">
        <w:rPr>
          <w:lang w:val="fr-CH"/>
        </w:rPr>
        <w:t xml:space="preserve"> national</w:t>
      </w:r>
      <w:r w:rsidRPr="00C249E0">
        <w:rPr>
          <w:webHidden/>
          <w:lang w:val="fr-CH"/>
        </w:rPr>
        <w:tab/>
      </w:r>
      <w:r>
        <w:rPr>
          <w:webHidden/>
          <w:lang w:val="fr-CH"/>
        </w:rPr>
        <w:tab/>
      </w:r>
      <w:r w:rsidRPr="00C249E0">
        <w:rPr>
          <w:webHidden/>
          <w:lang w:val="fr-CH"/>
        </w:rPr>
        <w:t>11</w:t>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E04F01"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98" w:name="_Toc417551655"/>
      <w:bookmarkStart w:id="199" w:name="_Toc418172323"/>
      <w:bookmarkStart w:id="200" w:name="_Toc418590386"/>
      <w:bookmarkStart w:id="201" w:name="_Toc421025955"/>
      <w:bookmarkStart w:id="202" w:name="_Toc422401203"/>
      <w:bookmarkStart w:id="203" w:name="_Toc423525453"/>
      <w:bookmarkStart w:id="204" w:name="_Toc424821408"/>
      <w:bookmarkStart w:id="205" w:name="_Toc428366201"/>
      <w:bookmarkStart w:id="206" w:name="_Toc429043951"/>
      <w:bookmarkStart w:id="207" w:name="_Toc430351613"/>
      <w:bookmarkStart w:id="208" w:name="_Toc435101739"/>
      <w:bookmarkStart w:id="209" w:name="_Toc436994417"/>
      <w:bookmarkStart w:id="210" w:name="_Toc437951329"/>
      <w:bookmarkStart w:id="211" w:name="_Toc439770084"/>
      <w:bookmarkStart w:id="212" w:name="_Toc442697168"/>
      <w:bookmarkStart w:id="213" w:name="_Toc443314398"/>
      <w:bookmarkStart w:id="214" w:name="_Toc451159943"/>
      <w:bookmarkStart w:id="215" w:name="_Toc452042285"/>
      <w:bookmarkStart w:id="216" w:name="_Toc453246385"/>
      <w:bookmarkStart w:id="217" w:name="_Toc455568908"/>
      <w:bookmarkStart w:id="218" w:name="_Toc458763334"/>
      <w:bookmarkStart w:id="219" w:name="_Toc461613922"/>
      <w:bookmarkStart w:id="220" w:name="_Toc464028555"/>
      <w:bookmarkStart w:id="221" w:name="_Toc466292714"/>
      <w:bookmarkStart w:id="222" w:name="_Toc467229211"/>
      <w:bookmarkStart w:id="223" w:name="_Toc468199511"/>
      <w:bookmarkStart w:id="224" w:name="_Toc469058080"/>
      <w:bookmarkStart w:id="225" w:name="_Toc472413648"/>
      <w:bookmarkStart w:id="226" w:name="_Toc473107259"/>
      <w:bookmarkStart w:id="227" w:name="_Toc474850430"/>
      <w:bookmarkStart w:id="228" w:name="_Toc476061808"/>
      <w:bookmarkStart w:id="229" w:name="_Toc477355861"/>
      <w:bookmarkStart w:id="230" w:name="_Toc478045197"/>
      <w:bookmarkStart w:id="231" w:name="_Toc479170887"/>
      <w:bookmarkStart w:id="232" w:name="_Toc481736915"/>
      <w:bookmarkStart w:id="233" w:name="_Toc483991761"/>
      <w:bookmarkStart w:id="234" w:name="_Toc484612683"/>
      <w:bookmarkStart w:id="235" w:name="_Toc486861818"/>
      <w:bookmarkStart w:id="236" w:name="_Toc489604242"/>
      <w:bookmarkStart w:id="237" w:name="_Toc490733849"/>
      <w:bookmarkStart w:id="238" w:name="_Toc492473915"/>
      <w:bookmarkStart w:id="239" w:name="_Toc493239109"/>
      <w:bookmarkStart w:id="240" w:name="_Toc494706562"/>
      <w:bookmarkStart w:id="241" w:name="_Toc496867150"/>
      <w:bookmarkStart w:id="242" w:name="_Toc497466143"/>
      <w:bookmarkStart w:id="243" w:name="_Toc498510155"/>
      <w:bookmarkStart w:id="244" w:name="_Toc499892917"/>
      <w:bookmarkStart w:id="245" w:name="_Toc500928323"/>
      <w:bookmarkStart w:id="246" w:name="_Toc503278435"/>
      <w:bookmarkStart w:id="247" w:name="_Toc508115959"/>
      <w:bookmarkStart w:id="248" w:name="_Toc509306687"/>
      <w:bookmarkStart w:id="249" w:name="_Toc510616272"/>
      <w:bookmarkStart w:id="250" w:name="_Toc512954044"/>
      <w:bookmarkStart w:id="251" w:name="_Toc513554838"/>
      <w:r w:rsidRPr="00A61AFB">
        <w:rPr>
          <w:lang w:val="fr-FR"/>
        </w:rPr>
        <w:lastRenderedPageBreak/>
        <w:t>INFORMATION GÉNÉRALE</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61AFB" w:rsidRPr="003D52C3" w:rsidRDefault="00A61AFB" w:rsidP="004715C8">
      <w:pPr>
        <w:pStyle w:val="Heading2"/>
        <w:rPr>
          <w:lang w:val="fr-CH"/>
        </w:rPr>
      </w:pPr>
      <w:bookmarkStart w:id="252" w:name="_Toc417551656"/>
      <w:bookmarkStart w:id="253" w:name="_Toc418172324"/>
      <w:bookmarkStart w:id="254" w:name="_Toc418590387"/>
      <w:bookmarkStart w:id="255" w:name="_Toc421025956"/>
      <w:bookmarkStart w:id="256" w:name="_Toc422401204"/>
      <w:bookmarkStart w:id="257" w:name="_Toc423525454"/>
      <w:bookmarkStart w:id="258" w:name="_Toc424821409"/>
      <w:bookmarkStart w:id="259" w:name="_Toc428366202"/>
      <w:bookmarkStart w:id="260" w:name="_Toc429043952"/>
      <w:bookmarkStart w:id="261" w:name="_Toc430351614"/>
      <w:bookmarkStart w:id="262" w:name="_Toc435101740"/>
      <w:bookmarkStart w:id="263" w:name="_Toc436994418"/>
      <w:bookmarkStart w:id="264" w:name="_Toc437951330"/>
      <w:bookmarkStart w:id="265" w:name="_Toc439770085"/>
      <w:bookmarkStart w:id="266" w:name="_Toc442697169"/>
      <w:bookmarkStart w:id="267" w:name="_Toc443314399"/>
      <w:bookmarkStart w:id="268" w:name="_Toc451159944"/>
      <w:bookmarkStart w:id="269" w:name="_Toc452042286"/>
      <w:bookmarkStart w:id="270" w:name="_Toc453246386"/>
      <w:bookmarkStart w:id="271" w:name="_Toc455568909"/>
      <w:bookmarkStart w:id="272" w:name="_Toc458763335"/>
      <w:bookmarkStart w:id="273" w:name="_Toc461613923"/>
      <w:bookmarkStart w:id="274" w:name="_Toc464028556"/>
      <w:bookmarkStart w:id="275" w:name="_Toc466292715"/>
      <w:bookmarkStart w:id="276" w:name="_Toc467229212"/>
      <w:bookmarkStart w:id="277" w:name="_Toc468199512"/>
      <w:bookmarkStart w:id="278" w:name="_Toc469058081"/>
      <w:bookmarkStart w:id="279" w:name="_Toc472413649"/>
      <w:bookmarkStart w:id="280" w:name="_Toc473107260"/>
      <w:bookmarkStart w:id="281" w:name="_Toc474850431"/>
      <w:bookmarkStart w:id="282" w:name="_Toc476061809"/>
      <w:bookmarkStart w:id="283" w:name="_Toc477355862"/>
      <w:bookmarkStart w:id="284" w:name="_Toc478045198"/>
      <w:bookmarkStart w:id="285" w:name="_Toc479170888"/>
      <w:bookmarkStart w:id="286" w:name="_Toc481736916"/>
      <w:bookmarkStart w:id="287" w:name="_Toc483991762"/>
      <w:bookmarkStart w:id="288" w:name="_Toc484612684"/>
      <w:bookmarkStart w:id="289" w:name="_Toc486861819"/>
      <w:bookmarkStart w:id="290" w:name="_Toc489604243"/>
      <w:bookmarkStart w:id="291" w:name="_Toc490733850"/>
      <w:bookmarkStart w:id="292" w:name="_Toc492473916"/>
      <w:bookmarkStart w:id="293" w:name="_Toc493239110"/>
      <w:bookmarkStart w:id="294" w:name="_Toc494706563"/>
      <w:bookmarkStart w:id="295" w:name="_Toc496867151"/>
      <w:bookmarkStart w:id="296" w:name="_Toc497466144"/>
      <w:bookmarkStart w:id="297" w:name="_Toc498510156"/>
      <w:bookmarkStart w:id="298" w:name="_Toc499892918"/>
      <w:bookmarkStart w:id="299" w:name="_Toc500928324"/>
      <w:bookmarkStart w:id="300" w:name="_Toc503278436"/>
      <w:bookmarkStart w:id="301" w:name="_Toc508115960"/>
      <w:bookmarkStart w:id="302" w:name="_Toc509306688"/>
      <w:bookmarkStart w:id="303" w:name="_Toc510616273"/>
      <w:bookmarkStart w:id="304" w:name="_Toc512954045"/>
      <w:bookmarkStart w:id="305" w:name="_Toc513554839"/>
      <w:r w:rsidRPr="003D52C3">
        <w:rPr>
          <w:lang w:val="fr-CH"/>
        </w:rPr>
        <w:t>Listes annexées au Bulletin d'exploitation de l'UIT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06" w:name="_Toc262631799"/>
      <w:bookmarkStart w:id="307" w:name="_Toc253407143"/>
      <w:r>
        <w:rPr>
          <w:lang w:val="fr-CH"/>
        </w:rPr>
        <w:br w:type="page"/>
      </w:r>
    </w:p>
    <w:p w:rsidR="00E44EF2" w:rsidRPr="00E44EF2" w:rsidRDefault="00E44EF2" w:rsidP="00E44EF2">
      <w:pPr>
        <w:pStyle w:val="Heading2"/>
        <w:rPr>
          <w:lang w:val="fr-CH"/>
        </w:rPr>
      </w:pPr>
      <w:bookmarkStart w:id="308" w:name="_Toc512954046"/>
      <w:bookmarkStart w:id="309" w:name="_Toc513554840"/>
      <w:bookmarkStart w:id="310" w:name="_Toc215907216"/>
      <w:r w:rsidRPr="00E44EF2">
        <w:rPr>
          <w:lang w:val="fr-CH"/>
        </w:rPr>
        <w:lastRenderedPageBreak/>
        <w:t>Approbation de Recommandations UIT-T</w:t>
      </w:r>
      <w:bookmarkEnd w:id="308"/>
      <w:bookmarkEnd w:id="309"/>
    </w:p>
    <w:p w:rsidR="00AC7FF8" w:rsidRPr="00AC7FF8" w:rsidRDefault="00AC7FF8" w:rsidP="00AC7FF8">
      <w:pPr>
        <w:pStyle w:val="Normalaftertitle"/>
        <w:rPr>
          <w:lang w:val="fr-FR"/>
        </w:rPr>
      </w:pPr>
      <w:r w:rsidRPr="00AC7FF8">
        <w:rPr>
          <w:lang w:val="fr-FR"/>
        </w:rPr>
        <w:t xml:space="preserve">Par AAP-32, il a été annoncé l’approbation des Recommandations UIT-T suivantes, conformément à la procédure définie dans la Recommandation UIT-T </w:t>
      </w:r>
      <w:proofErr w:type="gramStart"/>
      <w:r w:rsidRPr="00AC7FF8">
        <w:rPr>
          <w:lang w:val="fr-FR"/>
        </w:rPr>
        <w:t>A.8:</w:t>
      </w:r>
      <w:proofErr w:type="gramEnd"/>
    </w:p>
    <w:p w:rsidR="00AC7FF8" w:rsidRPr="00AC7FF8" w:rsidRDefault="00AC7FF8" w:rsidP="00AC7FF8">
      <w:pPr>
        <w:jc w:val="left"/>
        <w:rPr>
          <w:lang w:val="fr-FR"/>
        </w:rPr>
      </w:pPr>
      <w:r w:rsidRPr="00AC7FF8">
        <w:rPr>
          <w:lang w:val="fr-FR"/>
        </w:rPr>
        <w:t>–</w:t>
      </w:r>
      <w:r>
        <w:rPr>
          <w:lang w:val="fr-FR"/>
        </w:rPr>
        <w:tab/>
      </w:r>
      <w:r w:rsidRPr="00AC7FF8">
        <w:rPr>
          <w:lang w:val="fr-FR"/>
        </w:rPr>
        <w:t>ITU-T F.930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ind w:left="567" w:hanging="567"/>
        <w:jc w:val="left"/>
        <w:rPr>
          <w:lang w:val="fr-FR"/>
        </w:rPr>
      </w:pPr>
      <w:r w:rsidRPr="00AC7FF8">
        <w:rPr>
          <w:lang w:val="fr-FR"/>
        </w:rPr>
        <w:t>–</w:t>
      </w:r>
      <w:r>
        <w:rPr>
          <w:lang w:val="fr-FR"/>
        </w:rPr>
        <w:tab/>
      </w:r>
      <w:r w:rsidRPr="00AC7FF8">
        <w:rPr>
          <w:lang w:val="fr-FR"/>
        </w:rPr>
        <w:t>ITU-T G.650.1 (03/2018</w:t>
      </w:r>
      <w:proofErr w:type="gramStart"/>
      <w:r w:rsidRPr="00AC7FF8">
        <w:rPr>
          <w:lang w:val="fr-FR"/>
        </w:rPr>
        <w:t>):</w:t>
      </w:r>
      <w:proofErr w:type="gramEnd"/>
      <w:r w:rsidRPr="00AC7FF8">
        <w:rPr>
          <w:lang w:val="fr-FR"/>
        </w:rPr>
        <w:t xml:space="preserve"> Définitions et méthodes de test applicables aux attributs linéaires déterministes des fibres et câbles optiques monomodes</w:t>
      </w:r>
    </w:p>
    <w:p w:rsidR="00AC7FF8" w:rsidRPr="00AC7FF8" w:rsidRDefault="00AC7FF8" w:rsidP="00AC7FF8">
      <w:pPr>
        <w:jc w:val="left"/>
        <w:rPr>
          <w:lang w:val="fr-FR"/>
        </w:rPr>
      </w:pPr>
      <w:r w:rsidRPr="00AC7FF8">
        <w:rPr>
          <w:lang w:val="fr-FR"/>
        </w:rPr>
        <w:t>–</w:t>
      </w:r>
      <w:r>
        <w:rPr>
          <w:lang w:val="fr-FR"/>
        </w:rPr>
        <w:tab/>
      </w:r>
      <w:r w:rsidRPr="00AC7FF8">
        <w:rPr>
          <w:lang w:val="fr-FR"/>
        </w:rPr>
        <w:t>ITU-T G.698.4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G.808 (2016)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ITU-T G.993.5 (2015) Cor. 2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G.994.1 (2017) </w:t>
      </w:r>
      <w:proofErr w:type="spellStart"/>
      <w:r w:rsidRPr="00AC7FF8">
        <w:rPr>
          <w:lang w:val="fr-FR"/>
        </w:rPr>
        <w:t>Amd</w:t>
      </w:r>
      <w:proofErr w:type="spellEnd"/>
      <w:r w:rsidRPr="00AC7FF8">
        <w:rPr>
          <w:lang w:val="fr-FR"/>
        </w:rPr>
        <w:t>. 2 (03/2018)</w:t>
      </w:r>
    </w:p>
    <w:p w:rsidR="00AC7FF8" w:rsidRPr="00AC7FF8" w:rsidRDefault="00AC7FF8" w:rsidP="00AC7FF8">
      <w:pPr>
        <w:jc w:val="left"/>
        <w:rPr>
          <w:lang w:val="fr-FR"/>
        </w:rPr>
      </w:pPr>
      <w:r w:rsidRPr="00AC7FF8">
        <w:rPr>
          <w:lang w:val="fr-FR"/>
        </w:rPr>
        <w:t>–</w:t>
      </w:r>
      <w:r>
        <w:rPr>
          <w:lang w:val="fr-FR"/>
        </w:rPr>
        <w:tab/>
      </w:r>
      <w:r w:rsidRPr="00AC7FF8">
        <w:rPr>
          <w:lang w:val="fr-FR"/>
        </w:rPr>
        <w:t>ITU-T G.997.1 (2016) Cor. 1 (03/2018)</w:t>
      </w:r>
    </w:p>
    <w:p w:rsidR="00AC7FF8" w:rsidRPr="00AC7FF8" w:rsidRDefault="00AC7FF8" w:rsidP="00AC7FF8">
      <w:pPr>
        <w:jc w:val="left"/>
        <w:rPr>
          <w:lang w:val="fr-FR"/>
        </w:rPr>
      </w:pPr>
      <w:r w:rsidRPr="00AC7FF8">
        <w:rPr>
          <w:lang w:val="fr-FR"/>
        </w:rPr>
        <w:t>–</w:t>
      </w:r>
      <w:r>
        <w:rPr>
          <w:lang w:val="fr-FR"/>
        </w:rPr>
        <w:tab/>
      </w:r>
      <w:r w:rsidRPr="00AC7FF8">
        <w:rPr>
          <w:lang w:val="fr-FR"/>
        </w:rPr>
        <w:t>ITU-T G.997.2 (2015) Cor. 4 (03/2018)</w:t>
      </w:r>
    </w:p>
    <w:p w:rsidR="00AC7FF8" w:rsidRPr="00AC7FF8" w:rsidRDefault="00AC7FF8" w:rsidP="00AC7FF8">
      <w:pPr>
        <w:jc w:val="left"/>
        <w:rPr>
          <w:lang w:val="fr-FR"/>
        </w:rPr>
      </w:pPr>
      <w:r w:rsidRPr="00AC7FF8">
        <w:rPr>
          <w:lang w:val="fr-FR"/>
        </w:rPr>
        <w:t>–</w:t>
      </w:r>
      <w:r>
        <w:rPr>
          <w:lang w:val="fr-FR"/>
        </w:rPr>
        <w:tab/>
      </w:r>
      <w:r w:rsidRPr="00AC7FF8">
        <w:rPr>
          <w:lang w:val="fr-FR"/>
        </w:rPr>
        <w:t>ITU-T G.998.2 (2005) Cor. 1 (03/2018)</w:t>
      </w:r>
    </w:p>
    <w:p w:rsidR="00AC7FF8" w:rsidRPr="00AC7FF8" w:rsidRDefault="00AC7FF8" w:rsidP="00AC7FF8">
      <w:pPr>
        <w:jc w:val="left"/>
        <w:rPr>
          <w:lang w:val="fr-FR"/>
        </w:rPr>
      </w:pPr>
      <w:r w:rsidRPr="00AC7FF8">
        <w:rPr>
          <w:lang w:val="fr-FR"/>
        </w:rPr>
        <w:t>–</w:t>
      </w:r>
      <w:r>
        <w:rPr>
          <w:lang w:val="fr-FR"/>
        </w:rPr>
        <w:tab/>
      </w:r>
      <w:r w:rsidRPr="00AC7FF8">
        <w:rPr>
          <w:lang w:val="fr-FR"/>
        </w:rPr>
        <w:t>ITU-T G.7041/Y.1303 (2016) Cor.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G.7701 (2016)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ITU-T G.7702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t>–</w:t>
      </w:r>
      <w:r>
        <w:rPr>
          <w:lang w:val="fr-FR"/>
        </w:rPr>
        <w:tab/>
      </w:r>
      <w:r w:rsidRPr="00AC7FF8">
        <w:rPr>
          <w:lang w:val="fr-FR"/>
        </w:rPr>
        <w:t>ITU-T G.7711/Y.1702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–Texte révisé</w:t>
      </w:r>
    </w:p>
    <w:p w:rsidR="00AC7FF8" w:rsidRPr="00AC7FF8" w:rsidRDefault="00AC7FF8" w:rsidP="00AC7FF8">
      <w:pPr>
        <w:jc w:val="left"/>
        <w:rPr>
          <w:lang w:val="fr-FR"/>
        </w:rPr>
      </w:pPr>
      <w:r w:rsidRPr="00AC7FF8">
        <w:rPr>
          <w:lang w:val="fr-FR"/>
        </w:rPr>
        <w:t>–</w:t>
      </w:r>
      <w:r>
        <w:rPr>
          <w:lang w:val="fr-FR"/>
        </w:rPr>
        <w:tab/>
      </w:r>
      <w:r w:rsidRPr="00AC7FF8">
        <w:rPr>
          <w:lang w:val="fr-FR"/>
        </w:rPr>
        <w:t>ITU-T G.8013/Y.1731 (2015) Cor.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G.8031/Y.1342 (2015) </w:t>
      </w:r>
      <w:proofErr w:type="spellStart"/>
      <w:r w:rsidRPr="00AC7FF8">
        <w:rPr>
          <w:lang w:val="fr-FR"/>
        </w:rPr>
        <w:t>Amd</w:t>
      </w:r>
      <w:proofErr w:type="spellEnd"/>
      <w:r w:rsidRPr="00AC7FF8">
        <w:rPr>
          <w:lang w:val="fr-FR"/>
        </w:rPr>
        <w:t>. 1 (03/2018)</w:t>
      </w:r>
    </w:p>
    <w:p w:rsidR="00AC7FF8" w:rsidRPr="00AC7FF8" w:rsidRDefault="00AC7FF8" w:rsidP="00AC7FF8">
      <w:pPr>
        <w:ind w:left="567" w:hanging="567"/>
        <w:jc w:val="left"/>
        <w:rPr>
          <w:lang w:val="fr-FR"/>
        </w:rPr>
      </w:pPr>
      <w:r w:rsidRPr="00AC7FF8">
        <w:rPr>
          <w:lang w:val="fr-FR"/>
        </w:rPr>
        <w:t>–</w:t>
      </w:r>
      <w:r>
        <w:rPr>
          <w:lang w:val="fr-FR"/>
        </w:rPr>
        <w:tab/>
      </w:r>
      <w:r w:rsidRPr="00AC7FF8">
        <w:rPr>
          <w:lang w:val="fr-FR"/>
        </w:rPr>
        <w:t>ITU-T G.8051/Y.1345 (03/2018</w:t>
      </w:r>
      <w:proofErr w:type="gramStart"/>
      <w:r w:rsidRPr="00AC7FF8">
        <w:rPr>
          <w:lang w:val="fr-FR"/>
        </w:rPr>
        <w:t>):</w:t>
      </w:r>
      <w:proofErr w:type="gramEnd"/>
      <w:r w:rsidRPr="00AC7FF8">
        <w:rPr>
          <w:lang w:val="fr-FR"/>
        </w:rPr>
        <w:t xml:space="preserve"> Aspects de gestion des éléments de réseau capables d'assurer un transport Ethernet</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G.8264/Y.1364 (2017)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G.8266/Y.1376 (2016)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G.8271/Y.1366 (2017)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G.8271.1/Y.1366.1 (2017)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G.8271.2/Y.1366.2 (2017) </w:t>
      </w:r>
      <w:proofErr w:type="spellStart"/>
      <w:r w:rsidRPr="00AC7FF8">
        <w:rPr>
          <w:lang w:val="fr-FR"/>
        </w:rPr>
        <w:t>Amd</w:t>
      </w:r>
      <w:proofErr w:type="spellEnd"/>
      <w:r w:rsidRPr="00AC7FF8">
        <w:rPr>
          <w:lang w:val="fr-FR"/>
        </w:rPr>
        <w:t>. 1 (03/2018)</w:t>
      </w:r>
    </w:p>
    <w:p w:rsidR="00AC7FF8" w:rsidRPr="00AC7FF8" w:rsidRDefault="00AC7FF8" w:rsidP="00AC7FF8">
      <w:pPr>
        <w:jc w:val="left"/>
        <w:rPr>
          <w:lang w:val="fr-FR"/>
        </w:rPr>
      </w:pPr>
      <w:r w:rsidRPr="00AC7FF8">
        <w:rPr>
          <w:lang w:val="fr-FR"/>
        </w:rPr>
        <w:t>–</w:t>
      </w:r>
      <w:r>
        <w:rPr>
          <w:lang w:val="fr-FR"/>
        </w:rPr>
        <w:tab/>
      </w:r>
      <w:r w:rsidRPr="00AC7FF8">
        <w:rPr>
          <w:lang w:val="fr-FR"/>
        </w:rPr>
        <w:t>ITU-T G.8273/Y.1368 (03/2018</w:t>
      </w:r>
      <w:proofErr w:type="gramStart"/>
      <w:r w:rsidRPr="00AC7FF8">
        <w:rPr>
          <w:lang w:val="fr-FR"/>
        </w:rPr>
        <w:t>):</w:t>
      </w:r>
      <w:proofErr w:type="gramEnd"/>
      <w:r w:rsidRPr="00AC7FF8">
        <w:rPr>
          <w:lang w:val="fr-FR"/>
        </w:rPr>
        <w:t xml:space="preserve"> Cadre applicable aux horloges de phase et de temps</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G.8275.1/Y.1369.1 (2016) </w:t>
      </w:r>
      <w:proofErr w:type="spellStart"/>
      <w:r w:rsidRPr="00AC7FF8">
        <w:rPr>
          <w:lang w:val="fr-FR"/>
        </w:rPr>
        <w:t>Amd</w:t>
      </w:r>
      <w:proofErr w:type="spellEnd"/>
      <w:r w:rsidRPr="00AC7FF8">
        <w:rPr>
          <w:lang w:val="fr-FR"/>
        </w:rPr>
        <w:t>. 2 (03/2018)</w:t>
      </w:r>
    </w:p>
    <w:p w:rsidR="00AC7FF8" w:rsidRPr="00AC7FF8" w:rsidRDefault="00AC7FF8" w:rsidP="00AC7FF8">
      <w:pPr>
        <w:jc w:val="left"/>
        <w:rPr>
          <w:lang w:val="fr-FR"/>
        </w:rPr>
      </w:pPr>
      <w:r w:rsidRPr="00AC7FF8">
        <w:rPr>
          <w:lang w:val="fr-FR"/>
        </w:rPr>
        <w:t>–</w:t>
      </w:r>
      <w:r>
        <w:rPr>
          <w:lang w:val="fr-FR"/>
        </w:rPr>
        <w:tab/>
      </w:r>
      <w:r w:rsidRPr="00AC7FF8">
        <w:rPr>
          <w:lang w:val="fr-FR"/>
        </w:rPr>
        <w:t xml:space="preserve">ITU-T G.8275.2/Y.1369.2 (2016) </w:t>
      </w:r>
      <w:proofErr w:type="spellStart"/>
      <w:r w:rsidRPr="00AC7FF8">
        <w:rPr>
          <w:lang w:val="fr-FR"/>
        </w:rPr>
        <w:t>Amd</w:t>
      </w:r>
      <w:proofErr w:type="spellEnd"/>
      <w:r w:rsidRPr="00AC7FF8">
        <w:rPr>
          <w:lang w:val="fr-FR"/>
        </w:rPr>
        <w:t>. 2 (03/2018)</w:t>
      </w:r>
    </w:p>
    <w:p w:rsidR="00AC7FF8" w:rsidRPr="00AC7FF8" w:rsidRDefault="00AC7FF8" w:rsidP="00AC7FF8">
      <w:pPr>
        <w:jc w:val="left"/>
        <w:rPr>
          <w:lang w:val="fr-FR"/>
        </w:rPr>
      </w:pPr>
      <w:r w:rsidRPr="00AC7FF8">
        <w:rPr>
          <w:lang w:val="fr-FR"/>
        </w:rPr>
        <w:t xml:space="preserve">– </w:t>
      </w:r>
      <w:r>
        <w:rPr>
          <w:lang w:val="fr-FR"/>
        </w:rPr>
        <w:tab/>
      </w:r>
      <w:r w:rsidRPr="00AC7FF8">
        <w:rPr>
          <w:lang w:val="fr-FR"/>
        </w:rPr>
        <w:t>ITU-T G.9958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t>–</w:t>
      </w:r>
      <w:r>
        <w:rPr>
          <w:lang w:val="fr-FR"/>
        </w:rPr>
        <w:tab/>
      </w:r>
      <w:r w:rsidRPr="00AC7FF8">
        <w:rPr>
          <w:lang w:val="fr-FR"/>
        </w:rPr>
        <w:t>ITU-T G.9960 (2015) Cor. 4 (03/2018)</w:t>
      </w:r>
    </w:p>
    <w:p w:rsidR="00AC7FF8" w:rsidRPr="00AC7FF8" w:rsidRDefault="00AC7FF8" w:rsidP="00AC7FF8">
      <w:pPr>
        <w:jc w:val="left"/>
        <w:rPr>
          <w:lang w:val="fr-FR"/>
        </w:rPr>
      </w:pPr>
      <w:r w:rsidRPr="00AC7FF8">
        <w:rPr>
          <w:lang w:val="fr-FR"/>
        </w:rPr>
        <w:t>–</w:t>
      </w:r>
      <w:r>
        <w:rPr>
          <w:lang w:val="fr-FR"/>
        </w:rPr>
        <w:tab/>
      </w:r>
      <w:r w:rsidRPr="00AC7FF8">
        <w:rPr>
          <w:lang w:val="fr-FR"/>
        </w:rPr>
        <w:t>ITU-T H.861.1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ind w:left="567" w:hanging="567"/>
        <w:jc w:val="left"/>
        <w:rPr>
          <w:lang w:val="fr-FR"/>
        </w:rPr>
      </w:pPr>
      <w:r w:rsidRPr="00AC7FF8">
        <w:rPr>
          <w:lang w:val="fr-FR"/>
        </w:rPr>
        <w:t>–</w:t>
      </w:r>
      <w:r>
        <w:rPr>
          <w:lang w:val="fr-FR"/>
        </w:rPr>
        <w:tab/>
      </w:r>
      <w:r w:rsidRPr="00AC7FF8">
        <w:rPr>
          <w:lang w:val="fr-FR"/>
        </w:rPr>
        <w:t>ITU-T J.207 (03/2018</w:t>
      </w:r>
      <w:proofErr w:type="gramStart"/>
      <w:r w:rsidRPr="00AC7FF8">
        <w:rPr>
          <w:lang w:val="fr-FR"/>
        </w:rPr>
        <w:t>):</w:t>
      </w:r>
      <w:proofErr w:type="gramEnd"/>
      <w:r w:rsidRPr="00AC7FF8">
        <w:rPr>
          <w:lang w:val="fr-FR"/>
        </w:rPr>
        <w:t xml:space="preserve"> Spécification d'un cadre de commande d'applications de télévision numérique avec intégration de la radiodiffusion et du large bande </w:t>
      </w:r>
    </w:p>
    <w:p w:rsidR="00AC7FF8" w:rsidRPr="00AC7FF8" w:rsidRDefault="00AC7FF8" w:rsidP="00AC7FF8">
      <w:pPr>
        <w:ind w:left="567" w:hanging="567"/>
        <w:jc w:val="left"/>
        <w:rPr>
          <w:lang w:val="fr-FR"/>
        </w:rPr>
      </w:pPr>
      <w:r w:rsidRPr="00AC7FF8">
        <w:rPr>
          <w:lang w:val="fr-FR"/>
        </w:rPr>
        <w:t>–</w:t>
      </w:r>
      <w:r>
        <w:rPr>
          <w:lang w:val="fr-FR"/>
        </w:rPr>
        <w:tab/>
      </w:r>
      <w:r w:rsidRPr="00AC7FF8">
        <w:rPr>
          <w:lang w:val="fr-FR"/>
        </w:rPr>
        <w:t>ITU-T J.297 (03/2018</w:t>
      </w:r>
      <w:proofErr w:type="gramStart"/>
      <w:r w:rsidRPr="00AC7FF8">
        <w:rPr>
          <w:lang w:val="fr-FR"/>
        </w:rPr>
        <w:t>):</w:t>
      </w:r>
      <w:proofErr w:type="gramEnd"/>
      <w:r w:rsidRPr="00AC7FF8">
        <w:rPr>
          <w:lang w:val="fr-FR"/>
        </w:rPr>
        <w:t xml:space="preserve"> Exigences et spécification fonctionnelle du décodeur de télévision par câble pour la télévision à ultra-haute définition 4K </w:t>
      </w:r>
    </w:p>
    <w:p w:rsidR="00AC7FF8" w:rsidRPr="00AC7FF8" w:rsidRDefault="00AC7FF8" w:rsidP="00AC7FF8">
      <w:pPr>
        <w:ind w:left="567" w:hanging="567"/>
        <w:jc w:val="left"/>
        <w:rPr>
          <w:lang w:val="fr-FR"/>
        </w:rPr>
      </w:pPr>
      <w:r w:rsidRPr="00AC7FF8">
        <w:rPr>
          <w:lang w:val="fr-FR"/>
        </w:rPr>
        <w:t>–</w:t>
      </w:r>
      <w:r>
        <w:rPr>
          <w:lang w:val="fr-FR"/>
        </w:rPr>
        <w:tab/>
      </w:r>
      <w:r w:rsidRPr="00AC7FF8">
        <w:rPr>
          <w:lang w:val="fr-FR"/>
        </w:rPr>
        <w:t>ITU-T J.382 (03/2018</w:t>
      </w:r>
      <w:proofErr w:type="gramStart"/>
      <w:r w:rsidRPr="00AC7FF8">
        <w:rPr>
          <w:lang w:val="fr-FR"/>
        </w:rPr>
        <w:t>):</w:t>
      </w:r>
      <w:proofErr w:type="gramEnd"/>
      <w:r w:rsidRPr="00AC7FF8">
        <w:rPr>
          <w:lang w:val="fr-FR"/>
        </w:rPr>
        <w:t xml:space="preserve"> Systèmes évolués de transmission numérique vers l'aval de services télévisuels, radiophoniques et de données pour la distribution par câble</w:t>
      </w:r>
    </w:p>
    <w:p w:rsidR="00AC7FF8" w:rsidRPr="00AC7FF8" w:rsidRDefault="00AC7FF8" w:rsidP="00AC7FF8">
      <w:pPr>
        <w:jc w:val="left"/>
        <w:rPr>
          <w:lang w:val="fr-FR"/>
        </w:rPr>
      </w:pPr>
      <w:r w:rsidRPr="00AC7FF8">
        <w:rPr>
          <w:lang w:val="fr-FR"/>
        </w:rPr>
        <w:t>–</w:t>
      </w:r>
      <w:r>
        <w:rPr>
          <w:lang w:val="fr-FR"/>
        </w:rPr>
        <w:tab/>
      </w:r>
      <w:r w:rsidRPr="00AC7FF8">
        <w:rPr>
          <w:lang w:val="fr-FR"/>
        </w:rPr>
        <w:t>ITU-T J.1107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lastRenderedPageBreak/>
        <w:t>–</w:t>
      </w:r>
      <w:r>
        <w:rPr>
          <w:lang w:val="fr-FR"/>
        </w:rPr>
        <w:tab/>
      </w:r>
      <w:r w:rsidRPr="00AC7FF8">
        <w:rPr>
          <w:lang w:val="fr-FR"/>
        </w:rPr>
        <w:t>ITU-T L.108 (03/2018</w:t>
      </w:r>
      <w:proofErr w:type="gramStart"/>
      <w:r w:rsidRPr="00AC7FF8">
        <w:rPr>
          <w:lang w:val="fr-FR"/>
        </w:rPr>
        <w:t>):</w:t>
      </w:r>
      <w:proofErr w:type="gramEnd"/>
      <w:r w:rsidRPr="00AC7FF8">
        <w:rPr>
          <w:lang w:val="fr-FR"/>
        </w:rPr>
        <w:t xml:space="preserve"> Éléments des câbles à fibres optiques pour installation par soufflage en </w:t>
      </w:r>
      <w:proofErr w:type="spellStart"/>
      <w:r w:rsidRPr="00AC7FF8">
        <w:rPr>
          <w:lang w:val="fr-FR"/>
        </w:rPr>
        <w:t>microconduites</w:t>
      </w:r>
      <w:proofErr w:type="spellEnd"/>
    </w:p>
    <w:p w:rsidR="00AC7FF8" w:rsidRPr="00AC7FF8" w:rsidRDefault="00AC7FF8" w:rsidP="00AC7FF8">
      <w:pPr>
        <w:jc w:val="left"/>
        <w:rPr>
          <w:lang w:val="fr-FR"/>
        </w:rPr>
      </w:pPr>
      <w:r w:rsidRPr="00AC7FF8">
        <w:rPr>
          <w:lang w:val="fr-FR"/>
        </w:rPr>
        <w:t>–</w:t>
      </w:r>
      <w:r>
        <w:rPr>
          <w:lang w:val="fr-FR"/>
        </w:rPr>
        <w:tab/>
      </w:r>
      <w:r w:rsidRPr="00AC7FF8">
        <w:rPr>
          <w:lang w:val="fr-FR"/>
        </w:rPr>
        <w:t>ITU-T L.156 (03/2018</w:t>
      </w:r>
      <w:proofErr w:type="gramStart"/>
      <w:r w:rsidRPr="00AC7FF8">
        <w:rPr>
          <w:lang w:val="fr-FR"/>
        </w:rPr>
        <w:t>):</w:t>
      </w:r>
      <w:proofErr w:type="gramEnd"/>
      <w:r w:rsidRPr="00AC7FF8">
        <w:rPr>
          <w:lang w:val="fr-FR"/>
        </w:rPr>
        <w:t xml:space="preserve"> Installation des câbles à fibres optiques par soufflage</w:t>
      </w:r>
    </w:p>
    <w:p w:rsidR="00AC7FF8" w:rsidRPr="00AC7FF8" w:rsidRDefault="00AC7FF8" w:rsidP="00AC7FF8">
      <w:pPr>
        <w:jc w:val="left"/>
        <w:rPr>
          <w:lang w:val="fr-FR"/>
        </w:rPr>
      </w:pPr>
      <w:r w:rsidRPr="00AC7FF8">
        <w:rPr>
          <w:lang w:val="fr-FR"/>
        </w:rPr>
        <w:t>–</w:t>
      </w:r>
      <w:r>
        <w:rPr>
          <w:lang w:val="fr-FR"/>
        </w:rPr>
        <w:tab/>
      </w:r>
      <w:r w:rsidRPr="00AC7FF8">
        <w:rPr>
          <w:lang w:val="fr-FR"/>
        </w:rPr>
        <w:t>ITU-T L.207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t>–</w:t>
      </w:r>
      <w:r>
        <w:rPr>
          <w:lang w:val="fr-FR"/>
        </w:rPr>
        <w:tab/>
      </w:r>
      <w:r w:rsidRPr="00AC7FF8">
        <w:rPr>
          <w:lang w:val="fr-FR"/>
        </w:rPr>
        <w:t>ITU-T L.315 (03/2018</w:t>
      </w:r>
      <w:proofErr w:type="gramStart"/>
      <w:r w:rsidRPr="00AC7FF8">
        <w:rPr>
          <w:lang w:val="fr-FR"/>
        </w:rPr>
        <w:t>):</w:t>
      </w:r>
      <w:proofErr w:type="gramEnd"/>
      <w:r w:rsidRPr="00AC7FF8">
        <w:rPr>
          <w:lang w:val="fr-FR"/>
        </w:rPr>
        <w:t xml:space="preserve"> </w:t>
      </w:r>
      <w:r w:rsidRPr="00AC7FF8">
        <w:rPr>
          <w:rFonts w:cs="Arial"/>
          <w:i/>
          <w:iCs/>
          <w:lang w:val="fr-CH"/>
        </w:rPr>
        <w:t>Traduction non disponible – Nouveau texte</w:t>
      </w:r>
    </w:p>
    <w:p w:rsidR="00AC7FF8" w:rsidRPr="00AC7FF8" w:rsidRDefault="00AC7FF8" w:rsidP="00AC7FF8">
      <w:pPr>
        <w:jc w:val="left"/>
        <w:rPr>
          <w:lang w:val="fr-FR"/>
        </w:rPr>
      </w:pPr>
      <w:r w:rsidRPr="00AC7FF8">
        <w:rPr>
          <w:lang w:val="fr-FR"/>
        </w:rPr>
        <w:t>–</w:t>
      </w:r>
      <w:r>
        <w:rPr>
          <w:lang w:val="fr-FR"/>
        </w:rPr>
        <w:tab/>
      </w:r>
      <w:r w:rsidRPr="00AC7FF8">
        <w:rPr>
          <w:lang w:val="fr-FR"/>
        </w:rPr>
        <w:t>ITU-T P.862 (2001) Cor. 2 (03/2018)</w:t>
      </w:r>
    </w:p>
    <w:p w:rsidR="00AC7FF8" w:rsidRPr="00AC7FF8" w:rsidRDefault="00AC7FF8" w:rsidP="00AC7FF8">
      <w:pPr>
        <w:jc w:val="left"/>
        <w:rPr>
          <w:lang w:val="fr-FR"/>
        </w:rPr>
      </w:pPr>
      <w:r w:rsidRPr="00AC7FF8">
        <w:rPr>
          <w:lang w:val="fr-FR"/>
        </w:rPr>
        <w:t>–</w:t>
      </w:r>
      <w:r>
        <w:rPr>
          <w:lang w:val="fr-FR"/>
        </w:rPr>
        <w:tab/>
      </w:r>
      <w:r w:rsidRPr="00AC7FF8">
        <w:rPr>
          <w:lang w:val="fr-FR"/>
        </w:rPr>
        <w:t>ITU-T P.863 (03/2018</w:t>
      </w:r>
      <w:proofErr w:type="gramStart"/>
      <w:r w:rsidRPr="00AC7FF8">
        <w:rPr>
          <w:lang w:val="fr-FR"/>
        </w:rPr>
        <w:t>):</w:t>
      </w:r>
      <w:proofErr w:type="gramEnd"/>
      <w:r w:rsidRPr="00AC7FF8">
        <w:rPr>
          <w:lang w:val="fr-FR"/>
        </w:rPr>
        <w:t xml:space="preserve"> Evaluation objective de la qualité d'écoute perçue</w:t>
      </w:r>
    </w:p>
    <w:p w:rsidR="00BC6E49" w:rsidRDefault="00BC6E49" w:rsidP="00E44EF2">
      <w:pPr>
        <w:rPr>
          <w:lang w:val="fr-FR"/>
        </w:rPr>
      </w:pPr>
    </w:p>
    <w:p w:rsidR="00AC7FF8" w:rsidRDefault="00AC7FF8" w:rsidP="00E44EF2">
      <w:pPr>
        <w:rPr>
          <w:lang w:val="fr-FR"/>
        </w:rPr>
      </w:pPr>
    </w:p>
    <w:p w:rsidR="00AC7FF8" w:rsidRPr="00AC7FF8" w:rsidRDefault="00AC7FF8" w:rsidP="00AC7FF8">
      <w:pPr>
        <w:pStyle w:val="Heading20"/>
        <w:spacing w:before="0"/>
        <w:rPr>
          <w:sz w:val="28"/>
          <w:szCs w:val="28"/>
          <w:lang w:val="fr-CH"/>
        </w:rPr>
      </w:pPr>
      <w:bookmarkStart w:id="311" w:name="lt_pId000"/>
      <w:bookmarkStart w:id="312" w:name="_Toc467767049"/>
      <w:bookmarkStart w:id="313" w:name="_Toc477169047"/>
      <w:bookmarkStart w:id="314" w:name="_Toc478464749"/>
      <w:bookmarkStart w:id="315" w:name="_Toc479671292"/>
      <w:bookmarkStart w:id="316" w:name="_Toc480897846"/>
      <w:bookmarkStart w:id="317" w:name="_Toc485117050"/>
      <w:bookmarkStart w:id="318" w:name="_Toc489604249"/>
      <w:bookmarkStart w:id="319" w:name="_Toc513554841"/>
      <w:r w:rsidRPr="00AC7FF8">
        <w:rPr>
          <w:sz w:val="28"/>
          <w:szCs w:val="28"/>
          <w:lang w:val="fr-CH"/>
        </w:rPr>
        <w:t xml:space="preserve">Service </w:t>
      </w:r>
      <w:bookmarkEnd w:id="311"/>
      <w:proofErr w:type="gramStart"/>
      <w:r w:rsidRPr="00AC7FF8">
        <w:rPr>
          <w:sz w:val="28"/>
          <w:szCs w:val="28"/>
          <w:lang w:val="fr-CH"/>
        </w:rPr>
        <w:t>téléphonique</w:t>
      </w:r>
      <w:proofErr w:type="gramEnd"/>
      <w:r w:rsidRPr="00AC7FF8">
        <w:rPr>
          <w:sz w:val="28"/>
          <w:szCs w:val="28"/>
          <w:lang w:val="fr-CH"/>
        </w:rPr>
        <w:br/>
        <w:t>(Recommandation UIT-T E.164)</w:t>
      </w:r>
      <w:bookmarkEnd w:id="312"/>
      <w:bookmarkEnd w:id="313"/>
      <w:bookmarkEnd w:id="314"/>
      <w:bookmarkEnd w:id="315"/>
      <w:bookmarkEnd w:id="316"/>
      <w:bookmarkEnd w:id="317"/>
      <w:bookmarkEnd w:id="318"/>
      <w:bookmarkEnd w:id="319"/>
    </w:p>
    <w:p w:rsidR="00AC7FF8" w:rsidRPr="004D5A55" w:rsidRDefault="00AC7FF8" w:rsidP="00AC7FF8">
      <w:pPr>
        <w:tabs>
          <w:tab w:val="left" w:pos="794"/>
          <w:tab w:val="left" w:pos="1191"/>
          <w:tab w:val="left" w:pos="1588"/>
          <w:tab w:val="left" w:pos="1985"/>
          <w:tab w:val="left" w:pos="2160"/>
          <w:tab w:val="left" w:pos="2430"/>
        </w:tabs>
        <w:spacing w:before="0" w:line="280" w:lineRule="exact"/>
        <w:jc w:val="center"/>
      </w:pPr>
      <w:proofErr w:type="gramStart"/>
      <w:r w:rsidRPr="004D5A55">
        <w:t>url</w:t>
      </w:r>
      <w:proofErr w:type="gramEnd"/>
      <w:r w:rsidRPr="004D5A55">
        <w:t>: www.itu.int/itu-t/inr/nnp</w:t>
      </w:r>
    </w:p>
    <w:p w:rsidR="00AC7FF8" w:rsidRPr="004D5A55" w:rsidRDefault="00AC7FF8" w:rsidP="00AC7FF8">
      <w:pPr>
        <w:tabs>
          <w:tab w:val="clear" w:pos="1276"/>
          <w:tab w:val="clear" w:pos="1843"/>
          <w:tab w:val="left" w:pos="1560"/>
          <w:tab w:val="left" w:pos="2127"/>
        </w:tabs>
        <w:spacing w:before="240"/>
        <w:jc w:val="left"/>
        <w:outlineLvl w:val="3"/>
        <w:rPr>
          <w:rFonts w:cs="Arial"/>
          <w:b/>
          <w:lang w:val="fr-FR"/>
        </w:rPr>
      </w:pPr>
      <w:r w:rsidRPr="004D5A55">
        <w:rPr>
          <w:rFonts w:cs="Arial"/>
          <w:b/>
          <w:lang w:val="fr-FR"/>
        </w:rPr>
        <w:t>Danemark</w:t>
      </w:r>
      <w:r>
        <w:rPr>
          <w:rFonts w:cs="Arial"/>
          <w:b/>
          <w:lang w:val="fr-FR"/>
        </w:rPr>
        <w:fldChar w:fldCharType="begin"/>
      </w:r>
      <w:r>
        <w:instrText xml:space="preserve"> TC "</w:instrText>
      </w:r>
      <w:bookmarkStart w:id="320" w:name="_Toc513554842"/>
      <w:r w:rsidRPr="005028E0">
        <w:rPr>
          <w:rFonts w:cs="Arial"/>
          <w:b/>
          <w:lang w:val="fr-FR"/>
        </w:rPr>
        <w:instrText>Danemark</w:instrText>
      </w:r>
      <w:bookmarkEnd w:id="320"/>
      <w:r>
        <w:instrText xml:space="preserve">" \f C \l "1" </w:instrText>
      </w:r>
      <w:r>
        <w:rPr>
          <w:rFonts w:cs="Arial"/>
          <w:b/>
          <w:lang w:val="fr-FR"/>
        </w:rPr>
        <w:fldChar w:fldCharType="end"/>
      </w:r>
      <w:r w:rsidRPr="004D5A55">
        <w:rPr>
          <w:rFonts w:cs="Arial"/>
          <w:b/>
          <w:lang w:val="fr-FR"/>
        </w:rPr>
        <w:t xml:space="preserve"> (indicatif de pays +45)</w:t>
      </w:r>
      <w:r w:rsidRPr="004D5A55">
        <w:rPr>
          <w:rFonts w:cs="Arial"/>
          <w:b/>
          <w:i/>
          <w:noProof/>
          <w:lang w:val="fr-FR" w:eastAsia="zh-CN"/>
        </w:rPr>
        <w:t xml:space="preserve"> </w:t>
      </w:r>
    </w:p>
    <w:p w:rsidR="00AC7FF8" w:rsidRPr="004D5A55" w:rsidRDefault="00AC7FF8" w:rsidP="00AC7FF8">
      <w:pPr>
        <w:tabs>
          <w:tab w:val="left" w:pos="1560"/>
          <w:tab w:val="left" w:pos="2127"/>
        </w:tabs>
        <w:spacing w:before="0" w:after="120"/>
        <w:jc w:val="left"/>
        <w:outlineLvl w:val="3"/>
        <w:rPr>
          <w:rFonts w:cs="Arial"/>
          <w:lang w:val="fr-CH"/>
        </w:rPr>
      </w:pPr>
      <w:r>
        <w:rPr>
          <w:rFonts w:cs="Arial"/>
          <w:lang w:val="fr-CH"/>
        </w:rPr>
        <w:t xml:space="preserve">Communication du </w:t>
      </w:r>
      <w:proofErr w:type="gramStart"/>
      <w:r>
        <w:rPr>
          <w:rFonts w:cs="Arial"/>
          <w:lang w:val="fr-CH"/>
        </w:rPr>
        <w:t>19</w:t>
      </w:r>
      <w:r w:rsidRPr="004D5A55">
        <w:rPr>
          <w:rFonts w:cs="Arial"/>
          <w:lang w:val="fr-CH"/>
        </w:rPr>
        <w:t>.</w:t>
      </w:r>
      <w:r>
        <w:rPr>
          <w:rFonts w:cs="Arial"/>
          <w:lang w:val="fr-CH"/>
        </w:rPr>
        <w:t>II.2018</w:t>
      </w:r>
      <w:r w:rsidRPr="004D5A55">
        <w:rPr>
          <w:rFonts w:cs="Arial"/>
          <w:lang w:val="fr-CH"/>
        </w:rPr>
        <w:t>:</w:t>
      </w:r>
      <w:proofErr w:type="gramEnd"/>
    </w:p>
    <w:p w:rsidR="00AC7FF8" w:rsidRDefault="00AC7FF8" w:rsidP="00AC7FF8">
      <w:pPr>
        <w:tabs>
          <w:tab w:val="clear" w:pos="567"/>
          <w:tab w:val="clear" w:pos="1276"/>
          <w:tab w:val="clear" w:pos="1843"/>
          <w:tab w:val="clear" w:pos="5387"/>
          <w:tab w:val="clear" w:pos="5954"/>
        </w:tabs>
        <w:spacing w:before="0"/>
        <w:rPr>
          <w:rFonts w:cs="Arial"/>
          <w:lang w:val="fr-FR"/>
        </w:rPr>
      </w:pPr>
      <w:r w:rsidRPr="004D5A55">
        <w:rPr>
          <w:rFonts w:cs="Arial"/>
          <w:lang w:val="fr-FR"/>
        </w:rPr>
        <w:t xml:space="preserve">La </w:t>
      </w:r>
      <w:proofErr w:type="spellStart"/>
      <w:r w:rsidRPr="004D5A55">
        <w:rPr>
          <w:rFonts w:cs="Arial"/>
          <w:i/>
          <w:lang w:val="fr-FR"/>
        </w:rPr>
        <w:t>Danish</w:t>
      </w:r>
      <w:proofErr w:type="spellEnd"/>
      <w:r w:rsidRPr="004D5A55">
        <w:rPr>
          <w:rFonts w:cs="Arial"/>
          <w:i/>
          <w:lang w:val="fr-FR"/>
        </w:rPr>
        <w:t xml:space="preserve"> </w:t>
      </w:r>
      <w:proofErr w:type="spellStart"/>
      <w:r w:rsidRPr="004D5A55">
        <w:rPr>
          <w:rFonts w:cs="Arial"/>
          <w:i/>
          <w:lang w:val="fr-FR"/>
        </w:rPr>
        <w:t>Energy</w:t>
      </w:r>
      <w:proofErr w:type="spellEnd"/>
      <w:r w:rsidRPr="004D5A55">
        <w:rPr>
          <w:rFonts w:cs="Arial"/>
          <w:i/>
          <w:lang w:val="fr-FR"/>
        </w:rPr>
        <w:t xml:space="preserve"> Agency</w:t>
      </w:r>
      <w:r w:rsidRPr="004D5A55">
        <w:rPr>
          <w:rFonts w:cs="Arial"/>
          <w:lang w:val="fr-FR"/>
        </w:rPr>
        <w:t>, Copenhague, annonce l</w:t>
      </w:r>
      <w:r>
        <w:rPr>
          <w:rFonts w:cs="Arial"/>
          <w:lang w:val="fr-FR"/>
        </w:rPr>
        <w:t>es mises à jour suivantes</w:t>
      </w:r>
      <w:r w:rsidRPr="004D5A55">
        <w:rPr>
          <w:rFonts w:cs="Arial"/>
          <w:lang w:val="fr-FR"/>
        </w:rPr>
        <w:t xml:space="preserve"> du plan national de numérotage du </w:t>
      </w:r>
      <w:proofErr w:type="gramStart"/>
      <w:r w:rsidRPr="004D5A55">
        <w:rPr>
          <w:rFonts w:cs="Arial"/>
          <w:lang w:val="fr-FR"/>
        </w:rPr>
        <w:t>Danemark:</w:t>
      </w:r>
      <w:bookmarkStart w:id="321" w:name="dtmis_Start"/>
      <w:bookmarkStart w:id="322" w:name="dtmis_Underskriver"/>
      <w:bookmarkEnd w:id="321"/>
      <w:bookmarkEnd w:id="322"/>
      <w:proofErr w:type="gramEnd"/>
    </w:p>
    <w:p w:rsidR="00AC7FF8" w:rsidRPr="0086371F" w:rsidRDefault="00AC7FF8" w:rsidP="00AC7FF8">
      <w:pPr>
        <w:spacing w:after="120"/>
        <w:rPr>
          <w:noProof/>
          <w:lang w:val="fr-CH"/>
        </w:rPr>
      </w:pPr>
      <w:bookmarkStart w:id="323" w:name="OLE_LINK14"/>
      <w:bookmarkStart w:id="324" w:name="OLE_LINK15"/>
      <w:r>
        <w:rPr>
          <w:noProof/>
          <w:lang w:val="fr-CH"/>
        </w:rPr>
        <w:t>•</w:t>
      </w:r>
      <w:r>
        <w:rPr>
          <w:noProof/>
          <w:lang w:val="fr-CH"/>
        </w:rPr>
        <w:tab/>
      </w:r>
      <w:r w:rsidRPr="0086371F">
        <w:rPr>
          <w:noProof/>
          <w:lang w:val="fr-CH"/>
        </w:rPr>
        <w:t>Retrait –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912"/>
        <w:gridCol w:w="3863"/>
        <w:gridCol w:w="1848"/>
      </w:tblGrid>
      <w:tr w:rsidR="00AC7FF8" w:rsidRPr="00AC7FF8" w:rsidTr="00AC7FF8">
        <w:trPr>
          <w:jc w:val="center"/>
        </w:trPr>
        <w:tc>
          <w:tcPr>
            <w:tcW w:w="3912" w:type="dxa"/>
            <w:hideMark/>
          </w:tcPr>
          <w:p w:rsidR="00AC7FF8" w:rsidRPr="00AC7FF8" w:rsidRDefault="00AC7FF8" w:rsidP="0056519B">
            <w:pPr>
              <w:spacing w:before="0" w:line="276" w:lineRule="auto"/>
              <w:jc w:val="center"/>
              <w:rPr>
                <w:rFonts w:cs="Arial"/>
                <w:i/>
                <w:noProof/>
                <w:lang w:val="fr-CH"/>
              </w:rPr>
            </w:pPr>
            <w:r w:rsidRPr="00AC7FF8">
              <w:rPr>
                <w:rFonts w:cs="Arial"/>
                <w:i/>
                <w:noProof/>
                <w:lang w:val="fr-CH"/>
              </w:rPr>
              <w:t>Fournisseur</w:t>
            </w:r>
          </w:p>
        </w:tc>
        <w:tc>
          <w:tcPr>
            <w:tcW w:w="3863" w:type="dxa"/>
            <w:hideMark/>
          </w:tcPr>
          <w:p w:rsidR="00AC7FF8" w:rsidRPr="00AC7FF8" w:rsidRDefault="00AC7FF8" w:rsidP="0056519B">
            <w:pPr>
              <w:numPr>
                <w:ilvl w:val="12"/>
                <w:numId w:val="0"/>
              </w:numPr>
              <w:spacing w:before="0" w:line="276" w:lineRule="auto"/>
              <w:jc w:val="center"/>
              <w:rPr>
                <w:rFonts w:cs="Arial"/>
                <w:noProof/>
                <w:lang w:val="fr-CH"/>
              </w:rPr>
            </w:pPr>
            <w:r w:rsidRPr="00AC7FF8">
              <w:rPr>
                <w:rFonts w:cs="Arial"/>
                <w:bCs/>
                <w:i/>
                <w:noProof/>
                <w:lang w:val="fr-CH"/>
              </w:rPr>
              <w:t>Séries de numéros</w:t>
            </w:r>
          </w:p>
        </w:tc>
        <w:tc>
          <w:tcPr>
            <w:tcW w:w="1848" w:type="dxa"/>
            <w:hideMark/>
          </w:tcPr>
          <w:p w:rsidR="00AC7FF8" w:rsidRPr="00AC7FF8" w:rsidRDefault="00AC7FF8" w:rsidP="0056519B">
            <w:pPr>
              <w:numPr>
                <w:ilvl w:val="12"/>
                <w:numId w:val="0"/>
              </w:numPr>
              <w:spacing w:before="0" w:line="276" w:lineRule="auto"/>
              <w:jc w:val="center"/>
              <w:rPr>
                <w:rFonts w:cs="Arial"/>
                <w:i/>
                <w:noProof/>
                <w:lang w:val="fr-CH"/>
              </w:rPr>
            </w:pPr>
            <w:r w:rsidRPr="00AC7FF8">
              <w:rPr>
                <w:rFonts w:cs="Arial"/>
                <w:i/>
                <w:noProof/>
                <w:lang w:val="fr-CH"/>
              </w:rPr>
              <w:t>Date de retrait</w:t>
            </w:r>
          </w:p>
        </w:tc>
      </w:tr>
      <w:tr w:rsidR="00AC7FF8" w:rsidRPr="00AC7FF8" w:rsidTr="00AC7FF8">
        <w:trPr>
          <w:jc w:val="center"/>
        </w:trPr>
        <w:tc>
          <w:tcPr>
            <w:tcW w:w="3912" w:type="dxa"/>
          </w:tcPr>
          <w:p w:rsidR="00AC7FF8" w:rsidRPr="00AC7FF8" w:rsidRDefault="00AC7FF8" w:rsidP="0056519B">
            <w:pPr>
              <w:numPr>
                <w:ilvl w:val="12"/>
                <w:numId w:val="0"/>
              </w:numPr>
              <w:tabs>
                <w:tab w:val="center" w:pos="1642"/>
              </w:tabs>
              <w:spacing w:before="40"/>
              <w:jc w:val="left"/>
              <w:rPr>
                <w:rFonts w:cs="Arial"/>
                <w:noProof/>
                <w:lang w:val="fr-CH"/>
              </w:rPr>
            </w:pPr>
            <w:r w:rsidRPr="00AC7FF8">
              <w:rPr>
                <w:rFonts w:cs="Arial"/>
                <w:noProof/>
                <w:lang w:val="fr-CH"/>
              </w:rPr>
              <w:t>YouSee A/S</w:t>
            </w:r>
          </w:p>
        </w:tc>
        <w:tc>
          <w:tcPr>
            <w:tcW w:w="3863" w:type="dxa"/>
          </w:tcPr>
          <w:p w:rsidR="00AC7FF8" w:rsidRPr="00AC7FF8" w:rsidRDefault="00AC7FF8" w:rsidP="0056519B">
            <w:pPr>
              <w:numPr>
                <w:ilvl w:val="12"/>
                <w:numId w:val="0"/>
              </w:numPr>
              <w:spacing w:before="40"/>
              <w:jc w:val="left"/>
              <w:rPr>
                <w:rFonts w:cs="Arial"/>
                <w:noProof/>
                <w:lang w:val="fr-CH"/>
              </w:rPr>
            </w:pPr>
            <w:r w:rsidRPr="00AC7FF8">
              <w:rPr>
                <w:rFonts w:cs="Arial"/>
                <w:noProof/>
                <w:lang w:val="fr-CH"/>
              </w:rPr>
              <w:t>4841efgh et 4842efgh</w:t>
            </w:r>
          </w:p>
        </w:tc>
        <w:tc>
          <w:tcPr>
            <w:tcW w:w="1848" w:type="dxa"/>
          </w:tcPr>
          <w:p w:rsidR="00AC7FF8" w:rsidRPr="00AC7FF8" w:rsidRDefault="00AC7FF8" w:rsidP="0056519B">
            <w:pPr>
              <w:numPr>
                <w:ilvl w:val="12"/>
                <w:numId w:val="0"/>
              </w:numPr>
              <w:spacing w:before="40"/>
              <w:jc w:val="center"/>
              <w:rPr>
                <w:rFonts w:cs="Arial"/>
                <w:noProof/>
                <w:lang w:val="fr-CH"/>
              </w:rPr>
            </w:pPr>
            <w:r w:rsidRPr="00AC7FF8">
              <w:rPr>
                <w:rFonts w:cs="Arial"/>
                <w:noProof/>
                <w:lang w:val="fr-CH"/>
              </w:rPr>
              <w:t>16.III.2018</w:t>
            </w:r>
          </w:p>
        </w:tc>
      </w:tr>
    </w:tbl>
    <w:bookmarkEnd w:id="323"/>
    <w:bookmarkEnd w:id="324"/>
    <w:p w:rsidR="00AC7FF8" w:rsidRPr="0086371F" w:rsidRDefault="00AC7FF8" w:rsidP="00AC7FF8">
      <w:pPr>
        <w:spacing w:after="120"/>
        <w:rPr>
          <w:rFonts w:cs="Arial"/>
          <w:iCs/>
          <w:noProof/>
          <w:lang w:val="fr-CH"/>
        </w:rPr>
      </w:pPr>
      <w:r>
        <w:rPr>
          <w:noProof/>
          <w:lang w:val="fr-CH"/>
        </w:rPr>
        <w:t>•</w:t>
      </w:r>
      <w:r>
        <w:rPr>
          <w:noProof/>
          <w:lang w:val="fr-CH"/>
        </w:rPr>
        <w:tab/>
      </w:r>
      <w:r w:rsidRPr="0086371F">
        <w:rPr>
          <w:noProof/>
          <w:lang w:val="fr-CH"/>
        </w:rPr>
        <w:t>A</w:t>
      </w:r>
      <w:r w:rsidRPr="0086371F">
        <w:rPr>
          <w:rFonts w:cs="Arial"/>
          <w:bCs/>
          <w:noProof/>
          <w:lang w:val="fr-CH"/>
        </w:rPr>
        <w:t xml:space="preserve">ttribution </w:t>
      </w:r>
      <w:r w:rsidRPr="0086371F">
        <w:rPr>
          <w:rFonts w:cs="Arial"/>
          <w:bCs/>
          <w:iCs/>
          <w:noProof/>
          <w:lang w:val="fr-CH"/>
        </w:rPr>
        <w:t>–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912"/>
        <w:gridCol w:w="3863"/>
        <w:gridCol w:w="1848"/>
      </w:tblGrid>
      <w:tr w:rsidR="00AC7FF8" w:rsidRPr="00513615" w:rsidTr="00AC7FF8">
        <w:trPr>
          <w:jc w:val="center"/>
        </w:trPr>
        <w:tc>
          <w:tcPr>
            <w:tcW w:w="3912" w:type="dxa"/>
            <w:hideMark/>
          </w:tcPr>
          <w:p w:rsidR="00AC7FF8" w:rsidRPr="00513615" w:rsidRDefault="00AC7FF8" w:rsidP="0056519B">
            <w:pPr>
              <w:spacing w:before="0" w:line="276" w:lineRule="auto"/>
              <w:jc w:val="center"/>
              <w:rPr>
                <w:rFonts w:cs="Arial"/>
                <w:i/>
                <w:noProof/>
              </w:rPr>
            </w:pPr>
            <w:r>
              <w:rPr>
                <w:rFonts w:cs="Arial"/>
                <w:i/>
                <w:noProof/>
              </w:rPr>
              <w:t>Fournisseur</w:t>
            </w:r>
          </w:p>
        </w:tc>
        <w:tc>
          <w:tcPr>
            <w:tcW w:w="3863" w:type="dxa"/>
            <w:hideMark/>
          </w:tcPr>
          <w:p w:rsidR="00AC7FF8" w:rsidRPr="00513615" w:rsidRDefault="00AC7FF8" w:rsidP="0056519B">
            <w:pPr>
              <w:numPr>
                <w:ilvl w:val="12"/>
                <w:numId w:val="0"/>
              </w:numPr>
              <w:spacing w:before="0" w:line="276" w:lineRule="auto"/>
              <w:jc w:val="center"/>
              <w:rPr>
                <w:rFonts w:cs="Arial"/>
                <w:noProof/>
              </w:rPr>
            </w:pPr>
            <w:r>
              <w:rPr>
                <w:rFonts w:cs="Arial"/>
                <w:bCs/>
                <w:i/>
                <w:noProof/>
              </w:rPr>
              <w:t>Séries de numéros</w:t>
            </w:r>
          </w:p>
        </w:tc>
        <w:tc>
          <w:tcPr>
            <w:tcW w:w="1848" w:type="dxa"/>
            <w:hideMark/>
          </w:tcPr>
          <w:p w:rsidR="00AC7FF8" w:rsidRPr="00513615" w:rsidRDefault="00AC7FF8" w:rsidP="0056519B">
            <w:pPr>
              <w:numPr>
                <w:ilvl w:val="12"/>
                <w:numId w:val="0"/>
              </w:numPr>
              <w:spacing w:before="0" w:line="276" w:lineRule="auto"/>
              <w:jc w:val="center"/>
              <w:rPr>
                <w:rFonts w:cs="Arial"/>
                <w:i/>
                <w:noProof/>
              </w:rPr>
            </w:pPr>
            <w:r w:rsidRPr="00513615">
              <w:rPr>
                <w:rFonts w:cs="Arial"/>
                <w:i/>
                <w:noProof/>
              </w:rPr>
              <w:t xml:space="preserve">Date </w:t>
            </w:r>
            <w:r>
              <w:rPr>
                <w:rFonts w:cs="Arial"/>
                <w:i/>
                <w:noProof/>
              </w:rPr>
              <w:t>d'attribution</w:t>
            </w:r>
          </w:p>
        </w:tc>
      </w:tr>
      <w:tr w:rsidR="00AC7FF8" w:rsidRPr="00513615" w:rsidTr="00AC7FF8">
        <w:trPr>
          <w:jc w:val="center"/>
        </w:trPr>
        <w:tc>
          <w:tcPr>
            <w:tcW w:w="3912" w:type="dxa"/>
          </w:tcPr>
          <w:p w:rsidR="00AC7FF8" w:rsidRPr="00513615" w:rsidRDefault="00AC7FF8" w:rsidP="0056519B">
            <w:pPr>
              <w:numPr>
                <w:ilvl w:val="12"/>
                <w:numId w:val="0"/>
              </w:numPr>
              <w:tabs>
                <w:tab w:val="center" w:pos="1642"/>
              </w:tabs>
              <w:spacing w:before="40"/>
              <w:jc w:val="left"/>
              <w:rPr>
                <w:rFonts w:cs="Arial"/>
                <w:noProof/>
                <w:lang w:val="fr-CH"/>
              </w:rPr>
            </w:pPr>
            <w:r w:rsidRPr="00513615">
              <w:rPr>
                <w:rFonts w:cs="Arial"/>
                <w:noProof/>
                <w:lang w:val="fr-CH"/>
              </w:rPr>
              <w:t>Belgacom International Carrier Services SA</w:t>
            </w:r>
          </w:p>
        </w:tc>
        <w:tc>
          <w:tcPr>
            <w:tcW w:w="3863" w:type="dxa"/>
          </w:tcPr>
          <w:p w:rsidR="00AC7FF8" w:rsidRPr="00513615" w:rsidRDefault="00AC7FF8" w:rsidP="0056519B">
            <w:pPr>
              <w:numPr>
                <w:ilvl w:val="12"/>
                <w:numId w:val="0"/>
              </w:numPr>
              <w:spacing w:before="40"/>
              <w:jc w:val="left"/>
              <w:rPr>
                <w:rFonts w:cs="Arial"/>
                <w:noProof/>
              </w:rPr>
            </w:pPr>
            <w:r w:rsidRPr="00513615">
              <w:rPr>
                <w:rFonts w:cs="Arial"/>
                <w:noProof/>
              </w:rPr>
              <w:t>7815efgh</w:t>
            </w:r>
          </w:p>
        </w:tc>
        <w:tc>
          <w:tcPr>
            <w:tcW w:w="1848" w:type="dxa"/>
          </w:tcPr>
          <w:p w:rsidR="00AC7FF8" w:rsidRPr="00513615" w:rsidRDefault="00AC7FF8" w:rsidP="0056519B">
            <w:pPr>
              <w:numPr>
                <w:ilvl w:val="12"/>
                <w:numId w:val="0"/>
              </w:numPr>
              <w:spacing w:before="40"/>
              <w:jc w:val="center"/>
              <w:rPr>
                <w:rFonts w:cs="Arial"/>
                <w:noProof/>
              </w:rPr>
            </w:pPr>
            <w:r w:rsidRPr="00513615">
              <w:rPr>
                <w:rFonts w:cs="Arial"/>
                <w:noProof/>
              </w:rPr>
              <w:t>19.II.2018</w:t>
            </w:r>
          </w:p>
        </w:tc>
      </w:tr>
      <w:tr w:rsidR="00AC7FF8" w:rsidRPr="00513615" w:rsidTr="00AC7FF8">
        <w:trPr>
          <w:jc w:val="center"/>
        </w:trPr>
        <w:tc>
          <w:tcPr>
            <w:tcW w:w="3912" w:type="dxa"/>
          </w:tcPr>
          <w:p w:rsidR="00AC7FF8" w:rsidRPr="00513615" w:rsidRDefault="00AC7FF8" w:rsidP="0056519B">
            <w:pPr>
              <w:numPr>
                <w:ilvl w:val="12"/>
                <w:numId w:val="0"/>
              </w:numPr>
              <w:tabs>
                <w:tab w:val="center" w:pos="1642"/>
              </w:tabs>
              <w:spacing w:before="40"/>
              <w:jc w:val="left"/>
              <w:rPr>
                <w:rFonts w:cs="Arial"/>
                <w:noProof/>
                <w:lang w:val="en-US"/>
              </w:rPr>
            </w:pPr>
            <w:r w:rsidRPr="00513615">
              <w:rPr>
                <w:rFonts w:cs="Arial"/>
                <w:noProof/>
                <w:lang w:val="en-US"/>
              </w:rPr>
              <w:t>TDC A/S</w:t>
            </w:r>
          </w:p>
        </w:tc>
        <w:tc>
          <w:tcPr>
            <w:tcW w:w="3863" w:type="dxa"/>
          </w:tcPr>
          <w:p w:rsidR="00AC7FF8" w:rsidRPr="00513615" w:rsidRDefault="00AC7FF8" w:rsidP="0056519B">
            <w:pPr>
              <w:numPr>
                <w:ilvl w:val="12"/>
                <w:numId w:val="0"/>
              </w:numPr>
              <w:spacing w:before="40"/>
              <w:jc w:val="left"/>
              <w:rPr>
                <w:rFonts w:cs="Arial"/>
                <w:noProof/>
              </w:rPr>
            </w:pPr>
            <w:r w:rsidRPr="00513615">
              <w:rPr>
                <w:rFonts w:cs="Arial"/>
                <w:noProof/>
              </w:rPr>
              <w:t xml:space="preserve">4841efgh </w:t>
            </w:r>
            <w:r>
              <w:rPr>
                <w:rFonts w:cs="Arial"/>
                <w:noProof/>
              </w:rPr>
              <w:t xml:space="preserve">et </w:t>
            </w:r>
            <w:r w:rsidRPr="00513615">
              <w:rPr>
                <w:rFonts w:cs="Arial"/>
                <w:noProof/>
              </w:rPr>
              <w:t>4842efgh</w:t>
            </w:r>
          </w:p>
        </w:tc>
        <w:tc>
          <w:tcPr>
            <w:tcW w:w="1848" w:type="dxa"/>
          </w:tcPr>
          <w:p w:rsidR="00AC7FF8" w:rsidRPr="00513615" w:rsidRDefault="00AC7FF8" w:rsidP="0056519B">
            <w:pPr>
              <w:numPr>
                <w:ilvl w:val="12"/>
                <w:numId w:val="0"/>
              </w:numPr>
              <w:spacing w:before="40"/>
              <w:jc w:val="center"/>
              <w:rPr>
                <w:rFonts w:cs="Arial"/>
                <w:noProof/>
              </w:rPr>
            </w:pPr>
            <w:r w:rsidRPr="00513615">
              <w:rPr>
                <w:rFonts w:cs="Arial"/>
                <w:noProof/>
              </w:rPr>
              <w:t>16.III.2018</w:t>
            </w:r>
          </w:p>
        </w:tc>
      </w:tr>
    </w:tbl>
    <w:p w:rsidR="00AC7FF8" w:rsidRPr="00513615" w:rsidRDefault="00AC7FF8" w:rsidP="00AC7FF8">
      <w:pPr>
        <w:spacing w:after="120"/>
        <w:rPr>
          <w:rFonts w:cs="Arial"/>
          <w:iCs/>
          <w:noProof/>
          <w:lang w:val="fr-FR"/>
        </w:rPr>
      </w:pPr>
      <w:r>
        <w:rPr>
          <w:noProof/>
          <w:lang w:val="fr-CH"/>
        </w:rPr>
        <w:t>•</w:t>
      </w:r>
      <w:r>
        <w:rPr>
          <w:noProof/>
          <w:lang w:val="fr-CH"/>
        </w:rPr>
        <w:tab/>
      </w:r>
      <w:r>
        <w:rPr>
          <w:noProof/>
          <w:lang w:val="fr-FR"/>
        </w:rPr>
        <w:t>A</w:t>
      </w:r>
      <w:r w:rsidRPr="00DC2A38">
        <w:rPr>
          <w:rFonts w:cs="Arial"/>
          <w:bCs/>
          <w:noProof/>
          <w:lang w:val="fr-FR"/>
        </w:rPr>
        <w:t xml:space="preserve">ttribution – </w:t>
      </w:r>
      <w:r w:rsidRPr="00DC2A38">
        <w:rPr>
          <w:rFonts w:cs="Arial"/>
          <w:bCs/>
          <w:iCs/>
          <w:noProof/>
          <w:lang w:val="fr-FR"/>
        </w:rPr>
        <w:t>services de communication</w:t>
      </w:r>
      <w:r w:rsidRPr="00513615">
        <w:rPr>
          <w:rFonts w:cs="Arial"/>
          <w:bCs/>
          <w:iCs/>
          <w:noProof/>
          <w:lang w:val="fr-FR"/>
        </w:rPr>
        <w:t xml:space="preserve"> </w:t>
      </w:r>
      <w:r w:rsidRPr="00DC2A38">
        <w:rPr>
          <w:rFonts w:cs="Arial"/>
          <w:bCs/>
          <w:iCs/>
          <w:noProof/>
          <w:lang w:val="fr-FR"/>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912"/>
        <w:gridCol w:w="3863"/>
        <w:gridCol w:w="1848"/>
      </w:tblGrid>
      <w:tr w:rsidR="00AC7FF8" w:rsidRPr="00513615" w:rsidTr="00AC7FF8">
        <w:trPr>
          <w:jc w:val="center"/>
        </w:trPr>
        <w:tc>
          <w:tcPr>
            <w:tcW w:w="3912" w:type="dxa"/>
            <w:hideMark/>
          </w:tcPr>
          <w:p w:rsidR="00AC7FF8" w:rsidRPr="00513615" w:rsidRDefault="00AC7FF8" w:rsidP="0056519B">
            <w:pPr>
              <w:spacing w:before="0" w:line="276" w:lineRule="auto"/>
              <w:jc w:val="center"/>
              <w:rPr>
                <w:rFonts w:cs="Arial"/>
                <w:i/>
                <w:noProof/>
                <w:lang w:val="fr-FR"/>
              </w:rPr>
            </w:pPr>
            <w:r w:rsidRPr="00DC2A38">
              <w:rPr>
                <w:rFonts w:cs="Arial"/>
                <w:i/>
                <w:noProof/>
                <w:lang w:val="fr-FR"/>
              </w:rPr>
              <w:t>Fournisseur</w:t>
            </w:r>
          </w:p>
        </w:tc>
        <w:tc>
          <w:tcPr>
            <w:tcW w:w="3863" w:type="dxa"/>
            <w:hideMark/>
          </w:tcPr>
          <w:p w:rsidR="00AC7FF8" w:rsidRPr="00513615" w:rsidRDefault="00AC7FF8" w:rsidP="0056519B">
            <w:pPr>
              <w:numPr>
                <w:ilvl w:val="12"/>
                <w:numId w:val="0"/>
              </w:numPr>
              <w:spacing w:before="0" w:line="276" w:lineRule="auto"/>
              <w:jc w:val="center"/>
              <w:rPr>
                <w:rFonts w:cs="Arial"/>
                <w:noProof/>
                <w:lang w:val="fr-FR"/>
              </w:rPr>
            </w:pPr>
            <w:r w:rsidRPr="00DC2A38">
              <w:rPr>
                <w:rFonts w:cs="Arial"/>
                <w:bCs/>
                <w:i/>
                <w:noProof/>
                <w:lang w:val="fr-FR"/>
              </w:rPr>
              <w:t>Série de numéros</w:t>
            </w:r>
          </w:p>
        </w:tc>
        <w:tc>
          <w:tcPr>
            <w:tcW w:w="1848" w:type="dxa"/>
            <w:hideMark/>
          </w:tcPr>
          <w:p w:rsidR="00AC7FF8" w:rsidRPr="00513615" w:rsidRDefault="00AC7FF8" w:rsidP="0056519B">
            <w:pPr>
              <w:numPr>
                <w:ilvl w:val="12"/>
                <w:numId w:val="0"/>
              </w:numPr>
              <w:spacing w:before="0" w:line="276" w:lineRule="auto"/>
              <w:jc w:val="center"/>
              <w:rPr>
                <w:rFonts w:cs="Arial"/>
                <w:i/>
                <w:noProof/>
                <w:lang w:val="fr-FR"/>
              </w:rPr>
            </w:pPr>
            <w:r w:rsidRPr="00513615">
              <w:rPr>
                <w:rFonts w:cs="Arial"/>
                <w:i/>
                <w:noProof/>
                <w:lang w:val="fr-FR"/>
              </w:rPr>
              <w:t xml:space="preserve">Date </w:t>
            </w:r>
            <w:r w:rsidRPr="00DC2A38">
              <w:rPr>
                <w:rFonts w:cs="Arial"/>
                <w:i/>
                <w:noProof/>
                <w:lang w:val="fr-FR"/>
              </w:rPr>
              <w:t>d'attribution</w:t>
            </w:r>
          </w:p>
        </w:tc>
      </w:tr>
      <w:tr w:rsidR="00AC7FF8" w:rsidRPr="00513615" w:rsidTr="00AC7FF8">
        <w:trPr>
          <w:jc w:val="center"/>
        </w:trPr>
        <w:tc>
          <w:tcPr>
            <w:tcW w:w="3912" w:type="dxa"/>
          </w:tcPr>
          <w:p w:rsidR="00AC7FF8" w:rsidRPr="00513615" w:rsidRDefault="00AC7FF8" w:rsidP="0056519B">
            <w:pPr>
              <w:numPr>
                <w:ilvl w:val="12"/>
                <w:numId w:val="0"/>
              </w:numPr>
              <w:tabs>
                <w:tab w:val="center" w:pos="1642"/>
              </w:tabs>
              <w:spacing w:before="40"/>
              <w:jc w:val="left"/>
              <w:rPr>
                <w:rFonts w:cs="Arial"/>
                <w:noProof/>
                <w:lang w:val="fr-FR"/>
              </w:rPr>
            </w:pPr>
            <w:r w:rsidRPr="00513615">
              <w:rPr>
                <w:rFonts w:cs="Arial"/>
                <w:noProof/>
                <w:lang w:val="fr-FR"/>
              </w:rPr>
              <w:t>Uni-tel A/S</w:t>
            </w:r>
          </w:p>
        </w:tc>
        <w:tc>
          <w:tcPr>
            <w:tcW w:w="3863" w:type="dxa"/>
          </w:tcPr>
          <w:p w:rsidR="00AC7FF8" w:rsidRPr="00513615" w:rsidRDefault="00AC7FF8" w:rsidP="0056519B">
            <w:pPr>
              <w:numPr>
                <w:ilvl w:val="12"/>
                <w:numId w:val="0"/>
              </w:numPr>
              <w:tabs>
                <w:tab w:val="center" w:pos="1642"/>
              </w:tabs>
              <w:spacing w:before="40"/>
              <w:jc w:val="left"/>
              <w:rPr>
                <w:rFonts w:cs="Arial"/>
                <w:noProof/>
                <w:lang w:val="fr-FR"/>
              </w:rPr>
            </w:pPr>
            <w:r w:rsidRPr="00513615">
              <w:rPr>
                <w:rFonts w:cs="Arial"/>
                <w:noProof/>
                <w:lang w:val="fr-FR"/>
              </w:rPr>
              <w:t>5455efgh</w:t>
            </w:r>
          </w:p>
        </w:tc>
        <w:tc>
          <w:tcPr>
            <w:tcW w:w="1848" w:type="dxa"/>
          </w:tcPr>
          <w:p w:rsidR="00AC7FF8" w:rsidRPr="00513615" w:rsidRDefault="00AC7FF8" w:rsidP="0056519B">
            <w:pPr>
              <w:numPr>
                <w:ilvl w:val="12"/>
                <w:numId w:val="0"/>
              </w:numPr>
              <w:spacing w:before="40"/>
              <w:jc w:val="center"/>
              <w:rPr>
                <w:rFonts w:cs="Arial"/>
                <w:noProof/>
                <w:lang w:val="fr-FR"/>
              </w:rPr>
            </w:pPr>
            <w:r w:rsidRPr="00513615">
              <w:rPr>
                <w:rFonts w:cs="Arial"/>
                <w:noProof/>
                <w:lang w:val="fr-FR"/>
              </w:rPr>
              <w:t>1.IV.2018</w:t>
            </w:r>
          </w:p>
        </w:tc>
      </w:tr>
    </w:tbl>
    <w:p w:rsidR="00AC7FF8" w:rsidRPr="00513615" w:rsidRDefault="00AC7FF8" w:rsidP="00AC7FF8">
      <w:pPr>
        <w:spacing w:after="120"/>
        <w:rPr>
          <w:rFonts w:cs="Arial"/>
          <w:iCs/>
          <w:noProof/>
          <w:lang w:val="fr-FR"/>
        </w:rPr>
      </w:pPr>
      <w:r>
        <w:rPr>
          <w:noProof/>
          <w:lang w:val="fr-CH"/>
        </w:rPr>
        <w:t>•</w:t>
      </w:r>
      <w:r>
        <w:rPr>
          <w:noProof/>
          <w:lang w:val="fr-CH"/>
        </w:rPr>
        <w:tab/>
      </w:r>
      <w:r>
        <w:rPr>
          <w:noProof/>
          <w:lang w:val="fr-FR"/>
        </w:rPr>
        <w:t>R</w:t>
      </w:r>
      <w:r w:rsidRPr="00DC2A38">
        <w:rPr>
          <w:rFonts w:cs="Arial"/>
          <w:bCs/>
          <w:noProof/>
          <w:lang w:val="fr-FR"/>
        </w:rPr>
        <w:t xml:space="preserve">etrait </w:t>
      </w:r>
      <w:r w:rsidRPr="00513615">
        <w:rPr>
          <w:rFonts w:cs="Arial"/>
          <w:bCs/>
          <w:iCs/>
          <w:noProof/>
          <w:lang w:val="fr-FR"/>
        </w:rPr>
        <w:t>–</w:t>
      </w:r>
      <w:r w:rsidRPr="00DC2A38">
        <w:rPr>
          <w:rFonts w:cs="Arial"/>
          <w:bCs/>
          <w:iCs/>
          <w:noProof/>
          <w:lang w:val="fr-FR"/>
        </w:rPr>
        <w:t xml:space="preserve"> </w:t>
      </w:r>
      <w:r w:rsidRPr="00513615">
        <w:rPr>
          <w:rFonts w:cs="Arial"/>
          <w:bCs/>
          <w:iCs/>
          <w:noProof/>
          <w:lang w:val="fr-FR"/>
        </w:rPr>
        <w:t>services</w:t>
      </w:r>
      <w:r w:rsidRPr="00DC2A38">
        <w:rPr>
          <w:rFonts w:cs="Arial"/>
          <w:bCs/>
          <w:iCs/>
          <w:noProof/>
          <w:lang w:val="fr-FR"/>
        </w:rPr>
        <w:t xml:space="preserve"> kiosque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912"/>
        <w:gridCol w:w="3863"/>
        <w:gridCol w:w="1848"/>
      </w:tblGrid>
      <w:tr w:rsidR="00AC7FF8" w:rsidRPr="00513615" w:rsidTr="0056519B">
        <w:trPr>
          <w:jc w:val="center"/>
        </w:trPr>
        <w:tc>
          <w:tcPr>
            <w:tcW w:w="3681" w:type="dxa"/>
            <w:hideMark/>
          </w:tcPr>
          <w:p w:rsidR="00AC7FF8" w:rsidRPr="00513615" w:rsidRDefault="00AC7FF8" w:rsidP="0056519B">
            <w:pPr>
              <w:spacing w:before="0" w:line="276" w:lineRule="auto"/>
              <w:jc w:val="center"/>
              <w:rPr>
                <w:rFonts w:cs="Arial"/>
                <w:i/>
                <w:noProof/>
                <w:lang w:val="fr-FR"/>
              </w:rPr>
            </w:pPr>
            <w:r w:rsidRPr="00DC2A38">
              <w:rPr>
                <w:rFonts w:cs="Arial"/>
                <w:i/>
                <w:noProof/>
                <w:lang w:val="fr-FR"/>
              </w:rPr>
              <w:t>Fournisseur</w:t>
            </w:r>
          </w:p>
        </w:tc>
        <w:tc>
          <w:tcPr>
            <w:tcW w:w="3635" w:type="dxa"/>
            <w:hideMark/>
          </w:tcPr>
          <w:p w:rsidR="00AC7FF8" w:rsidRPr="00513615" w:rsidRDefault="00AC7FF8" w:rsidP="0056519B">
            <w:pPr>
              <w:numPr>
                <w:ilvl w:val="12"/>
                <w:numId w:val="0"/>
              </w:numPr>
              <w:spacing w:before="0" w:line="276" w:lineRule="auto"/>
              <w:jc w:val="center"/>
              <w:rPr>
                <w:rFonts w:cs="Arial"/>
                <w:noProof/>
                <w:lang w:val="fr-FR"/>
              </w:rPr>
            </w:pPr>
            <w:r w:rsidRPr="00DC2A38">
              <w:rPr>
                <w:rFonts w:cs="Arial"/>
                <w:bCs/>
                <w:i/>
                <w:noProof/>
                <w:lang w:val="fr-FR"/>
              </w:rPr>
              <w:t>Séries de numéros</w:t>
            </w:r>
          </w:p>
        </w:tc>
        <w:tc>
          <w:tcPr>
            <w:tcW w:w="1739" w:type="dxa"/>
            <w:hideMark/>
          </w:tcPr>
          <w:p w:rsidR="00AC7FF8" w:rsidRPr="00513615" w:rsidRDefault="00AC7FF8" w:rsidP="0056519B">
            <w:pPr>
              <w:numPr>
                <w:ilvl w:val="12"/>
                <w:numId w:val="0"/>
              </w:numPr>
              <w:spacing w:before="0" w:line="276" w:lineRule="auto"/>
              <w:jc w:val="center"/>
              <w:rPr>
                <w:rFonts w:cs="Arial"/>
                <w:i/>
                <w:noProof/>
                <w:lang w:val="fr-FR"/>
              </w:rPr>
            </w:pPr>
            <w:r w:rsidRPr="00513615">
              <w:rPr>
                <w:rFonts w:cs="Arial"/>
                <w:i/>
                <w:noProof/>
                <w:lang w:val="fr-FR"/>
              </w:rPr>
              <w:t xml:space="preserve">Date </w:t>
            </w:r>
            <w:r w:rsidRPr="00DC2A38">
              <w:rPr>
                <w:rFonts w:cs="Arial"/>
                <w:i/>
                <w:noProof/>
                <w:lang w:val="fr-FR"/>
              </w:rPr>
              <w:t>de retrait</w:t>
            </w:r>
            <w:r>
              <w:rPr>
                <w:rFonts w:cs="Arial"/>
                <w:i/>
                <w:noProof/>
                <w:lang w:val="fr-FR"/>
              </w:rPr>
              <w:t>e</w:t>
            </w:r>
          </w:p>
        </w:tc>
      </w:tr>
      <w:tr w:rsidR="00AC7FF8" w:rsidRPr="00513615" w:rsidTr="0056519B">
        <w:trPr>
          <w:jc w:val="center"/>
        </w:trPr>
        <w:tc>
          <w:tcPr>
            <w:tcW w:w="3681" w:type="dxa"/>
          </w:tcPr>
          <w:p w:rsidR="00AC7FF8" w:rsidRPr="00513615" w:rsidRDefault="00AC7FF8" w:rsidP="0056519B">
            <w:pPr>
              <w:numPr>
                <w:ilvl w:val="12"/>
                <w:numId w:val="0"/>
              </w:numPr>
              <w:tabs>
                <w:tab w:val="center" w:pos="1642"/>
              </w:tabs>
              <w:spacing w:before="40"/>
              <w:jc w:val="left"/>
              <w:rPr>
                <w:rFonts w:cs="Arial"/>
                <w:noProof/>
                <w:lang w:val="fr-FR"/>
              </w:rPr>
            </w:pPr>
            <w:r w:rsidRPr="00513615">
              <w:rPr>
                <w:rFonts w:cs="Arial"/>
                <w:noProof/>
                <w:lang w:val="fr-FR"/>
              </w:rPr>
              <w:t>TDC A/S</w:t>
            </w:r>
          </w:p>
        </w:tc>
        <w:tc>
          <w:tcPr>
            <w:tcW w:w="3635" w:type="dxa"/>
          </w:tcPr>
          <w:p w:rsidR="00AC7FF8" w:rsidRPr="00513615" w:rsidRDefault="00AC7FF8" w:rsidP="0056519B">
            <w:pPr>
              <w:numPr>
                <w:ilvl w:val="12"/>
                <w:numId w:val="0"/>
              </w:numPr>
              <w:spacing w:before="40"/>
              <w:jc w:val="left"/>
              <w:rPr>
                <w:rFonts w:cs="Arial"/>
                <w:noProof/>
                <w:lang w:val="fr-FR"/>
              </w:rPr>
            </w:pPr>
            <w:r w:rsidRPr="00513615">
              <w:rPr>
                <w:rFonts w:cs="Arial"/>
                <w:noProof/>
                <w:lang w:val="fr-FR"/>
              </w:rPr>
              <w:t xml:space="preserve">9055efgh, 9091efgh, 90501fgh, 90502fgh, 90503fgh, 90504fgh, 90506fgh, 90507fgh, 90508fgh </w:t>
            </w:r>
            <w:r w:rsidRPr="00DC2A38">
              <w:rPr>
                <w:rFonts w:cs="Arial"/>
                <w:noProof/>
                <w:lang w:val="fr-FR"/>
              </w:rPr>
              <w:t xml:space="preserve">et </w:t>
            </w:r>
            <w:r w:rsidRPr="00513615">
              <w:rPr>
                <w:rFonts w:cs="Arial"/>
                <w:noProof/>
                <w:lang w:val="fr-FR"/>
              </w:rPr>
              <w:t>90509fgh</w:t>
            </w:r>
          </w:p>
        </w:tc>
        <w:tc>
          <w:tcPr>
            <w:tcW w:w="1739" w:type="dxa"/>
          </w:tcPr>
          <w:p w:rsidR="00AC7FF8" w:rsidRPr="00513615" w:rsidRDefault="00AC7FF8" w:rsidP="0056519B">
            <w:pPr>
              <w:numPr>
                <w:ilvl w:val="12"/>
                <w:numId w:val="0"/>
              </w:numPr>
              <w:spacing w:before="40"/>
              <w:jc w:val="center"/>
              <w:rPr>
                <w:rFonts w:cs="Arial"/>
                <w:noProof/>
                <w:lang w:val="fr-FR"/>
              </w:rPr>
            </w:pPr>
            <w:r w:rsidRPr="00513615">
              <w:rPr>
                <w:rFonts w:cs="Arial"/>
                <w:noProof/>
                <w:lang w:val="fr-FR"/>
              </w:rPr>
              <w:t>31.III.2018</w:t>
            </w:r>
          </w:p>
        </w:tc>
      </w:tr>
    </w:tbl>
    <w:p w:rsidR="00AC7FF8" w:rsidRPr="00DC2A38" w:rsidRDefault="00AC7FF8" w:rsidP="00AC7FF8">
      <w:pPr>
        <w:tabs>
          <w:tab w:val="clear" w:pos="567"/>
          <w:tab w:val="clear" w:pos="1276"/>
          <w:tab w:val="clear" w:pos="1843"/>
          <w:tab w:val="clear" w:pos="5387"/>
          <w:tab w:val="clear" w:pos="5954"/>
        </w:tabs>
        <w:spacing w:before="0"/>
        <w:rPr>
          <w:rFonts w:cs="Arial"/>
          <w:lang w:val="fr-FR"/>
        </w:rPr>
      </w:pPr>
    </w:p>
    <w:p w:rsidR="00AC7FF8" w:rsidRPr="00DC2A38" w:rsidRDefault="00AC7FF8" w:rsidP="00AC7FF8">
      <w:pPr>
        <w:rPr>
          <w:lang w:val="fr-FR"/>
        </w:rPr>
      </w:pPr>
      <w:proofErr w:type="gramStart"/>
      <w:r w:rsidRPr="00DC2A38">
        <w:rPr>
          <w:lang w:val="fr-FR"/>
        </w:rPr>
        <w:t>Contact:</w:t>
      </w:r>
      <w:proofErr w:type="gramEnd"/>
    </w:p>
    <w:p w:rsidR="00AC7FF8" w:rsidRPr="0086371F" w:rsidRDefault="00AC7FF8" w:rsidP="00AC7FF8">
      <w:pPr>
        <w:ind w:left="567" w:hanging="567"/>
        <w:jc w:val="left"/>
        <w:rPr>
          <w:lang w:val="en-US"/>
        </w:rPr>
      </w:pPr>
      <w:r w:rsidRPr="0086371F">
        <w:rPr>
          <w:lang w:val="en-US"/>
        </w:rPr>
        <w:tab/>
        <w:t>Danish Energy Agency</w:t>
      </w:r>
      <w:r w:rsidRPr="0086371F">
        <w:rPr>
          <w:lang w:val="en-US"/>
        </w:rPr>
        <w:br/>
      </w:r>
      <w:proofErr w:type="spellStart"/>
      <w:r w:rsidRPr="0086371F">
        <w:rPr>
          <w:lang w:val="en-US"/>
        </w:rPr>
        <w:t>Amaliegade</w:t>
      </w:r>
      <w:proofErr w:type="spellEnd"/>
      <w:r w:rsidRPr="0086371F">
        <w:rPr>
          <w:lang w:val="en-US"/>
        </w:rPr>
        <w:t xml:space="preserve"> 44</w:t>
      </w:r>
      <w:r w:rsidRPr="0086371F">
        <w:rPr>
          <w:lang w:val="en-US"/>
        </w:rPr>
        <w:br/>
        <w:t>1256 COPENHAGEN K</w:t>
      </w:r>
      <w:r w:rsidRPr="0086371F">
        <w:rPr>
          <w:lang w:val="en-US"/>
        </w:rPr>
        <w:br/>
      </w:r>
      <w:proofErr w:type="spellStart"/>
      <w:r w:rsidRPr="0086371F">
        <w:rPr>
          <w:lang w:val="en-US"/>
        </w:rPr>
        <w:t>Danemark</w:t>
      </w:r>
      <w:proofErr w:type="spellEnd"/>
      <w:r w:rsidRPr="0086371F">
        <w:rPr>
          <w:lang w:val="en-US"/>
        </w:rPr>
        <w:br/>
      </w:r>
      <w:proofErr w:type="spellStart"/>
      <w:r w:rsidRPr="0086371F">
        <w:rPr>
          <w:lang w:val="en-US"/>
        </w:rPr>
        <w:t>Tél</w:t>
      </w:r>
      <w:proofErr w:type="spellEnd"/>
      <w:r w:rsidRPr="0086371F">
        <w:rPr>
          <w:lang w:val="en-US"/>
        </w:rPr>
        <w:t>.:</w:t>
      </w:r>
      <w:r w:rsidRPr="0086371F">
        <w:rPr>
          <w:lang w:val="en-US"/>
        </w:rPr>
        <w:tab/>
        <w:t xml:space="preserve">+45 33 92 67 00 </w:t>
      </w:r>
      <w:r w:rsidRPr="0086371F">
        <w:rPr>
          <w:lang w:val="en-US"/>
        </w:rPr>
        <w:br/>
        <w:t>Fax:</w:t>
      </w:r>
      <w:r w:rsidRPr="0086371F">
        <w:rPr>
          <w:lang w:val="en-US"/>
        </w:rPr>
        <w:tab/>
        <w:t>+45 33 11 47 43</w:t>
      </w:r>
      <w:r w:rsidRPr="0086371F">
        <w:rPr>
          <w:lang w:val="en-US"/>
        </w:rPr>
        <w:br/>
        <w:t>E-mail:</w:t>
      </w:r>
      <w:r w:rsidRPr="0086371F">
        <w:rPr>
          <w:lang w:val="en-US"/>
        </w:rPr>
        <w:tab/>
        <w:t xml:space="preserve">ens@ens.dk </w:t>
      </w:r>
      <w:r w:rsidRPr="0086371F">
        <w:rPr>
          <w:lang w:val="en-US"/>
        </w:rPr>
        <w:br/>
        <w:t>URL:</w:t>
      </w:r>
      <w:r w:rsidRPr="0086371F">
        <w:rPr>
          <w:lang w:val="en-US"/>
        </w:rPr>
        <w:tab/>
        <w:t xml:space="preserve">www.ens.dk </w:t>
      </w:r>
    </w:p>
    <w:p w:rsidR="00AC7FF8" w:rsidRPr="00AC7FF8" w:rsidRDefault="00AC7FF8" w:rsidP="00E44EF2">
      <w:pPr>
        <w:rPr>
          <w:lang w:val="en-US"/>
        </w:rPr>
      </w:pPr>
    </w:p>
    <w:p w:rsidR="005D660F" w:rsidRPr="00AC7FF8" w:rsidRDefault="005D660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AC7FF8">
        <w:rPr>
          <w:lang w:val="en-US"/>
        </w:rPr>
        <w:br w:type="page"/>
      </w:r>
    </w:p>
    <w:p w:rsidR="001742C7" w:rsidRPr="001742C7" w:rsidRDefault="001742C7" w:rsidP="001742C7">
      <w:pPr>
        <w:pStyle w:val="Heading20"/>
        <w:spacing w:before="0"/>
        <w:rPr>
          <w:sz w:val="28"/>
          <w:szCs w:val="28"/>
          <w:lang w:val="fr-CH"/>
        </w:rPr>
      </w:pPr>
      <w:bookmarkStart w:id="325" w:name="_Toc513554843"/>
      <w:r w:rsidRPr="001742C7">
        <w:rPr>
          <w:sz w:val="28"/>
          <w:szCs w:val="28"/>
          <w:lang w:val="fr-CH"/>
        </w:rPr>
        <w:lastRenderedPageBreak/>
        <w:t>Autres communications</w:t>
      </w:r>
      <w:bookmarkEnd w:id="325"/>
    </w:p>
    <w:p w:rsidR="001742C7" w:rsidRPr="001742C7" w:rsidRDefault="001742C7" w:rsidP="001742C7">
      <w:pPr>
        <w:tabs>
          <w:tab w:val="clear" w:pos="1276"/>
          <w:tab w:val="clear" w:pos="1843"/>
          <w:tab w:val="left" w:pos="1134"/>
          <w:tab w:val="left" w:pos="1560"/>
          <w:tab w:val="left" w:pos="2127"/>
        </w:tabs>
        <w:spacing w:before="360"/>
        <w:jc w:val="left"/>
        <w:outlineLvl w:val="3"/>
        <w:rPr>
          <w:b/>
          <w:bCs/>
          <w:lang w:val="fr-FR"/>
        </w:rPr>
      </w:pPr>
      <w:r w:rsidRPr="001742C7">
        <w:rPr>
          <w:b/>
          <w:bCs/>
          <w:lang w:val="fr-FR"/>
        </w:rPr>
        <w:t>Autriche</w:t>
      </w:r>
      <w:r>
        <w:rPr>
          <w:b/>
          <w:bCs/>
          <w:lang w:val="fr-FR"/>
        </w:rPr>
        <w:fldChar w:fldCharType="begin"/>
      </w:r>
      <w:r w:rsidRPr="00B76ABA">
        <w:rPr>
          <w:lang w:val="fr-CH"/>
        </w:rPr>
        <w:instrText xml:space="preserve"> TC "</w:instrText>
      </w:r>
      <w:bookmarkStart w:id="326" w:name="_Toc513554844"/>
      <w:r w:rsidRPr="001742C7">
        <w:rPr>
          <w:b/>
          <w:bCs/>
          <w:lang w:val="fr-FR"/>
        </w:rPr>
        <w:instrText>Autriche</w:instrText>
      </w:r>
      <w:bookmarkEnd w:id="326"/>
      <w:r w:rsidRPr="00B76ABA">
        <w:rPr>
          <w:lang w:val="fr-CH"/>
        </w:rPr>
        <w:instrText xml:space="preserve">" \f C \l "1" </w:instrText>
      </w:r>
      <w:r>
        <w:rPr>
          <w:b/>
          <w:bCs/>
          <w:lang w:val="fr-FR"/>
        </w:rPr>
        <w:fldChar w:fldCharType="end"/>
      </w:r>
    </w:p>
    <w:p w:rsidR="001742C7" w:rsidRPr="001742C7" w:rsidRDefault="001742C7" w:rsidP="001742C7">
      <w:pPr>
        <w:tabs>
          <w:tab w:val="clear" w:pos="1276"/>
          <w:tab w:val="clear" w:pos="1843"/>
          <w:tab w:val="left" w:pos="1134"/>
          <w:tab w:val="left" w:pos="1560"/>
          <w:tab w:val="left" w:pos="2127"/>
        </w:tabs>
        <w:spacing w:before="40"/>
        <w:jc w:val="left"/>
        <w:outlineLvl w:val="4"/>
        <w:rPr>
          <w:szCs w:val="18"/>
          <w:lang w:val="fr-FR"/>
        </w:rPr>
      </w:pPr>
      <w:r w:rsidRPr="001742C7">
        <w:rPr>
          <w:szCs w:val="18"/>
          <w:lang w:val="fr-FR"/>
        </w:rPr>
        <w:t xml:space="preserve">Communication du </w:t>
      </w:r>
      <w:proofErr w:type="gramStart"/>
      <w:r w:rsidRPr="001742C7">
        <w:rPr>
          <w:szCs w:val="18"/>
          <w:lang w:val="fr-CH"/>
        </w:rPr>
        <w:t>20.III.2018:</w:t>
      </w:r>
      <w:proofErr w:type="gramEnd"/>
    </w:p>
    <w:p w:rsidR="001742C7" w:rsidRPr="001742C7" w:rsidRDefault="001742C7" w:rsidP="001742C7">
      <w:pPr>
        <w:rPr>
          <w:lang w:val="fr-FR"/>
        </w:rPr>
      </w:pPr>
      <w:r w:rsidRPr="001742C7">
        <w:rPr>
          <w:lang w:val="fr-FR"/>
        </w:rPr>
        <w:t>A</w:t>
      </w:r>
      <w:r w:rsidRPr="001742C7">
        <w:rPr>
          <w:lang w:val="fr-CH"/>
        </w:rPr>
        <w:t xml:space="preserve"> l'occasion d’un atelier </w:t>
      </w:r>
      <w:proofErr w:type="spellStart"/>
      <w:r w:rsidRPr="001742C7">
        <w:rPr>
          <w:lang w:val="fr-CH"/>
        </w:rPr>
        <w:t>sp</w:t>
      </w:r>
      <w:proofErr w:type="spellEnd"/>
      <w:r w:rsidRPr="001742C7">
        <w:rPr>
          <w:lang w:val="fr-FR"/>
        </w:rPr>
        <w:t>é</w:t>
      </w:r>
      <w:r w:rsidRPr="001742C7">
        <w:rPr>
          <w:lang w:val="fr-CH"/>
        </w:rPr>
        <w:t xml:space="preserve">cial </w:t>
      </w:r>
      <w:proofErr w:type="spellStart"/>
      <w:r w:rsidRPr="001742C7">
        <w:rPr>
          <w:lang w:val="fr-CH"/>
        </w:rPr>
        <w:t>organis</w:t>
      </w:r>
      <w:proofErr w:type="spellEnd"/>
      <w:r w:rsidRPr="001742C7">
        <w:rPr>
          <w:lang w:val="fr-FR"/>
        </w:rPr>
        <w:t>é</w:t>
      </w:r>
      <w:r w:rsidRPr="001742C7">
        <w:rPr>
          <w:lang w:val="fr-CH"/>
        </w:rPr>
        <w:t xml:space="preserve"> dans une </w:t>
      </w:r>
      <w:r w:rsidRPr="001742C7">
        <w:rPr>
          <w:lang w:val="fr-FR"/>
        </w:rPr>
        <w:t>é</w:t>
      </w:r>
      <w:proofErr w:type="spellStart"/>
      <w:r w:rsidRPr="001742C7">
        <w:rPr>
          <w:lang w:val="fr-CH"/>
        </w:rPr>
        <w:t>cole</w:t>
      </w:r>
      <w:proofErr w:type="spellEnd"/>
      <w:r w:rsidRPr="001742C7">
        <w:rPr>
          <w:lang w:val="fr-CH"/>
        </w:rPr>
        <w:t xml:space="preserve"> autrichienne, </w:t>
      </w:r>
      <w:r w:rsidRPr="001742C7">
        <w:rPr>
          <w:lang w:val="fr-FR"/>
        </w:rPr>
        <w:t xml:space="preserve">l'Administration autrichienne autorise une station d'amateur autrichienne à utiliser l'indicatif d’appel spécial </w:t>
      </w:r>
      <w:r w:rsidRPr="001742C7">
        <w:rPr>
          <w:b/>
          <w:bCs/>
          <w:lang w:val="fr-CH"/>
        </w:rPr>
        <w:t>OE6PUPIL</w:t>
      </w:r>
      <w:r w:rsidRPr="001742C7">
        <w:rPr>
          <w:lang w:val="fr-FR"/>
        </w:rPr>
        <w:t xml:space="preserve"> le 9 mai 2018.</w:t>
      </w:r>
    </w:p>
    <w:p w:rsidR="001742C7" w:rsidRPr="001742C7" w:rsidRDefault="001742C7" w:rsidP="001742C7">
      <w:pPr>
        <w:spacing w:before="240"/>
        <w:rPr>
          <w:lang w:val="fr-FR"/>
        </w:rPr>
      </w:pPr>
      <w:r w:rsidRPr="001742C7">
        <w:rPr>
          <w:lang w:val="fr-FR"/>
        </w:rPr>
        <w:t>Communication du 27.III.2018 :</w:t>
      </w:r>
    </w:p>
    <w:p w:rsidR="001742C7" w:rsidRPr="001742C7" w:rsidRDefault="001742C7" w:rsidP="001742C7">
      <w:pPr>
        <w:rPr>
          <w:lang w:val="fr-FR"/>
        </w:rPr>
      </w:pPr>
      <w:r w:rsidRPr="001742C7">
        <w:rPr>
          <w:lang w:val="fr-FR"/>
        </w:rPr>
        <w:t xml:space="preserve">A l’occasion de la « journée mondiale de la Croix-Rouge », l'Administration autrichienne autorise une station d'amateur autrichienne à utiliser l'indicatif d’appel spécial </w:t>
      </w:r>
      <w:r w:rsidRPr="001742C7">
        <w:rPr>
          <w:b/>
          <w:bCs/>
          <w:lang w:val="fr-CH"/>
        </w:rPr>
        <w:t>OE18WRCD</w:t>
      </w:r>
      <w:r w:rsidRPr="001742C7">
        <w:rPr>
          <w:lang w:val="fr-FR"/>
        </w:rPr>
        <w:t xml:space="preserve"> le 8 mai 2018.</w:t>
      </w:r>
    </w:p>
    <w:p w:rsidR="001742C7" w:rsidRPr="001742C7" w:rsidRDefault="001742C7" w:rsidP="001742C7">
      <w:pPr>
        <w:tabs>
          <w:tab w:val="clear" w:pos="1276"/>
          <w:tab w:val="clear" w:pos="1843"/>
          <w:tab w:val="left" w:pos="1134"/>
          <w:tab w:val="left" w:pos="1560"/>
          <w:tab w:val="left" w:pos="2127"/>
        </w:tabs>
        <w:spacing w:before="360"/>
        <w:jc w:val="left"/>
        <w:outlineLvl w:val="3"/>
        <w:rPr>
          <w:b/>
          <w:bCs/>
          <w:lang w:val="fr-FR"/>
        </w:rPr>
      </w:pPr>
      <w:r w:rsidRPr="001742C7">
        <w:rPr>
          <w:b/>
          <w:bCs/>
          <w:lang w:val="fr-FR"/>
        </w:rPr>
        <w:t>Serbie</w:t>
      </w:r>
      <w:r>
        <w:rPr>
          <w:b/>
          <w:bCs/>
          <w:lang w:val="fr-FR"/>
        </w:rPr>
        <w:fldChar w:fldCharType="begin"/>
      </w:r>
      <w:r w:rsidRPr="00B76ABA">
        <w:rPr>
          <w:lang w:val="fr-CH"/>
        </w:rPr>
        <w:instrText xml:space="preserve"> TC "</w:instrText>
      </w:r>
      <w:bookmarkStart w:id="327" w:name="_Toc513554845"/>
      <w:r w:rsidRPr="001742C7">
        <w:rPr>
          <w:b/>
          <w:bCs/>
          <w:lang w:val="fr-FR"/>
        </w:rPr>
        <w:instrText>Serbie</w:instrText>
      </w:r>
      <w:bookmarkEnd w:id="327"/>
      <w:r w:rsidRPr="00B76ABA">
        <w:rPr>
          <w:lang w:val="fr-CH"/>
        </w:rPr>
        <w:instrText xml:space="preserve">" \f C \l "1" </w:instrText>
      </w:r>
      <w:r>
        <w:rPr>
          <w:b/>
          <w:bCs/>
          <w:lang w:val="fr-FR"/>
        </w:rPr>
        <w:fldChar w:fldCharType="end"/>
      </w:r>
    </w:p>
    <w:p w:rsidR="001742C7" w:rsidRPr="001742C7" w:rsidRDefault="001742C7" w:rsidP="001742C7">
      <w:pPr>
        <w:tabs>
          <w:tab w:val="clear" w:pos="1276"/>
          <w:tab w:val="clear" w:pos="1843"/>
          <w:tab w:val="left" w:pos="1134"/>
          <w:tab w:val="left" w:pos="1560"/>
          <w:tab w:val="left" w:pos="2127"/>
        </w:tabs>
        <w:spacing w:before="40"/>
        <w:jc w:val="left"/>
        <w:outlineLvl w:val="4"/>
        <w:rPr>
          <w:szCs w:val="18"/>
          <w:lang w:val="fr-FR"/>
        </w:rPr>
      </w:pPr>
      <w:r w:rsidRPr="001742C7">
        <w:rPr>
          <w:szCs w:val="18"/>
          <w:lang w:val="fr-FR"/>
        </w:rPr>
        <w:t xml:space="preserve">Communication du </w:t>
      </w:r>
      <w:proofErr w:type="gramStart"/>
      <w:r w:rsidRPr="001742C7">
        <w:rPr>
          <w:szCs w:val="18"/>
          <w:lang w:val="fr-CH"/>
        </w:rPr>
        <w:t>23.III.2018:</w:t>
      </w:r>
      <w:proofErr w:type="gramEnd"/>
    </w:p>
    <w:p w:rsidR="001742C7" w:rsidRPr="001742C7" w:rsidRDefault="001742C7" w:rsidP="001742C7">
      <w:pPr>
        <w:rPr>
          <w:lang w:val="fr-FR"/>
        </w:rPr>
      </w:pPr>
      <w:r w:rsidRPr="001742C7">
        <w:rPr>
          <w:lang w:val="fr-FR"/>
        </w:rPr>
        <w:t>A</w:t>
      </w:r>
      <w:r w:rsidRPr="001742C7">
        <w:rPr>
          <w:lang w:val="fr-CH"/>
        </w:rPr>
        <w:t xml:space="preserve"> l'occasion du 73</w:t>
      </w:r>
      <w:r w:rsidRPr="001742C7">
        <w:rPr>
          <w:position w:val="4"/>
          <w:sz w:val="18"/>
          <w:lang w:val="fr-FR"/>
        </w:rPr>
        <w:t>e</w:t>
      </w:r>
      <w:r w:rsidRPr="001742C7">
        <w:rPr>
          <w:lang w:val="fr-FR"/>
        </w:rPr>
        <w:t xml:space="preserve"> </w:t>
      </w:r>
      <w:r w:rsidRPr="001742C7">
        <w:rPr>
          <w:lang w:val="fr-CH"/>
        </w:rPr>
        <w:t xml:space="preserve">anniversaire du jour de la Victoire « Dan </w:t>
      </w:r>
      <w:proofErr w:type="spellStart"/>
      <w:r w:rsidRPr="001742C7">
        <w:rPr>
          <w:lang w:val="fr-CH"/>
        </w:rPr>
        <w:t>Pobede</w:t>
      </w:r>
      <w:proofErr w:type="spellEnd"/>
      <w:r w:rsidRPr="001742C7">
        <w:rPr>
          <w:lang w:val="fr-CH"/>
        </w:rPr>
        <w:t xml:space="preserve"> », </w:t>
      </w:r>
      <w:r w:rsidRPr="001742C7">
        <w:rPr>
          <w:lang w:val="fr-FR"/>
        </w:rPr>
        <w:t>l'Administration serbe autorise une section serbe de l’«</w:t>
      </w:r>
      <w:r w:rsidRPr="001742C7">
        <w:rPr>
          <w:lang w:val="fr-CH"/>
        </w:rPr>
        <w:t xml:space="preserve">International </w:t>
      </w:r>
      <w:proofErr w:type="spellStart"/>
      <w:r w:rsidRPr="001742C7">
        <w:rPr>
          <w:lang w:val="fr-CH"/>
        </w:rPr>
        <w:t>Flying</w:t>
      </w:r>
      <w:proofErr w:type="spellEnd"/>
      <w:r w:rsidRPr="001742C7">
        <w:rPr>
          <w:lang w:val="fr-CH"/>
        </w:rPr>
        <w:t xml:space="preserve"> </w:t>
      </w:r>
      <w:proofErr w:type="spellStart"/>
      <w:r w:rsidRPr="001742C7">
        <w:rPr>
          <w:lang w:val="fr-CH"/>
        </w:rPr>
        <w:t>HAM’s</w:t>
      </w:r>
      <w:proofErr w:type="spellEnd"/>
      <w:r w:rsidRPr="001742C7">
        <w:rPr>
          <w:lang w:val="fr-CH"/>
        </w:rPr>
        <w:t xml:space="preserve"> - </w:t>
      </w:r>
      <w:proofErr w:type="spellStart"/>
      <w:r w:rsidRPr="001742C7">
        <w:rPr>
          <w:lang w:val="fr-CH"/>
        </w:rPr>
        <w:t>Fifth</w:t>
      </w:r>
      <w:proofErr w:type="spellEnd"/>
      <w:r w:rsidRPr="001742C7">
        <w:rPr>
          <w:lang w:val="fr-CH"/>
        </w:rPr>
        <w:t xml:space="preserve"> </w:t>
      </w:r>
      <w:proofErr w:type="spellStart"/>
      <w:r w:rsidRPr="001742C7">
        <w:rPr>
          <w:lang w:val="fr-CH"/>
        </w:rPr>
        <w:t>Ocean</w:t>
      </w:r>
      <w:proofErr w:type="spellEnd"/>
      <w:r w:rsidRPr="001742C7">
        <w:rPr>
          <w:lang w:val="fr-CH"/>
        </w:rPr>
        <w:t> »</w:t>
      </w:r>
      <w:r w:rsidRPr="001742C7">
        <w:rPr>
          <w:lang w:val="fr-FR"/>
        </w:rPr>
        <w:t xml:space="preserve"> à utiliser l'indicatif d’appel spécial </w:t>
      </w:r>
      <w:r w:rsidRPr="001742C7">
        <w:rPr>
          <w:b/>
          <w:bCs/>
          <w:lang w:val="fr-CH"/>
        </w:rPr>
        <w:t>YT73DP</w:t>
      </w:r>
      <w:r w:rsidRPr="001742C7">
        <w:rPr>
          <w:lang w:val="fr-FR"/>
        </w:rPr>
        <w:t xml:space="preserve"> pendant la période comprise entre le 1 et le 9 mai 2018.</w:t>
      </w:r>
    </w:p>
    <w:p w:rsidR="001742C7" w:rsidRPr="001742C7" w:rsidRDefault="001742C7" w:rsidP="001742C7">
      <w:pPr>
        <w:rPr>
          <w:lang w:val="fr-FR"/>
        </w:rPr>
      </w:pPr>
      <w:r w:rsidRPr="001742C7">
        <w:rPr>
          <w:lang w:val="fr-FR"/>
        </w:rPr>
        <w:t>En mémoire</w:t>
      </w:r>
      <w:r w:rsidRPr="001742C7">
        <w:rPr>
          <w:lang w:val="fr-CH"/>
        </w:rPr>
        <w:t xml:space="preserve"> de la mort tragique du pilote militaire Major Goran </w:t>
      </w:r>
      <w:proofErr w:type="spellStart"/>
      <w:r w:rsidRPr="001742C7">
        <w:rPr>
          <w:lang w:val="fr-CH"/>
        </w:rPr>
        <w:t>Savic</w:t>
      </w:r>
      <w:proofErr w:type="spellEnd"/>
      <w:r w:rsidRPr="001742C7">
        <w:rPr>
          <w:lang w:val="fr-CH"/>
        </w:rPr>
        <w:t xml:space="preserve">, </w:t>
      </w:r>
      <w:r w:rsidRPr="001742C7">
        <w:rPr>
          <w:lang w:val="fr-FR"/>
        </w:rPr>
        <w:t>l'Administration serbe autorise une section serbe de l’«</w:t>
      </w:r>
      <w:r w:rsidRPr="001742C7">
        <w:rPr>
          <w:lang w:val="fr-CH"/>
        </w:rPr>
        <w:t xml:space="preserve">International </w:t>
      </w:r>
      <w:proofErr w:type="spellStart"/>
      <w:r w:rsidRPr="001742C7">
        <w:rPr>
          <w:lang w:val="fr-CH"/>
        </w:rPr>
        <w:t>Flying</w:t>
      </w:r>
      <w:proofErr w:type="spellEnd"/>
      <w:r w:rsidRPr="001742C7">
        <w:rPr>
          <w:lang w:val="fr-CH"/>
        </w:rPr>
        <w:t xml:space="preserve"> </w:t>
      </w:r>
      <w:proofErr w:type="spellStart"/>
      <w:r w:rsidRPr="001742C7">
        <w:rPr>
          <w:lang w:val="fr-CH"/>
        </w:rPr>
        <w:t>HAM’s</w:t>
      </w:r>
      <w:proofErr w:type="spellEnd"/>
      <w:r w:rsidRPr="001742C7">
        <w:rPr>
          <w:lang w:val="fr-CH"/>
        </w:rPr>
        <w:t xml:space="preserve"> - </w:t>
      </w:r>
      <w:proofErr w:type="spellStart"/>
      <w:r w:rsidRPr="001742C7">
        <w:rPr>
          <w:lang w:val="fr-CH"/>
        </w:rPr>
        <w:t>Fifth</w:t>
      </w:r>
      <w:proofErr w:type="spellEnd"/>
      <w:r w:rsidRPr="001742C7">
        <w:rPr>
          <w:lang w:val="fr-CH"/>
        </w:rPr>
        <w:t xml:space="preserve"> </w:t>
      </w:r>
      <w:proofErr w:type="spellStart"/>
      <w:r w:rsidRPr="001742C7">
        <w:rPr>
          <w:lang w:val="fr-CH"/>
        </w:rPr>
        <w:t>Ocean</w:t>
      </w:r>
      <w:proofErr w:type="spellEnd"/>
      <w:r w:rsidRPr="001742C7">
        <w:rPr>
          <w:lang w:val="fr-CH"/>
        </w:rPr>
        <w:t> »</w:t>
      </w:r>
      <w:r w:rsidRPr="001742C7">
        <w:rPr>
          <w:lang w:val="fr-FR"/>
        </w:rPr>
        <w:t xml:space="preserve"> à utiliser l'indicatif d’appel spécial </w:t>
      </w:r>
      <w:r w:rsidRPr="001742C7">
        <w:rPr>
          <w:b/>
          <w:bCs/>
          <w:lang w:val="fr-CH"/>
        </w:rPr>
        <w:t>YT44GS</w:t>
      </w:r>
      <w:r w:rsidRPr="001742C7">
        <w:rPr>
          <w:lang w:val="fr-FR"/>
        </w:rPr>
        <w:t xml:space="preserve"> pendant la période comprise entre le 20 et le 30 septembre 2018.</w:t>
      </w:r>
    </w:p>
    <w:p w:rsidR="001742C7" w:rsidRPr="001742C7" w:rsidRDefault="001742C7" w:rsidP="001742C7">
      <w:pPr>
        <w:spacing w:after="120"/>
        <w:rPr>
          <w:lang w:val="fr-FR"/>
        </w:rPr>
      </w:pPr>
      <w:r w:rsidRPr="001742C7">
        <w:rPr>
          <w:lang w:val="fr-CH"/>
        </w:rPr>
        <w:t xml:space="preserve">A l'occasion </w:t>
      </w:r>
      <w:r w:rsidRPr="001742C7">
        <w:rPr>
          <w:lang w:val="fr-FR"/>
        </w:rPr>
        <w:t>de la journée de l’aviation civile internationale (7 décembre) et en commémoration de la fondation de la société de transport aérien « AEROPUT », l'Administration serbe autorise une section serbe de l’«</w:t>
      </w:r>
      <w:r w:rsidRPr="001742C7">
        <w:rPr>
          <w:lang w:val="fr-CH"/>
        </w:rPr>
        <w:t xml:space="preserve">International </w:t>
      </w:r>
      <w:proofErr w:type="spellStart"/>
      <w:r w:rsidRPr="001742C7">
        <w:rPr>
          <w:lang w:val="fr-CH"/>
        </w:rPr>
        <w:t>Flying</w:t>
      </w:r>
      <w:proofErr w:type="spellEnd"/>
      <w:r w:rsidRPr="001742C7">
        <w:rPr>
          <w:lang w:val="fr-CH"/>
        </w:rPr>
        <w:t xml:space="preserve"> </w:t>
      </w:r>
      <w:proofErr w:type="spellStart"/>
      <w:r w:rsidRPr="001742C7">
        <w:rPr>
          <w:lang w:val="fr-CH"/>
        </w:rPr>
        <w:t>HAM’s</w:t>
      </w:r>
      <w:proofErr w:type="spellEnd"/>
      <w:r w:rsidRPr="001742C7">
        <w:rPr>
          <w:lang w:val="fr-CH"/>
        </w:rPr>
        <w:t xml:space="preserve"> - </w:t>
      </w:r>
      <w:proofErr w:type="spellStart"/>
      <w:r w:rsidRPr="001742C7">
        <w:rPr>
          <w:lang w:val="fr-CH"/>
        </w:rPr>
        <w:t>Fifth</w:t>
      </w:r>
      <w:proofErr w:type="spellEnd"/>
      <w:r w:rsidRPr="001742C7">
        <w:rPr>
          <w:lang w:val="fr-CH"/>
        </w:rPr>
        <w:t xml:space="preserve"> </w:t>
      </w:r>
      <w:proofErr w:type="spellStart"/>
      <w:r w:rsidRPr="001742C7">
        <w:rPr>
          <w:lang w:val="fr-CH"/>
        </w:rPr>
        <w:t>Ocean</w:t>
      </w:r>
      <w:proofErr w:type="spellEnd"/>
      <w:r w:rsidRPr="001742C7">
        <w:rPr>
          <w:lang w:val="fr-CH"/>
        </w:rPr>
        <w:t> »</w:t>
      </w:r>
      <w:r w:rsidRPr="001742C7">
        <w:rPr>
          <w:lang w:val="fr-FR"/>
        </w:rPr>
        <w:t xml:space="preserve"> à utiliser l'indicatif d’appel spécial </w:t>
      </w:r>
      <w:r w:rsidRPr="001742C7">
        <w:rPr>
          <w:b/>
          <w:bCs/>
          <w:lang w:val="fr-CH"/>
        </w:rPr>
        <w:t>YT27AP</w:t>
      </w:r>
      <w:r w:rsidRPr="001742C7">
        <w:rPr>
          <w:lang w:val="fr-FR"/>
        </w:rPr>
        <w:t xml:space="preserve"> pendant la période comprise entre le 5 et le 12 décembre 2018.</w:t>
      </w:r>
    </w:p>
    <w:p w:rsidR="001742C7" w:rsidRPr="001742C7" w:rsidRDefault="001742C7" w:rsidP="001742C7">
      <w:pPr>
        <w:rPr>
          <w:lang w:val="fr-FR"/>
        </w:rPr>
      </w:pPr>
      <w:r w:rsidRPr="001742C7">
        <w:rPr>
          <w:lang w:val="fr-CH"/>
        </w:rPr>
        <w:t xml:space="preserve">A l'occasion </w:t>
      </w:r>
      <w:r w:rsidRPr="001742C7">
        <w:rPr>
          <w:lang w:val="fr-FR"/>
        </w:rPr>
        <w:t xml:space="preserve">de la coupe du monde FIFA 2018 en Russie, l'Administration serbe autorise les stations d’amateur de l’Union des radioamateurs de Serbie à utiliser l'indicatif d’appel spécial </w:t>
      </w:r>
      <w:r w:rsidRPr="001742C7">
        <w:rPr>
          <w:b/>
          <w:bCs/>
          <w:lang w:val="fr-CH"/>
        </w:rPr>
        <w:t>YU18FWC</w:t>
      </w:r>
      <w:r w:rsidRPr="001742C7">
        <w:rPr>
          <w:lang w:val="fr-FR"/>
        </w:rPr>
        <w:t xml:space="preserve"> pendant la période comprise entre le 1 juin et le 15 juillet 2018.</w:t>
      </w:r>
    </w:p>
    <w:p w:rsidR="00BC2805" w:rsidRPr="001742C7" w:rsidRDefault="00BC2805" w:rsidP="00BC2805">
      <w:pPr>
        <w:rPr>
          <w:rFonts w:eastAsia="SimSun"/>
          <w:lang w:val="fr-CH"/>
        </w:rPr>
      </w:pPr>
    </w:p>
    <w:bookmarkEnd w:id="310"/>
    <w:p w:rsidR="00C66425" w:rsidRPr="001742C7"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1742C7">
        <w:rPr>
          <w:rFonts w:cs="Arial"/>
          <w:lang w:val="fr-CH"/>
        </w:rPr>
        <w:br w:type="page"/>
      </w:r>
    </w:p>
    <w:p w:rsidR="00C66425" w:rsidRPr="001742C7"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D76D1" w:rsidRPr="002A6185" w:rsidRDefault="009D76D1" w:rsidP="009D76D1">
      <w:pPr>
        <w:pStyle w:val="Heading2"/>
        <w:rPr>
          <w:lang w:val="fr-CH"/>
        </w:rPr>
      </w:pPr>
      <w:bookmarkStart w:id="328" w:name="_Toc417551684"/>
      <w:bookmarkStart w:id="329" w:name="_Toc418172334"/>
      <w:bookmarkStart w:id="330" w:name="_Toc418590416"/>
      <w:bookmarkStart w:id="331" w:name="_Toc421025977"/>
      <w:bookmarkStart w:id="332" w:name="_Toc422401214"/>
      <w:bookmarkStart w:id="333" w:name="_Toc423525459"/>
      <w:bookmarkStart w:id="334" w:name="_Toc424821420"/>
      <w:bookmarkStart w:id="335" w:name="_Toc428366209"/>
      <w:bookmarkStart w:id="336" w:name="_Toc429043969"/>
      <w:bookmarkStart w:id="337" w:name="_Toc430351629"/>
      <w:bookmarkStart w:id="338" w:name="_Toc435101744"/>
      <w:bookmarkStart w:id="339" w:name="_Toc436994431"/>
      <w:bookmarkStart w:id="340" w:name="_Toc437951348"/>
      <w:bookmarkStart w:id="341" w:name="_Toc439770098"/>
      <w:bookmarkStart w:id="342" w:name="_Toc442697183"/>
      <w:bookmarkStart w:id="343" w:name="_Toc443314403"/>
      <w:bookmarkStart w:id="344" w:name="_Toc451159962"/>
      <w:bookmarkStart w:id="345" w:name="_Toc452042297"/>
      <w:bookmarkStart w:id="346" w:name="_Toc453246397"/>
      <w:bookmarkStart w:id="347" w:name="_Toc455568929"/>
      <w:bookmarkStart w:id="348" w:name="_Toc458763347"/>
      <w:bookmarkStart w:id="349" w:name="_Toc461613929"/>
      <w:bookmarkStart w:id="350" w:name="_Toc464028571"/>
      <w:bookmarkStart w:id="351" w:name="_Toc466292736"/>
      <w:bookmarkStart w:id="352" w:name="_Toc467229228"/>
      <w:bookmarkStart w:id="353" w:name="_Toc468199537"/>
      <w:bookmarkStart w:id="354" w:name="_Toc469058093"/>
      <w:bookmarkStart w:id="355" w:name="_Toc472413666"/>
      <w:bookmarkStart w:id="356" w:name="_Toc473107267"/>
      <w:bookmarkStart w:id="357" w:name="_Toc474850439"/>
      <w:bookmarkStart w:id="358" w:name="_Toc476061821"/>
      <w:bookmarkStart w:id="359" w:name="_Toc477355879"/>
      <w:bookmarkStart w:id="360" w:name="_Toc478045212"/>
      <w:bookmarkStart w:id="361" w:name="_Toc479170905"/>
      <w:bookmarkStart w:id="362" w:name="_Toc481736935"/>
      <w:bookmarkStart w:id="363" w:name="_Toc483991774"/>
      <w:bookmarkStart w:id="364" w:name="_Toc484612706"/>
      <w:bookmarkStart w:id="365" w:name="_Toc486861831"/>
      <w:bookmarkStart w:id="366" w:name="_Toc489604268"/>
      <w:bookmarkStart w:id="367" w:name="_Toc490733865"/>
      <w:bookmarkStart w:id="368" w:name="_Toc492473929"/>
      <w:bookmarkStart w:id="369" w:name="_Toc493239117"/>
      <w:bookmarkStart w:id="370" w:name="_Toc494706577"/>
      <w:bookmarkStart w:id="371" w:name="_Toc496867161"/>
      <w:bookmarkStart w:id="372" w:name="_Toc497466152"/>
      <w:bookmarkStart w:id="373" w:name="_Toc498510163"/>
      <w:bookmarkStart w:id="374" w:name="_Toc499892935"/>
      <w:bookmarkStart w:id="375" w:name="_Toc500928331"/>
      <w:bookmarkStart w:id="376" w:name="_Toc503278447"/>
      <w:bookmarkStart w:id="377" w:name="_Toc508115976"/>
      <w:bookmarkStart w:id="378" w:name="_Toc509306707"/>
      <w:bookmarkStart w:id="379" w:name="_Toc510616292"/>
      <w:bookmarkStart w:id="380" w:name="_Toc512954056"/>
      <w:bookmarkStart w:id="381" w:name="_Toc513554846"/>
      <w:bookmarkEnd w:id="306"/>
      <w:bookmarkEnd w:id="307"/>
      <w:r w:rsidRPr="002A6185">
        <w:rPr>
          <w:lang w:val="fr-CH"/>
        </w:rPr>
        <w:t>Restrictions de service</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82" w:name="_Toc417551685"/>
      <w:bookmarkStart w:id="383" w:name="_Toc418172335"/>
      <w:bookmarkStart w:id="384" w:name="_Toc418590417"/>
      <w:bookmarkStart w:id="385" w:name="_Toc421025978"/>
      <w:bookmarkStart w:id="386" w:name="_Toc422401215"/>
      <w:bookmarkStart w:id="387" w:name="_Toc423525460"/>
      <w:bookmarkStart w:id="388" w:name="_Toc424821421"/>
      <w:bookmarkStart w:id="389" w:name="_Toc428366210"/>
      <w:bookmarkStart w:id="390" w:name="_Toc429043970"/>
      <w:bookmarkStart w:id="391" w:name="_Toc430351630"/>
      <w:bookmarkStart w:id="392" w:name="_Toc435101745"/>
      <w:bookmarkStart w:id="393" w:name="_Toc436994432"/>
      <w:bookmarkStart w:id="394" w:name="_Toc437951349"/>
      <w:bookmarkStart w:id="395" w:name="_Toc439770099"/>
      <w:bookmarkStart w:id="396" w:name="_Toc442697184"/>
      <w:bookmarkStart w:id="397" w:name="_Toc443314404"/>
      <w:bookmarkStart w:id="398" w:name="_Toc451159963"/>
      <w:bookmarkStart w:id="399" w:name="_Toc452042298"/>
      <w:bookmarkStart w:id="400" w:name="_Toc453246398"/>
      <w:bookmarkStart w:id="401" w:name="_Toc455568930"/>
      <w:bookmarkStart w:id="402" w:name="_Toc458763348"/>
      <w:bookmarkStart w:id="403" w:name="_Toc461613930"/>
      <w:bookmarkStart w:id="404" w:name="_Toc464028572"/>
      <w:bookmarkStart w:id="405" w:name="_Toc466292737"/>
      <w:bookmarkStart w:id="406" w:name="_Toc467229229"/>
      <w:bookmarkStart w:id="407" w:name="_Toc468199538"/>
      <w:bookmarkStart w:id="408" w:name="_Toc469058094"/>
      <w:bookmarkStart w:id="409" w:name="_Toc472413667"/>
      <w:bookmarkStart w:id="410" w:name="_Toc473107268"/>
      <w:bookmarkStart w:id="411" w:name="_Toc474850440"/>
      <w:bookmarkStart w:id="412" w:name="_Toc476061822"/>
      <w:bookmarkStart w:id="413" w:name="_Toc477355880"/>
      <w:bookmarkStart w:id="414" w:name="_Toc478045213"/>
      <w:bookmarkStart w:id="415" w:name="_Toc479170906"/>
      <w:bookmarkStart w:id="416" w:name="_Toc481736936"/>
      <w:bookmarkStart w:id="417" w:name="_Toc483991775"/>
      <w:bookmarkStart w:id="418" w:name="_Toc484612707"/>
      <w:bookmarkStart w:id="419" w:name="_Toc486861832"/>
      <w:bookmarkStart w:id="420" w:name="_Toc489604269"/>
      <w:bookmarkStart w:id="421" w:name="_Toc490733866"/>
      <w:bookmarkStart w:id="422" w:name="_Toc492473930"/>
      <w:bookmarkStart w:id="423" w:name="_Toc493239118"/>
      <w:bookmarkStart w:id="424" w:name="_Toc494706578"/>
      <w:bookmarkStart w:id="425" w:name="_Toc496867162"/>
      <w:bookmarkStart w:id="426" w:name="_Toc497466153"/>
      <w:bookmarkStart w:id="427" w:name="_Toc498510164"/>
      <w:bookmarkStart w:id="428" w:name="_Toc499892936"/>
      <w:bookmarkStart w:id="429" w:name="_Toc500928332"/>
      <w:bookmarkStart w:id="430" w:name="_Toc503278448"/>
      <w:bookmarkStart w:id="431" w:name="_Toc508115977"/>
      <w:bookmarkStart w:id="432" w:name="_Toc509306708"/>
      <w:bookmarkStart w:id="433" w:name="_Toc510616293"/>
      <w:bookmarkStart w:id="434" w:name="_Toc512954057"/>
      <w:bookmarkStart w:id="435" w:name="_Toc513554847"/>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36" w:name="_Toc451159964"/>
      <w:bookmarkStart w:id="437" w:name="_Toc452042299"/>
      <w:bookmarkStart w:id="438" w:name="_Toc453246399"/>
      <w:bookmarkStart w:id="439" w:name="_Toc455568931"/>
      <w:bookmarkStart w:id="440" w:name="_Toc458763349"/>
      <w:bookmarkStart w:id="441" w:name="_Toc461613931"/>
      <w:bookmarkStart w:id="442" w:name="_Toc464028573"/>
      <w:bookmarkStart w:id="443" w:name="_Toc466292738"/>
      <w:bookmarkStart w:id="444" w:name="_Toc467229230"/>
      <w:bookmarkStart w:id="445" w:name="_Toc468199539"/>
      <w:bookmarkStart w:id="446" w:name="_Toc469058095"/>
      <w:bookmarkStart w:id="447" w:name="_Toc472413668"/>
      <w:bookmarkStart w:id="448" w:name="_Toc473107269"/>
      <w:bookmarkStart w:id="449" w:name="_Toc474850441"/>
      <w:bookmarkStart w:id="450" w:name="_Toc476061823"/>
      <w:bookmarkStart w:id="451" w:name="_Toc477355881"/>
      <w:bookmarkStart w:id="452" w:name="_Toc478045214"/>
      <w:bookmarkStart w:id="453" w:name="_Toc479170907"/>
      <w:bookmarkStart w:id="454" w:name="_Toc481736937"/>
      <w:bookmarkStart w:id="455" w:name="_Toc483991776"/>
      <w:bookmarkStart w:id="456" w:name="_Toc484612708"/>
      <w:bookmarkStart w:id="457" w:name="_Toc486861833"/>
      <w:bookmarkStart w:id="458" w:name="_Toc489604270"/>
      <w:bookmarkStart w:id="459" w:name="_Toc490733867"/>
      <w:bookmarkStart w:id="460" w:name="_Toc492473931"/>
      <w:bookmarkStart w:id="461" w:name="_Toc493239119"/>
      <w:bookmarkStart w:id="462" w:name="_Toc494706579"/>
      <w:bookmarkStart w:id="463" w:name="_Toc496867163"/>
      <w:bookmarkStart w:id="464" w:name="_Toc497466154"/>
      <w:bookmarkStart w:id="465" w:name="_Toc498510165"/>
      <w:bookmarkStart w:id="466" w:name="_Toc499892937"/>
      <w:bookmarkStart w:id="467" w:name="_Toc500928333"/>
      <w:bookmarkStart w:id="468" w:name="_Toc503278449"/>
      <w:bookmarkStart w:id="469" w:name="_Toc508115978"/>
      <w:bookmarkStart w:id="470" w:name="_Toc509306709"/>
      <w:bookmarkStart w:id="471" w:name="_Toc510616294"/>
      <w:bookmarkStart w:id="472" w:name="_Toc512954058"/>
      <w:bookmarkStart w:id="473" w:name="_Toc513554848"/>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B0909" w:rsidRDefault="00EB0909" w:rsidP="00EB0909">
      <w:pPr>
        <w:rPr>
          <w:lang w:val="es-ES"/>
        </w:rPr>
      </w:pPr>
    </w:p>
    <w:p w:rsidR="00994A82" w:rsidRDefault="00994A82" w:rsidP="00A742B6">
      <w:pPr>
        <w:rPr>
          <w:lang w:val="de-CH"/>
        </w:rPr>
      </w:pPr>
    </w:p>
    <w:p w:rsidR="0056519B" w:rsidRPr="00B36E9F" w:rsidRDefault="0056519B" w:rsidP="0056519B">
      <w:pPr>
        <w:rPr>
          <w:sz w:val="0"/>
          <w:lang w:val="es-ES_tradnl"/>
        </w:rPr>
      </w:pPr>
    </w:p>
    <w:tbl>
      <w:tblPr>
        <w:tblW w:w="0" w:type="auto"/>
        <w:tblCellMar>
          <w:left w:w="0" w:type="dxa"/>
          <w:right w:w="0" w:type="dxa"/>
        </w:tblCellMar>
        <w:tblLook w:val="0000" w:firstRow="0" w:lastRow="0" w:firstColumn="0" w:lastColumn="0" w:noHBand="0" w:noVBand="0"/>
      </w:tblPr>
      <w:tblGrid>
        <w:gridCol w:w="110"/>
        <w:gridCol w:w="8687"/>
        <w:gridCol w:w="410"/>
      </w:tblGrid>
      <w:tr w:rsidR="0056519B" w:rsidRPr="00493C99" w:rsidTr="0056519B">
        <w:trPr>
          <w:trHeight w:val="379"/>
        </w:trPr>
        <w:tc>
          <w:tcPr>
            <w:tcW w:w="110" w:type="dxa"/>
          </w:tcPr>
          <w:p w:rsidR="0056519B" w:rsidRPr="00B36E9F" w:rsidRDefault="0056519B" w:rsidP="0056519B">
            <w:pPr>
              <w:pStyle w:val="EmptyCellLayoutStyle"/>
              <w:spacing w:after="0" w:line="240" w:lineRule="auto"/>
              <w:rPr>
                <w:lang w:val="es-ES_tradnl"/>
              </w:rPr>
            </w:pPr>
          </w:p>
        </w:tc>
        <w:tc>
          <w:tcPr>
            <w:tcW w:w="8274" w:type="dxa"/>
          </w:tcPr>
          <w:p w:rsidR="0056519B" w:rsidRPr="00B36E9F" w:rsidRDefault="0056519B" w:rsidP="0056519B">
            <w:pPr>
              <w:pStyle w:val="EmptyCellLayoutStyle"/>
              <w:spacing w:after="0" w:line="240" w:lineRule="auto"/>
              <w:rPr>
                <w:lang w:val="es-ES_tradnl"/>
              </w:rPr>
            </w:pPr>
          </w:p>
        </w:tc>
        <w:tc>
          <w:tcPr>
            <w:tcW w:w="410" w:type="dxa"/>
          </w:tcPr>
          <w:p w:rsidR="0056519B" w:rsidRPr="00B36E9F" w:rsidRDefault="0056519B" w:rsidP="0056519B">
            <w:pPr>
              <w:pStyle w:val="EmptyCellLayoutStyle"/>
              <w:spacing w:after="0" w:line="240" w:lineRule="auto"/>
              <w:rPr>
                <w:lang w:val="es-ES_tradnl"/>
              </w:rPr>
            </w:pPr>
          </w:p>
        </w:tc>
      </w:tr>
      <w:tr w:rsidR="0056519B" w:rsidRPr="002163E1" w:rsidTr="0056519B">
        <w:trPr>
          <w:trHeight w:val="1076"/>
        </w:trPr>
        <w:tc>
          <w:tcPr>
            <w:tcW w:w="110" w:type="dxa"/>
          </w:tcPr>
          <w:p w:rsidR="0056519B" w:rsidRPr="00B36E9F" w:rsidRDefault="0056519B" w:rsidP="0056519B">
            <w:pPr>
              <w:pStyle w:val="EmptyCellLayoutStyle"/>
              <w:spacing w:after="0" w:line="240" w:lineRule="auto"/>
              <w:rPr>
                <w:lang w:val="es-ES_tradnl"/>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56519B" w:rsidRPr="002163E1" w:rsidTr="0056519B">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56519B" w:rsidRPr="00B36E9F" w:rsidRDefault="0056519B" w:rsidP="00B76ABA">
                  <w:pPr>
                    <w:pStyle w:val="Heading2"/>
                    <w:rPr>
                      <w:lang w:val="fr-CH"/>
                    </w:rPr>
                  </w:pPr>
                  <w:bookmarkStart w:id="474" w:name="_Toc513554849"/>
                  <w:r w:rsidRPr="0056519B">
                    <w:rPr>
                      <w:lang w:val="fr-CH"/>
                    </w:rPr>
                    <w:t>Codes de réseau mobile (MNC) pour le plan d'identification international</w:t>
                  </w:r>
                  <w:r>
                    <w:rPr>
                      <w:lang w:val="fr-CH"/>
                    </w:rPr>
                    <w:t xml:space="preserve"> </w:t>
                  </w:r>
                  <w:r w:rsidRPr="0056519B">
                    <w:rPr>
                      <w:lang w:val="fr-CH"/>
                    </w:rPr>
                    <w:t xml:space="preserve">pour les réseaux publics et les </w:t>
                  </w:r>
                  <w:proofErr w:type="gramStart"/>
                  <w:r w:rsidRPr="0056519B">
                    <w:rPr>
                      <w:lang w:val="fr-CH"/>
                    </w:rPr>
                    <w:t>abonnements</w:t>
                  </w:r>
                  <w:proofErr w:type="gramEnd"/>
                  <w:r w:rsidRPr="0056519B">
                    <w:rPr>
                      <w:lang w:val="fr-CH"/>
                    </w:rPr>
                    <w:br/>
                    <w:t>(Selon la Recommandation UIT-T E.212 (09/2016))</w:t>
                  </w:r>
                  <w:r w:rsidRPr="0056519B">
                    <w:rPr>
                      <w:lang w:val="fr-CH"/>
                    </w:rPr>
                    <w:br/>
                    <w:t>(Situation au 1er novembre 2016)</w:t>
                  </w:r>
                  <w:bookmarkEnd w:id="474"/>
                </w:p>
              </w:tc>
            </w:tr>
          </w:tbl>
          <w:p w:rsidR="0056519B" w:rsidRPr="00B36E9F" w:rsidRDefault="0056519B" w:rsidP="0056519B">
            <w:pPr>
              <w:rPr>
                <w:lang w:val="fr-CH"/>
              </w:rPr>
            </w:pPr>
          </w:p>
        </w:tc>
        <w:tc>
          <w:tcPr>
            <w:tcW w:w="410" w:type="dxa"/>
          </w:tcPr>
          <w:p w:rsidR="0056519B" w:rsidRPr="00B36E9F" w:rsidRDefault="0056519B" w:rsidP="0056519B">
            <w:pPr>
              <w:pStyle w:val="EmptyCellLayoutStyle"/>
              <w:spacing w:after="0" w:line="240" w:lineRule="auto"/>
              <w:rPr>
                <w:lang w:val="fr-CH"/>
              </w:rPr>
            </w:pPr>
          </w:p>
        </w:tc>
      </w:tr>
      <w:tr w:rsidR="0056519B" w:rsidRPr="002163E1" w:rsidTr="0056519B">
        <w:trPr>
          <w:trHeight w:val="172"/>
        </w:trPr>
        <w:tc>
          <w:tcPr>
            <w:tcW w:w="110" w:type="dxa"/>
          </w:tcPr>
          <w:p w:rsidR="0056519B" w:rsidRPr="00B36E9F" w:rsidRDefault="0056519B" w:rsidP="0056519B">
            <w:pPr>
              <w:pStyle w:val="EmptyCellLayoutStyle"/>
              <w:spacing w:after="0" w:line="240" w:lineRule="auto"/>
              <w:rPr>
                <w:lang w:val="fr-CH"/>
              </w:rPr>
            </w:pPr>
          </w:p>
        </w:tc>
        <w:tc>
          <w:tcPr>
            <w:tcW w:w="8274" w:type="dxa"/>
          </w:tcPr>
          <w:p w:rsidR="0056519B" w:rsidRPr="00B36E9F" w:rsidRDefault="0056519B" w:rsidP="0056519B">
            <w:pPr>
              <w:pStyle w:val="EmptyCellLayoutStyle"/>
              <w:spacing w:after="0" w:line="240" w:lineRule="auto"/>
              <w:rPr>
                <w:lang w:val="fr-CH"/>
              </w:rPr>
            </w:pPr>
          </w:p>
        </w:tc>
        <w:tc>
          <w:tcPr>
            <w:tcW w:w="410" w:type="dxa"/>
          </w:tcPr>
          <w:p w:rsidR="0056519B" w:rsidRPr="00B36E9F" w:rsidRDefault="0056519B" w:rsidP="0056519B">
            <w:pPr>
              <w:pStyle w:val="EmptyCellLayoutStyle"/>
              <w:spacing w:after="0" w:line="240" w:lineRule="auto"/>
              <w:rPr>
                <w:lang w:val="fr-CH"/>
              </w:rPr>
            </w:pPr>
          </w:p>
        </w:tc>
      </w:tr>
      <w:tr w:rsidR="0056519B" w:rsidRPr="00EA1A10" w:rsidTr="0056519B">
        <w:trPr>
          <w:trHeight w:val="434"/>
        </w:trPr>
        <w:tc>
          <w:tcPr>
            <w:tcW w:w="110" w:type="dxa"/>
          </w:tcPr>
          <w:p w:rsidR="0056519B" w:rsidRPr="00B36E9F" w:rsidRDefault="0056519B" w:rsidP="0056519B">
            <w:pPr>
              <w:pStyle w:val="EmptyCellLayoutStyle"/>
              <w:spacing w:after="0" w:line="240" w:lineRule="auto"/>
              <w:rPr>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56519B" w:rsidRPr="00EA1A10" w:rsidTr="0056519B">
              <w:trPr>
                <w:trHeight w:val="356"/>
              </w:trPr>
              <w:tc>
                <w:tcPr>
                  <w:tcW w:w="8274" w:type="dxa"/>
                  <w:tcBorders>
                    <w:top w:val="nil"/>
                    <w:left w:val="nil"/>
                    <w:bottom w:val="nil"/>
                    <w:right w:val="nil"/>
                  </w:tcBorders>
                  <w:tcMar>
                    <w:top w:w="39" w:type="dxa"/>
                    <w:left w:w="39" w:type="dxa"/>
                    <w:bottom w:w="39" w:type="dxa"/>
                    <w:right w:w="39" w:type="dxa"/>
                  </w:tcMar>
                </w:tcPr>
                <w:p w:rsidR="0056519B" w:rsidRPr="0056519B" w:rsidRDefault="0056519B" w:rsidP="0056519B">
                  <w:pPr>
                    <w:jc w:val="center"/>
                    <w:rPr>
                      <w:lang w:val="fr-CH"/>
                    </w:rPr>
                  </w:pPr>
                  <w:r w:rsidRPr="00B76ABA">
                    <w:rPr>
                      <w:rFonts w:eastAsia="Arial"/>
                      <w:lang w:val="fr-CH"/>
                    </w:rPr>
                    <w:t xml:space="preserve">(Annexe au Bulletin d'exploitation de l'UIT </w:t>
                  </w:r>
                  <w:r w:rsidRPr="00B76ABA">
                    <w:rPr>
                      <w:rFonts w:eastAsia="Calibri"/>
                      <w:lang w:val="fr-CH"/>
                    </w:rPr>
                    <w:t>N°</w:t>
                  </w:r>
                  <w:r w:rsidRPr="00B76ABA">
                    <w:rPr>
                      <w:rFonts w:eastAsia="Arial"/>
                      <w:lang w:val="fr-CH"/>
                    </w:rPr>
                    <w:t xml:space="preserve"> 1111 – 1.XI.2016)</w:t>
                  </w:r>
                  <w:r w:rsidRPr="00B76ABA">
                    <w:rPr>
                      <w:rFonts w:eastAsia="Arial"/>
                      <w:lang w:val="fr-CH"/>
                    </w:rPr>
                    <w:br/>
                  </w:r>
                  <w:r w:rsidRPr="0056519B">
                    <w:rPr>
                      <w:rFonts w:eastAsia="Arial"/>
                      <w:lang w:val="fr-CH"/>
                    </w:rPr>
                    <w:t xml:space="preserve">(Amendement </w:t>
                  </w:r>
                  <w:r w:rsidRPr="0056519B">
                    <w:rPr>
                      <w:rFonts w:eastAsia="Calibri"/>
                      <w:lang w:val="fr-CH"/>
                    </w:rPr>
                    <w:t xml:space="preserve">N° </w:t>
                  </w:r>
                  <w:r w:rsidRPr="0056519B">
                    <w:rPr>
                      <w:rFonts w:eastAsia="Arial"/>
                      <w:lang w:val="fr-CH"/>
                    </w:rPr>
                    <w:t>34)</w:t>
                  </w:r>
                </w:p>
              </w:tc>
            </w:tr>
          </w:tbl>
          <w:p w:rsidR="0056519B" w:rsidRPr="0056519B" w:rsidRDefault="0056519B" w:rsidP="0056519B">
            <w:pPr>
              <w:rPr>
                <w:lang w:val="fr-CH"/>
              </w:rPr>
            </w:pPr>
          </w:p>
        </w:tc>
        <w:tc>
          <w:tcPr>
            <w:tcW w:w="410" w:type="dxa"/>
          </w:tcPr>
          <w:p w:rsidR="0056519B" w:rsidRPr="0056519B" w:rsidRDefault="0056519B" w:rsidP="0056519B">
            <w:pPr>
              <w:pStyle w:val="EmptyCellLayoutStyle"/>
              <w:spacing w:after="0" w:line="240" w:lineRule="auto"/>
              <w:rPr>
                <w:lang w:val="fr-CH"/>
              </w:rPr>
            </w:pPr>
          </w:p>
        </w:tc>
      </w:tr>
      <w:tr w:rsidR="0056519B" w:rsidRPr="00EA1A10" w:rsidTr="0056519B">
        <w:trPr>
          <w:trHeight w:val="239"/>
        </w:trPr>
        <w:tc>
          <w:tcPr>
            <w:tcW w:w="110" w:type="dxa"/>
          </w:tcPr>
          <w:p w:rsidR="0056519B" w:rsidRPr="0056519B" w:rsidRDefault="0056519B" w:rsidP="0056519B">
            <w:pPr>
              <w:pStyle w:val="EmptyCellLayoutStyle"/>
              <w:spacing w:after="0" w:line="240" w:lineRule="auto"/>
              <w:rPr>
                <w:lang w:val="fr-CH"/>
              </w:rPr>
            </w:pPr>
          </w:p>
        </w:tc>
        <w:tc>
          <w:tcPr>
            <w:tcW w:w="8274" w:type="dxa"/>
          </w:tcPr>
          <w:p w:rsidR="0056519B" w:rsidRPr="0056519B" w:rsidRDefault="0056519B" w:rsidP="0056519B">
            <w:pPr>
              <w:pStyle w:val="EmptyCellLayoutStyle"/>
              <w:spacing w:after="0" w:line="240" w:lineRule="auto"/>
              <w:rPr>
                <w:lang w:val="fr-CH"/>
              </w:rPr>
            </w:pPr>
          </w:p>
        </w:tc>
        <w:tc>
          <w:tcPr>
            <w:tcW w:w="410" w:type="dxa"/>
          </w:tcPr>
          <w:p w:rsidR="0056519B" w:rsidRPr="0056519B" w:rsidRDefault="0056519B" w:rsidP="0056519B">
            <w:pPr>
              <w:pStyle w:val="EmptyCellLayoutStyle"/>
              <w:spacing w:after="0" w:line="240" w:lineRule="auto"/>
              <w:rPr>
                <w:lang w:val="fr-CH"/>
              </w:rPr>
            </w:pPr>
          </w:p>
        </w:tc>
      </w:tr>
      <w:tr w:rsidR="0056519B" w:rsidRPr="00EA1A10" w:rsidTr="0056519B">
        <w:tc>
          <w:tcPr>
            <w:tcW w:w="110" w:type="dxa"/>
          </w:tcPr>
          <w:p w:rsidR="0056519B" w:rsidRPr="0056519B" w:rsidRDefault="0056519B" w:rsidP="0056519B">
            <w:pPr>
              <w:pStyle w:val="EmptyCellLayoutStyle"/>
              <w:spacing w:after="0" w:line="240" w:lineRule="auto"/>
              <w:rPr>
                <w:lang w:val="fr-CH"/>
              </w:rPr>
            </w:pPr>
          </w:p>
        </w:tc>
        <w:tc>
          <w:tcPr>
            <w:tcW w:w="8274" w:type="dxa"/>
          </w:tcPr>
          <w:tbl>
            <w:tblPr>
              <w:tblW w:w="8687" w:type="dxa"/>
              <w:tblBorders>
                <w:top w:val="nil"/>
                <w:left w:val="nil"/>
                <w:bottom w:val="nil"/>
                <w:right w:val="nil"/>
              </w:tblBorders>
              <w:tblCellMar>
                <w:left w:w="0" w:type="dxa"/>
                <w:right w:w="0" w:type="dxa"/>
              </w:tblCellMar>
              <w:tblLook w:val="0000" w:firstRow="0" w:lastRow="0" w:firstColumn="0" w:lastColumn="0" w:noHBand="0" w:noVBand="0"/>
            </w:tblPr>
            <w:tblGrid>
              <w:gridCol w:w="86"/>
              <w:gridCol w:w="8326"/>
              <w:gridCol w:w="11"/>
              <w:gridCol w:w="258"/>
              <w:gridCol w:w="6"/>
            </w:tblGrid>
            <w:tr w:rsidR="0056519B" w:rsidRPr="00EA1A10" w:rsidTr="0056519B">
              <w:trPr>
                <w:trHeight w:val="120"/>
              </w:trPr>
              <w:tc>
                <w:tcPr>
                  <w:tcW w:w="211" w:type="dxa"/>
                </w:tcPr>
                <w:p w:rsidR="0056519B" w:rsidRPr="0056519B" w:rsidRDefault="0056519B" w:rsidP="0056519B">
                  <w:pPr>
                    <w:pStyle w:val="EmptyCellLayoutStyle"/>
                    <w:spacing w:after="0" w:line="240" w:lineRule="auto"/>
                    <w:rPr>
                      <w:lang w:val="fr-CH"/>
                    </w:rPr>
                  </w:pPr>
                </w:p>
              </w:tc>
              <w:tc>
                <w:tcPr>
                  <w:tcW w:w="7788" w:type="dxa"/>
                </w:tcPr>
                <w:p w:rsidR="0056519B" w:rsidRPr="0056519B" w:rsidRDefault="0056519B" w:rsidP="0056519B">
                  <w:pPr>
                    <w:pStyle w:val="EmptyCellLayoutStyle"/>
                    <w:spacing w:after="0" w:line="240" w:lineRule="auto"/>
                    <w:rPr>
                      <w:lang w:val="fr-CH"/>
                    </w:rPr>
                  </w:pPr>
                </w:p>
              </w:tc>
              <w:tc>
                <w:tcPr>
                  <w:tcW w:w="20" w:type="dxa"/>
                </w:tcPr>
                <w:p w:rsidR="0056519B" w:rsidRPr="0056519B" w:rsidRDefault="0056519B" w:rsidP="0056519B">
                  <w:pPr>
                    <w:pStyle w:val="EmptyCellLayoutStyle"/>
                    <w:spacing w:after="0" w:line="240" w:lineRule="auto"/>
                    <w:rPr>
                      <w:lang w:val="fr-CH"/>
                    </w:rPr>
                  </w:pPr>
                </w:p>
              </w:tc>
              <w:tc>
                <w:tcPr>
                  <w:tcW w:w="668" w:type="dxa"/>
                  <w:gridSpan w:val="2"/>
                </w:tcPr>
                <w:p w:rsidR="0056519B" w:rsidRPr="0056519B" w:rsidRDefault="0056519B" w:rsidP="0056519B">
                  <w:pPr>
                    <w:pStyle w:val="EmptyCellLayoutStyle"/>
                    <w:spacing w:after="0" w:line="240" w:lineRule="auto"/>
                    <w:rPr>
                      <w:lang w:val="fr-CH"/>
                    </w:rPr>
                  </w:pPr>
                </w:p>
              </w:tc>
            </w:tr>
            <w:tr w:rsidR="0056519B" w:rsidRPr="00EA1A10" w:rsidTr="0056519B">
              <w:tc>
                <w:tcPr>
                  <w:tcW w:w="211" w:type="dxa"/>
                </w:tcPr>
                <w:p w:rsidR="0056519B" w:rsidRPr="0056519B" w:rsidRDefault="0056519B" w:rsidP="0056519B">
                  <w:pPr>
                    <w:pStyle w:val="EmptyCellLayoutStyle"/>
                    <w:spacing w:after="0" w:line="240" w:lineRule="auto"/>
                    <w:rPr>
                      <w:lang w:val="fr-CH"/>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56519B" w:rsidTr="0056519B">
                    <w:trPr>
                      <w:trHeight w:val="466"/>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sz w:val="22"/>
                          </w:rPr>
                          <w:t xml:space="preserve">Pays </w:t>
                        </w:r>
                        <w:proofErr w:type="spellStart"/>
                        <w:r>
                          <w:rPr>
                            <w:rFonts w:eastAsia="Calibri"/>
                            <w:b/>
                            <w:i/>
                            <w:color w:val="000000"/>
                            <w:sz w:val="22"/>
                          </w:rPr>
                          <w:t>ou</w:t>
                        </w:r>
                        <w:proofErr w:type="spellEnd"/>
                        <w:r>
                          <w:rPr>
                            <w:rFonts w:eastAsia="Calibri"/>
                            <w:b/>
                            <w:i/>
                            <w:color w:val="000000"/>
                            <w:sz w:val="22"/>
                          </w:rPr>
                          <w:t xml:space="preserve"> Zone </w:t>
                        </w:r>
                        <w:proofErr w:type="spellStart"/>
                        <w:r>
                          <w:rPr>
                            <w:rFonts w:eastAsia="Calibri"/>
                            <w:b/>
                            <w:i/>
                            <w:color w:val="000000"/>
                            <w:sz w:val="22"/>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rPr>
                          <w:t xml:space="preserve">Nom de </w:t>
                        </w:r>
                        <w:proofErr w:type="spellStart"/>
                        <w:r>
                          <w:rPr>
                            <w:rFonts w:eastAsia="Calibri"/>
                            <w:b/>
                            <w:i/>
                            <w:color w:val="000000"/>
                          </w:rPr>
                          <w:t>Réseau</w:t>
                        </w:r>
                        <w:proofErr w:type="spellEnd"/>
                        <w:r>
                          <w:rPr>
                            <w:rFonts w:eastAsia="Calibri"/>
                            <w:b/>
                            <w:i/>
                            <w:color w:val="000000"/>
                          </w:rPr>
                          <w:t>/</w:t>
                        </w:r>
                        <w:proofErr w:type="spellStart"/>
                        <w:r>
                          <w:rPr>
                            <w:rFonts w:eastAsia="Calibri"/>
                            <w:b/>
                            <w:i/>
                            <w:color w:val="000000"/>
                          </w:rPr>
                          <w:t>Opérateur</w:t>
                        </w:r>
                        <w:proofErr w:type="spellEnd"/>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Chili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730 22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CELLPLUS SPA</w:t>
                        </w:r>
                      </w:p>
                    </w:tc>
                  </w:tr>
                  <w:tr w:rsidR="0056519B" w:rsidRPr="00EA1A10"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730 23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Pr="00B36E9F" w:rsidRDefault="0056519B" w:rsidP="0056519B">
                        <w:pPr>
                          <w:rPr>
                            <w:lang w:val="es-ES_tradnl"/>
                          </w:rPr>
                        </w:pPr>
                        <w:r w:rsidRPr="00B36E9F">
                          <w:rPr>
                            <w:rFonts w:eastAsia="Calibri"/>
                            <w:color w:val="000000"/>
                            <w:lang w:val="es-ES_tradnl"/>
                          </w:rPr>
                          <w:t>CLARO SERVICIOS EMPRESARIALES S.A.</w:t>
                        </w:r>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France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208 12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Hewlett-Packard France</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208 18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Voxbone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208 23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Omea</w:t>
                        </w:r>
                        <w:proofErr w:type="spellEnd"/>
                        <w:r>
                          <w:rPr>
                            <w:rFonts w:eastAsia="Calibri"/>
                            <w:color w:val="000000"/>
                          </w:rPr>
                          <w:t xml:space="preserve"> Telecom</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208 29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Cubic Telecom France</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 xml:space="preserve">Images &amp; </w:t>
                        </w:r>
                        <w:proofErr w:type="spellStart"/>
                        <w:r>
                          <w:rPr>
                            <w:rFonts w:eastAsia="Calibri"/>
                            <w:color w:val="000000"/>
                          </w:rPr>
                          <w:t>Réseaux</w:t>
                        </w:r>
                        <w:proofErr w:type="spellEnd"/>
                      </w:p>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Plate-</w:t>
                        </w:r>
                        <w:proofErr w:type="spellStart"/>
                        <w:r>
                          <w:rPr>
                            <w:rFonts w:eastAsia="Calibri"/>
                            <w:color w:val="000000"/>
                          </w:rPr>
                          <w:t>forme</w:t>
                        </w:r>
                        <w:proofErr w:type="spellEnd"/>
                        <w:r>
                          <w:rPr>
                            <w:rFonts w:eastAsia="Calibri"/>
                            <w:color w:val="000000"/>
                          </w:rPr>
                          <w:t xml:space="preserve"> telecom</w:t>
                        </w:r>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France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208 19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Altitude Infrastructure</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208 32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Orange</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208 86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Nomotech</w:t>
                        </w:r>
                        <w:proofErr w:type="spellEnd"/>
                      </w:p>
                    </w:tc>
                  </w:tr>
                  <w:tr w:rsidR="0056519B" w:rsidRPr="00EA1A10"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208 87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Pr="00B36E9F" w:rsidRDefault="0056519B" w:rsidP="0056519B">
                        <w:pPr>
                          <w:rPr>
                            <w:lang w:val="fr-CH"/>
                          </w:rPr>
                        </w:pPr>
                        <w:r w:rsidRPr="00B36E9F">
                          <w:rPr>
                            <w:rFonts w:eastAsia="Calibri"/>
                            <w:color w:val="000000"/>
                            <w:lang w:val="fr-CH"/>
                          </w:rPr>
                          <w:t>Régie Autonome des Transports Parisiens</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Pr="00B36E9F" w:rsidRDefault="0056519B" w:rsidP="0056519B">
                        <w:pPr>
                          <w:rPr>
                            <w:lang w:val="fr-CH"/>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208 89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Fondation</w:t>
                        </w:r>
                        <w:proofErr w:type="spellEnd"/>
                        <w:r>
                          <w:rPr>
                            <w:rFonts w:eastAsia="Calibri"/>
                            <w:color w:val="000000"/>
                          </w:rPr>
                          <w:t xml:space="preserve"> b-com</w:t>
                        </w:r>
                      </w:p>
                    </w:tc>
                  </w:tr>
                  <w:tr w:rsidR="0056519B" w:rsidTr="0056519B">
                    <w:trPr>
                      <w:trHeight w:val="466"/>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sz w:val="22"/>
                          </w:rPr>
                          <w:lastRenderedPageBreak/>
                          <w:t xml:space="preserve">Pays </w:t>
                        </w:r>
                        <w:proofErr w:type="spellStart"/>
                        <w:r>
                          <w:rPr>
                            <w:rFonts w:eastAsia="Calibri"/>
                            <w:b/>
                            <w:i/>
                            <w:color w:val="000000"/>
                            <w:sz w:val="22"/>
                          </w:rPr>
                          <w:t>ou</w:t>
                        </w:r>
                        <w:proofErr w:type="spellEnd"/>
                        <w:r>
                          <w:rPr>
                            <w:rFonts w:eastAsia="Calibri"/>
                            <w:b/>
                            <w:i/>
                            <w:color w:val="000000"/>
                            <w:sz w:val="22"/>
                          </w:rPr>
                          <w:t xml:space="preserve"> Zone </w:t>
                        </w:r>
                        <w:proofErr w:type="spellStart"/>
                        <w:r>
                          <w:rPr>
                            <w:rFonts w:eastAsia="Calibri"/>
                            <w:b/>
                            <w:i/>
                            <w:color w:val="000000"/>
                            <w:sz w:val="22"/>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b/>
                            <w:i/>
                            <w:color w:val="000000"/>
                          </w:rPr>
                          <w:t xml:space="preserve">Nom de </w:t>
                        </w:r>
                        <w:proofErr w:type="spellStart"/>
                        <w:r>
                          <w:rPr>
                            <w:rFonts w:eastAsia="Calibri"/>
                            <w:b/>
                            <w:i/>
                            <w:color w:val="000000"/>
                          </w:rPr>
                          <w:t>Réseau</w:t>
                        </w:r>
                        <w:proofErr w:type="spellEnd"/>
                        <w:r>
                          <w:rPr>
                            <w:rFonts w:eastAsia="Calibri"/>
                            <w:b/>
                            <w:i/>
                            <w:color w:val="000000"/>
                          </w:rPr>
                          <w:t>/</w:t>
                        </w:r>
                        <w:proofErr w:type="spellStart"/>
                        <w:r>
                          <w:rPr>
                            <w:rFonts w:eastAsia="Calibri"/>
                            <w:b/>
                            <w:i/>
                            <w:color w:val="000000"/>
                          </w:rPr>
                          <w:t>Opérateur</w:t>
                        </w:r>
                        <w:proofErr w:type="spellEnd"/>
                      </w:p>
                    </w:tc>
                  </w:tr>
                  <w:tr w:rsidR="0056519B" w:rsidTr="0056519B">
                    <w:trPr>
                      <w:trHeight w:val="262"/>
                    </w:trPr>
                    <w:tc>
                      <w:tcPr>
                        <w:tcW w:w="2704" w:type="dxa"/>
                        <w:vMerge w:val="restart"/>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Thales communications &amp; Security</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Orange</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Axione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Thales communications &amp; Security</w:t>
                        </w:r>
                      </w:p>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208 98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Société</w:t>
                        </w:r>
                        <w:proofErr w:type="spellEnd"/>
                        <w:r>
                          <w:rPr>
                            <w:rFonts w:eastAsia="Calibri"/>
                            <w:color w:val="000000"/>
                          </w:rPr>
                          <w:t xml:space="preserve"> Air France</w:t>
                        </w:r>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France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208 08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Société</w:t>
                        </w:r>
                        <w:proofErr w:type="spellEnd"/>
                        <w:r>
                          <w:rPr>
                            <w:rFonts w:eastAsia="Calibri"/>
                            <w:color w:val="000000"/>
                          </w:rPr>
                          <w:t xml:space="preserve"> </w:t>
                        </w:r>
                        <w:proofErr w:type="spellStart"/>
                        <w:r>
                          <w:rPr>
                            <w:rFonts w:eastAsia="Calibri"/>
                            <w:color w:val="000000"/>
                          </w:rPr>
                          <w:t>Française</w:t>
                        </w:r>
                        <w:proofErr w:type="spellEnd"/>
                        <w:r>
                          <w:rPr>
                            <w:rFonts w:eastAsia="Calibri"/>
                            <w:color w:val="000000"/>
                          </w:rPr>
                          <w:t xml:space="preserve"> du </w:t>
                        </w:r>
                        <w:proofErr w:type="spellStart"/>
                        <w:r>
                          <w:rPr>
                            <w:rFonts w:eastAsia="Calibri"/>
                            <w:color w:val="000000"/>
                          </w:rPr>
                          <w:t>Radiotéléphone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208 09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Société</w:t>
                        </w:r>
                        <w:proofErr w:type="spellEnd"/>
                        <w:r>
                          <w:rPr>
                            <w:rFonts w:eastAsia="Calibri"/>
                            <w:color w:val="000000"/>
                          </w:rPr>
                          <w:t xml:space="preserve"> </w:t>
                        </w:r>
                        <w:proofErr w:type="spellStart"/>
                        <w:r>
                          <w:rPr>
                            <w:rFonts w:eastAsia="Calibri"/>
                            <w:color w:val="000000"/>
                          </w:rPr>
                          <w:t>Française</w:t>
                        </w:r>
                        <w:proofErr w:type="spellEnd"/>
                        <w:r>
                          <w:rPr>
                            <w:rFonts w:eastAsia="Calibri"/>
                            <w:color w:val="000000"/>
                          </w:rPr>
                          <w:t xml:space="preserve"> du </w:t>
                        </w:r>
                        <w:proofErr w:type="spellStart"/>
                        <w:r>
                          <w:rPr>
                            <w:rFonts w:eastAsia="Calibri"/>
                            <w:color w:val="000000"/>
                          </w:rPr>
                          <w:t>Radiotéléphone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208 11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Société</w:t>
                        </w:r>
                        <w:proofErr w:type="spellEnd"/>
                        <w:r>
                          <w:rPr>
                            <w:rFonts w:eastAsia="Calibri"/>
                            <w:color w:val="000000"/>
                          </w:rPr>
                          <w:t xml:space="preserve"> </w:t>
                        </w:r>
                        <w:proofErr w:type="spellStart"/>
                        <w:r>
                          <w:rPr>
                            <w:rFonts w:eastAsia="Calibri"/>
                            <w:color w:val="000000"/>
                          </w:rPr>
                          <w:t>Française</w:t>
                        </w:r>
                        <w:proofErr w:type="spellEnd"/>
                        <w:r>
                          <w:rPr>
                            <w:rFonts w:eastAsia="Calibri"/>
                            <w:color w:val="000000"/>
                          </w:rPr>
                          <w:t xml:space="preserve"> du </w:t>
                        </w:r>
                        <w:proofErr w:type="spellStart"/>
                        <w:r>
                          <w:rPr>
                            <w:rFonts w:eastAsia="Calibri"/>
                            <w:color w:val="000000"/>
                          </w:rPr>
                          <w:t>Radiotéléphone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Société</w:t>
                        </w:r>
                        <w:proofErr w:type="spellEnd"/>
                        <w:r>
                          <w:rPr>
                            <w:rFonts w:eastAsia="Calibri"/>
                            <w:color w:val="000000"/>
                          </w:rPr>
                          <w:t xml:space="preserve"> </w:t>
                        </w:r>
                        <w:proofErr w:type="spellStart"/>
                        <w:r>
                          <w:rPr>
                            <w:rFonts w:eastAsia="Calibri"/>
                            <w:color w:val="000000"/>
                          </w:rPr>
                          <w:t>Française</w:t>
                        </w:r>
                        <w:proofErr w:type="spellEnd"/>
                        <w:r>
                          <w:rPr>
                            <w:rFonts w:eastAsia="Calibri"/>
                            <w:color w:val="000000"/>
                          </w:rPr>
                          <w:t xml:space="preserve"> du </w:t>
                        </w:r>
                        <w:proofErr w:type="spellStart"/>
                        <w:r>
                          <w:rPr>
                            <w:rFonts w:eastAsia="Calibri"/>
                            <w:color w:val="000000"/>
                          </w:rPr>
                          <w:t>Radiotéléphone</w:t>
                        </w:r>
                        <w:proofErr w:type="spellEnd"/>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208 27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Coriolis Telecom</w:t>
                        </w: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208 30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Syma</w:t>
                        </w:r>
                        <w:proofErr w:type="spellEnd"/>
                        <w:r>
                          <w:rPr>
                            <w:rFonts w:eastAsia="Calibri"/>
                            <w:color w:val="000000"/>
                          </w:rPr>
                          <w:t xml:space="preserve"> Mobile</w:t>
                        </w:r>
                      </w:p>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208 31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Vectone</w:t>
                        </w:r>
                        <w:proofErr w:type="spellEnd"/>
                        <w:r>
                          <w:rPr>
                            <w:rFonts w:eastAsia="Calibri"/>
                            <w:color w:val="000000"/>
                          </w:rPr>
                          <w:t xml:space="preserve"> Mobile</w:t>
                        </w:r>
                      </w:p>
                    </w:tc>
                  </w:tr>
                  <w:tr w:rsidR="0056519B" w:rsidRPr="00EA1A10"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Pr="00B36E9F" w:rsidRDefault="0056519B" w:rsidP="0056519B">
                        <w:pPr>
                          <w:rPr>
                            <w:lang w:val="fr-CH"/>
                          </w:rPr>
                        </w:pPr>
                        <w:r w:rsidRPr="00B36E9F">
                          <w:rPr>
                            <w:rFonts w:eastAsia="Calibri"/>
                            <w:b/>
                            <w:color w:val="000000"/>
                            <w:lang w:val="fr-CH"/>
                          </w:rPr>
                          <w:t>France de l'Océan indien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Pr="00B36E9F" w:rsidRDefault="0056519B" w:rsidP="0056519B">
                        <w:pPr>
                          <w:rPr>
                            <w:lang w:val="fr-CH"/>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Pr="00B36E9F" w:rsidRDefault="0056519B" w:rsidP="0056519B">
                        <w:pPr>
                          <w:rPr>
                            <w:lang w:val="fr-CH"/>
                          </w:rPr>
                        </w:pPr>
                      </w:p>
                    </w:tc>
                  </w:tr>
                  <w:tr w:rsidR="0056519B" w:rsidTr="0056519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6519B" w:rsidRPr="00B36E9F" w:rsidRDefault="0056519B" w:rsidP="0056519B">
                        <w:pPr>
                          <w:rPr>
                            <w:lang w:val="fr-CH"/>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647 03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Telco OI</w:t>
                        </w:r>
                      </w:p>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647 04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Zeop</w:t>
                        </w:r>
                        <w:proofErr w:type="spellEnd"/>
                        <w:r>
                          <w:rPr>
                            <w:rFonts w:eastAsia="Calibri"/>
                            <w:color w:val="000000"/>
                          </w:rPr>
                          <w:t xml:space="preserve"> Mobile</w:t>
                        </w:r>
                      </w:p>
                    </w:tc>
                  </w:tr>
                  <w:tr w:rsidR="0056519B" w:rsidRPr="00EA1A10"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Pr="00B36E9F" w:rsidRDefault="0056519B" w:rsidP="0056519B">
                        <w:pPr>
                          <w:rPr>
                            <w:lang w:val="fr-CH"/>
                          </w:rPr>
                        </w:pPr>
                        <w:r w:rsidRPr="00B36E9F">
                          <w:rPr>
                            <w:rFonts w:eastAsia="Calibri"/>
                            <w:b/>
                            <w:color w:val="000000"/>
                            <w:lang w:val="fr-CH"/>
                          </w:rPr>
                          <w:t>France de l'Océan indien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Pr="00B36E9F" w:rsidRDefault="0056519B" w:rsidP="0056519B">
                        <w:pPr>
                          <w:rPr>
                            <w:lang w:val="fr-CH"/>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Pr="00B36E9F" w:rsidRDefault="0056519B" w:rsidP="0056519B">
                        <w:pPr>
                          <w:rPr>
                            <w:lang w:val="fr-CH"/>
                          </w:rPr>
                        </w:pPr>
                      </w:p>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Pr="00B36E9F" w:rsidRDefault="0056519B" w:rsidP="0056519B">
                        <w:pPr>
                          <w:rPr>
                            <w:lang w:val="fr-CH"/>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647 00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Orange</w:t>
                        </w:r>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Guadeloupe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340 09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r>
                          <w:rPr>
                            <w:rFonts w:eastAsia="Calibri"/>
                            <w:color w:val="000000"/>
                          </w:rPr>
                          <w:t xml:space="preserve">Free </w:t>
                        </w:r>
                        <w:proofErr w:type="spellStart"/>
                        <w:r>
                          <w:rPr>
                            <w:rFonts w:eastAsia="Calibri"/>
                            <w:color w:val="000000"/>
                          </w:rPr>
                          <w:t>Caraïbe</w:t>
                        </w:r>
                        <w:proofErr w:type="spellEnd"/>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Guadeloupe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340 20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proofErr w:type="spellStart"/>
                        <w:r>
                          <w:rPr>
                            <w:rFonts w:eastAsia="Calibri"/>
                            <w:color w:val="000000"/>
                          </w:rPr>
                          <w:t>Digicel</w:t>
                        </w:r>
                        <w:proofErr w:type="spellEnd"/>
                        <w:r>
                          <w:rPr>
                            <w:rFonts w:eastAsia="Calibri"/>
                            <w:color w:val="000000"/>
                          </w:rPr>
                          <w:t xml:space="preserve"> Antilles </w:t>
                        </w:r>
                        <w:proofErr w:type="spellStart"/>
                        <w:r>
                          <w:rPr>
                            <w:rFonts w:eastAsia="Calibri"/>
                            <w:color w:val="000000"/>
                          </w:rPr>
                          <w:t>Françaises</w:t>
                        </w:r>
                        <w:proofErr w:type="spellEnd"/>
                        <w:r>
                          <w:rPr>
                            <w:rFonts w:eastAsia="Calibri"/>
                            <w:color w:val="000000"/>
                          </w:rPr>
                          <w:t xml:space="preserve"> </w:t>
                        </w:r>
                        <w:proofErr w:type="spellStart"/>
                        <w:r>
                          <w:rPr>
                            <w:rFonts w:eastAsia="Calibri"/>
                            <w:color w:val="000000"/>
                          </w:rPr>
                          <w:t>Guyane</w:t>
                        </w:r>
                        <w:proofErr w:type="spellEnd"/>
                      </w:p>
                    </w:tc>
                  </w:tr>
                  <w:tr w:rsidR="0056519B" w:rsidTr="0056519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6519B" w:rsidRDefault="0056519B" w:rsidP="0056519B">
                        <w:r>
                          <w:rPr>
                            <w:rFonts w:eastAsia="Calibri"/>
                            <w:b/>
                            <w:color w:val="000000"/>
                          </w:rPr>
                          <w:t>Portugal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tc>
                  </w:tr>
                  <w:tr w:rsidR="0056519B" w:rsidRPr="00EA1A10" w:rsidTr="0056519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6519B" w:rsidRDefault="0056519B" w:rsidP="0056519B"/>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6519B" w:rsidRDefault="0056519B" w:rsidP="0056519B">
                        <w:pPr>
                          <w:jc w:val="center"/>
                        </w:pPr>
                        <w:r>
                          <w:rPr>
                            <w:rFonts w:eastAsia="Calibri"/>
                            <w:color w:val="000000"/>
                          </w:rPr>
                          <w:t>268 12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6519B" w:rsidRPr="00B36E9F" w:rsidRDefault="0056519B" w:rsidP="0056519B">
                        <w:pPr>
                          <w:rPr>
                            <w:lang w:val="es-ES_tradnl"/>
                          </w:rPr>
                        </w:pPr>
                        <w:proofErr w:type="spellStart"/>
                        <w:r w:rsidRPr="00B36E9F">
                          <w:rPr>
                            <w:rFonts w:eastAsia="Calibri"/>
                            <w:color w:val="000000"/>
                            <w:lang w:val="es-ES_tradnl"/>
                          </w:rPr>
                          <w:t>Infraestruturas</w:t>
                        </w:r>
                        <w:proofErr w:type="spellEnd"/>
                        <w:r w:rsidRPr="00B36E9F">
                          <w:rPr>
                            <w:rFonts w:eastAsia="Calibri"/>
                            <w:color w:val="000000"/>
                            <w:lang w:val="es-ES_tradnl"/>
                          </w:rPr>
                          <w:t xml:space="preserve"> de Portugal, S.A.</w:t>
                        </w:r>
                      </w:p>
                    </w:tc>
                  </w:tr>
                </w:tbl>
                <w:p w:rsidR="0056519B" w:rsidRPr="00B36E9F" w:rsidRDefault="0056519B" w:rsidP="0056519B">
                  <w:pPr>
                    <w:rPr>
                      <w:lang w:val="es-ES_tradnl"/>
                    </w:rPr>
                  </w:pPr>
                </w:p>
              </w:tc>
              <w:tc>
                <w:tcPr>
                  <w:tcW w:w="20" w:type="dxa"/>
                </w:tcPr>
                <w:p w:rsidR="0056519B" w:rsidRPr="00B36E9F" w:rsidRDefault="0056519B" w:rsidP="0056519B">
                  <w:pPr>
                    <w:pStyle w:val="EmptyCellLayoutStyle"/>
                    <w:spacing w:after="0" w:line="240" w:lineRule="auto"/>
                    <w:rPr>
                      <w:lang w:val="es-ES_tradnl"/>
                    </w:rPr>
                  </w:pPr>
                </w:p>
              </w:tc>
              <w:tc>
                <w:tcPr>
                  <w:tcW w:w="668" w:type="dxa"/>
                  <w:gridSpan w:val="2"/>
                </w:tcPr>
                <w:p w:rsidR="0056519B" w:rsidRPr="00B36E9F" w:rsidRDefault="0056519B" w:rsidP="0056519B">
                  <w:pPr>
                    <w:pStyle w:val="EmptyCellLayoutStyle"/>
                    <w:spacing w:after="0" w:line="240" w:lineRule="auto"/>
                    <w:rPr>
                      <w:lang w:val="es-ES_tradnl"/>
                    </w:rPr>
                  </w:pPr>
                </w:p>
              </w:tc>
            </w:tr>
            <w:tr w:rsidR="0056519B" w:rsidRPr="00EA1A10" w:rsidTr="0056519B">
              <w:trPr>
                <w:trHeight w:val="323"/>
              </w:trPr>
              <w:tc>
                <w:tcPr>
                  <w:tcW w:w="211" w:type="dxa"/>
                </w:tcPr>
                <w:p w:rsidR="0056519B" w:rsidRPr="00B36E9F" w:rsidRDefault="0056519B" w:rsidP="0056519B">
                  <w:pPr>
                    <w:pStyle w:val="EmptyCellLayoutStyle"/>
                    <w:spacing w:after="0" w:line="240" w:lineRule="auto"/>
                    <w:rPr>
                      <w:lang w:val="es-ES_tradnl"/>
                    </w:rPr>
                  </w:pPr>
                </w:p>
              </w:tc>
              <w:tc>
                <w:tcPr>
                  <w:tcW w:w="7788" w:type="dxa"/>
                </w:tcPr>
                <w:p w:rsidR="0056519B" w:rsidRPr="00B36E9F" w:rsidRDefault="0056519B" w:rsidP="0056519B">
                  <w:pPr>
                    <w:pStyle w:val="EmptyCellLayoutStyle"/>
                    <w:spacing w:after="0" w:line="240" w:lineRule="auto"/>
                    <w:rPr>
                      <w:lang w:val="es-ES_tradnl"/>
                    </w:rPr>
                  </w:pPr>
                </w:p>
              </w:tc>
              <w:tc>
                <w:tcPr>
                  <w:tcW w:w="20" w:type="dxa"/>
                </w:tcPr>
                <w:p w:rsidR="0056519B" w:rsidRPr="00B36E9F" w:rsidRDefault="0056519B" w:rsidP="0056519B">
                  <w:pPr>
                    <w:pStyle w:val="EmptyCellLayoutStyle"/>
                    <w:spacing w:after="0" w:line="240" w:lineRule="auto"/>
                    <w:rPr>
                      <w:lang w:val="es-ES_tradnl"/>
                    </w:rPr>
                  </w:pPr>
                </w:p>
              </w:tc>
              <w:tc>
                <w:tcPr>
                  <w:tcW w:w="668" w:type="dxa"/>
                  <w:gridSpan w:val="2"/>
                </w:tcPr>
                <w:p w:rsidR="0056519B" w:rsidRPr="00B36E9F" w:rsidRDefault="0056519B" w:rsidP="0056519B">
                  <w:pPr>
                    <w:pStyle w:val="EmptyCellLayoutStyle"/>
                    <w:spacing w:after="0" w:line="240" w:lineRule="auto"/>
                    <w:rPr>
                      <w:lang w:val="es-ES_tradnl"/>
                    </w:rPr>
                  </w:pPr>
                </w:p>
              </w:tc>
            </w:tr>
            <w:tr w:rsidR="0056519B" w:rsidRPr="00EA1A10" w:rsidTr="0056519B">
              <w:trPr>
                <w:gridAfter w:val="1"/>
                <w:wAfter w:w="8" w:type="dxa"/>
                <w:trHeight w:val="688"/>
              </w:trPr>
              <w:tc>
                <w:tcPr>
                  <w:tcW w:w="211" w:type="dxa"/>
                </w:tcPr>
                <w:p w:rsidR="0056519B" w:rsidRPr="00B36E9F" w:rsidRDefault="0056519B" w:rsidP="0056519B">
                  <w:pPr>
                    <w:pStyle w:val="EmptyCellLayoutStyle"/>
                    <w:spacing w:after="0" w:line="240" w:lineRule="auto"/>
                    <w:rPr>
                      <w:lang w:val="es-ES_tradnl"/>
                    </w:rPr>
                  </w:pPr>
                </w:p>
              </w:tc>
              <w:tc>
                <w:tcPr>
                  <w:tcW w:w="7788" w:type="dxa"/>
                </w:tcPr>
                <w:tbl>
                  <w:tblPr>
                    <w:tblW w:w="8326" w:type="dxa"/>
                    <w:tblCellMar>
                      <w:left w:w="0" w:type="dxa"/>
                      <w:right w:w="0" w:type="dxa"/>
                    </w:tblCellMar>
                    <w:tblLook w:val="0000" w:firstRow="0" w:lastRow="0" w:firstColumn="0" w:lastColumn="0" w:noHBand="0" w:noVBand="0"/>
                  </w:tblPr>
                  <w:tblGrid>
                    <w:gridCol w:w="8326"/>
                  </w:tblGrid>
                  <w:tr w:rsidR="0056519B" w:rsidRPr="00EA1A10" w:rsidTr="0056519B">
                    <w:trPr>
                      <w:trHeight w:val="610"/>
                    </w:trPr>
                    <w:tc>
                      <w:tcPr>
                        <w:tcW w:w="8326" w:type="dxa"/>
                        <w:tcBorders>
                          <w:top w:val="nil"/>
                          <w:left w:val="nil"/>
                          <w:bottom w:val="nil"/>
                          <w:right w:val="nil"/>
                        </w:tcBorders>
                        <w:tcMar>
                          <w:top w:w="39" w:type="dxa"/>
                          <w:left w:w="39" w:type="dxa"/>
                          <w:bottom w:w="39" w:type="dxa"/>
                          <w:right w:w="39" w:type="dxa"/>
                        </w:tcMar>
                      </w:tcPr>
                      <w:p w:rsidR="0056519B" w:rsidRPr="00B36E9F" w:rsidRDefault="0056519B" w:rsidP="0056519B">
                        <w:pPr>
                          <w:rPr>
                            <w:lang w:val="es-ES_tradnl"/>
                          </w:rPr>
                        </w:pPr>
                        <w:r w:rsidRPr="00B36E9F">
                          <w:rPr>
                            <w:rFonts w:ascii="Arial" w:eastAsia="Arial" w:hAnsi="Arial"/>
                            <w:color w:val="000000"/>
                            <w:sz w:val="16"/>
                            <w:lang w:val="es-ES_tradnl"/>
                          </w:rPr>
                          <w:t>____________</w:t>
                        </w:r>
                      </w:p>
                      <w:p w:rsidR="0056519B" w:rsidRPr="00B36E9F" w:rsidRDefault="0056519B" w:rsidP="0056519B">
                        <w:pPr>
                          <w:rPr>
                            <w:lang w:val="es-ES_tradnl"/>
                          </w:rPr>
                        </w:pPr>
                        <w:r w:rsidRPr="00B36E9F">
                          <w:rPr>
                            <w:rFonts w:eastAsia="Calibri"/>
                            <w:color w:val="000000"/>
                            <w:sz w:val="16"/>
                            <w:lang w:val="es-ES_tradnl"/>
                          </w:rPr>
                          <w:t>*</w:t>
                        </w:r>
                        <w:r w:rsidRPr="00B36E9F">
                          <w:rPr>
                            <w:rFonts w:eastAsia="Calibri"/>
                            <w:color w:val="000000"/>
                            <w:sz w:val="18"/>
                            <w:lang w:val="es-ES_tradnl"/>
                          </w:rPr>
                          <w:t xml:space="preserve">                  MCC:  Mobile Country </w:t>
                        </w:r>
                        <w:proofErr w:type="spellStart"/>
                        <w:r w:rsidRPr="00B36E9F">
                          <w:rPr>
                            <w:rFonts w:eastAsia="Calibri"/>
                            <w:color w:val="000000"/>
                            <w:sz w:val="18"/>
                            <w:lang w:val="es-ES_tradnl"/>
                          </w:rPr>
                          <w:t>Code</w:t>
                        </w:r>
                        <w:proofErr w:type="spellEnd"/>
                        <w:r w:rsidRPr="00B36E9F">
                          <w:rPr>
                            <w:rFonts w:eastAsia="Calibri"/>
                            <w:color w:val="000000"/>
                            <w:sz w:val="18"/>
                            <w:lang w:val="es-ES_tradnl"/>
                          </w:rPr>
                          <w:t xml:space="preserve"> / </w:t>
                        </w:r>
                        <w:proofErr w:type="spellStart"/>
                        <w:r w:rsidRPr="00B36E9F">
                          <w:rPr>
                            <w:rFonts w:eastAsia="Calibri"/>
                            <w:color w:val="000000"/>
                            <w:sz w:val="18"/>
                            <w:lang w:val="es-ES_tradnl"/>
                          </w:rPr>
                          <w:t>Indicatif</w:t>
                        </w:r>
                        <w:proofErr w:type="spellEnd"/>
                        <w:r w:rsidRPr="00B36E9F">
                          <w:rPr>
                            <w:rFonts w:eastAsia="Calibri"/>
                            <w:color w:val="000000"/>
                            <w:sz w:val="18"/>
                            <w:lang w:val="es-ES_tradnl"/>
                          </w:rPr>
                          <w:t xml:space="preserve"> de </w:t>
                        </w:r>
                        <w:proofErr w:type="spellStart"/>
                        <w:r w:rsidRPr="00B36E9F">
                          <w:rPr>
                            <w:rFonts w:eastAsia="Calibri"/>
                            <w:color w:val="000000"/>
                            <w:sz w:val="18"/>
                            <w:lang w:val="es-ES_tradnl"/>
                          </w:rPr>
                          <w:t>pays</w:t>
                        </w:r>
                        <w:proofErr w:type="spellEnd"/>
                        <w:r w:rsidRPr="00B36E9F">
                          <w:rPr>
                            <w:rFonts w:eastAsia="Calibri"/>
                            <w:color w:val="000000"/>
                            <w:sz w:val="18"/>
                            <w:lang w:val="es-ES_tradnl"/>
                          </w:rPr>
                          <w:t xml:space="preserve"> du </w:t>
                        </w:r>
                        <w:proofErr w:type="spellStart"/>
                        <w:r w:rsidRPr="00B36E9F">
                          <w:rPr>
                            <w:rFonts w:eastAsia="Calibri"/>
                            <w:color w:val="000000"/>
                            <w:sz w:val="18"/>
                            <w:lang w:val="es-ES_tradnl"/>
                          </w:rPr>
                          <w:t>mobile</w:t>
                        </w:r>
                        <w:proofErr w:type="spellEnd"/>
                        <w:r w:rsidRPr="00B36E9F">
                          <w:rPr>
                            <w:rFonts w:eastAsia="Calibri"/>
                            <w:color w:val="000000"/>
                            <w:sz w:val="18"/>
                            <w:lang w:val="es-ES_tradnl"/>
                          </w:rPr>
                          <w:t xml:space="preserve"> / Indicativo de país para el servicio móvil</w:t>
                        </w:r>
                      </w:p>
                      <w:p w:rsidR="0056519B" w:rsidRPr="00B36E9F" w:rsidRDefault="0056519B" w:rsidP="0056519B">
                        <w:pPr>
                          <w:rPr>
                            <w:lang w:val="es-ES_tradnl"/>
                          </w:rPr>
                        </w:pPr>
                        <w:r w:rsidRPr="00B36E9F">
                          <w:rPr>
                            <w:rFonts w:eastAsia="Calibri"/>
                            <w:color w:val="000000"/>
                            <w:sz w:val="18"/>
                            <w:lang w:val="es-ES_tradnl"/>
                          </w:rPr>
                          <w:t xml:space="preserve">                    MNC:  Mobile Network </w:t>
                        </w:r>
                        <w:proofErr w:type="spellStart"/>
                        <w:r w:rsidRPr="00B36E9F">
                          <w:rPr>
                            <w:rFonts w:eastAsia="Calibri"/>
                            <w:color w:val="000000"/>
                            <w:sz w:val="18"/>
                            <w:lang w:val="es-ES_tradnl"/>
                          </w:rPr>
                          <w:t>Code</w:t>
                        </w:r>
                        <w:proofErr w:type="spellEnd"/>
                        <w:r w:rsidRPr="00B36E9F">
                          <w:rPr>
                            <w:rFonts w:eastAsia="Calibri"/>
                            <w:color w:val="000000"/>
                            <w:sz w:val="18"/>
                            <w:lang w:val="es-ES_tradnl"/>
                          </w:rPr>
                          <w:t xml:space="preserve"> / </w:t>
                        </w:r>
                        <w:proofErr w:type="spellStart"/>
                        <w:r w:rsidRPr="00B36E9F">
                          <w:rPr>
                            <w:rFonts w:eastAsia="Calibri"/>
                            <w:color w:val="000000"/>
                            <w:sz w:val="18"/>
                            <w:lang w:val="es-ES_tradnl"/>
                          </w:rPr>
                          <w:t>Code</w:t>
                        </w:r>
                        <w:proofErr w:type="spellEnd"/>
                        <w:r w:rsidRPr="00B36E9F">
                          <w:rPr>
                            <w:rFonts w:eastAsia="Calibri"/>
                            <w:color w:val="000000"/>
                            <w:sz w:val="18"/>
                            <w:lang w:val="es-ES_tradnl"/>
                          </w:rPr>
                          <w:t xml:space="preserve"> de </w:t>
                        </w:r>
                        <w:proofErr w:type="spellStart"/>
                        <w:r w:rsidRPr="00B36E9F">
                          <w:rPr>
                            <w:rFonts w:eastAsia="Calibri"/>
                            <w:color w:val="000000"/>
                            <w:sz w:val="18"/>
                            <w:lang w:val="es-ES_tradnl"/>
                          </w:rPr>
                          <w:t>réseau</w:t>
                        </w:r>
                        <w:proofErr w:type="spellEnd"/>
                        <w:r w:rsidRPr="00B36E9F">
                          <w:rPr>
                            <w:rFonts w:eastAsia="Calibri"/>
                            <w:color w:val="000000"/>
                            <w:sz w:val="18"/>
                            <w:lang w:val="es-ES_tradnl"/>
                          </w:rPr>
                          <w:t xml:space="preserve"> </w:t>
                        </w:r>
                        <w:proofErr w:type="spellStart"/>
                        <w:r w:rsidRPr="00B36E9F">
                          <w:rPr>
                            <w:rFonts w:eastAsia="Calibri"/>
                            <w:color w:val="000000"/>
                            <w:sz w:val="18"/>
                            <w:lang w:val="es-ES_tradnl"/>
                          </w:rPr>
                          <w:t>mobile</w:t>
                        </w:r>
                        <w:proofErr w:type="spellEnd"/>
                        <w:r w:rsidRPr="00B36E9F">
                          <w:rPr>
                            <w:rFonts w:eastAsia="Calibri"/>
                            <w:color w:val="000000"/>
                            <w:sz w:val="18"/>
                            <w:lang w:val="es-ES_tradnl"/>
                          </w:rPr>
                          <w:t xml:space="preserve"> / Indicativo de red para el servicio móvil</w:t>
                        </w:r>
                      </w:p>
                    </w:tc>
                  </w:tr>
                </w:tbl>
                <w:p w:rsidR="0056519B" w:rsidRPr="00B36E9F" w:rsidRDefault="0056519B" w:rsidP="0056519B">
                  <w:pPr>
                    <w:rPr>
                      <w:lang w:val="es-ES_tradnl"/>
                    </w:rPr>
                  </w:pPr>
                </w:p>
              </w:tc>
              <w:tc>
                <w:tcPr>
                  <w:tcW w:w="680" w:type="dxa"/>
                  <w:gridSpan w:val="2"/>
                </w:tcPr>
                <w:p w:rsidR="0056519B" w:rsidRPr="00B36E9F" w:rsidRDefault="0056519B" w:rsidP="0056519B">
                  <w:pPr>
                    <w:pStyle w:val="EmptyCellLayoutStyle"/>
                    <w:spacing w:after="0" w:line="240" w:lineRule="auto"/>
                    <w:rPr>
                      <w:lang w:val="es-ES_tradnl"/>
                    </w:rPr>
                  </w:pPr>
                </w:p>
              </w:tc>
            </w:tr>
          </w:tbl>
          <w:p w:rsidR="0056519B" w:rsidRPr="00B36E9F" w:rsidRDefault="0056519B" w:rsidP="0056519B">
            <w:pPr>
              <w:rPr>
                <w:lang w:val="es-ES_tradnl"/>
              </w:rPr>
            </w:pPr>
          </w:p>
        </w:tc>
        <w:tc>
          <w:tcPr>
            <w:tcW w:w="410" w:type="dxa"/>
          </w:tcPr>
          <w:p w:rsidR="0056519B" w:rsidRPr="00B36E9F" w:rsidRDefault="0056519B" w:rsidP="0056519B">
            <w:pPr>
              <w:pStyle w:val="EmptyCellLayoutStyle"/>
              <w:spacing w:after="0" w:line="240" w:lineRule="auto"/>
              <w:rPr>
                <w:lang w:val="es-ES_tradnl"/>
              </w:rPr>
            </w:pPr>
          </w:p>
        </w:tc>
      </w:tr>
    </w:tbl>
    <w:p w:rsidR="0056519B" w:rsidRPr="00B36E9F" w:rsidRDefault="0056519B" w:rsidP="0056519B">
      <w:pPr>
        <w:rPr>
          <w:sz w:val="0"/>
          <w:lang w:val="es-ES_tradnl"/>
        </w:rPr>
      </w:pPr>
    </w:p>
    <w:p w:rsidR="0056519B" w:rsidRPr="0056519B" w:rsidRDefault="0056519B" w:rsidP="00A742B6">
      <w:pPr>
        <w:rPr>
          <w:lang w:val="es-ES_tradnl"/>
        </w:rPr>
      </w:pPr>
    </w:p>
    <w:p w:rsidR="0056519B" w:rsidRDefault="0056519B" w:rsidP="00A742B6">
      <w:pPr>
        <w:rPr>
          <w:lang w:val="de-CH"/>
        </w:rPr>
      </w:pPr>
    </w:p>
    <w:p w:rsidR="0056519B" w:rsidRPr="0056519B" w:rsidRDefault="0056519B" w:rsidP="0056519B">
      <w:pPr>
        <w:pStyle w:val="Heading2"/>
        <w:rPr>
          <w:lang w:val="fr-CH"/>
        </w:rPr>
      </w:pPr>
      <w:bookmarkStart w:id="475" w:name="_Toc513554850"/>
      <w:r w:rsidRPr="0056519B">
        <w:rPr>
          <w:lang w:val="fr-CH"/>
        </w:rPr>
        <w:lastRenderedPageBreak/>
        <w:t xml:space="preserve">Liste des numéros identificateurs d'entités émettrices pour </w:t>
      </w:r>
      <w:r w:rsidRPr="0056519B">
        <w:rPr>
          <w:lang w:val="fr-CH"/>
        </w:rPr>
        <w:br/>
        <w:t xml:space="preserve">les cartes internationales de facturation des télécommunications </w:t>
      </w:r>
      <w:r w:rsidRPr="0056519B">
        <w:rPr>
          <w:lang w:val="fr-CH"/>
        </w:rPr>
        <w:br/>
        <w:t xml:space="preserve">(selon la Recommandation UIT-T E.118 (05/2006)) </w:t>
      </w:r>
      <w:r w:rsidRPr="0056519B">
        <w:rPr>
          <w:lang w:val="fr-CH"/>
        </w:rPr>
        <w:br/>
        <w:t>(Situation au 15 Novembre 2015)</w:t>
      </w:r>
      <w:bookmarkEnd w:id="475"/>
    </w:p>
    <w:p w:rsidR="0056519B" w:rsidRPr="0056519B" w:rsidRDefault="0056519B" w:rsidP="0056519B">
      <w:pPr>
        <w:tabs>
          <w:tab w:val="clear" w:pos="567"/>
          <w:tab w:val="clear" w:pos="1276"/>
          <w:tab w:val="clear" w:pos="1843"/>
          <w:tab w:val="clear" w:pos="5387"/>
          <w:tab w:val="clear" w:pos="5954"/>
          <w:tab w:val="left" w:pos="720"/>
          <w:tab w:val="left" w:pos="794"/>
          <w:tab w:val="left" w:pos="1191"/>
          <w:tab w:val="left" w:pos="1588"/>
          <w:tab w:val="left" w:pos="1985"/>
        </w:tabs>
        <w:jc w:val="center"/>
        <w:textAlignment w:val="auto"/>
        <w:rPr>
          <w:rFonts w:cs="Arial"/>
          <w:lang w:val="fr-FR"/>
        </w:rPr>
      </w:pPr>
      <w:r w:rsidRPr="0056519B">
        <w:rPr>
          <w:rFonts w:cs="Arial"/>
          <w:lang w:val="fr-FR"/>
        </w:rPr>
        <w:t>(Annexe au Bulletin d'exploitation de l'UIT N° 1088 – 15.XI.2015)</w:t>
      </w:r>
      <w:r w:rsidRPr="0056519B">
        <w:rPr>
          <w:rFonts w:cs="Arial"/>
          <w:lang w:val="fr-FR"/>
        </w:rPr>
        <w:br/>
        <w:t>(Amendement N° 39)</w:t>
      </w:r>
    </w:p>
    <w:p w:rsidR="0056519B" w:rsidRPr="0056519B" w:rsidRDefault="0056519B" w:rsidP="0056519B">
      <w:pPr>
        <w:tabs>
          <w:tab w:val="clear" w:pos="1276"/>
          <w:tab w:val="clear" w:pos="1843"/>
          <w:tab w:val="clear" w:pos="5387"/>
          <w:tab w:val="clear" w:pos="5954"/>
          <w:tab w:val="left" w:pos="1560"/>
          <w:tab w:val="left" w:pos="4140"/>
          <w:tab w:val="left" w:pos="4230"/>
        </w:tabs>
        <w:spacing w:after="120"/>
        <w:jc w:val="left"/>
        <w:rPr>
          <w:rFonts w:cs="Arial"/>
          <w:b/>
          <w:bCs/>
          <w:lang w:val="fr-CH"/>
        </w:rPr>
      </w:pPr>
      <w:proofErr w:type="spellStart"/>
      <w:r w:rsidRPr="0056519B">
        <w:rPr>
          <w:rFonts w:cs="Arial"/>
          <w:b/>
          <w:bCs/>
          <w:lang w:val="en-US"/>
        </w:rPr>
        <w:t>Japon</w:t>
      </w:r>
      <w:proofErr w:type="spellEnd"/>
      <w:r>
        <w:rPr>
          <w:rFonts w:cs="Arial"/>
          <w:b/>
          <w:bCs/>
          <w:lang w:val="en-US"/>
        </w:rPr>
        <w:t xml:space="preserve">     </w:t>
      </w:r>
      <w:r w:rsidRPr="0056519B">
        <w:rPr>
          <w:rFonts w:cs="Arial"/>
          <w:b/>
          <w:bCs/>
          <w:lang w:val="fr-CH"/>
        </w:rPr>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2437"/>
        <w:gridCol w:w="1547"/>
        <w:gridCol w:w="2552"/>
        <w:gridCol w:w="1556"/>
      </w:tblGrid>
      <w:tr w:rsidR="0056519B" w:rsidRPr="00EA1A10" w:rsidTr="0056519B">
        <w:tc>
          <w:tcPr>
            <w:tcW w:w="154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56519B">
              <w:rPr>
                <w:rFonts w:cs="Arial"/>
                <w:i/>
                <w:iCs/>
                <w:lang w:val="fr-FR"/>
              </w:rPr>
              <w:t>Pays/zone géographique</w:t>
            </w:r>
          </w:p>
        </w:tc>
        <w:tc>
          <w:tcPr>
            <w:tcW w:w="243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56519B">
              <w:rPr>
                <w:rFonts w:cs="Arial"/>
                <w:i/>
                <w:iCs/>
                <w:lang w:val="fr-FR"/>
              </w:rPr>
              <w:t>Nom de la compagnie/</w:t>
            </w:r>
            <w:r w:rsidRPr="0056519B">
              <w:rPr>
                <w:rFonts w:cs="Arial"/>
                <w:i/>
                <w:iCs/>
                <w:lang w:val="fr-FR"/>
              </w:rPr>
              <w:br/>
              <w:t>Adresse</w:t>
            </w:r>
          </w:p>
        </w:tc>
        <w:tc>
          <w:tcPr>
            <w:tcW w:w="154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56519B">
              <w:rPr>
                <w:rFonts w:cs="Arial"/>
                <w:i/>
                <w:iCs/>
                <w:lang w:val="fr-FR"/>
              </w:rPr>
              <w:t>Identification d’entité émettrice</w:t>
            </w:r>
          </w:p>
        </w:tc>
        <w:tc>
          <w:tcPr>
            <w:tcW w:w="2552"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56519B">
              <w:rPr>
                <w:rFonts w:cs="Arial"/>
                <w:i/>
                <w:iCs/>
                <w:lang w:val="fr-CH"/>
              </w:rPr>
              <w:t>Contact</w:t>
            </w:r>
          </w:p>
        </w:tc>
        <w:tc>
          <w:tcPr>
            <w:tcW w:w="1556"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56519B">
              <w:rPr>
                <w:rFonts w:cs="Arial"/>
                <w:i/>
                <w:iCs/>
                <w:lang w:val="fr-FR"/>
              </w:rPr>
              <w:t xml:space="preserve">Date de </w:t>
            </w:r>
            <w:r w:rsidRPr="0056519B">
              <w:rPr>
                <w:rFonts w:cs="Arial"/>
                <w:i/>
                <w:iCs/>
                <w:lang w:val="fr-FR"/>
              </w:rPr>
              <w:br/>
              <w:t>mise en application</w:t>
            </w:r>
          </w:p>
        </w:tc>
      </w:tr>
      <w:tr w:rsidR="0056519B" w:rsidRPr="0056519B" w:rsidTr="0056519B">
        <w:tc>
          <w:tcPr>
            <w:tcW w:w="154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proofErr w:type="spellStart"/>
            <w:r w:rsidRPr="0056519B">
              <w:rPr>
                <w:rFonts w:cs="Arial"/>
                <w:lang w:val="en-US"/>
              </w:rPr>
              <w:t>Japon</w:t>
            </w:r>
            <w:proofErr w:type="spellEnd"/>
          </w:p>
        </w:tc>
        <w:tc>
          <w:tcPr>
            <w:tcW w:w="243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b/>
                <w:bCs/>
              </w:rPr>
            </w:pPr>
            <w:r w:rsidRPr="0056519B">
              <w:rPr>
                <w:rFonts w:cs="Calibri"/>
                <w:b/>
                <w:bCs/>
              </w:rPr>
              <w:t>LTE-X, Inc.</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56519B">
              <w:rPr>
                <w:rFonts w:cs="Calibri"/>
              </w:rPr>
              <w:t xml:space="preserve">5F </w:t>
            </w:r>
            <w:proofErr w:type="spellStart"/>
            <w:r w:rsidRPr="0056519B">
              <w:rPr>
                <w:rFonts w:cs="Calibri"/>
              </w:rPr>
              <w:t>Tennozu</w:t>
            </w:r>
            <w:proofErr w:type="spellEnd"/>
            <w:r w:rsidRPr="0056519B">
              <w:rPr>
                <w:rFonts w:cs="Calibri"/>
              </w:rPr>
              <w:t xml:space="preserve"> Yusen Bldg. </w:t>
            </w:r>
            <w:r w:rsidRPr="0056519B">
              <w:rPr>
                <w:rFonts w:cs="Calibri"/>
              </w:rPr>
              <w:br/>
              <w:t>2-2-20 Higashi Shinagawa,</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56519B">
              <w:rPr>
                <w:rFonts w:cs="Calibri"/>
              </w:rPr>
              <w:t>Shinagawa-</w:t>
            </w:r>
            <w:proofErr w:type="spellStart"/>
            <w:r w:rsidRPr="0056519B">
              <w:rPr>
                <w:rFonts w:cs="Calibri"/>
              </w:rPr>
              <w:t>ku</w:t>
            </w:r>
            <w:proofErr w:type="spellEnd"/>
            <w:r w:rsidRPr="0056519B">
              <w:rPr>
                <w:rFonts w:cs="Calibri"/>
              </w:rPr>
              <w:t>,</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rPr>
            </w:pPr>
            <w:r w:rsidRPr="0056519B">
              <w:rPr>
                <w:rFonts w:cs="Calibri"/>
              </w:rPr>
              <w:t>TOKYO</w:t>
            </w:r>
          </w:p>
        </w:tc>
        <w:tc>
          <w:tcPr>
            <w:tcW w:w="1547"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56519B">
              <w:rPr>
                <w:rFonts w:cs="Calibri"/>
                <w:b/>
                <w:lang w:val="en-US"/>
              </w:rPr>
              <w:t>89 81 06</w:t>
            </w:r>
          </w:p>
        </w:tc>
        <w:tc>
          <w:tcPr>
            <w:tcW w:w="2552"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56519B">
              <w:rPr>
                <w:rFonts w:cs="Calibri"/>
              </w:rPr>
              <w:t>Mr Yoshihisa Ito</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56519B">
              <w:rPr>
                <w:rFonts w:cs="Calibri"/>
              </w:rPr>
              <w:t>LTE-X, Inc.</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56519B">
              <w:rPr>
                <w:rFonts w:cs="Calibri"/>
              </w:rPr>
              <w:t xml:space="preserve">5F </w:t>
            </w:r>
            <w:proofErr w:type="spellStart"/>
            <w:r w:rsidRPr="0056519B">
              <w:rPr>
                <w:rFonts w:cs="Calibri"/>
              </w:rPr>
              <w:t>Tennozu</w:t>
            </w:r>
            <w:proofErr w:type="spellEnd"/>
            <w:r w:rsidRPr="0056519B">
              <w:rPr>
                <w:rFonts w:cs="Calibri"/>
              </w:rPr>
              <w:t xml:space="preserve"> Yusen Bldg. </w:t>
            </w:r>
            <w:r w:rsidRPr="0056519B">
              <w:rPr>
                <w:rFonts w:cs="Calibri"/>
              </w:rPr>
              <w:br/>
              <w:t>2-2-20 Higashi Shinagawa,</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proofErr w:type="spellStart"/>
            <w:r w:rsidRPr="0056519B">
              <w:rPr>
                <w:rFonts w:cs="Calibri"/>
                <w:lang w:val="es-ES_tradnl"/>
              </w:rPr>
              <w:t>Shinagawa-ku</w:t>
            </w:r>
            <w:proofErr w:type="spellEnd"/>
            <w:r w:rsidRPr="0056519B">
              <w:rPr>
                <w:rFonts w:cs="Calibri"/>
                <w:lang w:val="es-ES_tradnl"/>
              </w:rPr>
              <w:t>,</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r w:rsidRPr="0056519B">
              <w:rPr>
                <w:rFonts w:cs="Calibri"/>
                <w:lang w:val="es-ES_tradnl"/>
              </w:rPr>
              <w:t>TOKYO</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proofErr w:type="spellStart"/>
            <w:r w:rsidRPr="0056519B">
              <w:rPr>
                <w:rFonts w:cs="Calibri"/>
                <w:lang w:val="es-ES_tradnl"/>
              </w:rPr>
              <w:t>Tél</w:t>
            </w:r>
            <w:proofErr w:type="spellEnd"/>
            <w:r w:rsidRPr="0056519B">
              <w:rPr>
                <w:rFonts w:cs="Calibri"/>
                <w:lang w:val="es-ES_tradnl"/>
              </w:rPr>
              <w:t xml:space="preserve">: </w:t>
            </w:r>
            <w:r w:rsidRPr="0056519B">
              <w:rPr>
                <w:rFonts w:cs="Calibri"/>
                <w:lang w:val="es-ES_tradnl"/>
              </w:rPr>
              <w:tab/>
              <w:t>+81 3 4405 5000</w:t>
            </w:r>
          </w:p>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lang w:val="es-ES_tradnl"/>
              </w:rPr>
            </w:pPr>
            <w:r w:rsidRPr="0056519B">
              <w:rPr>
                <w:rFonts w:cs="Calibri"/>
                <w:lang w:val="es-ES_tradnl"/>
              </w:rPr>
              <w:t xml:space="preserve">E-mail: </w:t>
            </w:r>
            <w:r w:rsidRPr="0056519B">
              <w:rPr>
                <w:rFonts w:cs="Calibri"/>
                <w:lang w:val="es-ES_tradnl"/>
              </w:rPr>
              <w:tab/>
              <w:t>info@lte-x.co.jp</w:t>
            </w:r>
          </w:p>
        </w:tc>
        <w:tc>
          <w:tcPr>
            <w:tcW w:w="1556" w:type="dxa"/>
            <w:tcBorders>
              <w:top w:val="single" w:sz="6" w:space="0" w:color="auto"/>
              <w:left w:val="single" w:sz="6" w:space="0" w:color="auto"/>
              <w:bottom w:val="single" w:sz="6" w:space="0" w:color="auto"/>
              <w:right w:val="single" w:sz="6" w:space="0" w:color="auto"/>
            </w:tcBorders>
          </w:tcPr>
          <w:p w:rsidR="0056519B" w:rsidRPr="0056519B" w:rsidRDefault="0056519B" w:rsidP="0056519B">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rPr>
            </w:pPr>
            <w:r w:rsidRPr="0056519B">
              <w:rPr>
                <w:rFonts w:cs="Calibri"/>
              </w:rPr>
              <w:t>1.V.2018</w:t>
            </w:r>
          </w:p>
        </w:tc>
      </w:tr>
    </w:tbl>
    <w:p w:rsidR="0056519B" w:rsidRPr="0056519B" w:rsidRDefault="0056519B" w:rsidP="0056519B">
      <w:pPr>
        <w:tabs>
          <w:tab w:val="clear" w:pos="1276"/>
          <w:tab w:val="clear" w:pos="1843"/>
          <w:tab w:val="clear" w:pos="5387"/>
          <w:tab w:val="clear" w:pos="5954"/>
          <w:tab w:val="left" w:pos="1560"/>
          <w:tab w:val="left" w:pos="4140"/>
          <w:tab w:val="left" w:pos="4230"/>
        </w:tabs>
        <w:spacing w:before="0" w:after="200"/>
        <w:jc w:val="left"/>
        <w:textAlignment w:val="auto"/>
        <w:rPr>
          <w:rFonts w:cs="Arial"/>
          <w:b/>
          <w:bCs/>
          <w:lang w:val="fr-CH"/>
        </w:rPr>
      </w:pPr>
    </w:p>
    <w:p w:rsidR="0079766F" w:rsidRDefault="0079766F" w:rsidP="00A742B6">
      <w:pPr>
        <w:rPr>
          <w:lang w:val="de-CH"/>
        </w:rPr>
      </w:pPr>
    </w:p>
    <w:p w:rsidR="0056519B" w:rsidRDefault="0056519B" w:rsidP="00A742B6">
      <w:pPr>
        <w:rPr>
          <w:lang w:val="de-CH"/>
        </w:rPr>
      </w:pPr>
    </w:p>
    <w:p w:rsidR="0056519B" w:rsidRDefault="0056519B" w:rsidP="00A742B6">
      <w:pPr>
        <w:rPr>
          <w:lang w:val="de-CH"/>
        </w:rPr>
      </w:pPr>
    </w:p>
    <w:p w:rsidR="0056519B" w:rsidRPr="0056519B" w:rsidRDefault="0056519B" w:rsidP="0056519B">
      <w:pPr>
        <w:pStyle w:val="Heading2"/>
        <w:rPr>
          <w:lang w:val="fr-CH"/>
        </w:rPr>
      </w:pPr>
      <w:bookmarkStart w:id="476" w:name="_Toc513554851"/>
      <w:r w:rsidRPr="0056519B">
        <w:rPr>
          <w:lang w:val="fr-CH"/>
        </w:rPr>
        <w:t>Liste des codes de points sémaphores internationaux (ISPC</w:t>
      </w:r>
      <w:proofErr w:type="gramStart"/>
      <w:r w:rsidRPr="0056519B">
        <w:rPr>
          <w:lang w:val="fr-CH"/>
        </w:rPr>
        <w:t>)</w:t>
      </w:r>
      <w:proofErr w:type="gramEnd"/>
      <w:r w:rsidRPr="0056519B">
        <w:rPr>
          <w:lang w:val="fr-CH"/>
        </w:rPr>
        <w:br/>
        <w:t>(Selon la Recommandation UIT-T Q.708 (03/1999))</w:t>
      </w:r>
      <w:r w:rsidRPr="0056519B">
        <w:rPr>
          <w:lang w:val="fr-CH"/>
        </w:rPr>
        <w:br/>
        <w:t>(Situation au 1 octobre 2016)</w:t>
      </w:r>
      <w:bookmarkEnd w:id="476"/>
    </w:p>
    <w:p w:rsidR="0056519B" w:rsidRPr="0056519B" w:rsidRDefault="0056519B" w:rsidP="0056519B">
      <w:pPr>
        <w:keepNext/>
        <w:tabs>
          <w:tab w:val="clear" w:pos="1276"/>
          <w:tab w:val="clear" w:pos="1843"/>
          <w:tab w:val="clear" w:pos="5387"/>
          <w:tab w:val="clear" w:pos="5954"/>
          <w:tab w:val="right" w:pos="1021"/>
          <w:tab w:val="left" w:pos="1701"/>
          <w:tab w:val="left" w:pos="2268"/>
        </w:tabs>
        <w:spacing w:before="0"/>
        <w:jc w:val="center"/>
        <w:rPr>
          <w:bCs/>
          <w:lang w:val="fr-CH"/>
        </w:rPr>
      </w:pPr>
      <w:r w:rsidRPr="0056519B">
        <w:rPr>
          <w:bCs/>
          <w:lang w:val="fr-CH"/>
        </w:rPr>
        <w:t xml:space="preserve">(Annexe au Bulletin d'exploitation de l'UIT No. 1109 </w:t>
      </w:r>
      <w:r>
        <w:rPr>
          <w:bCs/>
          <w:lang w:val="fr-CH"/>
        </w:rPr>
        <w:t>–</w:t>
      </w:r>
      <w:r w:rsidRPr="0056519B">
        <w:rPr>
          <w:bCs/>
          <w:lang w:val="fr-CH"/>
        </w:rPr>
        <w:t xml:space="preserve"> 1.X.2016)</w:t>
      </w:r>
      <w:r w:rsidRPr="0056519B">
        <w:rPr>
          <w:bCs/>
          <w:lang w:val="fr-CH"/>
        </w:rPr>
        <w:br/>
        <w:t>(Amendement No. 34)</w:t>
      </w:r>
    </w:p>
    <w:p w:rsidR="0056519B" w:rsidRPr="0056519B" w:rsidRDefault="0056519B" w:rsidP="0056519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6519B" w:rsidRPr="00EA1A10" w:rsidTr="0056519B">
        <w:trPr>
          <w:cantSplit/>
          <w:trHeight w:val="227"/>
        </w:trPr>
        <w:tc>
          <w:tcPr>
            <w:tcW w:w="1818" w:type="dxa"/>
            <w:gridSpan w:val="2"/>
          </w:tcPr>
          <w:p w:rsidR="0056519B" w:rsidRPr="0056519B" w:rsidRDefault="0056519B" w:rsidP="0056519B">
            <w:pPr>
              <w:keepNext/>
              <w:tabs>
                <w:tab w:val="clear" w:pos="567"/>
                <w:tab w:val="clear" w:pos="5387"/>
                <w:tab w:val="clear" w:pos="5954"/>
              </w:tabs>
              <w:spacing w:before="60" w:after="60"/>
              <w:jc w:val="left"/>
              <w:rPr>
                <w:i/>
                <w:sz w:val="18"/>
                <w:lang w:val="fr-FR"/>
              </w:rPr>
            </w:pPr>
            <w:r w:rsidRPr="0056519B">
              <w:rPr>
                <w:i/>
                <w:sz w:val="18"/>
                <w:lang w:val="fr-FR"/>
              </w:rPr>
              <w:t>Pays/ Zone Géographique</w:t>
            </w:r>
          </w:p>
        </w:tc>
        <w:tc>
          <w:tcPr>
            <w:tcW w:w="3461" w:type="dxa"/>
            <w:vMerge w:val="restart"/>
            <w:shd w:val="clear" w:color="auto" w:fill="auto"/>
          </w:tcPr>
          <w:p w:rsidR="0056519B" w:rsidRPr="0056519B" w:rsidRDefault="0056519B" w:rsidP="0056519B">
            <w:pPr>
              <w:keepNext/>
              <w:tabs>
                <w:tab w:val="clear" w:pos="567"/>
                <w:tab w:val="clear" w:pos="5387"/>
                <w:tab w:val="clear" w:pos="5954"/>
              </w:tabs>
              <w:spacing w:before="60" w:after="60"/>
              <w:jc w:val="left"/>
              <w:rPr>
                <w:i/>
                <w:sz w:val="18"/>
                <w:lang w:val="fr-FR"/>
              </w:rPr>
            </w:pPr>
            <w:r w:rsidRPr="0056519B">
              <w:rPr>
                <w:i/>
                <w:sz w:val="18"/>
                <w:lang w:val="fr-FR"/>
              </w:rPr>
              <w:t>Nom unique du point sémaphore</w:t>
            </w:r>
          </w:p>
        </w:tc>
        <w:tc>
          <w:tcPr>
            <w:tcW w:w="4009" w:type="dxa"/>
            <w:vMerge w:val="restart"/>
            <w:shd w:val="clear" w:color="auto" w:fill="auto"/>
          </w:tcPr>
          <w:p w:rsidR="0056519B" w:rsidRPr="0056519B" w:rsidRDefault="0056519B" w:rsidP="0056519B">
            <w:pPr>
              <w:keepNext/>
              <w:tabs>
                <w:tab w:val="clear" w:pos="567"/>
                <w:tab w:val="clear" w:pos="5387"/>
                <w:tab w:val="clear" w:pos="5954"/>
              </w:tabs>
              <w:spacing w:before="60" w:after="60"/>
              <w:jc w:val="left"/>
              <w:rPr>
                <w:i/>
                <w:sz w:val="18"/>
                <w:lang w:val="fr-FR"/>
              </w:rPr>
            </w:pPr>
            <w:r w:rsidRPr="0056519B">
              <w:rPr>
                <w:i/>
                <w:sz w:val="18"/>
                <w:lang w:val="fr-FR"/>
              </w:rPr>
              <w:t>Nom de l'opérateur du point sémaphore</w:t>
            </w:r>
          </w:p>
        </w:tc>
      </w:tr>
      <w:tr w:rsidR="0056519B" w:rsidRPr="0056519B" w:rsidTr="0056519B">
        <w:trPr>
          <w:cantSplit/>
          <w:trHeight w:val="227"/>
        </w:trPr>
        <w:tc>
          <w:tcPr>
            <w:tcW w:w="909" w:type="dxa"/>
          </w:tcPr>
          <w:p w:rsidR="0056519B" w:rsidRPr="0056519B" w:rsidRDefault="0056519B" w:rsidP="0056519B">
            <w:pPr>
              <w:keepNext/>
              <w:tabs>
                <w:tab w:val="clear" w:pos="567"/>
                <w:tab w:val="clear" w:pos="5387"/>
                <w:tab w:val="clear" w:pos="5954"/>
              </w:tabs>
              <w:spacing w:before="60" w:after="60"/>
              <w:jc w:val="left"/>
              <w:rPr>
                <w:i/>
                <w:sz w:val="18"/>
                <w:lang w:val="fr-FR"/>
              </w:rPr>
            </w:pPr>
            <w:r w:rsidRPr="0056519B">
              <w:rPr>
                <w:i/>
                <w:sz w:val="18"/>
                <w:lang w:val="fr-FR"/>
              </w:rPr>
              <w:t>ISPC</w:t>
            </w:r>
          </w:p>
        </w:tc>
        <w:tc>
          <w:tcPr>
            <w:tcW w:w="909" w:type="dxa"/>
            <w:shd w:val="clear" w:color="auto" w:fill="auto"/>
          </w:tcPr>
          <w:p w:rsidR="0056519B" w:rsidRPr="0056519B" w:rsidRDefault="0056519B" w:rsidP="0056519B">
            <w:pPr>
              <w:keepNext/>
              <w:tabs>
                <w:tab w:val="clear" w:pos="567"/>
                <w:tab w:val="clear" w:pos="5387"/>
                <w:tab w:val="clear" w:pos="5954"/>
              </w:tabs>
              <w:spacing w:before="60" w:after="60"/>
              <w:jc w:val="left"/>
              <w:rPr>
                <w:i/>
                <w:sz w:val="18"/>
                <w:lang w:val="fr-FR"/>
              </w:rPr>
            </w:pPr>
            <w:r w:rsidRPr="0056519B">
              <w:rPr>
                <w:i/>
                <w:sz w:val="18"/>
                <w:lang w:val="fr-FR"/>
              </w:rPr>
              <w:t>DEC</w:t>
            </w:r>
          </w:p>
        </w:tc>
        <w:tc>
          <w:tcPr>
            <w:tcW w:w="3461" w:type="dxa"/>
            <w:vMerge/>
            <w:shd w:val="clear" w:color="auto" w:fill="auto"/>
          </w:tcPr>
          <w:p w:rsidR="0056519B" w:rsidRPr="0056519B" w:rsidRDefault="0056519B" w:rsidP="0056519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6519B" w:rsidRPr="0056519B" w:rsidRDefault="0056519B" w:rsidP="0056519B">
            <w:pPr>
              <w:keepNext/>
              <w:tabs>
                <w:tab w:val="clear" w:pos="567"/>
                <w:tab w:val="clear" w:pos="5387"/>
                <w:tab w:val="clear" w:pos="5954"/>
              </w:tabs>
              <w:spacing w:before="60" w:after="60"/>
              <w:jc w:val="left"/>
              <w:rPr>
                <w:i/>
                <w:sz w:val="18"/>
                <w:lang w:val="fr-FR"/>
              </w:rPr>
            </w:pPr>
          </w:p>
        </w:tc>
      </w:tr>
      <w:tr w:rsidR="0056519B" w:rsidRPr="0056519B" w:rsidTr="0056519B">
        <w:trPr>
          <w:cantSplit/>
          <w:trHeight w:val="240"/>
        </w:trPr>
        <w:tc>
          <w:tcPr>
            <w:tcW w:w="9288" w:type="dxa"/>
            <w:gridSpan w:val="4"/>
            <w:shd w:val="clear" w:color="auto" w:fill="auto"/>
          </w:tcPr>
          <w:p w:rsidR="0056519B" w:rsidRPr="0056519B" w:rsidRDefault="0056519B" w:rsidP="0056519B">
            <w:pPr>
              <w:keepNext/>
              <w:tabs>
                <w:tab w:val="clear" w:pos="1276"/>
                <w:tab w:val="clear" w:pos="1843"/>
                <w:tab w:val="clear" w:pos="5387"/>
                <w:tab w:val="clear" w:pos="5954"/>
                <w:tab w:val="right" w:pos="1021"/>
                <w:tab w:val="left" w:pos="1701"/>
                <w:tab w:val="left" w:pos="2268"/>
              </w:tabs>
              <w:spacing w:before="240"/>
              <w:rPr>
                <w:b/>
              </w:rPr>
            </w:pPr>
            <w:r w:rsidRPr="0056519B">
              <w:rPr>
                <w:b/>
              </w:rPr>
              <w:t>Portugal    LIR</w:t>
            </w:r>
          </w:p>
        </w:tc>
      </w:tr>
      <w:tr w:rsidR="0056519B" w:rsidRPr="00EA1A10" w:rsidTr="0056519B">
        <w:trPr>
          <w:cantSplit/>
          <w:trHeight w:val="240"/>
        </w:trPr>
        <w:tc>
          <w:tcPr>
            <w:tcW w:w="909"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2-139-7</w:t>
            </w:r>
          </w:p>
        </w:tc>
        <w:tc>
          <w:tcPr>
            <w:tcW w:w="909"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5215</w:t>
            </w:r>
          </w:p>
        </w:tc>
        <w:tc>
          <w:tcPr>
            <w:tcW w:w="2640"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IP (RTINT1) LISBOA-GARE DO ORIENTE</w:t>
            </w:r>
          </w:p>
        </w:tc>
        <w:tc>
          <w:tcPr>
            <w:tcW w:w="4009" w:type="dxa"/>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56519B">
              <w:rPr>
                <w:bCs/>
                <w:sz w:val="18"/>
                <w:szCs w:val="22"/>
                <w:lang w:val="es-ES_tradnl"/>
              </w:rPr>
              <w:t>Infraestruturas</w:t>
            </w:r>
            <w:proofErr w:type="spellEnd"/>
            <w:r w:rsidRPr="0056519B">
              <w:rPr>
                <w:bCs/>
                <w:sz w:val="18"/>
                <w:szCs w:val="22"/>
                <w:lang w:val="es-ES_tradnl"/>
              </w:rPr>
              <w:t xml:space="preserve"> de Portugal, S.A.</w:t>
            </w:r>
          </w:p>
        </w:tc>
      </w:tr>
      <w:tr w:rsidR="0056519B" w:rsidRPr="0056519B" w:rsidTr="0056519B">
        <w:trPr>
          <w:cantSplit/>
          <w:trHeight w:val="240"/>
        </w:trPr>
        <w:tc>
          <w:tcPr>
            <w:tcW w:w="9288" w:type="dxa"/>
            <w:gridSpan w:val="4"/>
            <w:shd w:val="clear" w:color="auto" w:fill="auto"/>
          </w:tcPr>
          <w:p w:rsidR="0056519B" w:rsidRPr="0056519B" w:rsidRDefault="0056519B" w:rsidP="0056519B">
            <w:pPr>
              <w:keepNext/>
              <w:tabs>
                <w:tab w:val="clear" w:pos="1276"/>
                <w:tab w:val="clear" w:pos="1843"/>
                <w:tab w:val="clear" w:pos="5387"/>
                <w:tab w:val="clear" w:pos="5954"/>
                <w:tab w:val="right" w:pos="1021"/>
                <w:tab w:val="left" w:pos="1701"/>
                <w:tab w:val="left" w:pos="2268"/>
              </w:tabs>
              <w:spacing w:before="240"/>
              <w:rPr>
                <w:b/>
              </w:rPr>
            </w:pPr>
            <w:proofErr w:type="spellStart"/>
            <w:r w:rsidRPr="0056519B">
              <w:rPr>
                <w:b/>
              </w:rPr>
              <w:t>Suède</w:t>
            </w:r>
            <w:proofErr w:type="spellEnd"/>
            <w:r w:rsidRPr="0056519B">
              <w:rPr>
                <w:b/>
              </w:rPr>
              <w:t xml:space="preserve">    ADD</w:t>
            </w:r>
          </w:p>
        </w:tc>
      </w:tr>
      <w:tr w:rsidR="0056519B" w:rsidRPr="0056519B" w:rsidTr="0056519B">
        <w:trPr>
          <w:cantSplit/>
          <w:trHeight w:val="240"/>
        </w:trPr>
        <w:tc>
          <w:tcPr>
            <w:tcW w:w="909"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7-207-5</w:t>
            </w:r>
          </w:p>
        </w:tc>
        <w:tc>
          <w:tcPr>
            <w:tcW w:w="909"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15997</w:t>
            </w:r>
          </w:p>
        </w:tc>
        <w:tc>
          <w:tcPr>
            <w:tcW w:w="2640" w:type="dxa"/>
            <w:shd w:val="clear" w:color="auto" w:fill="auto"/>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BSG-SMSC</w:t>
            </w:r>
          </w:p>
        </w:tc>
        <w:tc>
          <w:tcPr>
            <w:tcW w:w="4009" w:type="dxa"/>
          </w:tcPr>
          <w:p w:rsidR="0056519B" w:rsidRPr="0056519B" w:rsidRDefault="0056519B" w:rsidP="0056519B">
            <w:pPr>
              <w:tabs>
                <w:tab w:val="clear" w:pos="567"/>
                <w:tab w:val="clear" w:pos="1276"/>
                <w:tab w:val="clear" w:pos="1843"/>
                <w:tab w:val="clear" w:pos="5387"/>
                <w:tab w:val="clear" w:pos="5954"/>
                <w:tab w:val="right" w:pos="454"/>
              </w:tabs>
              <w:spacing w:before="40" w:after="40"/>
              <w:jc w:val="left"/>
              <w:rPr>
                <w:bCs/>
                <w:sz w:val="18"/>
                <w:szCs w:val="22"/>
                <w:lang w:val="fr-FR"/>
              </w:rPr>
            </w:pPr>
            <w:r w:rsidRPr="0056519B">
              <w:rPr>
                <w:bCs/>
                <w:sz w:val="18"/>
                <w:szCs w:val="22"/>
                <w:lang w:val="fr-FR"/>
              </w:rPr>
              <w:t xml:space="preserve">BSG </w:t>
            </w:r>
            <w:proofErr w:type="spellStart"/>
            <w:r w:rsidRPr="0056519B">
              <w:rPr>
                <w:bCs/>
                <w:sz w:val="18"/>
                <w:szCs w:val="22"/>
                <w:lang w:val="fr-FR"/>
              </w:rPr>
              <w:t>Estonia</w:t>
            </w:r>
            <w:proofErr w:type="spellEnd"/>
            <w:r w:rsidRPr="0056519B">
              <w:rPr>
                <w:bCs/>
                <w:sz w:val="18"/>
                <w:szCs w:val="22"/>
                <w:lang w:val="fr-FR"/>
              </w:rPr>
              <w:t xml:space="preserve"> OÜ</w:t>
            </w:r>
          </w:p>
        </w:tc>
      </w:tr>
    </w:tbl>
    <w:p w:rsidR="0056519B" w:rsidRPr="0056519B" w:rsidRDefault="0056519B" w:rsidP="0056519B">
      <w:pPr>
        <w:tabs>
          <w:tab w:val="clear" w:pos="567"/>
          <w:tab w:val="clear" w:pos="5387"/>
          <w:tab w:val="clear" w:pos="5954"/>
          <w:tab w:val="left" w:pos="284"/>
        </w:tabs>
        <w:spacing w:before="136"/>
        <w:rPr>
          <w:position w:val="6"/>
          <w:sz w:val="16"/>
          <w:szCs w:val="16"/>
          <w:lang w:val="fr-FR"/>
        </w:rPr>
      </w:pPr>
      <w:r w:rsidRPr="0056519B">
        <w:rPr>
          <w:position w:val="6"/>
          <w:sz w:val="16"/>
          <w:szCs w:val="16"/>
          <w:lang w:val="fr-FR"/>
        </w:rPr>
        <w:t>____________</w:t>
      </w:r>
    </w:p>
    <w:p w:rsidR="0056519B" w:rsidRPr="0056519B" w:rsidRDefault="0056519B" w:rsidP="0056519B">
      <w:pPr>
        <w:tabs>
          <w:tab w:val="clear" w:pos="1276"/>
          <w:tab w:val="clear" w:pos="1843"/>
          <w:tab w:val="clear" w:pos="5387"/>
          <w:tab w:val="clear" w:pos="5954"/>
        </w:tabs>
        <w:spacing w:before="40"/>
        <w:jc w:val="left"/>
        <w:rPr>
          <w:sz w:val="16"/>
          <w:szCs w:val="16"/>
          <w:lang w:val="fr-FR"/>
        </w:rPr>
      </w:pPr>
      <w:proofErr w:type="gramStart"/>
      <w:r w:rsidRPr="0056519B">
        <w:rPr>
          <w:sz w:val="16"/>
          <w:szCs w:val="16"/>
          <w:lang w:val="fr-FR"/>
        </w:rPr>
        <w:t>ISPC:</w:t>
      </w:r>
      <w:proofErr w:type="gramEnd"/>
      <w:r w:rsidRPr="0056519B">
        <w:rPr>
          <w:sz w:val="16"/>
          <w:szCs w:val="16"/>
          <w:lang w:val="fr-FR"/>
        </w:rPr>
        <w:tab/>
        <w:t xml:space="preserve">International </w:t>
      </w:r>
      <w:proofErr w:type="spellStart"/>
      <w:r w:rsidRPr="0056519B">
        <w:rPr>
          <w:sz w:val="16"/>
          <w:szCs w:val="16"/>
          <w:lang w:val="fr-FR"/>
        </w:rPr>
        <w:t>Signalling</w:t>
      </w:r>
      <w:proofErr w:type="spellEnd"/>
      <w:r w:rsidRPr="0056519B">
        <w:rPr>
          <w:sz w:val="16"/>
          <w:szCs w:val="16"/>
          <w:lang w:val="fr-FR"/>
        </w:rPr>
        <w:t xml:space="preserve"> Point Codes.</w:t>
      </w:r>
    </w:p>
    <w:p w:rsidR="0056519B" w:rsidRPr="0056519B" w:rsidRDefault="0056519B" w:rsidP="0056519B">
      <w:pPr>
        <w:tabs>
          <w:tab w:val="clear" w:pos="1276"/>
          <w:tab w:val="clear" w:pos="1843"/>
          <w:tab w:val="clear" w:pos="5387"/>
          <w:tab w:val="clear" w:pos="5954"/>
        </w:tabs>
        <w:spacing w:before="0"/>
        <w:jc w:val="left"/>
        <w:rPr>
          <w:sz w:val="16"/>
          <w:szCs w:val="16"/>
          <w:lang w:val="fr-FR"/>
        </w:rPr>
      </w:pPr>
      <w:r w:rsidRPr="0056519B">
        <w:rPr>
          <w:sz w:val="16"/>
          <w:szCs w:val="16"/>
          <w:lang w:val="fr-FR"/>
        </w:rPr>
        <w:tab/>
        <w:t>Codes de points sémaphores internationaux (CPSI).</w:t>
      </w:r>
    </w:p>
    <w:p w:rsidR="0056519B" w:rsidRPr="0056519B" w:rsidRDefault="0056519B" w:rsidP="0056519B">
      <w:pPr>
        <w:tabs>
          <w:tab w:val="clear" w:pos="1276"/>
          <w:tab w:val="clear" w:pos="1843"/>
          <w:tab w:val="clear" w:pos="5387"/>
          <w:tab w:val="clear" w:pos="5954"/>
        </w:tabs>
        <w:spacing w:before="0"/>
        <w:jc w:val="left"/>
        <w:rPr>
          <w:b/>
          <w:sz w:val="18"/>
          <w:szCs w:val="22"/>
          <w:lang w:val="es-ES"/>
        </w:rPr>
      </w:pPr>
      <w:r w:rsidRPr="0056519B">
        <w:rPr>
          <w:sz w:val="16"/>
          <w:szCs w:val="16"/>
          <w:lang w:val="fr-FR"/>
        </w:rPr>
        <w:tab/>
      </w:r>
      <w:r w:rsidRPr="0056519B">
        <w:rPr>
          <w:sz w:val="16"/>
          <w:szCs w:val="16"/>
          <w:lang w:val="es-ES"/>
        </w:rPr>
        <w:t>Códigos de puntos de señalización internacional (CPSI).</w:t>
      </w:r>
    </w:p>
    <w:p w:rsidR="0056519B" w:rsidRDefault="0056519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6519B" w:rsidRPr="0056519B" w:rsidRDefault="0056519B" w:rsidP="0056519B">
      <w:pPr>
        <w:pStyle w:val="Heading2"/>
        <w:rPr>
          <w:lang w:val="fr-CH"/>
        </w:rPr>
      </w:pPr>
      <w:bookmarkStart w:id="477" w:name="_Toc36874412"/>
      <w:bookmarkStart w:id="478" w:name="_Toc513554852"/>
      <w:r w:rsidRPr="0056519B">
        <w:rPr>
          <w:lang w:val="fr-CH"/>
        </w:rPr>
        <w:lastRenderedPageBreak/>
        <w:t xml:space="preserve">Plan de numérotage </w:t>
      </w:r>
      <w:proofErr w:type="gramStart"/>
      <w:r w:rsidRPr="0056519B">
        <w:rPr>
          <w:lang w:val="fr-CH"/>
        </w:rPr>
        <w:t>national</w:t>
      </w:r>
      <w:proofErr w:type="gramEnd"/>
      <w:r w:rsidRPr="0056519B">
        <w:rPr>
          <w:lang w:val="fr-CH"/>
        </w:rPr>
        <w:br/>
        <w:t>(Selon la Recommandation UIT-T E.129 (01/2013))</w:t>
      </w:r>
      <w:bookmarkEnd w:id="477"/>
      <w:bookmarkEnd w:id="478"/>
    </w:p>
    <w:p w:rsidR="0056519B" w:rsidRPr="0056519B" w:rsidRDefault="0056519B" w:rsidP="0056519B">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479" w:name="_Toc36875244"/>
      <w:r w:rsidRPr="0056519B">
        <w:rPr>
          <w:rFonts w:eastAsia="SimSun"/>
        </w:rPr>
        <w:t>Web: www.itu.int/itu-t/inr/nnp/index.html</w:t>
      </w:r>
    </w:p>
    <w:bookmarkEnd w:id="479"/>
    <w:p w:rsidR="0056519B" w:rsidRPr="0056519B" w:rsidRDefault="0056519B" w:rsidP="0056519B">
      <w:pPr>
        <w:tabs>
          <w:tab w:val="clear" w:pos="1276"/>
          <w:tab w:val="clear" w:pos="1843"/>
          <w:tab w:val="clear" w:pos="5387"/>
          <w:tab w:val="clear" w:pos="5954"/>
        </w:tabs>
        <w:spacing w:before="240"/>
        <w:rPr>
          <w:rFonts w:eastAsia="SimSun" w:cs="Arial"/>
          <w:lang w:val="fr-FR"/>
        </w:rPr>
      </w:pPr>
      <w:r w:rsidRPr="0056519B">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56519B" w:rsidRPr="0056519B" w:rsidRDefault="0056519B" w:rsidP="0056519B">
      <w:pPr>
        <w:rPr>
          <w:rFonts w:eastAsia="SimSun"/>
          <w:lang w:val="fr-FR"/>
        </w:rPr>
      </w:pPr>
      <w:r w:rsidRPr="0056519B">
        <w:rPr>
          <w:rFonts w:eastAsia="SimSun"/>
          <w:lang w:val="fr-FR"/>
        </w:rPr>
        <w:t>Pour leur site web sur le numérotage ou l’envoi de leurs informations à l’UIT/TSB (e-</w:t>
      </w:r>
      <w:proofErr w:type="gramStart"/>
      <w:r w:rsidRPr="0056519B">
        <w:rPr>
          <w:rFonts w:eastAsia="SimSun"/>
          <w:lang w:val="fr-FR"/>
        </w:rPr>
        <w:t>mail:</w:t>
      </w:r>
      <w:proofErr w:type="gramEnd"/>
      <w:r w:rsidRPr="0056519B">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56519B" w:rsidRPr="0056519B" w:rsidRDefault="0056519B" w:rsidP="0056519B">
      <w:pPr>
        <w:rPr>
          <w:rFonts w:eastAsia="SimSun"/>
          <w:lang w:val="fr-FR"/>
        </w:rPr>
      </w:pPr>
      <w:r w:rsidRPr="0056519B">
        <w:rPr>
          <w:rFonts w:eastAsia="SimSun"/>
          <w:lang w:val="fr-FR"/>
        </w:rPr>
        <w:t>Le 15.III.2018, les pays/z</w:t>
      </w:r>
      <w:r w:rsidRPr="0056519B">
        <w:rPr>
          <w:rFonts w:eastAsia="Calibri"/>
          <w:color w:val="000000"/>
          <w:lang w:val="fr-FR"/>
        </w:rPr>
        <w:t>ones géographiques</w:t>
      </w:r>
      <w:r w:rsidRPr="0056519B">
        <w:rPr>
          <w:rFonts w:eastAsia="SimSun"/>
          <w:lang w:val="fr-FR"/>
        </w:rPr>
        <w:t xml:space="preserve"> suivants ont actualisé leur plan de numérotage national sur le </w:t>
      </w:r>
      <w:proofErr w:type="gramStart"/>
      <w:r w:rsidRPr="0056519B">
        <w:rPr>
          <w:rFonts w:eastAsia="SimSun"/>
          <w:lang w:val="fr-FR"/>
        </w:rPr>
        <w:t>site:</w:t>
      </w:r>
      <w:proofErr w:type="gramEnd"/>
    </w:p>
    <w:p w:rsidR="0056519B" w:rsidRPr="0056519B" w:rsidRDefault="0056519B" w:rsidP="0056519B">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56519B" w:rsidRPr="0056519B" w:rsidTr="001742C7">
        <w:trPr>
          <w:jc w:val="center"/>
        </w:trPr>
        <w:tc>
          <w:tcPr>
            <w:tcW w:w="3681" w:type="dxa"/>
            <w:tcBorders>
              <w:top w:val="single" w:sz="4" w:space="0" w:color="auto"/>
              <w:bottom w:val="single" w:sz="4" w:space="0" w:color="auto"/>
              <w:right w:val="single" w:sz="4" w:space="0" w:color="auto"/>
            </w:tcBorders>
            <w:hideMark/>
          </w:tcPr>
          <w:p w:rsidR="0056519B" w:rsidRPr="0056519B" w:rsidRDefault="0056519B" w:rsidP="0056519B">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56519B">
              <w:rPr>
                <w:rFonts w:eastAsia="SimSun" w:cs="Calibri"/>
                <w:i/>
                <w:iCs/>
                <w:color w:val="000000"/>
                <w:lang w:val="fr-FR" w:eastAsia="zh-CN"/>
              </w:rPr>
              <w:t xml:space="preserve">Pays / </w:t>
            </w:r>
            <w:r w:rsidRPr="0056519B">
              <w:rPr>
                <w:rFonts w:eastAsia="Calibri" w:cs="Calibri"/>
                <w:i/>
                <w:color w:val="000000"/>
                <w:lang w:val="fr-FR" w:eastAsia="zh-CN"/>
              </w:rPr>
              <w:t>Zone géographique</w:t>
            </w:r>
          </w:p>
        </w:tc>
        <w:tc>
          <w:tcPr>
            <w:tcW w:w="3152" w:type="dxa"/>
            <w:tcBorders>
              <w:top w:val="single" w:sz="4" w:space="0" w:color="auto"/>
              <w:left w:val="single" w:sz="4" w:space="0" w:color="auto"/>
              <w:bottom w:val="single" w:sz="4" w:space="0" w:color="auto"/>
            </w:tcBorders>
            <w:hideMark/>
          </w:tcPr>
          <w:p w:rsidR="0056519B" w:rsidRPr="0056519B" w:rsidRDefault="0056519B" w:rsidP="0056519B">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56519B">
              <w:rPr>
                <w:rFonts w:eastAsia="SimSun" w:cs="Calibri"/>
                <w:i/>
                <w:iCs/>
                <w:color w:val="000000"/>
                <w:lang w:val="fr-FR" w:eastAsia="zh-CN"/>
              </w:rPr>
              <w:t xml:space="preserve">Indicatif de pays (CC) </w:t>
            </w:r>
          </w:p>
        </w:tc>
      </w:tr>
      <w:tr w:rsidR="0056519B" w:rsidRPr="0056519B" w:rsidTr="001742C7">
        <w:trPr>
          <w:jc w:val="center"/>
        </w:trPr>
        <w:tc>
          <w:tcPr>
            <w:tcW w:w="3681"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56519B">
              <w:rPr>
                <w:rFonts w:eastAsia="SimSun"/>
                <w:bCs/>
                <w:lang w:val="fr-FR"/>
              </w:rPr>
              <w:t>Arménie</w:t>
            </w:r>
          </w:p>
        </w:tc>
        <w:tc>
          <w:tcPr>
            <w:tcW w:w="3152"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6519B">
              <w:rPr>
                <w:rFonts w:eastAsia="SimSun"/>
                <w:lang w:val="en-US"/>
              </w:rPr>
              <w:t>+374</w:t>
            </w:r>
          </w:p>
        </w:tc>
      </w:tr>
      <w:tr w:rsidR="0056519B" w:rsidRPr="0056519B" w:rsidTr="001742C7">
        <w:trPr>
          <w:jc w:val="center"/>
        </w:trPr>
        <w:tc>
          <w:tcPr>
            <w:tcW w:w="3681"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56519B">
              <w:rPr>
                <w:rFonts w:eastAsia="SimSun"/>
                <w:bCs/>
                <w:lang w:val="fr-FR"/>
              </w:rPr>
              <w:t>Burkina Faso</w:t>
            </w:r>
          </w:p>
        </w:tc>
        <w:tc>
          <w:tcPr>
            <w:tcW w:w="3152"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6519B">
              <w:rPr>
                <w:rFonts w:eastAsia="SimSun"/>
                <w:lang w:val="en-US"/>
              </w:rPr>
              <w:t>+226</w:t>
            </w:r>
          </w:p>
        </w:tc>
      </w:tr>
      <w:tr w:rsidR="0056519B" w:rsidRPr="0056519B" w:rsidTr="001742C7">
        <w:trPr>
          <w:jc w:val="center"/>
        </w:trPr>
        <w:tc>
          <w:tcPr>
            <w:tcW w:w="3681"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56519B">
              <w:rPr>
                <w:rFonts w:eastAsia="SimSun"/>
                <w:bCs/>
                <w:lang w:val="fr-FR"/>
              </w:rPr>
              <w:t>Ghana</w:t>
            </w:r>
          </w:p>
        </w:tc>
        <w:tc>
          <w:tcPr>
            <w:tcW w:w="3152" w:type="dxa"/>
            <w:tcBorders>
              <w:top w:val="single" w:sz="4" w:space="0" w:color="auto"/>
              <w:left w:val="single" w:sz="4" w:space="0" w:color="auto"/>
              <w:bottom w:val="single" w:sz="4" w:space="0" w:color="auto"/>
              <w:right w:val="single" w:sz="4" w:space="0" w:color="auto"/>
            </w:tcBorders>
          </w:tcPr>
          <w:p w:rsidR="0056519B" w:rsidRPr="0056519B" w:rsidRDefault="0056519B" w:rsidP="0056519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6519B">
              <w:rPr>
                <w:rFonts w:eastAsia="SimSun"/>
                <w:lang w:val="en-US"/>
              </w:rPr>
              <w:t>+233</w:t>
            </w:r>
          </w:p>
        </w:tc>
      </w:tr>
    </w:tbl>
    <w:p w:rsidR="0056519B" w:rsidRPr="0056519B" w:rsidRDefault="0056519B" w:rsidP="0056519B">
      <w:pPr>
        <w:rPr>
          <w:rFonts w:eastAsia="SimSun"/>
          <w:lang w:val="fr-FR"/>
        </w:rPr>
      </w:pPr>
    </w:p>
    <w:p w:rsidR="00B85F7C" w:rsidRPr="00D52CA5" w:rsidRDefault="00B85F7C" w:rsidP="0056519B">
      <w:pPr>
        <w:rPr>
          <w:lang w:val="es-ES"/>
        </w:rPr>
      </w:pPr>
    </w:p>
    <w:sectPr w:rsidR="00B85F7C" w:rsidRPr="00D52CA5" w:rsidSect="002F3F55">
      <w:headerReference w:type="even" r:id="rId9"/>
      <w:footerReference w:type="even" r:id="rId10"/>
      <w:footerReference w:type="default" r:id="rId11"/>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9B" w:rsidRDefault="0056519B">
      <w:r>
        <w:separator/>
      </w:r>
    </w:p>
  </w:endnote>
  <w:endnote w:type="continuationSeparator" w:id="0">
    <w:p w:rsidR="0056519B" w:rsidRDefault="0056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6519B" w:rsidRPr="007F091C" w:rsidTr="008149B6">
      <w:trPr>
        <w:cantSplit/>
        <w:trHeight w:val="900"/>
      </w:trPr>
      <w:tc>
        <w:tcPr>
          <w:tcW w:w="8147" w:type="dxa"/>
          <w:tcBorders>
            <w:top w:val="nil"/>
            <w:bottom w:val="nil"/>
          </w:tcBorders>
          <w:shd w:val="clear" w:color="auto" w:fill="FFFFFF"/>
          <w:vAlign w:val="center"/>
        </w:tcPr>
        <w:p w:rsidR="0056519B" w:rsidRDefault="0056519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6519B" w:rsidRPr="007F091C" w:rsidRDefault="0056519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6519B" w:rsidRDefault="0056519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6519B" w:rsidRPr="007F091C" w:rsidTr="002D135B">
      <w:trPr>
        <w:cantSplit/>
        <w:jc w:val="center"/>
      </w:trPr>
      <w:tc>
        <w:tcPr>
          <w:tcW w:w="1761" w:type="dxa"/>
          <w:shd w:val="clear" w:color="auto" w:fill="4C4C4C"/>
        </w:tcPr>
        <w:p w:rsidR="0056519B" w:rsidRPr="007F091C" w:rsidRDefault="0056519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63E1">
            <w:rPr>
              <w:noProof/>
              <w:color w:val="FFFFFF"/>
              <w:lang w:val="es-ES_tradnl"/>
            </w:rPr>
            <w:t>1146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163E1">
            <w:rPr>
              <w:noProof/>
              <w:color w:val="FFFFFF"/>
              <w:lang w:val="en-US"/>
            </w:rPr>
            <w:t>10</w:t>
          </w:r>
          <w:r w:rsidRPr="007F091C">
            <w:rPr>
              <w:color w:val="FFFFFF"/>
              <w:lang w:val="en-US"/>
            </w:rPr>
            <w:fldChar w:fldCharType="end"/>
          </w:r>
        </w:p>
      </w:tc>
      <w:tc>
        <w:tcPr>
          <w:tcW w:w="7292" w:type="dxa"/>
          <w:shd w:val="clear" w:color="auto" w:fill="A6A6A6"/>
        </w:tcPr>
        <w:p w:rsidR="0056519B" w:rsidRPr="007F091C" w:rsidRDefault="0056519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56519B" w:rsidRDefault="0056519B"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6519B" w:rsidRPr="007F091C" w:rsidTr="002D135B">
      <w:trPr>
        <w:cantSplit/>
        <w:jc w:val="right"/>
      </w:trPr>
      <w:tc>
        <w:tcPr>
          <w:tcW w:w="7378" w:type="dxa"/>
          <w:shd w:val="clear" w:color="auto" w:fill="A6A6A6"/>
        </w:tcPr>
        <w:p w:rsidR="0056519B" w:rsidRPr="007F091C" w:rsidRDefault="0056519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6519B" w:rsidRPr="007F091C" w:rsidRDefault="0056519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63E1">
            <w:rPr>
              <w:noProof/>
              <w:color w:val="FFFFFF"/>
              <w:lang w:val="es-ES_tradnl"/>
            </w:rPr>
            <w:t>1146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163E1">
            <w:rPr>
              <w:noProof/>
              <w:color w:val="FFFFFF"/>
              <w:lang w:val="en-US"/>
            </w:rPr>
            <w:t>11</w:t>
          </w:r>
          <w:r w:rsidRPr="007F091C">
            <w:rPr>
              <w:color w:val="FFFFFF"/>
              <w:lang w:val="en-US"/>
            </w:rPr>
            <w:fldChar w:fldCharType="end"/>
          </w:r>
          <w:r w:rsidRPr="007F091C">
            <w:rPr>
              <w:color w:val="FFFFFF"/>
              <w:lang w:val="es-ES_tradnl"/>
            </w:rPr>
            <w:t>  </w:t>
          </w:r>
        </w:p>
      </w:tc>
    </w:tr>
  </w:tbl>
  <w:p w:rsidR="0056519B" w:rsidRPr="009D4941" w:rsidRDefault="0056519B"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9B" w:rsidRDefault="0056519B">
      <w:r>
        <w:separator/>
      </w:r>
    </w:p>
  </w:footnote>
  <w:footnote w:type="continuationSeparator" w:id="0">
    <w:p w:rsidR="0056519B" w:rsidRDefault="0056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9B" w:rsidRPr="00580107" w:rsidRDefault="0056519B"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1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4F52"/>
    <w:rsid w:val="003752F0"/>
    <w:rsid w:val="00375B2A"/>
    <w:rsid w:val="00375B9D"/>
    <w:rsid w:val="00375E3A"/>
    <w:rsid w:val="003767D6"/>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2BCF-D559-42E8-B4DB-18818687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11</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16607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114</cp:revision>
  <cp:lastPrinted>2018-05-10T14:25:00Z</cp:lastPrinted>
  <dcterms:created xsi:type="dcterms:W3CDTF">2018-02-12T09:48:00Z</dcterms:created>
  <dcterms:modified xsi:type="dcterms:W3CDTF">2018-05-10T14:25:00Z</dcterms:modified>
</cp:coreProperties>
</file>