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5B3A02"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5B3A02" w:rsidTr="00215F63">
        <w:tc>
          <w:tcPr>
            <w:tcW w:w="1507" w:type="dxa"/>
            <w:tcBorders>
              <w:top w:val="nil"/>
              <w:left w:val="single" w:sz="8" w:space="0" w:color="333333"/>
              <w:bottom w:val="nil"/>
            </w:tcBorders>
            <w:shd w:val="clear" w:color="auto" w:fill="4C4C4C"/>
            <w:vAlign w:val="center"/>
          </w:tcPr>
          <w:p w:rsidR="00BF6D6B" w:rsidRPr="00F462DE" w:rsidRDefault="00BF6D6B" w:rsidP="00487DA3">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0F7232">
              <w:rPr>
                <w:rStyle w:val="Foot"/>
                <w:rFonts w:ascii="Arial" w:hAnsi="Arial" w:cs="Arial"/>
                <w:b/>
                <w:bCs/>
                <w:color w:val="FFFFFF"/>
                <w:sz w:val="28"/>
                <w:szCs w:val="28"/>
                <w:lang w:val="fr-FR"/>
              </w:rPr>
              <w:t>3</w:t>
            </w:r>
            <w:r w:rsidR="00487DA3">
              <w:rPr>
                <w:rStyle w:val="Foot"/>
                <w:rFonts w:ascii="Arial" w:hAnsi="Arial" w:cs="Arial"/>
                <w:b/>
                <w:bCs/>
                <w:color w:val="FFFFFF"/>
                <w:sz w:val="28"/>
                <w:szCs w:val="28"/>
                <w:lang w:val="fr-FR"/>
              </w:rPr>
              <w:t>8</w:t>
            </w:r>
          </w:p>
        </w:tc>
        <w:tc>
          <w:tcPr>
            <w:tcW w:w="1359" w:type="dxa"/>
            <w:tcBorders>
              <w:top w:val="nil"/>
              <w:bottom w:val="nil"/>
            </w:tcBorders>
            <w:shd w:val="clear" w:color="auto" w:fill="A6A6A6"/>
            <w:vAlign w:val="center"/>
          </w:tcPr>
          <w:p w:rsidR="00BF6D6B" w:rsidRPr="004E21DC" w:rsidRDefault="00BF6D6B" w:rsidP="003D6700">
            <w:pPr>
              <w:framePr w:hSpace="181" w:wrap="around" w:vAnchor="text" w:hAnchor="margin" w:xAlign="center" w:y="1"/>
              <w:jc w:val="left"/>
              <w:rPr>
                <w:rFonts w:ascii="Arial" w:hAnsi="Arial" w:cs="Arial"/>
                <w:color w:val="FFFFFF"/>
                <w:lang w:val="fr-FR"/>
              </w:rPr>
            </w:pPr>
            <w:r>
              <w:rPr>
                <w:color w:val="FFFFFF"/>
                <w:lang w:val="fr-FR"/>
              </w:rPr>
              <w:t>1</w:t>
            </w:r>
            <w:r w:rsidR="00173531">
              <w:rPr>
                <w:color w:val="FFFFFF"/>
                <w:lang w:val="fr-FR"/>
              </w:rPr>
              <w:t>5</w:t>
            </w:r>
            <w:proofErr w:type="gramStart"/>
            <w:r>
              <w:rPr>
                <w:color w:val="FFFFFF"/>
                <w:lang w:val="fr-FR"/>
              </w:rPr>
              <w:t>.</w:t>
            </w:r>
            <w:r w:rsidR="009C2549">
              <w:rPr>
                <w:color w:val="FFFFFF"/>
                <w:lang w:val="fr-FR"/>
              </w:rPr>
              <w:t>X</w:t>
            </w:r>
            <w:r w:rsidR="003D6700">
              <w:rPr>
                <w:color w:val="FFFFFF"/>
                <w:lang w:val="fr-FR"/>
              </w:rPr>
              <w:t>I</w:t>
            </w:r>
            <w:r w:rsidR="00603B37">
              <w:rPr>
                <w:color w:val="FFFFFF"/>
                <w:lang w:val="fr-FR"/>
              </w:rPr>
              <w:t>I</w:t>
            </w:r>
            <w:r>
              <w:rPr>
                <w:color w:val="FFFFFF"/>
                <w:lang w:val="fr-FR"/>
              </w:rPr>
              <w:t>.</w:t>
            </w:r>
            <w:r w:rsidRPr="004E21DC">
              <w:rPr>
                <w:color w:val="FFFFFF"/>
                <w:lang w:val="fr-FR"/>
              </w:rPr>
              <w:t>201</w:t>
            </w:r>
            <w:r w:rsidR="006A77CB">
              <w:rPr>
                <w:color w:val="FFFFFF"/>
                <w:lang w:val="fr-FR"/>
              </w:rPr>
              <w:t>7</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173531">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3D6700">
              <w:rPr>
                <w:color w:val="FFFFFF"/>
                <w:lang w:val="fr-FR"/>
              </w:rPr>
              <w:t>1</w:t>
            </w:r>
            <w:r w:rsidR="00CE3D7C">
              <w:rPr>
                <w:color w:val="FFFFFF"/>
                <w:lang w:val="fr-FR"/>
              </w:rPr>
              <w:t xml:space="preserve"> </w:t>
            </w:r>
            <w:proofErr w:type="spellStart"/>
            <w:r w:rsidR="00173531">
              <w:rPr>
                <w:color w:val="FFFFFF"/>
                <w:lang w:val="fr-FR"/>
              </w:rPr>
              <w:t>déciembre</w:t>
            </w:r>
            <w:proofErr w:type="spellEnd"/>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EA7D82"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1" w:name="_Toc419901105"/>
            <w:bookmarkStart w:id="2" w:name="_Toc423525449"/>
            <w:bookmarkStart w:id="3" w:name="_Toc424821404"/>
            <w:bookmarkStart w:id="4" w:name="_Toc429043947"/>
            <w:bookmarkStart w:id="5" w:name="_Toc430351609"/>
            <w:bookmarkStart w:id="6" w:name="_Toc435101735"/>
            <w:bookmarkStart w:id="7" w:name="_Toc436994413"/>
            <w:bookmarkStart w:id="8" w:name="_Toc437951325"/>
            <w:bookmarkStart w:id="9" w:name="_Toc439770080"/>
            <w:bookmarkStart w:id="10" w:name="_Toc442697164"/>
            <w:bookmarkStart w:id="11" w:name="_Toc443314394"/>
            <w:bookmarkStart w:id="12" w:name="_Toc451159939"/>
            <w:bookmarkStart w:id="13" w:name="_Toc452042281"/>
            <w:bookmarkStart w:id="14" w:name="_Toc453246381"/>
            <w:bookmarkStart w:id="15" w:name="_Toc455568904"/>
            <w:bookmarkStart w:id="16" w:name="_Toc458763330"/>
            <w:bookmarkStart w:id="17" w:name="_Toc461613918"/>
            <w:bookmarkStart w:id="18" w:name="_Toc464028551"/>
            <w:bookmarkStart w:id="19" w:name="_Toc466292710"/>
            <w:bookmarkStart w:id="20" w:name="_Toc467229207"/>
            <w:bookmarkStart w:id="21" w:name="_Toc468199507"/>
            <w:bookmarkStart w:id="22" w:name="_Toc469058076"/>
            <w:bookmarkStart w:id="23" w:name="_Toc472413644"/>
            <w:bookmarkStart w:id="24" w:name="_Toc473107255"/>
            <w:bookmarkStart w:id="25" w:name="_Toc474850426"/>
            <w:bookmarkStart w:id="26" w:name="_Toc476061804"/>
            <w:bookmarkStart w:id="27" w:name="_Toc477355857"/>
            <w:bookmarkStart w:id="28" w:name="_Toc478045193"/>
            <w:bookmarkStart w:id="29" w:name="_Toc479170883"/>
            <w:bookmarkStart w:id="30" w:name="_Toc481736911"/>
            <w:bookmarkStart w:id="31" w:name="_Toc483991757"/>
            <w:bookmarkStart w:id="32" w:name="_Toc484612679"/>
            <w:bookmarkStart w:id="33" w:name="_Toc486861814"/>
            <w:bookmarkStart w:id="34" w:name="_Toc489604238"/>
            <w:bookmarkStart w:id="35" w:name="_Toc490733845"/>
            <w:bookmarkStart w:id="36" w:name="_Toc492473911"/>
            <w:bookmarkStart w:id="37" w:name="_Toc493239105"/>
            <w:bookmarkStart w:id="38" w:name="_Toc494706558"/>
            <w:bookmarkStart w:id="39" w:name="_Toc496867146"/>
            <w:bookmarkStart w:id="40" w:name="_Toc497466139"/>
            <w:bookmarkStart w:id="41" w:name="_Toc498510151"/>
            <w:bookmarkStart w:id="42" w:name="_Toc499892913"/>
            <w:bookmarkStart w:id="43" w:name="_Toc500928319"/>
            <w:bookmarkStart w:id="44" w:name="_Toc503278431"/>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45" w:name="_Toc419901106"/>
            <w:bookmarkStart w:id="46" w:name="_Toc423525450"/>
            <w:bookmarkStart w:id="47" w:name="_Toc424821405"/>
            <w:bookmarkStart w:id="48" w:name="_Toc429043948"/>
            <w:bookmarkStart w:id="49" w:name="_Toc430351610"/>
            <w:bookmarkStart w:id="50" w:name="_Toc435101736"/>
            <w:bookmarkStart w:id="51" w:name="_Toc436994414"/>
            <w:bookmarkStart w:id="52" w:name="_Toc437951326"/>
            <w:bookmarkStart w:id="53" w:name="_Toc439770081"/>
            <w:bookmarkStart w:id="54" w:name="_Toc442697165"/>
            <w:bookmarkStart w:id="55" w:name="_Toc443314395"/>
            <w:bookmarkStart w:id="56" w:name="_Toc451159940"/>
            <w:bookmarkStart w:id="57" w:name="_Toc452042282"/>
            <w:bookmarkStart w:id="58" w:name="_Toc453246382"/>
            <w:bookmarkStart w:id="59" w:name="_Toc455568905"/>
            <w:bookmarkStart w:id="60" w:name="_Toc458763331"/>
            <w:bookmarkStart w:id="61" w:name="_Toc461613919"/>
            <w:bookmarkStart w:id="62" w:name="_Toc464028552"/>
            <w:bookmarkStart w:id="63" w:name="_Toc466292711"/>
            <w:bookmarkStart w:id="64" w:name="_Toc467229208"/>
            <w:bookmarkStart w:id="65" w:name="_Toc468199508"/>
            <w:bookmarkStart w:id="66" w:name="_Toc469058077"/>
            <w:bookmarkStart w:id="67" w:name="_Toc472413645"/>
            <w:bookmarkStart w:id="68" w:name="_Toc473107256"/>
            <w:bookmarkStart w:id="69" w:name="_Toc474850427"/>
            <w:bookmarkStart w:id="70" w:name="_Toc476061805"/>
            <w:bookmarkStart w:id="71" w:name="_Toc477355858"/>
            <w:bookmarkStart w:id="72" w:name="_Toc478045194"/>
            <w:bookmarkStart w:id="73" w:name="_Toc479170884"/>
            <w:bookmarkStart w:id="74" w:name="_Toc481736912"/>
            <w:bookmarkStart w:id="75" w:name="_Toc483991758"/>
            <w:bookmarkStart w:id="76" w:name="_Toc484612680"/>
            <w:bookmarkStart w:id="77" w:name="_Toc486861815"/>
            <w:bookmarkStart w:id="78" w:name="_Toc489604239"/>
            <w:bookmarkStart w:id="79" w:name="_Toc490733846"/>
            <w:bookmarkStart w:id="80" w:name="_Toc492473912"/>
            <w:bookmarkStart w:id="81" w:name="_Toc493239106"/>
            <w:bookmarkStart w:id="82" w:name="_Toc494706559"/>
            <w:bookmarkStart w:id="83" w:name="_Toc496867147"/>
            <w:bookmarkStart w:id="84" w:name="_Toc497466140"/>
            <w:bookmarkStart w:id="85" w:name="_Toc498510152"/>
            <w:bookmarkStart w:id="86" w:name="_Toc499892914"/>
            <w:bookmarkStart w:id="87" w:name="_Toc500928320"/>
            <w:bookmarkStart w:id="88" w:name="_Toc503278432"/>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89" w:name="_Toc419901107"/>
            <w:bookmarkStart w:id="90" w:name="_Toc423525451"/>
            <w:bookmarkStart w:id="91" w:name="_Toc424821406"/>
            <w:bookmarkStart w:id="92" w:name="_Toc429043949"/>
            <w:bookmarkStart w:id="93" w:name="_Toc430351611"/>
            <w:bookmarkStart w:id="94" w:name="_Toc435101737"/>
            <w:bookmarkStart w:id="95" w:name="_Toc436994415"/>
            <w:bookmarkStart w:id="96" w:name="_Toc437951327"/>
            <w:bookmarkStart w:id="97" w:name="_Toc439770082"/>
            <w:bookmarkStart w:id="98" w:name="_Toc442697166"/>
            <w:bookmarkStart w:id="99" w:name="_Toc443314396"/>
            <w:bookmarkStart w:id="100" w:name="_Toc451159941"/>
            <w:bookmarkStart w:id="101" w:name="_Toc452042283"/>
            <w:bookmarkStart w:id="102" w:name="_Toc453246383"/>
            <w:bookmarkStart w:id="103" w:name="_Toc455568906"/>
            <w:bookmarkStart w:id="104" w:name="_Toc458763332"/>
            <w:bookmarkStart w:id="105" w:name="_Toc461613920"/>
            <w:bookmarkStart w:id="106" w:name="_Toc464028553"/>
            <w:bookmarkStart w:id="107" w:name="_Toc466292712"/>
            <w:bookmarkStart w:id="108" w:name="_Toc467229209"/>
            <w:bookmarkStart w:id="109" w:name="_Toc468199509"/>
            <w:bookmarkStart w:id="110" w:name="_Toc469058078"/>
            <w:bookmarkStart w:id="111" w:name="_Toc472413646"/>
            <w:bookmarkStart w:id="112" w:name="_Toc473107257"/>
            <w:bookmarkStart w:id="113" w:name="_Toc474850428"/>
            <w:bookmarkStart w:id="114" w:name="_Toc476061806"/>
            <w:bookmarkStart w:id="115" w:name="_Toc477355859"/>
            <w:bookmarkStart w:id="116" w:name="_Toc478045195"/>
            <w:bookmarkStart w:id="117" w:name="_Toc479170885"/>
            <w:bookmarkStart w:id="118" w:name="_Toc481736913"/>
            <w:bookmarkStart w:id="119" w:name="_Toc483991759"/>
            <w:bookmarkStart w:id="120" w:name="_Toc484612681"/>
            <w:bookmarkStart w:id="121" w:name="_Toc486861816"/>
            <w:bookmarkStart w:id="122" w:name="_Toc489604240"/>
            <w:bookmarkStart w:id="123" w:name="_Toc490733847"/>
            <w:bookmarkStart w:id="124" w:name="_Toc492473913"/>
            <w:bookmarkStart w:id="125" w:name="_Toc493239107"/>
            <w:bookmarkStart w:id="126" w:name="_Toc494706560"/>
            <w:bookmarkStart w:id="127" w:name="_Toc496867148"/>
            <w:bookmarkStart w:id="128" w:name="_Toc497466141"/>
            <w:bookmarkStart w:id="129" w:name="_Toc498510153"/>
            <w:bookmarkStart w:id="130" w:name="_Toc499892915"/>
            <w:bookmarkStart w:id="131" w:name="_Toc500928321"/>
            <w:bookmarkStart w:id="132" w:name="_Toc503278433"/>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33" w:name="_Toc419901108"/>
      <w:bookmarkStart w:id="134" w:name="_Toc423525452"/>
      <w:bookmarkStart w:id="135" w:name="_Toc424821407"/>
      <w:bookmarkStart w:id="136" w:name="_Toc428366200"/>
      <w:bookmarkStart w:id="137" w:name="_Toc429043950"/>
      <w:bookmarkStart w:id="138" w:name="_Toc430351612"/>
      <w:bookmarkStart w:id="139" w:name="_Toc435101738"/>
      <w:bookmarkStart w:id="140" w:name="_Toc436994416"/>
      <w:bookmarkStart w:id="141" w:name="_Toc437951328"/>
      <w:bookmarkStart w:id="142" w:name="_Toc439770083"/>
      <w:bookmarkStart w:id="143" w:name="_Toc442697167"/>
      <w:bookmarkStart w:id="144" w:name="_Toc443314397"/>
      <w:bookmarkStart w:id="145" w:name="_Toc451159942"/>
      <w:bookmarkStart w:id="146" w:name="_Toc452042284"/>
      <w:bookmarkStart w:id="147" w:name="_Toc453246384"/>
      <w:bookmarkStart w:id="148" w:name="_Toc455568907"/>
      <w:bookmarkStart w:id="149" w:name="_Toc458763333"/>
      <w:bookmarkStart w:id="150" w:name="_Toc461613921"/>
      <w:bookmarkStart w:id="151" w:name="_Toc464028554"/>
      <w:bookmarkStart w:id="152" w:name="_Toc466292713"/>
      <w:bookmarkStart w:id="153" w:name="_Toc467229210"/>
      <w:bookmarkStart w:id="154" w:name="_Toc468199510"/>
      <w:bookmarkStart w:id="155" w:name="_Toc469058079"/>
      <w:bookmarkStart w:id="156" w:name="_Toc472413647"/>
      <w:bookmarkStart w:id="157" w:name="_Toc473107258"/>
      <w:bookmarkStart w:id="158" w:name="_Toc474850429"/>
      <w:bookmarkStart w:id="159" w:name="_Toc476061807"/>
      <w:bookmarkStart w:id="160" w:name="_Toc477355860"/>
      <w:bookmarkStart w:id="161" w:name="_Toc478045196"/>
      <w:bookmarkStart w:id="162" w:name="_Toc479170886"/>
      <w:bookmarkStart w:id="163" w:name="_Toc481736914"/>
      <w:bookmarkStart w:id="164" w:name="_Toc483991760"/>
      <w:bookmarkStart w:id="165" w:name="_Toc484612682"/>
      <w:bookmarkStart w:id="166" w:name="_Toc486861817"/>
      <w:bookmarkStart w:id="167" w:name="_Toc489604241"/>
      <w:bookmarkStart w:id="168" w:name="_Toc490733848"/>
      <w:bookmarkStart w:id="169" w:name="_Toc492473914"/>
      <w:bookmarkStart w:id="170" w:name="_Toc493239108"/>
      <w:bookmarkStart w:id="171" w:name="_Toc494706561"/>
      <w:bookmarkStart w:id="172" w:name="_Toc496867149"/>
      <w:bookmarkStart w:id="173" w:name="_Toc497466142"/>
      <w:bookmarkStart w:id="174" w:name="_Toc498510154"/>
      <w:bookmarkStart w:id="175" w:name="_Toc499892916"/>
      <w:bookmarkStart w:id="176" w:name="_Toc500928322"/>
      <w:bookmarkStart w:id="177" w:name="_Toc503278434"/>
      <w:r w:rsidRPr="00A61AFB">
        <w:rPr>
          <w:lang w:val="fr-FR"/>
        </w:rPr>
        <w:t>Table des matières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Default="003A7EEF" w:rsidP="00FE0CC2">
      <w:pPr>
        <w:pStyle w:val="TOC1"/>
        <w:tabs>
          <w:tab w:val="clear" w:pos="567"/>
          <w:tab w:val="center" w:leader="dot" w:pos="8505"/>
        </w:tabs>
        <w:rPr>
          <w:webHidden/>
        </w:rPr>
      </w:pPr>
      <w:r w:rsidRPr="00DD63D7">
        <w:t>Listes annexée</w:t>
      </w:r>
      <w:r w:rsidR="00633917">
        <w:t>s</w:t>
      </w:r>
      <w:r w:rsidR="00226D1F">
        <w:t xml:space="preserve"> </w:t>
      </w:r>
      <w:r w:rsidR="00C444C7">
        <w:t>a</w:t>
      </w:r>
      <w:r w:rsidRPr="00DD63D7">
        <w:t>u</w:t>
      </w:r>
      <w:r w:rsidR="00B87DEB" w:rsidRPr="00DD63D7">
        <w:t xml:space="preserve"> </w:t>
      </w:r>
      <w:r w:rsidRPr="00DD63D7">
        <w:t>Bulletin d'exploitation d</w:t>
      </w:r>
      <w:r w:rsidR="00CE2D79">
        <w:t>e</w:t>
      </w:r>
      <w:r w:rsidRPr="00DD63D7">
        <w:t xml:space="preserve"> l'UIT</w:t>
      </w:r>
      <w:r w:rsidR="00C34802" w:rsidRPr="00DD63D7">
        <w:t xml:space="preserve">: </w:t>
      </w:r>
      <w:r w:rsidR="00C34802" w:rsidRPr="001A22F1">
        <w:rPr>
          <w:i/>
          <w:iCs/>
        </w:rPr>
        <w:t>Note du TSB</w:t>
      </w:r>
      <w:r w:rsidRPr="00DD63D7">
        <w:rPr>
          <w:webHidden/>
        </w:rPr>
        <w:tab/>
      </w:r>
      <w:r w:rsidR="00BA2A9E" w:rsidRPr="00DD63D7">
        <w:rPr>
          <w:webHidden/>
        </w:rPr>
        <w:tab/>
      </w:r>
      <w:r w:rsidR="00634723">
        <w:rPr>
          <w:webHidden/>
        </w:rPr>
        <w:t>3</w:t>
      </w:r>
    </w:p>
    <w:p w:rsidR="0030594B" w:rsidRDefault="0030594B" w:rsidP="00634723">
      <w:pPr>
        <w:pStyle w:val="TOC1"/>
        <w:tabs>
          <w:tab w:val="clear" w:pos="567"/>
          <w:tab w:val="center" w:leader="dot" w:pos="8505"/>
        </w:tabs>
        <w:rPr>
          <w:rFonts w:eastAsiaTheme="minorEastAsia"/>
        </w:rPr>
      </w:pPr>
      <w:r>
        <w:rPr>
          <w:rFonts w:eastAsiaTheme="minorEastAsia"/>
        </w:rPr>
        <w:t xml:space="preserve">Approbation de </w:t>
      </w:r>
      <w:r w:rsidRPr="0030594B">
        <w:t>Recommandations</w:t>
      </w:r>
      <w:r>
        <w:rPr>
          <w:rFonts w:eastAsiaTheme="minorEastAsia"/>
        </w:rPr>
        <w:t xml:space="preserve"> UIT-T</w:t>
      </w:r>
      <w:r>
        <w:rPr>
          <w:rFonts w:eastAsiaTheme="minorEastAsia"/>
        </w:rPr>
        <w:tab/>
      </w:r>
      <w:r>
        <w:rPr>
          <w:rFonts w:eastAsiaTheme="minorEastAsia"/>
        </w:rPr>
        <w:tab/>
      </w:r>
      <w:r w:rsidR="00634723">
        <w:rPr>
          <w:rFonts w:eastAsiaTheme="minorEastAsia"/>
        </w:rPr>
        <w:t>4</w:t>
      </w:r>
    </w:p>
    <w:p w:rsidR="005D39F3" w:rsidRPr="005D39F3" w:rsidRDefault="005D39F3" w:rsidP="005D39F3">
      <w:pPr>
        <w:pStyle w:val="TOC1"/>
        <w:tabs>
          <w:tab w:val="clear" w:pos="567"/>
          <w:tab w:val="center" w:leader="dot" w:pos="8505"/>
        </w:tabs>
        <w:rPr>
          <w:rFonts w:eastAsiaTheme="minorEastAsia"/>
          <w:lang w:val="en-US"/>
        </w:rPr>
      </w:pPr>
      <w:r w:rsidRPr="005D39F3">
        <w:rPr>
          <w:lang w:val="en-US"/>
        </w:rPr>
        <w:t>Service téléphonique:</w:t>
      </w:r>
    </w:p>
    <w:p w:rsidR="005D39F3" w:rsidRPr="005D39F3" w:rsidRDefault="005D39F3" w:rsidP="00A56F51">
      <w:pPr>
        <w:pStyle w:val="TOC2"/>
        <w:rPr>
          <w:rFonts w:eastAsiaTheme="minorEastAsia"/>
        </w:rPr>
      </w:pPr>
      <w:proofErr w:type="spellStart"/>
      <w:r w:rsidRPr="005D39F3">
        <w:rPr>
          <w:i/>
          <w:iCs/>
          <w:lang w:val="en-US"/>
        </w:rPr>
        <w:t>Trinité</w:t>
      </w:r>
      <w:proofErr w:type="spellEnd"/>
      <w:r w:rsidRPr="005D39F3">
        <w:rPr>
          <w:i/>
          <w:iCs/>
          <w:lang w:val="en-US"/>
        </w:rPr>
        <w:t xml:space="preserve">-et-Tobago (Telecommunications Authority of Trinidad and Tobago (TATT), </w:t>
      </w:r>
      <w:proofErr w:type="spellStart"/>
      <w:r w:rsidRPr="005D39F3">
        <w:rPr>
          <w:i/>
          <w:iCs/>
          <w:lang w:val="en-US"/>
        </w:rPr>
        <w:t>Barataria</w:t>
      </w:r>
      <w:proofErr w:type="spellEnd"/>
      <w:r w:rsidRPr="005D39F3">
        <w:rPr>
          <w:i/>
          <w:iCs/>
          <w:lang w:val="en-US"/>
        </w:rPr>
        <w:t>)</w:t>
      </w:r>
      <w:r w:rsidRPr="005D39F3">
        <w:rPr>
          <w:webHidden/>
          <w:lang w:val="en-US"/>
        </w:rPr>
        <w:tab/>
      </w:r>
      <w:r>
        <w:rPr>
          <w:webHidden/>
          <w:lang w:val="en-US"/>
        </w:rPr>
        <w:tab/>
      </w:r>
      <w:r w:rsidR="00A56F51">
        <w:rPr>
          <w:webHidden/>
          <w:lang w:val="en-US"/>
        </w:rPr>
        <w:t>5</w:t>
      </w:r>
    </w:p>
    <w:p w:rsidR="00173531" w:rsidRDefault="005D39F3" w:rsidP="00173531">
      <w:pPr>
        <w:pStyle w:val="TOC1"/>
        <w:tabs>
          <w:tab w:val="clear" w:pos="567"/>
          <w:tab w:val="center" w:leader="dot" w:pos="8505"/>
        </w:tabs>
        <w:rPr>
          <w:rFonts w:eastAsiaTheme="minorEastAsia"/>
        </w:rPr>
      </w:pPr>
      <w:r w:rsidRPr="005D39F3">
        <w:rPr>
          <w:lang w:val="fr-CH"/>
        </w:rPr>
        <w:t>Autre</w:t>
      </w:r>
      <w:r w:rsidR="00C47BF6">
        <w:rPr>
          <w:lang w:val="fr-CH"/>
        </w:rPr>
        <w:t>s</w:t>
      </w:r>
      <w:r w:rsidRPr="005D39F3">
        <w:rPr>
          <w:lang w:val="fr-CH"/>
        </w:rPr>
        <w:t xml:space="preserve"> </w:t>
      </w:r>
      <w:r w:rsidRPr="00A56F51">
        <w:rPr>
          <w:lang w:val="fr-CH"/>
        </w:rPr>
        <w:t>communication</w:t>
      </w:r>
      <w:r w:rsidR="00C47BF6">
        <w:rPr>
          <w:lang w:val="fr-CH"/>
        </w:rPr>
        <w:t>s</w:t>
      </w:r>
      <w:r>
        <w:rPr>
          <w:rFonts w:eastAsiaTheme="minorEastAsia"/>
        </w:rPr>
        <w:t>:</w:t>
      </w:r>
    </w:p>
    <w:p w:rsidR="00173531" w:rsidRPr="00A56F51" w:rsidRDefault="00173531" w:rsidP="00173531">
      <w:pPr>
        <w:pStyle w:val="TOC2"/>
        <w:ind w:left="8505" w:hanging="8221"/>
        <w:rPr>
          <w:i/>
          <w:iCs/>
          <w:lang w:val="fr-CH"/>
        </w:rPr>
      </w:pPr>
      <w:r w:rsidRPr="00A56F51">
        <w:rPr>
          <w:i/>
          <w:iCs/>
          <w:lang w:val="fr-CH"/>
        </w:rPr>
        <w:t>Allemagne</w:t>
      </w:r>
      <w:r w:rsidRPr="00A56F51">
        <w:rPr>
          <w:i/>
          <w:iCs/>
          <w:lang w:val="fr-CH"/>
        </w:rPr>
        <w:tab/>
      </w:r>
      <w:r w:rsidRPr="00A56F51">
        <w:rPr>
          <w:i/>
          <w:iCs/>
          <w:lang w:val="fr-CH"/>
        </w:rPr>
        <w:tab/>
      </w:r>
      <w:r w:rsidRPr="00A56F51">
        <w:rPr>
          <w:lang w:val="fr-CH"/>
        </w:rPr>
        <w:t>6</w:t>
      </w:r>
    </w:p>
    <w:p w:rsidR="005D39F3" w:rsidRPr="005D39F3" w:rsidRDefault="005D39F3" w:rsidP="00173531">
      <w:pPr>
        <w:pStyle w:val="TOC2"/>
        <w:ind w:left="8505" w:hanging="8221"/>
        <w:rPr>
          <w:rFonts w:eastAsiaTheme="minorEastAsia"/>
          <w:lang w:val="fr-CH"/>
        </w:rPr>
      </w:pPr>
      <w:r w:rsidRPr="00A56F51">
        <w:rPr>
          <w:i/>
          <w:iCs/>
          <w:lang w:val="fr-CH"/>
        </w:rPr>
        <w:t>Serbie</w:t>
      </w:r>
      <w:r w:rsidRPr="005D39F3">
        <w:rPr>
          <w:webHidden/>
          <w:lang w:val="fr-CH"/>
        </w:rPr>
        <w:tab/>
      </w:r>
      <w:r>
        <w:rPr>
          <w:webHidden/>
          <w:lang w:val="fr-CH"/>
        </w:rPr>
        <w:tab/>
      </w:r>
      <w:r w:rsidRPr="005D39F3">
        <w:rPr>
          <w:webHidden/>
          <w:lang w:val="fr-CH"/>
        </w:rPr>
        <w:t>6</w:t>
      </w:r>
    </w:p>
    <w:p w:rsidR="005D39F3" w:rsidRPr="005D39F3" w:rsidRDefault="005D39F3" w:rsidP="005D39F3">
      <w:pPr>
        <w:pStyle w:val="TOC1"/>
        <w:tabs>
          <w:tab w:val="clear" w:pos="567"/>
          <w:tab w:val="center" w:leader="dot" w:pos="8505"/>
        </w:tabs>
        <w:rPr>
          <w:rFonts w:eastAsiaTheme="minorEastAsia"/>
          <w:lang w:val="fr-CH"/>
        </w:rPr>
      </w:pPr>
      <w:r w:rsidRPr="005D39F3">
        <w:rPr>
          <w:rFonts w:eastAsiaTheme="minorEastAsia"/>
        </w:rPr>
        <w:t>Changements</w:t>
      </w:r>
      <w:r w:rsidRPr="005D39F3">
        <w:rPr>
          <w:lang w:val="fr-CH"/>
        </w:rPr>
        <w:t xml:space="preserve"> dans les Administrations/ER et autres entités ou Organisations</w:t>
      </w:r>
      <w:r>
        <w:rPr>
          <w:lang w:val="fr-CH"/>
        </w:rPr>
        <w:t>:</w:t>
      </w:r>
    </w:p>
    <w:p w:rsidR="005D39F3" w:rsidRPr="005D39F3" w:rsidRDefault="005D39F3" w:rsidP="00A56F51">
      <w:pPr>
        <w:pStyle w:val="TOC2"/>
        <w:rPr>
          <w:rFonts w:eastAsiaTheme="minorEastAsia"/>
          <w:lang w:val="fr-CH"/>
        </w:rPr>
      </w:pPr>
      <w:r w:rsidRPr="005D39F3">
        <w:rPr>
          <w:lang w:val="fr-FR"/>
        </w:rPr>
        <w:t>Malte</w:t>
      </w:r>
      <w:r>
        <w:rPr>
          <w:lang w:val="fr-FR"/>
        </w:rPr>
        <w:t xml:space="preserve"> </w:t>
      </w:r>
      <w:r w:rsidR="00173531">
        <w:rPr>
          <w:lang w:val="fr-FR"/>
        </w:rPr>
        <w:t>(</w:t>
      </w:r>
      <w:r w:rsidR="00173531" w:rsidRPr="00C66425">
        <w:rPr>
          <w:i/>
          <w:iCs/>
          <w:lang w:val="fr-FR" w:bidi="he-IL"/>
        </w:rPr>
        <w:t xml:space="preserve">Malta Communications </w:t>
      </w:r>
      <w:proofErr w:type="spellStart"/>
      <w:r w:rsidR="00173531" w:rsidRPr="00C66425">
        <w:rPr>
          <w:i/>
          <w:iCs/>
          <w:lang w:val="fr-FR" w:bidi="he-IL"/>
        </w:rPr>
        <w:t>Authority</w:t>
      </w:r>
      <w:proofErr w:type="spellEnd"/>
      <w:r w:rsidR="00173531" w:rsidRPr="00C66425">
        <w:rPr>
          <w:i/>
          <w:iCs/>
          <w:lang w:val="fr-FR" w:bidi="he-IL"/>
        </w:rPr>
        <w:t xml:space="preserve"> (MCA)</w:t>
      </w:r>
      <w:r w:rsidR="00173531" w:rsidRPr="00C66425">
        <w:rPr>
          <w:lang w:val="fr-FR" w:bidi="he-IL"/>
        </w:rPr>
        <w:t xml:space="preserve">, </w:t>
      </w:r>
      <w:proofErr w:type="spellStart"/>
      <w:r w:rsidR="00173531" w:rsidRPr="00173531">
        <w:rPr>
          <w:rFonts w:cs="Arial"/>
          <w:bCs/>
          <w:i/>
          <w:iCs/>
          <w:lang w:val="fr-FR"/>
        </w:rPr>
        <w:t>Floriana</w:t>
      </w:r>
      <w:proofErr w:type="spellEnd"/>
      <w:proofErr w:type="gramStart"/>
      <w:r w:rsidR="00173531" w:rsidRPr="00173531">
        <w:rPr>
          <w:rFonts w:cs="Arial"/>
          <w:bCs/>
          <w:i/>
          <w:iCs/>
          <w:lang w:val="fr-FR"/>
        </w:rPr>
        <w:t>):</w:t>
      </w:r>
      <w:proofErr w:type="gramEnd"/>
      <w:r w:rsidR="00173531">
        <w:rPr>
          <w:rFonts w:cs="Arial"/>
          <w:bCs/>
          <w:i/>
          <w:iCs/>
          <w:lang w:val="fr-FR"/>
        </w:rPr>
        <w:t xml:space="preserve"> </w:t>
      </w:r>
      <w:r w:rsidRPr="00173531">
        <w:rPr>
          <w:i/>
          <w:iCs/>
          <w:lang w:val="fr-FR"/>
        </w:rPr>
        <w:t>Attribution du statut d’exploitation</w:t>
      </w:r>
      <w:r w:rsidR="00173531">
        <w:rPr>
          <w:i/>
          <w:iCs/>
          <w:lang w:val="fr-FR"/>
        </w:rPr>
        <w:br/>
      </w:r>
      <w:r w:rsidRPr="00173531">
        <w:rPr>
          <w:i/>
          <w:iCs/>
          <w:lang w:val="fr-FR"/>
        </w:rPr>
        <w:t>reconnue (ER)</w:t>
      </w:r>
      <w:r w:rsidRPr="00173531">
        <w:rPr>
          <w:i/>
          <w:iCs/>
          <w:webHidden/>
          <w:lang w:val="fr-CH"/>
        </w:rPr>
        <w:tab/>
      </w:r>
      <w:r>
        <w:rPr>
          <w:webHidden/>
          <w:lang w:val="fr-CH"/>
        </w:rPr>
        <w:tab/>
      </w:r>
      <w:r w:rsidRPr="005D39F3">
        <w:rPr>
          <w:webHidden/>
          <w:lang w:val="fr-CH"/>
        </w:rPr>
        <w:t>7</w:t>
      </w:r>
    </w:p>
    <w:p w:rsidR="005D39F3" w:rsidRPr="005D39F3" w:rsidRDefault="005D39F3" w:rsidP="005D39F3">
      <w:pPr>
        <w:pStyle w:val="TOC1"/>
        <w:tabs>
          <w:tab w:val="clear" w:pos="567"/>
          <w:tab w:val="center" w:leader="dot" w:pos="8505"/>
        </w:tabs>
        <w:rPr>
          <w:rFonts w:eastAsiaTheme="minorEastAsia"/>
          <w:lang w:val="fr-CH"/>
        </w:rPr>
      </w:pPr>
      <w:r w:rsidRPr="005D39F3">
        <w:rPr>
          <w:rFonts w:eastAsiaTheme="minorEastAsia"/>
        </w:rPr>
        <w:t>Restrictions</w:t>
      </w:r>
      <w:r w:rsidRPr="005D39F3">
        <w:rPr>
          <w:lang w:val="fr-CH"/>
        </w:rPr>
        <w:t xml:space="preserve"> de service</w:t>
      </w:r>
      <w:r w:rsidRPr="005D39F3">
        <w:rPr>
          <w:webHidden/>
          <w:lang w:val="fr-CH"/>
        </w:rPr>
        <w:tab/>
      </w:r>
      <w:r>
        <w:rPr>
          <w:webHidden/>
          <w:lang w:val="fr-CH"/>
        </w:rPr>
        <w:tab/>
      </w:r>
      <w:r w:rsidRPr="005D39F3">
        <w:rPr>
          <w:webHidden/>
          <w:lang w:val="fr-CH"/>
        </w:rPr>
        <w:t>8</w:t>
      </w:r>
    </w:p>
    <w:p w:rsidR="005D39F3" w:rsidRPr="005D39F3" w:rsidRDefault="005D39F3" w:rsidP="005D39F3">
      <w:pPr>
        <w:pStyle w:val="TOC1"/>
        <w:tabs>
          <w:tab w:val="clear" w:pos="567"/>
          <w:tab w:val="center" w:leader="dot" w:pos="8505"/>
        </w:tabs>
        <w:rPr>
          <w:rFonts w:eastAsiaTheme="minorEastAsia"/>
          <w:lang w:val="fr-CH"/>
        </w:rPr>
      </w:pPr>
      <w:r w:rsidRPr="005D39F3">
        <w:rPr>
          <w:rFonts w:eastAsiaTheme="minorEastAsia"/>
        </w:rPr>
        <w:t>Systèmes</w:t>
      </w:r>
      <w:r w:rsidRPr="005D39F3">
        <w:rPr>
          <w:lang w:val="fr-CH"/>
        </w:rPr>
        <w:t xml:space="preserve"> de rappel (Call-Back) et procédures d'appel alternatives (Rés. 21 Rév. PP-2006)</w:t>
      </w:r>
      <w:r w:rsidRPr="005D39F3">
        <w:rPr>
          <w:webHidden/>
          <w:lang w:val="fr-CH"/>
        </w:rPr>
        <w:tab/>
      </w:r>
      <w:r>
        <w:rPr>
          <w:webHidden/>
          <w:lang w:val="fr-CH"/>
        </w:rPr>
        <w:tab/>
      </w:r>
      <w:r w:rsidRPr="005D39F3">
        <w:rPr>
          <w:webHidden/>
          <w:lang w:val="fr-CH"/>
        </w:rPr>
        <w:t>8</w:t>
      </w:r>
    </w:p>
    <w:p w:rsidR="005D39F3" w:rsidRPr="005D39F3" w:rsidRDefault="005D39F3" w:rsidP="005D39F3">
      <w:pPr>
        <w:pStyle w:val="TOC1"/>
        <w:spacing w:before="240"/>
        <w:rPr>
          <w:b/>
          <w:bCs/>
        </w:rPr>
      </w:pPr>
      <w:r w:rsidRPr="005D39F3">
        <w:rPr>
          <w:b/>
          <w:bCs/>
        </w:rPr>
        <w:t>AMENDEMENTS  AUX  PUBLICATIONS  DE  SERVICE</w:t>
      </w:r>
    </w:p>
    <w:p w:rsidR="005D39F3" w:rsidRPr="005D39F3" w:rsidRDefault="005D39F3" w:rsidP="005D39F3">
      <w:pPr>
        <w:pStyle w:val="TOC1"/>
        <w:tabs>
          <w:tab w:val="clear" w:pos="567"/>
          <w:tab w:val="center" w:leader="dot" w:pos="8505"/>
        </w:tabs>
        <w:rPr>
          <w:rFonts w:eastAsiaTheme="minorEastAsia"/>
          <w:lang w:val="fr-CH"/>
        </w:rPr>
      </w:pPr>
      <w:r w:rsidRPr="005D39F3">
        <w:rPr>
          <w:lang w:val="fr-CH"/>
        </w:rPr>
        <w:t>Nomenclature des stations de navire et des identités du service mobile maritime assignées (Liste V)</w:t>
      </w:r>
      <w:r w:rsidRPr="005D39F3">
        <w:rPr>
          <w:webHidden/>
          <w:lang w:val="fr-CH"/>
        </w:rPr>
        <w:tab/>
      </w:r>
      <w:r>
        <w:rPr>
          <w:webHidden/>
          <w:lang w:val="fr-CH"/>
        </w:rPr>
        <w:tab/>
      </w:r>
      <w:r w:rsidRPr="005D39F3">
        <w:rPr>
          <w:webHidden/>
          <w:lang w:val="fr-CH"/>
        </w:rPr>
        <w:t>9</w:t>
      </w:r>
    </w:p>
    <w:p w:rsidR="005D39F3" w:rsidRPr="005D39F3" w:rsidRDefault="005D39F3" w:rsidP="005D39F3">
      <w:pPr>
        <w:pStyle w:val="TOC1"/>
        <w:tabs>
          <w:tab w:val="clear" w:pos="567"/>
          <w:tab w:val="center" w:leader="dot" w:pos="8505"/>
        </w:tabs>
        <w:rPr>
          <w:rFonts w:eastAsiaTheme="minorEastAsia"/>
          <w:lang w:val="fr-CH"/>
        </w:rPr>
      </w:pPr>
      <w:r w:rsidRPr="005D39F3">
        <w:rPr>
          <w:lang w:val="fr-CH"/>
        </w:rPr>
        <w:t>Codes de réseau mobile (MNC) pour le plan d'identification international pour les réseaux publics et</w:t>
      </w:r>
      <w:r>
        <w:rPr>
          <w:lang w:val="fr-CH"/>
        </w:rPr>
        <w:br/>
      </w:r>
      <w:r w:rsidRPr="005D39F3">
        <w:rPr>
          <w:lang w:val="fr-CH"/>
        </w:rPr>
        <w:t xml:space="preserve">les </w:t>
      </w:r>
      <w:r w:rsidRPr="005D39F3">
        <w:rPr>
          <w:rFonts w:eastAsiaTheme="minorEastAsia"/>
        </w:rPr>
        <w:t>abonnements</w:t>
      </w:r>
      <w:r w:rsidRPr="005D39F3">
        <w:rPr>
          <w:webHidden/>
          <w:lang w:val="fr-CH"/>
        </w:rPr>
        <w:tab/>
      </w:r>
      <w:r>
        <w:rPr>
          <w:webHidden/>
          <w:lang w:val="fr-CH"/>
        </w:rPr>
        <w:tab/>
      </w:r>
      <w:r w:rsidRPr="005D39F3">
        <w:rPr>
          <w:webHidden/>
          <w:lang w:val="fr-CH"/>
        </w:rPr>
        <w:t>10</w:t>
      </w:r>
    </w:p>
    <w:p w:rsidR="005D39F3" w:rsidRPr="005D39F3" w:rsidRDefault="005D39F3" w:rsidP="005D39F3">
      <w:pPr>
        <w:pStyle w:val="TOC1"/>
        <w:tabs>
          <w:tab w:val="clear" w:pos="567"/>
          <w:tab w:val="center" w:leader="dot" w:pos="8505"/>
        </w:tabs>
        <w:rPr>
          <w:rFonts w:eastAsiaTheme="minorEastAsia"/>
          <w:lang w:val="fr-CH"/>
        </w:rPr>
      </w:pPr>
      <w:r w:rsidRPr="005D39F3">
        <w:rPr>
          <w:lang w:val="fr-CH"/>
        </w:rPr>
        <w:t>Liste des codes de points sémaphores internationaux (ISPC)</w:t>
      </w:r>
      <w:r w:rsidRPr="005D39F3">
        <w:rPr>
          <w:webHidden/>
          <w:lang w:val="fr-CH"/>
        </w:rPr>
        <w:tab/>
      </w:r>
      <w:r>
        <w:rPr>
          <w:webHidden/>
          <w:lang w:val="fr-CH"/>
        </w:rPr>
        <w:tab/>
      </w:r>
      <w:r w:rsidRPr="005D39F3">
        <w:rPr>
          <w:webHidden/>
          <w:lang w:val="fr-CH"/>
        </w:rPr>
        <w:t>11</w:t>
      </w:r>
    </w:p>
    <w:p w:rsidR="005D39F3" w:rsidRPr="005D39F3" w:rsidRDefault="005D39F3" w:rsidP="005D39F3">
      <w:pPr>
        <w:pStyle w:val="TOC1"/>
        <w:tabs>
          <w:tab w:val="clear" w:pos="567"/>
          <w:tab w:val="center" w:leader="dot" w:pos="8505"/>
        </w:tabs>
        <w:rPr>
          <w:rFonts w:eastAsiaTheme="minorEastAsia"/>
          <w:lang w:val="fr-CH"/>
        </w:rPr>
      </w:pPr>
      <w:r w:rsidRPr="005D39F3">
        <w:rPr>
          <w:lang w:val="fr-CH"/>
        </w:rPr>
        <w:t>Plan de n</w:t>
      </w:r>
      <w:r w:rsidRPr="005D39F3">
        <w:rPr>
          <w:rFonts w:eastAsiaTheme="minorEastAsia"/>
        </w:rPr>
        <w:t>u</w:t>
      </w:r>
      <w:r w:rsidRPr="005D39F3">
        <w:rPr>
          <w:lang w:val="fr-CH"/>
        </w:rPr>
        <w:t>m</w:t>
      </w:r>
      <w:r w:rsidRPr="005D39F3">
        <w:rPr>
          <w:rFonts w:eastAsiaTheme="minorEastAsia"/>
        </w:rPr>
        <w:t>é</w:t>
      </w:r>
      <w:r w:rsidRPr="005D39F3">
        <w:rPr>
          <w:lang w:val="fr-CH"/>
        </w:rPr>
        <w:t>rotage national</w:t>
      </w:r>
      <w:r w:rsidRPr="005D39F3">
        <w:rPr>
          <w:webHidden/>
          <w:lang w:val="fr-CH"/>
        </w:rPr>
        <w:tab/>
      </w:r>
      <w:r>
        <w:rPr>
          <w:webHidden/>
          <w:lang w:val="fr-CH"/>
        </w:rPr>
        <w:tab/>
      </w:r>
      <w:r w:rsidRPr="005D39F3">
        <w:rPr>
          <w:webHidden/>
          <w:lang w:val="fr-CH"/>
        </w:rPr>
        <w:t>12</w:t>
      </w:r>
    </w:p>
    <w:p w:rsidR="00487DA3" w:rsidRPr="005D39F3" w:rsidRDefault="00487DA3" w:rsidP="00487DA3">
      <w:pPr>
        <w:rPr>
          <w:rFonts w:eastAsiaTheme="minorEastAsia"/>
          <w:lang w:val="fr-CH"/>
        </w:rPr>
      </w:pPr>
    </w:p>
    <w:p w:rsidR="003D6700" w:rsidRDefault="003D6700" w:rsidP="003D6700">
      <w:pPr>
        <w:rPr>
          <w:rFonts w:eastAsiaTheme="minorEastAsia"/>
          <w:lang w:val="fr-CH"/>
        </w:rPr>
      </w:pPr>
    </w:p>
    <w:p w:rsidR="0001261B" w:rsidRDefault="0001261B" w:rsidP="0001261B">
      <w:pPr>
        <w:rPr>
          <w:rFonts w:eastAsiaTheme="minorEastAsia"/>
          <w:lang w:val="fr-CH"/>
        </w:rPr>
      </w:pPr>
    </w:p>
    <w:p w:rsidR="0001261B" w:rsidRPr="0001261B" w:rsidRDefault="0001261B" w:rsidP="0001261B">
      <w:pPr>
        <w:rPr>
          <w:rFonts w:eastAsiaTheme="minorEastAsia"/>
          <w:lang w:val="fr-CH"/>
        </w:rPr>
      </w:pP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3D6700" w:rsidRPr="00AB5697" w:rsidRDefault="003D6700" w:rsidP="003D6700">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D6700" w:rsidRPr="004959DC" w:rsidTr="00196C8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 xml:space="preserve">Comprenant les renseignements reçus </w:t>
            </w:r>
            <w:proofErr w:type="gramStart"/>
            <w:r w:rsidRPr="00943E6E">
              <w:rPr>
                <w:rFonts w:eastAsia="SimSun"/>
                <w:i/>
                <w:sz w:val="18"/>
                <w:szCs w:val="18"/>
                <w:lang w:val="fr-CH" w:eastAsia="zh-CN"/>
              </w:rPr>
              <w:t>au:</w:t>
            </w:r>
            <w:proofErr w:type="gramEnd"/>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1139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12.XII.2017</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2.I.</w:t>
            </w:r>
            <w:r>
              <w:rPr>
                <w:rFonts w:eastAsia="SimSun"/>
                <w:sz w:val="18"/>
                <w:lang w:val="en-US" w:eastAsia="zh-CN"/>
              </w:rPr>
              <w:t>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1143</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1144</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1145</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1146</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13.IV.2018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29.VI.2018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1153</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17.VII.2018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1154</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1155</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1156</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3D6700" w:rsidRPr="005A6591" w:rsidRDefault="003D6700" w:rsidP="003D6700">
      <w:pPr>
        <w:tabs>
          <w:tab w:val="clear" w:pos="567"/>
          <w:tab w:val="left" w:pos="252"/>
        </w:tabs>
        <w:spacing w:before="240"/>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78" w:name="_Toc417551655"/>
      <w:bookmarkStart w:id="179" w:name="_Toc418172323"/>
      <w:bookmarkStart w:id="180" w:name="_Toc418590386"/>
      <w:bookmarkStart w:id="181" w:name="_Toc421025955"/>
      <w:bookmarkStart w:id="182" w:name="_Toc422401203"/>
      <w:bookmarkStart w:id="183" w:name="_Toc423525453"/>
      <w:bookmarkStart w:id="184" w:name="_Toc424821408"/>
      <w:bookmarkStart w:id="185" w:name="_Toc428366201"/>
      <w:bookmarkStart w:id="186" w:name="_Toc429043951"/>
      <w:bookmarkStart w:id="187" w:name="_Toc430351613"/>
      <w:bookmarkStart w:id="188" w:name="_Toc435101739"/>
      <w:bookmarkStart w:id="189" w:name="_Toc436994417"/>
      <w:bookmarkStart w:id="190" w:name="_Toc437951329"/>
      <w:bookmarkStart w:id="191" w:name="_Toc439770084"/>
      <w:bookmarkStart w:id="192" w:name="_Toc442697168"/>
      <w:bookmarkStart w:id="193" w:name="_Toc443314398"/>
      <w:bookmarkStart w:id="194" w:name="_Toc451159943"/>
      <w:bookmarkStart w:id="195" w:name="_Toc452042285"/>
      <w:bookmarkStart w:id="196" w:name="_Toc453246385"/>
      <w:bookmarkStart w:id="197" w:name="_Toc455568908"/>
      <w:bookmarkStart w:id="198" w:name="_Toc458763334"/>
      <w:bookmarkStart w:id="199" w:name="_Toc461613922"/>
      <w:bookmarkStart w:id="200" w:name="_Toc464028555"/>
      <w:bookmarkStart w:id="201" w:name="_Toc466292714"/>
      <w:bookmarkStart w:id="202" w:name="_Toc467229211"/>
      <w:bookmarkStart w:id="203" w:name="_Toc468199511"/>
      <w:bookmarkStart w:id="204" w:name="_Toc469058080"/>
      <w:bookmarkStart w:id="205" w:name="_Toc472413648"/>
      <w:bookmarkStart w:id="206" w:name="_Toc473107259"/>
      <w:bookmarkStart w:id="207" w:name="_Toc474850430"/>
      <w:bookmarkStart w:id="208" w:name="_Toc476061808"/>
      <w:bookmarkStart w:id="209" w:name="_Toc477355861"/>
      <w:bookmarkStart w:id="210" w:name="_Toc478045197"/>
      <w:bookmarkStart w:id="211" w:name="_Toc479170887"/>
      <w:bookmarkStart w:id="212" w:name="_Toc481736915"/>
      <w:bookmarkStart w:id="213" w:name="_Toc483991761"/>
      <w:bookmarkStart w:id="214" w:name="_Toc484612683"/>
      <w:bookmarkStart w:id="215" w:name="_Toc486861818"/>
      <w:bookmarkStart w:id="216" w:name="_Toc489604242"/>
      <w:bookmarkStart w:id="217" w:name="_Toc490733849"/>
      <w:bookmarkStart w:id="218" w:name="_Toc492473915"/>
      <w:bookmarkStart w:id="219" w:name="_Toc493239109"/>
      <w:bookmarkStart w:id="220" w:name="_Toc494706562"/>
      <w:bookmarkStart w:id="221" w:name="_Toc496867150"/>
      <w:bookmarkStart w:id="222" w:name="_Toc497466143"/>
      <w:bookmarkStart w:id="223" w:name="_Toc498510155"/>
      <w:bookmarkStart w:id="224" w:name="_Toc499892917"/>
      <w:bookmarkStart w:id="225" w:name="_Toc500928323"/>
      <w:bookmarkStart w:id="226" w:name="_Toc503278435"/>
      <w:r w:rsidRPr="00A61AFB">
        <w:rPr>
          <w:lang w:val="fr-FR"/>
        </w:rPr>
        <w:lastRenderedPageBreak/>
        <w:t>INFORMATION GÉNÉRALE</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A61AFB" w:rsidRPr="003D52C3" w:rsidRDefault="00A61AFB" w:rsidP="004715C8">
      <w:pPr>
        <w:pStyle w:val="Heading2"/>
        <w:rPr>
          <w:lang w:val="fr-CH"/>
        </w:rPr>
      </w:pPr>
      <w:bookmarkStart w:id="227" w:name="_Toc417551656"/>
      <w:bookmarkStart w:id="228" w:name="_Toc418172324"/>
      <w:bookmarkStart w:id="229" w:name="_Toc418590387"/>
      <w:bookmarkStart w:id="230" w:name="_Toc421025956"/>
      <w:bookmarkStart w:id="231" w:name="_Toc422401204"/>
      <w:bookmarkStart w:id="232" w:name="_Toc423525454"/>
      <w:bookmarkStart w:id="233" w:name="_Toc424821409"/>
      <w:bookmarkStart w:id="234" w:name="_Toc428366202"/>
      <w:bookmarkStart w:id="235" w:name="_Toc429043952"/>
      <w:bookmarkStart w:id="236" w:name="_Toc430351614"/>
      <w:bookmarkStart w:id="237" w:name="_Toc435101740"/>
      <w:bookmarkStart w:id="238" w:name="_Toc436994418"/>
      <w:bookmarkStart w:id="239" w:name="_Toc437951330"/>
      <w:bookmarkStart w:id="240" w:name="_Toc439770085"/>
      <w:bookmarkStart w:id="241" w:name="_Toc442697169"/>
      <w:bookmarkStart w:id="242" w:name="_Toc443314399"/>
      <w:bookmarkStart w:id="243" w:name="_Toc451159944"/>
      <w:bookmarkStart w:id="244" w:name="_Toc452042286"/>
      <w:bookmarkStart w:id="245" w:name="_Toc453246386"/>
      <w:bookmarkStart w:id="246" w:name="_Toc455568909"/>
      <w:bookmarkStart w:id="247" w:name="_Toc458763335"/>
      <w:bookmarkStart w:id="248" w:name="_Toc461613923"/>
      <w:bookmarkStart w:id="249" w:name="_Toc464028556"/>
      <w:bookmarkStart w:id="250" w:name="_Toc466292715"/>
      <w:bookmarkStart w:id="251" w:name="_Toc467229212"/>
      <w:bookmarkStart w:id="252" w:name="_Toc468199512"/>
      <w:bookmarkStart w:id="253" w:name="_Toc469058081"/>
      <w:bookmarkStart w:id="254" w:name="_Toc472413649"/>
      <w:bookmarkStart w:id="255" w:name="_Toc473107260"/>
      <w:bookmarkStart w:id="256" w:name="_Toc474850431"/>
      <w:bookmarkStart w:id="257" w:name="_Toc476061809"/>
      <w:bookmarkStart w:id="258" w:name="_Toc477355862"/>
      <w:bookmarkStart w:id="259" w:name="_Toc478045198"/>
      <w:bookmarkStart w:id="260" w:name="_Toc479170888"/>
      <w:bookmarkStart w:id="261" w:name="_Toc481736916"/>
      <w:bookmarkStart w:id="262" w:name="_Toc483991762"/>
      <w:bookmarkStart w:id="263" w:name="_Toc484612684"/>
      <w:bookmarkStart w:id="264" w:name="_Toc486861819"/>
      <w:bookmarkStart w:id="265" w:name="_Toc489604243"/>
      <w:bookmarkStart w:id="266" w:name="_Toc490733850"/>
      <w:bookmarkStart w:id="267" w:name="_Toc492473916"/>
      <w:bookmarkStart w:id="268" w:name="_Toc493239110"/>
      <w:bookmarkStart w:id="269" w:name="_Toc494706563"/>
      <w:bookmarkStart w:id="270" w:name="_Toc496867151"/>
      <w:bookmarkStart w:id="271" w:name="_Toc497466144"/>
      <w:bookmarkStart w:id="272" w:name="_Toc498510156"/>
      <w:bookmarkStart w:id="273" w:name="_Toc499892918"/>
      <w:bookmarkStart w:id="274" w:name="_Toc500928324"/>
      <w:bookmarkStart w:id="275" w:name="_Toc503278436"/>
      <w:r w:rsidRPr="003D52C3">
        <w:rPr>
          <w:lang w:val="fr-CH"/>
        </w:rPr>
        <w:t>Listes annexées au Bulletin d'exploitation de l'UIT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276" w:name="_Toc262631799"/>
      <w:bookmarkStart w:id="277" w:name="_Toc253407143"/>
      <w:r>
        <w:rPr>
          <w:lang w:val="fr-CH"/>
        </w:rPr>
        <w:br w:type="page"/>
      </w:r>
    </w:p>
    <w:p w:rsidR="00070602" w:rsidRPr="00721B3F" w:rsidRDefault="00070602" w:rsidP="00070602">
      <w:pPr>
        <w:pStyle w:val="Heading20"/>
        <w:spacing w:before="0"/>
        <w:rPr>
          <w:sz w:val="28"/>
          <w:lang w:val="fr-CH"/>
        </w:rPr>
      </w:pPr>
      <w:bookmarkStart w:id="278" w:name="_Toc497466145"/>
      <w:bookmarkStart w:id="279" w:name="_Toc498510157"/>
      <w:bookmarkStart w:id="280" w:name="_Toc499892919"/>
      <w:bookmarkStart w:id="281" w:name="_Toc500928325"/>
      <w:bookmarkStart w:id="282" w:name="_Toc503278437"/>
      <w:r w:rsidRPr="00721B3F">
        <w:rPr>
          <w:sz w:val="28"/>
        </w:rPr>
        <w:lastRenderedPageBreak/>
        <w:t>Approbation de Recommandations UIT-T</w:t>
      </w:r>
      <w:bookmarkEnd w:id="278"/>
      <w:bookmarkEnd w:id="279"/>
      <w:bookmarkEnd w:id="280"/>
      <w:bookmarkEnd w:id="281"/>
      <w:bookmarkEnd w:id="282"/>
    </w:p>
    <w:p w:rsidR="00B50C33" w:rsidRPr="008443F4" w:rsidRDefault="00B50C33" w:rsidP="00B50C33">
      <w:pPr>
        <w:spacing w:before="240"/>
        <w:rPr>
          <w:rFonts w:asciiTheme="minorHAnsi" w:hAnsiTheme="minorHAnsi"/>
          <w:lang w:val="fr-CH"/>
        </w:rPr>
      </w:pPr>
      <w:r w:rsidRPr="008443F4">
        <w:rPr>
          <w:rFonts w:asciiTheme="minorHAnsi" w:hAnsiTheme="minorHAnsi"/>
          <w:lang w:val="fr-CH"/>
        </w:rPr>
        <w:t xml:space="preserve">Par AAP-25, il a été annoncé l’approbation des Recommandations UIT-T suivantes, conformément à la procédure définie dans la Recommandation UIT-T </w:t>
      </w:r>
      <w:proofErr w:type="gramStart"/>
      <w:r w:rsidRPr="008443F4">
        <w:rPr>
          <w:rFonts w:asciiTheme="minorHAnsi" w:hAnsiTheme="minorHAnsi"/>
          <w:lang w:val="fr-CH"/>
        </w:rPr>
        <w:t>A.8:</w:t>
      </w:r>
      <w:proofErr w:type="gramEnd"/>
    </w:p>
    <w:p w:rsidR="00B50C33" w:rsidRPr="008443F4" w:rsidRDefault="00B50C33" w:rsidP="00B50C33">
      <w:pPr>
        <w:rPr>
          <w:lang w:val="fr-CH"/>
        </w:rPr>
      </w:pPr>
      <w:r w:rsidRPr="008443F4">
        <w:rPr>
          <w:lang w:val="fr-CH"/>
        </w:rPr>
        <w:t>–</w:t>
      </w:r>
      <w:r>
        <w:rPr>
          <w:lang w:val="fr-CH"/>
        </w:rPr>
        <w:tab/>
      </w:r>
      <w:r w:rsidRPr="008443F4">
        <w:rPr>
          <w:lang w:val="fr-CH"/>
        </w:rPr>
        <w:t>ITU-T H.810 (V4) (11/2017</w:t>
      </w:r>
      <w:proofErr w:type="gramStart"/>
      <w:r w:rsidRPr="008443F4">
        <w:rPr>
          <w:lang w:val="fr-CH"/>
        </w:rPr>
        <w:t>):</w:t>
      </w:r>
      <w:proofErr w:type="gramEnd"/>
      <w:r w:rsidRPr="008443F4">
        <w:rPr>
          <w:lang w:val="fr-CH"/>
        </w:rPr>
        <w:t xml:space="preserve"> No translation </w:t>
      </w:r>
      <w:proofErr w:type="spellStart"/>
      <w:r w:rsidRPr="008443F4">
        <w:rPr>
          <w:lang w:val="fr-CH"/>
        </w:rPr>
        <w:t>available</w:t>
      </w:r>
      <w:proofErr w:type="spellEnd"/>
      <w:r w:rsidRPr="008443F4">
        <w:rPr>
          <w:lang w:val="fr-CH"/>
        </w:rPr>
        <w:t xml:space="preserve"> - </w:t>
      </w:r>
      <w:proofErr w:type="spellStart"/>
      <w:r w:rsidRPr="008443F4">
        <w:rPr>
          <w:lang w:val="fr-CH"/>
        </w:rPr>
        <w:t>Text</w:t>
      </w:r>
      <w:proofErr w:type="spellEnd"/>
      <w:r w:rsidRPr="008443F4">
        <w:rPr>
          <w:lang w:val="fr-CH"/>
        </w:rPr>
        <w:t xml:space="preserve"> </w:t>
      </w:r>
      <w:proofErr w:type="spellStart"/>
      <w:r w:rsidRPr="008443F4">
        <w:rPr>
          <w:lang w:val="fr-CH"/>
        </w:rPr>
        <w:t>revised</w:t>
      </w:r>
      <w:proofErr w:type="spellEnd"/>
    </w:p>
    <w:p w:rsidR="00B50C33" w:rsidRPr="008443F4" w:rsidRDefault="00B50C33" w:rsidP="00B50C33">
      <w:pPr>
        <w:ind w:left="567" w:hanging="567"/>
        <w:rPr>
          <w:rFonts w:asciiTheme="minorHAnsi" w:hAnsiTheme="minorHAnsi"/>
          <w:lang w:val="fr-CH"/>
        </w:rPr>
      </w:pPr>
      <w:r w:rsidRPr="008443F4">
        <w:rPr>
          <w:lang w:val="fr-CH"/>
        </w:rPr>
        <w:t>–</w:t>
      </w:r>
      <w:r>
        <w:rPr>
          <w:lang w:val="fr-CH"/>
        </w:rPr>
        <w:tab/>
      </w:r>
      <w:r w:rsidRPr="008443F4">
        <w:rPr>
          <w:rFonts w:asciiTheme="minorHAnsi" w:hAnsiTheme="minorHAnsi"/>
          <w:lang w:val="fr-CH"/>
        </w:rPr>
        <w:t>ITU-T H.811 (11/2017</w:t>
      </w:r>
      <w:proofErr w:type="gramStart"/>
      <w:r w:rsidRPr="008443F4">
        <w:rPr>
          <w:rFonts w:asciiTheme="minorHAnsi" w:hAnsiTheme="minorHAnsi"/>
          <w:lang w:val="fr-CH"/>
        </w:rPr>
        <w:t>):</w:t>
      </w:r>
      <w:proofErr w:type="gramEnd"/>
      <w:r w:rsidRPr="008443F4">
        <w:rPr>
          <w:rFonts w:asciiTheme="minorHAnsi" w:hAnsiTheme="minorHAnsi"/>
          <w:lang w:val="fr-CH"/>
        </w:rPr>
        <w:t xml:space="preserve"> Directives de conception visant à assurer l'interopérabilité des systèmes de santé individuels: Interface avec les dispositifs de santé individuels </w:t>
      </w:r>
    </w:p>
    <w:p w:rsidR="00B50C33" w:rsidRPr="008443F4" w:rsidRDefault="00B50C33" w:rsidP="00B50C33">
      <w:pPr>
        <w:ind w:left="567" w:hanging="567"/>
        <w:rPr>
          <w:rFonts w:asciiTheme="minorHAnsi" w:hAnsiTheme="minorHAnsi"/>
          <w:lang w:val="fr-CH"/>
        </w:rPr>
      </w:pPr>
      <w:r w:rsidRPr="008443F4">
        <w:rPr>
          <w:lang w:val="fr-CH"/>
        </w:rPr>
        <w:t>–</w:t>
      </w:r>
      <w:r>
        <w:rPr>
          <w:lang w:val="fr-CH"/>
        </w:rPr>
        <w:tab/>
      </w:r>
      <w:r w:rsidRPr="008443F4">
        <w:rPr>
          <w:rFonts w:asciiTheme="minorHAnsi" w:hAnsiTheme="minorHAnsi"/>
          <w:lang w:val="fr-CH"/>
        </w:rPr>
        <w:t>ITU-T H.812 (11/2017</w:t>
      </w:r>
      <w:proofErr w:type="gramStart"/>
      <w:r w:rsidRPr="008443F4">
        <w:rPr>
          <w:rFonts w:asciiTheme="minorHAnsi" w:hAnsiTheme="minorHAnsi"/>
          <w:lang w:val="fr-CH"/>
        </w:rPr>
        <w:t>):</w:t>
      </w:r>
      <w:proofErr w:type="gramEnd"/>
      <w:r w:rsidRPr="008443F4">
        <w:rPr>
          <w:rFonts w:asciiTheme="minorHAnsi" w:hAnsiTheme="minorHAnsi"/>
          <w:lang w:val="fr-CH"/>
        </w:rPr>
        <w:t xml:space="preserve"> Directives de conception visant à assurer l'interopérabilité des systèmes de santé individuels: Interface de service: Classe de dispositifs certifiés commune</w:t>
      </w:r>
    </w:p>
    <w:p w:rsidR="00B50C33" w:rsidRPr="008443F4" w:rsidRDefault="00B50C33" w:rsidP="00B50C33">
      <w:pPr>
        <w:ind w:left="567" w:hanging="567"/>
        <w:rPr>
          <w:rFonts w:asciiTheme="minorHAnsi" w:hAnsiTheme="minorHAnsi"/>
          <w:lang w:val="fr-CH"/>
        </w:rPr>
      </w:pPr>
      <w:r w:rsidRPr="008443F4">
        <w:rPr>
          <w:lang w:val="fr-CH"/>
        </w:rPr>
        <w:t>–</w:t>
      </w:r>
      <w:r>
        <w:rPr>
          <w:lang w:val="fr-CH"/>
        </w:rPr>
        <w:tab/>
      </w:r>
      <w:r w:rsidRPr="008443F4">
        <w:rPr>
          <w:rFonts w:asciiTheme="minorHAnsi" w:hAnsiTheme="minorHAnsi"/>
          <w:lang w:val="fr-CH"/>
        </w:rPr>
        <w:t>ITU-T H.812.1 (11/2017</w:t>
      </w:r>
      <w:proofErr w:type="gramStart"/>
      <w:r w:rsidRPr="008443F4">
        <w:rPr>
          <w:rFonts w:asciiTheme="minorHAnsi" w:hAnsiTheme="minorHAnsi"/>
          <w:lang w:val="fr-CH"/>
        </w:rPr>
        <w:t>):</w:t>
      </w:r>
      <w:proofErr w:type="gramEnd"/>
      <w:r w:rsidRPr="008443F4">
        <w:rPr>
          <w:rFonts w:asciiTheme="minorHAnsi" w:hAnsiTheme="minorHAnsi"/>
          <w:lang w:val="fr-CH"/>
        </w:rPr>
        <w:t xml:space="preserve"> Directives de conception visant à assurer l'interopérabilité des systèmes de santé individuels: Interface de service: Classe de dispositifs certifiés pour le chargement des observations</w:t>
      </w:r>
    </w:p>
    <w:p w:rsidR="00B50C33" w:rsidRPr="008443F4" w:rsidRDefault="00B50C33" w:rsidP="00B50C33">
      <w:pPr>
        <w:ind w:left="567" w:hanging="567"/>
        <w:rPr>
          <w:rFonts w:asciiTheme="minorHAnsi" w:hAnsiTheme="minorHAnsi"/>
          <w:lang w:val="fr-CH"/>
        </w:rPr>
      </w:pPr>
      <w:r w:rsidRPr="008443F4">
        <w:rPr>
          <w:lang w:val="fr-CH"/>
        </w:rPr>
        <w:t>–</w:t>
      </w:r>
      <w:r>
        <w:rPr>
          <w:lang w:val="fr-CH"/>
        </w:rPr>
        <w:tab/>
      </w:r>
      <w:r w:rsidRPr="008443F4">
        <w:rPr>
          <w:rFonts w:asciiTheme="minorHAnsi" w:hAnsiTheme="minorHAnsi"/>
          <w:lang w:val="fr-CH"/>
        </w:rPr>
        <w:t>ITU-T H.812.2 (11/2017</w:t>
      </w:r>
      <w:proofErr w:type="gramStart"/>
      <w:r w:rsidRPr="008443F4">
        <w:rPr>
          <w:rFonts w:asciiTheme="minorHAnsi" w:hAnsiTheme="minorHAnsi"/>
          <w:lang w:val="fr-CH"/>
        </w:rPr>
        <w:t>):</w:t>
      </w:r>
      <w:proofErr w:type="gramEnd"/>
      <w:r w:rsidRPr="008443F4">
        <w:rPr>
          <w:rFonts w:asciiTheme="minorHAnsi" w:hAnsiTheme="minorHAnsi"/>
          <w:lang w:val="fr-CH"/>
        </w:rPr>
        <w:t xml:space="preserve"> Directives de conception visant à assurer l'interopérabilité des systèmes de santé individuels: Interface de service: Questionnaires</w:t>
      </w:r>
    </w:p>
    <w:p w:rsidR="00B50C33" w:rsidRPr="008443F4" w:rsidRDefault="00B50C33" w:rsidP="00B50C33">
      <w:pPr>
        <w:ind w:left="567" w:hanging="567"/>
        <w:rPr>
          <w:rFonts w:asciiTheme="minorHAnsi" w:hAnsiTheme="minorHAnsi"/>
          <w:lang w:val="fr-CH"/>
        </w:rPr>
      </w:pPr>
      <w:r w:rsidRPr="008443F4">
        <w:rPr>
          <w:lang w:val="fr-CH"/>
        </w:rPr>
        <w:t>–</w:t>
      </w:r>
      <w:r>
        <w:rPr>
          <w:lang w:val="fr-CH"/>
        </w:rPr>
        <w:tab/>
      </w:r>
      <w:r w:rsidRPr="008443F4">
        <w:rPr>
          <w:rFonts w:asciiTheme="minorHAnsi" w:hAnsiTheme="minorHAnsi"/>
          <w:lang w:val="fr-CH"/>
        </w:rPr>
        <w:t>ITU-T H.812.3 (11/2017</w:t>
      </w:r>
      <w:proofErr w:type="gramStart"/>
      <w:r w:rsidRPr="008443F4">
        <w:rPr>
          <w:rFonts w:asciiTheme="minorHAnsi" w:hAnsiTheme="minorHAnsi"/>
          <w:lang w:val="fr-CH"/>
        </w:rPr>
        <w:t>):</w:t>
      </w:r>
      <w:proofErr w:type="gramEnd"/>
      <w:r w:rsidRPr="008443F4">
        <w:rPr>
          <w:rFonts w:asciiTheme="minorHAnsi" w:hAnsiTheme="minorHAnsi"/>
          <w:lang w:val="fr-CH"/>
        </w:rPr>
        <w:t xml:space="preserve"> Directives de conception visant à assurer l'interopérabilité des systèmes de santé individuels: Interface de service: Classe de dispositifs certifiés pour l'échange de capacités</w:t>
      </w:r>
    </w:p>
    <w:p w:rsidR="00B50C33" w:rsidRPr="008443F4" w:rsidRDefault="00B50C33" w:rsidP="00B50C33">
      <w:pPr>
        <w:ind w:left="567" w:hanging="567"/>
        <w:rPr>
          <w:rFonts w:asciiTheme="minorHAnsi" w:hAnsiTheme="minorHAnsi"/>
          <w:lang w:val="fr-CH"/>
        </w:rPr>
      </w:pPr>
      <w:r w:rsidRPr="008443F4">
        <w:rPr>
          <w:lang w:val="fr-CH"/>
        </w:rPr>
        <w:t>–</w:t>
      </w:r>
      <w:r>
        <w:rPr>
          <w:lang w:val="fr-CH"/>
        </w:rPr>
        <w:tab/>
      </w:r>
      <w:r w:rsidRPr="008443F4">
        <w:rPr>
          <w:rFonts w:asciiTheme="minorHAnsi" w:hAnsiTheme="minorHAnsi"/>
          <w:lang w:val="fr-CH"/>
        </w:rPr>
        <w:t>ITU-T H.812.4 (11/2017</w:t>
      </w:r>
      <w:proofErr w:type="gramStart"/>
      <w:r w:rsidRPr="008443F4">
        <w:rPr>
          <w:rFonts w:asciiTheme="minorHAnsi" w:hAnsiTheme="minorHAnsi"/>
          <w:lang w:val="fr-CH"/>
        </w:rPr>
        <w:t>):</w:t>
      </w:r>
      <w:proofErr w:type="gramEnd"/>
      <w:r w:rsidRPr="008443F4">
        <w:rPr>
          <w:rFonts w:asciiTheme="minorHAnsi" w:hAnsiTheme="minorHAnsi"/>
          <w:lang w:val="fr-CH"/>
        </w:rPr>
        <w:t xml:space="preserve"> Directives de conception visant à assurer l'interopérabilité des systèmes de santé individuels: Interface de service: Classe de dispositifs pour une session authentifiée persistante</w:t>
      </w:r>
    </w:p>
    <w:p w:rsidR="00B50C33" w:rsidRPr="008443F4" w:rsidRDefault="00B50C33" w:rsidP="00B50C33">
      <w:pPr>
        <w:ind w:left="567" w:hanging="567"/>
        <w:rPr>
          <w:rFonts w:asciiTheme="minorHAnsi" w:hAnsiTheme="minorHAnsi"/>
          <w:lang w:val="fr-CH"/>
        </w:rPr>
      </w:pPr>
      <w:r w:rsidRPr="008443F4">
        <w:rPr>
          <w:lang w:val="fr-CH"/>
        </w:rPr>
        <w:t>–</w:t>
      </w:r>
      <w:r>
        <w:rPr>
          <w:lang w:val="fr-CH"/>
        </w:rPr>
        <w:tab/>
      </w:r>
      <w:r w:rsidRPr="008443F4">
        <w:rPr>
          <w:rFonts w:asciiTheme="minorHAnsi" w:hAnsiTheme="minorHAnsi"/>
          <w:lang w:val="fr-CH"/>
        </w:rPr>
        <w:t>ITU-T H.813 (11/2017</w:t>
      </w:r>
      <w:proofErr w:type="gramStart"/>
      <w:r w:rsidRPr="008443F4">
        <w:rPr>
          <w:rFonts w:asciiTheme="minorHAnsi" w:hAnsiTheme="minorHAnsi"/>
          <w:lang w:val="fr-CH"/>
        </w:rPr>
        <w:t>):</w:t>
      </w:r>
      <w:proofErr w:type="gramEnd"/>
      <w:r w:rsidRPr="008443F4">
        <w:rPr>
          <w:rFonts w:asciiTheme="minorHAnsi" w:hAnsiTheme="minorHAnsi"/>
          <w:lang w:val="fr-CH"/>
        </w:rPr>
        <w:t xml:space="preserve"> Directives de conception visant à assurer l'interopérabilité des systèmes de santé individuels: Interface avec le système d'information sanitaire (HIS)</w:t>
      </w:r>
    </w:p>
    <w:p w:rsidR="00B50C33" w:rsidRPr="008443F4" w:rsidRDefault="00B50C33" w:rsidP="00B50C33">
      <w:pPr>
        <w:rPr>
          <w:rFonts w:asciiTheme="minorHAnsi" w:hAnsiTheme="minorHAnsi"/>
          <w:lang w:val="fr-CH"/>
        </w:rPr>
      </w:pPr>
      <w:r w:rsidRPr="008443F4">
        <w:rPr>
          <w:lang w:val="fr-CH"/>
        </w:rPr>
        <w:t>–</w:t>
      </w:r>
      <w:r>
        <w:rPr>
          <w:lang w:val="fr-CH"/>
        </w:rPr>
        <w:tab/>
      </w:r>
      <w:r w:rsidRPr="008443F4">
        <w:rPr>
          <w:rFonts w:asciiTheme="minorHAnsi" w:hAnsiTheme="minorHAnsi"/>
          <w:lang w:val="fr-CH"/>
        </w:rPr>
        <w:t>ITU-T H.830.5 (2017) Cor. 1 (11/2017</w:t>
      </w:r>
      <w:proofErr w:type="gramStart"/>
      <w:r w:rsidRPr="008443F4">
        <w:rPr>
          <w:rFonts w:asciiTheme="minorHAnsi" w:hAnsiTheme="minorHAnsi"/>
          <w:lang w:val="fr-CH"/>
        </w:rPr>
        <w:t>):</w:t>
      </w:r>
      <w:proofErr w:type="gramEnd"/>
      <w:r w:rsidRPr="008443F4">
        <w:rPr>
          <w:rFonts w:asciiTheme="minorHAnsi" w:hAnsiTheme="minorHAnsi"/>
          <w:lang w:val="fr-CH"/>
        </w:rPr>
        <w:t xml:space="preserve"> </w:t>
      </w:r>
      <w:r w:rsidRPr="009015B3">
        <w:rPr>
          <w:rFonts w:cs="Arial"/>
          <w:i/>
          <w:iCs/>
          <w:lang w:val="fr-CH"/>
        </w:rPr>
        <w:t>Traduction non disponible</w:t>
      </w:r>
    </w:p>
    <w:p w:rsidR="00B50C33" w:rsidRPr="008443F4" w:rsidRDefault="00B50C33" w:rsidP="00B50C33">
      <w:pPr>
        <w:rPr>
          <w:rFonts w:asciiTheme="minorHAnsi" w:hAnsiTheme="minorHAnsi"/>
          <w:lang w:val="fr-CH"/>
        </w:rPr>
      </w:pPr>
      <w:r w:rsidRPr="008443F4">
        <w:rPr>
          <w:lang w:val="fr-CH"/>
        </w:rPr>
        <w:t>–</w:t>
      </w:r>
      <w:r>
        <w:rPr>
          <w:lang w:val="fr-CH"/>
        </w:rPr>
        <w:tab/>
      </w:r>
      <w:r w:rsidRPr="008443F4">
        <w:rPr>
          <w:rFonts w:asciiTheme="minorHAnsi" w:hAnsiTheme="minorHAnsi"/>
          <w:lang w:val="fr-CH"/>
        </w:rPr>
        <w:t>ITU-T H.830.6 (2017) Cor. 1 (11/2017</w:t>
      </w:r>
      <w:proofErr w:type="gramStart"/>
      <w:r w:rsidRPr="008443F4">
        <w:rPr>
          <w:rFonts w:asciiTheme="minorHAnsi" w:hAnsiTheme="minorHAnsi"/>
          <w:lang w:val="fr-CH"/>
        </w:rPr>
        <w:t>):</w:t>
      </w:r>
      <w:proofErr w:type="gramEnd"/>
      <w:r w:rsidRPr="008443F4">
        <w:rPr>
          <w:rFonts w:asciiTheme="minorHAnsi" w:hAnsiTheme="minorHAnsi"/>
          <w:lang w:val="fr-CH"/>
        </w:rPr>
        <w:t xml:space="preserve"> </w:t>
      </w:r>
      <w:r w:rsidRPr="009015B3">
        <w:rPr>
          <w:rFonts w:cs="Arial"/>
          <w:i/>
          <w:iCs/>
          <w:lang w:val="fr-CH"/>
        </w:rPr>
        <w:t>Traduction non disponible</w:t>
      </w:r>
    </w:p>
    <w:p w:rsidR="00B50C33" w:rsidRPr="008443F4" w:rsidRDefault="00B50C33" w:rsidP="00B50C33">
      <w:pPr>
        <w:rPr>
          <w:rFonts w:asciiTheme="minorHAnsi" w:hAnsiTheme="minorHAnsi"/>
          <w:lang w:val="fr-CH"/>
        </w:rPr>
      </w:pPr>
      <w:r w:rsidRPr="008443F4">
        <w:rPr>
          <w:lang w:val="fr-CH"/>
        </w:rPr>
        <w:t>–</w:t>
      </w:r>
      <w:r>
        <w:rPr>
          <w:lang w:val="fr-CH"/>
        </w:rPr>
        <w:tab/>
      </w:r>
      <w:r w:rsidRPr="008443F4">
        <w:rPr>
          <w:rFonts w:asciiTheme="minorHAnsi" w:hAnsiTheme="minorHAnsi"/>
          <w:lang w:val="fr-CH"/>
        </w:rPr>
        <w:t>ITU-T H.845.10 (2017) Cor. 1 (11/2017</w:t>
      </w:r>
      <w:proofErr w:type="gramStart"/>
      <w:r w:rsidRPr="008443F4">
        <w:rPr>
          <w:rFonts w:asciiTheme="minorHAnsi" w:hAnsiTheme="minorHAnsi"/>
          <w:lang w:val="fr-CH"/>
        </w:rPr>
        <w:t>):</w:t>
      </w:r>
      <w:proofErr w:type="gramEnd"/>
      <w:r w:rsidRPr="008443F4">
        <w:rPr>
          <w:rFonts w:asciiTheme="minorHAnsi" w:hAnsiTheme="minorHAnsi"/>
          <w:lang w:val="fr-CH"/>
        </w:rPr>
        <w:t xml:space="preserve"> </w:t>
      </w:r>
      <w:r w:rsidRPr="009015B3">
        <w:rPr>
          <w:rFonts w:cs="Arial"/>
          <w:i/>
          <w:iCs/>
          <w:lang w:val="fr-CH"/>
        </w:rPr>
        <w:t>Traduction non disponible</w:t>
      </w:r>
    </w:p>
    <w:p w:rsidR="00B50C33" w:rsidRDefault="00B50C33" w:rsidP="00B50C33">
      <w:pPr>
        <w:rPr>
          <w:rFonts w:asciiTheme="minorHAnsi" w:hAnsiTheme="minorHAnsi"/>
          <w:lang w:val="fr-CH"/>
        </w:rPr>
      </w:pPr>
      <w:r w:rsidRPr="008443F4">
        <w:rPr>
          <w:lang w:val="fr-CH"/>
        </w:rPr>
        <w:t>–</w:t>
      </w:r>
      <w:r>
        <w:rPr>
          <w:lang w:val="fr-CH"/>
        </w:rPr>
        <w:tab/>
      </w:r>
      <w:r w:rsidRPr="008443F4">
        <w:rPr>
          <w:rFonts w:asciiTheme="minorHAnsi" w:hAnsiTheme="minorHAnsi"/>
          <w:lang w:val="fr-CH"/>
        </w:rPr>
        <w:t>ITU-T H.845.16 (2017) Cor. 1 (11/2017)</w:t>
      </w:r>
    </w:p>
    <w:p w:rsidR="003D6700" w:rsidRDefault="003D6700" w:rsidP="003D6700">
      <w:pPr>
        <w:rPr>
          <w:rFonts w:asciiTheme="minorHAnsi" w:hAnsiTheme="minorHAnsi"/>
          <w:lang w:val="fr-CH"/>
        </w:rPr>
      </w:pPr>
    </w:p>
    <w:p w:rsidR="00B50C33" w:rsidRPr="003D6700" w:rsidRDefault="00B50C33" w:rsidP="003D6700">
      <w:pPr>
        <w:rPr>
          <w:rFonts w:asciiTheme="minorHAnsi" w:hAnsiTheme="minorHAnsi"/>
          <w:lang w:val="fr-CH"/>
        </w:rPr>
      </w:pPr>
    </w:p>
    <w:p w:rsidR="008B327A" w:rsidRDefault="008B327A" w:rsidP="008B327A">
      <w:pPr>
        <w:rPr>
          <w:lang w:val="fr-CH"/>
        </w:rPr>
      </w:pPr>
    </w:p>
    <w:p w:rsidR="003D6700" w:rsidRDefault="003D670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CE490B" w:rsidRPr="00CE490B" w:rsidRDefault="00CE490B" w:rsidP="00CE490B">
      <w:pPr>
        <w:pStyle w:val="Heading20"/>
        <w:spacing w:before="0"/>
        <w:rPr>
          <w:noProof/>
          <w:sz w:val="28"/>
          <w:szCs w:val="28"/>
        </w:rPr>
      </w:pPr>
      <w:bookmarkStart w:id="283" w:name="_Toc492905531"/>
      <w:bookmarkStart w:id="284" w:name="_Toc493685642"/>
      <w:bookmarkStart w:id="285" w:name="_Toc495499927"/>
      <w:bookmarkStart w:id="286" w:name="_Toc496537199"/>
      <w:bookmarkStart w:id="287" w:name="_Toc500842097"/>
      <w:bookmarkStart w:id="288" w:name="_Toc503278438"/>
      <w:r w:rsidRPr="00CE490B">
        <w:rPr>
          <w:sz w:val="28"/>
        </w:rPr>
        <w:lastRenderedPageBreak/>
        <w:t>Service</w:t>
      </w:r>
      <w:r w:rsidRPr="00CE490B">
        <w:rPr>
          <w:noProof/>
          <w:sz w:val="28"/>
          <w:szCs w:val="28"/>
        </w:rPr>
        <w:t xml:space="preserve"> téléphonique </w:t>
      </w:r>
      <w:r w:rsidRPr="00CE490B">
        <w:rPr>
          <w:noProof/>
          <w:sz w:val="28"/>
          <w:szCs w:val="28"/>
        </w:rPr>
        <w:br/>
        <w:t>(Recommandation UIT-T E.164)</w:t>
      </w:r>
      <w:bookmarkEnd w:id="283"/>
      <w:bookmarkEnd w:id="284"/>
      <w:bookmarkEnd w:id="285"/>
      <w:bookmarkEnd w:id="286"/>
      <w:bookmarkEnd w:id="287"/>
      <w:bookmarkEnd w:id="288"/>
    </w:p>
    <w:p w:rsidR="00CE490B" w:rsidRPr="00CE490B" w:rsidRDefault="00CE490B" w:rsidP="00CE490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sz w:val="22"/>
          <w:szCs w:val="22"/>
        </w:rPr>
      </w:pPr>
      <w:proofErr w:type="gramStart"/>
      <w:r w:rsidRPr="00CE490B">
        <w:rPr>
          <w:rFonts w:cs="Calibri"/>
          <w:sz w:val="22"/>
          <w:szCs w:val="22"/>
        </w:rPr>
        <w:t>url</w:t>
      </w:r>
      <w:proofErr w:type="gramEnd"/>
      <w:r w:rsidRPr="00CE490B">
        <w:rPr>
          <w:rFonts w:cs="Calibri"/>
          <w:sz w:val="22"/>
          <w:szCs w:val="22"/>
        </w:rPr>
        <w:t>: www.itu.int/itu-t/inr/nnp</w:t>
      </w:r>
    </w:p>
    <w:p w:rsidR="00CE490B" w:rsidRPr="00CE490B" w:rsidRDefault="00CE490B" w:rsidP="00CE490B">
      <w:pPr>
        <w:tabs>
          <w:tab w:val="clear" w:pos="1276"/>
          <w:tab w:val="clear" w:pos="1843"/>
          <w:tab w:val="left" w:pos="1560"/>
          <w:tab w:val="left" w:pos="2127"/>
        </w:tabs>
        <w:spacing w:before="240"/>
        <w:jc w:val="left"/>
        <w:outlineLvl w:val="3"/>
        <w:rPr>
          <w:rFonts w:cs="Arial"/>
          <w:b/>
          <w:lang w:val="fr-FR"/>
        </w:rPr>
      </w:pPr>
      <w:r w:rsidRPr="00CE490B">
        <w:rPr>
          <w:rFonts w:cs="Arial"/>
          <w:b/>
          <w:lang w:val="fr-FR"/>
        </w:rPr>
        <w:t>Trinité-et-Tobago</w:t>
      </w:r>
      <w:r>
        <w:rPr>
          <w:rFonts w:cs="Arial"/>
          <w:b/>
          <w:lang w:val="fr-FR"/>
        </w:rPr>
        <w:fldChar w:fldCharType="begin"/>
      </w:r>
      <w:r w:rsidRPr="00CE490B">
        <w:rPr>
          <w:lang w:val="fr-CH"/>
        </w:rPr>
        <w:instrText xml:space="preserve"> TC "</w:instrText>
      </w:r>
      <w:bookmarkStart w:id="289" w:name="_Toc503278439"/>
      <w:r w:rsidRPr="00CE490B">
        <w:rPr>
          <w:rFonts w:cs="Arial"/>
          <w:b/>
          <w:lang w:val="fr-FR"/>
        </w:rPr>
        <w:instrText>Trinité-et-Tobago</w:instrText>
      </w:r>
      <w:bookmarkEnd w:id="289"/>
      <w:r w:rsidRPr="00CE490B">
        <w:rPr>
          <w:lang w:val="fr-CH"/>
        </w:rPr>
        <w:instrText xml:space="preserve">" \f C \l "1" </w:instrText>
      </w:r>
      <w:r>
        <w:rPr>
          <w:rFonts w:cs="Arial"/>
          <w:b/>
          <w:lang w:val="fr-FR"/>
        </w:rPr>
        <w:fldChar w:fldCharType="end"/>
      </w:r>
      <w:r w:rsidRPr="00CE490B">
        <w:rPr>
          <w:rFonts w:cs="Arial"/>
          <w:b/>
          <w:lang w:val="fr-FR"/>
        </w:rPr>
        <w:t xml:space="preserve"> (indicatif de pays +1 868)</w:t>
      </w:r>
    </w:p>
    <w:p w:rsidR="00CE490B" w:rsidRPr="00CE490B" w:rsidRDefault="00CE490B" w:rsidP="00CE490B">
      <w:pPr>
        <w:tabs>
          <w:tab w:val="clear" w:pos="567"/>
          <w:tab w:val="clear" w:pos="1276"/>
          <w:tab w:val="clear" w:pos="1843"/>
          <w:tab w:val="clear" w:pos="5387"/>
          <w:tab w:val="clear" w:pos="5954"/>
          <w:tab w:val="left" w:pos="794"/>
          <w:tab w:val="left" w:pos="1191"/>
          <w:tab w:val="left" w:pos="1588"/>
          <w:tab w:val="left" w:pos="1985"/>
        </w:tabs>
        <w:spacing w:before="0" w:after="120"/>
        <w:rPr>
          <w:rFonts w:cs="Arial"/>
          <w:lang w:val="fr-FR"/>
        </w:rPr>
      </w:pPr>
      <w:r w:rsidRPr="00CE490B">
        <w:rPr>
          <w:rFonts w:cs="Arial"/>
          <w:lang w:val="fr-FR"/>
        </w:rPr>
        <w:t xml:space="preserve">Communication du </w:t>
      </w:r>
      <w:proofErr w:type="gramStart"/>
      <w:r w:rsidRPr="00CE490B">
        <w:rPr>
          <w:rFonts w:cs="Arial"/>
          <w:lang w:val="fr-FR"/>
        </w:rPr>
        <w:t>9.XI.2017:</w:t>
      </w:r>
      <w:proofErr w:type="gramEnd"/>
    </w:p>
    <w:p w:rsidR="00CE490B" w:rsidRPr="00CE490B" w:rsidRDefault="00CE490B" w:rsidP="00CE490B">
      <w:pPr>
        <w:tabs>
          <w:tab w:val="clear" w:pos="567"/>
          <w:tab w:val="clear" w:pos="1276"/>
          <w:tab w:val="clear" w:pos="1843"/>
          <w:tab w:val="clear" w:pos="5387"/>
          <w:tab w:val="clear" w:pos="5954"/>
          <w:tab w:val="left" w:pos="794"/>
          <w:tab w:val="left" w:pos="1191"/>
          <w:tab w:val="left" w:pos="1588"/>
          <w:tab w:val="left" w:pos="1985"/>
        </w:tabs>
        <w:spacing w:before="0"/>
        <w:rPr>
          <w:rFonts w:cs="Arial"/>
          <w:lang w:val="fr-FR"/>
        </w:rPr>
      </w:pPr>
      <w:r w:rsidRPr="00CE490B">
        <w:rPr>
          <w:rFonts w:cs="Arial"/>
          <w:lang w:val="fr-FR"/>
        </w:rPr>
        <w:t xml:space="preserve">La </w:t>
      </w:r>
      <w:proofErr w:type="spellStart"/>
      <w:r w:rsidRPr="00CE490B">
        <w:rPr>
          <w:rFonts w:cs="Arial"/>
          <w:i/>
          <w:lang w:val="fr-FR"/>
        </w:rPr>
        <w:t>Telecommunications</w:t>
      </w:r>
      <w:proofErr w:type="spellEnd"/>
      <w:r w:rsidRPr="00CE490B">
        <w:rPr>
          <w:rFonts w:cs="Arial"/>
          <w:i/>
          <w:lang w:val="fr-FR"/>
        </w:rPr>
        <w:t xml:space="preserve"> </w:t>
      </w:r>
      <w:proofErr w:type="spellStart"/>
      <w:r w:rsidRPr="00CE490B">
        <w:rPr>
          <w:rFonts w:cs="Arial"/>
          <w:i/>
          <w:lang w:val="fr-FR"/>
        </w:rPr>
        <w:t>Authority</w:t>
      </w:r>
      <w:proofErr w:type="spellEnd"/>
      <w:r w:rsidRPr="00CE490B">
        <w:rPr>
          <w:rFonts w:cs="Arial"/>
          <w:i/>
          <w:lang w:val="fr-FR"/>
        </w:rPr>
        <w:t xml:space="preserve"> of Trinidad and Tobago (TATT), </w:t>
      </w:r>
      <w:proofErr w:type="spellStart"/>
      <w:r w:rsidRPr="00CE490B">
        <w:rPr>
          <w:rFonts w:cs="Arial"/>
          <w:lang w:val="fr-FR"/>
        </w:rPr>
        <w:t>Barataria</w:t>
      </w:r>
      <w:proofErr w:type="spellEnd"/>
      <w:r>
        <w:rPr>
          <w:rFonts w:cs="Arial"/>
          <w:lang w:val="fr-FR"/>
        </w:rPr>
        <w:fldChar w:fldCharType="begin"/>
      </w:r>
      <w:r w:rsidRPr="00CE490B">
        <w:rPr>
          <w:lang w:val="fr-CH"/>
        </w:rPr>
        <w:instrText xml:space="preserve"> TC "</w:instrText>
      </w:r>
      <w:bookmarkStart w:id="290" w:name="_Toc503278440"/>
      <w:proofErr w:type="spellStart"/>
      <w:r w:rsidRPr="00CE490B">
        <w:rPr>
          <w:rFonts w:cs="Arial"/>
          <w:i/>
          <w:lang w:val="fr-FR"/>
        </w:rPr>
        <w:instrText>Telecommunications</w:instrText>
      </w:r>
      <w:proofErr w:type="spellEnd"/>
      <w:r w:rsidRPr="00CE490B">
        <w:rPr>
          <w:rFonts w:cs="Arial"/>
          <w:i/>
          <w:lang w:val="fr-FR"/>
        </w:rPr>
        <w:instrText xml:space="preserve"> </w:instrText>
      </w:r>
      <w:proofErr w:type="spellStart"/>
      <w:r w:rsidRPr="00CE490B">
        <w:rPr>
          <w:rFonts w:cs="Arial"/>
          <w:i/>
          <w:lang w:val="fr-FR"/>
        </w:rPr>
        <w:instrText>Authority</w:instrText>
      </w:r>
      <w:proofErr w:type="spellEnd"/>
      <w:r w:rsidRPr="00CE490B">
        <w:rPr>
          <w:rFonts w:cs="Arial"/>
          <w:i/>
          <w:lang w:val="fr-FR"/>
        </w:rPr>
        <w:instrText xml:space="preserve"> of Trinidad and Tobago (TATT), </w:instrText>
      </w:r>
      <w:proofErr w:type="spellStart"/>
      <w:r w:rsidRPr="00CE490B">
        <w:rPr>
          <w:rFonts w:cs="Arial"/>
          <w:lang w:val="fr-FR"/>
        </w:rPr>
        <w:instrText>Barataria</w:instrText>
      </w:r>
      <w:bookmarkEnd w:id="290"/>
      <w:proofErr w:type="spellEnd"/>
      <w:r w:rsidRPr="00CE490B">
        <w:rPr>
          <w:lang w:val="fr-CH"/>
        </w:rPr>
        <w:instrText xml:space="preserve">" \f C \l "1" </w:instrText>
      </w:r>
      <w:r>
        <w:rPr>
          <w:rFonts w:cs="Arial"/>
          <w:lang w:val="fr-FR"/>
        </w:rPr>
        <w:fldChar w:fldCharType="end"/>
      </w:r>
      <w:r w:rsidRPr="00CE490B">
        <w:rPr>
          <w:rFonts w:cs="Arial"/>
          <w:lang w:val="fr-FR"/>
        </w:rPr>
        <w:t xml:space="preserve">, annonce que les indicatifs de central (NXX) suivants ont été attribués à des opérateurs, dans le cadre du plan de numérotage de l'Amérique du Nord (NPA – 868), pour Trinité-et-Tobago. </w:t>
      </w:r>
    </w:p>
    <w:p w:rsidR="00CE490B" w:rsidRPr="00CE490B" w:rsidRDefault="00CE490B" w:rsidP="00CE490B">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lang w:val="fr-FR"/>
        </w:rPr>
      </w:pPr>
    </w:p>
    <w:p w:rsidR="00CE490B" w:rsidRPr="00CE490B" w:rsidRDefault="00CE490B" w:rsidP="00CE490B">
      <w:pPr>
        <w:numPr>
          <w:ilvl w:val="0"/>
          <w:numId w:val="30"/>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ind w:left="357" w:hanging="357"/>
        <w:contextualSpacing/>
        <w:textAlignment w:val="auto"/>
        <w:rPr>
          <w:rFonts w:cs="Arial"/>
          <w:lang w:val="fr-FR"/>
        </w:rPr>
      </w:pPr>
      <w:r w:rsidRPr="00CE490B">
        <w:rPr>
          <w:rFonts w:cs="Arial"/>
          <w:lang w:val="fr-FR"/>
        </w:rPr>
        <w:t>Réseau fixe</w:t>
      </w:r>
    </w:p>
    <w:p w:rsidR="00CE490B" w:rsidRPr="00CE490B" w:rsidRDefault="00CE490B" w:rsidP="00CE490B">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2"/>
        <w:gridCol w:w="2126"/>
      </w:tblGrid>
      <w:tr w:rsidR="00CE490B" w:rsidRPr="00CE490B" w:rsidTr="004959DC">
        <w:trPr>
          <w:trHeight w:val="265"/>
        </w:trPr>
        <w:tc>
          <w:tcPr>
            <w:tcW w:w="3964" w:type="dxa"/>
          </w:tcPr>
          <w:p w:rsidR="00CE490B" w:rsidRPr="00CE490B" w:rsidRDefault="00CE490B" w:rsidP="00CE490B">
            <w:pPr>
              <w:tabs>
                <w:tab w:val="clear" w:pos="567"/>
                <w:tab w:val="clear" w:pos="1276"/>
                <w:tab w:val="clear" w:pos="1843"/>
                <w:tab w:val="clear" w:pos="5387"/>
                <w:tab w:val="clear" w:pos="5954"/>
              </w:tabs>
              <w:overflowPunct/>
              <w:spacing w:before="40" w:after="40"/>
              <w:jc w:val="center"/>
              <w:textAlignment w:val="auto"/>
              <w:rPr>
                <w:rFonts w:eastAsia="SimSun" w:cs="Calibri"/>
                <w:color w:val="000000"/>
                <w:lang w:val="fr-FR" w:eastAsia="zh-CN"/>
              </w:rPr>
            </w:pPr>
            <w:r w:rsidRPr="00CE490B">
              <w:rPr>
                <w:rFonts w:eastAsia="SimSun" w:cs="Calibri"/>
                <w:i/>
                <w:iCs/>
                <w:color w:val="000000"/>
                <w:lang w:val="fr-FR" w:eastAsia="zh-CN"/>
              </w:rPr>
              <w:t>Nom de l'opérateur</w:t>
            </w:r>
          </w:p>
        </w:tc>
        <w:tc>
          <w:tcPr>
            <w:tcW w:w="2552" w:type="dxa"/>
          </w:tcPr>
          <w:p w:rsidR="00CE490B" w:rsidRPr="00CE490B" w:rsidRDefault="00CE490B" w:rsidP="00CE490B">
            <w:pPr>
              <w:tabs>
                <w:tab w:val="clear" w:pos="567"/>
                <w:tab w:val="clear" w:pos="1276"/>
                <w:tab w:val="clear" w:pos="1843"/>
                <w:tab w:val="clear" w:pos="5387"/>
                <w:tab w:val="clear" w:pos="5954"/>
              </w:tabs>
              <w:overflowPunct/>
              <w:spacing w:before="40" w:after="40"/>
              <w:jc w:val="center"/>
              <w:textAlignment w:val="auto"/>
              <w:rPr>
                <w:rFonts w:eastAsia="SimSun" w:cs="Calibri"/>
                <w:color w:val="000000"/>
                <w:lang w:val="fr-FR" w:eastAsia="zh-CN"/>
              </w:rPr>
            </w:pPr>
            <w:r w:rsidRPr="00CE490B">
              <w:rPr>
                <w:rFonts w:eastAsia="SimSun" w:cs="Calibri"/>
                <w:i/>
                <w:iCs/>
                <w:color w:val="000000"/>
                <w:lang w:val="fr-FR" w:eastAsia="zh-CN"/>
              </w:rPr>
              <w:t xml:space="preserve">Indicatif de central </w:t>
            </w:r>
            <w:r w:rsidRPr="00CE490B">
              <w:rPr>
                <w:rFonts w:eastAsia="SimSun" w:cs="Calibri"/>
                <w:i/>
                <w:iCs/>
                <w:color w:val="000000"/>
                <w:lang w:val="fr-FR" w:eastAsia="zh-CN"/>
              </w:rPr>
              <w:br/>
              <w:t>(NXX)</w:t>
            </w:r>
          </w:p>
        </w:tc>
        <w:tc>
          <w:tcPr>
            <w:tcW w:w="2126" w:type="dxa"/>
          </w:tcPr>
          <w:p w:rsidR="00CE490B" w:rsidRPr="00CE490B" w:rsidRDefault="00CE490B" w:rsidP="00CE490B">
            <w:pPr>
              <w:tabs>
                <w:tab w:val="clear" w:pos="567"/>
                <w:tab w:val="clear" w:pos="1276"/>
                <w:tab w:val="clear" w:pos="1843"/>
                <w:tab w:val="clear" w:pos="5387"/>
                <w:tab w:val="clear" w:pos="5954"/>
              </w:tabs>
              <w:overflowPunct/>
              <w:spacing w:before="40" w:after="40"/>
              <w:jc w:val="center"/>
              <w:textAlignment w:val="auto"/>
              <w:rPr>
                <w:rFonts w:eastAsia="SimSun" w:cs="Calibri"/>
                <w:color w:val="000000"/>
                <w:lang w:val="fr-FR" w:eastAsia="zh-CN"/>
              </w:rPr>
            </w:pPr>
            <w:r w:rsidRPr="00CE490B">
              <w:rPr>
                <w:rFonts w:eastAsia="SimSun" w:cs="Calibri"/>
                <w:i/>
                <w:iCs/>
                <w:color w:val="000000"/>
                <w:lang w:val="fr-FR" w:eastAsia="zh-CN"/>
              </w:rPr>
              <w:t>Service</w:t>
            </w:r>
          </w:p>
        </w:tc>
      </w:tr>
      <w:tr w:rsidR="00CE490B" w:rsidRPr="00CE490B" w:rsidTr="004959DC">
        <w:trPr>
          <w:trHeight w:val="110"/>
        </w:trPr>
        <w:tc>
          <w:tcPr>
            <w:tcW w:w="3964" w:type="dxa"/>
          </w:tcPr>
          <w:p w:rsidR="00CE490B" w:rsidRPr="00CE490B" w:rsidRDefault="00CE490B" w:rsidP="00CE490B">
            <w:pPr>
              <w:tabs>
                <w:tab w:val="clear" w:pos="567"/>
                <w:tab w:val="clear" w:pos="1276"/>
                <w:tab w:val="clear" w:pos="1843"/>
                <w:tab w:val="clear" w:pos="5387"/>
                <w:tab w:val="clear" w:pos="5954"/>
              </w:tabs>
              <w:overflowPunct/>
              <w:spacing w:before="40" w:after="40"/>
              <w:jc w:val="left"/>
              <w:textAlignment w:val="auto"/>
              <w:rPr>
                <w:rFonts w:eastAsia="SimSun" w:cs="Calibri"/>
                <w:color w:val="000000"/>
                <w:lang w:val="fr-FR" w:eastAsia="zh-CN"/>
              </w:rPr>
            </w:pPr>
            <w:r w:rsidRPr="00CE490B">
              <w:rPr>
                <w:rFonts w:cs="Arial"/>
                <w:lang w:val="fr-FR"/>
              </w:rPr>
              <w:t>Air Link Communications Limited</w:t>
            </w:r>
          </w:p>
        </w:tc>
        <w:tc>
          <w:tcPr>
            <w:tcW w:w="2552" w:type="dxa"/>
          </w:tcPr>
          <w:p w:rsidR="00CE490B" w:rsidRPr="00CE490B" w:rsidRDefault="00CE490B" w:rsidP="00CE490B">
            <w:pPr>
              <w:tabs>
                <w:tab w:val="clear" w:pos="567"/>
                <w:tab w:val="clear" w:pos="1276"/>
                <w:tab w:val="clear" w:pos="1843"/>
                <w:tab w:val="clear" w:pos="5387"/>
                <w:tab w:val="clear" w:pos="5954"/>
              </w:tabs>
              <w:overflowPunct/>
              <w:spacing w:before="40" w:after="40"/>
              <w:jc w:val="center"/>
              <w:textAlignment w:val="auto"/>
              <w:rPr>
                <w:rFonts w:cs="Arial"/>
                <w:lang w:val="fr-FR"/>
              </w:rPr>
            </w:pPr>
            <w:r w:rsidRPr="00CE490B">
              <w:rPr>
                <w:rFonts w:cs="Arial"/>
                <w:lang w:val="fr-FR"/>
              </w:rPr>
              <w:t>608</w:t>
            </w:r>
          </w:p>
        </w:tc>
        <w:tc>
          <w:tcPr>
            <w:tcW w:w="2126" w:type="dxa"/>
          </w:tcPr>
          <w:p w:rsidR="00CE490B" w:rsidRPr="00CE490B" w:rsidRDefault="00CE490B" w:rsidP="00CE490B">
            <w:pPr>
              <w:tabs>
                <w:tab w:val="clear" w:pos="567"/>
                <w:tab w:val="clear" w:pos="1276"/>
                <w:tab w:val="clear" w:pos="1843"/>
                <w:tab w:val="clear" w:pos="5387"/>
                <w:tab w:val="clear" w:pos="5954"/>
              </w:tabs>
              <w:overflowPunct/>
              <w:spacing w:before="40" w:after="40"/>
              <w:jc w:val="center"/>
              <w:textAlignment w:val="auto"/>
              <w:rPr>
                <w:rFonts w:eastAsia="SimSun" w:cs="Calibri"/>
                <w:color w:val="000000"/>
                <w:lang w:val="fr-FR" w:eastAsia="zh-CN"/>
              </w:rPr>
            </w:pPr>
            <w:r w:rsidRPr="00CE490B">
              <w:rPr>
                <w:rFonts w:eastAsia="SimSun" w:cs="Calibri"/>
                <w:color w:val="000000"/>
                <w:lang w:val="fr-FR" w:eastAsia="zh-CN"/>
              </w:rPr>
              <w:t>Fixe</w:t>
            </w:r>
          </w:p>
        </w:tc>
      </w:tr>
    </w:tbl>
    <w:p w:rsidR="00CE490B" w:rsidRPr="00CE490B" w:rsidRDefault="00CE490B" w:rsidP="00CE490B">
      <w:pPr>
        <w:tabs>
          <w:tab w:val="clear" w:pos="567"/>
          <w:tab w:val="clear" w:pos="1276"/>
          <w:tab w:val="clear" w:pos="1843"/>
          <w:tab w:val="clear" w:pos="5387"/>
          <w:tab w:val="clear" w:pos="5954"/>
          <w:tab w:val="left" w:pos="794"/>
          <w:tab w:val="left" w:pos="1191"/>
          <w:tab w:val="left" w:pos="1588"/>
          <w:tab w:val="left" w:pos="1985"/>
        </w:tabs>
        <w:spacing w:before="0"/>
        <w:rPr>
          <w:rFonts w:cs="Arial"/>
          <w:bCs/>
          <w:lang w:val="fr-FR"/>
        </w:rPr>
      </w:pPr>
    </w:p>
    <w:p w:rsidR="00CE490B" w:rsidRPr="00CE490B" w:rsidRDefault="00CE490B" w:rsidP="00CE490B">
      <w:pPr>
        <w:tabs>
          <w:tab w:val="clear" w:pos="567"/>
          <w:tab w:val="clear" w:pos="1276"/>
          <w:tab w:val="clear" w:pos="1843"/>
          <w:tab w:val="clear" w:pos="5387"/>
          <w:tab w:val="clear" w:pos="5954"/>
          <w:tab w:val="left" w:pos="794"/>
          <w:tab w:val="left" w:pos="1191"/>
          <w:tab w:val="left" w:pos="1588"/>
          <w:tab w:val="left" w:pos="1985"/>
        </w:tabs>
        <w:spacing w:before="0"/>
        <w:rPr>
          <w:rFonts w:cs="Arial"/>
          <w:bCs/>
          <w:lang w:val="fr-FR"/>
        </w:rPr>
      </w:pPr>
      <w:proofErr w:type="gramStart"/>
      <w:r w:rsidRPr="00CE490B">
        <w:rPr>
          <w:rFonts w:cs="Arial"/>
          <w:bCs/>
          <w:lang w:val="fr-FR"/>
        </w:rPr>
        <w:t>Contact:</w:t>
      </w:r>
      <w:proofErr w:type="gramEnd"/>
    </w:p>
    <w:p w:rsidR="00CE490B" w:rsidRPr="00CE490B" w:rsidRDefault="00CE490B" w:rsidP="00CE490B">
      <w:pPr>
        <w:tabs>
          <w:tab w:val="clear" w:pos="567"/>
          <w:tab w:val="clear" w:pos="1276"/>
          <w:tab w:val="clear" w:pos="1843"/>
          <w:tab w:val="clear" w:pos="5387"/>
          <w:tab w:val="clear" w:pos="5954"/>
          <w:tab w:val="left" w:pos="794"/>
          <w:tab w:val="left" w:pos="1191"/>
          <w:tab w:val="left" w:pos="1588"/>
          <w:tab w:val="left" w:pos="1985"/>
        </w:tabs>
        <w:ind w:left="794" w:hanging="794"/>
        <w:jc w:val="left"/>
        <w:rPr>
          <w:rFonts w:cs="Arial"/>
          <w:bCs/>
          <w:lang w:val="en-US"/>
        </w:rPr>
      </w:pPr>
      <w:r w:rsidRPr="00B009CE">
        <w:rPr>
          <w:rFonts w:cs="Calibri"/>
          <w:lang w:val="en-US"/>
        </w:rPr>
        <w:tab/>
      </w:r>
      <w:r w:rsidRPr="00CE490B">
        <w:rPr>
          <w:rFonts w:cs="Calibri"/>
          <w:lang w:val="en-US"/>
        </w:rPr>
        <w:t>M</w:t>
      </w:r>
      <w:r w:rsidRPr="00CE490B">
        <w:rPr>
          <w:lang w:val="en-US"/>
        </w:rPr>
        <w:t>.</w:t>
      </w:r>
      <w:r w:rsidRPr="00CE490B">
        <w:rPr>
          <w:rFonts w:cs="Calibri"/>
          <w:lang w:val="en-US"/>
        </w:rPr>
        <w:t xml:space="preserve"> John Prince</w:t>
      </w:r>
      <w:r w:rsidRPr="00CE490B">
        <w:rPr>
          <w:rFonts w:cs="Calibri"/>
          <w:lang w:val="en-US"/>
        </w:rPr>
        <w:br/>
        <w:t>Chief Executive Officer</w:t>
      </w:r>
      <w:r w:rsidRPr="00CE490B">
        <w:rPr>
          <w:rFonts w:cs="Calibri"/>
          <w:lang w:val="en-US"/>
        </w:rPr>
        <w:br/>
      </w:r>
      <w:r w:rsidRPr="00CE490B">
        <w:rPr>
          <w:rFonts w:cs="Arial"/>
          <w:bCs/>
        </w:rPr>
        <w:t>Telecommunications Authority of Trinidad and Tobago (TATT)</w:t>
      </w:r>
      <w:r>
        <w:rPr>
          <w:rFonts w:cs="Arial"/>
          <w:bCs/>
        </w:rPr>
        <w:br/>
      </w:r>
      <w:r w:rsidRPr="00CE490B">
        <w:rPr>
          <w:rFonts w:cs="Arial"/>
          <w:bCs/>
        </w:rPr>
        <w:t>5, Eight Avenue Extension, off Twelfth Street</w:t>
      </w:r>
      <w:r>
        <w:rPr>
          <w:rFonts w:cs="Arial"/>
          <w:bCs/>
        </w:rPr>
        <w:br/>
      </w:r>
      <w:r w:rsidRPr="00CE490B">
        <w:rPr>
          <w:rFonts w:cs="Arial"/>
          <w:bCs/>
          <w:lang w:val="en-US"/>
        </w:rPr>
        <w:t xml:space="preserve">BARATARIA </w:t>
      </w:r>
      <w:r w:rsidRPr="00CE490B">
        <w:rPr>
          <w:rFonts w:cs="Arial"/>
          <w:bCs/>
          <w:lang w:val="en-US"/>
        </w:rPr>
        <w:br/>
      </w:r>
      <w:proofErr w:type="spellStart"/>
      <w:r w:rsidRPr="00CE490B">
        <w:rPr>
          <w:rFonts w:cs="Arial"/>
          <w:bCs/>
          <w:lang w:val="en-US"/>
        </w:rPr>
        <w:t>Trinité</w:t>
      </w:r>
      <w:proofErr w:type="spellEnd"/>
      <w:r w:rsidRPr="00CE490B">
        <w:rPr>
          <w:rFonts w:cs="Arial"/>
          <w:bCs/>
          <w:lang w:val="en-US"/>
        </w:rPr>
        <w:t>-et-Tobago</w:t>
      </w:r>
      <w:r w:rsidRPr="00CE490B">
        <w:rPr>
          <w:rFonts w:cs="Arial"/>
          <w:bCs/>
          <w:lang w:val="en-US"/>
        </w:rPr>
        <w:br/>
      </w:r>
      <w:proofErr w:type="spellStart"/>
      <w:r w:rsidRPr="00CE490B">
        <w:rPr>
          <w:rFonts w:cs="Arial"/>
          <w:bCs/>
          <w:lang w:val="en-US"/>
        </w:rPr>
        <w:t>Tél</w:t>
      </w:r>
      <w:proofErr w:type="spellEnd"/>
      <w:r w:rsidRPr="00CE490B">
        <w:rPr>
          <w:rFonts w:cs="Arial"/>
          <w:bCs/>
          <w:lang w:val="en-US"/>
        </w:rPr>
        <w:t>.:</w:t>
      </w:r>
      <w:r w:rsidRPr="00CE490B">
        <w:rPr>
          <w:rFonts w:cs="Arial"/>
          <w:bCs/>
          <w:lang w:val="en-US"/>
        </w:rPr>
        <w:tab/>
      </w:r>
      <w:r w:rsidRPr="00CE490B">
        <w:rPr>
          <w:rFonts w:cs="Arial"/>
          <w:bCs/>
          <w:lang w:val="en-US"/>
        </w:rPr>
        <w:tab/>
        <w:t xml:space="preserve">+1 868 675 8288 </w:t>
      </w:r>
      <w:r w:rsidRPr="00CE490B">
        <w:rPr>
          <w:rFonts w:cs="Arial"/>
          <w:bCs/>
          <w:lang w:val="en-US"/>
        </w:rPr>
        <w:br/>
        <w:t>Fax:</w:t>
      </w:r>
      <w:r w:rsidRPr="00CE490B">
        <w:rPr>
          <w:rFonts w:cs="Arial"/>
          <w:bCs/>
          <w:lang w:val="en-US"/>
        </w:rPr>
        <w:tab/>
      </w:r>
      <w:r w:rsidRPr="00CE490B">
        <w:rPr>
          <w:rFonts w:cs="Arial"/>
          <w:bCs/>
          <w:lang w:val="en-US"/>
        </w:rPr>
        <w:tab/>
        <w:t xml:space="preserve">+1 868 674 1055 </w:t>
      </w:r>
      <w:r w:rsidRPr="00CE490B">
        <w:rPr>
          <w:rFonts w:cs="Arial"/>
          <w:bCs/>
          <w:lang w:val="en-US"/>
        </w:rPr>
        <w:br/>
      </w:r>
      <w:r w:rsidRPr="00CE490B">
        <w:rPr>
          <w:lang w:val="en-US"/>
        </w:rPr>
        <w:t xml:space="preserve">E-mail: </w:t>
      </w:r>
      <w:r w:rsidRPr="00CE490B">
        <w:rPr>
          <w:lang w:val="en-US"/>
        </w:rPr>
        <w:tab/>
      </w:r>
      <w:hyperlink r:id="rId9" w:history="1">
        <w:r w:rsidRPr="00CE490B">
          <w:rPr>
            <w:lang w:val="en-US"/>
          </w:rPr>
          <w:t>info@tatt.org.tt</w:t>
        </w:r>
      </w:hyperlink>
      <w:r w:rsidRPr="00CE490B">
        <w:rPr>
          <w:lang w:val="en-US"/>
        </w:rPr>
        <w:br/>
      </w:r>
      <w:r w:rsidRPr="00CE490B">
        <w:rPr>
          <w:rFonts w:cs="Arial"/>
          <w:bCs/>
          <w:lang w:val="en-US"/>
        </w:rPr>
        <w:t>URL:</w:t>
      </w:r>
      <w:r w:rsidRPr="00CE490B">
        <w:rPr>
          <w:rFonts w:cs="Arial"/>
          <w:bCs/>
          <w:lang w:val="en-US"/>
        </w:rPr>
        <w:tab/>
        <w:t xml:space="preserve">  </w:t>
      </w:r>
      <w:r w:rsidRPr="00CE490B">
        <w:rPr>
          <w:rFonts w:cs="Arial"/>
          <w:bCs/>
          <w:lang w:val="en-US"/>
        </w:rPr>
        <w:tab/>
        <w:t>www.tatt.org.tt</w:t>
      </w:r>
    </w:p>
    <w:p w:rsidR="009318FA" w:rsidRDefault="009318FA" w:rsidP="00173531">
      <w:pPr>
        <w:rPr>
          <w:lang w:val="en-US"/>
        </w:rPr>
      </w:pPr>
    </w:p>
    <w:p w:rsidR="00173531" w:rsidRDefault="0017353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C66425" w:rsidRPr="002B52AB" w:rsidRDefault="00C66425" w:rsidP="00C66425">
      <w:pPr>
        <w:pStyle w:val="Heading20"/>
      </w:pPr>
      <w:bookmarkStart w:id="291" w:name="_Toc503278441"/>
      <w:r>
        <w:lastRenderedPageBreak/>
        <w:t>Autre</w:t>
      </w:r>
      <w:r w:rsidR="00C47BF6">
        <w:t>s</w:t>
      </w:r>
      <w:r>
        <w:t xml:space="preserve"> communication</w:t>
      </w:r>
      <w:bookmarkEnd w:id="291"/>
      <w:r w:rsidR="00C47BF6">
        <w:t>s</w:t>
      </w:r>
    </w:p>
    <w:p w:rsidR="00173531" w:rsidRPr="00997B34" w:rsidRDefault="00173531" w:rsidP="00173531">
      <w:pPr>
        <w:tabs>
          <w:tab w:val="clear" w:pos="1276"/>
          <w:tab w:val="clear" w:pos="1843"/>
          <w:tab w:val="left" w:pos="1134"/>
          <w:tab w:val="left" w:pos="1560"/>
          <w:tab w:val="left" w:pos="2127"/>
        </w:tabs>
        <w:spacing w:before="240"/>
        <w:jc w:val="left"/>
        <w:outlineLvl w:val="4"/>
        <w:rPr>
          <w:b/>
          <w:lang w:val="fr-FR"/>
        </w:rPr>
      </w:pPr>
      <w:r w:rsidRPr="00997B34">
        <w:rPr>
          <w:rFonts w:eastAsia="Calibri" w:cs="Arial"/>
          <w:b/>
          <w:lang w:val="fr-FR"/>
        </w:rPr>
        <w:t>Allemagne</w:t>
      </w:r>
      <w:r w:rsidRPr="00997B34">
        <w:rPr>
          <w:b/>
          <w:lang w:val="fr-FR"/>
        </w:rPr>
        <w:t xml:space="preserve"> </w:t>
      </w:r>
    </w:p>
    <w:p w:rsidR="00173531" w:rsidRPr="00997B34" w:rsidRDefault="00173531" w:rsidP="00173531">
      <w:pPr>
        <w:tabs>
          <w:tab w:val="clear" w:pos="1276"/>
          <w:tab w:val="clear" w:pos="1843"/>
          <w:tab w:val="left" w:pos="1134"/>
          <w:tab w:val="left" w:pos="1560"/>
          <w:tab w:val="left" w:pos="2127"/>
        </w:tabs>
        <w:spacing w:before="40" w:after="120"/>
        <w:jc w:val="left"/>
        <w:outlineLvl w:val="4"/>
        <w:rPr>
          <w:b/>
          <w:bCs/>
          <w:lang w:val="fr-FR"/>
        </w:rPr>
      </w:pPr>
      <w:r w:rsidRPr="00997B34">
        <w:rPr>
          <w:lang w:val="fr-FR"/>
        </w:rPr>
        <w:t xml:space="preserve">Communication du </w:t>
      </w:r>
      <w:proofErr w:type="gramStart"/>
      <w:r w:rsidRPr="00997B34">
        <w:rPr>
          <w:lang w:val="fr-FR"/>
        </w:rPr>
        <w:t>13.XI.2017:</w:t>
      </w:r>
      <w:proofErr w:type="gramEnd"/>
    </w:p>
    <w:p w:rsidR="00173531" w:rsidRPr="00997B34" w:rsidRDefault="00173531" w:rsidP="00173531">
      <w:pPr>
        <w:tabs>
          <w:tab w:val="clear" w:pos="567"/>
          <w:tab w:val="clear" w:pos="1276"/>
          <w:tab w:val="clear" w:pos="1843"/>
          <w:tab w:val="clear" w:pos="5387"/>
          <w:tab w:val="clear" w:pos="5954"/>
        </w:tabs>
        <w:overflowPunct/>
        <w:autoSpaceDE/>
        <w:autoSpaceDN/>
        <w:adjustRightInd/>
        <w:spacing w:before="0" w:after="120" w:line="276" w:lineRule="auto"/>
        <w:jc w:val="left"/>
        <w:textAlignment w:val="auto"/>
        <w:rPr>
          <w:rFonts w:eastAsia="Calibri" w:cs="Arial"/>
          <w:lang w:val="fr-FR"/>
        </w:rPr>
      </w:pPr>
      <w:r w:rsidRPr="00997B34">
        <w:rPr>
          <w:rFonts w:eastAsia="Calibri" w:cs="Arial"/>
          <w:lang w:val="fr-FR"/>
        </w:rPr>
        <w:t xml:space="preserve">En Allemagne, l'utilisation extraterritoriale de numéros de téléphone E.164 et d'identités internationales d'abonnés mobiles (IMSI) E.212 a été autorisée pour les communications de machine à machine (M2M). L'autorisation porte </w:t>
      </w:r>
      <w:proofErr w:type="gramStart"/>
      <w:r w:rsidRPr="00997B34">
        <w:rPr>
          <w:rFonts w:eastAsia="Calibri" w:cs="Arial"/>
          <w:lang w:val="fr-FR"/>
        </w:rPr>
        <w:t>sur:</w:t>
      </w:r>
      <w:proofErr w:type="gramEnd"/>
      <w:r w:rsidRPr="00997B34">
        <w:rPr>
          <w:rFonts w:eastAsia="Calibri" w:cs="Arial"/>
          <w:lang w:val="fr-FR"/>
        </w:rPr>
        <w:t xml:space="preserve"> </w:t>
      </w:r>
    </w:p>
    <w:p w:rsidR="00173531" w:rsidRPr="00997B34" w:rsidRDefault="00173531" w:rsidP="00173531">
      <w:pPr>
        <w:pStyle w:val="EnumLev10"/>
        <w:rPr>
          <w:lang w:val="fr-FR"/>
        </w:rPr>
      </w:pPr>
      <w:r w:rsidRPr="00997B34">
        <w:rPr>
          <w:lang w:val="fr-FR"/>
        </w:rPr>
        <w:t>•</w:t>
      </w:r>
      <w:r w:rsidRPr="00997B34">
        <w:rPr>
          <w:lang w:val="fr-FR"/>
        </w:rPr>
        <w:tab/>
        <w:t>l'utilisation permanente</w:t>
      </w:r>
      <w:r w:rsidRPr="00997B34" w:rsidDel="00045CB0">
        <w:rPr>
          <w:lang w:val="fr-FR"/>
        </w:rPr>
        <w:t xml:space="preserve"> </w:t>
      </w:r>
      <w:r w:rsidRPr="00997B34">
        <w:rPr>
          <w:lang w:val="fr-FR"/>
        </w:rPr>
        <w:t xml:space="preserve">de ressources de numérotage de l'étranger sur le territoire de l'Allemagne et </w:t>
      </w:r>
    </w:p>
    <w:p w:rsidR="00173531" w:rsidRPr="00997B34" w:rsidRDefault="00173531" w:rsidP="00173531">
      <w:pPr>
        <w:pStyle w:val="EnumLev10"/>
        <w:rPr>
          <w:rFonts w:eastAsia="Calibri"/>
          <w:lang w:val="fr-FR"/>
        </w:rPr>
      </w:pPr>
      <w:r w:rsidRPr="00997B34">
        <w:rPr>
          <w:lang w:val="fr-FR"/>
        </w:rPr>
        <w:t>•</w:t>
      </w:r>
      <w:r w:rsidRPr="00997B34">
        <w:rPr>
          <w:lang w:val="fr-FR"/>
        </w:rPr>
        <w:tab/>
        <w:t>l'utilisation permanente</w:t>
      </w:r>
      <w:r w:rsidRPr="00997B34" w:rsidDel="00045CB0">
        <w:rPr>
          <w:lang w:val="fr-FR"/>
        </w:rPr>
        <w:t xml:space="preserve"> </w:t>
      </w:r>
      <w:r w:rsidRPr="00997B34">
        <w:rPr>
          <w:lang w:val="fr-FR"/>
        </w:rPr>
        <w:t xml:space="preserve">de numéros de téléphone </w:t>
      </w:r>
      <w:r w:rsidRPr="00997B34">
        <w:rPr>
          <w:rFonts w:eastAsia="Calibri"/>
          <w:lang w:val="fr-FR"/>
        </w:rPr>
        <w:t>pour les services mobiles attribués en Allemagne avec l'indicatif de pays +49 et d'identités IMSI avec l'indicatif de pays pour les services mobiles 262 hors de l'Allemagne.</w:t>
      </w:r>
    </w:p>
    <w:p w:rsidR="00173531" w:rsidRPr="00997B34" w:rsidRDefault="00173531" w:rsidP="00173531">
      <w:pPr>
        <w:rPr>
          <w:rFonts w:eastAsia="Calibri"/>
          <w:lang w:val="fr-FR"/>
        </w:rPr>
      </w:pPr>
      <w:r w:rsidRPr="00997B34">
        <w:rPr>
          <w:rFonts w:eastAsia="Calibri"/>
          <w:lang w:val="fr-FR"/>
        </w:rPr>
        <w:t>Dans certains cas, l'autorisation repose sur une notification préalable à l'Agence fédérale des réseaux pour l'électricité, le gaz, les télécommunications, la poste et les chemins de fer (</w:t>
      </w:r>
      <w:proofErr w:type="spellStart"/>
      <w:r w:rsidRPr="00997B34">
        <w:rPr>
          <w:rFonts w:eastAsia="Calibri"/>
          <w:lang w:val="fr-FR"/>
        </w:rPr>
        <w:t>Bundesnetzagentur</w:t>
      </w:r>
      <w:proofErr w:type="spellEnd"/>
      <w:r w:rsidRPr="00997B34">
        <w:rPr>
          <w:rFonts w:eastAsia="Calibri"/>
          <w:lang w:val="fr-FR"/>
        </w:rPr>
        <w:t>).</w:t>
      </w:r>
    </w:p>
    <w:p w:rsidR="00173531" w:rsidRPr="00997B34" w:rsidRDefault="00173531" w:rsidP="00173531">
      <w:pPr>
        <w:rPr>
          <w:rFonts w:eastAsia="Calibri" w:cs="Arial"/>
          <w:lang w:val="fr-FR"/>
        </w:rPr>
      </w:pPr>
      <w:r w:rsidRPr="00997B34">
        <w:rPr>
          <w:rFonts w:eastAsia="Calibri"/>
          <w:lang w:val="fr-FR"/>
        </w:rPr>
        <w:t xml:space="preserve">On trouvera les dispositions réglementaires applicables ainsi que les formulaires de notification correspondants sur le web à </w:t>
      </w:r>
      <w:proofErr w:type="gramStart"/>
      <w:r w:rsidRPr="00997B34">
        <w:rPr>
          <w:rFonts w:eastAsia="Calibri"/>
          <w:lang w:val="fr-FR"/>
        </w:rPr>
        <w:t>l'adresse:</w:t>
      </w:r>
      <w:proofErr w:type="gramEnd"/>
      <w:r w:rsidRPr="00997B34">
        <w:rPr>
          <w:rFonts w:eastAsia="Calibri"/>
          <w:lang w:val="fr-FR"/>
        </w:rPr>
        <w:t xml:space="preserve"> </w:t>
      </w:r>
      <w:r w:rsidR="004959DC">
        <w:fldChar w:fldCharType="begin"/>
      </w:r>
      <w:r w:rsidR="004959DC" w:rsidRPr="004959DC">
        <w:rPr>
          <w:lang w:val="fr-CH"/>
        </w:rPr>
        <w:instrText xml:space="preserve"> HYPERLINK "http://www.bundesnetzagentur.de/EN" </w:instrText>
      </w:r>
      <w:r w:rsidR="004959DC">
        <w:fldChar w:fldCharType="separate"/>
      </w:r>
      <w:r w:rsidRPr="00997B34">
        <w:rPr>
          <w:rStyle w:val="Hyperlink"/>
          <w:rFonts w:eastAsia="Calibri" w:cs="Arial"/>
          <w:lang w:val="fr-FR"/>
        </w:rPr>
        <w:t>www.bundesnetzagentur.de/EN</w:t>
      </w:r>
      <w:r w:rsidR="004959DC">
        <w:rPr>
          <w:rStyle w:val="Hyperlink"/>
          <w:rFonts w:eastAsia="Calibri" w:cs="Arial"/>
          <w:lang w:val="fr-FR"/>
        </w:rPr>
        <w:fldChar w:fldCharType="end"/>
      </w:r>
    </w:p>
    <w:p w:rsidR="00173531" w:rsidRPr="00997B34" w:rsidRDefault="00173531" w:rsidP="00173531">
      <w:pPr>
        <w:rPr>
          <w:rFonts w:eastAsia="Calibri" w:cs="Arial"/>
          <w:lang w:val="fr-FR"/>
        </w:rPr>
      </w:pPr>
    </w:p>
    <w:p w:rsidR="00173531" w:rsidRPr="00C0251A" w:rsidRDefault="00173531" w:rsidP="00173531">
      <w:pPr>
        <w:tabs>
          <w:tab w:val="clear" w:pos="567"/>
          <w:tab w:val="clear" w:pos="1276"/>
          <w:tab w:val="clear" w:pos="1843"/>
          <w:tab w:val="clear" w:pos="5387"/>
          <w:tab w:val="clear" w:pos="5954"/>
        </w:tabs>
        <w:overflowPunct/>
        <w:autoSpaceDE/>
        <w:autoSpaceDN/>
        <w:adjustRightInd/>
        <w:spacing w:before="0" w:after="120" w:line="276" w:lineRule="auto"/>
        <w:jc w:val="left"/>
        <w:textAlignment w:val="auto"/>
        <w:rPr>
          <w:rFonts w:eastAsia="Calibri" w:cs="Arial"/>
        </w:rPr>
      </w:pPr>
      <w:proofErr w:type="gramStart"/>
      <w:r w:rsidRPr="00C0251A">
        <w:rPr>
          <w:rFonts w:eastAsia="Calibri" w:cs="Arial"/>
        </w:rPr>
        <w:t>→  Telecommunications</w:t>
      </w:r>
      <w:proofErr w:type="gramEnd"/>
      <w:r w:rsidRPr="00C0251A">
        <w:rPr>
          <w:rFonts w:eastAsia="Calibri" w:cs="Arial"/>
        </w:rPr>
        <w:t xml:space="preserve">  →  Stakeholder Information  →  Number Management  →  Numbers for mobile services</w:t>
      </w:r>
    </w:p>
    <w:p w:rsidR="00173531" w:rsidRPr="00C0251A" w:rsidRDefault="00173531" w:rsidP="00173531">
      <w:pPr>
        <w:tabs>
          <w:tab w:val="clear" w:pos="567"/>
          <w:tab w:val="clear" w:pos="1276"/>
          <w:tab w:val="clear" w:pos="1843"/>
          <w:tab w:val="clear" w:pos="5387"/>
          <w:tab w:val="clear" w:pos="5954"/>
        </w:tabs>
        <w:overflowPunct/>
        <w:autoSpaceDE/>
        <w:autoSpaceDN/>
        <w:adjustRightInd/>
        <w:spacing w:before="0" w:after="120" w:line="276" w:lineRule="auto"/>
        <w:jc w:val="left"/>
        <w:textAlignment w:val="auto"/>
        <w:rPr>
          <w:rFonts w:eastAsia="Calibri" w:cs="Arial"/>
        </w:rPr>
      </w:pPr>
      <w:proofErr w:type="gramStart"/>
      <w:r w:rsidRPr="00C0251A">
        <w:rPr>
          <w:rFonts w:eastAsia="Calibri" w:cs="Arial"/>
        </w:rPr>
        <w:t>et</w:t>
      </w:r>
      <w:proofErr w:type="gramEnd"/>
    </w:p>
    <w:p w:rsidR="00173531" w:rsidRPr="00C0251A" w:rsidRDefault="00173531" w:rsidP="00173531">
      <w:pPr>
        <w:tabs>
          <w:tab w:val="clear" w:pos="567"/>
          <w:tab w:val="clear" w:pos="1276"/>
          <w:tab w:val="clear" w:pos="1843"/>
          <w:tab w:val="clear" w:pos="5387"/>
          <w:tab w:val="clear" w:pos="5954"/>
        </w:tabs>
        <w:overflowPunct/>
        <w:autoSpaceDE/>
        <w:autoSpaceDN/>
        <w:adjustRightInd/>
        <w:spacing w:before="0" w:after="120" w:line="276" w:lineRule="auto"/>
        <w:jc w:val="left"/>
        <w:textAlignment w:val="auto"/>
        <w:rPr>
          <w:rFonts w:eastAsia="Calibri" w:cs="Arial"/>
        </w:rPr>
      </w:pPr>
      <w:proofErr w:type="gramStart"/>
      <w:r w:rsidRPr="00C0251A">
        <w:rPr>
          <w:rFonts w:eastAsia="Calibri" w:cs="Arial"/>
        </w:rPr>
        <w:t>→  Telecommunications</w:t>
      </w:r>
      <w:proofErr w:type="gramEnd"/>
      <w:r w:rsidRPr="00C0251A">
        <w:rPr>
          <w:rFonts w:eastAsia="Calibri" w:cs="Arial"/>
        </w:rPr>
        <w:t xml:space="preserve">  →  Stakeholder Information  →  Number Management  →  Numbers for machine-to-machine (M2M) communications</w:t>
      </w:r>
    </w:p>
    <w:p w:rsidR="00173531" w:rsidRPr="00C0251A" w:rsidRDefault="00173531" w:rsidP="00173531">
      <w:pPr>
        <w:ind w:left="567" w:hanging="567"/>
        <w:jc w:val="left"/>
      </w:pPr>
      <w:r w:rsidRPr="00C0251A">
        <w:t>Contact:</w:t>
      </w:r>
    </w:p>
    <w:p w:rsidR="00173531" w:rsidRPr="00C0251A" w:rsidRDefault="00173531" w:rsidP="00173531">
      <w:pPr>
        <w:ind w:left="567" w:hanging="567"/>
        <w:jc w:val="left"/>
      </w:pPr>
      <w:r w:rsidRPr="00C0251A">
        <w:tab/>
      </w:r>
      <w:proofErr w:type="spellStart"/>
      <w:r w:rsidRPr="00C0251A">
        <w:t>Bundesnetzagentur</w:t>
      </w:r>
      <w:proofErr w:type="spellEnd"/>
      <w:r w:rsidRPr="00C0251A">
        <w:br/>
        <w:t>Numbering Policy</w:t>
      </w:r>
      <w:r w:rsidRPr="00C0251A">
        <w:br/>
        <w:t>Mr. Martin Spangenberg</w:t>
      </w:r>
      <w:r w:rsidRPr="00C0251A">
        <w:br/>
      </w:r>
      <w:proofErr w:type="spellStart"/>
      <w:r w:rsidRPr="00C0251A">
        <w:rPr>
          <w:rFonts w:cs="Arial"/>
          <w:color w:val="000000"/>
        </w:rPr>
        <w:t>Tulpenfeld</w:t>
      </w:r>
      <w:proofErr w:type="spellEnd"/>
      <w:r w:rsidRPr="00C0251A">
        <w:rPr>
          <w:rFonts w:cs="Arial"/>
          <w:color w:val="000000"/>
        </w:rPr>
        <w:t xml:space="preserve"> 4</w:t>
      </w:r>
      <w:r w:rsidRPr="00C0251A">
        <w:rPr>
          <w:rFonts w:cs="Arial"/>
          <w:color w:val="000000"/>
        </w:rPr>
        <w:br/>
        <w:t>53113 Bonn</w:t>
      </w:r>
      <w:r w:rsidRPr="00C0251A">
        <w:rPr>
          <w:rFonts w:cs="Arial"/>
          <w:color w:val="000000"/>
        </w:rPr>
        <w:br/>
      </w:r>
      <w:proofErr w:type="spellStart"/>
      <w:r w:rsidRPr="00C0251A">
        <w:rPr>
          <w:rFonts w:cs="Arial"/>
          <w:color w:val="000000"/>
        </w:rPr>
        <w:t>Allemagne</w:t>
      </w:r>
      <w:proofErr w:type="spellEnd"/>
      <w:r w:rsidRPr="00C0251A">
        <w:rPr>
          <w:rFonts w:cs="Arial"/>
          <w:color w:val="000000"/>
        </w:rPr>
        <w:br/>
      </w:r>
      <w:proofErr w:type="spellStart"/>
      <w:r w:rsidRPr="00C0251A">
        <w:rPr>
          <w:rFonts w:cs="Arial"/>
        </w:rPr>
        <w:t>Tél</w:t>
      </w:r>
      <w:proofErr w:type="spellEnd"/>
      <w:r w:rsidRPr="00C0251A">
        <w:rPr>
          <w:rFonts w:cs="Arial"/>
        </w:rPr>
        <w:t>.:</w:t>
      </w:r>
      <w:r w:rsidRPr="00C0251A">
        <w:rPr>
          <w:rFonts w:cs="Arial"/>
        </w:rPr>
        <w:tab/>
        <w:t>+49 228 14 1177</w:t>
      </w:r>
      <w:r w:rsidRPr="00C0251A">
        <w:rPr>
          <w:rFonts w:cs="Arial"/>
        </w:rPr>
        <w:br/>
        <w:t>Fax:</w:t>
      </w:r>
      <w:r w:rsidRPr="00C0251A">
        <w:rPr>
          <w:rFonts w:cs="Arial"/>
        </w:rPr>
        <w:tab/>
        <w:t>+49 228 14 6117</w:t>
      </w:r>
      <w:r w:rsidRPr="00C0251A">
        <w:rPr>
          <w:rFonts w:cs="Arial"/>
        </w:rPr>
        <w:br/>
      </w:r>
      <w:r w:rsidRPr="00C0251A">
        <w:t>E-mail:</w:t>
      </w:r>
      <w:r w:rsidRPr="00C0251A">
        <w:tab/>
      </w:r>
      <w:hyperlink r:id="rId10" w:history="1">
        <w:r w:rsidRPr="00C0251A">
          <w:t>martin.spangenberg@bnetza.de</w:t>
        </w:r>
      </w:hyperlink>
    </w:p>
    <w:p w:rsidR="00C66425" w:rsidRPr="00AA1E36" w:rsidRDefault="00C66425" w:rsidP="00C66425">
      <w:pPr>
        <w:tabs>
          <w:tab w:val="clear" w:pos="1276"/>
          <w:tab w:val="clear" w:pos="1843"/>
          <w:tab w:val="left" w:pos="1134"/>
          <w:tab w:val="left" w:pos="1560"/>
          <w:tab w:val="left" w:pos="2127"/>
        </w:tabs>
        <w:spacing w:before="360"/>
        <w:jc w:val="left"/>
        <w:outlineLvl w:val="3"/>
        <w:rPr>
          <w:b/>
          <w:bCs/>
          <w:lang w:val="fr-FR"/>
        </w:rPr>
      </w:pPr>
      <w:r w:rsidRPr="00AA1E36">
        <w:rPr>
          <w:b/>
          <w:bCs/>
          <w:lang w:val="fr-FR"/>
        </w:rPr>
        <w:t>Serbie</w:t>
      </w:r>
      <w:r>
        <w:rPr>
          <w:b/>
          <w:bCs/>
          <w:lang w:val="fr-FR"/>
        </w:rPr>
        <w:fldChar w:fldCharType="begin"/>
      </w:r>
      <w:r w:rsidRPr="00B009CE">
        <w:rPr>
          <w:lang w:val="fr-CH"/>
        </w:rPr>
        <w:instrText xml:space="preserve"> TC "</w:instrText>
      </w:r>
      <w:bookmarkStart w:id="292" w:name="_Toc503278442"/>
      <w:r w:rsidRPr="00483DE4">
        <w:rPr>
          <w:b/>
          <w:bCs/>
          <w:lang w:val="fr-FR"/>
        </w:rPr>
        <w:instrText>Serbie</w:instrText>
      </w:r>
      <w:bookmarkEnd w:id="292"/>
      <w:r w:rsidRPr="00B009CE">
        <w:rPr>
          <w:lang w:val="fr-CH"/>
        </w:rPr>
        <w:instrText xml:space="preserve">" \f C \l "1" </w:instrText>
      </w:r>
      <w:r>
        <w:rPr>
          <w:b/>
          <w:bCs/>
          <w:lang w:val="fr-FR"/>
        </w:rPr>
        <w:fldChar w:fldCharType="end"/>
      </w:r>
    </w:p>
    <w:p w:rsidR="00C66425" w:rsidRPr="00A824FA" w:rsidRDefault="00C66425" w:rsidP="00C66425">
      <w:pPr>
        <w:tabs>
          <w:tab w:val="clear" w:pos="1276"/>
          <w:tab w:val="clear" w:pos="1843"/>
          <w:tab w:val="left" w:pos="1134"/>
          <w:tab w:val="left" w:pos="1560"/>
          <w:tab w:val="left" w:pos="2127"/>
        </w:tabs>
        <w:spacing w:before="40"/>
        <w:jc w:val="left"/>
        <w:outlineLvl w:val="4"/>
        <w:rPr>
          <w:szCs w:val="18"/>
          <w:lang w:val="fr-FR"/>
        </w:rPr>
      </w:pPr>
      <w:r w:rsidRPr="00A824FA">
        <w:rPr>
          <w:szCs w:val="18"/>
          <w:lang w:val="fr-FR"/>
        </w:rPr>
        <w:t xml:space="preserve">Communication du </w:t>
      </w:r>
      <w:proofErr w:type="gramStart"/>
      <w:r w:rsidRPr="00C66425">
        <w:rPr>
          <w:szCs w:val="18"/>
          <w:lang w:val="fr-CH"/>
        </w:rPr>
        <w:t>20.XI.2017</w:t>
      </w:r>
      <w:r w:rsidRPr="00A824FA">
        <w:rPr>
          <w:szCs w:val="18"/>
          <w:lang w:val="fr-FR"/>
        </w:rPr>
        <w:t>:</w:t>
      </w:r>
      <w:proofErr w:type="gramEnd"/>
    </w:p>
    <w:p w:rsidR="00C66425" w:rsidRPr="003B5044" w:rsidRDefault="00C66425" w:rsidP="00C66425">
      <w:pPr>
        <w:rPr>
          <w:lang w:val="fr-FR"/>
        </w:rPr>
      </w:pPr>
      <w:r w:rsidRPr="00C917AC">
        <w:rPr>
          <w:lang w:val="fr-FR"/>
        </w:rPr>
        <w:t xml:space="preserve">A l'occasion </w:t>
      </w:r>
      <w:r>
        <w:rPr>
          <w:lang w:val="fr-FR"/>
        </w:rPr>
        <w:t>du 70</w:t>
      </w:r>
      <w:r w:rsidRPr="00FB4629">
        <w:rPr>
          <w:position w:val="6"/>
          <w:sz w:val="18"/>
          <w:szCs w:val="18"/>
          <w:lang w:val="fr-FR"/>
        </w:rPr>
        <w:t>e</w:t>
      </w:r>
      <w:r>
        <w:rPr>
          <w:lang w:val="fr-FR"/>
        </w:rPr>
        <w:t xml:space="preserve"> anniversaire du Club de radio "</w:t>
      </w:r>
      <w:proofErr w:type="spellStart"/>
      <w:r w:rsidRPr="00CA0714">
        <w:rPr>
          <w:lang w:val="fr-CH"/>
        </w:rPr>
        <w:t>Mihajlo</w:t>
      </w:r>
      <w:proofErr w:type="spellEnd"/>
      <w:r w:rsidRPr="00CA0714">
        <w:rPr>
          <w:lang w:val="fr-CH"/>
        </w:rPr>
        <w:t xml:space="preserve"> Pupin</w:t>
      </w:r>
      <w:r>
        <w:rPr>
          <w:lang w:val="fr-FR"/>
        </w:rPr>
        <w:t>"</w:t>
      </w:r>
      <w:r>
        <w:rPr>
          <w:lang w:val="fr-CH"/>
        </w:rPr>
        <w:t xml:space="preserve"> de Belgrade, </w:t>
      </w:r>
      <w:r w:rsidRPr="002B52AB">
        <w:rPr>
          <w:lang w:val="fr-FR"/>
        </w:rPr>
        <w:t xml:space="preserve">l'Administration serbe autorise </w:t>
      </w:r>
      <w:r>
        <w:rPr>
          <w:lang w:val="fr-FR"/>
        </w:rPr>
        <w:t xml:space="preserve">une station </w:t>
      </w:r>
      <w:r w:rsidRPr="00940430">
        <w:rPr>
          <w:lang w:val="fr-CH"/>
        </w:rPr>
        <w:t>d'amateur</w:t>
      </w:r>
      <w:r>
        <w:rPr>
          <w:lang w:val="fr-FR"/>
        </w:rPr>
        <w:t xml:space="preserve"> du Club de radio</w:t>
      </w:r>
      <w:r w:rsidRPr="00CA0714">
        <w:rPr>
          <w:lang w:val="fr-CH"/>
        </w:rPr>
        <w:t xml:space="preserve"> </w:t>
      </w:r>
      <w:r>
        <w:rPr>
          <w:lang w:val="fr-FR"/>
        </w:rPr>
        <w:t>"</w:t>
      </w:r>
      <w:proofErr w:type="spellStart"/>
      <w:r w:rsidRPr="00CA0714">
        <w:rPr>
          <w:lang w:val="fr-CH"/>
        </w:rPr>
        <w:t>Mihajlo</w:t>
      </w:r>
      <w:proofErr w:type="spellEnd"/>
      <w:r w:rsidRPr="00CA0714">
        <w:rPr>
          <w:lang w:val="fr-CH"/>
        </w:rPr>
        <w:t xml:space="preserve"> Pupin</w:t>
      </w:r>
      <w:r>
        <w:rPr>
          <w:lang w:val="fr-FR"/>
        </w:rPr>
        <w:t xml:space="preserve">" </w:t>
      </w:r>
      <w:r w:rsidRPr="002B52AB">
        <w:rPr>
          <w:lang w:val="fr-FR"/>
        </w:rPr>
        <w:t xml:space="preserve">à </w:t>
      </w:r>
      <w:r w:rsidRPr="00940430">
        <w:rPr>
          <w:lang w:val="fr-CH"/>
        </w:rPr>
        <w:t xml:space="preserve">utiliser </w:t>
      </w:r>
      <w:r w:rsidRPr="00794FCA">
        <w:rPr>
          <w:szCs w:val="18"/>
          <w:lang w:val="fr-FR"/>
        </w:rPr>
        <w:t>l'indicatif d’appel spécial</w:t>
      </w:r>
      <w:r>
        <w:rPr>
          <w:lang w:val="fr-FR"/>
        </w:rPr>
        <w:t xml:space="preserve"> </w:t>
      </w:r>
      <w:r w:rsidRPr="00CA0714">
        <w:rPr>
          <w:b/>
          <w:bCs/>
          <w:lang w:val="fr-CH"/>
        </w:rPr>
        <w:t>YU70EXY</w:t>
      </w:r>
      <w:r>
        <w:rPr>
          <w:b/>
          <w:bCs/>
          <w:lang w:val="fr-FR"/>
        </w:rPr>
        <w:t xml:space="preserve"> </w:t>
      </w:r>
      <w:r w:rsidRPr="00777A8B">
        <w:rPr>
          <w:lang w:val="fr-FR"/>
        </w:rPr>
        <w:t>pendant</w:t>
      </w:r>
      <w:r>
        <w:rPr>
          <w:b/>
          <w:bCs/>
          <w:lang w:val="fr-FR"/>
        </w:rPr>
        <w:t xml:space="preserve"> </w:t>
      </w:r>
      <w:r>
        <w:rPr>
          <w:lang w:val="fr-FR"/>
        </w:rPr>
        <w:t xml:space="preserve">la période comprise </w:t>
      </w:r>
      <w:r w:rsidRPr="001A2F36">
        <w:rPr>
          <w:lang w:val="fr-FR"/>
        </w:rPr>
        <w:t xml:space="preserve">entre le </w:t>
      </w:r>
      <w:r w:rsidRPr="00C917AC">
        <w:rPr>
          <w:lang w:val="fr-FR"/>
        </w:rPr>
        <w:t>1</w:t>
      </w:r>
      <w:r w:rsidRPr="002657C6">
        <w:rPr>
          <w:position w:val="6"/>
          <w:sz w:val="18"/>
          <w:szCs w:val="18"/>
          <w:lang w:val="fr-FR"/>
        </w:rPr>
        <w:t>e</w:t>
      </w:r>
      <w:r>
        <w:rPr>
          <w:position w:val="6"/>
          <w:sz w:val="18"/>
          <w:szCs w:val="18"/>
          <w:lang w:val="fr-FR"/>
        </w:rPr>
        <w:t>r</w:t>
      </w:r>
      <w:r>
        <w:rPr>
          <w:lang w:val="fr-FR"/>
        </w:rPr>
        <w:t xml:space="preserve"> janvier </w:t>
      </w:r>
      <w:r w:rsidRPr="001A2F36">
        <w:rPr>
          <w:lang w:val="fr-FR"/>
        </w:rPr>
        <w:t xml:space="preserve">et le </w:t>
      </w:r>
      <w:r>
        <w:rPr>
          <w:lang w:val="fr-FR"/>
        </w:rPr>
        <w:t>31 décembre 2018</w:t>
      </w:r>
      <w:r w:rsidRPr="001A2F36">
        <w:rPr>
          <w:lang w:val="fr-FR"/>
        </w:rPr>
        <w:t>.</w:t>
      </w:r>
    </w:p>
    <w:p w:rsidR="002B76A7" w:rsidRPr="00C66425" w:rsidRDefault="002B76A7" w:rsidP="00070602">
      <w:pPr>
        <w:rPr>
          <w:lang w:val="fr-FR"/>
        </w:rPr>
      </w:pPr>
    </w:p>
    <w:p w:rsidR="00F20BFF" w:rsidRDefault="00F20BFF">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C66425">
        <w:rPr>
          <w:rFonts w:cs="Arial"/>
          <w:lang w:val="fr-CH"/>
        </w:rPr>
        <w:br w:type="page"/>
      </w:r>
    </w:p>
    <w:p w:rsidR="00C66425" w:rsidRPr="00C66425" w:rsidRDefault="00C66425" w:rsidP="00C66425">
      <w:pPr>
        <w:pStyle w:val="Heading20"/>
      </w:pPr>
      <w:bookmarkStart w:id="293" w:name="_Toc500841779"/>
      <w:bookmarkStart w:id="294" w:name="_Toc500842103"/>
      <w:bookmarkStart w:id="295" w:name="_Toc503278443"/>
      <w:r w:rsidRPr="00C66425">
        <w:lastRenderedPageBreak/>
        <w:t>Changements dans les Administrations/ER et autres entités ou Organisations</w:t>
      </w:r>
      <w:bookmarkEnd w:id="293"/>
      <w:bookmarkEnd w:id="294"/>
      <w:bookmarkEnd w:id="295"/>
    </w:p>
    <w:p w:rsidR="00C66425" w:rsidRPr="00C66425" w:rsidRDefault="00C66425" w:rsidP="00C66425">
      <w:pPr>
        <w:keepNext/>
        <w:tabs>
          <w:tab w:val="clear" w:pos="567"/>
          <w:tab w:val="clear" w:pos="1276"/>
          <w:tab w:val="clear" w:pos="1843"/>
          <w:tab w:val="clear" w:pos="5387"/>
          <w:tab w:val="clear" w:pos="5954"/>
        </w:tabs>
        <w:overflowPunct/>
        <w:autoSpaceDE/>
        <w:autoSpaceDN/>
        <w:adjustRightInd/>
        <w:spacing w:before="240"/>
        <w:textAlignment w:val="auto"/>
        <w:outlineLvl w:val="1"/>
        <w:rPr>
          <w:rFonts w:cs="Arial"/>
          <w:b/>
          <w:bCs/>
          <w:szCs w:val="24"/>
          <w:lang w:val="fr-FR" w:eastAsia="el-GR"/>
        </w:rPr>
      </w:pPr>
      <w:bookmarkStart w:id="296" w:name="_Toc500841780"/>
      <w:bookmarkStart w:id="297" w:name="_Toc500842104"/>
      <w:bookmarkStart w:id="298" w:name="_Toc503278444"/>
      <w:r w:rsidRPr="00C66425">
        <w:rPr>
          <w:rFonts w:cs="Arial"/>
          <w:b/>
          <w:bCs/>
          <w:szCs w:val="24"/>
          <w:lang w:val="fr-FR"/>
        </w:rPr>
        <w:t>Malt</w:t>
      </w:r>
      <w:bookmarkEnd w:id="296"/>
      <w:bookmarkEnd w:id="297"/>
      <w:r w:rsidRPr="00C66425">
        <w:rPr>
          <w:rFonts w:cs="Arial"/>
          <w:b/>
          <w:bCs/>
          <w:szCs w:val="24"/>
          <w:lang w:val="fr-FR"/>
        </w:rPr>
        <w:t>e</w:t>
      </w:r>
      <w:bookmarkEnd w:id="298"/>
      <w:r>
        <w:rPr>
          <w:rFonts w:cs="Arial"/>
          <w:b/>
          <w:bCs/>
          <w:szCs w:val="24"/>
          <w:lang w:val="fr-FR"/>
        </w:rPr>
        <w:fldChar w:fldCharType="begin"/>
      </w:r>
      <w:r w:rsidRPr="00B009CE">
        <w:rPr>
          <w:lang w:val="fr-CH"/>
        </w:rPr>
        <w:instrText xml:space="preserve"> TC "</w:instrText>
      </w:r>
      <w:bookmarkStart w:id="299" w:name="_Toc503278445"/>
      <w:r w:rsidRPr="00C66425">
        <w:rPr>
          <w:rFonts w:cs="Arial"/>
          <w:b/>
          <w:bCs/>
          <w:szCs w:val="24"/>
          <w:lang w:val="fr-FR"/>
        </w:rPr>
        <w:instrText>Malte</w:instrText>
      </w:r>
      <w:bookmarkEnd w:id="299"/>
      <w:r w:rsidRPr="00B009CE">
        <w:rPr>
          <w:lang w:val="fr-CH"/>
        </w:rPr>
        <w:instrText xml:space="preserve">" \f C \l "1" </w:instrText>
      </w:r>
      <w:r>
        <w:rPr>
          <w:rFonts w:cs="Arial"/>
          <w:b/>
          <w:bCs/>
          <w:szCs w:val="24"/>
          <w:lang w:val="fr-FR"/>
        </w:rPr>
        <w:fldChar w:fldCharType="end"/>
      </w:r>
    </w:p>
    <w:p w:rsidR="00C66425" w:rsidRPr="00C66425" w:rsidRDefault="00C66425" w:rsidP="00C66425">
      <w:pPr>
        <w:tabs>
          <w:tab w:val="clear" w:pos="567"/>
          <w:tab w:val="clear" w:pos="1276"/>
          <w:tab w:val="clear" w:pos="1843"/>
          <w:tab w:val="clear" w:pos="5387"/>
          <w:tab w:val="clear" w:pos="5954"/>
        </w:tabs>
        <w:spacing w:before="0"/>
        <w:rPr>
          <w:rFonts w:cs="Arial"/>
          <w:lang w:val="fr-FR"/>
        </w:rPr>
      </w:pPr>
      <w:r w:rsidRPr="00C66425">
        <w:rPr>
          <w:rFonts w:cs="Arial"/>
          <w:lang w:val="fr-FR"/>
        </w:rPr>
        <w:t xml:space="preserve">Communication du </w:t>
      </w:r>
      <w:proofErr w:type="gramStart"/>
      <w:r w:rsidRPr="00C66425">
        <w:rPr>
          <w:rFonts w:cs="Arial"/>
          <w:lang w:val="fr-FR"/>
        </w:rPr>
        <w:t>17.XI.2017:</w:t>
      </w:r>
      <w:proofErr w:type="gramEnd"/>
    </w:p>
    <w:p w:rsidR="00C66425" w:rsidRPr="00C66425" w:rsidRDefault="00C66425" w:rsidP="00C66425">
      <w:pPr>
        <w:tabs>
          <w:tab w:val="clear" w:pos="1276"/>
          <w:tab w:val="clear" w:pos="1843"/>
          <w:tab w:val="left" w:pos="1560"/>
          <w:tab w:val="left" w:pos="2127"/>
        </w:tabs>
        <w:spacing w:before="240" w:after="120"/>
        <w:jc w:val="center"/>
        <w:outlineLvl w:val="3"/>
        <w:rPr>
          <w:rFonts w:cs="Arial"/>
          <w:i/>
          <w:iCs/>
          <w:lang w:val="fr-FR"/>
        </w:rPr>
      </w:pPr>
      <w:r w:rsidRPr="00C66425">
        <w:rPr>
          <w:rFonts w:cs="Arial"/>
          <w:i/>
          <w:iCs/>
          <w:lang w:val="fr-FR"/>
        </w:rPr>
        <w:t>Attribution du statut d’exploitation reconnue (ER)</w:t>
      </w:r>
      <w:r>
        <w:rPr>
          <w:rFonts w:cs="Arial"/>
          <w:i/>
          <w:iCs/>
          <w:lang w:val="fr-FR"/>
        </w:rPr>
        <w:fldChar w:fldCharType="begin"/>
      </w:r>
      <w:r w:rsidRPr="00C66425">
        <w:rPr>
          <w:lang w:val="fr-CH"/>
        </w:rPr>
        <w:instrText xml:space="preserve"> TC "</w:instrText>
      </w:r>
      <w:bookmarkStart w:id="300" w:name="_Toc503278446"/>
      <w:r w:rsidRPr="00C66425">
        <w:rPr>
          <w:rFonts w:cs="Arial"/>
          <w:i/>
          <w:iCs/>
          <w:lang w:val="fr-FR"/>
        </w:rPr>
        <w:instrText>Attribution du statut d’exploitation reconnue (ER)</w:instrText>
      </w:r>
      <w:bookmarkEnd w:id="300"/>
      <w:r w:rsidRPr="00C66425">
        <w:rPr>
          <w:lang w:val="fr-CH"/>
        </w:rPr>
        <w:instrText xml:space="preserve">" \f C \l "1" </w:instrText>
      </w:r>
      <w:r>
        <w:rPr>
          <w:rFonts w:cs="Arial"/>
          <w:i/>
          <w:iCs/>
          <w:lang w:val="fr-FR"/>
        </w:rPr>
        <w:fldChar w:fldCharType="end"/>
      </w:r>
    </w:p>
    <w:p w:rsidR="00C66425" w:rsidRPr="00C66425" w:rsidRDefault="00C66425" w:rsidP="00C66425">
      <w:pPr>
        <w:tabs>
          <w:tab w:val="clear" w:pos="567"/>
          <w:tab w:val="clear" w:pos="1276"/>
          <w:tab w:val="clear" w:pos="1843"/>
          <w:tab w:val="clear" w:pos="5387"/>
          <w:tab w:val="clear" w:pos="5954"/>
        </w:tabs>
        <w:overflowPunct/>
        <w:autoSpaceDE/>
        <w:autoSpaceDN/>
        <w:adjustRightInd/>
        <w:spacing w:before="240" w:after="120"/>
        <w:textAlignment w:val="auto"/>
        <w:rPr>
          <w:lang w:val="fr-FR" w:bidi="he-IL"/>
        </w:rPr>
      </w:pPr>
      <w:r w:rsidRPr="00C66425">
        <w:rPr>
          <w:lang w:val="fr-FR" w:bidi="he-IL"/>
        </w:rPr>
        <w:t xml:space="preserve">La </w:t>
      </w:r>
      <w:r w:rsidRPr="00C66425">
        <w:rPr>
          <w:i/>
          <w:iCs/>
          <w:lang w:val="fr-FR" w:bidi="he-IL"/>
        </w:rPr>
        <w:t xml:space="preserve">Malta Communications </w:t>
      </w:r>
      <w:proofErr w:type="spellStart"/>
      <w:r w:rsidRPr="00C66425">
        <w:rPr>
          <w:i/>
          <w:iCs/>
          <w:lang w:val="fr-FR" w:bidi="he-IL"/>
        </w:rPr>
        <w:t>Authority</w:t>
      </w:r>
      <w:proofErr w:type="spellEnd"/>
      <w:r w:rsidRPr="00C66425">
        <w:rPr>
          <w:i/>
          <w:iCs/>
          <w:lang w:val="fr-FR" w:bidi="he-IL"/>
        </w:rPr>
        <w:t xml:space="preserve"> (MCA)</w:t>
      </w:r>
      <w:r w:rsidRPr="00C66425">
        <w:rPr>
          <w:lang w:val="fr-FR" w:bidi="he-IL"/>
        </w:rPr>
        <w:t xml:space="preserve">, </w:t>
      </w:r>
      <w:proofErr w:type="spellStart"/>
      <w:r w:rsidRPr="00C66425">
        <w:rPr>
          <w:rFonts w:cs="Arial"/>
          <w:bCs/>
          <w:lang w:val="fr-FR"/>
        </w:rPr>
        <w:t>Floriana</w:t>
      </w:r>
      <w:proofErr w:type="spellEnd"/>
      <w:r w:rsidRPr="00C66425">
        <w:rPr>
          <w:rFonts w:cs="Arial"/>
          <w:bCs/>
          <w:lang w:val="fr-FR"/>
        </w:rPr>
        <w:t>,</w:t>
      </w:r>
      <w:r w:rsidRPr="00C66425">
        <w:rPr>
          <w:lang w:val="fr-FR" w:bidi="he-IL"/>
        </w:rPr>
        <w:t xml:space="preserve"> annonce que le statut d’exploitation reconnue (ER) a été attribué aux opérateurs de télécommunication et fournisseurs de services suivants, conformément à l’article 6 de la Constitution de l’UIT et aux numéros 1007 et 1008 de l’Annexe à ladite Constitution. </w:t>
      </w:r>
    </w:p>
    <w:p w:rsidR="00C66425" w:rsidRPr="00C66425" w:rsidRDefault="00C66425" w:rsidP="00C66425">
      <w:pPr>
        <w:tabs>
          <w:tab w:val="clear" w:pos="567"/>
          <w:tab w:val="clear" w:pos="1276"/>
          <w:tab w:val="clear" w:pos="1843"/>
          <w:tab w:val="clear" w:pos="5387"/>
          <w:tab w:val="clear" w:pos="5954"/>
        </w:tabs>
        <w:overflowPunct/>
        <w:autoSpaceDE/>
        <w:autoSpaceDN/>
        <w:adjustRightInd/>
        <w:spacing w:before="0" w:after="120"/>
        <w:textAlignment w:val="auto"/>
        <w:rPr>
          <w:i/>
          <w:iCs/>
          <w:lang w:val="fr-FR" w:bidi="he-IL"/>
        </w:rPr>
      </w:pPr>
      <w:r w:rsidRPr="00C66425">
        <w:rPr>
          <w:lang w:val="fr-FR" w:bidi="he-IL"/>
        </w:rPr>
        <w:t xml:space="preserve">Les noms des opérateurs de télécommunication et fournisseurs de services auxquels le statut d’exploitation reconnue (ER) a été attribué sont les </w:t>
      </w:r>
      <w:proofErr w:type="gramStart"/>
      <w:r w:rsidRPr="00C66425">
        <w:rPr>
          <w:lang w:val="fr-FR" w:bidi="he-IL"/>
        </w:rPr>
        <w:t>suivants:</w:t>
      </w:r>
      <w:proofErr w:type="gramEnd"/>
      <w:r w:rsidRPr="00C66425">
        <w:rPr>
          <w:lang w:val="fr-FR" w:bidi="he-IL"/>
        </w:rPr>
        <w:t xml:space="preserve"> </w:t>
      </w:r>
      <w:r w:rsidRPr="00C66425">
        <w:rPr>
          <w:i/>
          <w:iCs/>
          <w:lang w:val="fr-FR" w:bidi="he-IL"/>
        </w:rPr>
        <w:t xml:space="preserve">GO </w:t>
      </w:r>
      <w:proofErr w:type="spellStart"/>
      <w:r w:rsidRPr="00C66425">
        <w:rPr>
          <w:i/>
          <w:iCs/>
          <w:lang w:val="fr-FR" w:bidi="he-IL"/>
        </w:rPr>
        <w:t>plc</w:t>
      </w:r>
      <w:proofErr w:type="spellEnd"/>
      <w:r w:rsidRPr="00C66425">
        <w:rPr>
          <w:lang w:val="fr-FR" w:bidi="he-IL"/>
        </w:rPr>
        <w:t xml:space="preserve"> et </w:t>
      </w:r>
      <w:proofErr w:type="spellStart"/>
      <w:r w:rsidRPr="00C66425">
        <w:rPr>
          <w:i/>
          <w:iCs/>
          <w:lang w:val="fr-FR" w:bidi="he-IL"/>
        </w:rPr>
        <w:t>Vanilla</w:t>
      </w:r>
      <w:proofErr w:type="spellEnd"/>
      <w:r w:rsidRPr="00C66425">
        <w:rPr>
          <w:i/>
          <w:iCs/>
          <w:lang w:val="fr-FR" w:bidi="he-IL"/>
        </w:rPr>
        <w:t xml:space="preserve"> </w:t>
      </w:r>
      <w:proofErr w:type="spellStart"/>
      <w:r w:rsidRPr="00C66425">
        <w:rPr>
          <w:i/>
          <w:iCs/>
          <w:lang w:val="fr-FR" w:bidi="he-IL"/>
        </w:rPr>
        <w:t>Telecoms</w:t>
      </w:r>
      <w:proofErr w:type="spellEnd"/>
      <w:r w:rsidRPr="00C66425">
        <w:rPr>
          <w:i/>
          <w:iCs/>
          <w:lang w:val="fr-FR" w:bidi="he-IL"/>
        </w:rPr>
        <w:t xml:space="preserve"> Ltd.</w:t>
      </w:r>
    </w:p>
    <w:p w:rsidR="00C66425" w:rsidRPr="00C66425" w:rsidRDefault="00C66425" w:rsidP="00C66425">
      <w:pPr>
        <w:tabs>
          <w:tab w:val="clear" w:pos="567"/>
          <w:tab w:val="clear" w:pos="1276"/>
          <w:tab w:val="clear" w:pos="1843"/>
          <w:tab w:val="clear" w:pos="5387"/>
          <w:tab w:val="clear" w:pos="5954"/>
        </w:tabs>
        <w:overflowPunct/>
        <w:autoSpaceDE/>
        <w:autoSpaceDN/>
        <w:adjustRightInd/>
        <w:spacing w:before="0"/>
        <w:ind w:right="794"/>
        <w:jc w:val="left"/>
        <w:textAlignment w:val="auto"/>
        <w:rPr>
          <w:lang w:val="fr-FR" w:bidi="he-IL"/>
        </w:rPr>
      </w:pPr>
      <w:proofErr w:type="gramStart"/>
      <w:r w:rsidRPr="00C66425">
        <w:rPr>
          <w:lang w:val="fr-FR" w:bidi="he-IL"/>
        </w:rPr>
        <w:t>Contact:</w:t>
      </w:r>
      <w:proofErr w:type="gramEnd"/>
    </w:p>
    <w:p w:rsidR="00C66425" w:rsidRPr="00C66425" w:rsidRDefault="00C66425" w:rsidP="00C66425">
      <w:pPr>
        <w:ind w:left="567" w:hanging="567"/>
        <w:jc w:val="left"/>
        <w:rPr>
          <w:lang w:val="fr-FR" w:bidi="he-IL"/>
        </w:rPr>
      </w:pPr>
      <w:r w:rsidRPr="00C66425">
        <w:rPr>
          <w:noProof/>
          <w:lang w:val="fr-FR" w:bidi="he-IL"/>
        </w:rPr>
        <w:tab/>
        <w:t>GO plc</w:t>
      </w:r>
      <w:r w:rsidRPr="00C66425">
        <w:rPr>
          <w:noProof/>
          <w:lang w:val="fr-FR" w:bidi="he-IL"/>
        </w:rPr>
        <w:br/>
      </w:r>
      <w:proofErr w:type="spellStart"/>
      <w:r w:rsidRPr="00C66425">
        <w:rPr>
          <w:lang w:val="fr-FR" w:bidi="he-IL"/>
        </w:rPr>
        <w:t>Triq</w:t>
      </w:r>
      <w:proofErr w:type="spellEnd"/>
      <w:r w:rsidRPr="00C66425">
        <w:rPr>
          <w:lang w:val="fr-FR" w:bidi="he-IL"/>
        </w:rPr>
        <w:t xml:space="preserve"> Fra </w:t>
      </w:r>
      <w:proofErr w:type="spellStart"/>
      <w:r w:rsidRPr="00C66425">
        <w:rPr>
          <w:lang w:val="fr-FR" w:bidi="he-IL"/>
        </w:rPr>
        <w:t>Diegu</w:t>
      </w:r>
      <w:proofErr w:type="spellEnd"/>
      <w:r w:rsidRPr="00C66425">
        <w:rPr>
          <w:lang w:val="fr-FR" w:bidi="he-IL"/>
        </w:rPr>
        <w:br/>
        <w:t>MARSA MRS 1501</w:t>
      </w:r>
      <w:r w:rsidRPr="00C66425">
        <w:rPr>
          <w:lang w:val="fr-FR" w:bidi="he-IL"/>
        </w:rPr>
        <w:br/>
        <w:t>Malte</w:t>
      </w:r>
      <w:r w:rsidRPr="00C66425">
        <w:rPr>
          <w:lang w:val="fr-FR" w:bidi="he-IL"/>
        </w:rPr>
        <w:br/>
        <w:t>Tél</w:t>
      </w:r>
      <w:proofErr w:type="gramStart"/>
      <w:r w:rsidRPr="00C66425">
        <w:rPr>
          <w:lang w:val="fr-FR" w:bidi="he-IL"/>
        </w:rPr>
        <w:t>.:</w:t>
      </w:r>
      <w:proofErr w:type="gramEnd"/>
      <w:r w:rsidRPr="00C66425">
        <w:rPr>
          <w:lang w:val="fr-FR" w:bidi="he-IL"/>
        </w:rPr>
        <w:t xml:space="preserve"> </w:t>
      </w:r>
      <w:r w:rsidRPr="00C66425">
        <w:rPr>
          <w:lang w:val="fr-FR" w:bidi="he-IL"/>
        </w:rPr>
        <w:tab/>
        <w:t>+356 2124 6200</w:t>
      </w:r>
      <w:r w:rsidRPr="00C66425">
        <w:rPr>
          <w:lang w:val="fr-FR" w:bidi="he-IL"/>
        </w:rPr>
        <w:br/>
        <w:t>E-mail:</w:t>
      </w:r>
      <w:r w:rsidRPr="00C66425">
        <w:rPr>
          <w:lang w:val="fr-FR" w:bidi="he-IL"/>
        </w:rPr>
        <w:tab/>
        <w:t>mandy.calleja@go.com.mt</w:t>
      </w:r>
    </w:p>
    <w:p w:rsidR="00C66425" w:rsidRPr="00C66425" w:rsidRDefault="00C66425" w:rsidP="00C66425">
      <w:pPr>
        <w:rPr>
          <w:noProof/>
          <w:lang w:val="fr-FR" w:bidi="he-IL"/>
        </w:rPr>
      </w:pPr>
      <w:r w:rsidRPr="00C66425">
        <w:rPr>
          <w:noProof/>
          <w:lang w:val="fr-FR" w:bidi="he-IL"/>
        </w:rPr>
        <w:t>Contact:</w:t>
      </w:r>
    </w:p>
    <w:p w:rsidR="00C66425" w:rsidRPr="00C66425" w:rsidRDefault="00C66425" w:rsidP="00C66425">
      <w:pPr>
        <w:ind w:left="567" w:hanging="567"/>
        <w:jc w:val="left"/>
        <w:rPr>
          <w:lang w:val="fr-FR" w:bidi="he-IL"/>
        </w:rPr>
      </w:pPr>
      <w:r w:rsidRPr="00C66425">
        <w:rPr>
          <w:noProof/>
          <w:lang w:val="fr-FR" w:bidi="he-IL"/>
        </w:rPr>
        <w:tab/>
        <w:t>Vanilla Telecoms Ltd</w:t>
      </w:r>
      <w:r w:rsidRPr="00C66425">
        <w:rPr>
          <w:noProof/>
          <w:lang w:val="fr-FR" w:bidi="he-IL"/>
        </w:rPr>
        <w:br/>
      </w:r>
      <w:r w:rsidRPr="00C66425">
        <w:rPr>
          <w:lang w:val="fr-FR" w:bidi="he-IL"/>
        </w:rPr>
        <w:t xml:space="preserve">162, Cannon Road </w:t>
      </w:r>
      <w:r w:rsidRPr="00C66425">
        <w:rPr>
          <w:lang w:val="fr-FR" w:bidi="he-IL"/>
        </w:rPr>
        <w:br/>
        <w:t xml:space="preserve">SANTA VENERA SVR 5534 </w:t>
      </w:r>
      <w:r w:rsidRPr="00C66425">
        <w:rPr>
          <w:lang w:val="fr-FR" w:bidi="he-IL"/>
        </w:rPr>
        <w:br/>
        <w:t>Malte</w:t>
      </w:r>
      <w:r w:rsidRPr="00C66425">
        <w:rPr>
          <w:lang w:val="fr-FR" w:bidi="he-IL"/>
        </w:rPr>
        <w:br/>
        <w:t>Tél</w:t>
      </w:r>
      <w:proofErr w:type="gramStart"/>
      <w:r w:rsidRPr="00C66425">
        <w:rPr>
          <w:lang w:val="fr-FR" w:bidi="he-IL"/>
        </w:rPr>
        <w:t>.:</w:t>
      </w:r>
      <w:proofErr w:type="gramEnd"/>
      <w:r w:rsidRPr="00C66425">
        <w:rPr>
          <w:rFonts w:cs="Calibri"/>
          <w:sz w:val="22"/>
          <w:szCs w:val="22"/>
          <w:lang w:val="fr-FR"/>
        </w:rPr>
        <w:t xml:space="preserve"> </w:t>
      </w:r>
      <w:r w:rsidRPr="00C66425">
        <w:rPr>
          <w:rFonts w:cs="Calibri"/>
          <w:sz w:val="22"/>
          <w:szCs w:val="22"/>
          <w:lang w:val="fr-FR"/>
        </w:rPr>
        <w:tab/>
      </w:r>
      <w:r w:rsidRPr="00C66425">
        <w:rPr>
          <w:lang w:val="fr-FR" w:bidi="he-IL"/>
        </w:rPr>
        <w:t>+356 2033 2033</w:t>
      </w:r>
      <w:r w:rsidRPr="00C66425">
        <w:rPr>
          <w:lang w:val="fr-FR" w:bidi="he-IL"/>
        </w:rPr>
        <w:br/>
        <w:t>E-mail:</w:t>
      </w:r>
      <w:r w:rsidRPr="00C66425">
        <w:rPr>
          <w:lang w:val="fr-FR" w:bidi="he-IL"/>
        </w:rPr>
        <w:tab/>
        <w:t>dthake@ms.vanilla.net.mt</w:t>
      </w:r>
    </w:p>
    <w:p w:rsidR="00C66425" w:rsidRPr="00C66425" w:rsidRDefault="00C66425" w:rsidP="00C66425">
      <w:pPr>
        <w:rPr>
          <w:noProof/>
          <w:lang w:val="fr-FR" w:bidi="he-IL"/>
        </w:rPr>
      </w:pPr>
      <w:r w:rsidRPr="00C66425">
        <w:rPr>
          <w:noProof/>
          <w:lang w:val="fr-FR" w:bidi="he-IL"/>
        </w:rPr>
        <w:t>Pour de plus amples informations, veuillez contacter:</w:t>
      </w:r>
    </w:p>
    <w:p w:rsidR="00C66425" w:rsidRPr="00C66425" w:rsidRDefault="00C66425" w:rsidP="00C66425">
      <w:pPr>
        <w:ind w:left="567" w:hanging="567"/>
        <w:jc w:val="left"/>
        <w:rPr>
          <w:rFonts w:cs="Arial"/>
        </w:rPr>
      </w:pPr>
      <w:r w:rsidRPr="00C66425">
        <w:rPr>
          <w:noProof/>
          <w:lang w:val="fr-FR"/>
        </w:rPr>
        <w:tab/>
      </w:r>
      <w:r w:rsidRPr="00C66425">
        <w:rPr>
          <w:noProof/>
        </w:rPr>
        <w:t>Malta Communications Authority</w:t>
      </w:r>
      <w:r w:rsidRPr="00C66425">
        <w:rPr>
          <w:noProof/>
        </w:rPr>
        <w:br/>
      </w:r>
      <w:r w:rsidRPr="00C66425">
        <w:rPr>
          <w:rFonts w:cs="Arial"/>
          <w:bCs/>
        </w:rPr>
        <w:t xml:space="preserve">Valletta Waterfront </w:t>
      </w:r>
      <w:r w:rsidRPr="00C66425">
        <w:rPr>
          <w:rFonts w:cs="Arial"/>
          <w:bCs/>
        </w:rPr>
        <w:br/>
        <w:t>Pinto Wharf</w:t>
      </w:r>
      <w:r w:rsidRPr="00C66425">
        <w:rPr>
          <w:rFonts w:cs="Arial"/>
          <w:bCs/>
        </w:rPr>
        <w:br/>
        <w:t>FRN 1913 FLORIANA</w:t>
      </w:r>
      <w:r w:rsidRPr="00C66425">
        <w:rPr>
          <w:rFonts w:cs="Arial"/>
          <w:bCs/>
        </w:rPr>
        <w:br/>
      </w:r>
      <w:proofErr w:type="spellStart"/>
      <w:r w:rsidRPr="00C66425">
        <w:rPr>
          <w:rFonts w:cs="Arial"/>
          <w:bCs/>
        </w:rPr>
        <w:t>Malte</w:t>
      </w:r>
      <w:proofErr w:type="spellEnd"/>
      <w:r w:rsidRPr="00C66425">
        <w:rPr>
          <w:rFonts w:cs="Arial"/>
          <w:bCs/>
        </w:rPr>
        <w:br/>
        <w:t>Fax:</w:t>
      </w:r>
      <w:r w:rsidRPr="00C66425">
        <w:rPr>
          <w:rFonts w:cs="Arial"/>
          <w:bCs/>
        </w:rPr>
        <w:tab/>
        <w:t>+</w:t>
      </w:r>
      <w:r w:rsidRPr="00C66425">
        <w:rPr>
          <w:lang w:bidi="he-IL"/>
        </w:rPr>
        <w:t>356</w:t>
      </w:r>
      <w:r w:rsidRPr="00C66425">
        <w:rPr>
          <w:rFonts w:cs="Arial"/>
          <w:bCs/>
        </w:rPr>
        <w:t xml:space="preserve"> 21336846</w:t>
      </w:r>
      <w:r w:rsidRPr="00C66425">
        <w:rPr>
          <w:rFonts w:cs="Arial"/>
          <w:bCs/>
        </w:rPr>
        <w:br/>
        <w:t>E-mail:</w:t>
      </w:r>
      <w:r w:rsidRPr="00C66425">
        <w:rPr>
          <w:rFonts w:cs="Arial"/>
          <w:bCs/>
        </w:rPr>
        <w:tab/>
      </w:r>
      <w:r w:rsidRPr="00C66425">
        <w:rPr>
          <w:lang w:bidi="he-IL"/>
        </w:rPr>
        <w:t>deborah</w:t>
      </w:r>
      <w:r w:rsidRPr="00C66425">
        <w:rPr>
          <w:rFonts w:cs="Arial"/>
          <w:bCs/>
        </w:rPr>
        <w:t>.pisani@mca.org.mt; numbering.mca@mca.org.mt</w:t>
      </w:r>
    </w:p>
    <w:p w:rsidR="00C66425" w:rsidRPr="00C66425" w:rsidRDefault="00C66425">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p>
    <w:p w:rsidR="00C66425" w:rsidRPr="00C66425" w:rsidRDefault="00C66425">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r w:rsidRPr="00C66425">
        <w:rPr>
          <w:rFonts w:cs="Arial"/>
          <w:lang w:val="en-US"/>
        </w:rPr>
        <w:br w:type="page"/>
      </w:r>
    </w:p>
    <w:p w:rsidR="00C66425" w:rsidRPr="00C66425" w:rsidRDefault="00C66425">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p>
    <w:p w:rsidR="009D76D1" w:rsidRPr="00B45B9A" w:rsidRDefault="009D76D1" w:rsidP="009D76D1">
      <w:pPr>
        <w:pStyle w:val="Heading2"/>
        <w:rPr>
          <w:lang w:val="fr-CH"/>
        </w:rPr>
      </w:pPr>
      <w:bookmarkStart w:id="301" w:name="_Toc417551684"/>
      <w:bookmarkStart w:id="302" w:name="_Toc418172334"/>
      <w:bookmarkStart w:id="303" w:name="_Toc418590416"/>
      <w:bookmarkStart w:id="304" w:name="_Toc421025977"/>
      <w:bookmarkStart w:id="305" w:name="_Toc422401214"/>
      <w:bookmarkStart w:id="306" w:name="_Toc423525459"/>
      <w:bookmarkStart w:id="307" w:name="_Toc424821420"/>
      <w:bookmarkStart w:id="308" w:name="_Toc428366209"/>
      <w:bookmarkStart w:id="309" w:name="_Toc429043969"/>
      <w:bookmarkStart w:id="310" w:name="_Toc430351629"/>
      <w:bookmarkStart w:id="311" w:name="_Toc435101744"/>
      <w:bookmarkStart w:id="312" w:name="_Toc436994431"/>
      <w:bookmarkStart w:id="313" w:name="_Toc437951348"/>
      <w:bookmarkStart w:id="314" w:name="_Toc439770098"/>
      <w:bookmarkStart w:id="315" w:name="_Toc442697183"/>
      <w:bookmarkStart w:id="316" w:name="_Toc443314403"/>
      <w:bookmarkStart w:id="317" w:name="_Toc451159962"/>
      <w:bookmarkStart w:id="318" w:name="_Toc452042297"/>
      <w:bookmarkStart w:id="319" w:name="_Toc453246397"/>
      <w:bookmarkStart w:id="320" w:name="_Toc455568929"/>
      <w:bookmarkStart w:id="321" w:name="_Toc458763347"/>
      <w:bookmarkStart w:id="322" w:name="_Toc461613929"/>
      <w:bookmarkStart w:id="323" w:name="_Toc464028571"/>
      <w:bookmarkStart w:id="324" w:name="_Toc466292736"/>
      <w:bookmarkStart w:id="325" w:name="_Toc467229228"/>
      <w:bookmarkStart w:id="326" w:name="_Toc468199537"/>
      <w:bookmarkStart w:id="327" w:name="_Toc469058093"/>
      <w:bookmarkStart w:id="328" w:name="_Toc472413666"/>
      <w:bookmarkStart w:id="329" w:name="_Toc473107267"/>
      <w:bookmarkStart w:id="330" w:name="_Toc474850439"/>
      <w:bookmarkStart w:id="331" w:name="_Toc476061821"/>
      <w:bookmarkStart w:id="332" w:name="_Toc477355879"/>
      <w:bookmarkStart w:id="333" w:name="_Toc478045212"/>
      <w:bookmarkStart w:id="334" w:name="_Toc479170905"/>
      <w:bookmarkStart w:id="335" w:name="_Toc481736935"/>
      <w:bookmarkStart w:id="336" w:name="_Toc483991774"/>
      <w:bookmarkStart w:id="337" w:name="_Toc484612706"/>
      <w:bookmarkStart w:id="338" w:name="_Toc486861831"/>
      <w:bookmarkStart w:id="339" w:name="_Toc489604268"/>
      <w:bookmarkStart w:id="340" w:name="_Toc490733865"/>
      <w:bookmarkStart w:id="341" w:name="_Toc492473929"/>
      <w:bookmarkStart w:id="342" w:name="_Toc493239117"/>
      <w:bookmarkStart w:id="343" w:name="_Toc494706577"/>
      <w:bookmarkStart w:id="344" w:name="_Toc496867161"/>
      <w:bookmarkStart w:id="345" w:name="_Toc497466152"/>
      <w:bookmarkStart w:id="346" w:name="_Toc498510163"/>
      <w:bookmarkStart w:id="347" w:name="_Toc499892935"/>
      <w:bookmarkStart w:id="348" w:name="_Toc500928331"/>
      <w:bookmarkStart w:id="349" w:name="_Toc503278447"/>
      <w:bookmarkEnd w:id="276"/>
      <w:bookmarkEnd w:id="277"/>
      <w:r w:rsidRPr="00B45B9A">
        <w:rPr>
          <w:lang w:val="fr-CH"/>
        </w:rPr>
        <w:t>Restrictions de service</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9D76D1" w:rsidRPr="00B45B9A"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350" w:name="_Toc417551685"/>
      <w:bookmarkStart w:id="351" w:name="_Toc418172335"/>
      <w:bookmarkStart w:id="352" w:name="_Toc418590417"/>
      <w:bookmarkStart w:id="353" w:name="_Toc421025978"/>
      <w:bookmarkStart w:id="354" w:name="_Toc422401215"/>
      <w:bookmarkStart w:id="355" w:name="_Toc423525460"/>
      <w:bookmarkStart w:id="356" w:name="_Toc424821421"/>
      <w:bookmarkStart w:id="357" w:name="_Toc428366210"/>
      <w:bookmarkStart w:id="358" w:name="_Toc429043970"/>
      <w:bookmarkStart w:id="359" w:name="_Toc430351630"/>
      <w:bookmarkStart w:id="360" w:name="_Toc435101745"/>
      <w:bookmarkStart w:id="361" w:name="_Toc436994432"/>
      <w:bookmarkStart w:id="362" w:name="_Toc437951349"/>
      <w:bookmarkStart w:id="363" w:name="_Toc439770099"/>
      <w:bookmarkStart w:id="364" w:name="_Toc442697184"/>
      <w:bookmarkStart w:id="365" w:name="_Toc443314404"/>
      <w:bookmarkStart w:id="366" w:name="_Toc451159963"/>
      <w:bookmarkStart w:id="367" w:name="_Toc452042298"/>
      <w:bookmarkStart w:id="368" w:name="_Toc453246398"/>
      <w:bookmarkStart w:id="369" w:name="_Toc455568930"/>
      <w:bookmarkStart w:id="370" w:name="_Toc458763348"/>
      <w:bookmarkStart w:id="371" w:name="_Toc461613930"/>
      <w:bookmarkStart w:id="372" w:name="_Toc464028572"/>
      <w:bookmarkStart w:id="373" w:name="_Toc466292737"/>
      <w:bookmarkStart w:id="374" w:name="_Toc467229229"/>
      <w:bookmarkStart w:id="375" w:name="_Toc468199538"/>
      <w:bookmarkStart w:id="376" w:name="_Toc469058094"/>
      <w:bookmarkStart w:id="377" w:name="_Toc472413667"/>
      <w:bookmarkStart w:id="378" w:name="_Toc473107268"/>
      <w:bookmarkStart w:id="379" w:name="_Toc474850440"/>
      <w:bookmarkStart w:id="380" w:name="_Toc476061822"/>
      <w:bookmarkStart w:id="381" w:name="_Toc477355880"/>
      <w:bookmarkStart w:id="382" w:name="_Toc478045213"/>
      <w:bookmarkStart w:id="383" w:name="_Toc479170906"/>
      <w:bookmarkStart w:id="384" w:name="_Toc481736936"/>
      <w:bookmarkStart w:id="385" w:name="_Toc483991775"/>
      <w:bookmarkStart w:id="386" w:name="_Toc484612707"/>
      <w:bookmarkStart w:id="387" w:name="_Toc486861832"/>
      <w:bookmarkStart w:id="388" w:name="_Toc489604269"/>
      <w:bookmarkStart w:id="389" w:name="_Toc490733866"/>
      <w:bookmarkStart w:id="390" w:name="_Toc492473930"/>
      <w:bookmarkStart w:id="391" w:name="_Toc493239118"/>
      <w:bookmarkStart w:id="392" w:name="_Toc494706578"/>
      <w:bookmarkStart w:id="393" w:name="_Toc496867162"/>
      <w:bookmarkStart w:id="394" w:name="_Toc497466153"/>
      <w:bookmarkStart w:id="395" w:name="_Toc498510164"/>
      <w:bookmarkStart w:id="396" w:name="_Toc499892936"/>
      <w:bookmarkStart w:id="397" w:name="_Toc500928332"/>
      <w:bookmarkStart w:id="398" w:name="_Toc503278448"/>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399" w:name="_Toc451159964"/>
      <w:bookmarkStart w:id="400" w:name="_Toc452042299"/>
      <w:bookmarkStart w:id="401" w:name="_Toc453246399"/>
      <w:bookmarkStart w:id="402" w:name="_Toc455568931"/>
      <w:bookmarkStart w:id="403" w:name="_Toc458763349"/>
      <w:bookmarkStart w:id="404" w:name="_Toc461613931"/>
      <w:bookmarkStart w:id="405" w:name="_Toc464028573"/>
      <w:bookmarkStart w:id="406" w:name="_Toc466292738"/>
      <w:bookmarkStart w:id="407" w:name="_Toc467229230"/>
      <w:bookmarkStart w:id="408" w:name="_Toc468199539"/>
      <w:bookmarkStart w:id="409" w:name="_Toc469058095"/>
      <w:bookmarkStart w:id="410" w:name="_Toc472413668"/>
      <w:bookmarkStart w:id="411" w:name="_Toc473107269"/>
      <w:bookmarkStart w:id="412" w:name="_Toc474850441"/>
      <w:bookmarkStart w:id="413" w:name="_Toc476061823"/>
      <w:bookmarkStart w:id="414" w:name="_Toc477355881"/>
      <w:bookmarkStart w:id="415" w:name="_Toc478045214"/>
      <w:bookmarkStart w:id="416" w:name="_Toc479170907"/>
      <w:bookmarkStart w:id="417" w:name="_Toc481736937"/>
      <w:bookmarkStart w:id="418" w:name="_Toc483991776"/>
      <w:bookmarkStart w:id="419" w:name="_Toc484612708"/>
      <w:bookmarkStart w:id="420" w:name="_Toc486861833"/>
      <w:bookmarkStart w:id="421" w:name="_Toc489604270"/>
      <w:bookmarkStart w:id="422" w:name="_Toc490733867"/>
      <w:bookmarkStart w:id="423" w:name="_Toc492473931"/>
      <w:bookmarkStart w:id="424" w:name="_Toc493239119"/>
      <w:bookmarkStart w:id="425" w:name="_Toc494706579"/>
      <w:bookmarkStart w:id="426" w:name="_Toc496867163"/>
      <w:bookmarkStart w:id="427" w:name="_Toc497466154"/>
      <w:bookmarkStart w:id="428" w:name="_Toc498510165"/>
      <w:bookmarkStart w:id="429" w:name="_Toc499892937"/>
      <w:bookmarkStart w:id="430" w:name="_Toc500928333"/>
      <w:bookmarkStart w:id="431" w:name="_Toc503278449"/>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0F6F77" w:rsidRDefault="000F6F77" w:rsidP="000F6F77">
      <w:pPr>
        <w:rPr>
          <w:lang w:val="fr-CH"/>
        </w:rPr>
      </w:pPr>
    </w:p>
    <w:p w:rsidR="003D5777" w:rsidRDefault="003D5777" w:rsidP="000F6F77">
      <w:pPr>
        <w:rPr>
          <w:lang w:val="fr-CH"/>
        </w:rPr>
      </w:pPr>
    </w:p>
    <w:p w:rsidR="003D5777" w:rsidRPr="003D5777" w:rsidRDefault="003D5777" w:rsidP="003D5777">
      <w:pPr>
        <w:pStyle w:val="Heading2"/>
        <w:rPr>
          <w:lang w:val="fr-CH"/>
        </w:rPr>
      </w:pPr>
      <w:bookmarkStart w:id="432" w:name="_Toc503278450"/>
      <w:r w:rsidRPr="003D5777">
        <w:rPr>
          <w:lang w:val="fr-CH"/>
        </w:rPr>
        <w:t>Nomenclature des stations de navire et des identités</w:t>
      </w:r>
      <w:r w:rsidRPr="003D5777">
        <w:rPr>
          <w:lang w:val="fr-CH"/>
        </w:rPr>
        <w:br/>
        <w:t xml:space="preserve">du service mobile maritime assignées </w:t>
      </w:r>
      <w:r w:rsidRPr="003D5777">
        <w:rPr>
          <w:lang w:val="fr-CH"/>
        </w:rPr>
        <w:br/>
        <w:t>(Liste V</w:t>
      </w:r>
      <w:proofErr w:type="gramStart"/>
      <w:r w:rsidRPr="003D5777">
        <w:rPr>
          <w:lang w:val="fr-CH"/>
        </w:rPr>
        <w:t>)</w:t>
      </w:r>
      <w:proofErr w:type="gramEnd"/>
      <w:r w:rsidRPr="003D5777">
        <w:rPr>
          <w:lang w:val="fr-CH"/>
        </w:rPr>
        <w:br/>
        <w:t>Edition de 2017</w:t>
      </w:r>
      <w:r w:rsidRPr="003D5777">
        <w:rPr>
          <w:lang w:val="fr-CH"/>
        </w:rPr>
        <w:br/>
      </w:r>
      <w:r w:rsidRPr="003D5777">
        <w:rPr>
          <w:lang w:val="fr-CH"/>
        </w:rPr>
        <w:br/>
        <w:t>Section VI</w:t>
      </w:r>
      <w:bookmarkEnd w:id="432"/>
    </w:p>
    <w:p w:rsidR="003D5777" w:rsidRPr="003D5777" w:rsidRDefault="003D5777" w:rsidP="003D5777">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s-ES_tradnl"/>
        </w:rPr>
      </w:pPr>
      <w:r w:rsidRPr="003D5777">
        <w:rPr>
          <w:rFonts w:asciiTheme="minorHAnsi" w:hAnsiTheme="minorHAnsi" w:cs="Arial"/>
          <w:b/>
          <w:bCs/>
          <w:color w:val="000000"/>
          <w:lang w:val="es-ES_tradnl"/>
        </w:rPr>
        <w:t>ADD</w:t>
      </w:r>
    </w:p>
    <w:p w:rsidR="003D5777" w:rsidRPr="003D5777" w:rsidRDefault="003D5777" w:rsidP="003D5777">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es-ES_tradnl"/>
        </w:rPr>
      </w:pPr>
      <w:r w:rsidRPr="003D5777">
        <w:rPr>
          <w:rFonts w:asciiTheme="minorHAnsi" w:hAnsiTheme="minorHAnsi" w:cs="Arial"/>
          <w:b/>
          <w:bCs/>
          <w:color w:val="000000"/>
          <w:lang w:val="es-ES_tradnl"/>
        </w:rPr>
        <w:t>CV74</w:t>
      </w:r>
      <w:r w:rsidRPr="003D5777">
        <w:rPr>
          <w:rFonts w:asciiTheme="minorHAnsi" w:hAnsiTheme="minorHAnsi" w:cs="Arial"/>
          <w:sz w:val="24"/>
          <w:szCs w:val="24"/>
          <w:lang w:val="es-ES_tradnl"/>
        </w:rPr>
        <w:tab/>
      </w:r>
      <w:r w:rsidRPr="003D5777">
        <w:rPr>
          <w:rFonts w:asciiTheme="minorHAnsi" w:hAnsiTheme="minorHAnsi" w:cs="Arial"/>
          <w:sz w:val="24"/>
          <w:szCs w:val="24"/>
          <w:lang w:val="es-ES_tradnl"/>
        </w:rPr>
        <w:tab/>
      </w:r>
      <w:proofErr w:type="spellStart"/>
      <w:r w:rsidRPr="003D5777">
        <w:rPr>
          <w:rFonts w:asciiTheme="minorHAnsi" w:hAnsiTheme="minorHAnsi" w:cs="Arial"/>
          <w:color w:val="000000"/>
          <w:lang w:val="es-ES_tradnl"/>
        </w:rPr>
        <w:t>Transinsular</w:t>
      </w:r>
      <w:proofErr w:type="spellEnd"/>
      <w:r w:rsidRPr="003D5777">
        <w:rPr>
          <w:rFonts w:asciiTheme="minorHAnsi" w:hAnsiTheme="minorHAnsi" w:cs="Arial"/>
          <w:color w:val="000000"/>
          <w:lang w:val="es-ES_tradnl"/>
        </w:rPr>
        <w:t xml:space="preserve"> Cabo Verde - Transportes Marítimos Insulares de Cabo Verde, </w:t>
      </w:r>
      <w:proofErr w:type="spellStart"/>
      <w:r w:rsidRPr="003D5777">
        <w:rPr>
          <w:rFonts w:asciiTheme="minorHAnsi" w:hAnsiTheme="minorHAnsi" w:cs="Arial"/>
          <w:color w:val="000000"/>
          <w:lang w:val="es-ES_tradnl"/>
        </w:rPr>
        <w:t>Lda</w:t>
      </w:r>
      <w:proofErr w:type="spellEnd"/>
      <w:r w:rsidRPr="003D5777">
        <w:rPr>
          <w:rFonts w:asciiTheme="minorHAnsi" w:hAnsiTheme="minorHAnsi" w:cs="Arial"/>
          <w:color w:val="000000"/>
          <w:lang w:val="es-ES_tradnl"/>
        </w:rPr>
        <w:t>,</w:t>
      </w:r>
    </w:p>
    <w:p w:rsidR="003D5777" w:rsidRPr="003D5777" w:rsidRDefault="003D5777" w:rsidP="003D5777">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es-ES_tradnl"/>
        </w:rPr>
      </w:pPr>
      <w:r w:rsidRPr="003D5777">
        <w:rPr>
          <w:rFonts w:asciiTheme="minorHAnsi" w:hAnsiTheme="minorHAnsi" w:cs="Arial"/>
          <w:color w:val="000000"/>
          <w:lang w:val="es-ES_tradnl"/>
        </w:rPr>
        <w:tab/>
      </w:r>
      <w:r w:rsidRPr="003D5777">
        <w:rPr>
          <w:rFonts w:asciiTheme="minorHAnsi" w:hAnsiTheme="minorHAnsi" w:cs="Arial"/>
          <w:color w:val="000000"/>
          <w:lang w:val="es-ES_tradnl"/>
        </w:rPr>
        <w:tab/>
      </w:r>
      <w:proofErr w:type="spellStart"/>
      <w:r w:rsidRPr="003D5777">
        <w:rPr>
          <w:rFonts w:asciiTheme="minorHAnsi" w:hAnsiTheme="minorHAnsi" w:cs="Arial"/>
          <w:color w:val="000000"/>
          <w:lang w:val="es-ES_tradnl"/>
        </w:rPr>
        <w:t>Rua</w:t>
      </w:r>
      <w:proofErr w:type="spellEnd"/>
      <w:r w:rsidRPr="003D5777">
        <w:rPr>
          <w:rFonts w:asciiTheme="minorHAnsi" w:hAnsiTheme="minorHAnsi" w:cs="Arial"/>
          <w:color w:val="000000"/>
          <w:lang w:val="es-ES_tradnl"/>
        </w:rPr>
        <w:t xml:space="preserve"> </w:t>
      </w:r>
      <w:proofErr w:type="spellStart"/>
      <w:r w:rsidRPr="003D5777">
        <w:rPr>
          <w:rFonts w:asciiTheme="minorHAnsi" w:hAnsiTheme="minorHAnsi" w:cs="Arial"/>
          <w:color w:val="000000"/>
          <w:lang w:val="es-ES_tradnl"/>
        </w:rPr>
        <w:t>Visconde</w:t>
      </w:r>
      <w:proofErr w:type="spellEnd"/>
      <w:r w:rsidRPr="003D5777">
        <w:rPr>
          <w:rFonts w:asciiTheme="minorHAnsi" w:hAnsiTheme="minorHAnsi" w:cs="Arial"/>
          <w:color w:val="000000"/>
          <w:lang w:val="es-ES_tradnl"/>
        </w:rPr>
        <w:t xml:space="preserve"> S. </w:t>
      </w:r>
      <w:proofErr w:type="spellStart"/>
      <w:r w:rsidRPr="003D5777">
        <w:rPr>
          <w:rFonts w:asciiTheme="minorHAnsi" w:hAnsiTheme="minorHAnsi" w:cs="Arial"/>
          <w:color w:val="000000"/>
          <w:lang w:val="es-ES_tradnl"/>
        </w:rPr>
        <w:t>Januário</w:t>
      </w:r>
      <w:proofErr w:type="spellEnd"/>
      <w:r w:rsidRPr="003D5777">
        <w:rPr>
          <w:rFonts w:asciiTheme="minorHAnsi" w:hAnsiTheme="minorHAnsi" w:cs="Arial"/>
          <w:color w:val="000000"/>
          <w:lang w:val="es-ES_tradnl"/>
        </w:rPr>
        <w:t xml:space="preserve">, No 12 - </w:t>
      </w:r>
      <w:proofErr w:type="spellStart"/>
      <w:r w:rsidRPr="003D5777">
        <w:rPr>
          <w:rFonts w:asciiTheme="minorHAnsi" w:hAnsiTheme="minorHAnsi" w:cs="Arial"/>
          <w:color w:val="000000"/>
          <w:lang w:val="es-ES_tradnl"/>
        </w:rPr>
        <w:t>Plateau</w:t>
      </w:r>
      <w:proofErr w:type="spellEnd"/>
      <w:r w:rsidRPr="003D5777">
        <w:rPr>
          <w:rFonts w:asciiTheme="minorHAnsi" w:hAnsiTheme="minorHAnsi" w:cs="Arial"/>
          <w:color w:val="000000"/>
          <w:lang w:val="es-ES_tradnl"/>
        </w:rPr>
        <w:t xml:space="preserve"> - </w:t>
      </w:r>
      <w:proofErr w:type="spellStart"/>
      <w:r w:rsidRPr="003D5777">
        <w:rPr>
          <w:rFonts w:asciiTheme="minorHAnsi" w:hAnsiTheme="minorHAnsi" w:cs="Arial"/>
          <w:color w:val="000000"/>
          <w:lang w:val="es-ES_tradnl"/>
        </w:rPr>
        <w:t>Cidade</w:t>
      </w:r>
      <w:proofErr w:type="spellEnd"/>
      <w:r w:rsidRPr="003D5777">
        <w:rPr>
          <w:rFonts w:asciiTheme="minorHAnsi" w:hAnsiTheme="minorHAnsi" w:cs="Arial"/>
          <w:color w:val="000000"/>
          <w:lang w:val="es-ES_tradnl"/>
        </w:rPr>
        <w:t xml:space="preserve"> da Praia,</w:t>
      </w:r>
    </w:p>
    <w:p w:rsidR="003D5777" w:rsidRPr="003D5777" w:rsidRDefault="003D5777" w:rsidP="003D5777">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es-ES_tradnl"/>
        </w:rPr>
      </w:pPr>
      <w:r w:rsidRPr="003D5777">
        <w:rPr>
          <w:rFonts w:asciiTheme="minorHAnsi" w:hAnsiTheme="minorHAnsi" w:cs="Arial"/>
          <w:color w:val="000000"/>
          <w:lang w:val="es-ES_tradnl"/>
        </w:rPr>
        <w:tab/>
      </w:r>
      <w:r w:rsidRPr="003D5777">
        <w:rPr>
          <w:rFonts w:asciiTheme="minorHAnsi" w:hAnsiTheme="minorHAnsi" w:cs="Arial"/>
          <w:color w:val="000000"/>
          <w:lang w:val="es-ES_tradnl"/>
        </w:rPr>
        <w:tab/>
        <w:t>Praia - Santiago, República de Cabo Verde.</w:t>
      </w:r>
    </w:p>
    <w:p w:rsidR="003D5777" w:rsidRPr="003D5777" w:rsidRDefault="003D5777" w:rsidP="003D5777">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3D5777">
        <w:rPr>
          <w:rFonts w:asciiTheme="minorHAnsi" w:hAnsiTheme="minorHAnsi" w:cs="Arial"/>
          <w:sz w:val="24"/>
          <w:szCs w:val="24"/>
          <w:lang w:val="es-ES_tradnl"/>
        </w:rPr>
        <w:tab/>
      </w:r>
      <w:r w:rsidRPr="003D5777">
        <w:rPr>
          <w:rFonts w:asciiTheme="minorHAnsi" w:hAnsiTheme="minorHAnsi" w:cs="Arial"/>
          <w:sz w:val="24"/>
          <w:szCs w:val="24"/>
          <w:lang w:val="es-ES_tradnl"/>
        </w:rPr>
        <w:tab/>
      </w:r>
      <w:r w:rsidRPr="003D5777">
        <w:rPr>
          <w:rFonts w:asciiTheme="minorHAnsi" w:hAnsiTheme="minorHAnsi" w:cs="Arial"/>
          <w:color w:val="000000"/>
          <w:lang w:val="fr-CH"/>
        </w:rPr>
        <w:t>Tél</w:t>
      </w:r>
      <w:proofErr w:type="gramStart"/>
      <w:r w:rsidRPr="003D5777">
        <w:rPr>
          <w:rFonts w:asciiTheme="minorHAnsi" w:hAnsiTheme="minorHAnsi" w:cs="Arial"/>
          <w:color w:val="000000"/>
          <w:lang w:val="fr-CH"/>
        </w:rPr>
        <w:t>.:</w:t>
      </w:r>
      <w:proofErr w:type="gramEnd"/>
      <w:r w:rsidRPr="003D5777">
        <w:rPr>
          <w:rFonts w:asciiTheme="minorHAnsi" w:hAnsiTheme="minorHAnsi" w:cs="Arial"/>
          <w:color w:val="000000"/>
          <w:lang w:val="fr-CH"/>
        </w:rPr>
        <w:t xml:space="preserve"> +238 2611179, E-Mail: </w:t>
      </w:r>
      <w:r w:rsidR="004959DC">
        <w:fldChar w:fldCharType="begin"/>
      </w:r>
      <w:r w:rsidR="004959DC" w:rsidRPr="004959DC">
        <w:rPr>
          <w:lang w:val="fr-CH"/>
        </w:rPr>
        <w:instrText xml:space="preserve"> HYPERLINK "mailto:Joao.nunes@transinsular.cv" </w:instrText>
      </w:r>
      <w:r w:rsidR="004959DC">
        <w:fldChar w:fldCharType="separate"/>
      </w:r>
      <w:r w:rsidRPr="003D5777">
        <w:rPr>
          <w:rFonts w:asciiTheme="minorHAnsi" w:hAnsiTheme="minorHAnsi" w:cs="Arial"/>
          <w:color w:val="0000FF"/>
          <w:u w:val="single"/>
          <w:lang w:val="fr-CH"/>
        </w:rPr>
        <w:t>Joao.nunes@transinsular.cv</w:t>
      </w:r>
      <w:r w:rsidR="004959DC">
        <w:rPr>
          <w:rFonts w:asciiTheme="minorHAnsi" w:hAnsiTheme="minorHAnsi" w:cs="Arial"/>
          <w:color w:val="0000FF"/>
          <w:u w:val="single"/>
          <w:lang w:val="fr-CH"/>
        </w:rPr>
        <w:fldChar w:fldCharType="end"/>
      </w:r>
    </w:p>
    <w:p w:rsidR="003D5777" w:rsidRPr="003D5777" w:rsidRDefault="003D5777" w:rsidP="003D5777">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fr-CH"/>
        </w:rPr>
      </w:pPr>
      <w:r w:rsidRPr="003D5777">
        <w:rPr>
          <w:rFonts w:asciiTheme="minorHAnsi" w:hAnsiTheme="minorHAnsi" w:cs="Arial"/>
          <w:sz w:val="24"/>
          <w:szCs w:val="24"/>
          <w:lang w:val="fr-CH"/>
        </w:rPr>
        <w:tab/>
      </w:r>
      <w:r w:rsidRPr="003D5777">
        <w:rPr>
          <w:rFonts w:asciiTheme="minorHAnsi" w:hAnsiTheme="minorHAnsi" w:cs="Arial"/>
          <w:sz w:val="24"/>
          <w:szCs w:val="24"/>
          <w:lang w:val="fr-CH"/>
        </w:rPr>
        <w:tab/>
      </w:r>
      <w:r w:rsidRPr="003D5777">
        <w:rPr>
          <w:rFonts w:asciiTheme="minorHAnsi" w:hAnsiTheme="minorHAnsi" w:cs="Arial"/>
          <w:i/>
          <w:iCs/>
          <w:color w:val="000000"/>
          <w:lang w:val="fr-CH"/>
        </w:rPr>
        <w:t xml:space="preserve">Personne de </w:t>
      </w:r>
      <w:proofErr w:type="gramStart"/>
      <w:r w:rsidRPr="003D5777">
        <w:rPr>
          <w:rFonts w:asciiTheme="minorHAnsi" w:hAnsiTheme="minorHAnsi" w:cs="Arial"/>
          <w:i/>
          <w:iCs/>
          <w:color w:val="000000"/>
          <w:lang w:val="fr-CH"/>
        </w:rPr>
        <w:t>contact:</w:t>
      </w:r>
      <w:proofErr w:type="gramEnd"/>
      <w:r w:rsidRPr="003D5777">
        <w:rPr>
          <w:rFonts w:asciiTheme="minorHAnsi" w:hAnsiTheme="minorHAnsi" w:cs="Arial"/>
          <w:i/>
          <w:iCs/>
          <w:color w:val="000000"/>
          <w:lang w:val="fr-CH"/>
        </w:rPr>
        <w:t xml:space="preserve"> João Nunes, Mobile: +238 919913651,</w:t>
      </w:r>
    </w:p>
    <w:p w:rsidR="003D5777" w:rsidRPr="003D5777" w:rsidRDefault="003D5777" w:rsidP="003D5777">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es-ES_tradnl"/>
        </w:rPr>
      </w:pPr>
      <w:r w:rsidRPr="003D5777">
        <w:rPr>
          <w:rFonts w:asciiTheme="minorHAnsi" w:hAnsiTheme="minorHAnsi" w:cs="Arial"/>
          <w:i/>
          <w:iCs/>
          <w:color w:val="000000"/>
          <w:lang w:val="fr-CH"/>
        </w:rPr>
        <w:tab/>
      </w:r>
      <w:r w:rsidRPr="003D5777">
        <w:rPr>
          <w:rFonts w:asciiTheme="minorHAnsi" w:hAnsiTheme="minorHAnsi" w:cs="Arial"/>
          <w:i/>
          <w:iCs/>
          <w:color w:val="000000"/>
          <w:lang w:val="fr-CH"/>
        </w:rPr>
        <w:tab/>
      </w:r>
      <w:r w:rsidRPr="003D5777">
        <w:rPr>
          <w:rFonts w:asciiTheme="minorHAnsi" w:hAnsiTheme="minorHAnsi" w:cs="Arial"/>
          <w:i/>
          <w:iCs/>
          <w:color w:val="000000"/>
          <w:lang w:val="es-ES_tradnl"/>
        </w:rPr>
        <w:t xml:space="preserve">e-mail: </w:t>
      </w:r>
      <w:r w:rsidR="004959DC">
        <w:fldChar w:fldCharType="begin"/>
      </w:r>
      <w:r w:rsidR="004959DC" w:rsidRPr="005B3A02">
        <w:rPr>
          <w:lang w:val="es-ES_tradnl"/>
        </w:rPr>
        <w:instrText xml:space="preserve"> HYPERLINK "mailto:Joao.nunes@transinsular.cv" </w:instrText>
      </w:r>
      <w:r w:rsidR="004959DC">
        <w:fldChar w:fldCharType="separate"/>
      </w:r>
      <w:r w:rsidRPr="003D5777">
        <w:rPr>
          <w:rFonts w:asciiTheme="minorHAnsi" w:hAnsiTheme="minorHAnsi" w:cs="Arial"/>
          <w:i/>
          <w:iCs/>
          <w:color w:val="0000FF"/>
          <w:u w:val="single"/>
          <w:lang w:val="es-ES_tradnl"/>
        </w:rPr>
        <w:t>Joao.nunes@transinsular.cv</w:t>
      </w:r>
      <w:r w:rsidR="004959DC">
        <w:rPr>
          <w:rFonts w:asciiTheme="minorHAnsi" w:hAnsiTheme="minorHAnsi" w:cs="Arial"/>
          <w:i/>
          <w:iCs/>
          <w:color w:val="0000FF"/>
          <w:u w:val="single"/>
          <w:lang w:val="es-ES_tradnl"/>
        </w:rPr>
        <w:fldChar w:fldCharType="end"/>
      </w:r>
    </w:p>
    <w:p w:rsidR="003D5777" w:rsidRPr="003D5777" w:rsidRDefault="003D5777" w:rsidP="003D5777">
      <w:pPr>
        <w:widowControl w:val="0"/>
        <w:tabs>
          <w:tab w:val="clear" w:pos="1276"/>
          <w:tab w:val="clear" w:pos="1843"/>
          <w:tab w:val="left" w:pos="90"/>
          <w:tab w:val="left" w:pos="1134"/>
          <w:tab w:val="left" w:pos="1560"/>
          <w:tab w:val="left" w:pos="2127"/>
        </w:tabs>
        <w:spacing w:before="0"/>
        <w:rPr>
          <w:rFonts w:asciiTheme="minorHAnsi" w:hAnsiTheme="minorHAnsi" w:cs="Arial"/>
          <w:b/>
          <w:bCs/>
          <w:color w:val="000000"/>
          <w:lang w:val="es-ES_tradnl"/>
        </w:rPr>
      </w:pPr>
      <w:r w:rsidRPr="003D5777">
        <w:rPr>
          <w:rFonts w:asciiTheme="minorHAnsi" w:hAnsiTheme="minorHAnsi" w:cs="Arial"/>
          <w:b/>
          <w:bCs/>
          <w:color w:val="000000"/>
          <w:lang w:val="es-ES_tradnl"/>
        </w:rPr>
        <w:t>REP</w:t>
      </w:r>
    </w:p>
    <w:p w:rsidR="003D5777" w:rsidRPr="003D5777" w:rsidRDefault="003D5777" w:rsidP="003D5777">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es-ES_tradnl"/>
        </w:rPr>
      </w:pPr>
      <w:r w:rsidRPr="003D5777">
        <w:rPr>
          <w:rFonts w:asciiTheme="minorHAnsi" w:hAnsiTheme="minorHAnsi" w:cs="Arial"/>
          <w:b/>
          <w:bCs/>
          <w:color w:val="000000"/>
          <w:lang w:val="es-ES_tradnl"/>
        </w:rPr>
        <w:t>IA03</w:t>
      </w:r>
      <w:r w:rsidRPr="003D5777">
        <w:rPr>
          <w:rFonts w:asciiTheme="minorHAnsi" w:hAnsiTheme="minorHAnsi" w:cs="Arial"/>
          <w:b/>
          <w:bCs/>
          <w:color w:val="000000"/>
          <w:lang w:val="es-ES_tradnl"/>
        </w:rPr>
        <w:tab/>
      </w:r>
      <w:r w:rsidRPr="003D5777">
        <w:rPr>
          <w:rFonts w:asciiTheme="minorHAnsi" w:hAnsiTheme="minorHAnsi" w:cs="Arial"/>
          <w:b/>
          <w:bCs/>
          <w:color w:val="000000"/>
          <w:lang w:val="es-ES_tradnl"/>
        </w:rPr>
        <w:tab/>
      </w:r>
      <w:r w:rsidRPr="003D5777">
        <w:rPr>
          <w:rFonts w:asciiTheme="minorHAnsi" w:hAnsiTheme="minorHAnsi" w:cs="Arial"/>
          <w:color w:val="000000"/>
          <w:lang w:val="es-ES_tradnl"/>
        </w:rPr>
        <w:t xml:space="preserve">PT. </w:t>
      </w:r>
      <w:proofErr w:type="spellStart"/>
      <w:r w:rsidRPr="003D5777">
        <w:rPr>
          <w:rFonts w:asciiTheme="minorHAnsi" w:hAnsiTheme="minorHAnsi" w:cs="Arial"/>
          <w:color w:val="000000"/>
          <w:lang w:val="es-ES_tradnl"/>
        </w:rPr>
        <w:t>Djakarta</w:t>
      </w:r>
      <w:proofErr w:type="spellEnd"/>
      <w:r w:rsidRPr="003D5777">
        <w:rPr>
          <w:rFonts w:asciiTheme="minorHAnsi" w:hAnsiTheme="minorHAnsi" w:cs="Arial"/>
          <w:color w:val="000000"/>
          <w:lang w:val="es-ES_tradnl"/>
        </w:rPr>
        <w:t xml:space="preserve"> Lloyd, Jalan </w:t>
      </w:r>
      <w:proofErr w:type="spellStart"/>
      <w:r w:rsidRPr="003D5777">
        <w:rPr>
          <w:rFonts w:asciiTheme="minorHAnsi" w:hAnsiTheme="minorHAnsi" w:cs="Arial"/>
          <w:color w:val="000000"/>
          <w:lang w:val="es-ES_tradnl"/>
        </w:rPr>
        <w:t>Raden</w:t>
      </w:r>
      <w:proofErr w:type="spellEnd"/>
      <w:r w:rsidRPr="003D5777">
        <w:rPr>
          <w:rFonts w:asciiTheme="minorHAnsi" w:hAnsiTheme="minorHAnsi" w:cs="Arial"/>
          <w:color w:val="000000"/>
          <w:lang w:val="es-ES_tradnl"/>
        </w:rPr>
        <w:t xml:space="preserve"> </w:t>
      </w:r>
      <w:proofErr w:type="spellStart"/>
      <w:r w:rsidRPr="003D5777">
        <w:rPr>
          <w:rFonts w:asciiTheme="minorHAnsi" w:hAnsiTheme="minorHAnsi" w:cs="Arial"/>
          <w:color w:val="000000"/>
          <w:lang w:val="es-ES_tradnl"/>
        </w:rPr>
        <w:t>Saleh</w:t>
      </w:r>
      <w:proofErr w:type="spellEnd"/>
      <w:r w:rsidRPr="003D5777">
        <w:rPr>
          <w:rFonts w:asciiTheme="minorHAnsi" w:hAnsiTheme="minorHAnsi" w:cs="Arial"/>
          <w:color w:val="000000"/>
          <w:lang w:val="es-ES_tradnl"/>
        </w:rPr>
        <w:t xml:space="preserve"> Raya no. 51 </w:t>
      </w:r>
      <w:proofErr w:type="spellStart"/>
      <w:r w:rsidRPr="003D5777">
        <w:rPr>
          <w:rFonts w:asciiTheme="minorHAnsi" w:hAnsiTheme="minorHAnsi" w:cs="Arial"/>
          <w:color w:val="000000"/>
          <w:lang w:val="es-ES_tradnl"/>
        </w:rPr>
        <w:t>Cikini</w:t>
      </w:r>
      <w:proofErr w:type="spellEnd"/>
      <w:r w:rsidRPr="003D5777">
        <w:rPr>
          <w:rFonts w:asciiTheme="minorHAnsi" w:hAnsiTheme="minorHAnsi" w:cs="Arial"/>
          <w:color w:val="000000"/>
          <w:lang w:val="es-ES_tradnl"/>
        </w:rPr>
        <w:t xml:space="preserve">, </w:t>
      </w:r>
      <w:proofErr w:type="spellStart"/>
      <w:r w:rsidRPr="003D5777">
        <w:rPr>
          <w:rFonts w:asciiTheme="minorHAnsi" w:hAnsiTheme="minorHAnsi" w:cs="Arial"/>
          <w:color w:val="000000"/>
          <w:lang w:val="es-ES_tradnl"/>
        </w:rPr>
        <w:t>Menteng</w:t>
      </w:r>
      <w:proofErr w:type="spellEnd"/>
      <w:r w:rsidRPr="003D5777">
        <w:rPr>
          <w:rFonts w:asciiTheme="minorHAnsi" w:hAnsiTheme="minorHAnsi" w:cs="Arial"/>
          <w:color w:val="000000"/>
          <w:lang w:val="es-ES_tradnl"/>
        </w:rPr>
        <w:t>,</w:t>
      </w:r>
    </w:p>
    <w:p w:rsidR="003D5777" w:rsidRPr="003D5777" w:rsidRDefault="003D5777" w:rsidP="003D5777">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lang w:val="es-ES_tradnl"/>
        </w:rPr>
      </w:pPr>
      <w:r w:rsidRPr="003D5777">
        <w:rPr>
          <w:rFonts w:asciiTheme="minorHAnsi" w:hAnsiTheme="minorHAnsi" w:cs="Arial"/>
          <w:color w:val="000000"/>
          <w:lang w:val="es-ES_tradnl"/>
        </w:rPr>
        <w:tab/>
      </w:r>
      <w:r w:rsidRPr="003D5777">
        <w:rPr>
          <w:rFonts w:asciiTheme="minorHAnsi" w:hAnsiTheme="minorHAnsi" w:cs="Arial"/>
          <w:color w:val="000000"/>
          <w:lang w:val="es-ES_tradnl"/>
        </w:rPr>
        <w:tab/>
      </w:r>
      <w:proofErr w:type="spellStart"/>
      <w:r w:rsidRPr="003D5777">
        <w:rPr>
          <w:rFonts w:asciiTheme="minorHAnsi" w:hAnsiTheme="minorHAnsi" w:cs="Arial"/>
          <w:color w:val="000000"/>
          <w:lang w:val="es-ES_tradnl"/>
        </w:rPr>
        <w:t>Jakarta</w:t>
      </w:r>
      <w:proofErr w:type="spellEnd"/>
      <w:r w:rsidRPr="003D5777">
        <w:rPr>
          <w:rFonts w:asciiTheme="minorHAnsi" w:hAnsiTheme="minorHAnsi" w:cs="Arial"/>
          <w:color w:val="000000"/>
          <w:lang w:val="es-ES_tradnl"/>
        </w:rPr>
        <w:t xml:space="preserve"> 10330, Indonesia.</w:t>
      </w:r>
    </w:p>
    <w:p w:rsidR="003D5777" w:rsidRPr="003D5777" w:rsidRDefault="003D5777" w:rsidP="003D5777">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es-ES_tradnl"/>
        </w:rPr>
      </w:pPr>
      <w:r w:rsidRPr="003D5777">
        <w:rPr>
          <w:rFonts w:asciiTheme="minorHAnsi" w:hAnsiTheme="minorHAnsi" w:cs="Arial"/>
          <w:sz w:val="24"/>
          <w:szCs w:val="24"/>
          <w:lang w:val="es-ES_tradnl"/>
        </w:rPr>
        <w:tab/>
      </w:r>
      <w:r w:rsidRPr="003D5777">
        <w:rPr>
          <w:rFonts w:asciiTheme="minorHAnsi" w:hAnsiTheme="minorHAnsi" w:cs="Arial"/>
          <w:sz w:val="24"/>
          <w:szCs w:val="24"/>
          <w:lang w:val="es-ES_tradnl"/>
        </w:rPr>
        <w:tab/>
      </w:r>
      <w:proofErr w:type="spellStart"/>
      <w:r w:rsidRPr="003D5777">
        <w:rPr>
          <w:rFonts w:asciiTheme="minorHAnsi" w:hAnsiTheme="minorHAnsi" w:cs="Arial"/>
          <w:color w:val="000000"/>
          <w:lang w:val="es-ES_tradnl"/>
        </w:rPr>
        <w:t>Tél</w:t>
      </w:r>
      <w:proofErr w:type="spellEnd"/>
      <w:r w:rsidRPr="003D5777">
        <w:rPr>
          <w:rFonts w:asciiTheme="minorHAnsi" w:hAnsiTheme="minorHAnsi" w:cs="Arial"/>
          <w:color w:val="000000"/>
          <w:lang w:val="es-ES_tradnl"/>
        </w:rPr>
        <w:t xml:space="preserve">.: +62 21 2961 9724, Fax: +62 21 2961 9725, E-Mail: </w:t>
      </w:r>
      <w:r w:rsidR="004959DC">
        <w:fldChar w:fldCharType="begin"/>
      </w:r>
      <w:r w:rsidR="004959DC" w:rsidRPr="005B3A02">
        <w:rPr>
          <w:lang w:val="es-ES_tradnl"/>
        </w:rPr>
        <w:instrText xml:space="preserve"> HYPERLINK "mailto:info@djakartalloyd.co.id" </w:instrText>
      </w:r>
      <w:r w:rsidR="004959DC">
        <w:fldChar w:fldCharType="separate"/>
      </w:r>
      <w:r w:rsidRPr="003D5777">
        <w:rPr>
          <w:rFonts w:asciiTheme="minorHAnsi" w:hAnsiTheme="minorHAnsi" w:cs="Arial"/>
          <w:color w:val="0000FF"/>
          <w:u w:val="single"/>
          <w:lang w:val="es-ES_tradnl"/>
        </w:rPr>
        <w:t>info@djakartalloyd.co.id</w:t>
      </w:r>
      <w:r w:rsidR="004959DC">
        <w:rPr>
          <w:rFonts w:asciiTheme="minorHAnsi" w:hAnsiTheme="minorHAnsi" w:cs="Arial"/>
          <w:color w:val="0000FF"/>
          <w:u w:val="single"/>
          <w:lang w:val="es-ES_tradnl"/>
        </w:rPr>
        <w:fldChar w:fldCharType="end"/>
      </w:r>
    </w:p>
    <w:p w:rsidR="003D5777" w:rsidRPr="003D5777" w:rsidRDefault="003D5777" w:rsidP="003D5777">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sz w:val="25"/>
          <w:szCs w:val="25"/>
          <w:lang w:val="es-ES_tradnl"/>
        </w:rPr>
      </w:pPr>
      <w:r w:rsidRPr="003D5777">
        <w:rPr>
          <w:rFonts w:asciiTheme="minorHAnsi" w:hAnsiTheme="minorHAnsi" w:cs="Arial"/>
          <w:sz w:val="24"/>
          <w:szCs w:val="24"/>
          <w:lang w:val="es-ES_tradnl"/>
        </w:rPr>
        <w:tab/>
      </w:r>
      <w:r w:rsidRPr="003D5777">
        <w:rPr>
          <w:rFonts w:asciiTheme="minorHAnsi" w:hAnsiTheme="minorHAnsi" w:cs="Arial"/>
          <w:sz w:val="24"/>
          <w:szCs w:val="24"/>
          <w:lang w:val="es-ES_tradnl"/>
        </w:rPr>
        <w:tab/>
      </w:r>
      <w:r w:rsidRPr="003D5777">
        <w:rPr>
          <w:rFonts w:asciiTheme="minorHAnsi" w:hAnsiTheme="minorHAnsi" w:cs="Arial"/>
          <w:i/>
          <w:iCs/>
          <w:color w:val="000000"/>
          <w:lang w:val="fr-CH"/>
        </w:rPr>
        <w:t xml:space="preserve">Personne de </w:t>
      </w:r>
      <w:proofErr w:type="gramStart"/>
      <w:r w:rsidRPr="003D5777">
        <w:rPr>
          <w:rFonts w:asciiTheme="minorHAnsi" w:hAnsiTheme="minorHAnsi" w:cs="Arial"/>
          <w:i/>
          <w:iCs/>
          <w:color w:val="000000"/>
          <w:lang w:val="fr-CH"/>
        </w:rPr>
        <w:t>contact:</w:t>
      </w:r>
      <w:proofErr w:type="gramEnd"/>
      <w:r w:rsidRPr="003D5777">
        <w:rPr>
          <w:rFonts w:asciiTheme="minorHAnsi" w:hAnsiTheme="minorHAnsi" w:cs="Arial"/>
          <w:i/>
          <w:iCs/>
          <w:color w:val="000000"/>
          <w:lang w:val="fr-CH"/>
        </w:rPr>
        <w:t xml:space="preserve"> </w:t>
      </w:r>
      <w:proofErr w:type="spellStart"/>
      <w:r w:rsidRPr="003D5777">
        <w:rPr>
          <w:rFonts w:asciiTheme="minorHAnsi" w:hAnsiTheme="minorHAnsi" w:cs="Arial"/>
          <w:i/>
          <w:iCs/>
          <w:color w:val="000000"/>
          <w:lang w:val="es-ES_tradnl"/>
        </w:rPr>
        <w:t>Capt</w:t>
      </w:r>
      <w:proofErr w:type="spellEnd"/>
      <w:r w:rsidRPr="003D5777">
        <w:rPr>
          <w:rFonts w:asciiTheme="minorHAnsi" w:hAnsiTheme="minorHAnsi" w:cs="Arial"/>
          <w:i/>
          <w:iCs/>
          <w:color w:val="000000"/>
          <w:lang w:val="es-ES_tradnl"/>
        </w:rPr>
        <w:t xml:space="preserve">. </w:t>
      </w:r>
      <w:proofErr w:type="spellStart"/>
      <w:r w:rsidRPr="003D5777">
        <w:rPr>
          <w:rFonts w:asciiTheme="minorHAnsi" w:hAnsiTheme="minorHAnsi" w:cs="Arial"/>
          <w:i/>
          <w:iCs/>
          <w:color w:val="000000"/>
          <w:lang w:val="es-ES_tradnl"/>
        </w:rPr>
        <w:t>Susetyo</w:t>
      </w:r>
      <w:proofErr w:type="spellEnd"/>
      <w:r w:rsidRPr="003D5777">
        <w:rPr>
          <w:rFonts w:asciiTheme="minorHAnsi" w:hAnsiTheme="minorHAnsi" w:cs="Arial"/>
          <w:i/>
          <w:iCs/>
          <w:color w:val="000000"/>
          <w:lang w:val="es-ES_tradnl"/>
        </w:rPr>
        <w:t xml:space="preserve"> </w:t>
      </w:r>
      <w:proofErr w:type="spellStart"/>
      <w:r w:rsidRPr="003D5777">
        <w:rPr>
          <w:rFonts w:asciiTheme="minorHAnsi" w:hAnsiTheme="minorHAnsi" w:cs="Arial"/>
          <w:i/>
          <w:iCs/>
          <w:color w:val="000000"/>
          <w:lang w:val="es-ES_tradnl"/>
        </w:rPr>
        <w:t>Tjiptadi</w:t>
      </w:r>
      <w:proofErr w:type="spellEnd"/>
      <w:r w:rsidRPr="003D5777">
        <w:rPr>
          <w:rFonts w:asciiTheme="minorHAnsi" w:hAnsiTheme="minorHAnsi" w:cs="Arial"/>
          <w:i/>
          <w:iCs/>
          <w:color w:val="000000"/>
          <w:lang w:val="es-ES_tradnl"/>
        </w:rPr>
        <w:t>, M. Mar.</w:t>
      </w:r>
    </w:p>
    <w:p w:rsidR="003D5777" w:rsidRPr="003D5777" w:rsidRDefault="003D5777" w:rsidP="003D5777">
      <w:pPr>
        <w:rPr>
          <w:lang w:val="es-ES_tradnl"/>
        </w:rPr>
      </w:pPr>
    </w:p>
    <w:p w:rsidR="003D5777" w:rsidRPr="003D5777" w:rsidRDefault="003D5777" w:rsidP="003D5777">
      <w:pPr>
        <w:rPr>
          <w:rFonts w:ascii="Arial" w:hAnsi="Arial"/>
          <w:sz w:val="25"/>
          <w:szCs w:val="25"/>
          <w:lang w:val="es-ES_tradnl"/>
        </w:rPr>
      </w:pPr>
    </w:p>
    <w:p w:rsidR="003D5777" w:rsidRDefault="003D577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bl>
      <w:tblPr>
        <w:tblW w:w="9639" w:type="dxa"/>
        <w:tblCellMar>
          <w:left w:w="0" w:type="dxa"/>
          <w:right w:w="0" w:type="dxa"/>
        </w:tblCellMar>
        <w:tblLook w:val="0000" w:firstRow="0" w:lastRow="0" w:firstColumn="0" w:lastColumn="0" w:noHBand="0" w:noVBand="0"/>
      </w:tblPr>
      <w:tblGrid>
        <w:gridCol w:w="46"/>
        <w:gridCol w:w="9104"/>
        <w:gridCol w:w="489"/>
      </w:tblGrid>
      <w:tr w:rsidR="003D5777" w:rsidRPr="003D5777" w:rsidTr="004959DC">
        <w:trPr>
          <w:trHeight w:val="379"/>
        </w:trPr>
        <w:tc>
          <w:tcPr>
            <w:tcW w:w="110"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55"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3D5777" w:rsidRPr="004959DC" w:rsidTr="004959DC">
        <w:trPr>
          <w:trHeight w:val="1076"/>
        </w:trPr>
        <w:tc>
          <w:tcPr>
            <w:tcW w:w="110"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3D5777" w:rsidRPr="004959DC" w:rsidTr="004959DC">
              <w:trPr>
                <w:trHeight w:val="996"/>
              </w:trPr>
              <w:tc>
                <w:tcPr>
                  <w:tcW w:w="8274" w:type="dxa"/>
                  <w:shd w:val="clear" w:color="auto" w:fill="D3D3D3"/>
                  <w:tcMar>
                    <w:top w:w="40" w:type="dxa"/>
                    <w:left w:w="40" w:type="dxa"/>
                    <w:bottom w:w="40" w:type="dxa"/>
                    <w:right w:w="40" w:type="dxa"/>
                  </w:tcMar>
                </w:tcPr>
                <w:p w:rsidR="003D5777" w:rsidRPr="003D5777" w:rsidRDefault="003D5777" w:rsidP="003D5777">
                  <w:pPr>
                    <w:pStyle w:val="Heading2"/>
                    <w:rPr>
                      <w:rFonts w:ascii="Times New Roman" w:hAnsi="Times New Roman"/>
                      <w:lang w:val="fr-CH"/>
                    </w:rPr>
                  </w:pPr>
                  <w:bookmarkStart w:id="433" w:name="_Toc503278451"/>
                  <w:r w:rsidRPr="003D5777">
                    <w:rPr>
                      <w:lang w:val="fr-CH"/>
                    </w:rPr>
                    <w:t>Codes de réseau mobile (MNC) pour le plan d'identification international</w:t>
                  </w:r>
                  <w:r>
                    <w:rPr>
                      <w:lang w:val="fr-CH"/>
                    </w:rPr>
                    <w:t xml:space="preserve"> </w:t>
                  </w:r>
                  <w:r w:rsidRPr="003D5777">
                    <w:rPr>
                      <w:lang w:val="fr-CH"/>
                    </w:rPr>
                    <w:t xml:space="preserve">pour les réseaux publics et les </w:t>
                  </w:r>
                  <w:proofErr w:type="gramStart"/>
                  <w:r w:rsidRPr="003D5777">
                    <w:rPr>
                      <w:lang w:val="fr-CH"/>
                    </w:rPr>
                    <w:t>abonnements</w:t>
                  </w:r>
                  <w:proofErr w:type="gramEnd"/>
                  <w:r w:rsidRPr="003D5777">
                    <w:rPr>
                      <w:lang w:val="fr-CH"/>
                    </w:rPr>
                    <w:br/>
                    <w:t>(Selon la Recommandation UIT-T E.212 (09/2016))</w:t>
                  </w:r>
                  <w:r w:rsidRPr="003D5777">
                    <w:rPr>
                      <w:lang w:val="fr-CH"/>
                    </w:rPr>
                    <w:br/>
                    <w:t>(Situation au 1er novembre 2016 )</w:t>
                  </w:r>
                  <w:bookmarkEnd w:id="433"/>
                </w:p>
              </w:tc>
            </w:tr>
          </w:tbl>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255"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3D5777" w:rsidRPr="004959DC" w:rsidTr="004959DC">
        <w:trPr>
          <w:trHeight w:val="172"/>
        </w:trPr>
        <w:tc>
          <w:tcPr>
            <w:tcW w:w="110"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1255"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3D5777" w:rsidRPr="003D5777" w:rsidTr="004959DC">
        <w:trPr>
          <w:trHeight w:val="434"/>
        </w:trPr>
        <w:tc>
          <w:tcPr>
            <w:tcW w:w="110"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3D5777" w:rsidRPr="003D5777" w:rsidTr="004959DC">
              <w:trPr>
                <w:trHeight w:val="354"/>
              </w:trPr>
              <w:tc>
                <w:tcPr>
                  <w:tcW w:w="8274" w:type="dxa"/>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fr-CH"/>
                    </w:rPr>
                  </w:pPr>
                  <w:r w:rsidRPr="003D5777">
                    <w:rPr>
                      <w:rFonts w:asciiTheme="minorHAnsi" w:eastAsia="Arial" w:hAnsiTheme="minorHAnsi"/>
                      <w:color w:val="000000"/>
                      <w:lang w:val="fr-CH"/>
                    </w:rPr>
                    <w:t xml:space="preserve">(Annexe au Bulletin d'exploitation de l'UIT </w:t>
                  </w:r>
                  <w:r w:rsidRPr="003D5777">
                    <w:rPr>
                      <w:rFonts w:asciiTheme="minorHAnsi" w:eastAsia="Calibri" w:hAnsiTheme="minorHAnsi"/>
                      <w:color w:val="000000"/>
                      <w:sz w:val="22"/>
                      <w:lang w:val="fr-CH"/>
                    </w:rPr>
                    <w:t>N°</w:t>
                  </w:r>
                  <w:r w:rsidRPr="003D5777">
                    <w:rPr>
                      <w:rFonts w:asciiTheme="minorHAnsi" w:eastAsia="Arial" w:hAnsiTheme="minorHAnsi"/>
                      <w:color w:val="000000"/>
                      <w:lang w:val="fr-CH"/>
                    </w:rPr>
                    <w:t xml:space="preserve"> 1111 </w:t>
                  </w:r>
                  <w:r>
                    <w:rPr>
                      <w:rFonts w:asciiTheme="minorHAnsi" w:eastAsia="Arial" w:hAnsiTheme="minorHAnsi"/>
                      <w:color w:val="000000"/>
                      <w:lang w:val="fr-CH"/>
                    </w:rPr>
                    <w:t>–</w:t>
                  </w:r>
                  <w:r w:rsidRPr="003D5777">
                    <w:rPr>
                      <w:rFonts w:asciiTheme="minorHAnsi" w:eastAsia="Arial" w:hAnsiTheme="minorHAnsi"/>
                      <w:color w:val="000000"/>
                      <w:lang w:val="fr-CH"/>
                    </w:rPr>
                    <w:t xml:space="preserve"> 1.XI.2016)</w:t>
                  </w:r>
                </w:p>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Arial" w:hAnsiTheme="minorHAnsi"/>
                      <w:color w:val="000000"/>
                      <w:lang w:val="en-US"/>
                    </w:rPr>
                    <w:t>(</w:t>
                  </w:r>
                  <w:proofErr w:type="spellStart"/>
                  <w:r w:rsidRPr="003D5777">
                    <w:rPr>
                      <w:rFonts w:asciiTheme="minorHAnsi" w:eastAsia="Arial" w:hAnsiTheme="minorHAnsi"/>
                      <w:color w:val="000000"/>
                      <w:lang w:val="en-US"/>
                    </w:rPr>
                    <w:t>Amendement</w:t>
                  </w:r>
                  <w:proofErr w:type="spellEnd"/>
                  <w:r w:rsidRPr="003D5777">
                    <w:rPr>
                      <w:rFonts w:asciiTheme="minorHAnsi" w:eastAsia="Arial" w:hAnsiTheme="minorHAnsi"/>
                      <w:color w:val="000000"/>
                      <w:lang w:val="en-US"/>
                    </w:rPr>
                    <w:t xml:space="preserve"> </w:t>
                  </w:r>
                  <w:r w:rsidRPr="003D5777">
                    <w:rPr>
                      <w:rFonts w:asciiTheme="minorHAnsi" w:eastAsia="Calibri" w:hAnsiTheme="minorHAnsi"/>
                      <w:color w:val="000000"/>
                      <w:sz w:val="22"/>
                      <w:lang w:val="en-US"/>
                    </w:rPr>
                    <w:t xml:space="preserve">N° </w:t>
                  </w:r>
                  <w:r w:rsidRPr="003D5777">
                    <w:rPr>
                      <w:rFonts w:asciiTheme="minorHAnsi" w:eastAsia="Arial" w:hAnsiTheme="minorHAnsi"/>
                      <w:color w:val="000000"/>
                      <w:lang w:val="en-US"/>
                    </w:rPr>
                    <w:t>26)</w:t>
                  </w:r>
                </w:p>
              </w:tc>
            </w:tr>
          </w:tbl>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255"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3D5777" w:rsidRPr="003D5777" w:rsidTr="004959DC">
        <w:trPr>
          <w:trHeight w:val="239"/>
        </w:trPr>
        <w:tc>
          <w:tcPr>
            <w:tcW w:w="110"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55"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3D5777" w:rsidRPr="003D5777" w:rsidTr="004959DC">
        <w:tc>
          <w:tcPr>
            <w:tcW w:w="110"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9104" w:type="dxa"/>
              <w:tblCellMar>
                <w:left w:w="0" w:type="dxa"/>
                <w:right w:w="0" w:type="dxa"/>
              </w:tblCellMar>
              <w:tblLook w:val="0000" w:firstRow="0" w:lastRow="0" w:firstColumn="0" w:lastColumn="0" w:noHBand="0" w:noVBand="0"/>
            </w:tblPr>
            <w:tblGrid>
              <w:gridCol w:w="72"/>
              <w:gridCol w:w="8661"/>
              <w:gridCol w:w="13"/>
              <w:gridCol w:w="358"/>
            </w:tblGrid>
            <w:tr w:rsidR="003D5777" w:rsidRPr="003D5777" w:rsidTr="004959DC">
              <w:trPr>
                <w:trHeight w:val="120"/>
              </w:trPr>
              <w:tc>
                <w:tcPr>
                  <w:tcW w:w="211"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093"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3D5777" w:rsidRPr="003D5777" w:rsidTr="004959DC">
              <w:tc>
                <w:tcPr>
                  <w:tcW w:w="211"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tbl>
                  <w:tblPr>
                    <w:tblW w:w="0" w:type="auto"/>
                    <w:tblCellMar>
                      <w:left w:w="0" w:type="dxa"/>
                      <w:right w:w="0" w:type="dxa"/>
                    </w:tblCellMar>
                    <w:tblLook w:val="0000" w:firstRow="0" w:lastRow="0" w:firstColumn="0" w:lastColumn="0" w:noHBand="0" w:noVBand="0"/>
                  </w:tblPr>
                  <w:tblGrid>
                    <w:gridCol w:w="2704"/>
                    <w:gridCol w:w="1619"/>
                    <w:gridCol w:w="3629"/>
                  </w:tblGrid>
                  <w:tr w:rsidR="003D5777" w:rsidRPr="003D5777" w:rsidTr="004959DC">
                    <w:trPr>
                      <w:trHeight w:val="464"/>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b/>
                            <w:i/>
                            <w:color w:val="000000"/>
                            <w:sz w:val="22"/>
                            <w:lang w:val="en-US"/>
                          </w:rPr>
                          <w:t xml:space="preserve">Pays </w:t>
                        </w:r>
                        <w:proofErr w:type="spellStart"/>
                        <w:r w:rsidRPr="003D5777">
                          <w:rPr>
                            <w:rFonts w:asciiTheme="minorHAnsi" w:eastAsia="Calibri" w:hAnsiTheme="minorHAnsi"/>
                            <w:b/>
                            <w:i/>
                            <w:color w:val="000000"/>
                            <w:sz w:val="22"/>
                            <w:lang w:val="en-US"/>
                          </w:rPr>
                          <w:t>ou</w:t>
                        </w:r>
                        <w:proofErr w:type="spellEnd"/>
                        <w:r w:rsidRPr="003D5777">
                          <w:rPr>
                            <w:rFonts w:asciiTheme="minorHAnsi" w:eastAsia="Calibri" w:hAnsiTheme="minorHAnsi"/>
                            <w:b/>
                            <w:i/>
                            <w:color w:val="000000"/>
                            <w:sz w:val="22"/>
                            <w:lang w:val="en-US"/>
                          </w:rPr>
                          <w:t xml:space="preserve"> Zone </w:t>
                        </w:r>
                        <w:proofErr w:type="spellStart"/>
                        <w:r w:rsidRPr="003D5777">
                          <w:rPr>
                            <w:rFonts w:asciiTheme="minorHAnsi" w:eastAsia="Calibri" w:hAnsiTheme="minorHAnsi"/>
                            <w:b/>
                            <w:i/>
                            <w:color w:val="000000"/>
                            <w:sz w:val="22"/>
                            <w:lang w:val="en-US"/>
                          </w:rPr>
                          <w:t>géographique</w:t>
                        </w:r>
                        <w:proofErr w:type="spellEnd"/>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b/>
                            <w:i/>
                            <w:color w:val="000000"/>
                            <w:lang w:val="en-US"/>
                          </w:rPr>
                          <w:t>MCC+MNC *</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b/>
                            <w:i/>
                            <w:color w:val="000000"/>
                            <w:lang w:val="en-US"/>
                          </w:rPr>
                          <w:t xml:space="preserve">Nom de </w:t>
                        </w:r>
                        <w:proofErr w:type="spellStart"/>
                        <w:r w:rsidRPr="003D5777">
                          <w:rPr>
                            <w:rFonts w:asciiTheme="minorHAnsi" w:eastAsia="Calibri" w:hAnsiTheme="minorHAnsi"/>
                            <w:b/>
                            <w:i/>
                            <w:color w:val="000000"/>
                            <w:lang w:val="en-US"/>
                          </w:rPr>
                          <w:t>Réseau</w:t>
                        </w:r>
                        <w:proofErr w:type="spellEnd"/>
                        <w:r w:rsidRPr="003D5777">
                          <w:rPr>
                            <w:rFonts w:asciiTheme="minorHAnsi" w:eastAsia="Calibri" w:hAnsiTheme="minorHAnsi"/>
                            <w:b/>
                            <w:i/>
                            <w:color w:val="000000"/>
                            <w:lang w:val="en-US"/>
                          </w:rPr>
                          <w:t>/</w:t>
                        </w:r>
                        <w:proofErr w:type="spellStart"/>
                        <w:r w:rsidRPr="003D5777">
                          <w:rPr>
                            <w:rFonts w:asciiTheme="minorHAnsi" w:eastAsia="Calibri" w:hAnsiTheme="minorHAnsi"/>
                            <w:b/>
                            <w:i/>
                            <w:color w:val="000000"/>
                            <w:lang w:val="en-US"/>
                          </w:rPr>
                          <w:t>Opérateur</w:t>
                        </w:r>
                        <w:proofErr w:type="spellEnd"/>
                      </w:p>
                    </w:tc>
                  </w:tr>
                  <w:tr w:rsidR="003D5777" w:rsidRPr="003D5777" w:rsidTr="004959DC">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3D5777">
                          <w:rPr>
                            <w:rFonts w:asciiTheme="minorHAnsi" w:eastAsia="Calibri" w:hAnsiTheme="minorHAnsi"/>
                            <w:b/>
                            <w:color w:val="000000"/>
                            <w:lang w:val="en-US"/>
                          </w:rPr>
                          <w:t>Espagne</w:t>
                        </w:r>
                        <w:proofErr w:type="spellEnd"/>
                        <w:r w:rsidRPr="003D5777">
                          <w:rPr>
                            <w:rFonts w:asciiTheme="minorHAnsi" w:eastAsia="Calibri" w:hAnsiTheme="minorHAnsi"/>
                            <w:b/>
                            <w:color w:val="000000"/>
                            <w:lang w:val="en-US"/>
                          </w:rPr>
                          <w:t xml:space="preserve"> LIR</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3D5777" w:rsidRPr="003D5777" w:rsidTr="004959DC">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214 32</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3D5777">
                          <w:rPr>
                            <w:rFonts w:asciiTheme="minorHAnsi" w:eastAsia="Calibri" w:hAnsiTheme="minorHAnsi"/>
                            <w:color w:val="000000"/>
                            <w:lang w:val="en-US"/>
                          </w:rPr>
                          <w:t>Telefónica</w:t>
                        </w:r>
                        <w:proofErr w:type="spellEnd"/>
                        <w:r w:rsidRPr="003D5777">
                          <w:rPr>
                            <w:rFonts w:asciiTheme="minorHAnsi" w:eastAsia="Calibri" w:hAnsiTheme="minorHAnsi"/>
                            <w:color w:val="000000"/>
                            <w:lang w:val="en-US"/>
                          </w:rPr>
                          <w:t xml:space="preserve"> </w:t>
                        </w:r>
                        <w:proofErr w:type="spellStart"/>
                        <w:r w:rsidRPr="003D5777">
                          <w:rPr>
                            <w:rFonts w:asciiTheme="minorHAnsi" w:eastAsia="Calibri" w:hAnsiTheme="minorHAnsi"/>
                            <w:color w:val="000000"/>
                            <w:lang w:val="en-US"/>
                          </w:rPr>
                          <w:t>Móviles</w:t>
                        </w:r>
                        <w:proofErr w:type="spellEnd"/>
                        <w:r w:rsidRPr="003D5777">
                          <w:rPr>
                            <w:rFonts w:asciiTheme="minorHAnsi" w:eastAsia="Calibri" w:hAnsiTheme="minorHAnsi"/>
                            <w:color w:val="000000"/>
                            <w:lang w:val="en-US"/>
                          </w:rPr>
                          <w:t xml:space="preserve"> </w:t>
                        </w:r>
                        <w:proofErr w:type="spellStart"/>
                        <w:r w:rsidRPr="003D5777">
                          <w:rPr>
                            <w:rFonts w:asciiTheme="minorHAnsi" w:eastAsia="Calibri" w:hAnsiTheme="minorHAnsi"/>
                            <w:color w:val="000000"/>
                            <w:lang w:val="en-US"/>
                          </w:rPr>
                          <w:t>España</w:t>
                        </w:r>
                        <w:proofErr w:type="spellEnd"/>
                        <w:r w:rsidRPr="003D5777">
                          <w:rPr>
                            <w:rFonts w:asciiTheme="minorHAnsi" w:eastAsia="Calibri" w:hAnsiTheme="minorHAnsi"/>
                            <w:color w:val="000000"/>
                            <w:lang w:val="en-US"/>
                          </w:rPr>
                          <w:t>, SAU</w:t>
                        </w:r>
                      </w:p>
                    </w:tc>
                  </w:tr>
                  <w:tr w:rsidR="003D5777" w:rsidRPr="003D5777" w:rsidTr="004959DC">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3D5777">
                          <w:rPr>
                            <w:rFonts w:asciiTheme="minorHAnsi" w:eastAsia="Calibri" w:hAnsiTheme="minorHAnsi"/>
                            <w:b/>
                            <w:color w:val="000000"/>
                            <w:lang w:val="en-US"/>
                          </w:rPr>
                          <w:t>Irlande</w:t>
                        </w:r>
                        <w:proofErr w:type="spellEnd"/>
                        <w:r w:rsidRPr="003D5777">
                          <w:rPr>
                            <w:rFonts w:asciiTheme="minorHAnsi" w:eastAsia="Calibri" w:hAnsiTheme="minorHAnsi"/>
                            <w:b/>
                            <w:color w:val="000000"/>
                            <w:lang w:val="en-US"/>
                          </w:rPr>
                          <w:t xml:space="preserve">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3D5777" w:rsidRPr="003D5777" w:rsidTr="004959D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272 05</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color w:val="000000"/>
                            <w:lang w:val="en-US"/>
                          </w:rPr>
                          <w:t>Three Ireland (Hutchison) Ltd</w:t>
                        </w:r>
                      </w:p>
                    </w:tc>
                  </w:tr>
                  <w:tr w:rsidR="003D5777" w:rsidRPr="003D5777" w:rsidTr="004959D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272 08</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color w:val="000000"/>
                            <w:lang w:val="en-US"/>
                          </w:rPr>
                          <w:t>Eircom Ltd</w:t>
                        </w:r>
                      </w:p>
                    </w:tc>
                  </w:tr>
                  <w:tr w:rsidR="003D5777" w:rsidRPr="003D5777" w:rsidTr="004959D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272 11</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3D5777">
                          <w:rPr>
                            <w:rFonts w:asciiTheme="minorHAnsi" w:eastAsia="Calibri" w:hAnsiTheme="minorHAnsi"/>
                            <w:color w:val="000000"/>
                            <w:lang w:val="en-US"/>
                          </w:rPr>
                          <w:t>Liffey</w:t>
                        </w:r>
                        <w:proofErr w:type="spellEnd"/>
                        <w:r w:rsidRPr="003D5777">
                          <w:rPr>
                            <w:rFonts w:asciiTheme="minorHAnsi" w:eastAsia="Calibri" w:hAnsiTheme="minorHAnsi"/>
                            <w:color w:val="000000"/>
                            <w:lang w:val="en-US"/>
                          </w:rPr>
                          <w:t xml:space="preserve"> Telecom Ltd</w:t>
                        </w:r>
                      </w:p>
                    </w:tc>
                  </w:tr>
                  <w:tr w:rsidR="003D5777" w:rsidRPr="003D5777" w:rsidTr="004959D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272 13</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3D5777">
                          <w:rPr>
                            <w:rFonts w:asciiTheme="minorHAnsi" w:eastAsia="Calibri" w:hAnsiTheme="minorHAnsi"/>
                            <w:color w:val="000000"/>
                            <w:lang w:val="en-US"/>
                          </w:rPr>
                          <w:t>Lycamobile</w:t>
                        </w:r>
                        <w:proofErr w:type="spellEnd"/>
                        <w:r w:rsidRPr="003D5777">
                          <w:rPr>
                            <w:rFonts w:asciiTheme="minorHAnsi" w:eastAsia="Calibri" w:hAnsiTheme="minorHAnsi"/>
                            <w:color w:val="000000"/>
                            <w:lang w:val="en-US"/>
                          </w:rPr>
                          <w:t xml:space="preserve"> Ireland Ltd</w:t>
                        </w:r>
                      </w:p>
                    </w:tc>
                  </w:tr>
                  <w:tr w:rsidR="003D5777" w:rsidRPr="003D5777" w:rsidTr="004959D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272 15</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color w:val="000000"/>
                            <w:lang w:val="en-US"/>
                          </w:rPr>
                          <w:t>Virgin Media Ireland Ltd</w:t>
                        </w:r>
                      </w:p>
                    </w:tc>
                  </w:tr>
                  <w:tr w:rsidR="003D5777" w:rsidRPr="003D5777" w:rsidTr="004959D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272 16</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color w:val="000000"/>
                            <w:lang w:val="en-US"/>
                          </w:rPr>
                          <w:t>Carphone Warehouse Ireland Mobile Ltd</w:t>
                        </w:r>
                      </w:p>
                    </w:tc>
                  </w:tr>
                  <w:tr w:rsidR="003D5777" w:rsidRPr="003D5777" w:rsidTr="004959DC">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272 17</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color w:val="000000"/>
                            <w:lang w:val="en-US"/>
                          </w:rPr>
                          <w:t>Three Ireland (Hutchison) Ltd</w:t>
                        </w:r>
                      </w:p>
                    </w:tc>
                  </w:tr>
                  <w:tr w:rsidR="003D5777" w:rsidRPr="003D5777" w:rsidTr="004959DC">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3D5777">
                          <w:rPr>
                            <w:rFonts w:asciiTheme="minorHAnsi" w:eastAsia="Calibri" w:hAnsiTheme="minorHAnsi"/>
                            <w:b/>
                            <w:color w:val="000000"/>
                            <w:lang w:val="en-US"/>
                          </w:rPr>
                          <w:t>Irlande</w:t>
                        </w:r>
                        <w:proofErr w:type="spellEnd"/>
                        <w:r w:rsidRPr="003D5777">
                          <w:rPr>
                            <w:rFonts w:asciiTheme="minorHAnsi" w:eastAsia="Calibri" w:hAnsiTheme="minorHAnsi"/>
                            <w:b/>
                            <w:color w:val="000000"/>
                            <w:lang w:val="en-US"/>
                          </w:rPr>
                          <w:t xml:space="preserve"> LIR</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3D5777" w:rsidRPr="003D5777" w:rsidTr="004959D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272 02</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color w:val="000000"/>
                            <w:lang w:val="en-US"/>
                          </w:rPr>
                          <w:t>Three Ireland Services (Hutchison) Ltd</w:t>
                        </w:r>
                      </w:p>
                    </w:tc>
                  </w:tr>
                  <w:tr w:rsidR="003D5777" w:rsidRPr="003D5777" w:rsidTr="004959D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272 03</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color w:val="000000"/>
                            <w:lang w:val="en-US"/>
                          </w:rPr>
                          <w:t>Eircom Ltd</w:t>
                        </w:r>
                      </w:p>
                    </w:tc>
                  </w:tr>
                  <w:tr w:rsidR="003D5777" w:rsidRPr="003D5777" w:rsidTr="004959DC">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272 07</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color w:val="000000"/>
                            <w:lang w:val="en-US"/>
                          </w:rPr>
                          <w:t>Eircom Ltd</w:t>
                        </w:r>
                      </w:p>
                    </w:tc>
                  </w:tr>
                  <w:tr w:rsidR="003D5777" w:rsidRPr="003D5777" w:rsidTr="004959DC">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3D5777">
                          <w:rPr>
                            <w:rFonts w:asciiTheme="minorHAnsi" w:eastAsia="Calibri" w:hAnsiTheme="minorHAnsi"/>
                            <w:b/>
                            <w:color w:val="000000"/>
                            <w:lang w:val="en-US"/>
                          </w:rPr>
                          <w:t>Suède</w:t>
                        </w:r>
                        <w:proofErr w:type="spellEnd"/>
                        <w:r w:rsidRPr="003D5777">
                          <w:rPr>
                            <w:rFonts w:asciiTheme="minorHAnsi" w:eastAsia="Calibri" w:hAnsiTheme="minorHAnsi"/>
                            <w:b/>
                            <w:color w:val="000000"/>
                            <w:lang w:val="en-US"/>
                          </w:rPr>
                          <w:t xml:space="preserve">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3D5777" w:rsidRPr="003D5777" w:rsidTr="004959DC">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240 47</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3D5777">
                          <w:rPr>
                            <w:rFonts w:asciiTheme="minorHAnsi" w:eastAsia="Calibri" w:hAnsiTheme="minorHAnsi"/>
                            <w:color w:val="000000"/>
                            <w:lang w:val="en-US"/>
                          </w:rPr>
                          <w:t>Viatel</w:t>
                        </w:r>
                        <w:proofErr w:type="spellEnd"/>
                        <w:r w:rsidRPr="003D5777">
                          <w:rPr>
                            <w:rFonts w:asciiTheme="minorHAnsi" w:eastAsia="Calibri" w:hAnsiTheme="minorHAnsi"/>
                            <w:color w:val="000000"/>
                            <w:lang w:val="en-US"/>
                          </w:rPr>
                          <w:t xml:space="preserve"> Sweden AB</w:t>
                        </w:r>
                      </w:p>
                    </w:tc>
                  </w:tr>
                  <w:tr w:rsidR="003D5777" w:rsidRPr="003D5777" w:rsidTr="004959DC">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3D5777">
                          <w:rPr>
                            <w:rFonts w:asciiTheme="minorHAnsi" w:eastAsia="Calibri" w:hAnsiTheme="minorHAnsi"/>
                            <w:b/>
                            <w:color w:val="000000"/>
                            <w:lang w:val="en-US"/>
                          </w:rPr>
                          <w:t>Suède</w:t>
                        </w:r>
                        <w:proofErr w:type="spellEnd"/>
                        <w:r w:rsidRPr="003D5777">
                          <w:rPr>
                            <w:rFonts w:asciiTheme="minorHAnsi" w:eastAsia="Calibri" w:hAnsiTheme="minorHAnsi"/>
                            <w:b/>
                            <w:color w:val="000000"/>
                            <w:lang w:val="en-US"/>
                          </w:rPr>
                          <w:t xml:space="preserve"> LIR</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3D5777" w:rsidRPr="003D5777" w:rsidTr="004959D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240 19</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3D5777">
                          <w:rPr>
                            <w:rFonts w:asciiTheme="minorHAnsi" w:eastAsia="Calibri" w:hAnsiTheme="minorHAnsi"/>
                            <w:color w:val="000000"/>
                            <w:lang w:val="en-US"/>
                          </w:rPr>
                          <w:t>Vecton</w:t>
                        </w:r>
                        <w:proofErr w:type="spellEnd"/>
                        <w:r w:rsidRPr="003D5777">
                          <w:rPr>
                            <w:rFonts w:asciiTheme="minorHAnsi" w:eastAsia="Calibri" w:hAnsiTheme="minorHAnsi"/>
                            <w:color w:val="000000"/>
                            <w:lang w:val="en-US"/>
                          </w:rPr>
                          <w:t xml:space="preserve"> Mobile (Sweden) Ltd</w:t>
                        </w:r>
                      </w:p>
                    </w:tc>
                  </w:tr>
                  <w:tr w:rsidR="003D5777" w:rsidRPr="003D5777" w:rsidTr="004959D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240 21</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3D5777">
                          <w:rPr>
                            <w:rFonts w:asciiTheme="minorHAnsi" w:eastAsia="Calibri" w:hAnsiTheme="minorHAnsi"/>
                            <w:color w:val="000000"/>
                            <w:lang w:val="en-US"/>
                          </w:rPr>
                          <w:t>Trafikverket</w:t>
                        </w:r>
                        <w:proofErr w:type="spellEnd"/>
                        <w:r w:rsidRPr="003D5777">
                          <w:rPr>
                            <w:rFonts w:asciiTheme="minorHAnsi" w:eastAsia="Calibri" w:hAnsiTheme="minorHAnsi"/>
                            <w:color w:val="000000"/>
                            <w:lang w:val="en-US"/>
                          </w:rPr>
                          <w:t xml:space="preserve"> </w:t>
                        </w:r>
                        <w:proofErr w:type="spellStart"/>
                        <w:r w:rsidRPr="003D5777">
                          <w:rPr>
                            <w:rFonts w:asciiTheme="minorHAnsi" w:eastAsia="Calibri" w:hAnsiTheme="minorHAnsi"/>
                            <w:color w:val="000000"/>
                            <w:lang w:val="en-US"/>
                          </w:rPr>
                          <w:t>centralfunktion</w:t>
                        </w:r>
                        <w:proofErr w:type="spellEnd"/>
                        <w:r w:rsidRPr="003D5777">
                          <w:rPr>
                            <w:rFonts w:asciiTheme="minorHAnsi" w:eastAsia="Calibri" w:hAnsiTheme="minorHAnsi"/>
                            <w:color w:val="000000"/>
                            <w:lang w:val="en-US"/>
                          </w:rPr>
                          <w:t xml:space="preserve"> IT</w:t>
                        </w:r>
                      </w:p>
                    </w:tc>
                  </w:tr>
                  <w:tr w:rsidR="003D5777" w:rsidRPr="003D5777" w:rsidTr="004959D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240 26</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3D5777">
                          <w:rPr>
                            <w:rFonts w:asciiTheme="minorHAnsi" w:eastAsia="Calibri" w:hAnsiTheme="minorHAnsi"/>
                            <w:color w:val="000000"/>
                            <w:lang w:val="en-US"/>
                          </w:rPr>
                          <w:t>Twilio</w:t>
                        </w:r>
                        <w:proofErr w:type="spellEnd"/>
                        <w:r w:rsidRPr="003D5777">
                          <w:rPr>
                            <w:rFonts w:asciiTheme="minorHAnsi" w:eastAsia="Calibri" w:hAnsiTheme="minorHAnsi"/>
                            <w:color w:val="000000"/>
                            <w:lang w:val="en-US"/>
                          </w:rPr>
                          <w:t xml:space="preserve"> Sweden AB</w:t>
                        </w:r>
                      </w:p>
                    </w:tc>
                  </w:tr>
                  <w:tr w:rsidR="003D5777" w:rsidRPr="003D5777" w:rsidTr="004959D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240 28</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color w:val="000000"/>
                            <w:lang w:val="en-US"/>
                          </w:rPr>
                          <w:t>LINK Mobile A/S</w:t>
                        </w:r>
                      </w:p>
                    </w:tc>
                  </w:tr>
                  <w:tr w:rsidR="003D5777" w:rsidRPr="003D5777" w:rsidTr="004959D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240 40</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color w:val="000000"/>
                            <w:lang w:val="en-US"/>
                          </w:rPr>
                          <w:t>North net connect AB</w:t>
                        </w:r>
                      </w:p>
                    </w:tc>
                  </w:tr>
                  <w:tr w:rsidR="003D5777" w:rsidRPr="003D5777" w:rsidTr="004959DC">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3D5777">
                          <w:rPr>
                            <w:rFonts w:asciiTheme="minorHAnsi" w:eastAsia="Calibri" w:hAnsiTheme="minorHAnsi"/>
                            <w:color w:val="000000"/>
                            <w:lang w:val="en-US"/>
                          </w:rPr>
                          <w:t>240 44</w:t>
                        </w:r>
                      </w:p>
                    </w:tc>
                    <w:tc>
                      <w:tcPr>
                        <w:tcW w:w="36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3D5777">
                          <w:rPr>
                            <w:rFonts w:asciiTheme="minorHAnsi" w:eastAsia="Calibri" w:hAnsiTheme="minorHAnsi"/>
                            <w:color w:val="000000"/>
                            <w:lang w:val="en-US"/>
                          </w:rPr>
                          <w:t>Telenabler</w:t>
                        </w:r>
                        <w:proofErr w:type="spellEnd"/>
                        <w:r w:rsidRPr="003D5777">
                          <w:rPr>
                            <w:rFonts w:asciiTheme="minorHAnsi" w:eastAsia="Calibri" w:hAnsiTheme="minorHAnsi"/>
                            <w:color w:val="000000"/>
                            <w:lang w:val="en-US"/>
                          </w:rPr>
                          <w:t xml:space="preserve"> AB</w:t>
                        </w:r>
                      </w:p>
                    </w:tc>
                  </w:tr>
                </w:tbl>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2"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093"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3D5777" w:rsidRPr="003D5777" w:rsidTr="004959DC">
              <w:trPr>
                <w:trHeight w:val="323"/>
              </w:trPr>
              <w:tc>
                <w:tcPr>
                  <w:tcW w:w="211"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093"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3D5777" w:rsidRPr="003D5777" w:rsidTr="004959DC">
              <w:trPr>
                <w:trHeight w:val="688"/>
              </w:trPr>
              <w:tc>
                <w:tcPr>
                  <w:tcW w:w="211"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800" w:type="dxa"/>
                  <w:gridSpan w:val="2"/>
                </w:tcPr>
                <w:tbl>
                  <w:tblPr>
                    <w:tblW w:w="8674" w:type="dxa"/>
                    <w:tblCellMar>
                      <w:left w:w="0" w:type="dxa"/>
                      <w:right w:w="0" w:type="dxa"/>
                    </w:tblCellMar>
                    <w:tblLook w:val="0000" w:firstRow="0" w:lastRow="0" w:firstColumn="0" w:lastColumn="0" w:noHBand="0" w:noVBand="0"/>
                  </w:tblPr>
                  <w:tblGrid>
                    <w:gridCol w:w="8674"/>
                  </w:tblGrid>
                  <w:tr w:rsidR="003D5777" w:rsidRPr="003D5777" w:rsidTr="004959DC">
                    <w:trPr>
                      <w:trHeight w:val="608"/>
                    </w:trPr>
                    <w:tc>
                      <w:tcPr>
                        <w:tcW w:w="8674" w:type="dxa"/>
                        <w:tcMar>
                          <w:top w:w="40" w:type="dxa"/>
                          <w:left w:w="40" w:type="dxa"/>
                          <w:bottom w:w="40" w:type="dxa"/>
                          <w:right w:w="40" w:type="dxa"/>
                        </w:tcMar>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Arial" w:hAnsiTheme="minorHAnsi"/>
                            <w:color w:val="000000"/>
                            <w:sz w:val="16"/>
                            <w:lang w:val="en-US"/>
                          </w:rPr>
                          <w:t>____________</w:t>
                        </w:r>
                      </w:p>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color w:val="000000"/>
                            <w:sz w:val="16"/>
                            <w:lang w:val="en-US"/>
                          </w:rPr>
                          <w:t>*</w:t>
                        </w:r>
                        <w:r w:rsidRPr="003D5777">
                          <w:rPr>
                            <w:rFonts w:asciiTheme="minorHAnsi" w:eastAsia="Calibri" w:hAnsiTheme="minorHAnsi"/>
                            <w:color w:val="000000"/>
                            <w:sz w:val="18"/>
                            <w:lang w:val="en-US"/>
                          </w:rPr>
                          <w:t xml:space="preserve">                  MCC:  Mobile Country Code / </w:t>
                        </w:r>
                        <w:proofErr w:type="spellStart"/>
                        <w:r w:rsidRPr="003D5777">
                          <w:rPr>
                            <w:rFonts w:asciiTheme="minorHAnsi" w:eastAsia="Calibri" w:hAnsiTheme="minorHAnsi"/>
                            <w:color w:val="000000"/>
                            <w:sz w:val="18"/>
                            <w:lang w:val="en-US"/>
                          </w:rPr>
                          <w:t>Indicatif</w:t>
                        </w:r>
                        <w:proofErr w:type="spellEnd"/>
                        <w:r w:rsidRPr="003D5777">
                          <w:rPr>
                            <w:rFonts w:asciiTheme="minorHAnsi" w:eastAsia="Calibri" w:hAnsiTheme="minorHAnsi"/>
                            <w:color w:val="000000"/>
                            <w:sz w:val="18"/>
                            <w:lang w:val="en-US"/>
                          </w:rPr>
                          <w:t xml:space="preserve"> de pays du mobile / </w:t>
                        </w:r>
                        <w:proofErr w:type="spellStart"/>
                        <w:r w:rsidRPr="003D5777">
                          <w:rPr>
                            <w:rFonts w:asciiTheme="minorHAnsi" w:eastAsia="Calibri" w:hAnsiTheme="minorHAnsi"/>
                            <w:color w:val="000000"/>
                            <w:sz w:val="18"/>
                            <w:lang w:val="en-US"/>
                          </w:rPr>
                          <w:t>Indicativo</w:t>
                        </w:r>
                        <w:proofErr w:type="spellEnd"/>
                        <w:r w:rsidRPr="003D5777">
                          <w:rPr>
                            <w:rFonts w:asciiTheme="minorHAnsi" w:eastAsia="Calibri" w:hAnsiTheme="minorHAnsi"/>
                            <w:color w:val="000000"/>
                            <w:sz w:val="18"/>
                            <w:lang w:val="en-US"/>
                          </w:rPr>
                          <w:t xml:space="preserve"> de </w:t>
                        </w:r>
                        <w:proofErr w:type="spellStart"/>
                        <w:r w:rsidRPr="003D5777">
                          <w:rPr>
                            <w:rFonts w:asciiTheme="minorHAnsi" w:eastAsia="Calibri" w:hAnsiTheme="minorHAnsi"/>
                            <w:color w:val="000000"/>
                            <w:sz w:val="18"/>
                            <w:lang w:val="en-US"/>
                          </w:rPr>
                          <w:t>país</w:t>
                        </w:r>
                        <w:proofErr w:type="spellEnd"/>
                        <w:r w:rsidRPr="003D5777">
                          <w:rPr>
                            <w:rFonts w:asciiTheme="minorHAnsi" w:eastAsia="Calibri" w:hAnsiTheme="minorHAnsi"/>
                            <w:color w:val="000000"/>
                            <w:sz w:val="18"/>
                            <w:lang w:val="en-US"/>
                          </w:rPr>
                          <w:t xml:space="preserve"> para el </w:t>
                        </w:r>
                        <w:proofErr w:type="spellStart"/>
                        <w:r w:rsidRPr="003D5777">
                          <w:rPr>
                            <w:rFonts w:asciiTheme="minorHAnsi" w:eastAsia="Calibri" w:hAnsiTheme="minorHAnsi"/>
                            <w:color w:val="000000"/>
                            <w:sz w:val="18"/>
                            <w:lang w:val="en-US"/>
                          </w:rPr>
                          <w:t>servicio</w:t>
                        </w:r>
                        <w:proofErr w:type="spellEnd"/>
                        <w:r w:rsidRPr="003D5777">
                          <w:rPr>
                            <w:rFonts w:asciiTheme="minorHAnsi" w:eastAsia="Calibri" w:hAnsiTheme="minorHAnsi"/>
                            <w:color w:val="000000"/>
                            <w:sz w:val="18"/>
                            <w:lang w:val="en-US"/>
                          </w:rPr>
                          <w:t xml:space="preserve"> </w:t>
                        </w:r>
                        <w:proofErr w:type="spellStart"/>
                        <w:r w:rsidRPr="003D5777">
                          <w:rPr>
                            <w:rFonts w:asciiTheme="minorHAnsi" w:eastAsia="Calibri" w:hAnsiTheme="minorHAnsi"/>
                            <w:color w:val="000000"/>
                            <w:sz w:val="18"/>
                            <w:lang w:val="en-US"/>
                          </w:rPr>
                          <w:t>móvil</w:t>
                        </w:r>
                        <w:proofErr w:type="spellEnd"/>
                      </w:p>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3D5777">
                          <w:rPr>
                            <w:rFonts w:asciiTheme="minorHAnsi" w:eastAsia="Calibri" w:hAnsiTheme="minorHAnsi"/>
                            <w:color w:val="000000"/>
                            <w:sz w:val="18"/>
                            <w:lang w:val="en-US"/>
                          </w:rPr>
                          <w:t xml:space="preserve">                    MNC:  Mobile Network Code / Code de </w:t>
                        </w:r>
                        <w:proofErr w:type="spellStart"/>
                        <w:r w:rsidRPr="003D5777">
                          <w:rPr>
                            <w:rFonts w:asciiTheme="minorHAnsi" w:eastAsia="Calibri" w:hAnsiTheme="minorHAnsi"/>
                            <w:color w:val="000000"/>
                            <w:sz w:val="18"/>
                            <w:lang w:val="en-US"/>
                          </w:rPr>
                          <w:t>réseau</w:t>
                        </w:r>
                        <w:proofErr w:type="spellEnd"/>
                        <w:r w:rsidRPr="003D5777">
                          <w:rPr>
                            <w:rFonts w:asciiTheme="minorHAnsi" w:eastAsia="Calibri" w:hAnsiTheme="minorHAnsi"/>
                            <w:color w:val="000000"/>
                            <w:sz w:val="18"/>
                            <w:lang w:val="en-US"/>
                          </w:rPr>
                          <w:t xml:space="preserve"> mobile / </w:t>
                        </w:r>
                        <w:proofErr w:type="spellStart"/>
                        <w:r w:rsidRPr="003D5777">
                          <w:rPr>
                            <w:rFonts w:asciiTheme="minorHAnsi" w:eastAsia="Calibri" w:hAnsiTheme="minorHAnsi"/>
                            <w:color w:val="000000"/>
                            <w:sz w:val="18"/>
                            <w:lang w:val="en-US"/>
                          </w:rPr>
                          <w:t>Indicativo</w:t>
                        </w:r>
                        <w:proofErr w:type="spellEnd"/>
                        <w:r w:rsidRPr="003D5777">
                          <w:rPr>
                            <w:rFonts w:asciiTheme="minorHAnsi" w:eastAsia="Calibri" w:hAnsiTheme="minorHAnsi"/>
                            <w:color w:val="000000"/>
                            <w:sz w:val="18"/>
                            <w:lang w:val="en-US"/>
                          </w:rPr>
                          <w:t xml:space="preserve"> de red para el </w:t>
                        </w:r>
                        <w:proofErr w:type="spellStart"/>
                        <w:r w:rsidRPr="003D5777">
                          <w:rPr>
                            <w:rFonts w:asciiTheme="minorHAnsi" w:eastAsia="Calibri" w:hAnsiTheme="minorHAnsi"/>
                            <w:color w:val="000000"/>
                            <w:sz w:val="18"/>
                            <w:lang w:val="en-US"/>
                          </w:rPr>
                          <w:t>servicio</w:t>
                        </w:r>
                        <w:proofErr w:type="spellEnd"/>
                        <w:r w:rsidRPr="003D5777">
                          <w:rPr>
                            <w:rFonts w:asciiTheme="minorHAnsi" w:eastAsia="Calibri" w:hAnsiTheme="minorHAnsi"/>
                            <w:color w:val="000000"/>
                            <w:sz w:val="18"/>
                            <w:lang w:val="en-US"/>
                          </w:rPr>
                          <w:t xml:space="preserve"> </w:t>
                        </w:r>
                        <w:proofErr w:type="spellStart"/>
                        <w:r w:rsidRPr="003D5777">
                          <w:rPr>
                            <w:rFonts w:asciiTheme="minorHAnsi" w:eastAsia="Calibri" w:hAnsiTheme="minorHAnsi"/>
                            <w:color w:val="000000"/>
                            <w:sz w:val="18"/>
                            <w:lang w:val="en-US"/>
                          </w:rPr>
                          <w:t>móvil</w:t>
                        </w:r>
                        <w:proofErr w:type="spellEnd"/>
                      </w:p>
                    </w:tc>
                  </w:tr>
                </w:tbl>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093"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bl>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255" w:type="dxa"/>
          </w:tcPr>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3D5777" w:rsidRPr="003D5777" w:rsidRDefault="003D5777" w:rsidP="003D577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3D5777" w:rsidRDefault="003D577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3D5777" w:rsidRPr="003D5777" w:rsidRDefault="003D5777" w:rsidP="003D5777">
      <w:pPr>
        <w:pStyle w:val="Heading2"/>
        <w:rPr>
          <w:lang w:val="fr-CH"/>
        </w:rPr>
      </w:pPr>
      <w:bookmarkStart w:id="434" w:name="_Toc503278452"/>
      <w:r w:rsidRPr="003D5777">
        <w:rPr>
          <w:lang w:val="fr-CH"/>
        </w:rPr>
        <w:lastRenderedPageBreak/>
        <w:t>Liste des codes de points sémaphores internationaux (ISPC</w:t>
      </w:r>
      <w:proofErr w:type="gramStart"/>
      <w:r w:rsidRPr="003D5777">
        <w:rPr>
          <w:lang w:val="fr-CH"/>
        </w:rPr>
        <w:t>)</w:t>
      </w:r>
      <w:proofErr w:type="gramEnd"/>
      <w:r w:rsidRPr="003D5777">
        <w:rPr>
          <w:lang w:val="fr-CH"/>
        </w:rPr>
        <w:br/>
        <w:t>(Selon la Recommandation UIT-T Q.708 (03/1999))</w:t>
      </w:r>
      <w:r w:rsidRPr="003D5777">
        <w:rPr>
          <w:lang w:val="fr-CH"/>
        </w:rPr>
        <w:br/>
        <w:t>(Situation au 1 octobre 2016)</w:t>
      </w:r>
      <w:bookmarkEnd w:id="434"/>
    </w:p>
    <w:p w:rsidR="003D5777" w:rsidRPr="003D5777" w:rsidRDefault="003D5777" w:rsidP="003D5777">
      <w:pPr>
        <w:keepNext/>
        <w:tabs>
          <w:tab w:val="clear" w:pos="1276"/>
          <w:tab w:val="clear" w:pos="1843"/>
          <w:tab w:val="clear" w:pos="5387"/>
          <w:tab w:val="clear" w:pos="5954"/>
          <w:tab w:val="right" w:pos="1021"/>
          <w:tab w:val="left" w:pos="1701"/>
          <w:tab w:val="left" w:pos="2268"/>
        </w:tabs>
        <w:spacing w:before="0"/>
        <w:jc w:val="center"/>
        <w:rPr>
          <w:b/>
          <w:lang w:val="fr-CH"/>
        </w:rPr>
      </w:pPr>
      <w:r w:rsidRPr="003D5777">
        <w:rPr>
          <w:bCs/>
          <w:lang w:val="fr-CH"/>
        </w:rPr>
        <w:t xml:space="preserve">(Annexe au Bulletin d'exploitation de l'UIT No. 1109 </w:t>
      </w:r>
      <w:r>
        <w:rPr>
          <w:bCs/>
          <w:lang w:val="fr-CH"/>
        </w:rPr>
        <w:t>–</w:t>
      </w:r>
      <w:r w:rsidRPr="003D5777">
        <w:rPr>
          <w:bCs/>
          <w:lang w:val="fr-CH"/>
        </w:rPr>
        <w:t xml:space="preserve"> 1.X.2016)</w:t>
      </w:r>
      <w:r w:rsidRPr="003D5777">
        <w:rPr>
          <w:bCs/>
          <w:lang w:val="fr-CH"/>
        </w:rPr>
        <w:br/>
        <w:t>(Amendement No. 27</w:t>
      </w:r>
      <w:r w:rsidRPr="003D5777">
        <w:rPr>
          <w:b/>
          <w:lang w:val="fr-CH"/>
        </w:rPr>
        <w:t>)</w:t>
      </w:r>
    </w:p>
    <w:p w:rsidR="003D5777" w:rsidRPr="003D5777" w:rsidRDefault="003D5777" w:rsidP="003D5777">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D5777" w:rsidRPr="005B3A02" w:rsidTr="00173531">
        <w:trPr>
          <w:cantSplit/>
          <w:trHeight w:val="227"/>
          <w:tblHeader/>
        </w:trPr>
        <w:tc>
          <w:tcPr>
            <w:tcW w:w="1818" w:type="dxa"/>
            <w:gridSpan w:val="2"/>
          </w:tcPr>
          <w:p w:rsidR="003D5777" w:rsidRPr="003D5777" w:rsidRDefault="003D5777" w:rsidP="003D5777">
            <w:pPr>
              <w:keepNext/>
              <w:tabs>
                <w:tab w:val="clear" w:pos="567"/>
                <w:tab w:val="clear" w:pos="5387"/>
                <w:tab w:val="clear" w:pos="5954"/>
              </w:tabs>
              <w:spacing w:before="60" w:after="60"/>
              <w:jc w:val="left"/>
              <w:rPr>
                <w:b/>
                <w:bCs/>
                <w:i/>
                <w:sz w:val="18"/>
                <w:lang w:val="fr-FR"/>
              </w:rPr>
            </w:pPr>
            <w:r w:rsidRPr="003D5777">
              <w:rPr>
                <w:b/>
                <w:bCs/>
                <w:i/>
                <w:sz w:val="18"/>
                <w:lang w:val="fr-FR"/>
              </w:rPr>
              <w:t>Pays/ Zone Géographique</w:t>
            </w:r>
          </w:p>
        </w:tc>
        <w:tc>
          <w:tcPr>
            <w:tcW w:w="3461" w:type="dxa"/>
            <w:vMerge w:val="restart"/>
            <w:shd w:val="clear" w:color="auto" w:fill="auto"/>
          </w:tcPr>
          <w:p w:rsidR="003D5777" w:rsidRPr="003D5777" w:rsidRDefault="003D5777" w:rsidP="003D5777">
            <w:pPr>
              <w:keepNext/>
              <w:tabs>
                <w:tab w:val="clear" w:pos="567"/>
                <w:tab w:val="clear" w:pos="5387"/>
                <w:tab w:val="clear" w:pos="5954"/>
              </w:tabs>
              <w:spacing w:before="60" w:after="60"/>
              <w:jc w:val="left"/>
              <w:rPr>
                <w:b/>
                <w:bCs/>
                <w:i/>
                <w:sz w:val="18"/>
                <w:lang w:val="fr-FR"/>
              </w:rPr>
            </w:pPr>
            <w:r w:rsidRPr="003D5777">
              <w:rPr>
                <w:b/>
                <w:bCs/>
                <w:i/>
                <w:sz w:val="18"/>
                <w:lang w:val="fr-FR"/>
              </w:rPr>
              <w:t>Nom unique du point sémaphore</w:t>
            </w:r>
          </w:p>
        </w:tc>
        <w:tc>
          <w:tcPr>
            <w:tcW w:w="4009" w:type="dxa"/>
            <w:vMerge w:val="restart"/>
            <w:shd w:val="clear" w:color="auto" w:fill="auto"/>
          </w:tcPr>
          <w:p w:rsidR="003D5777" w:rsidRPr="003D5777" w:rsidRDefault="003D5777" w:rsidP="003D5777">
            <w:pPr>
              <w:keepNext/>
              <w:tabs>
                <w:tab w:val="clear" w:pos="567"/>
                <w:tab w:val="clear" w:pos="5387"/>
                <w:tab w:val="clear" w:pos="5954"/>
              </w:tabs>
              <w:spacing w:before="60" w:after="60"/>
              <w:jc w:val="left"/>
              <w:rPr>
                <w:b/>
                <w:bCs/>
                <w:i/>
                <w:sz w:val="18"/>
                <w:lang w:val="fr-FR"/>
              </w:rPr>
            </w:pPr>
            <w:r w:rsidRPr="003D5777">
              <w:rPr>
                <w:b/>
                <w:bCs/>
                <w:i/>
                <w:sz w:val="18"/>
                <w:lang w:val="fr-FR"/>
              </w:rPr>
              <w:t>Nom de l'opérateur du point sémaphore</w:t>
            </w:r>
          </w:p>
        </w:tc>
      </w:tr>
      <w:tr w:rsidR="003D5777" w:rsidRPr="003D5777" w:rsidTr="00173531">
        <w:trPr>
          <w:cantSplit/>
          <w:trHeight w:val="227"/>
          <w:tblHeader/>
        </w:trPr>
        <w:tc>
          <w:tcPr>
            <w:tcW w:w="909" w:type="dxa"/>
          </w:tcPr>
          <w:p w:rsidR="003D5777" w:rsidRPr="003D5777" w:rsidRDefault="003D5777" w:rsidP="003D5777">
            <w:pPr>
              <w:keepNext/>
              <w:tabs>
                <w:tab w:val="clear" w:pos="567"/>
                <w:tab w:val="clear" w:pos="5387"/>
                <w:tab w:val="clear" w:pos="5954"/>
              </w:tabs>
              <w:spacing w:before="60" w:after="60"/>
              <w:jc w:val="left"/>
              <w:rPr>
                <w:i/>
                <w:sz w:val="18"/>
                <w:lang w:val="fr-FR"/>
              </w:rPr>
            </w:pPr>
            <w:r w:rsidRPr="003D5777">
              <w:rPr>
                <w:i/>
                <w:sz w:val="18"/>
                <w:lang w:val="fr-FR"/>
              </w:rPr>
              <w:t>ISPC</w:t>
            </w:r>
          </w:p>
        </w:tc>
        <w:tc>
          <w:tcPr>
            <w:tcW w:w="909" w:type="dxa"/>
            <w:shd w:val="clear" w:color="auto" w:fill="auto"/>
          </w:tcPr>
          <w:p w:rsidR="003D5777" w:rsidRPr="003D5777" w:rsidRDefault="003D5777" w:rsidP="003D5777">
            <w:pPr>
              <w:keepNext/>
              <w:tabs>
                <w:tab w:val="clear" w:pos="567"/>
                <w:tab w:val="clear" w:pos="5387"/>
                <w:tab w:val="clear" w:pos="5954"/>
              </w:tabs>
              <w:spacing w:before="60" w:after="60"/>
              <w:jc w:val="left"/>
              <w:rPr>
                <w:i/>
                <w:sz w:val="18"/>
                <w:lang w:val="fr-FR"/>
              </w:rPr>
            </w:pPr>
            <w:r w:rsidRPr="003D5777">
              <w:rPr>
                <w:i/>
                <w:sz w:val="18"/>
                <w:lang w:val="fr-FR"/>
              </w:rPr>
              <w:t>DEC</w:t>
            </w:r>
          </w:p>
        </w:tc>
        <w:tc>
          <w:tcPr>
            <w:tcW w:w="3461" w:type="dxa"/>
            <w:vMerge/>
            <w:shd w:val="clear" w:color="auto" w:fill="auto"/>
          </w:tcPr>
          <w:p w:rsidR="003D5777" w:rsidRPr="003D5777" w:rsidRDefault="003D5777" w:rsidP="003D5777">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3D5777" w:rsidRPr="003D5777" w:rsidRDefault="003D5777" w:rsidP="003D5777">
            <w:pPr>
              <w:keepNext/>
              <w:tabs>
                <w:tab w:val="clear" w:pos="567"/>
                <w:tab w:val="clear" w:pos="5387"/>
                <w:tab w:val="clear" w:pos="5954"/>
              </w:tabs>
              <w:spacing w:before="60" w:after="60"/>
              <w:jc w:val="left"/>
              <w:rPr>
                <w:i/>
                <w:sz w:val="18"/>
                <w:lang w:val="fr-FR"/>
              </w:rPr>
            </w:pPr>
          </w:p>
        </w:tc>
      </w:tr>
      <w:tr w:rsidR="003D5777" w:rsidRPr="003D5777" w:rsidTr="004959DC">
        <w:trPr>
          <w:cantSplit/>
          <w:trHeight w:val="240"/>
        </w:trPr>
        <w:tc>
          <w:tcPr>
            <w:tcW w:w="9288" w:type="dxa"/>
            <w:gridSpan w:val="4"/>
            <w:shd w:val="clear" w:color="auto" w:fill="auto"/>
          </w:tcPr>
          <w:p w:rsidR="003D5777" w:rsidRPr="003D5777" w:rsidRDefault="003D5777" w:rsidP="003D5777">
            <w:pPr>
              <w:keepNext/>
              <w:tabs>
                <w:tab w:val="clear" w:pos="1276"/>
                <w:tab w:val="clear" w:pos="1843"/>
                <w:tab w:val="clear" w:pos="5387"/>
                <w:tab w:val="clear" w:pos="5954"/>
                <w:tab w:val="right" w:pos="1021"/>
                <w:tab w:val="left" w:pos="1701"/>
                <w:tab w:val="left" w:pos="2268"/>
              </w:tabs>
              <w:spacing w:before="240"/>
              <w:rPr>
                <w:b/>
              </w:rPr>
            </w:pPr>
            <w:proofErr w:type="spellStart"/>
            <w:r w:rsidRPr="003D5777">
              <w:rPr>
                <w:b/>
              </w:rPr>
              <w:t>Allemagne</w:t>
            </w:r>
            <w:proofErr w:type="spellEnd"/>
            <w:r w:rsidRPr="003D5777">
              <w:rPr>
                <w:b/>
              </w:rPr>
              <w:t xml:space="preserve">    ADD</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2-225-3</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5899</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Frankfurt</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Saltfix</w:t>
            </w:r>
            <w:proofErr w:type="spellEnd"/>
            <w:r w:rsidRPr="003D5777">
              <w:rPr>
                <w:bCs/>
                <w:sz w:val="18"/>
                <w:szCs w:val="22"/>
                <w:lang w:val="fr-FR"/>
              </w:rPr>
              <w:t xml:space="preserve"> Group Ltd.</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2-248-2</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6082</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MSS_FFT1</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 xml:space="preserve">DB </w:t>
            </w:r>
            <w:proofErr w:type="spellStart"/>
            <w:r w:rsidRPr="003D5777">
              <w:rPr>
                <w:bCs/>
                <w:sz w:val="18"/>
                <w:szCs w:val="22"/>
                <w:lang w:val="fr-FR"/>
              </w:rPr>
              <w:t>Netz</w:t>
            </w:r>
            <w:proofErr w:type="spellEnd"/>
            <w:r w:rsidRPr="003D5777">
              <w:rPr>
                <w:bCs/>
                <w:sz w:val="18"/>
                <w:szCs w:val="22"/>
                <w:lang w:val="fr-FR"/>
              </w:rPr>
              <w:t xml:space="preserve"> AG</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2-248-4</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6084</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Drillisch</w:t>
            </w:r>
            <w:proofErr w:type="spellEnd"/>
            <w:r w:rsidRPr="003D5777">
              <w:rPr>
                <w:bCs/>
                <w:sz w:val="18"/>
                <w:szCs w:val="22"/>
                <w:lang w:val="fr-FR"/>
              </w:rPr>
              <w:t>-Mobil-</w:t>
            </w:r>
            <w:proofErr w:type="spellStart"/>
            <w:r w:rsidRPr="003D5777">
              <w:rPr>
                <w:bCs/>
                <w:sz w:val="18"/>
                <w:szCs w:val="22"/>
                <w:lang w:val="fr-FR"/>
              </w:rPr>
              <w:t>Duesseldorf</w:t>
            </w:r>
            <w:proofErr w:type="spellEnd"/>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Drillisch</w:t>
            </w:r>
            <w:proofErr w:type="spellEnd"/>
            <w:r w:rsidRPr="003D5777">
              <w:rPr>
                <w:bCs/>
                <w:sz w:val="18"/>
                <w:szCs w:val="22"/>
                <w:lang w:val="fr-FR"/>
              </w:rPr>
              <w:t xml:space="preserve"> Online AG</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2-250-4</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6100</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STP_FFT1</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 xml:space="preserve">DB </w:t>
            </w:r>
            <w:proofErr w:type="spellStart"/>
            <w:r w:rsidRPr="003D5777">
              <w:rPr>
                <w:bCs/>
                <w:sz w:val="18"/>
                <w:szCs w:val="22"/>
                <w:lang w:val="fr-FR"/>
              </w:rPr>
              <w:t>Netz</w:t>
            </w:r>
            <w:proofErr w:type="spellEnd"/>
            <w:r w:rsidRPr="003D5777">
              <w:rPr>
                <w:bCs/>
                <w:sz w:val="18"/>
                <w:szCs w:val="22"/>
                <w:lang w:val="fr-FR"/>
              </w:rPr>
              <w:t xml:space="preserve"> AG</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2-251-6</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6110</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Drillisch</w:t>
            </w:r>
            <w:proofErr w:type="spellEnd"/>
            <w:r w:rsidRPr="003D5777">
              <w:rPr>
                <w:bCs/>
                <w:sz w:val="18"/>
                <w:szCs w:val="22"/>
                <w:lang w:val="fr-FR"/>
              </w:rPr>
              <w:t>-Mobil-Frankfurt</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Drillisch</w:t>
            </w:r>
            <w:proofErr w:type="spellEnd"/>
            <w:r w:rsidRPr="003D5777">
              <w:rPr>
                <w:bCs/>
                <w:sz w:val="18"/>
                <w:szCs w:val="22"/>
                <w:lang w:val="fr-FR"/>
              </w:rPr>
              <w:t xml:space="preserve"> Online AG</w:t>
            </w:r>
          </w:p>
        </w:tc>
      </w:tr>
      <w:tr w:rsidR="003D5777" w:rsidRPr="003D5777" w:rsidTr="004959DC">
        <w:trPr>
          <w:cantSplit/>
          <w:trHeight w:val="240"/>
        </w:trPr>
        <w:tc>
          <w:tcPr>
            <w:tcW w:w="9288" w:type="dxa"/>
            <w:gridSpan w:val="4"/>
            <w:shd w:val="clear" w:color="auto" w:fill="auto"/>
          </w:tcPr>
          <w:p w:rsidR="003D5777" w:rsidRPr="003D5777" w:rsidRDefault="003D5777" w:rsidP="003D5777">
            <w:pPr>
              <w:keepNext/>
              <w:tabs>
                <w:tab w:val="clear" w:pos="1276"/>
                <w:tab w:val="clear" w:pos="1843"/>
                <w:tab w:val="clear" w:pos="5387"/>
                <w:tab w:val="clear" w:pos="5954"/>
                <w:tab w:val="right" w:pos="1021"/>
                <w:tab w:val="left" w:pos="1701"/>
                <w:tab w:val="left" w:pos="2268"/>
              </w:tabs>
              <w:spacing w:before="240"/>
              <w:rPr>
                <w:b/>
              </w:rPr>
            </w:pPr>
            <w:proofErr w:type="spellStart"/>
            <w:r w:rsidRPr="003D5777">
              <w:rPr>
                <w:b/>
              </w:rPr>
              <w:t>Allemagne</w:t>
            </w:r>
            <w:proofErr w:type="spellEnd"/>
            <w:r w:rsidRPr="003D5777">
              <w:rPr>
                <w:b/>
              </w:rPr>
              <w:t xml:space="preserve">    LIR</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2-245-4</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6060</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Frankfurt</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rPr>
            </w:pPr>
            <w:r w:rsidRPr="003D5777">
              <w:rPr>
                <w:bCs/>
                <w:sz w:val="18"/>
                <w:szCs w:val="22"/>
              </w:rPr>
              <w:t>VEON Wholesale Services B.V.</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2-248-5</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6085</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Düsseldorf</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 xml:space="preserve">Global Star Communications </w:t>
            </w:r>
            <w:proofErr w:type="spellStart"/>
            <w:r w:rsidRPr="003D5777">
              <w:rPr>
                <w:bCs/>
                <w:sz w:val="18"/>
                <w:szCs w:val="22"/>
                <w:lang w:val="fr-FR"/>
              </w:rPr>
              <w:t>GmbH</w:t>
            </w:r>
            <w:proofErr w:type="spellEnd"/>
          </w:p>
        </w:tc>
      </w:tr>
      <w:tr w:rsidR="003D5777" w:rsidRPr="003D5777" w:rsidTr="004959DC">
        <w:trPr>
          <w:cantSplit/>
          <w:trHeight w:val="240"/>
        </w:trPr>
        <w:tc>
          <w:tcPr>
            <w:tcW w:w="9288" w:type="dxa"/>
            <w:gridSpan w:val="4"/>
            <w:shd w:val="clear" w:color="auto" w:fill="auto"/>
          </w:tcPr>
          <w:p w:rsidR="003D5777" w:rsidRPr="003D5777" w:rsidRDefault="003D5777" w:rsidP="003D5777">
            <w:pPr>
              <w:keepNext/>
              <w:tabs>
                <w:tab w:val="clear" w:pos="1276"/>
                <w:tab w:val="clear" w:pos="1843"/>
                <w:tab w:val="clear" w:pos="5387"/>
                <w:tab w:val="clear" w:pos="5954"/>
                <w:tab w:val="right" w:pos="1021"/>
                <w:tab w:val="left" w:pos="1701"/>
                <w:tab w:val="left" w:pos="2268"/>
              </w:tabs>
              <w:spacing w:before="240"/>
              <w:rPr>
                <w:b/>
              </w:rPr>
            </w:pPr>
            <w:r w:rsidRPr="003D5777">
              <w:rPr>
                <w:b/>
              </w:rPr>
              <w:t>Panama    ADD</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7-027-4</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14556</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3D5777">
              <w:rPr>
                <w:bCs/>
                <w:sz w:val="18"/>
                <w:szCs w:val="22"/>
                <w:lang w:val="es-ES_tradnl"/>
              </w:rPr>
              <w:t xml:space="preserve">Nodo </w:t>
            </w:r>
            <w:proofErr w:type="spellStart"/>
            <w:r w:rsidRPr="003D5777">
              <w:rPr>
                <w:bCs/>
                <w:sz w:val="18"/>
                <w:szCs w:val="22"/>
                <w:lang w:val="es-ES_tradnl"/>
              </w:rPr>
              <w:t>Intl</w:t>
            </w:r>
            <w:proofErr w:type="spellEnd"/>
            <w:r w:rsidRPr="003D5777">
              <w:rPr>
                <w:bCs/>
                <w:sz w:val="18"/>
                <w:szCs w:val="22"/>
                <w:lang w:val="es-ES_tradnl"/>
              </w:rPr>
              <w:t xml:space="preserve"> para Central de Rio Abajo</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rPr>
            </w:pPr>
            <w:r w:rsidRPr="003D5777">
              <w:rPr>
                <w:bCs/>
                <w:sz w:val="18"/>
                <w:szCs w:val="22"/>
              </w:rPr>
              <w:t>Cable and Wireless Panama S.A.</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7-028-5</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14565</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3D5777">
              <w:rPr>
                <w:bCs/>
                <w:sz w:val="18"/>
                <w:szCs w:val="22"/>
                <w:lang w:val="es-ES_tradnl"/>
              </w:rPr>
              <w:t xml:space="preserve">Nodo </w:t>
            </w:r>
            <w:proofErr w:type="spellStart"/>
            <w:r w:rsidRPr="003D5777">
              <w:rPr>
                <w:bCs/>
                <w:sz w:val="18"/>
                <w:szCs w:val="22"/>
                <w:lang w:val="es-ES_tradnl"/>
              </w:rPr>
              <w:t>Intl</w:t>
            </w:r>
            <w:proofErr w:type="spellEnd"/>
            <w:r w:rsidRPr="003D5777">
              <w:rPr>
                <w:bCs/>
                <w:sz w:val="18"/>
                <w:szCs w:val="22"/>
                <w:lang w:val="es-ES_tradnl"/>
              </w:rPr>
              <w:t xml:space="preserve"> para Central de Juan Franco</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rPr>
            </w:pPr>
            <w:r w:rsidRPr="003D5777">
              <w:rPr>
                <w:bCs/>
                <w:sz w:val="18"/>
                <w:szCs w:val="22"/>
              </w:rPr>
              <w:t>Cable and Wireless Panama S.A.</w:t>
            </w:r>
          </w:p>
        </w:tc>
      </w:tr>
      <w:tr w:rsidR="003D5777" w:rsidRPr="003D5777" w:rsidTr="004959DC">
        <w:trPr>
          <w:cantSplit/>
          <w:trHeight w:val="240"/>
        </w:trPr>
        <w:tc>
          <w:tcPr>
            <w:tcW w:w="9288" w:type="dxa"/>
            <w:gridSpan w:val="4"/>
            <w:shd w:val="clear" w:color="auto" w:fill="auto"/>
          </w:tcPr>
          <w:p w:rsidR="003D5777" w:rsidRPr="003D5777" w:rsidRDefault="003D5777" w:rsidP="003D5777">
            <w:pPr>
              <w:keepNext/>
              <w:tabs>
                <w:tab w:val="clear" w:pos="1276"/>
                <w:tab w:val="clear" w:pos="1843"/>
                <w:tab w:val="clear" w:pos="5387"/>
                <w:tab w:val="clear" w:pos="5954"/>
                <w:tab w:val="right" w:pos="1021"/>
                <w:tab w:val="left" w:pos="1701"/>
                <w:tab w:val="left" w:pos="2268"/>
              </w:tabs>
              <w:spacing w:before="240"/>
              <w:rPr>
                <w:b/>
              </w:rPr>
            </w:pPr>
            <w:proofErr w:type="spellStart"/>
            <w:r w:rsidRPr="003D5777">
              <w:rPr>
                <w:b/>
              </w:rPr>
              <w:t>Suède</w:t>
            </w:r>
            <w:proofErr w:type="spellEnd"/>
            <w:r w:rsidRPr="003D5777">
              <w:rPr>
                <w:b/>
              </w:rPr>
              <w:t xml:space="preserve">    ADD</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7-207-3</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15995</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MontySCCP-SWE-1</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Monty UK Global Limited</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7-207-4</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15996</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MontySCCP-SWE-2</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Monty UK Global Limited</w:t>
            </w:r>
          </w:p>
        </w:tc>
      </w:tr>
      <w:tr w:rsidR="003D5777" w:rsidRPr="003D5777" w:rsidTr="004959DC">
        <w:trPr>
          <w:cantSplit/>
          <w:trHeight w:val="240"/>
        </w:trPr>
        <w:tc>
          <w:tcPr>
            <w:tcW w:w="9288" w:type="dxa"/>
            <w:gridSpan w:val="4"/>
            <w:shd w:val="clear" w:color="auto" w:fill="auto"/>
          </w:tcPr>
          <w:p w:rsidR="003D5777" w:rsidRPr="003D5777" w:rsidRDefault="003D5777" w:rsidP="003D5777">
            <w:pPr>
              <w:keepNext/>
              <w:tabs>
                <w:tab w:val="clear" w:pos="1276"/>
                <w:tab w:val="clear" w:pos="1843"/>
                <w:tab w:val="clear" w:pos="5387"/>
                <w:tab w:val="clear" w:pos="5954"/>
                <w:tab w:val="right" w:pos="1021"/>
                <w:tab w:val="left" w:pos="1701"/>
                <w:tab w:val="left" w:pos="2268"/>
              </w:tabs>
              <w:spacing w:before="240"/>
              <w:rPr>
                <w:b/>
              </w:rPr>
            </w:pPr>
            <w:proofErr w:type="spellStart"/>
            <w:r w:rsidRPr="003D5777">
              <w:rPr>
                <w:b/>
              </w:rPr>
              <w:t>Suède</w:t>
            </w:r>
            <w:proofErr w:type="spellEnd"/>
            <w:r w:rsidRPr="003D5777">
              <w:rPr>
                <w:b/>
              </w:rPr>
              <w:t xml:space="preserve">    LIR</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2-080-0</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4736</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Stockholm UX1 (Stockholm)</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Telia</w:t>
            </w:r>
            <w:proofErr w:type="spellEnd"/>
            <w:r w:rsidRPr="003D5777">
              <w:rPr>
                <w:bCs/>
                <w:sz w:val="18"/>
                <w:szCs w:val="22"/>
                <w:lang w:val="fr-FR"/>
              </w:rPr>
              <w:t xml:space="preserve"> </w:t>
            </w:r>
            <w:proofErr w:type="spellStart"/>
            <w:r w:rsidRPr="003D5777">
              <w:rPr>
                <w:bCs/>
                <w:sz w:val="18"/>
                <w:szCs w:val="22"/>
                <w:lang w:val="fr-FR"/>
              </w:rPr>
              <w:t>Sverige</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2-080-5</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4741</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GBR2S (Göteborg)</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Telia</w:t>
            </w:r>
            <w:proofErr w:type="spellEnd"/>
            <w:r w:rsidRPr="003D5777">
              <w:rPr>
                <w:bCs/>
                <w:sz w:val="18"/>
                <w:szCs w:val="22"/>
                <w:lang w:val="fr-FR"/>
              </w:rPr>
              <w:t xml:space="preserve"> </w:t>
            </w:r>
            <w:proofErr w:type="spellStart"/>
            <w:r w:rsidRPr="003D5777">
              <w:rPr>
                <w:bCs/>
                <w:sz w:val="18"/>
                <w:szCs w:val="22"/>
                <w:lang w:val="fr-FR"/>
              </w:rPr>
              <w:t>Sverige</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2-080-7</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4743</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Stockholm UX2 (Stockholm)</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Telia</w:t>
            </w:r>
            <w:proofErr w:type="spellEnd"/>
            <w:r w:rsidRPr="003D5777">
              <w:rPr>
                <w:bCs/>
                <w:sz w:val="18"/>
                <w:szCs w:val="22"/>
                <w:lang w:val="fr-FR"/>
              </w:rPr>
              <w:t xml:space="preserve"> </w:t>
            </w:r>
            <w:proofErr w:type="spellStart"/>
            <w:r w:rsidRPr="003D5777">
              <w:rPr>
                <w:bCs/>
                <w:sz w:val="18"/>
                <w:szCs w:val="22"/>
                <w:lang w:val="fr-FR"/>
              </w:rPr>
              <w:t>Sverige</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2-081-0</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4744</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Stockholm/UN STX (Stockholm)</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Telia</w:t>
            </w:r>
            <w:proofErr w:type="spellEnd"/>
            <w:r w:rsidRPr="003D5777">
              <w:rPr>
                <w:bCs/>
                <w:sz w:val="18"/>
                <w:szCs w:val="22"/>
                <w:lang w:val="fr-FR"/>
              </w:rPr>
              <w:t xml:space="preserve"> </w:t>
            </w:r>
            <w:proofErr w:type="spellStart"/>
            <w:r w:rsidRPr="003D5777">
              <w:rPr>
                <w:bCs/>
                <w:sz w:val="18"/>
                <w:szCs w:val="22"/>
                <w:lang w:val="fr-FR"/>
              </w:rPr>
              <w:t>Sverige</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2-081-1</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4745</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Stockholm/UR STX (Stockholm)</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Telia</w:t>
            </w:r>
            <w:proofErr w:type="spellEnd"/>
            <w:r w:rsidRPr="003D5777">
              <w:rPr>
                <w:bCs/>
                <w:sz w:val="18"/>
                <w:szCs w:val="22"/>
                <w:lang w:val="fr-FR"/>
              </w:rPr>
              <w:t xml:space="preserve"> </w:t>
            </w:r>
            <w:proofErr w:type="spellStart"/>
            <w:r w:rsidRPr="003D5777">
              <w:rPr>
                <w:bCs/>
                <w:sz w:val="18"/>
                <w:szCs w:val="22"/>
                <w:lang w:val="fr-FR"/>
              </w:rPr>
              <w:t>Sverige</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2-081-2</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4746</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Malmö/UR STX (Malmö)</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Telia</w:t>
            </w:r>
            <w:proofErr w:type="spellEnd"/>
            <w:r w:rsidRPr="003D5777">
              <w:rPr>
                <w:bCs/>
                <w:sz w:val="18"/>
                <w:szCs w:val="22"/>
                <w:lang w:val="fr-FR"/>
              </w:rPr>
              <w:t xml:space="preserve"> </w:t>
            </w:r>
            <w:proofErr w:type="spellStart"/>
            <w:r w:rsidRPr="003D5777">
              <w:rPr>
                <w:bCs/>
                <w:sz w:val="18"/>
                <w:szCs w:val="22"/>
                <w:lang w:val="fr-FR"/>
              </w:rPr>
              <w:t>Sverige</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2-081-3</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4747</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HY1S (Stockholm)</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Telia</w:t>
            </w:r>
            <w:proofErr w:type="spellEnd"/>
            <w:r w:rsidRPr="003D5777">
              <w:rPr>
                <w:bCs/>
                <w:sz w:val="18"/>
                <w:szCs w:val="22"/>
                <w:lang w:val="fr-FR"/>
              </w:rPr>
              <w:t xml:space="preserve"> </w:t>
            </w:r>
            <w:proofErr w:type="spellStart"/>
            <w:r w:rsidRPr="003D5777">
              <w:rPr>
                <w:bCs/>
                <w:sz w:val="18"/>
                <w:szCs w:val="22"/>
                <w:lang w:val="fr-FR"/>
              </w:rPr>
              <w:t>Sverige</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2-082-2</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4754</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VRR2 MSC (Göteborg)</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Telia</w:t>
            </w:r>
            <w:proofErr w:type="spellEnd"/>
            <w:r w:rsidRPr="003D5777">
              <w:rPr>
                <w:bCs/>
                <w:sz w:val="18"/>
                <w:szCs w:val="22"/>
                <w:lang w:val="fr-FR"/>
              </w:rPr>
              <w:t xml:space="preserve"> </w:t>
            </w:r>
            <w:proofErr w:type="spellStart"/>
            <w:r w:rsidRPr="003D5777">
              <w:rPr>
                <w:bCs/>
                <w:sz w:val="18"/>
                <w:szCs w:val="22"/>
                <w:lang w:val="fr-FR"/>
              </w:rPr>
              <w:t>Sverige</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2-192-2</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5634</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S TE 1 (Stockholm)</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Telia</w:t>
            </w:r>
            <w:proofErr w:type="spellEnd"/>
            <w:r w:rsidRPr="003D5777">
              <w:rPr>
                <w:bCs/>
                <w:sz w:val="18"/>
                <w:szCs w:val="22"/>
                <w:lang w:val="fr-FR"/>
              </w:rPr>
              <w:t xml:space="preserve"> </w:t>
            </w:r>
            <w:proofErr w:type="spellStart"/>
            <w:r w:rsidRPr="003D5777">
              <w:rPr>
                <w:bCs/>
                <w:sz w:val="18"/>
                <w:szCs w:val="22"/>
                <w:lang w:val="fr-FR"/>
              </w:rPr>
              <w:t>Sverige</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2-192-3</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5635</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HY1 MSC-S (Stockholm)</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Telia</w:t>
            </w:r>
            <w:proofErr w:type="spellEnd"/>
            <w:r w:rsidRPr="003D5777">
              <w:rPr>
                <w:bCs/>
                <w:sz w:val="18"/>
                <w:szCs w:val="22"/>
                <w:lang w:val="fr-FR"/>
              </w:rPr>
              <w:t xml:space="preserve"> </w:t>
            </w:r>
            <w:proofErr w:type="spellStart"/>
            <w:r w:rsidRPr="003D5777">
              <w:rPr>
                <w:bCs/>
                <w:sz w:val="18"/>
                <w:szCs w:val="22"/>
                <w:lang w:val="fr-FR"/>
              </w:rPr>
              <w:t>Sverige</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2-192-4</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5636</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FRE1 MSC-S (Stockholm)</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Telia</w:t>
            </w:r>
            <w:proofErr w:type="spellEnd"/>
            <w:r w:rsidRPr="003D5777">
              <w:rPr>
                <w:bCs/>
                <w:sz w:val="18"/>
                <w:szCs w:val="22"/>
                <w:lang w:val="fr-FR"/>
              </w:rPr>
              <w:t xml:space="preserve"> </w:t>
            </w:r>
            <w:proofErr w:type="spellStart"/>
            <w:r w:rsidRPr="003D5777">
              <w:rPr>
                <w:bCs/>
                <w:sz w:val="18"/>
                <w:szCs w:val="22"/>
                <w:lang w:val="fr-FR"/>
              </w:rPr>
              <w:t>Sverige</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2-192-5</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5637</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S TE 2 (Stockholm)</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Telia</w:t>
            </w:r>
            <w:proofErr w:type="spellEnd"/>
            <w:r w:rsidRPr="003D5777">
              <w:rPr>
                <w:bCs/>
                <w:sz w:val="18"/>
                <w:szCs w:val="22"/>
                <w:lang w:val="fr-FR"/>
              </w:rPr>
              <w:t xml:space="preserve"> </w:t>
            </w:r>
            <w:proofErr w:type="spellStart"/>
            <w:r w:rsidRPr="003D5777">
              <w:rPr>
                <w:bCs/>
                <w:sz w:val="18"/>
                <w:szCs w:val="22"/>
                <w:lang w:val="fr-FR"/>
              </w:rPr>
              <w:t>Sverige</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2-195-7</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5663</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MSC1 (Stockholm)</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 xml:space="preserve">Tele2 </w:t>
            </w:r>
            <w:proofErr w:type="spellStart"/>
            <w:r w:rsidRPr="003D5777">
              <w:rPr>
                <w:bCs/>
                <w:sz w:val="18"/>
                <w:szCs w:val="22"/>
                <w:lang w:val="fr-FR"/>
              </w:rPr>
              <w:t>Sverige</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2-205-4</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5740</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STH1 (Stockholm)</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Twilio</w:t>
            </w:r>
            <w:proofErr w:type="spellEnd"/>
            <w:r w:rsidRPr="003D5777">
              <w:rPr>
                <w:bCs/>
                <w:sz w:val="18"/>
                <w:szCs w:val="22"/>
                <w:lang w:val="fr-FR"/>
              </w:rPr>
              <w:t xml:space="preserve"> </w:t>
            </w:r>
            <w:proofErr w:type="spellStart"/>
            <w:r w:rsidRPr="003D5777">
              <w:rPr>
                <w:bCs/>
                <w:sz w:val="18"/>
                <w:szCs w:val="22"/>
                <w:lang w:val="fr-FR"/>
              </w:rPr>
              <w:t>Sweden</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2-205-7</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5743</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CoolTEL</w:t>
            </w:r>
            <w:proofErr w:type="spellEnd"/>
            <w:r w:rsidRPr="003D5777">
              <w:rPr>
                <w:bCs/>
                <w:sz w:val="18"/>
                <w:szCs w:val="22"/>
                <w:lang w:val="fr-FR"/>
              </w:rPr>
              <w:t xml:space="preserve"> SMSC-KLD-1 (Kolding)</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LINK Mobile A/S</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6-226-0</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14096</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MGW1 (</w:t>
            </w:r>
            <w:proofErr w:type="spellStart"/>
            <w:r w:rsidRPr="003D5777">
              <w:rPr>
                <w:bCs/>
                <w:sz w:val="18"/>
                <w:szCs w:val="22"/>
                <w:lang w:val="fr-FR"/>
              </w:rPr>
              <w:t>Hallsberg</w:t>
            </w:r>
            <w:proofErr w:type="spellEnd"/>
            <w:r w:rsidRPr="003D5777">
              <w:rPr>
                <w:bCs/>
                <w:sz w:val="18"/>
                <w:szCs w:val="22"/>
                <w:lang w:val="fr-FR"/>
              </w:rPr>
              <w:t>)</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Trafikverket</w:t>
            </w:r>
            <w:proofErr w:type="spellEnd"/>
            <w:r w:rsidRPr="003D5777">
              <w:rPr>
                <w:bCs/>
                <w:sz w:val="18"/>
                <w:szCs w:val="22"/>
                <w:lang w:val="fr-FR"/>
              </w:rPr>
              <w:t xml:space="preserve"> </w:t>
            </w:r>
            <w:proofErr w:type="spellStart"/>
            <w:r w:rsidRPr="003D5777">
              <w:rPr>
                <w:bCs/>
                <w:sz w:val="18"/>
                <w:szCs w:val="22"/>
                <w:lang w:val="fr-FR"/>
              </w:rPr>
              <w:t>centralfunktion</w:t>
            </w:r>
            <w:proofErr w:type="spellEnd"/>
            <w:r w:rsidRPr="003D5777">
              <w:rPr>
                <w:bCs/>
                <w:sz w:val="18"/>
                <w:szCs w:val="22"/>
                <w:lang w:val="fr-FR"/>
              </w:rPr>
              <w:t xml:space="preserve"> IT</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6-226-1</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14097</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MSS1 (</w:t>
            </w:r>
            <w:proofErr w:type="spellStart"/>
            <w:r w:rsidRPr="003D5777">
              <w:rPr>
                <w:bCs/>
                <w:sz w:val="18"/>
                <w:szCs w:val="22"/>
                <w:lang w:val="fr-FR"/>
              </w:rPr>
              <w:t>Hallsberg</w:t>
            </w:r>
            <w:proofErr w:type="spellEnd"/>
            <w:r w:rsidRPr="003D5777">
              <w:rPr>
                <w:bCs/>
                <w:sz w:val="18"/>
                <w:szCs w:val="22"/>
                <w:lang w:val="fr-FR"/>
              </w:rPr>
              <w:t>)</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Trafikverket</w:t>
            </w:r>
            <w:proofErr w:type="spellEnd"/>
            <w:r w:rsidRPr="003D5777">
              <w:rPr>
                <w:bCs/>
                <w:sz w:val="18"/>
                <w:szCs w:val="22"/>
                <w:lang w:val="fr-FR"/>
              </w:rPr>
              <w:t xml:space="preserve"> </w:t>
            </w:r>
            <w:proofErr w:type="spellStart"/>
            <w:r w:rsidRPr="003D5777">
              <w:rPr>
                <w:bCs/>
                <w:sz w:val="18"/>
                <w:szCs w:val="22"/>
                <w:lang w:val="fr-FR"/>
              </w:rPr>
              <w:t>centralfunktion</w:t>
            </w:r>
            <w:proofErr w:type="spellEnd"/>
            <w:r w:rsidRPr="003D5777">
              <w:rPr>
                <w:bCs/>
                <w:sz w:val="18"/>
                <w:szCs w:val="22"/>
                <w:lang w:val="fr-FR"/>
              </w:rPr>
              <w:t xml:space="preserve"> IT</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6-226-2</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14098</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MGW2 (Gävle)</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Trafikverket</w:t>
            </w:r>
            <w:proofErr w:type="spellEnd"/>
            <w:r w:rsidRPr="003D5777">
              <w:rPr>
                <w:bCs/>
                <w:sz w:val="18"/>
                <w:szCs w:val="22"/>
                <w:lang w:val="fr-FR"/>
              </w:rPr>
              <w:t xml:space="preserve"> </w:t>
            </w:r>
            <w:proofErr w:type="spellStart"/>
            <w:r w:rsidRPr="003D5777">
              <w:rPr>
                <w:bCs/>
                <w:sz w:val="18"/>
                <w:szCs w:val="22"/>
                <w:lang w:val="fr-FR"/>
              </w:rPr>
              <w:t>centralfunktion</w:t>
            </w:r>
            <w:proofErr w:type="spellEnd"/>
            <w:r w:rsidRPr="003D5777">
              <w:rPr>
                <w:bCs/>
                <w:sz w:val="18"/>
                <w:szCs w:val="22"/>
                <w:lang w:val="fr-FR"/>
              </w:rPr>
              <w:t xml:space="preserve"> IT</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lastRenderedPageBreak/>
              <w:t>6-226-3</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14099</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MSS2 (Gävle)</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Trafikverket</w:t>
            </w:r>
            <w:proofErr w:type="spellEnd"/>
            <w:r w:rsidRPr="003D5777">
              <w:rPr>
                <w:bCs/>
                <w:sz w:val="18"/>
                <w:szCs w:val="22"/>
                <w:lang w:val="fr-FR"/>
              </w:rPr>
              <w:t xml:space="preserve"> </w:t>
            </w:r>
            <w:proofErr w:type="spellStart"/>
            <w:r w:rsidRPr="003D5777">
              <w:rPr>
                <w:bCs/>
                <w:sz w:val="18"/>
                <w:szCs w:val="22"/>
                <w:lang w:val="fr-FR"/>
              </w:rPr>
              <w:t>centralfunktion</w:t>
            </w:r>
            <w:proofErr w:type="spellEnd"/>
            <w:r w:rsidRPr="003D5777">
              <w:rPr>
                <w:bCs/>
                <w:sz w:val="18"/>
                <w:szCs w:val="22"/>
                <w:lang w:val="fr-FR"/>
              </w:rPr>
              <w:t xml:space="preserve"> IT</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6-226-4</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14100</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BSU2 (Stockholm)</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Twilio</w:t>
            </w:r>
            <w:proofErr w:type="spellEnd"/>
            <w:r w:rsidRPr="003D5777">
              <w:rPr>
                <w:bCs/>
                <w:sz w:val="18"/>
                <w:szCs w:val="22"/>
                <w:lang w:val="fr-FR"/>
              </w:rPr>
              <w:t xml:space="preserve"> </w:t>
            </w:r>
            <w:proofErr w:type="spellStart"/>
            <w:r w:rsidRPr="003D5777">
              <w:rPr>
                <w:bCs/>
                <w:sz w:val="18"/>
                <w:szCs w:val="22"/>
                <w:lang w:val="fr-FR"/>
              </w:rPr>
              <w:t>Sweden</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6-238-3</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14195</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RWC-ISPC-1 (Stockholm)</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D5777">
              <w:rPr>
                <w:bCs/>
                <w:sz w:val="18"/>
                <w:szCs w:val="22"/>
                <w:lang w:val="fr-FR"/>
              </w:rPr>
              <w:t>North</w:t>
            </w:r>
            <w:proofErr w:type="spellEnd"/>
            <w:r w:rsidRPr="003D5777">
              <w:rPr>
                <w:bCs/>
                <w:sz w:val="18"/>
                <w:szCs w:val="22"/>
                <w:lang w:val="fr-FR"/>
              </w:rPr>
              <w:t xml:space="preserve"> net </w:t>
            </w:r>
            <w:proofErr w:type="spellStart"/>
            <w:r w:rsidRPr="003D5777">
              <w:rPr>
                <w:bCs/>
                <w:sz w:val="18"/>
                <w:szCs w:val="22"/>
                <w:lang w:val="fr-FR"/>
              </w:rPr>
              <w:t>connect</w:t>
            </w:r>
            <w:proofErr w:type="spellEnd"/>
            <w:r w:rsidRPr="003D5777">
              <w:rPr>
                <w:bCs/>
                <w:sz w:val="18"/>
                <w:szCs w:val="22"/>
                <w:lang w:val="fr-FR"/>
              </w:rPr>
              <w:t xml:space="preserve"> AB</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7-207-0</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15992</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MontyMobile-SWE-1 (London)</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Monty UK Global Limited</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7-207-1</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15993</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MontyMobile-SWE-2 (London)</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Monty UK Global Limited</w:t>
            </w:r>
          </w:p>
        </w:tc>
      </w:tr>
      <w:tr w:rsidR="003D5777" w:rsidRPr="003D5777" w:rsidTr="003D5777">
        <w:trPr>
          <w:cantSplit/>
          <w:trHeight w:val="240"/>
        </w:trPr>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7-207-2</w:t>
            </w:r>
          </w:p>
        </w:tc>
        <w:tc>
          <w:tcPr>
            <w:tcW w:w="909"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15994</w:t>
            </w:r>
          </w:p>
        </w:tc>
        <w:tc>
          <w:tcPr>
            <w:tcW w:w="3461" w:type="dxa"/>
            <w:shd w:val="clear" w:color="auto" w:fill="auto"/>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viahubSTP1 (Nürnberg)</w:t>
            </w:r>
          </w:p>
        </w:tc>
        <w:tc>
          <w:tcPr>
            <w:tcW w:w="4009" w:type="dxa"/>
          </w:tcPr>
          <w:p w:rsidR="003D5777" w:rsidRPr="003D5777" w:rsidRDefault="003D5777" w:rsidP="003D5777">
            <w:pPr>
              <w:tabs>
                <w:tab w:val="clear" w:pos="567"/>
                <w:tab w:val="clear" w:pos="1276"/>
                <w:tab w:val="clear" w:pos="1843"/>
                <w:tab w:val="clear" w:pos="5387"/>
                <w:tab w:val="clear" w:pos="5954"/>
                <w:tab w:val="right" w:pos="454"/>
              </w:tabs>
              <w:spacing w:before="40" w:after="40"/>
              <w:jc w:val="left"/>
              <w:rPr>
                <w:bCs/>
                <w:sz w:val="18"/>
                <w:szCs w:val="22"/>
                <w:lang w:val="fr-FR"/>
              </w:rPr>
            </w:pPr>
            <w:r w:rsidRPr="003D5777">
              <w:rPr>
                <w:bCs/>
                <w:sz w:val="18"/>
                <w:szCs w:val="22"/>
                <w:lang w:val="fr-FR"/>
              </w:rPr>
              <w:t>SMS Provider Corp.</w:t>
            </w:r>
          </w:p>
        </w:tc>
      </w:tr>
    </w:tbl>
    <w:p w:rsidR="003D5777" w:rsidRPr="003D5777" w:rsidRDefault="003D5777" w:rsidP="003D5777">
      <w:pPr>
        <w:tabs>
          <w:tab w:val="clear" w:pos="567"/>
          <w:tab w:val="clear" w:pos="5387"/>
          <w:tab w:val="clear" w:pos="5954"/>
          <w:tab w:val="left" w:pos="284"/>
        </w:tabs>
        <w:spacing w:before="136"/>
        <w:rPr>
          <w:position w:val="6"/>
          <w:sz w:val="16"/>
          <w:szCs w:val="16"/>
          <w:lang w:val="fr-FR"/>
        </w:rPr>
      </w:pPr>
      <w:r w:rsidRPr="003D5777">
        <w:rPr>
          <w:position w:val="6"/>
          <w:sz w:val="16"/>
          <w:szCs w:val="16"/>
          <w:lang w:val="fr-FR"/>
        </w:rPr>
        <w:t>____________</w:t>
      </w:r>
    </w:p>
    <w:p w:rsidR="003D5777" w:rsidRPr="003D5777" w:rsidRDefault="003D5777" w:rsidP="003D5777">
      <w:pPr>
        <w:tabs>
          <w:tab w:val="clear" w:pos="1276"/>
          <w:tab w:val="clear" w:pos="1843"/>
          <w:tab w:val="clear" w:pos="5387"/>
          <w:tab w:val="clear" w:pos="5954"/>
        </w:tabs>
        <w:spacing w:before="40"/>
        <w:jc w:val="left"/>
        <w:rPr>
          <w:sz w:val="16"/>
          <w:szCs w:val="16"/>
          <w:lang w:val="fr-FR"/>
        </w:rPr>
      </w:pPr>
      <w:proofErr w:type="gramStart"/>
      <w:r w:rsidRPr="003D5777">
        <w:rPr>
          <w:sz w:val="16"/>
          <w:szCs w:val="16"/>
          <w:lang w:val="fr-FR"/>
        </w:rPr>
        <w:t>ISPC:</w:t>
      </w:r>
      <w:proofErr w:type="gramEnd"/>
      <w:r w:rsidRPr="003D5777">
        <w:rPr>
          <w:sz w:val="16"/>
          <w:szCs w:val="16"/>
          <w:lang w:val="fr-FR"/>
        </w:rPr>
        <w:tab/>
        <w:t xml:space="preserve">International </w:t>
      </w:r>
      <w:proofErr w:type="spellStart"/>
      <w:r w:rsidRPr="003D5777">
        <w:rPr>
          <w:sz w:val="16"/>
          <w:szCs w:val="16"/>
          <w:lang w:val="fr-FR"/>
        </w:rPr>
        <w:t>Signalling</w:t>
      </w:r>
      <w:proofErr w:type="spellEnd"/>
      <w:r w:rsidRPr="003D5777">
        <w:rPr>
          <w:sz w:val="16"/>
          <w:szCs w:val="16"/>
          <w:lang w:val="fr-FR"/>
        </w:rPr>
        <w:t xml:space="preserve"> Point Codes.</w:t>
      </w:r>
    </w:p>
    <w:p w:rsidR="003D5777" w:rsidRPr="003D5777" w:rsidRDefault="003D5777" w:rsidP="003D5777">
      <w:pPr>
        <w:tabs>
          <w:tab w:val="clear" w:pos="1276"/>
          <w:tab w:val="clear" w:pos="1843"/>
          <w:tab w:val="clear" w:pos="5387"/>
          <w:tab w:val="clear" w:pos="5954"/>
        </w:tabs>
        <w:spacing w:before="0"/>
        <w:jc w:val="left"/>
        <w:rPr>
          <w:sz w:val="16"/>
          <w:szCs w:val="16"/>
          <w:lang w:val="fr-FR"/>
        </w:rPr>
      </w:pPr>
      <w:r w:rsidRPr="003D5777">
        <w:rPr>
          <w:sz w:val="16"/>
          <w:szCs w:val="16"/>
          <w:lang w:val="fr-FR"/>
        </w:rPr>
        <w:tab/>
        <w:t>Codes de points sémaphores internationaux (CPSI).</w:t>
      </w:r>
    </w:p>
    <w:p w:rsidR="003D5777" w:rsidRPr="003D5777" w:rsidRDefault="003D5777" w:rsidP="003D5777">
      <w:pPr>
        <w:tabs>
          <w:tab w:val="clear" w:pos="1276"/>
          <w:tab w:val="clear" w:pos="1843"/>
          <w:tab w:val="clear" w:pos="5387"/>
          <w:tab w:val="clear" w:pos="5954"/>
        </w:tabs>
        <w:spacing w:before="0"/>
        <w:jc w:val="left"/>
        <w:rPr>
          <w:b/>
          <w:sz w:val="18"/>
          <w:szCs w:val="22"/>
          <w:lang w:val="es-ES"/>
        </w:rPr>
      </w:pPr>
      <w:r w:rsidRPr="003D5777">
        <w:rPr>
          <w:sz w:val="16"/>
          <w:szCs w:val="16"/>
          <w:lang w:val="fr-FR"/>
        </w:rPr>
        <w:tab/>
      </w:r>
      <w:r w:rsidRPr="003D5777">
        <w:rPr>
          <w:sz w:val="16"/>
          <w:szCs w:val="16"/>
          <w:lang w:val="es-ES"/>
        </w:rPr>
        <w:t>Códigos de puntos de señalización internacional (CPSI).</w:t>
      </w:r>
    </w:p>
    <w:p w:rsidR="003D5777" w:rsidRDefault="003D5777" w:rsidP="003D5777">
      <w:pPr>
        <w:rPr>
          <w:lang w:val="es-ES"/>
        </w:rPr>
      </w:pPr>
    </w:p>
    <w:p w:rsidR="005D39F3" w:rsidRPr="003D5777" w:rsidRDefault="005D39F3" w:rsidP="003D5777">
      <w:pPr>
        <w:rPr>
          <w:lang w:val="es-ES"/>
        </w:rPr>
      </w:pPr>
    </w:p>
    <w:p w:rsidR="003D5777" w:rsidRPr="003D5777" w:rsidRDefault="003D5777" w:rsidP="003D5777">
      <w:pPr>
        <w:pStyle w:val="Heading2"/>
        <w:rPr>
          <w:lang w:val="fr-CH"/>
        </w:rPr>
      </w:pPr>
      <w:bookmarkStart w:id="435" w:name="_Toc36874412"/>
      <w:bookmarkStart w:id="436" w:name="_Toc503278453"/>
      <w:r w:rsidRPr="003D5777">
        <w:rPr>
          <w:lang w:val="fr-CH"/>
        </w:rPr>
        <w:t xml:space="preserve">Plan de numérotage </w:t>
      </w:r>
      <w:proofErr w:type="gramStart"/>
      <w:r w:rsidRPr="003D5777">
        <w:rPr>
          <w:lang w:val="fr-CH"/>
        </w:rPr>
        <w:t>national</w:t>
      </w:r>
      <w:proofErr w:type="gramEnd"/>
      <w:r w:rsidRPr="003D5777">
        <w:rPr>
          <w:lang w:val="fr-CH"/>
        </w:rPr>
        <w:br/>
        <w:t>(Selon la Recommandation UIT-T E.129 (01/2013))</w:t>
      </w:r>
      <w:bookmarkEnd w:id="435"/>
      <w:bookmarkEnd w:id="436"/>
    </w:p>
    <w:p w:rsidR="003D5777" w:rsidRPr="003D5777" w:rsidRDefault="003D5777" w:rsidP="003D5777">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437" w:name="_Toc36875244"/>
      <w:r w:rsidRPr="003D5777">
        <w:rPr>
          <w:rFonts w:eastAsia="SimSun"/>
        </w:rPr>
        <w:t>Web: www.itu.int/itu-t/inr/nnp/index.html</w:t>
      </w:r>
    </w:p>
    <w:bookmarkEnd w:id="437"/>
    <w:p w:rsidR="003D5777" w:rsidRPr="003D5777" w:rsidRDefault="003D5777" w:rsidP="003D5777">
      <w:pPr>
        <w:tabs>
          <w:tab w:val="clear" w:pos="1276"/>
          <w:tab w:val="clear" w:pos="1843"/>
          <w:tab w:val="clear" w:pos="5387"/>
          <w:tab w:val="clear" w:pos="5954"/>
        </w:tabs>
        <w:spacing w:before="240"/>
        <w:rPr>
          <w:rFonts w:eastAsia="SimSun" w:cs="Arial"/>
          <w:lang w:val="fr-FR"/>
        </w:rPr>
      </w:pPr>
      <w:r w:rsidRPr="003D5777">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3D5777" w:rsidRPr="003D5777" w:rsidRDefault="003D5777" w:rsidP="003D5777">
      <w:pPr>
        <w:rPr>
          <w:rFonts w:eastAsia="SimSun"/>
          <w:lang w:val="fr-FR"/>
        </w:rPr>
      </w:pPr>
      <w:r w:rsidRPr="003D5777">
        <w:rPr>
          <w:rFonts w:eastAsia="SimSun"/>
          <w:lang w:val="fr-FR"/>
        </w:rPr>
        <w:t>Pour leur site web sur le numérotage ou l’envoi de leurs informations à l’UIT/TSB (e-</w:t>
      </w:r>
      <w:proofErr w:type="gramStart"/>
      <w:r w:rsidRPr="003D5777">
        <w:rPr>
          <w:rFonts w:eastAsia="SimSun"/>
          <w:lang w:val="fr-FR"/>
        </w:rPr>
        <w:t>mail:</w:t>
      </w:r>
      <w:proofErr w:type="gramEnd"/>
      <w:r w:rsidRPr="003D5777">
        <w:rPr>
          <w:rFonts w:eastAsia="SimSun"/>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3D5777" w:rsidRPr="003D5777" w:rsidRDefault="003D5777" w:rsidP="003D5777">
      <w:pPr>
        <w:rPr>
          <w:rFonts w:eastAsia="SimSun"/>
          <w:lang w:val="fr-FR"/>
        </w:rPr>
      </w:pPr>
      <w:r w:rsidRPr="003D5777">
        <w:rPr>
          <w:rFonts w:eastAsia="SimSun"/>
          <w:lang w:val="fr-FR"/>
        </w:rPr>
        <w:t>Le 15.XI.2017, les pays/z</w:t>
      </w:r>
      <w:r w:rsidRPr="003D5777">
        <w:rPr>
          <w:rFonts w:eastAsia="Calibri"/>
          <w:color w:val="000000"/>
          <w:lang w:val="fr-FR"/>
        </w:rPr>
        <w:t>ones géographiques</w:t>
      </w:r>
      <w:r w:rsidRPr="003D5777">
        <w:rPr>
          <w:rFonts w:eastAsia="SimSun"/>
          <w:lang w:val="fr-FR"/>
        </w:rPr>
        <w:t xml:space="preserve"> suivants ont actualisé leur plan de numérotage national sur le </w:t>
      </w:r>
      <w:proofErr w:type="gramStart"/>
      <w:r w:rsidRPr="003D5777">
        <w:rPr>
          <w:rFonts w:eastAsia="SimSun"/>
          <w:lang w:val="fr-FR"/>
        </w:rPr>
        <w:t>site:</w:t>
      </w:r>
      <w:proofErr w:type="gramEnd"/>
    </w:p>
    <w:p w:rsidR="003D5777" w:rsidRPr="003D5777" w:rsidRDefault="003D5777" w:rsidP="003D5777">
      <w:pPr>
        <w:rPr>
          <w:rFonts w:eastAsia="SimSun"/>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37"/>
        <w:gridCol w:w="4135"/>
      </w:tblGrid>
      <w:tr w:rsidR="003D5777" w:rsidRPr="003D5777" w:rsidTr="003D5777">
        <w:trPr>
          <w:jc w:val="center"/>
        </w:trPr>
        <w:tc>
          <w:tcPr>
            <w:tcW w:w="4937" w:type="dxa"/>
            <w:tcBorders>
              <w:top w:val="single" w:sz="4" w:space="0" w:color="auto"/>
              <w:bottom w:val="single" w:sz="4" w:space="0" w:color="auto"/>
              <w:right w:val="single" w:sz="4" w:space="0" w:color="auto"/>
            </w:tcBorders>
            <w:hideMark/>
          </w:tcPr>
          <w:p w:rsidR="003D5777" w:rsidRPr="003D5777" w:rsidRDefault="003D5777" w:rsidP="003D5777">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3D5777">
              <w:rPr>
                <w:rFonts w:eastAsia="SimSun" w:cs="Calibri"/>
                <w:i/>
                <w:iCs/>
                <w:color w:val="000000"/>
                <w:lang w:val="fr-FR" w:eastAsia="zh-CN"/>
              </w:rPr>
              <w:t xml:space="preserve">Pays / </w:t>
            </w:r>
            <w:r w:rsidRPr="003D5777">
              <w:rPr>
                <w:rFonts w:eastAsia="Calibri" w:cs="Calibri"/>
                <w:i/>
                <w:color w:val="000000"/>
                <w:lang w:val="fr-FR" w:eastAsia="zh-CN"/>
              </w:rPr>
              <w:t>Zone géographique</w:t>
            </w:r>
          </w:p>
        </w:tc>
        <w:tc>
          <w:tcPr>
            <w:tcW w:w="4135" w:type="dxa"/>
            <w:tcBorders>
              <w:top w:val="single" w:sz="4" w:space="0" w:color="auto"/>
              <w:left w:val="single" w:sz="4" w:space="0" w:color="auto"/>
              <w:bottom w:val="single" w:sz="4" w:space="0" w:color="auto"/>
            </w:tcBorders>
            <w:hideMark/>
          </w:tcPr>
          <w:p w:rsidR="003D5777" w:rsidRPr="003D5777" w:rsidRDefault="003D5777" w:rsidP="003D5777">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3D5777">
              <w:rPr>
                <w:rFonts w:eastAsia="SimSun" w:cs="Calibri"/>
                <w:i/>
                <w:iCs/>
                <w:color w:val="000000"/>
                <w:lang w:val="fr-FR" w:eastAsia="zh-CN"/>
              </w:rPr>
              <w:t xml:space="preserve">Indicatif de pays (CC) </w:t>
            </w:r>
          </w:p>
        </w:tc>
      </w:tr>
      <w:tr w:rsidR="003D5777" w:rsidRPr="003D5777" w:rsidTr="003D5777">
        <w:trPr>
          <w:jc w:val="center"/>
        </w:trPr>
        <w:tc>
          <w:tcPr>
            <w:tcW w:w="4937" w:type="dxa"/>
            <w:tcBorders>
              <w:top w:val="single" w:sz="4" w:space="0" w:color="auto"/>
              <w:left w:val="single" w:sz="4" w:space="0" w:color="auto"/>
              <w:bottom w:val="single" w:sz="4" w:space="0" w:color="auto"/>
              <w:right w:val="single" w:sz="4" w:space="0" w:color="auto"/>
            </w:tcBorders>
          </w:tcPr>
          <w:p w:rsidR="003D5777" w:rsidRPr="003D5777" w:rsidRDefault="003D5777" w:rsidP="003D577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3D5777">
              <w:rPr>
                <w:rFonts w:eastAsia="SimSun"/>
                <w:bCs/>
                <w:lang w:val="fr-FR"/>
              </w:rPr>
              <w:t>France</w:t>
            </w:r>
          </w:p>
        </w:tc>
        <w:tc>
          <w:tcPr>
            <w:tcW w:w="4135" w:type="dxa"/>
            <w:tcBorders>
              <w:top w:val="single" w:sz="4" w:space="0" w:color="auto"/>
              <w:left w:val="single" w:sz="4" w:space="0" w:color="auto"/>
              <w:bottom w:val="single" w:sz="4" w:space="0" w:color="auto"/>
              <w:right w:val="single" w:sz="4" w:space="0" w:color="auto"/>
            </w:tcBorders>
          </w:tcPr>
          <w:p w:rsidR="003D5777" w:rsidRPr="003D5777" w:rsidRDefault="003D5777" w:rsidP="003D577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3D5777">
              <w:rPr>
                <w:rFonts w:eastAsia="SimSun"/>
                <w:lang w:val="en-US"/>
              </w:rPr>
              <w:t>+33</w:t>
            </w:r>
          </w:p>
        </w:tc>
      </w:tr>
      <w:tr w:rsidR="003D5777" w:rsidRPr="003D5777" w:rsidTr="003D5777">
        <w:trPr>
          <w:jc w:val="center"/>
        </w:trPr>
        <w:tc>
          <w:tcPr>
            <w:tcW w:w="4937" w:type="dxa"/>
            <w:tcBorders>
              <w:top w:val="single" w:sz="4" w:space="0" w:color="auto"/>
              <w:left w:val="single" w:sz="4" w:space="0" w:color="auto"/>
              <w:bottom w:val="single" w:sz="4" w:space="0" w:color="auto"/>
              <w:right w:val="single" w:sz="4" w:space="0" w:color="auto"/>
            </w:tcBorders>
          </w:tcPr>
          <w:p w:rsidR="003D5777" w:rsidRPr="003D5777" w:rsidRDefault="003D5777" w:rsidP="003D577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3D5777">
              <w:rPr>
                <w:rFonts w:eastAsia="SimSun"/>
                <w:bCs/>
                <w:lang w:val="fr-FR"/>
              </w:rPr>
              <w:t>Départements et territoires français de l'Océan indien</w:t>
            </w:r>
          </w:p>
        </w:tc>
        <w:tc>
          <w:tcPr>
            <w:tcW w:w="4135" w:type="dxa"/>
            <w:tcBorders>
              <w:top w:val="single" w:sz="4" w:space="0" w:color="auto"/>
              <w:left w:val="single" w:sz="4" w:space="0" w:color="auto"/>
              <w:bottom w:val="single" w:sz="4" w:space="0" w:color="auto"/>
              <w:right w:val="single" w:sz="4" w:space="0" w:color="auto"/>
            </w:tcBorders>
          </w:tcPr>
          <w:p w:rsidR="003D5777" w:rsidRPr="003D5777" w:rsidRDefault="003D5777" w:rsidP="003D577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3D5777">
              <w:rPr>
                <w:rFonts w:eastAsia="SimSun"/>
                <w:lang w:val="en-US"/>
              </w:rPr>
              <w:t>+262</w:t>
            </w:r>
          </w:p>
        </w:tc>
      </w:tr>
      <w:tr w:rsidR="003D5777" w:rsidRPr="003D5777" w:rsidTr="003D5777">
        <w:trPr>
          <w:jc w:val="center"/>
        </w:trPr>
        <w:tc>
          <w:tcPr>
            <w:tcW w:w="4937" w:type="dxa"/>
            <w:tcBorders>
              <w:top w:val="single" w:sz="4" w:space="0" w:color="auto"/>
              <w:left w:val="single" w:sz="4" w:space="0" w:color="auto"/>
              <w:bottom w:val="single" w:sz="4" w:space="0" w:color="auto"/>
              <w:right w:val="single" w:sz="4" w:space="0" w:color="auto"/>
            </w:tcBorders>
          </w:tcPr>
          <w:p w:rsidR="003D5777" w:rsidRPr="003D5777" w:rsidRDefault="003D5777" w:rsidP="003D577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3D5777">
              <w:rPr>
                <w:rFonts w:eastAsia="SimSun"/>
                <w:bCs/>
                <w:lang w:val="fr-FR"/>
              </w:rPr>
              <w:t>Guyane française</w:t>
            </w:r>
          </w:p>
        </w:tc>
        <w:tc>
          <w:tcPr>
            <w:tcW w:w="4135" w:type="dxa"/>
            <w:tcBorders>
              <w:top w:val="single" w:sz="4" w:space="0" w:color="auto"/>
              <w:left w:val="single" w:sz="4" w:space="0" w:color="auto"/>
              <w:bottom w:val="single" w:sz="4" w:space="0" w:color="auto"/>
              <w:right w:val="single" w:sz="4" w:space="0" w:color="auto"/>
            </w:tcBorders>
          </w:tcPr>
          <w:p w:rsidR="003D5777" w:rsidRPr="003D5777" w:rsidRDefault="003D5777" w:rsidP="003D577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3D5777">
              <w:rPr>
                <w:rFonts w:eastAsia="SimSun"/>
                <w:lang w:val="en-US"/>
              </w:rPr>
              <w:t>+594</w:t>
            </w:r>
          </w:p>
        </w:tc>
      </w:tr>
      <w:tr w:rsidR="003D5777" w:rsidRPr="003D5777" w:rsidTr="003D5777">
        <w:trPr>
          <w:jc w:val="center"/>
        </w:trPr>
        <w:tc>
          <w:tcPr>
            <w:tcW w:w="4937" w:type="dxa"/>
            <w:tcBorders>
              <w:top w:val="single" w:sz="4" w:space="0" w:color="auto"/>
              <w:left w:val="single" w:sz="4" w:space="0" w:color="auto"/>
              <w:bottom w:val="single" w:sz="4" w:space="0" w:color="auto"/>
              <w:right w:val="single" w:sz="4" w:space="0" w:color="auto"/>
            </w:tcBorders>
          </w:tcPr>
          <w:p w:rsidR="003D5777" w:rsidRPr="003D5777" w:rsidRDefault="003D5777" w:rsidP="003D5777">
            <w:pPr>
              <w:tabs>
                <w:tab w:val="clear" w:pos="567"/>
                <w:tab w:val="clear" w:pos="1276"/>
                <w:tab w:val="clear" w:pos="1843"/>
                <w:tab w:val="clear" w:pos="5387"/>
                <w:tab w:val="clear" w:pos="5954"/>
                <w:tab w:val="left" w:pos="1305"/>
              </w:tabs>
              <w:overflowPunct/>
              <w:spacing w:before="40" w:after="40"/>
              <w:jc w:val="left"/>
              <w:textAlignment w:val="auto"/>
              <w:rPr>
                <w:rFonts w:eastAsia="SimSun"/>
                <w:bCs/>
                <w:lang w:val="fr-FR"/>
              </w:rPr>
            </w:pPr>
            <w:r w:rsidRPr="003D5777">
              <w:rPr>
                <w:rFonts w:eastAsia="SimSun"/>
                <w:bCs/>
                <w:lang w:val="fr-FR"/>
              </w:rPr>
              <w:t>Guadeloupe</w:t>
            </w:r>
          </w:p>
        </w:tc>
        <w:tc>
          <w:tcPr>
            <w:tcW w:w="4135" w:type="dxa"/>
            <w:tcBorders>
              <w:top w:val="single" w:sz="4" w:space="0" w:color="auto"/>
              <w:left w:val="single" w:sz="4" w:space="0" w:color="auto"/>
              <w:bottom w:val="single" w:sz="4" w:space="0" w:color="auto"/>
              <w:right w:val="single" w:sz="4" w:space="0" w:color="auto"/>
            </w:tcBorders>
          </w:tcPr>
          <w:p w:rsidR="003D5777" w:rsidRPr="003D5777" w:rsidRDefault="003D5777" w:rsidP="003D577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3D5777">
              <w:rPr>
                <w:rFonts w:eastAsia="SimSun"/>
                <w:lang w:val="en-US"/>
              </w:rPr>
              <w:t>+590</w:t>
            </w:r>
          </w:p>
        </w:tc>
      </w:tr>
      <w:tr w:rsidR="003D5777" w:rsidRPr="003D5777" w:rsidTr="003D5777">
        <w:trPr>
          <w:jc w:val="center"/>
        </w:trPr>
        <w:tc>
          <w:tcPr>
            <w:tcW w:w="4937" w:type="dxa"/>
            <w:tcBorders>
              <w:top w:val="single" w:sz="4" w:space="0" w:color="auto"/>
              <w:left w:val="single" w:sz="4" w:space="0" w:color="auto"/>
              <w:bottom w:val="single" w:sz="4" w:space="0" w:color="auto"/>
              <w:right w:val="single" w:sz="4" w:space="0" w:color="auto"/>
            </w:tcBorders>
          </w:tcPr>
          <w:p w:rsidR="003D5777" w:rsidRPr="003D5777" w:rsidRDefault="003D5777" w:rsidP="003D577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3D5777">
              <w:rPr>
                <w:rFonts w:eastAsia="SimSun"/>
                <w:bCs/>
                <w:lang w:val="fr-FR"/>
              </w:rPr>
              <w:t>Martinique</w:t>
            </w:r>
          </w:p>
        </w:tc>
        <w:tc>
          <w:tcPr>
            <w:tcW w:w="4135" w:type="dxa"/>
            <w:tcBorders>
              <w:top w:val="single" w:sz="4" w:space="0" w:color="auto"/>
              <w:left w:val="single" w:sz="4" w:space="0" w:color="auto"/>
              <w:bottom w:val="single" w:sz="4" w:space="0" w:color="auto"/>
              <w:right w:val="single" w:sz="4" w:space="0" w:color="auto"/>
            </w:tcBorders>
          </w:tcPr>
          <w:p w:rsidR="003D5777" w:rsidRPr="003D5777" w:rsidRDefault="003D5777" w:rsidP="003D577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3D5777">
              <w:rPr>
                <w:rFonts w:eastAsia="SimSun"/>
                <w:lang w:val="en-US"/>
              </w:rPr>
              <w:t>+596</w:t>
            </w:r>
          </w:p>
        </w:tc>
      </w:tr>
      <w:tr w:rsidR="003D5777" w:rsidRPr="003D5777" w:rsidTr="003D5777">
        <w:trPr>
          <w:jc w:val="center"/>
        </w:trPr>
        <w:tc>
          <w:tcPr>
            <w:tcW w:w="4937" w:type="dxa"/>
            <w:tcBorders>
              <w:top w:val="single" w:sz="4" w:space="0" w:color="auto"/>
              <w:left w:val="single" w:sz="4" w:space="0" w:color="auto"/>
              <w:bottom w:val="single" w:sz="4" w:space="0" w:color="auto"/>
              <w:right w:val="single" w:sz="4" w:space="0" w:color="auto"/>
            </w:tcBorders>
          </w:tcPr>
          <w:p w:rsidR="003D5777" w:rsidRPr="003D5777" w:rsidRDefault="003D5777" w:rsidP="003D577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3D5777">
              <w:rPr>
                <w:rFonts w:eastAsia="SimSun"/>
                <w:bCs/>
                <w:lang w:val="fr-FR"/>
              </w:rPr>
              <w:t>Saint-Pierre-et-Miquelon</w:t>
            </w:r>
          </w:p>
        </w:tc>
        <w:tc>
          <w:tcPr>
            <w:tcW w:w="4135" w:type="dxa"/>
            <w:tcBorders>
              <w:top w:val="single" w:sz="4" w:space="0" w:color="auto"/>
              <w:left w:val="single" w:sz="4" w:space="0" w:color="auto"/>
              <w:bottom w:val="single" w:sz="4" w:space="0" w:color="auto"/>
              <w:right w:val="single" w:sz="4" w:space="0" w:color="auto"/>
            </w:tcBorders>
          </w:tcPr>
          <w:p w:rsidR="003D5777" w:rsidRPr="003D5777" w:rsidRDefault="003D5777" w:rsidP="003D577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3D5777">
              <w:rPr>
                <w:rFonts w:eastAsia="SimSun"/>
                <w:lang w:val="en-US"/>
              </w:rPr>
              <w:t>+508</w:t>
            </w:r>
          </w:p>
        </w:tc>
      </w:tr>
      <w:tr w:rsidR="003D5777" w:rsidRPr="003D5777" w:rsidTr="003D5777">
        <w:trPr>
          <w:jc w:val="center"/>
        </w:trPr>
        <w:tc>
          <w:tcPr>
            <w:tcW w:w="4937" w:type="dxa"/>
            <w:tcBorders>
              <w:top w:val="single" w:sz="4" w:space="0" w:color="auto"/>
              <w:left w:val="single" w:sz="4" w:space="0" w:color="auto"/>
              <w:bottom w:val="single" w:sz="4" w:space="0" w:color="auto"/>
              <w:right w:val="single" w:sz="4" w:space="0" w:color="auto"/>
            </w:tcBorders>
          </w:tcPr>
          <w:p w:rsidR="003D5777" w:rsidRPr="003D5777" w:rsidRDefault="003D5777" w:rsidP="003D577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3D5777">
              <w:rPr>
                <w:rFonts w:eastAsia="SimSun"/>
                <w:bCs/>
                <w:lang w:val="fr-FR"/>
              </w:rPr>
              <w:t>Luxembourg</w:t>
            </w:r>
          </w:p>
        </w:tc>
        <w:tc>
          <w:tcPr>
            <w:tcW w:w="4135" w:type="dxa"/>
            <w:tcBorders>
              <w:top w:val="single" w:sz="4" w:space="0" w:color="auto"/>
              <w:left w:val="single" w:sz="4" w:space="0" w:color="auto"/>
              <w:bottom w:val="single" w:sz="4" w:space="0" w:color="auto"/>
              <w:right w:val="single" w:sz="4" w:space="0" w:color="auto"/>
            </w:tcBorders>
          </w:tcPr>
          <w:p w:rsidR="003D5777" w:rsidRPr="003D5777" w:rsidRDefault="003D5777" w:rsidP="003D577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3D5777">
              <w:rPr>
                <w:rFonts w:eastAsia="SimSun"/>
                <w:lang w:val="en-US"/>
              </w:rPr>
              <w:t>+352</w:t>
            </w:r>
          </w:p>
        </w:tc>
      </w:tr>
    </w:tbl>
    <w:p w:rsidR="003D5777" w:rsidRPr="003D5777" w:rsidRDefault="003D5777" w:rsidP="003D5777">
      <w:pPr>
        <w:rPr>
          <w:rFonts w:eastAsia="SimSun"/>
          <w:lang w:val="fr-FR"/>
        </w:rPr>
      </w:pPr>
    </w:p>
    <w:p w:rsidR="00FA6B8C" w:rsidRPr="003D5777" w:rsidRDefault="00FA6B8C" w:rsidP="003D5777">
      <w:pPr>
        <w:rPr>
          <w:lang w:val="es-ES"/>
        </w:rPr>
      </w:pPr>
    </w:p>
    <w:sectPr w:rsidR="00FA6B8C" w:rsidRPr="003D5777" w:rsidSect="002F3F55">
      <w:headerReference w:type="even" r:id="rId11"/>
      <w:footerReference w:type="even" r:id="rId12"/>
      <w:footerReference w:type="default" r:id="rId13"/>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9DC" w:rsidRDefault="004959DC">
      <w:r>
        <w:separator/>
      </w:r>
    </w:p>
  </w:endnote>
  <w:endnote w:type="continuationSeparator" w:id="0">
    <w:p w:rsidR="004959DC" w:rsidRDefault="0049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959DC" w:rsidRPr="007F091C" w:rsidTr="008149B6">
      <w:trPr>
        <w:cantSplit/>
        <w:trHeight w:val="900"/>
      </w:trPr>
      <w:tc>
        <w:tcPr>
          <w:tcW w:w="8147" w:type="dxa"/>
          <w:tcBorders>
            <w:top w:val="nil"/>
            <w:bottom w:val="nil"/>
          </w:tcBorders>
          <w:shd w:val="clear" w:color="auto" w:fill="FFFFFF"/>
          <w:vAlign w:val="center"/>
        </w:tcPr>
        <w:p w:rsidR="004959DC" w:rsidRDefault="004959D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959DC" w:rsidRPr="007F091C" w:rsidRDefault="004959DC"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959DC" w:rsidRDefault="004959DC"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959DC" w:rsidRPr="007F091C" w:rsidTr="002D135B">
      <w:trPr>
        <w:cantSplit/>
        <w:jc w:val="center"/>
      </w:trPr>
      <w:tc>
        <w:tcPr>
          <w:tcW w:w="1761" w:type="dxa"/>
          <w:shd w:val="clear" w:color="auto" w:fill="4C4C4C"/>
        </w:tcPr>
        <w:p w:rsidR="004959DC" w:rsidRPr="007F091C" w:rsidRDefault="004959DC"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B3A02">
            <w:rPr>
              <w:noProof/>
              <w:color w:val="FFFFFF"/>
              <w:lang w:val="es-ES_tradnl"/>
            </w:rPr>
            <w:t>1138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B3A02">
            <w:rPr>
              <w:noProof/>
              <w:color w:val="FFFFFF"/>
              <w:lang w:val="en-US"/>
            </w:rPr>
            <w:t>12</w:t>
          </w:r>
          <w:r w:rsidRPr="007F091C">
            <w:rPr>
              <w:color w:val="FFFFFF"/>
              <w:lang w:val="en-US"/>
            </w:rPr>
            <w:fldChar w:fldCharType="end"/>
          </w:r>
        </w:p>
      </w:tc>
      <w:tc>
        <w:tcPr>
          <w:tcW w:w="7292" w:type="dxa"/>
          <w:shd w:val="clear" w:color="auto" w:fill="A6A6A6"/>
        </w:tcPr>
        <w:p w:rsidR="004959DC" w:rsidRPr="007F091C" w:rsidRDefault="004959DC"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4959DC" w:rsidRDefault="004959DC"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959DC" w:rsidRPr="007F091C" w:rsidTr="002D135B">
      <w:trPr>
        <w:cantSplit/>
        <w:jc w:val="right"/>
      </w:trPr>
      <w:tc>
        <w:tcPr>
          <w:tcW w:w="7378" w:type="dxa"/>
          <w:shd w:val="clear" w:color="auto" w:fill="A6A6A6"/>
        </w:tcPr>
        <w:p w:rsidR="004959DC" w:rsidRPr="007F091C" w:rsidRDefault="004959DC"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959DC" w:rsidRPr="007F091C" w:rsidRDefault="004959DC"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B3A02">
            <w:rPr>
              <w:noProof/>
              <w:color w:val="FFFFFF"/>
              <w:lang w:val="es-ES_tradnl"/>
            </w:rPr>
            <w:t>1138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B3A02">
            <w:rPr>
              <w:noProof/>
              <w:color w:val="FFFFFF"/>
              <w:lang w:val="en-US"/>
            </w:rPr>
            <w:t>11</w:t>
          </w:r>
          <w:r w:rsidRPr="007F091C">
            <w:rPr>
              <w:color w:val="FFFFFF"/>
              <w:lang w:val="en-US"/>
            </w:rPr>
            <w:fldChar w:fldCharType="end"/>
          </w:r>
          <w:r w:rsidRPr="007F091C">
            <w:rPr>
              <w:color w:val="FFFFFF"/>
              <w:lang w:val="es-ES_tradnl"/>
            </w:rPr>
            <w:t>  </w:t>
          </w:r>
        </w:p>
      </w:tc>
    </w:tr>
  </w:tbl>
  <w:p w:rsidR="004959DC" w:rsidRPr="009D4941" w:rsidRDefault="004959DC"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9DC" w:rsidRDefault="004959DC">
      <w:r>
        <w:separator/>
      </w:r>
    </w:p>
  </w:footnote>
  <w:footnote w:type="continuationSeparator" w:id="0">
    <w:p w:rsidR="004959DC" w:rsidRDefault="00495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9DC" w:rsidRPr="00580107" w:rsidRDefault="004959DC"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C26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2F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AAC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F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A7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06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32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8D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60A2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8"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1"/>
  </w:num>
  <w:num w:numId="3">
    <w:abstractNumId w:val="14"/>
  </w:num>
  <w:num w:numId="4">
    <w:abstractNumId w:val="11"/>
  </w:num>
  <w:num w:numId="5">
    <w:abstractNumId w:val="6"/>
  </w:num>
  <w:num w:numId="6">
    <w:abstractNumId w:val="20"/>
  </w:num>
  <w:num w:numId="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24"/>
  </w:num>
  <w:num w:numId="9">
    <w:abstractNumId w:val="16"/>
  </w:num>
  <w:num w:numId="10">
    <w:abstractNumId w:val="23"/>
  </w:num>
  <w:num w:numId="11">
    <w:abstractNumId w:val="26"/>
  </w:num>
  <w:num w:numId="12">
    <w:abstractNumId w:val="19"/>
  </w:num>
  <w:num w:numId="13">
    <w:abstractNumId w:val="15"/>
  </w:num>
  <w:num w:numId="14">
    <w:abstractNumId w:val="22"/>
  </w:num>
  <w:num w:numId="15">
    <w:abstractNumId w:val="13"/>
  </w:num>
  <w:num w:numId="16">
    <w:abstractNumId w:val="25"/>
  </w:num>
  <w:num w:numId="17">
    <w:abstractNumId w:val="7"/>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26">
    <w:abstractNumId w:val="17"/>
  </w:num>
  <w:num w:numId="27">
    <w:abstractNumId w:val="9"/>
  </w:num>
  <w:num w:numId="28">
    <w:abstractNumId w:val="21"/>
  </w:num>
  <w:num w:numId="29">
    <w:abstractNumId w:val="14"/>
  </w:num>
  <w:num w:numId="3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38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6C82"/>
    <w:rsid w:val="001970D2"/>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76"/>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44"/>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43B"/>
    <w:rsid w:val="00374AC3"/>
    <w:rsid w:val="003752F0"/>
    <w:rsid w:val="00375B2A"/>
    <w:rsid w:val="00375B9D"/>
    <w:rsid w:val="00375E3A"/>
    <w:rsid w:val="003767D6"/>
    <w:rsid w:val="00376F3E"/>
    <w:rsid w:val="00377968"/>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9F3"/>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5D0"/>
    <w:rsid w:val="00686710"/>
    <w:rsid w:val="00687035"/>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27A"/>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57C"/>
    <w:rsid w:val="009315F5"/>
    <w:rsid w:val="009318FA"/>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BB"/>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400"/>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09CE"/>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C33"/>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9E5"/>
    <w:rsid w:val="00B75A9E"/>
    <w:rsid w:val="00B75B1D"/>
    <w:rsid w:val="00B76AA5"/>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19C"/>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BA4"/>
    <w:rsid w:val="00D76D2F"/>
    <w:rsid w:val="00D76E64"/>
    <w:rsid w:val="00D76F00"/>
    <w:rsid w:val="00D76F01"/>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5311"/>
    <w:rsid w:val="00DD5A7D"/>
    <w:rsid w:val="00DD5BD5"/>
    <w:rsid w:val="00DD5D87"/>
    <w:rsid w:val="00DD619B"/>
    <w:rsid w:val="00DD62F9"/>
    <w:rsid w:val="00DD63D7"/>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58C"/>
    <w:rsid w:val="00E878CA"/>
    <w:rsid w:val="00E87E3E"/>
    <w:rsid w:val="00E87ED5"/>
    <w:rsid w:val="00E87F58"/>
    <w:rsid w:val="00E9015A"/>
    <w:rsid w:val="00E90871"/>
    <w:rsid w:val="00E90939"/>
    <w:rsid w:val="00E90E97"/>
    <w:rsid w:val="00E91426"/>
    <w:rsid w:val="00E9192C"/>
    <w:rsid w:val="00E920BF"/>
    <w:rsid w:val="00E92292"/>
    <w:rsid w:val="00E924F4"/>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D82"/>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uiPriority w:val="99"/>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uiPriority w:val="99"/>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99"/>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99"/>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99"/>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uiPriority w:val="99"/>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uiPriority w:val="99"/>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uiPriority w:val="99"/>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uiPriority w:val="99"/>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uiPriority w:val="99"/>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uiPriority w:val="99"/>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uiPriority w:val="99"/>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uiPriority w:val="99"/>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spangenberg@bnetza.de" TargetMode="External"/><Relationship Id="rId4" Type="http://schemas.openxmlformats.org/officeDocument/2006/relationships/settings" Target="settings.xml"/><Relationship Id="rId9" Type="http://schemas.openxmlformats.org/officeDocument/2006/relationships/hyperlink" Target="mailto:info@tatt.org.t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290F-1016-4224-A067-FC727F1E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5359</TotalTime>
  <Pages>12</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19005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232</cp:revision>
  <cp:lastPrinted>2018-01-29T08:06:00Z</cp:lastPrinted>
  <dcterms:created xsi:type="dcterms:W3CDTF">2017-04-04T14:31:00Z</dcterms:created>
  <dcterms:modified xsi:type="dcterms:W3CDTF">2018-01-29T08:18:00Z</dcterms:modified>
</cp:coreProperties>
</file>