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8D142F" w:rsidTr="0035579D">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35579D">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8D142F" w:rsidTr="0035579D">
        <w:tc>
          <w:tcPr>
            <w:tcW w:w="1507" w:type="dxa"/>
            <w:tcBorders>
              <w:top w:val="nil"/>
              <w:left w:val="single" w:sz="8" w:space="0" w:color="333333"/>
              <w:bottom w:val="nil"/>
            </w:tcBorders>
            <w:shd w:val="clear" w:color="auto" w:fill="4C4C4C"/>
            <w:vAlign w:val="center"/>
          </w:tcPr>
          <w:p w:rsidR="00BF6D6B" w:rsidRPr="00F462DE" w:rsidRDefault="00BF6D6B" w:rsidP="00BF6D6B">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1079</w:t>
            </w:r>
          </w:p>
        </w:tc>
        <w:tc>
          <w:tcPr>
            <w:tcW w:w="1359" w:type="dxa"/>
            <w:tcBorders>
              <w:top w:val="nil"/>
              <w:bottom w:val="nil"/>
            </w:tcBorders>
            <w:shd w:val="clear" w:color="auto" w:fill="A6A6A6"/>
            <w:vAlign w:val="center"/>
          </w:tcPr>
          <w:p w:rsidR="00BF6D6B" w:rsidRPr="004E21DC" w:rsidRDefault="00BF6D6B" w:rsidP="00BF6D6B">
            <w:pPr>
              <w:framePr w:hSpace="181" w:wrap="around" w:vAnchor="text" w:hAnchor="margin" w:xAlign="center" w:y="1"/>
              <w:jc w:val="left"/>
              <w:rPr>
                <w:rFonts w:ascii="Arial" w:hAnsi="Arial" w:cs="Arial"/>
                <w:color w:val="FFFFFF"/>
                <w:lang w:val="fr-FR"/>
              </w:rPr>
            </w:pPr>
            <w:proofErr w:type="gramStart"/>
            <w:r>
              <w:rPr>
                <w:color w:val="FFFFFF"/>
                <w:lang w:val="fr-FR"/>
              </w:rPr>
              <w:t>1.V</w:t>
            </w:r>
            <w:r w:rsidR="00201AE8">
              <w:rPr>
                <w:color w:val="FFFFFF"/>
                <w:lang w:val="fr-FR"/>
              </w:rPr>
              <w:t>I</w:t>
            </w:r>
            <w:r>
              <w:rPr>
                <w:color w:val="FFFFFF"/>
                <w:lang w:val="fr-FR"/>
              </w:rPr>
              <w:t>I.</w:t>
            </w:r>
            <w:r w:rsidR="00201AE8">
              <w:rPr>
                <w:color w:val="FFFFFF"/>
                <w:lang w:val="fr-FR"/>
              </w:rPr>
              <w:t>I</w:t>
            </w:r>
            <w:r w:rsidRPr="004E21DC">
              <w:rPr>
                <w:color w:val="FFFFFF"/>
                <w:lang w:val="fr-FR"/>
              </w:rPr>
              <w:t>201</w:t>
            </w:r>
            <w:r>
              <w:rPr>
                <w:color w:val="FFFFFF"/>
                <w:lang w:val="fr-FR"/>
              </w:rPr>
              <w:t>5</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201AE8">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Pr="002D135B">
              <w:rPr>
                <w:color w:val="FFFFFF"/>
                <w:lang w:val="fr-FR"/>
              </w:rPr>
              <w:t>17.</w:t>
            </w:r>
            <w:r>
              <w:rPr>
                <w:color w:val="FFFFFF"/>
                <w:lang w:val="fr-FR"/>
              </w:rPr>
              <w:t>jui</w:t>
            </w:r>
            <w:r w:rsidR="00201AE8">
              <w:rPr>
                <w:color w:val="FFFFFF"/>
                <w:lang w:val="fr-FR"/>
              </w:rPr>
              <w:t>n</w:t>
            </w:r>
            <w:r>
              <w:rPr>
                <w:color w:val="FFFFFF"/>
                <w:lang w:val="fr-FR"/>
              </w:rPr>
              <w:t xml:space="preserve">  2015</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Pr>
                <w:color w:val="FFFFFF"/>
                <w:spacing w:val="-4"/>
                <w:lang w:val="fr-CH"/>
              </w:rPr>
              <w:t>23</w:t>
            </w:r>
            <w:r w:rsidRPr="00971874">
              <w:rPr>
                <w:color w:val="FFFFFF"/>
                <w:spacing w:val="-4"/>
                <w:lang w:val="fr-CH"/>
              </w:rPr>
              <w:t xml:space="preserve"> (En ligne)</w:t>
            </w:r>
          </w:p>
        </w:tc>
      </w:tr>
      <w:tr w:rsidR="00BF6D6B" w:rsidRPr="008D142F" w:rsidTr="0035579D">
        <w:tc>
          <w:tcPr>
            <w:tcW w:w="2866" w:type="dxa"/>
            <w:gridSpan w:val="2"/>
            <w:tcBorders>
              <w:top w:val="nil"/>
              <w:left w:val="single" w:sz="8" w:space="0" w:color="333333"/>
              <w:bottom w:val="single" w:sz="8" w:space="0" w:color="333333"/>
            </w:tcBorders>
            <w:shd w:val="clear" w:color="auto" w:fill="auto"/>
          </w:tcPr>
          <w:p w:rsidR="00BF6D6B" w:rsidRPr="004E21DC" w:rsidRDefault="00BF6D6B" w:rsidP="0035579D">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r w:rsidRPr="004E21DC">
              <w:rPr>
                <w:rFonts w:ascii="Calibri" w:hAnsi="Calibri"/>
                <w:b w:val="0"/>
                <w:bCs/>
                <w:sz w:val="14"/>
                <w:szCs w:val="14"/>
                <w:lang w:val="fr-FR"/>
              </w:rPr>
              <w:t xml:space="preserve"> </w:t>
            </w:r>
          </w:p>
          <w:p w:rsidR="00BF6D6B" w:rsidRPr="004E21DC" w:rsidRDefault="00BF6D6B" w:rsidP="0035579D">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hyperlink r:id="rId8" w:history="1">
              <w:r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BF6D6B" w:rsidRPr="004E21DC" w:rsidRDefault="00BF6D6B" w:rsidP="0035579D">
            <w:pPr>
              <w:keepNext/>
              <w:framePr w:hSpace="181" w:wrap="around" w:vAnchor="text" w:hAnchor="margin" w:xAlign="center" w:y="1"/>
              <w:spacing w:before="80" w:after="80"/>
              <w:jc w:val="left"/>
              <w:outlineLvl w:val="0"/>
              <w:rPr>
                <w:color w:val="FFFFFF"/>
                <w:lang w:val="fr-FR"/>
              </w:rPr>
            </w:pPr>
            <w:bookmarkStart w:id="2" w:name="_Toc419901106"/>
            <w:bookmarkStart w:id="3" w:name="_Toc423525450"/>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Pr="004E21DC">
                <w:rPr>
                  <w:rStyle w:val="Hyperlink"/>
                  <w:b/>
                  <w:bCs/>
                  <w:color w:val="auto"/>
                  <w:sz w:val="14"/>
                  <w:szCs w:val="14"/>
                  <w:lang w:val="fr-FR"/>
                </w:rPr>
                <w:t>tsbmail@itu.int</w:t>
              </w:r>
            </w:hyperlink>
            <w:r w:rsidRPr="004E21DC">
              <w:rPr>
                <w:b/>
                <w:bCs/>
                <w:sz w:val="14"/>
                <w:szCs w:val="14"/>
                <w:lang w:val="fr-FR"/>
              </w:rPr>
              <w:t xml:space="preserve"> / </w:t>
            </w:r>
            <w:hyperlink r:id="rId10" w:history="1">
              <w:r w:rsidRPr="00FD0981">
                <w:rPr>
                  <w:rStyle w:val="Hyperlink"/>
                  <w:rFonts w:eastAsia="SimSun" w:cs="Arial"/>
                  <w:b/>
                  <w:bCs/>
                  <w:sz w:val="14"/>
                  <w:szCs w:val="14"/>
                  <w:lang w:val="fr-FR" w:eastAsia="zh-CN"/>
                </w:rPr>
                <w:t>tsbtson@itu.int</w:t>
              </w:r>
              <w:bookmarkEnd w:id="2"/>
              <w:bookmarkEnd w:id="3"/>
            </w:hyperlink>
          </w:p>
        </w:tc>
        <w:tc>
          <w:tcPr>
            <w:tcW w:w="2508" w:type="dxa"/>
            <w:tcBorders>
              <w:top w:val="nil"/>
              <w:bottom w:val="single" w:sz="8" w:space="0" w:color="333333"/>
              <w:right w:val="single" w:sz="8" w:space="0" w:color="333333"/>
            </w:tcBorders>
            <w:shd w:val="clear" w:color="auto" w:fill="auto"/>
          </w:tcPr>
          <w:p w:rsidR="00BF6D6B" w:rsidRPr="004E21DC" w:rsidRDefault="00BF6D6B" w:rsidP="0035579D">
            <w:pPr>
              <w:keepNext/>
              <w:framePr w:hSpace="181" w:wrap="around" w:vAnchor="text" w:hAnchor="margin" w:xAlign="center" w:y="1"/>
              <w:spacing w:before="80"/>
              <w:jc w:val="left"/>
              <w:outlineLvl w:val="0"/>
              <w:rPr>
                <w:b/>
                <w:bCs/>
                <w:sz w:val="14"/>
                <w:szCs w:val="14"/>
                <w:lang w:val="fr-FR"/>
              </w:rPr>
            </w:pPr>
            <w:bookmarkStart w:id="4" w:name="_Toc419901107"/>
            <w:bookmarkStart w:id="5" w:name="_Toc423525451"/>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Pr="00655049">
                <w:rPr>
                  <w:rStyle w:val="Hyperlink"/>
                  <w:b/>
                  <w:bCs/>
                  <w:sz w:val="14"/>
                  <w:szCs w:val="14"/>
                  <w:lang w:val="fr-FR"/>
                </w:rPr>
                <w:t>brmail@itu.int</w:t>
              </w:r>
              <w:bookmarkEnd w:id="4"/>
              <w:bookmarkEnd w:id="5"/>
            </w:hyperlink>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12"/>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BF6D6B">
      <w:pPr>
        <w:keepNext/>
        <w:spacing w:before="240" w:after="60"/>
        <w:ind w:left="142"/>
        <w:jc w:val="center"/>
        <w:outlineLvl w:val="0"/>
        <w:rPr>
          <w:rFonts w:ascii="Arial" w:hAnsi="Arial" w:cs="Arial"/>
          <w:b/>
          <w:bCs/>
          <w:kern w:val="32"/>
          <w:sz w:val="32"/>
          <w:szCs w:val="32"/>
          <w:lang w:val="fr-FR"/>
        </w:rPr>
      </w:pPr>
      <w:bookmarkStart w:id="6" w:name="_Toc419901108"/>
      <w:bookmarkStart w:id="7" w:name="_Toc423525452"/>
      <w:r w:rsidRPr="00A61AFB">
        <w:rPr>
          <w:rFonts w:ascii="Arial" w:hAnsi="Arial" w:cs="Arial"/>
          <w:b/>
          <w:bCs/>
          <w:kern w:val="32"/>
          <w:sz w:val="32"/>
          <w:szCs w:val="32"/>
          <w:lang w:val="fr-FR"/>
        </w:rPr>
        <w:lastRenderedPageBreak/>
        <w:t>Table des matières</w:t>
      </w:r>
      <w:bookmarkEnd w:id="6"/>
      <w:bookmarkEnd w:id="7"/>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B14506" w:rsidRPr="00215FB9" w:rsidRDefault="00B14506" w:rsidP="00B14506">
      <w:pPr>
        <w:pStyle w:val="TOC1"/>
        <w:tabs>
          <w:tab w:val="clear" w:pos="567"/>
          <w:tab w:val="center" w:leader="dot" w:pos="8505"/>
        </w:tabs>
        <w:spacing w:after="0"/>
        <w:ind w:left="680" w:right="851" w:hanging="680"/>
        <w:rPr>
          <w:b/>
          <w:bCs/>
        </w:rPr>
      </w:pPr>
      <w:r w:rsidRPr="00215FB9">
        <w:rPr>
          <w:b/>
          <w:bCs/>
        </w:rPr>
        <w:t>Informatio</w:t>
      </w:r>
      <w:r>
        <w:rPr>
          <w:b/>
          <w:bCs/>
        </w:rPr>
        <w:t xml:space="preserve"> </w:t>
      </w:r>
      <w:r w:rsidRPr="00215FB9">
        <w:rPr>
          <w:b/>
          <w:bCs/>
        </w:rPr>
        <w:t>générale</w:t>
      </w:r>
    </w:p>
    <w:p w:rsidR="00B14506" w:rsidRPr="00B14506" w:rsidRDefault="00B14506" w:rsidP="00201AE8">
      <w:pPr>
        <w:pStyle w:val="TOC1"/>
        <w:tabs>
          <w:tab w:val="clear" w:pos="567"/>
          <w:tab w:val="center" w:leader="dot" w:pos="8505"/>
        </w:tabs>
        <w:spacing w:after="0"/>
        <w:ind w:left="680" w:right="851" w:hanging="680"/>
        <w:rPr>
          <w:rFonts w:eastAsiaTheme="minorEastAsia"/>
          <w:lang w:val="fr-CH"/>
        </w:rPr>
      </w:pPr>
      <w:r w:rsidRPr="00B14506">
        <w:t xml:space="preserve">Listes </w:t>
      </w:r>
      <w:r w:rsidRPr="00B14506">
        <w:rPr>
          <w:rFonts w:eastAsiaTheme="minorEastAsia"/>
          <w:lang w:val="fr-CH"/>
        </w:rPr>
        <w:t>annexées</w:t>
      </w:r>
      <w:r w:rsidRPr="00B14506">
        <w:t xml:space="preserve"> au Bulletin d'exploitation de l'UIT</w:t>
      </w:r>
      <w:r w:rsidR="00201AE8">
        <w:t xml:space="preserve">: </w:t>
      </w:r>
      <w:r w:rsidR="00201AE8" w:rsidRPr="00201AE8">
        <w:rPr>
          <w:i/>
          <w:iCs/>
        </w:rPr>
        <w:t>Note du TSB</w:t>
      </w:r>
      <w:r w:rsidRPr="00B14506">
        <w:rPr>
          <w:webHidden/>
          <w:lang w:val="fr-CH"/>
        </w:rPr>
        <w:tab/>
      </w:r>
      <w:r>
        <w:rPr>
          <w:webHidden/>
          <w:lang w:val="fr-CH"/>
        </w:rPr>
        <w:tab/>
      </w:r>
      <w:r w:rsidR="00201AE8">
        <w:rPr>
          <w:webHidden/>
          <w:lang w:val="fr-CH"/>
        </w:rPr>
        <w:t>3</w:t>
      </w:r>
    </w:p>
    <w:p w:rsidR="00B14506" w:rsidRPr="00B14506" w:rsidRDefault="00B14506" w:rsidP="00201AE8">
      <w:pPr>
        <w:pStyle w:val="TOC1"/>
        <w:tabs>
          <w:tab w:val="clear" w:pos="567"/>
          <w:tab w:val="center" w:leader="dot" w:pos="8505"/>
        </w:tabs>
        <w:spacing w:after="0"/>
        <w:ind w:left="680" w:right="851" w:hanging="680"/>
        <w:rPr>
          <w:rFonts w:eastAsiaTheme="minorEastAsia"/>
          <w:lang w:val="fr-CH"/>
        </w:rPr>
      </w:pPr>
      <w:r w:rsidRPr="00B14506">
        <w:rPr>
          <w:rFonts w:eastAsiaTheme="minorEastAsia"/>
          <w:lang w:val="fr-CH"/>
        </w:rPr>
        <w:t>Approbation</w:t>
      </w:r>
      <w:r w:rsidRPr="00B14506">
        <w:t xml:space="preserve"> de Recommandations UIT-T</w:t>
      </w:r>
      <w:r w:rsidRPr="00B14506">
        <w:rPr>
          <w:webHidden/>
          <w:lang w:val="fr-CH"/>
        </w:rPr>
        <w:tab/>
      </w:r>
      <w:r>
        <w:rPr>
          <w:webHidden/>
          <w:lang w:val="fr-CH"/>
        </w:rPr>
        <w:tab/>
      </w:r>
      <w:r w:rsidR="00201AE8">
        <w:rPr>
          <w:webHidden/>
          <w:lang w:val="fr-CH"/>
        </w:rPr>
        <w:t>4</w:t>
      </w:r>
    </w:p>
    <w:p w:rsidR="00B14506" w:rsidRPr="00B14506" w:rsidRDefault="00B14506" w:rsidP="008D142F">
      <w:pPr>
        <w:pStyle w:val="TOC1"/>
        <w:tabs>
          <w:tab w:val="clear" w:pos="567"/>
          <w:tab w:val="center" w:leader="dot" w:pos="8505"/>
        </w:tabs>
        <w:spacing w:after="0"/>
        <w:ind w:left="397" w:right="851" w:hanging="397"/>
        <w:rPr>
          <w:rFonts w:eastAsiaTheme="minorEastAsia"/>
          <w:lang w:val="fr-CH"/>
        </w:rPr>
      </w:pPr>
      <w:r w:rsidRPr="00B14506">
        <w:rPr>
          <w:lang w:val="fr-CH"/>
        </w:rPr>
        <w:t>Plan de numérotage des télécommunications publiques internationales (Recommandation UIT-T E.164</w:t>
      </w:r>
      <w:bookmarkStart w:id="8" w:name="_GoBack"/>
      <w:bookmarkEnd w:id="8"/>
      <w:r w:rsidRPr="00B14506">
        <w:rPr>
          <w:lang w:val="fr-CH"/>
        </w:rPr>
        <w:t xml:space="preserve"> (11/2010))</w:t>
      </w:r>
      <w:r w:rsidR="00201AE8">
        <w:rPr>
          <w:lang w:val="fr-CH"/>
        </w:rPr>
        <w:t xml:space="preserve">: </w:t>
      </w:r>
      <w:r w:rsidR="00201AE8">
        <w:rPr>
          <w:i/>
          <w:iCs/>
        </w:rPr>
        <w:t>Codes d'identification des réseaux internationaux</w:t>
      </w:r>
      <w:r w:rsidRPr="00B14506">
        <w:rPr>
          <w:webHidden/>
          <w:lang w:val="fr-CH"/>
        </w:rPr>
        <w:tab/>
      </w:r>
      <w:r>
        <w:rPr>
          <w:webHidden/>
          <w:lang w:val="fr-CH"/>
        </w:rPr>
        <w:tab/>
      </w:r>
      <w:r w:rsidR="00201AE8">
        <w:rPr>
          <w:webHidden/>
          <w:lang w:val="fr-CH"/>
        </w:rPr>
        <w:t>4</w:t>
      </w:r>
    </w:p>
    <w:p w:rsidR="00B14506" w:rsidRPr="00B14506" w:rsidRDefault="00B14506" w:rsidP="008D142F">
      <w:pPr>
        <w:pStyle w:val="TOC1"/>
        <w:tabs>
          <w:tab w:val="clear" w:pos="567"/>
          <w:tab w:val="center" w:leader="dot" w:pos="8505"/>
        </w:tabs>
        <w:spacing w:after="0"/>
        <w:ind w:left="397" w:right="851" w:hanging="397"/>
        <w:rPr>
          <w:rFonts w:eastAsiaTheme="minorEastAsia"/>
          <w:lang w:val="fr-CH"/>
        </w:rPr>
      </w:pPr>
      <w:r w:rsidRPr="00B14506">
        <w:rPr>
          <w:lang w:val="fr-CH"/>
        </w:rPr>
        <w:t xml:space="preserve">Plan </w:t>
      </w:r>
      <w:r w:rsidRPr="00B14506">
        <w:rPr>
          <w:rFonts w:eastAsiaTheme="minorEastAsia"/>
          <w:lang w:val="fr-CH"/>
        </w:rPr>
        <w:t>d’identification</w:t>
      </w:r>
      <w:r w:rsidRPr="00B14506">
        <w:rPr>
          <w:lang w:val="fr-CH"/>
        </w:rPr>
        <w:t xml:space="preserve"> international pour les réseaux publics et les abonnements (Recommandation UIT-T E.212 (05/2008))</w:t>
      </w:r>
      <w:r w:rsidR="00201AE8">
        <w:rPr>
          <w:lang w:val="fr-CH"/>
        </w:rPr>
        <w:t xml:space="preserve">: </w:t>
      </w:r>
      <w:r w:rsidR="00201AE8">
        <w:rPr>
          <w:i/>
          <w:iCs/>
        </w:rPr>
        <w:t>Codes d'identification des systèmes mobiles internationaux</w:t>
      </w:r>
      <w:r w:rsidRPr="00B14506">
        <w:rPr>
          <w:webHidden/>
          <w:lang w:val="fr-CH"/>
        </w:rPr>
        <w:tab/>
      </w:r>
      <w:r>
        <w:rPr>
          <w:webHidden/>
          <w:lang w:val="fr-CH"/>
        </w:rPr>
        <w:tab/>
      </w:r>
      <w:r w:rsidR="00201AE8">
        <w:rPr>
          <w:webHidden/>
          <w:lang w:val="fr-CH"/>
        </w:rPr>
        <w:t>5</w:t>
      </w:r>
    </w:p>
    <w:p w:rsidR="00B14506" w:rsidRPr="00201AE8" w:rsidRDefault="00B14506" w:rsidP="004F5E3E">
      <w:pPr>
        <w:pStyle w:val="TOC1"/>
        <w:tabs>
          <w:tab w:val="clear" w:pos="567"/>
          <w:tab w:val="center" w:leader="dot" w:pos="8505"/>
        </w:tabs>
        <w:spacing w:after="0"/>
        <w:ind w:left="680" w:right="851" w:hanging="680"/>
        <w:rPr>
          <w:rFonts w:eastAsiaTheme="minorEastAsia"/>
          <w:lang w:val="en-US"/>
        </w:rPr>
      </w:pPr>
      <w:r w:rsidRPr="00201AE8">
        <w:rPr>
          <w:lang w:val="en-US"/>
        </w:rPr>
        <w:t xml:space="preserve">Service </w:t>
      </w:r>
      <w:r w:rsidRPr="00201AE8">
        <w:rPr>
          <w:rFonts w:eastAsiaTheme="minorEastAsia"/>
          <w:lang w:val="en-US"/>
        </w:rPr>
        <w:t>téléphonique</w:t>
      </w:r>
      <w:r w:rsidR="004F5E3E" w:rsidRPr="00201AE8">
        <w:rPr>
          <w:lang w:val="en-US"/>
        </w:rPr>
        <w:t>:</w:t>
      </w:r>
    </w:p>
    <w:p w:rsidR="004F5E3E" w:rsidRPr="004F5E3E" w:rsidRDefault="004F5E3E" w:rsidP="00201AE8">
      <w:pPr>
        <w:tabs>
          <w:tab w:val="clear" w:pos="567"/>
          <w:tab w:val="clear" w:pos="1276"/>
          <w:tab w:val="clear" w:pos="1843"/>
          <w:tab w:val="clear" w:pos="5387"/>
          <w:tab w:val="clear" w:pos="5954"/>
          <w:tab w:val="left" w:pos="448"/>
          <w:tab w:val="center" w:leader="dot" w:pos="8505"/>
          <w:tab w:val="right" w:pos="9072"/>
        </w:tabs>
        <w:spacing w:before="0"/>
        <w:jc w:val="left"/>
        <w:rPr>
          <w:rFonts w:asciiTheme="minorHAnsi" w:hAnsiTheme="minorHAnsi" w:cstheme="majorBidi"/>
          <w:i/>
          <w:lang w:val="en-US"/>
        </w:rPr>
      </w:pPr>
      <w:r>
        <w:rPr>
          <w:rFonts w:asciiTheme="minorHAnsi" w:hAnsiTheme="minorHAnsi" w:cstheme="majorBidi"/>
          <w:i/>
          <w:lang w:val="en-US"/>
        </w:rPr>
        <w:tab/>
      </w:r>
      <w:proofErr w:type="spellStart"/>
      <w:r w:rsidRPr="004F5E3E">
        <w:rPr>
          <w:rFonts w:asciiTheme="minorHAnsi" w:hAnsiTheme="minorHAnsi" w:cstheme="majorBidi"/>
          <w:i/>
          <w:lang w:val="en-US"/>
        </w:rPr>
        <w:t>Danemark</w:t>
      </w:r>
      <w:proofErr w:type="spellEnd"/>
      <w:r w:rsidRPr="004F5E3E">
        <w:rPr>
          <w:rFonts w:asciiTheme="minorHAnsi" w:hAnsiTheme="minorHAnsi" w:cstheme="majorBidi"/>
          <w:i/>
          <w:lang w:val="en-US"/>
        </w:rPr>
        <w:t xml:space="preserve"> (Danish Business Authority</w:t>
      </w:r>
      <w:r w:rsidRPr="004F5E3E">
        <w:rPr>
          <w:rFonts w:asciiTheme="minorHAnsi" w:hAnsiTheme="minorHAnsi" w:cstheme="majorBidi"/>
          <w:lang w:val="en-US"/>
        </w:rPr>
        <w:t xml:space="preserve">, </w:t>
      </w:r>
      <w:proofErr w:type="spellStart"/>
      <w:r w:rsidRPr="00201AE8">
        <w:rPr>
          <w:rFonts w:asciiTheme="minorHAnsi" w:hAnsiTheme="minorHAnsi" w:cstheme="majorBidi"/>
          <w:i/>
          <w:iCs/>
          <w:lang w:val="en-US"/>
        </w:rPr>
        <w:t>Copenhague</w:t>
      </w:r>
      <w:proofErr w:type="spellEnd"/>
      <w:r w:rsidRPr="004F5E3E">
        <w:rPr>
          <w:rFonts w:asciiTheme="minorHAnsi" w:hAnsiTheme="minorHAnsi" w:cstheme="majorBidi"/>
          <w:lang w:val="en-US"/>
        </w:rPr>
        <w:t>)</w:t>
      </w:r>
      <w:r w:rsidRPr="004F5E3E">
        <w:rPr>
          <w:rFonts w:asciiTheme="minorHAnsi" w:hAnsiTheme="minorHAnsi" w:cstheme="majorBidi"/>
          <w:lang w:val="en-US"/>
        </w:rPr>
        <w:tab/>
      </w:r>
      <w:r w:rsidRPr="004F5E3E">
        <w:rPr>
          <w:rFonts w:asciiTheme="minorHAnsi" w:hAnsiTheme="minorHAnsi" w:cstheme="majorBidi"/>
          <w:lang w:val="en-US"/>
        </w:rPr>
        <w:tab/>
      </w:r>
      <w:r w:rsidR="00201AE8">
        <w:rPr>
          <w:rFonts w:asciiTheme="minorHAnsi" w:hAnsiTheme="minorHAnsi" w:cstheme="majorBidi"/>
          <w:lang w:val="en-US"/>
        </w:rPr>
        <w:t>5</w:t>
      </w:r>
      <w:r w:rsidRPr="004F5E3E">
        <w:rPr>
          <w:rFonts w:asciiTheme="minorHAnsi" w:hAnsiTheme="minorHAnsi" w:cstheme="majorBidi"/>
          <w:lang w:val="en-US"/>
        </w:rPr>
        <w:br/>
      </w:r>
      <w:r>
        <w:rPr>
          <w:rFonts w:asciiTheme="minorHAnsi" w:hAnsiTheme="minorHAnsi" w:cstheme="majorBidi"/>
          <w:i/>
          <w:lang w:val="en-US"/>
        </w:rPr>
        <w:tab/>
      </w:r>
      <w:proofErr w:type="spellStart"/>
      <w:r w:rsidRPr="004F5E3E">
        <w:rPr>
          <w:rFonts w:asciiTheme="minorHAnsi" w:hAnsiTheme="minorHAnsi" w:cstheme="majorBidi"/>
          <w:i/>
          <w:lang w:val="en-US"/>
        </w:rPr>
        <w:t>Jordanie</w:t>
      </w:r>
      <w:proofErr w:type="spellEnd"/>
      <w:r>
        <w:rPr>
          <w:rFonts w:asciiTheme="minorHAnsi" w:hAnsiTheme="minorHAnsi" w:cstheme="majorBidi"/>
          <w:i/>
          <w:lang w:val="en-US"/>
        </w:rPr>
        <w:t xml:space="preserve"> (</w:t>
      </w:r>
      <w:r w:rsidRPr="004F5E3E">
        <w:rPr>
          <w:rFonts w:asciiTheme="minorHAnsi" w:hAnsiTheme="minorHAnsi" w:cstheme="majorBidi"/>
          <w:i/>
          <w:lang w:val="en-US"/>
        </w:rPr>
        <w:t>Telecommunications Regulatory Commission (TRC), Amman)</w:t>
      </w:r>
      <w:r>
        <w:rPr>
          <w:rFonts w:asciiTheme="minorHAnsi" w:hAnsiTheme="minorHAnsi" w:cstheme="majorBidi"/>
          <w:i/>
          <w:lang w:val="en-US"/>
        </w:rPr>
        <w:tab/>
      </w:r>
      <w:r>
        <w:rPr>
          <w:rFonts w:asciiTheme="minorHAnsi" w:hAnsiTheme="minorHAnsi" w:cstheme="majorBidi"/>
          <w:i/>
          <w:lang w:val="en-US"/>
        </w:rPr>
        <w:tab/>
      </w:r>
      <w:r w:rsidR="00201AE8">
        <w:rPr>
          <w:rFonts w:asciiTheme="minorHAnsi" w:hAnsiTheme="minorHAnsi" w:cstheme="majorBidi"/>
          <w:iCs/>
          <w:lang w:val="en-US"/>
        </w:rPr>
        <w:t>6</w:t>
      </w:r>
    </w:p>
    <w:p w:rsidR="00B14506" w:rsidRPr="00201AE8" w:rsidRDefault="00B14506" w:rsidP="00201AE8">
      <w:pPr>
        <w:pStyle w:val="TOC1"/>
        <w:tabs>
          <w:tab w:val="clear" w:pos="567"/>
          <w:tab w:val="center" w:leader="dot" w:pos="8505"/>
        </w:tabs>
        <w:spacing w:after="0"/>
        <w:ind w:left="680" w:right="851" w:hanging="680"/>
        <w:rPr>
          <w:rFonts w:eastAsiaTheme="minorEastAsia"/>
          <w:lang w:val="fr-CH"/>
        </w:rPr>
      </w:pPr>
      <w:r w:rsidRPr="00201AE8">
        <w:rPr>
          <w:lang w:val="fr-CH"/>
        </w:rPr>
        <w:t>Restrictions de service</w:t>
      </w:r>
      <w:r w:rsidRPr="00201AE8">
        <w:rPr>
          <w:webHidden/>
          <w:lang w:val="fr-CH"/>
        </w:rPr>
        <w:tab/>
      </w:r>
      <w:r w:rsidRPr="00201AE8">
        <w:rPr>
          <w:webHidden/>
          <w:lang w:val="fr-CH"/>
        </w:rPr>
        <w:tab/>
      </w:r>
      <w:r w:rsidR="00201AE8">
        <w:rPr>
          <w:webHidden/>
          <w:lang w:val="fr-CH"/>
        </w:rPr>
        <w:t>7</w:t>
      </w:r>
    </w:p>
    <w:p w:rsidR="00B14506" w:rsidRPr="00B14506" w:rsidRDefault="00B14506" w:rsidP="00201AE8">
      <w:pPr>
        <w:pStyle w:val="TOC1"/>
        <w:tabs>
          <w:tab w:val="clear" w:pos="567"/>
          <w:tab w:val="center" w:leader="dot" w:pos="8505"/>
        </w:tabs>
        <w:spacing w:after="0"/>
        <w:ind w:left="680" w:right="851" w:hanging="680"/>
        <w:rPr>
          <w:rFonts w:eastAsiaTheme="minorEastAsia"/>
          <w:lang w:val="fr-CH"/>
        </w:rPr>
      </w:pPr>
      <w:r w:rsidRPr="00B14506">
        <w:rPr>
          <w:lang w:val="fr-CH"/>
        </w:rPr>
        <w:t>Systèmes de rappel (Call-Back) et procédures d'appel alternatives (Rés. 21 Rév. PP-2006)</w:t>
      </w:r>
      <w:r w:rsidRPr="00B14506">
        <w:rPr>
          <w:webHidden/>
          <w:lang w:val="fr-CH"/>
        </w:rPr>
        <w:tab/>
      </w:r>
      <w:r>
        <w:rPr>
          <w:webHidden/>
          <w:lang w:val="fr-CH"/>
        </w:rPr>
        <w:tab/>
      </w:r>
      <w:r w:rsidR="00201AE8">
        <w:rPr>
          <w:webHidden/>
          <w:lang w:val="fr-CH"/>
        </w:rPr>
        <w:t>7</w:t>
      </w:r>
    </w:p>
    <w:p w:rsidR="00B14506" w:rsidRDefault="00B14506" w:rsidP="00B14506">
      <w:pPr>
        <w:pStyle w:val="TOC1"/>
        <w:tabs>
          <w:tab w:val="clear" w:pos="567"/>
          <w:tab w:val="center" w:leader="dot" w:pos="8505"/>
        </w:tabs>
        <w:spacing w:after="0"/>
        <w:ind w:left="680" w:right="851" w:hanging="680"/>
        <w:rPr>
          <w:b/>
          <w:bCs/>
        </w:rPr>
      </w:pPr>
      <w:r w:rsidRPr="006D5B62">
        <w:rPr>
          <w:b/>
          <w:bCs/>
        </w:rPr>
        <w:t>Amendements aux publications de service</w:t>
      </w:r>
    </w:p>
    <w:p w:rsidR="00B14506" w:rsidRPr="00B14506" w:rsidRDefault="00B14506" w:rsidP="00201AE8">
      <w:pPr>
        <w:pStyle w:val="TOC1"/>
        <w:tabs>
          <w:tab w:val="clear" w:pos="567"/>
          <w:tab w:val="center" w:leader="dot" w:pos="8505"/>
        </w:tabs>
        <w:spacing w:after="0"/>
        <w:ind w:left="680" w:right="851" w:hanging="680"/>
        <w:rPr>
          <w:rFonts w:eastAsiaTheme="minorEastAsia"/>
          <w:lang w:val="fr-CH"/>
        </w:rPr>
      </w:pPr>
      <w:r w:rsidRPr="00B14506">
        <w:rPr>
          <w:lang w:val="fr-CH"/>
        </w:rPr>
        <w:t xml:space="preserve">Nomenclature des </w:t>
      </w:r>
      <w:r w:rsidRPr="00B14506">
        <w:rPr>
          <w:rFonts w:eastAsiaTheme="minorEastAsia"/>
          <w:lang w:val="fr-CH"/>
        </w:rPr>
        <w:t>stations</w:t>
      </w:r>
      <w:r w:rsidRPr="00B14506">
        <w:rPr>
          <w:lang w:val="fr-CH"/>
        </w:rPr>
        <w:t xml:space="preserve"> côtières et des stations effectuant des services spéciaux</w:t>
      </w:r>
      <w:r w:rsidR="00201AE8">
        <w:rPr>
          <w:lang w:val="fr-CH"/>
        </w:rPr>
        <w:t xml:space="preserve"> (Liste IV)</w:t>
      </w:r>
      <w:r w:rsidRPr="00B14506">
        <w:rPr>
          <w:webHidden/>
          <w:lang w:val="fr-CH"/>
        </w:rPr>
        <w:tab/>
      </w:r>
      <w:r>
        <w:rPr>
          <w:webHidden/>
          <w:lang w:val="fr-CH"/>
        </w:rPr>
        <w:tab/>
      </w:r>
      <w:r w:rsidR="00201AE8">
        <w:rPr>
          <w:webHidden/>
          <w:lang w:val="fr-CH"/>
        </w:rPr>
        <w:t>8</w:t>
      </w:r>
    </w:p>
    <w:p w:rsidR="00B14506" w:rsidRDefault="00B14506" w:rsidP="00B14506">
      <w:pPr>
        <w:pStyle w:val="TOC1"/>
        <w:tabs>
          <w:tab w:val="clear" w:pos="567"/>
          <w:tab w:val="center" w:leader="dot" w:pos="8505"/>
        </w:tabs>
        <w:spacing w:after="0"/>
        <w:ind w:left="680" w:right="851" w:hanging="680"/>
        <w:rPr>
          <w:lang w:val="fr-CH"/>
        </w:rPr>
      </w:pPr>
      <w:r w:rsidRPr="00B14506">
        <w:rPr>
          <w:rFonts w:eastAsiaTheme="minorEastAsia"/>
          <w:lang w:val="fr-CH"/>
        </w:rPr>
        <w:t>Nomenclature</w:t>
      </w:r>
      <w:r w:rsidRPr="00B14506">
        <w:rPr>
          <w:lang w:val="fr-CH"/>
        </w:rPr>
        <w:t xml:space="preserve"> des stations de navire et des identités du service mobile maritime assignées (Liste V)</w:t>
      </w:r>
      <w:r>
        <w:rPr>
          <w:lang w:val="fr-CH"/>
        </w:rPr>
        <w:tab/>
      </w:r>
      <w:r>
        <w:rPr>
          <w:lang w:val="fr-CH"/>
        </w:rPr>
        <w:tab/>
      </w:r>
      <w:r w:rsidR="00201AE8">
        <w:rPr>
          <w:lang w:val="fr-CH"/>
        </w:rPr>
        <w:t>8</w:t>
      </w:r>
    </w:p>
    <w:p w:rsidR="00B14506" w:rsidRPr="00B14506" w:rsidRDefault="00B14506" w:rsidP="00201AE8">
      <w:pPr>
        <w:pStyle w:val="TOC1"/>
        <w:tabs>
          <w:tab w:val="clear" w:pos="567"/>
          <w:tab w:val="center" w:leader="dot" w:pos="8505"/>
        </w:tabs>
        <w:spacing w:after="0"/>
        <w:ind w:left="680" w:right="851" w:hanging="680"/>
        <w:rPr>
          <w:rFonts w:eastAsiaTheme="minorEastAsia"/>
          <w:lang w:val="fr-CH"/>
        </w:rPr>
      </w:pPr>
      <w:r w:rsidRPr="00B14506">
        <w:rPr>
          <w:lang w:val="fr-CH"/>
        </w:rPr>
        <w:t xml:space="preserve">Liste des </w:t>
      </w:r>
      <w:r w:rsidRPr="00B14506">
        <w:rPr>
          <w:rFonts w:eastAsiaTheme="minorEastAsia"/>
          <w:lang w:val="fr-CH"/>
        </w:rPr>
        <w:t>indicatifs</w:t>
      </w:r>
      <w:r w:rsidRPr="00B14506">
        <w:rPr>
          <w:lang w:val="fr-CH"/>
        </w:rPr>
        <w:t xml:space="preserve"> de pays de la Recommandation UIT-T E.164 attribués</w:t>
      </w:r>
      <w:r w:rsidRPr="00B14506">
        <w:rPr>
          <w:webHidden/>
          <w:lang w:val="fr-CH"/>
        </w:rPr>
        <w:tab/>
      </w:r>
      <w:r>
        <w:rPr>
          <w:webHidden/>
          <w:lang w:val="fr-CH"/>
        </w:rPr>
        <w:tab/>
      </w:r>
      <w:r w:rsidR="00201AE8">
        <w:rPr>
          <w:webHidden/>
          <w:lang w:val="fr-CH"/>
        </w:rPr>
        <w:t>9</w:t>
      </w:r>
    </w:p>
    <w:p w:rsidR="00B14506" w:rsidRPr="00B14506" w:rsidRDefault="00B14506" w:rsidP="008D142F">
      <w:pPr>
        <w:pStyle w:val="TOC1"/>
        <w:tabs>
          <w:tab w:val="clear" w:pos="567"/>
          <w:tab w:val="center" w:leader="dot" w:pos="8505"/>
        </w:tabs>
        <w:spacing w:after="0"/>
        <w:ind w:left="397" w:right="851" w:hanging="397"/>
        <w:rPr>
          <w:rFonts w:eastAsiaTheme="minorEastAsia"/>
          <w:lang w:val="fr-CH"/>
        </w:rPr>
      </w:pPr>
      <w:r w:rsidRPr="00B14506">
        <w:rPr>
          <w:lang w:val="fr-CH"/>
        </w:rPr>
        <w:t>Codes de réseau mobile (MNC) pour le plan d'identification international pour les réseaux publics et les abonnements</w:t>
      </w:r>
      <w:r w:rsidRPr="00B14506">
        <w:rPr>
          <w:webHidden/>
          <w:lang w:val="fr-CH"/>
        </w:rPr>
        <w:tab/>
      </w:r>
      <w:r>
        <w:rPr>
          <w:webHidden/>
          <w:lang w:val="fr-CH"/>
        </w:rPr>
        <w:tab/>
      </w:r>
      <w:r w:rsidR="00201AE8">
        <w:rPr>
          <w:webHidden/>
          <w:lang w:val="fr-CH"/>
        </w:rPr>
        <w:t>9</w:t>
      </w:r>
    </w:p>
    <w:p w:rsidR="00B14506" w:rsidRPr="00B14506" w:rsidRDefault="00B14506" w:rsidP="008D142F">
      <w:pPr>
        <w:pStyle w:val="TOC1"/>
        <w:tabs>
          <w:tab w:val="clear" w:pos="567"/>
          <w:tab w:val="center" w:leader="dot" w:pos="8505"/>
        </w:tabs>
        <w:spacing w:after="0"/>
        <w:ind w:left="397" w:right="851" w:hanging="397"/>
        <w:rPr>
          <w:rFonts w:eastAsiaTheme="minorEastAsia"/>
          <w:lang w:val="fr-CH"/>
        </w:rPr>
      </w:pPr>
      <w:r w:rsidRPr="00B14506">
        <w:rPr>
          <w:lang w:val="fr-CH"/>
        </w:rPr>
        <w:t>Liste des numéros identificateurs d'entités émettrices pour  les cartes internationales de facturation des télécommunications</w:t>
      </w:r>
      <w:r w:rsidRPr="00B14506">
        <w:rPr>
          <w:webHidden/>
          <w:lang w:val="fr-CH"/>
        </w:rPr>
        <w:tab/>
      </w:r>
      <w:r>
        <w:rPr>
          <w:webHidden/>
          <w:lang w:val="fr-CH"/>
        </w:rPr>
        <w:tab/>
      </w:r>
      <w:r w:rsidRPr="00B14506">
        <w:rPr>
          <w:webHidden/>
          <w:lang w:val="fr-CH"/>
        </w:rPr>
        <w:t>1</w:t>
      </w:r>
      <w:r w:rsidR="00201AE8">
        <w:rPr>
          <w:webHidden/>
          <w:lang w:val="fr-CH"/>
        </w:rPr>
        <w:t>0</w:t>
      </w:r>
    </w:p>
    <w:p w:rsidR="00B14506" w:rsidRPr="00B14506" w:rsidRDefault="00B14506" w:rsidP="00201AE8">
      <w:pPr>
        <w:pStyle w:val="TOC1"/>
        <w:tabs>
          <w:tab w:val="clear" w:pos="567"/>
          <w:tab w:val="center" w:leader="dot" w:pos="8505"/>
        </w:tabs>
        <w:spacing w:after="0"/>
        <w:ind w:left="680" w:right="851" w:hanging="680"/>
        <w:rPr>
          <w:rFonts w:eastAsiaTheme="minorEastAsia"/>
          <w:lang w:val="fr-CH"/>
        </w:rPr>
      </w:pPr>
      <w:r w:rsidRPr="00B14506">
        <w:rPr>
          <w:lang w:val="fr-CH"/>
        </w:rPr>
        <w:t xml:space="preserve">Liste des </w:t>
      </w:r>
      <w:r w:rsidRPr="00B14506">
        <w:rPr>
          <w:rFonts w:eastAsiaTheme="minorEastAsia"/>
          <w:lang w:val="fr-CH"/>
        </w:rPr>
        <w:t>codes</w:t>
      </w:r>
      <w:r w:rsidRPr="00B14506">
        <w:rPr>
          <w:lang w:val="fr-CH"/>
        </w:rPr>
        <w:t xml:space="preserve"> de points sémaphores internationaux (ISPC)</w:t>
      </w:r>
      <w:r w:rsidRPr="00B14506">
        <w:rPr>
          <w:webHidden/>
          <w:lang w:val="fr-CH"/>
        </w:rPr>
        <w:tab/>
      </w:r>
      <w:r>
        <w:rPr>
          <w:webHidden/>
          <w:lang w:val="fr-CH"/>
        </w:rPr>
        <w:tab/>
      </w:r>
      <w:r w:rsidRPr="00B14506">
        <w:rPr>
          <w:webHidden/>
          <w:lang w:val="fr-CH"/>
        </w:rPr>
        <w:t>1</w:t>
      </w:r>
      <w:r w:rsidR="00201AE8">
        <w:rPr>
          <w:webHidden/>
          <w:lang w:val="fr-CH"/>
        </w:rPr>
        <w:t>0</w:t>
      </w:r>
    </w:p>
    <w:p w:rsidR="00B14506" w:rsidRPr="00B14506" w:rsidRDefault="00B14506" w:rsidP="00201AE8">
      <w:pPr>
        <w:pStyle w:val="TOC1"/>
        <w:tabs>
          <w:tab w:val="clear" w:pos="567"/>
          <w:tab w:val="center" w:leader="dot" w:pos="8505"/>
        </w:tabs>
        <w:spacing w:after="0"/>
        <w:ind w:left="680" w:right="851" w:hanging="680"/>
        <w:rPr>
          <w:rFonts w:eastAsiaTheme="minorEastAsia"/>
          <w:lang w:val="fr-CH"/>
        </w:rPr>
      </w:pPr>
      <w:r w:rsidRPr="00B14506">
        <w:rPr>
          <w:lang w:val="fr-CH"/>
        </w:rPr>
        <w:t>Plan de numérotage national</w:t>
      </w:r>
      <w:r w:rsidRPr="00B14506">
        <w:rPr>
          <w:webHidden/>
          <w:lang w:val="fr-CH"/>
        </w:rPr>
        <w:tab/>
      </w:r>
      <w:r>
        <w:rPr>
          <w:webHidden/>
          <w:lang w:val="fr-CH"/>
        </w:rPr>
        <w:tab/>
      </w:r>
      <w:r w:rsidRPr="00B14506">
        <w:rPr>
          <w:webHidden/>
          <w:lang w:val="fr-CH"/>
        </w:rPr>
        <w:t>1</w:t>
      </w:r>
      <w:r w:rsidR="00201AE8">
        <w:rPr>
          <w:webHidden/>
          <w:lang w:val="fr-CH"/>
        </w:rPr>
        <w:t>1</w:t>
      </w:r>
    </w:p>
    <w:p w:rsidR="00BF6D6B" w:rsidRDefault="00BF6D6B" w:rsidP="00BF6D6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Theme="minorEastAsia" w:hAnsi="Times New Roman"/>
          <w:sz w:val="24"/>
          <w:lang w:val="fr-FR"/>
        </w:rPr>
      </w:pPr>
      <w:r>
        <w:rPr>
          <w:rFonts w:ascii="Times New Roman" w:eastAsiaTheme="minorEastAsia" w:hAnsi="Times New Roman"/>
          <w:sz w:val="24"/>
          <w:lang w:val="fr-FR"/>
        </w:rPr>
        <w:br w:type="page"/>
      </w:r>
    </w:p>
    <w:p w:rsidR="00BF6D6B" w:rsidRPr="00A61AFB" w:rsidRDefault="00BF6D6B" w:rsidP="002A1DC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F6D6B" w:rsidRPr="008D142F" w:rsidTr="0035579D">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bCs/>
                <w:i/>
                <w:iCs/>
                <w:sz w:val="18"/>
                <w:szCs w:val="18"/>
                <w:lang w:val="fr-CH"/>
              </w:rPr>
            </w:pPr>
            <w:r w:rsidRPr="00A61AFB">
              <w:rPr>
                <w:rFonts w:asciiTheme="minorHAnsi" w:eastAsia="SimSun" w:hAnsiTheme="minorHAnsi"/>
                <w:bCs/>
                <w:i/>
                <w:iCs/>
                <w:sz w:val="18"/>
                <w:szCs w:val="18"/>
                <w:lang w:val="fr-CH"/>
              </w:rPr>
              <w:t>Dates de parution des prochains Bulletins d'exploitation</w:t>
            </w:r>
            <w:r>
              <w:rPr>
                <w:rFonts w:asciiTheme="minorHAnsi" w:eastAsia="SimSun" w:hAnsiTheme="minorHAnsi"/>
                <w:bCs/>
                <w:i/>
                <w:iCs/>
                <w:sz w:val="18"/>
                <w:szCs w:val="18"/>
                <w:lang w:val="fr-CH"/>
              </w:rPr>
              <w:t>*</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w:eastAsia="SimSun" w:hAnsi="Times New Roman"/>
                <w:bCs/>
                <w:sz w:val="22"/>
                <w:lang w:val="fr-CH"/>
              </w:rPr>
            </w:pPr>
            <w:r w:rsidRPr="00A61AFB">
              <w:rPr>
                <w:rFonts w:asciiTheme="minorHAnsi" w:eastAsia="SimSun" w:hAnsiTheme="minorHAnsi"/>
                <w:bCs/>
                <w:i/>
                <w:iCs/>
                <w:sz w:val="18"/>
                <w:szCs w:val="18"/>
                <w:lang w:val="fr-CH"/>
              </w:rPr>
              <w:t>Comprenant les renseignements reçus au</w:t>
            </w:r>
            <w:r w:rsidRPr="00A61AFB">
              <w:rPr>
                <w:rFonts w:asciiTheme="minorHAnsi" w:eastAsia="SimSun" w:hAnsiTheme="minorHAnsi"/>
                <w:bCs/>
                <w:sz w:val="18"/>
                <w:szCs w:val="18"/>
                <w:lang w:val="fr-CH"/>
              </w:rPr>
              <w:t>:</w:t>
            </w:r>
          </w:p>
        </w:tc>
      </w:tr>
      <w:tr w:rsidR="00BF6D6B" w:rsidRPr="00A61AFB" w:rsidTr="0035579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1080</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.VII.2015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1.VII.2015</w:t>
            </w:r>
            <w:proofErr w:type="gramEnd"/>
          </w:p>
        </w:tc>
      </w:tr>
      <w:tr w:rsidR="00BF6D6B" w:rsidRPr="00A61AFB" w:rsidTr="0035579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1081</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1.VIII.2015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20</w:t>
            </w:r>
            <w:proofErr w:type="gramStart"/>
            <w:r w:rsidRPr="00A61AFB">
              <w:rPr>
                <w:rFonts w:asciiTheme="minorHAnsi" w:eastAsia="SimSun" w:hAnsiTheme="minorHAnsi"/>
                <w:sz w:val="18"/>
                <w:szCs w:val="18"/>
                <w:lang w:val="fr-FR"/>
              </w:rPr>
              <w:t>.VII.2015</w:t>
            </w:r>
            <w:proofErr w:type="gramEnd"/>
          </w:p>
        </w:tc>
      </w:tr>
      <w:tr w:rsidR="00BF6D6B" w:rsidRPr="00A61AFB" w:rsidTr="0035579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1082</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.VIII.2015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3.VIII.2015</w:t>
            </w:r>
            <w:proofErr w:type="gramEnd"/>
          </w:p>
        </w:tc>
      </w:tr>
      <w:tr w:rsidR="00BF6D6B" w:rsidRPr="00A61AFB" w:rsidTr="0035579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1083</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1.IX.2015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18</w:t>
            </w:r>
            <w:proofErr w:type="gramStart"/>
            <w:r w:rsidRPr="00A61AFB">
              <w:rPr>
                <w:rFonts w:asciiTheme="minorHAnsi" w:eastAsia="SimSun" w:hAnsiTheme="minorHAnsi"/>
                <w:sz w:val="18"/>
                <w:szCs w:val="18"/>
                <w:lang w:val="fr-FR"/>
              </w:rPr>
              <w:t>.VIII.2015</w:t>
            </w:r>
            <w:proofErr w:type="gramEnd"/>
          </w:p>
        </w:tc>
      </w:tr>
      <w:tr w:rsidR="00BF6D6B" w:rsidRPr="00A61AFB" w:rsidTr="0035579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1084</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.IX.2015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1.IX.2015</w:t>
            </w:r>
            <w:proofErr w:type="gramEnd"/>
          </w:p>
        </w:tc>
      </w:tr>
      <w:tr w:rsidR="00BF6D6B" w:rsidRPr="00A61AFB" w:rsidTr="0035579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1085</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w:t>
            </w:r>
            <w:proofErr w:type="gramStart"/>
            <w:r w:rsidRPr="00A61AFB">
              <w:rPr>
                <w:rFonts w:asciiTheme="minorHAnsi" w:eastAsia="SimSun" w:hAnsiTheme="minorHAnsi"/>
                <w:sz w:val="18"/>
                <w:szCs w:val="18"/>
                <w:lang w:val="fr-FR"/>
              </w:rPr>
              <w:t>.IX.2015</w:t>
            </w:r>
            <w:proofErr w:type="gramEnd"/>
          </w:p>
        </w:tc>
      </w:tr>
      <w:tr w:rsidR="00BF6D6B" w:rsidRPr="00A61AFB" w:rsidTr="0035579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1086</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1.X.2015</w:t>
            </w:r>
            <w:proofErr w:type="gramEnd"/>
          </w:p>
        </w:tc>
      </w:tr>
      <w:tr w:rsidR="00BF6D6B" w:rsidRPr="00A61AFB" w:rsidTr="0035579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1087</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19</w:t>
            </w:r>
            <w:proofErr w:type="gramStart"/>
            <w:r w:rsidRPr="00A61AFB">
              <w:rPr>
                <w:rFonts w:asciiTheme="minorHAnsi" w:eastAsia="SimSun" w:hAnsiTheme="minorHAnsi"/>
                <w:sz w:val="18"/>
                <w:szCs w:val="18"/>
                <w:lang w:val="fr-FR"/>
              </w:rPr>
              <w:t>.X.2015</w:t>
            </w:r>
            <w:proofErr w:type="gramEnd"/>
          </w:p>
        </w:tc>
      </w:tr>
      <w:tr w:rsidR="00BF6D6B" w:rsidRPr="00A61AFB" w:rsidTr="0035579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1088</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2.XI.2015</w:t>
            </w:r>
            <w:proofErr w:type="gramEnd"/>
          </w:p>
        </w:tc>
      </w:tr>
      <w:tr w:rsidR="00BF6D6B" w:rsidRPr="00A61AFB" w:rsidTr="0035579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1089</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w:t>
            </w:r>
            <w:proofErr w:type="gramStart"/>
            <w:r w:rsidRPr="00A61AFB">
              <w:rPr>
                <w:rFonts w:asciiTheme="minorHAnsi" w:eastAsia="SimSun" w:hAnsiTheme="minorHAnsi"/>
                <w:sz w:val="18"/>
                <w:szCs w:val="18"/>
                <w:lang w:val="fr-FR"/>
              </w:rPr>
              <w:t>.XI.2015</w:t>
            </w:r>
            <w:proofErr w:type="gramEnd"/>
          </w:p>
        </w:tc>
      </w:tr>
      <w:tr w:rsidR="00BF6D6B" w:rsidRPr="00A61AFB" w:rsidTr="0035579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1090</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35579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1.XII.2015</w:t>
            </w:r>
            <w:proofErr w:type="gramEnd"/>
          </w:p>
        </w:tc>
      </w:tr>
    </w:tbl>
    <w:p w:rsidR="00BF6D6B" w:rsidRDefault="00BF6D6B" w:rsidP="002A1DC9">
      <w:pPr>
        <w:rPr>
          <w:lang w:val="fr-FR"/>
        </w:rPr>
      </w:pPr>
    </w:p>
    <w:p w:rsidR="00BF6D6B" w:rsidRDefault="00BF6D6B" w:rsidP="00BF6D6B">
      <w:pPr>
        <w:tabs>
          <w:tab w:val="clear" w:pos="567"/>
          <w:tab w:val="left" w:pos="252"/>
        </w:tabs>
        <w:rPr>
          <w:lang w:val="fr-FR"/>
        </w:rPr>
      </w:pPr>
      <w:r>
        <w:rPr>
          <w:lang w:val="fr-FR"/>
        </w:rPr>
        <w:t>*</w:t>
      </w:r>
      <w:r>
        <w:rPr>
          <w:lang w:val="fr-FR"/>
        </w:rPr>
        <w:tab/>
        <w:t>Ces dates concernent uniquement la version anglaise.</w:t>
      </w:r>
    </w:p>
    <w:p w:rsidR="00A61AFB" w:rsidRPr="00A61AFB" w:rsidRDefault="00A61AFB" w:rsidP="00A61AFB">
      <w:pPr>
        <w:keepNext/>
        <w:spacing w:before="0"/>
        <w:jc w:val="center"/>
        <w:outlineLvl w:val="0"/>
        <w:rPr>
          <w:rFonts w:ascii="Arial" w:hAnsi="Arial" w:cs="Arial"/>
          <w:b/>
          <w:bCs/>
          <w:kern w:val="32"/>
          <w:sz w:val="32"/>
          <w:szCs w:val="32"/>
          <w:lang w:val="fr-FR"/>
        </w:rPr>
      </w:pPr>
      <w:r w:rsidRPr="00A61AFB">
        <w:rPr>
          <w:rFonts w:ascii="Times New Roman" w:hAnsi="Times New Roman"/>
          <w:b/>
          <w:sz w:val="24"/>
          <w:lang w:val="fr-FR"/>
        </w:rPr>
        <w:br w:type="page"/>
      </w:r>
      <w:bookmarkStart w:id="9" w:name="_Toc417551655"/>
      <w:bookmarkStart w:id="10" w:name="_Toc418172323"/>
      <w:bookmarkStart w:id="11" w:name="_Toc418590386"/>
      <w:bookmarkStart w:id="12" w:name="_Toc421025955"/>
      <w:bookmarkStart w:id="13" w:name="_Toc422401203"/>
      <w:bookmarkStart w:id="14" w:name="_Toc423525453"/>
      <w:r w:rsidRPr="00A61AFB">
        <w:rPr>
          <w:rFonts w:ascii="Arial" w:hAnsi="Arial" w:cs="Arial"/>
          <w:b/>
          <w:bCs/>
          <w:kern w:val="32"/>
          <w:sz w:val="32"/>
          <w:szCs w:val="32"/>
          <w:lang w:val="fr-FR"/>
        </w:rPr>
        <w:lastRenderedPageBreak/>
        <w:t>INFORMATION GÉNÉRALE</w:t>
      </w:r>
      <w:bookmarkEnd w:id="9"/>
      <w:bookmarkEnd w:id="10"/>
      <w:bookmarkEnd w:id="11"/>
      <w:bookmarkEnd w:id="12"/>
      <w:bookmarkEnd w:id="13"/>
      <w:bookmarkEnd w:id="14"/>
    </w:p>
    <w:p w:rsidR="00A61AFB" w:rsidRPr="00A61AFB" w:rsidRDefault="00A61AFB" w:rsidP="00A61AFB">
      <w:pPr>
        <w:keepNext/>
        <w:shd w:val="clear" w:color="auto" w:fill="D9D9D9"/>
        <w:tabs>
          <w:tab w:val="clear" w:pos="567"/>
          <w:tab w:val="clear" w:pos="1276"/>
          <w:tab w:val="clear" w:pos="1843"/>
          <w:tab w:val="clear" w:pos="5387"/>
          <w:tab w:val="clear" w:pos="5954"/>
          <w:tab w:val="left" w:pos="794"/>
          <w:tab w:val="left" w:pos="1191"/>
          <w:tab w:val="left" w:pos="1588"/>
          <w:tab w:val="left" w:pos="1985"/>
        </w:tabs>
        <w:spacing w:before="240" w:after="60"/>
        <w:jc w:val="center"/>
        <w:outlineLvl w:val="1"/>
        <w:rPr>
          <w:rFonts w:ascii="Arial" w:hAnsi="Arial" w:cs="Arial"/>
          <w:b/>
          <w:bCs/>
          <w:sz w:val="26"/>
          <w:szCs w:val="28"/>
          <w:lang w:val="fr-FR"/>
        </w:rPr>
      </w:pPr>
      <w:bookmarkStart w:id="15" w:name="_Toc417551656"/>
      <w:bookmarkStart w:id="16" w:name="_Toc418172324"/>
      <w:bookmarkStart w:id="17" w:name="_Toc418590387"/>
      <w:bookmarkStart w:id="18" w:name="_Toc421025956"/>
      <w:bookmarkStart w:id="19" w:name="_Toc422401204"/>
      <w:bookmarkStart w:id="20" w:name="_Toc423525454"/>
      <w:r w:rsidRPr="00A61AFB">
        <w:rPr>
          <w:rFonts w:ascii="Arial" w:hAnsi="Arial" w:cs="Arial"/>
          <w:b/>
          <w:bCs/>
          <w:sz w:val="26"/>
          <w:szCs w:val="28"/>
          <w:lang w:val="fr-FR"/>
        </w:rPr>
        <w:t>Listes annexées au Bulletin d'exploitation de l'UIT</w:t>
      </w:r>
      <w:bookmarkEnd w:id="15"/>
      <w:bookmarkEnd w:id="16"/>
      <w:bookmarkEnd w:id="17"/>
      <w:bookmarkEnd w:id="18"/>
      <w:bookmarkEnd w:id="19"/>
      <w:bookmarkEnd w:id="20"/>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3E26AF" w:rsidRPr="00A61AFB" w:rsidRDefault="003E26AF" w:rsidP="003E26AF">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73</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1056</w:t>
      </w:r>
      <w:r w:rsidRPr="00A61AFB">
        <w:rPr>
          <w:rFonts w:asciiTheme="minorHAnsi" w:hAnsiTheme="minorHAnsi" w:cstheme="minorBidi"/>
          <w:lang w:val="fr-FR"/>
        </w:rPr>
        <w:tab/>
        <w:t>Codes de réseau mobile (MNC) pour le plan d'identification international pour les réseaux publics et les abonnements (Selon la Recommandation UIT-T E.212 (05/2008)) (Situation au 15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1040</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2013)</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5167DF">
      <w:pPr>
        <w:tabs>
          <w:tab w:val="clear" w:pos="5387"/>
          <w:tab w:val="clear" w:pos="5954"/>
          <w:tab w:val="left" w:pos="3780"/>
          <w:tab w:val="left" w:pos="4872"/>
          <w:tab w:val="left" w:pos="5812"/>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r>
      <w:hyperlink r:id="rId13" w:history="1">
        <w:r w:rsidRPr="00A61AFB">
          <w:rPr>
            <w:rFonts w:asciiTheme="minorHAnsi" w:hAnsiTheme="minorHAnsi" w:cstheme="minorBidi"/>
            <w:sz w:val="18"/>
            <w:szCs w:val="18"/>
            <w:lang w:val="fr-FR"/>
          </w:rPr>
          <w:t>www.itu.int/ITU-T/inr/icc/index.html</w:t>
        </w:r>
      </w:hyperlink>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4" w:history="1">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hyperlink>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5" w:history="1">
        <w:r w:rsidRPr="00A61AFB">
          <w:rPr>
            <w:rFonts w:asciiTheme="minorHAnsi" w:hAnsiTheme="minorHAnsi" w:cstheme="minorBidi"/>
            <w:sz w:val="18"/>
            <w:szCs w:val="18"/>
            <w:lang w:val="fr-FR"/>
          </w:rPr>
          <w:t>www.itu.int/ITU-T/inr/roa/index.html</w:t>
        </w:r>
      </w:hyperlink>
    </w:p>
    <w:p w:rsidR="00A61AFB" w:rsidRPr="00A61AFB" w:rsidRDefault="00A61AFB" w:rsidP="00A61AF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2826D5" w:rsidRPr="002826D5" w:rsidRDefault="002826D5" w:rsidP="002826D5">
      <w:pPr>
        <w:keepNext/>
        <w:shd w:val="clear" w:color="auto" w:fill="D9D9D9"/>
        <w:spacing w:before="240" w:after="60"/>
        <w:jc w:val="center"/>
        <w:outlineLvl w:val="1"/>
        <w:rPr>
          <w:rFonts w:ascii="Arial" w:hAnsi="Arial" w:cs="Arial"/>
          <w:b/>
          <w:bCs/>
          <w:sz w:val="26"/>
          <w:szCs w:val="28"/>
          <w:lang w:val="fr-CH"/>
        </w:rPr>
      </w:pPr>
      <w:bookmarkStart w:id="21" w:name="_Toc423525455"/>
      <w:r w:rsidRPr="002826D5">
        <w:rPr>
          <w:rFonts w:ascii="Arial" w:hAnsi="Arial" w:cs="Arial"/>
          <w:b/>
          <w:bCs/>
          <w:sz w:val="26"/>
          <w:szCs w:val="28"/>
          <w:lang w:val="fr-FR"/>
        </w:rPr>
        <w:lastRenderedPageBreak/>
        <w:t>Approbation de Recommandations UIT-T</w:t>
      </w:r>
      <w:bookmarkEnd w:id="21"/>
    </w:p>
    <w:p w:rsidR="002826D5" w:rsidRPr="002826D5" w:rsidRDefault="002826D5" w:rsidP="002826D5">
      <w:pPr>
        <w:rPr>
          <w:rFonts w:eastAsia="SimSun"/>
          <w:lang w:val="fr-CH" w:eastAsia="zh-CN"/>
        </w:rPr>
      </w:pPr>
      <w:r w:rsidRPr="002826D5">
        <w:rPr>
          <w:rFonts w:eastAsia="SimSun"/>
          <w:lang w:val="fr-CH" w:eastAsia="zh-CN"/>
        </w:rPr>
        <w:t>Par AAP-59, il a été annoncé l’approbation des Recommandations UIT-T suivantes, conformément à la procédure définie dans la Recommandation UIT-T A.8:</w:t>
      </w:r>
    </w:p>
    <w:p w:rsidR="002826D5" w:rsidRPr="002826D5" w:rsidRDefault="002826D5" w:rsidP="002826D5">
      <w:pPr>
        <w:rPr>
          <w:rFonts w:eastAsia="SimSun"/>
          <w:lang w:val="fr-CH" w:eastAsia="zh-CN"/>
        </w:rPr>
      </w:pPr>
      <w:r w:rsidRPr="002826D5">
        <w:rPr>
          <w:rFonts w:eastAsia="SimSun"/>
          <w:lang w:val="fr-CH" w:eastAsia="zh-CN"/>
        </w:rPr>
        <w:t>–</w:t>
      </w:r>
      <w:r>
        <w:rPr>
          <w:rFonts w:eastAsia="SimSun"/>
          <w:lang w:val="fr-CH" w:eastAsia="zh-CN"/>
        </w:rPr>
        <w:tab/>
      </w:r>
      <w:r w:rsidRPr="002826D5">
        <w:rPr>
          <w:rFonts w:eastAsia="SimSun"/>
          <w:lang w:val="fr-CH" w:eastAsia="zh-CN"/>
        </w:rPr>
        <w:t>ITU-T X.626 (06/2015): 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Q.3051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Q.3652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Q.3931.4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Q.3932.1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Q.3932.2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Q.3932.3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Q.3933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Q.3942.2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Q.3942.3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Q.3951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X.675 (05/2015):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Y.2084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Y.2238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Y.3034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Y.3035 (06/2015): </w:t>
      </w:r>
      <w:r w:rsidRPr="002826D5">
        <w:rPr>
          <w:rFonts w:asciiTheme="minorHAnsi" w:eastAsia="SimSun" w:hAnsiTheme="minorHAnsi" w:cs="Arial"/>
          <w:i/>
          <w:iCs/>
          <w:lang w:val="fr-CH" w:eastAsia="zh-CN"/>
        </w:rPr>
        <w:t>Traduction non disponible – Nouveau texte</w:t>
      </w:r>
    </w:p>
    <w:p w:rsidR="002826D5" w:rsidRPr="002826D5" w:rsidRDefault="002826D5" w:rsidP="002826D5">
      <w:pPr>
        <w:rPr>
          <w:rFonts w:asciiTheme="minorHAnsi" w:eastAsia="SimSun" w:hAnsiTheme="minorHAnsi" w:cs="Arial"/>
          <w:lang w:val="fr-CH" w:eastAsia="zh-CN"/>
        </w:rPr>
      </w:pPr>
      <w:r w:rsidRPr="002826D5">
        <w:rPr>
          <w:rFonts w:asciiTheme="minorHAnsi" w:eastAsia="SimSun" w:hAnsiTheme="minorHAnsi" w:cs="Arial"/>
          <w:lang w:val="fr-CH" w:eastAsia="zh-CN"/>
        </w:rPr>
        <w:t>–</w:t>
      </w:r>
      <w:r>
        <w:rPr>
          <w:rFonts w:asciiTheme="minorHAnsi" w:eastAsia="SimSun" w:hAnsiTheme="minorHAnsi" w:cs="Arial"/>
          <w:lang w:val="fr-CH" w:eastAsia="zh-CN"/>
        </w:rPr>
        <w:tab/>
      </w:r>
      <w:r w:rsidRPr="002826D5">
        <w:rPr>
          <w:rFonts w:asciiTheme="minorHAnsi" w:eastAsia="SimSun" w:hAnsiTheme="minorHAnsi" w:cs="Arial"/>
          <w:lang w:val="fr-CH" w:eastAsia="zh-CN"/>
        </w:rPr>
        <w:t xml:space="preserve">ITU-T Y.3321 (06/2015): </w:t>
      </w:r>
      <w:r w:rsidRPr="002826D5">
        <w:rPr>
          <w:rFonts w:asciiTheme="minorHAnsi" w:eastAsia="SimSun" w:hAnsiTheme="minorHAnsi" w:cs="Arial"/>
          <w:i/>
          <w:iCs/>
          <w:lang w:val="fr-CH" w:eastAsia="zh-CN"/>
        </w:rPr>
        <w:t>Traduction non disponible – Nouveau texte</w:t>
      </w:r>
    </w:p>
    <w:p w:rsidR="00F332AC" w:rsidRDefault="00F332AC" w:rsidP="002826D5">
      <w:pPr>
        <w:rPr>
          <w:lang w:val="fr-CH"/>
        </w:rPr>
      </w:pPr>
    </w:p>
    <w:p w:rsidR="002826D5" w:rsidRDefault="002826D5" w:rsidP="002826D5">
      <w:pPr>
        <w:pStyle w:val="Heading20"/>
        <w:spacing w:before="240"/>
      </w:pPr>
      <w:bookmarkStart w:id="22" w:name="_Toc423525456"/>
      <w:r>
        <w:t xml:space="preserve">Plan de numérotage des télécommunications publiques </w:t>
      </w:r>
      <w:proofErr w:type="gramStart"/>
      <w:r>
        <w:t>internationales</w:t>
      </w:r>
      <w:proofErr w:type="gramEnd"/>
      <w:r>
        <w:br/>
        <w:t>(Recommandation UIT-T E.164 (11/2010))</w:t>
      </w:r>
      <w:bookmarkEnd w:id="22"/>
      <w:r>
        <w:t xml:space="preserve"> </w:t>
      </w:r>
    </w:p>
    <w:p w:rsidR="002826D5" w:rsidRDefault="002826D5" w:rsidP="002826D5">
      <w:pPr>
        <w:spacing w:before="240"/>
        <w:rPr>
          <w:b/>
          <w:bCs/>
          <w:lang w:val="fr-CH"/>
        </w:rPr>
      </w:pPr>
      <w:r>
        <w:rPr>
          <w:b/>
          <w:bCs/>
          <w:lang w:val="fr-CH"/>
        </w:rPr>
        <w:t>Note du TSB</w:t>
      </w:r>
    </w:p>
    <w:p w:rsidR="002826D5" w:rsidRDefault="002826D5" w:rsidP="002826D5">
      <w:pPr>
        <w:spacing w:before="240"/>
        <w:jc w:val="center"/>
        <w:rPr>
          <w:i/>
          <w:iCs/>
          <w:lang w:val="fr-FR"/>
        </w:rPr>
      </w:pPr>
      <w:r>
        <w:rPr>
          <w:i/>
          <w:iCs/>
          <w:lang w:val="fr-FR"/>
        </w:rPr>
        <w:t>Codes d'identification des réseaux internationaux</w:t>
      </w:r>
      <w:r>
        <w:rPr>
          <w:i/>
          <w:iCs/>
          <w:lang w:val="fr-FR"/>
        </w:rPr>
        <w:fldChar w:fldCharType="begin"/>
      </w:r>
      <w:r w:rsidRPr="002826D5">
        <w:rPr>
          <w:lang w:val="fr-CH"/>
        </w:rPr>
        <w:instrText xml:space="preserve"> TC "</w:instrText>
      </w:r>
      <w:r w:rsidRPr="00BE05B1">
        <w:rPr>
          <w:i/>
          <w:iCs/>
          <w:lang w:val="fr-FR"/>
        </w:rPr>
        <w:instrText>Codes d'identification des réseaux internationaux</w:instrText>
      </w:r>
      <w:r w:rsidRPr="002826D5">
        <w:rPr>
          <w:lang w:val="fr-CH"/>
        </w:rPr>
        <w:instrText xml:space="preserve">" \f C \l "1" </w:instrText>
      </w:r>
      <w:r>
        <w:rPr>
          <w:i/>
          <w:iCs/>
          <w:lang w:val="fr-FR"/>
        </w:rPr>
        <w:fldChar w:fldCharType="end"/>
      </w:r>
    </w:p>
    <w:p w:rsidR="002826D5" w:rsidRPr="008F7031" w:rsidRDefault="002826D5" w:rsidP="002826D5">
      <w:pPr>
        <w:spacing w:before="240"/>
        <w:rPr>
          <w:lang w:val="fr-FR"/>
        </w:rPr>
      </w:pPr>
      <w:r>
        <w:rPr>
          <w:lang w:val="fr-CH"/>
        </w:rPr>
        <w:t xml:space="preserve">Associé à l'indicatif de pays 883 attribué en partage pour les réseaux internationaux, le code d'identification à trois chiffres ci-après a </w:t>
      </w:r>
      <w:r w:rsidRPr="008F7031">
        <w:rPr>
          <w:lang w:val="fr-CH"/>
        </w:rPr>
        <w:t xml:space="preserve">été </w:t>
      </w:r>
      <w:r w:rsidRPr="008F7031">
        <w:rPr>
          <w:b/>
          <w:bCs/>
          <w:lang w:val="fr-CH"/>
        </w:rPr>
        <w:t>attribué.</w:t>
      </w:r>
    </w:p>
    <w:p w:rsidR="002826D5" w:rsidRPr="00066A48" w:rsidRDefault="002826D5" w:rsidP="002826D5">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182"/>
        <w:gridCol w:w="1926"/>
        <w:gridCol w:w="2482"/>
        <w:gridCol w:w="2482"/>
      </w:tblGrid>
      <w:tr w:rsidR="002826D5" w:rsidRPr="002F0F0F" w:rsidTr="002826D5">
        <w:trPr>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rsidR="002826D5" w:rsidRDefault="002826D5" w:rsidP="00965A5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rPr>
            </w:pPr>
            <w:proofErr w:type="spellStart"/>
            <w:r>
              <w:rPr>
                <w:rFonts w:asciiTheme="minorHAnsi" w:hAnsiTheme="minorHAnsi"/>
                <w:i/>
                <w:sz w:val="18"/>
              </w:rPr>
              <w:t>Requérant</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rsidR="002826D5" w:rsidRDefault="002826D5" w:rsidP="00965A5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iCs/>
                <w:sz w:val="18"/>
              </w:rPr>
            </w:pPr>
            <w:proofErr w:type="spellStart"/>
            <w:r>
              <w:rPr>
                <w:rFonts w:asciiTheme="minorHAnsi" w:hAnsiTheme="minorHAnsi"/>
                <w:i/>
                <w:iCs/>
                <w:sz w:val="18"/>
              </w:rPr>
              <w:t>Réseau</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2826D5" w:rsidRDefault="002826D5" w:rsidP="00965A5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Pr>
                <w:rFonts w:asciiTheme="minorHAnsi" w:hAnsiTheme="minorHAnsi"/>
                <w:i/>
                <w:sz w:val="18"/>
                <w:lang w:val="fr-CH"/>
              </w:rPr>
              <w:t>Indicatif de pays et</w:t>
            </w:r>
            <w:r>
              <w:rPr>
                <w:rFonts w:asciiTheme="minorHAnsi" w:hAnsiTheme="minorHAnsi"/>
                <w:i/>
                <w:sz w:val="18"/>
                <w:lang w:val="fr-CH"/>
              </w:rPr>
              <w:br/>
              <w:t xml:space="preserve">Code d'identification </w:t>
            </w:r>
          </w:p>
        </w:tc>
        <w:tc>
          <w:tcPr>
            <w:tcW w:w="2835" w:type="dxa"/>
            <w:tcBorders>
              <w:top w:val="single" w:sz="4" w:space="0" w:color="auto"/>
              <w:left w:val="single" w:sz="4" w:space="0" w:color="auto"/>
              <w:bottom w:val="single" w:sz="4" w:space="0" w:color="auto"/>
              <w:right w:val="single" w:sz="4" w:space="0" w:color="auto"/>
            </w:tcBorders>
          </w:tcPr>
          <w:p w:rsidR="002826D5" w:rsidRDefault="002826D5" w:rsidP="00965A5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Pr>
                <w:rFonts w:asciiTheme="minorHAnsi" w:hAnsiTheme="minorHAnsi"/>
                <w:i/>
                <w:sz w:val="18"/>
                <w:lang w:val="fr-CH"/>
              </w:rPr>
              <w:t>Date d’attribution</w:t>
            </w:r>
          </w:p>
        </w:tc>
      </w:tr>
      <w:tr w:rsidR="002826D5" w:rsidTr="002826D5">
        <w:trPr>
          <w:jc w:val="center"/>
        </w:trPr>
        <w:tc>
          <w:tcPr>
            <w:tcW w:w="2488" w:type="dxa"/>
            <w:tcBorders>
              <w:top w:val="single" w:sz="4" w:space="0" w:color="auto"/>
              <w:left w:val="single" w:sz="4" w:space="0" w:color="auto"/>
              <w:bottom w:val="single" w:sz="4" w:space="0" w:color="auto"/>
              <w:right w:val="single" w:sz="4" w:space="0" w:color="auto"/>
            </w:tcBorders>
            <w:hideMark/>
          </w:tcPr>
          <w:p w:rsidR="002826D5" w:rsidRPr="00147367" w:rsidRDefault="002826D5" w:rsidP="00965A54">
            <w:pPr>
              <w:tabs>
                <w:tab w:val="clear" w:pos="567"/>
              </w:tabs>
              <w:spacing w:before="40" w:after="40" w:line="276" w:lineRule="auto"/>
              <w:jc w:val="left"/>
              <w:rPr>
                <w:bCs/>
                <w:sz w:val="18"/>
                <w:szCs w:val="18"/>
                <w:lang w:val="en-US"/>
              </w:rPr>
            </w:pPr>
            <w:proofErr w:type="spellStart"/>
            <w:r w:rsidRPr="00147367">
              <w:rPr>
                <w:sz w:val="18"/>
                <w:szCs w:val="18"/>
              </w:rPr>
              <w:t>Ooredoo</w:t>
            </w:r>
            <w:proofErr w:type="spellEnd"/>
          </w:p>
        </w:tc>
        <w:tc>
          <w:tcPr>
            <w:tcW w:w="2192" w:type="dxa"/>
            <w:tcBorders>
              <w:top w:val="single" w:sz="4" w:space="0" w:color="auto"/>
              <w:left w:val="single" w:sz="4" w:space="0" w:color="auto"/>
              <w:bottom w:val="single" w:sz="4" w:space="0" w:color="auto"/>
              <w:right w:val="single" w:sz="4" w:space="0" w:color="auto"/>
            </w:tcBorders>
            <w:hideMark/>
          </w:tcPr>
          <w:p w:rsidR="002826D5" w:rsidRPr="00147367" w:rsidRDefault="002826D5" w:rsidP="00965A54">
            <w:pPr>
              <w:tabs>
                <w:tab w:val="clear" w:pos="567"/>
              </w:tabs>
              <w:spacing w:before="40" w:after="40" w:line="276" w:lineRule="auto"/>
              <w:jc w:val="left"/>
              <w:rPr>
                <w:bCs/>
                <w:sz w:val="18"/>
                <w:szCs w:val="18"/>
                <w:lang w:val="en-US"/>
              </w:rPr>
            </w:pPr>
            <w:proofErr w:type="spellStart"/>
            <w:r w:rsidRPr="00147367">
              <w:rPr>
                <w:sz w:val="18"/>
                <w:szCs w:val="18"/>
              </w:rPr>
              <w:t>Ooredoo</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2826D5" w:rsidRDefault="002826D5" w:rsidP="00965A54">
            <w:pPr>
              <w:tabs>
                <w:tab w:val="clear" w:pos="567"/>
              </w:tabs>
              <w:spacing w:before="40" w:after="40" w:line="276" w:lineRule="auto"/>
              <w:jc w:val="center"/>
              <w:rPr>
                <w:bCs/>
                <w:sz w:val="18"/>
                <w:szCs w:val="22"/>
                <w:lang w:val="fr-FR"/>
              </w:rPr>
            </w:pPr>
            <w:r>
              <w:rPr>
                <w:bCs/>
                <w:sz w:val="18"/>
                <w:szCs w:val="22"/>
                <w:lang w:val="fr-FR"/>
              </w:rPr>
              <w:t>+</w:t>
            </w:r>
            <w:r>
              <w:rPr>
                <w:bCs/>
                <w:sz w:val="18"/>
                <w:szCs w:val="22"/>
              </w:rPr>
              <w:t>883 180</w:t>
            </w:r>
          </w:p>
        </w:tc>
        <w:tc>
          <w:tcPr>
            <w:tcW w:w="2835" w:type="dxa"/>
            <w:tcBorders>
              <w:top w:val="single" w:sz="4" w:space="0" w:color="auto"/>
              <w:left w:val="single" w:sz="4" w:space="0" w:color="auto"/>
              <w:bottom w:val="single" w:sz="4" w:space="0" w:color="auto"/>
              <w:right w:val="single" w:sz="4" w:space="0" w:color="auto"/>
            </w:tcBorders>
          </w:tcPr>
          <w:p w:rsidR="002826D5" w:rsidRDefault="002826D5" w:rsidP="00965A54">
            <w:pPr>
              <w:tabs>
                <w:tab w:val="clear" w:pos="567"/>
              </w:tabs>
              <w:spacing w:before="40" w:after="40" w:line="276" w:lineRule="auto"/>
              <w:jc w:val="center"/>
              <w:rPr>
                <w:bCs/>
                <w:sz w:val="18"/>
                <w:szCs w:val="22"/>
                <w:lang w:val="fr-FR"/>
              </w:rPr>
            </w:pPr>
            <w:proofErr w:type="gramStart"/>
            <w:r>
              <w:rPr>
                <w:bCs/>
                <w:sz w:val="18"/>
                <w:szCs w:val="22"/>
                <w:lang w:val="fr-FR"/>
              </w:rPr>
              <w:t>5.VI.2015</w:t>
            </w:r>
            <w:proofErr w:type="gramEnd"/>
          </w:p>
        </w:tc>
      </w:tr>
    </w:tbl>
    <w:p w:rsidR="002826D5" w:rsidRDefault="002826D5" w:rsidP="002826D5">
      <w:pPr>
        <w:rPr>
          <w:lang w:val="fr-CH"/>
        </w:rPr>
      </w:pPr>
    </w:p>
    <w:p w:rsidR="002826D5" w:rsidRDefault="002826D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2826D5" w:rsidRDefault="002826D5" w:rsidP="002826D5">
      <w:pPr>
        <w:pStyle w:val="Heading20"/>
        <w:spacing w:before="240"/>
      </w:pPr>
      <w:bookmarkStart w:id="23" w:name="_Toc304886919"/>
      <w:bookmarkStart w:id="24" w:name="_Toc423525457"/>
      <w:r>
        <w:lastRenderedPageBreak/>
        <w:t>Plan d’identification international pour les réseaux publics</w:t>
      </w:r>
      <w:r>
        <w:br/>
        <w:t xml:space="preserve">et les </w:t>
      </w:r>
      <w:proofErr w:type="gramStart"/>
      <w:r>
        <w:t>abonnements</w:t>
      </w:r>
      <w:proofErr w:type="gramEnd"/>
      <w:r>
        <w:br/>
        <w:t>(Recommandation UIT-T E.212 (05/2008))</w:t>
      </w:r>
      <w:bookmarkEnd w:id="23"/>
      <w:bookmarkEnd w:id="24"/>
    </w:p>
    <w:p w:rsidR="002826D5" w:rsidRDefault="002826D5" w:rsidP="002826D5">
      <w:pPr>
        <w:spacing w:before="360"/>
        <w:rPr>
          <w:b/>
          <w:lang w:val="fr-FR"/>
        </w:rPr>
      </w:pPr>
      <w:r>
        <w:rPr>
          <w:b/>
          <w:lang w:val="fr-FR"/>
        </w:rPr>
        <w:t>Note du TSB</w:t>
      </w:r>
    </w:p>
    <w:p w:rsidR="002826D5" w:rsidRDefault="002826D5" w:rsidP="002826D5">
      <w:pPr>
        <w:jc w:val="center"/>
        <w:rPr>
          <w:i/>
          <w:iCs/>
          <w:lang w:val="fr-FR"/>
        </w:rPr>
      </w:pPr>
      <w:r>
        <w:rPr>
          <w:i/>
          <w:iCs/>
          <w:lang w:val="fr-FR"/>
        </w:rPr>
        <w:t>Codes d'identification des systèmes mobiles internationaux</w:t>
      </w:r>
      <w:r>
        <w:rPr>
          <w:i/>
          <w:iCs/>
          <w:lang w:val="fr-FR"/>
        </w:rPr>
        <w:fldChar w:fldCharType="begin"/>
      </w:r>
      <w:r w:rsidRPr="002826D5">
        <w:rPr>
          <w:lang w:val="fr-CH"/>
        </w:rPr>
        <w:instrText xml:space="preserve"> TC "</w:instrText>
      </w:r>
      <w:r w:rsidRPr="004F2E89">
        <w:rPr>
          <w:i/>
          <w:iCs/>
          <w:lang w:val="fr-FR"/>
        </w:rPr>
        <w:instrText>Codes d'identification des systèmes mobiles internationaux</w:instrText>
      </w:r>
      <w:r w:rsidRPr="002826D5">
        <w:rPr>
          <w:lang w:val="fr-CH"/>
        </w:rPr>
        <w:instrText xml:space="preserve">" \f C \l "1" </w:instrText>
      </w:r>
      <w:r>
        <w:rPr>
          <w:i/>
          <w:iCs/>
          <w:lang w:val="fr-FR"/>
        </w:rPr>
        <w:fldChar w:fldCharType="end"/>
      </w:r>
    </w:p>
    <w:p w:rsidR="002826D5" w:rsidRPr="003605CC" w:rsidRDefault="002826D5" w:rsidP="002826D5">
      <w:pPr>
        <w:rPr>
          <w:lang w:val="fr-FR"/>
        </w:rPr>
      </w:pPr>
      <w:r>
        <w:rPr>
          <w:lang w:val="fr-FR"/>
        </w:rPr>
        <w:t>Associé</w:t>
      </w:r>
      <w:r w:rsidRPr="003605CC">
        <w:rPr>
          <w:lang w:val="fr-FR"/>
        </w:rPr>
        <w:t xml:space="preserve"> à l'indicatif de pays </w:t>
      </w:r>
      <w:r>
        <w:rPr>
          <w:lang w:val="fr-FR"/>
        </w:rPr>
        <w:t>du mobile</w:t>
      </w:r>
      <w:r w:rsidRPr="003605CC">
        <w:rPr>
          <w:lang w:val="fr-FR"/>
        </w:rPr>
        <w:t xml:space="preserve"> (MCC) 901 attribué en partage, le code de réseau mobile (MNC) à deux chiffres ci</w:t>
      </w:r>
      <w:r w:rsidRPr="003605CC">
        <w:rPr>
          <w:lang w:val="fr-FR"/>
        </w:rPr>
        <w:noBreakHyphen/>
        <w:t xml:space="preserve">après a été attribué le </w:t>
      </w:r>
      <w:r>
        <w:rPr>
          <w:lang w:val="fr-FR"/>
        </w:rPr>
        <w:t>5 juin</w:t>
      </w:r>
      <w:r w:rsidRPr="003605CC">
        <w:rPr>
          <w:lang w:val="fr-FR"/>
        </w:rPr>
        <w:t xml:space="preserve"> 2015:</w:t>
      </w:r>
    </w:p>
    <w:p w:rsidR="002826D5" w:rsidRPr="003605CC" w:rsidRDefault="002826D5" w:rsidP="002826D5">
      <w:pPr>
        <w:rPr>
          <w:lang w:val="fr-FR"/>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3"/>
        <w:gridCol w:w="4702"/>
      </w:tblGrid>
      <w:tr w:rsidR="002826D5" w:rsidRPr="008D142F" w:rsidTr="00965A54">
        <w:trPr>
          <w:tblHeader/>
          <w:jc w:val="center"/>
        </w:trPr>
        <w:tc>
          <w:tcPr>
            <w:tcW w:w="4373" w:type="dxa"/>
            <w:tcBorders>
              <w:top w:val="single" w:sz="4" w:space="0" w:color="000000"/>
              <w:left w:val="single" w:sz="4" w:space="0" w:color="000000"/>
              <w:bottom w:val="single" w:sz="4" w:space="0" w:color="000000"/>
              <w:right w:val="single" w:sz="4" w:space="0" w:color="000000"/>
            </w:tcBorders>
            <w:vAlign w:val="center"/>
            <w:hideMark/>
          </w:tcPr>
          <w:p w:rsidR="002826D5" w:rsidRPr="003605CC" w:rsidRDefault="002826D5" w:rsidP="00965A54">
            <w:pPr>
              <w:keepNext/>
              <w:tabs>
                <w:tab w:val="clear" w:pos="567"/>
              </w:tabs>
              <w:spacing w:before="60" w:after="60" w:line="276" w:lineRule="auto"/>
              <w:jc w:val="center"/>
              <w:rPr>
                <w:i/>
                <w:sz w:val="18"/>
                <w:lang w:val="fr-FR"/>
              </w:rPr>
            </w:pPr>
            <w:r w:rsidRPr="003605CC">
              <w:rPr>
                <w:i/>
                <w:sz w:val="18"/>
                <w:lang w:val="fr-FR"/>
              </w:rPr>
              <w:t>Réseau</w:t>
            </w:r>
          </w:p>
        </w:tc>
        <w:tc>
          <w:tcPr>
            <w:tcW w:w="4702" w:type="dxa"/>
            <w:tcBorders>
              <w:top w:val="single" w:sz="4" w:space="0" w:color="000000"/>
              <w:left w:val="single" w:sz="4" w:space="0" w:color="000000"/>
              <w:bottom w:val="single" w:sz="4" w:space="0" w:color="000000"/>
              <w:right w:val="single" w:sz="4" w:space="0" w:color="000000"/>
            </w:tcBorders>
            <w:vAlign w:val="center"/>
            <w:hideMark/>
          </w:tcPr>
          <w:p w:rsidR="002826D5" w:rsidRPr="003605CC" w:rsidRDefault="002826D5" w:rsidP="00965A54">
            <w:pPr>
              <w:keepNext/>
              <w:tabs>
                <w:tab w:val="clear" w:pos="567"/>
              </w:tabs>
              <w:spacing w:before="60" w:after="60" w:line="276" w:lineRule="auto"/>
              <w:jc w:val="center"/>
              <w:rPr>
                <w:i/>
                <w:sz w:val="18"/>
                <w:lang w:val="fr-CH"/>
              </w:rPr>
            </w:pPr>
            <w:r w:rsidRPr="003605CC">
              <w:rPr>
                <w:i/>
                <w:sz w:val="18"/>
                <w:lang w:val="fr-FR"/>
              </w:rPr>
              <w:t>Indicatif de pays du mobile (MCC)*</w:t>
            </w:r>
            <w:r>
              <w:rPr>
                <w:i/>
                <w:sz w:val="18"/>
                <w:lang w:val="fr-FR"/>
              </w:rPr>
              <w:t xml:space="preserve"> </w:t>
            </w:r>
            <w:r w:rsidRPr="003605CC">
              <w:rPr>
                <w:i/>
                <w:sz w:val="18"/>
                <w:lang w:val="fr-FR"/>
              </w:rPr>
              <w:br/>
              <w:t>et Code de réseau mobile (MNC</w:t>
            </w:r>
            <w:proofErr w:type="gramStart"/>
            <w:r w:rsidRPr="003605CC">
              <w:rPr>
                <w:i/>
                <w:sz w:val="18"/>
                <w:lang w:val="fr-FR"/>
              </w:rPr>
              <w:t>)*</w:t>
            </w:r>
            <w:proofErr w:type="gramEnd"/>
            <w:r w:rsidRPr="003605CC">
              <w:rPr>
                <w:i/>
                <w:sz w:val="18"/>
                <w:lang w:val="fr-FR"/>
              </w:rPr>
              <w:t>*</w:t>
            </w:r>
          </w:p>
        </w:tc>
      </w:tr>
      <w:tr w:rsidR="002826D5" w:rsidRPr="003605CC" w:rsidTr="00965A54">
        <w:trPr>
          <w:jc w:val="center"/>
        </w:trPr>
        <w:tc>
          <w:tcPr>
            <w:tcW w:w="4373" w:type="dxa"/>
            <w:tcBorders>
              <w:top w:val="single" w:sz="4" w:space="0" w:color="000000"/>
              <w:left w:val="single" w:sz="4" w:space="0" w:color="000000"/>
              <w:bottom w:val="single" w:sz="4" w:space="0" w:color="000000"/>
              <w:right w:val="single" w:sz="4" w:space="0" w:color="000000"/>
            </w:tcBorders>
            <w:textDirection w:val="lrTbV"/>
            <w:hideMark/>
          </w:tcPr>
          <w:p w:rsidR="002826D5" w:rsidRPr="00107395" w:rsidRDefault="002826D5" w:rsidP="00965A54">
            <w:pPr>
              <w:pStyle w:val="Tabletext0"/>
              <w:spacing w:line="276" w:lineRule="auto"/>
              <w:rPr>
                <w:lang w:val="en-US"/>
              </w:rPr>
            </w:pPr>
            <w:proofErr w:type="spellStart"/>
            <w:r w:rsidRPr="00822B70">
              <w:rPr>
                <w:lang w:val="en-US"/>
              </w:rPr>
              <w:t>Ooredoo</w:t>
            </w:r>
            <w:proofErr w:type="spellEnd"/>
          </w:p>
        </w:tc>
        <w:tc>
          <w:tcPr>
            <w:tcW w:w="4702" w:type="dxa"/>
            <w:tcBorders>
              <w:top w:val="single" w:sz="4" w:space="0" w:color="000000"/>
              <w:left w:val="single" w:sz="4" w:space="0" w:color="000000"/>
              <w:bottom w:val="single" w:sz="4" w:space="0" w:color="000000"/>
              <w:right w:val="single" w:sz="4" w:space="0" w:color="000000"/>
            </w:tcBorders>
            <w:textDirection w:val="lrTbV"/>
            <w:hideMark/>
          </w:tcPr>
          <w:p w:rsidR="002826D5" w:rsidRPr="003605CC" w:rsidRDefault="002826D5" w:rsidP="00965A54">
            <w:pPr>
              <w:pStyle w:val="Tabletext0"/>
              <w:spacing w:line="276" w:lineRule="auto"/>
              <w:jc w:val="center"/>
            </w:pPr>
            <w:r w:rsidRPr="003605CC">
              <w:t>9</w:t>
            </w:r>
            <w:r>
              <w:t>01 47</w:t>
            </w:r>
          </w:p>
        </w:tc>
      </w:tr>
    </w:tbl>
    <w:p w:rsidR="002826D5" w:rsidRDefault="002826D5" w:rsidP="002826D5">
      <w:pPr>
        <w:tabs>
          <w:tab w:val="center" w:pos="4703"/>
          <w:tab w:val="right" w:pos="9406"/>
        </w:tabs>
        <w:rPr>
          <w:rFonts w:asciiTheme="minorHAnsi" w:hAnsiTheme="minorHAnsi"/>
          <w:sz w:val="16"/>
          <w:szCs w:val="16"/>
        </w:rPr>
      </w:pPr>
    </w:p>
    <w:p w:rsidR="002826D5" w:rsidRPr="003605CC" w:rsidRDefault="002826D5" w:rsidP="002826D5">
      <w:pPr>
        <w:tabs>
          <w:tab w:val="center" w:pos="4703"/>
          <w:tab w:val="right" w:pos="9406"/>
        </w:tabs>
        <w:rPr>
          <w:rFonts w:asciiTheme="minorHAnsi" w:hAnsiTheme="minorHAnsi"/>
          <w:sz w:val="16"/>
          <w:szCs w:val="16"/>
        </w:rPr>
      </w:pPr>
      <w:r w:rsidRPr="003605CC">
        <w:rPr>
          <w:rFonts w:asciiTheme="minorHAnsi" w:hAnsiTheme="minorHAnsi"/>
          <w:sz w:val="16"/>
          <w:szCs w:val="16"/>
        </w:rPr>
        <w:t>______________</w:t>
      </w:r>
    </w:p>
    <w:p w:rsidR="002826D5" w:rsidRDefault="002826D5" w:rsidP="002826D5">
      <w:pPr>
        <w:tabs>
          <w:tab w:val="clear" w:pos="567"/>
          <w:tab w:val="left" w:pos="426"/>
          <w:tab w:val="left" w:pos="992"/>
          <w:tab w:val="left" w:pos="1418"/>
          <w:tab w:val="left" w:pos="2268"/>
        </w:tabs>
        <w:spacing w:before="0"/>
        <w:ind w:left="992" w:hanging="992"/>
        <w:jc w:val="left"/>
        <w:rPr>
          <w:rFonts w:asciiTheme="minorHAnsi" w:hAnsiTheme="minorHAnsi"/>
          <w:sz w:val="16"/>
          <w:szCs w:val="16"/>
        </w:rPr>
      </w:pPr>
      <w:r>
        <w:rPr>
          <w:rFonts w:asciiTheme="minorHAnsi" w:hAnsiTheme="minorHAnsi"/>
          <w:sz w:val="16"/>
          <w:szCs w:val="16"/>
        </w:rPr>
        <w:t>*</w:t>
      </w:r>
      <w:r>
        <w:rPr>
          <w:rFonts w:asciiTheme="minorHAnsi" w:hAnsiTheme="minorHAnsi"/>
          <w:sz w:val="16"/>
          <w:szCs w:val="16"/>
        </w:rPr>
        <w:tab/>
        <w:t xml:space="preserve">MCC: Mobile Country Code / </w:t>
      </w:r>
      <w:proofErr w:type="spellStart"/>
      <w:r>
        <w:rPr>
          <w:rFonts w:asciiTheme="minorHAnsi" w:hAnsiTheme="minorHAnsi"/>
          <w:sz w:val="16"/>
          <w:szCs w:val="16"/>
        </w:rPr>
        <w:t>Indicatif</w:t>
      </w:r>
      <w:proofErr w:type="spellEnd"/>
      <w:r>
        <w:rPr>
          <w:rFonts w:asciiTheme="minorHAnsi" w:hAnsiTheme="minorHAnsi"/>
          <w:sz w:val="16"/>
          <w:szCs w:val="16"/>
        </w:rPr>
        <w:t xml:space="preserve"> de pays du mobile / </w:t>
      </w:r>
      <w:proofErr w:type="spellStart"/>
      <w:r>
        <w:rPr>
          <w:rFonts w:asciiTheme="minorHAnsi" w:hAnsiTheme="minorHAnsi"/>
          <w:sz w:val="16"/>
          <w:szCs w:val="16"/>
        </w:rPr>
        <w:t>Indicativo</w:t>
      </w:r>
      <w:proofErr w:type="spellEnd"/>
      <w:r>
        <w:rPr>
          <w:rFonts w:asciiTheme="minorHAnsi" w:hAnsiTheme="minorHAnsi"/>
          <w:sz w:val="16"/>
          <w:szCs w:val="16"/>
        </w:rPr>
        <w:t xml:space="preserve"> de </w:t>
      </w:r>
      <w:proofErr w:type="spellStart"/>
      <w:r>
        <w:rPr>
          <w:rFonts w:asciiTheme="minorHAnsi" w:hAnsiTheme="minorHAnsi"/>
          <w:sz w:val="16"/>
          <w:szCs w:val="16"/>
        </w:rPr>
        <w:t>país</w:t>
      </w:r>
      <w:proofErr w:type="spellEnd"/>
      <w:r>
        <w:rPr>
          <w:rFonts w:asciiTheme="minorHAnsi" w:hAnsiTheme="minorHAnsi"/>
          <w:sz w:val="16"/>
          <w:szCs w:val="16"/>
        </w:rPr>
        <w:t xml:space="preserve"> para el </w:t>
      </w:r>
      <w:proofErr w:type="spellStart"/>
      <w:r>
        <w:rPr>
          <w:rFonts w:asciiTheme="minorHAnsi" w:hAnsiTheme="minorHAnsi"/>
          <w:sz w:val="16"/>
          <w:szCs w:val="16"/>
        </w:rPr>
        <w:t>servicio</w:t>
      </w:r>
      <w:proofErr w:type="spellEnd"/>
      <w:r>
        <w:rPr>
          <w:rFonts w:asciiTheme="minorHAnsi" w:hAnsiTheme="minorHAnsi"/>
          <w:sz w:val="16"/>
          <w:szCs w:val="16"/>
        </w:rPr>
        <w:t xml:space="preserve"> </w:t>
      </w:r>
      <w:proofErr w:type="spellStart"/>
      <w:r>
        <w:rPr>
          <w:rFonts w:asciiTheme="minorHAnsi" w:hAnsiTheme="minorHAnsi"/>
          <w:sz w:val="16"/>
          <w:szCs w:val="16"/>
        </w:rPr>
        <w:t>móvil</w:t>
      </w:r>
      <w:proofErr w:type="spellEnd"/>
    </w:p>
    <w:p w:rsidR="002826D5" w:rsidRPr="00965A54" w:rsidRDefault="002826D5" w:rsidP="002826D5">
      <w:pPr>
        <w:tabs>
          <w:tab w:val="clear" w:pos="567"/>
          <w:tab w:val="left" w:pos="426"/>
          <w:tab w:val="left" w:pos="992"/>
          <w:tab w:val="left" w:pos="1418"/>
          <w:tab w:val="left" w:pos="2268"/>
        </w:tabs>
        <w:spacing w:before="0"/>
        <w:ind w:left="992" w:hanging="992"/>
        <w:jc w:val="left"/>
        <w:rPr>
          <w:lang w:val="fr-CH"/>
        </w:rPr>
      </w:pPr>
      <w:r w:rsidRPr="00965A54">
        <w:rPr>
          <w:rFonts w:asciiTheme="minorHAnsi" w:hAnsiTheme="minorHAnsi"/>
          <w:sz w:val="16"/>
          <w:szCs w:val="16"/>
          <w:lang w:val="fr-CH"/>
        </w:rPr>
        <w:t>**</w:t>
      </w:r>
      <w:r w:rsidRPr="00965A54">
        <w:rPr>
          <w:rFonts w:asciiTheme="minorHAnsi" w:hAnsiTheme="minorHAnsi"/>
          <w:sz w:val="16"/>
          <w:szCs w:val="16"/>
          <w:lang w:val="fr-CH"/>
        </w:rPr>
        <w:tab/>
        <w:t xml:space="preserve">MNC: Mobile Network Code / Code de réseau mobile / </w:t>
      </w:r>
      <w:proofErr w:type="spellStart"/>
      <w:r w:rsidRPr="00965A54">
        <w:rPr>
          <w:rFonts w:asciiTheme="minorHAnsi" w:hAnsiTheme="minorHAnsi"/>
          <w:sz w:val="16"/>
          <w:szCs w:val="16"/>
          <w:lang w:val="fr-CH"/>
        </w:rPr>
        <w:t>Indicativo</w:t>
      </w:r>
      <w:proofErr w:type="spellEnd"/>
      <w:r w:rsidRPr="00965A54">
        <w:rPr>
          <w:rFonts w:asciiTheme="minorHAnsi" w:hAnsiTheme="minorHAnsi"/>
          <w:sz w:val="16"/>
          <w:szCs w:val="16"/>
          <w:lang w:val="fr-CH"/>
        </w:rPr>
        <w:t xml:space="preserve"> de </w:t>
      </w:r>
      <w:proofErr w:type="spellStart"/>
      <w:r w:rsidRPr="00965A54">
        <w:rPr>
          <w:rFonts w:asciiTheme="minorHAnsi" w:hAnsiTheme="minorHAnsi"/>
          <w:sz w:val="16"/>
          <w:szCs w:val="16"/>
          <w:lang w:val="fr-CH"/>
        </w:rPr>
        <w:t>red</w:t>
      </w:r>
      <w:proofErr w:type="spellEnd"/>
      <w:r w:rsidRPr="00965A54">
        <w:rPr>
          <w:rFonts w:asciiTheme="minorHAnsi" w:hAnsiTheme="minorHAnsi"/>
          <w:sz w:val="16"/>
          <w:szCs w:val="16"/>
          <w:lang w:val="fr-CH"/>
        </w:rPr>
        <w:t xml:space="preserve"> para el </w:t>
      </w:r>
      <w:proofErr w:type="spellStart"/>
      <w:r w:rsidRPr="00965A54">
        <w:rPr>
          <w:rFonts w:asciiTheme="minorHAnsi" w:hAnsiTheme="minorHAnsi"/>
          <w:sz w:val="16"/>
          <w:szCs w:val="16"/>
          <w:lang w:val="fr-CH"/>
        </w:rPr>
        <w:t>servicio</w:t>
      </w:r>
      <w:proofErr w:type="spellEnd"/>
      <w:r w:rsidRPr="00965A54">
        <w:rPr>
          <w:rFonts w:asciiTheme="minorHAnsi" w:hAnsiTheme="minorHAnsi"/>
          <w:sz w:val="16"/>
          <w:szCs w:val="16"/>
          <w:lang w:val="fr-CH"/>
        </w:rPr>
        <w:t xml:space="preserve"> </w:t>
      </w:r>
      <w:proofErr w:type="spellStart"/>
      <w:r w:rsidRPr="00965A54">
        <w:rPr>
          <w:rFonts w:asciiTheme="minorHAnsi" w:hAnsiTheme="minorHAnsi"/>
          <w:sz w:val="16"/>
          <w:szCs w:val="16"/>
          <w:lang w:val="fr-CH"/>
        </w:rPr>
        <w:t>móvil</w:t>
      </w:r>
      <w:proofErr w:type="spellEnd"/>
    </w:p>
    <w:p w:rsidR="002826D5" w:rsidRDefault="002826D5" w:rsidP="00965A54">
      <w:pPr>
        <w:rPr>
          <w:lang w:val="fr-CH"/>
        </w:rPr>
      </w:pPr>
    </w:p>
    <w:p w:rsidR="00965A54" w:rsidRPr="00965A54" w:rsidRDefault="00965A54" w:rsidP="00965A54">
      <w:pPr>
        <w:rPr>
          <w:lang w:val="fr-CH"/>
        </w:rPr>
      </w:pPr>
    </w:p>
    <w:p w:rsidR="00965A54" w:rsidRDefault="00965A54" w:rsidP="00965A54">
      <w:pPr>
        <w:pStyle w:val="Heading20"/>
        <w:spacing w:before="0"/>
        <w:rPr>
          <w:rFonts w:asciiTheme="minorBidi" w:hAnsiTheme="minorBidi" w:cstheme="minorBidi"/>
        </w:rPr>
      </w:pPr>
      <w:bookmarkStart w:id="25" w:name="_Toc419901112"/>
      <w:bookmarkStart w:id="26" w:name="_Toc423525458"/>
      <w:bookmarkStart w:id="27" w:name="_Toc413747702"/>
      <w:r>
        <w:t xml:space="preserve">Service </w:t>
      </w:r>
      <w:proofErr w:type="gramStart"/>
      <w:r>
        <w:t>téléphonique</w:t>
      </w:r>
      <w:proofErr w:type="gramEnd"/>
      <w:r>
        <w:br/>
        <w:t>(Recommandation UIT-T E.164)</w:t>
      </w:r>
      <w:bookmarkEnd w:id="25"/>
      <w:bookmarkEnd w:id="26"/>
    </w:p>
    <w:p w:rsidR="00965A54" w:rsidRPr="009C58B1" w:rsidRDefault="00965A54" w:rsidP="00965A54">
      <w:pPr>
        <w:tabs>
          <w:tab w:val="left" w:pos="2160"/>
          <w:tab w:val="left" w:pos="2430"/>
        </w:tabs>
        <w:jc w:val="center"/>
      </w:pPr>
      <w:proofErr w:type="gramStart"/>
      <w:r w:rsidRPr="009C58B1">
        <w:t>url</w:t>
      </w:r>
      <w:proofErr w:type="gramEnd"/>
      <w:r w:rsidRPr="009C58B1">
        <w:t xml:space="preserve">: </w:t>
      </w:r>
      <w:hyperlink r:id="rId16" w:history="1">
        <w:r w:rsidRPr="009C58B1">
          <w:t>www.itu.int/itu-t/inr/nnp</w:t>
        </w:r>
      </w:hyperlink>
    </w:p>
    <w:p w:rsidR="00965A54" w:rsidRPr="00DE0C83" w:rsidRDefault="00965A54" w:rsidP="00965A54">
      <w:pPr>
        <w:pStyle w:val="Headingb"/>
        <w:rPr>
          <w:rFonts w:asciiTheme="minorHAnsi" w:hAnsiTheme="minorHAnsi"/>
          <w:sz w:val="20"/>
        </w:rPr>
      </w:pPr>
      <w:r w:rsidRPr="00DE0C83">
        <w:rPr>
          <w:rFonts w:asciiTheme="minorHAnsi" w:hAnsiTheme="minorHAnsi"/>
          <w:sz w:val="20"/>
        </w:rPr>
        <w:t>Danemark</w:t>
      </w:r>
      <w:r>
        <w:rPr>
          <w:rFonts w:asciiTheme="minorHAnsi" w:hAnsiTheme="minorHAnsi"/>
          <w:sz w:val="20"/>
        </w:rPr>
        <w:fldChar w:fldCharType="begin"/>
      </w:r>
      <w:r>
        <w:instrText xml:space="preserve"> TC "</w:instrText>
      </w:r>
      <w:r w:rsidRPr="00770E2A">
        <w:rPr>
          <w:rFonts w:asciiTheme="minorHAnsi" w:hAnsiTheme="minorHAnsi"/>
          <w:sz w:val="20"/>
        </w:rPr>
        <w:instrText>Danemark</w:instrText>
      </w:r>
      <w:r>
        <w:instrText xml:space="preserve">" \f C \l "1" </w:instrText>
      </w:r>
      <w:r>
        <w:rPr>
          <w:rFonts w:asciiTheme="minorHAnsi" w:hAnsiTheme="minorHAnsi"/>
          <w:sz w:val="20"/>
        </w:rPr>
        <w:fldChar w:fldCharType="end"/>
      </w:r>
      <w:r w:rsidRPr="00DE0C83">
        <w:rPr>
          <w:rFonts w:asciiTheme="minorHAnsi" w:hAnsiTheme="minorHAnsi"/>
          <w:sz w:val="20"/>
        </w:rPr>
        <w:fldChar w:fldCharType="begin"/>
      </w:r>
      <w:r w:rsidRPr="00DE0C83">
        <w:rPr>
          <w:rFonts w:asciiTheme="minorHAnsi" w:hAnsiTheme="minorHAnsi"/>
          <w:sz w:val="20"/>
        </w:rPr>
        <w:instrText xml:space="preserve"> TC "</w:instrText>
      </w:r>
      <w:bookmarkStart w:id="28" w:name="_Toc367709191"/>
      <w:r w:rsidRPr="00DE0C83">
        <w:rPr>
          <w:rFonts w:asciiTheme="minorHAnsi" w:hAnsiTheme="minorHAnsi"/>
          <w:sz w:val="20"/>
        </w:rPr>
        <w:instrText>Danemark</w:instrText>
      </w:r>
      <w:bookmarkEnd w:id="28"/>
      <w:r w:rsidRPr="00DE0C83">
        <w:rPr>
          <w:rFonts w:asciiTheme="minorHAnsi" w:hAnsiTheme="minorHAnsi"/>
          <w:sz w:val="20"/>
        </w:rPr>
        <w:instrText xml:space="preserve">" \f C \l "1" </w:instrText>
      </w:r>
      <w:r w:rsidRPr="00DE0C83">
        <w:rPr>
          <w:rFonts w:asciiTheme="minorHAnsi" w:hAnsiTheme="minorHAnsi"/>
          <w:sz w:val="20"/>
        </w:rPr>
        <w:fldChar w:fldCharType="end"/>
      </w:r>
      <w:r w:rsidRPr="00DE0C83">
        <w:rPr>
          <w:rFonts w:asciiTheme="minorHAnsi" w:hAnsiTheme="minorHAnsi"/>
          <w:sz w:val="20"/>
        </w:rPr>
        <w:t xml:space="preserve"> (indicatif de pays +45)</w:t>
      </w:r>
      <w:bookmarkEnd w:id="27"/>
    </w:p>
    <w:p w:rsidR="00965A54" w:rsidRPr="00965A54" w:rsidRDefault="00965A54" w:rsidP="00965A54">
      <w:pPr>
        <w:spacing w:before="0"/>
        <w:rPr>
          <w:rFonts w:asciiTheme="minorHAnsi" w:hAnsiTheme="minorHAnsi"/>
          <w:lang w:val="fr-CH"/>
        </w:rPr>
      </w:pPr>
      <w:r w:rsidRPr="00965A54">
        <w:rPr>
          <w:rFonts w:asciiTheme="minorHAnsi" w:hAnsiTheme="minorHAnsi"/>
          <w:lang w:val="fr-CH"/>
        </w:rPr>
        <w:t>Communication du 4.VI.2015:</w:t>
      </w:r>
    </w:p>
    <w:p w:rsidR="00965A54" w:rsidRPr="00C16C9B" w:rsidRDefault="00965A54" w:rsidP="00965A54">
      <w:pPr>
        <w:rPr>
          <w:rFonts w:asciiTheme="minorHAnsi" w:hAnsiTheme="minorHAnsi" w:cstheme="majorBidi"/>
          <w:lang w:val="fr-CH"/>
        </w:rPr>
      </w:pPr>
      <w:r w:rsidRPr="00965A54">
        <w:rPr>
          <w:rFonts w:asciiTheme="minorHAnsi" w:hAnsiTheme="minorHAnsi" w:cstheme="majorBidi"/>
          <w:lang w:val="fr-CH"/>
        </w:rPr>
        <w:t xml:space="preserve">La </w:t>
      </w:r>
      <w:proofErr w:type="spellStart"/>
      <w:r w:rsidRPr="00965A54">
        <w:rPr>
          <w:rFonts w:asciiTheme="minorHAnsi" w:hAnsiTheme="minorHAnsi" w:cstheme="majorBidi"/>
          <w:i/>
          <w:lang w:val="fr-CH"/>
        </w:rPr>
        <w:t>Danish</w:t>
      </w:r>
      <w:proofErr w:type="spellEnd"/>
      <w:r w:rsidRPr="00965A54">
        <w:rPr>
          <w:rFonts w:asciiTheme="minorHAnsi" w:hAnsiTheme="minorHAnsi" w:cstheme="majorBidi"/>
          <w:i/>
          <w:lang w:val="fr-CH"/>
        </w:rPr>
        <w:t xml:space="preserve"> Business </w:t>
      </w:r>
      <w:proofErr w:type="spellStart"/>
      <w:r w:rsidRPr="00965A54">
        <w:rPr>
          <w:rFonts w:asciiTheme="minorHAnsi" w:hAnsiTheme="minorHAnsi" w:cstheme="majorBidi"/>
          <w:i/>
          <w:lang w:val="fr-CH"/>
        </w:rPr>
        <w:t>Authority</w:t>
      </w:r>
      <w:proofErr w:type="spellEnd"/>
      <w:r w:rsidRPr="00965A54">
        <w:rPr>
          <w:rFonts w:asciiTheme="minorHAnsi" w:hAnsiTheme="minorHAnsi" w:cstheme="majorBidi"/>
          <w:lang w:val="fr-CH"/>
        </w:rPr>
        <w:t>, Copenhague</w:t>
      </w:r>
      <w:r w:rsidRPr="00C16C9B">
        <w:rPr>
          <w:rFonts w:asciiTheme="minorHAnsi" w:hAnsiTheme="minorHAnsi" w:cstheme="majorBidi"/>
        </w:rPr>
        <w:fldChar w:fldCharType="begin"/>
      </w:r>
      <w:r w:rsidRPr="00965A54">
        <w:rPr>
          <w:rFonts w:asciiTheme="minorHAnsi" w:hAnsiTheme="minorHAnsi" w:cstheme="majorBidi"/>
          <w:lang w:val="fr-CH"/>
        </w:rPr>
        <w:instrText xml:space="preserve"> TC "</w:instrText>
      </w:r>
      <w:proofErr w:type="spellStart"/>
      <w:r w:rsidRPr="00965A54">
        <w:rPr>
          <w:rFonts w:asciiTheme="minorHAnsi" w:hAnsiTheme="minorHAnsi" w:cstheme="majorBidi"/>
          <w:i/>
          <w:lang w:val="fr-CH"/>
        </w:rPr>
        <w:instrText>Danish</w:instrText>
      </w:r>
      <w:proofErr w:type="spellEnd"/>
      <w:r w:rsidRPr="00965A54">
        <w:rPr>
          <w:rFonts w:asciiTheme="minorHAnsi" w:hAnsiTheme="minorHAnsi" w:cstheme="majorBidi"/>
          <w:i/>
          <w:lang w:val="fr-CH"/>
        </w:rPr>
        <w:instrText xml:space="preserve"> Business </w:instrText>
      </w:r>
      <w:proofErr w:type="spellStart"/>
      <w:r w:rsidRPr="00965A54">
        <w:rPr>
          <w:rFonts w:asciiTheme="minorHAnsi" w:hAnsiTheme="minorHAnsi" w:cstheme="majorBidi"/>
          <w:i/>
          <w:lang w:val="fr-CH"/>
        </w:rPr>
        <w:instrText>Authority</w:instrText>
      </w:r>
      <w:proofErr w:type="spellEnd"/>
      <w:r w:rsidRPr="00965A54">
        <w:rPr>
          <w:rFonts w:asciiTheme="minorHAnsi" w:hAnsiTheme="minorHAnsi" w:cstheme="majorBidi"/>
          <w:lang w:val="fr-CH"/>
        </w:rPr>
        <w:instrText xml:space="preserve">, </w:instrText>
      </w:r>
      <w:proofErr w:type="spellStart"/>
      <w:r w:rsidRPr="00965A54">
        <w:rPr>
          <w:rFonts w:asciiTheme="minorHAnsi" w:hAnsiTheme="minorHAnsi" w:cstheme="majorBidi"/>
          <w:lang w:val="fr-CH"/>
        </w:rPr>
        <w:instrText>Copenhagen</w:instrText>
      </w:r>
      <w:proofErr w:type="spellEnd"/>
      <w:r w:rsidRPr="00965A54">
        <w:rPr>
          <w:rFonts w:asciiTheme="minorHAnsi" w:hAnsiTheme="minorHAnsi" w:cstheme="majorBidi"/>
          <w:lang w:val="fr-CH"/>
        </w:rPr>
        <w:instrText>" \f C \l "1</w:instrText>
      </w:r>
      <w:proofErr w:type="gramStart"/>
      <w:r w:rsidRPr="00965A54">
        <w:rPr>
          <w:rFonts w:asciiTheme="minorHAnsi" w:hAnsiTheme="minorHAnsi" w:cstheme="majorBidi"/>
          <w:lang w:val="fr-CH"/>
        </w:rPr>
        <w:instrText xml:space="preserve">" </w:instrText>
      </w:r>
      <w:proofErr w:type="gramEnd"/>
      <w:r w:rsidRPr="00C16C9B">
        <w:rPr>
          <w:rFonts w:asciiTheme="minorHAnsi" w:hAnsiTheme="minorHAnsi" w:cstheme="majorBidi"/>
        </w:rPr>
        <w:fldChar w:fldCharType="end"/>
      </w:r>
      <w:r w:rsidRPr="00965A54">
        <w:rPr>
          <w:rFonts w:asciiTheme="minorHAnsi" w:hAnsiTheme="minorHAnsi" w:cstheme="majorBidi"/>
          <w:lang w:val="fr-CH"/>
        </w:rPr>
        <w:t xml:space="preserve">, </w:t>
      </w:r>
      <w:r w:rsidRPr="00C16C9B">
        <w:rPr>
          <w:rFonts w:asciiTheme="minorHAnsi" w:hAnsiTheme="minorHAnsi" w:cstheme="majorBidi"/>
          <w:lang w:val="fr-CH"/>
        </w:rPr>
        <w:t xml:space="preserve">annonce les modifications suivantes dans le plan de </w:t>
      </w:r>
      <w:r>
        <w:rPr>
          <w:rFonts w:asciiTheme="minorHAnsi" w:hAnsiTheme="minorHAnsi" w:cstheme="majorBidi"/>
          <w:lang w:val="fr-CH"/>
        </w:rPr>
        <w:t xml:space="preserve">numérotage </w:t>
      </w:r>
      <w:r w:rsidRPr="00C16C9B">
        <w:rPr>
          <w:rFonts w:asciiTheme="minorHAnsi" w:hAnsiTheme="minorHAnsi" w:cstheme="majorBidi"/>
          <w:lang w:val="fr-CH"/>
        </w:rPr>
        <w:t>téléphonique du Danemark:</w:t>
      </w:r>
    </w:p>
    <w:p w:rsidR="00965A54" w:rsidRPr="00C16C9B" w:rsidRDefault="00965A54" w:rsidP="00965A54">
      <w:pPr>
        <w:spacing w:before="240" w:after="240"/>
        <w:rPr>
          <w:rFonts w:asciiTheme="minorHAnsi" w:hAnsiTheme="minorHAnsi"/>
        </w:rPr>
      </w:pPr>
      <w:r w:rsidRPr="00C16C9B">
        <w:rPr>
          <w:rFonts w:asciiTheme="minorHAnsi" w:hAnsiTheme="minorHAnsi"/>
        </w:rPr>
        <w:t>•</w:t>
      </w:r>
      <w:r w:rsidRPr="00C16C9B">
        <w:rPr>
          <w:rFonts w:asciiTheme="minorHAnsi" w:hAnsiTheme="minorHAnsi"/>
        </w:rPr>
        <w:tab/>
      </w:r>
      <w:proofErr w:type="gramStart"/>
      <w:r w:rsidRPr="00C16C9B">
        <w:rPr>
          <w:rFonts w:asciiTheme="minorHAnsi" w:hAnsiTheme="minorHAnsi"/>
        </w:rPr>
        <w:t>attribution</w:t>
      </w:r>
      <w:proofErr w:type="gramEnd"/>
      <w:r>
        <w:rPr>
          <w:rFonts w:asciiTheme="minorHAnsi" w:hAnsiTheme="minorHAnsi"/>
        </w:rPr>
        <w:t xml:space="preserve"> </w:t>
      </w:r>
      <w:r w:rsidRPr="00C16C9B">
        <w:rPr>
          <w:rFonts w:asciiTheme="minorHAnsi" w:hAnsiTheme="minorHAnsi"/>
        </w:rPr>
        <w:t>– service de communication fixe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82"/>
        <w:gridCol w:w="4827"/>
        <w:gridCol w:w="1663"/>
      </w:tblGrid>
      <w:tr w:rsidR="00965A54" w:rsidRPr="00965A54" w:rsidTr="00965A54">
        <w:trPr>
          <w:trHeight w:val="273"/>
          <w:jc w:val="center"/>
        </w:trPr>
        <w:tc>
          <w:tcPr>
            <w:tcW w:w="2709" w:type="dxa"/>
            <w:tcBorders>
              <w:top w:val="single" w:sz="6" w:space="0" w:color="auto"/>
              <w:left w:val="single" w:sz="6" w:space="0" w:color="auto"/>
              <w:bottom w:val="single" w:sz="6" w:space="0" w:color="auto"/>
              <w:right w:val="single" w:sz="6" w:space="0" w:color="auto"/>
            </w:tcBorders>
          </w:tcPr>
          <w:p w:rsidR="00965A54" w:rsidRPr="00965A54" w:rsidRDefault="00965A54" w:rsidP="00965A54">
            <w:pPr>
              <w:pStyle w:val="Tablehead"/>
              <w:rPr>
                <w:rFonts w:asciiTheme="minorHAnsi" w:hAnsiTheme="minorHAnsi"/>
                <w:b w:val="0"/>
                <w:i w:val="0"/>
                <w:szCs w:val="18"/>
              </w:rPr>
            </w:pPr>
            <w:r w:rsidRPr="00965A54">
              <w:rPr>
                <w:rFonts w:asciiTheme="minorHAnsi" w:hAnsiTheme="minorHAnsi"/>
                <w:b w:val="0"/>
                <w:szCs w:val="18"/>
              </w:rPr>
              <w:t>Opérateur</w:t>
            </w:r>
          </w:p>
        </w:tc>
        <w:tc>
          <w:tcPr>
            <w:tcW w:w="5071" w:type="dxa"/>
            <w:tcBorders>
              <w:top w:val="single" w:sz="6" w:space="0" w:color="auto"/>
              <w:left w:val="single" w:sz="6" w:space="0" w:color="auto"/>
              <w:bottom w:val="single" w:sz="6" w:space="0" w:color="auto"/>
              <w:right w:val="single" w:sz="6" w:space="0" w:color="auto"/>
            </w:tcBorders>
          </w:tcPr>
          <w:p w:rsidR="00965A54" w:rsidRPr="00965A54" w:rsidRDefault="00965A54" w:rsidP="00965A54">
            <w:pPr>
              <w:pStyle w:val="Tablehead"/>
              <w:rPr>
                <w:rFonts w:asciiTheme="minorHAnsi" w:hAnsiTheme="minorHAnsi"/>
                <w:b w:val="0"/>
                <w:i w:val="0"/>
                <w:szCs w:val="18"/>
              </w:rPr>
            </w:pPr>
            <w:r w:rsidRPr="00965A54">
              <w:rPr>
                <w:rFonts w:asciiTheme="minorHAnsi" w:hAnsiTheme="minorHAnsi"/>
                <w:b w:val="0"/>
                <w:szCs w:val="18"/>
              </w:rPr>
              <w:t>Séries de numéros</w:t>
            </w:r>
          </w:p>
        </w:tc>
        <w:tc>
          <w:tcPr>
            <w:tcW w:w="1742" w:type="dxa"/>
            <w:tcBorders>
              <w:top w:val="single" w:sz="6" w:space="0" w:color="auto"/>
              <w:left w:val="single" w:sz="6" w:space="0" w:color="auto"/>
              <w:bottom w:val="single" w:sz="6" w:space="0" w:color="auto"/>
              <w:right w:val="single" w:sz="6" w:space="0" w:color="auto"/>
            </w:tcBorders>
          </w:tcPr>
          <w:p w:rsidR="00965A54" w:rsidRPr="00965A54" w:rsidRDefault="00965A54" w:rsidP="00965A54">
            <w:pPr>
              <w:pStyle w:val="Tablehead"/>
              <w:rPr>
                <w:rFonts w:asciiTheme="minorHAnsi" w:hAnsiTheme="minorHAnsi"/>
                <w:b w:val="0"/>
                <w:i w:val="0"/>
                <w:szCs w:val="18"/>
              </w:rPr>
            </w:pPr>
            <w:r w:rsidRPr="00965A54">
              <w:rPr>
                <w:rFonts w:asciiTheme="minorHAnsi" w:hAnsiTheme="minorHAnsi"/>
                <w:b w:val="0"/>
                <w:szCs w:val="18"/>
              </w:rPr>
              <w:t>Date d'attribution</w:t>
            </w:r>
          </w:p>
        </w:tc>
      </w:tr>
      <w:tr w:rsidR="00965A54" w:rsidRPr="00965A54" w:rsidTr="00965A54">
        <w:trPr>
          <w:jc w:val="center"/>
        </w:trPr>
        <w:tc>
          <w:tcPr>
            <w:tcW w:w="2709" w:type="dxa"/>
            <w:vMerge w:val="restart"/>
            <w:tcBorders>
              <w:top w:val="single" w:sz="6" w:space="0" w:color="auto"/>
              <w:left w:val="single" w:sz="6" w:space="0" w:color="auto"/>
              <w:right w:val="single" w:sz="6" w:space="0" w:color="auto"/>
            </w:tcBorders>
            <w:vAlign w:val="center"/>
          </w:tcPr>
          <w:p w:rsidR="00965A54" w:rsidRPr="00965A54" w:rsidRDefault="00965A54" w:rsidP="00965A54">
            <w:pPr>
              <w:numPr>
                <w:ilvl w:val="12"/>
                <w:numId w:val="0"/>
              </w:numPr>
              <w:rPr>
                <w:rFonts w:asciiTheme="minorHAnsi" w:hAnsiTheme="minorHAnsi" w:cs="Arial"/>
                <w:sz w:val="18"/>
                <w:szCs w:val="18"/>
                <w:lang w:val="da-DK"/>
              </w:rPr>
            </w:pPr>
            <w:r w:rsidRPr="00965A54">
              <w:rPr>
                <w:rFonts w:asciiTheme="minorHAnsi" w:hAnsiTheme="minorHAnsi" w:cs="Arial"/>
                <w:sz w:val="18"/>
                <w:szCs w:val="18"/>
                <w:lang w:val="da-DK"/>
              </w:rPr>
              <w:t>TDC A/S</w:t>
            </w:r>
          </w:p>
        </w:tc>
        <w:tc>
          <w:tcPr>
            <w:tcW w:w="5071" w:type="dxa"/>
            <w:tcBorders>
              <w:top w:val="single" w:sz="6" w:space="0" w:color="auto"/>
              <w:left w:val="single" w:sz="6" w:space="0" w:color="auto"/>
              <w:bottom w:val="single" w:sz="6" w:space="0" w:color="auto"/>
              <w:right w:val="single" w:sz="6" w:space="0" w:color="auto"/>
            </w:tcBorders>
          </w:tcPr>
          <w:p w:rsidR="00965A54" w:rsidRPr="00965A54" w:rsidRDefault="00965A54" w:rsidP="00965A54">
            <w:pPr>
              <w:rPr>
                <w:rFonts w:asciiTheme="minorHAnsi" w:hAnsiTheme="minorHAnsi" w:cs="Arial"/>
                <w:sz w:val="18"/>
                <w:szCs w:val="18"/>
                <w:lang w:val="da-DK"/>
              </w:rPr>
            </w:pPr>
            <w:r w:rsidRPr="00965A54">
              <w:rPr>
                <w:rFonts w:asciiTheme="minorHAnsi" w:hAnsiTheme="minorHAnsi" w:cs="Arial"/>
                <w:sz w:val="18"/>
                <w:szCs w:val="18"/>
                <w:lang w:val="da-DK"/>
              </w:rPr>
              <w:t>6211efgh</w:t>
            </w:r>
          </w:p>
        </w:tc>
        <w:tc>
          <w:tcPr>
            <w:tcW w:w="1742" w:type="dxa"/>
            <w:vMerge w:val="restart"/>
            <w:tcBorders>
              <w:top w:val="single" w:sz="6" w:space="0" w:color="auto"/>
              <w:left w:val="single" w:sz="6" w:space="0" w:color="auto"/>
              <w:right w:val="single" w:sz="6" w:space="0" w:color="auto"/>
            </w:tcBorders>
          </w:tcPr>
          <w:p w:rsidR="00965A54" w:rsidRPr="00965A54" w:rsidRDefault="00965A54" w:rsidP="00965A54">
            <w:pPr>
              <w:pStyle w:val="Tabletext"/>
              <w:spacing w:line="480" w:lineRule="auto"/>
              <w:jc w:val="center"/>
              <w:rPr>
                <w:rFonts w:asciiTheme="minorHAnsi" w:hAnsiTheme="minorHAnsi"/>
                <w:b w:val="0"/>
                <w:bCs/>
                <w:szCs w:val="18"/>
              </w:rPr>
            </w:pPr>
            <w:proofErr w:type="gramStart"/>
            <w:r w:rsidRPr="00965A54">
              <w:rPr>
                <w:rFonts w:asciiTheme="minorHAnsi" w:hAnsiTheme="minorHAnsi" w:cs="Arial"/>
                <w:b w:val="0"/>
                <w:bCs/>
                <w:szCs w:val="18"/>
              </w:rPr>
              <w:t>4.VI.2015</w:t>
            </w:r>
            <w:proofErr w:type="gramEnd"/>
          </w:p>
        </w:tc>
      </w:tr>
      <w:tr w:rsidR="00965A54" w:rsidRPr="00965A54" w:rsidTr="00965A54">
        <w:trPr>
          <w:jc w:val="center"/>
        </w:trPr>
        <w:tc>
          <w:tcPr>
            <w:tcW w:w="2709" w:type="dxa"/>
            <w:vMerge/>
            <w:tcBorders>
              <w:left w:val="single" w:sz="6" w:space="0" w:color="auto"/>
              <w:bottom w:val="single" w:sz="6" w:space="0" w:color="auto"/>
              <w:right w:val="single" w:sz="6" w:space="0" w:color="auto"/>
            </w:tcBorders>
          </w:tcPr>
          <w:p w:rsidR="00965A54" w:rsidRPr="00965A54" w:rsidRDefault="00965A54" w:rsidP="00965A54">
            <w:pPr>
              <w:pStyle w:val="Tabletext"/>
              <w:spacing w:line="480" w:lineRule="auto"/>
              <w:rPr>
                <w:rFonts w:asciiTheme="minorHAnsi" w:hAnsiTheme="minorHAnsi"/>
                <w:szCs w:val="18"/>
                <w:lang w:val="es-ES"/>
              </w:rPr>
            </w:pPr>
          </w:p>
        </w:tc>
        <w:tc>
          <w:tcPr>
            <w:tcW w:w="5071" w:type="dxa"/>
            <w:tcBorders>
              <w:top w:val="single" w:sz="6" w:space="0" w:color="auto"/>
              <w:left w:val="single" w:sz="6" w:space="0" w:color="auto"/>
              <w:bottom w:val="single" w:sz="6" w:space="0" w:color="auto"/>
              <w:right w:val="single" w:sz="6" w:space="0" w:color="auto"/>
            </w:tcBorders>
          </w:tcPr>
          <w:p w:rsidR="00965A54" w:rsidRPr="00965A54" w:rsidRDefault="00965A54" w:rsidP="00965A54">
            <w:pPr>
              <w:rPr>
                <w:rFonts w:asciiTheme="minorHAnsi" w:hAnsiTheme="minorHAnsi" w:cs="Arial"/>
                <w:sz w:val="18"/>
                <w:szCs w:val="18"/>
                <w:lang w:val="da-DK"/>
              </w:rPr>
            </w:pPr>
            <w:r w:rsidRPr="00965A54">
              <w:rPr>
                <w:rFonts w:asciiTheme="minorHAnsi" w:hAnsiTheme="minorHAnsi" w:cs="Arial"/>
                <w:sz w:val="18"/>
                <w:szCs w:val="18"/>
                <w:lang w:val="da-DK"/>
              </w:rPr>
              <w:t>6212efgh</w:t>
            </w:r>
          </w:p>
        </w:tc>
        <w:tc>
          <w:tcPr>
            <w:tcW w:w="1742" w:type="dxa"/>
            <w:vMerge/>
            <w:tcBorders>
              <w:left w:val="single" w:sz="6" w:space="0" w:color="auto"/>
              <w:bottom w:val="single" w:sz="6" w:space="0" w:color="auto"/>
              <w:right w:val="single" w:sz="6" w:space="0" w:color="auto"/>
            </w:tcBorders>
          </w:tcPr>
          <w:p w:rsidR="00965A54" w:rsidRPr="00965A54" w:rsidRDefault="00965A54" w:rsidP="00965A54">
            <w:pPr>
              <w:pStyle w:val="Tabletext"/>
              <w:spacing w:line="480" w:lineRule="auto"/>
              <w:jc w:val="center"/>
              <w:rPr>
                <w:rFonts w:asciiTheme="minorHAnsi" w:hAnsiTheme="minorHAnsi"/>
                <w:szCs w:val="18"/>
              </w:rPr>
            </w:pPr>
          </w:p>
        </w:tc>
      </w:tr>
    </w:tbl>
    <w:p w:rsidR="00965A54" w:rsidRDefault="00965A54" w:rsidP="00965A54"/>
    <w:p w:rsidR="00965A54" w:rsidRPr="008A1771" w:rsidRDefault="00965A54" w:rsidP="00965A54">
      <w:pPr>
        <w:spacing w:before="240"/>
        <w:rPr>
          <w:rFonts w:asciiTheme="minorHAnsi" w:hAnsiTheme="minorHAnsi"/>
        </w:rPr>
      </w:pPr>
      <w:r w:rsidRPr="008A1771">
        <w:rPr>
          <w:rFonts w:asciiTheme="minorHAnsi" w:hAnsiTheme="minorHAnsi"/>
        </w:rPr>
        <w:t>Contact:</w:t>
      </w:r>
    </w:p>
    <w:p w:rsidR="00965A54" w:rsidRDefault="00965A54" w:rsidP="00965A54">
      <w:pPr>
        <w:tabs>
          <w:tab w:val="left" w:pos="1246"/>
        </w:tabs>
        <w:spacing w:before="0"/>
        <w:ind w:left="567" w:hanging="567"/>
        <w:jc w:val="left"/>
        <w:rPr>
          <w:rFonts w:asciiTheme="minorHAnsi" w:hAnsiTheme="minorHAnsi"/>
          <w:lang w:val="de-CH"/>
        </w:rPr>
      </w:pPr>
      <w:r w:rsidRPr="00C16C9B">
        <w:rPr>
          <w:rFonts w:asciiTheme="minorHAnsi" w:hAnsiTheme="minorHAnsi"/>
          <w:lang w:val="en-US"/>
        </w:rPr>
        <w:tab/>
        <w:t>Danish Business Authority</w:t>
      </w:r>
      <w:r w:rsidRPr="00C16C9B">
        <w:rPr>
          <w:rFonts w:asciiTheme="minorHAnsi" w:hAnsiTheme="minorHAnsi"/>
          <w:lang w:val="en-US"/>
        </w:rPr>
        <w:br/>
      </w:r>
      <w:proofErr w:type="spellStart"/>
      <w:r w:rsidRPr="00226599">
        <w:rPr>
          <w:rFonts w:asciiTheme="minorHAnsi" w:hAnsiTheme="minorHAnsi"/>
          <w:lang w:val="en-US"/>
        </w:rPr>
        <w:t>Dahlerups</w:t>
      </w:r>
      <w:proofErr w:type="spellEnd"/>
      <w:r w:rsidRPr="00226599">
        <w:rPr>
          <w:rFonts w:asciiTheme="minorHAnsi" w:hAnsiTheme="minorHAnsi"/>
          <w:lang w:val="en-US"/>
        </w:rPr>
        <w:t xml:space="preserve"> </w:t>
      </w:r>
      <w:proofErr w:type="spellStart"/>
      <w:r w:rsidRPr="00226599">
        <w:rPr>
          <w:rFonts w:asciiTheme="minorHAnsi" w:hAnsiTheme="minorHAnsi"/>
          <w:lang w:val="en-US"/>
        </w:rPr>
        <w:t>Pakhus</w:t>
      </w:r>
      <w:proofErr w:type="spellEnd"/>
      <w:r>
        <w:rPr>
          <w:rFonts w:asciiTheme="minorHAnsi" w:hAnsiTheme="minorHAnsi"/>
          <w:lang w:val="en-US"/>
        </w:rPr>
        <w:br/>
      </w:r>
      <w:proofErr w:type="spellStart"/>
      <w:r w:rsidRPr="00226599">
        <w:rPr>
          <w:rFonts w:asciiTheme="minorHAnsi" w:hAnsiTheme="minorHAnsi"/>
          <w:lang w:val="en-US"/>
        </w:rPr>
        <w:t>Langelinie</w:t>
      </w:r>
      <w:proofErr w:type="spellEnd"/>
      <w:r w:rsidRPr="00226599">
        <w:rPr>
          <w:rFonts w:asciiTheme="minorHAnsi" w:hAnsiTheme="minorHAnsi"/>
          <w:lang w:val="en-US"/>
        </w:rPr>
        <w:t xml:space="preserve"> </w:t>
      </w:r>
      <w:proofErr w:type="spellStart"/>
      <w:r w:rsidRPr="00226599">
        <w:rPr>
          <w:rFonts w:asciiTheme="minorHAnsi" w:hAnsiTheme="minorHAnsi"/>
          <w:lang w:val="en-US"/>
        </w:rPr>
        <w:t>Allé</w:t>
      </w:r>
      <w:proofErr w:type="spellEnd"/>
      <w:r w:rsidRPr="00226599">
        <w:rPr>
          <w:rFonts w:asciiTheme="minorHAnsi" w:hAnsiTheme="minorHAnsi"/>
          <w:lang w:val="en-US"/>
        </w:rPr>
        <w:t xml:space="preserve"> 17</w:t>
      </w:r>
      <w:r>
        <w:rPr>
          <w:rFonts w:asciiTheme="minorHAnsi" w:hAnsiTheme="minorHAnsi"/>
          <w:lang w:val="en-US"/>
        </w:rPr>
        <w:br/>
      </w:r>
      <w:r w:rsidRPr="009E12B1">
        <w:rPr>
          <w:rFonts w:asciiTheme="minorHAnsi" w:hAnsiTheme="minorHAnsi"/>
          <w:lang w:val="de-CH"/>
        </w:rPr>
        <w:t>DK-2100 COPENHAGEN</w:t>
      </w:r>
      <w:r w:rsidRPr="009E12B1">
        <w:rPr>
          <w:rFonts w:asciiTheme="minorHAnsi" w:hAnsiTheme="minorHAnsi"/>
          <w:lang w:val="de-CH"/>
        </w:rPr>
        <w:br/>
        <w:t>Danemark</w:t>
      </w:r>
      <w:r w:rsidRPr="009E12B1">
        <w:rPr>
          <w:rFonts w:asciiTheme="minorHAnsi" w:hAnsiTheme="minorHAnsi"/>
          <w:lang w:val="de-CH"/>
        </w:rPr>
        <w:br/>
        <w:t>Tél.:</w:t>
      </w:r>
      <w:r w:rsidRPr="009E12B1">
        <w:rPr>
          <w:rFonts w:asciiTheme="minorHAnsi" w:hAnsiTheme="minorHAnsi"/>
          <w:lang w:val="de-CH"/>
        </w:rPr>
        <w:tab/>
        <w:t xml:space="preserve">+45 35 29 10 00 </w:t>
      </w:r>
      <w:r w:rsidRPr="009E12B1">
        <w:rPr>
          <w:rFonts w:asciiTheme="minorHAnsi" w:hAnsiTheme="minorHAnsi"/>
          <w:lang w:val="de-CH"/>
        </w:rPr>
        <w:br/>
        <w:t>Fax:</w:t>
      </w:r>
      <w:r w:rsidRPr="009E12B1">
        <w:rPr>
          <w:rFonts w:asciiTheme="minorHAnsi" w:hAnsiTheme="minorHAnsi"/>
          <w:lang w:val="de-CH"/>
        </w:rPr>
        <w:tab/>
        <w:t xml:space="preserve">+45 35 46 60 01 </w:t>
      </w:r>
      <w:r w:rsidRPr="009E12B1">
        <w:rPr>
          <w:rFonts w:asciiTheme="minorHAnsi" w:hAnsiTheme="minorHAnsi"/>
          <w:lang w:val="de-CH"/>
        </w:rPr>
        <w:br/>
        <w:t>E-mail:</w:t>
      </w:r>
      <w:r w:rsidRPr="009E12B1">
        <w:rPr>
          <w:rFonts w:asciiTheme="minorHAnsi" w:hAnsiTheme="minorHAnsi"/>
          <w:lang w:val="de-CH"/>
        </w:rPr>
        <w:tab/>
        <w:t xml:space="preserve">erst@erst.dk </w:t>
      </w:r>
      <w:r w:rsidRPr="009E12B1">
        <w:rPr>
          <w:rFonts w:asciiTheme="minorHAnsi" w:hAnsiTheme="minorHAnsi"/>
          <w:lang w:val="de-CH"/>
        </w:rPr>
        <w:br/>
        <w:t>URL:</w:t>
      </w:r>
      <w:r w:rsidRPr="009E12B1">
        <w:rPr>
          <w:rFonts w:asciiTheme="minorHAnsi" w:hAnsiTheme="minorHAnsi"/>
          <w:lang w:val="de-CH"/>
        </w:rPr>
        <w:tab/>
        <w:t xml:space="preserve">www.erst.dk </w:t>
      </w:r>
    </w:p>
    <w:p w:rsidR="00965A54" w:rsidRDefault="00965A5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965A54" w:rsidRPr="009C58B1" w:rsidRDefault="00965A54" w:rsidP="00965A54">
      <w:pPr>
        <w:spacing w:before="240"/>
        <w:rPr>
          <w:rFonts w:asciiTheme="minorHAnsi" w:hAnsiTheme="minorHAnsi" w:cs="Arial"/>
          <w:b/>
          <w:bCs/>
          <w:lang w:val="fr-CH"/>
        </w:rPr>
      </w:pPr>
      <w:r w:rsidRPr="00BF6D6B">
        <w:rPr>
          <w:rFonts w:asciiTheme="minorHAnsi" w:hAnsiTheme="minorHAnsi" w:cs="Arial"/>
          <w:b/>
          <w:bCs/>
          <w:lang w:val="fr-CH"/>
        </w:rPr>
        <w:lastRenderedPageBreak/>
        <w:t>Jordanie</w:t>
      </w:r>
      <w:r>
        <w:rPr>
          <w:rFonts w:asciiTheme="minorHAnsi" w:hAnsiTheme="minorHAnsi" w:cs="Arial"/>
          <w:b/>
          <w:bCs/>
          <w:lang w:val="en-US"/>
        </w:rPr>
        <w:fldChar w:fldCharType="begin"/>
      </w:r>
      <w:r w:rsidRPr="00BF6D6B">
        <w:rPr>
          <w:lang w:val="fr-CH"/>
        </w:rPr>
        <w:instrText xml:space="preserve"> TC "</w:instrText>
      </w:r>
      <w:r w:rsidRPr="00BF6D6B">
        <w:rPr>
          <w:rFonts w:asciiTheme="minorHAnsi" w:hAnsiTheme="minorHAnsi" w:cs="Arial"/>
          <w:b/>
          <w:bCs/>
          <w:lang w:val="fr-CH"/>
        </w:rPr>
        <w:instrText>Jordanie</w:instrText>
      </w:r>
      <w:r w:rsidRPr="00BF6D6B">
        <w:rPr>
          <w:lang w:val="fr-CH"/>
        </w:rPr>
        <w:instrText xml:space="preserve">" \f C \l "1" </w:instrText>
      </w:r>
      <w:r>
        <w:rPr>
          <w:rFonts w:asciiTheme="minorHAnsi" w:hAnsiTheme="minorHAnsi" w:cs="Arial"/>
          <w:b/>
          <w:bCs/>
          <w:lang w:val="en-US"/>
        </w:rPr>
        <w:fldChar w:fldCharType="end"/>
      </w:r>
      <w:r w:rsidRPr="00BF6D6B">
        <w:rPr>
          <w:rFonts w:asciiTheme="minorHAnsi" w:hAnsiTheme="minorHAnsi" w:cs="Arial"/>
          <w:b/>
          <w:bCs/>
          <w:lang w:val="fr-CH"/>
        </w:rPr>
        <w:t xml:space="preserve"> (i</w:t>
      </w:r>
      <w:r w:rsidRPr="009C58B1">
        <w:rPr>
          <w:rFonts w:asciiTheme="minorHAnsi" w:hAnsiTheme="minorHAnsi" w:cs="Arial"/>
          <w:b/>
          <w:bCs/>
          <w:lang w:val="fr-CH"/>
        </w:rPr>
        <w:t>ndicatif de pays +962)</w:t>
      </w:r>
    </w:p>
    <w:p w:rsidR="00965A54" w:rsidRPr="00140D5C" w:rsidRDefault="00965A54" w:rsidP="00965A54">
      <w:pPr>
        <w:keepNext/>
        <w:keepLines/>
        <w:spacing w:before="0" w:line="280" w:lineRule="exact"/>
        <w:outlineLvl w:val="4"/>
        <w:rPr>
          <w:rFonts w:eastAsia="SimSun" w:cs="Arial"/>
          <w:bCs/>
          <w:lang w:val="fr-CH"/>
        </w:rPr>
      </w:pPr>
      <w:r w:rsidRPr="00140D5C">
        <w:rPr>
          <w:rFonts w:eastAsia="SimSun" w:cs="Arial"/>
          <w:bCs/>
          <w:lang w:val="fr-CH"/>
        </w:rPr>
        <w:t xml:space="preserve">Communication </w:t>
      </w:r>
      <w:r>
        <w:rPr>
          <w:rFonts w:eastAsia="SimSun" w:cs="Arial"/>
          <w:bCs/>
          <w:lang w:val="fr-CH"/>
        </w:rPr>
        <w:t>du 4.VI</w:t>
      </w:r>
      <w:r w:rsidRPr="00140D5C">
        <w:rPr>
          <w:rFonts w:eastAsia="SimSun" w:cs="Arial"/>
          <w:bCs/>
          <w:lang w:val="fr-CH"/>
        </w:rPr>
        <w:t>.2015:</w:t>
      </w:r>
    </w:p>
    <w:p w:rsidR="00965A54" w:rsidRPr="008A1771" w:rsidRDefault="00965A54" w:rsidP="00965A54">
      <w:pPr>
        <w:rPr>
          <w:rFonts w:asciiTheme="minorHAnsi" w:hAnsiTheme="minorHAnsi" w:cs="Arial"/>
          <w:lang w:val="fr-CH"/>
        </w:rPr>
      </w:pPr>
      <w:r w:rsidRPr="008A1771">
        <w:rPr>
          <w:rFonts w:asciiTheme="minorHAnsi" w:hAnsiTheme="minorHAnsi" w:cs="Arial"/>
          <w:lang w:val="fr-CH"/>
        </w:rPr>
        <w:t xml:space="preserve">La </w:t>
      </w:r>
      <w:proofErr w:type="spellStart"/>
      <w:r w:rsidRPr="008A1771">
        <w:rPr>
          <w:rFonts w:asciiTheme="minorHAnsi" w:hAnsiTheme="minorHAnsi" w:cs="Arial"/>
          <w:i/>
          <w:lang w:val="fr-CH"/>
        </w:rPr>
        <w:t>Telecommunications</w:t>
      </w:r>
      <w:proofErr w:type="spellEnd"/>
      <w:r w:rsidRPr="008A1771">
        <w:rPr>
          <w:rFonts w:asciiTheme="minorHAnsi" w:hAnsiTheme="minorHAnsi" w:cs="Arial"/>
          <w:i/>
          <w:lang w:val="fr-CH"/>
        </w:rPr>
        <w:t xml:space="preserve"> </w:t>
      </w:r>
      <w:proofErr w:type="spellStart"/>
      <w:r w:rsidRPr="008A1771">
        <w:rPr>
          <w:rFonts w:asciiTheme="minorHAnsi" w:hAnsiTheme="minorHAnsi" w:cs="Arial"/>
          <w:i/>
          <w:lang w:val="fr-CH"/>
        </w:rPr>
        <w:t>Regulatory</w:t>
      </w:r>
      <w:proofErr w:type="spellEnd"/>
      <w:r w:rsidRPr="008A1771">
        <w:rPr>
          <w:rFonts w:asciiTheme="minorHAnsi" w:hAnsiTheme="minorHAnsi" w:cs="Arial"/>
          <w:i/>
          <w:lang w:val="fr-CH"/>
        </w:rPr>
        <w:t xml:space="preserve"> Commission (TRC), </w:t>
      </w:r>
      <w:r w:rsidRPr="008A1771">
        <w:rPr>
          <w:rFonts w:asciiTheme="minorHAnsi" w:hAnsiTheme="minorHAnsi" w:cs="Arial"/>
          <w:lang w:val="fr-CH"/>
        </w:rPr>
        <w:t>Amman</w:t>
      </w:r>
      <w:r>
        <w:rPr>
          <w:rFonts w:asciiTheme="minorHAnsi" w:hAnsiTheme="minorHAnsi" w:cs="Arial"/>
          <w:lang w:val="fr-CH"/>
        </w:rPr>
        <w:fldChar w:fldCharType="begin"/>
      </w:r>
      <w:r w:rsidRPr="00965A54">
        <w:rPr>
          <w:lang w:val="fr-CH"/>
        </w:rPr>
        <w:instrText xml:space="preserve"> TC "</w:instrText>
      </w:r>
      <w:proofErr w:type="spellStart"/>
      <w:r w:rsidRPr="009849BE">
        <w:rPr>
          <w:rFonts w:asciiTheme="minorHAnsi" w:hAnsiTheme="minorHAnsi" w:cs="Arial"/>
          <w:i/>
          <w:lang w:val="fr-CH"/>
        </w:rPr>
        <w:instrText>Telecommunications</w:instrText>
      </w:r>
      <w:proofErr w:type="spellEnd"/>
      <w:r w:rsidRPr="009849BE">
        <w:rPr>
          <w:rFonts w:asciiTheme="minorHAnsi" w:hAnsiTheme="minorHAnsi" w:cs="Arial"/>
          <w:i/>
          <w:lang w:val="fr-CH"/>
        </w:rPr>
        <w:instrText xml:space="preserve"> </w:instrText>
      </w:r>
      <w:proofErr w:type="spellStart"/>
      <w:r w:rsidRPr="009849BE">
        <w:rPr>
          <w:rFonts w:asciiTheme="minorHAnsi" w:hAnsiTheme="minorHAnsi" w:cs="Arial"/>
          <w:i/>
          <w:lang w:val="fr-CH"/>
        </w:rPr>
        <w:instrText>Regulatory</w:instrText>
      </w:r>
      <w:proofErr w:type="spellEnd"/>
      <w:r w:rsidRPr="009849BE">
        <w:rPr>
          <w:rFonts w:asciiTheme="minorHAnsi" w:hAnsiTheme="minorHAnsi" w:cs="Arial"/>
          <w:i/>
          <w:lang w:val="fr-CH"/>
        </w:rPr>
        <w:instrText xml:space="preserve"> Commission (TRC), </w:instrText>
      </w:r>
      <w:r w:rsidRPr="009849BE">
        <w:rPr>
          <w:rFonts w:asciiTheme="minorHAnsi" w:hAnsiTheme="minorHAnsi" w:cs="Arial"/>
          <w:lang w:val="fr-CH"/>
        </w:rPr>
        <w:instrText>Amman</w:instrText>
      </w:r>
      <w:r w:rsidRPr="00965A54">
        <w:rPr>
          <w:lang w:val="fr-CH"/>
        </w:rPr>
        <w:instrText>" \f C \l "1</w:instrText>
      </w:r>
      <w:proofErr w:type="gramStart"/>
      <w:r w:rsidRPr="00965A54">
        <w:rPr>
          <w:lang w:val="fr-CH"/>
        </w:rPr>
        <w:instrText xml:space="preserve">" </w:instrText>
      </w:r>
      <w:proofErr w:type="gramEnd"/>
      <w:r>
        <w:rPr>
          <w:rFonts w:asciiTheme="minorHAnsi" w:hAnsiTheme="minorHAnsi" w:cs="Arial"/>
          <w:lang w:val="fr-CH"/>
        </w:rPr>
        <w:fldChar w:fldCharType="end"/>
      </w:r>
      <w:r w:rsidRPr="008A1771">
        <w:rPr>
          <w:rFonts w:asciiTheme="minorHAnsi" w:hAnsiTheme="minorHAnsi" w:cs="Arial"/>
          <w:lang w:val="fr-CH"/>
        </w:rPr>
        <w:t>, annonce l'attribution d'une nouvelle série de numéros comme suit:</w:t>
      </w:r>
    </w:p>
    <w:p w:rsidR="00965A54" w:rsidRPr="00140D5C" w:rsidRDefault="00965A54" w:rsidP="00965A54">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793"/>
        <w:gridCol w:w="2078"/>
        <w:gridCol w:w="2367"/>
      </w:tblGrid>
      <w:tr w:rsidR="00965A54" w:rsidRPr="00965A54" w:rsidTr="00965A54">
        <w:trPr>
          <w:tblHeader/>
          <w:jc w:val="center"/>
        </w:trPr>
        <w:tc>
          <w:tcPr>
            <w:tcW w:w="1994" w:type="dxa"/>
          </w:tcPr>
          <w:p w:rsidR="00965A54" w:rsidRPr="00965A54" w:rsidRDefault="00965A54" w:rsidP="00965A54">
            <w:pPr>
              <w:keepNext/>
              <w:spacing w:before="60" w:after="60"/>
              <w:jc w:val="center"/>
              <w:rPr>
                <w:rFonts w:cs="Arial"/>
                <w:i/>
                <w:sz w:val="18"/>
                <w:szCs w:val="18"/>
                <w:lang w:val="fr-CH" w:bidi="ar-JO"/>
              </w:rPr>
            </w:pPr>
            <w:r w:rsidRPr="00965A54">
              <w:rPr>
                <w:rFonts w:cs="Arial"/>
                <w:i/>
                <w:sz w:val="18"/>
                <w:szCs w:val="18"/>
                <w:lang w:val="fr-CH" w:bidi="ar-JO"/>
              </w:rPr>
              <w:t>Service</w:t>
            </w:r>
          </w:p>
        </w:tc>
        <w:tc>
          <w:tcPr>
            <w:tcW w:w="3076" w:type="dxa"/>
          </w:tcPr>
          <w:p w:rsidR="00965A54" w:rsidRPr="00965A54" w:rsidRDefault="00965A54" w:rsidP="00965A54">
            <w:pPr>
              <w:keepNext/>
              <w:spacing w:before="60" w:after="60"/>
              <w:jc w:val="center"/>
              <w:rPr>
                <w:rFonts w:cs="Arial"/>
                <w:b/>
                <w:i/>
                <w:sz w:val="18"/>
                <w:szCs w:val="18"/>
                <w:lang w:val="fr-CH" w:bidi="ar-JO"/>
              </w:rPr>
            </w:pPr>
            <w:r w:rsidRPr="00965A54">
              <w:rPr>
                <w:rFonts w:cs="Arial"/>
                <w:i/>
                <w:sz w:val="18"/>
                <w:szCs w:val="18"/>
                <w:lang w:val="fr-CH" w:bidi="ar-JO"/>
              </w:rPr>
              <w:t>Opérateur</w:t>
            </w:r>
          </w:p>
        </w:tc>
        <w:tc>
          <w:tcPr>
            <w:tcW w:w="2268" w:type="dxa"/>
          </w:tcPr>
          <w:p w:rsidR="00965A54" w:rsidRPr="00965A54" w:rsidRDefault="00965A54" w:rsidP="00965A54">
            <w:pPr>
              <w:keepNext/>
              <w:spacing w:before="60" w:after="60"/>
              <w:jc w:val="center"/>
              <w:rPr>
                <w:rFonts w:cs="Arial"/>
                <w:i/>
                <w:sz w:val="18"/>
                <w:szCs w:val="18"/>
                <w:lang w:val="fr-CH" w:bidi="ar-JO"/>
              </w:rPr>
            </w:pPr>
            <w:r w:rsidRPr="00965A54">
              <w:rPr>
                <w:rFonts w:cs="Arial"/>
                <w:i/>
                <w:sz w:val="18"/>
                <w:szCs w:val="18"/>
                <w:lang w:val="fr-CH" w:bidi="ar-JO"/>
              </w:rPr>
              <w:t>Série de numéros</w:t>
            </w:r>
          </w:p>
        </w:tc>
        <w:tc>
          <w:tcPr>
            <w:tcW w:w="2517" w:type="dxa"/>
          </w:tcPr>
          <w:p w:rsidR="00965A54" w:rsidRPr="00965A54" w:rsidRDefault="00965A54" w:rsidP="00965A54">
            <w:pPr>
              <w:keepNext/>
              <w:spacing w:before="60" w:after="60"/>
              <w:jc w:val="center"/>
              <w:rPr>
                <w:rFonts w:cs="Arial"/>
                <w:bCs/>
                <w:i/>
                <w:sz w:val="18"/>
                <w:szCs w:val="18"/>
                <w:lang w:val="fr-CH" w:bidi="ar-JO"/>
              </w:rPr>
            </w:pPr>
            <w:r w:rsidRPr="00965A54">
              <w:rPr>
                <w:rFonts w:cs="Arial"/>
                <w:bCs/>
                <w:i/>
                <w:sz w:val="18"/>
                <w:szCs w:val="18"/>
                <w:lang w:val="fr-CH" w:bidi="ar-JO"/>
              </w:rPr>
              <w:t>Date d'activation</w:t>
            </w:r>
          </w:p>
        </w:tc>
      </w:tr>
      <w:tr w:rsidR="00965A54" w:rsidRPr="00965A54" w:rsidTr="00965A54">
        <w:trPr>
          <w:jc w:val="center"/>
        </w:trPr>
        <w:tc>
          <w:tcPr>
            <w:tcW w:w="1994" w:type="dxa"/>
          </w:tcPr>
          <w:p w:rsidR="00965A54" w:rsidRPr="00965A54" w:rsidRDefault="00965A54" w:rsidP="00965A54">
            <w:pPr>
              <w:spacing w:before="40" w:after="40"/>
              <w:rPr>
                <w:rFonts w:cs="Arial"/>
                <w:bCs/>
                <w:sz w:val="18"/>
                <w:szCs w:val="18"/>
                <w:lang w:val="fr-CH"/>
              </w:rPr>
            </w:pPr>
            <w:r w:rsidRPr="00965A54">
              <w:rPr>
                <w:rFonts w:cs="Arial"/>
                <w:bCs/>
                <w:sz w:val="18"/>
                <w:szCs w:val="18"/>
                <w:lang w:val="fr-CH"/>
              </w:rPr>
              <w:t>Services mobiles</w:t>
            </w:r>
          </w:p>
        </w:tc>
        <w:tc>
          <w:tcPr>
            <w:tcW w:w="3076" w:type="dxa"/>
          </w:tcPr>
          <w:p w:rsidR="00965A54" w:rsidRPr="00965A54" w:rsidRDefault="00965A54" w:rsidP="00965A54">
            <w:pPr>
              <w:spacing w:before="40" w:after="40"/>
              <w:rPr>
                <w:rFonts w:cs="Arial"/>
                <w:bCs/>
                <w:sz w:val="18"/>
                <w:szCs w:val="18"/>
                <w:lang w:bidi="ar-JO"/>
              </w:rPr>
            </w:pPr>
            <w:proofErr w:type="spellStart"/>
            <w:r w:rsidRPr="00965A54">
              <w:rPr>
                <w:rFonts w:cs="Arial"/>
                <w:bCs/>
                <w:sz w:val="18"/>
                <w:szCs w:val="18"/>
              </w:rPr>
              <w:t>Umniah</w:t>
            </w:r>
            <w:proofErr w:type="spellEnd"/>
            <w:r w:rsidRPr="00965A54">
              <w:rPr>
                <w:rFonts w:cs="Arial"/>
                <w:bCs/>
                <w:sz w:val="18"/>
                <w:szCs w:val="18"/>
              </w:rPr>
              <w:t xml:space="preserve"> Mobile Company</w:t>
            </w:r>
          </w:p>
        </w:tc>
        <w:tc>
          <w:tcPr>
            <w:tcW w:w="2268" w:type="dxa"/>
          </w:tcPr>
          <w:p w:rsidR="00965A54" w:rsidRPr="00965A54" w:rsidRDefault="00965A54" w:rsidP="00965A54">
            <w:pPr>
              <w:spacing w:before="40" w:after="40"/>
              <w:rPr>
                <w:rFonts w:cs="Arial"/>
                <w:bCs/>
                <w:sz w:val="18"/>
                <w:szCs w:val="18"/>
              </w:rPr>
            </w:pPr>
            <w:r w:rsidRPr="00965A54">
              <w:rPr>
                <w:rFonts w:cs="Arial"/>
                <w:bCs/>
                <w:sz w:val="18"/>
                <w:szCs w:val="18"/>
              </w:rPr>
              <w:t>+962 7 81XX XXXX</w:t>
            </w:r>
          </w:p>
        </w:tc>
        <w:tc>
          <w:tcPr>
            <w:tcW w:w="2517" w:type="dxa"/>
          </w:tcPr>
          <w:p w:rsidR="00965A54" w:rsidRPr="00965A54" w:rsidRDefault="00965A54" w:rsidP="00965A54">
            <w:pPr>
              <w:spacing w:before="40" w:after="40"/>
              <w:jc w:val="center"/>
              <w:rPr>
                <w:rFonts w:cs="Arial"/>
                <w:bCs/>
                <w:sz w:val="18"/>
                <w:szCs w:val="18"/>
                <w:lang w:val="fr-CH"/>
              </w:rPr>
            </w:pPr>
            <w:r w:rsidRPr="00965A54">
              <w:rPr>
                <w:rFonts w:cs="Arial"/>
                <w:bCs/>
                <w:sz w:val="18"/>
                <w:szCs w:val="18"/>
                <w:lang w:val="fr-CH"/>
              </w:rPr>
              <w:t>Immédiatement</w:t>
            </w:r>
          </w:p>
        </w:tc>
      </w:tr>
    </w:tbl>
    <w:p w:rsidR="00965A54" w:rsidRPr="00140D5C" w:rsidRDefault="00965A54" w:rsidP="00965A54">
      <w:pPr>
        <w:rPr>
          <w:lang w:val="fr-CH"/>
        </w:rPr>
      </w:pPr>
    </w:p>
    <w:p w:rsidR="00965A54" w:rsidRPr="008A1771" w:rsidRDefault="00965A54" w:rsidP="00965A54">
      <w:pPr>
        <w:rPr>
          <w:lang w:val="fr-CH"/>
        </w:rPr>
      </w:pPr>
      <w:r w:rsidRPr="008A1771">
        <w:rPr>
          <w:lang w:val="fr-CH"/>
        </w:rPr>
        <w:t>Contact:</w:t>
      </w:r>
    </w:p>
    <w:p w:rsidR="00965A54" w:rsidRPr="00965A54" w:rsidRDefault="00965A54" w:rsidP="00965A54">
      <w:pPr>
        <w:ind w:left="567" w:hanging="567"/>
        <w:jc w:val="left"/>
        <w:rPr>
          <w:rFonts w:asciiTheme="minorHAnsi" w:hAnsiTheme="minorHAnsi" w:cs="Arial"/>
          <w:lang w:val="en-US"/>
        </w:rPr>
      </w:pPr>
      <w:r w:rsidRPr="00BF6D6B">
        <w:rPr>
          <w:lang w:val="en-US"/>
        </w:rPr>
        <w:tab/>
      </w:r>
      <w:r w:rsidRPr="00965A54">
        <w:rPr>
          <w:lang w:val="en-US"/>
        </w:rPr>
        <w:t>M.</w:t>
      </w:r>
      <w:r w:rsidRPr="00974112">
        <w:t xml:space="preserve"> Omar </w:t>
      </w:r>
      <w:proofErr w:type="spellStart"/>
      <w:r w:rsidRPr="00974112">
        <w:t>Odat</w:t>
      </w:r>
      <w:proofErr w:type="spellEnd"/>
      <w:r>
        <w:br/>
      </w:r>
      <w:r w:rsidRPr="00974112">
        <w:rPr>
          <w:rFonts w:asciiTheme="minorHAnsi" w:hAnsiTheme="minorHAnsi" w:cs="Arial"/>
        </w:rPr>
        <w:t xml:space="preserve">Technical Department </w:t>
      </w:r>
      <w:r>
        <w:rPr>
          <w:rFonts w:asciiTheme="minorHAnsi" w:hAnsiTheme="minorHAnsi" w:cs="Arial"/>
        </w:rPr>
        <w:br/>
      </w:r>
      <w:r w:rsidRPr="00974112">
        <w:rPr>
          <w:rFonts w:asciiTheme="minorHAnsi" w:hAnsiTheme="minorHAnsi" w:cs="Arial"/>
        </w:rPr>
        <w:t>Telecommunications Regulatory Commission (TRC)</w:t>
      </w:r>
      <w:r>
        <w:rPr>
          <w:rFonts w:asciiTheme="minorHAnsi" w:hAnsiTheme="minorHAnsi" w:cs="Arial"/>
        </w:rPr>
        <w:br/>
      </w:r>
      <w:proofErr w:type="spellStart"/>
      <w:r w:rsidRPr="008A1771">
        <w:rPr>
          <w:rFonts w:asciiTheme="minorHAnsi" w:hAnsiTheme="minorHAnsi" w:cs="Arial"/>
          <w:lang w:val="en-US"/>
        </w:rPr>
        <w:t>Shmeisani</w:t>
      </w:r>
      <w:proofErr w:type="spellEnd"/>
      <w:r w:rsidRPr="008A1771">
        <w:rPr>
          <w:rFonts w:asciiTheme="minorHAnsi" w:hAnsiTheme="minorHAnsi" w:cs="Arial"/>
          <w:lang w:val="en-US"/>
        </w:rPr>
        <w:t xml:space="preserve"> - Abdel Hamid </w:t>
      </w:r>
      <w:proofErr w:type="spellStart"/>
      <w:r w:rsidRPr="008A1771">
        <w:rPr>
          <w:rFonts w:asciiTheme="minorHAnsi" w:hAnsiTheme="minorHAnsi" w:cs="Arial"/>
          <w:lang w:val="en-US"/>
        </w:rPr>
        <w:t>Sharaf</w:t>
      </w:r>
      <w:proofErr w:type="spellEnd"/>
      <w:r w:rsidRPr="008A1771">
        <w:rPr>
          <w:rFonts w:asciiTheme="minorHAnsi" w:hAnsiTheme="minorHAnsi" w:cs="Arial"/>
          <w:lang w:val="en-US"/>
        </w:rPr>
        <w:t xml:space="preserve"> Street, </w:t>
      </w:r>
      <w:r>
        <w:rPr>
          <w:rFonts w:asciiTheme="minorHAnsi" w:hAnsiTheme="minorHAnsi" w:cs="Arial"/>
          <w:lang w:val="en-US"/>
        </w:rPr>
        <w:br/>
      </w:r>
      <w:r w:rsidRPr="008A1771">
        <w:rPr>
          <w:rFonts w:asciiTheme="minorHAnsi" w:hAnsiTheme="minorHAnsi" w:cs="Arial"/>
          <w:lang w:val="en-US"/>
        </w:rPr>
        <w:t>Building No. 90</w:t>
      </w:r>
      <w:r>
        <w:rPr>
          <w:rFonts w:asciiTheme="minorHAnsi" w:hAnsiTheme="minorHAnsi" w:cs="Arial"/>
          <w:lang w:val="en-US"/>
        </w:rPr>
        <w:br/>
      </w:r>
      <w:r w:rsidRPr="008A1771">
        <w:rPr>
          <w:rFonts w:asciiTheme="minorHAnsi" w:hAnsiTheme="minorHAnsi" w:cs="Arial"/>
          <w:lang w:val="en-US"/>
        </w:rPr>
        <w:t>P.O. Box 941794</w:t>
      </w:r>
      <w:r>
        <w:rPr>
          <w:rFonts w:asciiTheme="minorHAnsi" w:hAnsiTheme="minorHAnsi" w:cs="Arial"/>
          <w:lang w:val="en-US"/>
        </w:rPr>
        <w:br/>
      </w:r>
      <w:r w:rsidRPr="00965A54">
        <w:rPr>
          <w:rFonts w:asciiTheme="minorHAnsi" w:hAnsiTheme="minorHAnsi" w:cs="Arial"/>
          <w:lang w:val="en-US"/>
        </w:rPr>
        <w:t>AMMAN 11194</w:t>
      </w:r>
      <w:r w:rsidRPr="00965A54">
        <w:rPr>
          <w:rFonts w:asciiTheme="minorHAnsi" w:hAnsiTheme="minorHAnsi" w:cs="Arial"/>
          <w:lang w:val="en-US"/>
        </w:rPr>
        <w:br/>
      </w:r>
      <w:proofErr w:type="spellStart"/>
      <w:r w:rsidRPr="00965A54">
        <w:rPr>
          <w:rFonts w:asciiTheme="minorHAnsi" w:hAnsiTheme="minorHAnsi" w:cs="Arial"/>
          <w:lang w:val="en-US"/>
        </w:rPr>
        <w:t>Jordanie</w:t>
      </w:r>
      <w:proofErr w:type="spellEnd"/>
      <w:r w:rsidRPr="00965A54">
        <w:rPr>
          <w:rFonts w:asciiTheme="minorHAnsi" w:hAnsiTheme="minorHAnsi" w:cs="Arial"/>
          <w:lang w:val="en-US"/>
        </w:rPr>
        <w:t xml:space="preserve"> </w:t>
      </w:r>
      <w:r w:rsidRPr="00965A54">
        <w:rPr>
          <w:rFonts w:asciiTheme="minorHAnsi" w:hAnsiTheme="minorHAnsi" w:cs="Arial"/>
          <w:lang w:val="en-US"/>
        </w:rPr>
        <w:br/>
      </w:r>
      <w:proofErr w:type="spellStart"/>
      <w:r w:rsidRPr="00965A54">
        <w:rPr>
          <w:rFonts w:asciiTheme="minorHAnsi" w:hAnsiTheme="minorHAnsi" w:cs="Arial"/>
          <w:lang w:val="en-US"/>
        </w:rPr>
        <w:t>Tél</w:t>
      </w:r>
      <w:proofErr w:type="spellEnd"/>
      <w:r w:rsidRPr="00965A54">
        <w:rPr>
          <w:rFonts w:asciiTheme="minorHAnsi" w:hAnsiTheme="minorHAnsi" w:cs="Arial"/>
          <w:lang w:val="en-US"/>
        </w:rPr>
        <w:t>:</w:t>
      </w:r>
      <w:r w:rsidRPr="00965A54">
        <w:rPr>
          <w:rFonts w:asciiTheme="minorHAnsi" w:hAnsiTheme="minorHAnsi" w:cs="Arial"/>
          <w:lang w:val="en-US"/>
        </w:rPr>
        <w:tab/>
        <w:t xml:space="preserve">+962 6 5501120 </w:t>
      </w:r>
      <w:proofErr w:type="spellStart"/>
      <w:r w:rsidRPr="00965A54">
        <w:rPr>
          <w:rFonts w:asciiTheme="minorHAnsi" w:hAnsiTheme="minorHAnsi" w:cs="Arial"/>
          <w:lang w:val="en-US"/>
        </w:rPr>
        <w:t>ext</w:t>
      </w:r>
      <w:proofErr w:type="spellEnd"/>
      <w:r w:rsidRPr="00965A54">
        <w:rPr>
          <w:rFonts w:asciiTheme="minorHAnsi" w:hAnsiTheme="minorHAnsi" w:cs="Arial"/>
          <w:lang w:val="en-US"/>
        </w:rPr>
        <w:t>: 3133</w:t>
      </w:r>
      <w:r>
        <w:rPr>
          <w:rFonts w:asciiTheme="minorHAnsi" w:hAnsiTheme="minorHAnsi" w:cs="Arial"/>
          <w:lang w:val="en-US"/>
        </w:rPr>
        <w:br/>
      </w:r>
      <w:r w:rsidRPr="00965A54">
        <w:rPr>
          <w:rFonts w:asciiTheme="minorHAnsi" w:hAnsiTheme="minorHAnsi" w:cs="Arial"/>
          <w:lang w:val="en-US"/>
        </w:rPr>
        <w:t>Fax:</w:t>
      </w:r>
      <w:r w:rsidRPr="00965A54">
        <w:rPr>
          <w:rFonts w:asciiTheme="minorHAnsi" w:hAnsiTheme="minorHAnsi" w:cs="Arial"/>
          <w:lang w:val="en-US"/>
        </w:rPr>
        <w:tab/>
        <w:t>+962 6 5690830</w:t>
      </w:r>
      <w:r>
        <w:rPr>
          <w:rFonts w:asciiTheme="minorHAnsi" w:hAnsiTheme="minorHAnsi" w:cs="Arial"/>
          <w:lang w:val="en-US"/>
        </w:rPr>
        <w:br/>
      </w:r>
      <w:r w:rsidRPr="00965A54">
        <w:rPr>
          <w:rFonts w:asciiTheme="minorHAnsi" w:hAnsiTheme="minorHAnsi" w:cs="Arial"/>
          <w:lang w:val="en-US"/>
        </w:rPr>
        <w:t>E-mail:</w:t>
      </w:r>
      <w:r w:rsidRPr="00965A54">
        <w:rPr>
          <w:rFonts w:asciiTheme="minorHAnsi" w:hAnsiTheme="minorHAnsi" w:cs="Arial"/>
          <w:lang w:val="en-US"/>
        </w:rPr>
        <w:tab/>
        <w:t>Omar.Odat@trc.gov.jo</w:t>
      </w:r>
    </w:p>
    <w:p w:rsidR="00EC005F" w:rsidRPr="00965A54" w:rsidRDefault="00EC005F" w:rsidP="002826D5">
      <w:pPr>
        <w:rPr>
          <w:lang w:val="en-US"/>
        </w:rPr>
      </w:pPr>
    </w:p>
    <w:p w:rsidR="00EC005F" w:rsidRPr="00BF6D6B" w:rsidRDefault="00EC005F"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en-US"/>
        </w:rPr>
      </w:pPr>
    </w:p>
    <w:p w:rsidR="00D16AAA" w:rsidRPr="00BF6D6B" w:rsidRDefault="00D16AAA" w:rsidP="006A1FD2">
      <w:pPr>
        <w:rPr>
          <w:rFonts w:cs="Arial"/>
          <w:bCs/>
          <w:lang w:val="en-US"/>
        </w:rPr>
        <w:sectPr w:rsidR="00D16AAA" w:rsidRPr="00BF6D6B" w:rsidSect="00BE3A08">
          <w:footerReference w:type="even" r:id="rId17"/>
          <w:footerReference w:type="default" r:id="rId18"/>
          <w:footerReference w:type="first" r:id="rId19"/>
          <w:type w:val="continuous"/>
          <w:pgSz w:w="11901" w:h="16840" w:code="9"/>
          <w:pgMar w:top="1134" w:right="1418" w:bottom="1701" w:left="1418" w:header="720" w:footer="720" w:gutter="0"/>
          <w:paperSrc w:first="15" w:other="15"/>
          <w:cols w:space="720"/>
          <w:titlePg/>
          <w:docGrid w:linePitch="360"/>
        </w:sectPr>
      </w:pPr>
    </w:p>
    <w:p w:rsidR="00055472" w:rsidRPr="00BF6D6B" w:rsidRDefault="00055472"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en-US"/>
        </w:rPr>
      </w:pPr>
    </w:p>
    <w:p w:rsidR="00A61AFB" w:rsidRPr="00C83C51" w:rsidRDefault="00A61AFB" w:rsidP="00C83C51">
      <w:pPr>
        <w:pStyle w:val="Heading20"/>
        <w:spacing w:before="0"/>
      </w:pPr>
      <w:bookmarkStart w:id="29" w:name="_Toc417551684"/>
      <w:bookmarkStart w:id="30" w:name="_Toc418172334"/>
      <w:bookmarkStart w:id="31" w:name="_Toc418590416"/>
      <w:bookmarkStart w:id="32" w:name="_Toc421025977"/>
      <w:bookmarkStart w:id="33" w:name="_Toc422401214"/>
      <w:bookmarkStart w:id="34" w:name="_Toc423525459"/>
      <w:r w:rsidRPr="0074469F">
        <w:rPr>
          <w:lang w:val="fr-CH"/>
        </w:rPr>
        <w:t xml:space="preserve">Restrictions </w:t>
      </w:r>
      <w:r w:rsidRPr="00C83C51">
        <w:t>de service</w:t>
      </w:r>
      <w:bookmarkEnd w:id="29"/>
      <w:bookmarkEnd w:id="30"/>
      <w:bookmarkEnd w:id="31"/>
      <w:bookmarkEnd w:id="32"/>
      <w:bookmarkEnd w:id="33"/>
      <w:bookmarkEnd w:id="34"/>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A61AFB" w:rsidRPr="00A61AFB" w:rsidRDefault="00A61AFB" w:rsidP="00A61AFB">
      <w:pPr>
        <w:jc w:val="center"/>
        <w:rPr>
          <w:rFonts w:ascii="Times New Roman" w:hAnsi="Times New Roman"/>
          <w:sz w:val="24"/>
          <w:lang w:val="fr-FR"/>
        </w:rPr>
      </w:pPr>
      <w:r w:rsidRPr="00A61AFB">
        <w:rPr>
          <w:lang w:val="fr-CH"/>
        </w:rPr>
        <w:t xml:space="preserve">Voir </w:t>
      </w:r>
      <w:proofErr w:type="gramStart"/>
      <w:r w:rsidRPr="00A61AFB">
        <w:rPr>
          <w:lang w:val="fr-CH"/>
        </w:rPr>
        <w:t>URL:</w:t>
      </w:r>
      <w:proofErr w:type="gramEnd"/>
      <w:r w:rsidRPr="00A61AFB">
        <w:rPr>
          <w:lang w:val="fr-CH"/>
        </w:rPr>
        <w:t xml:space="preserve"> </w:t>
      </w:r>
      <w:hyperlink r:id="rId20" w:history="1">
        <w:r w:rsidRPr="00A61AFB">
          <w:rPr>
            <w:lang w:val="fr-CH"/>
          </w:rPr>
          <w:t>www.itu.int/pub/T-SP-SR.1-2012</w:t>
        </w:r>
      </w:hyperlink>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tbl>
      <w:tblPr>
        <w:tblW w:w="0" w:type="auto"/>
        <w:tblLayout w:type="fixed"/>
        <w:tblLook w:val="0000" w:firstRow="0" w:lastRow="0" w:firstColumn="0" w:lastColumn="0" w:noHBand="0" w:noVBand="0"/>
      </w:tblPr>
      <w:tblGrid>
        <w:gridCol w:w="2904"/>
        <w:gridCol w:w="1985"/>
      </w:tblGrid>
      <w:tr w:rsidR="00A61AFB" w:rsidRPr="00A61AFB" w:rsidTr="00A61AFB">
        <w:tc>
          <w:tcPr>
            <w:tcW w:w="2904"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Seychelles</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1006 (p.13)</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roofErr w:type="spellStart"/>
            <w:r w:rsidRPr="00A61AFB">
              <w:rPr>
                <w:rFonts w:asciiTheme="minorHAnsi" w:hAnsiTheme="minorHAnsi"/>
                <w:lang w:val="es-ES_tradnl"/>
              </w:rPr>
              <w:t>Slovaquie</w:t>
            </w:r>
            <w:proofErr w:type="spellEnd"/>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1007 (p.12)</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Cs/>
                <w:lang w:val="fr-FR"/>
              </w:rPr>
            </w:pPr>
            <w:r w:rsidRPr="00A61AFB">
              <w:rPr>
                <w:rFonts w:asciiTheme="minorHAnsi" w:hAnsiTheme="minorHAnsi"/>
                <w:bCs/>
                <w:lang w:val="fr-FR"/>
              </w:rPr>
              <w:t>Thaïlande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1034 (p.5)</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Sao Tomé-et-Principe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Uruguay</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Hong Kong, Chine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1068 (p.4)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C83C51" w:rsidRDefault="00A61AFB" w:rsidP="00C83C51">
      <w:pPr>
        <w:pStyle w:val="Heading20"/>
        <w:spacing w:before="0"/>
      </w:pPr>
      <w:bookmarkStart w:id="35" w:name="_Toc417551685"/>
      <w:bookmarkStart w:id="36" w:name="_Toc418172335"/>
      <w:bookmarkStart w:id="37" w:name="_Toc418590417"/>
      <w:bookmarkStart w:id="38" w:name="_Toc421025978"/>
      <w:bookmarkStart w:id="39" w:name="_Toc422401215"/>
      <w:bookmarkStart w:id="40" w:name="_Toc423525460"/>
      <w:r w:rsidRPr="00C83C51">
        <w:t>Systèmes de rappel (Call-Back</w:t>
      </w:r>
      <w:proofErr w:type="gramStart"/>
      <w:r w:rsidRPr="00C83C51">
        <w:t>)</w:t>
      </w:r>
      <w:proofErr w:type="gramEnd"/>
      <w:r w:rsidRPr="00C83C51">
        <w:br/>
        <w:t>et procédures d'appel alternatives (</w:t>
      </w:r>
      <w:proofErr w:type="spellStart"/>
      <w:r w:rsidRPr="00C83C51">
        <w:t>Rés</w:t>
      </w:r>
      <w:proofErr w:type="spellEnd"/>
      <w:r w:rsidRPr="00C83C51">
        <w:t xml:space="preserve">. 21 </w:t>
      </w:r>
      <w:proofErr w:type="spellStart"/>
      <w:r w:rsidRPr="00C83C51">
        <w:t>Rév</w:t>
      </w:r>
      <w:proofErr w:type="spellEnd"/>
      <w:r w:rsidRPr="00C83C51">
        <w:t>. PP-2006)</w:t>
      </w:r>
      <w:bookmarkEnd w:id="35"/>
      <w:bookmarkEnd w:id="36"/>
      <w:bookmarkEnd w:id="37"/>
      <w:bookmarkEnd w:id="38"/>
      <w:bookmarkEnd w:id="39"/>
      <w:bookmarkEnd w:id="40"/>
    </w:p>
    <w:p w:rsidR="00A61AFB" w:rsidRPr="00A61AFB" w:rsidRDefault="00A61AFB" w:rsidP="00A61AFB">
      <w:pPr>
        <w:jc w:val="center"/>
        <w:rPr>
          <w:rFonts w:ascii="Times New Roman" w:hAnsi="Times New Roman"/>
          <w:sz w:val="24"/>
          <w:lang w:val="fr-CH"/>
        </w:rPr>
      </w:pPr>
      <w:r w:rsidRPr="00A61AFB">
        <w:rPr>
          <w:rFonts w:asciiTheme="minorHAnsi" w:hAnsiTheme="minorHAnsi"/>
          <w:lang w:val="fr-CH"/>
        </w:rPr>
        <w:t>Voir URL: www.itu.int/pub/T-SP-PP.RES.21-2011/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A61AFB">
        <w:rPr>
          <w:rFonts w:ascii="Times New Roman" w:hAnsi="Times New Roman"/>
          <w:sz w:val="24"/>
          <w:lang w:val="fr-CH"/>
        </w:rPr>
        <w:br w:type="page"/>
      </w:r>
    </w:p>
    <w:p w:rsidR="00A61AFB" w:rsidRPr="002826D5" w:rsidRDefault="00A61AFB" w:rsidP="00A61AFB">
      <w:pPr>
        <w:keepNext/>
        <w:keepLines/>
        <w:tabs>
          <w:tab w:val="clear" w:pos="567"/>
          <w:tab w:val="clear" w:pos="1276"/>
          <w:tab w:val="clear" w:pos="1843"/>
          <w:tab w:val="clear" w:pos="5387"/>
          <w:tab w:val="clear" w:pos="5954"/>
          <w:tab w:val="left" w:pos="794"/>
          <w:tab w:val="left" w:pos="1191"/>
          <w:tab w:val="left" w:pos="1588"/>
          <w:tab w:val="left" w:pos="1985"/>
        </w:tabs>
        <w:spacing w:before="0"/>
        <w:ind w:left="142" w:hanging="794"/>
        <w:jc w:val="center"/>
        <w:outlineLvl w:val="0"/>
        <w:rPr>
          <w:rFonts w:asciiTheme="minorBidi" w:hAnsiTheme="minorBidi" w:cstheme="minorBidi"/>
          <w:b/>
          <w:sz w:val="32"/>
          <w:szCs w:val="32"/>
          <w:lang w:val="fr-FR"/>
        </w:rPr>
      </w:pPr>
      <w:bookmarkStart w:id="41" w:name="_Toc417551686"/>
      <w:bookmarkStart w:id="42" w:name="_Toc418172336"/>
      <w:bookmarkStart w:id="43" w:name="_Toc418590418"/>
      <w:bookmarkStart w:id="44" w:name="_Toc421025979"/>
      <w:bookmarkStart w:id="45" w:name="_Toc422401216"/>
      <w:bookmarkStart w:id="46" w:name="_Toc423525461"/>
      <w:r w:rsidRPr="002826D5">
        <w:rPr>
          <w:rFonts w:asciiTheme="minorBidi" w:hAnsiTheme="minorBidi" w:cstheme="minorBidi"/>
          <w:b/>
          <w:sz w:val="32"/>
          <w:szCs w:val="32"/>
          <w:lang w:val="fr-FR"/>
        </w:rPr>
        <w:lastRenderedPageBreak/>
        <w:t>AMENDEMENTS AUX PUBLICATIONS DE SERVICE</w:t>
      </w:r>
      <w:bookmarkEnd w:id="41"/>
      <w:bookmarkEnd w:id="42"/>
      <w:bookmarkEnd w:id="43"/>
      <w:bookmarkEnd w:id="44"/>
      <w:bookmarkEnd w:id="45"/>
      <w:bookmarkEnd w:id="46"/>
    </w:p>
    <w:p w:rsidR="00A61AFB" w:rsidRPr="002826D5" w:rsidRDefault="00A61AFB" w:rsidP="00A61AFB">
      <w:pPr>
        <w:tabs>
          <w:tab w:val="clear" w:pos="1276"/>
          <w:tab w:val="clear" w:pos="1843"/>
          <w:tab w:val="clear" w:pos="5387"/>
          <w:tab w:val="clear" w:pos="5954"/>
          <w:tab w:val="right" w:pos="1021"/>
          <w:tab w:val="left" w:pos="1701"/>
          <w:tab w:val="left" w:pos="2268"/>
        </w:tabs>
        <w:spacing w:before="24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ADD</w:t>
            </w:r>
          </w:p>
        </w:tc>
        <w:tc>
          <w:tcPr>
            <w:tcW w:w="1079"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PAR</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COL</w:t>
            </w:r>
          </w:p>
        </w:tc>
        <w:tc>
          <w:tcPr>
            <w:tcW w:w="1079"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REP</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LIR</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Lire</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SUP</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A61AFB"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page(s)</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p>
        </w:tc>
        <w:tc>
          <w:tcPr>
            <w:tcW w:w="1251" w:type="dxa"/>
          </w:tcPr>
          <w:p w:rsidR="00A61AFB" w:rsidRPr="002826D5" w:rsidRDefault="00A61AFB" w:rsidP="00A61AFB">
            <w:pPr>
              <w:tabs>
                <w:tab w:val="clear" w:pos="567"/>
                <w:tab w:val="clear" w:pos="5387"/>
                <w:tab w:val="clear" w:pos="5954"/>
              </w:tabs>
              <w:spacing w:before="0"/>
              <w:jc w:val="left"/>
              <w:rPr>
                <w:bCs/>
                <w:lang w:val="en-US"/>
              </w:rPr>
            </w:pPr>
          </w:p>
        </w:tc>
      </w:tr>
    </w:tbl>
    <w:p w:rsidR="00A61AFB" w:rsidRPr="002826D5" w:rsidRDefault="00A61AFB" w:rsidP="002C23DE">
      <w:pPr>
        <w:rPr>
          <w:lang w:val="en-US"/>
        </w:rPr>
      </w:pPr>
    </w:p>
    <w:p w:rsidR="006B1A01" w:rsidRPr="002826D5" w:rsidRDefault="00F20D40" w:rsidP="00182E10">
      <w:pPr>
        <w:pStyle w:val="Heading20"/>
        <w:spacing w:before="240"/>
        <w:rPr>
          <w:lang w:val="fr-CH"/>
        </w:rPr>
      </w:pPr>
      <w:bookmarkStart w:id="47" w:name="_Toc368662565"/>
      <w:bookmarkStart w:id="48" w:name="_Toc423525462"/>
      <w:r w:rsidRPr="002826D5">
        <w:t>Nomenclature des stations côtières et des stations</w:t>
      </w:r>
      <w:r w:rsidRPr="002826D5">
        <w:br/>
        <w:t xml:space="preserve">effectuant des services </w:t>
      </w:r>
      <w:proofErr w:type="gramStart"/>
      <w:r w:rsidRPr="002826D5">
        <w:t>spéciaux</w:t>
      </w:r>
      <w:bookmarkEnd w:id="47"/>
      <w:bookmarkEnd w:id="48"/>
      <w:proofErr w:type="gramEnd"/>
      <w:r w:rsidR="00182E10">
        <w:br/>
      </w:r>
      <w:bookmarkStart w:id="49" w:name="_Toc368662566"/>
      <w:bookmarkStart w:id="50" w:name="_Toc423525463"/>
      <w:r w:rsidRPr="002826D5">
        <w:t>(Liste IV)</w:t>
      </w:r>
      <w:bookmarkEnd w:id="49"/>
      <w:bookmarkEnd w:id="50"/>
      <w:r w:rsidR="00182E10">
        <w:br/>
      </w:r>
      <w:bookmarkStart w:id="51" w:name="_Toc423525464"/>
      <w:r w:rsidRPr="002826D5">
        <w:t>Édition de 2013</w:t>
      </w:r>
      <w:bookmarkEnd w:id="51"/>
      <w:r w:rsidR="00182E10">
        <w:br/>
      </w:r>
      <w:r w:rsidR="00182E10">
        <w:br/>
      </w:r>
      <w:bookmarkStart w:id="52" w:name="_Toc423525465"/>
      <w:r w:rsidRPr="002826D5">
        <w:rPr>
          <w:lang w:val="fr-CH"/>
        </w:rPr>
        <w:t>(Amendement N</w:t>
      </w:r>
      <w:r w:rsidRPr="002826D5">
        <w:rPr>
          <w:vertAlign w:val="superscript"/>
          <w:lang w:val="fr-CH"/>
        </w:rPr>
        <w:t>o</w:t>
      </w:r>
      <w:r w:rsidRPr="002826D5">
        <w:rPr>
          <w:lang w:val="fr-CH"/>
        </w:rPr>
        <w:t xml:space="preserve"> 5)</w:t>
      </w:r>
      <w:bookmarkEnd w:id="52"/>
    </w:p>
    <w:p w:rsidR="006B1A01" w:rsidRPr="002826D5" w:rsidRDefault="006B1A01" w:rsidP="006B1A01">
      <w:pPr>
        <w:rPr>
          <w:lang w:val="fr-CH"/>
        </w:rPr>
      </w:pPr>
    </w:p>
    <w:p w:rsidR="00F20D40" w:rsidRPr="002826D5" w:rsidRDefault="00F20D40" w:rsidP="00F20D4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Calibri"/>
          <w:b/>
          <w:bCs/>
          <w:lang w:val="fr-CH"/>
        </w:rPr>
      </w:pPr>
      <w:r w:rsidRPr="002826D5">
        <w:rPr>
          <w:rFonts w:eastAsia="SimSun" w:cs="Calibri"/>
          <w:b/>
          <w:bCs/>
          <w:lang w:val="fr-CH"/>
        </w:rPr>
        <w:t>GIB</w:t>
      </w:r>
      <w:r w:rsidRPr="002826D5">
        <w:rPr>
          <w:rFonts w:eastAsia="SimSun" w:cs="Calibri"/>
          <w:b/>
          <w:bCs/>
          <w:lang w:val="fr-CH"/>
        </w:rPr>
        <w:tab/>
        <w:t>Gibraltar</w:t>
      </w:r>
    </w:p>
    <w:p w:rsidR="00F20D40" w:rsidRPr="002826D5" w:rsidRDefault="00F20D40" w:rsidP="00F20D40">
      <w:pPr>
        <w:tabs>
          <w:tab w:val="clear" w:pos="567"/>
          <w:tab w:val="clear" w:pos="1276"/>
          <w:tab w:val="clear" w:pos="1843"/>
          <w:tab w:val="clear" w:pos="5387"/>
          <w:tab w:val="clear" w:pos="5954"/>
          <w:tab w:val="left" w:pos="284"/>
        </w:tabs>
        <w:spacing w:before="0"/>
        <w:jc w:val="left"/>
        <w:rPr>
          <w:rFonts w:cs="Calibri"/>
          <w:b/>
          <w:bCs/>
          <w:lang w:val="fr-CH"/>
        </w:rPr>
      </w:pPr>
    </w:p>
    <w:p w:rsidR="00F20D40" w:rsidRPr="002826D5" w:rsidRDefault="00F20D40" w:rsidP="00F20D4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Arial"/>
          <w:bCs/>
          <w:lang w:val="fr-CH" w:eastAsia="zh-CN"/>
        </w:rPr>
      </w:pPr>
      <w:r w:rsidRPr="002826D5">
        <w:rPr>
          <w:rFonts w:eastAsia="SimSun" w:cs="Arial"/>
          <w:b/>
          <w:bCs/>
          <w:lang w:val="fr-CH" w:eastAsia="zh-CN"/>
        </w:rPr>
        <w:t>SUP</w:t>
      </w:r>
      <w:r w:rsidRPr="002826D5">
        <w:rPr>
          <w:rFonts w:eastAsia="SimSun" w:cs="Arial"/>
          <w:bCs/>
          <w:lang w:val="fr-CH" w:eastAsia="zh-CN"/>
        </w:rPr>
        <w:tab/>
        <w:t>notes A et H</w:t>
      </w:r>
    </w:p>
    <w:p w:rsidR="00201AE8" w:rsidRDefault="00201AE8" w:rsidP="002C23DE">
      <w:pPr>
        <w:rPr>
          <w:lang w:val="fr-CH"/>
        </w:rPr>
      </w:pPr>
    </w:p>
    <w:p w:rsidR="00201AE8" w:rsidRPr="002826D5" w:rsidRDefault="00201AE8" w:rsidP="002C23DE">
      <w:pPr>
        <w:rPr>
          <w:lang w:val="fr-CH"/>
        </w:rPr>
      </w:pPr>
    </w:p>
    <w:p w:rsidR="006B1A01" w:rsidRPr="002826D5" w:rsidRDefault="00F20D40" w:rsidP="006B1A01">
      <w:pPr>
        <w:pStyle w:val="Heading20"/>
        <w:spacing w:before="240"/>
      </w:pPr>
      <w:bookmarkStart w:id="53" w:name="_Toc423525466"/>
      <w:r w:rsidRPr="002826D5">
        <w:rPr>
          <w:szCs w:val="26"/>
        </w:rPr>
        <w:t>Nomenclature des stations de navire et des identités</w:t>
      </w:r>
      <w:r w:rsidRPr="002826D5">
        <w:rPr>
          <w:szCs w:val="26"/>
        </w:rPr>
        <w:br/>
        <w:t xml:space="preserve">du service mobile maritime </w:t>
      </w:r>
      <w:proofErr w:type="gramStart"/>
      <w:r w:rsidRPr="002826D5">
        <w:rPr>
          <w:szCs w:val="26"/>
        </w:rPr>
        <w:t>assignées</w:t>
      </w:r>
      <w:proofErr w:type="gramEnd"/>
      <w:r w:rsidRPr="002826D5">
        <w:rPr>
          <w:szCs w:val="26"/>
        </w:rPr>
        <w:br/>
        <w:t>(Liste V)</w:t>
      </w:r>
      <w:r w:rsidRPr="002826D5">
        <w:rPr>
          <w:szCs w:val="26"/>
        </w:rPr>
        <w:br/>
        <w:t>Edition de 2015</w:t>
      </w:r>
      <w:r w:rsidRPr="002826D5">
        <w:rPr>
          <w:szCs w:val="26"/>
        </w:rPr>
        <w:br/>
      </w:r>
      <w:r w:rsidRPr="002826D5">
        <w:rPr>
          <w:szCs w:val="26"/>
        </w:rPr>
        <w:br/>
        <w:t>Section VI</w:t>
      </w:r>
      <w:bookmarkEnd w:id="53"/>
    </w:p>
    <w:p w:rsidR="00F20D40" w:rsidRPr="002826D5" w:rsidRDefault="00F20D40" w:rsidP="00F20D4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ascii="Arial" w:hAnsi="Arial" w:cs="Arial"/>
          <w:b/>
          <w:bCs/>
          <w:lang w:val="es-ES"/>
        </w:rPr>
      </w:pPr>
      <w:r w:rsidRPr="002826D5">
        <w:rPr>
          <w:rFonts w:eastAsia="SimSun" w:cs="Calibri"/>
          <w:b/>
          <w:bCs/>
          <w:lang w:val="es-ES"/>
        </w:rPr>
        <w:t>ADD</w:t>
      </w:r>
    </w:p>
    <w:p w:rsidR="00F20D40" w:rsidRPr="002826D5" w:rsidRDefault="00F20D40" w:rsidP="00965A54">
      <w:pPr>
        <w:widowControl w:val="0"/>
        <w:tabs>
          <w:tab w:val="clear" w:pos="1843"/>
          <w:tab w:val="left" w:pos="90"/>
          <w:tab w:val="left" w:pos="1133"/>
        </w:tabs>
        <w:spacing w:before="0"/>
        <w:ind w:left="1440" w:hanging="873"/>
        <w:rPr>
          <w:rFonts w:asciiTheme="minorHAnsi" w:hAnsiTheme="minorHAnsi" w:cs="Arial"/>
          <w:lang w:val="es-ES_tradnl"/>
        </w:rPr>
      </w:pPr>
      <w:r w:rsidRPr="002826D5">
        <w:rPr>
          <w:rFonts w:asciiTheme="minorHAnsi" w:hAnsiTheme="minorHAnsi" w:cs="Arial"/>
          <w:b/>
          <w:bCs/>
          <w:lang w:val="es-ES_tradnl"/>
        </w:rPr>
        <w:t>CV71</w:t>
      </w:r>
      <w:r w:rsidRPr="002826D5">
        <w:rPr>
          <w:rFonts w:asciiTheme="minorHAnsi" w:hAnsiTheme="minorHAnsi" w:cs="Arial"/>
          <w:sz w:val="24"/>
          <w:szCs w:val="24"/>
          <w:lang w:val="es-ES_tradnl"/>
        </w:rPr>
        <w:tab/>
      </w:r>
      <w:r w:rsidRPr="002826D5">
        <w:rPr>
          <w:rFonts w:asciiTheme="minorHAnsi" w:hAnsiTheme="minorHAnsi" w:cs="Arial"/>
          <w:sz w:val="24"/>
          <w:szCs w:val="24"/>
          <w:lang w:val="es-ES_tradnl"/>
        </w:rPr>
        <w:tab/>
      </w:r>
      <w:r w:rsidRPr="002826D5">
        <w:rPr>
          <w:rFonts w:asciiTheme="minorHAnsi" w:hAnsiTheme="minorHAnsi" w:cs="Arial"/>
          <w:lang w:val="es-ES_tradnl"/>
        </w:rPr>
        <w:t xml:space="preserve">COMPANHIA LUSOLINES </w:t>
      </w:r>
      <w:r w:rsidR="00965A54">
        <w:rPr>
          <w:rFonts w:asciiTheme="minorHAnsi" w:hAnsiTheme="minorHAnsi" w:cs="Arial"/>
          <w:lang w:val="es-ES_tradnl"/>
        </w:rPr>
        <w:t>–</w:t>
      </w:r>
      <w:r w:rsidRPr="002826D5">
        <w:rPr>
          <w:rFonts w:asciiTheme="minorHAnsi" w:hAnsiTheme="minorHAnsi" w:cs="Arial"/>
          <w:lang w:val="es-ES_tradnl"/>
        </w:rPr>
        <w:t xml:space="preserve"> AGENCIA DE TRANSPORTES MARITIMOS</w:t>
      </w:r>
    </w:p>
    <w:p w:rsidR="00F20D40" w:rsidRPr="002826D5" w:rsidRDefault="00F20D40" w:rsidP="00965A54">
      <w:pPr>
        <w:widowControl w:val="0"/>
        <w:tabs>
          <w:tab w:val="clear" w:pos="1843"/>
          <w:tab w:val="left" w:pos="90"/>
          <w:tab w:val="left" w:pos="1133"/>
        </w:tabs>
        <w:spacing w:before="0"/>
        <w:ind w:left="1372" w:hanging="787"/>
        <w:rPr>
          <w:rFonts w:asciiTheme="minorHAnsi" w:hAnsiTheme="minorHAnsi" w:cs="Arial"/>
          <w:sz w:val="25"/>
          <w:szCs w:val="25"/>
          <w:lang w:val="es-ES_tradnl"/>
        </w:rPr>
      </w:pPr>
      <w:r w:rsidRPr="002826D5">
        <w:rPr>
          <w:rFonts w:asciiTheme="minorHAnsi" w:hAnsiTheme="minorHAnsi" w:cs="Arial"/>
          <w:b/>
          <w:bCs/>
          <w:lang w:val="es-ES_tradnl"/>
        </w:rPr>
        <w:tab/>
      </w:r>
      <w:r w:rsidRPr="002826D5">
        <w:rPr>
          <w:rFonts w:asciiTheme="minorHAnsi" w:hAnsiTheme="minorHAnsi" w:cs="Arial"/>
          <w:b/>
          <w:bCs/>
          <w:lang w:val="es-ES_tradnl"/>
        </w:rPr>
        <w:tab/>
      </w:r>
      <w:r w:rsidRPr="002826D5">
        <w:rPr>
          <w:rFonts w:asciiTheme="minorHAnsi" w:hAnsiTheme="minorHAnsi" w:cs="Arial"/>
          <w:lang w:val="es-ES_tradnl"/>
        </w:rPr>
        <w:t xml:space="preserve">DE MERCADORIA, </w:t>
      </w:r>
    </w:p>
    <w:p w:rsidR="00F20D40" w:rsidRPr="002826D5" w:rsidRDefault="00965A54" w:rsidP="00965A54">
      <w:pPr>
        <w:widowControl w:val="0"/>
        <w:tabs>
          <w:tab w:val="clear" w:pos="1843"/>
          <w:tab w:val="left" w:pos="90"/>
          <w:tab w:val="left" w:pos="1133"/>
        </w:tabs>
        <w:spacing w:before="0"/>
        <w:ind w:left="1372" w:hanging="787"/>
        <w:rPr>
          <w:rFonts w:asciiTheme="minorHAnsi" w:hAnsiTheme="minorHAnsi" w:cs="Arial"/>
          <w:lang w:val="es-ES_tradnl"/>
        </w:rPr>
      </w:pPr>
      <w:r>
        <w:rPr>
          <w:rFonts w:asciiTheme="minorHAnsi" w:hAnsiTheme="minorHAnsi" w:cs="Arial"/>
          <w:lang w:val="es-ES_tradnl"/>
        </w:rPr>
        <w:tab/>
      </w:r>
      <w:r>
        <w:rPr>
          <w:rFonts w:asciiTheme="minorHAnsi" w:hAnsiTheme="minorHAnsi" w:cs="Arial"/>
          <w:lang w:val="es-ES_tradnl"/>
        </w:rPr>
        <w:tab/>
      </w:r>
      <w:r w:rsidR="00F20D40" w:rsidRPr="002826D5">
        <w:rPr>
          <w:rFonts w:asciiTheme="minorHAnsi" w:hAnsiTheme="minorHAnsi" w:cs="Arial"/>
          <w:lang w:val="es-ES_tradnl"/>
        </w:rPr>
        <w:t xml:space="preserve">Complexo Copacabana, Bloco M, 1 R/C, </w:t>
      </w:r>
      <w:proofErr w:type="spellStart"/>
      <w:r w:rsidR="00F20D40" w:rsidRPr="002826D5">
        <w:rPr>
          <w:rFonts w:asciiTheme="minorHAnsi" w:hAnsiTheme="minorHAnsi" w:cs="Arial"/>
          <w:lang w:val="es-ES_tradnl"/>
        </w:rPr>
        <w:t>Mindelo</w:t>
      </w:r>
      <w:proofErr w:type="spellEnd"/>
      <w:r w:rsidR="00F20D40" w:rsidRPr="002826D5">
        <w:rPr>
          <w:rFonts w:asciiTheme="minorHAnsi" w:hAnsiTheme="minorHAnsi" w:cs="Arial"/>
          <w:lang w:val="es-ES_tradnl"/>
        </w:rPr>
        <w:t xml:space="preserve">, </w:t>
      </w:r>
      <w:proofErr w:type="spellStart"/>
      <w:r w:rsidR="00F20D40" w:rsidRPr="002826D5">
        <w:rPr>
          <w:rFonts w:asciiTheme="minorHAnsi" w:hAnsiTheme="minorHAnsi" w:cs="Arial"/>
          <w:lang w:val="es-ES_tradnl"/>
        </w:rPr>
        <w:t>Săo</w:t>
      </w:r>
      <w:proofErr w:type="spellEnd"/>
      <w:r w:rsidR="00F20D40" w:rsidRPr="002826D5">
        <w:rPr>
          <w:rFonts w:asciiTheme="minorHAnsi" w:hAnsiTheme="minorHAnsi" w:cs="Arial"/>
          <w:lang w:val="es-ES_tradnl"/>
        </w:rPr>
        <w:t xml:space="preserve"> Vicente República de Cabo Verde</w:t>
      </w:r>
    </w:p>
    <w:p w:rsidR="00F20D40" w:rsidRPr="002826D5" w:rsidRDefault="00F20D40" w:rsidP="00965A54">
      <w:pPr>
        <w:widowControl w:val="0"/>
        <w:tabs>
          <w:tab w:val="clear" w:pos="1843"/>
          <w:tab w:val="left" w:pos="1133"/>
        </w:tabs>
        <w:spacing w:before="0"/>
        <w:rPr>
          <w:rFonts w:asciiTheme="minorHAnsi" w:hAnsiTheme="minorHAnsi" w:cs="Arial"/>
          <w:sz w:val="25"/>
          <w:szCs w:val="25"/>
          <w:lang w:val="fr-CH"/>
        </w:rPr>
      </w:pPr>
      <w:r w:rsidRPr="002826D5">
        <w:rPr>
          <w:rFonts w:asciiTheme="minorHAnsi" w:hAnsiTheme="minorHAnsi" w:cs="Arial"/>
          <w:sz w:val="24"/>
          <w:szCs w:val="24"/>
          <w:lang w:val="es-ES_tradnl"/>
        </w:rPr>
        <w:tab/>
      </w:r>
      <w:r w:rsidRPr="002826D5">
        <w:rPr>
          <w:rFonts w:asciiTheme="minorHAnsi" w:hAnsiTheme="minorHAnsi" w:cs="Arial"/>
          <w:sz w:val="24"/>
          <w:szCs w:val="24"/>
          <w:lang w:val="es-ES_tradnl"/>
        </w:rPr>
        <w:tab/>
      </w:r>
      <w:r w:rsidR="00965A54">
        <w:rPr>
          <w:rFonts w:asciiTheme="minorHAnsi" w:hAnsiTheme="minorHAnsi" w:cs="Arial"/>
          <w:sz w:val="24"/>
          <w:szCs w:val="24"/>
          <w:lang w:val="es-ES_tradnl"/>
        </w:rPr>
        <w:tab/>
      </w:r>
      <w:r w:rsidRPr="002826D5">
        <w:rPr>
          <w:rFonts w:asciiTheme="minorHAnsi" w:hAnsiTheme="minorHAnsi" w:cs="Arial"/>
          <w:lang w:val="fr-CH"/>
        </w:rPr>
        <w:t xml:space="preserve">Tél.: +238 2311036, E-Mail: </w:t>
      </w:r>
      <w:hyperlink r:id="rId21" w:history="1">
        <w:r w:rsidRPr="002826D5">
          <w:rPr>
            <w:rStyle w:val="Hyperlink"/>
            <w:rFonts w:asciiTheme="minorHAnsi" w:hAnsiTheme="minorHAnsi" w:cs="Arial"/>
            <w:color w:val="auto"/>
            <w:lang w:val="fr-CH"/>
          </w:rPr>
          <w:t>comercial@lusolines.cv</w:t>
        </w:r>
      </w:hyperlink>
      <w:r w:rsidRPr="002826D5">
        <w:rPr>
          <w:rFonts w:asciiTheme="minorHAnsi" w:hAnsiTheme="minorHAnsi" w:cs="Arial"/>
          <w:lang w:val="fr-CH"/>
        </w:rPr>
        <w:tab/>
      </w:r>
    </w:p>
    <w:p w:rsidR="00F20D40" w:rsidRPr="002826D5" w:rsidRDefault="00965A54" w:rsidP="00965A54">
      <w:pPr>
        <w:widowControl w:val="0"/>
        <w:tabs>
          <w:tab w:val="clear" w:pos="1843"/>
          <w:tab w:val="left" w:pos="90"/>
          <w:tab w:val="left" w:pos="1133"/>
        </w:tabs>
        <w:spacing w:before="0"/>
        <w:ind w:left="1372" w:hanging="787"/>
        <w:rPr>
          <w:rFonts w:asciiTheme="minorHAnsi" w:hAnsiTheme="minorHAnsi" w:cs="Arial"/>
          <w:i/>
          <w:iCs/>
          <w:lang w:val="fr-CH"/>
        </w:rPr>
      </w:pPr>
      <w:r>
        <w:rPr>
          <w:rFonts w:asciiTheme="minorHAnsi" w:hAnsiTheme="minorHAnsi" w:cs="Arial"/>
          <w:sz w:val="24"/>
          <w:szCs w:val="24"/>
          <w:lang w:val="fr-CH"/>
        </w:rPr>
        <w:tab/>
      </w:r>
      <w:r>
        <w:rPr>
          <w:rFonts w:asciiTheme="minorHAnsi" w:hAnsiTheme="minorHAnsi" w:cs="Arial"/>
          <w:sz w:val="24"/>
          <w:szCs w:val="24"/>
          <w:lang w:val="fr-CH"/>
        </w:rPr>
        <w:tab/>
      </w:r>
      <w:r w:rsidR="00F20D40" w:rsidRPr="002826D5">
        <w:rPr>
          <w:rFonts w:asciiTheme="minorHAnsi" w:hAnsiTheme="minorHAnsi" w:cs="Arial"/>
          <w:i/>
          <w:iCs/>
          <w:lang w:val="fr-CH"/>
        </w:rPr>
        <w:t>Personne de contact: Mr. Artur Franco, Tél: +238 9220646</w:t>
      </w:r>
    </w:p>
    <w:p w:rsidR="006B1A01" w:rsidRDefault="006B1A01" w:rsidP="00F20D40">
      <w:pPr>
        <w:rPr>
          <w:rFonts w:asciiTheme="minorHAnsi" w:hAnsiTheme="minorHAnsi"/>
          <w:lang w:val="fr-CH"/>
        </w:rPr>
      </w:pPr>
    </w:p>
    <w:p w:rsidR="00965A54" w:rsidRDefault="00965A5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965A54" w:rsidRDefault="00965A54" w:rsidP="00965A54">
      <w:pPr>
        <w:pStyle w:val="Heading20"/>
        <w:spacing w:before="240"/>
      </w:pPr>
      <w:bookmarkStart w:id="54" w:name="_Toc423525467"/>
      <w:r>
        <w:lastRenderedPageBreak/>
        <w:t>Liste des indicatifs de pays de la</w:t>
      </w:r>
      <w:r>
        <w:br/>
        <w:t xml:space="preserve">Recommandation UIT-T E.164 </w:t>
      </w:r>
      <w:proofErr w:type="gramStart"/>
      <w:r>
        <w:t>attribués</w:t>
      </w:r>
      <w:proofErr w:type="gramEnd"/>
      <w:r>
        <w:br/>
        <w:t>(Complément à la Recommandation UIT-T E.164 (11/2010))</w:t>
      </w:r>
      <w:r>
        <w:br/>
        <w:t>(Situation au 1 novembre 2011)</w:t>
      </w:r>
      <w:bookmarkEnd w:id="54"/>
    </w:p>
    <w:p w:rsidR="00965A54" w:rsidRDefault="00965A54" w:rsidP="00965A54">
      <w:pPr>
        <w:jc w:val="center"/>
        <w:rPr>
          <w:lang w:val="fr-CH"/>
        </w:rPr>
      </w:pPr>
      <w:r>
        <w:rPr>
          <w:lang w:val="fr-CH"/>
        </w:rPr>
        <w:t>(</w:t>
      </w:r>
      <w:r>
        <w:rPr>
          <w:lang w:val="fr-FR"/>
        </w:rPr>
        <w:t>Annexe au Bulletin d’exploitation de l’UIT N</w:t>
      </w:r>
      <w:r>
        <w:rPr>
          <w:vertAlign w:val="superscript"/>
          <w:lang w:val="fr-FR"/>
        </w:rPr>
        <w:t>o</w:t>
      </w:r>
      <w:r>
        <w:rPr>
          <w:lang w:val="fr-CH"/>
        </w:rPr>
        <w:t xml:space="preserve"> 991 – 1.XI.2011)</w:t>
      </w:r>
      <w:r>
        <w:rPr>
          <w:lang w:val="fr-CH"/>
        </w:rPr>
        <w:br/>
        <w:t>(Amendement N</w:t>
      </w:r>
      <w:r>
        <w:rPr>
          <w:vertAlign w:val="superscript"/>
          <w:lang w:val="fr-CH"/>
        </w:rPr>
        <w:t xml:space="preserve">o </w:t>
      </w:r>
      <w:r>
        <w:rPr>
          <w:lang w:val="fr-CH"/>
        </w:rPr>
        <w:t>13)</w:t>
      </w:r>
    </w:p>
    <w:p w:rsidR="00965A54" w:rsidRDefault="00965A54" w:rsidP="00965A54">
      <w:pPr>
        <w:widowControl w:val="0"/>
        <w:tabs>
          <w:tab w:val="left" w:pos="0"/>
          <w:tab w:val="left" w:pos="340"/>
        </w:tabs>
        <w:spacing w:before="240"/>
        <w:ind w:left="340" w:hanging="340"/>
        <w:rPr>
          <w:sz w:val="18"/>
          <w:lang w:val="fr-FR"/>
        </w:rPr>
      </w:pPr>
      <w:r>
        <w:rPr>
          <w:b/>
          <w:lang w:val="fr-FR"/>
        </w:rPr>
        <w:t>Notes communes aux listes numérique et alphabétique des indicatifs de pays de la Recommandation UIT</w:t>
      </w:r>
      <w:r>
        <w:rPr>
          <w:b/>
          <w:lang w:val="fr-FR"/>
        </w:rPr>
        <w:noBreakHyphen/>
        <w:t>T E.164 attribués</w:t>
      </w:r>
      <w:r>
        <w:rPr>
          <w:sz w:val="18"/>
          <w:lang w:val="fr-FR"/>
        </w:rPr>
        <w:t xml:space="preserve"> </w:t>
      </w:r>
    </w:p>
    <w:p w:rsidR="00965A54" w:rsidRDefault="00965A54" w:rsidP="00965A54">
      <w:pPr>
        <w:ind w:left="567" w:hanging="567"/>
        <w:rPr>
          <w:sz w:val="18"/>
          <w:lang w:val="fr-FR"/>
        </w:rPr>
      </w:pPr>
      <w:r>
        <w:rPr>
          <w:sz w:val="18"/>
          <w:lang w:val="fr-FR"/>
        </w:rPr>
        <w:t>p</w:t>
      </w:r>
      <w:r>
        <w:rPr>
          <w:sz w:val="18"/>
          <w:lang w:val="fr-FR"/>
        </w:rPr>
        <w:tab/>
        <w:t>Associé à l'indicatif de pays 883 attribué en partage, le code d'identification à trois chiffres ci-après a été attribué au réseau international suivant:</w:t>
      </w:r>
    </w:p>
    <w:p w:rsidR="00965A54" w:rsidRDefault="00965A54" w:rsidP="00965A54">
      <w:pPr>
        <w:widowControl w:val="0"/>
        <w:tabs>
          <w:tab w:val="left" w:pos="0"/>
          <w:tab w:val="left" w:pos="340"/>
        </w:tabs>
        <w:ind w:left="340" w:hanging="340"/>
        <w:rPr>
          <w:b/>
          <w:color w:val="000000"/>
        </w:rPr>
      </w:pPr>
      <w:r>
        <w:rPr>
          <w:b/>
          <w:bCs/>
          <w:i/>
          <w:color w:val="000000"/>
          <w:lang w:val="es-ES"/>
        </w:rPr>
        <w:t>Note p</w:t>
      </w:r>
      <w:r w:rsidRPr="00FA486B">
        <w:rPr>
          <w:b/>
          <w:bCs/>
          <w:i/>
          <w:color w:val="000000"/>
          <w:lang w:val="es-ES"/>
        </w:rPr>
        <w:t>)</w:t>
      </w:r>
      <w:r w:rsidRPr="00FA486B">
        <w:rPr>
          <w:b/>
          <w:color w:val="000000"/>
          <w:lang w:val="es-ES"/>
        </w:rPr>
        <w:t xml:space="preserve">   </w:t>
      </w:r>
      <w:r>
        <w:rPr>
          <w:b/>
          <w:lang w:val="es-ES"/>
        </w:rPr>
        <w:t xml:space="preserve">+883 180 </w:t>
      </w:r>
      <w:r w:rsidRPr="00FA486B">
        <w:rPr>
          <w:b/>
          <w:lang w:val="es-ES"/>
        </w:rPr>
        <w:t xml:space="preserve">  </w:t>
      </w:r>
      <w:r w:rsidRPr="00FA486B">
        <w:rPr>
          <w:b/>
          <w:color w:val="000000"/>
          <w:lang w:val="es-ES"/>
        </w:rPr>
        <w:t xml:space="preserve">  ADD</w:t>
      </w:r>
      <w:r w:rsidRPr="00FA486B">
        <w:rPr>
          <w:b/>
          <w:color w:val="000000"/>
        </w:rPr>
        <w:t>*</w:t>
      </w:r>
    </w:p>
    <w:p w:rsidR="00965A54" w:rsidRDefault="00965A54" w:rsidP="00965A54">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965A54" w:rsidRPr="00A407FA" w:rsidTr="00965A54">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965A54" w:rsidRDefault="00965A54" w:rsidP="00965A54">
            <w:pPr>
              <w:pStyle w:val="Tablehead0"/>
              <w:spacing w:before="80" w:after="80" w:line="276" w:lineRule="auto"/>
            </w:pPr>
            <w:r>
              <w:t>Requérant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965A54" w:rsidRDefault="00965A54" w:rsidP="00965A54">
            <w:pPr>
              <w:pStyle w:val="Tablehead0"/>
              <w:spacing w:before="80" w:after="80" w:line="276" w:lineRule="auto"/>
            </w:pPr>
            <w:r>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965A54" w:rsidRDefault="00965A54" w:rsidP="00965A54">
            <w:pPr>
              <w:pStyle w:val="Tablehead0"/>
              <w:spacing w:before="80" w:after="80" w:line="276" w:lineRule="auto"/>
              <w:rPr>
                <w:lang w:val="fr-CH"/>
              </w:rPr>
            </w:pPr>
            <w:r>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965A54" w:rsidRDefault="00965A54" w:rsidP="00965A54">
            <w:pPr>
              <w:pStyle w:val="Tablehead0"/>
              <w:spacing w:before="80" w:after="80" w:line="276" w:lineRule="auto"/>
            </w:pPr>
            <w:r>
              <w:t>Situation</w:t>
            </w:r>
          </w:p>
        </w:tc>
      </w:tr>
      <w:tr w:rsidR="00965A54" w:rsidRPr="0041509F" w:rsidTr="00965A54">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965A54" w:rsidRPr="00167636" w:rsidRDefault="00965A54" w:rsidP="00965A54">
            <w:pPr>
              <w:tabs>
                <w:tab w:val="clear" w:pos="567"/>
                <w:tab w:val="clear" w:pos="5387"/>
                <w:tab w:val="clear" w:pos="5954"/>
              </w:tabs>
              <w:spacing w:before="40" w:after="40" w:line="276" w:lineRule="auto"/>
              <w:jc w:val="left"/>
              <w:rPr>
                <w:bCs/>
                <w:sz w:val="18"/>
                <w:szCs w:val="22"/>
                <w:lang w:val="en-US"/>
              </w:rPr>
            </w:pPr>
            <w:proofErr w:type="spellStart"/>
            <w:r w:rsidRPr="00DB2D0A">
              <w:rPr>
                <w:lang w:val="en-US"/>
              </w:rPr>
              <w:t>Ooredoo</w:t>
            </w:r>
            <w:proofErr w:type="spellEnd"/>
          </w:p>
        </w:tc>
        <w:tc>
          <w:tcPr>
            <w:tcW w:w="2663" w:type="dxa"/>
            <w:tcBorders>
              <w:top w:val="single" w:sz="6" w:space="0" w:color="000000"/>
              <w:left w:val="single" w:sz="6" w:space="0" w:color="000000"/>
              <w:bottom w:val="single" w:sz="6" w:space="0" w:color="000000"/>
              <w:right w:val="single" w:sz="6" w:space="0" w:color="000000"/>
            </w:tcBorders>
            <w:hideMark/>
          </w:tcPr>
          <w:p w:rsidR="00965A54" w:rsidRPr="00167636" w:rsidRDefault="00965A54" w:rsidP="00965A54">
            <w:pPr>
              <w:tabs>
                <w:tab w:val="clear" w:pos="567"/>
                <w:tab w:val="clear" w:pos="5387"/>
                <w:tab w:val="clear" w:pos="5954"/>
              </w:tabs>
              <w:spacing w:before="40" w:after="40" w:line="276" w:lineRule="auto"/>
              <w:jc w:val="left"/>
              <w:rPr>
                <w:bCs/>
                <w:sz w:val="18"/>
                <w:szCs w:val="22"/>
                <w:lang w:val="en-US"/>
              </w:rPr>
            </w:pPr>
            <w:proofErr w:type="spellStart"/>
            <w:r w:rsidRPr="00DB2D0A">
              <w:rPr>
                <w:lang w:val="en-US"/>
              </w:rPr>
              <w:t>Ooredoo</w:t>
            </w:r>
            <w:proofErr w:type="spellEnd"/>
          </w:p>
        </w:tc>
        <w:tc>
          <w:tcPr>
            <w:tcW w:w="1841" w:type="dxa"/>
            <w:tcBorders>
              <w:top w:val="single" w:sz="6" w:space="0" w:color="000000"/>
              <w:left w:val="single" w:sz="6" w:space="0" w:color="000000"/>
              <w:bottom w:val="single" w:sz="6" w:space="0" w:color="000000"/>
              <w:right w:val="single" w:sz="6" w:space="0" w:color="000000"/>
            </w:tcBorders>
            <w:hideMark/>
          </w:tcPr>
          <w:p w:rsidR="00965A54" w:rsidRPr="0041509F" w:rsidRDefault="00965A54" w:rsidP="00965A54">
            <w:pPr>
              <w:tabs>
                <w:tab w:val="clear" w:pos="567"/>
                <w:tab w:val="clear" w:pos="5387"/>
                <w:tab w:val="clear" w:pos="5954"/>
              </w:tabs>
              <w:spacing w:before="40" w:after="40" w:line="276" w:lineRule="auto"/>
              <w:jc w:val="center"/>
              <w:rPr>
                <w:bCs/>
                <w:sz w:val="18"/>
                <w:szCs w:val="22"/>
                <w:lang w:val="fr-FR"/>
              </w:rPr>
            </w:pPr>
            <w:r>
              <w:rPr>
                <w:bCs/>
                <w:sz w:val="18"/>
                <w:szCs w:val="22"/>
                <w:lang w:val="fr-FR"/>
              </w:rPr>
              <w:t>+</w:t>
            </w:r>
            <w:r>
              <w:rPr>
                <w:bCs/>
                <w:sz w:val="18"/>
                <w:szCs w:val="22"/>
              </w:rPr>
              <w:t>883 18</w:t>
            </w:r>
            <w:r w:rsidRPr="003C3B4E">
              <w:rPr>
                <w:bCs/>
                <w:sz w:val="18"/>
                <w:szCs w:val="22"/>
              </w:rPr>
              <w:t>0</w:t>
            </w:r>
          </w:p>
        </w:tc>
        <w:tc>
          <w:tcPr>
            <w:tcW w:w="1299" w:type="dxa"/>
            <w:tcBorders>
              <w:top w:val="single" w:sz="6" w:space="0" w:color="000000"/>
              <w:left w:val="single" w:sz="6" w:space="0" w:color="000000"/>
              <w:bottom w:val="single" w:sz="6" w:space="0" w:color="000000"/>
              <w:right w:val="single" w:sz="6" w:space="0" w:color="000000"/>
            </w:tcBorders>
            <w:hideMark/>
          </w:tcPr>
          <w:p w:rsidR="00965A54" w:rsidRPr="0041509F" w:rsidRDefault="00965A54" w:rsidP="00965A54">
            <w:pPr>
              <w:pStyle w:val="Tabletext0"/>
              <w:spacing w:line="276" w:lineRule="auto"/>
            </w:pPr>
            <w:r>
              <w:t>Attribué</w:t>
            </w:r>
          </w:p>
        </w:tc>
      </w:tr>
    </w:tbl>
    <w:p w:rsidR="00965A54" w:rsidRDefault="00965A54" w:rsidP="00965A54">
      <w:pPr>
        <w:tabs>
          <w:tab w:val="clear" w:pos="567"/>
          <w:tab w:val="left" w:pos="284"/>
        </w:tabs>
        <w:spacing w:after="120"/>
        <w:rPr>
          <w:sz w:val="18"/>
          <w:szCs w:val="18"/>
        </w:rPr>
      </w:pPr>
      <w:r>
        <w:rPr>
          <w:b/>
          <w:bCs/>
          <w:sz w:val="18"/>
          <w:szCs w:val="18"/>
        </w:rPr>
        <w:t>*</w:t>
      </w:r>
      <w:r>
        <w:rPr>
          <w:b/>
          <w:bCs/>
          <w:sz w:val="18"/>
          <w:szCs w:val="18"/>
        </w:rPr>
        <w:tab/>
      </w:r>
      <w:r w:rsidRPr="00201AE8">
        <w:rPr>
          <w:sz w:val="18"/>
          <w:szCs w:val="18"/>
        </w:rPr>
        <w:t>5</w:t>
      </w:r>
      <w:r>
        <w:rPr>
          <w:sz w:val="18"/>
          <w:szCs w:val="18"/>
        </w:rPr>
        <w:t xml:space="preserve"> </w:t>
      </w:r>
      <w:proofErr w:type="spellStart"/>
      <w:r>
        <w:rPr>
          <w:sz w:val="18"/>
          <w:szCs w:val="18"/>
        </w:rPr>
        <w:t>juin</w:t>
      </w:r>
      <w:proofErr w:type="spellEnd"/>
      <w:r>
        <w:rPr>
          <w:sz w:val="18"/>
          <w:szCs w:val="18"/>
        </w:rPr>
        <w:t xml:space="preserve"> 2015</w:t>
      </w:r>
    </w:p>
    <w:p w:rsidR="00965A54" w:rsidRPr="002826D5" w:rsidRDefault="00965A54" w:rsidP="00F20D40">
      <w:pPr>
        <w:rPr>
          <w:rFonts w:asciiTheme="minorHAnsi" w:hAnsiTheme="minorHAnsi"/>
          <w:lang w:val="fr-CH"/>
        </w:rPr>
      </w:pPr>
    </w:p>
    <w:p w:rsidR="006B1A01" w:rsidRPr="002826D5" w:rsidRDefault="0061061E" w:rsidP="00965A54">
      <w:pPr>
        <w:pStyle w:val="Heading20"/>
        <w:spacing w:before="240"/>
      </w:pPr>
      <w:bookmarkStart w:id="55" w:name="_Toc423525468"/>
      <w:r w:rsidRPr="002826D5">
        <w:t>Codes de réseau mobile (MNC) pour le plan d'identification international</w:t>
      </w:r>
      <w:r w:rsidR="00965A54">
        <w:t xml:space="preserve"> </w:t>
      </w:r>
      <w:r w:rsidRPr="002826D5">
        <w:t xml:space="preserve">pour les réseaux publics et les </w:t>
      </w:r>
      <w:proofErr w:type="gramStart"/>
      <w:r w:rsidRPr="002826D5">
        <w:t>abonnements</w:t>
      </w:r>
      <w:proofErr w:type="gramEnd"/>
      <w:r w:rsidRPr="002826D5">
        <w:br/>
        <w:t>(Selon la Recommandation UIT-T E.212 (05/2008))</w:t>
      </w:r>
      <w:r w:rsidRPr="002826D5">
        <w:br/>
        <w:t>(Situation au 15 juillet 2014 )</w:t>
      </w:r>
      <w:bookmarkEnd w:id="55"/>
    </w:p>
    <w:p w:rsidR="0061061E" w:rsidRPr="00965A54" w:rsidRDefault="0061061E" w:rsidP="00965A54">
      <w:pPr>
        <w:jc w:val="center"/>
        <w:rPr>
          <w:lang w:val="fr-CH"/>
        </w:rPr>
      </w:pPr>
      <w:r w:rsidRPr="00965A54">
        <w:rPr>
          <w:rFonts w:eastAsia="Arial"/>
          <w:lang w:val="fr-CH"/>
        </w:rPr>
        <w:t xml:space="preserve">(Annexe au Bulletin d'exploitation de l'UIT </w:t>
      </w:r>
      <w:r w:rsidRPr="00965A54">
        <w:rPr>
          <w:rFonts w:eastAsia="Calibri"/>
          <w:lang w:val="fr-CH"/>
        </w:rPr>
        <w:t>N°</w:t>
      </w:r>
      <w:r w:rsidRPr="00965A54">
        <w:rPr>
          <w:rFonts w:eastAsia="Arial"/>
          <w:lang w:val="fr-CH"/>
        </w:rPr>
        <w:t xml:space="preserve"> 1056 </w:t>
      </w:r>
      <w:r w:rsidR="00965A54" w:rsidRPr="00965A54">
        <w:rPr>
          <w:rFonts w:eastAsia="Arial"/>
          <w:lang w:val="fr-CH"/>
        </w:rPr>
        <w:t>–</w:t>
      </w:r>
      <w:r w:rsidRPr="00965A54">
        <w:rPr>
          <w:rFonts w:eastAsia="Arial"/>
          <w:lang w:val="fr-CH"/>
        </w:rPr>
        <w:t xml:space="preserve"> 15.VII.2014)</w:t>
      </w:r>
      <w:r w:rsidRPr="00965A54">
        <w:rPr>
          <w:lang w:val="fr-CH"/>
        </w:rPr>
        <w:br/>
      </w:r>
      <w:r w:rsidRPr="00965A54">
        <w:rPr>
          <w:rFonts w:eastAsia="Arial"/>
          <w:lang w:val="fr-CH"/>
        </w:rPr>
        <w:t xml:space="preserve">(Amendement </w:t>
      </w:r>
      <w:r w:rsidRPr="00965A54">
        <w:rPr>
          <w:rFonts w:eastAsia="Calibri"/>
          <w:lang w:val="fr-CH"/>
        </w:rPr>
        <w:t xml:space="preserve">N° </w:t>
      </w:r>
      <w:proofErr w:type="gramStart"/>
      <w:r w:rsidRPr="00965A54">
        <w:rPr>
          <w:rFonts w:eastAsia="Arial"/>
          <w:lang w:val="fr-CH"/>
        </w:rPr>
        <w:t>20 )</w:t>
      </w:r>
      <w:proofErr w:type="gramEnd"/>
    </w:p>
    <w:p w:rsidR="0061061E" w:rsidRPr="002826D5" w:rsidRDefault="0061061E" w:rsidP="00965A54">
      <w:pPr>
        <w:rPr>
          <w:lang w:val="fr-CH"/>
        </w:rPr>
      </w:pPr>
    </w:p>
    <w:tbl>
      <w:tblPr>
        <w:tblW w:w="0" w:type="auto"/>
        <w:tblInd w:w="280" w:type="dxa"/>
        <w:tblCellMar>
          <w:left w:w="0" w:type="dxa"/>
          <w:right w:w="0" w:type="dxa"/>
        </w:tblCellMar>
        <w:tblLook w:val="0000" w:firstRow="0" w:lastRow="0" w:firstColumn="0" w:lastColumn="0" w:noHBand="0" w:noVBand="0"/>
      </w:tblPr>
      <w:tblGrid>
        <w:gridCol w:w="3951"/>
        <w:gridCol w:w="1519"/>
        <w:gridCol w:w="2654"/>
      </w:tblGrid>
      <w:tr w:rsidR="002826D5" w:rsidRPr="003914A4" w:rsidTr="003914A4">
        <w:trPr>
          <w:trHeight w:val="464"/>
        </w:trPr>
        <w:tc>
          <w:tcPr>
            <w:tcW w:w="3951" w:type="dxa"/>
            <w:tcMar>
              <w:top w:w="40" w:type="dxa"/>
              <w:left w:w="40" w:type="dxa"/>
              <w:bottom w:w="40" w:type="dxa"/>
              <w:right w:w="40" w:type="dxa"/>
            </w:tcMar>
          </w:tcPr>
          <w:p w:rsidR="0061061E" w:rsidRPr="003914A4" w:rsidRDefault="0061061E" w:rsidP="00965A54">
            <w:r w:rsidRPr="003914A4">
              <w:rPr>
                <w:rFonts w:eastAsia="Calibri"/>
                <w:b/>
                <w:i/>
              </w:rPr>
              <w:t xml:space="preserve">Pays </w:t>
            </w:r>
            <w:proofErr w:type="spellStart"/>
            <w:r w:rsidRPr="003914A4">
              <w:rPr>
                <w:rFonts w:eastAsia="Calibri"/>
                <w:b/>
                <w:i/>
              </w:rPr>
              <w:t>ou</w:t>
            </w:r>
            <w:proofErr w:type="spellEnd"/>
            <w:r w:rsidRPr="003914A4">
              <w:rPr>
                <w:rFonts w:eastAsia="Calibri"/>
                <w:b/>
                <w:i/>
              </w:rPr>
              <w:t xml:space="preserve"> Zone </w:t>
            </w:r>
            <w:proofErr w:type="spellStart"/>
            <w:r w:rsidRPr="003914A4">
              <w:rPr>
                <w:rFonts w:eastAsia="Calibri"/>
                <w:b/>
                <w:i/>
              </w:rPr>
              <w:t>géographique</w:t>
            </w:r>
            <w:proofErr w:type="spellEnd"/>
          </w:p>
        </w:tc>
        <w:tc>
          <w:tcPr>
            <w:tcW w:w="1519" w:type="dxa"/>
            <w:tcMar>
              <w:top w:w="40" w:type="dxa"/>
              <w:left w:w="40" w:type="dxa"/>
              <w:bottom w:w="40" w:type="dxa"/>
              <w:right w:w="40" w:type="dxa"/>
            </w:tcMar>
          </w:tcPr>
          <w:p w:rsidR="0061061E" w:rsidRPr="003914A4" w:rsidRDefault="0061061E" w:rsidP="00965A54">
            <w:r w:rsidRPr="003914A4">
              <w:rPr>
                <w:rFonts w:eastAsia="Calibri"/>
                <w:b/>
                <w:i/>
              </w:rPr>
              <w:t>MCC+MNC *</w:t>
            </w:r>
          </w:p>
        </w:tc>
        <w:tc>
          <w:tcPr>
            <w:tcW w:w="2654" w:type="dxa"/>
            <w:tcMar>
              <w:top w:w="40" w:type="dxa"/>
              <w:left w:w="40" w:type="dxa"/>
              <w:bottom w:w="40" w:type="dxa"/>
              <w:right w:w="40" w:type="dxa"/>
            </w:tcMar>
          </w:tcPr>
          <w:p w:rsidR="0061061E" w:rsidRPr="003914A4" w:rsidRDefault="0061061E" w:rsidP="00965A54">
            <w:r w:rsidRPr="003914A4">
              <w:rPr>
                <w:rFonts w:eastAsia="Calibri"/>
                <w:b/>
                <w:i/>
              </w:rPr>
              <w:t xml:space="preserve">Nom de </w:t>
            </w:r>
            <w:proofErr w:type="spellStart"/>
            <w:r w:rsidRPr="003914A4">
              <w:rPr>
                <w:rFonts w:eastAsia="Calibri"/>
                <w:b/>
                <w:i/>
              </w:rPr>
              <w:t>Réseau</w:t>
            </w:r>
            <w:proofErr w:type="spellEnd"/>
            <w:r w:rsidRPr="003914A4">
              <w:rPr>
                <w:rFonts w:eastAsia="Calibri"/>
                <w:b/>
                <w:i/>
              </w:rPr>
              <w:t>/</w:t>
            </w:r>
            <w:proofErr w:type="spellStart"/>
            <w:r w:rsidRPr="003914A4">
              <w:rPr>
                <w:rFonts w:eastAsia="Calibri"/>
                <w:b/>
                <w:i/>
              </w:rPr>
              <w:t>Opérateur</w:t>
            </w:r>
            <w:proofErr w:type="spellEnd"/>
          </w:p>
        </w:tc>
      </w:tr>
      <w:tr w:rsidR="002826D5" w:rsidRPr="003914A4" w:rsidTr="003914A4">
        <w:trPr>
          <w:trHeight w:val="260"/>
        </w:trPr>
        <w:tc>
          <w:tcPr>
            <w:tcW w:w="3951" w:type="dxa"/>
            <w:vMerge w:val="restart"/>
            <w:tcMar>
              <w:top w:w="40" w:type="dxa"/>
              <w:left w:w="40" w:type="dxa"/>
              <w:bottom w:w="40" w:type="dxa"/>
              <w:right w:w="40" w:type="dxa"/>
            </w:tcMar>
          </w:tcPr>
          <w:p w:rsidR="0061061E" w:rsidRPr="003914A4" w:rsidRDefault="0061061E" w:rsidP="00965A54">
            <w:proofErr w:type="spellStart"/>
            <w:r w:rsidRPr="003914A4">
              <w:rPr>
                <w:rFonts w:eastAsia="Calibri"/>
                <w:b/>
              </w:rPr>
              <w:t>Belgique</w:t>
            </w:r>
            <w:proofErr w:type="spellEnd"/>
            <w:r w:rsidRPr="003914A4">
              <w:rPr>
                <w:rFonts w:eastAsia="Calibri"/>
                <w:b/>
              </w:rPr>
              <w:t xml:space="preserve"> ADD</w:t>
            </w:r>
          </w:p>
        </w:tc>
        <w:tc>
          <w:tcPr>
            <w:tcW w:w="1519" w:type="dxa"/>
            <w:tcMar>
              <w:top w:w="40" w:type="dxa"/>
              <w:left w:w="40" w:type="dxa"/>
              <w:bottom w:w="40" w:type="dxa"/>
              <w:right w:w="40" w:type="dxa"/>
            </w:tcMar>
            <w:vAlign w:val="center"/>
          </w:tcPr>
          <w:p w:rsidR="0061061E" w:rsidRPr="003914A4" w:rsidRDefault="0061061E" w:rsidP="00965A54"/>
        </w:tc>
        <w:tc>
          <w:tcPr>
            <w:tcW w:w="2654" w:type="dxa"/>
            <w:tcMar>
              <w:top w:w="40" w:type="dxa"/>
              <w:left w:w="40" w:type="dxa"/>
              <w:bottom w:w="40" w:type="dxa"/>
              <w:right w:w="40" w:type="dxa"/>
            </w:tcMar>
            <w:vAlign w:val="center"/>
          </w:tcPr>
          <w:p w:rsidR="0061061E" w:rsidRPr="003914A4" w:rsidRDefault="0061061E" w:rsidP="00965A54"/>
        </w:tc>
      </w:tr>
      <w:tr w:rsidR="002826D5" w:rsidRPr="003914A4" w:rsidTr="003914A4">
        <w:trPr>
          <w:trHeight w:val="260"/>
        </w:trPr>
        <w:tc>
          <w:tcPr>
            <w:tcW w:w="3951" w:type="dxa"/>
            <w:vMerge/>
            <w:tcMar>
              <w:top w:w="40" w:type="dxa"/>
              <w:left w:w="40" w:type="dxa"/>
              <w:bottom w:w="40" w:type="dxa"/>
              <w:right w:w="40" w:type="dxa"/>
            </w:tcMar>
          </w:tcPr>
          <w:p w:rsidR="0061061E" w:rsidRPr="003914A4" w:rsidRDefault="0061061E" w:rsidP="00965A54"/>
        </w:tc>
        <w:tc>
          <w:tcPr>
            <w:tcW w:w="1519" w:type="dxa"/>
            <w:tcMar>
              <w:top w:w="40" w:type="dxa"/>
              <w:left w:w="40" w:type="dxa"/>
              <w:bottom w:w="40" w:type="dxa"/>
              <w:right w:w="40" w:type="dxa"/>
            </w:tcMar>
            <w:vAlign w:val="center"/>
          </w:tcPr>
          <w:p w:rsidR="0061061E" w:rsidRPr="003914A4" w:rsidRDefault="0061061E" w:rsidP="00965A54">
            <w:pPr>
              <w:jc w:val="center"/>
            </w:pPr>
            <w:r w:rsidRPr="003914A4">
              <w:rPr>
                <w:rFonts w:eastAsia="Calibri"/>
              </w:rPr>
              <w:t>206 00</w:t>
            </w:r>
          </w:p>
        </w:tc>
        <w:tc>
          <w:tcPr>
            <w:tcW w:w="2654" w:type="dxa"/>
            <w:tcMar>
              <w:top w:w="40" w:type="dxa"/>
              <w:left w:w="40" w:type="dxa"/>
              <w:bottom w:w="40" w:type="dxa"/>
              <w:right w:w="40" w:type="dxa"/>
            </w:tcMar>
          </w:tcPr>
          <w:p w:rsidR="0061061E" w:rsidRPr="003914A4" w:rsidRDefault="0061061E" w:rsidP="00965A54">
            <w:proofErr w:type="spellStart"/>
            <w:r w:rsidRPr="003914A4">
              <w:rPr>
                <w:rFonts w:eastAsia="Calibri"/>
              </w:rPr>
              <w:t>Proximus</w:t>
            </w:r>
            <w:proofErr w:type="spellEnd"/>
          </w:p>
        </w:tc>
      </w:tr>
      <w:tr w:rsidR="002826D5" w:rsidRPr="003914A4" w:rsidTr="003914A4">
        <w:trPr>
          <w:trHeight w:val="260"/>
        </w:trPr>
        <w:tc>
          <w:tcPr>
            <w:tcW w:w="3951" w:type="dxa"/>
            <w:vMerge w:val="restart"/>
            <w:tcMar>
              <w:top w:w="40" w:type="dxa"/>
              <w:left w:w="40" w:type="dxa"/>
              <w:bottom w:w="40" w:type="dxa"/>
              <w:right w:w="40" w:type="dxa"/>
            </w:tcMar>
          </w:tcPr>
          <w:p w:rsidR="0061061E" w:rsidRPr="003914A4" w:rsidRDefault="0061061E" w:rsidP="00965A54">
            <w:proofErr w:type="spellStart"/>
            <w:r w:rsidRPr="003914A4">
              <w:rPr>
                <w:rFonts w:eastAsia="Calibri"/>
                <w:b/>
              </w:rPr>
              <w:t>Belgique</w:t>
            </w:r>
            <w:proofErr w:type="spellEnd"/>
            <w:r w:rsidRPr="003914A4">
              <w:rPr>
                <w:rFonts w:eastAsia="Calibri"/>
                <w:b/>
              </w:rPr>
              <w:t xml:space="preserve"> LIR</w:t>
            </w:r>
          </w:p>
        </w:tc>
        <w:tc>
          <w:tcPr>
            <w:tcW w:w="1519" w:type="dxa"/>
            <w:tcMar>
              <w:top w:w="40" w:type="dxa"/>
              <w:left w:w="40" w:type="dxa"/>
              <w:bottom w:w="40" w:type="dxa"/>
              <w:right w:w="40" w:type="dxa"/>
            </w:tcMar>
            <w:vAlign w:val="center"/>
          </w:tcPr>
          <w:p w:rsidR="0061061E" w:rsidRPr="003914A4" w:rsidRDefault="0061061E" w:rsidP="00965A54"/>
        </w:tc>
        <w:tc>
          <w:tcPr>
            <w:tcW w:w="2654" w:type="dxa"/>
            <w:tcMar>
              <w:top w:w="40" w:type="dxa"/>
              <w:left w:w="40" w:type="dxa"/>
              <w:bottom w:w="40" w:type="dxa"/>
              <w:right w:w="40" w:type="dxa"/>
            </w:tcMar>
            <w:vAlign w:val="center"/>
          </w:tcPr>
          <w:p w:rsidR="0061061E" w:rsidRPr="003914A4" w:rsidRDefault="0061061E" w:rsidP="00965A54"/>
        </w:tc>
      </w:tr>
      <w:tr w:rsidR="002826D5" w:rsidRPr="003914A4" w:rsidTr="003914A4">
        <w:trPr>
          <w:trHeight w:val="260"/>
        </w:trPr>
        <w:tc>
          <w:tcPr>
            <w:tcW w:w="3951" w:type="dxa"/>
            <w:vMerge/>
            <w:tcMar>
              <w:top w:w="40" w:type="dxa"/>
              <w:left w:w="40" w:type="dxa"/>
              <w:bottom w:w="40" w:type="dxa"/>
              <w:right w:w="40" w:type="dxa"/>
            </w:tcMar>
          </w:tcPr>
          <w:p w:rsidR="0061061E" w:rsidRPr="003914A4" w:rsidRDefault="0061061E" w:rsidP="00965A54"/>
        </w:tc>
        <w:tc>
          <w:tcPr>
            <w:tcW w:w="1519" w:type="dxa"/>
            <w:tcMar>
              <w:top w:w="40" w:type="dxa"/>
              <w:left w:w="40" w:type="dxa"/>
              <w:bottom w:w="40" w:type="dxa"/>
              <w:right w:w="40" w:type="dxa"/>
            </w:tcMar>
            <w:vAlign w:val="center"/>
          </w:tcPr>
          <w:p w:rsidR="0061061E" w:rsidRPr="003914A4" w:rsidRDefault="0061061E" w:rsidP="00965A54">
            <w:pPr>
              <w:jc w:val="center"/>
            </w:pPr>
            <w:r w:rsidRPr="003914A4">
              <w:rPr>
                <w:rFonts w:eastAsia="Calibri"/>
              </w:rPr>
              <w:t>206 01</w:t>
            </w:r>
          </w:p>
        </w:tc>
        <w:tc>
          <w:tcPr>
            <w:tcW w:w="2654" w:type="dxa"/>
            <w:tcMar>
              <w:top w:w="40" w:type="dxa"/>
              <w:left w:w="40" w:type="dxa"/>
              <w:bottom w:w="40" w:type="dxa"/>
              <w:right w:w="40" w:type="dxa"/>
            </w:tcMar>
          </w:tcPr>
          <w:p w:rsidR="0061061E" w:rsidRPr="003914A4" w:rsidRDefault="0061061E" w:rsidP="00965A54">
            <w:proofErr w:type="spellStart"/>
            <w:r w:rsidRPr="003914A4">
              <w:rPr>
                <w:rFonts w:eastAsia="Calibri"/>
              </w:rPr>
              <w:t>Proximus</w:t>
            </w:r>
            <w:proofErr w:type="spellEnd"/>
          </w:p>
        </w:tc>
      </w:tr>
      <w:tr w:rsidR="002826D5" w:rsidRPr="003914A4" w:rsidTr="003914A4">
        <w:trPr>
          <w:trHeight w:val="260"/>
        </w:trPr>
        <w:tc>
          <w:tcPr>
            <w:tcW w:w="3951" w:type="dxa"/>
            <w:vMerge w:val="restart"/>
            <w:tcMar>
              <w:top w:w="40" w:type="dxa"/>
              <w:left w:w="40" w:type="dxa"/>
              <w:bottom w:w="40" w:type="dxa"/>
              <w:right w:w="40" w:type="dxa"/>
            </w:tcMar>
          </w:tcPr>
          <w:p w:rsidR="0061061E" w:rsidRPr="003914A4" w:rsidRDefault="0061061E" w:rsidP="00965A54">
            <w:r w:rsidRPr="003914A4">
              <w:rPr>
                <w:rFonts w:eastAsia="Calibri"/>
                <w:b/>
              </w:rPr>
              <w:t>Liechtenstein ADD</w:t>
            </w:r>
          </w:p>
        </w:tc>
        <w:tc>
          <w:tcPr>
            <w:tcW w:w="1519" w:type="dxa"/>
            <w:tcMar>
              <w:top w:w="40" w:type="dxa"/>
              <w:left w:w="40" w:type="dxa"/>
              <w:bottom w:w="40" w:type="dxa"/>
              <w:right w:w="40" w:type="dxa"/>
            </w:tcMar>
            <w:vAlign w:val="center"/>
          </w:tcPr>
          <w:p w:rsidR="0061061E" w:rsidRPr="003914A4" w:rsidRDefault="0061061E" w:rsidP="00965A54"/>
        </w:tc>
        <w:tc>
          <w:tcPr>
            <w:tcW w:w="2654" w:type="dxa"/>
            <w:tcMar>
              <w:top w:w="40" w:type="dxa"/>
              <w:left w:w="40" w:type="dxa"/>
              <w:bottom w:w="40" w:type="dxa"/>
              <w:right w:w="40" w:type="dxa"/>
            </w:tcMar>
            <w:vAlign w:val="center"/>
          </w:tcPr>
          <w:p w:rsidR="0061061E" w:rsidRPr="003914A4" w:rsidRDefault="0061061E" w:rsidP="00965A54"/>
        </w:tc>
      </w:tr>
      <w:tr w:rsidR="002826D5" w:rsidRPr="003914A4" w:rsidTr="003914A4">
        <w:trPr>
          <w:trHeight w:val="260"/>
        </w:trPr>
        <w:tc>
          <w:tcPr>
            <w:tcW w:w="3951" w:type="dxa"/>
            <w:vMerge/>
            <w:tcMar>
              <w:top w:w="40" w:type="dxa"/>
              <w:left w:w="40" w:type="dxa"/>
              <w:bottom w:w="40" w:type="dxa"/>
              <w:right w:w="40" w:type="dxa"/>
            </w:tcMar>
          </w:tcPr>
          <w:p w:rsidR="0061061E" w:rsidRPr="003914A4" w:rsidRDefault="0061061E" w:rsidP="00965A54"/>
        </w:tc>
        <w:tc>
          <w:tcPr>
            <w:tcW w:w="1519" w:type="dxa"/>
            <w:tcMar>
              <w:top w:w="40" w:type="dxa"/>
              <w:left w:w="40" w:type="dxa"/>
              <w:bottom w:w="40" w:type="dxa"/>
              <w:right w:w="40" w:type="dxa"/>
            </w:tcMar>
            <w:vAlign w:val="center"/>
          </w:tcPr>
          <w:p w:rsidR="0061061E" w:rsidRPr="003914A4" w:rsidRDefault="0061061E" w:rsidP="00965A54">
            <w:pPr>
              <w:jc w:val="center"/>
            </w:pPr>
            <w:r w:rsidRPr="003914A4">
              <w:rPr>
                <w:rFonts w:eastAsia="Calibri"/>
              </w:rPr>
              <w:t>295 09</w:t>
            </w:r>
          </w:p>
        </w:tc>
        <w:tc>
          <w:tcPr>
            <w:tcW w:w="2654" w:type="dxa"/>
            <w:tcMar>
              <w:top w:w="40" w:type="dxa"/>
              <w:left w:w="40" w:type="dxa"/>
              <w:bottom w:w="40" w:type="dxa"/>
              <w:right w:w="40" w:type="dxa"/>
            </w:tcMar>
          </w:tcPr>
          <w:p w:rsidR="0061061E" w:rsidRPr="003914A4" w:rsidRDefault="0061061E" w:rsidP="00965A54">
            <w:proofErr w:type="spellStart"/>
            <w:r w:rsidRPr="003914A4">
              <w:rPr>
                <w:rFonts w:eastAsia="Calibri"/>
              </w:rPr>
              <w:t>Emnify</w:t>
            </w:r>
            <w:proofErr w:type="spellEnd"/>
            <w:r w:rsidRPr="003914A4">
              <w:rPr>
                <w:rFonts w:eastAsia="Calibri"/>
              </w:rPr>
              <w:t xml:space="preserve"> GmbH</w:t>
            </w:r>
          </w:p>
        </w:tc>
      </w:tr>
      <w:tr w:rsidR="002826D5" w:rsidRPr="003914A4" w:rsidTr="003914A4">
        <w:trPr>
          <w:trHeight w:val="260"/>
        </w:trPr>
        <w:tc>
          <w:tcPr>
            <w:tcW w:w="3951" w:type="dxa"/>
            <w:vMerge w:val="restart"/>
            <w:tcMar>
              <w:top w:w="40" w:type="dxa"/>
              <w:left w:w="40" w:type="dxa"/>
              <w:bottom w:w="40" w:type="dxa"/>
              <w:right w:w="40" w:type="dxa"/>
            </w:tcMar>
          </w:tcPr>
          <w:p w:rsidR="0061061E" w:rsidRPr="003914A4" w:rsidRDefault="0061061E" w:rsidP="00965A54">
            <w:r w:rsidRPr="003914A4">
              <w:rPr>
                <w:rFonts w:eastAsia="Calibri"/>
                <w:b/>
              </w:rPr>
              <w:t>Liechtenstein LIR</w:t>
            </w:r>
          </w:p>
        </w:tc>
        <w:tc>
          <w:tcPr>
            <w:tcW w:w="1519" w:type="dxa"/>
            <w:tcMar>
              <w:top w:w="40" w:type="dxa"/>
              <w:left w:w="40" w:type="dxa"/>
              <w:bottom w:w="40" w:type="dxa"/>
              <w:right w:w="40" w:type="dxa"/>
            </w:tcMar>
            <w:vAlign w:val="center"/>
          </w:tcPr>
          <w:p w:rsidR="0061061E" w:rsidRPr="003914A4" w:rsidRDefault="0061061E" w:rsidP="00965A54"/>
        </w:tc>
        <w:tc>
          <w:tcPr>
            <w:tcW w:w="2654" w:type="dxa"/>
            <w:tcMar>
              <w:top w:w="40" w:type="dxa"/>
              <w:left w:w="40" w:type="dxa"/>
              <w:bottom w:w="40" w:type="dxa"/>
              <w:right w:w="40" w:type="dxa"/>
            </w:tcMar>
            <w:vAlign w:val="center"/>
          </w:tcPr>
          <w:p w:rsidR="0061061E" w:rsidRPr="003914A4" w:rsidRDefault="0061061E" w:rsidP="00965A54"/>
        </w:tc>
      </w:tr>
      <w:tr w:rsidR="002826D5" w:rsidRPr="003914A4" w:rsidTr="003914A4">
        <w:trPr>
          <w:trHeight w:val="260"/>
        </w:trPr>
        <w:tc>
          <w:tcPr>
            <w:tcW w:w="3951" w:type="dxa"/>
            <w:vMerge/>
            <w:tcMar>
              <w:top w:w="40" w:type="dxa"/>
              <w:left w:w="40" w:type="dxa"/>
              <w:bottom w:w="40" w:type="dxa"/>
              <w:right w:w="40" w:type="dxa"/>
            </w:tcMar>
          </w:tcPr>
          <w:p w:rsidR="0061061E" w:rsidRPr="003914A4" w:rsidRDefault="0061061E" w:rsidP="00965A54"/>
        </w:tc>
        <w:tc>
          <w:tcPr>
            <w:tcW w:w="1519" w:type="dxa"/>
            <w:tcMar>
              <w:top w:w="40" w:type="dxa"/>
              <w:left w:w="40" w:type="dxa"/>
              <w:bottom w:w="40" w:type="dxa"/>
              <w:right w:w="40" w:type="dxa"/>
            </w:tcMar>
            <w:vAlign w:val="center"/>
          </w:tcPr>
          <w:p w:rsidR="0061061E" w:rsidRPr="003914A4" w:rsidRDefault="0061061E" w:rsidP="00965A54">
            <w:pPr>
              <w:jc w:val="center"/>
            </w:pPr>
            <w:r w:rsidRPr="003914A4">
              <w:rPr>
                <w:rFonts w:eastAsia="Calibri"/>
              </w:rPr>
              <w:t>295 02</w:t>
            </w:r>
          </w:p>
        </w:tc>
        <w:tc>
          <w:tcPr>
            <w:tcW w:w="2654" w:type="dxa"/>
            <w:tcMar>
              <w:top w:w="40" w:type="dxa"/>
              <w:left w:w="40" w:type="dxa"/>
              <w:bottom w:w="40" w:type="dxa"/>
              <w:right w:w="40" w:type="dxa"/>
            </w:tcMar>
          </w:tcPr>
          <w:p w:rsidR="0061061E" w:rsidRPr="003914A4" w:rsidRDefault="0061061E" w:rsidP="00965A54">
            <w:r w:rsidRPr="003914A4">
              <w:rPr>
                <w:rFonts w:eastAsia="Calibri"/>
              </w:rPr>
              <w:t>Salt (Liechtenstein) AG</w:t>
            </w:r>
          </w:p>
        </w:tc>
      </w:tr>
      <w:tr w:rsidR="002826D5" w:rsidRPr="008D142F" w:rsidTr="003914A4">
        <w:trPr>
          <w:trHeight w:val="260"/>
        </w:trPr>
        <w:tc>
          <w:tcPr>
            <w:tcW w:w="3951" w:type="dxa"/>
            <w:vMerge w:val="restart"/>
            <w:tcMar>
              <w:top w:w="40" w:type="dxa"/>
              <w:left w:w="40" w:type="dxa"/>
              <w:bottom w:w="40" w:type="dxa"/>
              <w:right w:w="40" w:type="dxa"/>
            </w:tcMar>
          </w:tcPr>
          <w:p w:rsidR="0061061E" w:rsidRPr="003914A4" w:rsidRDefault="0061061E" w:rsidP="003914A4">
            <w:pPr>
              <w:jc w:val="left"/>
              <w:rPr>
                <w:lang w:val="fr-CH"/>
              </w:rPr>
            </w:pPr>
            <w:r w:rsidRPr="003914A4">
              <w:rPr>
                <w:rFonts w:eastAsia="Calibri"/>
                <w:b/>
                <w:lang w:val="fr-CH"/>
              </w:rPr>
              <w:t xml:space="preserve">Mobile international, indicatif partagé </w:t>
            </w:r>
            <w:r w:rsidR="003914A4">
              <w:rPr>
                <w:rFonts w:eastAsia="Calibri"/>
                <w:b/>
                <w:lang w:val="fr-CH"/>
              </w:rPr>
              <w:t xml:space="preserve">  </w:t>
            </w:r>
            <w:r w:rsidRPr="003914A4">
              <w:rPr>
                <w:rFonts w:eastAsia="Calibri"/>
                <w:b/>
                <w:lang w:val="fr-CH"/>
              </w:rPr>
              <w:t>ADD</w:t>
            </w:r>
          </w:p>
        </w:tc>
        <w:tc>
          <w:tcPr>
            <w:tcW w:w="1519" w:type="dxa"/>
            <w:tcMar>
              <w:top w:w="40" w:type="dxa"/>
              <w:left w:w="40" w:type="dxa"/>
              <w:bottom w:w="40" w:type="dxa"/>
              <w:right w:w="40" w:type="dxa"/>
            </w:tcMar>
            <w:vAlign w:val="center"/>
          </w:tcPr>
          <w:p w:rsidR="0061061E" w:rsidRPr="003914A4" w:rsidRDefault="0061061E" w:rsidP="00965A54">
            <w:pPr>
              <w:rPr>
                <w:lang w:val="fr-CH"/>
              </w:rPr>
            </w:pPr>
          </w:p>
        </w:tc>
        <w:tc>
          <w:tcPr>
            <w:tcW w:w="2654" w:type="dxa"/>
            <w:tcMar>
              <w:top w:w="40" w:type="dxa"/>
              <w:left w:w="40" w:type="dxa"/>
              <w:bottom w:w="40" w:type="dxa"/>
              <w:right w:w="40" w:type="dxa"/>
            </w:tcMar>
            <w:vAlign w:val="center"/>
          </w:tcPr>
          <w:p w:rsidR="0061061E" w:rsidRPr="003914A4" w:rsidRDefault="0061061E" w:rsidP="00965A54">
            <w:pPr>
              <w:rPr>
                <w:lang w:val="fr-CH"/>
              </w:rPr>
            </w:pPr>
          </w:p>
        </w:tc>
      </w:tr>
      <w:tr w:rsidR="0061061E" w:rsidRPr="003914A4" w:rsidTr="003914A4">
        <w:trPr>
          <w:trHeight w:val="260"/>
        </w:trPr>
        <w:tc>
          <w:tcPr>
            <w:tcW w:w="3951" w:type="dxa"/>
            <w:vMerge/>
            <w:tcMar>
              <w:top w:w="40" w:type="dxa"/>
              <w:left w:w="40" w:type="dxa"/>
              <w:bottom w:w="40" w:type="dxa"/>
              <w:right w:w="40" w:type="dxa"/>
            </w:tcMar>
          </w:tcPr>
          <w:p w:rsidR="0061061E" w:rsidRPr="003914A4" w:rsidRDefault="0061061E" w:rsidP="00965A54">
            <w:pPr>
              <w:rPr>
                <w:lang w:val="fr-CH"/>
              </w:rPr>
            </w:pPr>
          </w:p>
        </w:tc>
        <w:tc>
          <w:tcPr>
            <w:tcW w:w="1519" w:type="dxa"/>
            <w:tcMar>
              <w:top w:w="40" w:type="dxa"/>
              <w:left w:w="40" w:type="dxa"/>
              <w:bottom w:w="40" w:type="dxa"/>
              <w:right w:w="40" w:type="dxa"/>
            </w:tcMar>
            <w:vAlign w:val="center"/>
          </w:tcPr>
          <w:p w:rsidR="0061061E" w:rsidRPr="003914A4" w:rsidRDefault="0061061E" w:rsidP="00965A54">
            <w:pPr>
              <w:jc w:val="center"/>
            </w:pPr>
            <w:r w:rsidRPr="003914A4">
              <w:rPr>
                <w:rFonts w:eastAsia="Calibri"/>
              </w:rPr>
              <w:t>901 47</w:t>
            </w:r>
          </w:p>
        </w:tc>
        <w:tc>
          <w:tcPr>
            <w:tcW w:w="2654" w:type="dxa"/>
            <w:tcMar>
              <w:top w:w="40" w:type="dxa"/>
              <w:left w:w="40" w:type="dxa"/>
              <w:bottom w:w="40" w:type="dxa"/>
              <w:right w:w="40" w:type="dxa"/>
            </w:tcMar>
          </w:tcPr>
          <w:p w:rsidR="0061061E" w:rsidRPr="003914A4" w:rsidRDefault="0061061E" w:rsidP="00965A54">
            <w:proofErr w:type="spellStart"/>
            <w:r w:rsidRPr="003914A4">
              <w:rPr>
                <w:rFonts w:eastAsia="Calibri"/>
              </w:rPr>
              <w:t>Ooredoo</w:t>
            </w:r>
            <w:proofErr w:type="spellEnd"/>
          </w:p>
        </w:tc>
      </w:tr>
    </w:tbl>
    <w:p w:rsidR="0061061E" w:rsidRPr="002826D5" w:rsidRDefault="0061061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CH"/>
        </w:rPr>
      </w:pPr>
    </w:p>
    <w:p w:rsidR="006B1A01" w:rsidRPr="002826D5" w:rsidRDefault="006B1A01" w:rsidP="006B1A01">
      <w:pPr>
        <w:tabs>
          <w:tab w:val="clear" w:pos="567"/>
          <w:tab w:val="clear" w:pos="1276"/>
          <w:tab w:val="clear" w:pos="1843"/>
          <w:tab w:val="clear" w:pos="5387"/>
          <w:tab w:val="clear" w:pos="5954"/>
          <w:tab w:val="left" w:pos="211"/>
          <w:tab w:val="left" w:pos="3108"/>
          <w:tab w:val="left" w:pos="4522"/>
          <w:tab w:val="left" w:pos="7999"/>
          <w:tab w:val="left" w:pos="8011"/>
        </w:tabs>
        <w:overflowPunct/>
        <w:autoSpaceDE/>
        <w:autoSpaceDN/>
        <w:adjustRightInd/>
        <w:spacing w:before="0"/>
        <w:jc w:val="left"/>
        <w:textAlignment w:val="auto"/>
        <w:rPr>
          <w:rFonts w:asciiTheme="minorHAnsi" w:hAnsiTheme="minorHAnsi"/>
          <w:sz w:val="2"/>
          <w:lang w:val="fr-CH"/>
        </w:rPr>
      </w:pPr>
      <w:r w:rsidRPr="002826D5">
        <w:rPr>
          <w:rFonts w:asciiTheme="minorHAnsi" w:hAnsiTheme="minorHAnsi"/>
          <w:lang w:val="fr-CH"/>
        </w:rPr>
        <w:tab/>
      </w:r>
      <w:r w:rsidRPr="002826D5">
        <w:rPr>
          <w:rFonts w:asciiTheme="minorHAnsi" w:hAnsiTheme="minorHAnsi"/>
          <w:sz w:val="2"/>
          <w:lang w:val="fr-CH"/>
        </w:rPr>
        <w:tab/>
      </w:r>
    </w:p>
    <w:p w:rsidR="006B1A01" w:rsidRPr="002826D5" w:rsidRDefault="006B1A01" w:rsidP="006B1A01">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heme="minorHAnsi" w:hAnsiTheme="minorHAnsi"/>
          <w:sz w:val="2"/>
          <w:lang w:val="fr-CH"/>
        </w:rPr>
      </w:pPr>
      <w:r w:rsidRPr="002826D5">
        <w:rPr>
          <w:rFonts w:asciiTheme="minorHAnsi" w:hAnsiTheme="minorHAnsi"/>
          <w:sz w:val="2"/>
          <w:lang w:val="fr-CH"/>
        </w:rPr>
        <w:tab/>
      </w:r>
      <w:r w:rsidRPr="002826D5">
        <w:rPr>
          <w:rFonts w:asciiTheme="minorHAnsi" w:hAnsiTheme="minorHAnsi"/>
          <w:sz w:val="2"/>
          <w:lang w:val="fr-CH"/>
        </w:rPr>
        <w:tab/>
      </w:r>
      <w:r w:rsidRPr="002826D5">
        <w:rPr>
          <w:rFonts w:asciiTheme="minorHAnsi" w:hAnsiTheme="minorHAnsi"/>
          <w:sz w:val="2"/>
          <w:lang w:val="fr-CH"/>
        </w:rPr>
        <w:tab/>
      </w:r>
    </w:p>
    <w:p w:rsidR="006B1A01" w:rsidRPr="002826D5" w:rsidRDefault="006B1A01" w:rsidP="006B1A0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sidRPr="002826D5">
        <w:rPr>
          <w:rFonts w:asciiTheme="minorHAnsi" w:eastAsia="Arial" w:hAnsiTheme="minorHAnsi"/>
          <w:sz w:val="16"/>
          <w:lang w:val="fr-CH"/>
        </w:rPr>
        <w:t>____________</w:t>
      </w:r>
    </w:p>
    <w:p w:rsidR="006B1A01" w:rsidRPr="002826D5" w:rsidRDefault="006B1A01" w:rsidP="006B1A01">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asciiTheme="minorHAnsi" w:hAnsiTheme="minorHAnsi"/>
          <w:sz w:val="16"/>
          <w:szCs w:val="16"/>
          <w:lang w:val="fr-CH"/>
        </w:rPr>
      </w:pPr>
      <w:r w:rsidRPr="002826D5">
        <w:rPr>
          <w:rFonts w:asciiTheme="minorHAnsi" w:eastAsia="Calibri" w:hAnsiTheme="minorHAnsi"/>
          <w:sz w:val="16"/>
          <w:szCs w:val="16"/>
          <w:lang w:val="fr-CH"/>
        </w:rPr>
        <w:t>*</w:t>
      </w:r>
      <w:r w:rsidRPr="002826D5">
        <w:rPr>
          <w:rFonts w:asciiTheme="minorHAnsi" w:eastAsia="Calibri" w:hAnsiTheme="minorHAnsi"/>
          <w:sz w:val="16"/>
          <w:szCs w:val="16"/>
          <w:lang w:val="fr-CH"/>
        </w:rPr>
        <w:tab/>
      </w:r>
      <w:proofErr w:type="gramStart"/>
      <w:r w:rsidRPr="002826D5">
        <w:rPr>
          <w:rFonts w:asciiTheme="minorHAnsi" w:eastAsia="Calibri" w:hAnsiTheme="minorHAnsi"/>
          <w:sz w:val="16"/>
          <w:szCs w:val="16"/>
          <w:lang w:val="fr-CH"/>
        </w:rPr>
        <w:t>MCC:</w:t>
      </w:r>
      <w:proofErr w:type="gramEnd"/>
      <w:r w:rsidRPr="002826D5">
        <w:rPr>
          <w:rFonts w:asciiTheme="minorHAnsi" w:eastAsia="Calibri" w:hAnsiTheme="minorHAnsi"/>
          <w:sz w:val="16"/>
          <w:szCs w:val="16"/>
          <w:lang w:val="fr-CH"/>
        </w:rPr>
        <w:t xml:space="preserve">  Mobile Country Code / Indicatif de pays du mobile / </w:t>
      </w:r>
      <w:proofErr w:type="spellStart"/>
      <w:r w:rsidRPr="002826D5">
        <w:rPr>
          <w:rFonts w:asciiTheme="minorHAnsi" w:eastAsia="Calibri" w:hAnsiTheme="minorHAnsi"/>
          <w:sz w:val="16"/>
          <w:szCs w:val="16"/>
          <w:lang w:val="fr-CH"/>
        </w:rPr>
        <w:t>Indicativo</w:t>
      </w:r>
      <w:proofErr w:type="spellEnd"/>
      <w:r w:rsidRPr="002826D5">
        <w:rPr>
          <w:rFonts w:asciiTheme="minorHAnsi" w:eastAsia="Calibri" w:hAnsiTheme="minorHAnsi"/>
          <w:sz w:val="16"/>
          <w:szCs w:val="16"/>
          <w:lang w:val="fr-CH"/>
        </w:rPr>
        <w:t xml:space="preserve"> de </w:t>
      </w:r>
      <w:proofErr w:type="spellStart"/>
      <w:r w:rsidRPr="002826D5">
        <w:rPr>
          <w:rFonts w:asciiTheme="minorHAnsi" w:eastAsia="Calibri" w:hAnsiTheme="minorHAnsi"/>
          <w:sz w:val="16"/>
          <w:szCs w:val="16"/>
          <w:lang w:val="fr-CH"/>
        </w:rPr>
        <w:t>país</w:t>
      </w:r>
      <w:proofErr w:type="spellEnd"/>
      <w:r w:rsidRPr="002826D5">
        <w:rPr>
          <w:rFonts w:asciiTheme="minorHAnsi" w:eastAsia="Calibri" w:hAnsiTheme="minorHAnsi"/>
          <w:sz w:val="16"/>
          <w:szCs w:val="16"/>
          <w:lang w:val="fr-CH"/>
        </w:rPr>
        <w:t xml:space="preserve"> para el </w:t>
      </w:r>
      <w:proofErr w:type="spellStart"/>
      <w:r w:rsidRPr="002826D5">
        <w:rPr>
          <w:rFonts w:asciiTheme="minorHAnsi" w:eastAsia="Calibri" w:hAnsiTheme="minorHAnsi"/>
          <w:sz w:val="16"/>
          <w:szCs w:val="16"/>
          <w:lang w:val="fr-CH"/>
        </w:rPr>
        <w:t>servicio</w:t>
      </w:r>
      <w:proofErr w:type="spellEnd"/>
      <w:r w:rsidRPr="002826D5">
        <w:rPr>
          <w:rFonts w:asciiTheme="minorHAnsi" w:eastAsia="Calibri" w:hAnsiTheme="minorHAnsi"/>
          <w:sz w:val="16"/>
          <w:szCs w:val="16"/>
          <w:lang w:val="fr-CH"/>
        </w:rPr>
        <w:t xml:space="preserve"> </w:t>
      </w:r>
      <w:proofErr w:type="spellStart"/>
      <w:r w:rsidRPr="002826D5">
        <w:rPr>
          <w:rFonts w:asciiTheme="minorHAnsi" w:eastAsia="Calibri" w:hAnsiTheme="minorHAnsi"/>
          <w:sz w:val="16"/>
          <w:szCs w:val="16"/>
          <w:lang w:val="fr-CH"/>
        </w:rPr>
        <w:t>móvil</w:t>
      </w:r>
      <w:proofErr w:type="spellEnd"/>
    </w:p>
    <w:p w:rsidR="006B1A01" w:rsidRPr="002826D5" w:rsidRDefault="006B1A01" w:rsidP="006B1A01">
      <w:pPr>
        <w:tabs>
          <w:tab w:val="clear" w:pos="567"/>
          <w:tab w:val="clear" w:pos="1276"/>
          <w:tab w:val="clear" w:pos="1843"/>
          <w:tab w:val="clear" w:pos="5387"/>
          <w:tab w:val="clear" w:pos="5954"/>
          <w:tab w:val="left" w:pos="426"/>
        </w:tabs>
        <w:overflowPunct/>
        <w:autoSpaceDE/>
        <w:autoSpaceDN/>
        <w:adjustRightInd/>
        <w:spacing w:before="0"/>
        <w:ind w:left="40"/>
        <w:jc w:val="left"/>
        <w:textAlignment w:val="auto"/>
        <w:rPr>
          <w:rFonts w:asciiTheme="minorHAnsi" w:hAnsiTheme="minorHAnsi"/>
          <w:sz w:val="16"/>
          <w:szCs w:val="16"/>
          <w:lang w:val="fr-CH"/>
        </w:rPr>
      </w:pPr>
      <w:r w:rsidRPr="002826D5">
        <w:rPr>
          <w:rFonts w:asciiTheme="minorHAnsi" w:eastAsia="Calibri" w:hAnsiTheme="minorHAnsi"/>
          <w:sz w:val="16"/>
          <w:szCs w:val="16"/>
          <w:lang w:val="fr-CH"/>
        </w:rPr>
        <w:tab/>
      </w:r>
      <w:proofErr w:type="gramStart"/>
      <w:r w:rsidRPr="002826D5">
        <w:rPr>
          <w:rFonts w:asciiTheme="minorHAnsi" w:eastAsia="Calibri" w:hAnsiTheme="minorHAnsi"/>
          <w:sz w:val="16"/>
          <w:szCs w:val="16"/>
          <w:lang w:val="fr-CH"/>
        </w:rPr>
        <w:t>MNC:</w:t>
      </w:r>
      <w:proofErr w:type="gramEnd"/>
      <w:r w:rsidRPr="002826D5">
        <w:rPr>
          <w:rFonts w:asciiTheme="minorHAnsi" w:eastAsia="Calibri" w:hAnsiTheme="minorHAnsi"/>
          <w:sz w:val="16"/>
          <w:szCs w:val="16"/>
          <w:lang w:val="fr-CH"/>
        </w:rPr>
        <w:t xml:space="preserve">  Mobile Network Code / Code de réseau mobile / </w:t>
      </w:r>
      <w:proofErr w:type="spellStart"/>
      <w:r w:rsidRPr="002826D5">
        <w:rPr>
          <w:rFonts w:asciiTheme="minorHAnsi" w:eastAsia="Calibri" w:hAnsiTheme="minorHAnsi"/>
          <w:sz w:val="16"/>
          <w:szCs w:val="16"/>
          <w:lang w:val="fr-CH"/>
        </w:rPr>
        <w:t>Indicativo</w:t>
      </w:r>
      <w:proofErr w:type="spellEnd"/>
      <w:r w:rsidRPr="002826D5">
        <w:rPr>
          <w:rFonts w:asciiTheme="minorHAnsi" w:eastAsia="Calibri" w:hAnsiTheme="minorHAnsi"/>
          <w:sz w:val="16"/>
          <w:szCs w:val="16"/>
          <w:lang w:val="fr-CH"/>
        </w:rPr>
        <w:t xml:space="preserve"> de </w:t>
      </w:r>
      <w:proofErr w:type="spellStart"/>
      <w:r w:rsidRPr="002826D5">
        <w:rPr>
          <w:rFonts w:asciiTheme="minorHAnsi" w:eastAsia="Calibri" w:hAnsiTheme="minorHAnsi"/>
          <w:sz w:val="16"/>
          <w:szCs w:val="16"/>
          <w:lang w:val="fr-CH"/>
        </w:rPr>
        <w:t>red</w:t>
      </w:r>
      <w:proofErr w:type="spellEnd"/>
      <w:r w:rsidRPr="002826D5">
        <w:rPr>
          <w:rFonts w:asciiTheme="minorHAnsi" w:eastAsia="Calibri" w:hAnsiTheme="minorHAnsi"/>
          <w:sz w:val="16"/>
          <w:szCs w:val="16"/>
          <w:lang w:val="fr-CH"/>
        </w:rPr>
        <w:t xml:space="preserve"> para el </w:t>
      </w:r>
      <w:proofErr w:type="spellStart"/>
      <w:r w:rsidRPr="002826D5">
        <w:rPr>
          <w:rFonts w:asciiTheme="minorHAnsi" w:eastAsia="Calibri" w:hAnsiTheme="minorHAnsi"/>
          <w:sz w:val="16"/>
          <w:szCs w:val="16"/>
          <w:lang w:val="fr-CH"/>
        </w:rPr>
        <w:t>servicio</w:t>
      </w:r>
      <w:proofErr w:type="spellEnd"/>
      <w:r w:rsidRPr="002826D5">
        <w:rPr>
          <w:rFonts w:asciiTheme="minorHAnsi" w:eastAsia="Calibri" w:hAnsiTheme="minorHAnsi"/>
          <w:sz w:val="16"/>
          <w:szCs w:val="16"/>
          <w:lang w:val="fr-CH"/>
        </w:rPr>
        <w:t xml:space="preserve"> </w:t>
      </w:r>
      <w:proofErr w:type="spellStart"/>
      <w:r w:rsidRPr="002826D5">
        <w:rPr>
          <w:rFonts w:asciiTheme="minorHAnsi" w:eastAsia="Calibri" w:hAnsiTheme="minorHAnsi"/>
          <w:sz w:val="16"/>
          <w:szCs w:val="16"/>
          <w:lang w:val="fr-CH"/>
        </w:rPr>
        <w:t>móvil</w:t>
      </w:r>
      <w:proofErr w:type="spellEnd"/>
    </w:p>
    <w:p w:rsidR="006B1A01" w:rsidRDefault="006B1A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2826D5">
        <w:rPr>
          <w:rFonts w:ascii="Times New Roman" w:hAnsi="Times New Roman"/>
          <w:lang w:val="fr-CH"/>
        </w:rPr>
        <w:br w:type="page"/>
      </w:r>
    </w:p>
    <w:p w:rsidR="00D54857" w:rsidRPr="002826D5" w:rsidRDefault="00D54857" w:rsidP="00D54857">
      <w:pPr>
        <w:pStyle w:val="Heading20"/>
      </w:pPr>
      <w:bookmarkStart w:id="56" w:name="_Toc423525469"/>
      <w:r w:rsidRPr="002826D5">
        <w:lastRenderedPageBreak/>
        <w:t xml:space="preserve">Liste des numéros identificateurs d'entités émettrices pour </w:t>
      </w:r>
      <w:r w:rsidRPr="002826D5">
        <w:br/>
        <w:t xml:space="preserve">les cartes internationales de facturation des </w:t>
      </w:r>
      <w:proofErr w:type="gramStart"/>
      <w:r w:rsidRPr="002826D5">
        <w:t>télécommunications</w:t>
      </w:r>
      <w:proofErr w:type="gramEnd"/>
      <w:r w:rsidRPr="002826D5">
        <w:br/>
        <w:t>(selon la Recommandation UIT-T E.118 (05/2006))</w:t>
      </w:r>
      <w:r w:rsidRPr="002826D5">
        <w:br/>
        <w:t>(Situation au 15 Novembre 2013)</w:t>
      </w:r>
      <w:bookmarkEnd w:id="56"/>
    </w:p>
    <w:p w:rsidR="00D54857" w:rsidRPr="002826D5" w:rsidRDefault="00D54857" w:rsidP="00D54857">
      <w:pPr>
        <w:jc w:val="center"/>
        <w:rPr>
          <w:lang w:val="fr-FR"/>
        </w:rPr>
      </w:pPr>
      <w:r w:rsidRPr="002826D5">
        <w:rPr>
          <w:lang w:val="fr-FR"/>
        </w:rPr>
        <w:t>(Annexe au Bulletin d'exploitation de l'UIT N° 1040 – 15.XI.2013)</w:t>
      </w:r>
      <w:r w:rsidRPr="002826D5">
        <w:rPr>
          <w:lang w:val="fr-FR"/>
        </w:rPr>
        <w:br/>
        <w:t>(Amendement N° 26)</w:t>
      </w:r>
    </w:p>
    <w:p w:rsidR="00D54857" w:rsidRPr="002826D5" w:rsidRDefault="00D54857" w:rsidP="00D54857">
      <w:pPr>
        <w:tabs>
          <w:tab w:val="left" w:pos="1560"/>
          <w:tab w:val="left" w:pos="4140"/>
          <w:tab w:val="left" w:pos="4230"/>
        </w:tabs>
        <w:spacing w:before="240" w:after="80"/>
        <w:jc w:val="left"/>
        <w:rPr>
          <w:rFonts w:asciiTheme="minorHAnsi" w:hAnsiTheme="minorHAnsi" w:cs="Arial"/>
          <w:b/>
          <w:bCs/>
        </w:rPr>
      </w:pPr>
      <w:r w:rsidRPr="002826D5">
        <w:rPr>
          <w:rFonts w:asciiTheme="minorHAnsi" w:hAnsiTheme="minorHAnsi" w:cs="Arial"/>
          <w:b/>
          <w:bCs/>
          <w:lang w:val="fr-FR"/>
        </w:rPr>
        <w:t>Australie</w:t>
      </w:r>
      <w:r>
        <w:rPr>
          <w:rFonts w:asciiTheme="minorHAnsi" w:hAnsiTheme="minorHAnsi" w:cs="Arial"/>
          <w:b/>
          <w:bCs/>
          <w:lang w:val="fr-FR"/>
        </w:rPr>
        <w:fldChar w:fldCharType="begin"/>
      </w:r>
      <w:r>
        <w:instrText xml:space="preserve"> TC "</w:instrText>
      </w:r>
      <w:r w:rsidRPr="00CC14B1">
        <w:rPr>
          <w:rFonts w:asciiTheme="minorHAnsi" w:hAnsiTheme="minorHAnsi" w:cs="Arial"/>
          <w:b/>
          <w:bCs/>
          <w:lang w:val="fr-FR"/>
        </w:rPr>
        <w:instrText>Australie</w:instrText>
      </w:r>
      <w:r>
        <w:instrText xml:space="preserve">" \f C \l "1" </w:instrText>
      </w:r>
      <w:r>
        <w:rPr>
          <w:rFonts w:asciiTheme="minorHAnsi" w:hAnsiTheme="minorHAnsi" w:cs="Arial"/>
          <w:b/>
          <w:bCs/>
          <w:lang w:val="fr-FR"/>
        </w:rPr>
        <w:fldChar w:fldCharType="end"/>
      </w:r>
      <w:r w:rsidRPr="002826D5">
        <w:rPr>
          <w:rFonts w:asciiTheme="minorHAnsi" w:hAnsiTheme="minorHAnsi" w:cs="Arial"/>
          <w:b/>
          <w:bCs/>
          <w:lang w:val="fr-FR"/>
        </w:rPr>
        <w:t xml:space="preserve">    </w:t>
      </w:r>
      <w:r w:rsidRPr="002826D5">
        <w:rPr>
          <w:rFonts w:asciiTheme="minorHAnsi" w:hAnsiTheme="minorHAnsi" w:cs="Arial"/>
          <w:b/>
          <w:bCs/>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76"/>
        <w:gridCol w:w="2246"/>
        <w:gridCol w:w="2340"/>
        <w:gridCol w:w="3010"/>
      </w:tblGrid>
      <w:tr w:rsidR="00D54857" w:rsidRPr="002826D5" w:rsidTr="00D54857">
        <w:trPr>
          <w:jc w:val="center"/>
        </w:trPr>
        <w:tc>
          <w:tcPr>
            <w:tcW w:w="1589" w:type="dxa"/>
            <w:tcBorders>
              <w:top w:val="single" w:sz="6" w:space="0" w:color="auto"/>
              <w:left w:val="single" w:sz="6" w:space="0" w:color="auto"/>
              <w:bottom w:val="single" w:sz="6" w:space="0" w:color="auto"/>
              <w:right w:val="single" w:sz="6" w:space="0" w:color="auto"/>
            </w:tcBorders>
            <w:hideMark/>
          </w:tcPr>
          <w:p w:rsidR="00D54857" w:rsidRPr="002826D5" w:rsidRDefault="00D54857" w:rsidP="005616CD">
            <w:pPr>
              <w:pStyle w:val="TableHead1"/>
            </w:pPr>
            <w:r w:rsidRPr="002826D5">
              <w:t xml:space="preserve">Pays/zone </w:t>
            </w:r>
            <w:proofErr w:type="spellStart"/>
            <w:r w:rsidRPr="002826D5">
              <w:t>géographique</w:t>
            </w:r>
            <w:proofErr w:type="spellEnd"/>
          </w:p>
        </w:tc>
        <w:tc>
          <w:tcPr>
            <w:tcW w:w="2428" w:type="dxa"/>
            <w:tcBorders>
              <w:top w:val="single" w:sz="6" w:space="0" w:color="auto"/>
              <w:left w:val="single" w:sz="6" w:space="0" w:color="auto"/>
              <w:bottom w:val="single" w:sz="6" w:space="0" w:color="auto"/>
              <w:right w:val="single" w:sz="6" w:space="0" w:color="auto"/>
            </w:tcBorders>
            <w:hideMark/>
          </w:tcPr>
          <w:p w:rsidR="00D54857" w:rsidRPr="002826D5" w:rsidRDefault="00D54857" w:rsidP="005616CD">
            <w:pPr>
              <w:pStyle w:val="TableHead1"/>
              <w:rPr>
                <w:lang w:val="fr-CH"/>
              </w:rPr>
            </w:pPr>
            <w:r w:rsidRPr="002826D5">
              <w:rPr>
                <w:lang w:val="fr-CH"/>
              </w:rPr>
              <w:t>Nom de la compagnie/</w:t>
            </w:r>
            <w:r w:rsidRPr="002826D5">
              <w:rPr>
                <w:lang w:val="fr-CH"/>
              </w:rPr>
              <w:br/>
              <w:t>Adresse</w:t>
            </w:r>
          </w:p>
        </w:tc>
        <w:tc>
          <w:tcPr>
            <w:tcW w:w="2530" w:type="dxa"/>
            <w:tcBorders>
              <w:top w:val="single" w:sz="6" w:space="0" w:color="auto"/>
              <w:left w:val="single" w:sz="6" w:space="0" w:color="auto"/>
              <w:bottom w:val="single" w:sz="6" w:space="0" w:color="auto"/>
              <w:right w:val="single" w:sz="6" w:space="0" w:color="auto"/>
            </w:tcBorders>
            <w:hideMark/>
          </w:tcPr>
          <w:p w:rsidR="00D54857" w:rsidRPr="002826D5" w:rsidRDefault="00D54857" w:rsidP="005616CD">
            <w:pPr>
              <w:pStyle w:val="TableHead1"/>
            </w:pPr>
            <w:r w:rsidRPr="002826D5">
              <w:t xml:space="preserve">Identification </w:t>
            </w:r>
            <w:proofErr w:type="spellStart"/>
            <w:r w:rsidRPr="002826D5">
              <w:t>d’entité</w:t>
            </w:r>
            <w:proofErr w:type="spellEnd"/>
            <w:r w:rsidRPr="002826D5">
              <w:t xml:space="preserve"> </w:t>
            </w:r>
            <w:proofErr w:type="spellStart"/>
            <w:r w:rsidRPr="002826D5">
              <w:t>émettrice</w:t>
            </w:r>
            <w:proofErr w:type="spellEnd"/>
          </w:p>
        </w:tc>
        <w:tc>
          <w:tcPr>
            <w:tcW w:w="3261" w:type="dxa"/>
            <w:tcBorders>
              <w:top w:val="single" w:sz="6" w:space="0" w:color="auto"/>
              <w:left w:val="single" w:sz="6" w:space="0" w:color="auto"/>
              <w:bottom w:val="single" w:sz="6" w:space="0" w:color="auto"/>
              <w:right w:val="single" w:sz="6" w:space="0" w:color="auto"/>
            </w:tcBorders>
            <w:hideMark/>
          </w:tcPr>
          <w:p w:rsidR="00D54857" w:rsidRPr="002826D5" w:rsidRDefault="00D54857" w:rsidP="005616CD">
            <w:pPr>
              <w:pStyle w:val="TableHead1"/>
            </w:pPr>
            <w:r w:rsidRPr="002826D5">
              <w:t>Contact</w:t>
            </w:r>
          </w:p>
        </w:tc>
      </w:tr>
      <w:tr w:rsidR="00D54857" w:rsidRPr="002826D5" w:rsidTr="00D54857">
        <w:trPr>
          <w:jc w:val="center"/>
        </w:trPr>
        <w:tc>
          <w:tcPr>
            <w:tcW w:w="1589" w:type="dxa"/>
            <w:tcBorders>
              <w:top w:val="single" w:sz="6" w:space="0" w:color="auto"/>
              <w:left w:val="single" w:sz="6" w:space="0" w:color="auto"/>
              <w:bottom w:val="single" w:sz="6" w:space="0" w:color="auto"/>
              <w:right w:val="single" w:sz="6" w:space="0" w:color="auto"/>
            </w:tcBorders>
            <w:hideMark/>
          </w:tcPr>
          <w:p w:rsidR="00D54857" w:rsidRPr="002826D5" w:rsidRDefault="00D54857" w:rsidP="005616CD">
            <w:pPr>
              <w:pStyle w:val="TableText1"/>
              <w:rPr>
                <w:lang w:val="fr-FR"/>
              </w:rPr>
            </w:pPr>
            <w:r w:rsidRPr="002826D5">
              <w:rPr>
                <w:lang w:val="fr-FR"/>
              </w:rPr>
              <w:t xml:space="preserve">Australie </w:t>
            </w:r>
          </w:p>
        </w:tc>
        <w:tc>
          <w:tcPr>
            <w:tcW w:w="2428" w:type="dxa"/>
            <w:tcBorders>
              <w:top w:val="single" w:sz="6" w:space="0" w:color="auto"/>
              <w:left w:val="single" w:sz="6" w:space="0" w:color="auto"/>
              <w:bottom w:val="single" w:sz="6" w:space="0" w:color="auto"/>
              <w:right w:val="single" w:sz="6" w:space="0" w:color="auto"/>
            </w:tcBorders>
          </w:tcPr>
          <w:p w:rsidR="00D54857" w:rsidRPr="002826D5" w:rsidRDefault="00D54857" w:rsidP="005616CD">
            <w:pPr>
              <w:pStyle w:val="TableText1"/>
              <w:rPr>
                <w:b/>
                <w:bCs/>
                <w:lang w:val="pt-BR"/>
              </w:rPr>
            </w:pPr>
            <w:r w:rsidRPr="002826D5">
              <w:rPr>
                <w:b/>
                <w:bCs/>
                <w:lang w:val="pt-BR"/>
              </w:rPr>
              <w:t>Vodafone Hutchison Australia Pty Ltd</w:t>
            </w:r>
          </w:p>
          <w:p w:rsidR="00D54857" w:rsidRPr="002826D5" w:rsidRDefault="00D54857" w:rsidP="005616CD">
            <w:pPr>
              <w:pStyle w:val="TableText1"/>
              <w:rPr>
                <w:lang w:val="pt-BR"/>
              </w:rPr>
            </w:pPr>
            <w:r w:rsidRPr="002826D5">
              <w:rPr>
                <w:lang w:val="pt-BR"/>
              </w:rPr>
              <w:t>Level 7, 40 Mount Street</w:t>
            </w:r>
          </w:p>
          <w:p w:rsidR="00D54857" w:rsidRPr="002826D5" w:rsidRDefault="00D54857" w:rsidP="005616CD">
            <w:pPr>
              <w:pStyle w:val="TableText1"/>
              <w:rPr>
                <w:lang w:val="pt-BR"/>
              </w:rPr>
            </w:pPr>
            <w:r w:rsidRPr="002826D5">
              <w:rPr>
                <w:lang w:val="pt-BR"/>
              </w:rPr>
              <w:t>North Sydney NSW 2060</w:t>
            </w:r>
          </w:p>
        </w:tc>
        <w:tc>
          <w:tcPr>
            <w:tcW w:w="2530" w:type="dxa"/>
            <w:tcBorders>
              <w:top w:val="single" w:sz="6" w:space="0" w:color="auto"/>
              <w:left w:val="single" w:sz="6" w:space="0" w:color="auto"/>
              <w:bottom w:val="single" w:sz="6" w:space="0" w:color="auto"/>
              <w:right w:val="single" w:sz="6" w:space="0" w:color="auto"/>
            </w:tcBorders>
          </w:tcPr>
          <w:p w:rsidR="00D54857" w:rsidRPr="002826D5" w:rsidRDefault="00D54857" w:rsidP="00201AE8">
            <w:pPr>
              <w:pStyle w:val="TableText1"/>
              <w:jc w:val="center"/>
              <w:rPr>
                <w:b/>
              </w:rPr>
            </w:pPr>
            <w:r w:rsidRPr="002826D5">
              <w:rPr>
                <w:b/>
              </w:rPr>
              <w:t>89 61 06</w:t>
            </w:r>
          </w:p>
        </w:tc>
        <w:tc>
          <w:tcPr>
            <w:tcW w:w="3261" w:type="dxa"/>
            <w:tcBorders>
              <w:top w:val="single" w:sz="6" w:space="0" w:color="auto"/>
              <w:left w:val="single" w:sz="6" w:space="0" w:color="auto"/>
              <w:bottom w:val="single" w:sz="6" w:space="0" w:color="auto"/>
              <w:right w:val="single" w:sz="6" w:space="0" w:color="auto"/>
            </w:tcBorders>
          </w:tcPr>
          <w:p w:rsidR="00D54857" w:rsidRPr="002826D5" w:rsidRDefault="00D54857" w:rsidP="005616CD">
            <w:pPr>
              <w:pStyle w:val="TableText1"/>
              <w:rPr>
                <w:lang w:val="pt-BR"/>
              </w:rPr>
            </w:pPr>
            <w:r w:rsidRPr="002826D5">
              <w:rPr>
                <w:lang w:val="pt-BR"/>
              </w:rPr>
              <w:t>Mr. Alexander Osborne</w:t>
            </w:r>
          </w:p>
          <w:p w:rsidR="00D54857" w:rsidRPr="002826D5" w:rsidRDefault="00D54857" w:rsidP="005616CD">
            <w:pPr>
              <w:pStyle w:val="TableText1"/>
              <w:rPr>
                <w:lang w:val="pt-BR"/>
              </w:rPr>
            </w:pPr>
            <w:r w:rsidRPr="002826D5">
              <w:rPr>
                <w:lang w:val="pt-BR"/>
              </w:rPr>
              <w:t>Vodafone Hutchison Australia Pty Ltd</w:t>
            </w:r>
          </w:p>
          <w:p w:rsidR="00D54857" w:rsidRPr="002826D5" w:rsidRDefault="00D54857" w:rsidP="005616CD">
            <w:pPr>
              <w:pStyle w:val="TableText1"/>
              <w:rPr>
                <w:lang w:val="pt-BR"/>
              </w:rPr>
            </w:pPr>
            <w:r w:rsidRPr="002826D5">
              <w:rPr>
                <w:lang w:val="pt-BR"/>
              </w:rPr>
              <w:t>Level 7, 40 Mount Street</w:t>
            </w:r>
          </w:p>
          <w:p w:rsidR="00D54857" w:rsidRPr="002826D5" w:rsidRDefault="00D54857" w:rsidP="005616CD">
            <w:pPr>
              <w:pStyle w:val="TableText1"/>
              <w:rPr>
                <w:lang w:val="pt-BR"/>
              </w:rPr>
            </w:pPr>
            <w:r w:rsidRPr="002826D5">
              <w:rPr>
                <w:lang w:val="pt-BR"/>
              </w:rPr>
              <w:t>North Sydney NSW 2060</w:t>
            </w:r>
          </w:p>
          <w:p w:rsidR="00D54857" w:rsidRPr="002826D5" w:rsidRDefault="00D54857" w:rsidP="005616CD">
            <w:pPr>
              <w:pStyle w:val="TableText1"/>
              <w:rPr>
                <w:lang w:val="pt-BR"/>
              </w:rPr>
            </w:pPr>
            <w:r w:rsidRPr="002826D5">
              <w:rPr>
                <w:lang w:val="pt-BR"/>
              </w:rPr>
              <w:t>Tel: +61 425 232 539</w:t>
            </w:r>
          </w:p>
        </w:tc>
      </w:tr>
    </w:tbl>
    <w:p w:rsidR="00D54857" w:rsidRPr="002826D5" w:rsidRDefault="00D54857" w:rsidP="00D54857"/>
    <w:p w:rsidR="00841F34" w:rsidRPr="002826D5" w:rsidRDefault="00841F34" w:rsidP="00841F34">
      <w:pPr>
        <w:pStyle w:val="Heading20"/>
      </w:pPr>
      <w:bookmarkStart w:id="57" w:name="_Toc423525470"/>
      <w:r w:rsidRPr="002826D5">
        <w:t>Liste des codes de points sémaphores internationaux (ISPC</w:t>
      </w:r>
      <w:proofErr w:type="gramStart"/>
      <w:r w:rsidRPr="002826D5">
        <w:t>)</w:t>
      </w:r>
      <w:proofErr w:type="gramEnd"/>
      <w:r w:rsidRPr="002826D5">
        <w:br/>
        <w:t>(Selon la Recommandation UIT-T Q.708 (03/1999))</w:t>
      </w:r>
      <w:r w:rsidRPr="002826D5">
        <w:br/>
        <w:t>(Situation au 1 janvier 2015)</w:t>
      </w:r>
      <w:bookmarkEnd w:id="57"/>
    </w:p>
    <w:p w:rsidR="00841F34" w:rsidRPr="002826D5" w:rsidRDefault="00841F34" w:rsidP="00841F34">
      <w:pPr>
        <w:pStyle w:val="Heading70"/>
        <w:keepNext/>
        <w:rPr>
          <w:lang w:val="fr-CH"/>
        </w:rPr>
      </w:pPr>
      <w:r w:rsidRPr="002826D5">
        <w:rPr>
          <w:lang w:val="fr-CH"/>
        </w:rPr>
        <w:t>(Annexe au Bulletin d'exploitation de l'UIT No. 1067 - 1.I.2015)</w:t>
      </w:r>
      <w:r w:rsidRPr="002826D5">
        <w:rPr>
          <w:lang w:val="fr-CH"/>
        </w:rPr>
        <w:br/>
        <w:t>(Amendement No. 11)</w:t>
      </w:r>
    </w:p>
    <w:p w:rsidR="00841F34" w:rsidRPr="002826D5" w:rsidRDefault="00841F34" w:rsidP="00841F34">
      <w:pPr>
        <w:keepNext/>
        <w:rPr>
          <w:lang w:val="fr-CH"/>
        </w:rPr>
      </w:pPr>
    </w:p>
    <w:tbl>
      <w:tblPr>
        <w:tblW w:w="9288" w:type="dxa"/>
        <w:tblLayout w:type="fixed"/>
        <w:tblLook w:val="01E0" w:firstRow="1" w:lastRow="1" w:firstColumn="1" w:lastColumn="1" w:noHBand="0" w:noVBand="0"/>
      </w:tblPr>
      <w:tblGrid>
        <w:gridCol w:w="909"/>
        <w:gridCol w:w="909"/>
        <w:gridCol w:w="3461"/>
        <w:gridCol w:w="4009"/>
      </w:tblGrid>
      <w:tr w:rsidR="002826D5" w:rsidRPr="008D142F" w:rsidTr="00965A54">
        <w:trPr>
          <w:cantSplit/>
          <w:trHeight w:val="227"/>
        </w:trPr>
        <w:tc>
          <w:tcPr>
            <w:tcW w:w="1818" w:type="dxa"/>
            <w:gridSpan w:val="2"/>
            <w:shd w:val="clear" w:color="auto" w:fill="auto"/>
          </w:tcPr>
          <w:p w:rsidR="00841F34" w:rsidRPr="002826D5" w:rsidRDefault="00841F34" w:rsidP="00965A54">
            <w:pPr>
              <w:pStyle w:val="Tablehead0"/>
              <w:jc w:val="left"/>
            </w:pPr>
            <w:r w:rsidRPr="002826D5">
              <w:t>Pays/ Zone Géographique</w:t>
            </w:r>
          </w:p>
        </w:tc>
        <w:tc>
          <w:tcPr>
            <w:tcW w:w="3461" w:type="dxa"/>
            <w:vMerge w:val="restart"/>
            <w:shd w:val="clear" w:color="auto" w:fill="auto"/>
          </w:tcPr>
          <w:p w:rsidR="00841F34" w:rsidRPr="002826D5" w:rsidRDefault="00841F34" w:rsidP="00965A54">
            <w:pPr>
              <w:pStyle w:val="Tablehead0"/>
              <w:jc w:val="left"/>
            </w:pPr>
            <w:r w:rsidRPr="002826D5">
              <w:t>Nom unique du point sémaphore</w:t>
            </w:r>
          </w:p>
        </w:tc>
        <w:tc>
          <w:tcPr>
            <w:tcW w:w="4009" w:type="dxa"/>
            <w:vMerge w:val="restart"/>
            <w:shd w:val="clear" w:color="auto" w:fill="auto"/>
          </w:tcPr>
          <w:p w:rsidR="00841F34" w:rsidRPr="002826D5" w:rsidRDefault="00841F34" w:rsidP="00965A54">
            <w:pPr>
              <w:pStyle w:val="Tablehead0"/>
              <w:jc w:val="left"/>
            </w:pPr>
            <w:r w:rsidRPr="002826D5">
              <w:t>Nom de l'opérateur du point sémaphore</w:t>
            </w:r>
          </w:p>
        </w:tc>
      </w:tr>
      <w:tr w:rsidR="002826D5" w:rsidRPr="002826D5" w:rsidTr="00965A54">
        <w:trPr>
          <w:cantSplit/>
          <w:trHeight w:val="227"/>
        </w:trPr>
        <w:tc>
          <w:tcPr>
            <w:tcW w:w="909" w:type="dxa"/>
            <w:shd w:val="clear" w:color="auto" w:fill="auto"/>
          </w:tcPr>
          <w:p w:rsidR="00841F34" w:rsidRPr="002826D5" w:rsidRDefault="00841F34" w:rsidP="00965A54">
            <w:pPr>
              <w:pStyle w:val="Tablehead0"/>
              <w:jc w:val="left"/>
            </w:pPr>
            <w:r w:rsidRPr="002826D5">
              <w:t>ISPC</w:t>
            </w:r>
          </w:p>
        </w:tc>
        <w:tc>
          <w:tcPr>
            <w:tcW w:w="909" w:type="dxa"/>
            <w:shd w:val="clear" w:color="auto" w:fill="auto"/>
          </w:tcPr>
          <w:p w:rsidR="00841F34" w:rsidRPr="002826D5" w:rsidRDefault="00841F34" w:rsidP="00965A54">
            <w:pPr>
              <w:pStyle w:val="Tablehead0"/>
              <w:jc w:val="left"/>
            </w:pPr>
            <w:r w:rsidRPr="002826D5">
              <w:t>DEC</w:t>
            </w:r>
          </w:p>
        </w:tc>
        <w:tc>
          <w:tcPr>
            <w:tcW w:w="3461" w:type="dxa"/>
            <w:vMerge/>
            <w:shd w:val="clear" w:color="auto" w:fill="auto"/>
          </w:tcPr>
          <w:p w:rsidR="00841F34" w:rsidRPr="002826D5" w:rsidRDefault="00841F34" w:rsidP="00965A54">
            <w:pPr>
              <w:pStyle w:val="Tablehead0"/>
              <w:jc w:val="left"/>
            </w:pPr>
          </w:p>
        </w:tc>
        <w:tc>
          <w:tcPr>
            <w:tcW w:w="4009" w:type="dxa"/>
            <w:vMerge/>
            <w:shd w:val="clear" w:color="auto" w:fill="auto"/>
          </w:tcPr>
          <w:p w:rsidR="00841F34" w:rsidRPr="002826D5" w:rsidRDefault="00841F34" w:rsidP="00965A54">
            <w:pPr>
              <w:pStyle w:val="Tablehead0"/>
              <w:jc w:val="left"/>
            </w:pPr>
          </w:p>
        </w:tc>
      </w:tr>
      <w:tr w:rsidR="002826D5" w:rsidRPr="002826D5" w:rsidTr="00965A54">
        <w:trPr>
          <w:cantSplit/>
          <w:trHeight w:val="240"/>
        </w:trPr>
        <w:tc>
          <w:tcPr>
            <w:tcW w:w="9288" w:type="dxa"/>
            <w:gridSpan w:val="4"/>
            <w:shd w:val="clear" w:color="auto" w:fill="auto"/>
          </w:tcPr>
          <w:p w:rsidR="00841F34" w:rsidRPr="00201AE8" w:rsidRDefault="00841F34" w:rsidP="00965A54">
            <w:pPr>
              <w:pStyle w:val="Normalaftertitle"/>
              <w:keepNext/>
              <w:spacing w:before="240"/>
              <w:rPr>
                <w:b/>
                <w:bCs/>
              </w:rPr>
            </w:pPr>
            <w:proofErr w:type="spellStart"/>
            <w:r w:rsidRPr="00201AE8">
              <w:rPr>
                <w:b/>
                <w:bCs/>
              </w:rPr>
              <w:t>Australie</w:t>
            </w:r>
            <w:proofErr w:type="spellEnd"/>
            <w:r w:rsidRPr="00201AE8">
              <w:rPr>
                <w:b/>
                <w:bCs/>
              </w:rPr>
              <w:t xml:space="preserve">    LIR</w:t>
            </w:r>
          </w:p>
        </w:tc>
      </w:tr>
      <w:tr w:rsidR="002826D5" w:rsidRPr="002826D5" w:rsidTr="00965A54">
        <w:trPr>
          <w:cantSplit/>
          <w:trHeight w:val="240"/>
        </w:trPr>
        <w:tc>
          <w:tcPr>
            <w:tcW w:w="909" w:type="dxa"/>
            <w:shd w:val="clear" w:color="auto" w:fill="auto"/>
          </w:tcPr>
          <w:p w:rsidR="00841F34" w:rsidRPr="002826D5" w:rsidRDefault="00841F34" w:rsidP="00965A54">
            <w:pPr>
              <w:pStyle w:val="StyleTabletextLeft"/>
            </w:pPr>
            <w:r w:rsidRPr="002826D5">
              <w:t>5-012-6</w:t>
            </w:r>
          </w:p>
        </w:tc>
        <w:tc>
          <w:tcPr>
            <w:tcW w:w="909" w:type="dxa"/>
            <w:shd w:val="clear" w:color="auto" w:fill="auto"/>
          </w:tcPr>
          <w:p w:rsidR="00841F34" w:rsidRPr="002826D5" w:rsidRDefault="00841F34" w:rsidP="00965A54">
            <w:pPr>
              <w:pStyle w:val="StyleTabletextLeft"/>
            </w:pPr>
            <w:r w:rsidRPr="002826D5">
              <w:t>10342</w:t>
            </w:r>
          </w:p>
        </w:tc>
        <w:tc>
          <w:tcPr>
            <w:tcW w:w="2640" w:type="dxa"/>
            <w:shd w:val="clear" w:color="auto" w:fill="auto"/>
          </w:tcPr>
          <w:p w:rsidR="00841F34" w:rsidRPr="002826D5" w:rsidRDefault="00841F34" w:rsidP="00965A54">
            <w:pPr>
              <w:pStyle w:val="StyleTabletextLeft"/>
            </w:pPr>
            <w:r w:rsidRPr="002826D5">
              <w:t>TNZAI</w:t>
            </w:r>
          </w:p>
        </w:tc>
        <w:tc>
          <w:tcPr>
            <w:tcW w:w="4009" w:type="dxa"/>
            <w:shd w:val="clear" w:color="auto" w:fill="auto"/>
          </w:tcPr>
          <w:p w:rsidR="00841F34" w:rsidRPr="002826D5" w:rsidRDefault="00841F34" w:rsidP="00965A54">
            <w:pPr>
              <w:pStyle w:val="StyleTabletextLeft"/>
            </w:pPr>
            <w:r w:rsidRPr="002826D5">
              <w:t xml:space="preserve">TNZI </w:t>
            </w:r>
            <w:proofErr w:type="spellStart"/>
            <w:r w:rsidRPr="002826D5">
              <w:t>Australia</w:t>
            </w:r>
            <w:proofErr w:type="spellEnd"/>
            <w:r w:rsidRPr="002826D5">
              <w:t xml:space="preserve"> </w:t>
            </w:r>
            <w:proofErr w:type="spellStart"/>
            <w:r w:rsidRPr="002826D5">
              <w:t>Pty</w:t>
            </w:r>
            <w:proofErr w:type="spellEnd"/>
            <w:r w:rsidRPr="002826D5">
              <w:t xml:space="preserve"> Ltd</w:t>
            </w:r>
          </w:p>
        </w:tc>
      </w:tr>
    </w:tbl>
    <w:p w:rsidR="00841F34" w:rsidRPr="002826D5" w:rsidRDefault="00841F34" w:rsidP="00841F34">
      <w:pPr>
        <w:pStyle w:val="Footnotesepar"/>
        <w:rPr>
          <w:lang w:val="fr-FR"/>
        </w:rPr>
      </w:pPr>
      <w:r w:rsidRPr="002826D5">
        <w:rPr>
          <w:lang w:val="fr-FR"/>
        </w:rPr>
        <w:t>____________</w:t>
      </w:r>
    </w:p>
    <w:p w:rsidR="00841F34" w:rsidRPr="002826D5" w:rsidRDefault="00841F34" w:rsidP="00841F34">
      <w:pPr>
        <w:pStyle w:val="Tabletext"/>
        <w:tabs>
          <w:tab w:val="clear" w:pos="1276"/>
          <w:tab w:val="clear" w:pos="1843"/>
          <w:tab w:val="left" w:pos="567"/>
        </w:tabs>
        <w:spacing w:after="0"/>
        <w:rPr>
          <w:b w:val="0"/>
          <w:sz w:val="16"/>
          <w:szCs w:val="16"/>
        </w:rPr>
      </w:pPr>
      <w:r w:rsidRPr="002826D5">
        <w:rPr>
          <w:b w:val="0"/>
          <w:sz w:val="16"/>
          <w:szCs w:val="16"/>
        </w:rPr>
        <w:t>ISPC:</w:t>
      </w:r>
      <w:r w:rsidRPr="002826D5">
        <w:rPr>
          <w:b w:val="0"/>
          <w:sz w:val="16"/>
          <w:szCs w:val="16"/>
        </w:rPr>
        <w:tab/>
        <w:t xml:space="preserve">International </w:t>
      </w:r>
      <w:proofErr w:type="spellStart"/>
      <w:r w:rsidRPr="002826D5">
        <w:rPr>
          <w:b w:val="0"/>
          <w:sz w:val="16"/>
          <w:szCs w:val="16"/>
        </w:rPr>
        <w:t>Signalling</w:t>
      </w:r>
      <w:proofErr w:type="spellEnd"/>
      <w:r w:rsidRPr="002826D5">
        <w:rPr>
          <w:b w:val="0"/>
          <w:sz w:val="16"/>
          <w:szCs w:val="16"/>
        </w:rPr>
        <w:t xml:space="preserve"> Point Codes.</w:t>
      </w:r>
    </w:p>
    <w:p w:rsidR="00841F34" w:rsidRPr="002826D5" w:rsidRDefault="00841F34" w:rsidP="00841F34">
      <w:pPr>
        <w:pStyle w:val="Tabletext"/>
        <w:tabs>
          <w:tab w:val="clear" w:pos="1276"/>
          <w:tab w:val="clear" w:pos="1843"/>
          <w:tab w:val="left" w:pos="567"/>
        </w:tabs>
        <w:spacing w:before="0" w:after="0"/>
        <w:rPr>
          <w:b w:val="0"/>
          <w:sz w:val="16"/>
          <w:szCs w:val="16"/>
        </w:rPr>
      </w:pPr>
      <w:r w:rsidRPr="002826D5">
        <w:rPr>
          <w:b w:val="0"/>
          <w:sz w:val="16"/>
          <w:szCs w:val="16"/>
        </w:rPr>
        <w:tab/>
        <w:t>Codes de points sémaphores internationaux (CPSI).</w:t>
      </w:r>
    </w:p>
    <w:p w:rsidR="00841F34" w:rsidRPr="002826D5" w:rsidRDefault="00841F34" w:rsidP="00841F34">
      <w:pPr>
        <w:pStyle w:val="Tabletext"/>
        <w:tabs>
          <w:tab w:val="clear" w:pos="1276"/>
          <w:tab w:val="clear" w:pos="1843"/>
          <w:tab w:val="left" w:pos="567"/>
        </w:tabs>
        <w:spacing w:before="0" w:after="0"/>
        <w:rPr>
          <w:lang w:val="es-ES"/>
        </w:rPr>
      </w:pPr>
      <w:r w:rsidRPr="002826D5">
        <w:rPr>
          <w:b w:val="0"/>
          <w:sz w:val="16"/>
          <w:szCs w:val="16"/>
        </w:rPr>
        <w:tab/>
      </w:r>
      <w:r w:rsidRPr="002826D5">
        <w:rPr>
          <w:b w:val="0"/>
          <w:sz w:val="16"/>
          <w:szCs w:val="16"/>
          <w:lang w:val="es-ES"/>
        </w:rPr>
        <w:t>Códigos de puntos de señalización internacional (CPSI).</w:t>
      </w:r>
    </w:p>
    <w:p w:rsidR="006B1A01" w:rsidRDefault="006B1A01" w:rsidP="005C4DDC">
      <w:pPr>
        <w:rPr>
          <w:rFonts w:eastAsia="SimSun"/>
          <w:lang w:val="es-ES"/>
        </w:rPr>
      </w:pPr>
    </w:p>
    <w:p w:rsidR="00D54857" w:rsidRDefault="00D5485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rPr>
      </w:pPr>
      <w:r>
        <w:rPr>
          <w:rFonts w:eastAsia="SimSun"/>
          <w:lang w:val="es-ES"/>
        </w:rPr>
        <w:br w:type="page"/>
      </w:r>
    </w:p>
    <w:p w:rsidR="00D54857" w:rsidRPr="002826D5" w:rsidRDefault="00D54857" w:rsidP="00D54857">
      <w:pPr>
        <w:pStyle w:val="Heading20"/>
        <w:spacing w:before="240"/>
      </w:pPr>
      <w:bookmarkStart w:id="58" w:name="_Toc36874412"/>
      <w:bookmarkStart w:id="59" w:name="_Toc422401225"/>
      <w:bookmarkStart w:id="60" w:name="_Toc423525471"/>
      <w:r w:rsidRPr="002826D5">
        <w:lastRenderedPageBreak/>
        <w:t xml:space="preserve">Plan de numérotage </w:t>
      </w:r>
      <w:proofErr w:type="gramStart"/>
      <w:r w:rsidRPr="002826D5">
        <w:t>national</w:t>
      </w:r>
      <w:proofErr w:type="gramEnd"/>
      <w:r w:rsidRPr="002826D5">
        <w:br/>
        <w:t>(Selon la Recommandation UIT-T E.129 (01/2013))</w:t>
      </w:r>
      <w:bookmarkEnd w:id="58"/>
      <w:bookmarkEnd w:id="59"/>
      <w:bookmarkEnd w:id="60"/>
    </w:p>
    <w:p w:rsidR="00D54857" w:rsidRPr="002826D5" w:rsidRDefault="00D54857" w:rsidP="00D54857">
      <w:pPr>
        <w:jc w:val="center"/>
        <w:rPr>
          <w:lang w:val="en-US"/>
        </w:rPr>
      </w:pPr>
      <w:bookmarkStart w:id="61" w:name="_Toc36875244"/>
      <w:r w:rsidRPr="002826D5">
        <w:rPr>
          <w:lang w:val="en-US"/>
        </w:rPr>
        <w:t xml:space="preserve">Web: </w:t>
      </w:r>
      <w:hyperlink r:id="rId22" w:history="1">
        <w:r w:rsidRPr="002826D5">
          <w:rPr>
            <w:rStyle w:val="Hyperlink"/>
            <w:color w:val="auto"/>
            <w:lang w:val="en-US"/>
          </w:rPr>
          <w:t>www.itu.int/itu-t/inr/nnp/index.html</w:t>
        </w:r>
      </w:hyperlink>
      <w:r w:rsidRPr="002826D5">
        <w:rPr>
          <w:lang w:val="en-US"/>
        </w:rPr>
        <w:t xml:space="preserve"> </w:t>
      </w:r>
    </w:p>
    <w:bookmarkEnd w:id="61"/>
    <w:p w:rsidR="00D54857" w:rsidRPr="002826D5" w:rsidRDefault="00D54857" w:rsidP="00D54857">
      <w:pPr>
        <w:rPr>
          <w:lang w:val="en-US"/>
        </w:rPr>
      </w:pPr>
    </w:p>
    <w:p w:rsidR="00D54857" w:rsidRPr="002826D5" w:rsidRDefault="00D54857" w:rsidP="00D54857">
      <w:pPr>
        <w:rPr>
          <w:lang w:val="fr-FR"/>
        </w:rPr>
      </w:pPr>
      <w:r w:rsidRPr="002826D5">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D54857" w:rsidRPr="002826D5" w:rsidRDefault="00D54857" w:rsidP="00D54857">
      <w:pPr>
        <w:rPr>
          <w:rFonts w:cs="Arial"/>
          <w:lang w:val="fr-FR"/>
        </w:rPr>
      </w:pPr>
      <w:r w:rsidRPr="002826D5">
        <w:rPr>
          <w:rFonts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D54857" w:rsidRPr="002826D5" w:rsidRDefault="00D54857" w:rsidP="00D54857">
      <w:pPr>
        <w:rPr>
          <w:lang w:val="fr-FR"/>
        </w:rPr>
      </w:pPr>
      <w:r w:rsidRPr="002826D5">
        <w:rPr>
          <w:rFonts w:cs="Arial"/>
          <w:lang w:val="fr-FR"/>
        </w:rPr>
        <w:t>Le 1.VI.2015, les pays suivants ont actualisé leur plan de numérotage national sur le site:</w:t>
      </w:r>
    </w:p>
    <w:p w:rsidR="00D54857" w:rsidRPr="002826D5" w:rsidRDefault="00D54857" w:rsidP="00D54857">
      <w:pPr>
        <w:rPr>
          <w:rFonts w:cs="Arial"/>
          <w:lang w:val="fr-FR"/>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D54857" w:rsidRPr="002826D5" w:rsidTr="005616CD">
        <w:trPr>
          <w:jc w:val="center"/>
        </w:trPr>
        <w:tc>
          <w:tcPr>
            <w:tcW w:w="4875" w:type="dxa"/>
            <w:tcBorders>
              <w:top w:val="single" w:sz="4" w:space="0" w:color="auto"/>
              <w:bottom w:val="single" w:sz="4" w:space="0" w:color="auto"/>
              <w:right w:val="single" w:sz="4" w:space="0" w:color="auto"/>
            </w:tcBorders>
            <w:hideMark/>
          </w:tcPr>
          <w:p w:rsidR="00D54857" w:rsidRPr="002826D5" w:rsidRDefault="00D54857" w:rsidP="005616CD">
            <w:pPr>
              <w:spacing w:before="40" w:after="40"/>
              <w:jc w:val="center"/>
              <w:rPr>
                <w:rFonts w:cs="Arial"/>
                <w:i/>
                <w:iCs/>
                <w:lang w:val="fr-FR"/>
              </w:rPr>
            </w:pPr>
            <w:r w:rsidRPr="002826D5">
              <w:rPr>
                <w:i/>
                <w:iCs/>
                <w:lang w:val="fr-FR"/>
              </w:rPr>
              <w:t>Pays</w:t>
            </w:r>
          </w:p>
        </w:tc>
        <w:tc>
          <w:tcPr>
            <w:tcW w:w="3630" w:type="dxa"/>
            <w:tcBorders>
              <w:top w:val="single" w:sz="4" w:space="0" w:color="auto"/>
              <w:left w:val="single" w:sz="4" w:space="0" w:color="auto"/>
              <w:bottom w:val="single" w:sz="4" w:space="0" w:color="auto"/>
            </w:tcBorders>
            <w:hideMark/>
          </w:tcPr>
          <w:p w:rsidR="00D54857" w:rsidRPr="002826D5" w:rsidRDefault="00D54857" w:rsidP="005616CD">
            <w:pPr>
              <w:spacing w:before="40" w:after="40"/>
              <w:jc w:val="center"/>
              <w:rPr>
                <w:rFonts w:cs="Arial"/>
                <w:i/>
                <w:iCs/>
                <w:lang w:val="fr-FR"/>
              </w:rPr>
            </w:pPr>
            <w:r w:rsidRPr="002826D5">
              <w:rPr>
                <w:rFonts w:cs="Arial"/>
                <w:i/>
                <w:iCs/>
                <w:lang w:val="fr-FR" w:eastAsia="zh-CN"/>
              </w:rPr>
              <w:t>Indicatif de pays</w:t>
            </w:r>
            <w:r w:rsidRPr="002826D5">
              <w:rPr>
                <w:i/>
                <w:iCs/>
                <w:lang w:val="fr-FR"/>
              </w:rPr>
              <w:t xml:space="preserve"> (CC)</w:t>
            </w:r>
          </w:p>
        </w:tc>
      </w:tr>
      <w:tr w:rsidR="00D54857" w:rsidRPr="002826D5" w:rsidTr="005616CD">
        <w:trPr>
          <w:jc w:val="center"/>
        </w:trPr>
        <w:tc>
          <w:tcPr>
            <w:tcW w:w="4875" w:type="dxa"/>
            <w:tcBorders>
              <w:top w:val="single" w:sz="4" w:space="0" w:color="auto"/>
              <w:left w:val="single" w:sz="4" w:space="0" w:color="auto"/>
              <w:bottom w:val="single" w:sz="4" w:space="0" w:color="auto"/>
              <w:right w:val="single" w:sz="4" w:space="0" w:color="auto"/>
            </w:tcBorders>
          </w:tcPr>
          <w:p w:rsidR="00D54857" w:rsidRPr="002826D5" w:rsidRDefault="00D54857" w:rsidP="005616CD">
            <w:pPr>
              <w:pStyle w:val="TableText1"/>
              <w:rPr>
                <w:lang w:val="fr-FR"/>
              </w:rPr>
            </w:pPr>
            <w:r w:rsidRPr="002826D5">
              <w:rPr>
                <w:lang w:val="fr-FR"/>
              </w:rPr>
              <w:t>Croatie</w:t>
            </w:r>
          </w:p>
        </w:tc>
        <w:tc>
          <w:tcPr>
            <w:tcW w:w="3630" w:type="dxa"/>
            <w:tcBorders>
              <w:top w:val="single" w:sz="4" w:space="0" w:color="auto"/>
              <w:left w:val="single" w:sz="4" w:space="0" w:color="auto"/>
              <w:bottom w:val="single" w:sz="4" w:space="0" w:color="auto"/>
              <w:right w:val="single" w:sz="4" w:space="0" w:color="auto"/>
            </w:tcBorders>
          </w:tcPr>
          <w:p w:rsidR="00D54857" w:rsidRPr="002826D5" w:rsidRDefault="00D54857" w:rsidP="005616CD">
            <w:pPr>
              <w:pStyle w:val="TableText1"/>
              <w:jc w:val="center"/>
            </w:pPr>
            <w:r w:rsidRPr="002826D5">
              <w:t>+385</w:t>
            </w:r>
          </w:p>
        </w:tc>
      </w:tr>
      <w:tr w:rsidR="00D54857" w:rsidRPr="002826D5" w:rsidTr="005616CD">
        <w:trPr>
          <w:jc w:val="center"/>
        </w:trPr>
        <w:tc>
          <w:tcPr>
            <w:tcW w:w="4875" w:type="dxa"/>
            <w:tcBorders>
              <w:top w:val="single" w:sz="4" w:space="0" w:color="auto"/>
              <w:left w:val="single" w:sz="4" w:space="0" w:color="auto"/>
              <w:bottom w:val="single" w:sz="4" w:space="0" w:color="auto"/>
              <w:right w:val="single" w:sz="4" w:space="0" w:color="auto"/>
            </w:tcBorders>
          </w:tcPr>
          <w:p w:rsidR="00D54857" w:rsidRPr="002826D5" w:rsidRDefault="00D54857" w:rsidP="005616CD">
            <w:pPr>
              <w:pStyle w:val="TableText1"/>
              <w:rPr>
                <w:lang w:val="fr-FR"/>
              </w:rPr>
            </w:pPr>
            <w:r w:rsidRPr="002826D5">
              <w:rPr>
                <w:lang w:val="fr-FR"/>
              </w:rPr>
              <w:t>Jordanie</w:t>
            </w:r>
          </w:p>
        </w:tc>
        <w:tc>
          <w:tcPr>
            <w:tcW w:w="3630" w:type="dxa"/>
            <w:tcBorders>
              <w:top w:val="single" w:sz="4" w:space="0" w:color="auto"/>
              <w:left w:val="single" w:sz="4" w:space="0" w:color="auto"/>
              <w:bottom w:val="single" w:sz="4" w:space="0" w:color="auto"/>
              <w:right w:val="single" w:sz="4" w:space="0" w:color="auto"/>
            </w:tcBorders>
          </w:tcPr>
          <w:p w:rsidR="00D54857" w:rsidRPr="002826D5" w:rsidRDefault="00D54857" w:rsidP="005616CD">
            <w:pPr>
              <w:pStyle w:val="TableText1"/>
              <w:jc w:val="center"/>
            </w:pPr>
            <w:r w:rsidRPr="002826D5">
              <w:t>+962</w:t>
            </w:r>
          </w:p>
        </w:tc>
      </w:tr>
      <w:tr w:rsidR="00D54857" w:rsidRPr="002826D5" w:rsidTr="005616CD">
        <w:trPr>
          <w:jc w:val="center"/>
        </w:trPr>
        <w:tc>
          <w:tcPr>
            <w:tcW w:w="4875" w:type="dxa"/>
            <w:tcBorders>
              <w:top w:val="single" w:sz="4" w:space="0" w:color="auto"/>
              <w:left w:val="single" w:sz="4" w:space="0" w:color="auto"/>
              <w:bottom w:val="single" w:sz="4" w:space="0" w:color="auto"/>
              <w:right w:val="single" w:sz="4" w:space="0" w:color="auto"/>
            </w:tcBorders>
          </w:tcPr>
          <w:p w:rsidR="00D54857" w:rsidRPr="002826D5" w:rsidRDefault="00D54857" w:rsidP="005616CD">
            <w:pPr>
              <w:pStyle w:val="TableText1"/>
              <w:rPr>
                <w:lang w:val="fr-FR"/>
              </w:rPr>
            </w:pPr>
            <w:r w:rsidRPr="002826D5">
              <w:rPr>
                <w:lang w:val="fr-FR"/>
              </w:rPr>
              <w:t>Sainte Hélène et Tristan da Cunha</w:t>
            </w:r>
          </w:p>
        </w:tc>
        <w:tc>
          <w:tcPr>
            <w:tcW w:w="3630" w:type="dxa"/>
            <w:tcBorders>
              <w:top w:val="single" w:sz="4" w:space="0" w:color="auto"/>
              <w:left w:val="single" w:sz="4" w:space="0" w:color="auto"/>
              <w:bottom w:val="single" w:sz="4" w:space="0" w:color="auto"/>
              <w:right w:val="single" w:sz="4" w:space="0" w:color="auto"/>
            </w:tcBorders>
          </w:tcPr>
          <w:p w:rsidR="00D54857" w:rsidRPr="002826D5" w:rsidRDefault="00D54857" w:rsidP="005616CD">
            <w:pPr>
              <w:pStyle w:val="TableText1"/>
              <w:jc w:val="center"/>
            </w:pPr>
            <w:r w:rsidRPr="002826D5">
              <w:t>+290</w:t>
            </w:r>
          </w:p>
        </w:tc>
      </w:tr>
      <w:tr w:rsidR="00D54857" w:rsidRPr="002826D5" w:rsidTr="005616CD">
        <w:trPr>
          <w:jc w:val="center"/>
        </w:trPr>
        <w:tc>
          <w:tcPr>
            <w:tcW w:w="4875" w:type="dxa"/>
            <w:tcBorders>
              <w:top w:val="single" w:sz="4" w:space="0" w:color="auto"/>
              <w:left w:val="single" w:sz="4" w:space="0" w:color="auto"/>
              <w:bottom w:val="single" w:sz="4" w:space="0" w:color="auto"/>
              <w:right w:val="single" w:sz="4" w:space="0" w:color="auto"/>
            </w:tcBorders>
          </w:tcPr>
          <w:p w:rsidR="00D54857" w:rsidRPr="002826D5" w:rsidRDefault="00D54857" w:rsidP="005616CD">
            <w:pPr>
              <w:pStyle w:val="TableText1"/>
              <w:rPr>
                <w:lang w:val="fr-FR"/>
              </w:rPr>
            </w:pPr>
            <w:r w:rsidRPr="002826D5">
              <w:rPr>
                <w:lang w:val="fr-FR"/>
              </w:rPr>
              <w:t>Suriname</w:t>
            </w:r>
          </w:p>
        </w:tc>
        <w:tc>
          <w:tcPr>
            <w:tcW w:w="3630" w:type="dxa"/>
            <w:tcBorders>
              <w:top w:val="single" w:sz="4" w:space="0" w:color="auto"/>
              <w:left w:val="single" w:sz="4" w:space="0" w:color="auto"/>
              <w:bottom w:val="single" w:sz="4" w:space="0" w:color="auto"/>
              <w:right w:val="single" w:sz="4" w:space="0" w:color="auto"/>
            </w:tcBorders>
          </w:tcPr>
          <w:p w:rsidR="00D54857" w:rsidRPr="002826D5" w:rsidRDefault="00D54857" w:rsidP="005616CD">
            <w:pPr>
              <w:pStyle w:val="TableText1"/>
              <w:jc w:val="center"/>
            </w:pPr>
            <w:r w:rsidRPr="002826D5">
              <w:t>+597</w:t>
            </w:r>
          </w:p>
        </w:tc>
      </w:tr>
    </w:tbl>
    <w:p w:rsidR="00D54857" w:rsidRPr="002826D5" w:rsidRDefault="00D54857" w:rsidP="00D54857">
      <w:pPr>
        <w:rPr>
          <w:rFonts w:cs="Arial"/>
          <w:lang w:val="fr-FR"/>
        </w:rPr>
      </w:pPr>
    </w:p>
    <w:p w:rsidR="00D54857" w:rsidRPr="002826D5" w:rsidRDefault="00D54857" w:rsidP="005C4DDC">
      <w:pPr>
        <w:rPr>
          <w:rFonts w:eastAsia="SimSun"/>
          <w:lang w:val="es-ES"/>
        </w:rPr>
      </w:pPr>
    </w:p>
    <w:p w:rsidR="00D93474" w:rsidRPr="002826D5" w:rsidRDefault="00D93474"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
        </w:rPr>
        <w:sectPr w:rsidR="00D93474" w:rsidRPr="002826D5" w:rsidSect="009D4941">
          <w:footerReference w:type="even" r:id="rId23"/>
          <w:footerReference w:type="default" r:id="rId24"/>
          <w:footerReference w:type="first" r:id="rId25"/>
          <w:pgSz w:w="11901" w:h="16840" w:code="9"/>
          <w:pgMar w:top="1134" w:right="1418" w:bottom="1701" w:left="1418" w:header="720" w:footer="720" w:gutter="0"/>
          <w:paperSrc w:first="15" w:other="15"/>
          <w:cols w:space="720"/>
          <w:docGrid w:linePitch="360"/>
        </w:sectPr>
      </w:pPr>
    </w:p>
    <w:p w:rsidR="00965A54" w:rsidRPr="002826D5" w:rsidRDefault="00965A54" w:rsidP="00384DD8">
      <w:pPr>
        <w:rPr>
          <w:rFonts w:cs="Arial"/>
          <w:lang w:val="fr-FR"/>
        </w:rPr>
      </w:pPr>
    </w:p>
    <w:sectPr w:rsidR="00965A54" w:rsidRPr="002826D5" w:rsidSect="0097699F">
      <w:headerReference w:type="even" r:id="rId26"/>
      <w:footerReference w:type="even" r:id="rId27"/>
      <w:footerReference w:type="default" r:id="rId28"/>
      <w:pgSz w:w="11907" w:h="16840" w:code="9"/>
      <w:pgMar w:top="1134" w:right="1701" w:bottom="1701" w:left="1701"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A54" w:rsidRDefault="00965A54">
      <w:r>
        <w:separator/>
      </w:r>
    </w:p>
  </w:endnote>
  <w:endnote w:type="continuationSeparator" w:id="0">
    <w:p w:rsidR="00965A54" w:rsidRDefault="0096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sap">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F6D6B" w:rsidRPr="007F091C" w:rsidTr="008149B6">
      <w:trPr>
        <w:cantSplit/>
        <w:trHeight w:val="900"/>
      </w:trPr>
      <w:tc>
        <w:tcPr>
          <w:tcW w:w="8147" w:type="dxa"/>
          <w:tcBorders>
            <w:top w:val="nil"/>
            <w:bottom w:val="nil"/>
          </w:tcBorders>
          <w:shd w:val="clear" w:color="auto" w:fill="FFFFFF"/>
          <w:vAlign w:val="center"/>
        </w:tcPr>
        <w:p w:rsidR="00BF6D6B" w:rsidRDefault="00BF6D6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F6D6B" w:rsidRPr="007F091C" w:rsidRDefault="00BF6D6B"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F6D6B" w:rsidRDefault="00BF6D6B"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65A54" w:rsidRPr="007F091C" w:rsidTr="00921455">
      <w:trPr>
        <w:cantSplit/>
        <w:jc w:val="center"/>
      </w:trPr>
      <w:tc>
        <w:tcPr>
          <w:tcW w:w="1761" w:type="dxa"/>
          <w:shd w:val="clear" w:color="auto" w:fill="4C4C4C"/>
        </w:tcPr>
        <w:p w:rsidR="00965A54" w:rsidRPr="007F091C" w:rsidRDefault="00965A54"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1DEB">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1DEB">
            <w:rPr>
              <w:noProof/>
              <w:color w:val="FFFFFF"/>
              <w:lang w:val="en-US"/>
            </w:rPr>
            <w:t>6</w:t>
          </w:r>
          <w:r w:rsidRPr="007F091C">
            <w:rPr>
              <w:color w:val="FFFFFF"/>
              <w:lang w:val="en-US"/>
            </w:rPr>
            <w:fldChar w:fldCharType="end"/>
          </w:r>
        </w:p>
      </w:tc>
      <w:tc>
        <w:tcPr>
          <w:tcW w:w="7292" w:type="dxa"/>
          <w:shd w:val="clear" w:color="auto" w:fill="A6A6A6"/>
        </w:tcPr>
        <w:p w:rsidR="00965A54" w:rsidRPr="007F091C" w:rsidRDefault="00965A54"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965A54" w:rsidRDefault="00965A54" w:rsidP="00AE4CB1"/>
  <w:p w:rsidR="00965A54" w:rsidRDefault="00965A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65A54" w:rsidRPr="007F091C" w:rsidTr="00921455">
      <w:trPr>
        <w:cantSplit/>
        <w:jc w:val="right"/>
      </w:trPr>
      <w:tc>
        <w:tcPr>
          <w:tcW w:w="7378" w:type="dxa"/>
          <w:shd w:val="clear" w:color="auto" w:fill="A6A6A6"/>
        </w:tcPr>
        <w:p w:rsidR="00965A54" w:rsidRPr="007F091C" w:rsidRDefault="00965A54"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65A54" w:rsidRPr="007F091C" w:rsidRDefault="00965A54"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1DEB">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1DEB">
            <w:rPr>
              <w:noProof/>
              <w:color w:val="FFFFFF"/>
              <w:lang w:val="en-US"/>
            </w:rPr>
            <w:t>5</w:t>
          </w:r>
          <w:r w:rsidRPr="007F091C">
            <w:rPr>
              <w:color w:val="FFFFFF"/>
              <w:lang w:val="en-US"/>
            </w:rPr>
            <w:fldChar w:fldCharType="end"/>
          </w:r>
          <w:r w:rsidRPr="007F091C">
            <w:rPr>
              <w:color w:val="FFFFFF"/>
              <w:lang w:val="es-ES_tradnl"/>
            </w:rPr>
            <w:t>  </w:t>
          </w:r>
        </w:p>
      </w:tc>
    </w:tr>
  </w:tbl>
  <w:p w:rsidR="00965A54" w:rsidRDefault="00965A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65A54" w:rsidRPr="007F091C" w:rsidTr="000D70F7">
      <w:trPr>
        <w:cantSplit/>
        <w:jc w:val="right"/>
      </w:trPr>
      <w:tc>
        <w:tcPr>
          <w:tcW w:w="7378" w:type="dxa"/>
          <w:shd w:val="clear" w:color="auto" w:fill="A6A6A6"/>
        </w:tcPr>
        <w:p w:rsidR="00965A54" w:rsidRPr="007F091C" w:rsidRDefault="00965A54"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65A54" w:rsidRPr="007F091C" w:rsidRDefault="00965A54"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1DEB">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F6D6B">
            <w:rPr>
              <w:noProof/>
              <w:color w:val="FFFFFF"/>
              <w:lang w:val="en-US"/>
            </w:rPr>
            <w:t>2</w:t>
          </w:r>
          <w:r w:rsidRPr="007F091C">
            <w:rPr>
              <w:color w:val="FFFFFF"/>
              <w:lang w:val="en-US"/>
            </w:rPr>
            <w:fldChar w:fldCharType="end"/>
          </w:r>
          <w:r w:rsidRPr="007F091C">
            <w:rPr>
              <w:color w:val="FFFFFF"/>
              <w:lang w:val="es-ES_tradnl"/>
            </w:rPr>
            <w:t>  </w:t>
          </w:r>
        </w:p>
      </w:tc>
    </w:tr>
  </w:tbl>
  <w:p w:rsidR="00965A54" w:rsidRDefault="00965A54" w:rsidP="000D70F7">
    <w:pPr>
      <w:pStyle w:val="Footer"/>
    </w:pPr>
  </w:p>
  <w:p w:rsidR="00965A54" w:rsidRDefault="00965A54"/>
  <w:p w:rsidR="00965A54" w:rsidRDefault="00965A5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65A54" w:rsidRPr="007F091C" w:rsidTr="00921455">
      <w:trPr>
        <w:cantSplit/>
        <w:jc w:val="center"/>
      </w:trPr>
      <w:tc>
        <w:tcPr>
          <w:tcW w:w="1761" w:type="dxa"/>
          <w:shd w:val="clear" w:color="auto" w:fill="4C4C4C"/>
        </w:tcPr>
        <w:p w:rsidR="00965A54" w:rsidRPr="007F091C" w:rsidRDefault="00965A54"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1DEB">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1DEB">
            <w:rPr>
              <w:noProof/>
              <w:color w:val="FFFFFF"/>
              <w:lang w:val="en-US"/>
            </w:rPr>
            <w:t>10</w:t>
          </w:r>
          <w:r w:rsidRPr="007F091C">
            <w:rPr>
              <w:color w:val="FFFFFF"/>
              <w:lang w:val="en-US"/>
            </w:rPr>
            <w:fldChar w:fldCharType="end"/>
          </w:r>
        </w:p>
      </w:tc>
      <w:tc>
        <w:tcPr>
          <w:tcW w:w="7292" w:type="dxa"/>
          <w:shd w:val="clear" w:color="auto" w:fill="A6A6A6"/>
        </w:tcPr>
        <w:p w:rsidR="00965A54" w:rsidRPr="007F091C" w:rsidRDefault="00965A54"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965A54" w:rsidRDefault="00965A5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65A54" w:rsidRPr="007F091C" w:rsidTr="00921455">
      <w:trPr>
        <w:cantSplit/>
        <w:jc w:val="right"/>
      </w:trPr>
      <w:tc>
        <w:tcPr>
          <w:tcW w:w="7378" w:type="dxa"/>
          <w:shd w:val="clear" w:color="auto" w:fill="A6A6A6"/>
        </w:tcPr>
        <w:p w:rsidR="00965A54" w:rsidRPr="007F091C" w:rsidRDefault="00965A54"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65A54" w:rsidRPr="007F091C" w:rsidRDefault="00965A54"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1DEB">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1DEB">
            <w:rPr>
              <w:noProof/>
              <w:color w:val="FFFFFF"/>
              <w:lang w:val="en-US"/>
            </w:rPr>
            <w:t>11</w:t>
          </w:r>
          <w:r w:rsidRPr="007F091C">
            <w:rPr>
              <w:color w:val="FFFFFF"/>
              <w:lang w:val="en-US"/>
            </w:rPr>
            <w:fldChar w:fldCharType="end"/>
          </w:r>
          <w:r w:rsidRPr="007F091C">
            <w:rPr>
              <w:color w:val="FFFFFF"/>
              <w:lang w:val="es-ES_tradnl"/>
            </w:rPr>
            <w:t>  </w:t>
          </w:r>
        </w:p>
      </w:tc>
    </w:tr>
  </w:tbl>
  <w:p w:rsidR="00965A54" w:rsidRDefault="00965A5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65A54" w:rsidRPr="007F091C" w:rsidTr="000D70F7">
      <w:trPr>
        <w:cantSplit/>
        <w:jc w:val="right"/>
      </w:trPr>
      <w:tc>
        <w:tcPr>
          <w:tcW w:w="7378" w:type="dxa"/>
          <w:shd w:val="clear" w:color="auto" w:fill="A6A6A6"/>
        </w:tcPr>
        <w:p w:rsidR="00965A54" w:rsidRPr="007F091C" w:rsidRDefault="00965A54"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65A54" w:rsidRPr="007F091C" w:rsidRDefault="00965A54"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1DEB">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24</w:t>
          </w:r>
          <w:r w:rsidRPr="007F091C">
            <w:rPr>
              <w:color w:val="FFFFFF"/>
              <w:lang w:val="en-US"/>
            </w:rPr>
            <w:fldChar w:fldCharType="end"/>
          </w:r>
          <w:r w:rsidRPr="007F091C">
            <w:rPr>
              <w:color w:val="FFFFFF"/>
              <w:lang w:val="es-ES_tradnl"/>
            </w:rPr>
            <w:t>  </w:t>
          </w:r>
        </w:p>
      </w:tc>
    </w:tr>
  </w:tbl>
  <w:p w:rsidR="00965A54" w:rsidRDefault="00965A5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65A54" w:rsidRPr="007F091C" w:rsidTr="002D135B">
      <w:trPr>
        <w:cantSplit/>
        <w:jc w:val="center"/>
      </w:trPr>
      <w:tc>
        <w:tcPr>
          <w:tcW w:w="1761" w:type="dxa"/>
          <w:shd w:val="clear" w:color="auto" w:fill="4C4C4C"/>
        </w:tcPr>
        <w:p w:rsidR="00965A54" w:rsidRPr="007F091C" w:rsidRDefault="00965A54"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1DEB">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1DEB">
            <w:rPr>
              <w:noProof/>
              <w:color w:val="FFFFFF"/>
              <w:lang w:val="en-US"/>
            </w:rPr>
            <w:t>12</w:t>
          </w:r>
          <w:r w:rsidRPr="007F091C">
            <w:rPr>
              <w:color w:val="FFFFFF"/>
              <w:lang w:val="en-US"/>
            </w:rPr>
            <w:fldChar w:fldCharType="end"/>
          </w:r>
        </w:p>
      </w:tc>
      <w:tc>
        <w:tcPr>
          <w:tcW w:w="7292" w:type="dxa"/>
          <w:shd w:val="clear" w:color="auto" w:fill="A6A6A6"/>
        </w:tcPr>
        <w:p w:rsidR="00965A54" w:rsidRPr="007F091C" w:rsidRDefault="00965A54"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965A54" w:rsidRDefault="00965A54" w:rsidP="009D4941">
    <w:pPr>
      <w:rPr>
        <w:lang w:val="es-ES_tradn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65A54" w:rsidRPr="007F091C" w:rsidTr="002D135B">
      <w:trPr>
        <w:cantSplit/>
        <w:jc w:val="right"/>
      </w:trPr>
      <w:tc>
        <w:tcPr>
          <w:tcW w:w="7378" w:type="dxa"/>
          <w:shd w:val="clear" w:color="auto" w:fill="A6A6A6"/>
        </w:tcPr>
        <w:p w:rsidR="00965A54" w:rsidRPr="007F091C" w:rsidRDefault="00965A54"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65A54" w:rsidRPr="007F091C" w:rsidRDefault="00965A54"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1DEB">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14506">
            <w:rPr>
              <w:noProof/>
              <w:color w:val="FFFFFF"/>
              <w:lang w:val="en-US"/>
            </w:rPr>
            <w:t>13</w:t>
          </w:r>
          <w:r w:rsidRPr="007F091C">
            <w:rPr>
              <w:color w:val="FFFFFF"/>
              <w:lang w:val="en-US"/>
            </w:rPr>
            <w:fldChar w:fldCharType="end"/>
          </w:r>
          <w:r w:rsidRPr="007F091C">
            <w:rPr>
              <w:color w:val="FFFFFF"/>
              <w:lang w:val="es-ES_tradnl"/>
            </w:rPr>
            <w:t>  </w:t>
          </w:r>
        </w:p>
      </w:tc>
    </w:tr>
  </w:tbl>
  <w:p w:rsidR="00965A54" w:rsidRPr="009D4941" w:rsidRDefault="00965A54"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A54" w:rsidRDefault="00965A54">
      <w:r>
        <w:separator/>
      </w:r>
    </w:p>
  </w:footnote>
  <w:footnote w:type="continuationSeparator" w:id="0">
    <w:p w:rsidR="00965A54" w:rsidRDefault="00965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54" w:rsidRDefault="00965A54">
    <w:pPr>
      <w:pStyle w:val="Header"/>
      <w:rPr>
        <w:lang w:val="fr-FR"/>
      </w:rPr>
    </w:pPr>
  </w:p>
  <w:p w:rsidR="00965A54" w:rsidRDefault="00965A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12AE0C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F7E8BC4"/>
    <w:lvl w:ilvl="0">
      <w:numFmt w:val="bullet"/>
      <w:lvlText w:val="*"/>
      <w:lvlJc w:val="left"/>
    </w:lvl>
  </w:abstractNum>
  <w:abstractNum w:abstractNumId="3" w15:restartNumberingAfterBreak="0">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A7EB5"/>
    <w:multiLevelType w:val="hybridMultilevel"/>
    <w:tmpl w:val="490CE3DA"/>
    <w:lvl w:ilvl="0" w:tplc="D5FCD5DA">
      <w:start w:val="20"/>
      <w:numFmt w:val="bullet"/>
      <w:lvlText w:val=""/>
      <w:lvlJc w:val="left"/>
      <w:pPr>
        <w:ind w:left="1080" w:hanging="360"/>
      </w:pPr>
      <w:rPr>
        <w:rFonts w:ascii="Symbol" w:eastAsia="Asap" w:hAnsi="Symbol" w:cs="Asap" w:hint="default"/>
      </w:rPr>
    </w:lvl>
    <w:lvl w:ilvl="1" w:tplc="080A0005">
      <w:start w:val="1"/>
      <w:numFmt w:val="bullet"/>
      <w:lvlText w:val=""/>
      <w:lvlJc w:val="left"/>
      <w:pPr>
        <w:ind w:left="1800" w:hanging="360"/>
      </w:pPr>
      <w:rPr>
        <w:rFonts w:ascii="Wingdings" w:hAnsi="Wingding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302C3692"/>
    <w:multiLevelType w:val="hybridMultilevel"/>
    <w:tmpl w:val="EFCE6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7D5720"/>
    <w:multiLevelType w:val="hybridMultilevel"/>
    <w:tmpl w:val="7130C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1"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1350C"/>
    <w:multiLevelType w:val="hybridMultilevel"/>
    <w:tmpl w:val="FA3A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F523D45"/>
    <w:multiLevelType w:val="hybridMultilevel"/>
    <w:tmpl w:val="9B3E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4"/>
  </w:num>
  <w:num w:numId="4">
    <w:abstractNumId w:val="8"/>
  </w:num>
  <w:num w:numId="5">
    <w:abstractNumId w:val="25"/>
  </w:num>
  <w:num w:numId="6">
    <w:abstractNumId w:val="2"/>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2"/>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13"/>
  </w:num>
  <w:num w:numId="10">
    <w:abstractNumId w:val="3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6"/>
  </w:num>
  <w:num w:numId="16">
    <w:abstractNumId w:val="27"/>
  </w:num>
  <w:num w:numId="17">
    <w:abstractNumId w:val="19"/>
  </w:num>
  <w:num w:numId="18">
    <w:abstractNumId w:val="11"/>
  </w:num>
  <w:num w:numId="19">
    <w:abstractNumId w:val="9"/>
  </w:num>
  <w:num w:numId="20">
    <w:abstractNumId w:val="20"/>
  </w:num>
  <w:num w:numId="21">
    <w:abstractNumId w:val="23"/>
  </w:num>
  <w:num w:numId="22">
    <w:abstractNumId w:val="31"/>
  </w:num>
  <w:num w:numId="23">
    <w:abstractNumId w:val="10"/>
  </w:num>
  <w:num w:numId="24">
    <w:abstractNumId w:val="28"/>
  </w:num>
  <w:num w:numId="25">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12"/>
  </w:num>
  <w:num w:numId="27">
    <w:abstractNumId w:val="17"/>
  </w:num>
  <w:num w:numId="28">
    <w:abstractNumId w:val="15"/>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9"/>
  </w:num>
  <w:num w:numId="32">
    <w:abstractNumId w:val="4"/>
  </w:num>
  <w:num w:numId="33">
    <w:abstractNumId w:val="2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2"/>
  </w:num>
  <w:num w:numId="37">
    <w:abstractNumId w:val="1"/>
  </w:num>
  <w:num w:numId="38">
    <w:abstractNumId w:val="18"/>
  </w:num>
  <w:num w:numId="39">
    <w:abstractNumId w:val="5"/>
  </w:num>
  <w:num w:numId="40">
    <w:abstractNumId w:val="16"/>
  </w:num>
  <w:num w:numId="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10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472"/>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77FEE"/>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127F"/>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E28"/>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5FB9"/>
    <w:rsid w:val="0021604C"/>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A6A"/>
    <w:rsid w:val="002B1EC8"/>
    <w:rsid w:val="002B2AEC"/>
    <w:rsid w:val="002B33AE"/>
    <w:rsid w:val="002B3779"/>
    <w:rsid w:val="002B3ABC"/>
    <w:rsid w:val="002B3B6D"/>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2E50"/>
    <w:rsid w:val="003530F9"/>
    <w:rsid w:val="00353370"/>
    <w:rsid w:val="0035408A"/>
    <w:rsid w:val="003542E0"/>
    <w:rsid w:val="0035459E"/>
    <w:rsid w:val="003545E1"/>
    <w:rsid w:val="00354BF4"/>
    <w:rsid w:val="00354FCE"/>
    <w:rsid w:val="00355385"/>
    <w:rsid w:val="00355572"/>
    <w:rsid w:val="00355D04"/>
    <w:rsid w:val="003560CE"/>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957"/>
    <w:rsid w:val="00464AF6"/>
    <w:rsid w:val="00464D14"/>
    <w:rsid w:val="00464EA4"/>
    <w:rsid w:val="004652FB"/>
    <w:rsid w:val="0046543D"/>
    <w:rsid w:val="00465441"/>
    <w:rsid w:val="00465488"/>
    <w:rsid w:val="00465735"/>
    <w:rsid w:val="0046573F"/>
    <w:rsid w:val="00465A70"/>
    <w:rsid w:val="00465B8C"/>
    <w:rsid w:val="00465BBD"/>
    <w:rsid w:val="004668BB"/>
    <w:rsid w:val="004669C6"/>
    <w:rsid w:val="00466CA4"/>
    <w:rsid w:val="00466E06"/>
    <w:rsid w:val="00467308"/>
    <w:rsid w:val="00467BAB"/>
    <w:rsid w:val="00467C9F"/>
    <w:rsid w:val="00467E78"/>
    <w:rsid w:val="0047067A"/>
    <w:rsid w:val="00470B50"/>
    <w:rsid w:val="00470BC0"/>
    <w:rsid w:val="00470E3F"/>
    <w:rsid w:val="00471175"/>
    <w:rsid w:val="004718BA"/>
    <w:rsid w:val="00471957"/>
    <w:rsid w:val="00471B3F"/>
    <w:rsid w:val="004725BF"/>
    <w:rsid w:val="00472929"/>
    <w:rsid w:val="00472CFA"/>
    <w:rsid w:val="00472D9E"/>
    <w:rsid w:val="004738E5"/>
    <w:rsid w:val="00473E22"/>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5E14"/>
    <w:rsid w:val="004F5E3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82D"/>
    <w:rsid w:val="005C4DDC"/>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D60"/>
    <w:rsid w:val="00623EB9"/>
    <w:rsid w:val="0062471F"/>
    <w:rsid w:val="0062475F"/>
    <w:rsid w:val="006249E2"/>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5142"/>
    <w:rsid w:val="006453A2"/>
    <w:rsid w:val="006454A3"/>
    <w:rsid w:val="00645CA5"/>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1D1E"/>
    <w:rsid w:val="00742185"/>
    <w:rsid w:val="00742515"/>
    <w:rsid w:val="0074256C"/>
    <w:rsid w:val="00742769"/>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2C8"/>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3CE"/>
    <w:rsid w:val="00A4522B"/>
    <w:rsid w:val="00A4555E"/>
    <w:rsid w:val="00A45ABA"/>
    <w:rsid w:val="00A46556"/>
    <w:rsid w:val="00A468BB"/>
    <w:rsid w:val="00A46C12"/>
    <w:rsid w:val="00A4725E"/>
    <w:rsid w:val="00A50EDD"/>
    <w:rsid w:val="00A511C2"/>
    <w:rsid w:val="00A511E4"/>
    <w:rsid w:val="00A517AA"/>
    <w:rsid w:val="00A5193A"/>
    <w:rsid w:val="00A51C4C"/>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A3"/>
    <w:rsid w:val="00BC24C9"/>
    <w:rsid w:val="00BC2E66"/>
    <w:rsid w:val="00BC33F1"/>
    <w:rsid w:val="00BC3971"/>
    <w:rsid w:val="00BC3FDF"/>
    <w:rsid w:val="00BC40B8"/>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19E7"/>
    <w:rsid w:val="00C7233A"/>
    <w:rsid w:val="00C728B7"/>
    <w:rsid w:val="00C72B36"/>
    <w:rsid w:val="00C72B39"/>
    <w:rsid w:val="00C7308B"/>
    <w:rsid w:val="00C7317C"/>
    <w:rsid w:val="00C734F4"/>
    <w:rsid w:val="00C73C43"/>
    <w:rsid w:val="00C73DEE"/>
    <w:rsid w:val="00C74967"/>
    <w:rsid w:val="00C74A0F"/>
    <w:rsid w:val="00C74A7E"/>
    <w:rsid w:val="00C750A7"/>
    <w:rsid w:val="00C753CD"/>
    <w:rsid w:val="00C75B31"/>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857"/>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80055"/>
    <w:rsid w:val="00D80147"/>
    <w:rsid w:val="00D804E4"/>
    <w:rsid w:val="00D80720"/>
    <w:rsid w:val="00D80AAF"/>
    <w:rsid w:val="00D80BB0"/>
    <w:rsid w:val="00D8170C"/>
    <w:rsid w:val="00D81A68"/>
    <w:rsid w:val="00D823B2"/>
    <w:rsid w:val="00D82565"/>
    <w:rsid w:val="00D828EF"/>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AF0"/>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8A9"/>
    <w:rsid w:val="00E21E4B"/>
    <w:rsid w:val="00E2243F"/>
    <w:rsid w:val="00E225A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2AC"/>
    <w:rsid w:val="00F33D4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10561"/>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5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41"/>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footer" Target="footer3.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mercial@lusolines.c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http://www.itu.int/pub/T-SP-SR.1-20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hyperlink" Target="mailto:tsbtson@itu.in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itu-t/inr/nnp/index.html" TargetMode="External"/><Relationship Id="rId27" Type="http://schemas.openxmlformats.org/officeDocument/2006/relationships/footer" Target="footer8.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75E7-C736-426D-B1D9-36A02710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12</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16174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89</cp:revision>
  <cp:lastPrinted>2015-07-08T14:43:00Z</cp:lastPrinted>
  <dcterms:created xsi:type="dcterms:W3CDTF">2015-04-07T14:24:00Z</dcterms:created>
  <dcterms:modified xsi:type="dcterms:W3CDTF">2015-07-08T14:43:00Z</dcterms:modified>
</cp:coreProperties>
</file>