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B9509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B9509A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B9509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B9509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B9509A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B9509A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B9509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B9509A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B9509A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B9509A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B9509A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B9509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B9509A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B9509A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B9509A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B9509A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B9509A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B9509A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B9509A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B9509A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B9509A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B9509A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B9509A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B9509A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B9509A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B9509A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B9509A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B9509A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B9509A" w:rsidRDefault="00EA2A26" w:rsidP="00367A2B">
            <w:pPr>
              <w:rPr>
                <w:lang w:val="ru-RU"/>
              </w:rPr>
            </w:pPr>
          </w:p>
        </w:tc>
      </w:tr>
      <w:tr w:rsidR="00EA2A26" w:rsidRPr="00B9509A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B9509A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7A5EBCE9" w:rsidR="00EA2A26" w:rsidRPr="00B9509A" w:rsidRDefault="001B5C6B" w:rsidP="00977E02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B9509A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977E02">
              <w:rPr>
                <w:spacing w:val="-6"/>
                <w:sz w:val="44"/>
                <w:szCs w:val="44"/>
                <w:lang w:val="ru-RU"/>
              </w:rPr>
              <w:t>99</w:t>
            </w:r>
            <w:r w:rsidR="00845E8E" w:rsidRPr="00B9509A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977E02" w:rsidRPr="00977E02">
              <w:rPr>
                <w:spacing w:val="-6"/>
                <w:sz w:val="44"/>
                <w:szCs w:val="44"/>
                <w:lang w:val="ru-RU"/>
              </w:rPr>
              <w:t>Реструктуризация исследовательских комиссий Сектора стандартизации электросвязи МСЭ</w:t>
            </w:r>
          </w:p>
          <w:p w14:paraId="51262F1D" w14:textId="77777777" w:rsidR="00EA2A26" w:rsidRPr="00B9509A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B9509A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B9509A">
        <w:rPr>
          <w:rFonts w:ascii="Arial" w:eastAsia="Avenir Next W1G Medium" w:hAnsi="Arial" w:cs="Arial"/>
          <w:noProof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B9509A">
        <w:rPr>
          <w:noProof/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B9509A" w:rsidRDefault="00EA2A26" w:rsidP="00EA2A26">
      <w:pPr>
        <w:jc w:val="left"/>
        <w:rPr>
          <w:lang w:val="ru-RU"/>
        </w:rPr>
        <w:sectPr w:rsidR="00EA2A26" w:rsidRPr="00B9509A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B9509A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B9509A">
        <w:rPr>
          <w:lang w:val="ru-RU"/>
        </w:rPr>
        <w:lastRenderedPageBreak/>
        <w:t>ПРЕДИСЛОВИЕ</w:t>
      </w:r>
    </w:p>
    <w:p w14:paraId="09A8E349" w14:textId="77777777" w:rsidR="00E60A09" w:rsidRPr="00B9509A" w:rsidRDefault="00E60A09" w:rsidP="00E60A09">
      <w:pPr>
        <w:rPr>
          <w:sz w:val="20"/>
          <w:lang w:val="ru-RU"/>
        </w:rPr>
      </w:pPr>
      <w:bookmarkStart w:id="2" w:name="iitextf"/>
      <w:r w:rsidRPr="00B9509A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B9509A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B9509A" w:rsidRDefault="00E60A09" w:rsidP="00E60A09">
      <w:pPr>
        <w:rPr>
          <w:sz w:val="20"/>
          <w:lang w:val="ru-RU"/>
        </w:rPr>
      </w:pPr>
      <w:r w:rsidRPr="00B9509A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B9509A" w:rsidRDefault="00E60A09" w:rsidP="00E60A09">
      <w:pPr>
        <w:rPr>
          <w:sz w:val="20"/>
          <w:lang w:val="ru-RU"/>
        </w:rPr>
      </w:pPr>
      <w:r w:rsidRPr="00B9509A">
        <w:rPr>
          <w:sz w:val="20"/>
          <w:lang w:val="ru-RU"/>
        </w:rPr>
        <w:t xml:space="preserve">Утверждение </w:t>
      </w:r>
      <w:r w:rsidRPr="00B9509A">
        <w:rPr>
          <w:caps/>
          <w:sz w:val="20"/>
          <w:lang w:val="ru-RU"/>
        </w:rPr>
        <w:t>р</w:t>
      </w:r>
      <w:r w:rsidRPr="00B9509A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B9509A">
        <w:rPr>
          <w:sz w:val="20"/>
          <w:lang w:val="ru-RU"/>
        </w:rPr>
        <w:t>.</w:t>
      </w:r>
    </w:p>
    <w:p w14:paraId="7104090E" w14:textId="77777777" w:rsidR="00E60A09" w:rsidRPr="00B9509A" w:rsidRDefault="00E60A09" w:rsidP="00E60A09">
      <w:pPr>
        <w:rPr>
          <w:lang w:val="ru-RU"/>
        </w:rPr>
      </w:pPr>
      <w:r w:rsidRPr="00B9509A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B9509A" w:rsidRDefault="00E60A09" w:rsidP="00E60A09">
      <w:pPr>
        <w:rPr>
          <w:lang w:val="ru-RU"/>
        </w:rPr>
      </w:pPr>
    </w:p>
    <w:p w14:paraId="1BF1A502" w14:textId="77777777" w:rsidR="00E60A09" w:rsidRPr="00B9509A" w:rsidRDefault="00E60A09" w:rsidP="00E60A09">
      <w:pPr>
        <w:rPr>
          <w:lang w:val="ru-RU"/>
        </w:rPr>
      </w:pPr>
    </w:p>
    <w:p w14:paraId="2053FC85" w14:textId="77777777" w:rsidR="00E60A09" w:rsidRPr="00B9509A" w:rsidRDefault="00E60A09" w:rsidP="00E60A09">
      <w:pPr>
        <w:rPr>
          <w:lang w:val="ru-RU"/>
        </w:rPr>
      </w:pPr>
    </w:p>
    <w:p w14:paraId="510B3609" w14:textId="77777777" w:rsidR="00E60A09" w:rsidRPr="00B9509A" w:rsidRDefault="00E60A09" w:rsidP="00E60A09">
      <w:pPr>
        <w:rPr>
          <w:lang w:val="ru-RU"/>
        </w:rPr>
      </w:pPr>
    </w:p>
    <w:p w14:paraId="3624C831" w14:textId="77777777" w:rsidR="00E60A09" w:rsidRPr="00B9509A" w:rsidRDefault="00E60A09" w:rsidP="00E60A09">
      <w:pPr>
        <w:rPr>
          <w:lang w:val="ru-RU"/>
        </w:rPr>
      </w:pPr>
    </w:p>
    <w:p w14:paraId="3C20E03C" w14:textId="77777777" w:rsidR="00E60A09" w:rsidRPr="00B9509A" w:rsidRDefault="00E60A09" w:rsidP="00E60A09">
      <w:pPr>
        <w:rPr>
          <w:lang w:val="ru-RU"/>
        </w:rPr>
      </w:pPr>
    </w:p>
    <w:p w14:paraId="54472EDE" w14:textId="77777777" w:rsidR="00E60A09" w:rsidRPr="00B9509A" w:rsidRDefault="00E60A09" w:rsidP="00E60A09">
      <w:pPr>
        <w:rPr>
          <w:lang w:val="ru-RU"/>
        </w:rPr>
      </w:pPr>
    </w:p>
    <w:p w14:paraId="49DDE904" w14:textId="77777777" w:rsidR="00E60A09" w:rsidRPr="00B9509A" w:rsidRDefault="00E60A09" w:rsidP="00E60A09">
      <w:pPr>
        <w:rPr>
          <w:lang w:val="ru-RU"/>
        </w:rPr>
      </w:pPr>
    </w:p>
    <w:p w14:paraId="61412DA5" w14:textId="77777777" w:rsidR="00E60A09" w:rsidRPr="00B9509A" w:rsidRDefault="00E60A09" w:rsidP="00E60A09">
      <w:pPr>
        <w:rPr>
          <w:lang w:val="ru-RU"/>
        </w:rPr>
      </w:pPr>
    </w:p>
    <w:p w14:paraId="1C810210" w14:textId="77777777" w:rsidR="00E60A09" w:rsidRPr="00B9509A" w:rsidRDefault="00E60A09" w:rsidP="00E60A09">
      <w:pPr>
        <w:rPr>
          <w:lang w:val="ru-RU"/>
        </w:rPr>
      </w:pPr>
    </w:p>
    <w:p w14:paraId="1C38E19A" w14:textId="77777777" w:rsidR="00E60A09" w:rsidRPr="00B9509A" w:rsidRDefault="00E60A09" w:rsidP="00E60A09">
      <w:pPr>
        <w:rPr>
          <w:lang w:val="ru-RU"/>
        </w:rPr>
      </w:pPr>
    </w:p>
    <w:p w14:paraId="4D3396DA" w14:textId="77777777" w:rsidR="00E60A09" w:rsidRPr="00B9509A" w:rsidRDefault="00E60A09" w:rsidP="00E60A09">
      <w:pPr>
        <w:rPr>
          <w:lang w:val="ru-RU"/>
        </w:rPr>
      </w:pPr>
    </w:p>
    <w:p w14:paraId="4F2F1517" w14:textId="77777777" w:rsidR="00E60A09" w:rsidRPr="00B9509A" w:rsidRDefault="00E60A09" w:rsidP="00E60A09">
      <w:pPr>
        <w:rPr>
          <w:lang w:val="ru-RU"/>
        </w:rPr>
      </w:pPr>
    </w:p>
    <w:p w14:paraId="5C4902C6" w14:textId="77777777" w:rsidR="00E60A09" w:rsidRPr="00B9509A" w:rsidRDefault="00E60A09" w:rsidP="00E60A09">
      <w:pPr>
        <w:rPr>
          <w:lang w:val="ru-RU"/>
        </w:rPr>
      </w:pPr>
    </w:p>
    <w:p w14:paraId="77FC4396" w14:textId="77777777" w:rsidR="00E60A09" w:rsidRPr="00B9509A" w:rsidRDefault="00E60A09" w:rsidP="00E60A09">
      <w:pPr>
        <w:rPr>
          <w:lang w:val="ru-RU"/>
        </w:rPr>
      </w:pPr>
    </w:p>
    <w:p w14:paraId="66D8DB35" w14:textId="77777777" w:rsidR="008B6349" w:rsidRPr="00B9509A" w:rsidRDefault="008B6349" w:rsidP="00E60A09">
      <w:pPr>
        <w:rPr>
          <w:lang w:val="ru-RU"/>
        </w:rPr>
      </w:pPr>
    </w:p>
    <w:p w14:paraId="48008D63" w14:textId="77777777" w:rsidR="008B6349" w:rsidRPr="00B9509A" w:rsidRDefault="008B6349" w:rsidP="00E60A09">
      <w:pPr>
        <w:rPr>
          <w:lang w:val="ru-RU"/>
        </w:rPr>
      </w:pPr>
    </w:p>
    <w:p w14:paraId="36C41597" w14:textId="77777777" w:rsidR="008B6349" w:rsidRPr="00B9509A" w:rsidRDefault="008B6349" w:rsidP="00E60A09">
      <w:pPr>
        <w:rPr>
          <w:lang w:val="ru-RU"/>
        </w:rPr>
      </w:pPr>
    </w:p>
    <w:p w14:paraId="29854E5F" w14:textId="77777777" w:rsidR="008B6349" w:rsidRPr="00B9509A" w:rsidRDefault="008B6349" w:rsidP="00E60A09">
      <w:pPr>
        <w:rPr>
          <w:lang w:val="ru-RU"/>
        </w:rPr>
      </w:pPr>
    </w:p>
    <w:p w14:paraId="3941F9B3" w14:textId="77777777" w:rsidR="008B6349" w:rsidRPr="00B9509A" w:rsidRDefault="008B6349" w:rsidP="00E60A09">
      <w:pPr>
        <w:rPr>
          <w:lang w:val="ru-RU"/>
        </w:rPr>
      </w:pPr>
    </w:p>
    <w:p w14:paraId="33823CA9" w14:textId="77777777" w:rsidR="00E60A09" w:rsidRPr="00B9509A" w:rsidRDefault="00E60A09" w:rsidP="00E60A09">
      <w:pPr>
        <w:rPr>
          <w:lang w:val="ru-RU"/>
        </w:rPr>
      </w:pPr>
    </w:p>
    <w:p w14:paraId="265DF33E" w14:textId="77777777" w:rsidR="00E60A09" w:rsidRPr="00B9509A" w:rsidRDefault="00E60A09" w:rsidP="00E60A09">
      <w:pPr>
        <w:rPr>
          <w:lang w:val="ru-RU"/>
        </w:rPr>
      </w:pPr>
    </w:p>
    <w:p w14:paraId="7D494ED0" w14:textId="77777777" w:rsidR="00E60A09" w:rsidRPr="00B9509A" w:rsidRDefault="00E60A09" w:rsidP="00E60A09">
      <w:pPr>
        <w:rPr>
          <w:lang w:val="ru-RU"/>
        </w:rPr>
      </w:pPr>
    </w:p>
    <w:p w14:paraId="3554E9A0" w14:textId="77777777" w:rsidR="00E60A09" w:rsidRPr="00B9509A" w:rsidRDefault="00E60A09" w:rsidP="00E60A09">
      <w:pPr>
        <w:rPr>
          <w:lang w:val="ru-RU"/>
        </w:rPr>
      </w:pPr>
    </w:p>
    <w:p w14:paraId="0D1B6C2B" w14:textId="77777777" w:rsidR="00D324F1" w:rsidRPr="00B9509A" w:rsidRDefault="00D324F1" w:rsidP="00E60A09">
      <w:pPr>
        <w:rPr>
          <w:lang w:val="ru-RU"/>
        </w:rPr>
      </w:pPr>
    </w:p>
    <w:p w14:paraId="648D7BD9" w14:textId="77777777" w:rsidR="00D324F1" w:rsidRPr="00B9509A" w:rsidRDefault="00D324F1" w:rsidP="00E60A09">
      <w:pPr>
        <w:rPr>
          <w:lang w:val="ru-RU"/>
        </w:rPr>
      </w:pPr>
    </w:p>
    <w:p w14:paraId="15937F0A" w14:textId="3B24DFE4" w:rsidR="00E60A09" w:rsidRPr="00B9509A" w:rsidRDefault="00E60A09" w:rsidP="00E60A09">
      <w:pPr>
        <w:jc w:val="center"/>
        <w:rPr>
          <w:sz w:val="20"/>
          <w:lang w:val="ru-RU"/>
        </w:rPr>
      </w:pPr>
      <w:r w:rsidRPr="00B9509A">
        <w:rPr>
          <w:sz w:val="20"/>
          <w:lang w:val="ru-RU"/>
        </w:rPr>
        <w:sym w:font="Symbol" w:char="F0E3"/>
      </w:r>
      <w:r w:rsidRPr="00B9509A">
        <w:rPr>
          <w:sz w:val="20"/>
          <w:lang w:val="ru-RU"/>
        </w:rPr>
        <w:t>  ITU  </w:t>
      </w:r>
      <w:bookmarkStart w:id="3" w:name="iiannee"/>
      <w:bookmarkEnd w:id="3"/>
      <w:r w:rsidRPr="00B9509A">
        <w:rPr>
          <w:sz w:val="20"/>
          <w:lang w:val="ru-RU"/>
        </w:rPr>
        <w:t>2024</w:t>
      </w:r>
    </w:p>
    <w:p w14:paraId="5A25B5AD" w14:textId="3FBBDADE" w:rsidR="008968B6" w:rsidRPr="00B9509A" w:rsidRDefault="00E60A09" w:rsidP="00EA2A26">
      <w:pPr>
        <w:rPr>
          <w:lang w:val="ru-RU"/>
        </w:rPr>
      </w:pPr>
      <w:r w:rsidRPr="00B9509A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B9509A" w:rsidRDefault="00B73379" w:rsidP="003374BB">
      <w:pPr>
        <w:pStyle w:val="ResNo"/>
        <w:rPr>
          <w:lang w:val="ru-RU"/>
        </w:rPr>
        <w:sectPr w:rsidR="00B73379" w:rsidRPr="00B9509A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6B3520E9" w14:textId="33031DD2" w:rsidR="00977E02" w:rsidRPr="00F21E25" w:rsidRDefault="00977E02" w:rsidP="00977E02">
      <w:pPr>
        <w:pStyle w:val="ResNo"/>
      </w:pPr>
      <w:r w:rsidRPr="00F21E25">
        <w:lastRenderedPageBreak/>
        <w:t xml:space="preserve">РЕЗОЛЮЦИЯ </w:t>
      </w:r>
      <w:r w:rsidRPr="00F21E25">
        <w:rPr>
          <w:rStyle w:val="href"/>
        </w:rPr>
        <w:t>99</w:t>
      </w:r>
      <w:r w:rsidRPr="00F21E25">
        <w:t xml:space="preserve"> </w:t>
      </w:r>
      <w:r w:rsidR="00A47887" w:rsidRPr="00F21E25">
        <w:rPr>
          <w:caps w:val="0"/>
        </w:rPr>
        <w:t>(</w:t>
      </w:r>
      <w:proofErr w:type="spellStart"/>
      <w:r w:rsidR="00A47887" w:rsidRPr="00F21E25">
        <w:rPr>
          <w:caps w:val="0"/>
          <w:szCs w:val="26"/>
        </w:rPr>
        <w:t>Пересм</w:t>
      </w:r>
      <w:proofErr w:type="spellEnd"/>
      <w:r w:rsidR="00A47887" w:rsidRPr="00F21E25">
        <w:rPr>
          <w:caps w:val="0"/>
          <w:szCs w:val="26"/>
        </w:rPr>
        <w:t xml:space="preserve">. </w:t>
      </w:r>
      <w:proofErr w:type="spellStart"/>
      <w:r w:rsidR="00A47887" w:rsidRPr="00F21E25">
        <w:rPr>
          <w:caps w:val="0"/>
          <w:szCs w:val="26"/>
        </w:rPr>
        <w:t>Нью-Дели</w:t>
      </w:r>
      <w:proofErr w:type="spellEnd"/>
      <w:r w:rsidR="00A47887" w:rsidRPr="00F21E25">
        <w:rPr>
          <w:caps w:val="0"/>
          <w:szCs w:val="26"/>
        </w:rPr>
        <w:t>, 2024 г.)</w:t>
      </w:r>
    </w:p>
    <w:p w14:paraId="703C69F3" w14:textId="32547DC7" w:rsidR="00977E02" w:rsidRPr="00F21E25" w:rsidRDefault="00977E02" w:rsidP="00977E02">
      <w:pPr>
        <w:pStyle w:val="Restitle"/>
      </w:pPr>
      <w:proofErr w:type="spellStart"/>
      <w:r w:rsidRPr="00F21E25">
        <w:t>Реструктуризация</w:t>
      </w:r>
      <w:proofErr w:type="spellEnd"/>
      <w:r w:rsidRPr="00F21E25">
        <w:t xml:space="preserve"> </w:t>
      </w:r>
      <w:proofErr w:type="spellStart"/>
      <w:r w:rsidRPr="00F21E25">
        <w:t>исследовательских</w:t>
      </w:r>
      <w:proofErr w:type="spellEnd"/>
      <w:r w:rsidRPr="00F21E25">
        <w:t xml:space="preserve"> </w:t>
      </w:r>
      <w:proofErr w:type="spellStart"/>
      <w:r w:rsidRPr="00F21E25">
        <w:t>комиссий</w:t>
      </w:r>
      <w:proofErr w:type="spellEnd"/>
      <w:r w:rsidRPr="00F21E25">
        <w:t xml:space="preserve"> </w:t>
      </w:r>
      <w:proofErr w:type="spellStart"/>
      <w:r w:rsidRPr="00F21E25">
        <w:t>Сектора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МСЭ</w:t>
      </w:r>
    </w:p>
    <w:p w14:paraId="58B99147" w14:textId="77777777" w:rsidR="00977E02" w:rsidRPr="00F21E25" w:rsidRDefault="00977E02" w:rsidP="00977E02">
      <w:pPr>
        <w:pStyle w:val="Resref"/>
      </w:pPr>
      <w:r w:rsidRPr="00F21E25">
        <w:t>(</w:t>
      </w:r>
      <w:proofErr w:type="spellStart"/>
      <w:r w:rsidRPr="00F21E25">
        <w:t>Женева</w:t>
      </w:r>
      <w:proofErr w:type="spellEnd"/>
      <w:r w:rsidRPr="00F21E25">
        <w:t xml:space="preserve">, 2022 </w:t>
      </w:r>
      <w:proofErr w:type="gramStart"/>
      <w:r w:rsidRPr="00F21E25">
        <w:t>г.;</w:t>
      </w:r>
      <w:proofErr w:type="gramEnd"/>
      <w:r w:rsidRPr="00F21E25">
        <w:t xml:space="preserve"> </w:t>
      </w:r>
      <w:proofErr w:type="spellStart"/>
      <w:r w:rsidRPr="00F21E25">
        <w:t>Нью-Дели</w:t>
      </w:r>
      <w:proofErr w:type="spellEnd"/>
      <w:r w:rsidRPr="00F21E25">
        <w:t>, 2024 г.)</w:t>
      </w:r>
    </w:p>
    <w:p w14:paraId="62073053" w14:textId="77777777" w:rsidR="00977E02" w:rsidRPr="00F21E25" w:rsidRDefault="00977E02" w:rsidP="00977E02">
      <w:pPr>
        <w:pStyle w:val="Normalaftertitle0"/>
        <w:rPr>
          <w:lang w:val="ru-RU"/>
        </w:rPr>
      </w:pPr>
      <w:r w:rsidRPr="00F21E25">
        <w:rPr>
          <w:lang w:val="ru-RU"/>
        </w:rPr>
        <w:t>Всемирная ассамблея по стандартизации электросвязи (Нью-Дели, 2024 г.),</w:t>
      </w:r>
    </w:p>
    <w:p w14:paraId="48D5D0B2" w14:textId="77777777" w:rsidR="00977E02" w:rsidRPr="00F21E25" w:rsidRDefault="00977E02" w:rsidP="00977E02">
      <w:pPr>
        <w:pStyle w:val="Call"/>
      </w:pPr>
      <w:proofErr w:type="spellStart"/>
      <w:proofErr w:type="gramStart"/>
      <w:r w:rsidRPr="00F21E25">
        <w:t>напоминая</w:t>
      </w:r>
      <w:proofErr w:type="spellEnd"/>
      <w:proofErr w:type="gramEnd"/>
    </w:p>
    <w:p w14:paraId="4DB40FC2" w14:textId="77777777" w:rsidR="00977E02" w:rsidRPr="00F21E25" w:rsidRDefault="00977E02" w:rsidP="00977E02">
      <w:proofErr w:type="gramStart"/>
      <w:r w:rsidRPr="00F21E25">
        <w:rPr>
          <w:i/>
        </w:rPr>
        <w:t>а</w:t>
      </w:r>
      <w:proofErr w:type="gramEnd"/>
      <w:r w:rsidRPr="00F21E25">
        <w:rPr>
          <w:i/>
        </w:rPr>
        <w:t>)</w:t>
      </w:r>
      <w:r w:rsidRPr="00F21E25">
        <w:tab/>
        <w:t xml:space="preserve">о п. 105 </w:t>
      </w:r>
      <w:proofErr w:type="spellStart"/>
      <w:r w:rsidRPr="00F21E25">
        <w:t>Устава</w:t>
      </w:r>
      <w:proofErr w:type="spellEnd"/>
      <w:r w:rsidRPr="00F21E25">
        <w:t xml:space="preserve"> МСЭ и п. 197 </w:t>
      </w:r>
      <w:proofErr w:type="spellStart"/>
      <w:r w:rsidRPr="00F21E25">
        <w:t>Конвенции</w:t>
      </w:r>
      <w:proofErr w:type="spellEnd"/>
      <w:r w:rsidRPr="00F21E25">
        <w:t xml:space="preserve"> МСЭ;</w:t>
      </w:r>
    </w:p>
    <w:p w14:paraId="0FCD702D" w14:textId="77777777" w:rsidR="00977E02" w:rsidRPr="00F21E25" w:rsidRDefault="00977E02" w:rsidP="00977E02">
      <w:r w:rsidRPr="00F21E25">
        <w:rPr>
          <w:i/>
        </w:rPr>
        <w:t>b)</w:t>
      </w:r>
      <w:r w:rsidRPr="00F21E25">
        <w:rPr>
          <w:i/>
        </w:rPr>
        <w:tab/>
      </w:r>
      <w:r w:rsidRPr="00F21E25">
        <w:rPr>
          <w:iCs/>
        </w:rPr>
        <w:t xml:space="preserve">о </w:t>
      </w:r>
      <w:proofErr w:type="spellStart"/>
      <w:r w:rsidRPr="00F21E25">
        <w:t>Резолюции</w:t>
      </w:r>
      <w:proofErr w:type="spellEnd"/>
      <w:r w:rsidRPr="00F21E25">
        <w:t xml:space="preserve"> 151 (</w:t>
      </w:r>
      <w:proofErr w:type="spellStart"/>
      <w:r w:rsidRPr="00F21E25">
        <w:t>Пересм</w:t>
      </w:r>
      <w:proofErr w:type="spellEnd"/>
      <w:r w:rsidRPr="00F21E25">
        <w:t xml:space="preserve">. </w:t>
      </w:r>
      <w:proofErr w:type="spellStart"/>
      <w:r w:rsidRPr="00F21E25">
        <w:t>Бухарест</w:t>
      </w:r>
      <w:proofErr w:type="spellEnd"/>
      <w:r w:rsidRPr="00F21E25">
        <w:t xml:space="preserve">, 2022 г.) </w:t>
      </w:r>
      <w:proofErr w:type="spellStart"/>
      <w:r w:rsidRPr="00F21E25">
        <w:t>Полномочной</w:t>
      </w:r>
      <w:proofErr w:type="spellEnd"/>
      <w:r w:rsidRPr="00F21E25">
        <w:t xml:space="preserve"> </w:t>
      </w:r>
      <w:proofErr w:type="spellStart"/>
      <w:r w:rsidRPr="00F21E25">
        <w:t>конференции</w:t>
      </w:r>
      <w:proofErr w:type="spellEnd"/>
      <w:r w:rsidRPr="00F21E25">
        <w:t xml:space="preserve"> о </w:t>
      </w:r>
      <w:proofErr w:type="spellStart"/>
      <w:r w:rsidRPr="00F21E25">
        <w:t>совершенствовании</w:t>
      </w:r>
      <w:proofErr w:type="spellEnd"/>
      <w:r w:rsidRPr="00F21E25">
        <w:t xml:space="preserve"> в МСЭ </w:t>
      </w:r>
      <w:proofErr w:type="spellStart"/>
      <w:r w:rsidRPr="00F21E25">
        <w:t>управления</w:t>
      </w:r>
      <w:proofErr w:type="spellEnd"/>
      <w:r w:rsidRPr="00F21E25">
        <w:t xml:space="preserve">, </w:t>
      </w:r>
      <w:proofErr w:type="spellStart"/>
      <w:r w:rsidRPr="00F21E25">
        <w:t>ориентированного</w:t>
      </w:r>
      <w:proofErr w:type="spellEnd"/>
      <w:r w:rsidRPr="00F21E25">
        <w:t xml:space="preserve"> на </w:t>
      </w:r>
      <w:proofErr w:type="spellStart"/>
      <w:r w:rsidRPr="00F21E25">
        <w:t>результаты</w:t>
      </w:r>
      <w:proofErr w:type="spellEnd"/>
      <w:r w:rsidRPr="00F21E25">
        <w:t>,</w:t>
      </w:r>
    </w:p>
    <w:p w14:paraId="57553B00" w14:textId="77777777" w:rsidR="00977E02" w:rsidRPr="00F21E25" w:rsidRDefault="00977E02" w:rsidP="00977E02">
      <w:pPr>
        <w:pStyle w:val="Call"/>
      </w:pPr>
      <w:proofErr w:type="spellStart"/>
      <w:proofErr w:type="gramStart"/>
      <w:r w:rsidRPr="00F21E25">
        <w:t>учитывая</w:t>
      </w:r>
      <w:proofErr w:type="spellEnd"/>
      <w:proofErr w:type="gramEnd"/>
    </w:p>
    <w:p w14:paraId="7BC541DE" w14:textId="77777777" w:rsidR="00977E02" w:rsidRPr="00F21E25" w:rsidRDefault="00977E02" w:rsidP="00977E02">
      <w:proofErr w:type="gramStart"/>
      <w:r w:rsidRPr="00F21E25">
        <w:rPr>
          <w:i/>
          <w:iCs/>
        </w:rPr>
        <w:t>а</w:t>
      </w:r>
      <w:proofErr w:type="gramEnd"/>
      <w:r w:rsidRPr="00F21E25">
        <w:rPr>
          <w:i/>
          <w:iCs/>
        </w:rPr>
        <w:t>)</w:t>
      </w:r>
      <w:r w:rsidRPr="00F21E25">
        <w:tab/>
      </w:r>
      <w:proofErr w:type="spellStart"/>
      <w:r w:rsidRPr="00F21E25">
        <w:t>положения</w:t>
      </w:r>
      <w:proofErr w:type="spellEnd"/>
      <w:r w:rsidRPr="00F21E25">
        <w:t xml:space="preserve"> </w:t>
      </w:r>
      <w:proofErr w:type="spellStart"/>
      <w:r w:rsidRPr="00F21E25">
        <w:t>Устава</w:t>
      </w:r>
      <w:proofErr w:type="spellEnd"/>
      <w:r w:rsidRPr="00F21E25">
        <w:t xml:space="preserve"> и </w:t>
      </w:r>
      <w:proofErr w:type="spellStart"/>
      <w:r w:rsidRPr="00F21E25">
        <w:t>Конвенции</w:t>
      </w:r>
      <w:proofErr w:type="spellEnd"/>
      <w:r w:rsidRPr="00F21E25">
        <w:t xml:space="preserve">, </w:t>
      </w:r>
      <w:proofErr w:type="spellStart"/>
      <w:r w:rsidRPr="00F21E25">
        <w:t>относящиеся</w:t>
      </w:r>
      <w:proofErr w:type="spellEnd"/>
      <w:r w:rsidRPr="00F21E25">
        <w:t xml:space="preserve"> к </w:t>
      </w:r>
      <w:proofErr w:type="spellStart"/>
      <w:r w:rsidRPr="00F21E25">
        <w:t>стратегическим</w:t>
      </w:r>
      <w:proofErr w:type="spellEnd"/>
      <w:r w:rsidRPr="00F21E25">
        <w:t xml:space="preserve"> </w:t>
      </w:r>
      <w:proofErr w:type="spellStart"/>
      <w:r w:rsidRPr="00F21E25">
        <w:t>целям</w:t>
      </w:r>
      <w:proofErr w:type="spellEnd"/>
      <w:r w:rsidRPr="00F21E25">
        <w:t xml:space="preserve"> и </w:t>
      </w:r>
      <w:proofErr w:type="spellStart"/>
      <w:r w:rsidRPr="00F21E25">
        <w:t>задачам</w:t>
      </w:r>
      <w:proofErr w:type="spellEnd"/>
      <w:r w:rsidRPr="00F21E25">
        <w:t xml:space="preserve"> </w:t>
      </w:r>
      <w:proofErr w:type="spellStart"/>
      <w:r w:rsidRPr="00F21E25">
        <w:t>Союза</w:t>
      </w:r>
      <w:proofErr w:type="spellEnd"/>
      <w:r w:rsidRPr="00F21E25">
        <w:t>;</w:t>
      </w:r>
    </w:p>
    <w:p w14:paraId="597CDDCE" w14:textId="77777777" w:rsidR="00977E02" w:rsidRPr="00F21E25" w:rsidRDefault="00977E02" w:rsidP="00977E02">
      <w:r w:rsidRPr="00F21E25">
        <w:rPr>
          <w:i/>
        </w:rPr>
        <w:t>b)</w:t>
      </w:r>
      <w:r w:rsidRPr="00F21E25">
        <w:rPr>
          <w:i/>
        </w:rPr>
        <w:tab/>
      </w:r>
      <w:proofErr w:type="spellStart"/>
      <w:r w:rsidRPr="00F21E25">
        <w:t>стратегические</w:t>
      </w:r>
      <w:proofErr w:type="spellEnd"/>
      <w:r w:rsidRPr="00F21E25">
        <w:t xml:space="preserve"> </w:t>
      </w:r>
      <w:proofErr w:type="spellStart"/>
      <w:r w:rsidRPr="00F21E25">
        <w:t>цели</w:t>
      </w:r>
      <w:proofErr w:type="spellEnd"/>
      <w:r w:rsidRPr="00F21E25">
        <w:t xml:space="preserve"> и </w:t>
      </w:r>
      <w:proofErr w:type="spellStart"/>
      <w:r w:rsidRPr="00F21E25">
        <w:t>тематические</w:t>
      </w:r>
      <w:proofErr w:type="spellEnd"/>
      <w:r w:rsidRPr="00F21E25">
        <w:t xml:space="preserve"> </w:t>
      </w:r>
      <w:proofErr w:type="spellStart"/>
      <w:r w:rsidRPr="00F21E25">
        <w:t>приоритеты</w:t>
      </w:r>
      <w:proofErr w:type="spellEnd"/>
      <w:r w:rsidRPr="00F21E25">
        <w:t xml:space="preserve"> </w:t>
      </w:r>
      <w:proofErr w:type="spellStart"/>
      <w:r w:rsidRPr="00F21E25">
        <w:t>Союза</w:t>
      </w:r>
      <w:proofErr w:type="spellEnd"/>
      <w:r w:rsidRPr="00F21E25">
        <w:t xml:space="preserve">, </w:t>
      </w:r>
      <w:proofErr w:type="spellStart"/>
      <w:r w:rsidRPr="00F21E25">
        <w:t>установленные</w:t>
      </w:r>
      <w:proofErr w:type="spellEnd"/>
      <w:r w:rsidRPr="00F21E25">
        <w:t xml:space="preserve"> в </w:t>
      </w:r>
      <w:proofErr w:type="spellStart"/>
      <w:r w:rsidRPr="00F21E25">
        <w:t>Стратегическом</w:t>
      </w:r>
      <w:proofErr w:type="spellEnd"/>
      <w:r w:rsidRPr="00F21E25">
        <w:t xml:space="preserve"> </w:t>
      </w:r>
      <w:proofErr w:type="spellStart"/>
      <w:r w:rsidRPr="00F21E25">
        <w:t>плане</w:t>
      </w:r>
      <w:proofErr w:type="spellEnd"/>
      <w:r w:rsidRPr="00F21E25">
        <w:t xml:space="preserve"> </w:t>
      </w:r>
      <w:proofErr w:type="spellStart"/>
      <w:r w:rsidRPr="00F21E25">
        <w:t>Союза</w:t>
      </w:r>
      <w:proofErr w:type="spellEnd"/>
      <w:r w:rsidRPr="00F21E25">
        <w:t xml:space="preserve"> на 2024−2027 </w:t>
      </w:r>
      <w:proofErr w:type="spellStart"/>
      <w:r w:rsidRPr="00F21E25">
        <w:t>годы</w:t>
      </w:r>
      <w:proofErr w:type="spellEnd"/>
      <w:r w:rsidRPr="00F21E25">
        <w:t xml:space="preserve">, </w:t>
      </w:r>
      <w:proofErr w:type="spellStart"/>
      <w:r w:rsidRPr="00F21E25">
        <w:t>содержащемся</w:t>
      </w:r>
      <w:proofErr w:type="spellEnd"/>
      <w:r w:rsidRPr="00F21E25">
        <w:t xml:space="preserve"> в </w:t>
      </w:r>
      <w:proofErr w:type="spellStart"/>
      <w:r w:rsidRPr="00F21E25">
        <w:t>Приложении</w:t>
      </w:r>
      <w:proofErr w:type="spellEnd"/>
      <w:r w:rsidRPr="00F21E25">
        <w:t xml:space="preserve"> 1 к </w:t>
      </w:r>
      <w:proofErr w:type="spellStart"/>
      <w:r w:rsidRPr="00F21E25">
        <w:t>Резолюции</w:t>
      </w:r>
      <w:proofErr w:type="spellEnd"/>
      <w:r w:rsidRPr="00F21E25">
        <w:t xml:space="preserve"> 71 (</w:t>
      </w:r>
      <w:proofErr w:type="spellStart"/>
      <w:r w:rsidRPr="00F21E25">
        <w:t>Пересм</w:t>
      </w:r>
      <w:proofErr w:type="spellEnd"/>
      <w:r w:rsidRPr="00F21E25">
        <w:t xml:space="preserve">. </w:t>
      </w:r>
      <w:proofErr w:type="spellStart"/>
      <w:r w:rsidRPr="00F21E25">
        <w:t>Бухарест</w:t>
      </w:r>
      <w:proofErr w:type="spellEnd"/>
      <w:r w:rsidRPr="00F21E25">
        <w:t xml:space="preserve">, 2022 г.) </w:t>
      </w:r>
      <w:proofErr w:type="spellStart"/>
      <w:r w:rsidRPr="00F21E25">
        <w:t>Полномочной</w:t>
      </w:r>
      <w:proofErr w:type="spellEnd"/>
      <w:r w:rsidRPr="00F21E25">
        <w:t xml:space="preserve"> </w:t>
      </w:r>
      <w:proofErr w:type="spellStart"/>
      <w:proofErr w:type="gramStart"/>
      <w:r w:rsidRPr="00F21E25">
        <w:t>конференции</w:t>
      </w:r>
      <w:proofErr w:type="spellEnd"/>
      <w:r w:rsidRPr="00F21E25">
        <w:t>;</w:t>
      </w:r>
      <w:proofErr w:type="gramEnd"/>
    </w:p>
    <w:p w14:paraId="265600ED" w14:textId="77777777" w:rsidR="00977E02" w:rsidRPr="00F21E25" w:rsidRDefault="00977E02" w:rsidP="00977E02">
      <w:proofErr w:type="gramStart"/>
      <w:r w:rsidRPr="00F21E25">
        <w:rPr>
          <w:i/>
          <w:iCs/>
        </w:rPr>
        <w:t>с</w:t>
      </w:r>
      <w:proofErr w:type="gramEnd"/>
      <w:r w:rsidRPr="00F21E25">
        <w:rPr>
          <w:i/>
          <w:iCs/>
        </w:rPr>
        <w:t>)</w:t>
      </w:r>
      <w:r w:rsidRPr="00F21E25">
        <w:tab/>
      </w:r>
      <w:proofErr w:type="spellStart"/>
      <w:r w:rsidRPr="00F21E25">
        <w:t>Резолюцию</w:t>
      </w:r>
      <w:proofErr w:type="spellEnd"/>
      <w:r w:rsidRPr="00F21E25">
        <w:t xml:space="preserve"> 122 (</w:t>
      </w:r>
      <w:proofErr w:type="spellStart"/>
      <w:r w:rsidRPr="00F21E25">
        <w:t>Пересм</w:t>
      </w:r>
      <w:proofErr w:type="spellEnd"/>
      <w:r w:rsidRPr="00F21E25">
        <w:t xml:space="preserve">. </w:t>
      </w:r>
      <w:proofErr w:type="spellStart"/>
      <w:r w:rsidRPr="00F21E25">
        <w:t>Гвадалахара</w:t>
      </w:r>
      <w:proofErr w:type="spellEnd"/>
      <w:r w:rsidRPr="00F21E25">
        <w:t xml:space="preserve">, 2010 г.) </w:t>
      </w:r>
      <w:proofErr w:type="spellStart"/>
      <w:r w:rsidRPr="00F21E25">
        <w:t>Полномочной</w:t>
      </w:r>
      <w:proofErr w:type="spellEnd"/>
      <w:r w:rsidRPr="00F21E25">
        <w:t xml:space="preserve"> </w:t>
      </w:r>
      <w:proofErr w:type="spellStart"/>
      <w:r w:rsidRPr="00F21E25">
        <w:t>конференции</w:t>
      </w:r>
      <w:proofErr w:type="spellEnd"/>
      <w:r w:rsidRPr="00F21E25">
        <w:t xml:space="preserve"> о </w:t>
      </w:r>
      <w:proofErr w:type="spellStart"/>
      <w:r w:rsidRPr="00F21E25">
        <w:t>возрастающей</w:t>
      </w:r>
      <w:proofErr w:type="spellEnd"/>
      <w:r w:rsidRPr="00F21E25">
        <w:t xml:space="preserve"> </w:t>
      </w:r>
      <w:proofErr w:type="spellStart"/>
      <w:r w:rsidRPr="00F21E25">
        <w:t>роли</w:t>
      </w:r>
      <w:proofErr w:type="spellEnd"/>
      <w:r w:rsidRPr="00F21E25">
        <w:t xml:space="preserve"> </w:t>
      </w:r>
      <w:proofErr w:type="spellStart"/>
      <w:r w:rsidRPr="00F21E25">
        <w:t>Всемирной</w:t>
      </w:r>
      <w:proofErr w:type="spellEnd"/>
      <w:r w:rsidRPr="00F21E25">
        <w:t xml:space="preserve"> </w:t>
      </w:r>
      <w:proofErr w:type="spellStart"/>
      <w:r w:rsidRPr="00F21E25">
        <w:t>ассамблеи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(ВАСЭ</w:t>
      </w:r>
      <w:proofErr w:type="gramStart"/>
      <w:r w:rsidRPr="00F21E25">
        <w:t>);</w:t>
      </w:r>
      <w:proofErr w:type="gramEnd"/>
    </w:p>
    <w:p w14:paraId="4C6E5CD0" w14:textId="77777777" w:rsidR="00977E02" w:rsidRPr="00F21E25" w:rsidRDefault="00977E02" w:rsidP="00977E02">
      <w:r w:rsidRPr="00F21E25">
        <w:rPr>
          <w:i/>
        </w:rPr>
        <w:t>d)</w:t>
      </w:r>
      <w:r w:rsidRPr="00F21E25">
        <w:tab/>
      </w:r>
      <w:proofErr w:type="spellStart"/>
      <w:r w:rsidRPr="00F21E25">
        <w:t>Резолюцию</w:t>
      </w:r>
      <w:proofErr w:type="spellEnd"/>
      <w:r w:rsidRPr="00F21E25">
        <w:t xml:space="preserve"> 2 (</w:t>
      </w:r>
      <w:proofErr w:type="spellStart"/>
      <w:r w:rsidRPr="00F21E25">
        <w:t>Пересм</w:t>
      </w:r>
      <w:proofErr w:type="spellEnd"/>
      <w:r w:rsidRPr="00F21E25">
        <w:t xml:space="preserve">. </w:t>
      </w:r>
      <w:proofErr w:type="spellStart"/>
      <w:r w:rsidRPr="00F21E25">
        <w:t>Нью-Дели</w:t>
      </w:r>
      <w:proofErr w:type="spellEnd"/>
      <w:r w:rsidRPr="00F21E25">
        <w:t xml:space="preserve">, 2024 г.) </w:t>
      </w:r>
      <w:proofErr w:type="spellStart"/>
      <w:r w:rsidRPr="00F21E25">
        <w:t>настоящей</w:t>
      </w:r>
      <w:proofErr w:type="spellEnd"/>
      <w:r w:rsidRPr="00F21E25">
        <w:t xml:space="preserve"> </w:t>
      </w:r>
      <w:proofErr w:type="spellStart"/>
      <w:r w:rsidRPr="00F21E25">
        <w:t>Ассамблеи</w:t>
      </w:r>
      <w:proofErr w:type="spellEnd"/>
      <w:r w:rsidRPr="00F21E25">
        <w:t xml:space="preserve"> о </w:t>
      </w:r>
      <w:proofErr w:type="spellStart"/>
      <w:r w:rsidRPr="00F21E25">
        <w:t>сфере</w:t>
      </w:r>
      <w:proofErr w:type="spellEnd"/>
      <w:r w:rsidRPr="00F21E25">
        <w:t xml:space="preserve"> </w:t>
      </w:r>
      <w:proofErr w:type="spellStart"/>
      <w:r w:rsidRPr="00F21E25">
        <w:t>деятельности</w:t>
      </w:r>
      <w:proofErr w:type="spellEnd"/>
      <w:r w:rsidRPr="00F21E25">
        <w:t xml:space="preserve"> и </w:t>
      </w:r>
      <w:proofErr w:type="spellStart"/>
      <w:r w:rsidRPr="00F21E25">
        <w:t>мандате</w:t>
      </w:r>
      <w:proofErr w:type="spellEnd"/>
      <w:r w:rsidRPr="00F21E25">
        <w:t xml:space="preserve"> </w:t>
      </w:r>
      <w:proofErr w:type="spellStart"/>
      <w:r w:rsidRPr="00F21E25">
        <w:t>исследовательских</w:t>
      </w:r>
      <w:proofErr w:type="spellEnd"/>
      <w:r w:rsidRPr="00F21E25">
        <w:t xml:space="preserve"> </w:t>
      </w:r>
      <w:proofErr w:type="spellStart"/>
      <w:r w:rsidRPr="00F21E25">
        <w:t>комиссий</w:t>
      </w:r>
      <w:proofErr w:type="spellEnd"/>
      <w:r w:rsidRPr="00F21E25">
        <w:t xml:space="preserve"> </w:t>
      </w:r>
      <w:proofErr w:type="spellStart"/>
      <w:r w:rsidRPr="00F21E25">
        <w:t>Сектора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МСЭ (МСЭ-Т</w:t>
      </w:r>
      <w:proofErr w:type="gramStart"/>
      <w:r w:rsidRPr="00F21E25">
        <w:t>);</w:t>
      </w:r>
      <w:proofErr w:type="gramEnd"/>
    </w:p>
    <w:p w14:paraId="40EB73CD" w14:textId="77777777" w:rsidR="00977E02" w:rsidRPr="00F21E25" w:rsidRDefault="00977E02" w:rsidP="00977E02">
      <w:r w:rsidRPr="00F21E25">
        <w:rPr>
          <w:i/>
          <w:iCs/>
        </w:rPr>
        <w:t>e)</w:t>
      </w:r>
      <w:r w:rsidRPr="00F21E25">
        <w:rPr>
          <w:i/>
          <w:iCs/>
        </w:rPr>
        <w:tab/>
      </w:r>
      <w:r w:rsidRPr="00F21E25">
        <w:t xml:space="preserve">п. 44 </w:t>
      </w:r>
      <w:proofErr w:type="spellStart"/>
      <w:r w:rsidRPr="00F21E25">
        <w:t>Декларации</w:t>
      </w:r>
      <w:proofErr w:type="spellEnd"/>
      <w:r w:rsidRPr="00F21E25">
        <w:t xml:space="preserve"> </w:t>
      </w:r>
      <w:proofErr w:type="spellStart"/>
      <w:r w:rsidRPr="00F21E25">
        <w:t>принципов</w:t>
      </w:r>
      <w:proofErr w:type="spellEnd"/>
      <w:r w:rsidRPr="00F21E25">
        <w:t xml:space="preserve"> </w:t>
      </w:r>
      <w:proofErr w:type="spellStart"/>
      <w:r w:rsidRPr="00F21E25">
        <w:t>Всемирной</w:t>
      </w:r>
      <w:proofErr w:type="spellEnd"/>
      <w:r w:rsidRPr="00F21E25">
        <w:t xml:space="preserve"> </w:t>
      </w:r>
      <w:proofErr w:type="spellStart"/>
      <w:r w:rsidRPr="00F21E25">
        <w:t>встречи</w:t>
      </w:r>
      <w:proofErr w:type="spellEnd"/>
      <w:r w:rsidRPr="00F21E25">
        <w:t xml:space="preserve"> на </w:t>
      </w:r>
      <w:proofErr w:type="spellStart"/>
      <w:r w:rsidRPr="00F21E25">
        <w:t>высшем</w:t>
      </w:r>
      <w:proofErr w:type="spellEnd"/>
      <w:r w:rsidRPr="00F21E25">
        <w:t xml:space="preserve"> </w:t>
      </w:r>
      <w:proofErr w:type="spellStart"/>
      <w:r w:rsidRPr="00F21E25">
        <w:t>уровне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вопросам</w:t>
      </w:r>
      <w:proofErr w:type="spellEnd"/>
      <w:r w:rsidRPr="00F21E25">
        <w:t xml:space="preserve"> </w:t>
      </w:r>
      <w:proofErr w:type="spellStart"/>
      <w:r w:rsidRPr="00F21E25">
        <w:t>информационного</w:t>
      </w:r>
      <w:proofErr w:type="spellEnd"/>
      <w:r w:rsidRPr="00F21E25">
        <w:t xml:space="preserve"> </w:t>
      </w:r>
      <w:proofErr w:type="spellStart"/>
      <w:r w:rsidRPr="00F21E25">
        <w:t>общества</w:t>
      </w:r>
      <w:proofErr w:type="spellEnd"/>
      <w:r w:rsidRPr="00F21E25">
        <w:t xml:space="preserve">, в </w:t>
      </w:r>
      <w:proofErr w:type="spellStart"/>
      <w:r w:rsidRPr="00F21E25">
        <w:t>котором</w:t>
      </w:r>
      <w:proofErr w:type="spellEnd"/>
      <w:r w:rsidRPr="00F21E25">
        <w:t xml:space="preserve"> </w:t>
      </w:r>
      <w:proofErr w:type="spellStart"/>
      <w:r w:rsidRPr="00F21E25">
        <w:t>подчеркивается</w:t>
      </w:r>
      <w:proofErr w:type="spellEnd"/>
      <w:r w:rsidRPr="00F21E25">
        <w:t xml:space="preserve">, </w:t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стандартизация</w:t>
      </w:r>
      <w:proofErr w:type="spellEnd"/>
      <w:r w:rsidRPr="00F21E25">
        <w:t xml:space="preserve"> </w:t>
      </w:r>
      <w:proofErr w:type="spellStart"/>
      <w:r w:rsidRPr="00F21E25">
        <w:t>является</w:t>
      </w:r>
      <w:proofErr w:type="spellEnd"/>
      <w:r w:rsidRPr="00F21E25">
        <w:t xml:space="preserve"> </w:t>
      </w:r>
      <w:proofErr w:type="spellStart"/>
      <w:r w:rsidRPr="00F21E25">
        <w:t>одной</w:t>
      </w:r>
      <w:proofErr w:type="spellEnd"/>
      <w:r w:rsidRPr="00F21E25">
        <w:t xml:space="preserve"> </w:t>
      </w:r>
      <w:proofErr w:type="spellStart"/>
      <w:r w:rsidRPr="00F21E25">
        <w:t>из</w:t>
      </w:r>
      <w:proofErr w:type="spellEnd"/>
      <w:r w:rsidRPr="00F21E25">
        <w:t xml:space="preserve"> </w:t>
      </w:r>
      <w:proofErr w:type="spellStart"/>
      <w:r w:rsidRPr="00F21E25">
        <w:t>важнейших</w:t>
      </w:r>
      <w:proofErr w:type="spellEnd"/>
      <w:r w:rsidRPr="00F21E25">
        <w:t xml:space="preserve"> </w:t>
      </w:r>
      <w:proofErr w:type="spellStart"/>
      <w:r w:rsidRPr="00F21E25">
        <w:t>составляющих</w:t>
      </w:r>
      <w:proofErr w:type="spellEnd"/>
      <w:r w:rsidRPr="00F21E25">
        <w:t xml:space="preserve"> </w:t>
      </w:r>
      <w:proofErr w:type="spellStart"/>
      <w:r w:rsidRPr="00F21E25">
        <w:t>построения</w:t>
      </w:r>
      <w:proofErr w:type="spellEnd"/>
      <w:r w:rsidRPr="00F21E25">
        <w:t xml:space="preserve"> </w:t>
      </w:r>
      <w:proofErr w:type="spellStart"/>
      <w:r w:rsidRPr="00F21E25">
        <w:t>информационного</w:t>
      </w:r>
      <w:proofErr w:type="spellEnd"/>
      <w:r w:rsidRPr="00F21E25">
        <w:t xml:space="preserve"> </w:t>
      </w:r>
      <w:proofErr w:type="spellStart"/>
      <w:r w:rsidRPr="00F21E25">
        <w:t>общества</w:t>
      </w:r>
      <w:proofErr w:type="spellEnd"/>
      <w:r w:rsidRPr="00F21E25">
        <w:t>,</w:t>
      </w:r>
    </w:p>
    <w:p w14:paraId="23C649F4" w14:textId="77777777" w:rsidR="00977E02" w:rsidRPr="00F21E25" w:rsidRDefault="00977E02" w:rsidP="00977E02">
      <w:pPr>
        <w:pStyle w:val="Call"/>
        <w:rPr>
          <w:i w:val="0"/>
        </w:rPr>
      </w:pPr>
      <w:proofErr w:type="spellStart"/>
      <w:proofErr w:type="gramStart"/>
      <w:r w:rsidRPr="00F21E25">
        <w:rPr>
          <w:lang w:bidi="ar-EG"/>
        </w:rPr>
        <w:t>признавая</w:t>
      </w:r>
      <w:proofErr w:type="spellEnd"/>
      <w:proofErr w:type="gramEnd"/>
      <w:r w:rsidRPr="00F21E25">
        <w:rPr>
          <w:i w:val="0"/>
          <w:lang w:bidi="ar-EG"/>
        </w:rPr>
        <w:t>,</w:t>
      </w:r>
    </w:p>
    <w:p w14:paraId="090FDE40" w14:textId="77777777" w:rsidR="00977E02" w:rsidRPr="00F21E25" w:rsidRDefault="00977E02" w:rsidP="00977E02">
      <w:r w:rsidRPr="00F21E25">
        <w:rPr>
          <w:i/>
          <w:iCs/>
        </w:rPr>
        <w:t>a)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поскольку</w:t>
      </w:r>
      <w:proofErr w:type="spellEnd"/>
      <w:r w:rsidRPr="00F21E25">
        <w:t xml:space="preserve"> </w:t>
      </w:r>
      <w:proofErr w:type="spellStart"/>
      <w:r w:rsidRPr="00F21E25">
        <w:t>сфера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продолжает</w:t>
      </w:r>
      <w:proofErr w:type="spellEnd"/>
      <w:r w:rsidRPr="00F21E25">
        <w:t xml:space="preserve"> </w:t>
      </w:r>
      <w:proofErr w:type="spellStart"/>
      <w:r w:rsidRPr="00F21E25">
        <w:t>меняться</w:t>
      </w:r>
      <w:proofErr w:type="spellEnd"/>
      <w:r w:rsidRPr="00F21E25">
        <w:t>, МСЭ</w:t>
      </w:r>
      <w:r w:rsidRPr="00F21E25">
        <w:noBreakHyphen/>
        <w:t xml:space="preserve">Т </w:t>
      </w:r>
      <w:proofErr w:type="spellStart"/>
      <w:r w:rsidRPr="00F21E25">
        <w:t>следует</w:t>
      </w:r>
      <w:proofErr w:type="spellEnd"/>
      <w:r w:rsidRPr="00F21E25">
        <w:t xml:space="preserve"> </w:t>
      </w:r>
      <w:proofErr w:type="spellStart"/>
      <w:r w:rsidRPr="00F21E25">
        <w:t>рассмотреть</w:t>
      </w:r>
      <w:proofErr w:type="spellEnd"/>
      <w:r w:rsidRPr="00F21E25">
        <w:t xml:space="preserve"> </w:t>
      </w:r>
      <w:proofErr w:type="spellStart"/>
      <w:r w:rsidRPr="00F21E25">
        <w:t>вопрос</w:t>
      </w:r>
      <w:proofErr w:type="spellEnd"/>
      <w:r w:rsidRPr="00F21E25">
        <w:t xml:space="preserve"> о </w:t>
      </w:r>
      <w:proofErr w:type="spellStart"/>
      <w:r w:rsidRPr="00F21E25">
        <w:t>том</w:t>
      </w:r>
      <w:proofErr w:type="spellEnd"/>
      <w:r w:rsidRPr="00F21E25">
        <w:t xml:space="preserve">, </w:t>
      </w:r>
      <w:proofErr w:type="spellStart"/>
      <w:r w:rsidRPr="00F21E25">
        <w:t>каким</w:t>
      </w:r>
      <w:proofErr w:type="spellEnd"/>
      <w:r w:rsidRPr="00F21E25">
        <w:t xml:space="preserve"> </w:t>
      </w:r>
      <w:proofErr w:type="spellStart"/>
      <w:r w:rsidRPr="00F21E25">
        <w:t>образом</w:t>
      </w:r>
      <w:proofErr w:type="spellEnd"/>
      <w:r w:rsidRPr="00F21E25">
        <w:t xml:space="preserve"> </w:t>
      </w:r>
      <w:proofErr w:type="spellStart"/>
      <w:r w:rsidRPr="00F21E25">
        <w:t>адаптироваться</w:t>
      </w:r>
      <w:proofErr w:type="spellEnd"/>
      <w:r w:rsidRPr="00F21E25">
        <w:t xml:space="preserve"> к </w:t>
      </w:r>
      <w:proofErr w:type="spellStart"/>
      <w:r w:rsidRPr="00F21E25">
        <w:t>стремительно</w:t>
      </w:r>
      <w:proofErr w:type="spellEnd"/>
      <w:r w:rsidRPr="00F21E25">
        <w:t xml:space="preserve"> </w:t>
      </w:r>
      <w:proofErr w:type="spellStart"/>
      <w:r w:rsidRPr="00F21E25">
        <w:t>меняющимся</w:t>
      </w:r>
      <w:proofErr w:type="spellEnd"/>
      <w:r w:rsidRPr="00F21E25">
        <w:t xml:space="preserve"> </w:t>
      </w:r>
      <w:proofErr w:type="spellStart"/>
      <w:r w:rsidRPr="00F21E25">
        <w:t>обстоятельствам</w:t>
      </w:r>
      <w:proofErr w:type="spellEnd"/>
      <w:r w:rsidRPr="00F21E25">
        <w:t xml:space="preserve"> с </w:t>
      </w:r>
      <w:proofErr w:type="spellStart"/>
      <w:r w:rsidRPr="00F21E25">
        <w:t>учетом</w:t>
      </w:r>
      <w:proofErr w:type="spellEnd"/>
      <w:r w:rsidRPr="00F21E25">
        <w:t xml:space="preserve"> </w:t>
      </w:r>
      <w:proofErr w:type="spellStart"/>
      <w:r w:rsidRPr="00F21E25">
        <w:t>ожиданий</w:t>
      </w:r>
      <w:proofErr w:type="spellEnd"/>
      <w:r w:rsidRPr="00F21E25">
        <w:t xml:space="preserve"> </w:t>
      </w:r>
      <w:proofErr w:type="spellStart"/>
      <w:r w:rsidRPr="00F21E25">
        <w:t>участников</w:t>
      </w:r>
      <w:proofErr w:type="spellEnd"/>
      <w:r w:rsidRPr="00F21E25">
        <w:t xml:space="preserve"> </w:t>
      </w:r>
      <w:proofErr w:type="spellStart"/>
      <w:r w:rsidRPr="00F21E25">
        <w:t>из</w:t>
      </w:r>
      <w:proofErr w:type="spellEnd"/>
      <w:r w:rsidRPr="00F21E25">
        <w:t xml:space="preserve"> </w:t>
      </w:r>
      <w:proofErr w:type="spellStart"/>
      <w:r w:rsidRPr="00F21E25">
        <w:t>государственного</w:t>
      </w:r>
      <w:proofErr w:type="spellEnd"/>
      <w:r w:rsidRPr="00F21E25">
        <w:t xml:space="preserve"> и </w:t>
      </w:r>
      <w:proofErr w:type="spellStart"/>
      <w:r w:rsidRPr="00F21E25">
        <w:t>частного</w:t>
      </w:r>
      <w:proofErr w:type="spellEnd"/>
      <w:r w:rsidRPr="00F21E25">
        <w:t xml:space="preserve"> </w:t>
      </w:r>
      <w:proofErr w:type="spellStart"/>
      <w:r w:rsidRPr="00F21E25">
        <w:t>секторов</w:t>
      </w:r>
      <w:proofErr w:type="spellEnd"/>
      <w:r w:rsidRPr="00F21E25">
        <w:t xml:space="preserve"> </w:t>
      </w:r>
      <w:proofErr w:type="spellStart"/>
      <w:r w:rsidRPr="00F21E25">
        <w:t>путем</w:t>
      </w:r>
      <w:proofErr w:type="spellEnd"/>
      <w:r w:rsidRPr="00F21E25">
        <w:t xml:space="preserve">, </w:t>
      </w:r>
      <w:proofErr w:type="spellStart"/>
      <w:r w:rsidRPr="00F21E25">
        <w:t>среди</w:t>
      </w:r>
      <w:proofErr w:type="spellEnd"/>
      <w:r w:rsidRPr="00F21E25">
        <w:t xml:space="preserve"> </w:t>
      </w:r>
      <w:proofErr w:type="spellStart"/>
      <w:r w:rsidRPr="00F21E25">
        <w:t>прочего</w:t>
      </w:r>
      <w:proofErr w:type="spellEnd"/>
      <w:r w:rsidRPr="00F21E25">
        <w:t xml:space="preserve">, </w:t>
      </w:r>
      <w:proofErr w:type="spellStart"/>
      <w:r w:rsidRPr="00F21E25">
        <w:t>непрерывного</w:t>
      </w:r>
      <w:proofErr w:type="spellEnd"/>
      <w:r w:rsidRPr="00F21E25">
        <w:t xml:space="preserve"> </w:t>
      </w:r>
      <w:proofErr w:type="spellStart"/>
      <w:r w:rsidRPr="00F21E25">
        <w:t>пересмотра</w:t>
      </w:r>
      <w:proofErr w:type="spellEnd"/>
      <w:r w:rsidRPr="00F21E25">
        <w:t xml:space="preserve"> </w:t>
      </w:r>
      <w:proofErr w:type="spellStart"/>
      <w:r w:rsidRPr="00F21E25">
        <w:t>структуры</w:t>
      </w:r>
      <w:proofErr w:type="spellEnd"/>
      <w:r w:rsidRPr="00F21E25">
        <w:t xml:space="preserve"> </w:t>
      </w:r>
      <w:proofErr w:type="spellStart"/>
      <w:r w:rsidRPr="00F21E25">
        <w:t>исследовательских</w:t>
      </w:r>
      <w:proofErr w:type="spellEnd"/>
      <w:r w:rsidRPr="00F21E25">
        <w:t xml:space="preserve"> </w:t>
      </w:r>
      <w:proofErr w:type="spellStart"/>
      <w:r w:rsidRPr="00F21E25">
        <w:t>комиссий</w:t>
      </w:r>
      <w:proofErr w:type="spellEnd"/>
      <w:r w:rsidRPr="00F21E25">
        <w:t xml:space="preserve"> и </w:t>
      </w:r>
      <w:proofErr w:type="spellStart"/>
      <w:r w:rsidRPr="00F21E25">
        <w:t>непрерывного</w:t>
      </w:r>
      <w:proofErr w:type="spellEnd"/>
      <w:r w:rsidRPr="00F21E25">
        <w:t xml:space="preserve"> </w:t>
      </w:r>
      <w:proofErr w:type="spellStart"/>
      <w:r w:rsidRPr="00F21E25">
        <w:t>анализа</w:t>
      </w:r>
      <w:proofErr w:type="spellEnd"/>
      <w:r w:rsidRPr="00F21E25">
        <w:t xml:space="preserve"> </w:t>
      </w:r>
      <w:proofErr w:type="spellStart"/>
      <w:r w:rsidRPr="00F21E25">
        <w:t>реорганизации</w:t>
      </w:r>
      <w:proofErr w:type="spellEnd"/>
      <w:r w:rsidRPr="00F21E25">
        <w:t xml:space="preserve"> </w:t>
      </w:r>
      <w:proofErr w:type="spellStart"/>
      <w:r w:rsidRPr="00F21E25">
        <w:t>исследовательских</w:t>
      </w:r>
      <w:proofErr w:type="spellEnd"/>
      <w:r w:rsidRPr="00F21E25">
        <w:t xml:space="preserve"> </w:t>
      </w:r>
      <w:proofErr w:type="spellStart"/>
      <w:r w:rsidRPr="00F21E25">
        <w:t>комиссий</w:t>
      </w:r>
      <w:proofErr w:type="spellEnd"/>
      <w:r w:rsidRPr="00F21E25">
        <w:t xml:space="preserve"> МСЭ-Т с </w:t>
      </w:r>
      <w:proofErr w:type="spellStart"/>
      <w:r w:rsidRPr="00F21E25">
        <w:t>использованием</w:t>
      </w:r>
      <w:proofErr w:type="spellEnd"/>
      <w:r w:rsidRPr="00F21E25">
        <w:t xml:space="preserve"> </w:t>
      </w:r>
      <w:proofErr w:type="spellStart"/>
      <w:r w:rsidRPr="00F21E25">
        <w:t>фактических</w:t>
      </w:r>
      <w:proofErr w:type="spellEnd"/>
      <w:r w:rsidRPr="00F21E25">
        <w:t xml:space="preserve"> </w:t>
      </w:r>
      <w:proofErr w:type="spellStart"/>
      <w:proofErr w:type="gramStart"/>
      <w:r w:rsidRPr="00F21E25">
        <w:t>данных</w:t>
      </w:r>
      <w:proofErr w:type="spellEnd"/>
      <w:r w:rsidRPr="00F21E25">
        <w:t>;</w:t>
      </w:r>
      <w:proofErr w:type="gramEnd"/>
    </w:p>
    <w:p w14:paraId="40CDF11A" w14:textId="77777777" w:rsidR="00977E02" w:rsidRPr="00F21E25" w:rsidRDefault="00977E02" w:rsidP="00977E02">
      <w:r w:rsidRPr="00F21E25">
        <w:rPr>
          <w:i/>
          <w:iCs/>
        </w:rPr>
        <w:t>b)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реструктуризация</w:t>
      </w:r>
      <w:proofErr w:type="spellEnd"/>
      <w:r w:rsidRPr="00F21E25">
        <w:t xml:space="preserve"> </w:t>
      </w:r>
      <w:proofErr w:type="spellStart"/>
      <w:r w:rsidRPr="00F21E25">
        <w:t>исследовательских</w:t>
      </w:r>
      <w:proofErr w:type="spellEnd"/>
      <w:r w:rsidRPr="00F21E25">
        <w:t xml:space="preserve"> </w:t>
      </w:r>
      <w:proofErr w:type="spellStart"/>
      <w:r w:rsidRPr="00F21E25">
        <w:t>комиссий</w:t>
      </w:r>
      <w:proofErr w:type="spellEnd"/>
      <w:r w:rsidRPr="00F21E25">
        <w:t xml:space="preserve"> МСЭ-Т </w:t>
      </w:r>
      <w:proofErr w:type="spellStart"/>
      <w:r w:rsidRPr="00F21E25">
        <w:t>должна</w:t>
      </w:r>
      <w:proofErr w:type="spellEnd"/>
      <w:r w:rsidRPr="00F21E25">
        <w:t xml:space="preserve"> </w:t>
      </w:r>
      <w:proofErr w:type="spellStart"/>
      <w:r w:rsidRPr="00F21E25">
        <w:t>стать</w:t>
      </w:r>
      <w:proofErr w:type="spellEnd"/>
      <w:r w:rsidRPr="00F21E25">
        <w:t xml:space="preserve"> </w:t>
      </w:r>
      <w:proofErr w:type="spellStart"/>
      <w:r w:rsidRPr="00F21E25">
        <w:t>следствием</w:t>
      </w:r>
      <w:proofErr w:type="spellEnd"/>
      <w:r w:rsidRPr="00F21E25">
        <w:t xml:space="preserve"> и </w:t>
      </w:r>
      <w:proofErr w:type="spellStart"/>
      <w:r w:rsidRPr="00F21E25">
        <w:t>результатом</w:t>
      </w:r>
      <w:proofErr w:type="spellEnd"/>
      <w:r w:rsidRPr="00F21E25">
        <w:t xml:space="preserve"> </w:t>
      </w:r>
      <w:proofErr w:type="spellStart"/>
      <w:r w:rsidRPr="00F21E25">
        <w:t>четкого</w:t>
      </w:r>
      <w:proofErr w:type="spellEnd"/>
      <w:r w:rsidRPr="00F21E25">
        <w:t xml:space="preserve"> и </w:t>
      </w:r>
      <w:proofErr w:type="spellStart"/>
      <w:r w:rsidRPr="00F21E25">
        <w:t>тщательного</w:t>
      </w:r>
      <w:proofErr w:type="spellEnd"/>
      <w:r w:rsidRPr="00F21E25">
        <w:t xml:space="preserve"> </w:t>
      </w:r>
      <w:proofErr w:type="spellStart"/>
      <w:r w:rsidRPr="00F21E25">
        <w:t>анализа</w:t>
      </w:r>
      <w:proofErr w:type="spellEnd"/>
      <w:r w:rsidRPr="00F21E25">
        <w:t xml:space="preserve">, </w:t>
      </w:r>
      <w:proofErr w:type="spellStart"/>
      <w:r w:rsidRPr="00F21E25">
        <w:t>которой</w:t>
      </w:r>
      <w:proofErr w:type="spellEnd"/>
      <w:r w:rsidRPr="00F21E25">
        <w:t xml:space="preserve"> </w:t>
      </w:r>
      <w:proofErr w:type="spellStart"/>
      <w:r w:rsidRPr="00F21E25">
        <w:t>позволит</w:t>
      </w:r>
      <w:proofErr w:type="spellEnd"/>
      <w:r w:rsidRPr="00F21E25">
        <w:t xml:space="preserve"> </w:t>
      </w:r>
      <w:proofErr w:type="spellStart"/>
      <w:r w:rsidRPr="00F21E25">
        <w:t>сформулировать</w:t>
      </w:r>
      <w:proofErr w:type="spellEnd"/>
      <w:r w:rsidRPr="00F21E25">
        <w:t xml:space="preserve"> </w:t>
      </w:r>
      <w:proofErr w:type="spellStart"/>
      <w:r w:rsidRPr="00F21E25">
        <w:t>мандаты</w:t>
      </w:r>
      <w:proofErr w:type="spellEnd"/>
      <w:r w:rsidRPr="00F21E25">
        <w:t xml:space="preserve">, </w:t>
      </w:r>
      <w:proofErr w:type="spellStart"/>
      <w:r w:rsidRPr="00F21E25">
        <w:t>учитывать</w:t>
      </w:r>
      <w:proofErr w:type="spellEnd"/>
      <w:r w:rsidRPr="00F21E25">
        <w:t xml:space="preserve"> </w:t>
      </w:r>
      <w:proofErr w:type="spellStart"/>
      <w:r w:rsidRPr="00F21E25">
        <w:t>эволюцию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>/</w:t>
      </w:r>
      <w:proofErr w:type="spellStart"/>
      <w:r w:rsidRPr="00F21E25">
        <w:t>информационно-коммуникационных</w:t>
      </w:r>
      <w:proofErr w:type="spellEnd"/>
      <w:r w:rsidRPr="00F21E25">
        <w:t xml:space="preserve"> </w:t>
      </w:r>
      <w:proofErr w:type="spellStart"/>
      <w:r w:rsidRPr="00F21E25">
        <w:t>технологий</w:t>
      </w:r>
      <w:proofErr w:type="spellEnd"/>
      <w:r w:rsidRPr="00F21E25">
        <w:t xml:space="preserve"> и </w:t>
      </w:r>
      <w:proofErr w:type="spellStart"/>
      <w:r w:rsidRPr="00F21E25">
        <w:t>повысит</w:t>
      </w:r>
      <w:proofErr w:type="spellEnd"/>
      <w:r w:rsidRPr="00F21E25">
        <w:t xml:space="preserve"> </w:t>
      </w:r>
      <w:proofErr w:type="spellStart"/>
      <w:r w:rsidRPr="00F21E25">
        <w:t>эффективность</w:t>
      </w:r>
      <w:proofErr w:type="spellEnd"/>
      <w:r w:rsidRPr="00F21E25">
        <w:t xml:space="preserve"> и </w:t>
      </w:r>
      <w:proofErr w:type="spellStart"/>
      <w:r w:rsidRPr="00F21E25">
        <w:t>результативность</w:t>
      </w:r>
      <w:proofErr w:type="spellEnd"/>
      <w:r w:rsidRPr="00F21E25">
        <w:t xml:space="preserve"> </w:t>
      </w:r>
      <w:proofErr w:type="spellStart"/>
      <w:r w:rsidRPr="00F21E25">
        <w:t>деятельности</w:t>
      </w:r>
      <w:proofErr w:type="spellEnd"/>
      <w:r w:rsidRPr="00F21E25">
        <w:t xml:space="preserve"> МСЭ, а </w:t>
      </w:r>
      <w:proofErr w:type="spellStart"/>
      <w:r w:rsidRPr="00F21E25">
        <w:t>также</w:t>
      </w:r>
      <w:proofErr w:type="spellEnd"/>
      <w:r w:rsidRPr="00F21E25">
        <w:t xml:space="preserve"> </w:t>
      </w:r>
      <w:proofErr w:type="spellStart"/>
      <w:r w:rsidRPr="00F21E25">
        <w:t>укрепит</w:t>
      </w:r>
      <w:proofErr w:type="spellEnd"/>
      <w:r w:rsidRPr="00F21E25">
        <w:t xml:space="preserve"> </w:t>
      </w:r>
      <w:proofErr w:type="spellStart"/>
      <w:r w:rsidRPr="00F21E25">
        <w:t>его</w:t>
      </w:r>
      <w:proofErr w:type="spellEnd"/>
      <w:r w:rsidRPr="00F21E25">
        <w:t xml:space="preserve"> </w:t>
      </w:r>
      <w:proofErr w:type="spellStart"/>
      <w:r w:rsidRPr="00F21E25">
        <w:t>сотрудничество</w:t>
      </w:r>
      <w:proofErr w:type="spellEnd"/>
      <w:r w:rsidRPr="00F21E25">
        <w:t xml:space="preserve"> с </w:t>
      </w:r>
      <w:proofErr w:type="spellStart"/>
      <w:r w:rsidRPr="00F21E25">
        <w:t>другими</w:t>
      </w:r>
      <w:proofErr w:type="spellEnd"/>
      <w:r w:rsidRPr="00F21E25">
        <w:t xml:space="preserve"> </w:t>
      </w:r>
      <w:proofErr w:type="spellStart"/>
      <w:proofErr w:type="gramStart"/>
      <w:r w:rsidRPr="00F21E25">
        <w:t>организациями</w:t>
      </w:r>
      <w:proofErr w:type="spellEnd"/>
      <w:r w:rsidRPr="00F21E25">
        <w:t>;</w:t>
      </w:r>
      <w:proofErr w:type="gramEnd"/>
    </w:p>
    <w:p w14:paraId="37A74099" w14:textId="77777777" w:rsidR="00977E02" w:rsidRPr="00F21E25" w:rsidRDefault="00977E02" w:rsidP="00977E02">
      <w:r w:rsidRPr="00F21E25">
        <w:rPr>
          <w:i/>
          <w:iCs/>
        </w:rPr>
        <w:t>c)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возможных</w:t>
      </w:r>
      <w:proofErr w:type="spellEnd"/>
      <w:r w:rsidRPr="00F21E25">
        <w:t xml:space="preserve"> </w:t>
      </w:r>
      <w:proofErr w:type="spellStart"/>
      <w:r w:rsidRPr="00F21E25">
        <w:t>изменений</w:t>
      </w:r>
      <w:proofErr w:type="spellEnd"/>
      <w:r w:rsidRPr="00F21E25">
        <w:t xml:space="preserve"> </w:t>
      </w:r>
      <w:proofErr w:type="spellStart"/>
      <w:r w:rsidRPr="00F21E25">
        <w:t>структуры</w:t>
      </w:r>
      <w:proofErr w:type="spellEnd"/>
      <w:r w:rsidRPr="00F21E25">
        <w:t xml:space="preserve"> </w:t>
      </w:r>
      <w:proofErr w:type="spellStart"/>
      <w:r w:rsidRPr="00F21E25">
        <w:t>исследовательских</w:t>
      </w:r>
      <w:proofErr w:type="spellEnd"/>
      <w:r w:rsidRPr="00F21E25">
        <w:t xml:space="preserve"> </w:t>
      </w:r>
      <w:proofErr w:type="spellStart"/>
      <w:r w:rsidRPr="00F21E25">
        <w:t>комиссий</w:t>
      </w:r>
      <w:proofErr w:type="spellEnd"/>
      <w:r w:rsidRPr="00F21E25">
        <w:t xml:space="preserve"> МСЭ</w:t>
      </w:r>
      <w:r w:rsidRPr="00F21E25">
        <w:noBreakHyphen/>
        <w:t xml:space="preserve">Т </w:t>
      </w:r>
      <w:proofErr w:type="spellStart"/>
      <w:r w:rsidRPr="00F21E25">
        <w:t>требуется</w:t>
      </w:r>
      <w:proofErr w:type="spellEnd"/>
      <w:r w:rsidRPr="00F21E25">
        <w:t xml:space="preserve"> </w:t>
      </w:r>
      <w:proofErr w:type="spellStart"/>
      <w:r w:rsidRPr="00F21E25">
        <w:t>основанный</w:t>
      </w:r>
      <w:proofErr w:type="spellEnd"/>
      <w:r w:rsidRPr="00F21E25">
        <w:t xml:space="preserve"> на </w:t>
      </w:r>
      <w:proofErr w:type="spellStart"/>
      <w:r w:rsidRPr="00F21E25">
        <w:t>фактических</w:t>
      </w:r>
      <w:proofErr w:type="spellEnd"/>
      <w:r w:rsidRPr="00F21E25">
        <w:t xml:space="preserve"> </w:t>
      </w:r>
      <w:proofErr w:type="spellStart"/>
      <w:r w:rsidRPr="00F21E25">
        <w:t>данных</w:t>
      </w:r>
      <w:proofErr w:type="spellEnd"/>
      <w:r w:rsidRPr="00F21E25">
        <w:t xml:space="preserve"> </w:t>
      </w:r>
      <w:proofErr w:type="spellStart"/>
      <w:r w:rsidRPr="00F21E25">
        <w:t>подход</w:t>
      </w:r>
      <w:proofErr w:type="spellEnd"/>
      <w:r w:rsidRPr="00F21E25">
        <w:t xml:space="preserve"> и </w:t>
      </w:r>
      <w:proofErr w:type="spellStart"/>
      <w:r w:rsidRPr="00F21E25">
        <w:t>согласованные</w:t>
      </w:r>
      <w:proofErr w:type="spellEnd"/>
      <w:r w:rsidRPr="00F21E25">
        <w:t xml:space="preserve"> </w:t>
      </w:r>
      <w:proofErr w:type="spellStart"/>
      <w:r w:rsidRPr="00F21E25">
        <w:t>основополагающие</w:t>
      </w:r>
      <w:proofErr w:type="spellEnd"/>
      <w:r w:rsidRPr="00F21E25">
        <w:t xml:space="preserve"> </w:t>
      </w:r>
      <w:proofErr w:type="spellStart"/>
      <w:r w:rsidRPr="00F21E25">
        <w:t>принципы</w:t>
      </w:r>
      <w:proofErr w:type="spellEnd"/>
      <w:r w:rsidRPr="00F21E25">
        <w:t xml:space="preserve">, с </w:t>
      </w:r>
      <w:proofErr w:type="spellStart"/>
      <w:r w:rsidRPr="00F21E25">
        <w:t>тем</w:t>
      </w:r>
      <w:proofErr w:type="spellEnd"/>
      <w:r w:rsidRPr="00F21E25">
        <w:t xml:space="preserve"> </w:t>
      </w:r>
      <w:proofErr w:type="spellStart"/>
      <w:r w:rsidRPr="00F21E25">
        <w:t>чтобы</w:t>
      </w:r>
      <w:proofErr w:type="spellEnd"/>
      <w:r w:rsidRPr="00F21E25">
        <w:t xml:space="preserve"> </w:t>
      </w:r>
      <w:proofErr w:type="spellStart"/>
      <w:r w:rsidRPr="00F21E25">
        <w:t>избежать</w:t>
      </w:r>
      <w:proofErr w:type="spellEnd"/>
      <w:r w:rsidRPr="00F21E25">
        <w:t xml:space="preserve"> </w:t>
      </w:r>
      <w:proofErr w:type="spellStart"/>
      <w:r w:rsidRPr="00F21E25">
        <w:t>фрагментации</w:t>
      </w:r>
      <w:proofErr w:type="spellEnd"/>
      <w:r w:rsidRPr="00F21E25">
        <w:t xml:space="preserve"> и </w:t>
      </w:r>
      <w:proofErr w:type="spellStart"/>
      <w:r w:rsidRPr="00F21E25">
        <w:t>обеспечить</w:t>
      </w:r>
      <w:proofErr w:type="spellEnd"/>
      <w:r w:rsidRPr="00F21E25">
        <w:t xml:space="preserve"> </w:t>
      </w:r>
      <w:proofErr w:type="spellStart"/>
      <w:r w:rsidRPr="00F21E25">
        <w:t>упорядоченные</w:t>
      </w:r>
      <w:proofErr w:type="spellEnd"/>
      <w:r w:rsidRPr="00F21E25">
        <w:t xml:space="preserve"> </w:t>
      </w:r>
      <w:proofErr w:type="spellStart"/>
      <w:r w:rsidRPr="00F21E25">
        <w:t>результаты</w:t>
      </w:r>
      <w:proofErr w:type="spellEnd"/>
      <w:r w:rsidRPr="00F21E25">
        <w:t>,</w:t>
      </w:r>
    </w:p>
    <w:p w14:paraId="300FD040" w14:textId="77777777" w:rsidR="00977E02" w:rsidRPr="00F21E25" w:rsidRDefault="00977E02" w:rsidP="00977E02">
      <w:pPr>
        <w:pStyle w:val="Call"/>
      </w:pPr>
      <w:proofErr w:type="spellStart"/>
      <w:proofErr w:type="gramStart"/>
      <w:r w:rsidRPr="00F21E25">
        <w:t>отмечая</w:t>
      </w:r>
      <w:proofErr w:type="spellEnd"/>
      <w:proofErr w:type="gramEnd"/>
      <w:r w:rsidRPr="00F21E25">
        <w:rPr>
          <w:i w:val="0"/>
          <w:iCs/>
        </w:rPr>
        <w:t>,</w:t>
      </w:r>
    </w:p>
    <w:p w14:paraId="69B4E164" w14:textId="77777777" w:rsidR="00977E02" w:rsidRPr="00F21E25" w:rsidRDefault="00977E02" w:rsidP="00977E02">
      <w:r w:rsidRPr="00F21E25">
        <w:rPr>
          <w:i/>
          <w:iCs/>
        </w:rPr>
        <w:t>a)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Консультативная</w:t>
      </w:r>
      <w:proofErr w:type="spellEnd"/>
      <w:r w:rsidRPr="00F21E25">
        <w:t xml:space="preserve"> </w:t>
      </w:r>
      <w:proofErr w:type="spellStart"/>
      <w:r w:rsidRPr="00F21E25">
        <w:t>группа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(КГСЭ) </w:t>
      </w:r>
      <w:proofErr w:type="spellStart"/>
      <w:r w:rsidRPr="00F21E25">
        <w:t>успешно</w:t>
      </w:r>
      <w:proofErr w:type="spellEnd"/>
      <w:r w:rsidRPr="00F21E25">
        <w:t xml:space="preserve"> </w:t>
      </w:r>
      <w:proofErr w:type="spellStart"/>
      <w:r w:rsidRPr="00F21E25">
        <w:t>осуществляет</w:t>
      </w:r>
      <w:proofErr w:type="spellEnd"/>
      <w:r w:rsidRPr="00F21E25">
        <w:t xml:space="preserve"> "</w:t>
      </w:r>
      <w:proofErr w:type="spellStart"/>
      <w:r w:rsidRPr="00F21E25">
        <w:t>План</w:t>
      </w:r>
      <w:proofErr w:type="spellEnd"/>
      <w:r w:rsidRPr="00F21E25">
        <w:t xml:space="preserve"> </w:t>
      </w:r>
      <w:proofErr w:type="spellStart"/>
      <w:r w:rsidRPr="00F21E25">
        <w:t>действий</w:t>
      </w:r>
      <w:proofErr w:type="spellEnd"/>
      <w:r w:rsidRPr="00F21E25">
        <w:t xml:space="preserve"> с </w:t>
      </w:r>
      <w:proofErr w:type="spellStart"/>
      <w:r w:rsidRPr="00F21E25">
        <w:t>целью</w:t>
      </w:r>
      <w:proofErr w:type="spellEnd"/>
      <w:r w:rsidRPr="00F21E25">
        <w:t xml:space="preserve"> </w:t>
      </w:r>
      <w:proofErr w:type="spellStart"/>
      <w:r w:rsidRPr="00F21E25">
        <w:t>анализа</w:t>
      </w:r>
      <w:proofErr w:type="spellEnd"/>
      <w:r w:rsidRPr="00F21E25">
        <w:t xml:space="preserve"> </w:t>
      </w:r>
      <w:proofErr w:type="spellStart"/>
      <w:r w:rsidRPr="00F21E25">
        <w:t>реорганизации</w:t>
      </w:r>
      <w:proofErr w:type="spellEnd"/>
      <w:r w:rsidRPr="00F21E25">
        <w:t xml:space="preserve"> </w:t>
      </w:r>
      <w:proofErr w:type="spellStart"/>
      <w:r w:rsidRPr="00F21E25">
        <w:t>исследовательских</w:t>
      </w:r>
      <w:proofErr w:type="spellEnd"/>
      <w:r w:rsidRPr="00F21E25">
        <w:t xml:space="preserve"> </w:t>
      </w:r>
      <w:proofErr w:type="spellStart"/>
      <w:r w:rsidRPr="00F21E25">
        <w:t>комиссий</w:t>
      </w:r>
      <w:proofErr w:type="spellEnd"/>
      <w:r w:rsidRPr="00F21E25">
        <w:t xml:space="preserve"> МСЭ-Т", </w:t>
      </w:r>
      <w:proofErr w:type="spellStart"/>
      <w:r w:rsidRPr="00F21E25">
        <w:t>согласно</w:t>
      </w:r>
      <w:proofErr w:type="spellEnd"/>
      <w:r w:rsidRPr="00F21E25">
        <w:t xml:space="preserve"> </w:t>
      </w:r>
      <w:proofErr w:type="spellStart"/>
      <w:r w:rsidRPr="00F21E25">
        <w:t>поручению</w:t>
      </w:r>
      <w:proofErr w:type="spellEnd"/>
      <w:r w:rsidRPr="00F21E25">
        <w:t xml:space="preserve"> ВАСЭ-</w:t>
      </w:r>
      <w:proofErr w:type="gramStart"/>
      <w:r w:rsidRPr="00F21E25">
        <w:t>20;</w:t>
      </w:r>
      <w:proofErr w:type="gramEnd"/>
    </w:p>
    <w:p w14:paraId="5B37B7BB" w14:textId="77777777" w:rsidR="00977E02" w:rsidRPr="00F21E25" w:rsidRDefault="00977E02" w:rsidP="00977E02">
      <w:r w:rsidRPr="00F21E25">
        <w:rPr>
          <w:i/>
          <w:iCs/>
        </w:rPr>
        <w:t>b)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состоявшиеся</w:t>
      </w:r>
      <w:proofErr w:type="spellEnd"/>
      <w:r w:rsidRPr="00F21E25">
        <w:t xml:space="preserve"> в </w:t>
      </w:r>
      <w:proofErr w:type="spellStart"/>
      <w:r w:rsidRPr="00F21E25">
        <w:t>ходе</w:t>
      </w:r>
      <w:proofErr w:type="spellEnd"/>
      <w:r w:rsidRPr="00F21E25">
        <w:t xml:space="preserve"> </w:t>
      </w:r>
      <w:proofErr w:type="spellStart"/>
      <w:r w:rsidRPr="00F21E25">
        <w:t>собраний</w:t>
      </w:r>
      <w:proofErr w:type="spellEnd"/>
      <w:r w:rsidRPr="00F21E25">
        <w:t xml:space="preserve"> </w:t>
      </w:r>
      <w:proofErr w:type="spellStart"/>
      <w:r w:rsidRPr="00F21E25">
        <w:t>Группы</w:t>
      </w:r>
      <w:proofErr w:type="spellEnd"/>
      <w:r w:rsidRPr="00F21E25">
        <w:t xml:space="preserve"> </w:t>
      </w:r>
      <w:proofErr w:type="spellStart"/>
      <w:r w:rsidRPr="00F21E25">
        <w:t>Докладчика</w:t>
      </w:r>
      <w:proofErr w:type="spellEnd"/>
      <w:r w:rsidRPr="00F21E25">
        <w:t xml:space="preserve"> КГСЭ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программе</w:t>
      </w:r>
      <w:proofErr w:type="spellEnd"/>
      <w:r w:rsidRPr="00F21E25">
        <w:t xml:space="preserve"> </w:t>
      </w:r>
      <w:proofErr w:type="spellStart"/>
      <w:r w:rsidRPr="00F21E25">
        <w:t>работы</w:t>
      </w:r>
      <w:proofErr w:type="spellEnd"/>
      <w:r w:rsidRPr="00F21E25">
        <w:t xml:space="preserve"> и </w:t>
      </w:r>
      <w:proofErr w:type="spellStart"/>
      <w:r w:rsidRPr="00F21E25">
        <w:t>реструктуризации</w:t>
      </w:r>
      <w:proofErr w:type="spellEnd"/>
      <w:r w:rsidRPr="00F21E25">
        <w:t xml:space="preserve"> (ГД-WPR) </w:t>
      </w:r>
      <w:proofErr w:type="spellStart"/>
      <w:r w:rsidRPr="00F21E25">
        <w:t>обсуждения</w:t>
      </w:r>
      <w:proofErr w:type="spellEnd"/>
      <w:r w:rsidRPr="00F21E25">
        <w:t xml:space="preserve"> </w:t>
      </w:r>
      <w:proofErr w:type="spellStart"/>
      <w:r w:rsidRPr="00F21E25">
        <w:t>показали</w:t>
      </w:r>
      <w:proofErr w:type="spellEnd"/>
      <w:r w:rsidRPr="00F21E25">
        <w:t xml:space="preserve">, </w:t>
      </w:r>
      <w:proofErr w:type="spellStart"/>
      <w:r w:rsidRPr="00F21E25">
        <w:t>что</w:t>
      </w:r>
      <w:proofErr w:type="spellEnd"/>
      <w:r w:rsidRPr="00F21E25">
        <w:t xml:space="preserve"> </w:t>
      </w:r>
      <w:proofErr w:type="spellStart"/>
      <w:r w:rsidRPr="00F21E25">
        <w:t>эту</w:t>
      </w:r>
      <w:proofErr w:type="spellEnd"/>
      <w:r w:rsidRPr="00F21E25">
        <w:t xml:space="preserve"> </w:t>
      </w:r>
      <w:proofErr w:type="spellStart"/>
      <w:r w:rsidRPr="00F21E25">
        <w:t>работу</w:t>
      </w:r>
      <w:proofErr w:type="spellEnd"/>
      <w:r w:rsidRPr="00F21E25">
        <w:t xml:space="preserve"> </w:t>
      </w:r>
      <w:proofErr w:type="spellStart"/>
      <w:r w:rsidRPr="00F21E25">
        <w:t>следует</w:t>
      </w:r>
      <w:proofErr w:type="spellEnd"/>
      <w:r w:rsidRPr="00F21E25">
        <w:t xml:space="preserve"> </w:t>
      </w:r>
      <w:proofErr w:type="spellStart"/>
      <w:r w:rsidRPr="00F21E25">
        <w:t>продолжать</w:t>
      </w:r>
      <w:proofErr w:type="spellEnd"/>
      <w:r w:rsidRPr="00F21E25">
        <w:t>,</w:t>
      </w:r>
    </w:p>
    <w:p w14:paraId="7E00DD7A" w14:textId="77777777" w:rsidR="008B1980" w:rsidRDefault="008B19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</w:rPr>
      </w:pPr>
      <w:r>
        <w:br w:type="page"/>
      </w:r>
    </w:p>
    <w:p w14:paraId="03906B30" w14:textId="61225AC3" w:rsidR="00977E02" w:rsidRPr="00F21E25" w:rsidRDefault="00977E02" w:rsidP="00977E02">
      <w:pPr>
        <w:pStyle w:val="Call"/>
        <w:rPr>
          <w:i w:val="0"/>
          <w:iCs/>
        </w:rPr>
      </w:pPr>
      <w:proofErr w:type="spellStart"/>
      <w:proofErr w:type="gramStart"/>
      <w:r w:rsidRPr="00F21E25">
        <w:lastRenderedPageBreak/>
        <w:t>решает</w:t>
      </w:r>
      <w:proofErr w:type="spellEnd"/>
      <w:proofErr w:type="gramEnd"/>
    </w:p>
    <w:p w14:paraId="566CB347" w14:textId="77777777" w:rsidR="00977E02" w:rsidRPr="00F21E25" w:rsidRDefault="00977E02" w:rsidP="00977E02">
      <w:r w:rsidRPr="00F21E25">
        <w:t>1</w:t>
      </w:r>
      <w:r w:rsidRPr="00F21E25">
        <w:tab/>
      </w:r>
      <w:proofErr w:type="spellStart"/>
      <w:r w:rsidRPr="00F21E25">
        <w:t>продолжить</w:t>
      </w:r>
      <w:proofErr w:type="spellEnd"/>
      <w:r w:rsidRPr="00F21E25">
        <w:t xml:space="preserve"> </w:t>
      </w:r>
      <w:proofErr w:type="spellStart"/>
      <w:r w:rsidRPr="00F21E25">
        <w:t>анализ</w:t>
      </w:r>
      <w:proofErr w:type="spellEnd"/>
      <w:r w:rsidRPr="00F21E25">
        <w:t xml:space="preserve"> </w:t>
      </w:r>
      <w:proofErr w:type="spellStart"/>
      <w:r w:rsidRPr="00F21E25">
        <w:t>реструктуризации</w:t>
      </w:r>
      <w:proofErr w:type="spellEnd"/>
      <w:r w:rsidRPr="00F21E25">
        <w:t xml:space="preserve"> </w:t>
      </w:r>
      <w:proofErr w:type="spellStart"/>
      <w:r w:rsidRPr="00F21E25">
        <w:t>исследовательских</w:t>
      </w:r>
      <w:proofErr w:type="spellEnd"/>
      <w:r w:rsidRPr="00F21E25">
        <w:t xml:space="preserve"> </w:t>
      </w:r>
      <w:proofErr w:type="spellStart"/>
      <w:r w:rsidRPr="00F21E25">
        <w:t>комиссий</w:t>
      </w:r>
      <w:proofErr w:type="spellEnd"/>
      <w:r w:rsidRPr="00F21E25">
        <w:t xml:space="preserve"> МСЭ-Т в </w:t>
      </w:r>
      <w:proofErr w:type="spellStart"/>
      <w:r w:rsidRPr="00F21E25">
        <w:t>рамках</w:t>
      </w:r>
      <w:proofErr w:type="spellEnd"/>
      <w:r w:rsidRPr="00F21E25">
        <w:t xml:space="preserve"> КГСЭ, </w:t>
      </w:r>
      <w:proofErr w:type="spellStart"/>
      <w:r w:rsidRPr="00F21E25">
        <w:t>используя</w:t>
      </w:r>
      <w:proofErr w:type="spellEnd"/>
      <w:r w:rsidRPr="00F21E25">
        <w:t xml:space="preserve"> </w:t>
      </w:r>
      <w:proofErr w:type="spellStart"/>
      <w:r w:rsidRPr="00F21E25">
        <w:t>основанный</w:t>
      </w:r>
      <w:proofErr w:type="spellEnd"/>
      <w:r w:rsidRPr="00F21E25">
        <w:t xml:space="preserve"> на </w:t>
      </w:r>
      <w:proofErr w:type="spellStart"/>
      <w:r w:rsidRPr="00F21E25">
        <w:t>фактических</w:t>
      </w:r>
      <w:proofErr w:type="spellEnd"/>
      <w:r w:rsidRPr="00F21E25">
        <w:t xml:space="preserve"> </w:t>
      </w:r>
      <w:proofErr w:type="spellStart"/>
      <w:r w:rsidRPr="00F21E25">
        <w:t>данных</w:t>
      </w:r>
      <w:proofErr w:type="spellEnd"/>
      <w:r w:rsidRPr="00F21E25">
        <w:t xml:space="preserve"> </w:t>
      </w:r>
      <w:proofErr w:type="spellStart"/>
      <w:r w:rsidRPr="00F21E25">
        <w:t>подход</w:t>
      </w:r>
      <w:proofErr w:type="spellEnd"/>
      <w:r w:rsidRPr="00F21E25">
        <w:t xml:space="preserve">, с </w:t>
      </w:r>
      <w:proofErr w:type="spellStart"/>
      <w:r w:rsidRPr="00F21E25">
        <w:t>учетом</w:t>
      </w:r>
      <w:proofErr w:type="spellEnd"/>
      <w:r w:rsidRPr="00F21E25">
        <w:t xml:space="preserve"> </w:t>
      </w:r>
      <w:proofErr w:type="spellStart"/>
      <w:r w:rsidRPr="00F21E25">
        <w:t>упомянутого</w:t>
      </w:r>
      <w:proofErr w:type="spellEnd"/>
      <w:r w:rsidRPr="00F21E25">
        <w:t xml:space="preserve"> </w:t>
      </w:r>
      <w:proofErr w:type="spellStart"/>
      <w:r w:rsidRPr="00F21E25">
        <w:t>выше</w:t>
      </w:r>
      <w:proofErr w:type="spellEnd"/>
      <w:r w:rsidRPr="00F21E25">
        <w:t xml:space="preserve"> </w:t>
      </w:r>
      <w:proofErr w:type="spellStart"/>
      <w:r w:rsidRPr="00F21E25">
        <w:t>Плана</w:t>
      </w:r>
      <w:proofErr w:type="spellEnd"/>
      <w:r w:rsidRPr="00F21E25">
        <w:t xml:space="preserve"> </w:t>
      </w:r>
      <w:proofErr w:type="spellStart"/>
      <w:proofErr w:type="gramStart"/>
      <w:r w:rsidRPr="00F21E25">
        <w:t>действий</w:t>
      </w:r>
      <w:proofErr w:type="spellEnd"/>
      <w:r w:rsidRPr="00F21E25">
        <w:t>;</w:t>
      </w:r>
      <w:proofErr w:type="gramEnd"/>
    </w:p>
    <w:p w14:paraId="23269664" w14:textId="77777777" w:rsidR="00977E02" w:rsidRPr="00F21E25" w:rsidRDefault="00977E02" w:rsidP="00977E02">
      <w:r w:rsidRPr="00F21E25">
        <w:t>2</w:t>
      </w:r>
      <w:r w:rsidRPr="00F21E25">
        <w:tab/>
      </w:r>
      <w:proofErr w:type="spellStart"/>
      <w:r w:rsidRPr="00F21E25">
        <w:t>что</w:t>
      </w:r>
      <w:proofErr w:type="spellEnd"/>
      <w:r w:rsidRPr="00F21E25">
        <w:t xml:space="preserve"> КГСЭ </w:t>
      </w:r>
      <w:proofErr w:type="spellStart"/>
      <w:r w:rsidRPr="00F21E25">
        <w:t>несет</w:t>
      </w:r>
      <w:proofErr w:type="spellEnd"/>
      <w:r w:rsidRPr="00F21E25">
        <w:t xml:space="preserve"> </w:t>
      </w:r>
      <w:proofErr w:type="spellStart"/>
      <w:r w:rsidRPr="00F21E25">
        <w:t>ответственность</w:t>
      </w:r>
      <w:proofErr w:type="spellEnd"/>
      <w:r w:rsidRPr="00F21E25">
        <w:t xml:space="preserve"> </w:t>
      </w:r>
      <w:proofErr w:type="spellStart"/>
      <w:r w:rsidRPr="00F21E25">
        <w:t>за</w:t>
      </w:r>
      <w:proofErr w:type="spellEnd"/>
      <w:r w:rsidRPr="00F21E25">
        <w:t xml:space="preserve"> </w:t>
      </w:r>
      <w:proofErr w:type="spellStart"/>
      <w:r w:rsidRPr="00F21E25">
        <w:t>руководство</w:t>
      </w:r>
      <w:proofErr w:type="spellEnd"/>
      <w:r w:rsidRPr="00F21E25">
        <w:t xml:space="preserve"> </w:t>
      </w:r>
      <w:proofErr w:type="spellStart"/>
      <w:r w:rsidRPr="00F21E25">
        <w:t>анализом</w:t>
      </w:r>
      <w:proofErr w:type="spellEnd"/>
      <w:r w:rsidRPr="00F21E25">
        <w:t xml:space="preserve"> </w:t>
      </w:r>
      <w:proofErr w:type="spellStart"/>
      <w:r w:rsidRPr="00F21E25">
        <w:t>реструктуризации</w:t>
      </w:r>
      <w:proofErr w:type="spellEnd"/>
      <w:r w:rsidRPr="00F21E25">
        <w:t xml:space="preserve"> </w:t>
      </w:r>
      <w:proofErr w:type="spellStart"/>
      <w:r w:rsidRPr="00F21E25">
        <w:t>исследовательских</w:t>
      </w:r>
      <w:proofErr w:type="spellEnd"/>
      <w:r w:rsidRPr="00F21E25">
        <w:t xml:space="preserve"> </w:t>
      </w:r>
      <w:proofErr w:type="spellStart"/>
      <w:r w:rsidRPr="00F21E25">
        <w:t>комиссий</w:t>
      </w:r>
      <w:proofErr w:type="spellEnd"/>
      <w:r w:rsidRPr="00F21E25">
        <w:t xml:space="preserve"> МСЭ-Т на </w:t>
      </w:r>
      <w:proofErr w:type="spellStart"/>
      <w:r w:rsidRPr="00F21E25">
        <w:t>основе</w:t>
      </w:r>
      <w:proofErr w:type="spellEnd"/>
      <w:r w:rsidRPr="00F21E25">
        <w:t xml:space="preserve"> </w:t>
      </w:r>
      <w:proofErr w:type="spellStart"/>
      <w:r w:rsidRPr="00F21E25">
        <w:t>вкладов</w:t>
      </w:r>
      <w:proofErr w:type="spellEnd"/>
      <w:r w:rsidRPr="00F21E25">
        <w:t xml:space="preserve"> </w:t>
      </w:r>
      <w:proofErr w:type="spellStart"/>
      <w:r w:rsidRPr="00F21E25">
        <w:t>Государств-Членов</w:t>
      </w:r>
      <w:proofErr w:type="spellEnd"/>
      <w:r w:rsidRPr="00F21E25">
        <w:t xml:space="preserve"> и </w:t>
      </w:r>
      <w:proofErr w:type="spellStart"/>
      <w:r w:rsidRPr="00F21E25">
        <w:t>Членов</w:t>
      </w:r>
      <w:proofErr w:type="spellEnd"/>
      <w:r w:rsidRPr="00F21E25">
        <w:t xml:space="preserve"> </w:t>
      </w:r>
      <w:proofErr w:type="spellStart"/>
      <w:r w:rsidRPr="00F21E25">
        <w:t>Сектора</w:t>
      </w:r>
      <w:proofErr w:type="spellEnd"/>
      <w:r w:rsidRPr="00F21E25">
        <w:t xml:space="preserve"> МСЭ</w:t>
      </w:r>
      <w:r w:rsidRPr="00F21E25">
        <w:noBreakHyphen/>
        <w:t xml:space="preserve">Т, </w:t>
      </w:r>
      <w:proofErr w:type="spellStart"/>
      <w:r w:rsidRPr="00F21E25">
        <w:t>представленных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КГСЭ,</w:t>
      </w:r>
    </w:p>
    <w:p w14:paraId="1A644DE0" w14:textId="77777777" w:rsidR="00977E02" w:rsidRPr="00F21E25" w:rsidRDefault="00977E02" w:rsidP="00977E02">
      <w:pPr>
        <w:pStyle w:val="Call"/>
        <w:rPr>
          <w:szCs w:val="22"/>
        </w:rPr>
      </w:pPr>
      <w:proofErr w:type="spellStart"/>
      <w:proofErr w:type="gramStart"/>
      <w:r w:rsidRPr="00F21E25">
        <w:t>поручает</w:t>
      </w:r>
      <w:proofErr w:type="spellEnd"/>
      <w:proofErr w:type="gramEnd"/>
      <w:r w:rsidRPr="00F21E25">
        <w:t xml:space="preserve"> </w:t>
      </w:r>
      <w:proofErr w:type="spellStart"/>
      <w:r w:rsidRPr="00F21E25">
        <w:t>Консультативной</w:t>
      </w:r>
      <w:proofErr w:type="spellEnd"/>
      <w:r w:rsidRPr="00F21E25">
        <w:t xml:space="preserve"> </w:t>
      </w:r>
      <w:proofErr w:type="spellStart"/>
      <w:r w:rsidRPr="00F21E25">
        <w:t>группе</w:t>
      </w:r>
      <w:proofErr w:type="spellEnd"/>
      <w:r w:rsidRPr="00F21E25">
        <w:t xml:space="preserve"> </w:t>
      </w:r>
      <w:proofErr w:type="spellStart"/>
      <w:r w:rsidRPr="00F21E25">
        <w:t>по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</w:p>
    <w:p w14:paraId="150C5229" w14:textId="77777777" w:rsidR="00977E02" w:rsidRPr="00F21E25" w:rsidRDefault="00977E02" w:rsidP="00977E02">
      <w:r w:rsidRPr="00F21E25">
        <w:t>1</w:t>
      </w:r>
      <w:r w:rsidRPr="00F21E25">
        <w:tab/>
      </w:r>
      <w:proofErr w:type="spellStart"/>
      <w:r w:rsidRPr="00F21E25">
        <w:t>проводить</w:t>
      </w:r>
      <w:proofErr w:type="spellEnd"/>
      <w:r w:rsidRPr="00F21E25">
        <w:t xml:space="preserve">, </w:t>
      </w:r>
      <w:proofErr w:type="spellStart"/>
      <w:r w:rsidRPr="00F21E25">
        <w:t>контролировать</w:t>
      </w:r>
      <w:proofErr w:type="spellEnd"/>
      <w:r w:rsidRPr="00F21E25">
        <w:t xml:space="preserve"> и </w:t>
      </w:r>
      <w:proofErr w:type="spellStart"/>
      <w:r w:rsidRPr="00F21E25">
        <w:t>направлять</w:t>
      </w:r>
      <w:proofErr w:type="spellEnd"/>
      <w:r w:rsidRPr="00F21E25">
        <w:t xml:space="preserve"> </w:t>
      </w:r>
      <w:proofErr w:type="spellStart"/>
      <w:r w:rsidRPr="00F21E25">
        <w:t>работу</w:t>
      </w:r>
      <w:proofErr w:type="spellEnd"/>
      <w:r w:rsidRPr="00F21E25">
        <w:t xml:space="preserve"> </w:t>
      </w:r>
      <w:proofErr w:type="spellStart"/>
      <w:r w:rsidRPr="00F21E25">
        <w:t>через</w:t>
      </w:r>
      <w:proofErr w:type="spellEnd"/>
      <w:r w:rsidRPr="00F21E25">
        <w:t xml:space="preserve"> </w:t>
      </w:r>
      <w:proofErr w:type="spellStart"/>
      <w:r w:rsidRPr="00F21E25">
        <w:t>группу</w:t>
      </w:r>
      <w:proofErr w:type="spellEnd"/>
      <w:r w:rsidRPr="00F21E25">
        <w:t xml:space="preserve"> </w:t>
      </w:r>
      <w:proofErr w:type="spellStart"/>
      <w:r w:rsidRPr="00F21E25">
        <w:t>Докладчика</w:t>
      </w:r>
      <w:proofErr w:type="spellEnd"/>
      <w:r w:rsidRPr="00F21E25">
        <w:t xml:space="preserve"> </w:t>
      </w:r>
      <w:proofErr w:type="spellStart"/>
      <w:r w:rsidRPr="00F21E25">
        <w:t>или</w:t>
      </w:r>
      <w:proofErr w:type="spellEnd"/>
      <w:r w:rsidRPr="00F21E25">
        <w:t xml:space="preserve"> </w:t>
      </w:r>
      <w:proofErr w:type="spellStart"/>
      <w:r w:rsidRPr="00F21E25">
        <w:t>иную</w:t>
      </w:r>
      <w:proofErr w:type="spellEnd"/>
      <w:r w:rsidRPr="00F21E25">
        <w:t xml:space="preserve"> </w:t>
      </w:r>
      <w:proofErr w:type="spellStart"/>
      <w:r w:rsidRPr="00F21E25">
        <w:t>соответствующую</w:t>
      </w:r>
      <w:proofErr w:type="spellEnd"/>
      <w:r w:rsidRPr="00F21E25">
        <w:t xml:space="preserve"> </w:t>
      </w:r>
      <w:proofErr w:type="spellStart"/>
      <w:r w:rsidRPr="00F21E25">
        <w:t>группу</w:t>
      </w:r>
      <w:proofErr w:type="spellEnd"/>
      <w:r w:rsidRPr="00F21E25">
        <w:t xml:space="preserve"> и </w:t>
      </w:r>
      <w:proofErr w:type="spellStart"/>
      <w:r w:rsidRPr="00F21E25">
        <w:t>представлять</w:t>
      </w:r>
      <w:proofErr w:type="spellEnd"/>
      <w:r w:rsidRPr="00F21E25">
        <w:t xml:space="preserve"> </w:t>
      </w:r>
      <w:proofErr w:type="spellStart"/>
      <w:r w:rsidRPr="00F21E25">
        <w:t>отчет</w:t>
      </w:r>
      <w:proofErr w:type="spellEnd"/>
      <w:r w:rsidRPr="00F21E25">
        <w:t xml:space="preserve"> о </w:t>
      </w:r>
      <w:proofErr w:type="spellStart"/>
      <w:r w:rsidRPr="00F21E25">
        <w:t>ходе</w:t>
      </w:r>
      <w:proofErr w:type="spellEnd"/>
      <w:r w:rsidRPr="00F21E25">
        <w:t xml:space="preserve"> </w:t>
      </w:r>
      <w:proofErr w:type="spellStart"/>
      <w:r w:rsidRPr="00F21E25">
        <w:t>выполнения</w:t>
      </w:r>
      <w:proofErr w:type="spellEnd"/>
      <w:r w:rsidRPr="00F21E25">
        <w:t xml:space="preserve"> "</w:t>
      </w:r>
      <w:proofErr w:type="spellStart"/>
      <w:r w:rsidRPr="00F21E25">
        <w:t>Плана</w:t>
      </w:r>
      <w:proofErr w:type="spellEnd"/>
      <w:r w:rsidRPr="00F21E25">
        <w:t xml:space="preserve"> </w:t>
      </w:r>
      <w:proofErr w:type="spellStart"/>
      <w:r w:rsidRPr="00F21E25">
        <w:t>действий</w:t>
      </w:r>
      <w:proofErr w:type="spellEnd"/>
      <w:r w:rsidRPr="00F21E25">
        <w:t xml:space="preserve"> с </w:t>
      </w:r>
      <w:proofErr w:type="spellStart"/>
      <w:r w:rsidRPr="00F21E25">
        <w:t>целью</w:t>
      </w:r>
      <w:proofErr w:type="spellEnd"/>
      <w:r w:rsidRPr="00F21E25">
        <w:t xml:space="preserve"> </w:t>
      </w:r>
      <w:proofErr w:type="spellStart"/>
      <w:r w:rsidRPr="00F21E25">
        <w:t>анализа</w:t>
      </w:r>
      <w:proofErr w:type="spellEnd"/>
      <w:r w:rsidRPr="00F21E25">
        <w:t xml:space="preserve"> </w:t>
      </w:r>
      <w:proofErr w:type="spellStart"/>
      <w:r w:rsidRPr="00F21E25">
        <w:t>реорганизации</w:t>
      </w:r>
      <w:proofErr w:type="spellEnd"/>
      <w:r w:rsidRPr="00F21E25">
        <w:t xml:space="preserve"> </w:t>
      </w:r>
      <w:proofErr w:type="spellStart"/>
      <w:r w:rsidRPr="00F21E25">
        <w:t>исследовательских</w:t>
      </w:r>
      <w:proofErr w:type="spellEnd"/>
      <w:r w:rsidRPr="00F21E25">
        <w:t xml:space="preserve"> </w:t>
      </w:r>
      <w:proofErr w:type="spellStart"/>
      <w:r w:rsidRPr="00F21E25">
        <w:t>комиссий</w:t>
      </w:r>
      <w:proofErr w:type="spellEnd"/>
      <w:r w:rsidRPr="00F21E25">
        <w:t xml:space="preserve"> МСЭ-Т" на </w:t>
      </w:r>
      <w:proofErr w:type="spellStart"/>
      <w:r w:rsidRPr="00F21E25">
        <w:t>каждом</w:t>
      </w:r>
      <w:proofErr w:type="spellEnd"/>
      <w:r w:rsidRPr="00F21E25">
        <w:t xml:space="preserve"> </w:t>
      </w:r>
      <w:proofErr w:type="spellStart"/>
      <w:r w:rsidRPr="00F21E25">
        <w:t>собрании</w:t>
      </w:r>
      <w:proofErr w:type="spellEnd"/>
      <w:r w:rsidRPr="00F21E25">
        <w:t xml:space="preserve"> </w:t>
      </w:r>
      <w:proofErr w:type="gramStart"/>
      <w:r w:rsidRPr="00F21E25">
        <w:t>КГСЭ;</w:t>
      </w:r>
      <w:proofErr w:type="gramEnd"/>
    </w:p>
    <w:p w14:paraId="14B8A2D3" w14:textId="77777777" w:rsidR="00977E02" w:rsidRPr="00F21E25" w:rsidRDefault="00977E02" w:rsidP="00977E02">
      <w:r w:rsidRPr="00F21E25">
        <w:t>2</w:t>
      </w:r>
      <w:r w:rsidRPr="00F21E25">
        <w:tab/>
      </w:r>
      <w:proofErr w:type="spellStart"/>
      <w:r w:rsidRPr="00F21E25">
        <w:t>представлять</w:t>
      </w:r>
      <w:proofErr w:type="spellEnd"/>
      <w:r w:rsidRPr="00F21E25">
        <w:t xml:space="preserve"> </w:t>
      </w:r>
      <w:proofErr w:type="spellStart"/>
      <w:r w:rsidRPr="00F21E25">
        <w:t>исследовательским</w:t>
      </w:r>
      <w:proofErr w:type="spellEnd"/>
      <w:r w:rsidRPr="00F21E25">
        <w:t xml:space="preserve"> </w:t>
      </w:r>
      <w:proofErr w:type="spellStart"/>
      <w:r w:rsidRPr="00F21E25">
        <w:t>комиссиям</w:t>
      </w:r>
      <w:proofErr w:type="spellEnd"/>
      <w:r w:rsidRPr="00F21E25">
        <w:t xml:space="preserve"> </w:t>
      </w:r>
      <w:proofErr w:type="spellStart"/>
      <w:r w:rsidRPr="00F21E25">
        <w:t>отчет</w:t>
      </w:r>
      <w:proofErr w:type="spellEnd"/>
      <w:r w:rsidRPr="00F21E25">
        <w:t xml:space="preserve"> о </w:t>
      </w:r>
      <w:proofErr w:type="spellStart"/>
      <w:r w:rsidRPr="00F21E25">
        <w:t>ходе</w:t>
      </w:r>
      <w:proofErr w:type="spellEnd"/>
      <w:r w:rsidRPr="00F21E25">
        <w:t xml:space="preserve"> </w:t>
      </w:r>
      <w:proofErr w:type="spellStart"/>
      <w:r w:rsidRPr="00F21E25">
        <w:t>анализа</w:t>
      </w:r>
      <w:proofErr w:type="spellEnd"/>
      <w:r w:rsidRPr="00F21E25">
        <w:t xml:space="preserve"> </w:t>
      </w:r>
      <w:proofErr w:type="spellStart"/>
      <w:r w:rsidRPr="00F21E25">
        <w:t>после</w:t>
      </w:r>
      <w:proofErr w:type="spellEnd"/>
      <w:r w:rsidRPr="00F21E25">
        <w:t xml:space="preserve"> </w:t>
      </w:r>
      <w:proofErr w:type="spellStart"/>
      <w:r w:rsidRPr="00F21E25">
        <w:t>каждого</w:t>
      </w:r>
      <w:proofErr w:type="spellEnd"/>
      <w:r w:rsidRPr="00F21E25">
        <w:t xml:space="preserve"> </w:t>
      </w:r>
      <w:proofErr w:type="spellStart"/>
      <w:r w:rsidRPr="00F21E25">
        <w:t>собрания</w:t>
      </w:r>
      <w:proofErr w:type="spellEnd"/>
      <w:r w:rsidRPr="00F21E25">
        <w:t xml:space="preserve"> </w:t>
      </w:r>
      <w:proofErr w:type="gramStart"/>
      <w:r w:rsidRPr="00F21E25">
        <w:t>КГСЭ;</w:t>
      </w:r>
      <w:proofErr w:type="gramEnd"/>
    </w:p>
    <w:p w14:paraId="0A4B2769" w14:textId="77777777" w:rsidR="00977E02" w:rsidRPr="00F21E25" w:rsidRDefault="00977E02" w:rsidP="00977E02">
      <w:r w:rsidRPr="00F21E25">
        <w:t>3</w:t>
      </w:r>
      <w:r w:rsidRPr="00F21E25">
        <w:tab/>
      </w:r>
      <w:proofErr w:type="spellStart"/>
      <w:r w:rsidRPr="00F21E25">
        <w:t>представить</w:t>
      </w:r>
      <w:proofErr w:type="spellEnd"/>
      <w:r w:rsidRPr="00F21E25">
        <w:t xml:space="preserve"> </w:t>
      </w:r>
      <w:proofErr w:type="spellStart"/>
      <w:r w:rsidRPr="00F21E25">
        <w:t>отчет</w:t>
      </w:r>
      <w:proofErr w:type="spellEnd"/>
      <w:r w:rsidRPr="00F21E25">
        <w:t xml:space="preserve"> с </w:t>
      </w:r>
      <w:proofErr w:type="spellStart"/>
      <w:r w:rsidRPr="00F21E25">
        <w:t>рекомендациями</w:t>
      </w:r>
      <w:proofErr w:type="spellEnd"/>
      <w:r w:rsidRPr="00F21E25">
        <w:t xml:space="preserve"> </w:t>
      </w:r>
      <w:proofErr w:type="spellStart"/>
      <w:r w:rsidRPr="00F21E25">
        <w:t>для</w:t>
      </w:r>
      <w:proofErr w:type="spellEnd"/>
      <w:r w:rsidRPr="00F21E25">
        <w:t xml:space="preserve"> </w:t>
      </w:r>
      <w:proofErr w:type="spellStart"/>
      <w:r w:rsidRPr="00F21E25">
        <w:t>рассмотрения</w:t>
      </w:r>
      <w:proofErr w:type="spellEnd"/>
      <w:r w:rsidRPr="00F21E25">
        <w:t xml:space="preserve"> на </w:t>
      </w:r>
      <w:proofErr w:type="spellStart"/>
      <w:r w:rsidRPr="00F21E25">
        <w:t>следующей</w:t>
      </w:r>
      <w:proofErr w:type="spellEnd"/>
      <w:r w:rsidRPr="00F21E25">
        <w:t xml:space="preserve"> ВАСЭ,</w:t>
      </w:r>
    </w:p>
    <w:p w14:paraId="0033A7D0" w14:textId="77777777" w:rsidR="00977E02" w:rsidRPr="00F21E25" w:rsidRDefault="00977E02" w:rsidP="00977E02">
      <w:pPr>
        <w:pStyle w:val="Call"/>
        <w:rPr>
          <w:i w:val="0"/>
        </w:rPr>
      </w:pPr>
      <w:proofErr w:type="spellStart"/>
      <w:proofErr w:type="gramStart"/>
      <w:r w:rsidRPr="00F21E25">
        <w:t>поручает</w:t>
      </w:r>
      <w:proofErr w:type="spellEnd"/>
      <w:proofErr w:type="gramEnd"/>
      <w:r w:rsidRPr="00F21E25">
        <w:t xml:space="preserve"> </w:t>
      </w:r>
      <w:proofErr w:type="spellStart"/>
      <w:r w:rsidRPr="00F21E25">
        <w:t>исследовательским</w:t>
      </w:r>
      <w:proofErr w:type="spellEnd"/>
      <w:r w:rsidRPr="00F21E25">
        <w:t xml:space="preserve"> </w:t>
      </w:r>
      <w:proofErr w:type="spellStart"/>
      <w:r w:rsidRPr="00F21E25">
        <w:t>комиссиям</w:t>
      </w:r>
      <w:proofErr w:type="spellEnd"/>
      <w:r w:rsidRPr="00F21E25">
        <w:t xml:space="preserve"> </w:t>
      </w:r>
      <w:proofErr w:type="spellStart"/>
      <w:r w:rsidRPr="00F21E25">
        <w:t>Сектора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  <w:r w:rsidRPr="00F21E25">
        <w:t xml:space="preserve"> МСЭ</w:t>
      </w:r>
    </w:p>
    <w:p w14:paraId="58B980AC" w14:textId="77777777" w:rsidR="00977E02" w:rsidRPr="00F21E25" w:rsidRDefault="00977E02" w:rsidP="00977E02">
      <w:proofErr w:type="spellStart"/>
      <w:proofErr w:type="gramStart"/>
      <w:r w:rsidRPr="00F21E25">
        <w:t>рассматривать</w:t>
      </w:r>
      <w:proofErr w:type="spellEnd"/>
      <w:proofErr w:type="gramEnd"/>
      <w:r w:rsidRPr="00F21E25">
        <w:t xml:space="preserve"> </w:t>
      </w:r>
      <w:proofErr w:type="spellStart"/>
      <w:r w:rsidRPr="00F21E25">
        <w:t>отчеты</w:t>
      </w:r>
      <w:proofErr w:type="spellEnd"/>
      <w:r w:rsidRPr="00F21E25">
        <w:t xml:space="preserve"> и </w:t>
      </w:r>
      <w:proofErr w:type="spellStart"/>
      <w:r w:rsidRPr="00F21E25">
        <w:t>изучать</w:t>
      </w:r>
      <w:proofErr w:type="spellEnd"/>
      <w:r w:rsidRPr="00F21E25">
        <w:t xml:space="preserve"> </w:t>
      </w:r>
      <w:proofErr w:type="spellStart"/>
      <w:r w:rsidRPr="00F21E25">
        <w:t>отзывы</w:t>
      </w:r>
      <w:proofErr w:type="spellEnd"/>
      <w:r w:rsidRPr="00F21E25">
        <w:t xml:space="preserve"> </w:t>
      </w:r>
      <w:proofErr w:type="spellStart"/>
      <w:r w:rsidRPr="00F21E25">
        <w:t>об</w:t>
      </w:r>
      <w:proofErr w:type="spellEnd"/>
      <w:r w:rsidRPr="00F21E25">
        <w:t xml:space="preserve"> </w:t>
      </w:r>
      <w:proofErr w:type="spellStart"/>
      <w:r w:rsidRPr="00F21E25">
        <w:t>отчетах</w:t>
      </w:r>
      <w:proofErr w:type="spellEnd"/>
      <w:r w:rsidRPr="00F21E25">
        <w:t xml:space="preserve"> КГСЭ о </w:t>
      </w:r>
      <w:proofErr w:type="spellStart"/>
      <w:r w:rsidRPr="00F21E25">
        <w:t>ходе</w:t>
      </w:r>
      <w:proofErr w:type="spellEnd"/>
      <w:r w:rsidRPr="00F21E25">
        <w:t xml:space="preserve"> </w:t>
      </w:r>
      <w:proofErr w:type="spellStart"/>
      <w:r w:rsidRPr="00F21E25">
        <w:t>анализа</w:t>
      </w:r>
      <w:proofErr w:type="spellEnd"/>
      <w:r w:rsidRPr="00F21E25">
        <w:t xml:space="preserve"> и, </w:t>
      </w:r>
      <w:proofErr w:type="spellStart"/>
      <w:r w:rsidRPr="00F21E25">
        <w:t>при</w:t>
      </w:r>
      <w:proofErr w:type="spellEnd"/>
      <w:r w:rsidRPr="00F21E25">
        <w:t xml:space="preserve"> </w:t>
      </w:r>
      <w:proofErr w:type="spellStart"/>
      <w:r w:rsidRPr="00F21E25">
        <w:t>необходимости</w:t>
      </w:r>
      <w:proofErr w:type="spellEnd"/>
      <w:r w:rsidRPr="00F21E25">
        <w:t xml:space="preserve">, </w:t>
      </w:r>
      <w:proofErr w:type="spellStart"/>
      <w:r w:rsidRPr="00F21E25">
        <w:t>обмениваться</w:t>
      </w:r>
      <w:proofErr w:type="spellEnd"/>
      <w:r w:rsidRPr="00F21E25">
        <w:t xml:space="preserve"> </w:t>
      </w:r>
      <w:proofErr w:type="spellStart"/>
      <w:r w:rsidRPr="00F21E25">
        <w:t>отзывами</w:t>
      </w:r>
      <w:proofErr w:type="spellEnd"/>
      <w:r w:rsidRPr="00F21E25">
        <w:t xml:space="preserve">, </w:t>
      </w:r>
      <w:proofErr w:type="spellStart"/>
      <w:r w:rsidRPr="00F21E25">
        <w:t>представленными</w:t>
      </w:r>
      <w:proofErr w:type="spellEnd"/>
      <w:r w:rsidRPr="00F21E25">
        <w:t xml:space="preserve"> КГСЭ и </w:t>
      </w:r>
      <w:proofErr w:type="spellStart"/>
      <w:r w:rsidRPr="00F21E25">
        <w:t>полученными</w:t>
      </w:r>
      <w:proofErr w:type="spellEnd"/>
      <w:r w:rsidRPr="00F21E25">
        <w:t xml:space="preserve"> </w:t>
      </w:r>
      <w:proofErr w:type="spellStart"/>
      <w:r w:rsidRPr="00F21E25">
        <w:t>от</w:t>
      </w:r>
      <w:proofErr w:type="spellEnd"/>
      <w:r w:rsidRPr="00F21E25">
        <w:t xml:space="preserve"> КГСЭ,</w:t>
      </w:r>
    </w:p>
    <w:p w14:paraId="5F8A2378" w14:textId="77777777" w:rsidR="00977E02" w:rsidRPr="00F21E25" w:rsidRDefault="00977E02" w:rsidP="00977E02">
      <w:pPr>
        <w:pStyle w:val="Call"/>
      </w:pPr>
      <w:proofErr w:type="spellStart"/>
      <w:proofErr w:type="gramStart"/>
      <w:r w:rsidRPr="00F21E25">
        <w:t>поручает</w:t>
      </w:r>
      <w:proofErr w:type="spellEnd"/>
      <w:proofErr w:type="gramEnd"/>
      <w:r w:rsidRPr="00F21E25">
        <w:t xml:space="preserve"> </w:t>
      </w:r>
      <w:proofErr w:type="spellStart"/>
      <w:r w:rsidRPr="00F21E25">
        <w:t>Директору</w:t>
      </w:r>
      <w:proofErr w:type="spellEnd"/>
      <w:r w:rsidRPr="00F21E25">
        <w:t xml:space="preserve"> </w:t>
      </w:r>
      <w:proofErr w:type="spellStart"/>
      <w:r w:rsidRPr="00F21E25">
        <w:t>Бюро</w:t>
      </w:r>
      <w:proofErr w:type="spellEnd"/>
      <w:r w:rsidRPr="00F21E25">
        <w:t xml:space="preserve"> </w:t>
      </w:r>
      <w:proofErr w:type="spellStart"/>
      <w:r w:rsidRPr="00F21E25">
        <w:t>стандартизации</w:t>
      </w:r>
      <w:proofErr w:type="spellEnd"/>
      <w:r w:rsidRPr="00F21E25">
        <w:t xml:space="preserve"> </w:t>
      </w:r>
      <w:proofErr w:type="spellStart"/>
      <w:r w:rsidRPr="00F21E25">
        <w:t>электросвязи</w:t>
      </w:r>
      <w:proofErr w:type="spellEnd"/>
    </w:p>
    <w:p w14:paraId="517FAAC7" w14:textId="77777777" w:rsidR="00977E02" w:rsidRPr="00F21E25" w:rsidRDefault="00977E02" w:rsidP="00977E02">
      <w:proofErr w:type="spellStart"/>
      <w:proofErr w:type="gramStart"/>
      <w:r w:rsidRPr="00F21E25">
        <w:t>оказывать</w:t>
      </w:r>
      <w:proofErr w:type="spellEnd"/>
      <w:proofErr w:type="gramEnd"/>
      <w:r w:rsidRPr="00F21E25">
        <w:t xml:space="preserve"> </w:t>
      </w:r>
      <w:proofErr w:type="spellStart"/>
      <w:r w:rsidRPr="00F21E25">
        <w:t>необходимую</w:t>
      </w:r>
      <w:proofErr w:type="spellEnd"/>
      <w:r w:rsidRPr="00F21E25">
        <w:t xml:space="preserve"> </w:t>
      </w:r>
      <w:proofErr w:type="spellStart"/>
      <w:r w:rsidRPr="00F21E25">
        <w:t>помощь</w:t>
      </w:r>
      <w:proofErr w:type="spellEnd"/>
      <w:r w:rsidRPr="00F21E25">
        <w:t xml:space="preserve"> КГСЭ в </w:t>
      </w:r>
      <w:proofErr w:type="spellStart"/>
      <w:r w:rsidRPr="00F21E25">
        <w:t>выполнении</w:t>
      </w:r>
      <w:proofErr w:type="spellEnd"/>
      <w:r w:rsidRPr="00F21E25">
        <w:t xml:space="preserve"> </w:t>
      </w:r>
      <w:proofErr w:type="spellStart"/>
      <w:r w:rsidRPr="00F21E25">
        <w:t>настоящей</w:t>
      </w:r>
      <w:proofErr w:type="spellEnd"/>
      <w:r w:rsidRPr="00F21E25">
        <w:t xml:space="preserve"> </w:t>
      </w:r>
      <w:proofErr w:type="spellStart"/>
      <w:r w:rsidRPr="00F21E25">
        <w:t>Резолюции</w:t>
      </w:r>
      <w:proofErr w:type="spellEnd"/>
      <w:r w:rsidRPr="00F21E25">
        <w:t>,</w:t>
      </w:r>
    </w:p>
    <w:p w14:paraId="29C77B9F" w14:textId="77777777" w:rsidR="00977E02" w:rsidRPr="00F21E25" w:rsidRDefault="00977E02" w:rsidP="00977E02">
      <w:pPr>
        <w:pStyle w:val="Call"/>
        <w:rPr>
          <w:szCs w:val="22"/>
        </w:rPr>
      </w:pPr>
      <w:proofErr w:type="spellStart"/>
      <w:proofErr w:type="gramStart"/>
      <w:r w:rsidRPr="00F21E25">
        <w:t>предлагает</w:t>
      </w:r>
      <w:proofErr w:type="spellEnd"/>
      <w:proofErr w:type="gramEnd"/>
      <w:r w:rsidRPr="00F21E25">
        <w:t xml:space="preserve"> </w:t>
      </w:r>
      <w:proofErr w:type="spellStart"/>
      <w:r w:rsidRPr="00F21E25">
        <w:t>Государствам-Членам</w:t>
      </w:r>
      <w:proofErr w:type="spellEnd"/>
      <w:r w:rsidRPr="00F21E25">
        <w:t xml:space="preserve"> и </w:t>
      </w:r>
      <w:proofErr w:type="spellStart"/>
      <w:r w:rsidRPr="00F21E25">
        <w:t>Членам</w:t>
      </w:r>
      <w:proofErr w:type="spellEnd"/>
      <w:r w:rsidRPr="00F21E25">
        <w:t xml:space="preserve"> </w:t>
      </w:r>
      <w:proofErr w:type="spellStart"/>
      <w:r w:rsidRPr="00F21E25">
        <w:t>Сектора</w:t>
      </w:r>
      <w:proofErr w:type="spellEnd"/>
    </w:p>
    <w:p w14:paraId="64DE48BE" w14:textId="77777777" w:rsidR="00977E02" w:rsidRPr="00F21E25" w:rsidRDefault="00977E02" w:rsidP="00977E02">
      <w:proofErr w:type="spellStart"/>
      <w:proofErr w:type="gramStart"/>
      <w:r w:rsidRPr="00F21E25">
        <w:t>участвовать</w:t>
      </w:r>
      <w:proofErr w:type="spellEnd"/>
      <w:proofErr w:type="gramEnd"/>
      <w:r w:rsidRPr="00F21E25">
        <w:t xml:space="preserve"> в </w:t>
      </w:r>
      <w:proofErr w:type="spellStart"/>
      <w:r w:rsidRPr="00F21E25">
        <w:t>выполнении</w:t>
      </w:r>
      <w:proofErr w:type="spellEnd"/>
      <w:r w:rsidRPr="00F21E25">
        <w:t xml:space="preserve"> </w:t>
      </w:r>
      <w:proofErr w:type="spellStart"/>
      <w:r w:rsidRPr="00F21E25">
        <w:t>настоящей</w:t>
      </w:r>
      <w:proofErr w:type="spellEnd"/>
      <w:r w:rsidRPr="00F21E25">
        <w:t xml:space="preserve"> </w:t>
      </w:r>
      <w:proofErr w:type="spellStart"/>
      <w:r w:rsidRPr="00F21E25">
        <w:t>Резолюции</w:t>
      </w:r>
      <w:proofErr w:type="spellEnd"/>
      <w:r w:rsidRPr="00F21E25">
        <w:t xml:space="preserve"> и </w:t>
      </w:r>
      <w:proofErr w:type="spellStart"/>
      <w:r w:rsidRPr="00F21E25">
        <w:t>вносить</w:t>
      </w:r>
      <w:proofErr w:type="spellEnd"/>
      <w:r w:rsidRPr="00F21E25">
        <w:t xml:space="preserve"> </w:t>
      </w:r>
      <w:proofErr w:type="spellStart"/>
      <w:r w:rsidRPr="00F21E25">
        <w:t>свой</w:t>
      </w:r>
      <w:proofErr w:type="spellEnd"/>
      <w:r w:rsidRPr="00F21E25">
        <w:t xml:space="preserve"> </w:t>
      </w:r>
      <w:proofErr w:type="spellStart"/>
      <w:r w:rsidRPr="00F21E25">
        <w:t>вклад</w:t>
      </w:r>
      <w:proofErr w:type="spellEnd"/>
      <w:r w:rsidRPr="00F21E25">
        <w:t xml:space="preserve"> в </w:t>
      </w:r>
      <w:proofErr w:type="spellStart"/>
      <w:r w:rsidRPr="00F21E25">
        <w:t>ее</w:t>
      </w:r>
      <w:proofErr w:type="spellEnd"/>
      <w:r w:rsidRPr="00F21E25">
        <w:t xml:space="preserve"> </w:t>
      </w:r>
      <w:proofErr w:type="spellStart"/>
      <w:r w:rsidRPr="00F21E25">
        <w:t>выполнение</w:t>
      </w:r>
      <w:proofErr w:type="spellEnd"/>
      <w:r w:rsidRPr="00F21E25">
        <w:t>.</w:t>
      </w:r>
    </w:p>
    <w:p w14:paraId="3E9993E4" w14:textId="77777777" w:rsidR="00977E02" w:rsidRDefault="00977E02" w:rsidP="00977E02">
      <w:pPr>
        <w:pStyle w:val="Reasons"/>
        <w:rPr>
          <w:lang w:val="en-US"/>
        </w:rPr>
      </w:pPr>
    </w:p>
    <w:p w14:paraId="2B8CF71C" w14:textId="77777777" w:rsidR="008B1980" w:rsidRDefault="008B1980" w:rsidP="00977E02">
      <w:pPr>
        <w:pStyle w:val="Reasons"/>
        <w:rPr>
          <w:lang w:val="en-US"/>
        </w:rPr>
      </w:pPr>
    </w:p>
    <w:p w14:paraId="4D1675D4" w14:textId="77777777" w:rsidR="008B1980" w:rsidRDefault="008B1980" w:rsidP="00977E02">
      <w:pPr>
        <w:pStyle w:val="Reasons"/>
        <w:rPr>
          <w:lang w:val="en-US"/>
        </w:rPr>
      </w:pPr>
    </w:p>
    <w:p w14:paraId="6357A7E9" w14:textId="77777777" w:rsidR="008B1980" w:rsidRDefault="008B1980" w:rsidP="00977E02">
      <w:pPr>
        <w:pStyle w:val="Reasons"/>
        <w:rPr>
          <w:lang w:val="en-US"/>
        </w:rPr>
      </w:pPr>
    </w:p>
    <w:p w14:paraId="5BBB223D" w14:textId="77777777" w:rsidR="008B1980" w:rsidRDefault="008B1980" w:rsidP="00977E02">
      <w:pPr>
        <w:pStyle w:val="Reasons"/>
        <w:rPr>
          <w:lang w:val="en-US"/>
        </w:rPr>
      </w:pPr>
    </w:p>
    <w:p w14:paraId="6D76CCBE" w14:textId="77777777" w:rsidR="008B1980" w:rsidRDefault="008B1980" w:rsidP="00977E02">
      <w:pPr>
        <w:pStyle w:val="Reasons"/>
        <w:rPr>
          <w:lang w:val="en-US"/>
        </w:rPr>
      </w:pPr>
    </w:p>
    <w:p w14:paraId="0D5E9D4E" w14:textId="77777777" w:rsidR="008B1980" w:rsidRDefault="008B1980" w:rsidP="00977E02">
      <w:pPr>
        <w:pStyle w:val="Reasons"/>
        <w:rPr>
          <w:lang w:val="en-US"/>
        </w:rPr>
      </w:pPr>
    </w:p>
    <w:p w14:paraId="27E954AB" w14:textId="77777777" w:rsidR="008B1980" w:rsidRDefault="008B1980" w:rsidP="00977E02">
      <w:pPr>
        <w:pStyle w:val="Reasons"/>
        <w:rPr>
          <w:lang w:val="en-US"/>
        </w:rPr>
      </w:pPr>
    </w:p>
    <w:p w14:paraId="278D95AD" w14:textId="77777777" w:rsidR="008B1980" w:rsidRDefault="008B1980" w:rsidP="00977E02">
      <w:pPr>
        <w:pStyle w:val="Reasons"/>
        <w:rPr>
          <w:lang w:val="en-US"/>
        </w:rPr>
      </w:pPr>
    </w:p>
    <w:p w14:paraId="32C76629" w14:textId="77777777" w:rsidR="008B1980" w:rsidRDefault="008B1980" w:rsidP="00977E02">
      <w:pPr>
        <w:pStyle w:val="Reasons"/>
        <w:rPr>
          <w:lang w:val="en-US"/>
        </w:rPr>
      </w:pPr>
    </w:p>
    <w:p w14:paraId="29D8A016" w14:textId="77777777" w:rsidR="008B1980" w:rsidRDefault="008B1980" w:rsidP="00977E02">
      <w:pPr>
        <w:pStyle w:val="Reasons"/>
        <w:rPr>
          <w:lang w:val="en-US"/>
        </w:rPr>
      </w:pPr>
    </w:p>
    <w:p w14:paraId="1BD96C3A" w14:textId="77777777" w:rsidR="008B1980" w:rsidRDefault="008B1980" w:rsidP="00977E02">
      <w:pPr>
        <w:pStyle w:val="Reasons"/>
        <w:rPr>
          <w:lang w:val="en-US"/>
        </w:rPr>
      </w:pPr>
    </w:p>
    <w:p w14:paraId="6BA3DFEB" w14:textId="77777777" w:rsidR="008B1980" w:rsidRDefault="008B1980" w:rsidP="00977E02">
      <w:pPr>
        <w:pStyle w:val="Reasons"/>
        <w:rPr>
          <w:lang w:val="en-US"/>
        </w:rPr>
      </w:pPr>
    </w:p>
    <w:p w14:paraId="41EF71B3" w14:textId="77777777" w:rsidR="008B1980" w:rsidRDefault="008B1980" w:rsidP="00977E02">
      <w:pPr>
        <w:pStyle w:val="Reasons"/>
        <w:rPr>
          <w:lang w:val="en-US"/>
        </w:rPr>
      </w:pPr>
    </w:p>
    <w:p w14:paraId="6743DD40" w14:textId="77777777" w:rsidR="008B1980" w:rsidRDefault="008B1980" w:rsidP="00977E02">
      <w:pPr>
        <w:pStyle w:val="Reasons"/>
        <w:rPr>
          <w:lang w:val="en-US"/>
        </w:rPr>
      </w:pPr>
    </w:p>
    <w:p w14:paraId="2499F014" w14:textId="77777777" w:rsidR="008B1980" w:rsidRDefault="008B1980" w:rsidP="00977E02">
      <w:pPr>
        <w:pStyle w:val="Reasons"/>
        <w:rPr>
          <w:lang w:val="en-US"/>
        </w:rPr>
      </w:pPr>
    </w:p>
    <w:p w14:paraId="72837426" w14:textId="77777777" w:rsidR="008B1980" w:rsidRDefault="008B1980" w:rsidP="00977E02">
      <w:pPr>
        <w:pStyle w:val="Reasons"/>
        <w:rPr>
          <w:lang w:val="en-US"/>
        </w:rPr>
      </w:pPr>
    </w:p>
    <w:p w14:paraId="5867706E" w14:textId="77777777" w:rsidR="008B1980" w:rsidRDefault="008B1980" w:rsidP="00977E02">
      <w:pPr>
        <w:pStyle w:val="Reasons"/>
        <w:rPr>
          <w:lang w:val="en-US"/>
        </w:rPr>
      </w:pPr>
    </w:p>
    <w:p w14:paraId="048CA1A7" w14:textId="77777777" w:rsidR="008B1980" w:rsidRPr="008B1980" w:rsidRDefault="008B1980" w:rsidP="00977E02">
      <w:pPr>
        <w:pStyle w:val="Reasons"/>
        <w:rPr>
          <w:lang w:val="en-US"/>
        </w:rPr>
      </w:pPr>
    </w:p>
    <w:p w14:paraId="7375E701" w14:textId="77777777" w:rsidR="00151BAA" w:rsidRPr="00B9509A" w:rsidRDefault="00151BAA" w:rsidP="00977E02">
      <w:pPr>
        <w:pStyle w:val="ResNo"/>
      </w:pPr>
    </w:p>
    <w:sectPr w:rsidR="00151BAA" w:rsidRPr="00B9509A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0E742B88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BC7CA5" w:rsidRPr="00BC7CA5">
      <w:rPr>
        <w:noProof/>
        <w:szCs w:val="22"/>
        <w:lang w:val="en-US"/>
      </w:rPr>
      <w:t>99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30114D4D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BC7CA5" w:rsidRPr="00BC7CA5">
      <w:rPr>
        <w:noProof/>
        <w:szCs w:val="22"/>
        <w:lang w:val="en-US"/>
      </w:rPr>
      <w:t>99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4554A029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BC7CA5" w:rsidRPr="00BC7CA5">
      <w:rPr>
        <w:noProof/>
        <w:szCs w:val="22"/>
        <w:lang w:val="en-US"/>
      </w:rPr>
      <w:t>99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2728D"/>
    <w:rsid w:val="0003503D"/>
    <w:rsid w:val="0006097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51BAA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66279"/>
    <w:rsid w:val="002742C3"/>
    <w:rsid w:val="00281FC7"/>
    <w:rsid w:val="002A60C5"/>
    <w:rsid w:val="002C182C"/>
    <w:rsid w:val="002D336F"/>
    <w:rsid w:val="002D5607"/>
    <w:rsid w:val="002E1B7B"/>
    <w:rsid w:val="002E6A20"/>
    <w:rsid w:val="00331B2F"/>
    <w:rsid w:val="003374BB"/>
    <w:rsid w:val="0035222D"/>
    <w:rsid w:val="0038237B"/>
    <w:rsid w:val="003C3FD9"/>
    <w:rsid w:val="003D116F"/>
    <w:rsid w:val="003D7A8C"/>
    <w:rsid w:val="003F293E"/>
    <w:rsid w:val="00420F50"/>
    <w:rsid w:val="004568D2"/>
    <w:rsid w:val="004612A7"/>
    <w:rsid w:val="00462F6A"/>
    <w:rsid w:val="00467305"/>
    <w:rsid w:val="004874AC"/>
    <w:rsid w:val="0048772A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D19E5"/>
    <w:rsid w:val="005D1D45"/>
    <w:rsid w:val="005D4393"/>
    <w:rsid w:val="00601999"/>
    <w:rsid w:val="00611CD0"/>
    <w:rsid w:val="006258A0"/>
    <w:rsid w:val="00631549"/>
    <w:rsid w:val="006425B4"/>
    <w:rsid w:val="00647B88"/>
    <w:rsid w:val="00652F47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6747"/>
    <w:rsid w:val="0073220E"/>
    <w:rsid w:val="0074102F"/>
    <w:rsid w:val="007550BF"/>
    <w:rsid w:val="00776E82"/>
    <w:rsid w:val="00780423"/>
    <w:rsid w:val="00781E25"/>
    <w:rsid w:val="007828CF"/>
    <w:rsid w:val="00783EB8"/>
    <w:rsid w:val="007958DD"/>
    <w:rsid w:val="007C00E3"/>
    <w:rsid w:val="007E0240"/>
    <w:rsid w:val="007F32A3"/>
    <w:rsid w:val="008075CD"/>
    <w:rsid w:val="00837339"/>
    <w:rsid w:val="00845E8E"/>
    <w:rsid w:val="00851E30"/>
    <w:rsid w:val="0088751E"/>
    <w:rsid w:val="008968B6"/>
    <w:rsid w:val="008B1980"/>
    <w:rsid w:val="008B4CF6"/>
    <w:rsid w:val="008B634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1915"/>
    <w:rsid w:val="00974C0C"/>
    <w:rsid w:val="009755D7"/>
    <w:rsid w:val="00977E02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47887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9509A"/>
    <w:rsid w:val="00BA7AC5"/>
    <w:rsid w:val="00BB34EA"/>
    <w:rsid w:val="00BC7CA5"/>
    <w:rsid w:val="00BE58E6"/>
    <w:rsid w:val="00BF610E"/>
    <w:rsid w:val="00C12E70"/>
    <w:rsid w:val="00C32F69"/>
    <w:rsid w:val="00C42785"/>
    <w:rsid w:val="00C437DF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2388"/>
    <w:rsid w:val="00EB3556"/>
    <w:rsid w:val="00EE1126"/>
    <w:rsid w:val="00EE2FE2"/>
    <w:rsid w:val="00EE4B7A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9579B"/>
    <w:rsid w:val="00FA70B7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B2388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B2388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B2388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B2388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57</TotalTime>
  <Pages>4</Pages>
  <Words>654</Words>
  <Characters>4832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99 (Пересм. Нью-Дели, 2024 г.) Реструктуризация исследовательских комиссий Сектора стандартизации электросвязи МСЭ</vt:lpstr>
    </vt:vector>
  </TitlesOfParts>
  <Company>ITU</Company>
  <LinksUpToDate>false</LinksUpToDate>
  <CharactersWithSpaces>5476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99 (Пересм. Нью-Дели, 2024 г.) Реструктуризация исследовательских комиссий Сектора стандартизации электросвязи МСЭ</dc:title>
  <dc:subject>WORLD TELECOMMUNICATION STANDARDIZATION ASSEMBLY - Florianópolis, 5-14 October 2004</dc:subject>
  <dc:creator>ITU-T</dc:creator>
  <cp:keywords/>
  <dc:description/>
  <cp:lastModifiedBy>Berdyeva, Elena</cp:lastModifiedBy>
  <cp:revision>39</cp:revision>
  <cp:lastPrinted>2024-11-27T09:17:00Z</cp:lastPrinted>
  <dcterms:created xsi:type="dcterms:W3CDTF">2024-09-24T12:18:00Z</dcterms:created>
  <dcterms:modified xsi:type="dcterms:W3CDTF">2024-11-27T09:18:00Z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