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
        </w:tc>
        <w:tc>
          <w:tcPr>
            <w:tcW w:w="5670" w:type="dxa"/>
          </w:tcPr>
          <w:p w14:paraId="0E9475D3" w14:textId="3200E3D8" w:rsidR="00EA2A26" w:rsidRPr="00EA2A26" w:rsidRDefault="002A37D9" w:rsidP="00A3085D">
            <w:pPr>
              <w:spacing w:before="60"/>
              <w:jc w:val="right"/>
              <w:rPr>
                <w:rFonts w:ascii="Arial" w:eastAsia="Avenir Next W1G Medium" w:hAnsi="Arial" w:cs="Arial"/>
                <w:sz w:val="24"/>
                <w:szCs w:val="24"/>
              </w:rPr>
            </w:pPr>
            <w:r w:rsidRPr="002A37D9">
              <w:rPr>
                <w:rFonts w:ascii="Arial" w:eastAsia="Avenir Next W1G Medium" w:hAnsi="Arial" w:cs="Arial"/>
                <w:b/>
                <w:spacing w:val="-4"/>
                <w:sz w:val="24"/>
                <w:szCs w:val="24"/>
              </w:rPr>
              <w:t xml:space="preserve">Union </w:t>
            </w:r>
            <w:r w:rsidR="00423BC5" w:rsidRPr="002A37D9">
              <w:rPr>
                <w:rFonts w:ascii="Arial" w:eastAsia="Avenir Next W1G Medium" w:hAnsi="Arial" w:cs="Arial"/>
                <w:b/>
                <w:spacing w:val="-4"/>
                <w:sz w:val="24"/>
                <w:szCs w:val="24"/>
              </w:rPr>
              <w:t>internationale des télécommunications</w:t>
            </w:r>
          </w:p>
        </w:tc>
      </w:tr>
      <w:tr w:rsidR="00EA2A26" w:rsidRPr="0033681A" w14:paraId="42C85EB6" w14:textId="77777777" w:rsidTr="00367A2B">
        <w:trPr>
          <w:trHeight w:hRule="exact" w:val="992"/>
        </w:trPr>
        <w:tc>
          <w:tcPr>
            <w:tcW w:w="5070" w:type="dxa"/>
            <w:gridSpan w:val="2"/>
          </w:tcPr>
          <w:p w14:paraId="68B26EDA" w14:textId="18AF1AF0" w:rsidR="00EA2A26" w:rsidRPr="00EA2A26" w:rsidRDefault="0053765D" w:rsidP="00367A2B">
            <w:pPr>
              <w:spacing w:before="0"/>
              <w:rPr>
                <w:rFonts w:ascii="Arial" w:eastAsia="Avenir Next W1G Medium" w:hAnsi="Arial" w:cs="Arial"/>
                <w:sz w:val="24"/>
                <w:szCs w:val="24"/>
              </w:rPr>
            </w:pPr>
            <w:r>
              <w:rPr>
                <w:rFonts w:ascii="Arial" w:eastAsia="Avenir Next W1G Medium" w:hAnsi="Arial" w:cs="Arial"/>
                <w:sz w:val="24"/>
                <w:szCs w:val="24"/>
              </w:rPr>
              <w:t>R</w:t>
            </w:r>
            <w:r w:rsidR="002A37D9">
              <w:rPr>
                <w:rFonts w:ascii="Arial" w:eastAsia="Avenir Next W1G Medium" w:hAnsi="Arial" w:cs="Arial"/>
                <w:sz w:val="24"/>
                <w:szCs w:val="24"/>
              </w:rPr>
              <w:t>é</w:t>
            </w:r>
            <w:r>
              <w:rPr>
                <w:rFonts w:ascii="Arial" w:eastAsia="Avenir Next W1G Medium" w:hAnsi="Arial" w:cs="Arial"/>
                <w:sz w:val="24"/>
                <w:szCs w:val="24"/>
              </w:rPr>
              <w:t>solutions</w:t>
            </w:r>
          </w:p>
        </w:tc>
        <w:tc>
          <w:tcPr>
            <w:tcW w:w="5670" w:type="dxa"/>
          </w:tcPr>
          <w:p w14:paraId="20539D5B" w14:textId="4199643B" w:rsidR="00EA2A26" w:rsidRPr="00EA2A26" w:rsidRDefault="002A37D9" w:rsidP="00367A2B">
            <w:pPr>
              <w:spacing w:before="0"/>
              <w:jc w:val="right"/>
              <w:rPr>
                <w:rFonts w:ascii="Arial" w:eastAsia="Avenir Next W1G Medium" w:hAnsi="Arial" w:cs="Arial"/>
                <w:sz w:val="24"/>
                <w:szCs w:val="24"/>
              </w:rPr>
            </w:pPr>
            <w:r w:rsidRPr="002A37D9">
              <w:rPr>
                <w:rFonts w:ascii="Arial" w:eastAsia="Avenir Next W1G Medium" w:hAnsi="Arial" w:cs="Arial"/>
                <w:sz w:val="24"/>
                <w:szCs w:val="24"/>
              </w:rPr>
              <w:t xml:space="preserve">Secteur de la </w:t>
            </w:r>
            <w:r>
              <w:rPr>
                <w:rFonts w:ascii="Arial" w:eastAsia="Avenir Next W1G Medium" w:hAnsi="Arial" w:cs="Arial"/>
                <w:sz w:val="24"/>
                <w:szCs w:val="24"/>
              </w:rPr>
              <w:t>n</w:t>
            </w:r>
            <w:r w:rsidRPr="002A37D9">
              <w:rPr>
                <w:rFonts w:ascii="Arial" w:eastAsia="Avenir Next W1G Medium" w:hAnsi="Arial" w:cs="Arial"/>
                <w:sz w:val="24"/>
                <w:szCs w:val="24"/>
              </w:rPr>
              <w:t>ormalisation</w:t>
            </w:r>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after="240"/>
              <w:rPr>
                <w:spacing w:val="-6"/>
                <w:sz w:val="44"/>
                <w:szCs w:val="44"/>
                <w:lang w:val="en-GB"/>
              </w:rPr>
            </w:pPr>
          </w:p>
        </w:tc>
      </w:tr>
      <w:tr w:rsidR="00EA2A26" w:rsidRPr="00423BC5"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171B489D" w:rsidR="00EA2A26" w:rsidRPr="00423BC5" w:rsidRDefault="00423BC5" w:rsidP="00EA2A26">
            <w:pPr>
              <w:widowControl w:val="0"/>
              <w:tabs>
                <w:tab w:val="clear" w:pos="794"/>
                <w:tab w:val="clear" w:pos="1191"/>
                <w:tab w:val="clear" w:pos="1588"/>
                <w:tab w:val="clear" w:pos="1985"/>
              </w:tabs>
              <w:overflowPunct/>
              <w:adjustRightInd/>
              <w:spacing w:before="276"/>
              <w:jc w:val="left"/>
              <w:textAlignment w:val="auto"/>
              <w:rPr>
                <w:rFonts w:ascii="Arial" w:hAnsi="Arial" w:cs="Arial"/>
                <w:sz w:val="36"/>
                <w:szCs w:val="36"/>
                <w:lang w:val="fr-CH"/>
              </w:rPr>
            </w:pPr>
            <w:r w:rsidRPr="00423BC5">
              <w:rPr>
                <w:rFonts w:ascii="Arial" w:hAnsi="Arial" w:cs="Arial"/>
                <w:sz w:val="36"/>
                <w:szCs w:val="36"/>
                <w:lang w:val="fr-CH"/>
              </w:rPr>
              <w:t xml:space="preserve">ASSEMBLÉE MONDIALE DE NORMALISATION DES TÉLÉCOMMUNICATIONS </w:t>
            </w:r>
            <w:r w:rsidR="00EA2A26" w:rsidRPr="00423BC5">
              <w:rPr>
                <w:rFonts w:ascii="Arial" w:hAnsi="Arial" w:cs="Arial"/>
                <w:sz w:val="36"/>
                <w:szCs w:val="36"/>
                <w:lang w:val="fr-CH"/>
              </w:rPr>
              <w:br/>
              <w:t xml:space="preserve">New Delhi, 15-24 </w:t>
            </w:r>
            <w:r>
              <w:rPr>
                <w:rFonts w:ascii="Arial" w:hAnsi="Arial" w:cs="Arial"/>
                <w:sz w:val="36"/>
                <w:szCs w:val="36"/>
                <w:lang w:val="fr-CH"/>
              </w:rPr>
              <w:t xml:space="preserve">octobre </w:t>
            </w:r>
            <w:r w:rsidR="00EA2A26" w:rsidRPr="00423BC5">
              <w:rPr>
                <w:rFonts w:ascii="Arial" w:hAnsi="Arial" w:cs="Arial"/>
                <w:sz w:val="36"/>
                <w:szCs w:val="36"/>
                <w:lang w:val="fr-CH"/>
              </w:rPr>
              <w:t>2024</w:t>
            </w:r>
          </w:p>
          <w:p w14:paraId="318F1603" w14:textId="77777777" w:rsidR="00EA2A26" w:rsidRPr="00423BC5" w:rsidRDefault="00EA2A26" w:rsidP="00367A2B">
            <w:pPr>
              <w:rPr>
                <w:lang w:val="fr-CH"/>
              </w:rPr>
            </w:pPr>
          </w:p>
        </w:tc>
      </w:tr>
      <w:tr w:rsidR="00EA2A26" w:rsidRPr="0033681A" w14:paraId="40EA4FB7" w14:textId="77777777" w:rsidTr="00367A2B">
        <w:trPr>
          <w:trHeight w:val="743"/>
        </w:trPr>
        <w:tc>
          <w:tcPr>
            <w:tcW w:w="817" w:type="dxa"/>
          </w:tcPr>
          <w:p w14:paraId="5A48D328" w14:textId="77777777" w:rsidR="00EA2A26" w:rsidRPr="00423BC5" w:rsidRDefault="00EA2A26" w:rsidP="00367A2B">
            <w:pPr>
              <w:tabs>
                <w:tab w:val="right" w:pos="9639"/>
              </w:tabs>
              <w:rPr>
                <w:rFonts w:ascii="Arial" w:hAnsi="Arial" w:cs="Arial"/>
                <w:sz w:val="48"/>
                <w:szCs w:val="48"/>
                <w:lang w:val="fr-CH"/>
              </w:rPr>
            </w:pPr>
          </w:p>
        </w:tc>
        <w:tc>
          <w:tcPr>
            <w:tcW w:w="9923" w:type="dxa"/>
            <w:gridSpan w:val="2"/>
            <w:tcBorders>
              <w:top w:val="single" w:sz="8" w:space="0" w:color="auto"/>
            </w:tcBorders>
          </w:tcPr>
          <w:p w14:paraId="51262F1D" w14:textId="6AEB8307" w:rsidR="00EA2A26" w:rsidRPr="00C82348" w:rsidRDefault="00EA2A26" w:rsidP="007D644E">
            <w:pPr>
              <w:pStyle w:val="BodyText"/>
              <w:spacing w:before="440"/>
              <w:jc w:val="left"/>
              <w:rPr>
                <w:spacing w:val="-6"/>
                <w:sz w:val="44"/>
                <w:szCs w:val="44"/>
                <w:lang w:val="fr-CH"/>
              </w:rPr>
            </w:pPr>
            <w:r w:rsidRPr="00430B6A">
              <w:rPr>
                <w:spacing w:val="-6"/>
                <w:sz w:val="44"/>
                <w:szCs w:val="44"/>
                <w:lang w:val="fr-CH"/>
              </w:rPr>
              <w:t>R</w:t>
            </w:r>
            <w:r w:rsidR="002A37D9" w:rsidRPr="00430B6A">
              <w:rPr>
                <w:spacing w:val="-6"/>
                <w:sz w:val="44"/>
                <w:szCs w:val="44"/>
                <w:lang w:val="fr-CH"/>
              </w:rPr>
              <w:t>é</w:t>
            </w:r>
            <w:r w:rsidRPr="00430B6A">
              <w:rPr>
                <w:spacing w:val="-6"/>
                <w:sz w:val="44"/>
                <w:szCs w:val="44"/>
                <w:lang w:val="fr-CH"/>
              </w:rPr>
              <w:t xml:space="preserve">solution </w:t>
            </w:r>
            <w:r w:rsidR="00882F44">
              <w:rPr>
                <w:spacing w:val="-6"/>
                <w:sz w:val="44"/>
                <w:szCs w:val="44"/>
                <w:lang w:val="fr-CH"/>
              </w:rPr>
              <w:t>9</w:t>
            </w:r>
            <w:r w:rsidR="007D644E">
              <w:rPr>
                <w:spacing w:val="-6"/>
                <w:sz w:val="44"/>
                <w:szCs w:val="44"/>
                <w:lang w:val="fr-CH"/>
              </w:rPr>
              <w:t>9</w:t>
            </w:r>
            <w:r w:rsidR="00845E8E" w:rsidRPr="00430B6A">
              <w:rPr>
                <w:spacing w:val="-6"/>
                <w:sz w:val="44"/>
                <w:szCs w:val="44"/>
                <w:lang w:val="fr-CH"/>
              </w:rPr>
              <w:t xml:space="preserve"> – </w:t>
            </w:r>
            <w:r w:rsidR="007D644E" w:rsidRPr="007D644E">
              <w:rPr>
                <w:spacing w:val="-6"/>
                <w:sz w:val="44"/>
                <w:szCs w:val="44"/>
                <w:lang w:val="fr-CH"/>
              </w:rPr>
              <w:t>Restructuration des commissions d'études du Secteur de la</w:t>
            </w:r>
            <w:r w:rsidR="007D644E">
              <w:rPr>
                <w:spacing w:val="-6"/>
                <w:sz w:val="44"/>
                <w:szCs w:val="44"/>
                <w:lang w:val="fr-CH"/>
              </w:rPr>
              <w:t xml:space="preserve"> </w:t>
            </w:r>
            <w:r w:rsidR="007D644E" w:rsidRPr="007D644E">
              <w:rPr>
                <w:spacing w:val="-6"/>
                <w:sz w:val="44"/>
                <w:szCs w:val="44"/>
                <w:lang w:val="fr-CH"/>
              </w:rPr>
              <w:t>normalisation des télécommunications de l'UIT</w:t>
            </w:r>
          </w:p>
        </w:tc>
      </w:tr>
    </w:tbl>
    <w:p w14:paraId="7800F3B2" w14:textId="77777777" w:rsidR="00EA2A26" w:rsidRPr="00A14194" w:rsidRDefault="00EA2A26" w:rsidP="000256C9">
      <w:pPr>
        <w:rPr>
          <w:sz w:val="18"/>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8"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33681A" w:rsidRDefault="00EA2A26" w:rsidP="000256C9">
      <w:pPr>
        <w:sectPr w:rsidR="00EA2A26" w:rsidRPr="0033681A" w:rsidSect="00EA2A26">
          <w:headerReference w:type="even" r:id="rId9"/>
          <w:headerReference w:type="default" r:id="rId10"/>
          <w:type w:val="oddPage"/>
          <w:pgSz w:w="11907" w:h="16840" w:code="9"/>
          <w:pgMar w:top="1038" w:right="601" w:bottom="1860" w:left="618" w:header="567" w:footer="284" w:gutter="0"/>
          <w:pgNumType w:start="1"/>
          <w:cols w:space="720"/>
          <w:titlePg/>
          <w:docGrid w:linePitch="326"/>
        </w:sectPr>
      </w:pPr>
    </w:p>
    <w:p w14:paraId="4E8E85DC" w14:textId="2F098ECD" w:rsidR="008968B6" w:rsidRPr="00C26DF8" w:rsidRDefault="002A37D9" w:rsidP="00AA1264">
      <w:pPr>
        <w:spacing w:before="480"/>
        <w:jc w:val="center"/>
        <w:rPr>
          <w:lang w:val="fr-CH"/>
        </w:rPr>
      </w:pPr>
      <w:bookmarkStart w:id="1" w:name="irecnoe"/>
      <w:bookmarkEnd w:id="1"/>
      <w:r w:rsidRPr="002A37D9">
        <w:lastRenderedPageBreak/>
        <w:t>AVANT-PROPOS</w:t>
      </w:r>
    </w:p>
    <w:p w14:paraId="14492629" w14:textId="77777777" w:rsidR="002A37D9" w:rsidRPr="002A37D9" w:rsidRDefault="002A37D9" w:rsidP="002A37D9">
      <w:pPr>
        <w:spacing w:line="240" w:lineRule="exact"/>
        <w:rPr>
          <w:sz w:val="20"/>
        </w:rPr>
      </w:pPr>
      <w:r w:rsidRPr="002A37D9">
        <w:rPr>
          <w:sz w:val="20"/>
        </w:rPr>
        <w:t>L'Union internationale des télécommunications (UIT) est une institution spécialisée des Nations Unies dans le domaine des télécommunications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télécommunications à l'échelle mondiale.</w:t>
      </w:r>
    </w:p>
    <w:p w14:paraId="55499D87" w14:textId="77777777" w:rsidR="002A37D9" w:rsidRPr="002A37D9" w:rsidRDefault="002A37D9" w:rsidP="002A37D9">
      <w:pPr>
        <w:spacing w:line="240" w:lineRule="exact"/>
        <w:rPr>
          <w:sz w:val="20"/>
        </w:rPr>
      </w:pPr>
      <w:r w:rsidRPr="002A37D9">
        <w:rPr>
          <w:sz w:val="20"/>
        </w:rPr>
        <w:t>L'Assemblée mondiale de normalisation des télécommunications (AMNT), qui se réunit tous les quatre ans, détermine les thèmes d'étude à traiter par les Commissions d'études de l'UIT-T, lesquelles élaborent en retour des Recommandations sur ces thèmes.</w:t>
      </w:r>
      <w:bookmarkStart w:id="2" w:name="iitexte"/>
    </w:p>
    <w:p w14:paraId="042D2B73" w14:textId="77777777" w:rsidR="002A37D9" w:rsidRPr="002A37D9" w:rsidRDefault="002A37D9" w:rsidP="002A37D9">
      <w:pPr>
        <w:spacing w:line="240" w:lineRule="exact"/>
        <w:rPr>
          <w:sz w:val="20"/>
        </w:rPr>
      </w:pPr>
      <w:r w:rsidRPr="002A37D9">
        <w:rPr>
          <w:sz w:val="20"/>
        </w:rPr>
        <w:t>L'approbation des Recommandations par les Membres de l'UIT-T s'effectue selon la procédure définie dans la Résolution 1 de l'AMNT.</w:t>
      </w:r>
      <w:bookmarkEnd w:id="2"/>
    </w:p>
    <w:p w14:paraId="640B1B4E" w14:textId="53E8815D" w:rsidR="000E4393" w:rsidRPr="002A37D9" w:rsidRDefault="002A37D9" w:rsidP="002A37D9">
      <w:pPr>
        <w:spacing w:line="240" w:lineRule="exact"/>
        <w:rPr>
          <w:sz w:val="20"/>
          <w:lang w:val="fr-CH"/>
        </w:rPr>
      </w:pPr>
      <w:r w:rsidRPr="002A37D9">
        <w:rPr>
          <w:sz w:val="20"/>
        </w:rPr>
        <w:t>Dans certains secteurs des technologies de l'information qui correspondent à la sphère de compétence de l'UIT-T, les normes nécessaires se préparent en collaboration avec l'ISO et la CEI.</w:t>
      </w:r>
    </w:p>
    <w:p w14:paraId="192371AE" w14:textId="77777777" w:rsidR="000E4393" w:rsidRPr="002A37D9" w:rsidRDefault="000E4393" w:rsidP="000E4393">
      <w:pPr>
        <w:spacing w:line="240" w:lineRule="exact"/>
        <w:jc w:val="center"/>
        <w:rPr>
          <w:sz w:val="20"/>
          <w:lang w:val="fr-CH"/>
        </w:rPr>
      </w:pPr>
    </w:p>
    <w:p w14:paraId="7FCCDABA" w14:textId="77777777" w:rsidR="000E4393" w:rsidRPr="002A37D9" w:rsidRDefault="000E4393" w:rsidP="000E4393">
      <w:pPr>
        <w:spacing w:line="240" w:lineRule="exact"/>
        <w:jc w:val="center"/>
        <w:rPr>
          <w:sz w:val="20"/>
          <w:lang w:val="fr-CH"/>
        </w:rPr>
      </w:pPr>
    </w:p>
    <w:p w14:paraId="70F00C73" w14:textId="77777777" w:rsidR="000E4393" w:rsidRPr="002A37D9" w:rsidRDefault="000E4393" w:rsidP="000E4393">
      <w:pPr>
        <w:spacing w:line="240" w:lineRule="exact"/>
        <w:jc w:val="center"/>
        <w:rPr>
          <w:sz w:val="20"/>
          <w:lang w:val="fr-CH"/>
        </w:rPr>
      </w:pPr>
    </w:p>
    <w:p w14:paraId="441A93C9" w14:textId="77777777" w:rsidR="000E4393" w:rsidRPr="002A37D9" w:rsidRDefault="000E4393" w:rsidP="000E4393">
      <w:pPr>
        <w:spacing w:line="240" w:lineRule="exact"/>
        <w:jc w:val="center"/>
        <w:rPr>
          <w:sz w:val="20"/>
          <w:lang w:val="fr-CH"/>
        </w:rPr>
      </w:pPr>
    </w:p>
    <w:p w14:paraId="4AA4512C" w14:textId="77777777" w:rsidR="000E4393" w:rsidRPr="002A37D9" w:rsidRDefault="000E4393" w:rsidP="000E4393">
      <w:pPr>
        <w:spacing w:line="240" w:lineRule="exact"/>
        <w:jc w:val="center"/>
        <w:rPr>
          <w:sz w:val="20"/>
          <w:lang w:val="fr-CH"/>
        </w:rPr>
      </w:pPr>
    </w:p>
    <w:p w14:paraId="1CCAE5F2" w14:textId="77777777" w:rsidR="000E4393" w:rsidRPr="002A37D9" w:rsidRDefault="000E4393" w:rsidP="000E4393">
      <w:pPr>
        <w:spacing w:line="240" w:lineRule="exact"/>
        <w:jc w:val="center"/>
        <w:rPr>
          <w:sz w:val="20"/>
          <w:lang w:val="fr-CH"/>
        </w:rPr>
      </w:pPr>
    </w:p>
    <w:p w14:paraId="2EE42A0A" w14:textId="77777777" w:rsidR="000E4393" w:rsidRPr="002A37D9" w:rsidRDefault="000E4393" w:rsidP="000E4393">
      <w:pPr>
        <w:spacing w:line="240" w:lineRule="exact"/>
        <w:jc w:val="center"/>
        <w:rPr>
          <w:sz w:val="20"/>
          <w:lang w:val="fr-CH"/>
        </w:rPr>
      </w:pPr>
    </w:p>
    <w:p w14:paraId="022D9329" w14:textId="77777777" w:rsidR="000E4393" w:rsidRPr="002A37D9" w:rsidRDefault="000E4393" w:rsidP="000E4393">
      <w:pPr>
        <w:spacing w:line="240" w:lineRule="exact"/>
        <w:jc w:val="center"/>
        <w:rPr>
          <w:sz w:val="20"/>
          <w:lang w:val="fr-CH"/>
        </w:rPr>
      </w:pPr>
    </w:p>
    <w:p w14:paraId="297330FC" w14:textId="77777777" w:rsidR="000E4393" w:rsidRPr="002A37D9" w:rsidRDefault="000E4393" w:rsidP="000E4393">
      <w:pPr>
        <w:spacing w:line="240" w:lineRule="exact"/>
        <w:jc w:val="center"/>
        <w:rPr>
          <w:sz w:val="20"/>
          <w:lang w:val="fr-CH"/>
        </w:rPr>
      </w:pPr>
    </w:p>
    <w:p w14:paraId="432B0A04" w14:textId="77777777" w:rsidR="000E4393" w:rsidRPr="002A37D9" w:rsidRDefault="000E4393" w:rsidP="000E4393">
      <w:pPr>
        <w:spacing w:line="240" w:lineRule="exact"/>
        <w:jc w:val="center"/>
        <w:rPr>
          <w:sz w:val="20"/>
          <w:lang w:val="fr-CH"/>
        </w:rPr>
      </w:pPr>
    </w:p>
    <w:p w14:paraId="652C1D75" w14:textId="77777777" w:rsidR="000E4393" w:rsidRPr="002A37D9" w:rsidRDefault="000E4393" w:rsidP="000E4393">
      <w:pPr>
        <w:spacing w:line="240" w:lineRule="exact"/>
        <w:jc w:val="center"/>
        <w:rPr>
          <w:sz w:val="20"/>
          <w:lang w:val="fr-CH"/>
        </w:rPr>
      </w:pPr>
    </w:p>
    <w:p w14:paraId="687301D2" w14:textId="77777777" w:rsidR="000E4393" w:rsidRPr="002A37D9" w:rsidRDefault="000E4393" w:rsidP="000E4393">
      <w:pPr>
        <w:spacing w:line="240" w:lineRule="exact"/>
        <w:jc w:val="center"/>
        <w:rPr>
          <w:sz w:val="20"/>
          <w:lang w:val="fr-CH"/>
        </w:rPr>
      </w:pPr>
    </w:p>
    <w:p w14:paraId="1F19B9D8" w14:textId="77777777" w:rsidR="000E4393" w:rsidRPr="002A37D9" w:rsidRDefault="000E4393" w:rsidP="000E4393">
      <w:pPr>
        <w:spacing w:line="240" w:lineRule="exact"/>
        <w:jc w:val="center"/>
        <w:rPr>
          <w:sz w:val="20"/>
          <w:lang w:val="fr-CH"/>
        </w:rPr>
      </w:pPr>
    </w:p>
    <w:p w14:paraId="38FB642B" w14:textId="77777777" w:rsidR="000E4393" w:rsidRPr="002A37D9" w:rsidRDefault="000E4393" w:rsidP="000E4393">
      <w:pPr>
        <w:spacing w:line="240" w:lineRule="exact"/>
        <w:jc w:val="center"/>
        <w:rPr>
          <w:sz w:val="20"/>
          <w:lang w:val="fr-CH"/>
        </w:rPr>
      </w:pPr>
    </w:p>
    <w:p w14:paraId="1F3E9127" w14:textId="77777777" w:rsidR="000E4393" w:rsidRPr="002A37D9" w:rsidRDefault="000E4393" w:rsidP="000E4393">
      <w:pPr>
        <w:spacing w:line="240" w:lineRule="exact"/>
        <w:jc w:val="center"/>
        <w:rPr>
          <w:sz w:val="20"/>
          <w:lang w:val="fr-CH"/>
        </w:rPr>
      </w:pPr>
    </w:p>
    <w:p w14:paraId="3E533C3E" w14:textId="77777777" w:rsidR="000E4393" w:rsidRPr="002A37D9" w:rsidRDefault="000E4393" w:rsidP="000E4393">
      <w:pPr>
        <w:spacing w:line="240" w:lineRule="exact"/>
        <w:jc w:val="center"/>
        <w:rPr>
          <w:sz w:val="20"/>
          <w:lang w:val="fr-CH"/>
        </w:rPr>
      </w:pPr>
    </w:p>
    <w:p w14:paraId="1A3ADD69" w14:textId="77777777" w:rsidR="000E4393" w:rsidRPr="002A37D9" w:rsidRDefault="000E4393" w:rsidP="000E4393">
      <w:pPr>
        <w:spacing w:line="240" w:lineRule="exact"/>
        <w:jc w:val="center"/>
        <w:rPr>
          <w:sz w:val="20"/>
          <w:lang w:val="fr-CH"/>
        </w:rPr>
      </w:pPr>
    </w:p>
    <w:p w14:paraId="5F4CB22D" w14:textId="77777777" w:rsidR="000E4393" w:rsidRDefault="000E4393" w:rsidP="000E4393">
      <w:pPr>
        <w:spacing w:line="240" w:lineRule="exact"/>
        <w:jc w:val="center"/>
        <w:rPr>
          <w:sz w:val="20"/>
          <w:lang w:val="fr-CH"/>
        </w:rPr>
      </w:pPr>
    </w:p>
    <w:p w14:paraId="507030F5" w14:textId="77777777" w:rsidR="000256C9" w:rsidRDefault="000256C9" w:rsidP="000E4393">
      <w:pPr>
        <w:spacing w:line="240" w:lineRule="exact"/>
        <w:jc w:val="center"/>
        <w:rPr>
          <w:sz w:val="20"/>
          <w:lang w:val="fr-CH"/>
        </w:rPr>
      </w:pPr>
    </w:p>
    <w:p w14:paraId="06E873D0" w14:textId="77777777" w:rsidR="000256C9" w:rsidRPr="002A37D9" w:rsidRDefault="000256C9" w:rsidP="000E4393">
      <w:pPr>
        <w:spacing w:line="240" w:lineRule="exact"/>
        <w:jc w:val="center"/>
        <w:rPr>
          <w:sz w:val="20"/>
          <w:lang w:val="fr-CH"/>
        </w:rPr>
      </w:pPr>
    </w:p>
    <w:p w14:paraId="1C5C488F" w14:textId="77777777" w:rsidR="000E4393" w:rsidRPr="002A37D9" w:rsidRDefault="000E4393" w:rsidP="000E4393">
      <w:pPr>
        <w:spacing w:line="240" w:lineRule="exact"/>
        <w:jc w:val="center"/>
        <w:rPr>
          <w:sz w:val="20"/>
          <w:lang w:val="fr-CH"/>
        </w:rPr>
      </w:pPr>
    </w:p>
    <w:p w14:paraId="1B58521F" w14:textId="77777777" w:rsidR="000E4393" w:rsidRDefault="000E4393" w:rsidP="000E4393">
      <w:pPr>
        <w:spacing w:line="240" w:lineRule="exact"/>
        <w:jc w:val="center"/>
        <w:rPr>
          <w:sz w:val="20"/>
          <w:lang w:val="fr-CH"/>
        </w:rPr>
      </w:pPr>
    </w:p>
    <w:p w14:paraId="44997079" w14:textId="77777777" w:rsidR="00F65750" w:rsidRPr="002A37D9" w:rsidRDefault="00F65750" w:rsidP="000E4393">
      <w:pPr>
        <w:spacing w:line="240" w:lineRule="exact"/>
        <w:jc w:val="center"/>
        <w:rPr>
          <w:sz w:val="20"/>
          <w:lang w:val="fr-CH"/>
        </w:rPr>
      </w:pPr>
    </w:p>
    <w:p w14:paraId="5D96A7C5" w14:textId="77777777" w:rsidR="000E4393" w:rsidRPr="002A37D9" w:rsidRDefault="000E4393" w:rsidP="000E4393">
      <w:pPr>
        <w:spacing w:line="240" w:lineRule="exact"/>
        <w:jc w:val="center"/>
        <w:rPr>
          <w:sz w:val="20"/>
          <w:lang w:val="fr-CH"/>
        </w:rPr>
      </w:pPr>
    </w:p>
    <w:p w14:paraId="77AF2A3F" w14:textId="77777777" w:rsidR="00AA1264" w:rsidRPr="002A37D9" w:rsidRDefault="00AA1264" w:rsidP="000E4393">
      <w:pPr>
        <w:spacing w:line="240" w:lineRule="exact"/>
        <w:jc w:val="center"/>
        <w:rPr>
          <w:sz w:val="20"/>
          <w:lang w:val="fr-CH"/>
        </w:rPr>
      </w:pPr>
    </w:p>
    <w:p w14:paraId="39F6B1E2" w14:textId="77777777" w:rsidR="00EA2A26" w:rsidRPr="002A37D9" w:rsidRDefault="00EA2A26" w:rsidP="00EA2A26">
      <w:pPr>
        <w:rPr>
          <w:sz w:val="20"/>
          <w:lang w:val="fr-CH"/>
        </w:rPr>
      </w:pPr>
    </w:p>
    <w:p w14:paraId="4812ECBE" w14:textId="6AEFAE01" w:rsidR="00EA2A26" w:rsidRPr="00423BC5" w:rsidRDefault="00EA2A26" w:rsidP="00EA2A26">
      <w:pPr>
        <w:jc w:val="center"/>
        <w:rPr>
          <w:sz w:val="20"/>
          <w:lang w:val="fr-CH"/>
        </w:rPr>
      </w:pPr>
      <w:r w:rsidRPr="00EA2A26">
        <w:rPr>
          <w:sz w:val="20"/>
          <w:lang w:val="en-GB"/>
        </w:rPr>
        <w:sym w:font="Symbol" w:char="F0E3"/>
      </w:r>
      <w:r w:rsidRPr="00423BC5">
        <w:rPr>
          <w:sz w:val="20"/>
          <w:lang w:val="fr-CH"/>
        </w:rPr>
        <w:t> </w:t>
      </w:r>
      <w:r w:rsidR="00423BC5" w:rsidRPr="00423BC5">
        <w:rPr>
          <w:sz w:val="20"/>
          <w:lang w:val="fr-CH"/>
        </w:rPr>
        <w:t>UIT</w:t>
      </w:r>
      <w:r w:rsidRPr="00423BC5">
        <w:rPr>
          <w:sz w:val="20"/>
          <w:lang w:val="fr-CH"/>
        </w:rPr>
        <w:t> 2024</w:t>
      </w:r>
    </w:p>
    <w:p w14:paraId="5A25B5AD" w14:textId="557564A4" w:rsidR="008968B6" w:rsidRPr="00423BC5" w:rsidRDefault="00423BC5" w:rsidP="00EA2A26">
      <w:pPr>
        <w:rPr>
          <w:lang w:val="fr-CH"/>
        </w:rPr>
      </w:pPr>
      <w:r w:rsidRPr="00423BC5">
        <w:rPr>
          <w:sz w:val="20"/>
        </w:rPr>
        <w:t>Tous droits réservés. Aucune partie de cette publication ne peut être reproduite, par quelque procédé que ce soit, sans l'accord écrit préalable de l'UIT</w:t>
      </w:r>
      <w:r w:rsidR="00EA2A26" w:rsidRPr="00423BC5">
        <w:rPr>
          <w:sz w:val="20"/>
          <w:lang w:val="fr-CH"/>
        </w:rPr>
        <w:t>.</w:t>
      </w:r>
    </w:p>
    <w:p w14:paraId="73B79B51" w14:textId="77777777" w:rsidR="00B73379" w:rsidRPr="00423BC5" w:rsidRDefault="00B73379" w:rsidP="003374BB">
      <w:pPr>
        <w:pStyle w:val="ResNo"/>
        <w:rPr>
          <w:lang w:val="fr-CH"/>
        </w:rPr>
        <w:sectPr w:rsidR="00B73379" w:rsidRPr="00423BC5" w:rsidSect="00DE48B4">
          <w:headerReference w:type="even" r:id="rId11"/>
          <w:footerReference w:type="even" r:id="rId12"/>
          <w:footerReference w:type="default" r:id="rId13"/>
          <w:footnotePr>
            <w:numRestart w:val="eachSect"/>
          </w:footnotePr>
          <w:type w:val="evenPage"/>
          <w:pgSz w:w="11907" w:h="16834" w:code="9"/>
          <w:pgMar w:top="1134" w:right="1134" w:bottom="1134" w:left="1134" w:header="567" w:footer="567" w:gutter="0"/>
          <w:paperSrc w:first="15" w:other="15"/>
          <w:pgNumType w:start="1"/>
          <w:cols w:space="720"/>
        </w:sectPr>
      </w:pPr>
    </w:p>
    <w:p w14:paraId="455FF935" w14:textId="2225FABC" w:rsidR="00F65EA2" w:rsidRPr="0058622B" w:rsidRDefault="00F65EA2" w:rsidP="00B9646E">
      <w:pPr>
        <w:pStyle w:val="ResNo"/>
        <w:rPr>
          <w:b/>
          <w:bCs/>
        </w:rPr>
      </w:pPr>
      <w:bookmarkStart w:id="3" w:name="_Toc111647826"/>
      <w:bookmarkStart w:id="4" w:name="_Toc111648465"/>
      <w:r w:rsidRPr="0058622B">
        <w:lastRenderedPageBreak/>
        <w:t xml:space="preserve">RÉSOLUTION </w:t>
      </w:r>
      <w:r w:rsidR="00882F44">
        <w:rPr>
          <w:rStyle w:val="href"/>
        </w:rPr>
        <w:t>9</w:t>
      </w:r>
      <w:r w:rsidR="007D644E">
        <w:rPr>
          <w:rStyle w:val="href"/>
        </w:rPr>
        <w:t>9</w:t>
      </w:r>
      <w:r w:rsidR="00324E15">
        <w:rPr>
          <w:rStyle w:val="href"/>
        </w:rPr>
        <w:t xml:space="preserve"> </w:t>
      </w:r>
      <w:r w:rsidRPr="0058622B">
        <w:t>(</w:t>
      </w:r>
      <w:r w:rsidRPr="0058622B">
        <w:rPr>
          <w:caps w:val="0"/>
        </w:rPr>
        <w:t>Rév. New Delhi</w:t>
      </w:r>
      <w:r w:rsidRPr="0058622B">
        <w:t>, 2024)</w:t>
      </w:r>
      <w:bookmarkEnd w:id="3"/>
      <w:bookmarkEnd w:id="4"/>
    </w:p>
    <w:p w14:paraId="4AC447A9" w14:textId="77777777" w:rsidR="007D644E" w:rsidRPr="0058622B" w:rsidRDefault="007D644E" w:rsidP="00B9646E">
      <w:pPr>
        <w:pStyle w:val="Restitle"/>
      </w:pPr>
      <w:bookmarkStart w:id="5" w:name="_Toc111647901"/>
      <w:bookmarkStart w:id="6" w:name="_Toc111648540"/>
      <w:r w:rsidRPr="0058622B">
        <w:t>Restructuration des commissions d'études du Secteur de la</w:t>
      </w:r>
      <w:r w:rsidRPr="0058622B">
        <w:br/>
        <w:t>normalisation des télécommunications de l'UIT</w:t>
      </w:r>
      <w:bookmarkEnd w:id="5"/>
      <w:bookmarkEnd w:id="6"/>
    </w:p>
    <w:p w14:paraId="66FDF16A" w14:textId="77777777" w:rsidR="007D644E" w:rsidRPr="0058622B" w:rsidRDefault="007D644E" w:rsidP="00B9646E">
      <w:pPr>
        <w:pStyle w:val="Resref"/>
      </w:pPr>
      <w:r w:rsidRPr="0058622B">
        <w:t xml:space="preserve">(Genève, </w:t>
      </w:r>
      <w:proofErr w:type="gramStart"/>
      <w:r w:rsidRPr="0058622B">
        <w:t>2022;</w:t>
      </w:r>
      <w:proofErr w:type="gramEnd"/>
      <w:r w:rsidRPr="0058622B">
        <w:t xml:space="preserve"> New Delhi, 2024)</w:t>
      </w:r>
    </w:p>
    <w:p w14:paraId="3723533D" w14:textId="77777777" w:rsidR="007D644E" w:rsidRPr="0058622B" w:rsidRDefault="007D644E" w:rsidP="00B9646E">
      <w:pPr>
        <w:pStyle w:val="Normalaftertitle0"/>
      </w:pPr>
      <w:r w:rsidRPr="0058622B">
        <w:t>L'Assemblée mondiale de normalisation des télécommunications (New Delhi, 2024),</w:t>
      </w:r>
    </w:p>
    <w:p w14:paraId="613D1BEE" w14:textId="77777777" w:rsidR="007D644E" w:rsidRPr="0058622B" w:rsidRDefault="007D644E" w:rsidP="00B9646E">
      <w:pPr>
        <w:pStyle w:val="Call"/>
      </w:pPr>
      <w:proofErr w:type="gramStart"/>
      <w:r w:rsidRPr="0058622B">
        <w:t>rappelant</w:t>
      </w:r>
      <w:proofErr w:type="gramEnd"/>
    </w:p>
    <w:p w14:paraId="00657253" w14:textId="77777777" w:rsidR="007D644E" w:rsidRPr="0058622B" w:rsidRDefault="007D644E" w:rsidP="00B9646E">
      <w:r w:rsidRPr="0058622B">
        <w:rPr>
          <w:i/>
          <w:iCs/>
        </w:rPr>
        <w:t>a)</w:t>
      </w:r>
      <w:r w:rsidRPr="0058622B">
        <w:tab/>
        <w:t xml:space="preserve">le numéro 105 de la Constitution de l'UIT et le numéro 197 de la Convention de </w:t>
      </w:r>
      <w:proofErr w:type="gramStart"/>
      <w:r w:rsidRPr="0058622B">
        <w:t>l'UIT;</w:t>
      </w:r>
      <w:proofErr w:type="gramEnd"/>
    </w:p>
    <w:p w14:paraId="4EDF8D1A" w14:textId="77777777" w:rsidR="007D644E" w:rsidRPr="0058622B" w:rsidRDefault="007D644E" w:rsidP="00B9646E">
      <w:r w:rsidRPr="0058622B">
        <w:rPr>
          <w:i/>
          <w:iCs/>
        </w:rPr>
        <w:t>b)</w:t>
      </w:r>
      <w:r w:rsidRPr="0058622B">
        <w:tab/>
        <w:t>la Résolution 151 (Rév. Bucarest, 2022) de la Conférence de plénipotentiaires relative à l'amélioration de la gestion axée sur les résultats à l'UIT,</w:t>
      </w:r>
    </w:p>
    <w:p w14:paraId="71350C10" w14:textId="77777777" w:rsidR="007D644E" w:rsidRPr="0058622B" w:rsidRDefault="007D644E" w:rsidP="00B9646E">
      <w:pPr>
        <w:pStyle w:val="Call"/>
      </w:pPr>
      <w:proofErr w:type="gramStart"/>
      <w:r w:rsidRPr="0058622B">
        <w:t>considérant</w:t>
      </w:r>
      <w:proofErr w:type="gramEnd"/>
    </w:p>
    <w:p w14:paraId="1B1CC670" w14:textId="77777777" w:rsidR="007D644E" w:rsidRPr="0058622B" w:rsidRDefault="007D644E" w:rsidP="00B9646E">
      <w:r w:rsidRPr="0058622B">
        <w:rPr>
          <w:i/>
          <w:iCs/>
        </w:rPr>
        <w:t>a)</w:t>
      </w:r>
      <w:r w:rsidRPr="0058622B">
        <w:tab/>
        <w:t xml:space="preserve">les dispositions de la Constitution et de la Convention relatives aux buts et objectifs stratégiques de </w:t>
      </w:r>
      <w:proofErr w:type="gramStart"/>
      <w:r w:rsidRPr="0058622B">
        <w:t>l'Union;</w:t>
      </w:r>
      <w:proofErr w:type="gramEnd"/>
    </w:p>
    <w:p w14:paraId="39F57DA5" w14:textId="77777777" w:rsidR="007D644E" w:rsidRPr="0058622B" w:rsidRDefault="007D644E" w:rsidP="00B9646E">
      <w:r w:rsidRPr="0058622B">
        <w:rPr>
          <w:i/>
          <w:iCs/>
        </w:rPr>
        <w:t>b)</w:t>
      </w:r>
      <w:r w:rsidRPr="0058622B">
        <w:tab/>
        <w:t>les buts stratégiques et les priorités thématiques de l'Union définis dans le Plan stratégique de l'Union pour la période 2024</w:t>
      </w:r>
      <w:r w:rsidRPr="0058622B">
        <w:noBreakHyphen/>
        <w:t xml:space="preserve">2027, figurant dans l'Annexe 1 de la Résolution 71 (Rév. Bucarest, 2022) de la Conférence de </w:t>
      </w:r>
      <w:proofErr w:type="gramStart"/>
      <w:r w:rsidRPr="0058622B">
        <w:t>plénipotentiaires;</w:t>
      </w:r>
      <w:proofErr w:type="gramEnd"/>
    </w:p>
    <w:p w14:paraId="19E1FD4F" w14:textId="77777777" w:rsidR="007D644E" w:rsidRPr="0058622B" w:rsidRDefault="007D644E" w:rsidP="00B9646E">
      <w:r w:rsidRPr="0058622B">
        <w:rPr>
          <w:i/>
          <w:iCs/>
        </w:rPr>
        <w:t>c)</w:t>
      </w:r>
      <w:r w:rsidRPr="0058622B">
        <w:tab/>
        <w:t>la Résolution 122 (Rév. Guadalajara, 2010) de la Conférence de plénipotentiaires relative à l'évolution du rôle de l'Assemblée mondiale de normalisation des télécommunications (AMNT</w:t>
      </w:r>
      <w:proofErr w:type="gramStart"/>
      <w:r w:rsidRPr="0058622B">
        <w:t>);</w:t>
      </w:r>
      <w:proofErr w:type="gramEnd"/>
    </w:p>
    <w:p w14:paraId="0DBF756D" w14:textId="77777777" w:rsidR="007D644E" w:rsidRPr="0058622B" w:rsidRDefault="007D644E" w:rsidP="00B9646E">
      <w:r w:rsidRPr="0058622B">
        <w:rPr>
          <w:i/>
          <w:iCs/>
        </w:rPr>
        <w:t>d)</w:t>
      </w:r>
      <w:r w:rsidRPr="0058622B">
        <w:tab/>
        <w:t xml:space="preserve">la Résolution 2 (Rév. New Delhi, 2024) de la présente Assemblée sur </w:t>
      </w:r>
      <w:r w:rsidRPr="0058622B">
        <w:rPr>
          <w:color w:val="000000"/>
        </w:rPr>
        <w:t>le domaine de compétence</w:t>
      </w:r>
      <w:r w:rsidRPr="0058622B">
        <w:t xml:space="preserve"> et le mandat des commissions d'études du Secteur de la normalisation des télécommunications de l'UIT (UIT-T</w:t>
      </w:r>
      <w:proofErr w:type="gramStart"/>
      <w:r w:rsidRPr="0058622B">
        <w:t>);</w:t>
      </w:r>
      <w:proofErr w:type="gramEnd"/>
    </w:p>
    <w:p w14:paraId="05089325" w14:textId="77777777" w:rsidR="007D644E" w:rsidRPr="0058622B" w:rsidRDefault="007D644E" w:rsidP="00B9646E">
      <w:r w:rsidRPr="0058622B">
        <w:rPr>
          <w:i/>
          <w:iCs/>
        </w:rPr>
        <w:t>e)</w:t>
      </w:r>
      <w:r w:rsidRPr="0058622B">
        <w:tab/>
        <w:t>le paragraphe 44 de la Déclaration de principes de Genève adoptée par le Sommet mondial sur la société de l'information, dans lequel il est souligné que la normalisation est l'un des éléments constitutifs essentiels de la société de l'information,</w:t>
      </w:r>
    </w:p>
    <w:p w14:paraId="35019CED" w14:textId="77777777" w:rsidR="007D644E" w:rsidRPr="0058622B" w:rsidRDefault="007D644E" w:rsidP="00B9646E">
      <w:pPr>
        <w:pStyle w:val="Call"/>
      </w:pPr>
      <w:proofErr w:type="gramStart"/>
      <w:r w:rsidRPr="0058622B">
        <w:t>reconnaissant</w:t>
      </w:r>
      <w:proofErr w:type="gramEnd"/>
    </w:p>
    <w:p w14:paraId="19EE0991" w14:textId="77777777" w:rsidR="007D644E" w:rsidRPr="0058622B" w:rsidRDefault="007D644E" w:rsidP="00B9646E">
      <w:r w:rsidRPr="0058622B">
        <w:rPr>
          <w:i/>
          <w:iCs/>
        </w:rPr>
        <w:t>a)</w:t>
      </w:r>
      <w:r w:rsidRPr="0058622B">
        <w:tab/>
        <w:t>que l'environnement de la normalisation continue d'évoluer, de sorte que l'UIT-T devrait se demander comment elle peut s'adapter à l'évolution rapide de la situation, conformément aux attentes des participants issus du secteur public et du secteur privé, notamment moyennant un examen constant de la structure des commissions d'études suivant des principes fondés sur des éléments factuels, ainsi qu'une analyse continue de la restructuration des commissions d'études de l'UIT</w:t>
      </w:r>
      <w:r w:rsidRPr="0058622B">
        <w:noBreakHyphen/>
      </w:r>
      <w:proofErr w:type="gramStart"/>
      <w:r w:rsidRPr="0058622B">
        <w:t>T;</w:t>
      </w:r>
      <w:proofErr w:type="gramEnd"/>
    </w:p>
    <w:p w14:paraId="5BF1AE81" w14:textId="77777777" w:rsidR="007D644E" w:rsidRPr="0058622B" w:rsidRDefault="007D644E" w:rsidP="00B9646E">
      <w:pPr>
        <w:rPr>
          <w:rFonts w:cs="Calibri"/>
          <w:szCs w:val="24"/>
        </w:rPr>
      </w:pPr>
      <w:r w:rsidRPr="0058622B">
        <w:rPr>
          <w:i/>
          <w:iCs/>
        </w:rPr>
        <w:t>b)</w:t>
      </w:r>
      <w:r w:rsidRPr="0058622B">
        <w:tab/>
        <w:t xml:space="preserve">que la restructuration des commissions d'études de l'UIT-T doit être la conséquence et le résultat d'une analyse claire et approfondie, qui permettra aux commissions d'études d'être investies d'un mandat adapté à l'évolution des télécommunications/technologies de l'information et de la communication, et améliorera l'efficacité et l'efficience de l'UIT ainsi que la collaboration avec d'autres </w:t>
      </w:r>
      <w:proofErr w:type="gramStart"/>
      <w:r w:rsidRPr="0058622B">
        <w:t>organisations;</w:t>
      </w:r>
      <w:proofErr w:type="gramEnd"/>
    </w:p>
    <w:p w14:paraId="61C078DB" w14:textId="77777777" w:rsidR="007D644E" w:rsidRPr="0058622B" w:rsidRDefault="007D644E" w:rsidP="00B9646E">
      <w:r w:rsidRPr="0058622B">
        <w:rPr>
          <w:i/>
          <w:iCs/>
        </w:rPr>
        <w:t>c)</w:t>
      </w:r>
      <w:r w:rsidRPr="0058622B">
        <w:tab/>
        <w:t>que la possible modification de la structure des commissions d'études de l'UIT</w:t>
      </w:r>
      <w:r w:rsidRPr="0058622B">
        <w:noBreakHyphen/>
        <w:t>T nécessite une approche fondée sur des éléments factuels et des principes fondamentaux convenus, afin d'éviter la fragmentation et de parvenir à des résultats cohérents,</w:t>
      </w:r>
    </w:p>
    <w:p w14:paraId="2FE95C46" w14:textId="77777777" w:rsidR="007D644E" w:rsidRPr="0058622B" w:rsidRDefault="007D644E" w:rsidP="00B9646E">
      <w:pPr>
        <w:pStyle w:val="Call"/>
      </w:pPr>
      <w:proofErr w:type="gramStart"/>
      <w:r w:rsidRPr="0058622B">
        <w:t>notant</w:t>
      </w:r>
      <w:proofErr w:type="gramEnd"/>
    </w:p>
    <w:p w14:paraId="2685C6CB" w14:textId="77777777" w:rsidR="007D644E" w:rsidRPr="0058622B" w:rsidRDefault="007D644E" w:rsidP="00B9646E">
      <w:r w:rsidRPr="0058622B">
        <w:rPr>
          <w:i/>
          <w:iCs/>
          <w:color w:val="000000"/>
        </w:rPr>
        <w:t>a)</w:t>
      </w:r>
      <w:r w:rsidRPr="0058622B">
        <w:rPr>
          <w:color w:val="000000"/>
        </w:rPr>
        <w:tab/>
        <w:t xml:space="preserve">que le Groupe consultatif de la normalisation des télécommunications (GCNT) </w:t>
      </w:r>
      <w:r w:rsidRPr="0058622B">
        <w:t xml:space="preserve">a réalisé des progrès concernant le plan d'action </w:t>
      </w:r>
      <w:r w:rsidRPr="0058622B">
        <w:rPr>
          <w:color w:val="000000"/>
        </w:rPr>
        <w:t>aux fins de</w:t>
      </w:r>
      <w:r w:rsidRPr="0058622B">
        <w:t xml:space="preserve"> l'analyse de la restructuration des commissions d'études de l'UIT-T, comme l'en avait chargé l'AMNT-</w:t>
      </w:r>
      <w:proofErr w:type="gramStart"/>
      <w:r w:rsidRPr="0058622B">
        <w:t>20;</w:t>
      </w:r>
      <w:proofErr w:type="gramEnd"/>
    </w:p>
    <w:p w14:paraId="752819A8" w14:textId="77777777" w:rsidR="007D644E" w:rsidRPr="0058622B" w:rsidRDefault="007D644E" w:rsidP="00B9646E">
      <w:r w:rsidRPr="0058622B">
        <w:rPr>
          <w:i/>
          <w:iCs/>
        </w:rPr>
        <w:t>b)</w:t>
      </w:r>
      <w:r w:rsidRPr="0058622B">
        <w:tab/>
        <w:t>que les discussions menées au sein du Groupe du Rapporteur du GCNT sur le programme de travail et la restructuration (RG-WPR) ont montré que ces travaux devraient se poursuivre,</w:t>
      </w:r>
    </w:p>
    <w:p w14:paraId="400C8334" w14:textId="77777777" w:rsidR="007D644E" w:rsidRDefault="007D644E">
      <w:pPr>
        <w:tabs>
          <w:tab w:val="clear" w:pos="794"/>
          <w:tab w:val="clear" w:pos="1191"/>
          <w:tab w:val="clear" w:pos="1588"/>
          <w:tab w:val="clear" w:pos="1985"/>
        </w:tabs>
        <w:overflowPunct/>
        <w:autoSpaceDE/>
        <w:autoSpaceDN/>
        <w:adjustRightInd/>
        <w:spacing w:before="0"/>
        <w:jc w:val="left"/>
        <w:textAlignment w:val="auto"/>
        <w:rPr>
          <w:i/>
        </w:rPr>
      </w:pPr>
      <w:r>
        <w:br w:type="page"/>
      </w:r>
    </w:p>
    <w:p w14:paraId="1E6D3FEA" w14:textId="20FA5E9D" w:rsidR="007D644E" w:rsidRPr="0058622B" w:rsidRDefault="007D644E" w:rsidP="00B9646E">
      <w:pPr>
        <w:pStyle w:val="Call"/>
      </w:pPr>
      <w:proofErr w:type="gramStart"/>
      <w:r w:rsidRPr="0058622B">
        <w:lastRenderedPageBreak/>
        <w:t>décide</w:t>
      </w:r>
      <w:proofErr w:type="gramEnd"/>
    </w:p>
    <w:p w14:paraId="6039AD7A" w14:textId="77777777" w:rsidR="007D644E" w:rsidRPr="0058622B" w:rsidRDefault="007D644E" w:rsidP="00B9646E">
      <w:r w:rsidRPr="0058622B">
        <w:t>1</w:t>
      </w:r>
      <w:r w:rsidRPr="0058622B">
        <w:tab/>
        <w:t>que l'analyse de la restructuration des commissions d'études de l'UIT-T doit se poursuivre au sein du GCNT en appliquant une approche fondée sur des éléments factuels et compte tenu du plan d'action mentionné ci-</w:t>
      </w:r>
      <w:proofErr w:type="gramStart"/>
      <w:r w:rsidRPr="0058622B">
        <w:t>dessus;</w:t>
      </w:r>
      <w:proofErr w:type="gramEnd"/>
    </w:p>
    <w:p w14:paraId="1FC10760" w14:textId="3CBF9F32" w:rsidR="007D644E" w:rsidRPr="0058622B" w:rsidRDefault="007D644E" w:rsidP="00B9646E">
      <w:r w:rsidRPr="0058622B">
        <w:t>2</w:t>
      </w:r>
      <w:r w:rsidRPr="0058622B">
        <w:tab/>
        <w:t>que le GCNT sera chargé de gérer l'analyse de la restructuration des commissions d'études de l'UIT</w:t>
      </w:r>
      <w:r w:rsidR="005E63DE">
        <w:noBreakHyphen/>
      </w:r>
      <w:r w:rsidRPr="0058622B">
        <w:t>T sur la base des contributions qui lui seront soumises par les États Membres de l'UIT et les Membres du Secteur de l'UIT-T,</w:t>
      </w:r>
    </w:p>
    <w:p w14:paraId="4B44B07C" w14:textId="77777777" w:rsidR="007D644E" w:rsidRPr="0058622B" w:rsidRDefault="007D644E" w:rsidP="00B9646E">
      <w:pPr>
        <w:pStyle w:val="Call"/>
      </w:pPr>
      <w:proofErr w:type="gramStart"/>
      <w:r w:rsidRPr="0058622B">
        <w:t>charge</w:t>
      </w:r>
      <w:proofErr w:type="gramEnd"/>
      <w:r w:rsidRPr="0058622B">
        <w:t xml:space="preserve"> le Groupe consultatif de la normalisation des télécommunications</w:t>
      </w:r>
    </w:p>
    <w:p w14:paraId="2533713F" w14:textId="77777777" w:rsidR="007D644E" w:rsidRPr="0058622B" w:rsidRDefault="007D644E" w:rsidP="00B9646E">
      <w:r w:rsidRPr="0058622B">
        <w:t>1</w:t>
      </w:r>
      <w:r w:rsidRPr="0058622B">
        <w:tab/>
        <w:t>d'entreprendre, de suivre et d'orienter les travaux dans le cadre d'un groupe de Rapporteur ou d'un autre groupe compétent et de présenter à chaque réunion du GCNT un rapport d'activité sur la mise en œuvre d'un plan d'action aux fins de l'analyse de la restructuration des commissions d'études de l'UIT-</w:t>
      </w:r>
      <w:proofErr w:type="gramStart"/>
      <w:r w:rsidRPr="0058622B">
        <w:t>T;</w:t>
      </w:r>
      <w:proofErr w:type="gramEnd"/>
    </w:p>
    <w:p w14:paraId="418C3C74" w14:textId="77777777" w:rsidR="007D644E" w:rsidRPr="0058622B" w:rsidRDefault="007D644E" w:rsidP="00B9646E">
      <w:r w:rsidRPr="0058622B">
        <w:t>2</w:t>
      </w:r>
      <w:r w:rsidRPr="0058622B">
        <w:tab/>
        <w:t xml:space="preserve">de présenter aux commissions d'études, après chaque réunion du GCNT, un rapport d'activité sur </w:t>
      </w:r>
      <w:proofErr w:type="gramStart"/>
      <w:r w:rsidRPr="0058622B">
        <w:t>l'analyse;</w:t>
      </w:r>
      <w:proofErr w:type="gramEnd"/>
    </w:p>
    <w:p w14:paraId="3BF7FB51" w14:textId="77777777" w:rsidR="007D644E" w:rsidRPr="0058622B" w:rsidRDefault="007D644E" w:rsidP="00B9646E">
      <w:r w:rsidRPr="0058622B">
        <w:t>3</w:t>
      </w:r>
      <w:r w:rsidRPr="0058622B">
        <w:tab/>
        <w:t>de soumettre un rapport, assorti de recommandations, pour examen à la prochaine AMNT,</w:t>
      </w:r>
    </w:p>
    <w:p w14:paraId="33712FB6" w14:textId="77777777" w:rsidR="007D644E" w:rsidRPr="0058622B" w:rsidRDefault="007D644E" w:rsidP="00B9646E">
      <w:pPr>
        <w:pStyle w:val="Call"/>
      </w:pPr>
      <w:proofErr w:type="gramStart"/>
      <w:r w:rsidRPr="0058622B">
        <w:t>charge</w:t>
      </w:r>
      <w:proofErr w:type="gramEnd"/>
      <w:r w:rsidRPr="0058622B">
        <w:t xml:space="preserve"> les commissions d'études du Secteur de la normalisation des télécommunications de l'UIT</w:t>
      </w:r>
    </w:p>
    <w:p w14:paraId="1840386E" w14:textId="77777777" w:rsidR="007D644E" w:rsidRPr="0058622B" w:rsidRDefault="007D644E" w:rsidP="00B9646E">
      <w:proofErr w:type="gramStart"/>
      <w:r w:rsidRPr="0058622B">
        <w:t>d'examiner</w:t>
      </w:r>
      <w:proofErr w:type="gramEnd"/>
      <w:r w:rsidRPr="0058622B">
        <w:t>, d'étudier et de communiquer les observations formulées au sujet des rapports d'activité adressés au GCNT ou émanant de celui-ci, selon qu'il conviendra,</w:t>
      </w:r>
    </w:p>
    <w:p w14:paraId="72C1893B" w14:textId="77777777" w:rsidR="007D644E" w:rsidRPr="0058622B" w:rsidRDefault="007D644E" w:rsidP="00B9646E">
      <w:pPr>
        <w:pStyle w:val="Call"/>
      </w:pPr>
      <w:proofErr w:type="gramStart"/>
      <w:r w:rsidRPr="0058622B">
        <w:t>charge</w:t>
      </w:r>
      <w:proofErr w:type="gramEnd"/>
      <w:r w:rsidRPr="0058622B">
        <w:t xml:space="preserve"> le Directeur du Bureau de la normalisation des télécommunications</w:t>
      </w:r>
    </w:p>
    <w:p w14:paraId="05BAA242" w14:textId="77777777" w:rsidR="007D644E" w:rsidRPr="0058622B" w:rsidRDefault="007D644E" w:rsidP="00B9646E">
      <w:proofErr w:type="gramStart"/>
      <w:r w:rsidRPr="0058622B">
        <w:t>de</w:t>
      </w:r>
      <w:proofErr w:type="gramEnd"/>
      <w:r w:rsidRPr="0058622B">
        <w:t xml:space="preserve"> fournir l'assistance nécessaire au GCNT dans la mise en œuvre de la présente Résolution,</w:t>
      </w:r>
    </w:p>
    <w:p w14:paraId="63EF8156" w14:textId="77777777" w:rsidR="007D644E" w:rsidRPr="0058622B" w:rsidRDefault="007D644E" w:rsidP="00B9646E">
      <w:pPr>
        <w:pStyle w:val="Call"/>
      </w:pPr>
      <w:proofErr w:type="gramStart"/>
      <w:r w:rsidRPr="0058622B">
        <w:t>invite</w:t>
      </w:r>
      <w:proofErr w:type="gramEnd"/>
      <w:r w:rsidRPr="0058622B">
        <w:t xml:space="preserve"> les États Membres et les Membres de Secteur de l'UIT</w:t>
      </w:r>
    </w:p>
    <w:p w14:paraId="7641A564" w14:textId="77777777" w:rsidR="007D644E" w:rsidRPr="0058622B" w:rsidRDefault="007D644E" w:rsidP="00B9646E">
      <w:proofErr w:type="gramStart"/>
      <w:r w:rsidRPr="0058622B">
        <w:t>à</w:t>
      </w:r>
      <w:proofErr w:type="gramEnd"/>
      <w:r w:rsidRPr="0058622B">
        <w:t xml:space="preserve"> participer et à contribuer à la mise en œuvre de la présente Résolution.</w:t>
      </w:r>
    </w:p>
    <w:p w14:paraId="4F72F5C6" w14:textId="77777777" w:rsidR="007D644E" w:rsidRPr="0058622B" w:rsidRDefault="007D644E" w:rsidP="00B9646E"/>
    <w:p w14:paraId="48B2E4B9" w14:textId="77777777" w:rsidR="00394CC3" w:rsidRDefault="00394CC3" w:rsidP="00B9646E"/>
    <w:p w14:paraId="59C9C272" w14:textId="77777777" w:rsidR="00394CC3" w:rsidRDefault="00394CC3" w:rsidP="00B9646E"/>
    <w:p w14:paraId="500DCA6D" w14:textId="77777777" w:rsidR="00293C7F" w:rsidRDefault="00293C7F" w:rsidP="00B9646E"/>
    <w:p w14:paraId="63F06EAA" w14:textId="77777777" w:rsidR="006C11CA" w:rsidRDefault="006C11CA" w:rsidP="00B9646E"/>
    <w:p w14:paraId="2F09BE30" w14:textId="77777777" w:rsidR="006C11CA" w:rsidRDefault="006C11CA" w:rsidP="00B9646E"/>
    <w:p w14:paraId="6718A4BB" w14:textId="77777777" w:rsidR="006C11CA" w:rsidRDefault="006C11CA" w:rsidP="00B9646E"/>
    <w:p w14:paraId="2A3F4E28" w14:textId="77777777" w:rsidR="006C11CA" w:rsidRDefault="006C11CA" w:rsidP="00B9646E"/>
    <w:p w14:paraId="2A483D6E" w14:textId="77777777" w:rsidR="006C11CA" w:rsidRDefault="006C11CA" w:rsidP="00B9646E"/>
    <w:p w14:paraId="31A2EC54" w14:textId="77777777" w:rsidR="007D644E" w:rsidRDefault="007D644E" w:rsidP="00B9646E"/>
    <w:p w14:paraId="547AF6A7" w14:textId="77777777" w:rsidR="006C11CA" w:rsidRDefault="006C11CA" w:rsidP="00B9646E"/>
    <w:p w14:paraId="26A0C910" w14:textId="77777777" w:rsidR="006C11CA" w:rsidRDefault="006C11CA" w:rsidP="00B9646E"/>
    <w:p w14:paraId="478FA99A" w14:textId="77777777" w:rsidR="003D1AAD" w:rsidRDefault="003D1AAD" w:rsidP="00B9646E"/>
    <w:p w14:paraId="278B9820" w14:textId="77777777" w:rsidR="003D1AAD" w:rsidRDefault="003D1AAD" w:rsidP="00B9646E"/>
    <w:p w14:paraId="40E09330" w14:textId="77777777" w:rsidR="003A7A6C" w:rsidRDefault="003A7A6C" w:rsidP="00B20871"/>
    <w:sectPr w:rsidR="003A7A6C" w:rsidSect="00064EAA">
      <w:headerReference w:type="default" r:id="rId14"/>
      <w:footerReference w:type="even" r:id="rId15"/>
      <w:footerReference w:type="default" r:id="rId16"/>
      <w:footerReference w:type="first" r:id="rId17"/>
      <w:footnotePr>
        <w:numRestart w:val="eachSect"/>
      </w:footnotePr>
      <w:pgSz w:w="11907" w:h="16834" w:code="9"/>
      <w:pgMar w:top="1134" w:right="1134" w:bottom="1134" w:left="1134" w:header="567" w:footer="567" w:gutter="0"/>
      <w:paperSrc w:first="7" w:other="7"/>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39E0F" w14:textId="77777777" w:rsidR="002E1B7B" w:rsidRDefault="002E1B7B">
      <w:r>
        <w:separator/>
      </w:r>
    </w:p>
  </w:endnote>
  <w:endnote w:type="continuationSeparator" w:id="0">
    <w:p w14:paraId="5D3B711D" w14:textId="77777777" w:rsidR="002E1B7B" w:rsidRDefault="002E1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1G Medium">
    <w:altName w:val="Calibri"/>
    <w:panose1 w:val="020B0603020202020204"/>
    <w:charset w:val="00"/>
    <w:family w:val="swiss"/>
    <w:notTrueType/>
    <w:pitch w:val="variable"/>
    <w:sig w:usb0="A00002EF"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3867B" w14:textId="7C6F8A13" w:rsidR="00F56EB0" w:rsidRPr="00D50046" w:rsidRDefault="00F56EB0" w:rsidP="00F56EB0">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rPr>
      <w:t>2</w:t>
    </w:r>
    <w:r>
      <w:rPr>
        <w:b w:val="0"/>
      </w:rPr>
      <w:fldChar w:fldCharType="end"/>
    </w:r>
    <w:r>
      <w:rPr>
        <w:lang w:val="en-US"/>
      </w:rPr>
      <w:tab/>
      <w:t xml:space="preserve">AMNT-24 – Résolution </w:t>
    </w:r>
    <w:r>
      <w:fldChar w:fldCharType="begin"/>
    </w:r>
    <w:r>
      <w:rPr>
        <w:lang w:val="en-US"/>
      </w:rPr>
      <w:instrText>styleref href</w:instrText>
    </w:r>
    <w:r>
      <w:fldChar w:fldCharType="separate"/>
    </w:r>
    <w:r w:rsidR="0069675A">
      <w:rPr>
        <w:noProof/>
        <w:lang w:val="en-US"/>
      </w:rPr>
      <w:t>99</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C1532" w14:textId="0C5D01B2" w:rsidR="00064EAA" w:rsidRPr="00A4766C" w:rsidRDefault="00064EAA" w:rsidP="00064EAA">
    <w:pPr>
      <w:pStyle w:val="FooterQP"/>
      <w:rPr>
        <w:lang w:val="en-US"/>
      </w:rPr>
    </w:pPr>
    <w:r>
      <w:rPr>
        <w:lang w:val="en-US"/>
      </w:rPr>
      <w:tab/>
    </w:r>
    <w:r>
      <w:rPr>
        <w:lang w:val="en-US"/>
      </w:rPr>
      <w:tab/>
      <w:t xml:space="preserve">AMNT-24 – Résolution </w:t>
    </w:r>
    <w:r>
      <w:fldChar w:fldCharType="begin"/>
    </w:r>
    <w:r>
      <w:rPr>
        <w:lang w:val="en-US"/>
      </w:rPr>
      <w:instrText>styleref href</w:instrText>
    </w:r>
    <w:r>
      <w:fldChar w:fldCharType="separate"/>
    </w:r>
    <w:r w:rsidR="0069675A">
      <w:rPr>
        <w:noProof/>
        <w:lang w:val="en-US"/>
      </w:rPr>
      <w:t>99</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5F4A1" w14:textId="4C92371D" w:rsidR="0098403A" w:rsidRPr="00A4766C" w:rsidRDefault="0098403A" w:rsidP="00F56EB0">
    <w:pPr>
      <w:pStyle w:val="FooterQP"/>
      <w:rPr>
        <w:lang w:val="en-US"/>
      </w:rPr>
    </w:pPr>
    <w:r>
      <w:rPr>
        <w:lang w:val="en-US"/>
      </w:rPr>
      <w:tab/>
    </w:r>
    <w:r>
      <w:rPr>
        <w:lang w:val="en-US"/>
      </w:rPr>
      <w:tab/>
      <w:t xml:space="preserve">AMNT-24 – Résolution </w:t>
    </w:r>
    <w:r>
      <w:fldChar w:fldCharType="begin"/>
    </w:r>
    <w:r>
      <w:rPr>
        <w:lang w:val="en-US"/>
      </w:rPr>
      <w:instrText>styleref href</w:instrText>
    </w:r>
    <w:r>
      <w:fldChar w:fldCharType="separate"/>
    </w:r>
    <w:r w:rsidR="0069675A">
      <w:rPr>
        <w:noProof/>
        <w:lang w:val="en-US"/>
      </w:rPr>
      <w:t>99</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C4731" w14:textId="77777777" w:rsidR="002E1B7B" w:rsidRDefault="002E1B7B">
      <w:r>
        <w:t>____________________</w:t>
      </w:r>
    </w:p>
  </w:footnote>
  <w:footnote w:type="continuationSeparator" w:id="0">
    <w:p w14:paraId="545A56F1" w14:textId="77777777" w:rsidR="002E1B7B" w:rsidRDefault="002E1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8B49C" w14:textId="66B0640A" w:rsidR="0098403A" w:rsidRPr="004E26A2" w:rsidRDefault="0098403A" w:rsidP="004E2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AC3"/>
    <w:rsid w:val="00011D78"/>
    <w:rsid w:val="00017B45"/>
    <w:rsid w:val="00022D70"/>
    <w:rsid w:val="00023463"/>
    <w:rsid w:val="000256C9"/>
    <w:rsid w:val="00027E98"/>
    <w:rsid w:val="00031F30"/>
    <w:rsid w:val="0003503D"/>
    <w:rsid w:val="0004106C"/>
    <w:rsid w:val="00047FF6"/>
    <w:rsid w:val="00055F89"/>
    <w:rsid w:val="000641BC"/>
    <w:rsid w:val="00064EAA"/>
    <w:rsid w:val="0006625B"/>
    <w:rsid w:val="000B071B"/>
    <w:rsid w:val="000B0775"/>
    <w:rsid w:val="000B47CD"/>
    <w:rsid w:val="000B5A36"/>
    <w:rsid w:val="000C22AE"/>
    <w:rsid w:val="000C4E32"/>
    <w:rsid w:val="000D378F"/>
    <w:rsid w:val="000D3CE4"/>
    <w:rsid w:val="000D5219"/>
    <w:rsid w:val="000D6DAE"/>
    <w:rsid w:val="000E34D5"/>
    <w:rsid w:val="000E3B02"/>
    <w:rsid w:val="000E4393"/>
    <w:rsid w:val="000E7A22"/>
    <w:rsid w:val="000F3F54"/>
    <w:rsid w:val="00104692"/>
    <w:rsid w:val="00104797"/>
    <w:rsid w:val="00117D80"/>
    <w:rsid w:val="00127C17"/>
    <w:rsid w:val="001309FB"/>
    <w:rsid w:val="00135279"/>
    <w:rsid w:val="0014647D"/>
    <w:rsid w:val="001762A1"/>
    <w:rsid w:val="00183DDE"/>
    <w:rsid w:val="001961DB"/>
    <w:rsid w:val="001A7BD7"/>
    <w:rsid w:val="001B4A76"/>
    <w:rsid w:val="001B6B56"/>
    <w:rsid w:val="001C08DD"/>
    <w:rsid w:val="001C5240"/>
    <w:rsid w:val="001C604C"/>
    <w:rsid w:val="001D41FC"/>
    <w:rsid w:val="001F3813"/>
    <w:rsid w:val="002166AC"/>
    <w:rsid w:val="002178BA"/>
    <w:rsid w:val="002204D5"/>
    <w:rsid w:val="002210D5"/>
    <w:rsid w:val="00225E1A"/>
    <w:rsid w:val="00227040"/>
    <w:rsid w:val="00237B40"/>
    <w:rsid w:val="002462EF"/>
    <w:rsid w:val="00246C17"/>
    <w:rsid w:val="002742C3"/>
    <w:rsid w:val="00276298"/>
    <w:rsid w:val="00291778"/>
    <w:rsid w:val="00293C7F"/>
    <w:rsid w:val="002A37D9"/>
    <w:rsid w:val="002A400F"/>
    <w:rsid w:val="002B433E"/>
    <w:rsid w:val="002B709C"/>
    <w:rsid w:val="002C182C"/>
    <w:rsid w:val="002D5607"/>
    <w:rsid w:val="002E1B7B"/>
    <w:rsid w:val="002E6A20"/>
    <w:rsid w:val="00324E15"/>
    <w:rsid w:val="00331B2F"/>
    <w:rsid w:val="003374BB"/>
    <w:rsid w:val="0035222D"/>
    <w:rsid w:val="00377E10"/>
    <w:rsid w:val="0038237B"/>
    <w:rsid w:val="00394CC3"/>
    <w:rsid w:val="003A7A6C"/>
    <w:rsid w:val="003B45B3"/>
    <w:rsid w:val="003C3FD9"/>
    <w:rsid w:val="003D116F"/>
    <w:rsid w:val="003D1AAD"/>
    <w:rsid w:val="003D7A8C"/>
    <w:rsid w:val="003E021C"/>
    <w:rsid w:val="003E6DBC"/>
    <w:rsid w:val="003F293E"/>
    <w:rsid w:val="003F6DE7"/>
    <w:rsid w:val="00422D18"/>
    <w:rsid w:val="004231FB"/>
    <w:rsid w:val="00423BC5"/>
    <w:rsid w:val="00430B6A"/>
    <w:rsid w:val="00432393"/>
    <w:rsid w:val="004511DB"/>
    <w:rsid w:val="004568D2"/>
    <w:rsid w:val="004612A7"/>
    <w:rsid w:val="00462F6A"/>
    <w:rsid w:val="00467305"/>
    <w:rsid w:val="00483C70"/>
    <w:rsid w:val="0048772A"/>
    <w:rsid w:val="00497FCD"/>
    <w:rsid w:val="004A0B91"/>
    <w:rsid w:val="004A4DDF"/>
    <w:rsid w:val="004A58A4"/>
    <w:rsid w:val="004B7CB1"/>
    <w:rsid w:val="004C2E26"/>
    <w:rsid w:val="004D5A7B"/>
    <w:rsid w:val="004E26A2"/>
    <w:rsid w:val="004F2E56"/>
    <w:rsid w:val="004F4AC4"/>
    <w:rsid w:val="004F51FE"/>
    <w:rsid w:val="00501F47"/>
    <w:rsid w:val="00503F78"/>
    <w:rsid w:val="00504D1F"/>
    <w:rsid w:val="005226E5"/>
    <w:rsid w:val="00524FB2"/>
    <w:rsid w:val="0053765D"/>
    <w:rsid w:val="005441CE"/>
    <w:rsid w:val="00546C08"/>
    <w:rsid w:val="00551B43"/>
    <w:rsid w:val="00552798"/>
    <w:rsid w:val="005569CA"/>
    <w:rsid w:val="00562EF2"/>
    <w:rsid w:val="00574CFF"/>
    <w:rsid w:val="00583196"/>
    <w:rsid w:val="005903F1"/>
    <w:rsid w:val="005C7CB9"/>
    <w:rsid w:val="005D1D45"/>
    <w:rsid w:val="005E63DE"/>
    <w:rsid w:val="005E6E82"/>
    <w:rsid w:val="005F3C1C"/>
    <w:rsid w:val="00601999"/>
    <w:rsid w:val="00611CD0"/>
    <w:rsid w:val="00631549"/>
    <w:rsid w:val="006425B4"/>
    <w:rsid w:val="00647C46"/>
    <w:rsid w:val="006519C2"/>
    <w:rsid w:val="00653C1B"/>
    <w:rsid w:val="006628AD"/>
    <w:rsid w:val="00665F6E"/>
    <w:rsid w:val="006678D7"/>
    <w:rsid w:val="00670721"/>
    <w:rsid w:val="006824D9"/>
    <w:rsid w:val="00684F2B"/>
    <w:rsid w:val="00693D4F"/>
    <w:rsid w:val="0069675A"/>
    <w:rsid w:val="00696B5D"/>
    <w:rsid w:val="00697D23"/>
    <w:rsid w:val="006A329D"/>
    <w:rsid w:val="006A517C"/>
    <w:rsid w:val="006A5A4F"/>
    <w:rsid w:val="006B0459"/>
    <w:rsid w:val="006B5987"/>
    <w:rsid w:val="006C11CA"/>
    <w:rsid w:val="006C2EBC"/>
    <w:rsid w:val="006C5D1A"/>
    <w:rsid w:val="006E13C5"/>
    <w:rsid w:val="006F759B"/>
    <w:rsid w:val="007006F1"/>
    <w:rsid w:val="00706D36"/>
    <w:rsid w:val="00707551"/>
    <w:rsid w:val="007116DC"/>
    <w:rsid w:val="0071257B"/>
    <w:rsid w:val="0071403C"/>
    <w:rsid w:val="00717E4B"/>
    <w:rsid w:val="00720F3C"/>
    <w:rsid w:val="00726747"/>
    <w:rsid w:val="0074102F"/>
    <w:rsid w:val="00742DEC"/>
    <w:rsid w:val="0074451B"/>
    <w:rsid w:val="007550BF"/>
    <w:rsid w:val="00763881"/>
    <w:rsid w:val="00780423"/>
    <w:rsid w:val="00781E25"/>
    <w:rsid w:val="00783EB8"/>
    <w:rsid w:val="00787A64"/>
    <w:rsid w:val="007958DD"/>
    <w:rsid w:val="007C4FCD"/>
    <w:rsid w:val="007D644E"/>
    <w:rsid w:val="007E0240"/>
    <w:rsid w:val="007F32A3"/>
    <w:rsid w:val="00800BEA"/>
    <w:rsid w:val="00802173"/>
    <w:rsid w:val="00803424"/>
    <w:rsid w:val="00806BE4"/>
    <w:rsid w:val="008075CD"/>
    <w:rsid w:val="0081122F"/>
    <w:rsid w:val="008246EE"/>
    <w:rsid w:val="0082691B"/>
    <w:rsid w:val="00837339"/>
    <w:rsid w:val="008376BE"/>
    <w:rsid w:val="00845E8E"/>
    <w:rsid w:val="00851E30"/>
    <w:rsid w:val="00862038"/>
    <w:rsid w:val="0088147A"/>
    <w:rsid w:val="00882712"/>
    <w:rsid w:val="00882F44"/>
    <w:rsid w:val="0088751E"/>
    <w:rsid w:val="00887C3C"/>
    <w:rsid w:val="008968B6"/>
    <w:rsid w:val="008A368C"/>
    <w:rsid w:val="008A6090"/>
    <w:rsid w:val="008B4CF6"/>
    <w:rsid w:val="008C7FC3"/>
    <w:rsid w:val="008D6D8D"/>
    <w:rsid w:val="00901958"/>
    <w:rsid w:val="009055E3"/>
    <w:rsid w:val="00905B41"/>
    <w:rsid w:val="00906F35"/>
    <w:rsid w:val="009070EE"/>
    <w:rsid w:val="0091142E"/>
    <w:rsid w:val="00916468"/>
    <w:rsid w:val="0092650E"/>
    <w:rsid w:val="00931C08"/>
    <w:rsid w:val="00931EE1"/>
    <w:rsid w:val="009330E7"/>
    <w:rsid w:val="0093449D"/>
    <w:rsid w:val="00934946"/>
    <w:rsid w:val="00934CD8"/>
    <w:rsid w:val="0093649E"/>
    <w:rsid w:val="009369BF"/>
    <w:rsid w:val="009423EF"/>
    <w:rsid w:val="0095090C"/>
    <w:rsid w:val="00974C0C"/>
    <w:rsid w:val="009755D7"/>
    <w:rsid w:val="0098403A"/>
    <w:rsid w:val="009B6927"/>
    <w:rsid w:val="009C2357"/>
    <w:rsid w:val="009D10A5"/>
    <w:rsid w:val="009D26AE"/>
    <w:rsid w:val="009D42F7"/>
    <w:rsid w:val="009E0ACE"/>
    <w:rsid w:val="009E1DCF"/>
    <w:rsid w:val="009E7406"/>
    <w:rsid w:val="009F7009"/>
    <w:rsid w:val="009F707D"/>
    <w:rsid w:val="00A01A91"/>
    <w:rsid w:val="00A021D7"/>
    <w:rsid w:val="00A24E9A"/>
    <w:rsid w:val="00A26A3F"/>
    <w:rsid w:val="00A26B1A"/>
    <w:rsid w:val="00A3085D"/>
    <w:rsid w:val="00A358FE"/>
    <w:rsid w:val="00A4766C"/>
    <w:rsid w:val="00A47846"/>
    <w:rsid w:val="00A65D98"/>
    <w:rsid w:val="00A67B9C"/>
    <w:rsid w:val="00A80860"/>
    <w:rsid w:val="00A83D3D"/>
    <w:rsid w:val="00AA1264"/>
    <w:rsid w:val="00AA2D89"/>
    <w:rsid w:val="00AC30DD"/>
    <w:rsid w:val="00AC4AF1"/>
    <w:rsid w:val="00AC4D18"/>
    <w:rsid w:val="00AE4C26"/>
    <w:rsid w:val="00AF2E0E"/>
    <w:rsid w:val="00AF40A6"/>
    <w:rsid w:val="00B150A9"/>
    <w:rsid w:val="00B16F42"/>
    <w:rsid w:val="00B23929"/>
    <w:rsid w:val="00B241C9"/>
    <w:rsid w:val="00B24AD1"/>
    <w:rsid w:val="00B3059C"/>
    <w:rsid w:val="00B305E3"/>
    <w:rsid w:val="00B30872"/>
    <w:rsid w:val="00B33CAA"/>
    <w:rsid w:val="00B50CB4"/>
    <w:rsid w:val="00B50D4E"/>
    <w:rsid w:val="00B50F17"/>
    <w:rsid w:val="00B56BC0"/>
    <w:rsid w:val="00B60557"/>
    <w:rsid w:val="00B63440"/>
    <w:rsid w:val="00B65DD0"/>
    <w:rsid w:val="00B67290"/>
    <w:rsid w:val="00B70FFA"/>
    <w:rsid w:val="00B73379"/>
    <w:rsid w:val="00B73B62"/>
    <w:rsid w:val="00B83287"/>
    <w:rsid w:val="00B92804"/>
    <w:rsid w:val="00B97A2F"/>
    <w:rsid w:val="00BB34EA"/>
    <w:rsid w:val="00BC008F"/>
    <w:rsid w:val="00BD70B8"/>
    <w:rsid w:val="00BE58E6"/>
    <w:rsid w:val="00BF610E"/>
    <w:rsid w:val="00C073F8"/>
    <w:rsid w:val="00C12E70"/>
    <w:rsid w:val="00C14559"/>
    <w:rsid w:val="00C26DF8"/>
    <w:rsid w:val="00C32F69"/>
    <w:rsid w:val="00C42071"/>
    <w:rsid w:val="00C42785"/>
    <w:rsid w:val="00C578AB"/>
    <w:rsid w:val="00C64078"/>
    <w:rsid w:val="00C706FC"/>
    <w:rsid w:val="00C72AF4"/>
    <w:rsid w:val="00C81F9C"/>
    <w:rsid w:val="00C82348"/>
    <w:rsid w:val="00CD10C2"/>
    <w:rsid w:val="00CD3865"/>
    <w:rsid w:val="00CE300E"/>
    <w:rsid w:val="00CE767E"/>
    <w:rsid w:val="00CF024D"/>
    <w:rsid w:val="00D168AB"/>
    <w:rsid w:val="00D20887"/>
    <w:rsid w:val="00D26ECC"/>
    <w:rsid w:val="00D326D0"/>
    <w:rsid w:val="00D35FC4"/>
    <w:rsid w:val="00D40F25"/>
    <w:rsid w:val="00D4292A"/>
    <w:rsid w:val="00D457B6"/>
    <w:rsid w:val="00D50046"/>
    <w:rsid w:val="00D54881"/>
    <w:rsid w:val="00D66950"/>
    <w:rsid w:val="00D7477A"/>
    <w:rsid w:val="00D76D88"/>
    <w:rsid w:val="00D806D7"/>
    <w:rsid w:val="00D8497D"/>
    <w:rsid w:val="00D94D9E"/>
    <w:rsid w:val="00D96CB8"/>
    <w:rsid w:val="00DA7D60"/>
    <w:rsid w:val="00DB2AF8"/>
    <w:rsid w:val="00DB5592"/>
    <w:rsid w:val="00DD4C49"/>
    <w:rsid w:val="00DE4449"/>
    <w:rsid w:val="00DE48B4"/>
    <w:rsid w:val="00E03ABC"/>
    <w:rsid w:val="00E154E2"/>
    <w:rsid w:val="00E20918"/>
    <w:rsid w:val="00E2104E"/>
    <w:rsid w:val="00E300EC"/>
    <w:rsid w:val="00E32872"/>
    <w:rsid w:val="00E468A6"/>
    <w:rsid w:val="00E51820"/>
    <w:rsid w:val="00E52157"/>
    <w:rsid w:val="00E56BAB"/>
    <w:rsid w:val="00E67297"/>
    <w:rsid w:val="00E758D6"/>
    <w:rsid w:val="00E82452"/>
    <w:rsid w:val="00E83C1C"/>
    <w:rsid w:val="00E9541A"/>
    <w:rsid w:val="00E96B11"/>
    <w:rsid w:val="00E96C27"/>
    <w:rsid w:val="00EA12A2"/>
    <w:rsid w:val="00EA1F49"/>
    <w:rsid w:val="00EA2A26"/>
    <w:rsid w:val="00EB3556"/>
    <w:rsid w:val="00EC08BF"/>
    <w:rsid w:val="00ED1C15"/>
    <w:rsid w:val="00EE0145"/>
    <w:rsid w:val="00EE1126"/>
    <w:rsid w:val="00EE2FE2"/>
    <w:rsid w:val="00EE4B7A"/>
    <w:rsid w:val="00EF0F62"/>
    <w:rsid w:val="00F0099E"/>
    <w:rsid w:val="00F12607"/>
    <w:rsid w:val="00F15F98"/>
    <w:rsid w:val="00F34363"/>
    <w:rsid w:val="00F34748"/>
    <w:rsid w:val="00F4281C"/>
    <w:rsid w:val="00F56C66"/>
    <w:rsid w:val="00F56EB0"/>
    <w:rsid w:val="00F576B9"/>
    <w:rsid w:val="00F636D3"/>
    <w:rsid w:val="00F65750"/>
    <w:rsid w:val="00F65EA2"/>
    <w:rsid w:val="00F67E96"/>
    <w:rsid w:val="00F819DE"/>
    <w:rsid w:val="00FA70B7"/>
    <w:rsid w:val="00FC23C3"/>
    <w:rsid w:val="00FC7F15"/>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19C2"/>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link w:val="Heading1Char"/>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character" w:styleId="FootnoteReference">
    <w:name w:val="footnote reference"/>
    <w:rsid w:val="00B3059C"/>
    <w:rPr>
      <w:position w:val="6"/>
      <w:sz w:val="16"/>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rsid w:val="006519C2"/>
    <w:pPr>
      <w:keepNext/>
      <w:keepLines/>
      <w:ind w:left="794"/>
      <w:jc w:val="left"/>
    </w:pPr>
    <w:rPr>
      <w:i/>
    </w:rPr>
  </w:style>
  <w:style w:type="character" w:customStyle="1" w:styleId="CallChar">
    <w:name w:val="Call Char"/>
    <w:link w:val="Call"/>
    <w:uiPriority w:val="99"/>
    <w:rsid w:val="006519C2"/>
    <w:rPr>
      <w:rFonts w:ascii="Times New Roman" w:hAnsi="Times New Roman"/>
      <w:i/>
      <w:sz w:val="22"/>
      <w:lang w:val="fr-FR" w:eastAsia="en-US"/>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uiPriority w:val="99"/>
    <w:rsid w:val="006519C2"/>
    <w:pPr>
      <w:keepNext/>
      <w:keepLines/>
      <w:spacing w:before="480" w:after="80"/>
      <w:jc w:val="center"/>
      <w:outlineLvl w:val="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uiPriority w:val="99"/>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aliases w:val="超级链接,超?级链,CEO_Hyperlink,Style 58,超????,하이퍼링크2,超链接1"/>
    <w:uiPriority w:val="99"/>
    <w:qFormat/>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ind w:left="1132"/>
      <w:jc w:val="left"/>
    </w:pPr>
    <w:rPr>
      <w:sz w:val="24"/>
      <w:lang w:val="en-GB"/>
    </w:rPr>
  </w:style>
  <w:style w:type="paragraph" w:styleId="Index4">
    <w:name w:val="index 4"/>
    <w:basedOn w:val="Normal"/>
    <w:next w:val="Normal"/>
    <w:semiHidden/>
    <w:pPr>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pPr>
    <w:rPr>
      <w:sz w:val="24"/>
      <w:lang w:val="en-GB"/>
    </w:rPr>
  </w:style>
  <w:style w:type="paragraph" w:customStyle="1" w:styleId="blanc">
    <w:name w:val="blanc"/>
    <w:basedOn w:val="Normal"/>
    <w:pPr>
      <w:tabs>
        <w:tab w:val="clear" w:pos="794"/>
        <w:tab w:val="clear" w:pos="1191"/>
        <w:tab w:val="clear" w:pos="1588"/>
        <w:tab w:val="clear" w:pos="1985"/>
      </w:tabs>
      <w:spacing w:before="0"/>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ind w:left="794"/>
      <w:jc w:val="left"/>
    </w:pPr>
  </w:style>
  <w:style w:type="paragraph" w:customStyle="1" w:styleId="TableTitle">
    <w:name w:val="Table_Title"/>
    <w:basedOn w:val="Normal"/>
    <w:next w:val="Tabletext"/>
    <w:rsid w:val="00A01A91"/>
    <w:pPr>
      <w:keepNext/>
      <w:keepLines/>
      <w:spacing w:before="480" w:after="120"/>
      <w:jc w:val="center"/>
    </w:pPr>
    <w:rPr>
      <w:b/>
      <w:sz w:val="24"/>
      <w:lang w:val="en-GB"/>
    </w:rPr>
  </w:style>
  <w:style w:type="paragraph" w:customStyle="1" w:styleId="Normalaftertitle0">
    <w:name w:val="Normal after title"/>
    <w:basedOn w:val="Normal"/>
    <w:next w:val="Normal"/>
    <w:link w:val="NormalaftertitleChar"/>
    <w:rsid w:val="004A58A4"/>
    <w:pPr>
      <w:spacing w:before="280"/>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uiPriority w:val="99"/>
    <w:rsid w:val="006519C2"/>
    <w:pPr>
      <w:keepNext/>
      <w:keepLines/>
      <w:spacing w:before="480" w:after="80"/>
      <w:jc w:val="center"/>
      <w:outlineLvl w:val="0"/>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jc w:val="center"/>
    </w:pPr>
    <w:rPr>
      <w:caps/>
      <w:sz w:val="24"/>
      <w:lang w:val="en-GB"/>
    </w:rPr>
  </w:style>
  <w:style w:type="paragraph" w:customStyle="1" w:styleId="Figuretitle">
    <w:name w:val="Figure_title"/>
    <w:basedOn w:val="Normal"/>
    <w:next w:val="Normal"/>
    <w:rsid w:val="000E4393"/>
    <w:pPr>
      <w:keepLines/>
      <w:spacing w:before="0" w:after="480"/>
      <w:jc w:val="center"/>
    </w:pPr>
    <w:rPr>
      <w:rFonts w:ascii="Times New Roman Bold" w:hAnsi="Times New Roman Bold"/>
      <w:b/>
      <w:sz w:val="24"/>
      <w:lang w:val="en-GB"/>
    </w:rPr>
  </w:style>
  <w:style w:type="paragraph" w:customStyle="1" w:styleId="AppendixNo">
    <w:name w:val="Appendix_No"/>
    <w:basedOn w:val="Normal"/>
    <w:next w:val="Normal"/>
    <w:uiPriority w:val="99"/>
    <w:rsid w:val="000E4393"/>
    <w:pPr>
      <w:keepNext/>
      <w:keepLines/>
      <w:spacing w:before="480" w:after="80"/>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uiPriority w:val="99"/>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A021D7"/>
    <w:rPr>
      <w:b/>
      <w:bCs/>
    </w:rPr>
  </w:style>
  <w:style w:type="character" w:customStyle="1" w:styleId="CommentTextChar">
    <w:name w:val="Comment Text Char"/>
    <w:basedOn w:val="DefaultParagraphFont"/>
    <w:link w:val="CommentText"/>
    <w:semiHidden/>
    <w:rsid w:val="00A021D7"/>
    <w:rPr>
      <w:rFonts w:ascii="Times New Roman" w:hAnsi="Times New Roman"/>
      <w:lang w:val="fr-FR" w:eastAsia="en-US"/>
    </w:rPr>
  </w:style>
  <w:style w:type="character" w:customStyle="1" w:styleId="CommentSubjectChar">
    <w:name w:val="Comment Subject Char"/>
    <w:basedOn w:val="CommentTextChar"/>
    <w:link w:val="CommentSubject"/>
    <w:semiHidden/>
    <w:rsid w:val="00A021D7"/>
    <w:rPr>
      <w:rFonts w:ascii="Times New Roman" w:hAnsi="Times New Roman"/>
      <w:b/>
      <w:bCs/>
      <w:lang w:val="fr-FR" w:eastAsia="en-US"/>
    </w:rPr>
  </w:style>
  <w:style w:type="paragraph" w:customStyle="1" w:styleId="Annextitle">
    <w:name w:val="Annex_title"/>
    <w:basedOn w:val="Normal"/>
    <w:next w:val="Normal"/>
    <w:uiPriority w:val="99"/>
    <w:rsid w:val="00430B6A"/>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Reasons">
    <w:name w:val="Reasons"/>
    <w:basedOn w:val="Normal"/>
    <w:uiPriority w:val="99"/>
    <w:rsid w:val="00430B6A"/>
    <w:pPr>
      <w:tabs>
        <w:tab w:val="clear" w:pos="794"/>
        <w:tab w:val="clear" w:pos="1191"/>
        <w:tab w:val="left" w:pos="1134"/>
      </w:tabs>
      <w:jc w:val="left"/>
    </w:pPr>
    <w:rPr>
      <w:sz w:val="24"/>
    </w:rPr>
  </w:style>
  <w:style w:type="character" w:customStyle="1" w:styleId="HeadingbChar">
    <w:name w:val="Heading_b Char"/>
    <w:link w:val="Headingb"/>
    <w:qFormat/>
    <w:locked/>
    <w:rsid w:val="00430B6A"/>
    <w:rPr>
      <w:rFonts w:ascii="Times New Roman" w:hAnsi="Times New Roman"/>
      <w:b/>
      <w:sz w:val="22"/>
      <w:lang w:val="fr-FR" w:eastAsia="en-US"/>
    </w:rPr>
  </w:style>
  <w:style w:type="character" w:customStyle="1" w:styleId="TabletextChar">
    <w:name w:val="Table_text Char"/>
    <w:link w:val="Tabletext"/>
    <w:qFormat/>
    <w:locked/>
    <w:rsid w:val="0004106C"/>
    <w:rPr>
      <w:rFonts w:ascii="Times New Roman" w:hAnsi="Times New Roman"/>
      <w:lang w:val="fr-FR" w:eastAsia="en-US"/>
    </w:rPr>
  </w:style>
  <w:style w:type="character" w:customStyle="1" w:styleId="Heading1Char">
    <w:name w:val="Heading 1 Char"/>
    <w:basedOn w:val="DefaultParagraphFont"/>
    <w:link w:val="Heading1"/>
    <w:rsid w:val="003E021C"/>
    <w:rPr>
      <w:rFonts w:ascii="Times New Roman" w:hAnsi="Times New Roman"/>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95739-62AA-4A35-BF09-3639EB8BC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Livre_jaune.dot</Template>
  <TotalTime>239</TotalTime>
  <Pages>4</Pages>
  <Words>926</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Résolution 98 – Renforcer la normalisation de l'Internet des objets, des jumeaux numériques ainsi que des villes et communautés intelligentes et durables pour le développement à l'échelle mondiale</vt:lpstr>
    </vt:vector>
  </TitlesOfParts>
  <Company>ITU</Company>
  <LinksUpToDate>false</LinksUpToDate>
  <CharactersWithSpaces>6314</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99 – Restructuration des commissions d'études du Secteur de la normalisation des télécommunications de l'UIT</dc:title>
  <dc:subject>ASSEMBLÉE MONDIALE DE NORMALISATION DES TÉLÉCOMMUNICATIONS</dc:subject>
  <dc:creator>ITU-T</dc:creator>
  <cp:keywords/>
  <dc:description/>
  <cp:lastModifiedBy>Saez Grau, Ricardo</cp:lastModifiedBy>
  <cp:revision>92</cp:revision>
  <cp:lastPrinted>2024-11-27T08:27:00Z</cp:lastPrinted>
  <dcterms:created xsi:type="dcterms:W3CDTF">2024-09-24T12:18:00Z</dcterms:created>
  <dcterms:modified xsi:type="dcterms:W3CDTF">2024-11-27T08:28:00Z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