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margin" w:tblpY="506"/>
        <w:tblOverlap w:val="never"/>
        <w:tblW w:w="10740" w:type="dxa"/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5670"/>
      </w:tblGrid>
      <w:tr w:rsidR="00EA2A26" w:rsidRPr="0033681A" w14:paraId="7078E33C" w14:textId="77777777" w:rsidTr="00367A2B">
        <w:trPr>
          <w:trHeight w:hRule="exact" w:val="426"/>
        </w:trPr>
        <w:tc>
          <w:tcPr>
            <w:tcW w:w="5070" w:type="dxa"/>
            <w:gridSpan w:val="2"/>
          </w:tcPr>
          <w:p w14:paraId="1C1FE4AD" w14:textId="76362E0F" w:rsidR="00EA2A26" w:rsidRPr="00C65373" w:rsidRDefault="00EA2A26" w:rsidP="00A3085D">
            <w:pPr>
              <w:spacing w:before="60"/>
              <w:rPr>
                <w:rFonts w:ascii="Arial" w:eastAsia="SimHei" w:hAnsi="Arial" w:cs="Arial"/>
                <w:noProof/>
                <w:szCs w:val="24"/>
                <w:lang w:eastAsia="zh-CN"/>
              </w:rPr>
            </w:pPr>
            <w:bookmarkStart w:id="0" w:name="c2tope"/>
            <w:bookmarkEnd w:id="0"/>
            <w:r w:rsidRPr="00C65373">
              <w:rPr>
                <w:rFonts w:ascii="Arial" w:eastAsia="SimHei" w:hAnsi="Arial" w:cs="Arial"/>
                <w:b/>
                <w:color w:val="009CD6"/>
                <w:spacing w:val="-4"/>
                <w:sz w:val="32"/>
                <w:szCs w:val="32"/>
              </w:rPr>
              <w:t>ITU</w:t>
            </w:r>
            <w:r w:rsidR="004D6FF6" w:rsidRPr="00C65373">
              <w:rPr>
                <w:rFonts w:ascii="Arial" w:eastAsia="SimHei" w:hAnsi="Arial" w:cs="Arial"/>
                <w:b/>
                <w:color w:val="292829"/>
                <w:spacing w:val="-4"/>
                <w:sz w:val="32"/>
                <w:szCs w:val="32"/>
                <w:lang w:eastAsia="zh-CN"/>
              </w:rPr>
              <w:t>出版物</w:t>
            </w:r>
          </w:p>
        </w:tc>
        <w:tc>
          <w:tcPr>
            <w:tcW w:w="5670" w:type="dxa"/>
          </w:tcPr>
          <w:p w14:paraId="0E9475D3" w14:textId="2CB736BA" w:rsidR="00EA2A26" w:rsidRPr="00C65373" w:rsidRDefault="00370DE5" w:rsidP="00A3085D">
            <w:pPr>
              <w:spacing w:before="60"/>
              <w:jc w:val="right"/>
              <w:rPr>
                <w:rFonts w:ascii="Arial" w:eastAsia="SimHei" w:hAnsi="Arial" w:cs="Arial"/>
                <w:szCs w:val="24"/>
              </w:rPr>
            </w:pPr>
            <w:proofErr w:type="spellStart"/>
            <w:r w:rsidRPr="00C65373">
              <w:rPr>
                <w:rFonts w:ascii="Arial" w:eastAsia="SimHei" w:hAnsi="Arial" w:cs="Arial"/>
                <w:b/>
                <w:spacing w:val="-4"/>
                <w:szCs w:val="24"/>
              </w:rPr>
              <w:t>国际电信联盟</w:t>
            </w:r>
            <w:proofErr w:type="spellEnd"/>
          </w:p>
        </w:tc>
      </w:tr>
      <w:tr w:rsidR="00EA2A26" w:rsidRPr="0033681A" w14:paraId="42C85EB6" w14:textId="77777777" w:rsidTr="00367A2B">
        <w:trPr>
          <w:trHeight w:hRule="exact" w:val="992"/>
        </w:trPr>
        <w:tc>
          <w:tcPr>
            <w:tcW w:w="5070" w:type="dxa"/>
            <w:gridSpan w:val="2"/>
          </w:tcPr>
          <w:p w14:paraId="68B26EDA" w14:textId="4ABAE432" w:rsidR="00EA2A26" w:rsidRPr="00C65373" w:rsidRDefault="000F33F8" w:rsidP="00367A2B">
            <w:pPr>
              <w:spacing w:before="0"/>
              <w:rPr>
                <w:rFonts w:ascii="Arial" w:eastAsia="SimHei" w:hAnsi="Arial" w:cs="Arial"/>
                <w:szCs w:val="24"/>
              </w:rPr>
            </w:pPr>
            <w:r w:rsidRPr="00C65373">
              <w:rPr>
                <w:rFonts w:ascii="Arial" w:eastAsia="SimHei" w:hAnsi="Arial" w:cs="Arial"/>
                <w:szCs w:val="24"/>
                <w:lang w:eastAsia="zh-CN"/>
              </w:rPr>
              <w:t>决议</w:t>
            </w:r>
          </w:p>
        </w:tc>
        <w:tc>
          <w:tcPr>
            <w:tcW w:w="5670" w:type="dxa"/>
          </w:tcPr>
          <w:p w14:paraId="20539D5B" w14:textId="2850E370" w:rsidR="00EA2A26" w:rsidRPr="00C65373" w:rsidRDefault="000843D3" w:rsidP="00367A2B">
            <w:pPr>
              <w:spacing w:before="0"/>
              <w:jc w:val="right"/>
              <w:rPr>
                <w:rFonts w:ascii="Arial" w:eastAsia="SimHei" w:hAnsi="Arial" w:cs="Arial"/>
                <w:szCs w:val="24"/>
              </w:rPr>
            </w:pPr>
            <w:proofErr w:type="spellStart"/>
            <w:r w:rsidRPr="00C65373">
              <w:rPr>
                <w:rFonts w:ascii="Arial" w:eastAsia="SimHei" w:hAnsi="Arial" w:cs="Arial"/>
                <w:szCs w:val="24"/>
              </w:rPr>
              <w:t>电信标准化部门</w:t>
            </w:r>
            <w:proofErr w:type="spellEnd"/>
          </w:p>
        </w:tc>
      </w:tr>
      <w:tr w:rsidR="00EA2A26" w:rsidRPr="0033681A" w14:paraId="6AE027A4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709"/>
        </w:trPr>
        <w:tc>
          <w:tcPr>
            <w:tcW w:w="9923" w:type="dxa"/>
            <w:gridSpan w:val="2"/>
          </w:tcPr>
          <w:p w14:paraId="1BE63DDE" w14:textId="77777777" w:rsidR="00EA2A26" w:rsidRPr="002825B1" w:rsidRDefault="00EA2A26" w:rsidP="00367A2B">
            <w:pPr>
              <w:pStyle w:val="BodyText"/>
              <w:spacing w:before="440"/>
              <w:rPr>
                <w:rFonts w:ascii="SimHei" w:eastAsia="SimHei" w:hAnsi="SimHei"/>
                <w:b w:val="0"/>
                <w:bCs w:val="0"/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613D5C" w14:paraId="09112B91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129"/>
        </w:trPr>
        <w:tc>
          <w:tcPr>
            <w:tcW w:w="9923" w:type="dxa"/>
            <w:gridSpan w:val="2"/>
          </w:tcPr>
          <w:p w14:paraId="345DAF0C" w14:textId="77777777" w:rsidR="00EA2A26" w:rsidRPr="002825B1" w:rsidRDefault="00EA2A26" w:rsidP="00367A2B">
            <w:pPr>
              <w:pStyle w:val="BodyText"/>
              <w:spacing w:before="120" w:after="240"/>
              <w:rPr>
                <w:rFonts w:ascii="SimHei" w:eastAsia="SimHei" w:hAnsi="SimHei"/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370DE5" w14:paraId="594C2C35" w14:textId="77777777" w:rsidTr="00367A2B">
        <w:trPr>
          <w:trHeight w:val="80"/>
        </w:trPr>
        <w:tc>
          <w:tcPr>
            <w:tcW w:w="817" w:type="dxa"/>
          </w:tcPr>
          <w:p w14:paraId="72C102BC" w14:textId="5507C8BE" w:rsidR="00EA2A26" w:rsidRPr="002825B1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9923" w:type="dxa"/>
            <w:gridSpan w:val="2"/>
            <w:tcBorders>
              <w:bottom w:val="single" w:sz="8" w:space="0" w:color="auto"/>
            </w:tcBorders>
          </w:tcPr>
          <w:p w14:paraId="46F1491F" w14:textId="33CE5A24" w:rsidR="00EA2A26" w:rsidRPr="002825B1" w:rsidRDefault="008C46CF" w:rsidP="00EA2A26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djustRightInd/>
              <w:spacing w:before="276" w:line="240" w:lineRule="auto"/>
              <w:jc w:val="left"/>
              <w:textAlignment w:val="auto"/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</w:pPr>
            <w:r w:rsidRPr="002825B1">
              <w:rPr>
                <w:rFonts w:ascii="Arial" w:eastAsia="SimHei" w:hAnsi="Arial" w:cs="Arial"/>
                <w:sz w:val="36"/>
                <w:szCs w:val="36"/>
                <w:lang w:val="en-US" w:eastAsia="zh-CN"/>
              </w:rPr>
              <w:t>世界电信标准化全会</w:t>
            </w:r>
            <w:r w:rsidR="00EA2A26" w:rsidRPr="002825B1">
              <w:rPr>
                <w:rFonts w:ascii="Arial" w:eastAsia="SimHei" w:hAnsi="Arial" w:cs="Arial"/>
                <w:sz w:val="36"/>
                <w:szCs w:val="36"/>
                <w:lang w:val="en-US" w:eastAsia="zh-CN"/>
              </w:rPr>
              <w:br/>
            </w:r>
            <w:r w:rsidR="00C46BDC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新德里</w:t>
            </w:r>
            <w:r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，</w:t>
            </w:r>
            <w:r w:rsidR="00EA2A26"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20</w:t>
            </w:r>
            <w:r w:rsidR="00C46BDC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24</w:t>
            </w:r>
            <w:r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年</w:t>
            </w:r>
            <w:r w:rsidR="004B23A7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1</w:t>
            </w:r>
            <w:r w:rsidR="00C46BDC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0</w:t>
            </w:r>
            <w:r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月</w:t>
            </w:r>
            <w:r w:rsidR="00C46BDC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15</w:t>
            </w:r>
            <w:r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-2</w:t>
            </w:r>
            <w:r w:rsidR="00C46BDC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4</w:t>
            </w:r>
            <w:r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日</w:t>
            </w:r>
          </w:p>
          <w:p w14:paraId="318F1603" w14:textId="77777777" w:rsidR="00EA2A26" w:rsidRPr="002825B1" w:rsidRDefault="00EA2A26" w:rsidP="00367A2B">
            <w:pPr>
              <w:rPr>
                <w:rFonts w:ascii="Arial" w:eastAsia="SimHei" w:hAnsi="Arial" w:cs="Arial"/>
                <w:lang w:val="en-GB" w:eastAsia="zh-CN"/>
              </w:rPr>
            </w:pPr>
          </w:p>
        </w:tc>
      </w:tr>
      <w:tr w:rsidR="00EA2A26" w:rsidRPr="0033681A" w14:paraId="40EA4FB7" w14:textId="77777777" w:rsidTr="00367A2B">
        <w:trPr>
          <w:trHeight w:val="743"/>
        </w:trPr>
        <w:tc>
          <w:tcPr>
            <w:tcW w:w="817" w:type="dxa"/>
          </w:tcPr>
          <w:p w14:paraId="5A48D328" w14:textId="77777777" w:rsidR="00EA2A26" w:rsidRPr="002825B1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48"/>
                <w:szCs w:val="48"/>
                <w:lang w:val="en-GB" w:eastAsia="zh-CN"/>
              </w:rPr>
            </w:pPr>
          </w:p>
        </w:tc>
        <w:tc>
          <w:tcPr>
            <w:tcW w:w="9923" w:type="dxa"/>
            <w:gridSpan w:val="2"/>
            <w:tcBorders>
              <w:top w:val="single" w:sz="8" w:space="0" w:color="auto"/>
            </w:tcBorders>
          </w:tcPr>
          <w:p w14:paraId="36D98092" w14:textId="6617AC07" w:rsidR="00EA2A26" w:rsidRPr="002825B1" w:rsidRDefault="00AB2633" w:rsidP="00843454">
            <w:pPr>
              <w:pStyle w:val="BodyText"/>
              <w:spacing w:before="440" w:line="240" w:lineRule="auto"/>
              <w:jc w:val="left"/>
              <w:rPr>
                <w:rFonts w:eastAsia="SimHei"/>
                <w:spacing w:val="-6"/>
                <w:sz w:val="44"/>
                <w:szCs w:val="44"/>
                <w:lang w:val="en-GB" w:eastAsia="zh-CN"/>
              </w:rPr>
            </w:pPr>
            <w:r w:rsidRPr="002825B1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>第</w:t>
            </w:r>
            <w:r w:rsidR="00C043F7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>99</w:t>
            </w:r>
            <w:r w:rsidRPr="002825B1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>号决议</w:t>
            </w:r>
            <w:r w:rsidRPr="002825B1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 xml:space="preserve"> </w:t>
            </w:r>
            <w:r w:rsidR="00845E8E" w:rsidRPr="002825B1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>–</w:t>
            </w:r>
            <w:r w:rsidR="00AB4404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 xml:space="preserve"> </w:t>
            </w:r>
            <w:r w:rsidR="00C043F7" w:rsidRPr="00C043F7">
              <w:rPr>
                <w:rFonts w:eastAsia="SimHei" w:hint="eastAsia"/>
                <w:spacing w:val="-6"/>
                <w:sz w:val="44"/>
                <w:szCs w:val="44"/>
                <w:lang w:val="en-GB" w:eastAsia="zh-CN"/>
              </w:rPr>
              <w:t>国际电</w:t>
            </w:r>
            <w:proofErr w:type="gramStart"/>
            <w:r w:rsidR="00C043F7" w:rsidRPr="00C043F7">
              <w:rPr>
                <w:rFonts w:eastAsia="SimHei" w:hint="eastAsia"/>
                <w:spacing w:val="-6"/>
                <w:sz w:val="44"/>
                <w:szCs w:val="44"/>
                <w:lang w:val="en-GB" w:eastAsia="zh-CN"/>
              </w:rPr>
              <w:t>联电信</w:t>
            </w:r>
            <w:proofErr w:type="gramEnd"/>
            <w:r w:rsidR="00C043F7" w:rsidRPr="00C043F7">
              <w:rPr>
                <w:rFonts w:eastAsia="SimHei" w:hint="eastAsia"/>
                <w:spacing w:val="-6"/>
                <w:sz w:val="44"/>
                <w:szCs w:val="44"/>
                <w:lang w:val="en-GB" w:eastAsia="zh-CN"/>
              </w:rPr>
              <w:t>标准化部门</w:t>
            </w:r>
            <w:r w:rsidR="00C043F7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br/>
            </w:r>
            <w:r w:rsidR="00C043F7" w:rsidRPr="00C043F7">
              <w:rPr>
                <w:rFonts w:eastAsia="SimHei" w:hint="eastAsia"/>
                <w:spacing w:val="-6"/>
                <w:sz w:val="44"/>
                <w:szCs w:val="44"/>
                <w:lang w:val="en-GB" w:eastAsia="zh-CN"/>
              </w:rPr>
              <w:t>研究组的重组</w:t>
            </w:r>
          </w:p>
          <w:p w14:paraId="51262F1D" w14:textId="77777777" w:rsidR="00EA2A26" w:rsidRPr="002825B1" w:rsidRDefault="00EA2A26" w:rsidP="00367A2B">
            <w:pPr>
              <w:rPr>
                <w:rFonts w:ascii="Arial" w:eastAsia="SimHei" w:hAnsi="Arial" w:cs="Arial"/>
                <w:lang w:eastAsia="zh-CN"/>
              </w:rPr>
            </w:pPr>
          </w:p>
        </w:tc>
      </w:tr>
    </w:tbl>
    <w:p w14:paraId="7800F3B2" w14:textId="77777777" w:rsidR="00EA2A26" w:rsidRPr="00A14194" w:rsidRDefault="00EA2A26" w:rsidP="00EA2A2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sz w:val="18"/>
          <w:lang w:eastAsia="zh-CN"/>
        </w:rPr>
      </w:pPr>
      <w:r w:rsidRPr="0033681A">
        <w:rPr>
          <w:rFonts w:ascii="Arial" w:eastAsia="Avenir Next W1G Medium" w:hAnsi="Arial" w:cs="Arial"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C388CF" wp14:editId="2C642E50">
                <wp:simplePos x="0" y="0"/>
                <wp:positionH relativeFrom="page">
                  <wp:posOffset>6350</wp:posOffset>
                </wp:positionH>
                <wp:positionV relativeFrom="page">
                  <wp:posOffset>908685</wp:posOffset>
                </wp:positionV>
                <wp:extent cx="7772400" cy="22987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29870"/>
                          <a:chOff x="0" y="1784"/>
                          <a:chExt cx="11906" cy="362"/>
                        </a:xfrm>
                      </wpg:grpSpPr>
                      <wps:wsp>
                        <wps:cNvPr id="3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1817"/>
                            <a:ext cx="11906" cy="329"/>
                          </a:xfrm>
                          <a:prstGeom prst="rect">
                            <a:avLst/>
                          </a:prstGeom>
                          <a:solidFill>
                            <a:srgbClr val="9D17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5"/>
                        <wps:cNvSpPr>
                          <a:spLocks/>
                        </wps:cNvSpPr>
                        <wps:spPr bwMode="auto">
                          <a:xfrm>
                            <a:off x="1109" y="1784"/>
                            <a:ext cx="627" cy="314"/>
                          </a:xfrm>
                          <a:custGeom>
                            <a:avLst/>
                            <a:gdLst>
                              <a:gd name="T0" fmla="+- 0 1736 1109"/>
                              <a:gd name="T1" fmla="*/ T0 w 627"/>
                              <a:gd name="T2" fmla="+- 0 1784 1784"/>
                              <a:gd name="T3" fmla="*/ 1784 h 314"/>
                              <a:gd name="T4" fmla="+- 0 1109 1109"/>
                              <a:gd name="T5" fmla="*/ T4 w 627"/>
                              <a:gd name="T6" fmla="+- 0 1784 1784"/>
                              <a:gd name="T7" fmla="*/ 1784 h 314"/>
                              <a:gd name="T8" fmla="+- 0 1423 1109"/>
                              <a:gd name="T9" fmla="*/ T8 w 627"/>
                              <a:gd name="T10" fmla="+- 0 2097 1784"/>
                              <a:gd name="T11" fmla="*/ 2097 h 314"/>
                              <a:gd name="T12" fmla="+- 0 1736 1109"/>
                              <a:gd name="T13" fmla="*/ T12 w 627"/>
                              <a:gd name="T14" fmla="+- 0 1784 1784"/>
                              <a:gd name="T15" fmla="*/ 1784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7" h="314">
                                <a:moveTo>
                                  <a:pt x="627" y="0"/>
                                </a:moveTo>
                                <a:lnTo>
                                  <a:pt x="0" y="0"/>
                                </a:lnTo>
                                <a:lnTo>
                                  <a:pt x="314" y="313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CC4C1" id="Group 30" o:spid="_x0000_s1026" style="position:absolute;margin-left:.5pt;margin-top:71.55pt;width:612pt;height:18.1pt;z-index:-251656192;mso-position-horizontal-relative:page;mso-position-vertical-relative:page" coordorigin=",1784" coordsize="11906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">
                <v:rect id="docshape4" o:spid="_x0000_s1027" style="position:absolute;top:1817;width:1190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" fillcolor="#9d170a" stroked="f"/>
                <v:shape id="docshape5" o:spid="_x0000_s1028" style="position:absolute;left:1109;top:17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" path="m627,l,,314,313,627,xe" stroked="f">
                  <v:path arrowok="t" o:connecttype="custom" o:connectlocs="627,1784;0,1784;314,2097;627,1784" o:connectangles="0,0,0,0"/>
                </v:shape>
                <w10:wrap anchorx="page" anchory="page"/>
              </v:group>
            </w:pict>
          </mc:Fallback>
        </mc:AlternateContent>
      </w:r>
      <w:r w:rsidRPr="0033681A">
        <w:rPr>
          <w:noProof/>
        </w:rPr>
        <w:drawing>
          <wp:anchor distT="0" distB="0" distL="0" distR="0" simplePos="0" relativeHeight="251659264" behindDoc="1" locked="0" layoutInCell="1" allowOverlap="1" wp14:anchorId="1A5186FC" wp14:editId="44B435CE">
            <wp:simplePos x="0" y="0"/>
            <wp:positionH relativeFrom="page">
              <wp:posOffset>6355080</wp:posOffset>
            </wp:positionH>
            <wp:positionV relativeFrom="page">
              <wp:posOffset>9591675</wp:posOffset>
            </wp:positionV>
            <wp:extent cx="737870" cy="813435"/>
            <wp:effectExtent l="0" t="0" r="0" b="0"/>
            <wp:wrapNone/>
            <wp:docPr id="1" name="image1.png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icon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1FA29" w14:textId="77777777" w:rsidR="00EA2A26" w:rsidRPr="0033681A" w:rsidRDefault="00EA2A26" w:rsidP="00EA2A26">
      <w:pPr>
        <w:jc w:val="left"/>
        <w:rPr>
          <w:lang w:eastAsia="zh-CN"/>
        </w:rPr>
        <w:sectPr w:rsidR="00EA2A26" w:rsidRPr="0033681A" w:rsidSect="00EA2A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oddPage"/>
          <w:pgSz w:w="11907" w:h="16840" w:code="9"/>
          <w:pgMar w:top="1038" w:right="601" w:bottom="1860" w:left="618" w:header="567" w:footer="284" w:gutter="0"/>
          <w:pgNumType w:start="1"/>
          <w:cols w:space="720"/>
          <w:titlePg/>
          <w:docGrid w:linePitch="326"/>
        </w:sectPr>
      </w:pPr>
    </w:p>
    <w:p w14:paraId="640B1B4E" w14:textId="70C943D7" w:rsidR="000E4393" w:rsidRPr="00346698" w:rsidRDefault="00F07EEC" w:rsidP="00141741">
      <w:pPr>
        <w:spacing w:before="480" w:line="240" w:lineRule="auto"/>
        <w:jc w:val="center"/>
        <w:rPr>
          <w:szCs w:val="24"/>
          <w:lang w:val="en-US" w:eastAsia="zh-CN"/>
        </w:rPr>
      </w:pPr>
      <w:bookmarkStart w:id="1" w:name="irecnoe"/>
      <w:bookmarkEnd w:id="1"/>
      <w:r w:rsidRPr="00346698">
        <w:rPr>
          <w:rFonts w:hint="eastAsia"/>
          <w:szCs w:val="24"/>
          <w:lang w:val="en-US" w:eastAsia="zh-CN"/>
        </w:rPr>
        <w:lastRenderedPageBreak/>
        <w:t>前言</w:t>
      </w:r>
    </w:p>
    <w:p w14:paraId="28286A50" w14:textId="77777777" w:rsidR="00141741" w:rsidRPr="00346698" w:rsidRDefault="00141741" w:rsidP="00141741">
      <w:pPr>
        <w:pStyle w:val="Normal2"/>
        <w:spacing w:before="360"/>
        <w:rPr>
          <w:szCs w:val="24"/>
          <w:lang w:eastAsia="zh-CN"/>
        </w:rPr>
      </w:pPr>
      <w:r w:rsidRPr="00346698">
        <w:rPr>
          <w:rFonts w:hint="eastAsia"/>
          <w:szCs w:val="24"/>
          <w:lang w:eastAsia="zh-CN"/>
        </w:rPr>
        <w:t>国际电信联盟（</w:t>
      </w:r>
      <w:r w:rsidRPr="00346698">
        <w:rPr>
          <w:rFonts w:hint="eastAsia"/>
          <w:szCs w:val="24"/>
          <w:lang w:eastAsia="zh-CN"/>
        </w:rPr>
        <w:t>ITU</w:t>
      </w:r>
      <w:r w:rsidRPr="00346698">
        <w:rPr>
          <w:rFonts w:hint="eastAsia"/>
          <w:szCs w:val="24"/>
          <w:lang w:eastAsia="zh-CN"/>
        </w:rPr>
        <w:t>）是从事电信领域工作的联合国专门机构。</w:t>
      </w:r>
      <w:r w:rsidRPr="00346698">
        <w:rPr>
          <w:rFonts w:hint="eastAsia"/>
          <w:szCs w:val="24"/>
          <w:lang w:eastAsia="zh-CN"/>
        </w:rPr>
        <w:t>ITU-T</w:t>
      </w:r>
      <w:r w:rsidRPr="00346698">
        <w:rPr>
          <w:rFonts w:hint="eastAsia"/>
          <w:szCs w:val="24"/>
          <w:lang w:eastAsia="zh-CN"/>
        </w:rPr>
        <w:t>（国际电信联盟电信标准化部门）是国际电联的常设机构，负责研究技术、操作和资费问题，并发布有关上述内容的建议书，以便在世界范围内实现电信标准化。</w:t>
      </w:r>
    </w:p>
    <w:p w14:paraId="31834772" w14:textId="77777777" w:rsidR="00141741" w:rsidRPr="00346698" w:rsidRDefault="00141741" w:rsidP="00141741">
      <w:pPr>
        <w:pStyle w:val="Normal2"/>
        <w:rPr>
          <w:szCs w:val="24"/>
          <w:lang w:eastAsia="zh-CN"/>
        </w:rPr>
      </w:pPr>
      <w:r w:rsidRPr="00346698">
        <w:rPr>
          <w:rFonts w:hint="eastAsia"/>
          <w:szCs w:val="24"/>
          <w:lang w:eastAsia="zh-CN"/>
        </w:rPr>
        <w:t>每四年一届的世界电信标准化全会（</w:t>
      </w:r>
      <w:r w:rsidRPr="00346698">
        <w:rPr>
          <w:rFonts w:hint="eastAsia"/>
          <w:szCs w:val="24"/>
          <w:lang w:eastAsia="zh-CN"/>
        </w:rPr>
        <w:t>WTSA</w:t>
      </w:r>
      <w:r w:rsidRPr="00346698">
        <w:rPr>
          <w:rFonts w:hint="eastAsia"/>
          <w:szCs w:val="24"/>
          <w:lang w:eastAsia="zh-CN"/>
        </w:rPr>
        <w:t>）确定</w:t>
      </w:r>
      <w:r w:rsidRPr="00346698">
        <w:rPr>
          <w:rFonts w:hint="eastAsia"/>
          <w:szCs w:val="24"/>
          <w:lang w:eastAsia="zh-CN"/>
        </w:rPr>
        <w:t>ITU-T</w:t>
      </w:r>
      <w:r w:rsidRPr="00346698">
        <w:rPr>
          <w:rFonts w:hint="eastAsia"/>
          <w:szCs w:val="24"/>
          <w:lang w:eastAsia="zh-CN"/>
        </w:rPr>
        <w:t>各研究组的课题，再由各研究组制定有关这些课题的建议书。</w:t>
      </w:r>
    </w:p>
    <w:p w14:paraId="1458A5BA" w14:textId="77777777" w:rsidR="00141741" w:rsidRPr="00346698" w:rsidRDefault="00141741" w:rsidP="00141741">
      <w:pPr>
        <w:pStyle w:val="Normal2"/>
        <w:rPr>
          <w:szCs w:val="24"/>
          <w:lang w:eastAsia="zh-CN"/>
        </w:rPr>
      </w:pPr>
      <w:r w:rsidRPr="00346698">
        <w:rPr>
          <w:rFonts w:hint="eastAsia"/>
          <w:szCs w:val="24"/>
          <w:lang w:eastAsia="zh-CN"/>
        </w:rPr>
        <w:t>世界电信标准化全会第</w:t>
      </w:r>
      <w:r w:rsidRPr="00346698">
        <w:rPr>
          <w:rFonts w:hint="eastAsia"/>
          <w:szCs w:val="24"/>
          <w:lang w:eastAsia="zh-CN"/>
        </w:rPr>
        <w:t>1</w:t>
      </w:r>
      <w:r w:rsidRPr="00346698">
        <w:rPr>
          <w:rFonts w:hint="eastAsia"/>
          <w:szCs w:val="24"/>
          <w:lang w:eastAsia="zh-CN"/>
        </w:rPr>
        <w:t>号决议规定了批准</w:t>
      </w:r>
      <w:r w:rsidRPr="00346698">
        <w:rPr>
          <w:szCs w:val="24"/>
          <w:lang w:val="en-US" w:eastAsia="zh-CN"/>
        </w:rPr>
        <w:t>ITU-T</w:t>
      </w:r>
      <w:r w:rsidRPr="00346698">
        <w:rPr>
          <w:rFonts w:hint="eastAsia"/>
          <w:szCs w:val="24"/>
          <w:lang w:eastAsia="zh-CN"/>
        </w:rPr>
        <w:t>建议书所须遵循的程序。</w:t>
      </w:r>
    </w:p>
    <w:p w14:paraId="0422050D" w14:textId="27DA84B9" w:rsidR="00141741" w:rsidRPr="00F81B8E" w:rsidRDefault="00141741" w:rsidP="00E32EEC">
      <w:pPr>
        <w:pStyle w:val="Normal2"/>
        <w:rPr>
          <w:sz w:val="20"/>
          <w:lang w:val="en-GB" w:eastAsia="zh-CN"/>
        </w:rPr>
      </w:pPr>
      <w:r w:rsidRPr="00346698">
        <w:rPr>
          <w:rFonts w:hint="eastAsia"/>
          <w:szCs w:val="24"/>
          <w:lang w:eastAsia="zh-CN"/>
        </w:rPr>
        <w:t>属</w:t>
      </w:r>
      <w:r w:rsidRPr="00346698">
        <w:rPr>
          <w:rFonts w:hint="eastAsia"/>
          <w:szCs w:val="24"/>
          <w:lang w:eastAsia="zh-CN"/>
        </w:rPr>
        <w:t>ITU-T</w:t>
      </w:r>
      <w:r w:rsidRPr="00346698">
        <w:rPr>
          <w:rFonts w:hint="eastAsia"/>
          <w:szCs w:val="24"/>
          <w:lang w:eastAsia="zh-CN"/>
        </w:rPr>
        <w:t>研究范围的一些信息技术领域的必要标准是与国际标准化组织（</w:t>
      </w:r>
      <w:r w:rsidRPr="00346698">
        <w:rPr>
          <w:rFonts w:hint="eastAsia"/>
          <w:szCs w:val="24"/>
          <w:lang w:eastAsia="zh-CN"/>
        </w:rPr>
        <w:t>ISO</w:t>
      </w:r>
      <w:r w:rsidRPr="00346698">
        <w:rPr>
          <w:rFonts w:hint="eastAsia"/>
          <w:szCs w:val="24"/>
          <w:lang w:eastAsia="zh-CN"/>
        </w:rPr>
        <w:t>）和国际电工技术委员会（</w:t>
      </w:r>
      <w:r w:rsidRPr="00346698">
        <w:rPr>
          <w:rFonts w:hint="eastAsia"/>
          <w:szCs w:val="24"/>
          <w:lang w:eastAsia="zh-CN"/>
        </w:rPr>
        <w:t>IEC</w:t>
      </w:r>
      <w:r w:rsidRPr="00346698">
        <w:rPr>
          <w:rFonts w:hint="eastAsia"/>
          <w:szCs w:val="24"/>
          <w:lang w:eastAsia="zh-CN"/>
        </w:rPr>
        <w:t>）协作制定的。</w:t>
      </w:r>
    </w:p>
    <w:p w14:paraId="192371AE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7FCCDABA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70F00C73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441A93C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4AA4512C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CCAE5F2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2EE42A0A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022D932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297330FC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432B0A04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652C1D75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687301D2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F19B9D8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38FB642B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F3E9127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3E533C3E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A3ADD6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5F4CB22D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C5C488F" w14:textId="77777777" w:rsidR="000E4393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798241EF" w14:textId="77777777" w:rsidR="00DF1AFD" w:rsidRPr="00F81B8E" w:rsidRDefault="00DF1AFD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B58521F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39F6B1E2" w14:textId="77777777" w:rsidR="00EA2A26" w:rsidRPr="00E32EEC" w:rsidRDefault="00EA2A26" w:rsidP="00EA2A26">
      <w:pPr>
        <w:spacing w:before="120" w:line="240" w:lineRule="auto"/>
        <w:rPr>
          <w:szCs w:val="22"/>
          <w:lang w:val="en-GB" w:eastAsia="zh-CN"/>
        </w:rPr>
      </w:pPr>
    </w:p>
    <w:p w14:paraId="4812ECBE" w14:textId="00301AD8" w:rsidR="00EA2A26" w:rsidRDefault="00EA2A26" w:rsidP="00EA2A26">
      <w:pPr>
        <w:spacing w:before="120" w:line="240" w:lineRule="auto"/>
        <w:jc w:val="center"/>
        <w:rPr>
          <w:szCs w:val="22"/>
          <w:lang w:val="en-GB" w:eastAsia="zh-CN"/>
        </w:rPr>
      </w:pPr>
      <w:r w:rsidRPr="00DF1AFD">
        <w:rPr>
          <w:szCs w:val="22"/>
          <w:lang w:val="en-GB"/>
        </w:rPr>
        <w:sym w:font="Symbol" w:char="F0E3"/>
      </w:r>
      <w:r w:rsidRPr="00DF1AFD">
        <w:rPr>
          <w:szCs w:val="22"/>
          <w:lang w:val="en-GB" w:eastAsia="zh-CN"/>
        </w:rPr>
        <w:t> </w:t>
      </w:r>
      <w:r w:rsidR="00953471" w:rsidRPr="00DF1AFD">
        <w:rPr>
          <w:rFonts w:hint="eastAsia"/>
          <w:szCs w:val="22"/>
          <w:lang w:val="en-GB" w:eastAsia="zh-CN"/>
        </w:rPr>
        <w:t>国际电联</w:t>
      </w:r>
      <w:r w:rsidR="00953471" w:rsidRPr="00DF1AFD">
        <w:rPr>
          <w:rFonts w:hint="eastAsia"/>
          <w:szCs w:val="22"/>
          <w:lang w:val="en-GB" w:eastAsia="zh-CN"/>
        </w:rPr>
        <w:t xml:space="preserve"> </w:t>
      </w:r>
      <w:r w:rsidRPr="00DF1AFD">
        <w:rPr>
          <w:szCs w:val="22"/>
          <w:lang w:val="en-GB" w:eastAsia="zh-CN"/>
        </w:rPr>
        <w:t>20</w:t>
      </w:r>
      <w:r w:rsidR="0007772C" w:rsidRPr="00DF1AFD">
        <w:rPr>
          <w:rFonts w:hint="eastAsia"/>
          <w:szCs w:val="22"/>
          <w:lang w:val="en-GB" w:eastAsia="zh-CN"/>
        </w:rPr>
        <w:t>24</w:t>
      </w:r>
    </w:p>
    <w:p w14:paraId="44AA25C4" w14:textId="77777777" w:rsidR="00B73379" w:rsidRDefault="00FC6CA4" w:rsidP="00DF1AFD">
      <w:pPr>
        <w:rPr>
          <w:sz w:val="20"/>
          <w:lang w:val="en-GB" w:eastAsia="zh-CN"/>
        </w:rPr>
      </w:pPr>
      <w:r w:rsidRPr="00E32EEC">
        <w:rPr>
          <w:rFonts w:hint="eastAsia"/>
          <w:szCs w:val="22"/>
          <w:lang w:val="en-GB" w:eastAsia="zh-CN"/>
        </w:rPr>
        <w:t>版权所有。未经国际电联事先书面许可，不得以任何手段复制本出版物的任何部分。</w:t>
      </w:r>
    </w:p>
    <w:p w14:paraId="03F90964" w14:textId="77777777" w:rsidR="00CF0C69" w:rsidRDefault="00CF0C69" w:rsidP="00953471">
      <w:pPr>
        <w:ind w:firstLineChars="200" w:firstLine="400"/>
        <w:rPr>
          <w:sz w:val="20"/>
          <w:lang w:val="en-GB" w:eastAsia="zh-CN"/>
        </w:rPr>
      </w:pPr>
    </w:p>
    <w:p w14:paraId="73B79B51" w14:textId="1F45D117" w:rsidR="00CF0C69" w:rsidRPr="00953471" w:rsidRDefault="00CF0C69" w:rsidP="00953471">
      <w:pPr>
        <w:ind w:firstLineChars="200" w:firstLine="480"/>
        <w:rPr>
          <w:lang w:eastAsia="zh-CN"/>
        </w:rPr>
        <w:sectPr w:rsidR="00CF0C69" w:rsidRPr="00953471" w:rsidSect="00DE48B4">
          <w:headerReference w:type="even" r:id="rId15"/>
          <w:footerReference w:type="even" r:id="rId16"/>
          <w:footerReference w:type="default" r:id="rId17"/>
          <w:footnotePr>
            <w:numRestart w:val="eachSect"/>
          </w:footnotePr>
          <w:type w:val="evenPage"/>
          <w:pgSz w:w="11907" w:h="16834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14:paraId="7D023C5D" w14:textId="77777777" w:rsidR="008A3D31" w:rsidRPr="002B04C3" w:rsidRDefault="008A3D31" w:rsidP="008A3D31">
      <w:pPr>
        <w:pStyle w:val="ResNo"/>
        <w:outlineLvl w:val="0"/>
        <w:rPr>
          <w:lang w:eastAsia="zh-CN"/>
        </w:rPr>
      </w:pPr>
      <w:r w:rsidRPr="008A3D31">
        <w:rPr>
          <w:rFonts w:hint="eastAsia"/>
          <w:lang w:val="en-GB" w:eastAsia="zh-CN"/>
        </w:rPr>
        <w:lastRenderedPageBreak/>
        <w:t>第</w:t>
      </w:r>
      <w:r w:rsidRPr="00311713">
        <w:rPr>
          <w:rStyle w:val="href"/>
        </w:rPr>
        <w:t>99</w:t>
      </w:r>
      <w:r w:rsidRPr="008A3D31">
        <w:rPr>
          <w:rFonts w:hint="eastAsia"/>
          <w:lang w:val="en-GB" w:eastAsia="zh-CN"/>
        </w:rPr>
        <w:t>号决议</w:t>
      </w:r>
      <w:r w:rsidRPr="002B04C3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</w:t>
      </w:r>
      <w:r>
        <w:rPr>
          <w:lang w:eastAsia="zh-CN"/>
        </w:rPr>
        <w:t>024</w:t>
      </w:r>
      <w:r>
        <w:rPr>
          <w:rFonts w:hint="eastAsia"/>
          <w:lang w:eastAsia="zh-CN"/>
        </w:rPr>
        <w:t>年，新德里，</w:t>
      </w:r>
      <w:r w:rsidRPr="00586873">
        <w:rPr>
          <w:rFonts w:hint="eastAsia"/>
          <w:lang w:eastAsia="zh-CN"/>
        </w:rPr>
        <w:t>修订版</w:t>
      </w:r>
      <w:r w:rsidRPr="002B04C3">
        <w:rPr>
          <w:rFonts w:hint="eastAsia"/>
          <w:lang w:eastAsia="zh-CN"/>
        </w:rPr>
        <w:t>）</w:t>
      </w:r>
    </w:p>
    <w:p w14:paraId="59D2AF79" w14:textId="77777777" w:rsidR="008A3D31" w:rsidRPr="002B04C3" w:rsidRDefault="008A3D31" w:rsidP="008A3D31">
      <w:pPr>
        <w:pStyle w:val="Restitle"/>
        <w:outlineLvl w:val="0"/>
        <w:rPr>
          <w:lang w:eastAsia="zh-CN"/>
        </w:rPr>
      </w:pPr>
      <w:bookmarkStart w:id="2" w:name="_Toc114651405"/>
      <w:r w:rsidRPr="002B04C3">
        <w:rPr>
          <w:rFonts w:hint="eastAsia"/>
          <w:lang w:eastAsia="zh-CN"/>
        </w:rPr>
        <w:t>国际电</w:t>
      </w:r>
      <w:proofErr w:type="gramStart"/>
      <w:r w:rsidRPr="002B04C3">
        <w:rPr>
          <w:rFonts w:hint="eastAsia"/>
          <w:lang w:eastAsia="zh-CN"/>
        </w:rPr>
        <w:t>联电信</w:t>
      </w:r>
      <w:proofErr w:type="gramEnd"/>
      <w:r w:rsidRPr="002B04C3">
        <w:rPr>
          <w:rFonts w:hint="eastAsia"/>
          <w:lang w:eastAsia="zh-CN"/>
        </w:rPr>
        <w:t>标准化部门研究组</w:t>
      </w:r>
      <w:r>
        <w:rPr>
          <w:rFonts w:hint="eastAsia"/>
          <w:lang w:eastAsia="zh-CN"/>
        </w:rPr>
        <w:t>的重组</w:t>
      </w:r>
      <w:bookmarkEnd w:id="2"/>
    </w:p>
    <w:p w14:paraId="02A2A02F" w14:textId="77777777" w:rsidR="008A3D31" w:rsidRPr="00194A84" w:rsidRDefault="008A3D31" w:rsidP="008A3D31">
      <w:pPr>
        <w:pStyle w:val="Resref"/>
        <w:rPr>
          <w:i/>
          <w:iCs/>
          <w:lang w:eastAsia="zh-CN"/>
        </w:rPr>
      </w:pPr>
      <w:r w:rsidRPr="00194A84">
        <w:rPr>
          <w:rFonts w:hint="eastAsia"/>
          <w:iCs/>
          <w:lang w:eastAsia="zh-CN"/>
        </w:rPr>
        <w:t>（</w:t>
      </w:r>
      <w:r w:rsidRPr="00194A84">
        <w:rPr>
          <w:rStyle w:val="Italic"/>
          <w:iCs/>
          <w:lang w:eastAsia="zh-CN"/>
        </w:rPr>
        <w:t>2022</w:t>
      </w:r>
      <w:r w:rsidRPr="00194A84">
        <w:rPr>
          <w:rStyle w:val="Italic"/>
          <w:rFonts w:hint="eastAsia"/>
          <w:iCs/>
          <w:lang w:eastAsia="zh-CN"/>
        </w:rPr>
        <w:t>年，日内瓦</w:t>
      </w:r>
      <w:r>
        <w:rPr>
          <w:rStyle w:val="Italic"/>
          <w:rFonts w:hint="eastAsia"/>
          <w:iCs/>
          <w:lang w:eastAsia="zh-CN"/>
        </w:rPr>
        <w:t>；</w:t>
      </w:r>
      <w:r w:rsidRPr="002019B8">
        <w:rPr>
          <w:rStyle w:val="Italic"/>
          <w:rFonts w:hint="eastAsia"/>
          <w:iCs/>
          <w:lang w:eastAsia="zh-CN"/>
        </w:rPr>
        <w:t>2024</w:t>
      </w:r>
      <w:r w:rsidRPr="002019B8">
        <w:rPr>
          <w:rStyle w:val="Italic"/>
          <w:rFonts w:hint="eastAsia"/>
          <w:iCs/>
          <w:lang w:eastAsia="zh-CN"/>
        </w:rPr>
        <w:t>年，新德里</w:t>
      </w:r>
      <w:r w:rsidRPr="00194A84">
        <w:rPr>
          <w:rFonts w:hint="eastAsia"/>
          <w:iCs/>
          <w:lang w:eastAsia="zh-CN"/>
        </w:rPr>
        <w:t>）</w:t>
      </w:r>
    </w:p>
    <w:p w14:paraId="33E7DBC7" w14:textId="77777777" w:rsidR="008A3D31" w:rsidRPr="002B04C3" w:rsidRDefault="008A3D31" w:rsidP="008A3D31">
      <w:pPr>
        <w:pStyle w:val="Normalaftertitle0"/>
        <w:rPr>
          <w:lang w:eastAsia="zh-CN"/>
        </w:rPr>
      </w:pPr>
      <w:r w:rsidRPr="002B04C3">
        <w:rPr>
          <w:rFonts w:hint="eastAsia"/>
          <w:lang w:eastAsia="zh-CN"/>
        </w:rPr>
        <w:t>世界电信标准化全会（</w:t>
      </w:r>
      <w:r w:rsidRPr="006C1EDD">
        <w:rPr>
          <w:rFonts w:hint="eastAsia"/>
          <w:lang w:eastAsia="zh-CN"/>
        </w:rPr>
        <w:t>2024</w:t>
      </w:r>
      <w:r w:rsidRPr="006C1EDD">
        <w:rPr>
          <w:rFonts w:hint="eastAsia"/>
          <w:lang w:eastAsia="zh-CN"/>
        </w:rPr>
        <w:t>年，新德里</w:t>
      </w:r>
      <w:r w:rsidRPr="002B04C3">
        <w:rPr>
          <w:rFonts w:hint="eastAsia"/>
          <w:lang w:eastAsia="zh-CN"/>
        </w:rPr>
        <w:t>），</w:t>
      </w:r>
    </w:p>
    <w:p w14:paraId="60E73DAE" w14:textId="77777777" w:rsidR="008A3D31" w:rsidRPr="002B04C3" w:rsidRDefault="008A3D31" w:rsidP="008A3D31">
      <w:pPr>
        <w:pStyle w:val="Call"/>
        <w:rPr>
          <w:lang w:eastAsia="zh-CN" w:bidi="ar-EG"/>
        </w:rPr>
      </w:pPr>
      <w:r w:rsidRPr="002B04C3">
        <w:rPr>
          <w:rFonts w:cs="SimSun" w:hint="eastAsia"/>
          <w:iCs/>
          <w:lang w:eastAsia="zh-CN" w:bidi="ar-EG"/>
        </w:rPr>
        <w:t>忆及</w:t>
      </w:r>
    </w:p>
    <w:p w14:paraId="22362BA2" w14:textId="77777777" w:rsidR="008A3D31" w:rsidRPr="002B04C3" w:rsidRDefault="008A3D31" w:rsidP="008A3D31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国际电联《组织法》第</w:t>
      </w:r>
      <w:r w:rsidRPr="002B04C3">
        <w:rPr>
          <w:rFonts w:hint="eastAsia"/>
          <w:lang w:eastAsia="zh-CN"/>
        </w:rPr>
        <w:t>1</w:t>
      </w:r>
      <w:r w:rsidRPr="002B04C3">
        <w:rPr>
          <w:lang w:eastAsia="zh-CN"/>
        </w:rPr>
        <w:t>05</w:t>
      </w:r>
      <w:r w:rsidRPr="002B04C3">
        <w:rPr>
          <w:rFonts w:hint="eastAsia"/>
          <w:lang w:eastAsia="zh-CN"/>
        </w:rPr>
        <w:t>款和国际电联《公约》</w:t>
      </w:r>
      <w:proofErr w:type="gramStart"/>
      <w:r w:rsidRPr="002B04C3">
        <w:rPr>
          <w:rFonts w:hint="eastAsia"/>
          <w:lang w:eastAsia="zh-CN"/>
        </w:rPr>
        <w:t>第</w:t>
      </w:r>
      <w:r w:rsidRPr="002B04C3">
        <w:rPr>
          <w:rFonts w:hint="eastAsia"/>
          <w:lang w:eastAsia="zh-CN"/>
        </w:rPr>
        <w:t>197</w:t>
      </w:r>
      <w:r w:rsidRPr="002B04C3">
        <w:rPr>
          <w:rFonts w:hint="eastAsia"/>
          <w:lang w:eastAsia="zh-CN"/>
        </w:rPr>
        <w:t>款；</w:t>
      </w:r>
      <w:proofErr w:type="gramEnd"/>
    </w:p>
    <w:p w14:paraId="13349D27" w14:textId="77777777" w:rsidR="008A3D31" w:rsidRPr="002B04C3" w:rsidRDefault="008A3D31" w:rsidP="008A3D31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全权代表大会有关改进国际电联基于结果的管理方式的第</w:t>
      </w:r>
      <w:r w:rsidRPr="002B04C3">
        <w:rPr>
          <w:rFonts w:hint="eastAsia"/>
          <w:lang w:eastAsia="zh-CN"/>
        </w:rPr>
        <w:t>1</w:t>
      </w:r>
      <w:r w:rsidRPr="002B04C3">
        <w:rPr>
          <w:lang w:eastAsia="zh-CN"/>
        </w:rPr>
        <w:t>5</w:t>
      </w:r>
      <w:r w:rsidRPr="002B04C3">
        <w:rPr>
          <w:rFonts w:hint="eastAsia"/>
          <w:lang w:eastAsia="zh-CN"/>
        </w:rPr>
        <w:t>1</w:t>
      </w:r>
      <w:r w:rsidRPr="002B04C3">
        <w:rPr>
          <w:rFonts w:hint="eastAsia"/>
          <w:lang w:eastAsia="zh-CN"/>
        </w:rPr>
        <w:t>号决议（</w:t>
      </w:r>
      <w:r>
        <w:rPr>
          <w:rFonts w:hint="eastAsia"/>
          <w:lang w:eastAsia="zh-CN"/>
        </w:rPr>
        <w:t>2</w:t>
      </w:r>
      <w:r>
        <w:rPr>
          <w:lang w:eastAsia="zh-CN"/>
        </w:rPr>
        <w:t>022</w:t>
      </w:r>
      <w:r>
        <w:rPr>
          <w:rFonts w:hint="eastAsia"/>
          <w:lang w:eastAsia="zh-CN"/>
        </w:rPr>
        <w:t>年，布加勒斯特</w:t>
      </w:r>
      <w:r w:rsidRPr="002B04C3">
        <w:rPr>
          <w:rFonts w:hint="eastAsia"/>
          <w:lang w:eastAsia="zh-CN"/>
        </w:rPr>
        <w:t>，修订版），</w:t>
      </w:r>
    </w:p>
    <w:p w14:paraId="647D9697" w14:textId="77777777" w:rsidR="008A3D31" w:rsidRPr="002B04C3" w:rsidRDefault="008A3D31" w:rsidP="008A3D31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考虑到</w:t>
      </w:r>
    </w:p>
    <w:p w14:paraId="41070C40" w14:textId="77777777" w:rsidR="008A3D31" w:rsidRPr="002B04C3" w:rsidRDefault="008A3D31" w:rsidP="008A3D31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《组织法》和《公约》</w:t>
      </w:r>
      <w:proofErr w:type="gramStart"/>
      <w:r w:rsidRPr="002B04C3">
        <w:rPr>
          <w:rFonts w:hint="eastAsia"/>
          <w:lang w:eastAsia="zh-CN"/>
        </w:rPr>
        <w:t>中有关国际电联总体战略目标和部门目标的规定；</w:t>
      </w:r>
      <w:proofErr w:type="gramEnd"/>
    </w:p>
    <w:p w14:paraId="466DD495" w14:textId="77777777" w:rsidR="008A3D31" w:rsidRPr="002B04C3" w:rsidRDefault="008A3D31" w:rsidP="008A3D31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全权代表大会第</w:t>
      </w:r>
      <w:r w:rsidRPr="002B04C3">
        <w:rPr>
          <w:lang w:eastAsia="zh-CN"/>
        </w:rPr>
        <w:t>71</w:t>
      </w:r>
      <w:r w:rsidRPr="002B04C3">
        <w:rPr>
          <w:rFonts w:hint="eastAsia"/>
          <w:lang w:eastAsia="zh-CN"/>
        </w:rPr>
        <w:t>号决议（</w:t>
      </w:r>
      <w:r>
        <w:rPr>
          <w:rFonts w:hint="eastAsia"/>
          <w:lang w:eastAsia="zh-CN"/>
        </w:rPr>
        <w:t>2</w:t>
      </w:r>
      <w:r>
        <w:rPr>
          <w:lang w:eastAsia="zh-CN"/>
        </w:rPr>
        <w:t>022</w:t>
      </w:r>
      <w:r>
        <w:rPr>
          <w:rFonts w:hint="eastAsia"/>
          <w:lang w:eastAsia="zh-CN"/>
        </w:rPr>
        <w:t>年，布加勒斯特</w:t>
      </w:r>
      <w:r w:rsidRPr="002B04C3">
        <w:rPr>
          <w:rFonts w:hint="eastAsia"/>
          <w:lang w:eastAsia="zh-CN"/>
        </w:rPr>
        <w:t>，修订版）附件</w:t>
      </w:r>
      <w:r w:rsidRPr="002B04C3">
        <w:rPr>
          <w:lang w:eastAsia="zh-CN"/>
        </w:rPr>
        <w:t>1</w:t>
      </w:r>
      <w:r>
        <w:rPr>
          <w:rFonts w:hint="eastAsia"/>
          <w:lang w:eastAsia="zh-CN"/>
        </w:rPr>
        <w:t>所含</w:t>
      </w:r>
      <w:r w:rsidRPr="002B04C3">
        <w:rPr>
          <w:rFonts w:hint="eastAsia"/>
          <w:lang w:eastAsia="zh-CN"/>
        </w:rPr>
        <w:t>国际电联</w:t>
      </w:r>
      <w:r>
        <w:rPr>
          <w:rFonts w:hint="eastAsia"/>
          <w:lang w:eastAsia="zh-CN"/>
        </w:rPr>
        <w:t>《</w:t>
      </w:r>
      <w:r>
        <w:rPr>
          <w:rFonts w:hint="eastAsia"/>
          <w:lang w:eastAsia="zh-CN"/>
        </w:rPr>
        <w:t>2024-2027</w:t>
      </w:r>
      <w:r>
        <w:rPr>
          <w:rFonts w:hint="eastAsia"/>
          <w:lang w:eastAsia="zh-CN"/>
        </w:rPr>
        <w:t>年战略规划》</w:t>
      </w:r>
      <w:proofErr w:type="gramStart"/>
      <w:r>
        <w:rPr>
          <w:rFonts w:hint="eastAsia"/>
          <w:lang w:eastAsia="zh-CN"/>
        </w:rPr>
        <w:t>中所述国际电联</w:t>
      </w:r>
      <w:r w:rsidRPr="002B04C3">
        <w:rPr>
          <w:rFonts w:hint="eastAsia"/>
          <w:lang w:eastAsia="zh-CN"/>
        </w:rPr>
        <w:t>战略目标和</w:t>
      </w:r>
      <w:r>
        <w:rPr>
          <w:rFonts w:hint="eastAsia"/>
          <w:lang w:eastAsia="zh-CN"/>
        </w:rPr>
        <w:t>主题重点</w:t>
      </w:r>
      <w:r w:rsidRPr="002B04C3">
        <w:rPr>
          <w:rFonts w:hint="eastAsia"/>
          <w:lang w:eastAsia="zh-CN"/>
        </w:rPr>
        <w:t>；</w:t>
      </w:r>
      <w:proofErr w:type="gramEnd"/>
    </w:p>
    <w:p w14:paraId="7E813017" w14:textId="77777777" w:rsidR="008A3D31" w:rsidRPr="002B04C3" w:rsidRDefault="008A3D31" w:rsidP="008A3D31">
      <w:pPr>
        <w:pStyle w:val="Normalnoindent"/>
        <w:rPr>
          <w:i/>
          <w:iCs/>
          <w:lang w:eastAsia="zh-CN"/>
        </w:rPr>
      </w:pPr>
      <w:r w:rsidRPr="002B04C3">
        <w:rPr>
          <w:i/>
          <w:iCs/>
          <w:lang w:eastAsia="zh-CN"/>
        </w:rPr>
        <w:t>c)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全权代表大会有关世界电信标准化全会（</w:t>
      </w:r>
      <w:r w:rsidRPr="002B04C3">
        <w:rPr>
          <w:rFonts w:hint="eastAsia"/>
          <w:lang w:eastAsia="zh-CN"/>
        </w:rPr>
        <w:t>WTSA</w:t>
      </w:r>
      <w:r w:rsidRPr="002B04C3">
        <w:rPr>
          <w:rFonts w:hint="eastAsia"/>
          <w:lang w:eastAsia="zh-CN"/>
        </w:rPr>
        <w:t>）不断演进的作用的第</w:t>
      </w:r>
      <w:r w:rsidRPr="002B04C3">
        <w:rPr>
          <w:lang w:eastAsia="zh-CN"/>
        </w:rPr>
        <w:t>122</w:t>
      </w:r>
      <w:r w:rsidRPr="002B04C3">
        <w:rPr>
          <w:rFonts w:hint="eastAsia"/>
          <w:lang w:eastAsia="zh-CN"/>
        </w:rPr>
        <w:t>号决议（</w:t>
      </w:r>
      <w:r w:rsidRPr="002B04C3">
        <w:rPr>
          <w:lang w:eastAsia="zh-CN"/>
        </w:rPr>
        <w:t>2010</w:t>
      </w:r>
      <w:r w:rsidRPr="002B04C3">
        <w:rPr>
          <w:rFonts w:hint="eastAsia"/>
          <w:lang w:eastAsia="zh-CN"/>
        </w:rPr>
        <w:t>年，瓜达拉哈拉，修订版</w:t>
      </w:r>
      <w:proofErr w:type="gramStart"/>
      <w:r w:rsidRPr="002B04C3">
        <w:rPr>
          <w:rFonts w:hint="eastAsia"/>
          <w:lang w:eastAsia="zh-CN"/>
        </w:rPr>
        <w:t>）；</w:t>
      </w:r>
      <w:proofErr w:type="gramEnd"/>
    </w:p>
    <w:p w14:paraId="3D1EEC00" w14:textId="77777777" w:rsidR="008A3D31" w:rsidRPr="002B04C3" w:rsidRDefault="008A3D31" w:rsidP="008A3D31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d)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本届全会有关</w:t>
      </w:r>
      <w:r>
        <w:rPr>
          <w:rFonts w:hint="eastAsia"/>
          <w:lang w:eastAsia="zh-CN"/>
        </w:rPr>
        <w:t>国际电联电信标准化部门（</w:t>
      </w:r>
      <w:r w:rsidRPr="002B04C3"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）</w:t>
      </w:r>
      <w:r w:rsidRPr="002B04C3">
        <w:rPr>
          <w:rFonts w:hint="eastAsia"/>
          <w:lang w:eastAsia="zh-CN"/>
        </w:rPr>
        <w:t>研究组的</w:t>
      </w:r>
      <w:r>
        <w:rPr>
          <w:rFonts w:hint="eastAsia"/>
          <w:lang w:eastAsia="zh-CN"/>
        </w:rPr>
        <w:t>工作范围和</w:t>
      </w:r>
      <w:r w:rsidRPr="002B04C3">
        <w:rPr>
          <w:rFonts w:hint="eastAsia"/>
          <w:lang w:eastAsia="zh-CN"/>
        </w:rPr>
        <w:t>职权的第</w:t>
      </w:r>
      <w:r w:rsidRPr="002B04C3">
        <w:rPr>
          <w:rFonts w:hint="eastAsia"/>
          <w:lang w:eastAsia="zh-CN"/>
        </w:rPr>
        <w:t>2</w:t>
      </w:r>
      <w:r w:rsidRPr="002B04C3">
        <w:rPr>
          <w:rFonts w:hint="eastAsia"/>
          <w:lang w:eastAsia="zh-CN"/>
        </w:rPr>
        <w:t>号决议（</w:t>
      </w:r>
      <w:r>
        <w:rPr>
          <w:rFonts w:hint="eastAsia"/>
          <w:lang w:eastAsia="zh-CN"/>
        </w:rPr>
        <w:t>2</w:t>
      </w:r>
      <w:r>
        <w:rPr>
          <w:lang w:eastAsia="zh-CN"/>
        </w:rPr>
        <w:t>024</w:t>
      </w:r>
      <w:r>
        <w:rPr>
          <w:rFonts w:hint="eastAsia"/>
          <w:lang w:eastAsia="zh-CN"/>
        </w:rPr>
        <w:t>年，新德里</w:t>
      </w:r>
      <w:r w:rsidRPr="002B04C3">
        <w:rPr>
          <w:rFonts w:hint="eastAsia"/>
          <w:lang w:eastAsia="zh-CN"/>
        </w:rPr>
        <w:t>，修订版</w:t>
      </w:r>
      <w:proofErr w:type="gramStart"/>
      <w:r w:rsidRPr="002B04C3">
        <w:rPr>
          <w:rFonts w:hint="eastAsia"/>
          <w:lang w:eastAsia="zh-CN"/>
        </w:rPr>
        <w:t>）；</w:t>
      </w:r>
      <w:proofErr w:type="gramEnd"/>
    </w:p>
    <w:p w14:paraId="66508966" w14:textId="77777777" w:rsidR="008A3D31" w:rsidRPr="002B04C3" w:rsidRDefault="008A3D31" w:rsidP="008A3D31">
      <w:pPr>
        <w:pStyle w:val="Normalnoindent"/>
        <w:rPr>
          <w:lang w:eastAsia="zh-CN"/>
        </w:rPr>
      </w:pPr>
      <w:r w:rsidRPr="002B04C3">
        <w:rPr>
          <w:i/>
          <w:lang w:eastAsia="zh-CN"/>
        </w:rPr>
        <w:t>e</w:t>
      </w:r>
      <w:r w:rsidRPr="002B04C3">
        <w:rPr>
          <w:i/>
          <w:iCs/>
          <w:lang w:eastAsia="zh-CN"/>
        </w:rPr>
        <w:t>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信息社会世界峰会《原则宣言》第</w:t>
      </w:r>
      <w:r w:rsidRPr="002B04C3">
        <w:rPr>
          <w:rFonts w:hint="eastAsia"/>
          <w:lang w:eastAsia="zh-CN"/>
        </w:rPr>
        <w:t>44</w:t>
      </w:r>
      <w:r w:rsidRPr="002B04C3">
        <w:rPr>
          <w:rFonts w:hint="eastAsia"/>
          <w:lang w:eastAsia="zh-CN"/>
        </w:rPr>
        <w:t>款强调，标准化是信息社会的基石之一，</w:t>
      </w:r>
    </w:p>
    <w:p w14:paraId="3AB4003F" w14:textId="77777777" w:rsidR="008A3D31" w:rsidRPr="002B04C3" w:rsidRDefault="008A3D31" w:rsidP="008A3D31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认识到</w:t>
      </w:r>
    </w:p>
    <w:p w14:paraId="267A43D6" w14:textId="77777777" w:rsidR="008A3D31" w:rsidRPr="00BD3D12" w:rsidRDefault="008A3D31" w:rsidP="008A3D31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由于标准化格局</w:t>
      </w:r>
      <w:r>
        <w:rPr>
          <w:rFonts w:hint="eastAsia"/>
          <w:lang w:eastAsia="zh-CN"/>
        </w:rPr>
        <w:t>持续演进</w:t>
      </w:r>
      <w:r w:rsidRPr="002B04C3">
        <w:rPr>
          <w:rFonts w:hint="eastAsia"/>
          <w:lang w:eastAsia="zh-CN"/>
        </w:rPr>
        <w:t>，</w:t>
      </w:r>
      <w:r w:rsidRPr="002B04C3">
        <w:rPr>
          <w:lang w:eastAsia="zh-CN"/>
        </w:rPr>
        <w:t>ITU-T</w:t>
      </w:r>
      <w:r w:rsidRPr="002B04C3">
        <w:rPr>
          <w:rFonts w:hint="eastAsia"/>
          <w:lang w:eastAsia="zh-CN"/>
        </w:rPr>
        <w:t>应考虑如何根</w:t>
      </w:r>
      <w:r w:rsidRPr="002B04C3">
        <w:rPr>
          <w:lang w:eastAsia="zh-CN"/>
        </w:rPr>
        <w:t>据公共和私营部门参与</w:t>
      </w:r>
      <w:r w:rsidRPr="002B04C3">
        <w:rPr>
          <w:rFonts w:hint="eastAsia"/>
          <w:lang w:eastAsia="zh-CN"/>
        </w:rPr>
        <w:t>方</w:t>
      </w:r>
      <w:r w:rsidRPr="002B04C3">
        <w:rPr>
          <w:lang w:eastAsia="zh-CN"/>
        </w:rPr>
        <w:t>的期望</w:t>
      </w:r>
      <w:r w:rsidRPr="002B04C3">
        <w:rPr>
          <w:rFonts w:hint="eastAsia"/>
          <w:lang w:eastAsia="zh-CN"/>
        </w:rPr>
        <w:t>，</w:t>
      </w:r>
      <w:r w:rsidRPr="00F9482C">
        <w:rPr>
          <w:rFonts w:ascii="SimSun" w:hAnsi="SimSun" w:hint="eastAsia"/>
          <w:lang w:eastAsia="zh-CN"/>
        </w:rPr>
        <w:t>特别</w:t>
      </w:r>
      <w:r w:rsidRPr="002B04C3">
        <w:rPr>
          <w:rFonts w:hint="eastAsia"/>
          <w:lang w:eastAsia="zh-CN"/>
        </w:rPr>
        <w:t>通过</w:t>
      </w:r>
      <w:r>
        <w:rPr>
          <w:rFonts w:hint="eastAsia"/>
          <w:lang w:eastAsia="zh-CN"/>
        </w:rPr>
        <w:t>利用循证原则不断审议</w:t>
      </w:r>
      <w:r w:rsidRPr="002B04C3">
        <w:rPr>
          <w:rFonts w:hint="eastAsia"/>
          <w:lang w:eastAsia="zh-CN"/>
        </w:rPr>
        <w:t>研究组</w:t>
      </w:r>
      <w:r>
        <w:rPr>
          <w:rFonts w:hint="eastAsia"/>
          <w:lang w:eastAsia="zh-CN"/>
        </w:rPr>
        <w:t>的</w:t>
      </w:r>
      <w:r w:rsidRPr="002B04C3">
        <w:rPr>
          <w:rFonts w:hint="eastAsia"/>
          <w:lang w:eastAsia="zh-CN"/>
        </w:rPr>
        <w:t>结构</w:t>
      </w:r>
      <w:r>
        <w:rPr>
          <w:rFonts w:hint="eastAsia"/>
          <w:lang w:eastAsia="zh-CN"/>
        </w:rPr>
        <w:t>并持续分析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研究组的</w:t>
      </w:r>
      <w:r>
        <w:rPr>
          <w:rFonts w:hint="eastAsia"/>
          <w:lang w:eastAsia="zh-CN"/>
        </w:rPr>
        <w:t>重组</w:t>
      </w:r>
      <w:r w:rsidRPr="002B04C3">
        <w:rPr>
          <w:rFonts w:hint="eastAsia"/>
          <w:lang w:eastAsia="zh-CN"/>
        </w:rPr>
        <w:t>，</w:t>
      </w:r>
      <w:proofErr w:type="gramStart"/>
      <w:r>
        <w:rPr>
          <w:rFonts w:hint="eastAsia"/>
          <w:lang w:eastAsia="zh-CN"/>
        </w:rPr>
        <w:t>以</w:t>
      </w:r>
      <w:r w:rsidRPr="002B04C3">
        <w:rPr>
          <w:lang w:eastAsia="zh-CN"/>
        </w:rPr>
        <w:t>适应迅速变化的环境</w:t>
      </w:r>
      <w:r w:rsidRPr="002B04C3">
        <w:rPr>
          <w:rFonts w:hint="eastAsia"/>
          <w:lang w:eastAsia="zh-CN"/>
        </w:rPr>
        <w:t>；</w:t>
      </w:r>
      <w:proofErr w:type="gramEnd"/>
    </w:p>
    <w:p w14:paraId="3B891F24" w14:textId="77777777" w:rsidR="008A3D31" w:rsidRPr="002B04C3" w:rsidRDefault="008A3D31" w:rsidP="008A3D31">
      <w:pPr>
        <w:pStyle w:val="Normalnoindent"/>
        <w:rPr>
          <w:rFonts w:cstheme="minorHAnsi"/>
          <w:szCs w:val="24"/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lang w:eastAsia="zh-CN"/>
        </w:rPr>
        <w:tab/>
      </w:r>
      <w:r>
        <w:rPr>
          <w:rFonts w:ascii="SimSun" w:hAnsi="SimSun" w:cs="SimSun" w:hint="eastAsia"/>
          <w:lang w:eastAsia="zh-CN"/>
        </w:rPr>
        <w:t>重组</w:t>
      </w:r>
      <w:r w:rsidRPr="001C158F">
        <w:rPr>
          <w:lang w:eastAsia="zh-CN"/>
        </w:rPr>
        <w:t>ITU-T</w:t>
      </w:r>
      <w:r w:rsidRPr="002B04C3">
        <w:rPr>
          <w:rFonts w:ascii="SimSun" w:hAnsi="SimSun" w:cs="SimSun" w:hint="eastAsia"/>
          <w:lang w:eastAsia="zh-CN"/>
        </w:rPr>
        <w:t>研究组需要通过明确和彻底的分析，这将使职权能够应对电信</w:t>
      </w:r>
      <w:r w:rsidRPr="002B04C3">
        <w:rPr>
          <w:lang w:eastAsia="zh-CN"/>
        </w:rPr>
        <w:t>/</w:t>
      </w:r>
      <w:proofErr w:type="gramStart"/>
      <w:r w:rsidRPr="002B04C3">
        <w:rPr>
          <w:rFonts w:ascii="SimSun" w:hAnsi="SimSun" w:cs="SimSun" w:hint="eastAsia"/>
          <w:lang w:eastAsia="zh-CN"/>
        </w:rPr>
        <w:t>信息通信技术</w:t>
      </w:r>
      <w:r w:rsidRPr="002B04C3">
        <w:rPr>
          <w:lang w:eastAsia="zh-CN"/>
        </w:rPr>
        <w:t>的</w:t>
      </w:r>
      <w:r w:rsidRPr="002B04C3">
        <w:rPr>
          <w:rFonts w:ascii="SimSun" w:hAnsi="SimSun" w:cs="SimSun" w:hint="eastAsia"/>
          <w:lang w:eastAsia="zh-CN"/>
        </w:rPr>
        <w:t>演进</w:t>
      </w:r>
      <w:r w:rsidRPr="002375D3">
        <w:rPr>
          <w:rFonts w:ascii="SimSun" w:hAnsi="SimSun" w:cs="SimSun" w:hint="eastAsia"/>
          <w:lang w:eastAsia="zh-CN"/>
        </w:rPr>
        <w:t>并提高国际电联的效率和效能及其与</w:t>
      </w:r>
      <w:r>
        <w:rPr>
          <w:rFonts w:ascii="SimSun" w:hAnsi="SimSun" w:cs="SimSun" w:hint="eastAsia"/>
          <w:lang w:eastAsia="zh-CN"/>
        </w:rPr>
        <w:t>其它</w:t>
      </w:r>
      <w:r w:rsidRPr="002375D3">
        <w:rPr>
          <w:rFonts w:ascii="SimSun" w:hAnsi="SimSun" w:cs="SimSun" w:hint="eastAsia"/>
          <w:lang w:eastAsia="zh-CN"/>
        </w:rPr>
        <w:t>组织的协作</w:t>
      </w:r>
      <w:r w:rsidRPr="002B04C3">
        <w:rPr>
          <w:rFonts w:ascii="SimSun" w:hAnsi="SimSun" w:cs="SimSun" w:hint="eastAsia"/>
          <w:lang w:eastAsia="zh-CN"/>
        </w:rPr>
        <w:t>；</w:t>
      </w:r>
      <w:proofErr w:type="gramEnd"/>
    </w:p>
    <w:p w14:paraId="40D32E94" w14:textId="0264603E" w:rsidR="008A3D31" w:rsidRPr="00F352BD" w:rsidRDefault="008A3D31" w:rsidP="006345B4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c)</w:t>
      </w:r>
      <w:r w:rsidRPr="002B04C3">
        <w:rPr>
          <w:lang w:eastAsia="zh-CN"/>
        </w:rPr>
        <w:tab/>
      </w:r>
      <w:r>
        <w:rPr>
          <w:rFonts w:hint="eastAsia"/>
          <w:lang w:eastAsia="zh-CN"/>
        </w:rPr>
        <w:t>对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研究组结构</w:t>
      </w:r>
      <w:r>
        <w:rPr>
          <w:rFonts w:hint="eastAsia"/>
          <w:lang w:eastAsia="zh-CN"/>
        </w:rPr>
        <w:t>的可能变更</w:t>
      </w:r>
      <w:r w:rsidRPr="002B04C3">
        <w:rPr>
          <w:rFonts w:hint="eastAsia"/>
          <w:lang w:eastAsia="zh-CN"/>
        </w:rPr>
        <w:t>需要</w:t>
      </w:r>
      <w:r>
        <w:rPr>
          <w:rFonts w:hint="eastAsia"/>
          <w:lang w:eastAsia="zh-CN"/>
        </w:rPr>
        <w:t>基于证据的方法和商定的基本原则，以避免各自为政，取得一致成果</w:t>
      </w:r>
      <w:r w:rsidRPr="002B04C3">
        <w:rPr>
          <w:rFonts w:hint="eastAsia"/>
          <w:lang w:eastAsia="zh-CN"/>
        </w:rPr>
        <w:t>，</w:t>
      </w:r>
    </w:p>
    <w:p w14:paraId="00AEC09B" w14:textId="77777777" w:rsidR="008A3D31" w:rsidRPr="002B04C3" w:rsidRDefault="008A3D31" w:rsidP="008A3D31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注意到</w:t>
      </w:r>
    </w:p>
    <w:p w14:paraId="4B1FAFCF" w14:textId="77777777" w:rsidR="008A3D31" w:rsidRDefault="008A3D31" w:rsidP="008A3D31">
      <w:pPr>
        <w:rPr>
          <w:lang w:eastAsia="zh-CN"/>
        </w:rPr>
      </w:pPr>
      <w:r w:rsidRPr="00161ADB">
        <w:rPr>
          <w:rFonts w:hint="eastAsia"/>
          <w:i/>
          <w:iCs/>
          <w:lang w:eastAsia="zh-CN"/>
        </w:rPr>
        <w:t>a</w:t>
      </w:r>
      <w:r w:rsidRPr="00161ADB">
        <w:rPr>
          <w:i/>
          <w:iCs/>
          <w:lang w:eastAsia="zh-CN"/>
        </w:rPr>
        <w:t>)</w:t>
      </w:r>
      <w:r>
        <w:rPr>
          <w:lang w:eastAsia="zh-CN"/>
        </w:rPr>
        <w:tab/>
      </w:r>
      <w:r w:rsidRPr="002B04C3">
        <w:rPr>
          <w:rFonts w:hint="eastAsia"/>
          <w:lang w:eastAsia="zh-CN"/>
        </w:rPr>
        <w:t>电信标准化顾问组（</w:t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按照</w:t>
      </w:r>
      <w:r>
        <w:rPr>
          <w:rFonts w:hint="eastAsia"/>
          <w:lang w:eastAsia="zh-CN"/>
        </w:rPr>
        <w:t>WTSA-20</w:t>
      </w:r>
      <w:r>
        <w:rPr>
          <w:rFonts w:hint="eastAsia"/>
          <w:lang w:eastAsia="zh-CN"/>
        </w:rPr>
        <w:t>的指示，推进了</w:t>
      </w:r>
      <w:r w:rsidRPr="002B04C3">
        <w:rPr>
          <w:rFonts w:hint="eastAsia"/>
          <w:lang w:eastAsia="zh-CN"/>
        </w:rPr>
        <w:t>“有关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研究组重组的分析行动计划”</w:t>
      </w:r>
      <w:r>
        <w:rPr>
          <w:rFonts w:hint="eastAsia"/>
          <w:lang w:eastAsia="zh-CN"/>
        </w:rPr>
        <w:t>；</w:t>
      </w:r>
    </w:p>
    <w:p w14:paraId="19A86634" w14:textId="77777777" w:rsidR="008A3D31" w:rsidRDefault="008A3D31" w:rsidP="008A3D31">
      <w:pPr>
        <w:rPr>
          <w:lang w:val="en-GB" w:eastAsia="zh-CN"/>
        </w:rPr>
      </w:pPr>
      <w:r w:rsidRPr="00161ADB">
        <w:rPr>
          <w:i/>
          <w:iCs/>
          <w:lang w:eastAsia="zh-CN"/>
        </w:rPr>
        <w:t>b)</w:t>
      </w:r>
      <w:r>
        <w:rPr>
          <w:lang w:eastAsia="zh-CN"/>
        </w:rPr>
        <w:tab/>
      </w:r>
      <w:r w:rsidRPr="00D216BF">
        <w:rPr>
          <w:rFonts w:hint="eastAsia"/>
          <w:lang w:eastAsia="zh-CN"/>
        </w:rPr>
        <w:t>TSAG</w:t>
      </w:r>
      <w:r w:rsidRPr="00D216BF">
        <w:rPr>
          <w:rFonts w:hint="eastAsia"/>
          <w:lang w:eastAsia="zh-CN"/>
        </w:rPr>
        <w:t>工作计划和重组报告人组（</w:t>
      </w:r>
      <w:r w:rsidRPr="00D216BF">
        <w:rPr>
          <w:rFonts w:hint="eastAsia"/>
          <w:lang w:eastAsia="zh-CN"/>
        </w:rPr>
        <w:t>RG-WPR</w:t>
      </w:r>
      <w:r w:rsidRPr="00D216BF">
        <w:rPr>
          <w:rFonts w:hint="eastAsia"/>
          <w:lang w:eastAsia="zh-CN"/>
        </w:rPr>
        <w:t>）的讨论表明，这项工作应继续进行，</w:t>
      </w:r>
    </w:p>
    <w:p w14:paraId="39A99B75" w14:textId="0F7D6ADC" w:rsidR="006345B4" w:rsidRDefault="006345B4" w:rsidP="008A3D31">
      <w:pPr>
        <w:rPr>
          <w:lang w:val="en-GB" w:eastAsia="zh-CN"/>
        </w:rPr>
      </w:pPr>
      <w:r>
        <w:rPr>
          <w:lang w:val="en-GB" w:eastAsia="zh-CN"/>
        </w:rPr>
        <w:br w:type="page"/>
      </w:r>
    </w:p>
    <w:p w14:paraId="6C659B33" w14:textId="77777777" w:rsidR="008A3D31" w:rsidRPr="002B04C3" w:rsidRDefault="008A3D31" w:rsidP="008A3D31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lastRenderedPageBreak/>
        <w:t>做出决议</w:t>
      </w:r>
    </w:p>
    <w:p w14:paraId="10FFEA38" w14:textId="77777777" w:rsidR="008A3D31" w:rsidRPr="002B04C3" w:rsidRDefault="008A3D31" w:rsidP="008A3D31">
      <w:pPr>
        <w:pStyle w:val="Normalnoindent"/>
        <w:rPr>
          <w:lang w:eastAsia="zh-CN"/>
        </w:rPr>
      </w:pPr>
      <w:r w:rsidRPr="002B04C3">
        <w:rPr>
          <w:lang w:eastAsia="zh-CN"/>
        </w:rPr>
        <w:t>1</w:t>
      </w:r>
      <w:r w:rsidRPr="002B04C3">
        <w:rPr>
          <w:lang w:eastAsia="zh-CN"/>
        </w:rPr>
        <w:tab/>
      </w:r>
      <w:r>
        <w:rPr>
          <w:rFonts w:hint="eastAsia"/>
          <w:lang w:eastAsia="zh-CN"/>
        </w:rPr>
        <w:t>利用基于证据的方法，在</w:t>
      </w:r>
      <w:r w:rsidRPr="002B04C3">
        <w:rPr>
          <w:rFonts w:hint="eastAsia"/>
          <w:lang w:eastAsia="zh-CN"/>
        </w:rPr>
        <w:t>TSAG</w:t>
      </w:r>
      <w:r>
        <w:rPr>
          <w:rFonts w:hint="eastAsia"/>
          <w:lang w:eastAsia="zh-CN"/>
        </w:rPr>
        <w:t>内继续对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研究组重组</w:t>
      </w:r>
      <w:r>
        <w:rPr>
          <w:rFonts w:hint="eastAsia"/>
          <w:lang w:eastAsia="zh-CN"/>
        </w:rPr>
        <w:t>问题进行分析，</w:t>
      </w:r>
      <w:proofErr w:type="gramStart"/>
      <w:r>
        <w:rPr>
          <w:rFonts w:hint="eastAsia"/>
          <w:lang w:eastAsia="zh-CN"/>
        </w:rPr>
        <w:t>同时考虑上面提到</w:t>
      </w:r>
      <w:r w:rsidRPr="002B04C3">
        <w:rPr>
          <w:rFonts w:hint="eastAsia"/>
          <w:lang w:eastAsia="zh-CN"/>
        </w:rPr>
        <w:t>的行动计划；</w:t>
      </w:r>
      <w:proofErr w:type="gramEnd"/>
    </w:p>
    <w:p w14:paraId="44C90F08" w14:textId="77777777" w:rsidR="008A3D31" w:rsidRPr="002B04C3" w:rsidRDefault="008A3D31" w:rsidP="008A3D31">
      <w:pPr>
        <w:pStyle w:val="Normalnoindent"/>
        <w:rPr>
          <w:lang w:eastAsia="zh-CN"/>
        </w:rPr>
      </w:pPr>
      <w:r w:rsidRPr="002B04C3">
        <w:rPr>
          <w:lang w:eastAsia="zh-CN"/>
        </w:rPr>
        <w:t>2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有责任基于成员国和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部门成员提交</w:t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的文稿，管理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研究组重组的分析工作</w:t>
      </w:r>
      <w:r>
        <w:rPr>
          <w:rFonts w:hint="eastAsia"/>
          <w:lang w:eastAsia="zh-CN"/>
        </w:rPr>
        <w:t>，</w:t>
      </w:r>
    </w:p>
    <w:p w14:paraId="70527195" w14:textId="77777777" w:rsidR="008A3D31" w:rsidRPr="002B04C3" w:rsidRDefault="008A3D31" w:rsidP="008A3D31">
      <w:pPr>
        <w:pStyle w:val="Call"/>
        <w:rPr>
          <w:iCs/>
          <w:lang w:eastAsia="zh-CN"/>
        </w:rPr>
      </w:pPr>
      <w:r w:rsidRPr="002B04C3">
        <w:rPr>
          <w:rFonts w:hint="eastAsia"/>
          <w:lang w:eastAsia="zh-CN"/>
        </w:rPr>
        <w:t>责成电信标准化顾问组</w:t>
      </w:r>
    </w:p>
    <w:p w14:paraId="25DC4C81" w14:textId="77777777" w:rsidR="008A3D31" w:rsidRPr="002B04C3" w:rsidRDefault="008A3D31" w:rsidP="008A3D31">
      <w:pPr>
        <w:pStyle w:val="Normalnoindent"/>
        <w:rPr>
          <w:lang w:eastAsia="zh-CN"/>
        </w:rPr>
      </w:pPr>
      <w:r w:rsidRPr="002B04C3">
        <w:rPr>
          <w:lang w:eastAsia="zh-CN"/>
        </w:rPr>
        <w:t>1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通过报告人组或</w:t>
      </w:r>
      <w:r>
        <w:rPr>
          <w:rFonts w:hint="eastAsia"/>
          <w:lang w:eastAsia="zh-CN"/>
        </w:rPr>
        <w:t>其它</w:t>
      </w:r>
      <w:r w:rsidRPr="002B04C3">
        <w:rPr>
          <w:rFonts w:hint="eastAsia"/>
          <w:lang w:eastAsia="zh-CN"/>
        </w:rPr>
        <w:t>适当组开展、监控和指导工作，并向每次</w:t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会议提交关于</w:t>
      </w:r>
      <w:r w:rsidRPr="002B04C3">
        <w:rPr>
          <w:rFonts w:hint="eastAsia"/>
          <w:lang w:eastAsia="zh-CN"/>
        </w:rPr>
        <w:t>ITU-</w:t>
      </w:r>
      <w:proofErr w:type="gramStart"/>
      <w:r w:rsidRPr="002B04C3">
        <w:rPr>
          <w:rFonts w:hint="eastAsia"/>
          <w:lang w:eastAsia="zh-CN"/>
        </w:rPr>
        <w:t>T</w:t>
      </w:r>
      <w:r w:rsidRPr="002B04C3">
        <w:rPr>
          <w:rFonts w:hint="eastAsia"/>
          <w:lang w:eastAsia="zh-CN"/>
        </w:rPr>
        <w:t>研究组重组的分析行动计划</w:t>
      </w:r>
      <w:r>
        <w:rPr>
          <w:rFonts w:hint="eastAsia"/>
          <w:lang w:eastAsia="zh-CN"/>
        </w:rPr>
        <w:t>实施工作</w:t>
      </w:r>
      <w:r w:rsidRPr="002B04C3">
        <w:rPr>
          <w:rFonts w:hint="eastAsia"/>
          <w:lang w:eastAsia="zh-CN"/>
        </w:rPr>
        <w:t>的进展报告；</w:t>
      </w:r>
      <w:proofErr w:type="gramEnd"/>
    </w:p>
    <w:p w14:paraId="0F6FAF95" w14:textId="77777777" w:rsidR="008A3D31" w:rsidRPr="002B04C3" w:rsidRDefault="008A3D31" w:rsidP="008A3D31">
      <w:pPr>
        <w:pStyle w:val="Normalnoindent"/>
        <w:rPr>
          <w:lang w:eastAsia="zh-CN"/>
        </w:rPr>
      </w:pPr>
      <w:r w:rsidRPr="002B04C3">
        <w:rPr>
          <w:lang w:eastAsia="zh-CN"/>
        </w:rPr>
        <w:t>2</w:t>
      </w:r>
      <w:r w:rsidRPr="002B04C3">
        <w:rPr>
          <w:lang w:eastAsia="zh-CN"/>
        </w:rPr>
        <w:tab/>
      </w:r>
      <w:proofErr w:type="gramStart"/>
      <w:r w:rsidRPr="002B04C3">
        <w:rPr>
          <w:rFonts w:hint="eastAsia"/>
          <w:lang w:eastAsia="zh-CN"/>
        </w:rPr>
        <w:t>在每次</w:t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会议后向各研究组提供关于分析的进展报告；</w:t>
      </w:r>
      <w:proofErr w:type="gramEnd"/>
    </w:p>
    <w:p w14:paraId="4AAF9BE1" w14:textId="77777777" w:rsidR="008A3D31" w:rsidRPr="002B04C3" w:rsidRDefault="008A3D31" w:rsidP="008A3D31">
      <w:pPr>
        <w:pStyle w:val="Normalnoindent"/>
        <w:rPr>
          <w:lang w:eastAsia="zh-CN"/>
        </w:rPr>
      </w:pPr>
      <w:r w:rsidRPr="002B04C3">
        <w:rPr>
          <w:lang w:eastAsia="zh-CN"/>
        </w:rPr>
        <w:t>3</w:t>
      </w:r>
      <w:r w:rsidRPr="002B04C3">
        <w:rPr>
          <w:lang w:eastAsia="zh-CN"/>
        </w:rPr>
        <w:tab/>
      </w:r>
      <w:r>
        <w:rPr>
          <w:rFonts w:hint="eastAsia"/>
          <w:lang w:eastAsia="zh-CN"/>
        </w:rPr>
        <w:t>向</w:t>
      </w:r>
      <w:r w:rsidRPr="002B04C3">
        <w:rPr>
          <w:rFonts w:hint="eastAsia"/>
          <w:lang w:eastAsia="zh-CN"/>
        </w:rPr>
        <w:t>下届</w:t>
      </w:r>
      <w:r w:rsidRPr="002B04C3">
        <w:rPr>
          <w:rFonts w:hint="eastAsia"/>
          <w:lang w:eastAsia="zh-CN"/>
        </w:rPr>
        <w:t>WTSA</w:t>
      </w:r>
      <w:r w:rsidRPr="002B04C3">
        <w:rPr>
          <w:rFonts w:hint="eastAsia"/>
          <w:lang w:eastAsia="zh-CN"/>
        </w:rPr>
        <w:t>提交一份包含建议的报告，供审议，</w:t>
      </w:r>
    </w:p>
    <w:p w14:paraId="4DFBDBC8" w14:textId="77777777" w:rsidR="008A3D31" w:rsidRPr="002B04C3" w:rsidRDefault="008A3D31" w:rsidP="008A3D31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责成</w:t>
      </w:r>
      <w:r>
        <w:rPr>
          <w:rFonts w:hint="eastAsia"/>
          <w:lang w:eastAsia="zh-CN"/>
        </w:rPr>
        <w:t>国际电</w:t>
      </w:r>
      <w:proofErr w:type="gramStart"/>
      <w:r>
        <w:rPr>
          <w:rFonts w:hint="eastAsia"/>
          <w:lang w:eastAsia="zh-CN"/>
        </w:rPr>
        <w:t>联电信</w:t>
      </w:r>
      <w:proofErr w:type="gramEnd"/>
      <w:r>
        <w:rPr>
          <w:rFonts w:hint="eastAsia"/>
          <w:lang w:eastAsia="zh-CN"/>
        </w:rPr>
        <w:t>标准化部门</w:t>
      </w:r>
      <w:r w:rsidRPr="002B04C3">
        <w:rPr>
          <w:rFonts w:hint="eastAsia"/>
          <w:lang w:eastAsia="zh-CN"/>
        </w:rPr>
        <w:t>各研究组</w:t>
      </w:r>
    </w:p>
    <w:p w14:paraId="522B67B7" w14:textId="77777777" w:rsidR="008A3D31" w:rsidRPr="002B04C3" w:rsidRDefault="008A3D31" w:rsidP="008A3D31">
      <w:pPr>
        <w:pStyle w:val="Normalnoindent"/>
        <w:ind w:firstLineChars="200" w:firstLine="480"/>
        <w:rPr>
          <w:lang w:eastAsia="zh-CN"/>
        </w:rPr>
      </w:pPr>
      <w:r w:rsidRPr="002B04C3">
        <w:rPr>
          <w:rFonts w:hint="eastAsia"/>
          <w:lang w:eastAsia="zh-CN"/>
        </w:rPr>
        <w:t>审议</w:t>
      </w:r>
      <w:r>
        <w:rPr>
          <w:rFonts w:hint="eastAsia"/>
          <w:lang w:eastAsia="zh-CN"/>
        </w:rPr>
        <w:t>、审查</w:t>
      </w:r>
      <w:r w:rsidRPr="002B04C3">
        <w:rPr>
          <w:rFonts w:hint="eastAsia"/>
          <w:lang w:eastAsia="zh-CN"/>
        </w:rPr>
        <w:t>并酌情</w:t>
      </w:r>
      <w:r>
        <w:rPr>
          <w:rFonts w:hint="eastAsia"/>
          <w:lang w:eastAsia="zh-CN"/>
        </w:rPr>
        <w:t>分享提交给</w:t>
      </w:r>
      <w:r w:rsidRPr="002B04C3">
        <w:rPr>
          <w:rFonts w:hint="eastAsia"/>
          <w:lang w:eastAsia="zh-CN"/>
        </w:rPr>
        <w:t>TSAG</w:t>
      </w:r>
      <w:r>
        <w:rPr>
          <w:rFonts w:hint="eastAsia"/>
          <w:lang w:eastAsia="zh-CN"/>
        </w:rPr>
        <w:t>的</w:t>
      </w:r>
      <w:r w:rsidRPr="002B04C3">
        <w:rPr>
          <w:rFonts w:hint="eastAsia"/>
          <w:lang w:eastAsia="zh-CN"/>
        </w:rPr>
        <w:t>进展报告</w:t>
      </w:r>
      <w:r>
        <w:rPr>
          <w:rFonts w:hint="eastAsia"/>
          <w:lang w:eastAsia="zh-CN"/>
        </w:rPr>
        <w:t>和来自</w:t>
      </w:r>
      <w:r>
        <w:rPr>
          <w:rFonts w:hint="eastAsia"/>
          <w:lang w:eastAsia="zh-CN"/>
        </w:rPr>
        <w:t>TSAG</w:t>
      </w:r>
      <w:r>
        <w:rPr>
          <w:rFonts w:hint="eastAsia"/>
          <w:lang w:eastAsia="zh-CN"/>
        </w:rPr>
        <w:t>的</w:t>
      </w:r>
      <w:r w:rsidRPr="002B04C3">
        <w:rPr>
          <w:rFonts w:hint="eastAsia"/>
          <w:lang w:eastAsia="zh-CN"/>
        </w:rPr>
        <w:t>关于进展报告的反馈，</w:t>
      </w:r>
    </w:p>
    <w:p w14:paraId="6636AC13" w14:textId="77777777" w:rsidR="008A3D31" w:rsidRPr="002B04C3" w:rsidRDefault="008A3D31" w:rsidP="008A3D31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责成电信标准化局主任</w:t>
      </w:r>
    </w:p>
    <w:p w14:paraId="5A743183" w14:textId="77777777" w:rsidR="008A3D31" w:rsidRPr="002B04C3" w:rsidRDefault="008A3D31" w:rsidP="008A3D31">
      <w:pPr>
        <w:ind w:firstLineChars="200" w:firstLine="480"/>
        <w:rPr>
          <w:lang w:eastAsia="zh-CN"/>
        </w:rPr>
      </w:pPr>
      <w:r w:rsidRPr="002B04C3">
        <w:rPr>
          <w:rFonts w:hint="eastAsia"/>
          <w:lang w:eastAsia="zh-CN"/>
        </w:rPr>
        <w:t>为</w:t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实施本决议提供必要协助，</w:t>
      </w:r>
    </w:p>
    <w:p w14:paraId="369C5BE9" w14:textId="77777777" w:rsidR="008A3D31" w:rsidRPr="002B04C3" w:rsidRDefault="008A3D31" w:rsidP="008A3D31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请国际电联成员国和部门成员</w:t>
      </w:r>
    </w:p>
    <w:p w14:paraId="277ED403" w14:textId="77777777" w:rsidR="008A3D31" w:rsidRPr="00BD3D12" w:rsidRDefault="008A3D31" w:rsidP="008A3D31">
      <w:pPr>
        <w:ind w:firstLineChars="200" w:firstLine="480"/>
        <w:rPr>
          <w:lang w:eastAsia="zh-CN"/>
        </w:rPr>
      </w:pPr>
      <w:r w:rsidRPr="002B04C3">
        <w:rPr>
          <w:rFonts w:hint="eastAsia"/>
          <w:lang w:eastAsia="zh-CN"/>
        </w:rPr>
        <w:t>参与并为本决议的实施做出贡献。</w:t>
      </w:r>
    </w:p>
    <w:p w14:paraId="47982CD0" w14:textId="77777777" w:rsidR="008A3D31" w:rsidRDefault="008A3D31" w:rsidP="008A3D31">
      <w:pPr>
        <w:pStyle w:val="Reasons"/>
        <w:rPr>
          <w:lang w:eastAsia="zh-CN"/>
        </w:rPr>
      </w:pPr>
    </w:p>
    <w:p w14:paraId="3850DF44" w14:textId="3E670A7A" w:rsidR="00DF1AFD" w:rsidRPr="008A3D31" w:rsidRDefault="00DF1AFD" w:rsidP="00526543">
      <w:pPr>
        <w:rPr>
          <w:lang w:val="en-GB" w:eastAsia="zh-CN"/>
        </w:rPr>
      </w:pPr>
    </w:p>
    <w:p w14:paraId="4505C7CF" w14:textId="77777777" w:rsidR="004D3C2C" w:rsidRDefault="004D3C2C" w:rsidP="00526543">
      <w:pPr>
        <w:rPr>
          <w:lang w:eastAsia="zh-CN"/>
        </w:rPr>
      </w:pPr>
    </w:p>
    <w:p w14:paraId="2E570997" w14:textId="77777777" w:rsidR="006345B4" w:rsidRDefault="006345B4" w:rsidP="00526543">
      <w:pPr>
        <w:rPr>
          <w:lang w:eastAsia="zh-CN"/>
        </w:rPr>
      </w:pPr>
    </w:p>
    <w:p w14:paraId="1EF2BAC4" w14:textId="77777777" w:rsidR="006345B4" w:rsidRPr="00526543" w:rsidRDefault="006345B4" w:rsidP="00526543">
      <w:pPr>
        <w:rPr>
          <w:lang w:eastAsia="zh-CN"/>
        </w:rPr>
      </w:pPr>
    </w:p>
    <w:p w14:paraId="1C5E3B77" w14:textId="4DAB9F81" w:rsidR="00DF1AFD" w:rsidRDefault="00DF1AFD" w:rsidP="00526543">
      <w:pPr>
        <w:rPr>
          <w:lang w:eastAsia="zh-CN"/>
        </w:rPr>
      </w:pPr>
    </w:p>
    <w:p w14:paraId="589C57CF" w14:textId="77777777" w:rsidR="00AB4404" w:rsidRPr="00526543" w:rsidRDefault="00AB4404" w:rsidP="00526543">
      <w:pPr>
        <w:rPr>
          <w:lang w:eastAsia="zh-CN"/>
        </w:rPr>
      </w:pPr>
    </w:p>
    <w:p w14:paraId="6A78B6F6" w14:textId="77777777" w:rsidR="00E03ABC" w:rsidRPr="00526543" w:rsidRDefault="00E03ABC" w:rsidP="00526543">
      <w:pPr>
        <w:rPr>
          <w:lang w:eastAsia="zh-CN"/>
        </w:rPr>
      </w:pPr>
    </w:p>
    <w:sectPr w:rsidR="00E03ABC" w:rsidRPr="00526543" w:rsidSect="0072674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pgSz w:w="11907" w:h="16834" w:code="9"/>
      <w:pgMar w:top="1134" w:right="1134" w:bottom="1134" w:left="1134" w:header="567" w:footer="567" w:gutter="0"/>
      <w:paperSrc w:first="15" w:other="15"/>
      <w:pgNumType w:start="1"/>
      <w:cols w:space="720"/>
      <w:vAlign w:val="both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0ACFF" w14:textId="77777777" w:rsidR="006B2E7F" w:rsidRDefault="006B2E7F">
      <w:r>
        <w:separator/>
      </w:r>
    </w:p>
  </w:endnote>
  <w:endnote w:type="continuationSeparator" w:id="0">
    <w:p w14:paraId="7FE1733A" w14:textId="77777777" w:rsidR="006B2E7F" w:rsidRDefault="006B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venir Next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FD65C" w14:textId="77777777" w:rsidR="00DF1AFD" w:rsidRDefault="00DF1A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C26A6" w14:textId="77777777" w:rsidR="00DF1AFD" w:rsidRDefault="00DF1A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91DD5" w14:textId="77777777" w:rsidR="00DF1AFD" w:rsidRDefault="00DF1AF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4EDF" w14:textId="77777777" w:rsidR="000D3CE4" w:rsidRPr="00DE48B4" w:rsidRDefault="000D3CE4" w:rsidP="00DE48B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5C13" w14:textId="77777777" w:rsidR="000D3CE4" w:rsidRPr="008968B6" w:rsidRDefault="000D3CE4" w:rsidP="008968B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BAB00" w14:textId="7CE0C1DE" w:rsidR="00C72AF4" w:rsidRPr="00D50046" w:rsidRDefault="00D50046" w:rsidP="00B150A9">
    <w:pPr>
      <w:pStyle w:val="FooterQP"/>
      <w:tabs>
        <w:tab w:val="clear" w:pos="907"/>
        <w:tab w:val="left" w:pos="851"/>
      </w:tabs>
      <w:rPr>
        <w:lang w:val="en-US"/>
      </w:rPr>
    </w:pP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EA12A2">
      <w:rPr>
        <w:b w:val="0"/>
        <w:noProof/>
        <w:lang w:val="en-US"/>
      </w:rPr>
      <w:t>26</w:t>
    </w:r>
    <w:r>
      <w:rPr>
        <w:b w:val="0"/>
      </w:rPr>
      <w:fldChar w:fldCharType="end"/>
    </w:r>
    <w:r>
      <w:rPr>
        <w:lang w:val="en-US"/>
      </w:rPr>
      <w:tab/>
    </w:r>
    <w:r w:rsidR="00DF1AFD" w:rsidRPr="00DF1AFD">
      <w:rPr>
        <w:lang w:val="en-US"/>
      </w:rPr>
      <w:t>WTSA-</w:t>
    </w:r>
    <w:r w:rsidR="00DF1AFD" w:rsidRPr="00DF1AFD">
      <w:rPr>
        <w:lang w:val="en-US" w:eastAsia="zh-CN"/>
      </w:rPr>
      <w:t>24</w:t>
    </w:r>
    <w:r w:rsidR="00DF1AFD" w:rsidRPr="00DF1AFD">
      <w:rPr>
        <w:lang w:val="en-US"/>
      </w:rPr>
      <w:t xml:space="preserve"> – </w:t>
    </w:r>
    <w:r w:rsidR="00DF1AFD" w:rsidRPr="00DF1AFD">
      <w:rPr>
        <w:rFonts w:hint="eastAsia"/>
        <w:lang w:val="en-US" w:eastAsia="zh-CN"/>
      </w:rPr>
      <w:t>第</w:t>
    </w:r>
    <w:r w:rsidR="00DF1AFD" w:rsidRPr="00DF1AFD">
      <w:fldChar w:fldCharType="begin"/>
    </w:r>
    <w:r w:rsidR="00DF1AFD" w:rsidRPr="00DF1AFD">
      <w:rPr>
        <w:lang w:val="en-US"/>
      </w:rPr>
      <w:instrText>styleref href</w:instrText>
    </w:r>
    <w:r w:rsidR="00DF1AFD" w:rsidRPr="00DF1AFD">
      <w:fldChar w:fldCharType="separate"/>
    </w:r>
    <w:r w:rsidR="0091472D">
      <w:rPr>
        <w:noProof/>
        <w:lang w:val="en-US"/>
      </w:rPr>
      <w:t>99</w:t>
    </w:r>
    <w:r w:rsidR="00DF1AFD" w:rsidRPr="00DF1AFD">
      <w:fldChar w:fldCharType="end"/>
    </w:r>
    <w:r w:rsidR="00DF1AFD" w:rsidRPr="00DF1AFD">
      <w:rPr>
        <w:rFonts w:hint="eastAsia"/>
        <w:lang w:eastAsia="zh-CN"/>
      </w:rPr>
      <w:t>号决议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43F9" w14:textId="728A09FC" w:rsidR="00AA1264" w:rsidRPr="00D50046" w:rsidRDefault="00D50046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DF1AFD" w:rsidRPr="00DF1AFD">
      <w:rPr>
        <w:lang w:val="en-US"/>
      </w:rPr>
      <w:t>WTSA-</w:t>
    </w:r>
    <w:r w:rsidR="00DF1AFD" w:rsidRPr="00DF1AFD">
      <w:rPr>
        <w:lang w:val="en-US" w:eastAsia="zh-CN"/>
      </w:rPr>
      <w:t>24</w:t>
    </w:r>
    <w:r w:rsidR="00DF1AFD" w:rsidRPr="00DF1AFD">
      <w:rPr>
        <w:lang w:val="en-US"/>
      </w:rPr>
      <w:t xml:space="preserve"> – </w:t>
    </w:r>
    <w:r w:rsidR="00DF1AFD" w:rsidRPr="00DF1AFD">
      <w:rPr>
        <w:rFonts w:hint="eastAsia"/>
        <w:lang w:val="en-US" w:eastAsia="zh-CN"/>
      </w:rPr>
      <w:t>第</w:t>
    </w:r>
    <w:r w:rsidR="00DF1AFD" w:rsidRPr="00DF1AFD">
      <w:fldChar w:fldCharType="begin"/>
    </w:r>
    <w:r w:rsidR="00DF1AFD" w:rsidRPr="00DF1AFD">
      <w:rPr>
        <w:lang w:val="en-US"/>
      </w:rPr>
      <w:instrText>styleref href</w:instrText>
    </w:r>
    <w:r w:rsidR="00DF1AFD" w:rsidRPr="00DF1AFD">
      <w:fldChar w:fldCharType="separate"/>
    </w:r>
    <w:r w:rsidR="0091472D">
      <w:rPr>
        <w:noProof/>
        <w:lang w:val="en-US"/>
      </w:rPr>
      <w:t>99</w:t>
    </w:r>
    <w:r w:rsidR="00DF1AFD" w:rsidRPr="00DF1AFD">
      <w:fldChar w:fldCharType="end"/>
    </w:r>
    <w:r w:rsidR="00DF1AFD" w:rsidRPr="00DF1AFD">
      <w:rPr>
        <w:rFonts w:hint="eastAsia"/>
        <w:lang w:eastAsia="zh-CN"/>
      </w:rPr>
      <w:t>号决议</w:t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25</w:t>
    </w:r>
    <w:r w:rsidRPr="00B73379">
      <w:rPr>
        <w:b w:val="0"/>
        <w:bCs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6C6A4" w14:textId="2B311431" w:rsidR="00A4766C" w:rsidRPr="00A4766C" w:rsidRDefault="00A4766C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Pr="00DF1AFD">
      <w:rPr>
        <w:lang w:val="en-US"/>
      </w:rPr>
      <w:t>WTSA-</w:t>
    </w:r>
    <w:r w:rsidR="00DF1AFD" w:rsidRPr="00DF1AFD">
      <w:rPr>
        <w:lang w:val="en-US" w:eastAsia="zh-CN"/>
      </w:rPr>
      <w:t>24</w:t>
    </w:r>
    <w:r w:rsidRPr="00DF1AFD">
      <w:rPr>
        <w:lang w:val="en-US"/>
      </w:rPr>
      <w:t xml:space="preserve"> – </w:t>
    </w:r>
    <w:r w:rsidR="00E93AC9" w:rsidRPr="00DF1AFD">
      <w:rPr>
        <w:rFonts w:hint="eastAsia"/>
        <w:lang w:val="en-US" w:eastAsia="zh-CN"/>
      </w:rPr>
      <w:t>第</w:t>
    </w:r>
    <w:r w:rsidRPr="00DF1AFD">
      <w:fldChar w:fldCharType="begin"/>
    </w:r>
    <w:r w:rsidRPr="00DF1AFD">
      <w:rPr>
        <w:lang w:val="en-US"/>
      </w:rPr>
      <w:instrText>styleref href</w:instrText>
    </w:r>
    <w:r w:rsidRPr="00DF1AFD">
      <w:fldChar w:fldCharType="separate"/>
    </w:r>
    <w:r w:rsidR="0091472D">
      <w:rPr>
        <w:noProof/>
        <w:lang w:val="en-US"/>
      </w:rPr>
      <w:t>99</w:t>
    </w:r>
    <w:r w:rsidRPr="00DF1AFD">
      <w:fldChar w:fldCharType="end"/>
    </w:r>
    <w:r w:rsidR="00E93AC9" w:rsidRPr="00DF1AFD">
      <w:rPr>
        <w:rFonts w:hint="eastAsia"/>
        <w:lang w:eastAsia="zh-CN"/>
      </w:rPr>
      <w:t>号决议</w:t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15</w:t>
    </w:r>
    <w:r w:rsidRPr="00B73379">
      <w:rPr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796E4" w14:textId="77777777" w:rsidR="006B2E7F" w:rsidRDefault="006B2E7F">
      <w:r>
        <w:t>____________________</w:t>
      </w:r>
    </w:p>
  </w:footnote>
  <w:footnote w:type="continuationSeparator" w:id="0">
    <w:p w14:paraId="013FA157" w14:textId="77777777" w:rsidR="006B2E7F" w:rsidRDefault="006B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0BE2" w14:textId="77777777" w:rsidR="00EA2A26" w:rsidRDefault="00EA2A26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6D224" w14:textId="77777777" w:rsidR="00EA2A26" w:rsidRDefault="00EA2A26" w:rsidP="00CE6FB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B6299" w14:textId="77777777" w:rsidR="00DF1AFD" w:rsidRDefault="00DF1AF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2A584" w14:textId="77777777" w:rsidR="00A65D98" w:rsidRDefault="00A65D98">
    <w:pPr>
      <w:pStyle w:val="Header"/>
      <w:ind w:right="360"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F2D71" w14:textId="77777777" w:rsidR="00C72AF4" w:rsidRDefault="00C72AF4">
    <w:pPr>
      <w:pStyle w:val="Header"/>
      <w:ind w:right="360"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CFEDD" w14:textId="77777777" w:rsidR="00AA1264" w:rsidRPr="00AA1264" w:rsidRDefault="00AA1264" w:rsidP="00AA126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BC5B" w14:textId="77777777" w:rsidR="00A4766C" w:rsidRDefault="00A47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3771CF"/>
    <w:multiLevelType w:val="hybridMultilevel"/>
    <w:tmpl w:val="A6E2B150"/>
    <w:lvl w:ilvl="0" w:tplc="13AC265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AD64F5"/>
    <w:multiLevelType w:val="hybridMultilevel"/>
    <w:tmpl w:val="FB7ECF2E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945E817E">
      <w:start w:val="3"/>
      <w:numFmt w:val="bullet"/>
      <w:lvlText w:val="-"/>
      <w:lvlJc w:val="left"/>
      <w:pPr>
        <w:tabs>
          <w:tab w:val="num" w:pos="2339"/>
        </w:tabs>
        <w:ind w:left="2339" w:hanging="465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6" w15:restartNumberingAfterBreak="0">
    <w:nsid w:val="04C10297"/>
    <w:multiLevelType w:val="hybridMultilevel"/>
    <w:tmpl w:val="C9E84DA2"/>
    <w:lvl w:ilvl="0" w:tplc="B9C2E4B0">
      <w:start w:val="3"/>
      <w:numFmt w:val="lowerRoman"/>
      <w:lvlText w:val="%1)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94"/>
        </w:tabs>
        <w:ind w:left="1594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94"/>
        </w:tabs>
        <w:ind w:left="279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4"/>
        </w:tabs>
        <w:ind w:left="319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94"/>
        </w:tabs>
        <w:ind w:left="399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00"/>
      </w:pPr>
    </w:lvl>
  </w:abstractNum>
  <w:abstractNum w:abstractNumId="7" w15:restartNumberingAfterBreak="0">
    <w:nsid w:val="06D13142"/>
    <w:multiLevelType w:val="multilevel"/>
    <w:tmpl w:val="FC805C12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6DB3661"/>
    <w:multiLevelType w:val="hybridMultilevel"/>
    <w:tmpl w:val="18B06554"/>
    <w:lvl w:ilvl="0" w:tplc="C728CD9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0C0E3449"/>
    <w:multiLevelType w:val="hybridMultilevel"/>
    <w:tmpl w:val="12049A1A"/>
    <w:lvl w:ilvl="0" w:tplc="32400C4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137C3191"/>
    <w:multiLevelType w:val="multilevel"/>
    <w:tmpl w:val="3426EF6A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E552A1"/>
    <w:multiLevelType w:val="hybridMultilevel"/>
    <w:tmpl w:val="9C3ACEEA"/>
    <w:lvl w:ilvl="0" w:tplc="3C3C5DB6">
      <w:start w:val="3"/>
      <w:numFmt w:val="lowerLetter"/>
      <w:lvlText w:val="%1)"/>
      <w:lvlJc w:val="left"/>
      <w:pPr>
        <w:tabs>
          <w:tab w:val="num" w:pos="1155"/>
        </w:tabs>
        <w:ind w:left="1155" w:hanging="7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B2326"/>
    <w:multiLevelType w:val="hybridMultilevel"/>
    <w:tmpl w:val="2A5A2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3433"/>
    <w:multiLevelType w:val="hybridMultilevel"/>
    <w:tmpl w:val="542460AA"/>
    <w:lvl w:ilvl="0" w:tplc="5756D91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C7644E"/>
    <w:multiLevelType w:val="hybridMultilevel"/>
    <w:tmpl w:val="5D2016D4"/>
    <w:lvl w:ilvl="0" w:tplc="18C6A21C">
      <w:start w:val="1"/>
      <w:numFmt w:val="lowerLetter"/>
      <w:lvlText w:val="%1)"/>
      <w:lvlJc w:val="left"/>
      <w:pPr>
        <w:ind w:left="36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8073DB"/>
    <w:multiLevelType w:val="hybridMultilevel"/>
    <w:tmpl w:val="B7F4B8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4B2CB9"/>
    <w:multiLevelType w:val="multilevel"/>
    <w:tmpl w:val="705E47D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A75D95"/>
    <w:multiLevelType w:val="hybridMultilevel"/>
    <w:tmpl w:val="03CCFCEA"/>
    <w:lvl w:ilvl="0" w:tplc="F1829A40">
      <w:start w:val="1"/>
      <w:numFmt w:val="lowerLetter"/>
      <w:lvlText w:val="%1)"/>
      <w:lvlJc w:val="left"/>
      <w:pPr>
        <w:ind w:left="720" w:hanging="72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580ADD"/>
    <w:multiLevelType w:val="hybridMultilevel"/>
    <w:tmpl w:val="57D874FA"/>
    <w:lvl w:ilvl="0" w:tplc="D16005EA">
      <w:start w:val="3"/>
      <w:numFmt w:val="lowerRoman"/>
      <w:lvlText w:val="%1)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9" w15:restartNumberingAfterBreak="0">
    <w:nsid w:val="559F0960"/>
    <w:multiLevelType w:val="hybridMultilevel"/>
    <w:tmpl w:val="C52E18BE"/>
    <w:lvl w:ilvl="0" w:tplc="0B06629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A955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37678"/>
    <w:multiLevelType w:val="hybridMultilevel"/>
    <w:tmpl w:val="36B05B1C"/>
    <w:lvl w:ilvl="0" w:tplc="4D02BE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8CB65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 Bold" w:eastAsia="Times New Roman" w:hAnsi="Times New Roman Bold"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F6C09"/>
    <w:multiLevelType w:val="hybridMultilevel"/>
    <w:tmpl w:val="94225D8E"/>
    <w:lvl w:ilvl="0" w:tplc="92D22FAA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5726E"/>
    <w:multiLevelType w:val="multilevel"/>
    <w:tmpl w:val="4BDC83F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D496900"/>
    <w:multiLevelType w:val="hybridMultilevel"/>
    <w:tmpl w:val="D528DF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C4DA6"/>
    <w:multiLevelType w:val="hybridMultilevel"/>
    <w:tmpl w:val="AA5C218A"/>
    <w:lvl w:ilvl="0" w:tplc="04090017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</w:lvl>
    <w:lvl w:ilvl="1" w:tplc="48DA20EE">
      <w:start w:val="1"/>
      <w:numFmt w:val="decimal"/>
      <w:lvlText w:val="%2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1B001E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6A26EA"/>
    <w:multiLevelType w:val="hybridMultilevel"/>
    <w:tmpl w:val="4A180894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26" w15:restartNumberingAfterBreak="0">
    <w:nsid w:val="7AF43A61"/>
    <w:multiLevelType w:val="hybridMultilevel"/>
    <w:tmpl w:val="B890094C"/>
    <w:lvl w:ilvl="0" w:tplc="0C78C4B4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10BA4"/>
    <w:multiLevelType w:val="hybridMultilevel"/>
    <w:tmpl w:val="4AA87EB8"/>
    <w:lvl w:ilvl="0" w:tplc="27E61176">
      <w:start w:val="1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450147"/>
    <w:multiLevelType w:val="hybridMultilevel"/>
    <w:tmpl w:val="166A2A8E"/>
    <w:lvl w:ilvl="0" w:tplc="1FF8DF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508400534">
    <w:abstractNumId w:val="28"/>
  </w:num>
  <w:num w:numId="2" w16cid:durableId="1539005737">
    <w:abstractNumId w:val="13"/>
  </w:num>
  <w:num w:numId="3" w16cid:durableId="139750628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2763375">
    <w:abstractNumId w:val="18"/>
  </w:num>
  <w:num w:numId="5" w16cid:durableId="769550680">
    <w:abstractNumId w:val="20"/>
  </w:num>
  <w:num w:numId="6" w16cid:durableId="1028213405">
    <w:abstractNumId w:val="8"/>
  </w:num>
  <w:num w:numId="7" w16cid:durableId="40861194">
    <w:abstractNumId w:val="6"/>
  </w:num>
  <w:num w:numId="8" w16cid:durableId="548878394">
    <w:abstractNumId w:val="26"/>
  </w:num>
  <w:num w:numId="9" w16cid:durableId="17086759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3695314">
    <w:abstractNumId w:val="21"/>
  </w:num>
  <w:num w:numId="11" w16cid:durableId="1320033458">
    <w:abstractNumId w:val="4"/>
  </w:num>
  <w:num w:numId="12" w16cid:durableId="1625772228">
    <w:abstractNumId w:val="14"/>
  </w:num>
  <w:num w:numId="13" w16cid:durableId="1976832084">
    <w:abstractNumId w:val="15"/>
  </w:num>
  <w:num w:numId="14" w16cid:durableId="1031564875">
    <w:abstractNumId w:val="23"/>
  </w:num>
  <w:num w:numId="15" w16cid:durableId="163209178">
    <w:abstractNumId w:val="12"/>
  </w:num>
  <w:num w:numId="16" w16cid:durableId="922253490">
    <w:abstractNumId w:val="27"/>
  </w:num>
  <w:num w:numId="17" w16cid:durableId="100997407">
    <w:abstractNumId w:val="24"/>
  </w:num>
  <w:num w:numId="18" w16cid:durableId="1323191817">
    <w:abstractNumId w:val="19"/>
  </w:num>
  <w:num w:numId="19" w16cid:durableId="1344938320">
    <w:abstractNumId w:val="9"/>
  </w:num>
  <w:num w:numId="20" w16cid:durableId="1045105427">
    <w:abstractNumId w:val="16"/>
  </w:num>
  <w:num w:numId="21" w16cid:durableId="957953241">
    <w:abstractNumId w:val="10"/>
  </w:num>
  <w:num w:numId="22" w16cid:durableId="884409409">
    <w:abstractNumId w:val="22"/>
  </w:num>
  <w:num w:numId="23" w16cid:durableId="1534727971">
    <w:abstractNumId w:val="7"/>
  </w:num>
  <w:num w:numId="24" w16cid:durableId="108009643">
    <w:abstractNumId w:val="25"/>
  </w:num>
  <w:num w:numId="25" w16cid:durableId="160618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26"/>
    <w:rsid w:val="00001053"/>
    <w:rsid w:val="00006C17"/>
    <w:rsid w:val="00011D78"/>
    <w:rsid w:val="00017B45"/>
    <w:rsid w:val="00023463"/>
    <w:rsid w:val="0003503D"/>
    <w:rsid w:val="00073A3F"/>
    <w:rsid w:val="0007772C"/>
    <w:rsid w:val="000843D3"/>
    <w:rsid w:val="000B071B"/>
    <w:rsid w:val="000B47CD"/>
    <w:rsid w:val="000B5A36"/>
    <w:rsid w:val="000C22AE"/>
    <w:rsid w:val="000C26CC"/>
    <w:rsid w:val="000D378F"/>
    <w:rsid w:val="000D3CE4"/>
    <w:rsid w:val="000D5219"/>
    <w:rsid w:val="000D6DAE"/>
    <w:rsid w:val="000E4393"/>
    <w:rsid w:val="000F33F8"/>
    <w:rsid w:val="001077E5"/>
    <w:rsid w:val="00117D80"/>
    <w:rsid w:val="00120886"/>
    <w:rsid w:val="00123A0C"/>
    <w:rsid w:val="001309FB"/>
    <w:rsid w:val="00141741"/>
    <w:rsid w:val="001762A1"/>
    <w:rsid w:val="001B4A76"/>
    <w:rsid w:val="001C5240"/>
    <w:rsid w:val="001C604C"/>
    <w:rsid w:val="001F3813"/>
    <w:rsid w:val="002178BA"/>
    <w:rsid w:val="002204D5"/>
    <w:rsid w:val="002210D5"/>
    <w:rsid w:val="00227040"/>
    <w:rsid w:val="00237B40"/>
    <w:rsid w:val="002462EF"/>
    <w:rsid w:val="00246C17"/>
    <w:rsid w:val="002742C3"/>
    <w:rsid w:val="002825B1"/>
    <w:rsid w:val="00285B9F"/>
    <w:rsid w:val="002C182C"/>
    <w:rsid w:val="002D5607"/>
    <w:rsid w:val="002E1B7B"/>
    <w:rsid w:val="002E6A20"/>
    <w:rsid w:val="00311713"/>
    <w:rsid w:val="00330BF4"/>
    <w:rsid w:val="00331B2F"/>
    <w:rsid w:val="003374BB"/>
    <w:rsid w:val="00346698"/>
    <w:rsid w:val="0035222D"/>
    <w:rsid w:val="00370DE5"/>
    <w:rsid w:val="0038237B"/>
    <w:rsid w:val="00390D83"/>
    <w:rsid w:val="003C3FD9"/>
    <w:rsid w:val="003D116F"/>
    <w:rsid w:val="003D3DD5"/>
    <w:rsid w:val="003D7A8C"/>
    <w:rsid w:val="003F212E"/>
    <w:rsid w:val="003F293E"/>
    <w:rsid w:val="00410114"/>
    <w:rsid w:val="00443754"/>
    <w:rsid w:val="004568D2"/>
    <w:rsid w:val="004612A7"/>
    <w:rsid w:val="00462F6A"/>
    <w:rsid w:val="00467305"/>
    <w:rsid w:val="00482375"/>
    <w:rsid w:val="0048772A"/>
    <w:rsid w:val="00490B7D"/>
    <w:rsid w:val="004A58A4"/>
    <w:rsid w:val="004A78C2"/>
    <w:rsid w:val="004B23A7"/>
    <w:rsid w:val="004B7CB1"/>
    <w:rsid w:val="004D09AC"/>
    <w:rsid w:val="004D3C2C"/>
    <w:rsid w:val="004D6FF6"/>
    <w:rsid w:val="004F2E56"/>
    <w:rsid w:val="00501F47"/>
    <w:rsid w:val="00504D1F"/>
    <w:rsid w:val="00524FB2"/>
    <w:rsid w:val="00526543"/>
    <w:rsid w:val="0053765D"/>
    <w:rsid w:val="0054155E"/>
    <w:rsid w:val="00541FB7"/>
    <w:rsid w:val="005457B6"/>
    <w:rsid w:val="005534D7"/>
    <w:rsid w:val="005569CA"/>
    <w:rsid w:val="00562EF2"/>
    <w:rsid w:val="00565747"/>
    <w:rsid w:val="00566436"/>
    <w:rsid w:val="00574CFF"/>
    <w:rsid w:val="005D1D45"/>
    <w:rsid w:val="00601999"/>
    <w:rsid w:val="00611CD0"/>
    <w:rsid w:val="00631549"/>
    <w:rsid w:val="006345B4"/>
    <w:rsid w:val="006425B4"/>
    <w:rsid w:val="00653C1B"/>
    <w:rsid w:val="00665F6E"/>
    <w:rsid w:val="006678D7"/>
    <w:rsid w:val="006824D9"/>
    <w:rsid w:val="00684F2B"/>
    <w:rsid w:val="00693D4F"/>
    <w:rsid w:val="00697D23"/>
    <w:rsid w:val="006B0459"/>
    <w:rsid w:val="006B2E7F"/>
    <w:rsid w:val="006B5987"/>
    <w:rsid w:val="006E13C5"/>
    <w:rsid w:val="006F01CD"/>
    <w:rsid w:val="006F72F4"/>
    <w:rsid w:val="00706D36"/>
    <w:rsid w:val="00707551"/>
    <w:rsid w:val="007116DC"/>
    <w:rsid w:val="0071403C"/>
    <w:rsid w:val="00717E4B"/>
    <w:rsid w:val="00720F3C"/>
    <w:rsid w:val="00726747"/>
    <w:rsid w:val="0074102F"/>
    <w:rsid w:val="007431F5"/>
    <w:rsid w:val="007550BF"/>
    <w:rsid w:val="00756CA5"/>
    <w:rsid w:val="00780423"/>
    <w:rsid w:val="00781E25"/>
    <w:rsid w:val="00783EB8"/>
    <w:rsid w:val="007958DD"/>
    <w:rsid w:val="007B6474"/>
    <w:rsid w:val="007D13B4"/>
    <w:rsid w:val="007E0240"/>
    <w:rsid w:val="007F32A3"/>
    <w:rsid w:val="008075CD"/>
    <w:rsid w:val="00823AB1"/>
    <w:rsid w:val="00837339"/>
    <w:rsid w:val="00843454"/>
    <w:rsid w:val="00845E8E"/>
    <w:rsid w:val="00851E30"/>
    <w:rsid w:val="0088751E"/>
    <w:rsid w:val="008968B6"/>
    <w:rsid w:val="008A3D31"/>
    <w:rsid w:val="008A73EB"/>
    <w:rsid w:val="008B4CF6"/>
    <w:rsid w:val="008C46CF"/>
    <w:rsid w:val="008C7FC3"/>
    <w:rsid w:val="008D4A0D"/>
    <w:rsid w:val="008D6D8D"/>
    <w:rsid w:val="008E3EF3"/>
    <w:rsid w:val="008E4278"/>
    <w:rsid w:val="00901958"/>
    <w:rsid w:val="009055E3"/>
    <w:rsid w:val="00905B41"/>
    <w:rsid w:val="0091472D"/>
    <w:rsid w:val="00916468"/>
    <w:rsid w:val="0092650E"/>
    <w:rsid w:val="009301C1"/>
    <w:rsid w:val="00931C08"/>
    <w:rsid w:val="00931EE1"/>
    <w:rsid w:val="009330E7"/>
    <w:rsid w:val="00934946"/>
    <w:rsid w:val="009423EF"/>
    <w:rsid w:val="0095090C"/>
    <w:rsid w:val="009517D7"/>
    <w:rsid w:val="00953471"/>
    <w:rsid w:val="00965E76"/>
    <w:rsid w:val="00974C0C"/>
    <w:rsid w:val="009755D7"/>
    <w:rsid w:val="009C2357"/>
    <w:rsid w:val="009C39E4"/>
    <w:rsid w:val="009D10A5"/>
    <w:rsid w:val="009D26AE"/>
    <w:rsid w:val="009D447B"/>
    <w:rsid w:val="009E1DCF"/>
    <w:rsid w:val="009F7009"/>
    <w:rsid w:val="00A01A91"/>
    <w:rsid w:val="00A03B1F"/>
    <w:rsid w:val="00A24E9A"/>
    <w:rsid w:val="00A26B1A"/>
    <w:rsid w:val="00A3085D"/>
    <w:rsid w:val="00A42BA1"/>
    <w:rsid w:val="00A4766C"/>
    <w:rsid w:val="00A64521"/>
    <w:rsid w:val="00A65D98"/>
    <w:rsid w:val="00A83D3D"/>
    <w:rsid w:val="00AA1264"/>
    <w:rsid w:val="00AA1D27"/>
    <w:rsid w:val="00AA2D89"/>
    <w:rsid w:val="00AB1DD4"/>
    <w:rsid w:val="00AB2633"/>
    <w:rsid w:val="00AB4404"/>
    <w:rsid w:val="00AC02D1"/>
    <w:rsid w:val="00AC0AFD"/>
    <w:rsid w:val="00AC4AF1"/>
    <w:rsid w:val="00AD167C"/>
    <w:rsid w:val="00AE4C26"/>
    <w:rsid w:val="00B07593"/>
    <w:rsid w:val="00B150A9"/>
    <w:rsid w:val="00B23929"/>
    <w:rsid w:val="00B241C9"/>
    <w:rsid w:val="00B3059C"/>
    <w:rsid w:val="00B33CAA"/>
    <w:rsid w:val="00B50CB4"/>
    <w:rsid w:val="00B50D4E"/>
    <w:rsid w:val="00B50F17"/>
    <w:rsid w:val="00B56BC0"/>
    <w:rsid w:val="00B67290"/>
    <w:rsid w:val="00B73379"/>
    <w:rsid w:val="00B73B62"/>
    <w:rsid w:val="00B92804"/>
    <w:rsid w:val="00BB34EA"/>
    <w:rsid w:val="00BE58E6"/>
    <w:rsid w:val="00BF610E"/>
    <w:rsid w:val="00C043F7"/>
    <w:rsid w:val="00C12E70"/>
    <w:rsid w:val="00C32F69"/>
    <w:rsid w:val="00C42785"/>
    <w:rsid w:val="00C46BDC"/>
    <w:rsid w:val="00C64078"/>
    <w:rsid w:val="00C65373"/>
    <w:rsid w:val="00C706FC"/>
    <w:rsid w:val="00C72AF4"/>
    <w:rsid w:val="00CB2274"/>
    <w:rsid w:val="00CD10C2"/>
    <w:rsid w:val="00CD3865"/>
    <w:rsid w:val="00CD517B"/>
    <w:rsid w:val="00CE767E"/>
    <w:rsid w:val="00CF024D"/>
    <w:rsid w:val="00CF0C69"/>
    <w:rsid w:val="00D20887"/>
    <w:rsid w:val="00D252EF"/>
    <w:rsid w:val="00D26ECC"/>
    <w:rsid w:val="00D4292A"/>
    <w:rsid w:val="00D457B6"/>
    <w:rsid w:val="00D50046"/>
    <w:rsid w:val="00D54881"/>
    <w:rsid w:val="00D55C4C"/>
    <w:rsid w:val="00D63743"/>
    <w:rsid w:val="00D66950"/>
    <w:rsid w:val="00D76D88"/>
    <w:rsid w:val="00D8497D"/>
    <w:rsid w:val="00D85D53"/>
    <w:rsid w:val="00D94D9E"/>
    <w:rsid w:val="00D96CEE"/>
    <w:rsid w:val="00DA7D60"/>
    <w:rsid w:val="00DB2AF8"/>
    <w:rsid w:val="00DB5592"/>
    <w:rsid w:val="00DD345D"/>
    <w:rsid w:val="00DE48B4"/>
    <w:rsid w:val="00DF1AFD"/>
    <w:rsid w:val="00E03ABC"/>
    <w:rsid w:val="00E154E2"/>
    <w:rsid w:val="00E20918"/>
    <w:rsid w:val="00E300EC"/>
    <w:rsid w:val="00E32EEC"/>
    <w:rsid w:val="00E51820"/>
    <w:rsid w:val="00E56BAB"/>
    <w:rsid w:val="00E67297"/>
    <w:rsid w:val="00E758D6"/>
    <w:rsid w:val="00E82452"/>
    <w:rsid w:val="00E83C1C"/>
    <w:rsid w:val="00E9008A"/>
    <w:rsid w:val="00E913E3"/>
    <w:rsid w:val="00E93AC9"/>
    <w:rsid w:val="00E96B11"/>
    <w:rsid w:val="00E96C27"/>
    <w:rsid w:val="00EA11A7"/>
    <w:rsid w:val="00EA12A2"/>
    <w:rsid w:val="00EA2A26"/>
    <w:rsid w:val="00EB3556"/>
    <w:rsid w:val="00EC2D19"/>
    <w:rsid w:val="00EE1126"/>
    <w:rsid w:val="00EE2FE2"/>
    <w:rsid w:val="00EE4B7A"/>
    <w:rsid w:val="00F0099E"/>
    <w:rsid w:val="00F07EEC"/>
    <w:rsid w:val="00F12607"/>
    <w:rsid w:val="00F15F98"/>
    <w:rsid w:val="00F250DC"/>
    <w:rsid w:val="00F34748"/>
    <w:rsid w:val="00F4281C"/>
    <w:rsid w:val="00F576B9"/>
    <w:rsid w:val="00F67E96"/>
    <w:rsid w:val="00FA70B7"/>
    <w:rsid w:val="00FC6CA4"/>
    <w:rsid w:val="00FD23A9"/>
    <w:rsid w:val="00FE50DE"/>
    <w:rsid w:val="00FE715C"/>
    <w:rsid w:val="00FF0521"/>
    <w:rsid w:val="00FF2798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E57DB"/>
  <w15:docId w15:val="{4EFD016A-5C5C-47F6-9039-194AE1CE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772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60"/>
      <w:outlineLvl w:val="1"/>
    </w:pPr>
  </w:style>
  <w:style w:type="paragraph" w:styleId="Heading3">
    <w:name w:val="heading 3"/>
    <w:basedOn w:val="Heading1"/>
    <w:next w:val="Normal"/>
    <w:qFormat/>
    <w:pPr>
      <w:spacing w:before="24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qFormat/>
    <w:rsid w:val="00B3059C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te"/>
    <w:link w:val="FootnoteTextChar"/>
    <w:qFormat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 w:line="240" w:lineRule="exact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qFormat/>
    <w:rsid w:val="003374BB"/>
    <w:rPr>
      <w:lang w:val="fr-FR" w:eastAsia="en-US" w:bidi="ar-SA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character" w:customStyle="1" w:styleId="enumlev1Char">
    <w:name w:val="enumlev1 Char"/>
    <w:link w:val="enumlev1"/>
    <w:rsid w:val="003374BB"/>
    <w:rPr>
      <w:sz w:val="22"/>
      <w:lang w:val="fr-FR" w:eastAsia="en-US" w:bidi="ar-SA"/>
    </w:r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</w:style>
  <w:style w:type="paragraph" w:customStyle="1" w:styleId="Chaptitle">
    <w:name w:val="Chap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uiPriority w:val="99"/>
    <w:pPr>
      <w:spacing w:before="400"/>
    </w:pPr>
  </w:style>
  <w:style w:type="character" w:styleId="PageNumber">
    <w:name w:val="page number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pPr>
      <w:jc w:val="left"/>
    </w:pPr>
  </w:style>
  <w:style w:type="paragraph" w:styleId="BodyTextFirstIndent">
    <w:name w:val="Body Text First Indent"/>
    <w:basedOn w:val="BodyText"/>
    <w:rsid w:val="00EE1126"/>
    <w:pPr>
      <w:spacing w:after="120"/>
      <w:ind w:firstLine="210"/>
    </w:pPr>
    <w:rPr>
      <w:rFonts w:ascii="Times New Roman" w:hAnsi="Times New Roman" w:cs="Times New Roman"/>
      <w:b w:val="0"/>
      <w:bCs w:val="0"/>
      <w:sz w:val="22"/>
    </w:rPr>
  </w:style>
  <w:style w:type="paragraph" w:styleId="BodyText">
    <w:name w:val="Body Text"/>
    <w:basedOn w:val="Normal"/>
    <w:link w:val="BodyTextChar"/>
    <w:uiPriority w:val="1"/>
    <w:qFormat/>
    <w:rPr>
      <w:rFonts w:ascii="Arial" w:hAnsi="Arial" w:cs="Arial"/>
      <w:b/>
      <w:bCs/>
      <w:sz w:val="36"/>
    </w:rPr>
  </w:style>
  <w:style w:type="paragraph" w:customStyle="1" w:styleId="AnnexNoTitle">
    <w:name w:val="Annex_NoTitle"/>
    <w:basedOn w:val="Normal"/>
    <w:next w:val="Normalaftertitle"/>
    <w:pPr>
      <w:keepNext/>
      <w:keepLines/>
      <w:spacing w:before="720" w:after="120"/>
      <w:jc w:val="center"/>
    </w:pPr>
    <w:rPr>
      <w:b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Title"/>
    <w:basedOn w:val="AnnexNoTitle"/>
    <w:next w:val="Normalaftertitle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qFormat/>
    <w:rsid w:val="0007772C"/>
    <w:pPr>
      <w:keepNext/>
      <w:keepLines/>
      <w:spacing w:before="240"/>
      <w:ind w:left="794"/>
      <w:jc w:val="left"/>
    </w:pPr>
    <w:rPr>
      <w:rFonts w:ascii="STKaiti" w:eastAsia="STKaiti" w:hAnsi="STKaiti"/>
    </w:rPr>
  </w:style>
  <w:style w:type="character" w:customStyle="1" w:styleId="CallChar">
    <w:name w:val="Call Char"/>
    <w:link w:val="Call"/>
    <w:rsid w:val="0007772C"/>
    <w:rPr>
      <w:rFonts w:ascii="STKaiti" w:eastAsia="STKaiti" w:hAnsi="STKaiti"/>
      <w:sz w:val="24"/>
      <w:lang w:val="fr-FR" w:eastAsia="en-US"/>
    </w:rPr>
  </w:style>
  <w:style w:type="paragraph" w:customStyle="1" w:styleId="ChapNo">
    <w:name w:val="Chap_No"/>
    <w:basedOn w:val="Normal"/>
    <w:next w:val="Chap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pPr>
      <w:ind w:left="284"/>
      <w:jc w:val="left"/>
    </w:pPr>
  </w:style>
  <w:style w:type="paragraph" w:styleId="Index3">
    <w:name w:val="index 3"/>
    <w:basedOn w:val="Normal"/>
    <w:next w:val="Normal"/>
    <w:semiHidden/>
    <w:pPr>
      <w:ind w:left="567"/>
      <w:jc w:val="left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Rectitle"/>
    <w:link w:val="RecNoChar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 w:line="240" w:lineRule="auto"/>
      <w:jc w:val="center"/>
    </w:pPr>
    <w:rPr>
      <w:b/>
      <w:sz w:val="28"/>
    </w:rPr>
  </w:style>
  <w:style w:type="character" w:customStyle="1" w:styleId="RecNoChar">
    <w:name w:val="Rec_No Char"/>
    <w:link w:val="RecNo"/>
    <w:rsid w:val="003D7A8C"/>
    <w:rPr>
      <w:b/>
      <w:sz w:val="28"/>
      <w:lang w:val="fr-FR" w:eastAsia="en-US" w:bidi="ar-SA"/>
    </w:rPr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qFormat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qFormat/>
  </w:style>
  <w:style w:type="paragraph" w:customStyle="1" w:styleId="Resref">
    <w:name w:val="Res_ref"/>
    <w:basedOn w:val="Recref"/>
    <w:next w:val="Resdate"/>
    <w:qFormat/>
    <w:rsid w:val="00443754"/>
    <w:rPr>
      <w:rFonts w:eastAsia="STKaiti"/>
      <w:i w:val="0"/>
    </w:rPr>
  </w:style>
  <w:style w:type="character" w:customStyle="1" w:styleId="RestitleChar">
    <w:name w:val="Res_title Char"/>
    <w:link w:val="Restitle"/>
    <w:rsid w:val="003374BB"/>
    <w:rPr>
      <w:b/>
      <w:sz w:val="28"/>
      <w:lang w:val="fr-FR" w:eastAsia="en-US" w:bidi="ar-SA"/>
    </w:rPr>
  </w:style>
  <w:style w:type="character" w:customStyle="1" w:styleId="ResNoChar">
    <w:name w:val="Res_No Char"/>
    <w:link w:val="ResNo"/>
    <w:rsid w:val="00D8497D"/>
    <w:rPr>
      <w:caps/>
      <w:sz w:val="28"/>
      <w:lang w:val="fr-FR" w:eastAsia="en-US" w:bidi="ar-SA"/>
    </w:rPr>
  </w:style>
  <w:style w:type="paragraph" w:customStyle="1" w:styleId="SectionNo">
    <w:name w:val="Section_No"/>
    <w:basedOn w:val="Normal"/>
    <w:next w:val="Sectiontitl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Index5">
    <w:name w:val="index 5"/>
    <w:basedOn w:val="Normal"/>
    <w:next w:val="Normal"/>
    <w:semiHidden/>
    <w:pPr>
      <w:spacing w:before="120" w:line="240" w:lineRule="auto"/>
      <w:ind w:left="1132"/>
      <w:jc w:val="left"/>
    </w:pPr>
    <w:rPr>
      <w:lang w:val="en-GB"/>
    </w:rPr>
  </w:style>
  <w:style w:type="paragraph" w:styleId="Index4">
    <w:name w:val="index 4"/>
    <w:basedOn w:val="Normal"/>
    <w:next w:val="Normal"/>
    <w:semiHidden/>
    <w:pPr>
      <w:spacing w:before="120" w:line="240" w:lineRule="auto"/>
      <w:ind w:left="849"/>
      <w:jc w:val="left"/>
    </w:pPr>
    <w:rPr>
      <w:lang w:val="en-GB"/>
    </w:rPr>
  </w:style>
  <w:style w:type="paragraph" w:styleId="BodyText2">
    <w:name w:val="Body Text 2"/>
    <w:basedOn w:val="Normal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character" w:customStyle="1" w:styleId="href">
    <w:name w:val="href"/>
    <w:basedOn w:val="DefaultParagraphFont"/>
    <w:qFormat/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 w:line="240" w:lineRule="auto"/>
    </w:pPr>
    <w:rPr>
      <w:lang w:val="en-GB"/>
    </w:rPr>
  </w:style>
  <w:style w:type="paragraph" w:customStyle="1" w:styleId="blanc">
    <w:name w:val="blanc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 w:line="240" w:lineRule="auto"/>
      <w:jc w:val="left"/>
    </w:pPr>
    <w:rPr>
      <w:sz w:val="2"/>
      <w:lang w:val="en-US"/>
    </w:rPr>
  </w:style>
  <w:style w:type="paragraph" w:customStyle="1" w:styleId="NormalIndent">
    <w:name w:val="Normal_Indent"/>
    <w:basedOn w:val="Normal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TableTitle">
    <w:name w:val="Table_Title"/>
    <w:basedOn w:val="Normal"/>
    <w:next w:val="Tabletext"/>
    <w:rsid w:val="00A01A91"/>
    <w:pPr>
      <w:keepNext/>
      <w:keepLines/>
      <w:spacing w:before="480" w:after="120" w:line="240" w:lineRule="auto"/>
      <w:jc w:val="center"/>
    </w:pPr>
    <w:rPr>
      <w:b/>
      <w:lang w:val="en-GB"/>
    </w:rPr>
  </w:style>
  <w:style w:type="paragraph" w:customStyle="1" w:styleId="Normalaftertitle0">
    <w:name w:val="Normal after title"/>
    <w:basedOn w:val="Normal"/>
    <w:next w:val="Normal"/>
    <w:link w:val="NormalaftertitleChar"/>
    <w:qFormat/>
    <w:rsid w:val="004A58A4"/>
    <w:pPr>
      <w:spacing w:before="280" w:line="240" w:lineRule="auto"/>
    </w:pPr>
    <w:rPr>
      <w:lang w:val="en-GB"/>
    </w:rPr>
  </w:style>
  <w:style w:type="character" w:customStyle="1" w:styleId="docdisplay">
    <w:name w:val="doc_display"/>
    <w:basedOn w:val="DefaultParagraphFont"/>
    <w:rsid w:val="00A83D3D"/>
  </w:style>
  <w:style w:type="paragraph" w:customStyle="1" w:styleId="AnnexNo">
    <w:name w:val="Annex_No"/>
    <w:basedOn w:val="Normal"/>
    <w:next w:val="Normal"/>
    <w:rsid w:val="00DB2AF8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character" w:customStyle="1" w:styleId="CharChar">
    <w:name w:val="Char Char"/>
    <w:semiHidden/>
    <w:locked/>
    <w:rsid w:val="009D26AE"/>
    <w:rPr>
      <w:sz w:val="24"/>
      <w:lang w:val="en-GB" w:eastAsia="en-US" w:bidi="ar-SA"/>
    </w:rPr>
  </w:style>
  <w:style w:type="character" w:customStyle="1" w:styleId="NormalaftertitleChar">
    <w:name w:val="Normal after title Char"/>
    <w:link w:val="Normalaftertitle0"/>
    <w:locked/>
    <w:rsid w:val="004A58A4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rsid w:val="00EE1126"/>
    <w:pPr>
      <w:spacing w:after="120"/>
      <w:ind w:left="283"/>
    </w:pPr>
  </w:style>
  <w:style w:type="paragraph" w:styleId="List2">
    <w:name w:val="List 2"/>
    <w:basedOn w:val="Normal"/>
    <w:rsid w:val="00EE1126"/>
    <w:pPr>
      <w:spacing w:before="120" w:line="240" w:lineRule="auto"/>
      <w:ind w:left="566" w:hanging="283"/>
    </w:pPr>
  </w:style>
  <w:style w:type="paragraph" w:styleId="BodyTextIndent2">
    <w:name w:val="Body Text Indent 2"/>
    <w:basedOn w:val="Normal"/>
    <w:rsid w:val="008B4CF6"/>
    <w:pPr>
      <w:spacing w:after="120" w:line="480" w:lineRule="auto"/>
      <w:ind w:left="283"/>
    </w:pPr>
  </w:style>
  <w:style w:type="paragraph" w:customStyle="1" w:styleId="Formal">
    <w:name w:val="Formal"/>
    <w:basedOn w:val="ASN1"/>
    <w:rsid w:val="008B4CF6"/>
    <w:pPr>
      <w:overflowPunct w:val="0"/>
      <w:autoSpaceDE w:val="0"/>
      <w:autoSpaceDN w:val="0"/>
      <w:adjustRightInd w:val="0"/>
      <w:textAlignment w:val="baseline"/>
    </w:pPr>
    <w:rPr>
      <w:b w:val="0"/>
      <w:lang w:val="en-US"/>
    </w:rPr>
  </w:style>
  <w:style w:type="paragraph" w:customStyle="1" w:styleId="FigureNo">
    <w:name w:val="Figure_No"/>
    <w:basedOn w:val="Normal"/>
    <w:next w:val="Figuretitle"/>
    <w:uiPriority w:val="99"/>
    <w:rsid w:val="000E4393"/>
    <w:pPr>
      <w:keepNext/>
      <w:keepLines/>
      <w:spacing w:before="480" w:after="120" w:line="240" w:lineRule="auto"/>
      <w:jc w:val="center"/>
    </w:pPr>
    <w:rPr>
      <w:caps/>
      <w:lang w:val="en-GB"/>
    </w:rPr>
  </w:style>
  <w:style w:type="paragraph" w:customStyle="1" w:styleId="Figuretitle">
    <w:name w:val="Figure_title"/>
    <w:basedOn w:val="Normal"/>
    <w:next w:val="Normal"/>
    <w:rsid w:val="000E4393"/>
    <w:pPr>
      <w:keepLines/>
      <w:spacing w:before="0" w:after="480" w:line="240" w:lineRule="auto"/>
      <w:jc w:val="center"/>
    </w:pPr>
    <w:rPr>
      <w:rFonts w:ascii="Times New Roman Bold" w:hAnsi="Times New Roman Bold"/>
      <w:b/>
      <w:lang w:val="en-GB"/>
    </w:rPr>
  </w:style>
  <w:style w:type="paragraph" w:customStyle="1" w:styleId="AppendixNo">
    <w:name w:val="Appendix_No"/>
    <w:basedOn w:val="Normal"/>
    <w:next w:val="Normal"/>
    <w:rsid w:val="000E4393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rsid w:val="000E4393"/>
    <w:pPr>
      <w:keepNext/>
      <w:keepLines/>
      <w:spacing w:before="240" w:after="280" w:line="240" w:lineRule="auto"/>
      <w:jc w:val="center"/>
    </w:pPr>
    <w:rPr>
      <w:rFonts w:ascii="Times New Roman Bold" w:hAnsi="Times New Roman Bold"/>
      <w:b/>
      <w:sz w:val="28"/>
      <w:lang w:val="en-GB"/>
    </w:rPr>
  </w:style>
  <w:style w:type="character" w:customStyle="1" w:styleId="FooterChar">
    <w:name w:val="Footer Char"/>
    <w:basedOn w:val="DefaultParagraphFont"/>
    <w:link w:val="Footer"/>
    <w:rsid w:val="00AA1264"/>
    <w:rPr>
      <w:rFonts w:ascii="Times New Roman" w:hAnsi="Times New Roman"/>
      <w:sz w:val="22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AA1264"/>
    <w:rPr>
      <w:rFonts w:ascii="Times New Roman" w:hAnsi="Times New Roman"/>
      <w:sz w:val="18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A2A26"/>
    <w:rPr>
      <w:rFonts w:ascii="Arial" w:hAnsi="Arial" w:cs="Arial"/>
      <w:b/>
      <w:bCs/>
      <w:sz w:val="36"/>
      <w:lang w:val="fr-FR" w:eastAsia="en-US"/>
    </w:rPr>
  </w:style>
  <w:style w:type="paragraph" w:customStyle="1" w:styleId="Normal2">
    <w:name w:val="Normal2"/>
    <w:basedOn w:val="Normal"/>
    <w:rsid w:val="00141741"/>
    <w:pPr>
      <w:spacing w:before="200" w:line="300" w:lineRule="exact"/>
      <w:ind w:firstLine="510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26CC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C26CC"/>
    <w:rPr>
      <w:rFonts w:ascii="Times New Roman" w:hAnsi="Times New Roman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C26CC"/>
    <w:rPr>
      <w:rFonts w:ascii="Times New Roman" w:hAnsi="Times New Roman"/>
      <w:b/>
      <w:bCs/>
      <w:lang w:val="fr-FR" w:eastAsia="en-US"/>
    </w:rPr>
  </w:style>
  <w:style w:type="paragraph" w:customStyle="1" w:styleId="Normalnoindent">
    <w:name w:val="Normal no indent"/>
    <w:basedOn w:val="Normal"/>
    <w:rsid w:val="00120886"/>
    <w:pPr>
      <w:tabs>
        <w:tab w:val="clear" w:pos="1191"/>
        <w:tab w:val="clear" w:pos="1588"/>
        <w:tab w:val="clear" w:pos="1985"/>
        <w:tab w:val="left" w:pos="1134"/>
        <w:tab w:val="left" w:pos="1701"/>
        <w:tab w:val="left" w:pos="2495"/>
      </w:tabs>
      <w:spacing w:before="120" w:line="240" w:lineRule="auto"/>
    </w:pPr>
    <w:rPr>
      <w:lang w:val="en-GB"/>
    </w:rPr>
  </w:style>
  <w:style w:type="paragraph" w:customStyle="1" w:styleId="Reasons">
    <w:name w:val="Reasons"/>
    <w:basedOn w:val="Normal"/>
    <w:uiPriority w:val="99"/>
    <w:qFormat/>
    <w:rsid w:val="008A3D31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701"/>
        <w:tab w:val="left" w:pos="2495"/>
      </w:tabs>
      <w:spacing w:before="120" w:line="240" w:lineRule="auto"/>
      <w:jc w:val="left"/>
    </w:pPr>
    <w:rPr>
      <w:lang w:val="en-GB"/>
    </w:rPr>
  </w:style>
  <w:style w:type="character" w:customStyle="1" w:styleId="Italic">
    <w:name w:val="Italic"/>
    <w:rsid w:val="008A3D31"/>
    <w:rPr>
      <w:rFonts w:eastAsia="STKait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mouni\AppData\Roaming\Microsoft\Templates\Livre_jau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ABDB-BC8C-4664-B117-D51C1938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Livre_jaune.dot</Template>
  <TotalTime>70</TotalTime>
  <Pages>4</Pages>
  <Words>1275</Words>
  <Characters>301</Characters>
  <Application>Microsoft Office Word</Application>
  <DocSecurity>0</DocSecurity>
  <Lines>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第99号决议 – 国际电联电信标准化部门研究组的重组</vt:lpstr>
    </vt:vector>
  </TitlesOfParts>
  <Company>ITU</Company>
  <LinksUpToDate>false</LinksUpToDate>
  <CharactersWithSpaces>1573</CharactersWithSpaces>
  <SharedDoc>false</SharedDoc>
  <HLinks>
    <vt:vector size="6" baseType="variant">
      <vt:variant>
        <vt:i4>5832781</vt:i4>
      </vt:variant>
      <vt:variant>
        <vt:i4>2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第99号决议 – 国际电联电信标准化部门研究组的重组</dc:title>
  <dc:subject>WORLD TELECOMMUNICATION STANDARDIZATION ASSEMBLY - Florianópolis, 5-14 October 2004</dc:subject>
  <dc:creator>ITU-T</dc:creator>
  <cp:keywords>WTSA-24 New Delhi, 15-24 October 2024</cp:keywords>
  <dc:description/>
  <cp:lastModifiedBy>Liu, Sanping</cp:lastModifiedBy>
  <cp:revision>61</cp:revision>
  <cp:lastPrinted>2024-11-27T13:03:00Z</cp:lastPrinted>
  <dcterms:created xsi:type="dcterms:W3CDTF">2024-09-24T12:18:00Z</dcterms:created>
  <dcterms:modified xsi:type="dcterms:W3CDTF">2024-11-27T13:04:00Z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