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25370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25370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25370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25370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25370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25370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25370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25370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25370" w:rsidRDefault="009663D2">
            <w:pPr>
              <w:rPr>
                <w:lang w:val="ru-RU"/>
              </w:rPr>
            </w:pPr>
          </w:p>
        </w:tc>
      </w:tr>
      <w:tr w:rsidR="009663D2" w:rsidRPr="00C25370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25370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25370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25370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25370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25370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25370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25370">
              <w:rPr>
                <w:rFonts w:ascii="Arial" w:hAnsi="Arial" w:cs="Arial"/>
                <w:sz w:val="20"/>
                <w:lang w:val="ru-RU"/>
              </w:rPr>
              <w:br/>
            </w:r>
            <w:r w:rsidRPr="00C25370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25370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25370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253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2537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25370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25370">
              <w:rPr>
                <w:rFonts w:ascii="Arial" w:hAnsi="Arial"/>
                <w:sz w:val="32"/>
                <w:lang w:val="ru-RU"/>
              </w:rPr>
              <w:br/>
            </w:r>
            <w:r w:rsidR="001C0E33" w:rsidRPr="00C25370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25370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25370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25370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25370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25370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25370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25370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25370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25370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25370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25370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253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185681FD" w:rsidR="009663D2" w:rsidRPr="00C25370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25370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3133E6" w:rsidRPr="00C25370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F00107" w:rsidRPr="00C25370">
              <w:rPr>
                <w:rFonts w:ascii="Arial" w:hAnsi="Arial"/>
                <w:b/>
                <w:bCs/>
                <w:sz w:val="36"/>
                <w:lang w:val="ru-RU"/>
              </w:rPr>
              <w:t>8</w:t>
            </w:r>
            <w:r w:rsidR="00703E49" w:rsidRPr="00C25370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476828307"/>
            <w:bookmarkStart w:id="6" w:name="_Toc478376849"/>
            <w:r w:rsidR="00F00107" w:rsidRPr="00C25370">
              <w:rPr>
                <w:rFonts w:ascii="Arial" w:hAnsi="Arial"/>
                <w:b/>
                <w:bCs/>
                <w:sz w:val="36"/>
                <w:lang w:val="ru-RU"/>
              </w:rPr>
              <w:t>Совершенствование стандартизации интернета вещей и "умных" городов и сообществ в интересах глобального развития</w:t>
            </w:r>
            <w:bookmarkEnd w:id="5"/>
            <w:bookmarkEnd w:id="6"/>
          </w:p>
        </w:tc>
      </w:tr>
      <w:bookmarkEnd w:id="4"/>
      <w:tr w:rsidR="009663D2" w:rsidRPr="00C25370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253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25370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</w:p>
        </w:tc>
      </w:tr>
    </w:tbl>
    <w:p w14:paraId="2BA57029" w14:textId="77777777" w:rsidR="00B31B8D" w:rsidRPr="00C25370" w:rsidRDefault="00FA73F8" w:rsidP="00FA73F8">
      <w:pPr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  <w:r w:rsidRPr="00C25370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25370" w:rsidRDefault="00FA73F8" w:rsidP="00FA73F8">
      <w:pPr>
        <w:jc w:val="left"/>
        <w:rPr>
          <w:lang w:val="ru-RU"/>
        </w:rPr>
      </w:pPr>
    </w:p>
    <w:p w14:paraId="376A710A" w14:textId="693841F8" w:rsidR="00FA73F8" w:rsidRPr="00C25370" w:rsidRDefault="00FA73F8" w:rsidP="00FA73F8">
      <w:pPr>
        <w:jc w:val="left"/>
        <w:rPr>
          <w:lang w:val="ru-RU"/>
        </w:rPr>
        <w:sectPr w:rsidR="00FA73F8" w:rsidRPr="00C25370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25370" w:rsidRDefault="00AF663A" w:rsidP="00B31B8D">
      <w:pPr>
        <w:jc w:val="center"/>
        <w:rPr>
          <w:lang w:val="ru-RU"/>
        </w:rPr>
      </w:pPr>
      <w:r w:rsidRPr="00C25370">
        <w:rPr>
          <w:lang w:val="ru-RU"/>
        </w:rPr>
        <w:lastRenderedPageBreak/>
        <w:t>ПРЕДИСЛОВИЕ</w:t>
      </w:r>
    </w:p>
    <w:p w14:paraId="786857AB" w14:textId="77777777" w:rsidR="00154CC6" w:rsidRPr="00C25370" w:rsidRDefault="00154CC6" w:rsidP="00154CC6">
      <w:pPr>
        <w:rPr>
          <w:sz w:val="20"/>
          <w:lang w:val="ru-RU"/>
        </w:rPr>
      </w:pPr>
      <w:bookmarkStart w:id="11" w:name="iitextf"/>
      <w:r w:rsidRPr="00C2537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2537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25370" w:rsidRDefault="00154CC6" w:rsidP="00154CC6">
      <w:pPr>
        <w:rPr>
          <w:sz w:val="20"/>
          <w:lang w:val="ru-RU"/>
        </w:rPr>
      </w:pPr>
      <w:r w:rsidRPr="00C2537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25370" w:rsidRDefault="00154CC6" w:rsidP="00154CC6">
      <w:pPr>
        <w:rPr>
          <w:sz w:val="20"/>
          <w:lang w:val="ru-RU"/>
        </w:rPr>
      </w:pPr>
      <w:r w:rsidRPr="00C25370">
        <w:rPr>
          <w:sz w:val="20"/>
          <w:lang w:val="ru-RU"/>
        </w:rPr>
        <w:t xml:space="preserve">Утверждение </w:t>
      </w:r>
      <w:r w:rsidRPr="00C25370">
        <w:rPr>
          <w:caps/>
          <w:sz w:val="20"/>
          <w:lang w:val="ru-RU"/>
        </w:rPr>
        <w:t>р</w:t>
      </w:r>
      <w:r w:rsidRPr="00C2537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C25370">
        <w:rPr>
          <w:sz w:val="20"/>
          <w:lang w:val="ru-RU"/>
        </w:rPr>
        <w:t>.</w:t>
      </w:r>
    </w:p>
    <w:p w14:paraId="05982DA4" w14:textId="77777777" w:rsidR="00154CC6" w:rsidRPr="00C25370" w:rsidRDefault="00154CC6" w:rsidP="00154CC6">
      <w:pPr>
        <w:rPr>
          <w:lang w:val="ru-RU"/>
        </w:rPr>
      </w:pPr>
      <w:r w:rsidRPr="00C2537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25370" w:rsidRDefault="00AF663A" w:rsidP="00AF663A">
      <w:pPr>
        <w:rPr>
          <w:lang w:val="ru-RU"/>
        </w:rPr>
      </w:pPr>
    </w:p>
    <w:p w14:paraId="5139C65C" w14:textId="77777777" w:rsidR="00AF663A" w:rsidRPr="00C25370" w:rsidRDefault="00AF663A" w:rsidP="00AF663A">
      <w:pPr>
        <w:rPr>
          <w:lang w:val="ru-RU"/>
        </w:rPr>
      </w:pPr>
    </w:p>
    <w:p w14:paraId="307B9E26" w14:textId="77777777" w:rsidR="00AF663A" w:rsidRPr="00C25370" w:rsidRDefault="00AF663A" w:rsidP="00AF663A">
      <w:pPr>
        <w:rPr>
          <w:lang w:val="ru-RU"/>
        </w:rPr>
      </w:pPr>
    </w:p>
    <w:p w14:paraId="116EF2C5" w14:textId="77777777" w:rsidR="00AF663A" w:rsidRPr="00C25370" w:rsidRDefault="00AF663A" w:rsidP="00AF663A">
      <w:pPr>
        <w:rPr>
          <w:lang w:val="ru-RU"/>
        </w:rPr>
      </w:pPr>
    </w:p>
    <w:p w14:paraId="686436AC" w14:textId="77777777" w:rsidR="00AF663A" w:rsidRPr="00C25370" w:rsidRDefault="00AF663A" w:rsidP="00AF663A">
      <w:pPr>
        <w:rPr>
          <w:lang w:val="ru-RU"/>
        </w:rPr>
      </w:pPr>
    </w:p>
    <w:p w14:paraId="67924CC8" w14:textId="77777777" w:rsidR="00AF663A" w:rsidRPr="00C25370" w:rsidRDefault="00AF663A" w:rsidP="00AF663A">
      <w:pPr>
        <w:rPr>
          <w:lang w:val="ru-RU"/>
        </w:rPr>
      </w:pPr>
    </w:p>
    <w:p w14:paraId="72988EDD" w14:textId="77777777" w:rsidR="00AF663A" w:rsidRPr="00C25370" w:rsidRDefault="00AF663A" w:rsidP="00AF663A">
      <w:pPr>
        <w:rPr>
          <w:lang w:val="ru-RU"/>
        </w:rPr>
      </w:pPr>
    </w:p>
    <w:p w14:paraId="61AD97F0" w14:textId="77777777" w:rsidR="00AF663A" w:rsidRPr="00C25370" w:rsidRDefault="00AF663A" w:rsidP="00AF663A">
      <w:pPr>
        <w:rPr>
          <w:lang w:val="ru-RU"/>
        </w:rPr>
      </w:pPr>
    </w:p>
    <w:p w14:paraId="5BAAC281" w14:textId="77777777" w:rsidR="00AF663A" w:rsidRPr="00C25370" w:rsidRDefault="00AF663A" w:rsidP="00AF663A">
      <w:pPr>
        <w:rPr>
          <w:lang w:val="ru-RU"/>
        </w:rPr>
      </w:pPr>
    </w:p>
    <w:p w14:paraId="40F4B36B" w14:textId="77777777" w:rsidR="00AF663A" w:rsidRPr="00C25370" w:rsidRDefault="00AF663A" w:rsidP="00AF663A">
      <w:pPr>
        <w:rPr>
          <w:lang w:val="ru-RU"/>
        </w:rPr>
      </w:pPr>
    </w:p>
    <w:p w14:paraId="0693E093" w14:textId="77777777" w:rsidR="00AF663A" w:rsidRPr="00C25370" w:rsidRDefault="00AF663A" w:rsidP="00AF663A">
      <w:pPr>
        <w:rPr>
          <w:lang w:val="ru-RU"/>
        </w:rPr>
      </w:pPr>
    </w:p>
    <w:p w14:paraId="721B0C90" w14:textId="77777777" w:rsidR="00AF663A" w:rsidRPr="00C25370" w:rsidRDefault="00AF663A" w:rsidP="00AF663A">
      <w:pPr>
        <w:rPr>
          <w:lang w:val="ru-RU"/>
        </w:rPr>
      </w:pPr>
    </w:p>
    <w:p w14:paraId="12BDF41D" w14:textId="77777777" w:rsidR="00AF663A" w:rsidRPr="00C25370" w:rsidRDefault="00AF663A" w:rsidP="00AF663A">
      <w:pPr>
        <w:rPr>
          <w:lang w:val="ru-RU"/>
        </w:rPr>
      </w:pPr>
    </w:p>
    <w:p w14:paraId="1C4AC37F" w14:textId="77777777" w:rsidR="00AF663A" w:rsidRPr="00C25370" w:rsidRDefault="00AF663A" w:rsidP="00AF663A">
      <w:pPr>
        <w:rPr>
          <w:lang w:val="ru-RU"/>
        </w:rPr>
      </w:pPr>
    </w:p>
    <w:p w14:paraId="7B3A9322" w14:textId="77777777" w:rsidR="00AF663A" w:rsidRPr="00C25370" w:rsidRDefault="00AF663A" w:rsidP="00AF663A">
      <w:pPr>
        <w:rPr>
          <w:lang w:val="ru-RU"/>
        </w:rPr>
      </w:pPr>
    </w:p>
    <w:p w14:paraId="112B81CE" w14:textId="77777777" w:rsidR="00AF663A" w:rsidRPr="00C25370" w:rsidRDefault="00AF663A" w:rsidP="00AF663A">
      <w:pPr>
        <w:rPr>
          <w:lang w:val="ru-RU"/>
        </w:rPr>
      </w:pPr>
    </w:p>
    <w:p w14:paraId="4D1F7874" w14:textId="77777777" w:rsidR="00AF663A" w:rsidRPr="00C25370" w:rsidRDefault="00AF663A" w:rsidP="00AF663A">
      <w:pPr>
        <w:rPr>
          <w:lang w:val="ru-RU"/>
        </w:rPr>
      </w:pPr>
    </w:p>
    <w:p w14:paraId="4B5CD1F5" w14:textId="77777777" w:rsidR="00AF663A" w:rsidRPr="00C25370" w:rsidRDefault="00AF663A" w:rsidP="00AF663A">
      <w:pPr>
        <w:rPr>
          <w:lang w:val="ru-RU"/>
        </w:rPr>
      </w:pPr>
    </w:p>
    <w:p w14:paraId="42EF7959" w14:textId="77777777" w:rsidR="00AF663A" w:rsidRPr="00C25370" w:rsidRDefault="00AF663A" w:rsidP="00AF663A">
      <w:pPr>
        <w:rPr>
          <w:lang w:val="ru-RU"/>
        </w:rPr>
      </w:pPr>
    </w:p>
    <w:p w14:paraId="780F20E6" w14:textId="77777777" w:rsidR="008357E6" w:rsidRPr="00C25370" w:rsidRDefault="008357E6" w:rsidP="00AF663A">
      <w:pPr>
        <w:rPr>
          <w:lang w:val="ru-RU"/>
        </w:rPr>
      </w:pPr>
    </w:p>
    <w:p w14:paraId="776E0206" w14:textId="77777777" w:rsidR="008357E6" w:rsidRPr="00C25370" w:rsidRDefault="008357E6" w:rsidP="00AF663A">
      <w:pPr>
        <w:rPr>
          <w:lang w:val="ru-RU"/>
        </w:rPr>
      </w:pPr>
    </w:p>
    <w:p w14:paraId="5250A4BA" w14:textId="77777777" w:rsidR="008357E6" w:rsidRPr="00C25370" w:rsidRDefault="008357E6" w:rsidP="00AF663A">
      <w:pPr>
        <w:rPr>
          <w:lang w:val="ru-RU"/>
        </w:rPr>
      </w:pPr>
    </w:p>
    <w:p w14:paraId="7ACC59D8" w14:textId="0FE6AFBA" w:rsidR="00AF663A" w:rsidRPr="00C25370" w:rsidRDefault="00AF663A" w:rsidP="007D2D13">
      <w:pPr>
        <w:jc w:val="center"/>
        <w:rPr>
          <w:sz w:val="20"/>
          <w:lang w:val="ru-RU"/>
        </w:rPr>
      </w:pPr>
      <w:r w:rsidRPr="00C25370">
        <w:rPr>
          <w:sz w:val="20"/>
          <w:lang w:val="ru-RU"/>
        </w:rPr>
        <w:sym w:font="Symbol" w:char="F0E3"/>
      </w:r>
      <w:r w:rsidRPr="00C25370">
        <w:rPr>
          <w:sz w:val="20"/>
          <w:lang w:val="ru-RU"/>
        </w:rPr>
        <w:t>  ITU  </w:t>
      </w:r>
      <w:bookmarkStart w:id="12" w:name="iiannee"/>
      <w:bookmarkEnd w:id="12"/>
      <w:r w:rsidRPr="00C25370">
        <w:rPr>
          <w:sz w:val="20"/>
          <w:lang w:val="ru-RU"/>
        </w:rPr>
        <w:t>20</w:t>
      </w:r>
      <w:r w:rsidR="00CA2461" w:rsidRPr="00C25370">
        <w:rPr>
          <w:sz w:val="20"/>
          <w:lang w:val="ru-RU"/>
        </w:rPr>
        <w:t>22</w:t>
      </w:r>
    </w:p>
    <w:p w14:paraId="0C9FB15A" w14:textId="77777777" w:rsidR="00AF663A" w:rsidRPr="00C25370" w:rsidRDefault="00154CC6" w:rsidP="00F90058">
      <w:pPr>
        <w:rPr>
          <w:sz w:val="20"/>
          <w:lang w:val="ru-RU"/>
        </w:rPr>
      </w:pPr>
      <w:r w:rsidRPr="00C2537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25370" w:rsidRDefault="00A81FB2" w:rsidP="0042255F">
      <w:pPr>
        <w:rPr>
          <w:sz w:val="20"/>
          <w:lang w:val="ru-RU"/>
        </w:rPr>
      </w:pPr>
    </w:p>
    <w:p w14:paraId="35ABC850" w14:textId="77777777" w:rsidR="00AF663A" w:rsidRPr="00C25370" w:rsidRDefault="00AF663A" w:rsidP="00AF663A">
      <w:pPr>
        <w:rPr>
          <w:lang w:val="ru-RU"/>
        </w:rPr>
        <w:sectPr w:rsidR="00AF663A" w:rsidRPr="00C25370" w:rsidSect="00E05879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23B5A423" w14:textId="256C7A13" w:rsidR="00F00107" w:rsidRPr="00C25370" w:rsidRDefault="00F00107" w:rsidP="00F00107">
      <w:pPr>
        <w:pStyle w:val="ResNo"/>
        <w:rPr>
          <w:caps w:val="0"/>
          <w:lang w:val="ru-RU"/>
        </w:rPr>
      </w:pPr>
      <w:bookmarkStart w:id="13" w:name="_Toc476828306"/>
      <w:bookmarkStart w:id="14" w:name="_Toc478376848"/>
      <w:r w:rsidRPr="00C25370">
        <w:rPr>
          <w:lang w:val="ru-RU"/>
        </w:rPr>
        <w:lastRenderedPageBreak/>
        <w:t xml:space="preserve">РЕЗОЛЮЦИЯ </w:t>
      </w:r>
      <w:r w:rsidRPr="00C25370">
        <w:rPr>
          <w:rStyle w:val="href"/>
          <w:lang w:val="ru-RU"/>
        </w:rPr>
        <w:t>98</w:t>
      </w:r>
      <w:r w:rsidRPr="00C25370">
        <w:rPr>
          <w:lang w:val="ru-RU"/>
        </w:rPr>
        <w:t xml:space="preserve"> (</w:t>
      </w:r>
      <w:proofErr w:type="spellStart"/>
      <w:r w:rsidR="00E05879" w:rsidRPr="00C25370">
        <w:rPr>
          <w:caps w:val="0"/>
          <w:lang w:val="ru-RU"/>
        </w:rPr>
        <w:t>Пересм</w:t>
      </w:r>
      <w:proofErr w:type="spellEnd"/>
      <w:r w:rsidRPr="00C25370">
        <w:rPr>
          <w:lang w:val="ru-RU"/>
        </w:rPr>
        <w:t xml:space="preserve">. </w:t>
      </w:r>
      <w:r w:rsidR="00E05879" w:rsidRPr="00C25370">
        <w:rPr>
          <w:caps w:val="0"/>
          <w:lang w:val="ru-RU"/>
        </w:rPr>
        <w:t>Женева</w:t>
      </w:r>
      <w:r w:rsidRPr="00C25370">
        <w:rPr>
          <w:lang w:val="ru-RU"/>
        </w:rPr>
        <w:t xml:space="preserve">, 2022 </w:t>
      </w:r>
      <w:r w:rsidR="00E05879" w:rsidRPr="00C25370">
        <w:rPr>
          <w:caps w:val="0"/>
          <w:lang w:val="ru-RU"/>
        </w:rPr>
        <w:t>г</w:t>
      </w:r>
      <w:r w:rsidRPr="00C25370">
        <w:rPr>
          <w:lang w:val="ru-RU"/>
        </w:rPr>
        <w:t>.)</w:t>
      </w:r>
      <w:bookmarkEnd w:id="13"/>
      <w:bookmarkEnd w:id="14"/>
    </w:p>
    <w:p w14:paraId="0A6686DE" w14:textId="77777777" w:rsidR="00F00107" w:rsidRPr="00C25370" w:rsidRDefault="00F00107" w:rsidP="00F00107">
      <w:pPr>
        <w:pStyle w:val="Restitle"/>
        <w:rPr>
          <w:lang w:val="ru-RU"/>
        </w:rPr>
      </w:pPr>
      <w:r w:rsidRPr="00C25370">
        <w:rPr>
          <w:lang w:val="ru-RU"/>
        </w:rPr>
        <w:t xml:space="preserve">Совершенствование стандартизации интернета вещей и </w:t>
      </w:r>
      <w:r w:rsidRPr="00C25370">
        <w:rPr>
          <w:b w:val="0"/>
          <w:lang w:val="ru-RU"/>
        </w:rPr>
        <w:t>"</w:t>
      </w:r>
      <w:r w:rsidRPr="00C25370">
        <w:rPr>
          <w:lang w:val="ru-RU"/>
        </w:rPr>
        <w:t>умных</w:t>
      </w:r>
      <w:r w:rsidRPr="00C25370">
        <w:rPr>
          <w:b w:val="0"/>
          <w:lang w:val="ru-RU"/>
        </w:rPr>
        <w:t>"</w:t>
      </w:r>
      <w:r w:rsidRPr="00C25370">
        <w:rPr>
          <w:lang w:val="ru-RU"/>
        </w:rPr>
        <w:t xml:space="preserve"> городов и сообществ в интересах глобального развития</w:t>
      </w:r>
    </w:p>
    <w:p w14:paraId="1A50B650" w14:textId="77777777" w:rsidR="00F00107" w:rsidRPr="00C25370" w:rsidRDefault="00F00107" w:rsidP="00F00107">
      <w:pPr>
        <w:pStyle w:val="Resref"/>
        <w:rPr>
          <w:lang w:val="ru-RU"/>
        </w:rPr>
      </w:pPr>
      <w:r w:rsidRPr="00C25370">
        <w:rPr>
          <w:lang w:val="ru-RU"/>
        </w:rPr>
        <w:t>(</w:t>
      </w:r>
      <w:proofErr w:type="spellStart"/>
      <w:r w:rsidRPr="00C25370">
        <w:rPr>
          <w:lang w:val="ru-RU"/>
        </w:rPr>
        <w:t>Хаммамет</w:t>
      </w:r>
      <w:proofErr w:type="spellEnd"/>
      <w:r w:rsidRPr="00C25370">
        <w:rPr>
          <w:lang w:val="ru-RU"/>
        </w:rPr>
        <w:t>, 2016 г.; Женева, 2022 г.)</w:t>
      </w:r>
    </w:p>
    <w:p w14:paraId="256ECF5D" w14:textId="77777777" w:rsidR="00F00107" w:rsidRPr="00C25370" w:rsidRDefault="00F00107" w:rsidP="00F00107">
      <w:pPr>
        <w:pStyle w:val="Normalaftertitle"/>
        <w:rPr>
          <w:lang w:val="ru-RU"/>
        </w:rPr>
      </w:pPr>
      <w:r w:rsidRPr="00C25370">
        <w:rPr>
          <w:lang w:val="ru-RU"/>
        </w:rPr>
        <w:t xml:space="preserve">Всемирная ассамблея по стандартизации электросвязи (Женева, 2022 г.), </w:t>
      </w:r>
    </w:p>
    <w:p w14:paraId="2715F462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напоминая</w:t>
      </w:r>
    </w:p>
    <w:p w14:paraId="104D2607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a)</w:t>
      </w:r>
      <w:r w:rsidRPr="00C25370">
        <w:rPr>
          <w:lang w:val="ru-RU"/>
        </w:rPr>
        <w:tab/>
        <w:t>о Резолюции 197 (</w:t>
      </w:r>
      <w:proofErr w:type="spellStart"/>
      <w:r w:rsidRPr="00C25370">
        <w:rPr>
          <w:lang w:val="ru-RU"/>
        </w:rPr>
        <w:t>Пересм</w:t>
      </w:r>
      <w:proofErr w:type="spellEnd"/>
      <w:r w:rsidRPr="00C25370">
        <w:rPr>
          <w:lang w:val="ru-RU"/>
        </w:rPr>
        <w:t xml:space="preserve">. Дубай, 2018 г.) </w:t>
      </w:r>
      <w:bookmarkStart w:id="15" w:name="_Toc407103015"/>
      <w:r w:rsidRPr="00C25370">
        <w:rPr>
          <w:lang w:val="ru-RU"/>
        </w:rPr>
        <w:t>Полномочной конференции о с</w:t>
      </w:r>
      <w:r w:rsidRPr="00C25370">
        <w:rPr>
          <w:lang w:val="ru-RU" w:eastAsia="ko-KR"/>
        </w:rPr>
        <w:t>одействии развитию интернета вещей (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)</w:t>
      </w:r>
      <w:r w:rsidRPr="00C25370">
        <w:rPr>
          <w:lang w:val="ru-RU" w:eastAsia="ko-KR"/>
        </w:rPr>
        <w:t xml:space="preserve"> </w:t>
      </w:r>
      <w:bookmarkEnd w:id="15"/>
      <w:r w:rsidRPr="00C25370">
        <w:rPr>
          <w:lang w:val="ru-RU" w:eastAsia="ko-KR"/>
        </w:rPr>
        <w:t>и "умных" устойчивых городов и сообществ (SC&amp;C)</w:t>
      </w:r>
      <w:r w:rsidRPr="00C25370">
        <w:rPr>
          <w:lang w:val="ru-RU"/>
        </w:rPr>
        <w:t>;</w:t>
      </w:r>
    </w:p>
    <w:p w14:paraId="7AB88686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b)</w:t>
      </w:r>
      <w:r w:rsidRPr="00C25370">
        <w:rPr>
          <w:lang w:val="ru-RU"/>
        </w:rPr>
        <w:tab/>
        <w:t>о Резолюции 66 (</w:t>
      </w:r>
      <w:proofErr w:type="spellStart"/>
      <w:r w:rsidRPr="00C25370">
        <w:rPr>
          <w:lang w:val="ru-RU"/>
        </w:rPr>
        <w:t>Пересм</w:t>
      </w:r>
      <w:proofErr w:type="spellEnd"/>
      <w:r w:rsidRPr="00C25370">
        <w:rPr>
          <w:lang w:val="ru-RU"/>
        </w:rPr>
        <w:t xml:space="preserve">. Шарм-эль-Шейх, 2019 г.) Ассамблеи радиосвязи об исследованиях, касающихся беспроводных систем и приложений для развития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140DB46D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c)</w:t>
      </w:r>
      <w:r w:rsidRPr="00C25370">
        <w:rPr>
          <w:lang w:val="ru-RU"/>
        </w:rPr>
        <w:tab/>
        <w:t>о Резолюции 85 (</w:t>
      </w:r>
      <w:proofErr w:type="spellStart"/>
      <w:r w:rsidRPr="00C25370">
        <w:rPr>
          <w:lang w:val="ru-RU"/>
        </w:rPr>
        <w:t>Пересм</w:t>
      </w:r>
      <w:proofErr w:type="spellEnd"/>
      <w:r w:rsidRPr="00C25370">
        <w:rPr>
          <w:lang w:val="ru-RU"/>
        </w:rPr>
        <w:t xml:space="preserve">. Буэнос-Айрес, 2017 г.) Всемирной конференции по развитию электросвязи об оказании поддержки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в интересах глобального развития;</w:t>
      </w:r>
    </w:p>
    <w:p w14:paraId="6CCF62E1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d)</w:t>
      </w:r>
      <w:r w:rsidRPr="00C25370">
        <w:rPr>
          <w:lang w:val="ru-RU"/>
        </w:rPr>
        <w:tab/>
      </w:r>
      <w:bookmarkStart w:id="16" w:name="_Hlk97247004"/>
      <w:r w:rsidRPr="00C25370">
        <w:rPr>
          <w:lang w:val="ru-RU"/>
        </w:rPr>
        <w:t>об инициативе "Глобальный пульс", представленной Генеральным секретарем Организации Объединенных Наций, которая направлена на развитие возможностей по использованию больших данных в целях устойчивого развития и гуманитарной деятельности;</w:t>
      </w:r>
      <w:bookmarkEnd w:id="16"/>
    </w:p>
    <w:p w14:paraId="6B115529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e)</w:t>
      </w:r>
      <w:r w:rsidRPr="00C25370">
        <w:rPr>
          <w:lang w:val="ru-RU"/>
        </w:rPr>
        <w:tab/>
        <w:t>о задачах Сектора стандартизации электросвязи МСЭ (МСЭ-Т), поставленных в Резолюции 71 (</w:t>
      </w:r>
      <w:proofErr w:type="spellStart"/>
      <w:r w:rsidRPr="00C25370">
        <w:rPr>
          <w:lang w:val="ru-RU"/>
        </w:rPr>
        <w:t>Пересм</w:t>
      </w:r>
      <w:proofErr w:type="spellEnd"/>
      <w:r w:rsidRPr="00C25370">
        <w:rPr>
          <w:lang w:val="ru-RU"/>
        </w:rPr>
        <w:t>. Дубай, 2018 г.) Полномочной конференции, и в частности о Задаче T.5, в которой МСЭ-Т поручается расширять сотрудничество с международными, региональными и национальными органами по стандартизации</w:t>
      </w:r>
      <w:r w:rsidRPr="00C25370">
        <w:rPr>
          <w:sz w:val="18"/>
          <w:szCs w:val="18"/>
          <w:lang w:val="ru-RU"/>
        </w:rPr>
        <w:t xml:space="preserve"> </w:t>
      </w:r>
      <w:r w:rsidRPr="00C25370">
        <w:rPr>
          <w:szCs w:val="22"/>
          <w:lang w:val="ru-RU"/>
        </w:rPr>
        <w:t>и содействовать ему</w:t>
      </w:r>
      <w:r w:rsidRPr="00C25370">
        <w:rPr>
          <w:lang w:val="ru-RU"/>
        </w:rPr>
        <w:t>;</w:t>
      </w:r>
    </w:p>
    <w:p w14:paraId="12FCF6D1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f)</w:t>
      </w:r>
      <w:r w:rsidRPr="00C25370">
        <w:rPr>
          <w:lang w:val="ru-RU"/>
        </w:rPr>
        <w:tab/>
        <w:t xml:space="preserve">о Рекомендации МСЭ-Т Y.4000/Y.2060 по обзору интернета вещей, в которой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0D955937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g)</w:t>
      </w:r>
      <w:r w:rsidRPr="00C25370">
        <w:rPr>
          <w:lang w:val="ru-RU"/>
        </w:rPr>
        <w:tab/>
        <w:t xml:space="preserve">о Рекомендации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для различных сценариев применения,</w:t>
      </w:r>
    </w:p>
    <w:p w14:paraId="358C49AE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учитывая</w:t>
      </w:r>
      <w:r w:rsidRPr="00C25370">
        <w:rPr>
          <w:i w:val="0"/>
          <w:lang w:val="ru-RU"/>
        </w:rPr>
        <w:t>,</w:t>
      </w:r>
    </w:p>
    <w:p w14:paraId="61F3629D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a)</w:t>
      </w:r>
      <w:r w:rsidRPr="00C25370">
        <w:rPr>
          <w:lang w:val="ru-RU"/>
        </w:rPr>
        <w:tab/>
        <w:t xml:space="preserve">что, как ожидается, развитие технологий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сделает возможным подключение к сети миллиардов устройств и это затронет практически все аспекты повседневной жизни;</w:t>
      </w:r>
    </w:p>
    <w:p w14:paraId="511B0909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b)</w:t>
      </w:r>
      <w:r w:rsidRPr="00C25370">
        <w:rPr>
          <w:lang w:val="ru-RU"/>
        </w:rPr>
        <w:tab/>
        <w:t xml:space="preserve">важность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в содействии достижению целей Повестки дня в области устойчивого развития на период до 2030 года, в частности, ссылаясь на Цель 11 в области устойчивого развития (ЦУР 11) (Обеспечение открытости, безопасности, жизнестойкости и экологической устойчивости городов и населенных пунктов);</w:t>
      </w:r>
    </w:p>
    <w:p w14:paraId="15367C9B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c)</w:t>
      </w:r>
      <w:r w:rsidRPr="00C25370">
        <w:rPr>
          <w:lang w:val="ru-RU"/>
        </w:rPr>
        <w:tab/>
        <w:t xml:space="preserve">что различные секторы экономики, такие как энергетика, транспорт, здравоохранение и сельское хозяйство, сотрудничают между собой для развития </w:t>
      </w:r>
      <w:proofErr w:type="spellStart"/>
      <w:r w:rsidRPr="00C25370">
        <w:rPr>
          <w:lang w:val="ru-RU"/>
        </w:rPr>
        <w:t>межвертикальных</w:t>
      </w:r>
      <w:proofErr w:type="spellEnd"/>
      <w:r w:rsidRPr="00C25370">
        <w:rPr>
          <w:lang w:val="ru-RU"/>
        </w:rPr>
        <w:t xml:space="preserve"> приложений и услуг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SC&amp;C;</w:t>
      </w:r>
    </w:p>
    <w:p w14:paraId="66571415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d)</w:t>
      </w:r>
      <w:r w:rsidRPr="00C25370">
        <w:rPr>
          <w:lang w:val="ru-RU"/>
        </w:rPr>
        <w:tab/>
        <w:t xml:space="preserve">что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могут стать ключевыми факторами, содействующими созданию информационного общества, и предоставляют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35AA584D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e)</w:t>
      </w:r>
      <w:r w:rsidRPr="00C25370">
        <w:rPr>
          <w:lang w:val="ru-RU"/>
        </w:rPr>
        <w:tab/>
        <w:t xml:space="preserve">что SC&amp;C могут использовать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для обнаружения региональных и/или глобальных кризисов, таких как стихийные бедствия и эпидемии/пандемии, и реагирования на них;</w:t>
      </w:r>
    </w:p>
    <w:p w14:paraId="630A405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lastRenderedPageBreak/>
        <w:t>f)</w:t>
      </w:r>
      <w:r w:rsidRPr="00C25370">
        <w:rPr>
          <w:lang w:val="ru-RU"/>
        </w:rPr>
        <w:tab/>
        <w:t xml:space="preserve">что научно-исследовательские работы в области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1B521BB3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g)</w:t>
      </w:r>
      <w:r w:rsidRPr="00C25370">
        <w:rPr>
          <w:lang w:val="ru-RU"/>
        </w:rPr>
        <w:tab/>
        <w:t xml:space="preserve">что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затрагивает различные заинтересованные стороны и сферы, что может потребовать координации и сотрудничества;</w:t>
      </w:r>
    </w:p>
    <w:p w14:paraId="37FD655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h)</w:t>
      </w:r>
      <w:r w:rsidRPr="00C25370">
        <w:rPr>
          <w:lang w:val="ru-RU"/>
        </w:rPr>
        <w:tab/>
        <w:t xml:space="preserve">что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0F248C4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i)</w:t>
      </w:r>
      <w:r w:rsidRPr="00C25370">
        <w:rPr>
          <w:lang w:val="ru-RU"/>
        </w:rPr>
        <w:tab/>
        <w:t xml:space="preserve">что технические стандарты, а также партнерства государственного и частного секторов должны сократить время и стоимость внедрения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, обеспечивая преимущества достигаемой за счет масштабов экономии;</w:t>
      </w:r>
    </w:p>
    <w:p w14:paraId="08253318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j)</w:t>
      </w:r>
      <w:r w:rsidRPr="00C25370">
        <w:rPr>
          <w:lang w:val="ru-RU"/>
        </w:rPr>
        <w:tab/>
        <w:t xml:space="preserve">что МСЭ-Т должен играть ведущую роль в разработке стандартов, относящихся к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SC&amp;C;</w:t>
      </w:r>
    </w:p>
    <w:p w14:paraId="1625C9E8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k)</w:t>
      </w:r>
      <w:r w:rsidRPr="00C25370">
        <w:rPr>
          <w:i/>
          <w:iCs/>
          <w:lang w:val="ru-RU"/>
        </w:rPr>
        <w:tab/>
      </w:r>
      <w:r w:rsidRPr="00C25370">
        <w:rPr>
          <w:lang w:val="ru-RU"/>
        </w:rPr>
        <w:t xml:space="preserve">что совместная оценка и стандартизация функциональной совместимости форматов данных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имеют большое значение;</w:t>
      </w:r>
    </w:p>
    <w:p w14:paraId="42BF86DF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l)</w:t>
      </w:r>
      <w:r w:rsidRPr="00C25370">
        <w:rPr>
          <w:i/>
          <w:iCs/>
          <w:lang w:val="ru-RU"/>
        </w:rPr>
        <w:tab/>
      </w:r>
      <w:r w:rsidRPr="00C25370">
        <w:rPr>
          <w:lang w:val="ru-RU"/>
        </w:rPr>
        <w:t xml:space="preserve">что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могут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48A5FEB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m)</w:t>
      </w:r>
      <w:r w:rsidRPr="00C25370">
        <w:rPr>
          <w:lang w:val="ru-RU"/>
        </w:rPr>
        <w:tab/>
        <w:t xml:space="preserve">что в средах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подключенные устройства и приложения представляют собой разнообразные экосистемы;</w:t>
      </w:r>
    </w:p>
    <w:p w14:paraId="2328927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n)</w:t>
      </w:r>
      <w:r w:rsidRPr="00C25370">
        <w:rPr>
          <w:lang w:val="ru-RU"/>
        </w:rPr>
        <w:tab/>
        <w:t xml:space="preserve">что аспекты безопасности являются важнейшим элементом развития надежной и безопасной экосистемы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,</w:t>
      </w:r>
    </w:p>
    <w:p w14:paraId="668686C3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признавая</w:t>
      </w:r>
      <w:r w:rsidRPr="00C25370">
        <w:rPr>
          <w:i w:val="0"/>
          <w:lang w:val="ru-RU"/>
        </w:rPr>
        <w:t>,</w:t>
      </w:r>
    </w:p>
    <w:p w14:paraId="51ECC9E5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a)</w:t>
      </w:r>
      <w:r w:rsidRPr="00C25370">
        <w:rPr>
          <w:lang w:val="ru-RU"/>
        </w:rPr>
        <w:tab/>
        <w:t xml:space="preserve">что на отраслевых форумах, в рамках проектов организаций по разработке стандартов (ОРС) и партнерств разрабатываются технические спецификации для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040A34FB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b)</w:t>
      </w:r>
      <w:r w:rsidRPr="00C25370">
        <w:rPr>
          <w:lang w:val="ru-RU"/>
        </w:rPr>
        <w:tab/>
        <w:t xml:space="preserve">роль Сектора радиосвязи МСЭ (МСЭ-R) в проведении исследований по техническим и эксплуатационным аспектам радиосетей и систем для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169F2C0C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c)</w:t>
      </w:r>
      <w:r w:rsidRPr="00C25370">
        <w:rPr>
          <w:i/>
          <w:iCs/>
          <w:lang w:val="ru-RU"/>
        </w:rPr>
        <w:tab/>
      </w:r>
      <w:r w:rsidRPr="00C25370">
        <w:rPr>
          <w:lang w:val="ru-RU"/>
        </w:rPr>
        <w:t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 в частности, соответствующую работу, проводимую исследовательскими комиссиями МСЭ-D;</w:t>
      </w:r>
    </w:p>
    <w:p w14:paraId="736977F0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d)</w:t>
      </w:r>
      <w:r w:rsidRPr="00C25370">
        <w:rPr>
          <w:lang w:val="ru-RU"/>
        </w:rPr>
        <w:tab/>
        <w:t>что задача Группы по совместной координационной деятельности в области интернета вещей и "умных" городов и сообществ (JCA-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SC&amp;C), действующей под руководством 20</w:t>
      </w:r>
      <w:r w:rsidRPr="00C25370">
        <w:rPr>
          <w:lang w:val="ru-RU"/>
        </w:rPr>
        <w:noBreakHyphen/>
        <w:t xml:space="preserve">й Исследовательской комиссии МСЭ-Т, заключается в координации работы по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в рамках МСЭ, а также в налаживании сотрудничества с внешними органами, работающими в области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SC&amp;C;</w:t>
      </w:r>
    </w:p>
    <w:p w14:paraId="302B1924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e)</w:t>
      </w:r>
      <w:r w:rsidRPr="00C25370">
        <w:rPr>
          <w:lang w:val="ru-RU"/>
        </w:rPr>
        <w:tab/>
        <w:t xml:space="preserve">что достигнут значительный прогресс в деятельности по развитию сотрудничества между МСЭ-Т и другими организациями, в том числе благодаря активному участию в деятельности различных комитетов и рабочих групп Объединенного технического комитета 1 Международной организации по стандартизации и Международной электротехнической комиссии (ОТК 1 ИСО/МЭК) и Европейского института стандартизации электросвязи (ЕТСИ), а также было налажено сотрудничество с такими форумами, как oneM2M, Альянс для инноваций в Интернете вещей, Альянс </w:t>
      </w:r>
      <w:proofErr w:type="spellStart"/>
      <w:r w:rsidRPr="00C25370">
        <w:rPr>
          <w:lang w:val="ru-RU"/>
        </w:rPr>
        <w:t>LoRa</w:t>
      </w:r>
      <w:proofErr w:type="spellEnd"/>
      <w:r w:rsidRPr="00C25370">
        <w:rPr>
          <w:lang w:val="ru-RU"/>
        </w:rPr>
        <w:t xml:space="preserve"> и сотрудничество по стандартам связи для интеллектуальных транспортных систем (ИТС);</w:t>
      </w:r>
    </w:p>
    <w:p w14:paraId="15CC9DDB" w14:textId="77777777" w:rsidR="00C25370" w:rsidRDefault="00C253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007043BD" w14:textId="182D1D60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lastRenderedPageBreak/>
        <w:t>f)</w:t>
      </w:r>
      <w:r w:rsidRPr="00C25370">
        <w:rPr>
          <w:lang w:val="ru-RU"/>
        </w:rPr>
        <w:tab/>
        <w:t xml:space="preserve">что 20-я Исследовательская комиссия несет ответственность за проведение исследований и стандартизацию применительно к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его приложениям, включая SC&amp;C;</w:t>
      </w:r>
    </w:p>
    <w:p w14:paraId="6DE34BFA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g)</w:t>
      </w:r>
      <w:r w:rsidRPr="00C25370">
        <w:rPr>
          <w:lang w:val="ru-RU"/>
        </w:rPr>
        <w:tab/>
        <w:t xml:space="preserve">что 20-я Исследовательская комиссия МСЭ-Т служит также платформой, где члены МСЭ-Т, в том числе Государства-Члены, Члены Сектора, Ассоциированные члены и Академические организации, могут собираться вместе и оказывать влияние на выработку проектов международных стандартов для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на их внедрение;</w:t>
      </w:r>
    </w:p>
    <w:p w14:paraId="43E69701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h)</w:t>
      </w:r>
      <w:r w:rsidRPr="00C25370">
        <w:rPr>
          <w:lang w:val="ru-RU"/>
        </w:rPr>
        <w:tab/>
        <w:t>что "Объединение усилий в целях построения "умных" устойчивых городов" (U4SSC) является инициативой Организации Объединенных Наций, координируемой МСЭ, Европейской экономической комиссией Организации Объединенных Наций (ЕЭК ООН) и Программой Организации Объединенных Наций по населенным пунктам (ООН-</w:t>
      </w:r>
      <w:proofErr w:type="spellStart"/>
      <w:r w:rsidRPr="00C25370">
        <w:rPr>
          <w:lang w:val="ru-RU"/>
        </w:rPr>
        <w:t>Хабитат</w:t>
      </w:r>
      <w:proofErr w:type="spellEnd"/>
      <w:r w:rsidRPr="00C25370">
        <w:rPr>
          <w:lang w:val="ru-RU"/>
        </w:rPr>
        <w:t>) для достижения ЦУР 11;</w:t>
      </w:r>
    </w:p>
    <w:p w14:paraId="003BD703" w14:textId="77777777" w:rsidR="00F00107" w:rsidRPr="00C25370" w:rsidRDefault="00F00107" w:rsidP="00F00107">
      <w:pPr>
        <w:rPr>
          <w:lang w:val="ru-RU"/>
        </w:rPr>
      </w:pPr>
      <w:r w:rsidRPr="00C25370">
        <w:rPr>
          <w:i/>
          <w:iCs/>
          <w:lang w:val="ru-RU"/>
        </w:rPr>
        <w:t>i)</w:t>
      </w:r>
      <w:r w:rsidRPr="00C25370">
        <w:rPr>
          <w:lang w:val="ru-RU"/>
        </w:rPr>
        <w:tab/>
        <w:t>что инициатива U4SSC оказывает городам поддержку в использовании всего потенциала ИКТ в области устойчивого развития,</w:t>
      </w:r>
    </w:p>
    <w:p w14:paraId="12B432CF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решает поручить 20-й Исследовательской комиссии Сектора стандартизации электросвязи МСЭ</w:t>
      </w:r>
    </w:p>
    <w:p w14:paraId="260DE2D4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1</w:t>
      </w:r>
      <w:r w:rsidRPr="00C25370">
        <w:rPr>
          <w:lang w:val="ru-RU"/>
        </w:rPr>
        <w:tab/>
        <w:t xml:space="preserve">разрабатывать Рекомендации МСЭ-Т, имеющие целью внедрение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реализацию SC&amp;C, в том числе по вопросам, связанным с возникающими технологиями и вертикальными отраслями;</w:t>
      </w:r>
    </w:p>
    <w:p w14:paraId="7DC3A6A0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2</w:t>
      </w:r>
      <w:r w:rsidRPr="00C25370">
        <w:rPr>
          <w:lang w:val="ru-RU"/>
        </w:rPr>
        <w:tab/>
        <w:t xml:space="preserve"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, учитывая потребности каждого региона и Государств-Членов, а также широкий диапазон сценариев использования и приложений, как и необходимость придания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открытого и гибкого характера, и содействуя формированию конкурентной среды;</w:t>
      </w:r>
    </w:p>
    <w:p w14:paraId="55DC42B5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3</w:t>
      </w:r>
      <w:r w:rsidRPr="00C25370">
        <w:rPr>
          <w:lang w:val="ru-RU"/>
        </w:rPr>
        <w:tab/>
        <w:t xml:space="preserve">сотрудничать с разрабатывающими относящиеся к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стандарты организациями и другими заинтересованными сторонами, такими как отраслевые форумы и ассоциации, консорциумы и ОРС, а также с другими соответствующими исследовательскими комиссиями МСЭ-Т, учитывая работу по связанным темам;</w:t>
      </w:r>
    </w:p>
    <w:p w14:paraId="7DF7F9E2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4</w:t>
      </w:r>
      <w:r w:rsidRPr="00C25370">
        <w:rPr>
          <w:lang w:val="ru-RU"/>
        </w:rPr>
        <w:tab/>
        <w:t xml:space="preserve">собирать, анализировать, оценивать и распространять варианты использования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применительно к функциональной совместимости и стандартизации для обмена данными и информацией,</w:t>
      </w:r>
    </w:p>
    <w:p w14:paraId="2D3A5507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поручает Директору Бюро стандартизации электросвязи</w:t>
      </w:r>
    </w:p>
    <w:p w14:paraId="31DCC62F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1</w:t>
      </w:r>
      <w:r w:rsidRPr="00C25370">
        <w:rPr>
          <w:lang w:val="ru-RU"/>
        </w:rPr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C25370">
        <w:rPr>
          <w:lang w:val="ru-RU"/>
        </w:rPr>
        <w:noBreakHyphen/>
        <w:t xml:space="preserve">Т по стандартизации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SC&amp;C;</w:t>
      </w:r>
    </w:p>
    <w:p w14:paraId="7DABCE57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2</w:t>
      </w:r>
      <w:r w:rsidRPr="00C25370">
        <w:rPr>
          <w:lang w:val="ru-RU"/>
        </w:rPr>
        <w:tab/>
        <w:t xml:space="preserve"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SC&amp;C, с целью содействия развертыванию и внедрению стандартов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во всем мире;</w:t>
      </w:r>
    </w:p>
    <w:p w14:paraId="4317D492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3</w:t>
      </w:r>
      <w:r w:rsidRPr="00C25370">
        <w:rPr>
          <w:lang w:val="ru-RU"/>
        </w:rPr>
        <w:tab/>
        <w:t xml:space="preserve">продолжить поддержку </w:t>
      </w:r>
      <w:r w:rsidRPr="00C25370">
        <w:rPr>
          <w:color w:val="000000"/>
          <w:lang w:val="ru-RU"/>
        </w:rPr>
        <w:t xml:space="preserve">инициативы </w:t>
      </w:r>
      <w:r w:rsidRPr="00C25370">
        <w:rPr>
          <w:lang w:val="ru-RU"/>
        </w:rPr>
        <w:t>U4SSC и знакомить 20-ю Исследовательскую комиссию и другие заинтересованные исследовательские комиссии с результатами ее осуществления;</w:t>
      </w:r>
    </w:p>
    <w:p w14:paraId="0442AD59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4</w:t>
      </w:r>
      <w:r w:rsidRPr="00C25370">
        <w:rPr>
          <w:lang w:val="ru-RU"/>
        </w:rPr>
        <w:tab/>
        <w:t>содействовать реализации KPI U4SSC и поощрять этот процесс как стандарт самооценки "умных" устойчивых городов в сотрудничестве с Государствами-Членами;</w:t>
      </w:r>
    </w:p>
    <w:p w14:paraId="0D00EDAD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5</w:t>
      </w:r>
      <w:r w:rsidRPr="00C25370">
        <w:rPr>
          <w:lang w:val="ru-RU"/>
        </w:rPr>
        <w:tab/>
        <w:t xml:space="preserve">продолжать содействовать сотрудничеству с другими международными ОРС, отраслевыми форумами, другими соответствующими организациями, глобальными проектами и инициативами,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,</w:t>
      </w:r>
    </w:p>
    <w:p w14:paraId="77AABE1E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lastRenderedPageBreak/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6C4C6E8C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1</w:t>
      </w:r>
      <w:r w:rsidRPr="00C25370">
        <w:rPr>
          <w:lang w:val="ru-RU"/>
        </w:rPr>
        <w:tab/>
        <w:t>составлять отчеты, учитывая, в частности, потребности развивающихся стран</w:t>
      </w:r>
      <w:r w:rsidRPr="00C25370">
        <w:rPr>
          <w:rStyle w:val="FootnoteReference"/>
          <w:lang w:val="ru-RU"/>
        </w:rPr>
        <w:footnoteReference w:customMarkFollows="1" w:id="1"/>
        <w:t>1</w:t>
      </w:r>
      <w:r w:rsidRPr="00C25370">
        <w:rPr>
          <w:lang w:val="ru-RU"/>
        </w:rPr>
        <w:t xml:space="preserve">, связанные с исследованиями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</w:r>
    </w:p>
    <w:p w14:paraId="4B39CF32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2</w:t>
      </w:r>
      <w:r w:rsidRPr="00C25370">
        <w:rPr>
          <w:lang w:val="ru-RU"/>
        </w:rPr>
        <w:tab/>
        <w:t>оказывать Государствам-Членам поддержку в реализации KPI U4SSC для "умных" устойчивых городов;</w:t>
      </w:r>
    </w:p>
    <w:p w14:paraId="03CE7F05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3</w:t>
      </w:r>
      <w:r w:rsidRPr="00C25370">
        <w:rPr>
          <w:lang w:val="ru-RU"/>
        </w:rPr>
        <w:tab/>
        <w:t xml:space="preserve">стимулировать совместную работу Секторов МСЭ для обсуждения различных аспектов, связанных с развитием экосистемы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решений для SC&amp;C, в контексте достижения ЦУР и в рамках Всемирной встречи на высшем уровне по вопросам информационного общества;</w:t>
      </w:r>
    </w:p>
    <w:p w14:paraId="23EB8BBB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4</w:t>
      </w:r>
      <w:r w:rsidRPr="00C25370">
        <w:rPr>
          <w:lang w:val="ru-RU"/>
        </w:rPr>
        <w:tab/>
        <w:t xml:space="preserve">продолжать распространение публикаций МСЭ по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SC&amp;C, а также проведение форумов, семинаров и семинаров-практикумов по этой теме с учетом, в частности, потребностей развивающихся стран;</w:t>
      </w:r>
    </w:p>
    <w:p w14:paraId="1E5C3F28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5</w:t>
      </w:r>
      <w:r w:rsidRPr="00C25370">
        <w:rPr>
          <w:lang w:val="ru-RU"/>
        </w:rPr>
        <w:tab/>
        <w:t xml:space="preserve">оказывать поддержку Государствам-Членам, в особенности развивающимся странам, в организации форумов, семинаров и семинаров-практикумов по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 для содействия инновациям, развитию и росту технологий и решений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53EF9A2D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6</w:t>
      </w:r>
      <w:r w:rsidRPr="00C25370">
        <w:rPr>
          <w:lang w:val="ru-RU"/>
        </w:rPr>
        <w:tab/>
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</w:r>
    </w:p>
    <w:p w14:paraId="29FA967A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7</w:t>
      </w:r>
      <w:r w:rsidRPr="00C25370">
        <w:rPr>
          <w:lang w:val="ru-RU"/>
        </w:rPr>
        <w:tab/>
        <w:t xml:space="preserve">оказывать помощь развивающимся странам в выполнении Рекомендаций, технических отчетов и руководящих указаний, связанных с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SC&amp;C,</w:t>
      </w:r>
    </w:p>
    <w:p w14:paraId="0D6B8FE7" w14:textId="77777777" w:rsidR="00F00107" w:rsidRPr="00C25370" w:rsidRDefault="00F00107" w:rsidP="00F00107">
      <w:pPr>
        <w:pStyle w:val="Call"/>
        <w:rPr>
          <w:lang w:val="ru-RU"/>
        </w:rPr>
      </w:pPr>
      <w:r w:rsidRPr="00C25370">
        <w:rPr>
          <w:lang w:val="ru-RU"/>
        </w:rPr>
        <w:t>предлагает членам Сектора стандартизации электросвязи МСЭ</w:t>
      </w:r>
    </w:p>
    <w:p w14:paraId="727C52A1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1</w:t>
      </w:r>
      <w:r w:rsidRPr="00C25370">
        <w:rPr>
          <w:lang w:val="ru-RU"/>
        </w:rPr>
        <w:tab/>
        <w:t xml:space="preserve">представлять вклады и продолжать активно участвовать в работе 20-й Исследовательской комиссии и в исследованиях по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SC&amp;C, которые проводятся МСЭ-Т;</w:t>
      </w:r>
    </w:p>
    <w:p w14:paraId="267ACFCB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2</w:t>
      </w:r>
      <w:r w:rsidRPr="00C25370">
        <w:rPr>
          <w:lang w:val="ru-RU"/>
        </w:rPr>
        <w:tab/>
        <w:t xml:space="preserve">разрабатывать генеральные планы и осуществлять обмен сценариями использования и передовым опытом, с тем чтобы содействовать развитию экосистемы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и SC&amp;C, а также способствовать социальному развитию и экономическому росту с целью достижения ЦУР;</w:t>
      </w:r>
    </w:p>
    <w:p w14:paraId="50826866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3</w:t>
      </w:r>
      <w:r w:rsidRPr="00C25370">
        <w:rPr>
          <w:lang w:val="ru-RU"/>
        </w:rPr>
        <w:tab/>
        <w:t>сотрудничать и обмениваться опытом и знаниями, относящимися к этой теме;</w:t>
      </w:r>
    </w:p>
    <w:p w14:paraId="35EC0019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4</w:t>
      </w:r>
      <w:r w:rsidRPr="00C25370">
        <w:rPr>
          <w:lang w:val="ru-RU"/>
        </w:rPr>
        <w:tab/>
        <w:t xml:space="preserve">поддерживать и проводить форумы, семинары и семинары-практикумы по интернету вещей для содействия инновациям, развитию и росту технологий и решений в области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>;</w:t>
      </w:r>
    </w:p>
    <w:p w14:paraId="39CCA044" w14:textId="77777777" w:rsidR="00F00107" w:rsidRPr="00C25370" w:rsidRDefault="00F00107" w:rsidP="00F00107">
      <w:pPr>
        <w:rPr>
          <w:lang w:val="ru-RU"/>
        </w:rPr>
      </w:pPr>
      <w:r w:rsidRPr="00C25370">
        <w:rPr>
          <w:lang w:val="ru-RU"/>
        </w:rPr>
        <w:t>5</w:t>
      </w:r>
      <w:r w:rsidRPr="00C25370">
        <w:rPr>
          <w:lang w:val="ru-RU"/>
        </w:rPr>
        <w:tab/>
        <w:t xml:space="preserve">принимать все необходимые меры для содействия росту </w:t>
      </w:r>
      <w:proofErr w:type="spellStart"/>
      <w:r w:rsidRPr="00C25370">
        <w:rPr>
          <w:lang w:val="ru-RU"/>
        </w:rPr>
        <w:t>IoT</w:t>
      </w:r>
      <w:proofErr w:type="spellEnd"/>
      <w:r w:rsidRPr="00C25370">
        <w:rPr>
          <w:lang w:val="ru-RU"/>
        </w:rPr>
        <w:t xml:space="preserve"> применительно к таким областям, как создание стандартов. </w:t>
      </w:r>
    </w:p>
    <w:p w14:paraId="7A2D1ABB" w14:textId="77777777" w:rsidR="00F00107" w:rsidRPr="00C25370" w:rsidRDefault="00F00107" w:rsidP="00C25370">
      <w:pPr>
        <w:rPr>
          <w:lang w:val="ru-RU"/>
        </w:rPr>
      </w:pPr>
    </w:p>
    <w:p w14:paraId="74B5C492" w14:textId="34ED70C0" w:rsidR="009C0295" w:rsidRPr="00C25370" w:rsidRDefault="009C0295" w:rsidP="00C25370">
      <w:pPr>
        <w:rPr>
          <w:lang w:val="ru-RU"/>
        </w:rPr>
      </w:pPr>
    </w:p>
    <w:sectPr w:rsidR="009C0295" w:rsidRPr="00C25370" w:rsidSect="00C2537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3C6C6098" w:rsidR="00562709" w:rsidRPr="00C25370" w:rsidRDefault="00562709" w:rsidP="0013294E">
    <w:pPr>
      <w:pStyle w:val="Footer"/>
      <w:tabs>
        <w:tab w:val="left" w:pos="1134"/>
      </w:tabs>
      <w:rPr>
        <w:b/>
        <w:caps w:val="0"/>
        <w:sz w:val="22"/>
        <w:szCs w:val="22"/>
        <w:lang w:val="ru-RU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C25370">
      <w:rPr>
        <w:b/>
        <w:caps w:val="0"/>
        <w:sz w:val="22"/>
        <w:szCs w:val="22"/>
        <w:lang w:val="ru-RU"/>
      </w:rPr>
      <w:fldChar w:fldCharType="begin"/>
    </w:r>
    <w:r w:rsidRPr="00C25370">
      <w:rPr>
        <w:b/>
        <w:caps w:val="0"/>
        <w:sz w:val="22"/>
        <w:szCs w:val="22"/>
        <w:lang w:val="ru-RU"/>
      </w:rPr>
      <w:instrText xml:space="preserve"> STYLEREF  href  \* MERGEFORMAT </w:instrText>
    </w:r>
    <w:r w:rsidRPr="00C25370">
      <w:rPr>
        <w:b/>
        <w:caps w:val="0"/>
        <w:sz w:val="22"/>
        <w:szCs w:val="22"/>
        <w:lang w:val="ru-RU"/>
      </w:rPr>
      <w:fldChar w:fldCharType="separate"/>
    </w:r>
    <w:r w:rsidR="00047A52">
      <w:rPr>
        <w:b/>
        <w:caps w:val="0"/>
        <w:sz w:val="22"/>
        <w:szCs w:val="22"/>
        <w:lang w:val="ru-RU"/>
      </w:rPr>
      <w:t>98</w:t>
    </w:r>
    <w:r w:rsidRPr="00C25370">
      <w:rPr>
        <w:b/>
        <w:caps w:val="0"/>
        <w:sz w:val="22"/>
        <w:szCs w:val="22"/>
        <w:lang w:val="ru-RU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4733E0E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25370">
      <w:rPr>
        <w:b/>
        <w:bCs/>
        <w:caps w:val="0"/>
        <w:sz w:val="22"/>
        <w:szCs w:val="22"/>
        <w:lang w:val="ru-RU"/>
      </w:rPr>
      <w:fldChar w:fldCharType="begin"/>
    </w:r>
    <w:r w:rsidRPr="00C25370">
      <w:rPr>
        <w:b/>
        <w:bCs/>
        <w:caps w:val="0"/>
        <w:sz w:val="22"/>
        <w:szCs w:val="22"/>
        <w:lang w:val="ru-RU"/>
      </w:rPr>
      <w:instrText xml:space="preserve"> STYLEREF  href  \* MERGEFORMAT </w:instrText>
    </w:r>
    <w:r w:rsidRPr="00C25370">
      <w:rPr>
        <w:b/>
        <w:bCs/>
        <w:caps w:val="0"/>
        <w:sz w:val="22"/>
        <w:szCs w:val="22"/>
        <w:lang w:val="ru-RU"/>
      </w:rPr>
      <w:fldChar w:fldCharType="separate"/>
    </w:r>
    <w:r w:rsidR="00047A52">
      <w:rPr>
        <w:b/>
        <w:bCs/>
        <w:caps w:val="0"/>
        <w:sz w:val="22"/>
        <w:szCs w:val="22"/>
        <w:lang w:val="ru-RU"/>
      </w:rPr>
      <w:t>98</w:t>
    </w:r>
    <w:r w:rsidRPr="00C25370">
      <w:rPr>
        <w:b/>
        <w:bCs/>
        <w:caps w:val="0"/>
        <w:sz w:val="22"/>
        <w:szCs w:val="22"/>
        <w:lang w:val="ru-RU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33F93E70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25370">
      <w:rPr>
        <w:b/>
        <w:bCs/>
        <w:caps w:val="0"/>
        <w:sz w:val="22"/>
        <w:szCs w:val="22"/>
        <w:lang w:val="ru-RU"/>
      </w:rPr>
      <w:fldChar w:fldCharType="begin"/>
    </w:r>
    <w:r w:rsidRPr="00C25370">
      <w:rPr>
        <w:b/>
        <w:bCs/>
        <w:caps w:val="0"/>
        <w:sz w:val="22"/>
        <w:szCs w:val="22"/>
        <w:lang w:val="ru-RU"/>
      </w:rPr>
      <w:instrText xml:space="preserve"> STYLEREF  href  \* MERGEFORMAT </w:instrText>
    </w:r>
    <w:r w:rsidRPr="00C25370">
      <w:rPr>
        <w:b/>
        <w:bCs/>
        <w:caps w:val="0"/>
        <w:sz w:val="22"/>
        <w:szCs w:val="22"/>
        <w:lang w:val="ru-RU"/>
      </w:rPr>
      <w:fldChar w:fldCharType="separate"/>
    </w:r>
    <w:r w:rsidR="00047A52">
      <w:rPr>
        <w:b/>
        <w:bCs/>
        <w:caps w:val="0"/>
        <w:sz w:val="22"/>
        <w:szCs w:val="22"/>
        <w:lang w:val="ru-RU"/>
      </w:rPr>
      <w:t>98</w:t>
    </w:r>
    <w:r w:rsidRPr="00C25370">
      <w:rPr>
        <w:b/>
        <w:bCs/>
        <w:caps w:val="0"/>
        <w:sz w:val="22"/>
        <w:szCs w:val="22"/>
        <w:lang w:val="ru-RU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2F676375" w14:textId="77777777" w:rsidR="00F00107" w:rsidRPr="007E11D4" w:rsidRDefault="00F00107" w:rsidP="00F00107">
      <w:pPr>
        <w:pStyle w:val="FootnoteText"/>
        <w:rPr>
          <w:lang w:val="ru-RU"/>
        </w:rPr>
      </w:pPr>
      <w:r w:rsidRPr="007E11D4">
        <w:rPr>
          <w:rStyle w:val="FootnoteReference"/>
          <w:lang w:val="ru-RU"/>
        </w:rPr>
        <w:t>1</w:t>
      </w:r>
      <w:r w:rsidRPr="007E11D4">
        <w:rPr>
          <w:lang w:val="ru-RU"/>
        </w:rPr>
        <w:t xml:space="preserve"> </w:t>
      </w:r>
      <w:r w:rsidRPr="007E11D4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2ED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50D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7E8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40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A2D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6C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96F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62D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C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728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47A52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0544F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25370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587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10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13330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98 – Совершенствование стандартизации интернета вещей и "умных" городов и сообществ в интересах глобального развития</dc:title>
  <dc:subject>World Telecommunication Standardization Assembly - 2000</dc:subject>
  <dc:creator>Sikacheva, Violetta</dc:creator>
  <cp:keywords/>
  <dc:description/>
  <cp:lastModifiedBy>Berdyeva, Elena</cp:lastModifiedBy>
  <cp:revision>53</cp:revision>
  <cp:lastPrinted>2009-01-30T13:07:00Z</cp:lastPrinted>
  <dcterms:created xsi:type="dcterms:W3CDTF">2016-12-01T10:00:00Z</dcterms:created>
  <dcterms:modified xsi:type="dcterms:W3CDTF">2022-04-19T14:15:00Z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